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02E" w:rsidRPr="00051281" w:rsidRDefault="004C1A0D" w:rsidP="002A2803">
      <w:pPr>
        <w:rPr>
          <w:b/>
          <w:sz w:val="36"/>
          <w:szCs w:val="36"/>
        </w:rPr>
      </w:pPr>
      <w:r w:rsidRPr="00051281">
        <w:rPr>
          <w:b/>
          <w:sz w:val="36"/>
          <w:szCs w:val="36"/>
        </w:rPr>
        <w:t>6</w:t>
      </w:r>
      <w:r w:rsidR="00433044" w:rsidRPr="00051281">
        <w:rPr>
          <w:b/>
          <w:sz w:val="36"/>
          <w:szCs w:val="36"/>
        </w:rPr>
        <w:t>.</w:t>
      </w:r>
      <w:r w:rsidR="00BC79DE" w:rsidRPr="00051281">
        <w:rPr>
          <w:b/>
          <w:sz w:val="36"/>
          <w:szCs w:val="36"/>
        </w:rPr>
        <w:t>06</w:t>
      </w:r>
      <w:r w:rsidR="00D8602E" w:rsidRPr="00051281">
        <w:rPr>
          <w:b/>
          <w:sz w:val="36"/>
          <w:szCs w:val="36"/>
        </w:rPr>
        <w:tab/>
        <w:t>TIOTROPIUM</w:t>
      </w:r>
    </w:p>
    <w:p w:rsidR="00D8602E" w:rsidRPr="00051281" w:rsidRDefault="00D8602E" w:rsidP="00D8602E">
      <w:pPr>
        <w:jc w:val="left"/>
        <w:rPr>
          <w:b/>
          <w:sz w:val="36"/>
          <w:szCs w:val="36"/>
        </w:rPr>
      </w:pPr>
      <w:r w:rsidRPr="00051281">
        <w:rPr>
          <w:b/>
          <w:sz w:val="36"/>
          <w:szCs w:val="36"/>
        </w:rPr>
        <w:tab/>
        <w:t>S</w:t>
      </w:r>
      <w:r w:rsidR="002A2803" w:rsidRPr="00051281">
        <w:rPr>
          <w:b/>
          <w:sz w:val="36"/>
          <w:szCs w:val="36"/>
        </w:rPr>
        <w:t xml:space="preserve">olution for </w:t>
      </w:r>
      <w:r w:rsidRPr="00051281">
        <w:rPr>
          <w:b/>
          <w:sz w:val="36"/>
          <w:szCs w:val="36"/>
        </w:rPr>
        <w:t xml:space="preserve">oral </w:t>
      </w:r>
      <w:r w:rsidR="002A2803" w:rsidRPr="00051281">
        <w:rPr>
          <w:b/>
          <w:sz w:val="36"/>
          <w:szCs w:val="36"/>
        </w:rPr>
        <w:t xml:space="preserve">inhalation 2.5 µg per actuation, </w:t>
      </w:r>
      <w:r w:rsidRPr="00051281">
        <w:rPr>
          <w:b/>
          <w:sz w:val="36"/>
          <w:szCs w:val="36"/>
        </w:rPr>
        <w:t>60</w:t>
      </w:r>
    </w:p>
    <w:p w:rsidR="00D8602E" w:rsidRPr="00051281" w:rsidRDefault="00D8602E" w:rsidP="002A2803">
      <w:pPr>
        <w:rPr>
          <w:b/>
          <w:sz w:val="36"/>
          <w:szCs w:val="36"/>
        </w:rPr>
      </w:pPr>
      <w:r w:rsidRPr="00051281">
        <w:rPr>
          <w:b/>
          <w:sz w:val="36"/>
          <w:szCs w:val="36"/>
        </w:rPr>
        <w:tab/>
      </w:r>
      <w:r w:rsidR="002A2803" w:rsidRPr="00051281">
        <w:rPr>
          <w:b/>
          <w:sz w:val="36"/>
          <w:szCs w:val="36"/>
        </w:rPr>
        <w:t xml:space="preserve">Spiriva® </w:t>
      </w:r>
      <w:proofErr w:type="spellStart"/>
      <w:r w:rsidR="002A2803" w:rsidRPr="00051281">
        <w:rPr>
          <w:b/>
          <w:sz w:val="36"/>
          <w:szCs w:val="36"/>
        </w:rPr>
        <w:t>Respimat</w:t>
      </w:r>
      <w:proofErr w:type="spellEnd"/>
      <w:r w:rsidR="002A2803" w:rsidRPr="00051281">
        <w:rPr>
          <w:b/>
          <w:sz w:val="36"/>
          <w:szCs w:val="36"/>
        </w:rPr>
        <w:t xml:space="preserve">®, </w:t>
      </w:r>
    </w:p>
    <w:p w:rsidR="00B60939" w:rsidRPr="001B44C0" w:rsidRDefault="00D8602E" w:rsidP="00207D00">
      <w:pPr>
        <w:rPr>
          <w:b/>
          <w:sz w:val="36"/>
          <w:szCs w:val="36"/>
        </w:rPr>
      </w:pPr>
      <w:r w:rsidRPr="00051281">
        <w:rPr>
          <w:b/>
          <w:sz w:val="36"/>
          <w:szCs w:val="36"/>
        </w:rPr>
        <w:tab/>
      </w:r>
      <w:proofErr w:type="spellStart"/>
      <w:r w:rsidR="002A2803" w:rsidRPr="00051281">
        <w:rPr>
          <w:b/>
          <w:sz w:val="36"/>
          <w:szCs w:val="36"/>
        </w:rPr>
        <w:t>B</w:t>
      </w:r>
      <w:r w:rsidR="00355925" w:rsidRPr="00051281">
        <w:rPr>
          <w:b/>
          <w:sz w:val="36"/>
          <w:szCs w:val="36"/>
        </w:rPr>
        <w:t>oehringer</w:t>
      </w:r>
      <w:proofErr w:type="spellEnd"/>
      <w:r w:rsidR="00355925" w:rsidRPr="00051281">
        <w:rPr>
          <w:b/>
          <w:sz w:val="36"/>
          <w:szCs w:val="36"/>
        </w:rPr>
        <w:t xml:space="preserve"> </w:t>
      </w:r>
      <w:proofErr w:type="spellStart"/>
      <w:r w:rsidR="00355925" w:rsidRPr="00051281">
        <w:rPr>
          <w:b/>
          <w:sz w:val="36"/>
          <w:szCs w:val="36"/>
        </w:rPr>
        <w:t>Ingelheim</w:t>
      </w:r>
      <w:proofErr w:type="spellEnd"/>
      <w:r w:rsidR="00355925" w:rsidRPr="00051281">
        <w:rPr>
          <w:b/>
          <w:sz w:val="36"/>
          <w:szCs w:val="36"/>
        </w:rPr>
        <w:t xml:space="preserve"> Pty Limited</w:t>
      </w:r>
    </w:p>
    <w:p w:rsidR="00B60939" w:rsidRPr="00051281" w:rsidRDefault="00B50DB8" w:rsidP="007407CD">
      <w:pPr>
        <w:pStyle w:val="PBACHeading1"/>
        <w:numPr>
          <w:ilvl w:val="0"/>
          <w:numId w:val="1"/>
        </w:numPr>
        <w:spacing w:before="240" w:after="120"/>
        <w:outlineLvl w:val="0"/>
      </w:pPr>
      <w:bookmarkStart w:id="0" w:name="_Toc503966226"/>
      <w:r w:rsidRPr="00051281">
        <w:t>Purpose of Application</w:t>
      </w:r>
      <w:bookmarkEnd w:id="0"/>
    </w:p>
    <w:p w:rsidR="0089674B" w:rsidRPr="00051281" w:rsidRDefault="00BA0DDF" w:rsidP="003841D3">
      <w:pPr>
        <w:pStyle w:val="ListParagraph"/>
        <w:widowControl/>
        <w:numPr>
          <w:ilvl w:val="1"/>
          <w:numId w:val="1"/>
        </w:numPr>
        <w:spacing w:after="120"/>
      </w:pPr>
      <w:r w:rsidRPr="00051281">
        <w:t xml:space="preserve">The submission requested an Authority Required (STREAMLINED) listing for tiotropium </w:t>
      </w:r>
      <w:r w:rsidR="0020581F" w:rsidRPr="00051281">
        <w:t xml:space="preserve">solution </w:t>
      </w:r>
      <w:r w:rsidR="00371C51" w:rsidRPr="00051281">
        <w:t xml:space="preserve">for inhalation </w:t>
      </w:r>
      <w:r w:rsidRPr="00051281">
        <w:t>in patients with severe asthma, aged 6 to 17 years</w:t>
      </w:r>
      <w:r w:rsidR="00B623D4" w:rsidRPr="00051281">
        <w:t xml:space="preserve"> who remain uncontrolled despite receiving optimised asthma therapy</w:t>
      </w:r>
      <w:r w:rsidRPr="00051281">
        <w:t xml:space="preserve">. </w:t>
      </w:r>
      <w:r w:rsidR="00AE6B7D" w:rsidRPr="00051281">
        <w:t xml:space="preserve">This was the first application to the PBAC for tiotropium in </w:t>
      </w:r>
      <w:r w:rsidR="00B623D4" w:rsidRPr="00051281">
        <w:t>this population</w:t>
      </w:r>
      <w:r w:rsidR="00AE6B7D" w:rsidRPr="00051281">
        <w:t>.</w:t>
      </w:r>
      <w:r w:rsidR="00B623D4" w:rsidRPr="00051281">
        <w:t xml:space="preserve"> Tiotropium was recommended for adult patients with severe asthma in </w:t>
      </w:r>
      <w:r w:rsidR="00371C51" w:rsidRPr="00051281">
        <w:t xml:space="preserve">March </w:t>
      </w:r>
      <w:r w:rsidR="00B623D4" w:rsidRPr="00051281">
        <w:t>2016.</w:t>
      </w:r>
    </w:p>
    <w:p w:rsidR="00B623D4" w:rsidRPr="00051281" w:rsidRDefault="00CA3580" w:rsidP="003841D3">
      <w:pPr>
        <w:pStyle w:val="ListParagraph"/>
        <w:widowControl/>
        <w:numPr>
          <w:ilvl w:val="1"/>
          <w:numId w:val="1"/>
        </w:numPr>
        <w:spacing w:after="120"/>
      </w:pPr>
      <w:r w:rsidRPr="00051281">
        <w:t xml:space="preserve">The submission requested listing </w:t>
      </w:r>
      <w:r w:rsidR="009828FE" w:rsidRPr="00051281">
        <w:t xml:space="preserve">based </w:t>
      </w:r>
      <w:r w:rsidRPr="00051281">
        <w:t xml:space="preserve">on </w:t>
      </w:r>
      <w:r w:rsidR="00B623D4" w:rsidRPr="00051281">
        <w:t>a</w:t>
      </w:r>
      <w:r w:rsidR="009828FE" w:rsidRPr="00051281">
        <w:t xml:space="preserve"> cost effectiveness analysis</w:t>
      </w:r>
      <w:r w:rsidR="00C302B4" w:rsidRPr="00051281">
        <w:t>,</w:t>
      </w:r>
      <w:r w:rsidR="009828FE" w:rsidRPr="00051281">
        <w:t xml:space="preserve"> </w:t>
      </w:r>
      <w:r w:rsidR="00C302B4" w:rsidRPr="00051281">
        <w:t xml:space="preserve">presented as a </w:t>
      </w:r>
      <w:r w:rsidR="00B623D4" w:rsidRPr="00051281">
        <w:t>cost per</w:t>
      </w:r>
      <w:r w:rsidR="009828FE" w:rsidRPr="00051281">
        <w:t xml:space="preserve"> symptomatic </w:t>
      </w:r>
      <w:r w:rsidR="00B623D4" w:rsidRPr="00051281">
        <w:t>exacerbation</w:t>
      </w:r>
      <w:r w:rsidR="00C302B4" w:rsidRPr="00051281">
        <w:t xml:space="preserve"> (non-severe and severe)</w:t>
      </w:r>
      <w:r w:rsidR="00B623D4" w:rsidRPr="00051281">
        <w:t xml:space="preserve"> avoided</w:t>
      </w:r>
      <w:r w:rsidRPr="00051281">
        <w:t xml:space="preserve"> compared to placebo. A cost </w:t>
      </w:r>
      <w:r w:rsidR="009828FE" w:rsidRPr="00051281">
        <w:t>utility analysis</w:t>
      </w:r>
      <w:r w:rsidRPr="00051281">
        <w:t xml:space="preserve"> was not provided as the submission claimed that there were inherent difficulties in determining utility values in children.</w:t>
      </w:r>
    </w:p>
    <w:p w:rsidR="008B1757" w:rsidRPr="00051281" w:rsidRDefault="008B1757" w:rsidP="00845A39">
      <w:pPr>
        <w:keepNext/>
        <w:keepLines/>
        <w:rPr>
          <w:rStyle w:val="CommentReference"/>
        </w:rPr>
      </w:pPr>
      <w:r w:rsidRPr="00051281">
        <w:rPr>
          <w:rStyle w:val="CommentReference"/>
        </w:rPr>
        <w:t xml:space="preserve">Table </w:t>
      </w:r>
      <w:r w:rsidR="00121D5B" w:rsidRPr="00051281">
        <w:rPr>
          <w:rStyle w:val="CommentReference"/>
        </w:rPr>
        <w:t xml:space="preserve">1: </w:t>
      </w:r>
      <w:r w:rsidRPr="00051281">
        <w:rPr>
          <w:rStyle w:val="CommentReference"/>
        </w:rPr>
        <w:t>Key components of the clinical issue addressed by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7559"/>
      </w:tblGrid>
      <w:tr w:rsidR="00121D5B" w:rsidRPr="00051281" w:rsidTr="004574B9">
        <w:tc>
          <w:tcPr>
            <w:tcW w:w="911" w:type="pct"/>
            <w:vAlign w:val="center"/>
          </w:tcPr>
          <w:p w:rsidR="00121D5B" w:rsidRPr="00051281" w:rsidRDefault="00121D5B" w:rsidP="00845A39">
            <w:pPr>
              <w:pStyle w:val="Tabletext"/>
              <w:keepNext/>
              <w:keepLines/>
              <w:rPr>
                <w:b/>
              </w:rPr>
            </w:pPr>
            <w:r w:rsidRPr="00051281">
              <w:rPr>
                <w:b/>
              </w:rPr>
              <w:t>Component</w:t>
            </w:r>
          </w:p>
        </w:tc>
        <w:tc>
          <w:tcPr>
            <w:tcW w:w="4089" w:type="pct"/>
            <w:vAlign w:val="center"/>
          </w:tcPr>
          <w:p w:rsidR="00121D5B" w:rsidRPr="00051281" w:rsidRDefault="00121D5B" w:rsidP="00845A39">
            <w:pPr>
              <w:pStyle w:val="Tabletext"/>
              <w:keepNext/>
              <w:keepLines/>
              <w:jc w:val="center"/>
              <w:rPr>
                <w:b/>
              </w:rPr>
            </w:pPr>
            <w:r w:rsidRPr="00051281">
              <w:rPr>
                <w:b/>
              </w:rPr>
              <w:t>Description</w:t>
            </w:r>
          </w:p>
        </w:tc>
      </w:tr>
      <w:tr w:rsidR="00121D5B" w:rsidRPr="00051281" w:rsidTr="004574B9">
        <w:tc>
          <w:tcPr>
            <w:tcW w:w="911" w:type="pct"/>
            <w:vAlign w:val="center"/>
          </w:tcPr>
          <w:p w:rsidR="00121D5B" w:rsidRPr="00051281" w:rsidRDefault="00121D5B" w:rsidP="00845A39">
            <w:pPr>
              <w:pStyle w:val="Tabletext"/>
              <w:keepNext/>
              <w:keepLines/>
            </w:pPr>
            <w:r w:rsidRPr="00051281">
              <w:t>Population</w:t>
            </w:r>
          </w:p>
        </w:tc>
        <w:tc>
          <w:tcPr>
            <w:tcW w:w="4089" w:type="pct"/>
          </w:tcPr>
          <w:p w:rsidR="00121D5B" w:rsidRPr="00051281" w:rsidRDefault="00121D5B" w:rsidP="00845A39">
            <w:pPr>
              <w:pStyle w:val="Tabletext"/>
              <w:keepNext/>
              <w:keepLines/>
            </w:pPr>
            <w:r w:rsidRPr="00051281">
              <w:t>Children aged 6 to 17 years with severe asthma.</w:t>
            </w:r>
          </w:p>
        </w:tc>
      </w:tr>
      <w:tr w:rsidR="00121D5B" w:rsidRPr="00051281" w:rsidTr="004574B9">
        <w:tc>
          <w:tcPr>
            <w:tcW w:w="911" w:type="pct"/>
            <w:vAlign w:val="center"/>
          </w:tcPr>
          <w:p w:rsidR="00121D5B" w:rsidRPr="00051281" w:rsidRDefault="00121D5B" w:rsidP="006C61AA">
            <w:pPr>
              <w:pStyle w:val="Tabletext"/>
              <w:keepNext/>
              <w:keepLines/>
            </w:pPr>
            <w:r w:rsidRPr="00051281">
              <w:t>Intervention</w:t>
            </w:r>
          </w:p>
        </w:tc>
        <w:tc>
          <w:tcPr>
            <w:tcW w:w="4089" w:type="pct"/>
          </w:tcPr>
          <w:p w:rsidR="00121D5B" w:rsidRPr="00051281" w:rsidRDefault="00121D5B" w:rsidP="006C61AA">
            <w:pPr>
              <w:pStyle w:val="Tabletext"/>
              <w:keepNext/>
              <w:keepLines/>
            </w:pPr>
            <w:r w:rsidRPr="00051281">
              <w:t xml:space="preserve">Tiotropium 5 </w:t>
            </w:r>
            <w:proofErr w:type="spellStart"/>
            <w:r w:rsidRPr="00051281">
              <w:t>μg</w:t>
            </w:r>
            <w:proofErr w:type="spellEnd"/>
            <w:r w:rsidRPr="00051281">
              <w:t xml:space="preserve"> (two puffs of 2.5 </w:t>
            </w:r>
            <w:proofErr w:type="spellStart"/>
            <w:r w:rsidRPr="00051281">
              <w:t>μg</w:t>
            </w:r>
            <w:proofErr w:type="spellEnd"/>
            <w:r w:rsidRPr="00051281">
              <w:t xml:space="preserve">) once daily plus optimised asthma therapy. </w:t>
            </w:r>
          </w:p>
        </w:tc>
      </w:tr>
      <w:tr w:rsidR="00121D5B" w:rsidRPr="00051281" w:rsidTr="004574B9">
        <w:tc>
          <w:tcPr>
            <w:tcW w:w="911" w:type="pct"/>
            <w:vAlign w:val="center"/>
          </w:tcPr>
          <w:p w:rsidR="00121D5B" w:rsidRPr="00051281" w:rsidRDefault="00121D5B" w:rsidP="006C61AA">
            <w:pPr>
              <w:pStyle w:val="Tabletext"/>
              <w:keepNext/>
              <w:keepLines/>
            </w:pPr>
            <w:r w:rsidRPr="00051281">
              <w:t>Comparator</w:t>
            </w:r>
          </w:p>
        </w:tc>
        <w:tc>
          <w:tcPr>
            <w:tcW w:w="4089" w:type="pct"/>
          </w:tcPr>
          <w:p w:rsidR="00121D5B" w:rsidRPr="00051281" w:rsidRDefault="00121D5B" w:rsidP="006C61AA">
            <w:pPr>
              <w:pStyle w:val="Tabletext"/>
              <w:keepNext/>
              <w:keepLines/>
            </w:pPr>
            <w:r w:rsidRPr="00051281">
              <w:t>Optimised asthma therapy (defined as adherence to the maintenance combination of ICS (≥ 400 µg budesonide/day or equivalent in children aged &lt; 14 years, and ≥ 800 µg budesonide/day or equivalent in children aged ≥ 14 years, and a LABA), plus placebo (two puffs) daily.</w:t>
            </w:r>
          </w:p>
        </w:tc>
      </w:tr>
      <w:tr w:rsidR="00121D5B" w:rsidRPr="00051281" w:rsidTr="004574B9">
        <w:tc>
          <w:tcPr>
            <w:tcW w:w="911" w:type="pct"/>
            <w:vAlign w:val="center"/>
          </w:tcPr>
          <w:p w:rsidR="00121D5B" w:rsidRPr="00051281" w:rsidRDefault="00121D5B" w:rsidP="006C61AA">
            <w:pPr>
              <w:pStyle w:val="Tabletext"/>
              <w:keepNext/>
              <w:keepLines/>
            </w:pPr>
            <w:r w:rsidRPr="00051281">
              <w:t>Outcomes</w:t>
            </w:r>
          </w:p>
        </w:tc>
        <w:tc>
          <w:tcPr>
            <w:tcW w:w="4089" w:type="pct"/>
          </w:tcPr>
          <w:p w:rsidR="00121D5B" w:rsidRPr="00051281" w:rsidRDefault="00121D5B" w:rsidP="00371C51">
            <w:pPr>
              <w:pStyle w:val="Tabletext"/>
              <w:keepNext/>
              <w:keepLines/>
            </w:pPr>
            <w:r w:rsidRPr="00051281">
              <w:t>Lung function (FEV</w:t>
            </w:r>
            <w:r w:rsidRPr="00051281">
              <w:rPr>
                <w:vertAlign w:val="subscript"/>
              </w:rPr>
              <w:t>1</w:t>
            </w:r>
            <w:r w:rsidR="00371C51" w:rsidRPr="00051281">
              <w:t xml:space="preserve"> peak (</w:t>
            </w:r>
            <w:r w:rsidR="00EF1028" w:rsidRPr="00051281">
              <w:t>0–3</w:t>
            </w:r>
            <w:r w:rsidR="00371C51" w:rsidRPr="00051281">
              <w:t>h) and trough FEV</w:t>
            </w:r>
            <w:r w:rsidR="00371C51" w:rsidRPr="00051281">
              <w:rPr>
                <w:vertAlign w:val="subscript"/>
              </w:rPr>
              <w:t>1</w:t>
            </w:r>
            <w:r w:rsidRPr="00051281">
              <w:t xml:space="preserve">), </w:t>
            </w:r>
            <w:r w:rsidR="00345C9A" w:rsidRPr="00051281">
              <w:t>asthma exacerbations</w:t>
            </w:r>
            <w:r w:rsidR="00910114" w:rsidRPr="00051281">
              <w:t xml:space="preserve"> (post-hoc)</w:t>
            </w:r>
            <w:r w:rsidR="00345C9A" w:rsidRPr="00051281">
              <w:t>,</w:t>
            </w:r>
            <w:r w:rsidRPr="00051281">
              <w:t xml:space="preserve"> adverse events.</w:t>
            </w:r>
          </w:p>
        </w:tc>
      </w:tr>
      <w:tr w:rsidR="00121D5B" w:rsidRPr="00051281" w:rsidTr="004574B9">
        <w:tc>
          <w:tcPr>
            <w:tcW w:w="911" w:type="pct"/>
            <w:vAlign w:val="center"/>
          </w:tcPr>
          <w:p w:rsidR="00121D5B" w:rsidRPr="00051281" w:rsidRDefault="00121D5B" w:rsidP="006C61AA">
            <w:pPr>
              <w:pStyle w:val="Tabletext"/>
              <w:keepNext/>
              <w:keepLines/>
            </w:pPr>
            <w:r w:rsidRPr="00051281">
              <w:t>Clinical claim</w:t>
            </w:r>
          </w:p>
        </w:tc>
        <w:tc>
          <w:tcPr>
            <w:tcW w:w="4089" w:type="pct"/>
          </w:tcPr>
          <w:p w:rsidR="00121D5B" w:rsidRPr="00051281" w:rsidRDefault="00121D5B" w:rsidP="006C61AA">
            <w:pPr>
              <w:pStyle w:val="Tabletext"/>
              <w:keepNext/>
              <w:keepLines/>
            </w:pPr>
            <w:r w:rsidRPr="00051281">
              <w:t>Tiotropium as an add-on to optimised therapy is superior in terms of efficacy and non-inferior in terms of safety compared to optimised asthma therapy alone.</w:t>
            </w:r>
          </w:p>
        </w:tc>
      </w:tr>
    </w:tbl>
    <w:p w:rsidR="00121D5B" w:rsidRPr="00051281" w:rsidRDefault="00121D5B" w:rsidP="006C61AA">
      <w:pPr>
        <w:pStyle w:val="TableFooter"/>
        <w:keepNext/>
        <w:keepLines/>
      </w:pPr>
      <w:r w:rsidRPr="00051281">
        <w:t>Source: Table 1.1, p14 of the submission</w:t>
      </w:r>
    </w:p>
    <w:p w:rsidR="004E43B2" w:rsidRPr="007407CD" w:rsidRDefault="00121D5B" w:rsidP="00093B99">
      <w:pPr>
        <w:pStyle w:val="TableFooter"/>
        <w:keepNext/>
        <w:keepLines/>
        <w:rPr>
          <w:rFonts w:asciiTheme="minorHAnsi" w:hAnsiTheme="minorHAnsi"/>
          <w:sz w:val="24"/>
          <w:szCs w:val="24"/>
        </w:rPr>
      </w:pPr>
      <w:r w:rsidRPr="00051281">
        <w:rPr>
          <w:szCs w:val="18"/>
        </w:rPr>
        <w:t>FEV</w:t>
      </w:r>
      <w:r w:rsidRPr="00051281">
        <w:rPr>
          <w:szCs w:val="18"/>
          <w:vertAlign w:val="subscript"/>
        </w:rPr>
        <w:t>1</w:t>
      </w:r>
      <w:r w:rsidRPr="00051281">
        <w:rPr>
          <w:szCs w:val="18"/>
        </w:rPr>
        <w:t xml:space="preserve"> = forced expiratory volume in one second; ICS = inhaled corticosteroid; LABA = </w:t>
      </w:r>
      <w:r w:rsidRPr="00051281">
        <w:rPr>
          <w:noProof/>
          <w:szCs w:val="18"/>
        </w:rPr>
        <w:t>long</w:t>
      </w:r>
      <w:r w:rsidR="00CA3580" w:rsidRPr="00051281">
        <w:rPr>
          <w:noProof/>
          <w:szCs w:val="18"/>
        </w:rPr>
        <w:t>-</w:t>
      </w:r>
      <w:r w:rsidRPr="00051281">
        <w:rPr>
          <w:noProof/>
          <w:szCs w:val="18"/>
        </w:rPr>
        <w:t>acting</w:t>
      </w:r>
      <w:r w:rsidRPr="00051281">
        <w:rPr>
          <w:szCs w:val="18"/>
        </w:rPr>
        <w:t xml:space="preserve"> beta</w:t>
      </w:r>
      <w:r w:rsidRPr="00051281">
        <w:rPr>
          <w:szCs w:val="18"/>
          <w:vertAlign w:val="subscript"/>
        </w:rPr>
        <w:t xml:space="preserve">2 </w:t>
      </w:r>
      <w:r w:rsidRPr="00051281">
        <w:rPr>
          <w:szCs w:val="18"/>
        </w:rPr>
        <w:t>agonist</w:t>
      </w:r>
    </w:p>
    <w:p w:rsidR="00617E12" w:rsidRDefault="00B50DB8" w:rsidP="007407CD">
      <w:pPr>
        <w:pStyle w:val="PBACHeading1"/>
        <w:numPr>
          <w:ilvl w:val="0"/>
          <w:numId w:val="1"/>
        </w:numPr>
        <w:spacing w:before="240" w:after="120"/>
        <w:outlineLvl w:val="0"/>
      </w:pPr>
      <w:bookmarkStart w:id="1" w:name="_Toc503966227"/>
      <w:r w:rsidRPr="00051281">
        <w:t>Requested listing</w:t>
      </w:r>
      <w:bookmarkEnd w:id="1"/>
    </w:p>
    <w:tbl>
      <w:tblPr>
        <w:tblW w:w="4977" w:type="pct"/>
        <w:tblInd w:w="28" w:type="dxa"/>
        <w:tblLayout w:type="fixed"/>
        <w:tblCellMar>
          <w:left w:w="28" w:type="dxa"/>
          <w:right w:w="28" w:type="dxa"/>
        </w:tblCellMar>
        <w:tblLook w:val="0000" w:firstRow="0" w:lastRow="0" w:firstColumn="0" w:lastColumn="0" w:noHBand="0" w:noVBand="0"/>
      </w:tblPr>
      <w:tblGrid>
        <w:gridCol w:w="1543"/>
        <w:gridCol w:w="2139"/>
        <w:gridCol w:w="996"/>
        <w:gridCol w:w="857"/>
        <w:gridCol w:w="1427"/>
        <w:gridCol w:w="996"/>
        <w:gridCol w:w="1083"/>
      </w:tblGrid>
      <w:tr w:rsidR="003517F9" w:rsidRPr="00051281" w:rsidTr="005714E4">
        <w:trPr>
          <w:cantSplit/>
          <w:trHeight w:val="463"/>
        </w:trPr>
        <w:tc>
          <w:tcPr>
            <w:tcW w:w="2036" w:type="pct"/>
            <w:gridSpan w:val="2"/>
            <w:tcBorders>
              <w:top w:val="single" w:sz="4" w:space="0" w:color="auto"/>
              <w:bottom w:val="single" w:sz="4" w:space="0" w:color="auto"/>
            </w:tcBorders>
            <w:vAlign w:val="center"/>
          </w:tcPr>
          <w:p w:rsidR="00617E12" w:rsidRPr="00051281" w:rsidRDefault="00617E12" w:rsidP="007407CD">
            <w:pPr>
              <w:jc w:val="left"/>
              <w:rPr>
                <w:rFonts w:ascii="Arial Narrow" w:hAnsi="Arial Narrow"/>
                <w:b/>
                <w:sz w:val="20"/>
              </w:rPr>
            </w:pPr>
            <w:r w:rsidRPr="00051281">
              <w:rPr>
                <w:rFonts w:ascii="Arial Narrow" w:hAnsi="Arial Narrow"/>
                <w:b/>
                <w:sz w:val="20"/>
              </w:rPr>
              <w:t xml:space="preserve">Name, </w:t>
            </w:r>
            <w:r w:rsidR="00CA3580" w:rsidRPr="00051281">
              <w:rPr>
                <w:rFonts w:ascii="Arial Narrow" w:hAnsi="Arial Narrow"/>
                <w:b/>
                <w:sz w:val="20"/>
              </w:rPr>
              <w:t>r</w:t>
            </w:r>
            <w:r w:rsidRPr="00051281">
              <w:rPr>
                <w:rFonts w:ascii="Arial Narrow" w:hAnsi="Arial Narrow"/>
                <w:b/>
                <w:sz w:val="20"/>
              </w:rPr>
              <w:t>estriction,</w:t>
            </w:r>
            <w:r w:rsidR="00492F42" w:rsidRPr="00051281">
              <w:rPr>
                <w:rFonts w:ascii="Arial Narrow" w:hAnsi="Arial Narrow"/>
                <w:b/>
                <w:sz w:val="20"/>
              </w:rPr>
              <w:t xml:space="preserve"> m</w:t>
            </w:r>
            <w:r w:rsidRPr="00051281">
              <w:rPr>
                <w:rFonts w:ascii="Arial Narrow" w:hAnsi="Arial Narrow"/>
                <w:b/>
                <w:sz w:val="20"/>
              </w:rPr>
              <w:t>anner of administration and form</w:t>
            </w:r>
          </w:p>
        </w:tc>
        <w:tc>
          <w:tcPr>
            <w:tcW w:w="551" w:type="pct"/>
            <w:tcBorders>
              <w:top w:val="single" w:sz="4" w:space="0" w:color="auto"/>
              <w:bottom w:val="single" w:sz="4" w:space="0" w:color="auto"/>
            </w:tcBorders>
            <w:vAlign w:val="center"/>
          </w:tcPr>
          <w:p w:rsidR="00617E12" w:rsidRPr="00051281" w:rsidRDefault="00492F42" w:rsidP="007407CD">
            <w:pPr>
              <w:jc w:val="center"/>
              <w:rPr>
                <w:rFonts w:ascii="Arial Narrow" w:hAnsi="Arial Narrow"/>
                <w:b/>
                <w:sz w:val="20"/>
              </w:rPr>
            </w:pPr>
            <w:r w:rsidRPr="00051281">
              <w:rPr>
                <w:rFonts w:ascii="Arial Narrow" w:hAnsi="Arial Narrow"/>
                <w:b/>
                <w:sz w:val="20"/>
              </w:rPr>
              <w:t>Maximum quantity (packs)</w:t>
            </w:r>
          </w:p>
        </w:tc>
        <w:tc>
          <w:tcPr>
            <w:tcW w:w="474" w:type="pct"/>
            <w:tcBorders>
              <w:top w:val="single" w:sz="4" w:space="0" w:color="auto"/>
              <w:bottom w:val="single" w:sz="4" w:space="0" w:color="auto"/>
            </w:tcBorders>
            <w:vAlign w:val="center"/>
          </w:tcPr>
          <w:p w:rsidR="00617E12" w:rsidRPr="00051281" w:rsidRDefault="00CA3580" w:rsidP="007407CD">
            <w:pPr>
              <w:jc w:val="center"/>
              <w:rPr>
                <w:rFonts w:ascii="Arial Narrow" w:hAnsi="Arial Narrow"/>
                <w:b/>
                <w:sz w:val="20"/>
              </w:rPr>
            </w:pPr>
            <w:r w:rsidRPr="00051281">
              <w:rPr>
                <w:rFonts w:ascii="Arial Narrow" w:hAnsi="Arial Narrow" w:cs="Times New Roman"/>
                <w:b/>
                <w:sz w:val="20"/>
              </w:rPr>
              <w:t xml:space="preserve">No. </w:t>
            </w:r>
            <w:r w:rsidR="00617E12" w:rsidRPr="00051281">
              <w:rPr>
                <w:rFonts w:ascii="Arial Narrow" w:hAnsi="Arial Narrow"/>
                <w:b/>
                <w:sz w:val="20"/>
              </w:rPr>
              <w:t>of</w:t>
            </w:r>
          </w:p>
          <w:p w:rsidR="00617E12" w:rsidRPr="00051281" w:rsidRDefault="00617E12" w:rsidP="007407CD">
            <w:pPr>
              <w:jc w:val="center"/>
              <w:rPr>
                <w:rFonts w:ascii="Arial Narrow" w:hAnsi="Arial Narrow"/>
                <w:b/>
                <w:sz w:val="20"/>
              </w:rPr>
            </w:pPr>
            <w:r w:rsidRPr="00051281">
              <w:rPr>
                <w:rFonts w:ascii="Arial Narrow" w:hAnsi="Arial Narrow"/>
                <w:b/>
                <w:sz w:val="20"/>
              </w:rPr>
              <w:t>R</w:t>
            </w:r>
            <w:r w:rsidR="00C302B4" w:rsidRPr="00051281">
              <w:rPr>
                <w:rFonts w:ascii="Arial Narrow" w:hAnsi="Arial Narrow"/>
                <w:b/>
                <w:sz w:val="20"/>
              </w:rPr>
              <w:t>e</w:t>
            </w:r>
            <w:r w:rsidRPr="00051281">
              <w:rPr>
                <w:rFonts w:ascii="Arial Narrow" w:hAnsi="Arial Narrow"/>
                <w:b/>
                <w:sz w:val="20"/>
              </w:rPr>
              <w:t>p</w:t>
            </w:r>
            <w:r w:rsidR="00C302B4" w:rsidRPr="00051281">
              <w:rPr>
                <w:rFonts w:ascii="Arial Narrow" w:hAnsi="Arial Narrow"/>
                <w:b/>
                <w:sz w:val="20"/>
              </w:rPr>
              <w:t>ea</w:t>
            </w:r>
            <w:r w:rsidRPr="00051281">
              <w:rPr>
                <w:rFonts w:ascii="Arial Narrow" w:hAnsi="Arial Narrow"/>
                <w:b/>
                <w:sz w:val="20"/>
              </w:rPr>
              <w:t>ts</w:t>
            </w:r>
          </w:p>
        </w:tc>
        <w:tc>
          <w:tcPr>
            <w:tcW w:w="789" w:type="pct"/>
            <w:tcBorders>
              <w:top w:val="single" w:sz="4" w:space="0" w:color="auto"/>
              <w:bottom w:val="single" w:sz="4" w:space="0" w:color="auto"/>
            </w:tcBorders>
            <w:vAlign w:val="center"/>
          </w:tcPr>
          <w:p w:rsidR="00617E12" w:rsidRPr="00051281" w:rsidRDefault="00492F42" w:rsidP="007407CD">
            <w:pPr>
              <w:jc w:val="left"/>
              <w:rPr>
                <w:rFonts w:ascii="Arial Narrow" w:hAnsi="Arial Narrow"/>
                <w:b/>
                <w:sz w:val="20"/>
              </w:rPr>
            </w:pPr>
            <w:r w:rsidRPr="00051281">
              <w:rPr>
                <w:rFonts w:ascii="Arial Narrow" w:hAnsi="Arial Narrow"/>
                <w:b/>
                <w:sz w:val="20"/>
              </w:rPr>
              <w:t xml:space="preserve">Dispensed price for maximum quantity </w:t>
            </w:r>
            <w:r w:rsidRPr="00051281">
              <w:rPr>
                <w:rFonts w:ascii="Arial Narrow" w:hAnsi="Arial Narrow"/>
                <w:b/>
                <w:sz w:val="20"/>
                <w:vertAlign w:val="superscript"/>
              </w:rPr>
              <w:t>a</w:t>
            </w:r>
          </w:p>
        </w:tc>
        <w:tc>
          <w:tcPr>
            <w:tcW w:w="1150" w:type="pct"/>
            <w:gridSpan w:val="2"/>
            <w:tcBorders>
              <w:top w:val="single" w:sz="4" w:space="0" w:color="auto"/>
              <w:bottom w:val="single" w:sz="4" w:space="0" w:color="auto"/>
            </w:tcBorders>
            <w:vAlign w:val="center"/>
          </w:tcPr>
          <w:p w:rsidR="00617E12" w:rsidRPr="00051281" w:rsidRDefault="00617E12" w:rsidP="007407CD">
            <w:pPr>
              <w:jc w:val="center"/>
              <w:rPr>
                <w:rFonts w:ascii="Arial Narrow" w:hAnsi="Arial Narrow"/>
                <w:b/>
                <w:sz w:val="20"/>
                <w:lang w:val="fr-FR"/>
              </w:rPr>
            </w:pPr>
            <w:r w:rsidRPr="00051281">
              <w:rPr>
                <w:rFonts w:ascii="Arial Narrow" w:hAnsi="Arial Narrow"/>
                <w:b/>
                <w:sz w:val="20"/>
              </w:rPr>
              <w:t xml:space="preserve">Proprietary Name and </w:t>
            </w:r>
            <w:r w:rsidR="00CA3580" w:rsidRPr="00051281">
              <w:rPr>
                <w:rFonts w:ascii="Arial Narrow" w:hAnsi="Arial Narrow"/>
                <w:b/>
                <w:sz w:val="20"/>
              </w:rPr>
              <w:t>m</w:t>
            </w:r>
            <w:r w:rsidRPr="00051281">
              <w:rPr>
                <w:rFonts w:ascii="Arial Narrow" w:hAnsi="Arial Narrow"/>
                <w:b/>
                <w:sz w:val="20"/>
              </w:rPr>
              <w:t>anufacturer</w:t>
            </w:r>
          </w:p>
        </w:tc>
      </w:tr>
      <w:tr w:rsidR="003517F9" w:rsidRPr="00051281" w:rsidTr="005714E4">
        <w:trPr>
          <w:cantSplit/>
          <w:trHeight w:val="567"/>
        </w:trPr>
        <w:tc>
          <w:tcPr>
            <w:tcW w:w="2036" w:type="pct"/>
            <w:gridSpan w:val="2"/>
            <w:vAlign w:val="center"/>
          </w:tcPr>
          <w:p w:rsidR="00492F42" w:rsidRPr="00051281" w:rsidRDefault="00CA3580" w:rsidP="007407CD">
            <w:pPr>
              <w:pStyle w:val="Tabletext"/>
            </w:pPr>
            <w:r w:rsidRPr="00051281">
              <w:t>T</w:t>
            </w:r>
            <w:r w:rsidRPr="00051281">
              <w:rPr>
                <w:sz w:val="18"/>
              </w:rPr>
              <w:t>IOTROPIUM</w:t>
            </w:r>
            <w:r w:rsidR="00492F42" w:rsidRPr="00051281">
              <w:t>, Authority Required (Streamlined)</w:t>
            </w:r>
          </w:p>
          <w:p w:rsidR="00617E12" w:rsidRPr="00051281" w:rsidRDefault="00492F42" w:rsidP="007407CD">
            <w:pPr>
              <w:pStyle w:val="Tabletext"/>
            </w:pPr>
            <w:r w:rsidRPr="00051281">
              <w:t>Solution for oral inhalation, 2.5 µg, 60 actuations</w:t>
            </w:r>
          </w:p>
        </w:tc>
        <w:tc>
          <w:tcPr>
            <w:tcW w:w="551" w:type="pct"/>
            <w:vAlign w:val="center"/>
          </w:tcPr>
          <w:p w:rsidR="00617E12" w:rsidRPr="00051281" w:rsidRDefault="00617E12" w:rsidP="007407CD">
            <w:pPr>
              <w:jc w:val="center"/>
              <w:rPr>
                <w:rFonts w:ascii="Arial Narrow" w:hAnsi="Arial Narrow"/>
                <w:sz w:val="20"/>
              </w:rPr>
            </w:pPr>
          </w:p>
          <w:p w:rsidR="00617E12" w:rsidRPr="00051281" w:rsidRDefault="00492F42" w:rsidP="007407CD">
            <w:pPr>
              <w:jc w:val="center"/>
              <w:rPr>
                <w:rFonts w:ascii="Arial Narrow" w:hAnsi="Arial Narrow"/>
                <w:sz w:val="20"/>
              </w:rPr>
            </w:pPr>
            <w:r w:rsidRPr="00051281">
              <w:rPr>
                <w:rFonts w:ascii="Arial Narrow" w:hAnsi="Arial Narrow"/>
                <w:sz w:val="20"/>
              </w:rPr>
              <w:t>1</w:t>
            </w:r>
          </w:p>
        </w:tc>
        <w:tc>
          <w:tcPr>
            <w:tcW w:w="474" w:type="pct"/>
            <w:vAlign w:val="center"/>
          </w:tcPr>
          <w:p w:rsidR="00617E12" w:rsidRPr="00051281" w:rsidRDefault="00617E12" w:rsidP="007407CD">
            <w:pPr>
              <w:jc w:val="center"/>
              <w:rPr>
                <w:rFonts w:ascii="Arial Narrow" w:hAnsi="Arial Narrow"/>
                <w:sz w:val="20"/>
              </w:rPr>
            </w:pPr>
          </w:p>
          <w:p w:rsidR="00617E12" w:rsidRPr="00051281" w:rsidRDefault="00492F42" w:rsidP="007407CD">
            <w:pPr>
              <w:jc w:val="center"/>
              <w:rPr>
                <w:rFonts w:ascii="Arial Narrow" w:hAnsi="Arial Narrow"/>
                <w:sz w:val="20"/>
              </w:rPr>
            </w:pPr>
            <w:r w:rsidRPr="00051281">
              <w:rPr>
                <w:rFonts w:ascii="Arial Narrow" w:hAnsi="Arial Narrow"/>
                <w:sz w:val="20"/>
              </w:rPr>
              <w:t>5</w:t>
            </w:r>
          </w:p>
        </w:tc>
        <w:tc>
          <w:tcPr>
            <w:tcW w:w="789" w:type="pct"/>
            <w:vAlign w:val="center"/>
          </w:tcPr>
          <w:p w:rsidR="00617E12" w:rsidRPr="00051281" w:rsidRDefault="00617E12" w:rsidP="007407CD">
            <w:pPr>
              <w:jc w:val="left"/>
              <w:rPr>
                <w:rFonts w:ascii="Arial Narrow" w:hAnsi="Arial Narrow"/>
                <w:sz w:val="20"/>
              </w:rPr>
            </w:pPr>
          </w:p>
          <w:p w:rsidR="00617E12" w:rsidRPr="00051281" w:rsidRDefault="00492F42" w:rsidP="007407CD">
            <w:pPr>
              <w:jc w:val="left"/>
              <w:rPr>
                <w:rFonts w:ascii="Arial Narrow" w:hAnsi="Arial Narrow"/>
                <w:sz w:val="20"/>
              </w:rPr>
            </w:pPr>
            <w:r w:rsidRPr="00051281">
              <w:rPr>
                <w:rFonts w:ascii="Arial Narrow" w:hAnsi="Arial Narrow"/>
                <w:sz w:val="20"/>
              </w:rPr>
              <w:t>$59.42</w:t>
            </w:r>
          </w:p>
        </w:tc>
        <w:tc>
          <w:tcPr>
            <w:tcW w:w="551" w:type="pct"/>
            <w:vAlign w:val="center"/>
          </w:tcPr>
          <w:p w:rsidR="00617E12" w:rsidRPr="00051281" w:rsidRDefault="00492F42" w:rsidP="007407CD">
            <w:pPr>
              <w:jc w:val="center"/>
              <w:rPr>
                <w:rFonts w:ascii="Arial Narrow" w:hAnsi="Arial Narrow"/>
                <w:sz w:val="20"/>
              </w:rPr>
            </w:pPr>
            <w:r w:rsidRPr="00051281">
              <w:rPr>
                <w:rFonts w:ascii="Arial Narrow" w:hAnsi="Arial Narrow"/>
                <w:sz w:val="20"/>
              </w:rPr>
              <w:t xml:space="preserve">Spiriva® </w:t>
            </w:r>
            <w:proofErr w:type="spellStart"/>
            <w:r w:rsidRPr="00051281">
              <w:rPr>
                <w:rFonts w:ascii="Arial Narrow" w:hAnsi="Arial Narrow"/>
                <w:sz w:val="20"/>
              </w:rPr>
              <w:t>Respimat</w:t>
            </w:r>
            <w:proofErr w:type="spellEnd"/>
            <w:r w:rsidRPr="00051281">
              <w:rPr>
                <w:rFonts w:ascii="Arial Narrow" w:hAnsi="Arial Narrow"/>
                <w:sz w:val="20"/>
              </w:rPr>
              <w:t>®</w:t>
            </w:r>
          </w:p>
        </w:tc>
        <w:tc>
          <w:tcPr>
            <w:tcW w:w="599" w:type="pct"/>
            <w:vAlign w:val="center"/>
          </w:tcPr>
          <w:p w:rsidR="00591957" w:rsidRPr="00051281" w:rsidRDefault="00492F42" w:rsidP="007407CD">
            <w:pPr>
              <w:jc w:val="center"/>
              <w:rPr>
                <w:rFonts w:ascii="Arial Narrow" w:hAnsi="Arial Narrow"/>
                <w:sz w:val="20"/>
              </w:rPr>
            </w:pPr>
            <w:proofErr w:type="spellStart"/>
            <w:r w:rsidRPr="00051281">
              <w:rPr>
                <w:rFonts w:ascii="Arial Narrow" w:hAnsi="Arial Narrow"/>
                <w:sz w:val="20"/>
              </w:rPr>
              <w:t>Boehringer</w:t>
            </w:r>
            <w:proofErr w:type="spellEnd"/>
            <w:r w:rsidRPr="00051281">
              <w:rPr>
                <w:rFonts w:ascii="Arial Narrow" w:hAnsi="Arial Narrow"/>
                <w:sz w:val="20"/>
              </w:rPr>
              <w:t xml:space="preserve"> </w:t>
            </w:r>
            <w:proofErr w:type="spellStart"/>
            <w:r w:rsidRPr="00051281">
              <w:rPr>
                <w:rFonts w:ascii="Arial Narrow" w:hAnsi="Arial Narrow"/>
                <w:sz w:val="20"/>
              </w:rPr>
              <w:t>Ingelheim</w:t>
            </w:r>
            <w:proofErr w:type="spellEnd"/>
          </w:p>
        </w:tc>
      </w:tr>
      <w:tr w:rsidR="00542C2D" w:rsidRPr="00051281" w:rsidTr="005714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0"/>
        </w:trPr>
        <w:tc>
          <w:tcPr>
            <w:tcW w:w="853" w:type="pct"/>
            <w:tcBorders>
              <w:top w:val="single" w:sz="4" w:space="0" w:color="auto"/>
              <w:left w:val="single" w:sz="4" w:space="0" w:color="auto"/>
              <w:bottom w:val="single" w:sz="4" w:space="0" w:color="auto"/>
              <w:right w:val="single" w:sz="4" w:space="0" w:color="auto"/>
            </w:tcBorders>
            <w:hideMark/>
          </w:tcPr>
          <w:p w:rsidR="00542C2D" w:rsidRPr="00051281" w:rsidRDefault="00591957" w:rsidP="007407CD">
            <w:pPr>
              <w:pStyle w:val="Tabletext"/>
              <w:keepNext/>
              <w:rPr>
                <w:lang w:eastAsia="en-AU"/>
              </w:rPr>
            </w:pPr>
            <w:r w:rsidRPr="00051281">
              <w:rPr>
                <w:lang w:eastAsia="en-AU"/>
              </w:rPr>
              <w:lastRenderedPageBreak/>
              <w:t>Category/Program:</w:t>
            </w:r>
          </w:p>
        </w:tc>
        <w:tc>
          <w:tcPr>
            <w:tcW w:w="4147" w:type="pct"/>
            <w:gridSpan w:val="6"/>
            <w:tcBorders>
              <w:top w:val="single" w:sz="4" w:space="0" w:color="auto"/>
              <w:left w:val="single" w:sz="4" w:space="0" w:color="auto"/>
              <w:bottom w:val="single" w:sz="4" w:space="0" w:color="auto"/>
              <w:right w:val="single" w:sz="4" w:space="0" w:color="auto"/>
            </w:tcBorders>
          </w:tcPr>
          <w:p w:rsidR="00542C2D" w:rsidRPr="00051281" w:rsidRDefault="00373DB4" w:rsidP="007407CD">
            <w:pPr>
              <w:pStyle w:val="Tabletext"/>
              <w:keepNext/>
              <w:rPr>
                <w:lang w:eastAsia="en-AU"/>
              </w:rPr>
            </w:pPr>
            <w:r w:rsidRPr="00051281">
              <w:rPr>
                <w:lang w:eastAsia="en-AU"/>
              </w:rPr>
              <w:t>General Schedule</w:t>
            </w:r>
          </w:p>
        </w:tc>
      </w:tr>
      <w:tr w:rsidR="00542C2D" w:rsidRPr="00051281" w:rsidTr="005714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0"/>
        </w:trPr>
        <w:tc>
          <w:tcPr>
            <w:tcW w:w="853" w:type="pct"/>
            <w:tcBorders>
              <w:top w:val="single" w:sz="4" w:space="0" w:color="auto"/>
              <w:left w:val="single" w:sz="4" w:space="0" w:color="auto"/>
              <w:bottom w:val="single" w:sz="4" w:space="0" w:color="auto"/>
              <w:right w:val="single" w:sz="4" w:space="0" w:color="auto"/>
            </w:tcBorders>
            <w:hideMark/>
          </w:tcPr>
          <w:p w:rsidR="00542C2D" w:rsidRPr="00051281" w:rsidRDefault="00591957" w:rsidP="007407CD">
            <w:pPr>
              <w:pStyle w:val="Tabletext"/>
              <w:keepNext/>
              <w:rPr>
                <w:lang w:eastAsia="en-AU"/>
              </w:rPr>
            </w:pPr>
            <w:r w:rsidRPr="00051281">
              <w:rPr>
                <w:lang w:eastAsia="en-AU"/>
              </w:rPr>
              <w:t>PBS indication:</w:t>
            </w:r>
          </w:p>
        </w:tc>
        <w:tc>
          <w:tcPr>
            <w:tcW w:w="4147" w:type="pct"/>
            <w:gridSpan w:val="6"/>
            <w:tcBorders>
              <w:top w:val="single" w:sz="4" w:space="0" w:color="auto"/>
              <w:left w:val="single" w:sz="4" w:space="0" w:color="auto"/>
              <w:bottom w:val="single" w:sz="4" w:space="0" w:color="auto"/>
              <w:right w:val="single" w:sz="4" w:space="0" w:color="auto"/>
            </w:tcBorders>
          </w:tcPr>
          <w:p w:rsidR="00542C2D" w:rsidRPr="00051281" w:rsidRDefault="00492F42" w:rsidP="007407CD">
            <w:pPr>
              <w:pStyle w:val="Tabletext"/>
              <w:keepNext/>
              <w:rPr>
                <w:lang w:eastAsia="en-AU"/>
              </w:rPr>
            </w:pPr>
            <w:r w:rsidRPr="00051281">
              <w:rPr>
                <w:szCs w:val="24"/>
                <w:lang w:eastAsia="en-AU"/>
              </w:rPr>
              <w:t>Severe asthma</w:t>
            </w:r>
          </w:p>
        </w:tc>
      </w:tr>
      <w:tr w:rsidR="00542C2D" w:rsidRPr="00051281" w:rsidTr="005714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0"/>
        </w:trPr>
        <w:tc>
          <w:tcPr>
            <w:tcW w:w="853" w:type="pct"/>
            <w:tcBorders>
              <w:top w:val="single" w:sz="4" w:space="0" w:color="auto"/>
              <w:left w:val="single" w:sz="4" w:space="0" w:color="auto"/>
              <w:bottom w:val="single" w:sz="4" w:space="0" w:color="auto"/>
              <w:right w:val="single" w:sz="4" w:space="0" w:color="auto"/>
            </w:tcBorders>
            <w:hideMark/>
          </w:tcPr>
          <w:p w:rsidR="00542C2D" w:rsidRPr="00051281" w:rsidRDefault="00542C2D" w:rsidP="007407CD">
            <w:pPr>
              <w:pStyle w:val="Tabletext"/>
              <w:keepNext/>
              <w:rPr>
                <w:lang w:eastAsia="en-AU"/>
              </w:rPr>
            </w:pPr>
            <w:r w:rsidRPr="00051281">
              <w:rPr>
                <w:lang w:eastAsia="en-AU"/>
              </w:rPr>
              <w:t>Restriction</w:t>
            </w:r>
            <w:r w:rsidR="00591957" w:rsidRPr="00051281">
              <w:rPr>
                <w:lang w:eastAsia="en-AU"/>
              </w:rPr>
              <w:t>:</w:t>
            </w:r>
          </w:p>
        </w:tc>
        <w:tc>
          <w:tcPr>
            <w:tcW w:w="4147" w:type="pct"/>
            <w:gridSpan w:val="6"/>
            <w:tcBorders>
              <w:top w:val="single" w:sz="4" w:space="0" w:color="auto"/>
              <w:left w:val="single" w:sz="4" w:space="0" w:color="auto"/>
              <w:bottom w:val="single" w:sz="4" w:space="0" w:color="auto"/>
              <w:right w:val="single" w:sz="4" w:space="0" w:color="auto"/>
            </w:tcBorders>
          </w:tcPr>
          <w:p w:rsidR="00542C2D" w:rsidRPr="00051281" w:rsidRDefault="00492F42" w:rsidP="007407CD">
            <w:pPr>
              <w:pStyle w:val="Tabletext"/>
              <w:keepNext/>
              <w:rPr>
                <w:lang w:eastAsia="en-AU"/>
              </w:rPr>
            </w:pPr>
            <w:r w:rsidRPr="00051281">
              <w:fldChar w:fldCharType="begin">
                <w:ffData>
                  <w:name w:val="Check5"/>
                  <w:enabled/>
                  <w:calcOnExit w:val="0"/>
                  <w:checkBox>
                    <w:sizeAuto/>
                    <w:default w:val="1"/>
                  </w:checkBox>
                </w:ffData>
              </w:fldChar>
            </w:r>
            <w:r w:rsidRPr="00051281">
              <w:instrText xml:space="preserve"> FORMCHECKBOX </w:instrText>
            </w:r>
            <w:r w:rsidR="00C64058">
              <w:fldChar w:fldCharType="separate"/>
            </w:r>
            <w:r w:rsidRPr="00051281">
              <w:fldChar w:fldCharType="end"/>
            </w:r>
            <w:r w:rsidRPr="00051281">
              <w:t>Streamlined</w:t>
            </w:r>
          </w:p>
        </w:tc>
      </w:tr>
      <w:tr w:rsidR="00441548" w:rsidRPr="00051281" w:rsidTr="005714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0"/>
        </w:trPr>
        <w:tc>
          <w:tcPr>
            <w:tcW w:w="853" w:type="pct"/>
            <w:tcBorders>
              <w:top w:val="single" w:sz="4" w:space="0" w:color="auto"/>
              <w:left w:val="single" w:sz="4" w:space="0" w:color="auto"/>
              <w:bottom w:val="single" w:sz="4" w:space="0" w:color="auto"/>
              <w:right w:val="single" w:sz="4" w:space="0" w:color="auto"/>
            </w:tcBorders>
          </w:tcPr>
          <w:p w:rsidR="00441548" w:rsidRPr="00441548" w:rsidRDefault="00441548" w:rsidP="007407CD">
            <w:pPr>
              <w:pStyle w:val="Tabletext"/>
              <w:keepNext/>
              <w:rPr>
                <w:i/>
                <w:lang w:eastAsia="en-AU"/>
              </w:rPr>
            </w:pPr>
            <w:r>
              <w:rPr>
                <w:i/>
                <w:lang w:eastAsia="en-AU"/>
              </w:rPr>
              <w:t>Treatment criteria:</w:t>
            </w:r>
          </w:p>
        </w:tc>
        <w:tc>
          <w:tcPr>
            <w:tcW w:w="4147" w:type="pct"/>
            <w:gridSpan w:val="6"/>
            <w:tcBorders>
              <w:top w:val="single" w:sz="4" w:space="0" w:color="auto"/>
              <w:left w:val="single" w:sz="4" w:space="0" w:color="auto"/>
              <w:bottom w:val="single" w:sz="4" w:space="0" w:color="auto"/>
              <w:right w:val="single" w:sz="4" w:space="0" w:color="auto"/>
            </w:tcBorders>
          </w:tcPr>
          <w:p w:rsidR="00441548" w:rsidRPr="00441548" w:rsidRDefault="00441548" w:rsidP="007407CD">
            <w:pPr>
              <w:pStyle w:val="Tabletext"/>
              <w:keepNext/>
              <w:rPr>
                <w:i/>
              </w:rPr>
            </w:pPr>
            <w:r>
              <w:rPr>
                <w:i/>
              </w:rPr>
              <w:t>Must be treated in consultation with a paediatrician or a respiratory physician or a general physician experienced in the management of patients with severe asthma.</w:t>
            </w:r>
          </w:p>
        </w:tc>
      </w:tr>
      <w:tr w:rsidR="00373DB4" w:rsidRPr="00051281" w:rsidTr="005714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0"/>
        </w:trPr>
        <w:tc>
          <w:tcPr>
            <w:tcW w:w="853" w:type="pct"/>
            <w:tcBorders>
              <w:top w:val="single" w:sz="4" w:space="0" w:color="auto"/>
              <w:left w:val="single" w:sz="4" w:space="0" w:color="auto"/>
              <w:bottom w:val="single" w:sz="4" w:space="0" w:color="auto"/>
              <w:right w:val="single" w:sz="4" w:space="0" w:color="auto"/>
            </w:tcBorders>
            <w:hideMark/>
          </w:tcPr>
          <w:p w:rsidR="00373DB4" w:rsidRPr="00051281" w:rsidRDefault="00373DB4" w:rsidP="00373DB4">
            <w:pPr>
              <w:pStyle w:val="Tabletext"/>
              <w:rPr>
                <w:lang w:eastAsia="en-AU"/>
              </w:rPr>
            </w:pPr>
            <w:r w:rsidRPr="00051281">
              <w:rPr>
                <w:lang w:eastAsia="en-AU"/>
              </w:rPr>
              <w:t>Clinical criteria:</w:t>
            </w:r>
          </w:p>
        </w:tc>
        <w:tc>
          <w:tcPr>
            <w:tcW w:w="4147" w:type="pct"/>
            <w:gridSpan w:val="6"/>
            <w:tcBorders>
              <w:top w:val="single" w:sz="4" w:space="0" w:color="auto"/>
              <w:left w:val="single" w:sz="4" w:space="0" w:color="auto"/>
              <w:bottom w:val="single" w:sz="4" w:space="0" w:color="auto"/>
              <w:right w:val="single" w:sz="4" w:space="0" w:color="auto"/>
            </w:tcBorders>
          </w:tcPr>
          <w:p w:rsidR="00373DB4" w:rsidRPr="00051281" w:rsidRDefault="00373DB4" w:rsidP="00373DB4">
            <w:pPr>
              <w:rPr>
                <w:rFonts w:ascii="Arial Narrow" w:hAnsi="Arial Narrow"/>
                <w:sz w:val="20"/>
                <w:szCs w:val="20"/>
                <w:lang w:eastAsia="en-AU"/>
              </w:rPr>
            </w:pPr>
            <w:r w:rsidRPr="00051281">
              <w:rPr>
                <w:rFonts w:ascii="Arial Narrow" w:hAnsi="Arial Narrow"/>
                <w:sz w:val="20"/>
                <w:szCs w:val="20"/>
                <w:lang w:eastAsia="en-AU"/>
              </w:rPr>
              <w:t>Patient must have failed to achieve adequate control due to frequent episodes of asthma while receiving optimised asthma therapy, despite formal assessment of and adherence to correct inhaler technique, which has been documented</w:t>
            </w:r>
          </w:p>
          <w:p w:rsidR="00373DB4" w:rsidRPr="00051281" w:rsidRDefault="00373DB4" w:rsidP="00373DB4">
            <w:pPr>
              <w:rPr>
                <w:rFonts w:ascii="Arial Narrow" w:hAnsi="Arial Narrow"/>
                <w:sz w:val="20"/>
                <w:szCs w:val="20"/>
                <w:lang w:eastAsia="en-AU"/>
              </w:rPr>
            </w:pPr>
            <w:r w:rsidRPr="00051281">
              <w:rPr>
                <w:rFonts w:ascii="Arial Narrow" w:hAnsi="Arial Narrow"/>
                <w:sz w:val="20"/>
                <w:szCs w:val="20"/>
                <w:lang w:eastAsia="en-AU"/>
              </w:rPr>
              <w:t>AND</w:t>
            </w:r>
          </w:p>
          <w:p w:rsidR="00373DB4" w:rsidRPr="00051281" w:rsidRDefault="00373DB4" w:rsidP="00373DB4">
            <w:pPr>
              <w:pStyle w:val="Tabletext"/>
              <w:rPr>
                <w:lang w:eastAsia="en-AU"/>
              </w:rPr>
            </w:pPr>
            <w:r w:rsidRPr="00051281">
              <w:rPr>
                <w:rFonts w:cs="Arial"/>
                <w:szCs w:val="20"/>
                <w:lang w:eastAsia="en-AU"/>
              </w:rPr>
              <w:t>The treatment must be used in combination with a maintenance combination of an inhaled corticosteroid (ICS) and a long acting beta</w:t>
            </w:r>
            <w:r w:rsidRPr="00051281">
              <w:rPr>
                <w:rFonts w:cs="Arial"/>
                <w:szCs w:val="20"/>
                <w:vertAlign w:val="subscript"/>
                <w:lang w:eastAsia="en-AU"/>
              </w:rPr>
              <w:t>2</w:t>
            </w:r>
            <w:r w:rsidRPr="00051281">
              <w:rPr>
                <w:rFonts w:cs="Arial"/>
                <w:szCs w:val="20"/>
                <w:lang w:eastAsia="en-AU"/>
              </w:rPr>
              <w:t xml:space="preserve"> agonist (LABA) unless contraindicated</w:t>
            </w:r>
          </w:p>
        </w:tc>
      </w:tr>
      <w:tr w:rsidR="00373DB4" w:rsidRPr="00051281" w:rsidTr="005714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0"/>
        </w:trPr>
        <w:tc>
          <w:tcPr>
            <w:tcW w:w="853" w:type="pct"/>
            <w:tcBorders>
              <w:top w:val="single" w:sz="4" w:space="0" w:color="auto"/>
              <w:left w:val="single" w:sz="4" w:space="0" w:color="auto"/>
              <w:bottom w:val="single" w:sz="4" w:space="0" w:color="auto"/>
              <w:right w:val="single" w:sz="4" w:space="0" w:color="auto"/>
            </w:tcBorders>
          </w:tcPr>
          <w:p w:rsidR="00373DB4" w:rsidRPr="00051281" w:rsidRDefault="00373DB4" w:rsidP="00373DB4">
            <w:pPr>
              <w:pStyle w:val="Tabletext"/>
              <w:rPr>
                <w:lang w:eastAsia="en-AU"/>
              </w:rPr>
            </w:pPr>
            <w:r w:rsidRPr="00051281">
              <w:rPr>
                <w:lang w:eastAsia="en-AU"/>
              </w:rPr>
              <w:t>Population criteria:</w:t>
            </w:r>
          </w:p>
        </w:tc>
        <w:tc>
          <w:tcPr>
            <w:tcW w:w="4147" w:type="pct"/>
            <w:gridSpan w:val="6"/>
            <w:tcBorders>
              <w:top w:val="single" w:sz="4" w:space="0" w:color="auto"/>
              <w:left w:val="single" w:sz="4" w:space="0" w:color="auto"/>
              <w:bottom w:val="single" w:sz="4" w:space="0" w:color="auto"/>
              <w:right w:val="single" w:sz="4" w:space="0" w:color="auto"/>
            </w:tcBorders>
          </w:tcPr>
          <w:p w:rsidR="00373DB4" w:rsidRPr="00051281" w:rsidRDefault="00373DB4" w:rsidP="00373DB4">
            <w:pPr>
              <w:pStyle w:val="Tabletext"/>
              <w:rPr>
                <w:color w:val="000000"/>
                <w:szCs w:val="24"/>
                <w:lang w:eastAsia="en-AU"/>
              </w:rPr>
            </w:pPr>
            <w:r w:rsidRPr="00051281">
              <w:rPr>
                <w:szCs w:val="20"/>
                <w:lang w:eastAsia="en-AU"/>
              </w:rPr>
              <w:t>Patient must be aged 6 to less than 18 years</w:t>
            </w:r>
          </w:p>
        </w:tc>
      </w:tr>
      <w:tr w:rsidR="00373DB4" w:rsidRPr="00051281" w:rsidTr="005714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0"/>
        </w:trPr>
        <w:tc>
          <w:tcPr>
            <w:tcW w:w="853" w:type="pct"/>
            <w:tcBorders>
              <w:top w:val="single" w:sz="4" w:space="0" w:color="auto"/>
              <w:left w:val="single" w:sz="4" w:space="0" w:color="auto"/>
              <w:bottom w:val="single" w:sz="4" w:space="0" w:color="auto"/>
              <w:right w:val="single" w:sz="4" w:space="0" w:color="auto"/>
            </w:tcBorders>
            <w:hideMark/>
          </w:tcPr>
          <w:p w:rsidR="00373DB4" w:rsidRPr="00051281" w:rsidRDefault="00373DB4" w:rsidP="00373DB4">
            <w:pPr>
              <w:pStyle w:val="Tabletext"/>
              <w:rPr>
                <w:lang w:eastAsia="en-AU"/>
              </w:rPr>
            </w:pPr>
            <w:r w:rsidRPr="00051281">
              <w:rPr>
                <w:lang w:eastAsia="en-AU"/>
              </w:rPr>
              <w:t>Prescriber criteria:</w:t>
            </w:r>
          </w:p>
        </w:tc>
        <w:tc>
          <w:tcPr>
            <w:tcW w:w="4147" w:type="pct"/>
            <w:gridSpan w:val="6"/>
            <w:tcBorders>
              <w:top w:val="single" w:sz="4" w:space="0" w:color="auto"/>
              <w:left w:val="single" w:sz="4" w:space="0" w:color="auto"/>
              <w:bottom w:val="single" w:sz="4" w:space="0" w:color="auto"/>
              <w:right w:val="single" w:sz="4" w:space="0" w:color="auto"/>
            </w:tcBorders>
          </w:tcPr>
          <w:p w:rsidR="00373DB4" w:rsidRPr="00051281" w:rsidRDefault="00373DB4" w:rsidP="00373DB4">
            <w:pPr>
              <w:pStyle w:val="Tabletext"/>
              <w:rPr>
                <w:color w:val="000000"/>
                <w:szCs w:val="24"/>
                <w:lang w:eastAsia="en-AU"/>
              </w:rPr>
            </w:pPr>
            <w:r w:rsidRPr="00051281">
              <w:t xml:space="preserve">Optimal asthma therapy includes adherence to the maintenance combination of an ICS (at least 400 micrograms budesonide per day or equivalent in children aged </w:t>
            </w:r>
            <w:proofErr w:type="gramStart"/>
            <w:r w:rsidRPr="00051281">
              <w:t>under</w:t>
            </w:r>
            <w:proofErr w:type="gramEnd"/>
            <w:r w:rsidRPr="00051281">
              <w:t xml:space="preserve"> 14 years, otherwise at least 800 micrograms budesonide per day or equivalent) and a LABA. If LABA therapy is contraindicated, not tolerated or not effective, </w:t>
            </w:r>
            <w:proofErr w:type="spellStart"/>
            <w:r w:rsidRPr="00051281">
              <w:t>montelukast</w:t>
            </w:r>
            <w:proofErr w:type="spellEnd"/>
            <w:r w:rsidRPr="00051281">
              <w:t xml:space="preserve">, </w:t>
            </w:r>
            <w:proofErr w:type="spellStart"/>
            <w:r w:rsidRPr="00051281">
              <w:t>cromoglycate</w:t>
            </w:r>
            <w:proofErr w:type="spellEnd"/>
            <w:r w:rsidRPr="00051281">
              <w:t xml:space="preserve"> or </w:t>
            </w:r>
            <w:proofErr w:type="spellStart"/>
            <w:r w:rsidRPr="00051281">
              <w:t>nedocromil</w:t>
            </w:r>
            <w:proofErr w:type="spellEnd"/>
            <w:r w:rsidRPr="00051281">
              <w:t xml:space="preserve"> may be used as an alternative</w:t>
            </w:r>
          </w:p>
        </w:tc>
      </w:tr>
    </w:tbl>
    <w:p w:rsidR="00981A75" w:rsidRPr="00051281" w:rsidRDefault="00981A75" w:rsidP="00CA3580">
      <w:pPr>
        <w:pStyle w:val="TableHeader"/>
        <w:rPr>
          <w:rFonts w:ascii="Arial Narrow" w:hAnsi="Arial Narrow"/>
          <w:b w:val="0"/>
          <w:sz w:val="18"/>
        </w:rPr>
      </w:pPr>
      <w:r w:rsidRPr="00051281">
        <w:rPr>
          <w:rFonts w:ascii="Arial Narrow" w:hAnsi="Arial Narrow"/>
          <w:b w:val="0"/>
          <w:sz w:val="18"/>
        </w:rPr>
        <w:t>Source: Table 1.8, p44</w:t>
      </w:r>
      <w:r w:rsidR="00742247" w:rsidRPr="00051281">
        <w:rPr>
          <w:rFonts w:ascii="Arial Narrow" w:hAnsi="Arial Narrow"/>
          <w:b w:val="0"/>
          <w:sz w:val="18"/>
        </w:rPr>
        <w:t>;</w:t>
      </w:r>
      <w:r w:rsidR="00E06FAD" w:rsidRPr="00051281">
        <w:rPr>
          <w:rFonts w:ascii="Arial Narrow" w:hAnsi="Arial Narrow"/>
          <w:b w:val="0"/>
          <w:sz w:val="18"/>
        </w:rPr>
        <w:t xml:space="preserve"> </w:t>
      </w:r>
      <w:r w:rsidR="00742247" w:rsidRPr="00051281">
        <w:rPr>
          <w:rFonts w:ascii="Arial Narrow" w:hAnsi="Arial Narrow"/>
          <w:b w:val="0"/>
          <w:sz w:val="18"/>
        </w:rPr>
        <w:t xml:space="preserve">and </w:t>
      </w:r>
      <w:r w:rsidRPr="00051281">
        <w:rPr>
          <w:rFonts w:ascii="Arial Narrow" w:hAnsi="Arial Narrow"/>
          <w:b w:val="0"/>
          <w:sz w:val="18"/>
        </w:rPr>
        <w:t>Table 1.9, p46 of the submission</w:t>
      </w:r>
    </w:p>
    <w:p w:rsidR="00981A75" w:rsidRDefault="00981A75" w:rsidP="00CA3580">
      <w:pPr>
        <w:pStyle w:val="TableHeader"/>
        <w:rPr>
          <w:rFonts w:ascii="Arial Narrow" w:hAnsi="Arial Narrow"/>
          <w:b w:val="0"/>
          <w:sz w:val="18"/>
        </w:rPr>
      </w:pPr>
      <w:r w:rsidRPr="00051281">
        <w:rPr>
          <w:rFonts w:ascii="Arial Narrow" w:hAnsi="Arial Narrow"/>
          <w:b w:val="0"/>
          <w:sz w:val="18"/>
        </w:rPr>
        <w:t>AEMP = approved ex-manufacturer price; ICS = inhaled corticosteroid; LABA = long-acting beta</w:t>
      </w:r>
      <w:r w:rsidRPr="00051281">
        <w:rPr>
          <w:rFonts w:ascii="Arial Narrow" w:hAnsi="Arial Narrow"/>
          <w:b w:val="0"/>
          <w:sz w:val="18"/>
          <w:vertAlign w:val="subscript"/>
        </w:rPr>
        <w:t>2</w:t>
      </w:r>
      <w:r w:rsidRPr="00051281">
        <w:rPr>
          <w:rFonts w:ascii="Arial Narrow" w:hAnsi="Arial Narrow"/>
          <w:b w:val="0"/>
          <w:sz w:val="18"/>
        </w:rPr>
        <w:t xml:space="preserve"> agonist; PBS = Pharmaceutical Benefits Scheme</w:t>
      </w:r>
    </w:p>
    <w:p w:rsidR="00441548" w:rsidRPr="00441548" w:rsidRDefault="00441548" w:rsidP="00CA3580">
      <w:pPr>
        <w:pStyle w:val="TableHeader"/>
        <w:rPr>
          <w:rFonts w:ascii="Arial Narrow" w:hAnsi="Arial Narrow"/>
          <w:b w:val="0"/>
          <w:sz w:val="18"/>
        </w:rPr>
      </w:pPr>
      <w:proofErr w:type="gramStart"/>
      <w:r>
        <w:rPr>
          <w:rFonts w:ascii="Arial Narrow" w:hAnsi="Arial Narrow"/>
          <w:b w:val="0"/>
          <w:sz w:val="18"/>
        </w:rPr>
        <w:t xml:space="preserve">Criteria in </w:t>
      </w:r>
      <w:r>
        <w:rPr>
          <w:rFonts w:ascii="Arial Narrow" w:hAnsi="Arial Narrow"/>
          <w:b w:val="0"/>
          <w:i/>
          <w:sz w:val="18"/>
        </w:rPr>
        <w:t>italics</w:t>
      </w:r>
      <w:r>
        <w:rPr>
          <w:rFonts w:ascii="Arial Narrow" w:hAnsi="Arial Narrow"/>
          <w:b w:val="0"/>
          <w:sz w:val="18"/>
        </w:rPr>
        <w:t xml:space="preserve"> proposed by the pre-PBAC response.</w:t>
      </w:r>
      <w:proofErr w:type="gramEnd"/>
      <w:r>
        <w:rPr>
          <w:rFonts w:ascii="Arial Narrow" w:hAnsi="Arial Narrow"/>
          <w:b w:val="0"/>
          <w:sz w:val="18"/>
        </w:rPr>
        <w:t xml:space="preserve"> </w:t>
      </w:r>
    </w:p>
    <w:p w:rsidR="00CA3580" w:rsidRPr="00051281" w:rsidRDefault="00CA3580" w:rsidP="008F0216">
      <w:pPr>
        <w:pStyle w:val="TableHeader"/>
        <w:spacing w:after="120"/>
      </w:pPr>
      <w:proofErr w:type="spellStart"/>
      <w:proofErr w:type="gramStart"/>
      <w:r w:rsidRPr="00051281">
        <w:rPr>
          <w:rFonts w:ascii="Arial Narrow" w:hAnsi="Arial Narrow"/>
          <w:b w:val="0"/>
          <w:sz w:val="18"/>
          <w:vertAlign w:val="superscript"/>
        </w:rPr>
        <w:t>a</w:t>
      </w:r>
      <w:proofErr w:type="spellEnd"/>
      <w:proofErr w:type="gramEnd"/>
      <w:r w:rsidRPr="00051281">
        <w:rPr>
          <w:rFonts w:ascii="Arial Narrow" w:hAnsi="Arial Narrow"/>
          <w:b w:val="0"/>
          <w:sz w:val="18"/>
        </w:rPr>
        <w:t xml:space="preserve"> The AEMP of tiotropium will be reduced by 14.5% (statutory 10% + 5% price reductions for F1 products listed for 10 and 15 years) on 1 June 2018 as a result of the Strategic Agreement between the Commonwealth and Medicines Australia. </w:t>
      </w:r>
    </w:p>
    <w:p w:rsidR="009F4128" w:rsidRPr="00051281" w:rsidRDefault="00BD026A" w:rsidP="003841D3">
      <w:pPr>
        <w:pStyle w:val="ListParagraph"/>
        <w:widowControl/>
        <w:numPr>
          <w:ilvl w:val="1"/>
          <w:numId w:val="1"/>
        </w:numPr>
        <w:spacing w:after="120"/>
      </w:pPr>
      <w:r w:rsidRPr="00051281">
        <w:t xml:space="preserve">The proposed PBS restriction was </w:t>
      </w:r>
      <w:r w:rsidR="009F4128" w:rsidRPr="00051281">
        <w:t xml:space="preserve">largely </w:t>
      </w:r>
      <w:r w:rsidRPr="00051281">
        <w:t xml:space="preserve">consistent with </w:t>
      </w:r>
      <w:r w:rsidR="009F4128" w:rsidRPr="00051281">
        <w:t>the Global Initiative for Asthma (GINA) Global Strategy for Asthma Management and Prevention</w:t>
      </w:r>
      <w:r w:rsidR="002C2FDC" w:rsidRPr="00051281">
        <w:t xml:space="preserve"> (2017)</w:t>
      </w:r>
      <w:r w:rsidR="009F4128" w:rsidRPr="00051281">
        <w:t xml:space="preserve">, which recommends a high dose ICS (i.e. &gt; 400 µg budesonide per day for children aged 6 to 12, and &gt; 800 µg budesonide per day for children aged 12 and over) plus a LABA for severe uncontrolled asthma. </w:t>
      </w:r>
    </w:p>
    <w:p w:rsidR="002C2FDC" w:rsidRPr="00051281" w:rsidRDefault="009F4128" w:rsidP="003841D3">
      <w:pPr>
        <w:pStyle w:val="ListParagraph"/>
        <w:widowControl/>
        <w:numPr>
          <w:ilvl w:val="1"/>
          <w:numId w:val="1"/>
        </w:numPr>
        <w:spacing w:after="120"/>
      </w:pPr>
      <w:r w:rsidRPr="00051281">
        <w:t>The proposed PBS restriction differed from the National Asthma Council Australia, which in the Australian Management Handbook (2017), state</w:t>
      </w:r>
      <w:r w:rsidR="00DB2E28" w:rsidRPr="00051281">
        <w:t>d</w:t>
      </w:r>
      <w:r w:rsidRPr="00051281">
        <w:t xml:space="preserve"> that </w:t>
      </w:r>
      <w:r w:rsidR="002C2FDC" w:rsidRPr="00051281">
        <w:t xml:space="preserve">in children, </w:t>
      </w:r>
      <w:r w:rsidRPr="00051281">
        <w:t xml:space="preserve">a low dose ICS </w:t>
      </w:r>
      <w:r w:rsidR="002C2FDC" w:rsidRPr="00051281">
        <w:t xml:space="preserve">(defined as 200-400 µg budesonide (high dose budesonide is defined as 400-800 µg)) </w:t>
      </w:r>
      <w:r w:rsidRPr="00051281">
        <w:t>should be used in combination with a LABA</w:t>
      </w:r>
      <w:r w:rsidR="002C2FDC" w:rsidRPr="00051281">
        <w:t>, before referral to a specialist.</w:t>
      </w:r>
    </w:p>
    <w:p w:rsidR="00CD514C" w:rsidRPr="00051281" w:rsidRDefault="007F5B2D" w:rsidP="00A24193">
      <w:pPr>
        <w:pStyle w:val="ListParagraph"/>
        <w:widowControl/>
        <w:numPr>
          <w:ilvl w:val="1"/>
          <w:numId w:val="1"/>
        </w:numPr>
        <w:spacing w:after="120"/>
      </w:pPr>
      <w:r w:rsidRPr="00051281">
        <w:t xml:space="preserve">The ESC </w:t>
      </w:r>
      <w:r w:rsidR="00CD514C" w:rsidRPr="00051281">
        <w:t>agreed with the secre</w:t>
      </w:r>
      <w:r w:rsidR="00FE55C6" w:rsidRPr="00051281">
        <w:t>t</w:t>
      </w:r>
      <w:r w:rsidR="00CD514C" w:rsidRPr="00051281">
        <w:t>a</w:t>
      </w:r>
      <w:r w:rsidR="00FE55C6" w:rsidRPr="00051281">
        <w:t>r</w:t>
      </w:r>
      <w:r w:rsidR="00CD514C" w:rsidRPr="00051281">
        <w:t xml:space="preserve">iat proposal to </w:t>
      </w:r>
      <w:r w:rsidR="00CD514C" w:rsidRPr="00051281">
        <w:rPr>
          <w:szCs w:val="24"/>
        </w:rPr>
        <w:t xml:space="preserve">model the Prescriber instruction for optimised therapy on the current PBS listing for </w:t>
      </w:r>
      <w:proofErr w:type="spellStart"/>
      <w:r w:rsidR="00CD514C" w:rsidRPr="00051281">
        <w:rPr>
          <w:szCs w:val="24"/>
        </w:rPr>
        <w:t>omalizumab</w:t>
      </w:r>
      <w:proofErr w:type="spellEnd"/>
      <w:r w:rsidR="00CD514C" w:rsidRPr="00051281">
        <w:rPr>
          <w:szCs w:val="24"/>
        </w:rPr>
        <w:t xml:space="preserve"> for severe allergic asthma in patients between 6 and 12 years of age.</w:t>
      </w:r>
    </w:p>
    <w:p w:rsidR="00A24193" w:rsidRDefault="00CD514C" w:rsidP="00A24193">
      <w:pPr>
        <w:pStyle w:val="ListParagraph"/>
        <w:widowControl/>
        <w:numPr>
          <w:ilvl w:val="1"/>
          <w:numId w:val="1"/>
        </w:numPr>
        <w:spacing w:after="120"/>
      </w:pPr>
      <w:r w:rsidRPr="00051281">
        <w:t xml:space="preserve">The ESC was concerned that it was poor medical practice to add another agent to children not adequately adhering to optimised asthma therapy and </w:t>
      </w:r>
      <w:r w:rsidR="007F5B2D" w:rsidRPr="00051281">
        <w:t xml:space="preserve">advised that the restriction should include a clause to require </w:t>
      </w:r>
      <w:r w:rsidRPr="00051281">
        <w:t xml:space="preserve">specialist </w:t>
      </w:r>
      <w:r w:rsidR="007F5B2D" w:rsidRPr="00051281">
        <w:t xml:space="preserve">consultations </w:t>
      </w:r>
      <w:r w:rsidRPr="00051281">
        <w:t xml:space="preserve">or initiation in hospital </w:t>
      </w:r>
      <w:r w:rsidR="007F5B2D" w:rsidRPr="00051281">
        <w:t>to ensure patients are compliant with optimal asthma therapy prior to treatment with tiotropium.</w:t>
      </w:r>
      <w:r w:rsidR="00A24193" w:rsidRPr="00051281">
        <w:t xml:space="preserve"> </w:t>
      </w:r>
      <w:r w:rsidR="002E406A" w:rsidRPr="00051281">
        <w:t>However, t</w:t>
      </w:r>
      <w:r w:rsidR="00A24193" w:rsidRPr="00051281">
        <w:t xml:space="preserve">his may increase the restriction level to a </w:t>
      </w:r>
      <w:r w:rsidR="002E406A" w:rsidRPr="00051281">
        <w:t>Telep</w:t>
      </w:r>
      <w:r w:rsidR="00A24193" w:rsidRPr="00051281">
        <w:t>hone Authority.</w:t>
      </w:r>
      <w:r w:rsidRPr="00051281">
        <w:t xml:space="preserve"> The</w:t>
      </w:r>
      <w:r w:rsidR="00A24193" w:rsidRPr="00051281">
        <w:t xml:space="preserve"> ESC agreed that the children’s restriction should be separate from the adult restriction to highlight these issues. </w:t>
      </w:r>
      <w:r w:rsidR="00441548">
        <w:t xml:space="preserve">The pre-PBAC response noted these issues and proposed an Authority Required (STREAMLINED) listing for all the severe asthma listings in response. It also proposed inclusion of the Treatment Criteria: “Must be treated in consultation with a paediatrician or a respiratory </w:t>
      </w:r>
      <w:proofErr w:type="gramStart"/>
      <w:r w:rsidR="00441548">
        <w:lastRenderedPageBreak/>
        <w:t>physician</w:t>
      </w:r>
      <w:proofErr w:type="gramEnd"/>
      <w:r w:rsidR="00441548">
        <w:t xml:space="preserve"> or a general physician experienced in the management of patients with severe asthma”. </w:t>
      </w:r>
    </w:p>
    <w:p w:rsidR="00B81DDC" w:rsidRPr="00093B99" w:rsidRDefault="00051281" w:rsidP="00093B99">
      <w:pPr>
        <w:pStyle w:val="ListParagraph"/>
        <w:widowControl/>
        <w:spacing w:after="120"/>
        <w:rPr>
          <w:rFonts w:asciiTheme="minorHAnsi" w:hAnsiTheme="minorHAnsi"/>
          <w:i/>
        </w:rPr>
      </w:pPr>
      <w:r w:rsidRPr="007C6605">
        <w:rPr>
          <w:rFonts w:asciiTheme="minorHAnsi" w:hAnsiTheme="minorHAnsi"/>
          <w:i/>
        </w:rPr>
        <w:t>For more detail on PBAC’s view, see section 7 PBAC outcome.</w:t>
      </w:r>
    </w:p>
    <w:p w:rsidR="00890406" w:rsidRPr="00051281" w:rsidRDefault="00B50DB8" w:rsidP="007407CD">
      <w:pPr>
        <w:pStyle w:val="PBACHeading1"/>
        <w:numPr>
          <w:ilvl w:val="0"/>
          <w:numId w:val="1"/>
        </w:numPr>
        <w:spacing w:before="240" w:after="120"/>
        <w:outlineLvl w:val="0"/>
      </w:pPr>
      <w:bookmarkStart w:id="2" w:name="_Toc503966228"/>
      <w:r w:rsidRPr="00051281">
        <w:t>Background</w:t>
      </w:r>
      <w:bookmarkEnd w:id="2"/>
    </w:p>
    <w:p w:rsidR="00591957" w:rsidRPr="00093B99" w:rsidRDefault="00591957" w:rsidP="009320CE">
      <w:pPr>
        <w:pStyle w:val="Heading2"/>
      </w:pPr>
      <w:r w:rsidRPr="00093B99">
        <w:t>Registration status</w:t>
      </w:r>
    </w:p>
    <w:p w:rsidR="002F06B2" w:rsidRDefault="002F06B2" w:rsidP="00FD66A5">
      <w:pPr>
        <w:pStyle w:val="ListParagraph"/>
        <w:widowControl/>
        <w:numPr>
          <w:ilvl w:val="1"/>
          <w:numId w:val="1"/>
        </w:numPr>
        <w:spacing w:after="120"/>
      </w:pPr>
      <w:r w:rsidRPr="00051281">
        <w:t>The submission was made under TGA/PBAC Parallel Process.</w:t>
      </w:r>
      <w:r>
        <w:t xml:space="preserve"> </w:t>
      </w:r>
      <w:r w:rsidR="00C57CFF" w:rsidRPr="00051281">
        <w:t xml:space="preserve">The </w:t>
      </w:r>
      <w:r w:rsidR="005D5E7A" w:rsidRPr="00051281">
        <w:t>TGA d</w:t>
      </w:r>
      <w:r w:rsidR="00C57CFF" w:rsidRPr="00051281">
        <w:t xml:space="preserve">elegate’s </w:t>
      </w:r>
      <w:r w:rsidR="0054331C">
        <w:t xml:space="preserve">file note </w:t>
      </w:r>
      <w:r w:rsidR="007C6605">
        <w:t xml:space="preserve">was </w:t>
      </w:r>
      <w:r w:rsidR="00FD66A5">
        <w:t>not received in</w:t>
      </w:r>
      <w:r w:rsidR="007C6605">
        <w:t xml:space="preserve"> </w:t>
      </w:r>
      <w:r w:rsidR="00FD66A5">
        <w:t xml:space="preserve">time for PBAC consideration. In the pre-PBAC response the sponsor stated it had received </w:t>
      </w:r>
      <w:r w:rsidR="00FD66A5" w:rsidRPr="00FD66A5">
        <w:t xml:space="preserve">notification that the TGA Clinical Delegate </w:t>
      </w:r>
      <w:r w:rsidR="00FD66A5">
        <w:t>would</w:t>
      </w:r>
      <w:r w:rsidR="00FD66A5" w:rsidRPr="00FD66A5">
        <w:t xml:space="preserve"> not take this item to the Advisory Committee for Medicines (ACM) and instead will recommend tiotropium as add-on maintenance bronchodilator treatment in patients aged 6 years and older with moderate or severe asthma. </w:t>
      </w:r>
    </w:p>
    <w:p w:rsidR="0089674B" w:rsidRPr="00051281" w:rsidRDefault="0089674B" w:rsidP="003841D3">
      <w:pPr>
        <w:pStyle w:val="ListParagraph"/>
        <w:numPr>
          <w:ilvl w:val="1"/>
          <w:numId w:val="1"/>
        </w:numPr>
        <w:spacing w:after="120"/>
      </w:pPr>
      <w:r w:rsidRPr="00051281">
        <w:t xml:space="preserve">Tiotropium </w:t>
      </w:r>
      <w:r w:rsidR="0020581F" w:rsidRPr="00051281">
        <w:t xml:space="preserve">solution </w:t>
      </w:r>
      <w:r w:rsidRPr="00051281">
        <w:t>is</w:t>
      </w:r>
      <w:r w:rsidR="002F06B2">
        <w:t xml:space="preserve"> already</w:t>
      </w:r>
      <w:r w:rsidRPr="00051281">
        <w:t xml:space="preserve"> </w:t>
      </w:r>
      <w:r w:rsidR="003F67EF" w:rsidRPr="00051281">
        <w:t>TGA approved and PBS</w:t>
      </w:r>
      <w:r w:rsidRPr="00051281">
        <w:t xml:space="preserve"> listed for the treatment of:</w:t>
      </w:r>
    </w:p>
    <w:p w:rsidR="007C6605" w:rsidRDefault="003F67EF" w:rsidP="007C6605">
      <w:pPr>
        <w:pStyle w:val="Bulletpoints"/>
        <w:numPr>
          <w:ilvl w:val="0"/>
          <w:numId w:val="36"/>
        </w:numPr>
        <w:spacing w:after="120"/>
      </w:pPr>
      <w:r w:rsidRPr="00051281">
        <w:t>severe asthma in adults; and</w:t>
      </w:r>
    </w:p>
    <w:p w:rsidR="00E55BB5" w:rsidRPr="007C6605" w:rsidRDefault="003F67EF" w:rsidP="007C6605">
      <w:pPr>
        <w:pStyle w:val="Bulletpoints"/>
        <w:numPr>
          <w:ilvl w:val="0"/>
          <w:numId w:val="36"/>
        </w:numPr>
        <w:spacing w:after="120"/>
      </w:pPr>
      <w:proofErr w:type="gramStart"/>
      <w:r w:rsidRPr="00051281">
        <w:t>bronchospasm</w:t>
      </w:r>
      <w:proofErr w:type="gramEnd"/>
      <w:r w:rsidRPr="00051281">
        <w:t xml:space="preserve"> and dyspnoea associated</w:t>
      </w:r>
      <w:r w:rsidR="00B25B81" w:rsidRPr="00051281">
        <w:t xml:space="preserve"> with</w:t>
      </w:r>
      <w:r w:rsidRPr="00051281">
        <w:t xml:space="preserve"> chronic obstructive pulmonary </w:t>
      </w:r>
      <w:r w:rsidRPr="007C6605">
        <w:t>disease (COPD)</w:t>
      </w:r>
      <w:r w:rsidR="00B25B81" w:rsidRPr="007C6605">
        <w:t>.</w:t>
      </w:r>
    </w:p>
    <w:p w:rsidR="003841D3" w:rsidRDefault="00051281" w:rsidP="00093B99">
      <w:pPr>
        <w:pStyle w:val="ListParagraph"/>
        <w:widowControl/>
        <w:spacing w:after="120"/>
        <w:rPr>
          <w:rFonts w:asciiTheme="minorHAnsi" w:hAnsiTheme="minorHAnsi"/>
          <w:i/>
        </w:rPr>
      </w:pPr>
      <w:r w:rsidRPr="007C6605">
        <w:rPr>
          <w:rFonts w:asciiTheme="minorHAnsi" w:hAnsiTheme="minorHAnsi"/>
          <w:i/>
        </w:rPr>
        <w:t>For more detail on PBAC’s view, see section 7 PBAC outcome.</w:t>
      </w:r>
    </w:p>
    <w:p w:rsidR="00B50DB8" w:rsidRPr="00051281" w:rsidRDefault="00203181" w:rsidP="007407CD">
      <w:pPr>
        <w:pStyle w:val="PBACHeading1"/>
        <w:numPr>
          <w:ilvl w:val="0"/>
          <w:numId w:val="1"/>
        </w:numPr>
        <w:spacing w:after="120"/>
        <w:outlineLvl w:val="0"/>
      </w:pPr>
      <w:bookmarkStart w:id="3" w:name="_Toc503966229"/>
      <w:r w:rsidRPr="00051281">
        <w:t xml:space="preserve">Population and </w:t>
      </w:r>
      <w:r w:rsidR="008E0D3C" w:rsidRPr="00051281">
        <w:t>d</w:t>
      </w:r>
      <w:r w:rsidRPr="00051281">
        <w:t>isease</w:t>
      </w:r>
      <w:bookmarkEnd w:id="3"/>
    </w:p>
    <w:p w:rsidR="007B554E" w:rsidRPr="00051281" w:rsidRDefault="007B554E" w:rsidP="003841D3">
      <w:pPr>
        <w:pStyle w:val="ListParagraph"/>
        <w:widowControl/>
        <w:numPr>
          <w:ilvl w:val="1"/>
          <w:numId w:val="1"/>
        </w:numPr>
        <w:spacing w:after="120"/>
      </w:pPr>
      <w:r w:rsidRPr="00051281">
        <w:t>Asthma is a chronic inflammatory disorder of the airways with typical symptoms of recurrent episodes of wheezing, breathlessness, chest tightness and coughing. Asthma symptoms frequently cause sleeplessness, daytime fatigue, reduced activity levels</w:t>
      </w:r>
      <w:r w:rsidR="009828FE" w:rsidRPr="00051281">
        <w:t>,</w:t>
      </w:r>
      <w:r w:rsidRPr="00051281">
        <w:t xml:space="preserve"> and school and work absenteeism.</w:t>
      </w:r>
    </w:p>
    <w:p w:rsidR="007B554E" w:rsidRPr="00051281" w:rsidRDefault="007B554E" w:rsidP="003841D3">
      <w:pPr>
        <w:pStyle w:val="ListParagraph"/>
        <w:widowControl/>
        <w:numPr>
          <w:ilvl w:val="1"/>
          <w:numId w:val="1"/>
        </w:numPr>
        <w:spacing w:after="120"/>
      </w:pPr>
      <w:r w:rsidRPr="00051281">
        <w:t>Asthma severity is determined by the type and amount of treatment needed to maintain adequate symptom control, with more serious disease requiring a greater intensity of treatment.</w:t>
      </w:r>
      <w:r w:rsidR="0089674B" w:rsidRPr="00051281">
        <w:t xml:space="preserve"> P</w:t>
      </w:r>
      <w:r w:rsidRPr="00051281">
        <w:t xml:space="preserve">oor symptom control is strongly associated with an increased risk of asthma exacerbations, which may require hospitalisation. </w:t>
      </w:r>
      <w:r w:rsidR="00807A2C" w:rsidRPr="00051281">
        <w:t xml:space="preserve">The Australian Institute of Health and Welfare (AIHW) </w:t>
      </w:r>
      <w:r w:rsidR="00533E2D" w:rsidRPr="00051281">
        <w:t>2013 report</w:t>
      </w:r>
      <w:r w:rsidR="00A60168" w:rsidRPr="00051281">
        <w:t>, ‘Asthma hospitalisation in Australia 2010-11’</w:t>
      </w:r>
      <w:r w:rsidR="00533E2D" w:rsidRPr="00051281">
        <w:t xml:space="preserve"> </w:t>
      </w:r>
      <w:r w:rsidR="00807A2C" w:rsidRPr="00051281">
        <w:t>estimates that children are hospitalised for asthma management at approximately five times the rate of adults.</w:t>
      </w:r>
    </w:p>
    <w:p w:rsidR="00BD026A" w:rsidRPr="00051281" w:rsidRDefault="00403F16" w:rsidP="003841D3">
      <w:pPr>
        <w:pStyle w:val="ListParagraph"/>
        <w:widowControl/>
        <w:numPr>
          <w:ilvl w:val="1"/>
          <w:numId w:val="1"/>
        </w:numPr>
        <w:spacing w:after="120"/>
      </w:pPr>
      <w:r w:rsidRPr="00051281">
        <w:t>The proposed clinical treatment algorithm places tiotropium</w:t>
      </w:r>
      <w:r w:rsidR="0089674B" w:rsidRPr="00051281">
        <w:t xml:space="preserve"> </w:t>
      </w:r>
      <w:r w:rsidR="0020581F" w:rsidRPr="00051281">
        <w:t>as an add-on bronchodilator</w:t>
      </w:r>
      <w:r w:rsidR="00BD026A" w:rsidRPr="00051281">
        <w:t xml:space="preserve"> for</w:t>
      </w:r>
      <w:r w:rsidRPr="00051281">
        <w:t xml:space="preserve"> </w:t>
      </w:r>
      <w:r w:rsidR="0025301E" w:rsidRPr="00051281">
        <w:t>children aged 6 to 17 years with severe asthma, who remained uncontrolled despite receiving optimised asthma therapy</w:t>
      </w:r>
      <w:r w:rsidR="00BD026A" w:rsidRPr="00051281">
        <w:t>. Optimised asthma therapy was considered to consist of a high-dose inhaled corticosteroid (ICS) used in combination with a long-acting beta</w:t>
      </w:r>
      <w:r w:rsidR="00BD026A" w:rsidRPr="00051281">
        <w:rPr>
          <w:vertAlign w:val="subscript"/>
        </w:rPr>
        <w:t>2</w:t>
      </w:r>
      <w:r w:rsidR="00BD026A" w:rsidRPr="00051281">
        <w:t xml:space="preserve"> agonist (LABA).</w:t>
      </w:r>
      <w:r w:rsidR="0025301E" w:rsidRPr="00051281">
        <w:t xml:space="preserve"> </w:t>
      </w:r>
    </w:p>
    <w:p w:rsidR="00185E21" w:rsidRPr="00051281" w:rsidRDefault="00185E21" w:rsidP="00185E21">
      <w:pPr>
        <w:pStyle w:val="ListParagraph"/>
        <w:widowControl/>
        <w:numPr>
          <w:ilvl w:val="1"/>
          <w:numId w:val="1"/>
        </w:numPr>
        <w:spacing w:after="120"/>
      </w:pPr>
      <w:r w:rsidRPr="00051281">
        <w:t xml:space="preserve">The ESC noted that bronchodilators have a history of being associated with an increased risk of death when patients subsequently </w:t>
      </w:r>
      <w:r w:rsidR="00B0474A" w:rsidRPr="00051281">
        <w:t xml:space="preserve">discontinue </w:t>
      </w:r>
      <w:r w:rsidRPr="00051281">
        <w:t>their other forms of standard asthma therapy</w:t>
      </w:r>
      <w:r w:rsidR="000B3563" w:rsidRPr="00051281">
        <w:t>.</w:t>
      </w:r>
      <w:r w:rsidRPr="00051281">
        <w:t xml:space="preserve"> </w:t>
      </w:r>
    </w:p>
    <w:p w:rsidR="003E615A" w:rsidRPr="00093B99" w:rsidRDefault="00051281" w:rsidP="00093B99">
      <w:pPr>
        <w:pStyle w:val="ListParagraph"/>
        <w:widowControl/>
        <w:spacing w:after="120"/>
        <w:rPr>
          <w:rFonts w:asciiTheme="minorHAnsi" w:hAnsiTheme="minorHAnsi"/>
          <w:i/>
        </w:rPr>
      </w:pPr>
      <w:r w:rsidRPr="00B10265">
        <w:rPr>
          <w:rFonts w:asciiTheme="minorHAnsi" w:hAnsiTheme="minorHAnsi"/>
          <w:i/>
        </w:rPr>
        <w:lastRenderedPageBreak/>
        <w:t>For more detail on PBAC’s view, see section 7 PBAC outcome.</w:t>
      </w:r>
    </w:p>
    <w:p w:rsidR="00B60939" w:rsidRPr="00051281" w:rsidRDefault="00B50DB8" w:rsidP="007407CD">
      <w:pPr>
        <w:pStyle w:val="PBACHeading1"/>
        <w:numPr>
          <w:ilvl w:val="0"/>
          <w:numId w:val="1"/>
        </w:numPr>
        <w:spacing w:before="240" w:after="120"/>
        <w:outlineLvl w:val="0"/>
      </w:pPr>
      <w:bookmarkStart w:id="4" w:name="_Toc503966230"/>
      <w:r w:rsidRPr="00051281">
        <w:t>Comparator</w:t>
      </w:r>
      <w:bookmarkEnd w:id="4"/>
    </w:p>
    <w:p w:rsidR="00B60939" w:rsidRPr="00051281" w:rsidRDefault="004851C8" w:rsidP="003841D3">
      <w:pPr>
        <w:pStyle w:val="ListParagraph"/>
        <w:widowControl/>
        <w:numPr>
          <w:ilvl w:val="1"/>
          <w:numId w:val="1"/>
        </w:numPr>
        <w:spacing w:after="120"/>
      </w:pPr>
      <w:r w:rsidRPr="00051281">
        <w:t>The submission nominated placebo plus optimised asthma therapy as the main comparator. This was appropriate.</w:t>
      </w:r>
    </w:p>
    <w:p w:rsidR="00ED32F2" w:rsidRPr="00051281" w:rsidRDefault="00352A91" w:rsidP="003841D3">
      <w:pPr>
        <w:pStyle w:val="ListParagraph"/>
        <w:numPr>
          <w:ilvl w:val="1"/>
          <w:numId w:val="1"/>
        </w:numPr>
        <w:spacing w:after="120"/>
      </w:pPr>
      <w:r w:rsidRPr="00051281">
        <w:t xml:space="preserve">The PBAC had previously accepted </w:t>
      </w:r>
      <w:r w:rsidR="003F67EF" w:rsidRPr="00051281">
        <w:t xml:space="preserve">placebo plus optimised asthma therapy as the appropriate comparator for tiotropium in adults </w:t>
      </w:r>
      <w:r w:rsidR="0062529D" w:rsidRPr="00051281">
        <w:t>with severe asthma (p</w:t>
      </w:r>
      <w:r w:rsidR="003F67EF" w:rsidRPr="00051281">
        <w:t>aragraph 7.4, July 2015 and March 2016 Public Summary Documents (PSD)).</w:t>
      </w:r>
    </w:p>
    <w:p w:rsidR="00B50DB8" w:rsidRPr="00051281" w:rsidRDefault="00BD6CF3" w:rsidP="007407CD">
      <w:pPr>
        <w:pStyle w:val="PBACHeading1"/>
        <w:numPr>
          <w:ilvl w:val="0"/>
          <w:numId w:val="1"/>
        </w:numPr>
        <w:spacing w:before="240" w:after="120"/>
        <w:outlineLvl w:val="0"/>
      </w:pPr>
      <w:bookmarkStart w:id="5" w:name="_Toc503966231"/>
      <w:r w:rsidRPr="00051281">
        <w:t>C</w:t>
      </w:r>
      <w:r w:rsidR="00B50DB8" w:rsidRPr="00051281">
        <w:t>onsideration of the evidence</w:t>
      </w:r>
      <w:bookmarkEnd w:id="5"/>
    </w:p>
    <w:p w:rsidR="00051281" w:rsidRPr="00634B14" w:rsidRDefault="00051281" w:rsidP="009320CE">
      <w:pPr>
        <w:pStyle w:val="Heading2"/>
      </w:pPr>
      <w:bookmarkStart w:id="6" w:name="_Toc503966232"/>
      <w:r w:rsidRPr="00634B14">
        <w:t>Sponsor hearing</w:t>
      </w:r>
    </w:p>
    <w:p w:rsidR="00051281" w:rsidRPr="00634B14" w:rsidRDefault="00051281" w:rsidP="00051281">
      <w:pPr>
        <w:numPr>
          <w:ilvl w:val="1"/>
          <w:numId w:val="1"/>
        </w:numPr>
        <w:spacing w:after="120"/>
        <w:rPr>
          <w:rFonts w:asciiTheme="minorHAnsi" w:hAnsiTheme="minorHAnsi"/>
          <w:bCs/>
        </w:rPr>
      </w:pPr>
      <w:r w:rsidRPr="00634B14">
        <w:rPr>
          <w:rFonts w:asciiTheme="minorHAnsi" w:hAnsiTheme="minorHAnsi"/>
          <w:bCs/>
        </w:rPr>
        <w:t>There was no hearing for this item.</w:t>
      </w:r>
    </w:p>
    <w:p w:rsidR="00051281" w:rsidRPr="00AA0913" w:rsidRDefault="00051281" w:rsidP="009320CE">
      <w:pPr>
        <w:pStyle w:val="Heading2"/>
      </w:pPr>
      <w:r w:rsidRPr="00AA0913">
        <w:t>Consumer comments</w:t>
      </w:r>
    </w:p>
    <w:p w:rsidR="00BF09ED" w:rsidRDefault="00051281" w:rsidP="00BF09ED">
      <w:pPr>
        <w:numPr>
          <w:ilvl w:val="1"/>
          <w:numId w:val="1"/>
        </w:numPr>
        <w:spacing w:after="120"/>
        <w:rPr>
          <w:rFonts w:asciiTheme="minorHAnsi" w:hAnsiTheme="minorHAnsi"/>
          <w:bCs/>
        </w:rPr>
      </w:pPr>
      <w:r w:rsidRPr="00BF09ED">
        <w:rPr>
          <w:rFonts w:asciiTheme="minorHAnsi" w:hAnsiTheme="minorHAnsi"/>
          <w:bCs/>
        </w:rPr>
        <w:t xml:space="preserve">The PBAC noted and welcomed the input from </w:t>
      </w:r>
      <w:r w:rsidR="00E53B8F" w:rsidRPr="00BF09ED">
        <w:rPr>
          <w:rFonts w:asciiTheme="minorHAnsi" w:hAnsiTheme="minorHAnsi"/>
          <w:bCs/>
        </w:rPr>
        <w:t>Asthma Australia</w:t>
      </w:r>
      <w:r w:rsidRPr="00BF09ED">
        <w:rPr>
          <w:rFonts w:asciiTheme="minorHAnsi" w:hAnsiTheme="minorHAnsi"/>
          <w:bCs/>
        </w:rPr>
        <w:t xml:space="preserve"> via the Consumer Comments facility on the PBS website.  </w:t>
      </w:r>
      <w:r w:rsidR="00D93D85" w:rsidRPr="00BF09ED">
        <w:rPr>
          <w:rFonts w:asciiTheme="minorHAnsi" w:hAnsiTheme="minorHAnsi"/>
          <w:bCs/>
        </w:rPr>
        <w:t>Of note, As</w:t>
      </w:r>
      <w:r w:rsidR="00BF09ED">
        <w:rPr>
          <w:rFonts w:asciiTheme="minorHAnsi" w:hAnsiTheme="minorHAnsi"/>
          <w:bCs/>
        </w:rPr>
        <w:t>t</w:t>
      </w:r>
      <w:r w:rsidR="00D93D85" w:rsidRPr="00BF09ED">
        <w:rPr>
          <w:rFonts w:asciiTheme="minorHAnsi" w:hAnsiTheme="minorHAnsi"/>
          <w:bCs/>
        </w:rPr>
        <w:t>hma Austr</w:t>
      </w:r>
      <w:r w:rsidR="00156E32">
        <w:rPr>
          <w:rFonts w:asciiTheme="minorHAnsi" w:hAnsiTheme="minorHAnsi"/>
          <w:bCs/>
        </w:rPr>
        <w:t>a</w:t>
      </w:r>
      <w:r w:rsidR="00D93D85" w:rsidRPr="00BF09ED">
        <w:rPr>
          <w:rFonts w:asciiTheme="minorHAnsi" w:hAnsiTheme="minorHAnsi"/>
          <w:bCs/>
        </w:rPr>
        <w:t xml:space="preserve">lia highlighted that children with symptoms unresponsive to current guideline recommendations should be referred to specialist services for further investigation where they can undergo systematic evaluation. </w:t>
      </w:r>
      <w:r w:rsidR="00156E32">
        <w:rPr>
          <w:rFonts w:asciiTheme="minorHAnsi" w:hAnsiTheme="minorHAnsi"/>
          <w:bCs/>
        </w:rPr>
        <w:t>It was further noted m</w:t>
      </w:r>
      <w:r w:rsidR="00D93D85" w:rsidRPr="00BF09ED">
        <w:rPr>
          <w:rFonts w:asciiTheme="minorHAnsi" w:hAnsiTheme="minorHAnsi"/>
          <w:bCs/>
        </w:rPr>
        <w:t xml:space="preserve">any children with asthma are found not to have severe, treatment-refractory asthma after thorough evaluation and approximately 50% of children referred for severe asthma have persistent symptoms and poor control because of inadequate disease management where the addition of another treatment option will not benefit either. </w:t>
      </w:r>
    </w:p>
    <w:p w:rsidR="00051281" w:rsidRPr="00BF09ED" w:rsidRDefault="00BF09ED" w:rsidP="00BF09ED">
      <w:pPr>
        <w:numPr>
          <w:ilvl w:val="1"/>
          <w:numId w:val="1"/>
        </w:numPr>
        <w:spacing w:after="120"/>
        <w:rPr>
          <w:rFonts w:asciiTheme="minorHAnsi" w:hAnsiTheme="minorHAnsi"/>
          <w:bCs/>
        </w:rPr>
      </w:pPr>
      <w:r>
        <w:rPr>
          <w:rFonts w:asciiTheme="minorHAnsi" w:hAnsiTheme="minorHAnsi"/>
          <w:bCs/>
        </w:rPr>
        <w:t>Where deemed appropriate as an additional treatment option, tiotropium was des</w:t>
      </w:r>
      <w:r w:rsidR="00051281" w:rsidRPr="00BF09ED">
        <w:rPr>
          <w:rFonts w:asciiTheme="minorHAnsi" w:hAnsiTheme="minorHAnsi"/>
          <w:bCs/>
        </w:rPr>
        <w:t>cribed a</w:t>
      </w:r>
      <w:r>
        <w:rPr>
          <w:rFonts w:asciiTheme="minorHAnsi" w:hAnsiTheme="minorHAnsi"/>
          <w:bCs/>
        </w:rPr>
        <w:t>s having a</w:t>
      </w:r>
      <w:r w:rsidR="00051281" w:rsidRPr="00BF09ED">
        <w:rPr>
          <w:rFonts w:asciiTheme="minorHAnsi" w:hAnsiTheme="minorHAnsi"/>
          <w:bCs/>
        </w:rPr>
        <w:t xml:space="preserve"> range of benefits </w:t>
      </w:r>
      <w:r w:rsidR="004B1380" w:rsidRPr="00BF09ED">
        <w:rPr>
          <w:rFonts w:asciiTheme="minorHAnsi" w:hAnsiTheme="minorHAnsi"/>
          <w:bCs/>
        </w:rPr>
        <w:t>for children unable to achieve adequate control of their asthma with current therapeutic options, including increased quality of life, lower doses of inhaled corticosteroids</w:t>
      </w:r>
      <w:r w:rsidR="00515F23" w:rsidRPr="00BF09ED">
        <w:rPr>
          <w:rFonts w:asciiTheme="minorHAnsi" w:hAnsiTheme="minorHAnsi"/>
          <w:bCs/>
        </w:rPr>
        <w:t>,</w:t>
      </w:r>
      <w:r w:rsidR="004B1380" w:rsidRPr="00BF09ED">
        <w:rPr>
          <w:rFonts w:asciiTheme="minorHAnsi" w:hAnsiTheme="minorHAnsi"/>
          <w:bCs/>
        </w:rPr>
        <w:t xml:space="preserve"> </w:t>
      </w:r>
      <w:r w:rsidR="00515F23" w:rsidRPr="00BF09ED">
        <w:rPr>
          <w:rFonts w:asciiTheme="minorHAnsi" w:hAnsiTheme="minorHAnsi"/>
          <w:bCs/>
        </w:rPr>
        <w:t>lower</w:t>
      </w:r>
      <w:r w:rsidR="004B1380" w:rsidRPr="00BF09ED">
        <w:rPr>
          <w:rFonts w:asciiTheme="minorHAnsi" w:hAnsiTheme="minorHAnsi"/>
          <w:bCs/>
        </w:rPr>
        <w:t xml:space="preserve"> use of systemic corticosteroids </w:t>
      </w:r>
      <w:r w:rsidR="00515F23" w:rsidRPr="00BF09ED">
        <w:rPr>
          <w:rFonts w:asciiTheme="minorHAnsi" w:hAnsiTheme="minorHAnsi"/>
          <w:bCs/>
        </w:rPr>
        <w:t>which have side</w:t>
      </w:r>
      <w:r w:rsidR="004B1380" w:rsidRPr="00BF09ED">
        <w:rPr>
          <w:rFonts w:asciiTheme="minorHAnsi" w:hAnsiTheme="minorHAnsi"/>
          <w:bCs/>
        </w:rPr>
        <w:t xml:space="preserve"> effects, decreased rate</w:t>
      </w:r>
      <w:r w:rsidR="00515F23" w:rsidRPr="00BF09ED">
        <w:rPr>
          <w:rFonts w:asciiTheme="minorHAnsi" w:hAnsiTheme="minorHAnsi"/>
          <w:bCs/>
        </w:rPr>
        <w:t>s</w:t>
      </w:r>
      <w:r w:rsidR="004B1380" w:rsidRPr="00BF09ED">
        <w:rPr>
          <w:rFonts w:asciiTheme="minorHAnsi" w:hAnsiTheme="minorHAnsi"/>
          <w:bCs/>
        </w:rPr>
        <w:t xml:space="preserve"> of asthma exacerbations, less hospitalisations and a lower risk of mortality. </w:t>
      </w:r>
    </w:p>
    <w:p w:rsidR="00051281" w:rsidRPr="00A145D7" w:rsidRDefault="00051281" w:rsidP="00051281">
      <w:pPr>
        <w:numPr>
          <w:ilvl w:val="1"/>
          <w:numId w:val="1"/>
        </w:numPr>
        <w:spacing w:after="120"/>
        <w:rPr>
          <w:rFonts w:asciiTheme="minorHAnsi" w:hAnsiTheme="minorHAnsi"/>
          <w:bCs/>
        </w:rPr>
      </w:pPr>
      <w:r w:rsidRPr="00A145D7">
        <w:rPr>
          <w:rFonts w:asciiTheme="minorHAnsi" w:hAnsiTheme="minorHAnsi"/>
          <w:bCs/>
        </w:rPr>
        <w:t xml:space="preserve">The PBAC noted the advice received from </w:t>
      </w:r>
      <w:r w:rsidR="00E53B8F" w:rsidRPr="00A145D7">
        <w:rPr>
          <w:rFonts w:asciiTheme="minorHAnsi" w:hAnsiTheme="minorHAnsi"/>
          <w:bCs/>
        </w:rPr>
        <w:t>Asthma Australia</w:t>
      </w:r>
      <w:r w:rsidRPr="00A145D7">
        <w:rPr>
          <w:rFonts w:asciiTheme="minorHAnsi" w:hAnsiTheme="minorHAnsi"/>
          <w:bCs/>
        </w:rPr>
        <w:t xml:space="preserve"> clarifying the likely use of </w:t>
      </w:r>
      <w:r w:rsidR="00E53B8F" w:rsidRPr="00A145D7">
        <w:rPr>
          <w:rFonts w:asciiTheme="minorHAnsi" w:hAnsiTheme="minorHAnsi"/>
          <w:bCs/>
        </w:rPr>
        <w:t>tiotropium</w:t>
      </w:r>
      <w:r w:rsidRPr="00A145D7">
        <w:rPr>
          <w:rFonts w:asciiTheme="minorHAnsi" w:hAnsiTheme="minorHAnsi"/>
          <w:bCs/>
        </w:rPr>
        <w:t xml:space="preserve"> in clinical practice.  The PBAC specifically noted the advice that the use of </w:t>
      </w:r>
      <w:r w:rsidR="00E53B8F" w:rsidRPr="00A145D7">
        <w:rPr>
          <w:rFonts w:asciiTheme="minorHAnsi" w:hAnsiTheme="minorHAnsi"/>
          <w:bCs/>
        </w:rPr>
        <w:t>tiotropium</w:t>
      </w:r>
      <w:r w:rsidRPr="00A145D7">
        <w:rPr>
          <w:rFonts w:asciiTheme="minorHAnsi" w:hAnsiTheme="minorHAnsi"/>
          <w:bCs/>
        </w:rPr>
        <w:t xml:space="preserve"> </w:t>
      </w:r>
      <w:r w:rsidR="00AA0913" w:rsidRPr="00A145D7">
        <w:rPr>
          <w:rFonts w:asciiTheme="minorHAnsi" w:hAnsiTheme="minorHAnsi"/>
          <w:bCs/>
        </w:rPr>
        <w:t>should be included in the Australian Asthma Handbook</w:t>
      </w:r>
      <w:r w:rsidR="00515F23">
        <w:rPr>
          <w:rFonts w:asciiTheme="minorHAnsi" w:hAnsiTheme="minorHAnsi"/>
          <w:bCs/>
        </w:rPr>
        <w:t>, that the PBS restriction should</w:t>
      </w:r>
      <w:r w:rsidR="00AA0913" w:rsidRPr="00A145D7">
        <w:rPr>
          <w:rFonts w:asciiTheme="minorHAnsi" w:hAnsiTheme="minorHAnsi"/>
          <w:bCs/>
        </w:rPr>
        <w:t xml:space="preserve"> </w:t>
      </w:r>
      <w:r w:rsidR="00515F23">
        <w:rPr>
          <w:rFonts w:asciiTheme="minorHAnsi" w:hAnsiTheme="minorHAnsi"/>
          <w:bCs/>
        </w:rPr>
        <w:t xml:space="preserve">specify the </w:t>
      </w:r>
      <w:r w:rsidR="00AA0913" w:rsidRPr="00A145D7">
        <w:rPr>
          <w:rFonts w:asciiTheme="minorHAnsi" w:hAnsiTheme="minorHAnsi"/>
          <w:bCs/>
        </w:rPr>
        <w:t>stepped approach to treatment of children and adolescents, particularly in regards to the prescribing of ICS/LABA preventer medications</w:t>
      </w:r>
      <w:r w:rsidR="00515F23">
        <w:rPr>
          <w:rFonts w:asciiTheme="minorHAnsi" w:hAnsiTheme="minorHAnsi"/>
          <w:bCs/>
        </w:rPr>
        <w:t>,</w:t>
      </w:r>
      <w:r w:rsidR="00AA0913" w:rsidRPr="00A145D7">
        <w:rPr>
          <w:rFonts w:asciiTheme="minorHAnsi" w:hAnsiTheme="minorHAnsi"/>
          <w:bCs/>
        </w:rPr>
        <w:t xml:space="preserve"> </w:t>
      </w:r>
      <w:r w:rsidR="00A145D7" w:rsidRPr="00A145D7">
        <w:rPr>
          <w:rFonts w:asciiTheme="minorHAnsi" w:hAnsiTheme="minorHAnsi"/>
          <w:bCs/>
        </w:rPr>
        <w:t>and patients should be under the care of a respiratory specialist who would prescribe tiotropium appropriately and with clear and regular device instruction</w:t>
      </w:r>
      <w:r w:rsidRPr="00A145D7">
        <w:rPr>
          <w:rFonts w:asciiTheme="minorHAnsi" w:hAnsiTheme="minorHAnsi"/>
          <w:bCs/>
        </w:rPr>
        <w:t xml:space="preserve">.  The PBAC noted that </w:t>
      </w:r>
      <w:r w:rsidR="00515F23">
        <w:rPr>
          <w:rFonts w:asciiTheme="minorHAnsi" w:hAnsiTheme="minorHAnsi"/>
          <w:bCs/>
        </w:rPr>
        <w:t>the clinical evidence did not adequately support the clinical place of tiotropium in children</w:t>
      </w:r>
      <w:r w:rsidRPr="00A145D7">
        <w:rPr>
          <w:rFonts w:asciiTheme="minorHAnsi" w:hAnsiTheme="minorHAnsi"/>
          <w:bCs/>
        </w:rPr>
        <w:t>.</w:t>
      </w:r>
    </w:p>
    <w:p w:rsidR="00B60939" w:rsidRPr="00093B99" w:rsidRDefault="00B60939" w:rsidP="00C64058">
      <w:pPr>
        <w:pStyle w:val="Heading2"/>
        <w:keepNext/>
      </w:pPr>
      <w:r w:rsidRPr="00093B99">
        <w:lastRenderedPageBreak/>
        <w:t>Clinical trials</w:t>
      </w:r>
      <w:bookmarkEnd w:id="6"/>
    </w:p>
    <w:p w:rsidR="00744E71" w:rsidRPr="00051281" w:rsidRDefault="00744E71" w:rsidP="003841D3">
      <w:pPr>
        <w:pStyle w:val="ListParagraph"/>
        <w:widowControl/>
        <w:numPr>
          <w:ilvl w:val="1"/>
          <w:numId w:val="1"/>
        </w:numPr>
        <w:spacing w:after="120"/>
      </w:pPr>
      <w:r w:rsidRPr="00051281">
        <w:t>The submission was based on a meta-analysis of two 12-week head-to-head randomised trials comparing tiotropium plus optimised asthma therapy (i.e. ICS plus LABA) to optimised asthma therapy alone in children aged 6</w:t>
      </w:r>
      <w:r w:rsidR="000966AE" w:rsidRPr="00051281">
        <w:t xml:space="preserve"> to </w:t>
      </w:r>
      <w:r w:rsidRPr="00051281">
        <w:t>17 years with severe asthma:</w:t>
      </w:r>
    </w:p>
    <w:p w:rsidR="00744E71" w:rsidRPr="00051281" w:rsidRDefault="00744E71" w:rsidP="003841D3">
      <w:pPr>
        <w:pStyle w:val="ListParagraph"/>
        <w:widowControl/>
        <w:spacing w:after="120"/>
      </w:pPr>
      <w:r w:rsidRPr="00051281">
        <w:t>•</w:t>
      </w:r>
      <w:r w:rsidRPr="00051281">
        <w:tab/>
        <w:t xml:space="preserve">Trial 205.446 recruited patients aged 6 to 11 years (N = 264); and </w:t>
      </w:r>
    </w:p>
    <w:p w:rsidR="00744E71" w:rsidRDefault="00744E71" w:rsidP="003841D3">
      <w:pPr>
        <w:pStyle w:val="ListParagraph"/>
        <w:widowControl/>
        <w:spacing w:after="120"/>
      </w:pPr>
      <w:r w:rsidRPr="00051281">
        <w:t>•</w:t>
      </w:r>
      <w:r w:rsidRPr="00051281">
        <w:tab/>
        <w:t>Trial 205.456 recruited patients aged 12 to 17 years (N = 265).</w:t>
      </w:r>
    </w:p>
    <w:p w:rsidR="006E14A5" w:rsidRPr="00051281" w:rsidRDefault="006E14A5" w:rsidP="006E14A5">
      <w:pPr>
        <w:pStyle w:val="ListParagraph"/>
        <w:widowControl/>
        <w:numPr>
          <w:ilvl w:val="1"/>
          <w:numId w:val="1"/>
        </w:numPr>
        <w:spacing w:after="120"/>
      </w:pPr>
      <w:r>
        <w:t xml:space="preserve">The PBAC noted the pre-PBAC response provided a summary of the outcomes from an additional two 48-week trials which </w:t>
      </w:r>
      <w:r w:rsidRPr="006E14A5">
        <w:t>were conducted in children with moderate asthma (as defined by uncontrolled symptoms despite treatment with medium dose ICS either alone or in combination with another controller medication) aged 6-11 years (trial 205.445) or 12-17 years (trial 205.444).</w:t>
      </w:r>
      <w:r>
        <w:t xml:space="preserve"> These trials were excluded from the submission as they were conducted in a more moderate population, and have therefore not been </w:t>
      </w:r>
      <w:proofErr w:type="spellStart"/>
      <w:r>
        <w:t>evalauted</w:t>
      </w:r>
      <w:proofErr w:type="spellEnd"/>
      <w:r>
        <w:t xml:space="preserve"> or considered by the ESC. In summary, the trials showed </w:t>
      </w:r>
      <w:r w:rsidRPr="006E14A5">
        <w:t xml:space="preserve">tiotropium compared with placebo significantly improved trough </w:t>
      </w:r>
      <w:r w:rsidRPr="00051281">
        <w:rPr>
          <w:lang w:val="en-US"/>
        </w:rPr>
        <w:t>FEV</w:t>
      </w:r>
      <w:r w:rsidRPr="00051281">
        <w:rPr>
          <w:vertAlign w:val="subscript"/>
          <w:lang w:val="en-US"/>
        </w:rPr>
        <w:t>1</w:t>
      </w:r>
      <w:r w:rsidRPr="006E14A5">
        <w:t xml:space="preserve"> response from baseline to 24 and 48 weeks</w:t>
      </w:r>
      <w:r>
        <w:t xml:space="preserve"> and the incremental difference was consistently above the </w:t>
      </w:r>
      <w:r w:rsidR="0057401E" w:rsidRPr="00051281">
        <w:t xml:space="preserve">minimally clinically important difference (MCID) </w:t>
      </w:r>
      <w:r>
        <w:t xml:space="preserve"> of 0.1 L. </w:t>
      </w:r>
    </w:p>
    <w:p w:rsidR="00862502" w:rsidRPr="00051281" w:rsidRDefault="00A73134" w:rsidP="003841D3">
      <w:pPr>
        <w:pStyle w:val="ListParagraph"/>
        <w:widowControl/>
        <w:numPr>
          <w:ilvl w:val="1"/>
          <w:numId w:val="1"/>
        </w:numPr>
        <w:spacing w:after="120"/>
      </w:pPr>
      <w:r w:rsidRPr="00051281">
        <w:rPr>
          <w:rFonts w:cs="Calibri"/>
          <w:snapToGrid/>
          <w:szCs w:val="24"/>
          <w:lang w:val="en-US" w:eastAsia="en-AU"/>
        </w:rPr>
        <w:t xml:space="preserve">Details of the trials presented in the submission are provided in the table below.  </w:t>
      </w:r>
    </w:p>
    <w:p w:rsidR="008E0D3C" w:rsidRPr="00051281" w:rsidRDefault="008E0D3C" w:rsidP="00845A39">
      <w:pPr>
        <w:keepNext/>
        <w:keepLines/>
        <w:rPr>
          <w:rStyle w:val="CommentReference"/>
        </w:rPr>
      </w:pPr>
      <w:r w:rsidRPr="00051281">
        <w:rPr>
          <w:rStyle w:val="CommentReference"/>
        </w:rPr>
        <w:t xml:space="preserve">Table </w:t>
      </w:r>
      <w:r w:rsidR="004760C2" w:rsidRPr="00051281">
        <w:rPr>
          <w:rStyle w:val="CommentReference"/>
        </w:rPr>
        <w:t>2</w:t>
      </w:r>
      <w:r w:rsidRPr="00051281">
        <w:rPr>
          <w:rStyle w:val="CommentReference"/>
        </w:rPr>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46"/>
        <w:gridCol w:w="5499"/>
        <w:gridCol w:w="2138"/>
      </w:tblGrid>
      <w:tr w:rsidR="008E0D3C" w:rsidRPr="00051281" w:rsidTr="004574B9">
        <w:trPr>
          <w:tblHeader/>
        </w:trPr>
        <w:tc>
          <w:tcPr>
            <w:tcW w:w="796" w:type="pct"/>
            <w:vAlign w:val="center"/>
          </w:tcPr>
          <w:p w:rsidR="008E0D3C" w:rsidRPr="00051281" w:rsidRDefault="008E0D3C" w:rsidP="00845A39">
            <w:pPr>
              <w:pStyle w:val="Tabletext"/>
              <w:keepNext/>
              <w:keepLines/>
              <w:rPr>
                <w:b/>
              </w:rPr>
            </w:pPr>
            <w:r w:rsidRPr="00051281">
              <w:rPr>
                <w:b/>
              </w:rPr>
              <w:t>Trial ID</w:t>
            </w:r>
          </w:p>
        </w:tc>
        <w:tc>
          <w:tcPr>
            <w:tcW w:w="3027" w:type="pct"/>
            <w:tcBorders>
              <w:bottom w:val="single" w:sz="4" w:space="0" w:color="auto"/>
            </w:tcBorders>
            <w:vAlign w:val="center"/>
          </w:tcPr>
          <w:p w:rsidR="008E0D3C" w:rsidRPr="00051281" w:rsidRDefault="008E0D3C" w:rsidP="00845A39">
            <w:pPr>
              <w:pStyle w:val="Tabletext"/>
              <w:keepNext/>
              <w:keepLines/>
              <w:jc w:val="center"/>
              <w:rPr>
                <w:b/>
              </w:rPr>
            </w:pPr>
            <w:r w:rsidRPr="00051281">
              <w:rPr>
                <w:b/>
              </w:rPr>
              <w:t>Protocol title/ Publication title</w:t>
            </w:r>
          </w:p>
        </w:tc>
        <w:tc>
          <w:tcPr>
            <w:tcW w:w="1177" w:type="pct"/>
            <w:tcBorders>
              <w:bottom w:val="single" w:sz="4" w:space="0" w:color="auto"/>
            </w:tcBorders>
            <w:vAlign w:val="center"/>
          </w:tcPr>
          <w:p w:rsidR="008E0D3C" w:rsidRPr="00051281" w:rsidRDefault="008E0D3C" w:rsidP="00845A39">
            <w:pPr>
              <w:pStyle w:val="Tabletext"/>
              <w:keepNext/>
              <w:keepLines/>
              <w:jc w:val="center"/>
              <w:rPr>
                <w:b/>
              </w:rPr>
            </w:pPr>
            <w:r w:rsidRPr="00051281">
              <w:rPr>
                <w:b/>
              </w:rPr>
              <w:t>Publication citation</w:t>
            </w:r>
          </w:p>
        </w:tc>
      </w:tr>
      <w:tr w:rsidR="00744E71" w:rsidRPr="00051281" w:rsidTr="004574B9">
        <w:tc>
          <w:tcPr>
            <w:tcW w:w="796" w:type="pct"/>
            <w:vMerge w:val="restart"/>
            <w:vAlign w:val="center"/>
          </w:tcPr>
          <w:p w:rsidR="00744E71" w:rsidRPr="00051281" w:rsidRDefault="00744E71" w:rsidP="00845A39">
            <w:pPr>
              <w:pStyle w:val="Tabletext"/>
              <w:keepNext/>
              <w:keepLines/>
            </w:pPr>
            <w:r w:rsidRPr="00051281">
              <w:t>Trial 205.456</w:t>
            </w:r>
          </w:p>
          <w:p w:rsidR="00744E71" w:rsidRPr="00051281" w:rsidRDefault="00744E71" w:rsidP="00845A39">
            <w:pPr>
              <w:pStyle w:val="Tabletext"/>
              <w:keepNext/>
              <w:keepLines/>
              <w:rPr>
                <w:rFonts w:ascii="Times" w:hAnsi="Times"/>
              </w:rPr>
            </w:pPr>
            <w:r w:rsidRPr="00051281">
              <w:t>(NCT01277523)</w:t>
            </w:r>
          </w:p>
        </w:tc>
        <w:tc>
          <w:tcPr>
            <w:tcW w:w="3027" w:type="pct"/>
            <w:tcBorders>
              <w:bottom w:val="nil"/>
              <w:right w:val="single" w:sz="4" w:space="0" w:color="auto"/>
            </w:tcBorders>
            <w:vAlign w:val="center"/>
          </w:tcPr>
          <w:p w:rsidR="00744E71" w:rsidRPr="00051281" w:rsidRDefault="00744E71" w:rsidP="00845A39">
            <w:pPr>
              <w:pStyle w:val="Tabletext"/>
              <w:keepNext/>
              <w:keepLines/>
            </w:pPr>
            <w:r w:rsidRPr="00051281">
              <w:t xml:space="preserve">A </w:t>
            </w:r>
            <w:r w:rsidR="00E80476" w:rsidRPr="00051281">
              <w:t>r</w:t>
            </w:r>
            <w:r w:rsidRPr="00051281">
              <w:t xml:space="preserve">andomised, </w:t>
            </w:r>
            <w:r w:rsidR="00E80476" w:rsidRPr="00051281">
              <w:t>d</w:t>
            </w:r>
            <w:r w:rsidRPr="00051281">
              <w:t xml:space="preserve">ouble-blind, </w:t>
            </w:r>
            <w:r w:rsidR="00E80476" w:rsidRPr="00051281">
              <w:t>p</w:t>
            </w:r>
            <w:r w:rsidRPr="00051281">
              <w:t xml:space="preserve">lacebo-controlled, </w:t>
            </w:r>
            <w:r w:rsidR="00E80476" w:rsidRPr="00051281">
              <w:t>p</w:t>
            </w:r>
            <w:r w:rsidRPr="00051281">
              <w:t xml:space="preserve">arallel-group </w:t>
            </w:r>
            <w:r w:rsidR="00E80476" w:rsidRPr="00051281">
              <w:t>t</w:t>
            </w:r>
            <w:r w:rsidRPr="00051281">
              <w:t xml:space="preserve">rial to </w:t>
            </w:r>
            <w:r w:rsidR="00E80476" w:rsidRPr="00051281">
              <w:t>e</w:t>
            </w:r>
            <w:r w:rsidRPr="00051281">
              <w:t xml:space="preserve">valuate </w:t>
            </w:r>
            <w:r w:rsidR="00E80476" w:rsidRPr="00051281">
              <w:t>e</w:t>
            </w:r>
            <w:r w:rsidRPr="00051281">
              <w:t xml:space="preserve">fficacy and </w:t>
            </w:r>
            <w:r w:rsidR="00E80476" w:rsidRPr="00051281">
              <w:t>s</w:t>
            </w:r>
            <w:r w:rsidRPr="00051281">
              <w:t xml:space="preserve">afety of </w:t>
            </w:r>
            <w:r w:rsidR="00E80476" w:rsidRPr="00051281">
              <w:t>t</w:t>
            </w:r>
            <w:r w:rsidRPr="00051281">
              <w:t xml:space="preserve">iotropium </w:t>
            </w:r>
            <w:r w:rsidR="00E80476" w:rsidRPr="00051281">
              <w:t>i</w:t>
            </w:r>
            <w:r w:rsidRPr="00051281">
              <w:t xml:space="preserve">nhalation </w:t>
            </w:r>
            <w:r w:rsidR="00E80476" w:rsidRPr="00051281">
              <w:t>s</w:t>
            </w:r>
            <w:r w:rsidRPr="00051281">
              <w:t xml:space="preserve">olution </w:t>
            </w:r>
            <w:r w:rsidR="00E80476" w:rsidRPr="00051281">
              <w:t>d</w:t>
            </w:r>
            <w:r w:rsidRPr="00051281">
              <w:t xml:space="preserve">elivered </w:t>
            </w:r>
            <w:r w:rsidR="00E80476" w:rsidRPr="00051281">
              <w:t>v</w:t>
            </w:r>
            <w:r w:rsidRPr="00051281">
              <w:t xml:space="preserve">ia </w:t>
            </w:r>
            <w:proofErr w:type="spellStart"/>
            <w:r w:rsidRPr="00051281">
              <w:t>Respimat</w:t>
            </w:r>
            <w:proofErr w:type="spellEnd"/>
            <w:r w:rsidRPr="00051281">
              <w:t xml:space="preserve">® </w:t>
            </w:r>
            <w:r w:rsidR="00E80476" w:rsidRPr="00051281">
              <w:t>i</w:t>
            </w:r>
            <w:r w:rsidRPr="00051281">
              <w:t xml:space="preserve">nhaler (2.5 mcg and 5 mcg </w:t>
            </w:r>
            <w:r w:rsidR="00E80476" w:rsidRPr="00051281">
              <w:t>o</w:t>
            </w:r>
            <w:r w:rsidRPr="00051281">
              <w:t xml:space="preserve">nce </w:t>
            </w:r>
            <w:r w:rsidR="00E80476" w:rsidRPr="00051281">
              <w:t>d</w:t>
            </w:r>
            <w:r w:rsidRPr="00051281">
              <w:t xml:space="preserve">aily) </w:t>
            </w:r>
            <w:r w:rsidR="00E80476" w:rsidRPr="00051281">
              <w:t>o</w:t>
            </w:r>
            <w:r w:rsidRPr="00051281">
              <w:t xml:space="preserve">ver 12 </w:t>
            </w:r>
            <w:r w:rsidR="00E80476" w:rsidRPr="00051281">
              <w:t>w</w:t>
            </w:r>
            <w:r w:rsidRPr="00051281">
              <w:t xml:space="preserve">eeks as add-on </w:t>
            </w:r>
            <w:r w:rsidR="00E80476" w:rsidRPr="00051281">
              <w:t>c</w:t>
            </w:r>
            <w:r w:rsidRPr="00051281">
              <w:t xml:space="preserve">ontroller </w:t>
            </w:r>
            <w:r w:rsidR="00E80476" w:rsidRPr="00051281">
              <w:t>t</w:t>
            </w:r>
            <w:r w:rsidRPr="00051281">
              <w:t xml:space="preserve">herapy on </w:t>
            </w:r>
            <w:r w:rsidR="00E80476" w:rsidRPr="00051281">
              <w:t>t</w:t>
            </w:r>
            <w:r w:rsidRPr="00051281">
              <w:t xml:space="preserve">op of </w:t>
            </w:r>
            <w:r w:rsidR="00E80476" w:rsidRPr="00051281">
              <w:t>u</w:t>
            </w:r>
            <w:r w:rsidRPr="00051281">
              <w:t xml:space="preserve">sual </w:t>
            </w:r>
            <w:r w:rsidR="00E80476" w:rsidRPr="00051281">
              <w:t>c</w:t>
            </w:r>
            <w:r w:rsidRPr="00051281">
              <w:t xml:space="preserve">are in </w:t>
            </w:r>
            <w:r w:rsidR="00E80476" w:rsidRPr="00051281">
              <w:t>a</w:t>
            </w:r>
            <w:r w:rsidRPr="00051281">
              <w:t xml:space="preserve">dolescents (12 to 17 </w:t>
            </w:r>
            <w:r w:rsidR="00E80476" w:rsidRPr="00051281">
              <w:t>y</w:t>
            </w:r>
            <w:r w:rsidRPr="00051281">
              <w:t xml:space="preserve">ears </w:t>
            </w:r>
            <w:r w:rsidR="00E80476" w:rsidRPr="00051281">
              <w:t>o</w:t>
            </w:r>
            <w:r w:rsidRPr="00051281">
              <w:t xml:space="preserve">ld) </w:t>
            </w:r>
            <w:r w:rsidR="00E80476" w:rsidRPr="00051281">
              <w:t>w</w:t>
            </w:r>
            <w:r w:rsidRPr="00051281">
              <w:t xml:space="preserve">ith </w:t>
            </w:r>
            <w:r w:rsidR="00E80476" w:rsidRPr="00051281">
              <w:t>s</w:t>
            </w:r>
            <w:r w:rsidRPr="00051281">
              <w:t xml:space="preserve">evere </w:t>
            </w:r>
            <w:r w:rsidR="00E80476" w:rsidRPr="00051281">
              <w:t>p</w:t>
            </w:r>
            <w:r w:rsidRPr="00051281">
              <w:t xml:space="preserve">ersistent </w:t>
            </w:r>
            <w:r w:rsidR="00E80476" w:rsidRPr="00051281">
              <w:t>a</w:t>
            </w:r>
            <w:r w:rsidRPr="00051281">
              <w:t>sthma</w:t>
            </w:r>
            <w:r w:rsidR="00C11A53" w:rsidRPr="00051281">
              <w:t>.</w:t>
            </w:r>
          </w:p>
        </w:tc>
        <w:tc>
          <w:tcPr>
            <w:tcW w:w="1177" w:type="pct"/>
            <w:tcBorders>
              <w:left w:val="single" w:sz="4" w:space="0" w:color="auto"/>
              <w:bottom w:val="nil"/>
            </w:tcBorders>
            <w:vAlign w:val="center"/>
          </w:tcPr>
          <w:p w:rsidR="00744E71" w:rsidRPr="00051281" w:rsidRDefault="00744E71" w:rsidP="00845A39">
            <w:pPr>
              <w:pStyle w:val="Tabletext"/>
              <w:keepNext/>
              <w:keepLines/>
              <w:rPr>
                <w:rFonts w:ascii="Times" w:hAnsi="Times"/>
              </w:rPr>
            </w:pPr>
            <w:r w:rsidRPr="00051281">
              <w:t>April 2014</w:t>
            </w:r>
          </w:p>
        </w:tc>
      </w:tr>
      <w:tr w:rsidR="00744E71" w:rsidRPr="00051281" w:rsidTr="004574B9">
        <w:tc>
          <w:tcPr>
            <w:tcW w:w="796" w:type="pct"/>
            <w:vMerge/>
            <w:tcBorders>
              <w:bottom w:val="nil"/>
            </w:tcBorders>
            <w:vAlign w:val="center"/>
          </w:tcPr>
          <w:p w:rsidR="00744E71" w:rsidRPr="00051281" w:rsidRDefault="00744E71" w:rsidP="00845A39">
            <w:pPr>
              <w:pStyle w:val="Tabletext"/>
              <w:keepNext/>
              <w:keepLines/>
            </w:pPr>
          </w:p>
        </w:tc>
        <w:tc>
          <w:tcPr>
            <w:tcW w:w="3027" w:type="pct"/>
            <w:tcBorders>
              <w:top w:val="nil"/>
              <w:bottom w:val="single" w:sz="4" w:space="0" w:color="auto"/>
              <w:right w:val="single" w:sz="4" w:space="0" w:color="auto"/>
            </w:tcBorders>
            <w:vAlign w:val="center"/>
          </w:tcPr>
          <w:p w:rsidR="00744E71" w:rsidRPr="00051281" w:rsidRDefault="00744E71" w:rsidP="00845A39">
            <w:pPr>
              <w:pStyle w:val="Tabletext"/>
              <w:keepNext/>
              <w:keepLines/>
            </w:pPr>
            <w:proofErr w:type="spellStart"/>
            <w:r w:rsidRPr="00051281">
              <w:t>Hamelmann</w:t>
            </w:r>
            <w:proofErr w:type="spellEnd"/>
            <w:r w:rsidR="00C11A53" w:rsidRPr="00051281">
              <w:t xml:space="preserve"> E</w:t>
            </w:r>
            <w:r w:rsidRPr="00051281">
              <w:t xml:space="preserve">, Bernstein </w:t>
            </w:r>
            <w:r w:rsidR="00C11A53" w:rsidRPr="00051281">
              <w:t xml:space="preserve">JA, </w:t>
            </w:r>
            <w:r w:rsidRPr="00051281">
              <w:t>et al. A randomised controlled trial of tiotropium in adolescents with severe symptomatic asthma</w:t>
            </w:r>
            <w:r w:rsidR="00C11A53" w:rsidRPr="00051281">
              <w:t>.</w:t>
            </w:r>
          </w:p>
        </w:tc>
        <w:tc>
          <w:tcPr>
            <w:tcW w:w="1177" w:type="pct"/>
            <w:tcBorders>
              <w:top w:val="nil"/>
              <w:left w:val="single" w:sz="4" w:space="0" w:color="auto"/>
              <w:bottom w:val="single" w:sz="4" w:space="0" w:color="auto"/>
            </w:tcBorders>
            <w:vAlign w:val="center"/>
          </w:tcPr>
          <w:p w:rsidR="00744E71" w:rsidRPr="00051281" w:rsidRDefault="00744E71" w:rsidP="00845A39">
            <w:pPr>
              <w:pStyle w:val="Tabletext"/>
              <w:keepNext/>
              <w:keepLines/>
              <w:rPr>
                <w:szCs w:val="18"/>
                <w:lang w:eastAsia="en-AU"/>
              </w:rPr>
            </w:pPr>
            <w:proofErr w:type="spellStart"/>
            <w:r w:rsidRPr="00051281">
              <w:rPr>
                <w:rFonts w:eastAsiaTheme="minorEastAsia" w:cs="Segoe UI"/>
                <w:lang w:eastAsia="zh-CN" w:bidi="th-TH"/>
              </w:rPr>
              <w:t>Eur</w:t>
            </w:r>
            <w:proofErr w:type="spellEnd"/>
            <w:r w:rsidRPr="00051281">
              <w:rPr>
                <w:rFonts w:eastAsiaTheme="minorEastAsia" w:cs="Segoe UI"/>
                <w:lang w:eastAsia="zh-CN" w:bidi="th-TH"/>
              </w:rPr>
              <w:t xml:space="preserve"> </w:t>
            </w:r>
            <w:proofErr w:type="spellStart"/>
            <w:r w:rsidRPr="00051281">
              <w:rPr>
                <w:rFonts w:eastAsiaTheme="minorEastAsia" w:cs="Segoe UI"/>
                <w:lang w:eastAsia="zh-CN" w:bidi="th-TH"/>
              </w:rPr>
              <w:t>Respir</w:t>
            </w:r>
            <w:proofErr w:type="spellEnd"/>
            <w:r w:rsidRPr="00051281">
              <w:rPr>
                <w:rFonts w:eastAsiaTheme="minorEastAsia" w:cs="Segoe UI"/>
                <w:lang w:eastAsia="zh-CN" w:bidi="th-TH"/>
              </w:rPr>
              <w:t xml:space="preserve"> J. 2017</w:t>
            </w:r>
            <w:r w:rsidRPr="00051281">
              <w:rPr>
                <w:szCs w:val="18"/>
                <w:lang w:eastAsia="en-AU"/>
              </w:rPr>
              <w:t xml:space="preserve">; </w:t>
            </w:r>
            <w:r w:rsidRPr="00051281">
              <w:t>49 (1601100)</w:t>
            </w:r>
            <w:r w:rsidRPr="00051281">
              <w:rPr>
                <w:szCs w:val="18"/>
                <w:lang w:eastAsia="en-AU"/>
              </w:rPr>
              <w:t>: 1-10</w:t>
            </w:r>
          </w:p>
        </w:tc>
      </w:tr>
      <w:tr w:rsidR="00744E71" w:rsidRPr="00051281" w:rsidTr="004574B9">
        <w:tc>
          <w:tcPr>
            <w:tcW w:w="796" w:type="pct"/>
            <w:vMerge w:val="restart"/>
            <w:vAlign w:val="center"/>
          </w:tcPr>
          <w:p w:rsidR="00744E71" w:rsidRPr="00051281" w:rsidRDefault="00744E71" w:rsidP="00845A39">
            <w:pPr>
              <w:pStyle w:val="Tabletext"/>
              <w:keepNext/>
              <w:keepLines/>
            </w:pPr>
            <w:r w:rsidRPr="00051281">
              <w:t>Trial 205.446</w:t>
            </w:r>
          </w:p>
          <w:p w:rsidR="00744E71" w:rsidRPr="00051281" w:rsidRDefault="00744E71" w:rsidP="00845A39">
            <w:pPr>
              <w:pStyle w:val="Tabletext"/>
              <w:keepNext/>
              <w:keepLines/>
              <w:rPr>
                <w:rFonts w:ascii="Times" w:hAnsi="Times"/>
              </w:rPr>
            </w:pPr>
            <w:r w:rsidRPr="00051281">
              <w:t>(NCT01634152)</w:t>
            </w:r>
          </w:p>
        </w:tc>
        <w:tc>
          <w:tcPr>
            <w:tcW w:w="3027" w:type="pct"/>
            <w:tcBorders>
              <w:bottom w:val="nil"/>
            </w:tcBorders>
            <w:vAlign w:val="center"/>
          </w:tcPr>
          <w:p w:rsidR="00744E71" w:rsidRPr="00051281" w:rsidRDefault="00744E71" w:rsidP="00845A39">
            <w:pPr>
              <w:pStyle w:val="Tabletext"/>
              <w:keepNext/>
              <w:keepLines/>
            </w:pPr>
            <w:r w:rsidRPr="00051281">
              <w:t>A randomised, double-blind, placebo-controlled, parallel-group trial to</w:t>
            </w:r>
          </w:p>
          <w:p w:rsidR="00744E71" w:rsidRPr="00051281" w:rsidRDefault="00744E71" w:rsidP="00845A39">
            <w:pPr>
              <w:pStyle w:val="Tabletext"/>
              <w:keepNext/>
              <w:keepLines/>
            </w:pPr>
            <w:r w:rsidRPr="00051281">
              <w:t xml:space="preserve">evaluate efficacy and safety of tiotropium inhalation solution (2.5 </w:t>
            </w:r>
            <w:proofErr w:type="spellStart"/>
            <w:r w:rsidRPr="00051281">
              <w:t>μg</w:t>
            </w:r>
            <w:proofErr w:type="spellEnd"/>
          </w:p>
          <w:p w:rsidR="00744E71" w:rsidRPr="00051281" w:rsidRDefault="00744E71" w:rsidP="00845A39">
            <w:pPr>
              <w:pStyle w:val="Tabletext"/>
              <w:keepNext/>
              <w:keepLines/>
            </w:pPr>
            <w:r w:rsidRPr="00051281">
              <w:t xml:space="preserve">and 5 </w:t>
            </w:r>
            <w:proofErr w:type="spellStart"/>
            <w:r w:rsidRPr="00051281">
              <w:t>μg</w:t>
            </w:r>
            <w:proofErr w:type="spellEnd"/>
            <w:r w:rsidRPr="00051281">
              <w:t xml:space="preserve">) delivered via </w:t>
            </w:r>
            <w:proofErr w:type="spellStart"/>
            <w:r w:rsidRPr="00051281">
              <w:t>Respimat</w:t>
            </w:r>
            <w:proofErr w:type="spellEnd"/>
            <w:r w:rsidRPr="00051281">
              <w:t>® inhaler once daily in the evening</w:t>
            </w:r>
            <w:r w:rsidR="00C11A53" w:rsidRPr="00051281">
              <w:t xml:space="preserve"> </w:t>
            </w:r>
            <w:r w:rsidRPr="00051281">
              <w:t xml:space="preserve">over 12 weeks as add-on controller therapy on top of usual care in children (6 to 11 years old) with severe persistent asthma. </w:t>
            </w:r>
          </w:p>
        </w:tc>
        <w:tc>
          <w:tcPr>
            <w:tcW w:w="1177" w:type="pct"/>
            <w:tcBorders>
              <w:bottom w:val="nil"/>
            </w:tcBorders>
            <w:vAlign w:val="center"/>
          </w:tcPr>
          <w:p w:rsidR="00744E71" w:rsidRPr="00051281" w:rsidRDefault="00744E71" w:rsidP="00845A39">
            <w:pPr>
              <w:pStyle w:val="Tabletext"/>
              <w:keepNext/>
              <w:keepLines/>
            </w:pPr>
            <w:r w:rsidRPr="00051281">
              <w:t>September 2015</w:t>
            </w:r>
          </w:p>
        </w:tc>
      </w:tr>
      <w:tr w:rsidR="00744E71" w:rsidRPr="00051281" w:rsidTr="004574B9">
        <w:tc>
          <w:tcPr>
            <w:tcW w:w="796" w:type="pct"/>
            <w:vMerge/>
            <w:tcBorders>
              <w:bottom w:val="single" w:sz="4" w:space="0" w:color="auto"/>
            </w:tcBorders>
            <w:vAlign w:val="center"/>
          </w:tcPr>
          <w:p w:rsidR="00744E71" w:rsidRPr="00051281" w:rsidRDefault="00744E71" w:rsidP="00845A39">
            <w:pPr>
              <w:pStyle w:val="Tabletext"/>
              <w:keepNext/>
              <w:keepLines/>
            </w:pPr>
          </w:p>
        </w:tc>
        <w:tc>
          <w:tcPr>
            <w:tcW w:w="3027" w:type="pct"/>
            <w:tcBorders>
              <w:top w:val="nil"/>
              <w:bottom w:val="single" w:sz="4" w:space="0" w:color="auto"/>
            </w:tcBorders>
            <w:vAlign w:val="center"/>
          </w:tcPr>
          <w:p w:rsidR="00744E71" w:rsidRPr="00051281" w:rsidRDefault="00744E71" w:rsidP="00845A39">
            <w:pPr>
              <w:pStyle w:val="Tabletext"/>
              <w:keepNext/>
              <w:keepLines/>
            </w:pPr>
            <w:proofErr w:type="spellStart"/>
            <w:r w:rsidRPr="00051281">
              <w:t>Szefler</w:t>
            </w:r>
            <w:proofErr w:type="spellEnd"/>
            <w:r w:rsidR="00C11A53" w:rsidRPr="00051281">
              <w:t xml:space="preserve"> SJ</w:t>
            </w:r>
            <w:r w:rsidRPr="00051281">
              <w:t xml:space="preserve">, Murphy </w:t>
            </w:r>
            <w:r w:rsidR="00C11A53" w:rsidRPr="00051281">
              <w:t xml:space="preserve">K, </w:t>
            </w:r>
            <w:r w:rsidRPr="00051281">
              <w:t>et al. A phase III randomized controlled trial of tiotropium add-on therapy in children with severe symptomatic asthma.</w:t>
            </w:r>
          </w:p>
        </w:tc>
        <w:tc>
          <w:tcPr>
            <w:tcW w:w="1177" w:type="pct"/>
            <w:tcBorders>
              <w:top w:val="nil"/>
              <w:bottom w:val="single" w:sz="4" w:space="0" w:color="auto"/>
            </w:tcBorders>
            <w:vAlign w:val="center"/>
          </w:tcPr>
          <w:p w:rsidR="00744E71" w:rsidRPr="00051281" w:rsidRDefault="00744E71" w:rsidP="00845A39">
            <w:pPr>
              <w:pStyle w:val="Tabletext"/>
              <w:keepNext/>
              <w:keepLines/>
            </w:pPr>
            <w:r w:rsidRPr="00051281">
              <w:rPr>
                <w:szCs w:val="18"/>
              </w:rPr>
              <w:t xml:space="preserve">J Allergy </w:t>
            </w:r>
            <w:proofErr w:type="spellStart"/>
            <w:r w:rsidRPr="00051281">
              <w:rPr>
                <w:szCs w:val="18"/>
              </w:rPr>
              <w:t>Clin</w:t>
            </w:r>
            <w:proofErr w:type="spellEnd"/>
            <w:r w:rsidRPr="00051281">
              <w:rPr>
                <w:szCs w:val="18"/>
              </w:rPr>
              <w:t xml:space="preserve"> </w:t>
            </w:r>
            <w:proofErr w:type="spellStart"/>
            <w:r w:rsidRPr="00051281">
              <w:rPr>
                <w:szCs w:val="18"/>
              </w:rPr>
              <w:t>Immunol</w:t>
            </w:r>
            <w:proofErr w:type="spellEnd"/>
            <w:r w:rsidRPr="00051281">
              <w:rPr>
                <w:szCs w:val="18"/>
              </w:rPr>
              <w:t xml:space="preserve"> 2017; 140 (5): </w:t>
            </w:r>
            <w:r w:rsidRPr="00051281">
              <w:t>1277-1287</w:t>
            </w:r>
            <w:r w:rsidRPr="00051281">
              <w:rPr>
                <w:szCs w:val="18"/>
              </w:rPr>
              <w:t xml:space="preserve"> </w:t>
            </w:r>
          </w:p>
        </w:tc>
      </w:tr>
    </w:tbl>
    <w:p w:rsidR="00862502" w:rsidRDefault="00744E71" w:rsidP="002B50A8">
      <w:pPr>
        <w:pStyle w:val="TableFooter"/>
        <w:keepNext/>
        <w:keepLines/>
      </w:pPr>
      <w:r w:rsidRPr="00051281">
        <w:t>Source: Table 2.1, p</w:t>
      </w:r>
      <w:r w:rsidR="00C11A53" w:rsidRPr="00051281">
        <w:t>p</w:t>
      </w:r>
      <w:r w:rsidRPr="00051281">
        <w:t>52-53 of the submission</w:t>
      </w:r>
    </w:p>
    <w:p w:rsidR="002B50A8" w:rsidRPr="002B50A8" w:rsidRDefault="002B50A8" w:rsidP="002B50A8">
      <w:pPr>
        <w:pStyle w:val="TableFooter"/>
        <w:keepNext/>
        <w:keepLines/>
        <w:rPr>
          <w:sz w:val="20"/>
        </w:rPr>
      </w:pPr>
      <w:bookmarkStart w:id="7" w:name="_GoBack"/>
      <w:bookmarkEnd w:id="7"/>
    </w:p>
    <w:p w:rsidR="00937A09" w:rsidRPr="00051281" w:rsidRDefault="00937A09" w:rsidP="003841D3">
      <w:pPr>
        <w:pStyle w:val="ListParagraph"/>
        <w:widowControl/>
        <w:numPr>
          <w:ilvl w:val="1"/>
          <w:numId w:val="1"/>
        </w:numPr>
        <w:spacing w:after="120"/>
      </w:pPr>
      <w:r w:rsidRPr="00051281">
        <w:t xml:space="preserve">Both trials included an arm that received a 2.5 µg daily dose of tiotropium. These were excluded from the analyses as the requested TGA application and PBS listing was for a 5 µg daily dose. </w:t>
      </w:r>
    </w:p>
    <w:p w:rsidR="008117E2" w:rsidRPr="00051281" w:rsidRDefault="00563431" w:rsidP="00523898">
      <w:pPr>
        <w:pStyle w:val="ListParagraph"/>
        <w:widowControl/>
        <w:numPr>
          <w:ilvl w:val="1"/>
          <w:numId w:val="1"/>
        </w:numPr>
        <w:spacing w:after="120"/>
      </w:pPr>
      <w:r w:rsidRPr="00051281">
        <w:t xml:space="preserve">Baseline characteristics suggested that randomisation was successful in both trials, and the majority of patients were receiving high dose ICS and a LABA. The proportion of patients receiving concomitant </w:t>
      </w:r>
      <w:r w:rsidR="00910114" w:rsidRPr="00051281">
        <w:t>leukotriene receptor antagonist (</w:t>
      </w:r>
      <w:r w:rsidRPr="00051281">
        <w:t>LTRA</w:t>
      </w:r>
      <w:r w:rsidR="00910114" w:rsidRPr="00051281">
        <w:t>)</w:t>
      </w:r>
      <w:r w:rsidRPr="00051281">
        <w:t xml:space="preserve"> therapy was high in both trials</w:t>
      </w:r>
      <w:r w:rsidR="00424E03" w:rsidRPr="00051281">
        <w:t xml:space="preserve"> (86% in trial 205.446 and 80% in trial 205.456)</w:t>
      </w:r>
      <w:r w:rsidRPr="00051281">
        <w:t xml:space="preserve">; this was not </w:t>
      </w:r>
      <w:r w:rsidRPr="00051281">
        <w:lastRenderedPageBreak/>
        <w:t>consistent with the proposed PBS restriction.</w:t>
      </w:r>
      <w:r w:rsidR="00523898" w:rsidRPr="00051281">
        <w:t xml:space="preserve"> </w:t>
      </w:r>
      <w:r w:rsidR="008117E2" w:rsidRPr="00051281">
        <w:t>The effect of trial patients being more highly treated in terms of efficacy and safety outcomes was uncertain.</w:t>
      </w:r>
      <w:r w:rsidR="003410C3" w:rsidRPr="00051281">
        <w:t xml:space="preserve"> The </w:t>
      </w:r>
      <w:r w:rsidR="00523898" w:rsidRPr="00051281">
        <w:t>Pre-Sub-Committee</w:t>
      </w:r>
      <w:r w:rsidR="006E14A5">
        <w:t xml:space="preserve"> </w:t>
      </w:r>
      <w:r w:rsidR="009874CA">
        <w:t>Response</w:t>
      </w:r>
      <w:r w:rsidR="00523898" w:rsidRPr="00051281">
        <w:t xml:space="preserve"> (</w:t>
      </w:r>
      <w:r w:rsidR="003410C3" w:rsidRPr="00051281">
        <w:t>PSCR</w:t>
      </w:r>
      <w:r w:rsidR="00523898" w:rsidRPr="00051281">
        <w:t>)</w:t>
      </w:r>
      <w:r w:rsidR="00D27C9C" w:rsidRPr="00051281">
        <w:t xml:space="preserve"> </w:t>
      </w:r>
      <w:proofErr w:type="spellStart"/>
      <w:r w:rsidR="003410C3" w:rsidRPr="00051281">
        <w:t>refer</w:t>
      </w:r>
      <w:r w:rsidR="00A40236">
        <w:t>ed</w:t>
      </w:r>
      <w:proofErr w:type="spellEnd"/>
      <w:r w:rsidR="003410C3" w:rsidRPr="00051281">
        <w:t xml:space="preserve"> to a previous PBAC </w:t>
      </w:r>
      <w:r w:rsidR="0033214B" w:rsidRPr="00051281">
        <w:t>consideration</w:t>
      </w:r>
      <w:r w:rsidR="003410C3" w:rsidRPr="00051281">
        <w:t xml:space="preserve"> </w:t>
      </w:r>
      <w:r w:rsidR="0033214B" w:rsidRPr="00051281">
        <w:t xml:space="preserve">of a </w:t>
      </w:r>
      <w:r w:rsidR="003410C3" w:rsidRPr="00051281">
        <w:t xml:space="preserve">LABA plus LAMA </w:t>
      </w:r>
      <w:r w:rsidR="0033214B" w:rsidRPr="00051281">
        <w:t xml:space="preserve">combination </w:t>
      </w:r>
      <w:r w:rsidR="003410C3" w:rsidRPr="00051281">
        <w:t xml:space="preserve">for </w:t>
      </w:r>
      <w:r w:rsidR="0033214B" w:rsidRPr="00051281">
        <w:t>chronic obstructive pulmonary disease (</w:t>
      </w:r>
      <w:r w:rsidR="003410C3" w:rsidRPr="00051281">
        <w:t>COPD</w:t>
      </w:r>
      <w:r w:rsidR="0033214B" w:rsidRPr="00051281">
        <w:t>)</w:t>
      </w:r>
      <w:r w:rsidR="00D27C9C" w:rsidRPr="00051281">
        <w:t xml:space="preserve"> </w:t>
      </w:r>
      <w:r w:rsidR="0033214B" w:rsidRPr="00051281">
        <w:t>(</w:t>
      </w:r>
      <w:proofErr w:type="spellStart"/>
      <w:r w:rsidR="00D27C9C" w:rsidRPr="00051281">
        <w:t>indacaterol</w:t>
      </w:r>
      <w:proofErr w:type="spellEnd"/>
      <w:r w:rsidR="00D27C9C" w:rsidRPr="00051281">
        <w:t xml:space="preserve"> with </w:t>
      </w:r>
      <w:proofErr w:type="spellStart"/>
      <w:r w:rsidR="00D27C9C" w:rsidRPr="00051281">
        <w:t>glycopyrronium</w:t>
      </w:r>
      <w:proofErr w:type="spellEnd"/>
      <w:r w:rsidR="00D27C9C" w:rsidRPr="00051281">
        <w:t xml:space="preserve"> Public Summary Document (PSD) March 2014 para 6.20</w:t>
      </w:r>
      <w:r w:rsidR="003410C3" w:rsidRPr="00051281">
        <w:t>) where it was acknowledged that</w:t>
      </w:r>
      <w:r w:rsidR="0033214B" w:rsidRPr="00051281">
        <w:t xml:space="preserve"> the incremental gain associated with add-on therapy would not be as great as the incremental gain associated with mo</w:t>
      </w:r>
      <w:r w:rsidR="00523898" w:rsidRPr="00051281">
        <w:t>notherapy compared with placebo</w:t>
      </w:r>
      <w:r w:rsidR="003410C3" w:rsidRPr="00051281">
        <w:t>. However</w:t>
      </w:r>
      <w:r w:rsidR="00523898" w:rsidRPr="00051281">
        <w:t xml:space="preserve">, the proposed restriction for tiotropium was </w:t>
      </w:r>
      <w:r w:rsidR="003410C3" w:rsidRPr="00051281">
        <w:t xml:space="preserve">add-on </w:t>
      </w:r>
      <w:r w:rsidR="00523898" w:rsidRPr="00051281">
        <w:t xml:space="preserve">to optimised usual care </w:t>
      </w:r>
      <w:r w:rsidR="003410C3" w:rsidRPr="00051281">
        <w:t>and hence the benefit needs to be tested within that context.</w:t>
      </w:r>
      <w:r w:rsidR="00523898" w:rsidRPr="00051281">
        <w:t xml:space="preserve"> The ESC considered the strong placebo responses suggested adherence to maximal optimal asthma therapy, especially in the 12–17 years group, was poor, and the addition of tiotropium was not the most clinically appropriate solution. </w:t>
      </w:r>
    </w:p>
    <w:p w:rsidR="007F1017" w:rsidRPr="00051281" w:rsidRDefault="008F120A" w:rsidP="003841D3">
      <w:pPr>
        <w:pStyle w:val="ListParagraph"/>
        <w:widowControl/>
        <w:numPr>
          <w:ilvl w:val="1"/>
          <w:numId w:val="1"/>
        </w:numPr>
        <w:spacing w:after="120"/>
      </w:pPr>
      <w:r w:rsidRPr="00051281">
        <w:t xml:space="preserve">The key features </w:t>
      </w:r>
      <w:r w:rsidR="006D5947" w:rsidRPr="00051281">
        <w:t xml:space="preserve">of the direct randomised trials </w:t>
      </w:r>
      <w:r w:rsidRPr="00051281">
        <w:t xml:space="preserve">are </w:t>
      </w:r>
      <w:r w:rsidR="00744E71" w:rsidRPr="00051281">
        <w:t xml:space="preserve">summarised in the table below. </w:t>
      </w:r>
    </w:p>
    <w:p w:rsidR="007F1017" w:rsidRPr="00051281" w:rsidRDefault="007F1017" w:rsidP="005714E4">
      <w:pPr>
        <w:keepNext/>
        <w:keepLines/>
        <w:rPr>
          <w:rStyle w:val="CommentReference"/>
        </w:rPr>
      </w:pPr>
      <w:r w:rsidRPr="00051281">
        <w:rPr>
          <w:rStyle w:val="CommentReference"/>
        </w:rPr>
        <w:t xml:space="preserve">Table </w:t>
      </w:r>
      <w:r w:rsidR="004760C2" w:rsidRPr="00051281">
        <w:rPr>
          <w:rStyle w:val="CommentReference"/>
        </w:rPr>
        <w:t>3</w:t>
      </w:r>
      <w:r w:rsidRPr="00051281">
        <w:rPr>
          <w:rStyle w:val="CommentReference"/>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52"/>
        <w:gridCol w:w="429"/>
        <w:gridCol w:w="1284"/>
        <w:gridCol w:w="714"/>
        <w:gridCol w:w="1143"/>
        <w:gridCol w:w="2714"/>
        <w:gridCol w:w="1947"/>
      </w:tblGrid>
      <w:tr w:rsidR="00D03945" w:rsidRPr="00051281" w:rsidTr="004574B9">
        <w:tc>
          <w:tcPr>
            <w:tcW w:w="469" w:type="pct"/>
            <w:shd w:val="clear" w:color="auto" w:fill="auto"/>
            <w:vAlign w:val="center"/>
          </w:tcPr>
          <w:p w:rsidR="007F1017" w:rsidRPr="00051281" w:rsidRDefault="007F1017" w:rsidP="005714E4">
            <w:pPr>
              <w:pStyle w:val="Tabletext"/>
              <w:keepNext/>
              <w:keepLines/>
              <w:rPr>
                <w:b/>
                <w:lang w:val="en-US"/>
              </w:rPr>
            </w:pPr>
            <w:r w:rsidRPr="00051281">
              <w:rPr>
                <w:b/>
                <w:lang w:val="en-US"/>
              </w:rPr>
              <w:t>Trial</w:t>
            </w:r>
          </w:p>
        </w:tc>
        <w:tc>
          <w:tcPr>
            <w:tcW w:w="236" w:type="pct"/>
            <w:shd w:val="clear" w:color="auto" w:fill="auto"/>
            <w:vAlign w:val="center"/>
          </w:tcPr>
          <w:p w:rsidR="007F1017" w:rsidRPr="00051281" w:rsidRDefault="007F1017" w:rsidP="005714E4">
            <w:pPr>
              <w:pStyle w:val="Tabletext"/>
              <w:keepNext/>
              <w:keepLines/>
              <w:jc w:val="center"/>
              <w:rPr>
                <w:b/>
                <w:lang w:val="en-US"/>
              </w:rPr>
            </w:pPr>
            <w:r w:rsidRPr="00051281">
              <w:rPr>
                <w:b/>
                <w:lang w:val="en-US"/>
              </w:rPr>
              <w:t>N</w:t>
            </w:r>
          </w:p>
        </w:tc>
        <w:tc>
          <w:tcPr>
            <w:tcW w:w="707" w:type="pct"/>
            <w:shd w:val="clear" w:color="auto" w:fill="auto"/>
            <w:vAlign w:val="center"/>
          </w:tcPr>
          <w:p w:rsidR="00D03945" w:rsidRPr="00051281" w:rsidRDefault="007F1017" w:rsidP="005714E4">
            <w:pPr>
              <w:pStyle w:val="Tabletext"/>
              <w:keepNext/>
              <w:keepLines/>
              <w:jc w:val="center"/>
              <w:rPr>
                <w:b/>
                <w:lang w:val="en-US"/>
              </w:rPr>
            </w:pPr>
            <w:r w:rsidRPr="00051281">
              <w:rPr>
                <w:b/>
                <w:lang w:val="en-US"/>
              </w:rPr>
              <w:t>Design/</w:t>
            </w:r>
          </w:p>
          <w:p w:rsidR="007F1017" w:rsidRPr="00051281" w:rsidRDefault="007F1017" w:rsidP="005714E4">
            <w:pPr>
              <w:pStyle w:val="Tabletext"/>
              <w:keepNext/>
              <w:keepLines/>
              <w:jc w:val="center"/>
              <w:rPr>
                <w:b/>
                <w:lang w:val="en-US"/>
              </w:rPr>
            </w:pPr>
            <w:r w:rsidRPr="00051281">
              <w:rPr>
                <w:b/>
                <w:lang w:val="en-US"/>
              </w:rPr>
              <w:t>duration</w:t>
            </w:r>
          </w:p>
        </w:tc>
        <w:tc>
          <w:tcPr>
            <w:tcW w:w="393" w:type="pct"/>
            <w:shd w:val="clear" w:color="auto" w:fill="auto"/>
            <w:vAlign w:val="center"/>
          </w:tcPr>
          <w:p w:rsidR="007F1017" w:rsidRPr="00051281" w:rsidRDefault="007F1017" w:rsidP="005714E4">
            <w:pPr>
              <w:pStyle w:val="Tabletext"/>
              <w:keepNext/>
              <w:keepLines/>
              <w:jc w:val="center"/>
              <w:rPr>
                <w:b/>
                <w:lang w:val="en-US"/>
              </w:rPr>
            </w:pPr>
            <w:r w:rsidRPr="00051281">
              <w:rPr>
                <w:b/>
                <w:lang w:val="en-US"/>
              </w:rPr>
              <w:t>Risk of bias</w:t>
            </w:r>
          </w:p>
        </w:tc>
        <w:tc>
          <w:tcPr>
            <w:tcW w:w="629" w:type="pct"/>
            <w:shd w:val="clear" w:color="auto" w:fill="auto"/>
            <w:vAlign w:val="center"/>
          </w:tcPr>
          <w:p w:rsidR="007F1017" w:rsidRPr="00051281" w:rsidRDefault="007F1017" w:rsidP="005714E4">
            <w:pPr>
              <w:pStyle w:val="Tabletext"/>
              <w:keepNext/>
              <w:keepLines/>
              <w:jc w:val="center"/>
              <w:rPr>
                <w:b/>
                <w:lang w:val="en-US"/>
              </w:rPr>
            </w:pPr>
            <w:r w:rsidRPr="00051281">
              <w:rPr>
                <w:b/>
                <w:lang w:val="en-US"/>
              </w:rPr>
              <w:t>Patient population</w:t>
            </w:r>
          </w:p>
        </w:tc>
        <w:tc>
          <w:tcPr>
            <w:tcW w:w="1494" w:type="pct"/>
            <w:shd w:val="clear" w:color="auto" w:fill="auto"/>
            <w:vAlign w:val="center"/>
          </w:tcPr>
          <w:p w:rsidR="007F1017" w:rsidRPr="00051281" w:rsidRDefault="006C61AA" w:rsidP="005714E4">
            <w:pPr>
              <w:pStyle w:val="Tabletext"/>
              <w:keepNext/>
              <w:keepLines/>
              <w:jc w:val="center"/>
              <w:rPr>
                <w:b/>
                <w:lang w:val="en-US"/>
              </w:rPr>
            </w:pPr>
            <w:r w:rsidRPr="00051281">
              <w:rPr>
                <w:b/>
                <w:lang w:val="en-US"/>
              </w:rPr>
              <w:t>Key o</w:t>
            </w:r>
            <w:r w:rsidR="006D5947" w:rsidRPr="00051281">
              <w:rPr>
                <w:b/>
                <w:lang w:val="en-US"/>
              </w:rPr>
              <w:t>utcomes</w:t>
            </w:r>
          </w:p>
        </w:tc>
        <w:tc>
          <w:tcPr>
            <w:tcW w:w="1072" w:type="pct"/>
            <w:shd w:val="clear" w:color="auto" w:fill="auto"/>
            <w:vAlign w:val="center"/>
          </w:tcPr>
          <w:p w:rsidR="007F1017" w:rsidRPr="00051281" w:rsidRDefault="007F1017" w:rsidP="005714E4">
            <w:pPr>
              <w:pStyle w:val="Tabletext"/>
              <w:keepNext/>
              <w:keepLines/>
              <w:jc w:val="center"/>
              <w:rPr>
                <w:b/>
                <w:lang w:val="en-US"/>
              </w:rPr>
            </w:pPr>
            <w:r w:rsidRPr="00051281">
              <w:rPr>
                <w:b/>
                <w:lang w:val="en-US"/>
              </w:rPr>
              <w:t>Use in modelled evaluation</w:t>
            </w:r>
          </w:p>
        </w:tc>
      </w:tr>
      <w:tr w:rsidR="007F1017" w:rsidRPr="00051281" w:rsidTr="004574B9">
        <w:tc>
          <w:tcPr>
            <w:tcW w:w="5000" w:type="pct"/>
            <w:gridSpan w:val="7"/>
            <w:shd w:val="clear" w:color="auto" w:fill="auto"/>
            <w:vAlign w:val="center"/>
          </w:tcPr>
          <w:p w:rsidR="007F1017" w:rsidRPr="00051281" w:rsidRDefault="00744E71" w:rsidP="005714E4">
            <w:pPr>
              <w:pStyle w:val="Tabletext"/>
              <w:keepNext/>
              <w:keepLines/>
              <w:rPr>
                <w:b/>
                <w:lang w:val="en-US"/>
              </w:rPr>
            </w:pPr>
            <w:r w:rsidRPr="00051281">
              <w:rPr>
                <w:b/>
                <w:lang w:val="en-US"/>
              </w:rPr>
              <w:t xml:space="preserve">Tiotropium vs placebo </w:t>
            </w:r>
          </w:p>
        </w:tc>
      </w:tr>
      <w:tr w:rsidR="00D03945" w:rsidRPr="00051281" w:rsidTr="00051281">
        <w:tc>
          <w:tcPr>
            <w:tcW w:w="469" w:type="pct"/>
            <w:shd w:val="clear" w:color="auto" w:fill="auto"/>
            <w:vAlign w:val="center"/>
          </w:tcPr>
          <w:p w:rsidR="007F1017" w:rsidRPr="00051281" w:rsidRDefault="006D5947" w:rsidP="005714E4">
            <w:pPr>
              <w:pStyle w:val="Tabletext"/>
              <w:keepNext/>
              <w:keepLines/>
              <w:rPr>
                <w:lang w:val="en-US"/>
              </w:rPr>
            </w:pPr>
            <w:r w:rsidRPr="00051281">
              <w:rPr>
                <w:lang w:val="en-US"/>
              </w:rPr>
              <w:t>204.446</w:t>
            </w:r>
          </w:p>
          <w:p w:rsidR="006D5947" w:rsidRPr="00051281" w:rsidRDefault="006D5947" w:rsidP="005714E4">
            <w:pPr>
              <w:pStyle w:val="Tabletext"/>
              <w:keepNext/>
              <w:keepLines/>
              <w:rPr>
                <w:lang w:val="en-US"/>
              </w:rPr>
            </w:pPr>
          </w:p>
        </w:tc>
        <w:tc>
          <w:tcPr>
            <w:tcW w:w="236" w:type="pct"/>
            <w:shd w:val="clear" w:color="auto" w:fill="auto"/>
            <w:vAlign w:val="center"/>
          </w:tcPr>
          <w:p w:rsidR="007F1017" w:rsidRPr="00051281" w:rsidRDefault="007F1017" w:rsidP="005714E4">
            <w:pPr>
              <w:pStyle w:val="Tabletext"/>
              <w:keepNext/>
              <w:keepLines/>
              <w:jc w:val="center"/>
              <w:rPr>
                <w:lang w:val="en-US"/>
              </w:rPr>
            </w:pPr>
            <w:r w:rsidRPr="00051281">
              <w:rPr>
                <w:lang w:val="en-US"/>
              </w:rPr>
              <w:t>2</w:t>
            </w:r>
            <w:r w:rsidR="006D5947" w:rsidRPr="00051281">
              <w:rPr>
                <w:lang w:val="en-US"/>
              </w:rPr>
              <w:t>64</w:t>
            </w:r>
          </w:p>
        </w:tc>
        <w:tc>
          <w:tcPr>
            <w:tcW w:w="707" w:type="pct"/>
            <w:shd w:val="clear" w:color="auto" w:fill="auto"/>
            <w:vAlign w:val="center"/>
          </w:tcPr>
          <w:p w:rsidR="00744E71" w:rsidRPr="00051281" w:rsidRDefault="00744E71" w:rsidP="005714E4">
            <w:pPr>
              <w:pStyle w:val="Tabletext"/>
              <w:keepNext/>
              <w:keepLines/>
              <w:jc w:val="center"/>
              <w:rPr>
                <w:lang w:val="en-US"/>
              </w:rPr>
            </w:pPr>
            <w:r w:rsidRPr="00051281">
              <w:rPr>
                <w:lang w:val="en-US"/>
              </w:rPr>
              <w:t xml:space="preserve">R, MC, DB, PC </w:t>
            </w:r>
          </w:p>
          <w:p w:rsidR="007F1017" w:rsidRPr="00051281" w:rsidRDefault="00744E71" w:rsidP="005714E4">
            <w:pPr>
              <w:pStyle w:val="Tabletext"/>
              <w:keepNext/>
              <w:keepLines/>
              <w:jc w:val="center"/>
              <w:rPr>
                <w:lang w:val="en-US"/>
              </w:rPr>
            </w:pPr>
            <w:r w:rsidRPr="00051281">
              <w:rPr>
                <w:lang w:val="en-US"/>
              </w:rPr>
              <w:t>12 weeks</w:t>
            </w:r>
          </w:p>
        </w:tc>
        <w:tc>
          <w:tcPr>
            <w:tcW w:w="393" w:type="pct"/>
            <w:shd w:val="clear" w:color="auto" w:fill="auto"/>
            <w:vAlign w:val="center"/>
          </w:tcPr>
          <w:p w:rsidR="007F1017" w:rsidRPr="00051281" w:rsidRDefault="007F1017" w:rsidP="005714E4">
            <w:pPr>
              <w:pStyle w:val="Tabletext"/>
              <w:keepNext/>
              <w:keepLines/>
              <w:jc w:val="center"/>
              <w:rPr>
                <w:lang w:val="en-US"/>
              </w:rPr>
            </w:pPr>
            <w:r w:rsidRPr="00051281">
              <w:rPr>
                <w:lang w:val="en-US"/>
              </w:rPr>
              <w:t>Low</w:t>
            </w:r>
          </w:p>
        </w:tc>
        <w:tc>
          <w:tcPr>
            <w:tcW w:w="629" w:type="pct"/>
            <w:shd w:val="clear" w:color="auto" w:fill="auto"/>
            <w:vAlign w:val="center"/>
          </w:tcPr>
          <w:p w:rsidR="00D03945" w:rsidRPr="00051281" w:rsidRDefault="00D03945" w:rsidP="005714E4">
            <w:pPr>
              <w:pStyle w:val="Tabletext"/>
              <w:keepNext/>
              <w:keepLines/>
              <w:jc w:val="center"/>
              <w:rPr>
                <w:lang w:val="en-US"/>
              </w:rPr>
            </w:pPr>
            <w:r w:rsidRPr="00051281">
              <w:rPr>
                <w:lang w:val="en-US"/>
              </w:rPr>
              <w:t xml:space="preserve">Children </w:t>
            </w:r>
          </w:p>
          <w:p w:rsidR="00D03945" w:rsidRPr="00051281" w:rsidRDefault="00D03945" w:rsidP="005714E4">
            <w:pPr>
              <w:pStyle w:val="Tabletext"/>
              <w:keepNext/>
              <w:keepLines/>
              <w:jc w:val="center"/>
              <w:rPr>
                <w:lang w:val="en-US"/>
              </w:rPr>
            </w:pPr>
            <w:r w:rsidRPr="00051281">
              <w:rPr>
                <w:lang w:val="en-US"/>
              </w:rPr>
              <w:t>6-11 years;</w:t>
            </w:r>
          </w:p>
          <w:p w:rsidR="007F1017" w:rsidRPr="00051281" w:rsidRDefault="00D03945" w:rsidP="005714E4">
            <w:pPr>
              <w:pStyle w:val="Tabletext"/>
              <w:keepNext/>
              <w:keepLines/>
              <w:jc w:val="center"/>
              <w:rPr>
                <w:lang w:val="en-US"/>
              </w:rPr>
            </w:pPr>
            <w:r w:rsidRPr="00051281">
              <w:rPr>
                <w:lang w:val="en-US"/>
              </w:rPr>
              <w:t>s</w:t>
            </w:r>
            <w:r w:rsidR="006D5947" w:rsidRPr="00051281">
              <w:rPr>
                <w:lang w:val="en-US"/>
              </w:rPr>
              <w:t>evere asthma</w:t>
            </w:r>
          </w:p>
        </w:tc>
        <w:tc>
          <w:tcPr>
            <w:tcW w:w="1494" w:type="pct"/>
            <w:shd w:val="clear" w:color="auto" w:fill="auto"/>
            <w:vAlign w:val="center"/>
          </w:tcPr>
          <w:p w:rsidR="006D5947" w:rsidRPr="00051281" w:rsidRDefault="006D5947" w:rsidP="00E06FAD">
            <w:pPr>
              <w:pStyle w:val="Tabletext"/>
              <w:keepNext/>
              <w:keepLines/>
              <w:jc w:val="center"/>
              <w:rPr>
                <w:lang w:val="en-US"/>
              </w:rPr>
            </w:pPr>
            <w:r w:rsidRPr="00051281">
              <w:rPr>
                <w:lang w:val="en-US"/>
              </w:rPr>
              <w:t>FEV</w:t>
            </w:r>
            <w:r w:rsidRPr="00051281">
              <w:rPr>
                <w:vertAlign w:val="subscript"/>
                <w:lang w:val="en-US"/>
              </w:rPr>
              <w:t>1</w:t>
            </w:r>
            <w:r w:rsidRPr="00051281">
              <w:rPr>
                <w:lang w:val="en-US"/>
              </w:rPr>
              <w:t xml:space="preserve"> peak (</w:t>
            </w:r>
            <w:r w:rsidR="00EF1028" w:rsidRPr="00051281">
              <w:rPr>
                <w:lang w:val="en-US"/>
              </w:rPr>
              <w:t>0–3</w:t>
            </w:r>
            <w:r w:rsidRPr="00051281">
              <w:rPr>
                <w:lang w:val="en-US"/>
              </w:rPr>
              <w:t>h);</w:t>
            </w:r>
            <w:r w:rsidR="005714E4" w:rsidRPr="00051281">
              <w:rPr>
                <w:lang w:val="en-US"/>
              </w:rPr>
              <w:t xml:space="preserve"> </w:t>
            </w:r>
            <w:r w:rsidRPr="00051281">
              <w:rPr>
                <w:lang w:val="en-US"/>
              </w:rPr>
              <w:t>Trough FEV</w:t>
            </w:r>
            <w:r w:rsidRPr="00051281">
              <w:rPr>
                <w:vertAlign w:val="subscript"/>
                <w:lang w:val="en-US"/>
              </w:rPr>
              <w:t>1</w:t>
            </w:r>
            <w:r w:rsidRPr="00051281">
              <w:rPr>
                <w:lang w:val="en-US"/>
              </w:rPr>
              <w:t>;</w:t>
            </w:r>
          </w:p>
          <w:p w:rsidR="007F1017" w:rsidRPr="00051281" w:rsidRDefault="004760C2" w:rsidP="00DB2E28">
            <w:pPr>
              <w:pStyle w:val="Tabletext"/>
              <w:keepNext/>
              <w:keepLines/>
              <w:jc w:val="center"/>
              <w:rPr>
                <w:lang w:val="en-US"/>
              </w:rPr>
            </w:pPr>
            <w:r w:rsidRPr="00051281">
              <w:rPr>
                <w:lang w:val="en-US"/>
              </w:rPr>
              <w:t xml:space="preserve">Rate of </w:t>
            </w:r>
            <w:r w:rsidR="006D5947" w:rsidRPr="00051281">
              <w:rPr>
                <w:lang w:val="en-US"/>
              </w:rPr>
              <w:t xml:space="preserve">symptomatic </w:t>
            </w:r>
            <w:r w:rsidRPr="00051281">
              <w:rPr>
                <w:lang w:val="en-US"/>
              </w:rPr>
              <w:t>exacerbation</w:t>
            </w:r>
            <w:r w:rsidR="00C11A53" w:rsidRPr="00051281">
              <w:rPr>
                <w:lang w:val="en-US"/>
              </w:rPr>
              <w:t>s</w:t>
            </w:r>
            <w:r w:rsidR="00D03945" w:rsidRPr="00051281">
              <w:rPr>
                <w:lang w:val="en-US"/>
              </w:rPr>
              <w:t xml:space="preserve"> (non-severe and severe)</w:t>
            </w:r>
            <w:r w:rsidR="00D81923" w:rsidRPr="00051281">
              <w:rPr>
                <w:lang w:val="en-US"/>
              </w:rPr>
              <w:t xml:space="preserve"> calculated post-hoc</w:t>
            </w:r>
          </w:p>
        </w:tc>
        <w:tc>
          <w:tcPr>
            <w:tcW w:w="1072" w:type="pct"/>
            <w:shd w:val="clear" w:color="auto" w:fill="auto"/>
            <w:vAlign w:val="center"/>
          </w:tcPr>
          <w:p w:rsidR="007F1017" w:rsidRPr="00051281" w:rsidRDefault="006D5947" w:rsidP="005714E4">
            <w:pPr>
              <w:pStyle w:val="Tabletext"/>
              <w:keepNext/>
              <w:keepLines/>
              <w:jc w:val="center"/>
              <w:rPr>
                <w:lang w:val="en-US"/>
              </w:rPr>
            </w:pPr>
            <w:r w:rsidRPr="00051281">
              <w:rPr>
                <w:lang w:val="en-US"/>
              </w:rPr>
              <w:t>No</w:t>
            </w:r>
            <w:r w:rsidR="004760C2" w:rsidRPr="00051281">
              <w:rPr>
                <w:lang w:val="en-US"/>
              </w:rPr>
              <w:t>t used</w:t>
            </w:r>
          </w:p>
        </w:tc>
      </w:tr>
      <w:tr w:rsidR="00D03945" w:rsidRPr="00051281" w:rsidTr="00051281">
        <w:tc>
          <w:tcPr>
            <w:tcW w:w="469" w:type="pct"/>
            <w:shd w:val="clear" w:color="auto" w:fill="auto"/>
            <w:vAlign w:val="center"/>
          </w:tcPr>
          <w:p w:rsidR="006D5947" w:rsidRPr="00051281" w:rsidRDefault="006D5947" w:rsidP="005714E4">
            <w:pPr>
              <w:pStyle w:val="Tabletext"/>
              <w:keepNext/>
              <w:keepLines/>
              <w:rPr>
                <w:lang w:val="en-US"/>
              </w:rPr>
            </w:pPr>
            <w:r w:rsidRPr="00051281">
              <w:rPr>
                <w:lang w:val="en-US"/>
              </w:rPr>
              <w:t>206.456</w:t>
            </w:r>
          </w:p>
        </w:tc>
        <w:tc>
          <w:tcPr>
            <w:tcW w:w="236" w:type="pct"/>
            <w:shd w:val="clear" w:color="auto" w:fill="auto"/>
            <w:vAlign w:val="center"/>
          </w:tcPr>
          <w:p w:rsidR="007F1017" w:rsidRPr="00051281" w:rsidRDefault="006D5947" w:rsidP="005714E4">
            <w:pPr>
              <w:pStyle w:val="Tabletext"/>
              <w:keepNext/>
              <w:keepLines/>
              <w:jc w:val="center"/>
              <w:rPr>
                <w:lang w:val="en-US"/>
              </w:rPr>
            </w:pPr>
            <w:r w:rsidRPr="00051281">
              <w:rPr>
                <w:lang w:val="en-US"/>
              </w:rPr>
              <w:t>265</w:t>
            </w:r>
          </w:p>
        </w:tc>
        <w:tc>
          <w:tcPr>
            <w:tcW w:w="707" w:type="pct"/>
            <w:shd w:val="clear" w:color="auto" w:fill="auto"/>
            <w:vAlign w:val="center"/>
          </w:tcPr>
          <w:p w:rsidR="00744E71" w:rsidRPr="00051281" w:rsidRDefault="00744E71" w:rsidP="005714E4">
            <w:pPr>
              <w:pStyle w:val="Tabletext"/>
              <w:keepNext/>
              <w:keepLines/>
              <w:jc w:val="center"/>
              <w:rPr>
                <w:lang w:val="en-US"/>
              </w:rPr>
            </w:pPr>
            <w:r w:rsidRPr="00051281">
              <w:rPr>
                <w:lang w:val="en-US"/>
              </w:rPr>
              <w:t>R, MC, DB, PC</w:t>
            </w:r>
          </w:p>
          <w:p w:rsidR="007F1017" w:rsidRPr="00051281" w:rsidRDefault="00744E71" w:rsidP="005714E4">
            <w:pPr>
              <w:pStyle w:val="Tabletext"/>
              <w:keepNext/>
              <w:keepLines/>
              <w:jc w:val="center"/>
              <w:rPr>
                <w:lang w:val="en-US"/>
              </w:rPr>
            </w:pPr>
            <w:r w:rsidRPr="00051281">
              <w:rPr>
                <w:lang w:val="en-US"/>
              </w:rPr>
              <w:t>12 weeks</w:t>
            </w:r>
          </w:p>
        </w:tc>
        <w:tc>
          <w:tcPr>
            <w:tcW w:w="393" w:type="pct"/>
            <w:shd w:val="clear" w:color="auto" w:fill="auto"/>
            <w:vAlign w:val="center"/>
          </w:tcPr>
          <w:p w:rsidR="007F1017" w:rsidRPr="00051281" w:rsidRDefault="003379B8" w:rsidP="005714E4">
            <w:pPr>
              <w:pStyle w:val="Tabletext"/>
              <w:keepNext/>
              <w:keepLines/>
              <w:jc w:val="center"/>
              <w:rPr>
                <w:lang w:val="en-US"/>
              </w:rPr>
            </w:pPr>
            <w:r w:rsidRPr="00051281">
              <w:rPr>
                <w:lang w:val="en-US"/>
              </w:rPr>
              <w:t>Low</w:t>
            </w:r>
          </w:p>
        </w:tc>
        <w:tc>
          <w:tcPr>
            <w:tcW w:w="629" w:type="pct"/>
            <w:shd w:val="clear" w:color="auto" w:fill="auto"/>
            <w:vAlign w:val="center"/>
          </w:tcPr>
          <w:p w:rsidR="00D03945" w:rsidRPr="00051281" w:rsidRDefault="00D03945" w:rsidP="005714E4">
            <w:pPr>
              <w:pStyle w:val="Tabletext"/>
              <w:keepNext/>
              <w:keepLines/>
              <w:jc w:val="center"/>
              <w:rPr>
                <w:lang w:val="en-US"/>
              </w:rPr>
            </w:pPr>
            <w:r w:rsidRPr="00051281">
              <w:rPr>
                <w:lang w:val="en-US"/>
              </w:rPr>
              <w:t xml:space="preserve">Children </w:t>
            </w:r>
          </w:p>
          <w:p w:rsidR="007F1017" w:rsidRPr="00051281" w:rsidRDefault="00D03945" w:rsidP="005714E4">
            <w:pPr>
              <w:pStyle w:val="Tabletext"/>
              <w:keepNext/>
              <w:keepLines/>
              <w:jc w:val="center"/>
              <w:rPr>
                <w:lang w:val="en-US"/>
              </w:rPr>
            </w:pPr>
            <w:r w:rsidRPr="00051281">
              <w:rPr>
                <w:lang w:val="en-US"/>
              </w:rPr>
              <w:t>12-17 years; s</w:t>
            </w:r>
            <w:r w:rsidR="006D5947" w:rsidRPr="00051281">
              <w:rPr>
                <w:lang w:val="en-US"/>
              </w:rPr>
              <w:t>evere asthma</w:t>
            </w:r>
          </w:p>
        </w:tc>
        <w:tc>
          <w:tcPr>
            <w:tcW w:w="1494" w:type="pct"/>
            <w:shd w:val="clear" w:color="auto" w:fill="auto"/>
            <w:vAlign w:val="center"/>
          </w:tcPr>
          <w:p w:rsidR="00C11A53" w:rsidRPr="00051281" w:rsidRDefault="00C11A53" w:rsidP="00E06FAD">
            <w:pPr>
              <w:pStyle w:val="Tabletext"/>
              <w:keepNext/>
              <w:keepLines/>
              <w:jc w:val="center"/>
              <w:rPr>
                <w:lang w:val="en-US"/>
              </w:rPr>
            </w:pPr>
            <w:r w:rsidRPr="00051281">
              <w:rPr>
                <w:lang w:val="en-US"/>
              </w:rPr>
              <w:t>FEV</w:t>
            </w:r>
            <w:r w:rsidRPr="00051281">
              <w:rPr>
                <w:vertAlign w:val="subscript"/>
                <w:lang w:val="en-US"/>
              </w:rPr>
              <w:t>1</w:t>
            </w:r>
            <w:r w:rsidRPr="00051281">
              <w:rPr>
                <w:lang w:val="en-US"/>
              </w:rPr>
              <w:t xml:space="preserve"> peak (</w:t>
            </w:r>
            <w:r w:rsidR="00EF1028" w:rsidRPr="00051281">
              <w:rPr>
                <w:lang w:val="en-US"/>
              </w:rPr>
              <w:t>0–3</w:t>
            </w:r>
            <w:r w:rsidRPr="00051281">
              <w:rPr>
                <w:lang w:val="en-US"/>
              </w:rPr>
              <w:t>h);</w:t>
            </w:r>
            <w:r w:rsidR="005714E4" w:rsidRPr="00051281">
              <w:rPr>
                <w:lang w:val="en-US"/>
              </w:rPr>
              <w:t xml:space="preserve"> </w:t>
            </w:r>
            <w:r w:rsidRPr="00051281">
              <w:rPr>
                <w:lang w:val="en-US"/>
              </w:rPr>
              <w:t>Trough FEV</w:t>
            </w:r>
            <w:r w:rsidRPr="00051281">
              <w:rPr>
                <w:vertAlign w:val="subscript"/>
                <w:lang w:val="en-US"/>
              </w:rPr>
              <w:t>1</w:t>
            </w:r>
            <w:r w:rsidRPr="00051281">
              <w:rPr>
                <w:lang w:val="en-US"/>
              </w:rPr>
              <w:t>;</w:t>
            </w:r>
          </w:p>
          <w:p w:rsidR="00C11A53" w:rsidRPr="00051281" w:rsidRDefault="00C11A53" w:rsidP="00DB2E28">
            <w:pPr>
              <w:pStyle w:val="Tabletext"/>
              <w:keepNext/>
              <w:keepLines/>
              <w:jc w:val="center"/>
              <w:rPr>
                <w:lang w:val="en-US"/>
              </w:rPr>
            </w:pPr>
            <w:r w:rsidRPr="00051281">
              <w:rPr>
                <w:lang w:val="en-US"/>
              </w:rPr>
              <w:t>Rate of symptomatic exacerbations</w:t>
            </w:r>
            <w:r w:rsidR="00D03945" w:rsidRPr="00051281">
              <w:rPr>
                <w:lang w:val="en-US"/>
              </w:rPr>
              <w:t xml:space="preserve"> (non-severe and severe)</w:t>
            </w:r>
            <w:r w:rsidR="00D81923" w:rsidRPr="00051281">
              <w:rPr>
                <w:lang w:val="en-US"/>
              </w:rPr>
              <w:t xml:space="preserve"> calculated post-hoc</w:t>
            </w:r>
          </w:p>
        </w:tc>
        <w:tc>
          <w:tcPr>
            <w:tcW w:w="1072" w:type="pct"/>
            <w:shd w:val="clear" w:color="auto" w:fill="auto"/>
            <w:vAlign w:val="center"/>
          </w:tcPr>
          <w:p w:rsidR="007F1017" w:rsidRPr="00051281" w:rsidRDefault="006D5947" w:rsidP="005714E4">
            <w:pPr>
              <w:pStyle w:val="Tabletext"/>
              <w:keepNext/>
              <w:keepLines/>
              <w:jc w:val="center"/>
              <w:rPr>
                <w:lang w:val="en-US"/>
              </w:rPr>
            </w:pPr>
            <w:r w:rsidRPr="00051281">
              <w:rPr>
                <w:lang w:val="en-US"/>
              </w:rPr>
              <w:t>No</w:t>
            </w:r>
            <w:r w:rsidR="004760C2" w:rsidRPr="00051281">
              <w:rPr>
                <w:lang w:val="en-US"/>
              </w:rPr>
              <w:t>t used</w:t>
            </w:r>
          </w:p>
        </w:tc>
      </w:tr>
      <w:tr w:rsidR="00D03945" w:rsidRPr="00051281" w:rsidTr="00051281">
        <w:tc>
          <w:tcPr>
            <w:tcW w:w="469" w:type="pct"/>
            <w:shd w:val="clear" w:color="auto" w:fill="auto"/>
            <w:vAlign w:val="center"/>
          </w:tcPr>
          <w:p w:rsidR="00D03945" w:rsidRPr="00051281" w:rsidRDefault="00D03945" w:rsidP="005714E4">
            <w:pPr>
              <w:pStyle w:val="Tabletext"/>
              <w:keepNext/>
              <w:keepLines/>
              <w:rPr>
                <w:lang w:val="en-US"/>
              </w:rPr>
            </w:pPr>
            <w:r w:rsidRPr="00051281">
              <w:rPr>
                <w:lang w:val="en-US"/>
              </w:rPr>
              <w:t>Meta-analysis</w:t>
            </w:r>
          </w:p>
        </w:tc>
        <w:tc>
          <w:tcPr>
            <w:tcW w:w="236" w:type="pct"/>
            <w:shd w:val="clear" w:color="auto" w:fill="auto"/>
            <w:vAlign w:val="center"/>
          </w:tcPr>
          <w:p w:rsidR="00D03945" w:rsidRPr="00051281" w:rsidRDefault="00D03945" w:rsidP="005714E4">
            <w:pPr>
              <w:pStyle w:val="Tabletext"/>
              <w:keepNext/>
              <w:keepLines/>
              <w:jc w:val="center"/>
              <w:rPr>
                <w:lang w:val="en-US"/>
              </w:rPr>
            </w:pPr>
            <w:r w:rsidRPr="00051281">
              <w:rPr>
                <w:lang w:val="en-US"/>
              </w:rPr>
              <w:t>529</w:t>
            </w:r>
          </w:p>
        </w:tc>
        <w:tc>
          <w:tcPr>
            <w:tcW w:w="3223" w:type="pct"/>
            <w:gridSpan w:val="4"/>
            <w:shd w:val="clear" w:color="auto" w:fill="auto"/>
            <w:vAlign w:val="center"/>
          </w:tcPr>
          <w:p w:rsidR="00D03945" w:rsidRPr="00051281" w:rsidRDefault="00D03945" w:rsidP="00E06FAD">
            <w:pPr>
              <w:pStyle w:val="Tabletext"/>
              <w:keepNext/>
              <w:keepLines/>
              <w:jc w:val="center"/>
              <w:rPr>
                <w:lang w:val="en-US"/>
              </w:rPr>
            </w:pPr>
            <w:r w:rsidRPr="00051281">
              <w:rPr>
                <w:lang w:val="en-US"/>
              </w:rPr>
              <w:t>Included 204.46 and 204.456;</w:t>
            </w:r>
          </w:p>
          <w:p w:rsidR="00D03945" w:rsidRPr="00051281" w:rsidRDefault="00D03945" w:rsidP="00E06FAD">
            <w:pPr>
              <w:pStyle w:val="Tabletext"/>
              <w:keepNext/>
              <w:keepLines/>
              <w:jc w:val="center"/>
              <w:rPr>
                <w:lang w:val="en-US"/>
              </w:rPr>
            </w:pPr>
            <w:r w:rsidRPr="00051281">
              <w:rPr>
                <w:lang w:val="en-US"/>
              </w:rPr>
              <w:t>Assessed FEV</w:t>
            </w:r>
            <w:r w:rsidRPr="00051281">
              <w:rPr>
                <w:vertAlign w:val="subscript"/>
                <w:lang w:val="en-US"/>
              </w:rPr>
              <w:t>1</w:t>
            </w:r>
            <w:r w:rsidRPr="00051281">
              <w:rPr>
                <w:lang w:val="en-US"/>
              </w:rPr>
              <w:t xml:space="preserve"> peak (</w:t>
            </w:r>
            <w:r w:rsidR="00EF1028" w:rsidRPr="00051281">
              <w:rPr>
                <w:lang w:val="en-US"/>
              </w:rPr>
              <w:t>0–3</w:t>
            </w:r>
            <w:r w:rsidRPr="00051281">
              <w:rPr>
                <w:lang w:val="en-US"/>
              </w:rPr>
              <w:t>h); trough FEV</w:t>
            </w:r>
            <w:r w:rsidRPr="00051281">
              <w:rPr>
                <w:vertAlign w:val="subscript"/>
                <w:lang w:val="en-US"/>
              </w:rPr>
              <w:t>1</w:t>
            </w:r>
            <w:r w:rsidRPr="00051281">
              <w:rPr>
                <w:lang w:val="en-US"/>
              </w:rPr>
              <w:t>; rate of symptomatic exacerbations (non-severe and severe)</w:t>
            </w:r>
          </w:p>
        </w:tc>
        <w:tc>
          <w:tcPr>
            <w:tcW w:w="1072" w:type="pct"/>
            <w:shd w:val="clear" w:color="auto" w:fill="auto"/>
            <w:vAlign w:val="center"/>
          </w:tcPr>
          <w:p w:rsidR="00D03945" w:rsidRPr="00051281" w:rsidRDefault="00D03945" w:rsidP="005714E4">
            <w:pPr>
              <w:pStyle w:val="Tabletext"/>
              <w:keepNext/>
              <w:keepLines/>
              <w:jc w:val="center"/>
              <w:rPr>
                <w:lang w:val="en-US"/>
              </w:rPr>
            </w:pPr>
            <w:r w:rsidRPr="00051281">
              <w:rPr>
                <w:lang w:val="en-US"/>
              </w:rPr>
              <w:t xml:space="preserve">Rate of symptomatic exacerbations </w:t>
            </w:r>
          </w:p>
          <w:p w:rsidR="00D03945" w:rsidRPr="00051281" w:rsidRDefault="00D03945" w:rsidP="005714E4">
            <w:pPr>
              <w:pStyle w:val="Tabletext"/>
              <w:keepNext/>
              <w:keepLines/>
              <w:jc w:val="center"/>
              <w:rPr>
                <w:lang w:val="en-US"/>
              </w:rPr>
            </w:pPr>
            <w:r w:rsidRPr="00051281">
              <w:rPr>
                <w:lang w:val="en-US"/>
              </w:rPr>
              <w:t>(non-severe and severe)</w:t>
            </w:r>
          </w:p>
        </w:tc>
      </w:tr>
    </w:tbl>
    <w:p w:rsidR="004760C2" w:rsidRPr="00051281" w:rsidRDefault="004760C2" w:rsidP="004760C2">
      <w:pPr>
        <w:pStyle w:val="TableFooter"/>
        <w:rPr>
          <w:sz w:val="20"/>
        </w:rPr>
      </w:pPr>
      <w:r w:rsidRPr="00051281">
        <w:t xml:space="preserve">Source: </w:t>
      </w:r>
      <w:r w:rsidR="00D03945" w:rsidRPr="00051281">
        <w:t>C</w:t>
      </w:r>
      <w:r w:rsidRPr="00051281">
        <w:t>ompiled during the evaluation based on p</w:t>
      </w:r>
      <w:r w:rsidR="00D03945" w:rsidRPr="00051281">
        <w:t>p</w:t>
      </w:r>
      <w:r w:rsidRPr="00051281">
        <w:t xml:space="preserve">47-159 of the submission  </w:t>
      </w:r>
    </w:p>
    <w:p w:rsidR="004760C2" w:rsidRPr="00051281" w:rsidRDefault="004760C2" w:rsidP="004760C2">
      <w:pPr>
        <w:pStyle w:val="TableFooter"/>
      </w:pPr>
      <w:r w:rsidRPr="00051281">
        <w:t>DB = double blind; FEV</w:t>
      </w:r>
      <w:r w:rsidRPr="00051281">
        <w:rPr>
          <w:vertAlign w:val="subscript"/>
        </w:rPr>
        <w:t>1</w:t>
      </w:r>
      <w:r w:rsidRPr="00051281">
        <w:t xml:space="preserve"> = forced expiratory volume in one second; MC = multi</w:t>
      </w:r>
      <w:r w:rsidRPr="00051281">
        <w:noBreakHyphen/>
        <w:t>centre; PC = placebo controlled; R = randomised</w:t>
      </w:r>
    </w:p>
    <w:p w:rsidR="007F1017" w:rsidRPr="005E6581" w:rsidRDefault="007F1017" w:rsidP="007F1017">
      <w:pPr>
        <w:rPr>
          <w:sz w:val="20"/>
          <w:szCs w:val="20"/>
        </w:rPr>
      </w:pPr>
    </w:p>
    <w:p w:rsidR="00DB2E28" w:rsidRPr="00051281" w:rsidRDefault="00937A09" w:rsidP="00693802">
      <w:pPr>
        <w:pStyle w:val="ListParagraph"/>
        <w:widowControl/>
        <w:numPr>
          <w:ilvl w:val="1"/>
          <w:numId w:val="1"/>
        </w:numPr>
        <w:spacing w:after="120"/>
      </w:pPr>
      <w:r w:rsidRPr="00051281">
        <w:t>The primary outcome for both trials was change in the highest forced expiratory volume in one second, observed within three hours after administration (FEV</w:t>
      </w:r>
      <w:r w:rsidRPr="00051281">
        <w:rPr>
          <w:vertAlign w:val="subscript"/>
        </w:rPr>
        <w:t>1</w:t>
      </w:r>
      <w:r w:rsidRPr="00051281">
        <w:t xml:space="preserve"> peak (</w:t>
      </w:r>
      <w:r w:rsidR="00EF1028" w:rsidRPr="00051281">
        <w:t>0–3</w:t>
      </w:r>
      <w:r w:rsidRPr="00051281">
        <w:t>h)) from baseline to 12 weeks. The key secondary outcome was change in trough forced expiratory volume in one second (trough FEV</w:t>
      </w:r>
      <w:r w:rsidRPr="00051281">
        <w:rPr>
          <w:vertAlign w:val="subscript"/>
        </w:rPr>
        <w:t>1</w:t>
      </w:r>
      <w:r w:rsidRPr="00051281">
        <w:t>)</w:t>
      </w:r>
      <w:r w:rsidR="00264810" w:rsidRPr="00051281">
        <w:t xml:space="preserve"> and rate of symptomatic exacerbations (which included non-severe and severe)</w:t>
      </w:r>
      <w:r w:rsidRPr="00051281">
        <w:t xml:space="preserve">. The PBAC has previously </w:t>
      </w:r>
      <w:r w:rsidR="00A63033" w:rsidRPr="00051281">
        <w:t xml:space="preserve">accepted </w:t>
      </w:r>
      <w:proofErr w:type="spellStart"/>
      <w:r w:rsidRPr="00051281">
        <w:t>trough</w:t>
      </w:r>
      <w:proofErr w:type="spellEnd"/>
      <w:r w:rsidRPr="00051281">
        <w:t xml:space="preserve"> FEV</w:t>
      </w:r>
      <w:r w:rsidRPr="00051281">
        <w:rPr>
          <w:vertAlign w:val="subscript"/>
        </w:rPr>
        <w:t>1</w:t>
      </w:r>
      <w:r w:rsidRPr="00051281">
        <w:t xml:space="preserve">, which is a surrogate outcome based on lung function, </w:t>
      </w:r>
      <w:r w:rsidR="00DB2E28" w:rsidRPr="00051281">
        <w:t>and which was the primary outcome</w:t>
      </w:r>
      <w:r w:rsidR="008E0859" w:rsidRPr="00051281">
        <w:t xml:space="preserve"> (although presented at 24 weeks)</w:t>
      </w:r>
      <w:r w:rsidR="00DB2E28" w:rsidRPr="00051281">
        <w:t xml:space="preserve"> </w:t>
      </w:r>
      <w:r w:rsidRPr="00051281">
        <w:t>when reviewing tiotropium solution in adults (</w:t>
      </w:r>
      <w:r w:rsidR="00845A39" w:rsidRPr="00051281">
        <w:t xml:space="preserve">paragraph 7.5, </w:t>
      </w:r>
      <w:r w:rsidRPr="00051281">
        <w:t>PSD July 2015). FEV</w:t>
      </w:r>
      <w:r w:rsidRPr="00051281">
        <w:rPr>
          <w:vertAlign w:val="subscript"/>
        </w:rPr>
        <w:t>1</w:t>
      </w:r>
      <w:r w:rsidRPr="00051281">
        <w:t xml:space="preserve"> peak (</w:t>
      </w:r>
      <w:r w:rsidR="00EF1028" w:rsidRPr="00051281">
        <w:t>0–3</w:t>
      </w:r>
      <w:r w:rsidRPr="00051281">
        <w:t>h) was not a key outcome in the consid</w:t>
      </w:r>
      <w:r w:rsidR="0062529D" w:rsidRPr="00051281">
        <w:t>eration of tiotropium in adults.</w:t>
      </w:r>
      <w:r w:rsidR="00205A60" w:rsidRPr="00051281">
        <w:t xml:space="preserve"> </w:t>
      </w:r>
      <w:r w:rsidR="00693802" w:rsidRPr="00051281">
        <w:t xml:space="preserve">As noted in the Cochrane review </w:t>
      </w:r>
      <w:r w:rsidR="006F35C1" w:rsidRPr="00051281">
        <w:t>on the addition of LABA to ICS in childh</w:t>
      </w:r>
      <w:r w:rsidR="00FE55C6" w:rsidRPr="00051281">
        <w:t>o</w:t>
      </w:r>
      <w:r w:rsidR="006F35C1" w:rsidRPr="00051281">
        <w:t>od asthma (</w:t>
      </w:r>
      <w:proofErr w:type="spellStart"/>
      <w:r w:rsidR="006F35C1" w:rsidRPr="00051281">
        <w:t>Chauchan</w:t>
      </w:r>
      <w:proofErr w:type="spellEnd"/>
      <w:r w:rsidR="006F35C1" w:rsidRPr="00051281">
        <w:t xml:space="preserve"> et al 2015)</w:t>
      </w:r>
      <w:r w:rsidR="00693802" w:rsidRPr="00051281">
        <w:t xml:space="preserve">, it is not surprising to see a bronchodilator effect in subjects </w:t>
      </w:r>
      <w:r w:rsidR="006F35C1" w:rsidRPr="00051281">
        <w:t xml:space="preserve">who are </w:t>
      </w:r>
      <w:r w:rsidR="00693802" w:rsidRPr="00051281">
        <w:t xml:space="preserve">selected because they respond to </w:t>
      </w:r>
      <w:r w:rsidR="00A24798" w:rsidRPr="00051281">
        <w:t xml:space="preserve">a </w:t>
      </w:r>
      <w:r w:rsidR="00693802" w:rsidRPr="00051281">
        <w:t>bronchodilator. The FEV</w:t>
      </w:r>
      <w:r w:rsidR="00693802" w:rsidRPr="00051281">
        <w:rPr>
          <w:vertAlign w:val="subscript"/>
        </w:rPr>
        <w:t>1</w:t>
      </w:r>
      <w:r w:rsidR="00693802" w:rsidRPr="00051281">
        <w:t xml:space="preserve"> peak (</w:t>
      </w:r>
      <w:r w:rsidR="00EF1028" w:rsidRPr="00051281">
        <w:t>0–3</w:t>
      </w:r>
      <w:r w:rsidR="00693802" w:rsidRPr="00051281">
        <w:t xml:space="preserve">h) is a measure of a short-term bronchodilator effect </w:t>
      </w:r>
      <w:r w:rsidR="007952CB" w:rsidRPr="00051281">
        <w:t>on top of</w:t>
      </w:r>
      <w:r w:rsidR="00693802" w:rsidRPr="00051281">
        <w:t xml:space="preserve"> the trough measure which reflects longer-term lung function.</w:t>
      </w:r>
      <w:r w:rsidR="007952CB" w:rsidRPr="00051281">
        <w:t xml:space="preserve"> Since LABA and </w:t>
      </w:r>
      <w:r w:rsidR="00A40236">
        <w:t>t</w:t>
      </w:r>
      <w:r w:rsidR="007952CB" w:rsidRPr="00051281">
        <w:t xml:space="preserve">iotropium are both long-acting </w:t>
      </w:r>
      <w:r w:rsidR="007952CB" w:rsidRPr="00051281">
        <w:lastRenderedPageBreak/>
        <w:t>bronchodilators, an effect on trough FEV1 may include a 24 hour bronchodilator component as well as a longer-term change in lung function.</w:t>
      </w:r>
    </w:p>
    <w:p w:rsidR="002A50E5" w:rsidRPr="00051281" w:rsidRDefault="00695741" w:rsidP="002A50E5">
      <w:pPr>
        <w:pStyle w:val="ListParagraph"/>
        <w:widowControl/>
        <w:numPr>
          <w:ilvl w:val="1"/>
          <w:numId w:val="1"/>
        </w:numPr>
        <w:spacing w:after="120"/>
      </w:pPr>
      <w:r w:rsidRPr="00051281">
        <w:t>I</w:t>
      </w:r>
      <w:r w:rsidR="008E0859" w:rsidRPr="00051281">
        <w:t>n the adult submission</w:t>
      </w:r>
      <w:r w:rsidRPr="00051281">
        <w:t>s (July 2015, March 2016)</w:t>
      </w:r>
      <w:r w:rsidR="008E0859" w:rsidRPr="00051281">
        <w:t>, the PBAC considered that the incremental benefits in trough FEV</w:t>
      </w:r>
      <w:r w:rsidR="008E0859" w:rsidRPr="00051281">
        <w:rPr>
          <w:vertAlign w:val="subscript"/>
        </w:rPr>
        <w:t xml:space="preserve">1 </w:t>
      </w:r>
      <w:r w:rsidR="008E0859" w:rsidRPr="00051281">
        <w:t>w</w:t>
      </w:r>
      <w:r w:rsidR="003E7CAD" w:rsidRPr="00051281">
        <w:t>ere</w:t>
      </w:r>
      <w:r w:rsidR="008E0859" w:rsidRPr="00051281">
        <w:t xml:space="preserve"> likely to be clinically meaningful</w:t>
      </w:r>
      <w:r w:rsidR="00D926BF" w:rsidRPr="00051281">
        <w:t xml:space="preserve">, </w:t>
      </w:r>
      <w:r w:rsidRPr="00051281">
        <w:t xml:space="preserve">but </w:t>
      </w:r>
      <w:r w:rsidR="00470D17">
        <w:t xml:space="preserve">it questioned the </w:t>
      </w:r>
      <w:r w:rsidR="00470D17" w:rsidRPr="00616742">
        <w:t xml:space="preserve">emphasis on the time to first exacerbation (any), which was more convincing statistically </w:t>
      </w:r>
      <w:r w:rsidR="00470D17">
        <w:t xml:space="preserve">than </w:t>
      </w:r>
      <w:r w:rsidR="00470D17" w:rsidRPr="00616742">
        <w:t>the time to first severe exacerbation,</w:t>
      </w:r>
      <w:r w:rsidR="00470D17">
        <w:t xml:space="preserve"> </w:t>
      </w:r>
      <w:r w:rsidR="00470D17" w:rsidRPr="00616742">
        <w:t xml:space="preserve">but may not be </w:t>
      </w:r>
      <w:r w:rsidR="00470D17">
        <w:t xml:space="preserve">as </w:t>
      </w:r>
      <w:r w:rsidR="00470D17" w:rsidRPr="00616742">
        <w:t>clinically or resource meaningful.</w:t>
      </w:r>
      <w:r w:rsidR="008E0859" w:rsidRPr="00051281">
        <w:t xml:space="preserve"> (</w:t>
      </w:r>
      <w:proofErr w:type="gramStart"/>
      <w:r w:rsidR="008E0859" w:rsidRPr="00051281">
        <w:t>paragraph</w:t>
      </w:r>
      <w:proofErr w:type="gramEnd"/>
      <w:r w:rsidR="008E0859" w:rsidRPr="00051281">
        <w:t xml:space="preserve"> 7.5, P</w:t>
      </w:r>
      <w:r w:rsidR="00D926BF" w:rsidRPr="00051281">
        <w:t>S</w:t>
      </w:r>
      <w:r w:rsidR="008E0859" w:rsidRPr="00051281">
        <w:t>D July 2015)</w:t>
      </w:r>
      <w:r w:rsidRPr="00051281">
        <w:t>.</w:t>
      </w:r>
      <w:r w:rsidR="003E7CAD" w:rsidRPr="00051281">
        <w:t xml:space="preserve"> </w:t>
      </w:r>
      <w:r w:rsidRPr="00051281">
        <w:t xml:space="preserve">However, </w:t>
      </w:r>
      <w:r w:rsidR="00470D17">
        <w:t xml:space="preserve">the evaluation considered </w:t>
      </w:r>
      <w:r w:rsidRPr="00051281">
        <w:t>the use of FEV</w:t>
      </w:r>
      <w:r w:rsidRPr="00051281">
        <w:rPr>
          <w:vertAlign w:val="subscript"/>
        </w:rPr>
        <w:t>1</w:t>
      </w:r>
      <w:r w:rsidRPr="00051281">
        <w:t xml:space="preserve"> measures in children might not provide a true representation of the severity of disease. </w:t>
      </w:r>
      <w:proofErr w:type="spellStart"/>
      <w:r w:rsidR="003E7CAD" w:rsidRPr="00051281">
        <w:t>Guilbert</w:t>
      </w:r>
      <w:proofErr w:type="spellEnd"/>
      <w:r w:rsidR="003E7CAD" w:rsidRPr="00051281">
        <w:t xml:space="preserve"> (2014) stated that </w:t>
      </w:r>
      <w:r w:rsidR="00264810" w:rsidRPr="00051281">
        <w:t>“E</w:t>
      </w:r>
      <w:r w:rsidR="003E7CAD" w:rsidRPr="00051281">
        <w:t>xtrapolating adult severity classifications to children is difficult……</w:t>
      </w:r>
      <w:r w:rsidR="00264810" w:rsidRPr="00051281">
        <w:t>adults with asthma are more likely to exhibit a persistent pattern; while children may have a pattern of ra</w:t>
      </w:r>
      <w:r w:rsidRPr="00051281">
        <w:t>p</w:t>
      </w:r>
      <w:r w:rsidR="00264810" w:rsidRPr="00051281">
        <w:t>idly evolving, frequent and often severe exacerbations….triggered by viral infections and/or allergen exposure….but then often remain asymptomatic between these episodes.” In addition, in children “L</w:t>
      </w:r>
      <w:r w:rsidR="003E7CAD" w:rsidRPr="00051281">
        <w:t xml:space="preserve">ung function measurements also show different patterns, </w:t>
      </w:r>
      <w:proofErr w:type="gramStart"/>
      <w:r w:rsidR="003E7CAD" w:rsidRPr="00051281">
        <w:t>are</w:t>
      </w:r>
      <w:proofErr w:type="gramEnd"/>
      <w:r w:rsidR="003E7CAD" w:rsidRPr="00051281">
        <w:t xml:space="preserve"> age-dependent, and may be within normal levels despite significant symptom burden and medication use. The distal airways are more affected, and increased distal lung resistance, in the absence of significant large airway involvement, likely explains the often unimpaired FEV</w:t>
      </w:r>
      <w:r w:rsidR="003E7CAD" w:rsidRPr="00051281">
        <w:rPr>
          <w:vertAlign w:val="subscript"/>
        </w:rPr>
        <w:t>1</w:t>
      </w:r>
      <w:r w:rsidR="003E7CAD" w:rsidRPr="00051281">
        <w:t xml:space="preserve"> values.”</w:t>
      </w:r>
      <w:r w:rsidR="00693802" w:rsidRPr="00051281">
        <w:t xml:space="preserve"> </w:t>
      </w:r>
      <w:r w:rsidR="00462EFD">
        <w:t xml:space="preserve">The pre-PBAC response </w:t>
      </w:r>
      <w:r w:rsidR="00470D17">
        <w:t>no</w:t>
      </w:r>
      <w:r w:rsidR="00462EFD">
        <w:t xml:space="preserve">ted the </w:t>
      </w:r>
      <w:r w:rsidR="00470D17">
        <w:t xml:space="preserve">acceptance from the FDA and EMA of the extrapolation of efficacy </w:t>
      </w:r>
      <w:r w:rsidR="00156E32">
        <w:t>r</w:t>
      </w:r>
      <w:r w:rsidR="00470D17">
        <w:t xml:space="preserve">esults from adults to children. </w:t>
      </w:r>
      <w:r w:rsidR="00156E32">
        <w:t>T</w:t>
      </w:r>
      <w:r w:rsidR="00470D17">
        <w:t xml:space="preserve">he PBAC agreed this may be reasonable for the adolescent patient group. </w:t>
      </w:r>
      <w:r w:rsidR="002A50E5" w:rsidRPr="00051281">
        <w:t>The ESC considered other important outcome measures from longer term trials would include frequency of significant exacerbations, asthma control such as asthma control questionnaire (ACQ)</w:t>
      </w:r>
      <w:r w:rsidR="00F66C18" w:rsidRPr="00051281">
        <w:t>,</w:t>
      </w:r>
      <w:r w:rsidR="002A50E5" w:rsidRPr="00051281">
        <w:t xml:space="preserve"> and quality of life.</w:t>
      </w:r>
    </w:p>
    <w:p w:rsidR="00264810" w:rsidRPr="00051281" w:rsidRDefault="00264810" w:rsidP="003841D3">
      <w:pPr>
        <w:pStyle w:val="ListParagraph"/>
        <w:widowControl/>
        <w:numPr>
          <w:ilvl w:val="1"/>
          <w:numId w:val="1"/>
        </w:numPr>
        <w:spacing w:after="120"/>
      </w:pPr>
      <w:r w:rsidRPr="00051281">
        <w:t>The economic analysis and financial estimates were informed by the rate of symptomatic exacerbations (non-severe and severe). As the rate of exacerbations was not an outcome of either trial, post-hoc analyses were conducted to provide the number of symptomatic exacerbations (non-severe and severe) from which the rates were calculated.</w:t>
      </w:r>
    </w:p>
    <w:p w:rsidR="00045017" w:rsidRDefault="004760C2" w:rsidP="003841D3">
      <w:pPr>
        <w:pStyle w:val="ListParagraph"/>
        <w:widowControl/>
        <w:numPr>
          <w:ilvl w:val="1"/>
          <w:numId w:val="1"/>
        </w:numPr>
        <w:spacing w:after="120"/>
      </w:pPr>
      <w:r w:rsidRPr="00051281">
        <w:t xml:space="preserve">The table below summarises the definitions for the </w:t>
      </w:r>
      <w:r w:rsidR="003F67EF" w:rsidRPr="00051281">
        <w:rPr>
          <w:noProof/>
        </w:rPr>
        <w:t>key</w:t>
      </w:r>
      <w:r w:rsidRPr="00051281">
        <w:t xml:space="preserve"> </w:t>
      </w:r>
      <w:r w:rsidRPr="00051281">
        <w:rPr>
          <w:noProof/>
        </w:rPr>
        <w:t>outcomes</w:t>
      </w:r>
      <w:r w:rsidRPr="00051281">
        <w:t xml:space="preserve"> from trials 205.446 and 205.456.</w:t>
      </w:r>
    </w:p>
    <w:p w:rsidR="002B50A8" w:rsidRPr="00051281" w:rsidRDefault="002B50A8" w:rsidP="002B50A8">
      <w:pPr>
        <w:pStyle w:val="ListParagraph"/>
        <w:widowControl/>
        <w:spacing w:after="120"/>
      </w:pPr>
    </w:p>
    <w:p w:rsidR="004760C2" w:rsidRPr="00051281" w:rsidRDefault="004760C2" w:rsidP="005714E4">
      <w:pPr>
        <w:pStyle w:val="TableFooter"/>
        <w:keepNext/>
        <w:keepLines/>
        <w:widowControl/>
        <w:rPr>
          <w:b/>
          <w:sz w:val="20"/>
        </w:rPr>
      </w:pPr>
      <w:r w:rsidRPr="00051281">
        <w:rPr>
          <w:b/>
          <w:sz w:val="20"/>
        </w:rPr>
        <w:lastRenderedPageBreak/>
        <w:t>Table 4: Definition of outcomes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9"/>
        <w:gridCol w:w="7064"/>
      </w:tblGrid>
      <w:tr w:rsidR="004760C2" w:rsidRPr="00051281" w:rsidTr="004574B9">
        <w:trPr>
          <w:cantSplit/>
          <w:tblHeader/>
        </w:trPr>
        <w:tc>
          <w:tcPr>
            <w:tcW w:w="117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4760C2" w:rsidRPr="00051281" w:rsidRDefault="00937A09" w:rsidP="005714E4">
            <w:pPr>
              <w:pStyle w:val="Tabletext"/>
              <w:keepNext/>
              <w:keepLines/>
              <w:rPr>
                <w:b/>
              </w:rPr>
            </w:pPr>
            <w:r w:rsidRPr="00051281">
              <w:rPr>
                <w:b/>
              </w:rPr>
              <w:t>Outcome</w:t>
            </w:r>
          </w:p>
        </w:tc>
        <w:tc>
          <w:tcPr>
            <w:tcW w:w="38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4760C2" w:rsidRPr="00051281" w:rsidRDefault="004760C2" w:rsidP="00675550">
            <w:pPr>
              <w:pStyle w:val="Tabletext"/>
              <w:keepNext/>
              <w:keepLines/>
              <w:jc w:val="center"/>
              <w:rPr>
                <w:b/>
              </w:rPr>
            </w:pPr>
            <w:r w:rsidRPr="00051281">
              <w:rPr>
                <w:b/>
              </w:rPr>
              <w:t>Definition</w:t>
            </w:r>
          </w:p>
        </w:tc>
      </w:tr>
      <w:tr w:rsidR="004760C2" w:rsidRPr="00051281" w:rsidTr="004574B9">
        <w:tc>
          <w:tcPr>
            <w:tcW w:w="1179" w:type="pct"/>
            <w:tcBorders>
              <w:top w:val="single" w:sz="4" w:space="0" w:color="auto"/>
              <w:left w:val="single" w:sz="4" w:space="0" w:color="auto"/>
              <w:bottom w:val="single" w:sz="4" w:space="0" w:color="auto"/>
              <w:right w:val="single" w:sz="4" w:space="0" w:color="auto"/>
            </w:tcBorders>
          </w:tcPr>
          <w:p w:rsidR="004760C2" w:rsidRPr="00051281" w:rsidRDefault="004760C2" w:rsidP="005714E4">
            <w:pPr>
              <w:pStyle w:val="Tabletext"/>
              <w:keepNext/>
              <w:keepLines/>
            </w:pPr>
            <w:r w:rsidRPr="00051281">
              <w:t>FEV</w:t>
            </w:r>
            <w:r w:rsidRPr="00051281">
              <w:rPr>
                <w:vertAlign w:val="subscript"/>
              </w:rPr>
              <w:t>1</w:t>
            </w:r>
            <w:r w:rsidRPr="00051281">
              <w:t xml:space="preserve"> peak (</w:t>
            </w:r>
            <w:r w:rsidR="00EF1028" w:rsidRPr="00051281">
              <w:t>0–3</w:t>
            </w:r>
            <w:r w:rsidRPr="00051281">
              <w:t>h)</w:t>
            </w:r>
          </w:p>
        </w:tc>
        <w:tc>
          <w:tcPr>
            <w:tcW w:w="3821" w:type="pct"/>
            <w:tcBorders>
              <w:top w:val="single" w:sz="4" w:space="0" w:color="auto"/>
              <w:left w:val="single" w:sz="4" w:space="0" w:color="auto"/>
              <w:bottom w:val="single" w:sz="4" w:space="0" w:color="auto"/>
              <w:right w:val="single" w:sz="4" w:space="0" w:color="auto"/>
            </w:tcBorders>
          </w:tcPr>
          <w:p w:rsidR="004760C2" w:rsidRPr="00051281" w:rsidRDefault="004760C2" w:rsidP="005D6068">
            <w:pPr>
              <w:pStyle w:val="Tabletext"/>
              <w:keepNext/>
              <w:keepLines/>
            </w:pPr>
            <w:r w:rsidRPr="00051281">
              <w:t>Highest FEV</w:t>
            </w:r>
            <w:r w:rsidRPr="00051281">
              <w:rPr>
                <w:vertAlign w:val="subscript"/>
              </w:rPr>
              <w:t>1</w:t>
            </w:r>
            <w:r w:rsidRPr="00051281">
              <w:t xml:space="preserve"> reading observed within 3 hours after administration of the </w:t>
            </w:r>
            <w:r w:rsidR="005D6068" w:rsidRPr="00051281">
              <w:t xml:space="preserve">daily dose (given in the </w:t>
            </w:r>
            <w:r w:rsidRPr="00051281">
              <w:t>evening</w:t>
            </w:r>
            <w:r w:rsidR="005D6068" w:rsidRPr="00051281">
              <w:t>)</w:t>
            </w:r>
            <w:r w:rsidRPr="00051281">
              <w:t xml:space="preserve"> of each randomised treatment. The change from baseline at the end of the 12-week treatment period was measured. The tiotropium in adults with severe asthma submissions presented change in FEV</w:t>
            </w:r>
            <w:r w:rsidRPr="00051281">
              <w:rPr>
                <w:vertAlign w:val="subscript"/>
              </w:rPr>
              <w:t>1</w:t>
            </w:r>
            <w:r w:rsidRPr="00051281">
              <w:t xml:space="preserve"> peak (</w:t>
            </w:r>
            <w:r w:rsidR="00EF1028" w:rsidRPr="00051281">
              <w:t>0–3</w:t>
            </w:r>
            <w:r w:rsidRPr="00051281">
              <w:t>h) at 24 weeks; however, it was not a key outcome (Table 2, p6 PSD July 2015).</w:t>
            </w:r>
          </w:p>
        </w:tc>
      </w:tr>
      <w:tr w:rsidR="004760C2" w:rsidRPr="00051281" w:rsidTr="004574B9">
        <w:tc>
          <w:tcPr>
            <w:tcW w:w="1179" w:type="pct"/>
            <w:tcBorders>
              <w:top w:val="single" w:sz="4" w:space="0" w:color="auto"/>
              <w:left w:val="single" w:sz="4" w:space="0" w:color="auto"/>
              <w:bottom w:val="single" w:sz="4" w:space="0" w:color="auto"/>
              <w:right w:val="single" w:sz="4" w:space="0" w:color="auto"/>
            </w:tcBorders>
          </w:tcPr>
          <w:p w:rsidR="004760C2" w:rsidRPr="00051281" w:rsidRDefault="004760C2" w:rsidP="005714E4">
            <w:pPr>
              <w:pStyle w:val="Tabletext"/>
              <w:keepNext/>
              <w:keepLines/>
            </w:pPr>
            <w:r w:rsidRPr="00051281">
              <w:rPr>
                <w:rFonts w:cstheme="minorHAnsi"/>
              </w:rPr>
              <w:t>Trough FEV</w:t>
            </w:r>
            <w:r w:rsidRPr="00051281">
              <w:rPr>
                <w:rFonts w:cstheme="minorHAnsi"/>
                <w:vertAlign w:val="subscript"/>
              </w:rPr>
              <w:t>1</w:t>
            </w:r>
          </w:p>
        </w:tc>
        <w:tc>
          <w:tcPr>
            <w:tcW w:w="3821" w:type="pct"/>
            <w:tcBorders>
              <w:top w:val="single" w:sz="4" w:space="0" w:color="auto"/>
              <w:left w:val="single" w:sz="4" w:space="0" w:color="auto"/>
              <w:bottom w:val="single" w:sz="4" w:space="0" w:color="auto"/>
              <w:right w:val="single" w:sz="4" w:space="0" w:color="auto"/>
            </w:tcBorders>
          </w:tcPr>
          <w:p w:rsidR="004760C2" w:rsidRPr="00051281" w:rsidRDefault="004760C2" w:rsidP="005714E4">
            <w:pPr>
              <w:pStyle w:val="Tabletext"/>
              <w:keepNext/>
              <w:keepLines/>
              <w:rPr>
                <w:rFonts w:cstheme="minorHAnsi"/>
              </w:rPr>
            </w:pPr>
            <w:r w:rsidRPr="00051281">
              <w:rPr>
                <w:rFonts w:cstheme="minorHAnsi"/>
              </w:rPr>
              <w:t>Trough FEV</w:t>
            </w:r>
            <w:r w:rsidRPr="00051281">
              <w:rPr>
                <w:rFonts w:cstheme="minorHAnsi"/>
                <w:vertAlign w:val="subscript"/>
              </w:rPr>
              <w:t>1</w:t>
            </w:r>
            <w:r w:rsidRPr="00051281">
              <w:rPr>
                <w:rFonts w:cstheme="minorHAnsi"/>
              </w:rPr>
              <w:t xml:space="preserve"> was measured in the evening at the end of the dosing interval (24 hours post drug administration), 10 min</w:t>
            </w:r>
            <w:r w:rsidR="00937A09" w:rsidRPr="00051281">
              <w:rPr>
                <w:rFonts w:cstheme="minorHAnsi"/>
              </w:rPr>
              <w:t>utes</w:t>
            </w:r>
            <w:r w:rsidRPr="00051281">
              <w:rPr>
                <w:rFonts w:cstheme="minorHAnsi"/>
              </w:rPr>
              <w:t xml:space="preserve"> prior to treatment. The change from baseline at the end of the 12-week treatment period was measured. </w:t>
            </w:r>
            <w:r w:rsidRPr="00051281">
              <w:t>The tiotropium in adults with severe asthma submissions presented change in trough FEV</w:t>
            </w:r>
            <w:r w:rsidRPr="00051281">
              <w:rPr>
                <w:vertAlign w:val="subscript"/>
              </w:rPr>
              <w:t xml:space="preserve">1 </w:t>
            </w:r>
            <w:r w:rsidRPr="00051281">
              <w:t>at 24 weeks as a key outcome (Table 2, p6 PSD July 2015).</w:t>
            </w:r>
          </w:p>
        </w:tc>
      </w:tr>
      <w:tr w:rsidR="004760C2" w:rsidRPr="00051281" w:rsidTr="004574B9">
        <w:tc>
          <w:tcPr>
            <w:tcW w:w="1179" w:type="pct"/>
            <w:tcBorders>
              <w:top w:val="single" w:sz="4" w:space="0" w:color="auto"/>
              <w:left w:val="single" w:sz="4" w:space="0" w:color="auto"/>
              <w:bottom w:val="single" w:sz="4" w:space="0" w:color="auto"/>
              <w:right w:val="single" w:sz="4" w:space="0" w:color="auto"/>
            </w:tcBorders>
          </w:tcPr>
          <w:p w:rsidR="004760C2" w:rsidRPr="00051281" w:rsidRDefault="004760C2" w:rsidP="005714E4">
            <w:pPr>
              <w:pStyle w:val="Tabletext"/>
              <w:keepNext/>
              <w:keepLines/>
            </w:pPr>
            <w:r w:rsidRPr="00051281">
              <w:t xml:space="preserve">Symptomatic (non-severe and severe) asthma exacerbation </w:t>
            </w:r>
          </w:p>
        </w:tc>
        <w:tc>
          <w:tcPr>
            <w:tcW w:w="3821" w:type="pct"/>
            <w:tcBorders>
              <w:top w:val="single" w:sz="4" w:space="0" w:color="auto"/>
              <w:left w:val="single" w:sz="4" w:space="0" w:color="auto"/>
              <w:bottom w:val="single" w:sz="4" w:space="0" w:color="auto"/>
              <w:right w:val="single" w:sz="4" w:space="0" w:color="auto"/>
            </w:tcBorders>
          </w:tcPr>
          <w:p w:rsidR="004760C2" w:rsidRPr="00051281" w:rsidRDefault="004760C2" w:rsidP="005D6068">
            <w:pPr>
              <w:pStyle w:val="Tabletext"/>
              <w:keepNext/>
              <w:keepLines/>
            </w:pPr>
            <w:r w:rsidRPr="00051281">
              <w:t xml:space="preserve">All asthma exacerbations excluding those where only a decrease of patient's best morning PEF of ≥ 30% from the patient's mean morning PEF for ≥ 2 consecutive days occurred. </w:t>
            </w:r>
            <w:r w:rsidR="00205A60" w:rsidRPr="00051281">
              <w:t xml:space="preserve">This definition </w:t>
            </w:r>
            <w:r w:rsidR="005D6068" w:rsidRPr="00051281">
              <w:t>has no</w:t>
            </w:r>
            <w:r w:rsidR="00205A60" w:rsidRPr="00051281">
              <w:t>t</w:t>
            </w:r>
            <w:r w:rsidR="005D6068" w:rsidRPr="00051281">
              <w:t xml:space="preserve"> been</w:t>
            </w:r>
            <w:r w:rsidR="00205A60" w:rsidRPr="00051281">
              <w:t xml:space="preserve"> presented </w:t>
            </w:r>
            <w:r w:rsidR="005D6068" w:rsidRPr="00051281">
              <w:t>to the PBAC previously.</w:t>
            </w:r>
            <w:r w:rsidR="00205A60" w:rsidRPr="00051281">
              <w:t xml:space="preserve"> </w:t>
            </w:r>
          </w:p>
        </w:tc>
      </w:tr>
      <w:tr w:rsidR="004760C2" w:rsidRPr="00051281" w:rsidTr="004574B9">
        <w:tc>
          <w:tcPr>
            <w:tcW w:w="1179" w:type="pct"/>
            <w:tcBorders>
              <w:top w:val="single" w:sz="4" w:space="0" w:color="auto"/>
              <w:left w:val="single" w:sz="4" w:space="0" w:color="auto"/>
              <w:bottom w:val="single" w:sz="4" w:space="0" w:color="auto"/>
              <w:right w:val="single" w:sz="4" w:space="0" w:color="auto"/>
            </w:tcBorders>
            <w:hideMark/>
          </w:tcPr>
          <w:p w:rsidR="004760C2" w:rsidRPr="00051281" w:rsidRDefault="004760C2" w:rsidP="005714E4">
            <w:pPr>
              <w:pStyle w:val="Tabletext"/>
              <w:keepNext/>
              <w:keepLines/>
            </w:pPr>
            <w:r w:rsidRPr="00051281">
              <w:t>Severe asthma exacerbation</w:t>
            </w:r>
          </w:p>
        </w:tc>
        <w:tc>
          <w:tcPr>
            <w:tcW w:w="3821" w:type="pct"/>
            <w:tcBorders>
              <w:top w:val="single" w:sz="4" w:space="0" w:color="auto"/>
              <w:left w:val="single" w:sz="4" w:space="0" w:color="auto"/>
              <w:bottom w:val="single" w:sz="4" w:space="0" w:color="auto"/>
              <w:right w:val="single" w:sz="4" w:space="0" w:color="auto"/>
            </w:tcBorders>
            <w:hideMark/>
          </w:tcPr>
          <w:p w:rsidR="004760C2" w:rsidRPr="00051281" w:rsidRDefault="004760C2" w:rsidP="005714E4">
            <w:pPr>
              <w:pStyle w:val="Tabletext"/>
              <w:keepNext/>
              <w:keepLines/>
            </w:pPr>
            <w:r w:rsidRPr="00051281">
              <w:t xml:space="preserve">All asthma exacerbations that required treatment with systemic corticosteroids for ≥ 3 days or if already receiving systemic corticosteroids, a doubling of the previous daily dose for ≥ 3 days. This definition was consistent with the definition of severe asthma exacerbation in the tiotropium in adults with severe asthma submissions (Table 3, p6 PSD July 2015) and with the definition of clinically significant exacerbations in the </w:t>
            </w:r>
            <w:proofErr w:type="spellStart"/>
            <w:r w:rsidRPr="00051281">
              <w:t>omalizumab</w:t>
            </w:r>
            <w:proofErr w:type="spellEnd"/>
            <w:r w:rsidRPr="00051281">
              <w:t xml:space="preserve"> in children with severe allergic asthma submission (paragraph 6.7, PSD July 2016).</w:t>
            </w:r>
            <w:r w:rsidRPr="00051281" w:rsidDel="00206EF5">
              <w:t xml:space="preserve"> </w:t>
            </w:r>
          </w:p>
        </w:tc>
      </w:tr>
      <w:tr w:rsidR="004760C2" w:rsidRPr="00051281" w:rsidTr="004574B9">
        <w:tc>
          <w:tcPr>
            <w:tcW w:w="1179" w:type="pct"/>
            <w:tcBorders>
              <w:top w:val="single" w:sz="4" w:space="0" w:color="auto"/>
              <w:left w:val="single" w:sz="4" w:space="0" w:color="auto"/>
              <w:bottom w:val="single" w:sz="4" w:space="0" w:color="auto"/>
              <w:right w:val="single" w:sz="4" w:space="0" w:color="auto"/>
            </w:tcBorders>
          </w:tcPr>
          <w:p w:rsidR="004760C2" w:rsidRPr="00051281" w:rsidRDefault="004760C2" w:rsidP="005714E4">
            <w:pPr>
              <w:pStyle w:val="Tabletext"/>
              <w:keepNext/>
              <w:keepLines/>
            </w:pPr>
            <w:r w:rsidRPr="00051281">
              <w:t>Non-severe symptomatic exacerbation</w:t>
            </w:r>
          </w:p>
        </w:tc>
        <w:tc>
          <w:tcPr>
            <w:tcW w:w="3821" w:type="pct"/>
            <w:tcBorders>
              <w:top w:val="single" w:sz="4" w:space="0" w:color="auto"/>
              <w:left w:val="single" w:sz="4" w:space="0" w:color="auto"/>
              <w:bottom w:val="single" w:sz="4" w:space="0" w:color="auto"/>
              <w:right w:val="single" w:sz="4" w:space="0" w:color="auto"/>
            </w:tcBorders>
          </w:tcPr>
          <w:p w:rsidR="004760C2" w:rsidRPr="00051281" w:rsidRDefault="004760C2" w:rsidP="008179E9">
            <w:pPr>
              <w:pStyle w:val="Tabletext"/>
              <w:keepNext/>
              <w:keepLines/>
            </w:pPr>
            <w:r w:rsidRPr="00051281">
              <w:t xml:space="preserve">All asthma exacerbations that were classified as symptomatic but were not considered severe. </w:t>
            </w:r>
            <w:r w:rsidR="008179E9" w:rsidRPr="00051281">
              <w:t>This definition differed to that presented in the tiotropium in adults with severe asthma submission, which was all exacerbations that were not considered severe (Table 3, p6 PSD July 2015).</w:t>
            </w:r>
          </w:p>
        </w:tc>
      </w:tr>
    </w:tbl>
    <w:p w:rsidR="004760C2" w:rsidRPr="00051281" w:rsidRDefault="004760C2" w:rsidP="00675550">
      <w:pPr>
        <w:pStyle w:val="TableFooter"/>
        <w:jc w:val="left"/>
      </w:pPr>
      <w:r w:rsidRPr="00051281">
        <w:t>Source: Compiled from text, p</w:t>
      </w:r>
      <w:r w:rsidR="00937A09" w:rsidRPr="00051281">
        <w:t>p</w:t>
      </w:r>
      <w:r w:rsidRPr="00051281">
        <w:t>85-90</w:t>
      </w:r>
      <w:r w:rsidR="00742247" w:rsidRPr="00051281">
        <w:t>;</w:t>
      </w:r>
      <w:r w:rsidRPr="00051281">
        <w:t xml:space="preserve"> and p189 of the submission </w:t>
      </w:r>
    </w:p>
    <w:p w:rsidR="004760C2" w:rsidRPr="00051281" w:rsidRDefault="004760C2" w:rsidP="009320CE">
      <w:pPr>
        <w:pStyle w:val="TableFooter"/>
        <w:spacing w:after="120"/>
        <w:jc w:val="left"/>
      </w:pPr>
      <w:r w:rsidRPr="00051281">
        <w:rPr>
          <w:lang w:eastAsia="en-GB"/>
        </w:rPr>
        <w:t>FEV</w:t>
      </w:r>
      <w:r w:rsidRPr="00051281">
        <w:rPr>
          <w:vertAlign w:val="subscript"/>
          <w:lang w:eastAsia="en-GB"/>
        </w:rPr>
        <w:t>1</w:t>
      </w:r>
      <w:r w:rsidRPr="00051281">
        <w:rPr>
          <w:lang w:eastAsia="en-GB"/>
        </w:rPr>
        <w:t xml:space="preserve"> = forced expiratory volume </w:t>
      </w:r>
      <w:r w:rsidRPr="00051281">
        <w:rPr>
          <w:rStyle w:val="tgc"/>
        </w:rPr>
        <w:t xml:space="preserve">in </w:t>
      </w:r>
      <w:r w:rsidR="00937A09" w:rsidRPr="00051281">
        <w:rPr>
          <w:rStyle w:val="tgc"/>
        </w:rPr>
        <w:t>one</w:t>
      </w:r>
      <w:r w:rsidRPr="00051281">
        <w:rPr>
          <w:rStyle w:val="tgc"/>
        </w:rPr>
        <w:t xml:space="preserve"> second; PBAC = Pharmaceutical Benefits Advisory Committee; PEF = peak expiratory flow; PSD</w:t>
      </w:r>
      <w:r w:rsidR="008831D6" w:rsidRPr="00051281">
        <w:rPr>
          <w:rStyle w:val="tgc"/>
        </w:rPr>
        <w:t> </w:t>
      </w:r>
      <w:r w:rsidRPr="00051281">
        <w:rPr>
          <w:rStyle w:val="tgc"/>
        </w:rPr>
        <w:t>=</w:t>
      </w:r>
      <w:r w:rsidR="008831D6" w:rsidRPr="00051281">
        <w:rPr>
          <w:rStyle w:val="tgc"/>
        </w:rPr>
        <w:t> </w:t>
      </w:r>
      <w:r w:rsidRPr="00051281">
        <w:rPr>
          <w:rStyle w:val="tgc"/>
        </w:rPr>
        <w:t>public summary document</w:t>
      </w:r>
    </w:p>
    <w:p w:rsidR="00E44EB0" w:rsidRPr="00051281" w:rsidRDefault="00E44EB0" w:rsidP="003841D3">
      <w:pPr>
        <w:pStyle w:val="ListParagraph"/>
        <w:widowControl/>
        <w:numPr>
          <w:ilvl w:val="1"/>
          <w:numId w:val="1"/>
        </w:numPr>
        <w:spacing w:after="120"/>
      </w:pPr>
      <w:r w:rsidRPr="00051281">
        <w:t>The MCID for trough FEV</w:t>
      </w:r>
      <w:r w:rsidRPr="00051281">
        <w:rPr>
          <w:vertAlign w:val="subscript"/>
        </w:rPr>
        <w:t>1</w:t>
      </w:r>
      <w:r w:rsidRPr="00051281">
        <w:t xml:space="preserve"> was 0.10 L. This has </w:t>
      </w:r>
      <w:r w:rsidR="004976ED" w:rsidRPr="00051281">
        <w:t xml:space="preserve">previously </w:t>
      </w:r>
      <w:r w:rsidRPr="00051281">
        <w:t>been accepted by the PBAC in the consideration of tiotropium in adults (paragraph 7.5, tiotropium PSD, July 2015).</w:t>
      </w:r>
      <w:r w:rsidR="00F66C18" w:rsidRPr="00051281">
        <w:t xml:space="preserve"> The PSCR refers</w:t>
      </w:r>
      <w:r w:rsidR="00846FCA">
        <w:t xml:space="preserve"> to the</w:t>
      </w:r>
      <w:r w:rsidR="00F66C18" w:rsidRPr="00051281">
        <w:t xml:space="preserve"> aforementioned Cochrane review by </w:t>
      </w:r>
      <w:proofErr w:type="spellStart"/>
      <w:r w:rsidR="00F66C18" w:rsidRPr="00051281">
        <w:t>Chauchan</w:t>
      </w:r>
      <w:proofErr w:type="spellEnd"/>
      <w:r w:rsidR="00F66C18" w:rsidRPr="00051281">
        <w:t xml:space="preserve"> et al 2015 (p23) indicating that “given the smaller lung volumes in children, the observed 80 mL greater improvement in FEV1 associated with LABA added to ICS in children may be of clinical importance”. However the ESC noted the authors of the review went on to say that a bronchodilator response was not unexpected, given that LABA is a bronchodilator; it was further noted that a longer period of follow-up may be required to detect an effect on exacerbations.</w:t>
      </w:r>
    </w:p>
    <w:p w:rsidR="00856C4C" w:rsidRPr="00051281" w:rsidRDefault="00980971" w:rsidP="00856C4C">
      <w:pPr>
        <w:pStyle w:val="ListParagraph"/>
        <w:widowControl/>
        <w:numPr>
          <w:ilvl w:val="1"/>
          <w:numId w:val="1"/>
        </w:numPr>
        <w:spacing w:after="120"/>
      </w:pPr>
      <w:r w:rsidRPr="00051281">
        <w:t>The submission stated that the MCID for FEV</w:t>
      </w:r>
      <w:r w:rsidRPr="00051281">
        <w:rPr>
          <w:vertAlign w:val="subscript"/>
        </w:rPr>
        <w:t>1</w:t>
      </w:r>
      <w:r w:rsidRPr="00051281">
        <w:t xml:space="preserve"> peak (</w:t>
      </w:r>
      <w:r w:rsidR="00EF1028" w:rsidRPr="00051281">
        <w:t>0–3</w:t>
      </w:r>
      <w:r w:rsidRPr="00051281">
        <w:t>h) had not been rigorously established for asthma. In the adult tiotropium submissions, the mean difference in change from baseline in trough FEV</w:t>
      </w:r>
      <w:r w:rsidRPr="00051281">
        <w:rPr>
          <w:vertAlign w:val="subscript"/>
        </w:rPr>
        <w:t>1</w:t>
      </w:r>
      <w:r w:rsidRPr="00051281">
        <w:t xml:space="preserve"> </w:t>
      </w:r>
      <w:r w:rsidR="00C302B4" w:rsidRPr="00051281">
        <w:t>and FEV</w:t>
      </w:r>
      <w:r w:rsidR="00C302B4" w:rsidRPr="00051281">
        <w:rPr>
          <w:vertAlign w:val="subscript"/>
        </w:rPr>
        <w:t>1</w:t>
      </w:r>
      <w:r w:rsidR="00C302B4" w:rsidRPr="00051281">
        <w:t xml:space="preserve"> peak (</w:t>
      </w:r>
      <w:r w:rsidR="00EF1028" w:rsidRPr="00051281">
        <w:t>0–3</w:t>
      </w:r>
      <w:r w:rsidR="00C302B4" w:rsidRPr="00051281">
        <w:t xml:space="preserve">h) </w:t>
      </w:r>
      <w:r w:rsidRPr="00051281">
        <w:t>response</w:t>
      </w:r>
      <w:r w:rsidR="00C302B4" w:rsidRPr="00051281">
        <w:t>s were</w:t>
      </w:r>
      <w:r w:rsidRPr="00051281">
        <w:t xml:space="preserve"> 0.10 L and 0.12 L </w:t>
      </w:r>
      <w:r w:rsidR="00C302B4" w:rsidRPr="00051281">
        <w:t>respectively</w:t>
      </w:r>
      <w:r w:rsidRPr="00051281">
        <w:t>. Therefore, the submission concluded that the previously accepted MCID of 0.10 L for trough FEV</w:t>
      </w:r>
      <w:r w:rsidRPr="00051281">
        <w:rPr>
          <w:vertAlign w:val="subscript"/>
        </w:rPr>
        <w:t>1</w:t>
      </w:r>
      <w:r w:rsidRPr="00051281">
        <w:t xml:space="preserve"> corresponded to an incremental benefit of 0.12 L for FEV</w:t>
      </w:r>
      <w:r w:rsidRPr="00051281">
        <w:rPr>
          <w:vertAlign w:val="subscript"/>
        </w:rPr>
        <w:t>1</w:t>
      </w:r>
      <w:r w:rsidRPr="00051281">
        <w:t xml:space="preserve"> peak (</w:t>
      </w:r>
      <w:r w:rsidR="00EF1028" w:rsidRPr="00051281">
        <w:t>0–3</w:t>
      </w:r>
      <w:r w:rsidRPr="00051281">
        <w:t xml:space="preserve">h), and that this value was </w:t>
      </w:r>
      <w:r w:rsidR="000B5F48" w:rsidRPr="00051281">
        <w:t xml:space="preserve">therefore </w:t>
      </w:r>
      <w:r w:rsidRPr="00051281">
        <w:t xml:space="preserve">clinically meaningful in patients with severe asthma. This might not be reasonable; </w:t>
      </w:r>
      <w:r w:rsidR="0062529D" w:rsidRPr="00051281">
        <w:t xml:space="preserve">the PBAC was asked to consider whether a MCID of 0.12 L for </w:t>
      </w:r>
      <w:r w:rsidRPr="00051281">
        <w:t>FEV</w:t>
      </w:r>
      <w:r w:rsidRPr="00051281">
        <w:rPr>
          <w:vertAlign w:val="subscript"/>
        </w:rPr>
        <w:t>1</w:t>
      </w:r>
      <w:r w:rsidRPr="00051281">
        <w:t xml:space="preserve"> peak (</w:t>
      </w:r>
      <w:r w:rsidR="00EF1028" w:rsidRPr="00051281">
        <w:t>0–3</w:t>
      </w:r>
      <w:r w:rsidRPr="00051281">
        <w:t xml:space="preserve">h) </w:t>
      </w:r>
      <w:r w:rsidR="0062529D" w:rsidRPr="00051281">
        <w:t>was</w:t>
      </w:r>
      <w:r w:rsidRPr="00051281">
        <w:t xml:space="preserve"> considered clinically meaningful.</w:t>
      </w:r>
      <w:r w:rsidR="00C302B4" w:rsidRPr="00051281">
        <w:t xml:space="preserve"> No published data on FEV</w:t>
      </w:r>
      <w:r w:rsidR="00C302B4" w:rsidRPr="00051281">
        <w:rPr>
          <w:vertAlign w:val="subscript"/>
        </w:rPr>
        <w:t>1</w:t>
      </w:r>
      <w:r w:rsidR="00C302B4" w:rsidRPr="00051281">
        <w:t xml:space="preserve"> peak (</w:t>
      </w:r>
      <w:r w:rsidR="00EF1028" w:rsidRPr="00051281">
        <w:t>0–3</w:t>
      </w:r>
      <w:r w:rsidR="00C302B4" w:rsidRPr="00051281">
        <w:t>h) was identified.</w:t>
      </w:r>
      <w:r w:rsidR="00F66C18" w:rsidRPr="00051281">
        <w:t xml:space="preserve"> </w:t>
      </w:r>
      <w:r w:rsidR="001D4D43" w:rsidRPr="00051281">
        <w:t xml:space="preserve">The ESC considered the outcomes of most interest will be those related to changes in the </w:t>
      </w:r>
      <w:r w:rsidR="001D4D43" w:rsidRPr="00051281">
        <w:lastRenderedPageBreak/>
        <w:t>chronic aspects of severe asthma, which includes exacerbations and stability in lung function. The FEV</w:t>
      </w:r>
      <w:r w:rsidR="001D4D43" w:rsidRPr="00051281">
        <w:rPr>
          <w:vertAlign w:val="subscript"/>
        </w:rPr>
        <w:t>1</w:t>
      </w:r>
      <w:r w:rsidR="001D4D43" w:rsidRPr="00051281">
        <w:t xml:space="preserve"> peak (0–3h) is a measure of a short-term bronchodilator effect </w:t>
      </w:r>
      <w:r w:rsidR="007952CB" w:rsidRPr="00051281">
        <w:t>on top of</w:t>
      </w:r>
      <w:r w:rsidR="001D4D43" w:rsidRPr="00051281">
        <w:t xml:space="preserve"> the trough measure which reflects longer-term lung function. </w:t>
      </w:r>
      <w:r w:rsidR="00846FCA">
        <w:t>The PBAC agreed with the ESC’s view that FEV</w:t>
      </w:r>
      <w:r w:rsidR="00846FCA">
        <w:rPr>
          <w:vertAlign w:val="subscript"/>
        </w:rPr>
        <w:t>1</w:t>
      </w:r>
      <w:r w:rsidR="00846FCA">
        <w:t xml:space="preserve"> peak </w:t>
      </w:r>
      <w:r w:rsidR="00415CF1">
        <w:t xml:space="preserve">was not an appropriate outcome measure for a </w:t>
      </w:r>
      <w:r w:rsidR="00BC2C6D">
        <w:t>condition</w:t>
      </w:r>
      <w:r w:rsidR="00415CF1">
        <w:t xml:space="preserve"> that affects patients over the long term.</w:t>
      </w:r>
    </w:p>
    <w:p w:rsidR="00856C4C" w:rsidRPr="005E6581" w:rsidRDefault="00856C4C" w:rsidP="009320CE">
      <w:pPr>
        <w:pStyle w:val="Heading2"/>
      </w:pPr>
      <w:r w:rsidRPr="005E6581">
        <w:t>Comparative effectiveness</w:t>
      </w:r>
    </w:p>
    <w:p w:rsidR="002E78EB" w:rsidRPr="00051281" w:rsidRDefault="002E78EB" w:rsidP="003841D3">
      <w:pPr>
        <w:pStyle w:val="ListParagraph"/>
        <w:widowControl/>
        <w:numPr>
          <w:ilvl w:val="1"/>
          <w:numId w:val="1"/>
        </w:numPr>
        <w:spacing w:after="120"/>
      </w:pPr>
      <w:r w:rsidRPr="00051281">
        <w:t xml:space="preserve">The results </w:t>
      </w:r>
      <w:r w:rsidR="005C5F83" w:rsidRPr="00051281">
        <w:t>from trials 204.446 and 204.456 for</w:t>
      </w:r>
      <w:r w:rsidRPr="00051281">
        <w:t xml:space="preserve"> </w:t>
      </w:r>
      <w:r w:rsidR="00F65A4D" w:rsidRPr="00051281">
        <w:t>change from baseline in FEV</w:t>
      </w:r>
      <w:r w:rsidR="00F65A4D" w:rsidRPr="00051281">
        <w:rPr>
          <w:vertAlign w:val="subscript"/>
        </w:rPr>
        <w:t>1</w:t>
      </w:r>
      <w:r w:rsidR="00F65A4D" w:rsidRPr="00051281">
        <w:t xml:space="preserve"> peak (</w:t>
      </w:r>
      <w:r w:rsidR="00EF1028" w:rsidRPr="00051281">
        <w:t>0–3</w:t>
      </w:r>
      <w:r w:rsidR="00F65A4D" w:rsidRPr="00051281">
        <w:t>h) and trough FEV</w:t>
      </w:r>
      <w:r w:rsidR="00F65A4D" w:rsidRPr="00051281">
        <w:rPr>
          <w:vertAlign w:val="subscript"/>
        </w:rPr>
        <w:t>1</w:t>
      </w:r>
      <w:r w:rsidR="00F65A4D" w:rsidRPr="00051281">
        <w:t xml:space="preserve"> at 12 weeks follow-up and the </w:t>
      </w:r>
      <w:r w:rsidR="005C5F83" w:rsidRPr="00051281">
        <w:t>associated</w:t>
      </w:r>
      <w:r w:rsidR="00F65A4D" w:rsidRPr="00051281">
        <w:t xml:space="preserve"> meta-anal</w:t>
      </w:r>
      <w:r w:rsidR="002F4026" w:rsidRPr="00051281">
        <w:t>ys</w:t>
      </w:r>
      <w:r w:rsidR="005C5F83" w:rsidRPr="00051281">
        <w:t>e</w:t>
      </w:r>
      <w:r w:rsidR="002F4026" w:rsidRPr="00051281">
        <w:t xml:space="preserve">s are presented in </w:t>
      </w:r>
      <w:r w:rsidR="005C5F83" w:rsidRPr="00051281">
        <w:t>T</w:t>
      </w:r>
      <w:r w:rsidR="002F4026" w:rsidRPr="00051281">
        <w:t>able 5.</w:t>
      </w:r>
    </w:p>
    <w:p w:rsidR="008C4CFB" w:rsidRPr="00051281" w:rsidRDefault="008C4CFB" w:rsidP="005714E4">
      <w:pPr>
        <w:pStyle w:val="Tabletext"/>
        <w:keepNext/>
        <w:keepLines/>
        <w:rPr>
          <w:b/>
        </w:rPr>
      </w:pPr>
      <w:r w:rsidRPr="00051281">
        <w:rPr>
          <w:b/>
        </w:rPr>
        <w:t xml:space="preserve">Table 5: Results </w:t>
      </w:r>
      <w:r w:rsidR="005C5F83" w:rsidRPr="00051281">
        <w:rPr>
          <w:b/>
        </w:rPr>
        <w:t xml:space="preserve">for </w:t>
      </w:r>
      <w:r w:rsidRPr="00051281">
        <w:rPr>
          <w:b/>
        </w:rPr>
        <w:t>change</w:t>
      </w:r>
      <w:r w:rsidR="0087449A" w:rsidRPr="00051281">
        <w:rPr>
          <w:b/>
        </w:rPr>
        <w:t xml:space="preserve"> from baseline</w:t>
      </w:r>
      <w:r w:rsidRPr="00051281">
        <w:rPr>
          <w:b/>
        </w:rPr>
        <w:t xml:space="preserve"> in </w:t>
      </w:r>
      <w:r w:rsidRPr="00051281">
        <w:rPr>
          <w:rStyle w:val="CommentReference"/>
        </w:rPr>
        <w:t>FEV</w:t>
      </w:r>
      <w:r w:rsidRPr="00051281">
        <w:rPr>
          <w:rStyle w:val="CommentReference"/>
          <w:vertAlign w:val="subscript"/>
        </w:rPr>
        <w:t>1</w:t>
      </w:r>
      <w:r w:rsidRPr="00051281">
        <w:rPr>
          <w:rStyle w:val="CommentReference"/>
        </w:rPr>
        <w:t xml:space="preserve"> peak (</w:t>
      </w:r>
      <w:r w:rsidR="00EF1028" w:rsidRPr="00051281">
        <w:rPr>
          <w:rStyle w:val="CommentReference"/>
        </w:rPr>
        <w:t>0–3</w:t>
      </w:r>
      <w:r w:rsidRPr="00051281">
        <w:rPr>
          <w:rStyle w:val="CommentReference"/>
        </w:rPr>
        <w:t xml:space="preserve">h) response </w:t>
      </w:r>
      <w:r w:rsidRPr="00051281">
        <w:rPr>
          <w:b/>
        </w:rPr>
        <w:t xml:space="preserve">and </w:t>
      </w:r>
      <w:r w:rsidRPr="00051281">
        <w:rPr>
          <w:rStyle w:val="CommentReference"/>
        </w:rPr>
        <w:t>trough FEV</w:t>
      </w:r>
      <w:r w:rsidRPr="00051281">
        <w:rPr>
          <w:rStyle w:val="CommentReference"/>
          <w:vertAlign w:val="subscript"/>
        </w:rPr>
        <w:t>1</w:t>
      </w:r>
      <w:r w:rsidRPr="00051281">
        <w:rPr>
          <w:rStyle w:val="CommentReference"/>
        </w:rPr>
        <w:t xml:space="preserve"> response </w:t>
      </w:r>
      <w:r w:rsidR="0030190F" w:rsidRPr="00051281">
        <w:rPr>
          <w:rStyle w:val="CommentReference"/>
        </w:rPr>
        <w:t xml:space="preserve">at 12 weeks </w:t>
      </w:r>
      <w:r w:rsidR="0062529D" w:rsidRPr="00051281">
        <w:rPr>
          <w:rStyle w:val="CommentReference"/>
        </w:rPr>
        <w:t>(</w:t>
      </w:r>
      <w:proofErr w:type="spellStart"/>
      <w:r w:rsidRPr="00051281">
        <w:rPr>
          <w:b/>
        </w:rPr>
        <w:t>m</w:t>
      </w:r>
      <w:r w:rsidR="003E21BE" w:rsidRPr="00051281">
        <w:rPr>
          <w:b/>
        </w:rPr>
        <w:t>ITT</w:t>
      </w:r>
      <w:proofErr w:type="spellEnd"/>
      <w:r w:rsidR="003E21BE" w:rsidRPr="00051281">
        <w:rPr>
          <w:b/>
        </w:rPr>
        <w:t xml:space="preserve"> population</w:t>
      </w:r>
      <w:r w:rsidR="005C5F83" w:rsidRPr="00051281">
        <w:rPr>
          <w:b/>
        </w:rPr>
        <w:t>s</w:t>
      </w:r>
      <w:r w:rsidR="0062529D" w:rsidRPr="00051281">
        <w:rPr>
          <w:b/>
        </w:rPr>
        <w:t>)</w:t>
      </w:r>
      <w:r w:rsidRPr="00051281">
        <w:rPr>
          <w: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52"/>
        <w:gridCol w:w="570"/>
        <w:gridCol w:w="2000"/>
        <w:gridCol w:w="570"/>
        <w:gridCol w:w="2000"/>
        <w:gridCol w:w="2091"/>
      </w:tblGrid>
      <w:tr w:rsidR="00053E5F" w:rsidRPr="00051281" w:rsidTr="004574B9">
        <w:trPr>
          <w:trHeight w:val="20"/>
          <w:tblHeader/>
        </w:trPr>
        <w:tc>
          <w:tcPr>
            <w:tcW w:w="1019" w:type="pct"/>
            <w:vMerge w:val="restart"/>
          </w:tcPr>
          <w:p w:rsidR="00053E5F" w:rsidRPr="00051281" w:rsidRDefault="00053E5F" w:rsidP="005714E4">
            <w:pPr>
              <w:pStyle w:val="Tabletext"/>
              <w:keepNext/>
              <w:keepLines/>
              <w:rPr>
                <w:b/>
              </w:rPr>
            </w:pPr>
            <w:r w:rsidRPr="00051281">
              <w:rPr>
                <w:b/>
              </w:rPr>
              <w:t>Trial ID</w:t>
            </w:r>
          </w:p>
        </w:tc>
        <w:tc>
          <w:tcPr>
            <w:tcW w:w="1415" w:type="pct"/>
            <w:gridSpan w:val="2"/>
          </w:tcPr>
          <w:p w:rsidR="00053E5F" w:rsidRPr="00051281" w:rsidRDefault="00053E5F" w:rsidP="0018468E">
            <w:pPr>
              <w:pStyle w:val="Tabletext"/>
              <w:keepNext/>
              <w:keepLines/>
              <w:jc w:val="center"/>
              <w:rPr>
                <w:b/>
              </w:rPr>
            </w:pPr>
            <w:r w:rsidRPr="00051281">
              <w:rPr>
                <w:b/>
              </w:rPr>
              <w:t xml:space="preserve">Tiotropium 5 </w:t>
            </w:r>
            <w:proofErr w:type="spellStart"/>
            <w:r w:rsidRPr="00051281">
              <w:rPr>
                <w:b/>
              </w:rPr>
              <w:t>μg</w:t>
            </w:r>
            <w:proofErr w:type="spellEnd"/>
          </w:p>
        </w:tc>
        <w:tc>
          <w:tcPr>
            <w:tcW w:w="1415" w:type="pct"/>
            <w:gridSpan w:val="2"/>
          </w:tcPr>
          <w:p w:rsidR="00053E5F" w:rsidRPr="00051281" w:rsidRDefault="00053E5F" w:rsidP="0018468E">
            <w:pPr>
              <w:pStyle w:val="Tabletext"/>
              <w:keepNext/>
              <w:keepLines/>
              <w:jc w:val="center"/>
              <w:rPr>
                <w:b/>
              </w:rPr>
            </w:pPr>
            <w:r w:rsidRPr="00051281">
              <w:rPr>
                <w:b/>
              </w:rPr>
              <w:t>Placebo</w:t>
            </w:r>
          </w:p>
        </w:tc>
        <w:tc>
          <w:tcPr>
            <w:tcW w:w="1151" w:type="pct"/>
            <w:vMerge w:val="restart"/>
          </w:tcPr>
          <w:p w:rsidR="00053E5F" w:rsidRPr="00051281" w:rsidRDefault="00053E5F" w:rsidP="0018468E">
            <w:pPr>
              <w:pStyle w:val="Tabletext"/>
              <w:keepNext/>
              <w:keepLines/>
              <w:jc w:val="center"/>
              <w:rPr>
                <w:b/>
                <w:vertAlign w:val="superscript"/>
              </w:rPr>
            </w:pPr>
            <w:r w:rsidRPr="00051281">
              <w:rPr>
                <w:b/>
              </w:rPr>
              <w:t xml:space="preserve">Adjusted mean difference  (95% CI) </w:t>
            </w:r>
            <w:r w:rsidRPr="00051281">
              <w:rPr>
                <w:b/>
                <w:vertAlign w:val="superscript"/>
              </w:rPr>
              <w:t>b</w:t>
            </w:r>
          </w:p>
        </w:tc>
      </w:tr>
      <w:tr w:rsidR="00053E5F" w:rsidRPr="00051281" w:rsidTr="004574B9">
        <w:trPr>
          <w:trHeight w:val="20"/>
          <w:tblHeader/>
        </w:trPr>
        <w:tc>
          <w:tcPr>
            <w:tcW w:w="1019" w:type="pct"/>
            <w:vMerge/>
          </w:tcPr>
          <w:p w:rsidR="00053E5F" w:rsidRPr="00051281" w:rsidRDefault="00053E5F" w:rsidP="005714E4">
            <w:pPr>
              <w:pStyle w:val="Tabletext"/>
              <w:keepNext/>
              <w:keepLines/>
            </w:pPr>
          </w:p>
        </w:tc>
        <w:tc>
          <w:tcPr>
            <w:tcW w:w="314" w:type="pct"/>
          </w:tcPr>
          <w:p w:rsidR="00053E5F" w:rsidRPr="00051281" w:rsidRDefault="00053E5F" w:rsidP="0018468E">
            <w:pPr>
              <w:pStyle w:val="Tabletext"/>
              <w:keepNext/>
              <w:keepLines/>
              <w:jc w:val="center"/>
              <w:rPr>
                <w:b/>
              </w:rPr>
            </w:pPr>
            <w:r w:rsidRPr="00051281">
              <w:rPr>
                <w:b/>
              </w:rPr>
              <w:t>N</w:t>
            </w:r>
          </w:p>
        </w:tc>
        <w:tc>
          <w:tcPr>
            <w:tcW w:w="1101" w:type="pct"/>
          </w:tcPr>
          <w:p w:rsidR="00053E5F" w:rsidRPr="00051281" w:rsidRDefault="00053E5F" w:rsidP="0018468E">
            <w:pPr>
              <w:pStyle w:val="Tabletext"/>
              <w:keepNext/>
              <w:keepLines/>
              <w:jc w:val="center"/>
              <w:rPr>
                <w:b/>
                <w:vertAlign w:val="superscript"/>
              </w:rPr>
            </w:pPr>
            <w:r w:rsidRPr="00051281">
              <w:rPr>
                <w:b/>
                <w:bCs/>
              </w:rPr>
              <w:t xml:space="preserve">Adjusted mean change at follow-up (SD) </w:t>
            </w:r>
            <w:r w:rsidRPr="00051281">
              <w:rPr>
                <w:b/>
                <w:bCs/>
                <w:vertAlign w:val="superscript"/>
              </w:rPr>
              <w:t>a</w:t>
            </w:r>
          </w:p>
        </w:tc>
        <w:tc>
          <w:tcPr>
            <w:tcW w:w="314" w:type="pct"/>
          </w:tcPr>
          <w:p w:rsidR="00053E5F" w:rsidRPr="00051281" w:rsidRDefault="00053E5F" w:rsidP="0018468E">
            <w:pPr>
              <w:pStyle w:val="Tabletext"/>
              <w:keepNext/>
              <w:keepLines/>
              <w:jc w:val="center"/>
              <w:rPr>
                <w:b/>
              </w:rPr>
            </w:pPr>
            <w:r w:rsidRPr="00051281">
              <w:rPr>
                <w:b/>
              </w:rPr>
              <w:t>N</w:t>
            </w:r>
          </w:p>
        </w:tc>
        <w:tc>
          <w:tcPr>
            <w:tcW w:w="1101" w:type="pct"/>
          </w:tcPr>
          <w:p w:rsidR="00053E5F" w:rsidRPr="00051281" w:rsidRDefault="00053E5F" w:rsidP="0018468E">
            <w:pPr>
              <w:pStyle w:val="Tabletext"/>
              <w:keepNext/>
              <w:keepLines/>
              <w:jc w:val="center"/>
              <w:rPr>
                <w:b/>
                <w:vertAlign w:val="superscript"/>
              </w:rPr>
            </w:pPr>
            <w:r w:rsidRPr="00051281">
              <w:rPr>
                <w:b/>
                <w:bCs/>
              </w:rPr>
              <w:t xml:space="preserve">Adjusted mean change at follow-up (SD) </w:t>
            </w:r>
            <w:r w:rsidRPr="00051281">
              <w:rPr>
                <w:b/>
                <w:bCs/>
                <w:vertAlign w:val="superscript"/>
              </w:rPr>
              <w:t>a</w:t>
            </w:r>
          </w:p>
        </w:tc>
        <w:tc>
          <w:tcPr>
            <w:tcW w:w="1151" w:type="pct"/>
            <w:vMerge/>
          </w:tcPr>
          <w:p w:rsidR="00053E5F" w:rsidRPr="00051281" w:rsidRDefault="00053E5F" w:rsidP="005714E4">
            <w:pPr>
              <w:pStyle w:val="Tabletext"/>
              <w:keepNext/>
              <w:keepLines/>
            </w:pPr>
          </w:p>
        </w:tc>
      </w:tr>
      <w:tr w:rsidR="00053E5F" w:rsidRPr="00051281" w:rsidTr="004574B9">
        <w:trPr>
          <w:trHeight w:val="20"/>
        </w:trPr>
        <w:tc>
          <w:tcPr>
            <w:tcW w:w="5000" w:type="pct"/>
            <w:gridSpan w:val="6"/>
          </w:tcPr>
          <w:p w:rsidR="00053E5F" w:rsidRPr="00051281" w:rsidRDefault="00053E5F" w:rsidP="005714E4">
            <w:pPr>
              <w:pStyle w:val="Tabletext"/>
              <w:keepNext/>
              <w:keepLines/>
              <w:rPr>
                <w:b/>
              </w:rPr>
            </w:pPr>
            <w:r w:rsidRPr="00051281">
              <w:rPr>
                <w:rStyle w:val="CommentReference"/>
              </w:rPr>
              <w:t>FEV</w:t>
            </w:r>
            <w:r w:rsidRPr="00051281">
              <w:rPr>
                <w:rStyle w:val="CommentReference"/>
                <w:vertAlign w:val="subscript"/>
              </w:rPr>
              <w:t>1</w:t>
            </w:r>
            <w:r w:rsidRPr="00051281">
              <w:rPr>
                <w:rStyle w:val="CommentReference"/>
              </w:rPr>
              <w:t xml:space="preserve"> peak (</w:t>
            </w:r>
            <w:r w:rsidR="00EF1028" w:rsidRPr="00051281">
              <w:rPr>
                <w:rStyle w:val="CommentReference"/>
              </w:rPr>
              <w:t>0–3</w:t>
            </w:r>
            <w:r w:rsidRPr="00051281">
              <w:rPr>
                <w:rStyle w:val="CommentReference"/>
              </w:rPr>
              <w:t xml:space="preserve">h) response (L) </w:t>
            </w:r>
          </w:p>
        </w:tc>
      </w:tr>
      <w:tr w:rsidR="00053E5F" w:rsidRPr="00051281" w:rsidTr="004574B9">
        <w:trPr>
          <w:trHeight w:val="20"/>
        </w:trPr>
        <w:tc>
          <w:tcPr>
            <w:tcW w:w="1019" w:type="pct"/>
          </w:tcPr>
          <w:p w:rsidR="00053E5F" w:rsidRPr="00051281" w:rsidRDefault="00053E5F" w:rsidP="005714E4">
            <w:pPr>
              <w:pStyle w:val="Tabletext"/>
              <w:keepNext/>
              <w:keepLines/>
            </w:pPr>
            <w:r w:rsidRPr="00051281">
              <w:t>205.446 (6-11 years)</w:t>
            </w:r>
          </w:p>
        </w:tc>
        <w:tc>
          <w:tcPr>
            <w:tcW w:w="314" w:type="pct"/>
          </w:tcPr>
          <w:p w:rsidR="00053E5F" w:rsidRPr="00051281" w:rsidRDefault="00053E5F" w:rsidP="005714E4">
            <w:pPr>
              <w:pStyle w:val="Tabletext"/>
              <w:keepNext/>
              <w:keepLines/>
            </w:pPr>
            <w:r w:rsidRPr="00051281">
              <w:t>128</w:t>
            </w:r>
          </w:p>
        </w:tc>
        <w:tc>
          <w:tcPr>
            <w:tcW w:w="1101" w:type="pct"/>
          </w:tcPr>
          <w:p w:rsidR="00053E5F" w:rsidRPr="00051281" w:rsidRDefault="00053E5F" w:rsidP="005714E4">
            <w:pPr>
              <w:pStyle w:val="Tabletext"/>
              <w:keepNext/>
              <w:keepLines/>
            </w:pPr>
            <w:r w:rsidRPr="00051281">
              <w:t>0.39 (0.35)</w:t>
            </w:r>
          </w:p>
        </w:tc>
        <w:tc>
          <w:tcPr>
            <w:tcW w:w="314" w:type="pct"/>
          </w:tcPr>
          <w:p w:rsidR="00053E5F" w:rsidRPr="00051281" w:rsidRDefault="00053E5F" w:rsidP="005714E4">
            <w:pPr>
              <w:pStyle w:val="Tabletext"/>
              <w:keepNext/>
              <w:keepLines/>
            </w:pPr>
            <w:r w:rsidRPr="00051281">
              <w:t>130</w:t>
            </w:r>
          </w:p>
        </w:tc>
        <w:tc>
          <w:tcPr>
            <w:tcW w:w="1101" w:type="pct"/>
          </w:tcPr>
          <w:p w:rsidR="00053E5F" w:rsidRPr="00051281" w:rsidRDefault="00053E5F" w:rsidP="005714E4">
            <w:pPr>
              <w:pStyle w:val="Tabletext"/>
              <w:keepNext/>
              <w:keepLines/>
            </w:pPr>
            <w:r w:rsidRPr="00051281">
              <w:t>0.25 (0.29)</w:t>
            </w:r>
          </w:p>
        </w:tc>
        <w:tc>
          <w:tcPr>
            <w:tcW w:w="1151" w:type="pct"/>
          </w:tcPr>
          <w:p w:rsidR="00053E5F" w:rsidRPr="00051281" w:rsidRDefault="00053E5F" w:rsidP="005714E4">
            <w:pPr>
              <w:pStyle w:val="Tabletext"/>
              <w:keepNext/>
              <w:keepLines/>
              <w:rPr>
                <w:b/>
              </w:rPr>
            </w:pPr>
            <w:r w:rsidRPr="00051281">
              <w:rPr>
                <w:b/>
              </w:rPr>
              <w:t>0.14 (0.08, 0.20)</w:t>
            </w:r>
          </w:p>
        </w:tc>
      </w:tr>
      <w:tr w:rsidR="00053E5F" w:rsidRPr="00051281" w:rsidTr="004574B9">
        <w:trPr>
          <w:trHeight w:val="20"/>
        </w:trPr>
        <w:tc>
          <w:tcPr>
            <w:tcW w:w="1019" w:type="pct"/>
          </w:tcPr>
          <w:p w:rsidR="00053E5F" w:rsidRPr="00051281" w:rsidRDefault="00053E5F" w:rsidP="005714E4">
            <w:pPr>
              <w:pStyle w:val="Tabletext"/>
              <w:keepNext/>
              <w:keepLines/>
            </w:pPr>
            <w:r w:rsidRPr="00051281">
              <w:t>205.456 (12-17 years)</w:t>
            </w:r>
          </w:p>
        </w:tc>
        <w:tc>
          <w:tcPr>
            <w:tcW w:w="314" w:type="pct"/>
          </w:tcPr>
          <w:p w:rsidR="00053E5F" w:rsidRPr="00051281" w:rsidRDefault="00053E5F" w:rsidP="005714E4">
            <w:pPr>
              <w:pStyle w:val="Tabletext"/>
              <w:keepNext/>
              <w:keepLines/>
            </w:pPr>
            <w:r w:rsidRPr="00051281">
              <w:t>130</w:t>
            </w:r>
          </w:p>
        </w:tc>
        <w:tc>
          <w:tcPr>
            <w:tcW w:w="1101" w:type="pct"/>
          </w:tcPr>
          <w:p w:rsidR="00053E5F" w:rsidRPr="00051281" w:rsidRDefault="00053E5F" w:rsidP="005714E4">
            <w:pPr>
              <w:pStyle w:val="Tabletext"/>
              <w:keepNext/>
              <w:keepLines/>
            </w:pPr>
            <w:r w:rsidRPr="00051281">
              <w:t>0.53 (0.51)</w:t>
            </w:r>
          </w:p>
        </w:tc>
        <w:tc>
          <w:tcPr>
            <w:tcW w:w="314" w:type="pct"/>
          </w:tcPr>
          <w:p w:rsidR="00053E5F" w:rsidRPr="00051281" w:rsidRDefault="00053E5F" w:rsidP="005714E4">
            <w:pPr>
              <w:pStyle w:val="Tabletext"/>
              <w:keepNext/>
              <w:keepLines/>
            </w:pPr>
            <w:r w:rsidRPr="00051281">
              <w:t>132</w:t>
            </w:r>
          </w:p>
        </w:tc>
        <w:tc>
          <w:tcPr>
            <w:tcW w:w="1101" w:type="pct"/>
          </w:tcPr>
          <w:p w:rsidR="00053E5F" w:rsidRPr="00051281" w:rsidRDefault="00053E5F" w:rsidP="005714E4">
            <w:pPr>
              <w:pStyle w:val="Tabletext"/>
              <w:keepNext/>
              <w:keepLines/>
            </w:pPr>
            <w:r w:rsidRPr="00051281">
              <w:t>0.44 (0.52)</w:t>
            </w:r>
          </w:p>
        </w:tc>
        <w:tc>
          <w:tcPr>
            <w:tcW w:w="1151" w:type="pct"/>
          </w:tcPr>
          <w:p w:rsidR="00053E5F" w:rsidRPr="00051281" w:rsidRDefault="00053E5F" w:rsidP="005714E4">
            <w:pPr>
              <w:pStyle w:val="Tabletext"/>
              <w:keepNext/>
              <w:keepLines/>
            </w:pPr>
            <w:r w:rsidRPr="00051281">
              <w:t>0.09 (</w:t>
            </w:r>
            <w:r w:rsidRPr="00051281">
              <w:noBreakHyphen/>
              <w:t>0.02, 0.20)</w:t>
            </w:r>
          </w:p>
        </w:tc>
      </w:tr>
      <w:tr w:rsidR="005C5F83" w:rsidRPr="00051281" w:rsidTr="004574B9">
        <w:trPr>
          <w:trHeight w:val="20"/>
        </w:trPr>
        <w:tc>
          <w:tcPr>
            <w:tcW w:w="3849" w:type="pct"/>
            <w:gridSpan w:val="5"/>
          </w:tcPr>
          <w:p w:rsidR="005C5F83" w:rsidRPr="00051281" w:rsidRDefault="005C5F83" w:rsidP="005714E4">
            <w:pPr>
              <w:pStyle w:val="Tabletext"/>
              <w:keepNext/>
              <w:keepLines/>
            </w:pPr>
            <w:r w:rsidRPr="00051281">
              <w:t>Meta-analysis result (I</w:t>
            </w:r>
            <w:r w:rsidRPr="00051281">
              <w:rPr>
                <w:vertAlign w:val="superscript"/>
              </w:rPr>
              <w:t>2</w:t>
            </w:r>
            <w:r w:rsidRPr="00051281">
              <w:t xml:space="preserve"> statistic = 0%; Chi</w:t>
            </w:r>
            <w:r w:rsidRPr="00051281">
              <w:rPr>
                <w:vertAlign w:val="superscript"/>
              </w:rPr>
              <w:t>2</w:t>
            </w:r>
            <w:r w:rsidRPr="00051281">
              <w:t xml:space="preserve"> for heterogeneity = 0.45</w:t>
            </w:r>
            <w:r w:rsidR="00491A5C" w:rsidRPr="00051281">
              <w:t xml:space="preserve"> (P = 0.50)</w:t>
            </w:r>
            <w:r w:rsidRPr="00051281">
              <w:t>)</w:t>
            </w:r>
          </w:p>
        </w:tc>
        <w:tc>
          <w:tcPr>
            <w:tcW w:w="1151" w:type="pct"/>
          </w:tcPr>
          <w:p w:rsidR="005C5F83" w:rsidRPr="00051281" w:rsidRDefault="005C5F83" w:rsidP="005714E4">
            <w:pPr>
              <w:pStyle w:val="Tabletext"/>
              <w:keepNext/>
              <w:keepLines/>
              <w:rPr>
                <w:b/>
              </w:rPr>
            </w:pPr>
            <w:r w:rsidRPr="00051281">
              <w:rPr>
                <w:b/>
              </w:rPr>
              <w:t>0.13 (0.07,0.19)</w:t>
            </w:r>
          </w:p>
        </w:tc>
      </w:tr>
      <w:tr w:rsidR="00053E5F" w:rsidRPr="00051281" w:rsidTr="004574B9">
        <w:trPr>
          <w:trHeight w:val="20"/>
        </w:trPr>
        <w:tc>
          <w:tcPr>
            <w:tcW w:w="5000" w:type="pct"/>
            <w:gridSpan w:val="6"/>
          </w:tcPr>
          <w:p w:rsidR="00053E5F" w:rsidRPr="00051281" w:rsidRDefault="005C5F83" w:rsidP="005714E4">
            <w:pPr>
              <w:pStyle w:val="Tabletext"/>
              <w:keepNext/>
              <w:keepLines/>
            </w:pPr>
            <w:r w:rsidRPr="00051281">
              <w:rPr>
                <w:rStyle w:val="CommentReference"/>
              </w:rPr>
              <w:t>T</w:t>
            </w:r>
            <w:r w:rsidR="00053E5F" w:rsidRPr="00051281">
              <w:rPr>
                <w:rStyle w:val="CommentReference"/>
              </w:rPr>
              <w:t>rough FEV</w:t>
            </w:r>
            <w:r w:rsidR="00053E5F" w:rsidRPr="00051281">
              <w:rPr>
                <w:rStyle w:val="CommentReference"/>
                <w:vertAlign w:val="subscript"/>
              </w:rPr>
              <w:t>1</w:t>
            </w:r>
            <w:r w:rsidR="00053E5F" w:rsidRPr="00051281">
              <w:rPr>
                <w:rStyle w:val="CommentReference"/>
              </w:rPr>
              <w:t xml:space="preserve"> response (L) </w:t>
            </w:r>
          </w:p>
        </w:tc>
      </w:tr>
      <w:tr w:rsidR="00053E5F" w:rsidRPr="00051281" w:rsidTr="004574B9">
        <w:trPr>
          <w:trHeight w:val="20"/>
        </w:trPr>
        <w:tc>
          <w:tcPr>
            <w:tcW w:w="1019" w:type="pct"/>
          </w:tcPr>
          <w:p w:rsidR="00053E5F" w:rsidRPr="00051281" w:rsidRDefault="00053E5F" w:rsidP="005714E4">
            <w:pPr>
              <w:pStyle w:val="Tabletext"/>
              <w:keepNext/>
              <w:keepLines/>
            </w:pPr>
            <w:r w:rsidRPr="00051281">
              <w:t>205.446 (6-11 years)</w:t>
            </w:r>
          </w:p>
        </w:tc>
        <w:tc>
          <w:tcPr>
            <w:tcW w:w="314" w:type="pct"/>
          </w:tcPr>
          <w:p w:rsidR="00053E5F" w:rsidRPr="00051281" w:rsidRDefault="00053E5F" w:rsidP="005714E4">
            <w:pPr>
              <w:pStyle w:val="Tabletext"/>
              <w:keepNext/>
              <w:keepLines/>
            </w:pPr>
            <w:r w:rsidRPr="00051281">
              <w:t>128</w:t>
            </w:r>
          </w:p>
        </w:tc>
        <w:tc>
          <w:tcPr>
            <w:tcW w:w="1101" w:type="pct"/>
          </w:tcPr>
          <w:p w:rsidR="00053E5F" w:rsidRPr="00051281" w:rsidRDefault="00053E5F" w:rsidP="005714E4">
            <w:pPr>
              <w:pStyle w:val="Tabletext"/>
              <w:keepNext/>
              <w:keepLines/>
            </w:pPr>
            <w:r w:rsidRPr="00051281">
              <w:t>0.22 (0.31)</w:t>
            </w:r>
          </w:p>
        </w:tc>
        <w:tc>
          <w:tcPr>
            <w:tcW w:w="314" w:type="pct"/>
          </w:tcPr>
          <w:p w:rsidR="00053E5F" w:rsidRPr="00051281" w:rsidRDefault="00053E5F" w:rsidP="005714E4">
            <w:pPr>
              <w:pStyle w:val="Tabletext"/>
              <w:keepNext/>
              <w:keepLines/>
            </w:pPr>
            <w:r w:rsidRPr="00051281">
              <w:t>130</w:t>
            </w:r>
          </w:p>
        </w:tc>
        <w:tc>
          <w:tcPr>
            <w:tcW w:w="1101" w:type="pct"/>
          </w:tcPr>
          <w:p w:rsidR="00053E5F" w:rsidRPr="00051281" w:rsidRDefault="00053E5F" w:rsidP="005714E4">
            <w:pPr>
              <w:pStyle w:val="Tabletext"/>
              <w:keepNext/>
              <w:keepLines/>
            </w:pPr>
            <w:r w:rsidRPr="00051281">
              <w:t>0.14 (0.31)</w:t>
            </w:r>
          </w:p>
        </w:tc>
        <w:tc>
          <w:tcPr>
            <w:tcW w:w="1151" w:type="pct"/>
          </w:tcPr>
          <w:p w:rsidR="00053E5F" w:rsidRPr="00051281" w:rsidRDefault="00053E5F" w:rsidP="005714E4">
            <w:pPr>
              <w:pStyle w:val="Tabletext"/>
              <w:keepNext/>
              <w:keepLines/>
            </w:pPr>
            <w:r w:rsidRPr="00051281">
              <w:rPr>
                <w:b/>
              </w:rPr>
              <w:t>0.09 (0.02, 0.15)</w:t>
            </w:r>
          </w:p>
        </w:tc>
      </w:tr>
      <w:tr w:rsidR="00053E5F" w:rsidRPr="00051281" w:rsidTr="004574B9">
        <w:trPr>
          <w:trHeight w:val="20"/>
        </w:trPr>
        <w:tc>
          <w:tcPr>
            <w:tcW w:w="1019" w:type="pct"/>
          </w:tcPr>
          <w:p w:rsidR="00053E5F" w:rsidRPr="00051281" w:rsidRDefault="00053E5F" w:rsidP="005714E4">
            <w:pPr>
              <w:pStyle w:val="Tabletext"/>
              <w:keepNext/>
              <w:keepLines/>
            </w:pPr>
            <w:r w:rsidRPr="00051281">
              <w:t>205.456 (12-17 years)</w:t>
            </w:r>
          </w:p>
        </w:tc>
        <w:tc>
          <w:tcPr>
            <w:tcW w:w="314" w:type="pct"/>
          </w:tcPr>
          <w:p w:rsidR="00053E5F" w:rsidRPr="00051281" w:rsidRDefault="00053E5F" w:rsidP="005714E4">
            <w:pPr>
              <w:pStyle w:val="Tabletext"/>
              <w:keepNext/>
              <w:keepLines/>
            </w:pPr>
            <w:r w:rsidRPr="00051281">
              <w:t>130</w:t>
            </w:r>
          </w:p>
        </w:tc>
        <w:tc>
          <w:tcPr>
            <w:tcW w:w="1101" w:type="pct"/>
          </w:tcPr>
          <w:p w:rsidR="00053E5F" w:rsidRPr="00051281" w:rsidRDefault="00053E5F" w:rsidP="005714E4">
            <w:pPr>
              <w:pStyle w:val="Tabletext"/>
              <w:keepNext/>
              <w:keepLines/>
            </w:pPr>
            <w:r w:rsidRPr="00051281">
              <w:t>0.28 (0.55)</w:t>
            </w:r>
          </w:p>
        </w:tc>
        <w:tc>
          <w:tcPr>
            <w:tcW w:w="314" w:type="pct"/>
          </w:tcPr>
          <w:p w:rsidR="00053E5F" w:rsidRPr="00051281" w:rsidRDefault="00053E5F" w:rsidP="005714E4">
            <w:pPr>
              <w:pStyle w:val="Tabletext"/>
              <w:keepNext/>
              <w:keepLines/>
            </w:pPr>
            <w:r w:rsidRPr="00051281">
              <w:t>132</w:t>
            </w:r>
          </w:p>
        </w:tc>
        <w:tc>
          <w:tcPr>
            <w:tcW w:w="1101" w:type="pct"/>
          </w:tcPr>
          <w:p w:rsidR="00053E5F" w:rsidRPr="00051281" w:rsidRDefault="00053E5F" w:rsidP="005714E4">
            <w:pPr>
              <w:pStyle w:val="Tabletext"/>
              <w:keepNext/>
              <w:keepLines/>
            </w:pPr>
            <w:r w:rsidRPr="00051281">
              <w:t>0.23 (0.55)</w:t>
            </w:r>
          </w:p>
        </w:tc>
        <w:tc>
          <w:tcPr>
            <w:tcW w:w="1151" w:type="pct"/>
          </w:tcPr>
          <w:p w:rsidR="00053E5F" w:rsidRPr="00051281" w:rsidRDefault="00053E5F" w:rsidP="005714E4">
            <w:pPr>
              <w:pStyle w:val="Tabletext"/>
              <w:keepNext/>
              <w:keepLines/>
            </w:pPr>
            <w:r w:rsidRPr="00051281">
              <w:t>0.05 (-0.06, 0.17)</w:t>
            </w:r>
          </w:p>
        </w:tc>
      </w:tr>
      <w:tr w:rsidR="005C5F83" w:rsidRPr="00051281" w:rsidTr="004574B9">
        <w:trPr>
          <w:trHeight w:val="20"/>
        </w:trPr>
        <w:tc>
          <w:tcPr>
            <w:tcW w:w="3849" w:type="pct"/>
            <w:gridSpan w:val="5"/>
          </w:tcPr>
          <w:p w:rsidR="005C5F83" w:rsidRPr="00051281" w:rsidRDefault="005C5F83" w:rsidP="005714E4">
            <w:pPr>
              <w:pStyle w:val="Tabletext"/>
              <w:keepNext/>
              <w:keepLines/>
            </w:pPr>
            <w:r w:rsidRPr="00051281">
              <w:t>Meta-analysis</w:t>
            </w:r>
            <w:r w:rsidR="00491A5C" w:rsidRPr="00051281">
              <w:t xml:space="preserve"> result (I</w:t>
            </w:r>
            <w:r w:rsidR="00491A5C" w:rsidRPr="00051281">
              <w:rPr>
                <w:vertAlign w:val="superscript"/>
              </w:rPr>
              <w:t>2</w:t>
            </w:r>
            <w:r w:rsidR="00491A5C" w:rsidRPr="00051281">
              <w:t xml:space="preserve"> statistic = 0%; Chi</w:t>
            </w:r>
            <w:r w:rsidR="00491A5C" w:rsidRPr="00051281">
              <w:rPr>
                <w:vertAlign w:val="superscript"/>
              </w:rPr>
              <w:t>2</w:t>
            </w:r>
            <w:r w:rsidR="00491A5C" w:rsidRPr="00051281">
              <w:t xml:space="preserve"> for heterogeneity = 0.18 (P = 0.67))</w:t>
            </w:r>
          </w:p>
        </w:tc>
        <w:tc>
          <w:tcPr>
            <w:tcW w:w="1151" w:type="pct"/>
          </w:tcPr>
          <w:p w:rsidR="005C5F83" w:rsidRPr="00051281" w:rsidRDefault="005C5F83" w:rsidP="005714E4">
            <w:pPr>
              <w:pStyle w:val="Tabletext"/>
              <w:keepNext/>
              <w:keepLines/>
              <w:rPr>
                <w:b/>
              </w:rPr>
            </w:pPr>
            <w:r w:rsidRPr="00051281">
              <w:rPr>
                <w:b/>
              </w:rPr>
              <w:t>0.08 (0.01, 0.14)</w:t>
            </w:r>
          </w:p>
        </w:tc>
      </w:tr>
    </w:tbl>
    <w:p w:rsidR="002E78EB" w:rsidRPr="00051281" w:rsidRDefault="008C4CFB" w:rsidP="0018468E">
      <w:pPr>
        <w:pStyle w:val="TableFooter"/>
        <w:keepNext/>
        <w:keepLines/>
        <w:jc w:val="left"/>
      </w:pPr>
      <w:r w:rsidRPr="00051281">
        <w:t>Source: Table</w:t>
      </w:r>
      <w:r w:rsidR="00491A5C" w:rsidRPr="00051281">
        <w:t>s</w:t>
      </w:r>
      <w:r w:rsidRPr="00051281">
        <w:t xml:space="preserve"> 2.19-</w:t>
      </w:r>
      <w:r w:rsidR="00491A5C" w:rsidRPr="00051281">
        <w:t>2.</w:t>
      </w:r>
      <w:r w:rsidRPr="00051281">
        <w:t>20, p</w:t>
      </w:r>
      <w:r w:rsidR="00491A5C" w:rsidRPr="00051281">
        <w:t>p</w:t>
      </w:r>
      <w:r w:rsidRPr="00051281">
        <w:t>94-95</w:t>
      </w:r>
      <w:r w:rsidR="00742247" w:rsidRPr="00051281">
        <w:t>;</w:t>
      </w:r>
      <w:r w:rsidRPr="00051281">
        <w:t xml:space="preserve"> and Figure</w:t>
      </w:r>
      <w:r w:rsidR="00491A5C" w:rsidRPr="00051281">
        <w:t>s</w:t>
      </w:r>
      <w:r w:rsidRPr="00051281">
        <w:t xml:space="preserve"> 2.8-2.9, p</w:t>
      </w:r>
      <w:r w:rsidR="00491A5C" w:rsidRPr="00051281">
        <w:t>p</w:t>
      </w:r>
      <w:r w:rsidRPr="00051281">
        <w:t xml:space="preserve">119-120 of the submission </w:t>
      </w:r>
    </w:p>
    <w:p w:rsidR="008C4CFB" w:rsidRPr="00051281" w:rsidRDefault="008C4CFB" w:rsidP="0062529D">
      <w:pPr>
        <w:pStyle w:val="TableFooter"/>
      </w:pPr>
      <w:r w:rsidRPr="00051281">
        <w:t>CI = confidence interval; FEV</w:t>
      </w:r>
      <w:r w:rsidRPr="00051281">
        <w:rPr>
          <w:vertAlign w:val="subscript"/>
        </w:rPr>
        <w:t>1</w:t>
      </w:r>
      <w:r w:rsidRPr="00051281">
        <w:t xml:space="preserve"> = forced expiratory volume in one second; L = litre; </w:t>
      </w:r>
      <w:proofErr w:type="spellStart"/>
      <w:r w:rsidRPr="00051281">
        <w:t>mITT</w:t>
      </w:r>
      <w:proofErr w:type="spellEnd"/>
      <w:r w:rsidRPr="00051281">
        <w:t xml:space="preserve"> = modified intention-to-treat; MMRM = mixed model repeated measures;</w:t>
      </w:r>
      <w:r w:rsidR="008831D6" w:rsidRPr="00051281">
        <w:t xml:space="preserve"> P = p-value; </w:t>
      </w:r>
      <w:r w:rsidRPr="00051281">
        <w:t>SD = standard deviation</w:t>
      </w:r>
      <w:r w:rsidR="008831D6" w:rsidRPr="00051281">
        <w:t xml:space="preserve">; </w:t>
      </w:r>
      <w:r w:rsidRPr="00051281">
        <w:rPr>
          <w:b/>
        </w:rPr>
        <w:t xml:space="preserve">Bold </w:t>
      </w:r>
      <w:r w:rsidRPr="00051281">
        <w:t>= statistically</w:t>
      </w:r>
      <w:r w:rsidR="00491A5C" w:rsidRPr="00051281">
        <w:t xml:space="preserve"> significant</w:t>
      </w:r>
    </w:p>
    <w:p w:rsidR="008C4CFB" w:rsidRPr="00051281" w:rsidRDefault="008C4CFB" w:rsidP="0018468E">
      <w:pPr>
        <w:pStyle w:val="TableFooter"/>
        <w:keepNext/>
        <w:keepLines/>
        <w:jc w:val="left"/>
      </w:pPr>
      <w:proofErr w:type="gramStart"/>
      <w:r w:rsidRPr="00051281">
        <w:rPr>
          <w:vertAlign w:val="superscript"/>
        </w:rPr>
        <w:t>a</w:t>
      </w:r>
      <w:proofErr w:type="gramEnd"/>
      <w:r w:rsidRPr="00051281">
        <w:t xml:space="preserve"> SD calculated post-hoc </w:t>
      </w:r>
    </w:p>
    <w:p w:rsidR="008C4CFB" w:rsidRPr="00051281" w:rsidRDefault="008C4CFB" w:rsidP="009320CE">
      <w:pPr>
        <w:pStyle w:val="TableFooter"/>
        <w:keepNext/>
        <w:keepLines/>
        <w:spacing w:after="120"/>
        <w:jc w:val="left"/>
      </w:pPr>
      <w:proofErr w:type="gramStart"/>
      <w:r w:rsidRPr="00051281">
        <w:rPr>
          <w:vertAlign w:val="superscript"/>
        </w:rPr>
        <w:t>b</w:t>
      </w:r>
      <w:proofErr w:type="gramEnd"/>
      <w:r w:rsidRPr="00051281">
        <w:t xml:space="preserve"> MMRM with fixed categorical effects of treatment, country, visit, and treatment-by-visit interaction, continuous fixed covariates of baseline and baseline-by-visit interaction, and random effect of patient.</w:t>
      </w:r>
    </w:p>
    <w:p w:rsidR="00750AEA" w:rsidRPr="00051281" w:rsidRDefault="00750AEA" w:rsidP="003841D3">
      <w:pPr>
        <w:pStyle w:val="ListParagraph"/>
        <w:widowControl/>
        <w:numPr>
          <w:ilvl w:val="1"/>
          <w:numId w:val="1"/>
        </w:numPr>
        <w:spacing w:after="120"/>
      </w:pPr>
      <w:r w:rsidRPr="00051281">
        <w:t>In trial 205.446 (6-11 years), tiotropium statistically significantly improved FEV</w:t>
      </w:r>
      <w:r w:rsidRPr="00051281">
        <w:rPr>
          <w:vertAlign w:val="subscript"/>
        </w:rPr>
        <w:t>1</w:t>
      </w:r>
      <w:r w:rsidRPr="00051281">
        <w:t xml:space="preserve"> peak (0−3h) response compared to placebo (</w:t>
      </w:r>
      <w:r w:rsidR="000966AE" w:rsidRPr="00051281">
        <w:t xml:space="preserve">mean difference (MD) = </w:t>
      </w:r>
      <w:r w:rsidRPr="00051281">
        <w:t xml:space="preserve">0.14 L; 95% </w:t>
      </w:r>
      <w:r w:rsidR="000966AE" w:rsidRPr="00051281">
        <w:t>confidence interval (</w:t>
      </w:r>
      <w:r w:rsidRPr="00051281">
        <w:t>CI</w:t>
      </w:r>
      <w:r w:rsidR="000966AE" w:rsidRPr="00051281">
        <w:t>)</w:t>
      </w:r>
      <w:r w:rsidRPr="00051281">
        <w:t>: 0.08, 0.20)</w:t>
      </w:r>
      <w:r w:rsidR="0030190F" w:rsidRPr="00051281">
        <w:t xml:space="preserve"> at 12 weeks</w:t>
      </w:r>
      <w:r w:rsidRPr="00051281">
        <w:t xml:space="preserve">. This result was also </w:t>
      </w:r>
      <w:r w:rsidR="00491A5C" w:rsidRPr="00051281">
        <w:t xml:space="preserve">considered </w:t>
      </w:r>
      <w:r w:rsidRPr="00051281">
        <w:t xml:space="preserve">clinically significant </w:t>
      </w:r>
      <w:r w:rsidR="00491A5C" w:rsidRPr="00051281">
        <w:t xml:space="preserve">by the submission </w:t>
      </w:r>
      <w:r w:rsidRPr="00051281">
        <w:t>as the improvement was greater than the nominated MCID (i.e. 0.12 L). In trial 205.456 (12-17 years) tiotropium did not result in a statistically significant or clinically significant improvement in FEV</w:t>
      </w:r>
      <w:r w:rsidRPr="00051281">
        <w:rPr>
          <w:vertAlign w:val="subscript"/>
        </w:rPr>
        <w:t>1</w:t>
      </w:r>
      <w:r w:rsidRPr="00051281">
        <w:t xml:space="preserve"> peak (</w:t>
      </w:r>
      <w:r w:rsidR="00EF1028" w:rsidRPr="00051281">
        <w:t>0–3</w:t>
      </w:r>
      <w:r w:rsidRPr="00051281">
        <w:t xml:space="preserve">h). </w:t>
      </w:r>
    </w:p>
    <w:p w:rsidR="00DD3CF8" w:rsidRPr="00051281" w:rsidRDefault="00DD3CF8" w:rsidP="003841D3">
      <w:pPr>
        <w:pStyle w:val="ListParagraph"/>
        <w:widowControl/>
        <w:numPr>
          <w:ilvl w:val="1"/>
          <w:numId w:val="1"/>
        </w:numPr>
        <w:spacing w:after="120"/>
      </w:pPr>
      <w:r w:rsidRPr="00051281">
        <w:t>The results of the meta-analysis demonstrated that tiotropium resulted in a statistically significant improvement in the FEV</w:t>
      </w:r>
      <w:r w:rsidRPr="00051281">
        <w:rPr>
          <w:vertAlign w:val="subscript"/>
        </w:rPr>
        <w:t>1</w:t>
      </w:r>
      <w:r w:rsidRPr="00051281">
        <w:t xml:space="preserve"> peak (0−3h) response compared with placebo (</w:t>
      </w:r>
      <w:r w:rsidR="000966AE" w:rsidRPr="00051281">
        <w:t xml:space="preserve">MD = </w:t>
      </w:r>
      <w:r w:rsidRPr="00051281">
        <w:t>0.13 L; 95% CI: 0.07, 0.19) at 12 weeks. The submission considered th</w:t>
      </w:r>
      <w:r w:rsidR="005304D6" w:rsidRPr="00051281">
        <w:t>is</w:t>
      </w:r>
      <w:r w:rsidRPr="00051281">
        <w:t xml:space="preserve"> was clinically meaningful as it crossed </w:t>
      </w:r>
      <w:r w:rsidR="00491A5C" w:rsidRPr="00051281">
        <w:t xml:space="preserve">the nominated MCID </w:t>
      </w:r>
      <w:r w:rsidRPr="00051281">
        <w:t xml:space="preserve">threshold of 0.12 L. </w:t>
      </w:r>
    </w:p>
    <w:p w:rsidR="002F4026" w:rsidRPr="00051281" w:rsidRDefault="00750AEA" w:rsidP="003841D3">
      <w:pPr>
        <w:pStyle w:val="ListParagraph"/>
        <w:widowControl/>
        <w:numPr>
          <w:ilvl w:val="1"/>
          <w:numId w:val="1"/>
        </w:numPr>
        <w:spacing w:after="120"/>
      </w:pPr>
      <w:r w:rsidRPr="00051281">
        <w:t>Tiotropium resulted in a statistically significant improvement in trough FEV</w:t>
      </w:r>
      <w:r w:rsidRPr="00051281">
        <w:rPr>
          <w:vertAlign w:val="subscript"/>
        </w:rPr>
        <w:t>1</w:t>
      </w:r>
      <w:r w:rsidRPr="00051281">
        <w:t xml:space="preserve"> compared with placebo</w:t>
      </w:r>
      <w:r w:rsidR="00C302B4" w:rsidRPr="00051281">
        <w:t xml:space="preserve"> in trial 2</w:t>
      </w:r>
      <w:r w:rsidRPr="00051281">
        <w:t>05-446 (6-11 years) (</w:t>
      </w:r>
      <w:r w:rsidR="000966AE" w:rsidRPr="00051281">
        <w:t xml:space="preserve">MD = </w:t>
      </w:r>
      <w:r w:rsidRPr="00051281">
        <w:t>0.09</w:t>
      </w:r>
      <w:r w:rsidR="00563431" w:rsidRPr="00051281">
        <w:t xml:space="preserve"> </w:t>
      </w:r>
      <w:r w:rsidRPr="00051281">
        <w:t xml:space="preserve">L; 95% CI: 0.02, 0.15). This response was not clinically significant as it was not greater than the nominated MCID (i.e. 0.10 L). </w:t>
      </w:r>
      <w:r w:rsidR="00563431" w:rsidRPr="00051281">
        <w:t>T</w:t>
      </w:r>
      <w:r w:rsidRPr="00051281">
        <w:t>iotropium did not result in a statistically or clinically significant improvement in trough FEV</w:t>
      </w:r>
      <w:r w:rsidRPr="00051281">
        <w:rPr>
          <w:vertAlign w:val="subscript"/>
        </w:rPr>
        <w:t>1</w:t>
      </w:r>
      <w:r w:rsidR="00563431" w:rsidRPr="00051281">
        <w:rPr>
          <w:vertAlign w:val="subscript"/>
        </w:rPr>
        <w:t xml:space="preserve"> </w:t>
      </w:r>
      <w:r w:rsidR="00563431" w:rsidRPr="00051281">
        <w:t>in trial 205.456 (12-17 years)</w:t>
      </w:r>
      <w:r w:rsidRPr="00051281">
        <w:t>.</w:t>
      </w:r>
    </w:p>
    <w:p w:rsidR="00750AEA" w:rsidRPr="00051281" w:rsidRDefault="00750AEA" w:rsidP="003841D3">
      <w:pPr>
        <w:pStyle w:val="ListParagraph"/>
        <w:widowControl/>
        <w:numPr>
          <w:ilvl w:val="1"/>
          <w:numId w:val="1"/>
        </w:numPr>
        <w:spacing w:after="120"/>
      </w:pPr>
      <w:r w:rsidRPr="00051281">
        <w:lastRenderedPageBreak/>
        <w:t xml:space="preserve">The results of the meta-analysis </w:t>
      </w:r>
      <w:r w:rsidR="0087449A" w:rsidRPr="00051281">
        <w:t>showed</w:t>
      </w:r>
      <w:r w:rsidRPr="00051281">
        <w:t xml:space="preserve"> that tiotropium resulted in a statistically significant improvement in trough FEV</w:t>
      </w:r>
      <w:r w:rsidRPr="00051281">
        <w:rPr>
          <w:vertAlign w:val="subscript"/>
        </w:rPr>
        <w:t>1</w:t>
      </w:r>
      <w:r w:rsidRPr="00051281">
        <w:t xml:space="preserve"> compared with placebo (</w:t>
      </w:r>
      <w:r w:rsidR="000966AE" w:rsidRPr="00051281">
        <w:t xml:space="preserve">MD = </w:t>
      </w:r>
      <w:r w:rsidRPr="00051281">
        <w:t>0.08 L; 95% CI: 0.01, 0.14) at 12 weeks</w:t>
      </w:r>
      <w:r w:rsidR="00065B3F" w:rsidRPr="00051281">
        <w:t xml:space="preserve">; however this response was not considered </w:t>
      </w:r>
      <w:r w:rsidRPr="00051281">
        <w:t xml:space="preserve">clinically </w:t>
      </w:r>
      <w:r w:rsidR="00D40955" w:rsidRPr="00051281">
        <w:t>meaningful</w:t>
      </w:r>
      <w:r w:rsidRPr="00051281">
        <w:t xml:space="preserve">. </w:t>
      </w:r>
    </w:p>
    <w:p w:rsidR="00065B3F" w:rsidRPr="00051281" w:rsidRDefault="00743739" w:rsidP="00693802">
      <w:pPr>
        <w:pStyle w:val="ListParagraph"/>
        <w:widowControl/>
        <w:numPr>
          <w:ilvl w:val="1"/>
          <w:numId w:val="1"/>
        </w:numPr>
        <w:spacing w:after="120"/>
      </w:pPr>
      <w:r w:rsidRPr="00051281">
        <w:t>Overall, t</w:t>
      </w:r>
      <w:r w:rsidR="00065B3F" w:rsidRPr="00051281">
        <w:t>he magnitude of the benefit of tiotropium was uncertain, particularly in children aged 12</w:t>
      </w:r>
      <w:r w:rsidR="000966AE" w:rsidRPr="00051281">
        <w:t xml:space="preserve"> to </w:t>
      </w:r>
      <w:r w:rsidR="00065B3F" w:rsidRPr="00051281">
        <w:t xml:space="preserve">17 years. In this population, tiotropium compared with placebo </w:t>
      </w:r>
      <w:r w:rsidR="00563431" w:rsidRPr="00051281">
        <w:t>did not result in any clinical</w:t>
      </w:r>
      <w:r w:rsidR="00D40955" w:rsidRPr="00051281">
        <w:t>ly meaningful</w:t>
      </w:r>
      <w:r w:rsidR="00065B3F" w:rsidRPr="00051281">
        <w:t xml:space="preserve"> or statistical</w:t>
      </w:r>
      <w:r w:rsidR="00D40955" w:rsidRPr="00051281">
        <w:t>ly</w:t>
      </w:r>
      <w:r w:rsidR="00065B3F" w:rsidRPr="00051281">
        <w:t xml:space="preserve"> significant improvements in FEV</w:t>
      </w:r>
      <w:r w:rsidR="00065B3F" w:rsidRPr="00051281">
        <w:rPr>
          <w:vertAlign w:val="subscript"/>
        </w:rPr>
        <w:t>1</w:t>
      </w:r>
      <w:r w:rsidR="00065B3F" w:rsidRPr="00051281">
        <w:t xml:space="preserve"> peak (</w:t>
      </w:r>
      <w:r w:rsidR="00EF1028" w:rsidRPr="00051281">
        <w:t>0–3</w:t>
      </w:r>
      <w:r w:rsidR="00065B3F" w:rsidRPr="00051281">
        <w:t>h) or trough FEV</w:t>
      </w:r>
      <w:r w:rsidR="00065B3F" w:rsidRPr="00051281">
        <w:rPr>
          <w:vertAlign w:val="subscript"/>
        </w:rPr>
        <w:t xml:space="preserve">1 </w:t>
      </w:r>
      <w:r w:rsidR="00065B3F" w:rsidRPr="00051281">
        <w:t>responses.</w:t>
      </w:r>
      <w:r w:rsidR="00693802" w:rsidRPr="00051281">
        <w:t xml:space="preserve"> The significant results in the meta-</w:t>
      </w:r>
      <w:r w:rsidR="00A24798" w:rsidRPr="00051281">
        <w:t>a</w:t>
      </w:r>
      <w:r w:rsidR="00693802" w:rsidRPr="00051281">
        <w:t>nalysis were due to the effect</w:t>
      </w:r>
      <w:r w:rsidR="00A24798" w:rsidRPr="00051281">
        <w:t>s</w:t>
      </w:r>
      <w:r w:rsidR="00693802" w:rsidRPr="00051281">
        <w:t xml:space="preserve"> measured in the 6</w:t>
      </w:r>
      <w:r w:rsidR="001D4D43" w:rsidRPr="00051281">
        <w:t>–</w:t>
      </w:r>
      <w:r w:rsidR="00693802" w:rsidRPr="00051281">
        <w:t>11 years trial.</w:t>
      </w:r>
    </w:p>
    <w:p w:rsidR="00DD3CF8" w:rsidRPr="00051281" w:rsidRDefault="0030190F" w:rsidP="003841D3">
      <w:pPr>
        <w:pStyle w:val="ListParagraph"/>
        <w:widowControl/>
        <w:numPr>
          <w:ilvl w:val="1"/>
          <w:numId w:val="1"/>
        </w:numPr>
        <w:spacing w:after="120"/>
      </w:pPr>
      <w:r w:rsidRPr="00051281">
        <w:t>P</w:t>
      </w:r>
      <w:r w:rsidR="00DD3CF8" w:rsidRPr="00051281">
        <w:t>atients in the placebo arms of both trials experienced improvements</w:t>
      </w:r>
      <w:r w:rsidRPr="00051281">
        <w:t xml:space="preserve"> </w:t>
      </w:r>
      <w:r w:rsidR="00A14B68" w:rsidRPr="00051281">
        <w:t xml:space="preserve">from baseline </w:t>
      </w:r>
      <w:r w:rsidRPr="00051281">
        <w:t>in FEV</w:t>
      </w:r>
      <w:r w:rsidRPr="00051281">
        <w:rPr>
          <w:vertAlign w:val="subscript"/>
        </w:rPr>
        <w:t>1</w:t>
      </w:r>
      <w:r w:rsidRPr="00051281">
        <w:t xml:space="preserve"> peak (0−3h) (i.e. ≥ 0.12 L) and in trough FEV</w:t>
      </w:r>
      <w:r w:rsidRPr="00051281">
        <w:rPr>
          <w:vertAlign w:val="subscript"/>
        </w:rPr>
        <w:t>1</w:t>
      </w:r>
      <w:r w:rsidRPr="00051281">
        <w:t xml:space="preserve"> (i.e. ≥ 0.10 L)</w:t>
      </w:r>
      <w:r w:rsidR="004E6628" w:rsidRPr="00051281">
        <w:t xml:space="preserve"> that </w:t>
      </w:r>
      <w:r w:rsidR="00C17037" w:rsidRPr="00051281">
        <w:t>are greater than the MCID proposed in the submission</w:t>
      </w:r>
      <w:r w:rsidRPr="00051281">
        <w:t xml:space="preserve">. The results </w:t>
      </w:r>
      <w:r w:rsidR="006778B3" w:rsidRPr="00051281">
        <w:t xml:space="preserve">could </w:t>
      </w:r>
      <w:r w:rsidRPr="00051281">
        <w:t>suggest that improved adherence to optimised asthma therapy in the trial setting result</w:t>
      </w:r>
      <w:r w:rsidR="000966AE" w:rsidRPr="00051281">
        <w:t>ed</w:t>
      </w:r>
      <w:r w:rsidRPr="00051281">
        <w:t xml:space="preserve"> in improve</w:t>
      </w:r>
      <w:r w:rsidR="000E68D6" w:rsidRPr="00051281">
        <w:t xml:space="preserve">ments in these surrogate outcomes for </w:t>
      </w:r>
      <w:r w:rsidRPr="00051281">
        <w:t xml:space="preserve">all patients. </w:t>
      </w:r>
    </w:p>
    <w:p w:rsidR="00306524" w:rsidRPr="00306524" w:rsidRDefault="003E21BE" w:rsidP="00306524">
      <w:pPr>
        <w:pStyle w:val="ListParagraph"/>
        <w:widowControl/>
        <w:numPr>
          <w:ilvl w:val="1"/>
          <w:numId w:val="1"/>
        </w:numPr>
        <w:spacing w:after="120"/>
      </w:pPr>
      <w:r w:rsidRPr="00051281">
        <w:rPr>
          <w:szCs w:val="20"/>
        </w:rPr>
        <w:t xml:space="preserve">Table 6 presents the results of the post-hoc analyses of the </w:t>
      </w:r>
      <w:r w:rsidR="001649BA" w:rsidRPr="00051281">
        <w:t xml:space="preserve">number </w:t>
      </w:r>
      <w:r w:rsidR="001D05EE" w:rsidRPr="00051281">
        <w:t xml:space="preserve">of </w:t>
      </w:r>
      <w:r w:rsidRPr="00051281">
        <w:t>symptomatic asthma exacerbations</w:t>
      </w:r>
      <w:r w:rsidR="00D81923" w:rsidRPr="00051281">
        <w:t xml:space="preserve">, </w:t>
      </w:r>
      <w:r w:rsidRPr="00051281">
        <w:t xml:space="preserve">severe </w:t>
      </w:r>
      <w:r w:rsidR="00D81923" w:rsidRPr="00051281">
        <w:t xml:space="preserve">symptomatic </w:t>
      </w:r>
      <w:r w:rsidRPr="00051281">
        <w:t>exacerbations</w:t>
      </w:r>
      <w:r w:rsidR="00D81923" w:rsidRPr="00051281">
        <w:t xml:space="preserve"> and non-severe symptomatic exacerbations</w:t>
      </w:r>
      <w:r w:rsidRPr="00051281">
        <w:t xml:space="preserve"> observed in trials 205.446 and 205.456</w:t>
      </w:r>
      <w:r w:rsidR="001649BA" w:rsidRPr="00051281">
        <w:t>, the estimated rate per patient year</w:t>
      </w:r>
      <w:r w:rsidRPr="00051281">
        <w:t xml:space="preserve"> and the results of the meta-analyses. </w:t>
      </w:r>
    </w:p>
    <w:p w:rsidR="001D05EE" w:rsidRPr="00051281" w:rsidRDefault="001D05EE" w:rsidP="005714E4">
      <w:pPr>
        <w:pStyle w:val="Tabletext"/>
        <w:keepNext/>
        <w:keepLines/>
        <w:rPr>
          <w:b/>
        </w:rPr>
      </w:pPr>
      <w:r w:rsidRPr="00051281">
        <w:rPr>
          <w:b/>
        </w:rPr>
        <w:t xml:space="preserve">Table 6: Rate of asthma exacerbations </w:t>
      </w:r>
      <w:r w:rsidR="001649BA" w:rsidRPr="00051281">
        <w:rPr>
          <w:b/>
        </w:rPr>
        <w:t xml:space="preserve">per patient year </w:t>
      </w:r>
      <w:r w:rsidR="0062529D" w:rsidRPr="00051281">
        <w:rPr>
          <w:b/>
        </w:rPr>
        <w:t>(</w:t>
      </w:r>
      <w:proofErr w:type="spellStart"/>
      <w:r w:rsidRPr="00051281">
        <w:rPr>
          <w:rStyle w:val="CommentReference"/>
        </w:rPr>
        <w:t>mITT</w:t>
      </w:r>
      <w:proofErr w:type="spellEnd"/>
      <w:r w:rsidRPr="00051281">
        <w:rPr>
          <w:rStyle w:val="CommentReference"/>
        </w:rPr>
        <w:t xml:space="preserve"> populations</w:t>
      </w:r>
      <w:r w:rsidR="0062529D" w:rsidRPr="00051281">
        <w:rPr>
          <w:rStyle w:val="CommentReference"/>
        </w:rPr>
        <w:t>)</w:t>
      </w:r>
      <w:r w:rsidR="001649BA" w:rsidRPr="00051281">
        <w:rPr>
          <w:rStyle w:val="CommentReference"/>
        </w:rPr>
        <w:t xml:space="preserve"> </w:t>
      </w:r>
    </w:p>
    <w:tbl>
      <w:tblPr>
        <w:tblStyle w:val="Summarybox1"/>
        <w:tblW w:w="5000" w:type="pct"/>
        <w:tblLook w:val="04A0" w:firstRow="1" w:lastRow="0" w:firstColumn="1" w:lastColumn="0" w:noHBand="0" w:noVBand="1"/>
      </w:tblPr>
      <w:tblGrid>
        <w:gridCol w:w="2161"/>
        <w:gridCol w:w="867"/>
        <w:gridCol w:w="1011"/>
        <w:gridCol w:w="869"/>
        <w:gridCol w:w="865"/>
        <w:gridCol w:w="1013"/>
        <w:gridCol w:w="869"/>
        <w:gridCol w:w="1588"/>
      </w:tblGrid>
      <w:tr w:rsidR="001D05EE" w:rsidRPr="00051281" w:rsidTr="004574B9">
        <w:trPr>
          <w:cantSplit/>
          <w:trHeight w:val="235"/>
          <w:tblHeader/>
        </w:trPr>
        <w:tc>
          <w:tcPr>
            <w:tcW w:w="1169" w:type="pct"/>
            <w:vMerge w:val="restart"/>
          </w:tcPr>
          <w:p w:rsidR="001D05EE" w:rsidRPr="00051281" w:rsidRDefault="001D05EE" w:rsidP="005714E4">
            <w:pPr>
              <w:pStyle w:val="Tabletext"/>
              <w:keepNext/>
              <w:keepLines/>
              <w:rPr>
                <w:b/>
                <w:bCs/>
              </w:rPr>
            </w:pPr>
            <w:r w:rsidRPr="00051281">
              <w:rPr>
                <w:b/>
                <w:bCs/>
              </w:rPr>
              <w:t>Trial</w:t>
            </w:r>
          </w:p>
        </w:tc>
        <w:tc>
          <w:tcPr>
            <w:tcW w:w="1486" w:type="pct"/>
            <w:gridSpan w:val="3"/>
          </w:tcPr>
          <w:p w:rsidR="001D05EE" w:rsidRPr="00051281" w:rsidRDefault="001D05EE" w:rsidP="00B67754">
            <w:pPr>
              <w:pStyle w:val="Tabletext"/>
              <w:keepNext/>
              <w:keepLines/>
              <w:jc w:val="center"/>
              <w:rPr>
                <w:b/>
                <w:bCs/>
              </w:rPr>
            </w:pPr>
            <w:r w:rsidRPr="00051281">
              <w:rPr>
                <w:b/>
                <w:iCs/>
                <w:lang w:val="en-US"/>
              </w:rPr>
              <w:t xml:space="preserve">Tiotropium 5 </w:t>
            </w:r>
            <w:proofErr w:type="spellStart"/>
            <w:r w:rsidRPr="00051281">
              <w:rPr>
                <w:b/>
                <w:iCs/>
                <w:lang w:val="en-US"/>
              </w:rPr>
              <w:t>μg</w:t>
            </w:r>
            <w:proofErr w:type="spellEnd"/>
          </w:p>
        </w:tc>
        <w:tc>
          <w:tcPr>
            <w:tcW w:w="1485" w:type="pct"/>
            <w:gridSpan w:val="3"/>
          </w:tcPr>
          <w:p w:rsidR="001D05EE" w:rsidRPr="00051281" w:rsidRDefault="001D05EE" w:rsidP="00B67754">
            <w:pPr>
              <w:pStyle w:val="Tabletext"/>
              <w:keepNext/>
              <w:keepLines/>
              <w:jc w:val="center"/>
              <w:rPr>
                <w:b/>
                <w:bCs/>
              </w:rPr>
            </w:pPr>
            <w:r w:rsidRPr="00051281">
              <w:rPr>
                <w:b/>
                <w:lang w:val="en-US"/>
              </w:rPr>
              <w:t>Placebo</w:t>
            </w:r>
          </w:p>
        </w:tc>
        <w:tc>
          <w:tcPr>
            <w:tcW w:w="859" w:type="pct"/>
            <w:vMerge w:val="restart"/>
          </w:tcPr>
          <w:p w:rsidR="001D05EE" w:rsidRPr="00051281" w:rsidRDefault="001D05EE" w:rsidP="00B67754">
            <w:pPr>
              <w:pStyle w:val="Tabletext"/>
              <w:keepNext/>
              <w:keepLines/>
              <w:jc w:val="center"/>
              <w:rPr>
                <w:b/>
                <w:bCs/>
              </w:rPr>
            </w:pPr>
            <w:r w:rsidRPr="00051281">
              <w:rPr>
                <w:b/>
                <w:bCs/>
              </w:rPr>
              <w:t xml:space="preserve">Rate ratio </w:t>
            </w:r>
            <w:r w:rsidRPr="00051281">
              <w:rPr>
                <w:b/>
                <w:bCs/>
              </w:rPr>
              <w:br/>
              <w:t xml:space="preserve">(95% CI) </w:t>
            </w:r>
            <w:r w:rsidRPr="00051281">
              <w:rPr>
                <w:b/>
                <w:bCs/>
                <w:vertAlign w:val="superscript"/>
              </w:rPr>
              <w:t>b</w:t>
            </w:r>
          </w:p>
        </w:tc>
      </w:tr>
      <w:tr w:rsidR="001D05EE" w:rsidRPr="00051281" w:rsidTr="004574B9">
        <w:trPr>
          <w:cantSplit/>
          <w:trHeight w:val="706"/>
          <w:tblHeader/>
        </w:trPr>
        <w:tc>
          <w:tcPr>
            <w:tcW w:w="1169" w:type="pct"/>
            <w:vMerge/>
          </w:tcPr>
          <w:p w:rsidR="001D05EE" w:rsidRPr="00051281" w:rsidRDefault="001D05EE" w:rsidP="005714E4">
            <w:pPr>
              <w:pStyle w:val="Tabletext"/>
              <w:keepNext/>
              <w:keepLines/>
              <w:rPr>
                <w:b/>
                <w:bCs/>
              </w:rPr>
            </w:pPr>
          </w:p>
        </w:tc>
        <w:tc>
          <w:tcPr>
            <w:tcW w:w="469" w:type="pct"/>
          </w:tcPr>
          <w:p w:rsidR="001D05EE" w:rsidRPr="00051281" w:rsidRDefault="001D05EE" w:rsidP="00B67754">
            <w:pPr>
              <w:pStyle w:val="Tabletext"/>
              <w:keepNext/>
              <w:keepLines/>
              <w:jc w:val="center"/>
              <w:rPr>
                <w:b/>
                <w:bCs/>
              </w:rPr>
            </w:pPr>
            <w:r w:rsidRPr="00051281">
              <w:rPr>
                <w:b/>
                <w:bCs/>
              </w:rPr>
              <w:t>Events</w:t>
            </w:r>
            <w:r w:rsidR="00F44EF9" w:rsidRPr="00051281">
              <w:rPr>
                <w:b/>
                <w:bCs/>
              </w:rPr>
              <w:t>, n</w:t>
            </w:r>
          </w:p>
        </w:tc>
        <w:tc>
          <w:tcPr>
            <w:tcW w:w="547" w:type="pct"/>
          </w:tcPr>
          <w:p w:rsidR="001D05EE" w:rsidRPr="00051281" w:rsidRDefault="001D05EE" w:rsidP="00F44EF9">
            <w:pPr>
              <w:pStyle w:val="Tabletext"/>
              <w:keepNext/>
              <w:keepLines/>
              <w:jc w:val="center"/>
              <w:rPr>
                <w:b/>
                <w:bCs/>
              </w:rPr>
            </w:pPr>
            <w:r w:rsidRPr="00051281">
              <w:rPr>
                <w:b/>
                <w:bCs/>
              </w:rPr>
              <w:t>Total exposure</w:t>
            </w:r>
            <w:r w:rsidR="00F44EF9" w:rsidRPr="00051281">
              <w:rPr>
                <w:b/>
                <w:bCs/>
              </w:rPr>
              <w:t xml:space="preserve">, </w:t>
            </w:r>
            <w:r w:rsidRPr="00051281">
              <w:rPr>
                <w:b/>
                <w:bCs/>
              </w:rPr>
              <w:t>days</w:t>
            </w:r>
          </w:p>
        </w:tc>
        <w:tc>
          <w:tcPr>
            <w:tcW w:w="470" w:type="pct"/>
          </w:tcPr>
          <w:p w:rsidR="001D05EE" w:rsidRPr="00051281" w:rsidRDefault="001D05EE" w:rsidP="00B67754">
            <w:pPr>
              <w:pStyle w:val="Tabletext"/>
              <w:keepNext/>
              <w:keepLines/>
              <w:jc w:val="center"/>
              <w:rPr>
                <w:b/>
                <w:bCs/>
              </w:rPr>
            </w:pPr>
            <w:r w:rsidRPr="00051281">
              <w:rPr>
                <w:b/>
                <w:bCs/>
              </w:rPr>
              <w:t>Events/</w:t>
            </w:r>
          </w:p>
          <w:p w:rsidR="001D05EE" w:rsidRPr="00051281" w:rsidRDefault="001D05EE" w:rsidP="00B67754">
            <w:pPr>
              <w:pStyle w:val="Tabletext"/>
              <w:keepNext/>
              <w:keepLines/>
              <w:jc w:val="center"/>
              <w:rPr>
                <w:b/>
                <w:bCs/>
              </w:rPr>
            </w:pPr>
            <w:r w:rsidRPr="00051281">
              <w:rPr>
                <w:b/>
                <w:bCs/>
              </w:rPr>
              <w:t xml:space="preserve">patient-year </w:t>
            </w:r>
            <w:r w:rsidRPr="00051281">
              <w:rPr>
                <w:b/>
                <w:bCs/>
                <w:vertAlign w:val="superscript"/>
              </w:rPr>
              <w:t>a</w:t>
            </w:r>
          </w:p>
        </w:tc>
        <w:tc>
          <w:tcPr>
            <w:tcW w:w="468" w:type="pct"/>
          </w:tcPr>
          <w:p w:rsidR="001D05EE" w:rsidRPr="00051281" w:rsidRDefault="001D05EE" w:rsidP="00B67754">
            <w:pPr>
              <w:pStyle w:val="Tabletext"/>
              <w:keepNext/>
              <w:keepLines/>
              <w:jc w:val="center"/>
              <w:rPr>
                <w:b/>
                <w:bCs/>
              </w:rPr>
            </w:pPr>
            <w:r w:rsidRPr="00051281">
              <w:rPr>
                <w:b/>
                <w:bCs/>
              </w:rPr>
              <w:t>Events</w:t>
            </w:r>
            <w:r w:rsidR="00F44EF9" w:rsidRPr="00051281">
              <w:rPr>
                <w:b/>
                <w:bCs/>
              </w:rPr>
              <w:t>, n</w:t>
            </w:r>
          </w:p>
        </w:tc>
        <w:tc>
          <w:tcPr>
            <w:tcW w:w="548" w:type="pct"/>
          </w:tcPr>
          <w:p w:rsidR="001D05EE" w:rsidRPr="00051281" w:rsidRDefault="001D05EE" w:rsidP="00F44EF9">
            <w:pPr>
              <w:pStyle w:val="Tabletext"/>
              <w:keepNext/>
              <w:keepLines/>
              <w:jc w:val="center"/>
              <w:rPr>
                <w:b/>
                <w:bCs/>
              </w:rPr>
            </w:pPr>
            <w:r w:rsidRPr="00051281">
              <w:rPr>
                <w:b/>
                <w:bCs/>
              </w:rPr>
              <w:t>Total exposure</w:t>
            </w:r>
            <w:r w:rsidR="00F44EF9" w:rsidRPr="00051281">
              <w:rPr>
                <w:b/>
                <w:bCs/>
              </w:rPr>
              <w:t>,</w:t>
            </w:r>
            <w:r w:rsidRPr="00051281">
              <w:rPr>
                <w:b/>
                <w:bCs/>
              </w:rPr>
              <w:t xml:space="preserve"> days</w:t>
            </w:r>
          </w:p>
        </w:tc>
        <w:tc>
          <w:tcPr>
            <w:tcW w:w="469" w:type="pct"/>
          </w:tcPr>
          <w:p w:rsidR="001D05EE" w:rsidRPr="00051281" w:rsidRDefault="001D05EE" w:rsidP="00B67754">
            <w:pPr>
              <w:pStyle w:val="Tabletext"/>
              <w:keepNext/>
              <w:keepLines/>
              <w:jc w:val="center"/>
              <w:rPr>
                <w:b/>
                <w:bCs/>
              </w:rPr>
            </w:pPr>
            <w:r w:rsidRPr="00051281">
              <w:rPr>
                <w:b/>
                <w:bCs/>
              </w:rPr>
              <w:t>Events/</w:t>
            </w:r>
          </w:p>
          <w:p w:rsidR="001D05EE" w:rsidRPr="00051281" w:rsidRDefault="001D05EE" w:rsidP="00B67754">
            <w:pPr>
              <w:pStyle w:val="Tabletext"/>
              <w:keepNext/>
              <w:keepLines/>
              <w:jc w:val="center"/>
              <w:rPr>
                <w:b/>
                <w:bCs/>
              </w:rPr>
            </w:pPr>
            <w:r w:rsidRPr="00051281">
              <w:rPr>
                <w:b/>
                <w:bCs/>
              </w:rPr>
              <w:t xml:space="preserve">patient-year </w:t>
            </w:r>
            <w:r w:rsidRPr="00051281">
              <w:rPr>
                <w:b/>
                <w:bCs/>
                <w:vertAlign w:val="superscript"/>
              </w:rPr>
              <w:t>a</w:t>
            </w:r>
          </w:p>
        </w:tc>
        <w:tc>
          <w:tcPr>
            <w:tcW w:w="859" w:type="pct"/>
            <w:vMerge/>
          </w:tcPr>
          <w:p w:rsidR="001D05EE" w:rsidRPr="00051281" w:rsidRDefault="001D05EE" w:rsidP="00B67754">
            <w:pPr>
              <w:pStyle w:val="Tabletext"/>
              <w:keepNext/>
              <w:keepLines/>
              <w:jc w:val="center"/>
              <w:rPr>
                <w:b/>
                <w:bCs/>
              </w:rPr>
            </w:pPr>
          </w:p>
        </w:tc>
      </w:tr>
      <w:tr w:rsidR="001D05EE" w:rsidRPr="00051281" w:rsidTr="004574B9">
        <w:trPr>
          <w:trHeight w:val="235"/>
        </w:trPr>
        <w:tc>
          <w:tcPr>
            <w:tcW w:w="5000" w:type="pct"/>
            <w:gridSpan w:val="8"/>
            <w:shd w:val="clear" w:color="auto" w:fill="FFFFFF" w:themeFill="background1"/>
          </w:tcPr>
          <w:p w:rsidR="001D05EE" w:rsidRPr="00051281" w:rsidRDefault="001D05EE" w:rsidP="005714E4">
            <w:pPr>
              <w:pStyle w:val="Tabletext"/>
              <w:keepNext/>
              <w:keepLines/>
              <w:rPr>
                <w:b/>
              </w:rPr>
            </w:pPr>
            <w:r w:rsidRPr="00051281">
              <w:rPr>
                <w:b/>
              </w:rPr>
              <w:t>Symptomatic exacerbations (non-severe and severe)</w:t>
            </w:r>
          </w:p>
        </w:tc>
      </w:tr>
      <w:tr w:rsidR="001D05EE" w:rsidRPr="00051281" w:rsidTr="004574B9">
        <w:trPr>
          <w:cantSplit/>
          <w:trHeight w:val="235"/>
        </w:trPr>
        <w:tc>
          <w:tcPr>
            <w:tcW w:w="1169" w:type="pct"/>
            <w:shd w:val="clear" w:color="auto" w:fill="FFFFFF" w:themeFill="background1"/>
          </w:tcPr>
          <w:p w:rsidR="001D05EE" w:rsidRPr="00051281" w:rsidRDefault="001D05EE" w:rsidP="005714E4">
            <w:pPr>
              <w:pStyle w:val="Tabletext"/>
              <w:keepNext/>
              <w:keepLines/>
            </w:pPr>
            <w:r w:rsidRPr="00051281">
              <w:t>205.446 (6-11 years)</w:t>
            </w:r>
          </w:p>
        </w:tc>
        <w:tc>
          <w:tcPr>
            <w:tcW w:w="469" w:type="pct"/>
            <w:shd w:val="clear" w:color="auto" w:fill="FFFFFF" w:themeFill="background1"/>
            <w:vAlign w:val="center"/>
          </w:tcPr>
          <w:p w:rsidR="001D05EE" w:rsidRPr="002A17A3" w:rsidRDefault="002A17A3" w:rsidP="005714E4">
            <w:pPr>
              <w:pStyle w:val="Tabletext"/>
              <w:keepNext/>
              <w:keepLines/>
              <w:rPr>
                <w:highlight w:val="black"/>
              </w:rPr>
            </w:pPr>
            <w:r>
              <w:rPr>
                <w:noProof/>
                <w:color w:val="000000"/>
                <w:highlight w:val="black"/>
              </w:rPr>
              <w:t>''''''</w:t>
            </w:r>
          </w:p>
        </w:tc>
        <w:tc>
          <w:tcPr>
            <w:tcW w:w="547" w:type="pct"/>
            <w:shd w:val="clear" w:color="auto" w:fill="FFFFFF" w:themeFill="background1"/>
            <w:vAlign w:val="center"/>
          </w:tcPr>
          <w:p w:rsidR="001D05EE" w:rsidRPr="00051281" w:rsidRDefault="001D05EE" w:rsidP="005714E4">
            <w:pPr>
              <w:pStyle w:val="Tabletext"/>
              <w:keepNext/>
              <w:keepLines/>
            </w:pPr>
            <w:r w:rsidRPr="00051281">
              <w:t>11,156</w:t>
            </w:r>
          </w:p>
        </w:tc>
        <w:tc>
          <w:tcPr>
            <w:tcW w:w="470" w:type="pct"/>
            <w:shd w:val="clear" w:color="auto" w:fill="FFFFFF" w:themeFill="background1"/>
            <w:vAlign w:val="center"/>
          </w:tcPr>
          <w:p w:rsidR="001D05EE" w:rsidRPr="002A17A3" w:rsidRDefault="002A17A3" w:rsidP="005714E4">
            <w:pPr>
              <w:pStyle w:val="Tabletext"/>
              <w:keepNext/>
              <w:keepLines/>
              <w:rPr>
                <w:highlight w:val="black"/>
              </w:rPr>
            </w:pPr>
            <w:r>
              <w:rPr>
                <w:noProof/>
                <w:color w:val="000000"/>
                <w:highlight w:val="black"/>
              </w:rPr>
              <w:t>'''''''''''</w:t>
            </w:r>
          </w:p>
        </w:tc>
        <w:tc>
          <w:tcPr>
            <w:tcW w:w="468" w:type="pct"/>
            <w:shd w:val="clear" w:color="auto" w:fill="FFFFFF" w:themeFill="background1"/>
            <w:vAlign w:val="center"/>
          </w:tcPr>
          <w:p w:rsidR="001D05EE" w:rsidRPr="002A17A3" w:rsidRDefault="002A17A3" w:rsidP="005714E4">
            <w:pPr>
              <w:pStyle w:val="Tabletext"/>
              <w:keepNext/>
              <w:keepLines/>
              <w:rPr>
                <w:highlight w:val="black"/>
              </w:rPr>
            </w:pPr>
            <w:r>
              <w:rPr>
                <w:noProof/>
                <w:color w:val="000000"/>
                <w:highlight w:val="black"/>
              </w:rPr>
              <w:t>'''''</w:t>
            </w:r>
          </w:p>
        </w:tc>
        <w:tc>
          <w:tcPr>
            <w:tcW w:w="548" w:type="pct"/>
            <w:shd w:val="clear" w:color="auto" w:fill="FFFFFF" w:themeFill="background1"/>
            <w:vAlign w:val="center"/>
          </w:tcPr>
          <w:p w:rsidR="001D05EE" w:rsidRPr="00051281" w:rsidRDefault="001D05EE" w:rsidP="005714E4">
            <w:pPr>
              <w:pStyle w:val="Tabletext"/>
              <w:keepNext/>
              <w:keepLines/>
            </w:pPr>
            <w:r w:rsidRPr="00051281">
              <w:t>11,492</w:t>
            </w:r>
          </w:p>
        </w:tc>
        <w:tc>
          <w:tcPr>
            <w:tcW w:w="469" w:type="pct"/>
            <w:shd w:val="clear" w:color="auto" w:fill="FFFFFF" w:themeFill="background1"/>
            <w:vAlign w:val="center"/>
          </w:tcPr>
          <w:p w:rsidR="001D05EE" w:rsidRPr="002A17A3" w:rsidRDefault="002A17A3" w:rsidP="005714E4">
            <w:pPr>
              <w:pStyle w:val="Tabletext"/>
              <w:keepNext/>
              <w:keepLines/>
              <w:rPr>
                <w:highlight w:val="black"/>
              </w:rPr>
            </w:pPr>
            <w:r>
              <w:rPr>
                <w:noProof/>
                <w:color w:val="000000"/>
                <w:highlight w:val="black"/>
              </w:rPr>
              <w:t>''''''''''</w:t>
            </w:r>
          </w:p>
        </w:tc>
        <w:tc>
          <w:tcPr>
            <w:tcW w:w="859" w:type="pct"/>
            <w:shd w:val="clear" w:color="auto" w:fill="FFFFFF" w:themeFill="background1"/>
            <w:vAlign w:val="center"/>
          </w:tcPr>
          <w:p w:rsidR="001D05EE" w:rsidRPr="002A17A3" w:rsidRDefault="002A17A3" w:rsidP="005714E4">
            <w:pPr>
              <w:pStyle w:val="Tabletext"/>
              <w:keepNext/>
              <w:keepLines/>
              <w:rPr>
                <w:b/>
                <w:highlight w:val="black"/>
              </w:rPr>
            </w:pPr>
            <w:r>
              <w:rPr>
                <w:b/>
                <w:noProof/>
                <w:color w:val="000000"/>
                <w:highlight w:val="black"/>
              </w:rPr>
              <w:t>'''''''' ''''''''''' '''''''''''</w:t>
            </w:r>
          </w:p>
        </w:tc>
      </w:tr>
      <w:tr w:rsidR="001D05EE" w:rsidRPr="00051281" w:rsidTr="004574B9">
        <w:trPr>
          <w:trHeight w:val="227"/>
        </w:trPr>
        <w:tc>
          <w:tcPr>
            <w:tcW w:w="1169" w:type="pct"/>
            <w:shd w:val="clear" w:color="auto" w:fill="FFFFFF" w:themeFill="background1"/>
          </w:tcPr>
          <w:p w:rsidR="001D05EE" w:rsidRPr="00051281" w:rsidRDefault="001D05EE" w:rsidP="005714E4">
            <w:pPr>
              <w:pStyle w:val="Tabletext"/>
              <w:keepNext/>
              <w:keepLines/>
            </w:pPr>
            <w:r w:rsidRPr="00051281">
              <w:t>205.456 (12-17 years)</w:t>
            </w:r>
          </w:p>
        </w:tc>
        <w:tc>
          <w:tcPr>
            <w:tcW w:w="469" w:type="pct"/>
            <w:shd w:val="clear" w:color="auto" w:fill="FFFFFF" w:themeFill="background1"/>
            <w:vAlign w:val="center"/>
          </w:tcPr>
          <w:p w:rsidR="001D05EE" w:rsidRPr="002A17A3" w:rsidRDefault="002A17A3" w:rsidP="005714E4">
            <w:pPr>
              <w:pStyle w:val="Tabletext"/>
              <w:keepNext/>
              <w:keepLines/>
              <w:rPr>
                <w:highlight w:val="black"/>
              </w:rPr>
            </w:pPr>
            <w:r>
              <w:rPr>
                <w:noProof/>
                <w:color w:val="000000"/>
                <w:highlight w:val="black"/>
              </w:rPr>
              <w:t>'''''''</w:t>
            </w:r>
          </w:p>
        </w:tc>
        <w:tc>
          <w:tcPr>
            <w:tcW w:w="547" w:type="pct"/>
            <w:shd w:val="clear" w:color="auto" w:fill="FFFFFF" w:themeFill="background1"/>
            <w:vAlign w:val="center"/>
          </w:tcPr>
          <w:p w:rsidR="001D05EE" w:rsidRPr="00051281" w:rsidRDefault="001D05EE" w:rsidP="005714E4">
            <w:pPr>
              <w:pStyle w:val="Tabletext"/>
              <w:keepNext/>
              <w:keepLines/>
            </w:pPr>
            <w:r w:rsidRPr="00051281">
              <w:t>11,162</w:t>
            </w:r>
          </w:p>
        </w:tc>
        <w:tc>
          <w:tcPr>
            <w:tcW w:w="470" w:type="pct"/>
            <w:shd w:val="clear" w:color="auto" w:fill="FFFFFF" w:themeFill="background1"/>
            <w:vAlign w:val="center"/>
          </w:tcPr>
          <w:p w:rsidR="001D05EE" w:rsidRPr="002A17A3" w:rsidRDefault="002A17A3" w:rsidP="005714E4">
            <w:pPr>
              <w:pStyle w:val="Tabletext"/>
              <w:keepNext/>
              <w:keepLines/>
              <w:rPr>
                <w:highlight w:val="black"/>
              </w:rPr>
            </w:pPr>
            <w:r>
              <w:rPr>
                <w:noProof/>
                <w:color w:val="000000"/>
                <w:highlight w:val="black"/>
              </w:rPr>
              <w:t>'''''''''''</w:t>
            </w:r>
          </w:p>
        </w:tc>
        <w:tc>
          <w:tcPr>
            <w:tcW w:w="468" w:type="pct"/>
            <w:shd w:val="clear" w:color="auto" w:fill="FFFFFF" w:themeFill="background1"/>
            <w:vAlign w:val="center"/>
          </w:tcPr>
          <w:p w:rsidR="001D05EE" w:rsidRPr="002A17A3" w:rsidRDefault="002A17A3" w:rsidP="005714E4">
            <w:pPr>
              <w:pStyle w:val="Tabletext"/>
              <w:keepNext/>
              <w:keepLines/>
              <w:rPr>
                <w:highlight w:val="black"/>
              </w:rPr>
            </w:pPr>
            <w:r>
              <w:rPr>
                <w:noProof/>
                <w:color w:val="000000"/>
                <w:highlight w:val="black"/>
              </w:rPr>
              <w:t>'''''</w:t>
            </w:r>
          </w:p>
        </w:tc>
        <w:tc>
          <w:tcPr>
            <w:tcW w:w="548" w:type="pct"/>
            <w:shd w:val="clear" w:color="auto" w:fill="FFFFFF" w:themeFill="background1"/>
            <w:vAlign w:val="center"/>
          </w:tcPr>
          <w:p w:rsidR="001D05EE" w:rsidRPr="00051281" w:rsidRDefault="001D05EE" w:rsidP="005714E4">
            <w:pPr>
              <w:pStyle w:val="Tabletext"/>
              <w:keepNext/>
              <w:keepLines/>
            </w:pPr>
            <w:r w:rsidRPr="00051281">
              <w:t>11,479</w:t>
            </w:r>
          </w:p>
        </w:tc>
        <w:tc>
          <w:tcPr>
            <w:tcW w:w="469" w:type="pct"/>
            <w:shd w:val="clear" w:color="auto" w:fill="FFFFFF" w:themeFill="background1"/>
            <w:vAlign w:val="center"/>
          </w:tcPr>
          <w:p w:rsidR="001D05EE" w:rsidRPr="002A17A3" w:rsidRDefault="002A17A3" w:rsidP="005714E4">
            <w:pPr>
              <w:pStyle w:val="Tabletext"/>
              <w:keepNext/>
              <w:keepLines/>
              <w:rPr>
                <w:highlight w:val="black"/>
              </w:rPr>
            </w:pPr>
            <w:r>
              <w:rPr>
                <w:noProof/>
                <w:color w:val="000000"/>
                <w:highlight w:val="black"/>
              </w:rPr>
              <w:t>''''''''''</w:t>
            </w:r>
          </w:p>
        </w:tc>
        <w:tc>
          <w:tcPr>
            <w:tcW w:w="859" w:type="pct"/>
            <w:shd w:val="clear" w:color="auto" w:fill="FFFFFF" w:themeFill="background1"/>
            <w:vAlign w:val="center"/>
          </w:tcPr>
          <w:p w:rsidR="001D05EE" w:rsidRPr="002A17A3" w:rsidRDefault="002A17A3" w:rsidP="005714E4">
            <w:pPr>
              <w:pStyle w:val="Tabletext"/>
              <w:keepNext/>
              <w:keepLines/>
              <w:rPr>
                <w:highlight w:val="black"/>
              </w:rPr>
            </w:pPr>
            <w:r>
              <w:rPr>
                <w:noProof/>
                <w:color w:val="000000"/>
                <w:highlight w:val="black"/>
              </w:rPr>
              <w:t>''''''''''' '''''''''''''''' ''''''''''''''</w:t>
            </w:r>
          </w:p>
        </w:tc>
      </w:tr>
      <w:tr w:rsidR="00D81923" w:rsidRPr="00051281" w:rsidTr="004574B9">
        <w:trPr>
          <w:trHeight w:val="227"/>
        </w:trPr>
        <w:tc>
          <w:tcPr>
            <w:tcW w:w="4141" w:type="pct"/>
            <w:gridSpan w:val="7"/>
            <w:shd w:val="clear" w:color="auto" w:fill="FFFFFF" w:themeFill="background1"/>
          </w:tcPr>
          <w:p w:rsidR="00D81923" w:rsidRPr="00051281" w:rsidRDefault="00D81923" w:rsidP="005714E4">
            <w:pPr>
              <w:pStyle w:val="Tabletext"/>
              <w:keepNext/>
              <w:keepLines/>
            </w:pPr>
            <w:r w:rsidRPr="00051281">
              <w:t>Meta-analysis result (I</w:t>
            </w:r>
            <w:r w:rsidRPr="00051281">
              <w:rPr>
                <w:vertAlign w:val="superscript"/>
              </w:rPr>
              <w:t>2</w:t>
            </w:r>
            <w:r w:rsidRPr="00051281">
              <w:t xml:space="preserve"> = </w:t>
            </w:r>
            <w:r w:rsidR="002A17A3">
              <w:rPr>
                <w:noProof/>
                <w:color w:val="000000"/>
                <w:highlight w:val="black"/>
              </w:rPr>
              <w:t>'''</w:t>
            </w:r>
            <w:r w:rsidRPr="00051281">
              <w:t>%; Chi</w:t>
            </w:r>
            <w:r w:rsidRPr="00051281">
              <w:rPr>
                <w:vertAlign w:val="superscript"/>
              </w:rPr>
              <w:t>2</w:t>
            </w:r>
            <w:r w:rsidRPr="00051281">
              <w:t xml:space="preserve"> = </w:t>
            </w:r>
            <w:r w:rsidR="002A17A3">
              <w:rPr>
                <w:noProof/>
                <w:color w:val="000000"/>
                <w:highlight w:val="black"/>
              </w:rPr>
              <w:t>'''''''''''</w:t>
            </w:r>
            <w:r w:rsidRPr="00051281">
              <w:t xml:space="preserve"> (P = </w:t>
            </w:r>
            <w:r w:rsidR="002A17A3">
              <w:rPr>
                <w:noProof/>
                <w:color w:val="000000"/>
                <w:highlight w:val="black"/>
              </w:rPr>
              <w:t>''''''''''''</w:t>
            </w:r>
            <w:r w:rsidRPr="00051281">
              <w:t>))</w:t>
            </w:r>
          </w:p>
        </w:tc>
        <w:tc>
          <w:tcPr>
            <w:tcW w:w="859" w:type="pct"/>
            <w:shd w:val="clear" w:color="auto" w:fill="FFFFFF" w:themeFill="background1"/>
            <w:vAlign w:val="center"/>
          </w:tcPr>
          <w:p w:rsidR="00D81923" w:rsidRPr="002A17A3" w:rsidRDefault="002A17A3" w:rsidP="005714E4">
            <w:pPr>
              <w:pStyle w:val="Tabletext"/>
              <w:keepNext/>
              <w:keepLines/>
              <w:rPr>
                <w:b/>
                <w:highlight w:val="black"/>
              </w:rPr>
            </w:pPr>
            <w:r>
              <w:rPr>
                <w:b/>
                <w:noProof/>
                <w:color w:val="000000"/>
                <w:highlight w:val="black"/>
              </w:rPr>
              <w:t>''''''''' ''''''''''' '''''''''''</w:t>
            </w:r>
          </w:p>
        </w:tc>
      </w:tr>
      <w:tr w:rsidR="001D05EE" w:rsidRPr="00051281" w:rsidTr="004574B9">
        <w:trPr>
          <w:trHeight w:val="235"/>
        </w:trPr>
        <w:tc>
          <w:tcPr>
            <w:tcW w:w="5000" w:type="pct"/>
            <w:gridSpan w:val="8"/>
            <w:shd w:val="clear" w:color="auto" w:fill="FFFFFF" w:themeFill="background1"/>
          </w:tcPr>
          <w:p w:rsidR="001D05EE" w:rsidRPr="00051281" w:rsidRDefault="001D05EE" w:rsidP="005714E4">
            <w:pPr>
              <w:pStyle w:val="Tabletext"/>
              <w:keepNext/>
              <w:keepLines/>
              <w:rPr>
                <w:b/>
              </w:rPr>
            </w:pPr>
            <w:r w:rsidRPr="00051281">
              <w:rPr>
                <w:b/>
              </w:rPr>
              <w:t>Severe symptomatic exacerbations</w:t>
            </w:r>
          </w:p>
        </w:tc>
      </w:tr>
      <w:tr w:rsidR="001D05EE" w:rsidRPr="00051281" w:rsidTr="004574B9">
        <w:trPr>
          <w:trHeight w:val="235"/>
        </w:trPr>
        <w:tc>
          <w:tcPr>
            <w:tcW w:w="1169" w:type="pct"/>
            <w:shd w:val="clear" w:color="auto" w:fill="FFFFFF" w:themeFill="background1"/>
          </w:tcPr>
          <w:p w:rsidR="001D05EE" w:rsidRPr="00051281" w:rsidRDefault="001D05EE" w:rsidP="005714E4">
            <w:pPr>
              <w:pStyle w:val="Tabletext"/>
              <w:keepNext/>
              <w:keepLines/>
            </w:pPr>
            <w:r w:rsidRPr="00051281">
              <w:t>205.446 (6-11 years)</w:t>
            </w:r>
          </w:p>
        </w:tc>
        <w:tc>
          <w:tcPr>
            <w:tcW w:w="469" w:type="pct"/>
            <w:shd w:val="clear" w:color="auto" w:fill="FFFFFF" w:themeFill="background1"/>
            <w:vAlign w:val="center"/>
          </w:tcPr>
          <w:p w:rsidR="001D05EE" w:rsidRPr="002A17A3" w:rsidRDefault="002A17A3" w:rsidP="005714E4">
            <w:pPr>
              <w:pStyle w:val="Tabletext"/>
              <w:keepNext/>
              <w:keepLines/>
              <w:rPr>
                <w:highlight w:val="black"/>
              </w:rPr>
            </w:pPr>
            <w:r>
              <w:rPr>
                <w:noProof/>
                <w:color w:val="000000"/>
                <w:highlight w:val="black"/>
              </w:rPr>
              <w:t>''''</w:t>
            </w:r>
          </w:p>
        </w:tc>
        <w:tc>
          <w:tcPr>
            <w:tcW w:w="547" w:type="pct"/>
            <w:shd w:val="clear" w:color="auto" w:fill="FFFFFF" w:themeFill="background1"/>
            <w:vAlign w:val="center"/>
          </w:tcPr>
          <w:p w:rsidR="001D05EE" w:rsidRPr="00051281" w:rsidRDefault="001D05EE" w:rsidP="005714E4">
            <w:pPr>
              <w:pStyle w:val="Tabletext"/>
              <w:keepNext/>
              <w:keepLines/>
            </w:pPr>
            <w:r w:rsidRPr="00051281">
              <w:t>11,156</w:t>
            </w:r>
          </w:p>
        </w:tc>
        <w:tc>
          <w:tcPr>
            <w:tcW w:w="470" w:type="pct"/>
            <w:shd w:val="clear" w:color="auto" w:fill="FFFFFF" w:themeFill="background1"/>
            <w:vAlign w:val="center"/>
          </w:tcPr>
          <w:p w:rsidR="001D05EE" w:rsidRPr="002A17A3" w:rsidRDefault="002A17A3" w:rsidP="005714E4">
            <w:pPr>
              <w:pStyle w:val="Tabletext"/>
              <w:keepNext/>
              <w:keepLines/>
              <w:rPr>
                <w:highlight w:val="black"/>
              </w:rPr>
            </w:pPr>
            <w:r>
              <w:rPr>
                <w:noProof/>
                <w:color w:val="000000"/>
                <w:highlight w:val="black"/>
              </w:rPr>
              <w:t>''''''''''</w:t>
            </w:r>
          </w:p>
        </w:tc>
        <w:tc>
          <w:tcPr>
            <w:tcW w:w="468" w:type="pct"/>
            <w:shd w:val="clear" w:color="auto" w:fill="FFFFFF" w:themeFill="background1"/>
            <w:vAlign w:val="center"/>
          </w:tcPr>
          <w:p w:rsidR="001D05EE" w:rsidRPr="002A17A3" w:rsidRDefault="002A17A3" w:rsidP="005714E4">
            <w:pPr>
              <w:pStyle w:val="Tabletext"/>
              <w:keepNext/>
              <w:keepLines/>
              <w:rPr>
                <w:highlight w:val="black"/>
              </w:rPr>
            </w:pPr>
            <w:r>
              <w:rPr>
                <w:noProof/>
                <w:color w:val="000000"/>
                <w:highlight w:val="black"/>
              </w:rPr>
              <w:t>'''</w:t>
            </w:r>
          </w:p>
        </w:tc>
        <w:tc>
          <w:tcPr>
            <w:tcW w:w="548" w:type="pct"/>
            <w:shd w:val="clear" w:color="auto" w:fill="FFFFFF" w:themeFill="background1"/>
            <w:tcMar>
              <w:left w:w="28" w:type="dxa"/>
              <w:right w:w="28" w:type="dxa"/>
            </w:tcMar>
            <w:vAlign w:val="center"/>
          </w:tcPr>
          <w:p w:rsidR="001D05EE" w:rsidRPr="00051281" w:rsidRDefault="001D05EE" w:rsidP="005714E4">
            <w:pPr>
              <w:pStyle w:val="Tabletext"/>
              <w:keepNext/>
              <w:keepLines/>
            </w:pPr>
            <w:r w:rsidRPr="00051281">
              <w:t>11,492</w:t>
            </w:r>
          </w:p>
        </w:tc>
        <w:tc>
          <w:tcPr>
            <w:tcW w:w="469" w:type="pct"/>
            <w:shd w:val="clear" w:color="auto" w:fill="FFFFFF" w:themeFill="background1"/>
            <w:vAlign w:val="center"/>
          </w:tcPr>
          <w:p w:rsidR="001D05EE" w:rsidRPr="002A17A3" w:rsidRDefault="002A17A3" w:rsidP="005714E4">
            <w:pPr>
              <w:pStyle w:val="Tabletext"/>
              <w:keepNext/>
              <w:keepLines/>
              <w:rPr>
                <w:highlight w:val="black"/>
              </w:rPr>
            </w:pPr>
            <w:r>
              <w:rPr>
                <w:noProof/>
                <w:color w:val="000000"/>
                <w:highlight w:val="black"/>
              </w:rPr>
              <w:t>''''''''''</w:t>
            </w:r>
          </w:p>
        </w:tc>
        <w:tc>
          <w:tcPr>
            <w:tcW w:w="859" w:type="pct"/>
            <w:shd w:val="clear" w:color="auto" w:fill="FFFFFF" w:themeFill="background1"/>
            <w:vAlign w:val="center"/>
          </w:tcPr>
          <w:p w:rsidR="001D05EE" w:rsidRPr="002A17A3" w:rsidRDefault="002A17A3" w:rsidP="005714E4">
            <w:pPr>
              <w:pStyle w:val="Tabletext"/>
              <w:keepNext/>
              <w:keepLines/>
              <w:rPr>
                <w:highlight w:val="black"/>
              </w:rPr>
            </w:pPr>
            <w:r>
              <w:rPr>
                <w:noProof/>
                <w:color w:val="000000"/>
                <w:highlight w:val="black"/>
              </w:rPr>
              <w:t>'''''''''' '''''''''''''' '''''''''''</w:t>
            </w:r>
          </w:p>
        </w:tc>
      </w:tr>
      <w:tr w:rsidR="001D05EE" w:rsidRPr="00051281" w:rsidTr="004574B9">
        <w:trPr>
          <w:trHeight w:val="60"/>
        </w:trPr>
        <w:tc>
          <w:tcPr>
            <w:tcW w:w="1169" w:type="pct"/>
            <w:shd w:val="clear" w:color="auto" w:fill="FFFFFF" w:themeFill="background1"/>
          </w:tcPr>
          <w:p w:rsidR="001D05EE" w:rsidRPr="00051281" w:rsidRDefault="001D05EE" w:rsidP="005714E4">
            <w:pPr>
              <w:pStyle w:val="Tabletext"/>
              <w:keepNext/>
              <w:keepLines/>
            </w:pPr>
            <w:r w:rsidRPr="00051281">
              <w:t>205.456 (12-17 years)</w:t>
            </w:r>
          </w:p>
        </w:tc>
        <w:tc>
          <w:tcPr>
            <w:tcW w:w="469" w:type="pct"/>
            <w:shd w:val="clear" w:color="auto" w:fill="FFFFFF" w:themeFill="background1"/>
          </w:tcPr>
          <w:p w:rsidR="001D05EE" w:rsidRPr="002A17A3" w:rsidRDefault="002A17A3" w:rsidP="005714E4">
            <w:pPr>
              <w:pStyle w:val="Tabletext"/>
              <w:keepNext/>
              <w:keepLines/>
              <w:rPr>
                <w:highlight w:val="black"/>
              </w:rPr>
            </w:pPr>
            <w:r>
              <w:rPr>
                <w:noProof/>
                <w:color w:val="000000"/>
                <w:highlight w:val="black"/>
              </w:rPr>
              <w:t>'''</w:t>
            </w:r>
          </w:p>
        </w:tc>
        <w:tc>
          <w:tcPr>
            <w:tcW w:w="547" w:type="pct"/>
            <w:shd w:val="clear" w:color="auto" w:fill="FFFFFF" w:themeFill="background1"/>
          </w:tcPr>
          <w:p w:rsidR="001D05EE" w:rsidRPr="00051281" w:rsidRDefault="001D05EE" w:rsidP="005714E4">
            <w:pPr>
              <w:pStyle w:val="Tabletext"/>
              <w:keepNext/>
              <w:keepLines/>
            </w:pPr>
            <w:r w:rsidRPr="00051281">
              <w:t>11,162</w:t>
            </w:r>
          </w:p>
        </w:tc>
        <w:tc>
          <w:tcPr>
            <w:tcW w:w="470" w:type="pct"/>
            <w:shd w:val="clear" w:color="auto" w:fill="FFFFFF" w:themeFill="background1"/>
          </w:tcPr>
          <w:p w:rsidR="001D05EE" w:rsidRPr="002A17A3" w:rsidRDefault="002A17A3" w:rsidP="005714E4">
            <w:pPr>
              <w:pStyle w:val="Tabletext"/>
              <w:keepNext/>
              <w:keepLines/>
              <w:rPr>
                <w:highlight w:val="black"/>
              </w:rPr>
            </w:pPr>
            <w:r>
              <w:rPr>
                <w:noProof/>
                <w:color w:val="000000"/>
                <w:highlight w:val="black"/>
              </w:rPr>
              <w:t>''''''''''</w:t>
            </w:r>
          </w:p>
        </w:tc>
        <w:tc>
          <w:tcPr>
            <w:tcW w:w="468" w:type="pct"/>
            <w:shd w:val="clear" w:color="auto" w:fill="FFFFFF" w:themeFill="background1"/>
          </w:tcPr>
          <w:p w:rsidR="001D05EE" w:rsidRPr="002A17A3" w:rsidRDefault="002A17A3" w:rsidP="005714E4">
            <w:pPr>
              <w:pStyle w:val="Tabletext"/>
              <w:keepNext/>
              <w:keepLines/>
              <w:rPr>
                <w:highlight w:val="black"/>
              </w:rPr>
            </w:pPr>
            <w:r>
              <w:rPr>
                <w:noProof/>
                <w:color w:val="000000"/>
                <w:highlight w:val="black"/>
              </w:rPr>
              <w:t>'''</w:t>
            </w:r>
          </w:p>
        </w:tc>
        <w:tc>
          <w:tcPr>
            <w:tcW w:w="548" w:type="pct"/>
            <w:shd w:val="clear" w:color="auto" w:fill="FFFFFF" w:themeFill="background1"/>
          </w:tcPr>
          <w:p w:rsidR="001D05EE" w:rsidRPr="00051281" w:rsidRDefault="001D05EE" w:rsidP="005714E4">
            <w:pPr>
              <w:pStyle w:val="Tabletext"/>
              <w:keepNext/>
              <w:keepLines/>
            </w:pPr>
            <w:r w:rsidRPr="00051281">
              <w:t>11,479</w:t>
            </w:r>
          </w:p>
        </w:tc>
        <w:tc>
          <w:tcPr>
            <w:tcW w:w="469" w:type="pct"/>
            <w:shd w:val="clear" w:color="auto" w:fill="FFFFFF" w:themeFill="background1"/>
          </w:tcPr>
          <w:p w:rsidR="001D05EE" w:rsidRPr="002A17A3" w:rsidRDefault="002A17A3" w:rsidP="005714E4">
            <w:pPr>
              <w:pStyle w:val="Tabletext"/>
              <w:keepNext/>
              <w:keepLines/>
              <w:rPr>
                <w:highlight w:val="black"/>
              </w:rPr>
            </w:pPr>
            <w:r>
              <w:rPr>
                <w:noProof/>
                <w:color w:val="000000"/>
                <w:highlight w:val="black"/>
              </w:rPr>
              <w:t>''''''''''</w:t>
            </w:r>
          </w:p>
        </w:tc>
        <w:tc>
          <w:tcPr>
            <w:tcW w:w="859" w:type="pct"/>
            <w:shd w:val="clear" w:color="auto" w:fill="FFFFFF" w:themeFill="background1"/>
          </w:tcPr>
          <w:p w:rsidR="001D05EE" w:rsidRPr="002A17A3" w:rsidRDefault="002A17A3" w:rsidP="005714E4">
            <w:pPr>
              <w:pStyle w:val="Tabletext"/>
              <w:keepNext/>
              <w:keepLines/>
              <w:rPr>
                <w:highlight w:val="black"/>
              </w:rPr>
            </w:pPr>
            <w:r>
              <w:rPr>
                <w:noProof/>
                <w:color w:val="000000"/>
                <w:highlight w:val="black"/>
              </w:rPr>
              <w:t>'''''''''' ''''''''''''''' ''''''''''''</w:t>
            </w:r>
          </w:p>
        </w:tc>
      </w:tr>
      <w:tr w:rsidR="006D205B" w:rsidRPr="00051281" w:rsidTr="004574B9">
        <w:trPr>
          <w:trHeight w:val="60"/>
        </w:trPr>
        <w:tc>
          <w:tcPr>
            <w:tcW w:w="4141" w:type="pct"/>
            <w:gridSpan w:val="7"/>
            <w:shd w:val="clear" w:color="auto" w:fill="FFFFFF" w:themeFill="background1"/>
          </w:tcPr>
          <w:p w:rsidR="006D205B" w:rsidRPr="00051281" w:rsidRDefault="006D205B" w:rsidP="005714E4">
            <w:pPr>
              <w:pStyle w:val="Tabletext"/>
              <w:keepNext/>
              <w:keepLines/>
            </w:pPr>
            <w:r w:rsidRPr="00051281">
              <w:t>Meta-analysis result (I</w:t>
            </w:r>
            <w:r w:rsidRPr="00051281">
              <w:rPr>
                <w:vertAlign w:val="superscript"/>
              </w:rPr>
              <w:t>2</w:t>
            </w:r>
            <w:r w:rsidRPr="00051281">
              <w:t xml:space="preserve"> = </w:t>
            </w:r>
            <w:r w:rsidR="002A17A3">
              <w:rPr>
                <w:noProof/>
                <w:color w:val="000000"/>
                <w:highlight w:val="black"/>
              </w:rPr>
              <w:t>'''</w:t>
            </w:r>
            <w:r w:rsidRPr="00051281">
              <w:t>%; Chi</w:t>
            </w:r>
            <w:r w:rsidRPr="00051281">
              <w:rPr>
                <w:vertAlign w:val="superscript"/>
              </w:rPr>
              <w:t>2</w:t>
            </w:r>
            <w:r w:rsidRPr="00051281">
              <w:t xml:space="preserve"> = </w:t>
            </w:r>
            <w:r w:rsidR="002A17A3">
              <w:rPr>
                <w:noProof/>
                <w:color w:val="000000"/>
                <w:highlight w:val="black"/>
              </w:rPr>
              <w:t>''''''''''</w:t>
            </w:r>
            <w:r w:rsidRPr="00051281">
              <w:t xml:space="preserve"> (P = </w:t>
            </w:r>
            <w:r w:rsidR="002A17A3">
              <w:rPr>
                <w:noProof/>
                <w:color w:val="000000"/>
                <w:highlight w:val="black"/>
              </w:rPr>
              <w:t>''''''''''</w:t>
            </w:r>
            <w:r w:rsidRPr="00051281">
              <w:t>))</w:t>
            </w:r>
          </w:p>
        </w:tc>
        <w:tc>
          <w:tcPr>
            <w:tcW w:w="859" w:type="pct"/>
            <w:shd w:val="clear" w:color="auto" w:fill="FFFFFF" w:themeFill="background1"/>
          </w:tcPr>
          <w:p w:rsidR="006D205B" w:rsidRPr="002A17A3" w:rsidRDefault="002A17A3" w:rsidP="005714E4">
            <w:pPr>
              <w:pStyle w:val="Tabletext"/>
              <w:keepNext/>
              <w:keepLines/>
              <w:rPr>
                <w:highlight w:val="black"/>
              </w:rPr>
            </w:pPr>
            <w:r>
              <w:rPr>
                <w:noProof/>
                <w:color w:val="000000"/>
                <w:highlight w:val="black"/>
              </w:rPr>
              <w:t>'''''''''' '''''''''''''' ''''''''''''''</w:t>
            </w:r>
          </w:p>
        </w:tc>
      </w:tr>
      <w:tr w:rsidR="001D05EE" w:rsidRPr="00051281" w:rsidTr="004574B9">
        <w:trPr>
          <w:trHeight w:val="125"/>
        </w:trPr>
        <w:tc>
          <w:tcPr>
            <w:tcW w:w="5000" w:type="pct"/>
            <w:gridSpan w:val="8"/>
            <w:shd w:val="clear" w:color="auto" w:fill="FFFFFF" w:themeFill="background1"/>
          </w:tcPr>
          <w:p w:rsidR="001D05EE" w:rsidRPr="00051281" w:rsidRDefault="001D05EE" w:rsidP="00D81923">
            <w:pPr>
              <w:pStyle w:val="Tabletext"/>
              <w:keepNext/>
              <w:keepLines/>
              <w:rPr>
                <w:b/>
              </w:rPr>
            </w:pPr>
            <w:r w:rsidRPr="00051281">
              <w:rPr>
                <w:b/>
              </w:rPr>
              <w:t xml:space="preserve">Non-severe symptomatic exacerbations </w:t>
            </w:r>
          </w:p>
        </w:tc>
      </w:tr>
      <w:tr w:rsidR="001D05EE" w:rsidRPr="00051281" w:rsidTr="004574B9">
        <w:trPr>
          <w:trHeight w:val="60"/>
        </w:trPr>
        <w:tc>
          <w:tcPr>
            <w:tcW w:w="1169" w:type="pct"/>
            <w:shd w:val="clear" w:color="auto" w:fill="FFFFFF" w:themeFill="background1"/>
          </w:tcPr>
          <w:p w:rsidR="001D05EE" w:rsidRPr="00051281" w:rsidRDefault="001D05EE" w:rsidP="00647341">
            <w:pPr>
              <w:pStyle w:val="Tabletext"/>
              <w:keepNext/>
              <w:keepLines/>
            </w:pPr>
            <w:r w:rsidRPr="00051281">
              <w:t>205.446 (6-11 years)</w:t>
            </w:r>
          </w:p>
        </w:tc>
        <w:tc>
          <w:tcPr>
            <w:tcW w:w="469" w:type="pct"/>
            <w:shd w:val="clear" w:color="auto" w:fill="FFFFFF" w:themeFill="background1"/>
          </w:tcPr>
          <w:p w:rsidR="001D05EE" w:rsidRPr="002A17A3" w:rsidRDefault="002A17A3" w:rsidP="00647341">
            <w:pPr>
              <w:pStyle w:val="Tabletext"/>
              <w:keepNext/>
              <w:keepLines/>
              <w:rPr>
                <w:highlight w:val="black"/>
              </w:rPr>
            </w:pPr>
            <w:r>
              <w:rPr>
                <w:noProof/>
                <w:color w:val="000000"/>
                <w:highlight w:val="black"/>
              </w:rPr>
              <w:t>''''''</w:t>
            </w:r>
          </w:p>
        </w:tc>
        <w:tc>
          <w:tcPr>
            <w:tcW w:w="547" w:type="pct"/>
            <w:shd w:val="clear" w:color="auto" w:fill="FFFFFF" w:themeFill="background1"/>
          </w:tcPr>
          <w:p w:rsidR="001D05EE" w:rsidRPr="00051281" w:rsidRDefault="001D05EE" w:rsidP="00647341">
            <w:pPr>
              <w:pStyle w:val="Tabletext"/>
              <w:keepNext/>
              <w:keepLines/>
            </w:pPr>
            <w:r w:rsidRPr="00051281">
              <w:t>11,156</w:t>
            </w:r>
          </w:p>
        </w:tc>
        <w:tc>
          <w:tcPr>
            <w:tcW w:w="470" w:type="pct"/>
            <w:shd w:val="clear" w:color="auto" w:fill="FFFFFF" w:themeFill="background1"/>
          </w:tcPr>
          <w:p w:rsidR="001D05EE" w:rsidRPr="002A17A3" w:rsidRDefault="002A17A3" w:rsidP="00647341">
            <w:pPr>
              <w:pStyle w:val="Tabletext"/>
              <w:keepNext/>
              <w:keepLines/>
              <w:rPr>
                <w:highlight w:val="black"/>
              </w:rPr>
            </w:pPr>
            <w:r>
              <w:rPr>
                <w:noProof/>
                <w:color w:val="000000"/>
                <w:highlight w:val="black"/>
              </w:rPr>
              <w:t>''''''''''</w:t>
            </w:r>
          </w:p>
        </w:tc>
        <w:tc>
          <w:tcPr>
            <w:tcW w:w="468" w:type="pct"/>
            <w:shd w:val="clear" w:color="auto" w:fill="FFFFFF" w:themeFill="background1"/>
          </w:tcPr>
          <w:p w:rsidR="001D05EE" w:rsidRPr="002A17A3" w:rsidRDefault="002A17A3" w:rsidP="00F06086">
            <w:pPr>
              <w:pStyle w:val="Tabletext"/>
              <w:keepNext/>
              <w:keepLines/>
              <w:rPr>
                <w:highlight w:val="black"/>
              </w:rPr>
            </w:pPr>
            <w:r>
              <w:rPr>
                <w:noProof/>
                <w:color w:val="000000"/>
                <w:highlight w:val="black"/>
              </w:rPr>
              <w:t>''''''</w:t>
            </w:r>
          </w:p>
        </w:tc>
        <w:tc>
          <w:tcPr>
            <w:tcW w:w="548" w:type="pct"/>
            <w:shd w:val="clear" w:color="auto" w:fill="FFFFFF" w:themeFill="background1"/>
          </w:tcPr>
          <w:p w:rsidR="001D05EE" w:rsidRPr="00051281" w:rsidRDefault="001D05EE" w:rsidP="00647341">
            <w:pPr>
              <w:pStyle w:val="Tabletext"/>
              <w:keepNext/>
              <w:keepLines/>
            </w:pPr>
            <w:r w:rsidRPr="00051281">
              <w:t>11,492</w:t>
            </w:r>
          </w:p>
        </w:tc>
        <w:tc>
          <w:tcPr>
            <w:tcW w:w="469" w:type="pct"/>
            <w:shd w:val="clear" w:color="auto" w:fill="FFFFFF" w:themeFill="background1"/>
          </w:tcPr>
          <w:p w:rsidR="001D05EE" w:rsidRPr="002A17A3" w:rsidRDefault="002A17A3" w:rsidP="00647341">
            <w:pPr>
              <w:pStyle w:val="Tabletext"/>
              <w:keepNext/>
              <w:keepLines/>
              <w:rPr>
                <w:highlight w:val="black"/>
              </w:rPr>
            </w:pPr>
            <w:r>
              <w:rPr>
                <w:noProof/>
                <w:color w:val="000000"/>
                <w:highlight w:val="black"/>
              </w:rPr>
              <w:t>''''''''''</w:t>
            </w:r>
          </w:p>
        </w:tc>
        <w:tc>
          <w:tcPr>
            <w:tcW w:w="859" w:type="pct"/>
            <w:shd w:val="clear" w:color="auto" w:fill="FFFFFF" w:themeFill="background1"/>
          </w:tcPr>
          <w:p w:rsidR="001D05EE" w:rsidRPr="002A17A3" w:rsidRDefault="002A17A3" w:rsidP="00647341">
            <w:pPr>
              <w:pStyle w:val="Tabletext"/>
              <w:keepNext/>
              <w:keepLines/>
              <w:rPr>
                <w:b/>
                <w:highlight w:val="black"/>
              </w:rPr>
            </w:pPr>
            <w:r>
              <w:rPr>
                <w:b/>
                <w:noProof/>
                <w:color w:val="000000"/>
                <w:highlight w:val="black"/>
              </w:rPr>
              <w:t>'''''''' ''''''''''' ''''''''' '''</w:t>
            </w:r>
          </w:p>
        </w:tc>
      </w:tr>
      <w:tr w:rsidR="001D05EE" w:rsidRPr="00051281" w:rsidTr="004574B9">
        <w:trPr>
          <w:trHeight w:val="60"/>
        </w:trPr>
        <w:tc>
          <w:tcPr>
            <w:tcW w:w="1169" w:type="pct"/>
            <w:shd w:val="clear" w:color="auto" w:fill="FFFFFF" w:themeFill="background1"/>
          </w:tcPr>
          <w:p w:rsidR="001D05EE" w:rsidRPr="00051281" w:rsidRDefault="001D05EE" w:rsidP="00647341">
            <w:pPr>
              <w:pStyle w:val="Tabletext"/>
              <w:keepNext/>
              <w:keepLines/>
            </w:pPr>
            <w:r w:rsidRPr="00051281">
              <w:t>205.456 (12-17 years)</w:t>
            </w:r>
          </w:p>
        </w:tc>
        <w:tc>
          <w:tcPr>
            <w:tcW w:w="469" w:type="pct"/>
            <w:shd w:val="clear" w:color="auto" w:fill="FFFFFF" w:themeFill="background1"/>
          </w:tcPr>
          <w:p w:rsidR="001D05EE" w:rsidRPr="002A17A3" w:rsidRDefault="002A17A3" w:rsidP="00647341">
            <w:pPr>
              <w:pStyle w:val="Tabletext"/>
              <w:keepNext/>
              <w:keepLines/>
              <w:rPr>
                <w:highlight w:val="black"/>
              </w:rPr>
            </w:pPr>
            <w:r>
              <w:rPr>
                <w:noProof/>
                <w:color w:val="000000"/>
                <w:highlight w:val="black"/>
              </w:rPr>
              <w:t>''''''</w:t>
            </w:r>
          </w:p>
        </w:tc>
        <w:tc>
          <w:tcPr>
            <w:tcW w:w="547" w:type="pct"/>
            <w:shd w:val="clear" w:color="auto" w:fill="FFFFFF" w:themeFill="background1"/>
          </w:tcPr>
          <w:p w:rsidR="001D05EE" w:rsidRPr="00051281" w:rsidRDefault="001D05EE" w:rsidP="00647341">
            <w:pPr>
              <w:pStyle w:val="Tabletext"/>
              <w:keepNext/>
              <w:keepLines/>
            </w:pPr>
            <w:r w:rsidRPr="00051281">
              <w:t>11,162</w:t>
            </w:r>
          </w:p>
        </w:tc>
        <w:tc>
          <w:tcPr>
            <w:tcW w:w="470" w:type="pct"/>
            <w:shd w:val="clear" w:color="auto" w:fill="FFFFFF" w:themeFill="background1"/>
          </w:tcPr>
          <w:p w:rsidR="001D05EE" w:rsidRPr="002A17A3" w:rsidRDefault="002A17A3" w:rsidP="00647341">
            <w:pPr>
              <w:pStyle w:val="Tabletext"/>
              <w:keepNext/>
              <w:keepLines/>
              <w:rPr>
                <w:highlight w:val="black"/>
              </w:rPr>
            </w:pPr>
            <w:r>
              <w:rPr>
                <w:noProof/>
                <w:color w:val="000000"/>
                <w:highlight w:val="black"/>
              </w:rPr>
              <w:t>'''''''''''</w:t>
            </w:r>
          </w:p>
        </w:tc>
        <w:tc>
          <w:tcPr>
            <w:tcW w:w="468" w:type="pct"/>
            <w:shd w:val="clear" w:color="auto" w:fill="FFFFFF" w:themeFill="background1"/>
            <w:tcMar>
              <w:left w:w="28" w:type="dxa"/>
              <w:right w:w="28" w:type="dxa"/>
            </w:tcMar>
          </w:tcPr>
          <w:p w:rsidR="001D05EE" w:rsidRPr="002A17A3" w:rsidRDefault="002A17A3" w:rsidP="00F06086">
            <w:pPr>
              <w:pStyle w:val="Tabletext"/>
              <w:keepNext/>
              <w:keepLines/>
              <w:ind w:left="-11"/>
              <w:rPr>
                <w:highlight w:val="black"/>
              </w:rPr>
            </w:pPr>
            <w:r>
              <w:rPr>
                <w:noProof/>
                <w:color w:val="000000"/>
                <w:highlight w:val="black"/>
              </w:rPr>
              <w:t>'''''</w:t>
            </w:r>
          </w:p>
        </w:tc>
        <w:tc>
          <w:tcPr>
            <w:tcW w:w="548" w:type="pct"/>
            <w:shd w:val="clear" w:color="auto" w:fill="FFFFFF" w:themeFill="background1"/>
          </w:tcPr>
          <w:p w:rsidR="001D05EE" w:rsidRPr="00051281" w:rsidRDefault="001D05EE" w:rsidP="00647341">
            <w:pPr>
              <w:pStyle w:val="Tabletext"/>
              <w:keepNext/>
              <w:keepLines/>
            </w:pPr>
            <w:r w:rsidRPr="00051281">
              <w:t>11,479</w:t>
            </w:r>
          </w:p>
        </w:tc>
        <w:tc>
          <w:tcPr>
            <w:tcW w:w="469" w:type="pct"/>
            <w:shd w:val="clear" w:color="auto" w:fill="FFFFFF" w:themeFill="background1"/>
          </w:tcPr>
          <w:p w:rsidR="001D05EE" w:rsidRPr="002A17A3" w:rsidRDefault="002A17A3" w:rsidP="00647341">
            <w:pPr>
              <w:pStyle w:val="Tabletext"/>
              <w:keepNext/>
              <w:keepLines/>
              <w:rPr>
                <w:highlight w:val="black"/>
              </w:rPr>
            </w:pPr>
            <w:r>
              <w:rPr>
                <w:noProof/>
                <w:color w:val="000000"/>
                <w:highlight w:val="black"/>
              </w:rPr>
              <w:t>''''''''''</w:t>
            </w:r>
          </w:p>
        </w:tc>
        <w:tc>
          <w:tcPr>
            <w:tcW w:w="859" w:type="pct"/>
            <w:shd w:val="clear" w:color="auto" w:fill="FFFFFF" w:themeFill="background1"/>
          </w:tcPr>
          <w:p w:rsidR="001D05EE" w:rsidRPr="002A17A3" w:rsidRDefault="002A17A3" w:rsidP="00647341">
            <w:pPr>
              <w:pStyle w:val="Tabletext"/>
              <w:keepNext/>
              <w:keepLines/>
              <w:rPr>
                <w:highlight w:val="black"/>
              </w:rPr>
            </w:pPr>
            <w:r>
              <w:rPr>
                <w:noProof/>
                <w:color w:val="000000"/>
                <w:highlight w:val="black"/>
              </w:rPr>
              <w:t>'''''''''''' '''''''''''''''' ''''''''''' ''''</w:t>
            </w:r>
          </w:p>
        </w:tc>
      </w:tr>
      <w:tr w:rsidR="006D205B" w:rsidRPr="00051281" w:rsidTr="004574B9">
        <w:trPr>
          <w:trHeight w:val="60"/>
        </w:trPr>
        <w:tc>
          <w:tcPr>
            <w:tcW w:w="4141" w:type="pct"/>
            <w:gridSpan w:val="7"/>
            <w:shd w:val="clear" w:color="auto" w:fill="FFFFFF" w:themeFill="background1"/>
          </w:tcPr>
          <w:p w:rsidR="006D205B" w:rsidRPr="00051281" w:rsidRDefault="006D205B" w:rsidP="006D205B">
            <w:pPr>
              <w:pStyle w:val="Tabletext"/>
              <w:keepNext/>
              <w:keepLines/>
            </w:pPr>
            <w:r w:rsidRPr="00051281">
              <w:t>Meta-analysis result (I</w:t>
            </w:r>
            <w:r w:rsidRPr="00051281">
              <w:rPr>
                <w:vertAlign w:val="superscript"/>
              </w:rPr>
              <w:t>2</w:t>
            </w:r>
            <w:r w:rsidRPr="00051281">
              <w:t xml:space="preserve"> = </w:t>
            </w:r>
            <w:r w:rsidR="002A17A3">
              <w:rPr>
                <w:noProof/>
                <w:color w:val="000000"/>
                <w:highlight w:val="black"/>
              </w:rPr>
              <w:t>''''</w:t>
            </w:r>
            <w:r w:rsidRPr="00051281">
              <w:t>%; Chi</w:t>
            </w:r>
            <w:r w:rsidRPr="00051281">
              <w:rPr>
                <w:vertAlign w:val="superscript"/>
              </w:rPr>
              <w:t>2</w:t>
            </w:r>
            <w:r w:rsidRPr="00051281">
              <w:t xml:space="preserve"> </w:t>
            </w:r>
            <w:r w:rsidRPr="00F06086">
              <w:t>=</w:t>
            </w:r>
            <w:r w:rsidR="002A17A3">
              <w:rPr>
                <w:noProof/>
                <w:color w:val="000000"/>
                <w:highlight w:val="black"/>
              </w:rPr>
              <w:t xml:space="preserve"> ''''''''''</w:t>
            </w:r>
            <w:r w:rsidRPr="00051281">
              <w:t xml:space="preserve"> (P </w:t>
            </w:r>
            <w:r w:rsidR="002A17A3">
              <w:rPr>
                <w:noProof/>
                <w:color w:val="000000"/>
                <w:highlight w:val="black"/>
              </w:rPr>
              <w:t>'''' ''''''''''</w:t>
            </w:r>
            <w:r w:rsidRPr="00051281">
              <w:t>))</w:t>
            </w:r>
          </w:p>
        </w:tc>
        <w:tc>
          <w:tcPr>
            <w:tcW w:w="859" w:type="pct"/>
            <w:shd w:val="clear" w:color="auto" w:fill="FFFFFF" w:themeFill="background1"/>
          </w:tcPr>
          <w:p w:rsidR="006D205B" w:rsidRPr="002A17A3" w:rsidRDefault="002A17A3" w:rsidP="00647341">
            <w:pPr>
              <w:pStyle w:val="Tabletext"/>
              <w:keepNext/>
              <w:keepLines/>
              <w:rPr>
                <w:b/>
                <w:highlight w:val="black"/>
                <w:vertAlign w:val="superscript"/>
              </w:rPr>
            </w:pPr>
            <w:r>
              <w:rPr>
                <w:b/>
                <w:noProof/>
                <w:color w:val="000000"/>
                <w:highlight w:val="black"/>
              </w:rPr>
              <w:t>'''''''''' '''''''''''''''''''' ''</w:t>
            </w:r>
          </w:p>
        </w:tc>
      </w:tr>
    </w:tbl>
    <w:p w:rsidR="001D05EE" w:rsidRPr="00051281" w:rsidRDefault="001D05EE" w:rsidP="00B67754">
      <w:pPr>
        <w:pStyle w:val="TableFooter"/>
        <w:keepNext/>
        <w:keepLines/>
        <w:jc w:val="left"/>
      </w:pPr>
      <w:r w:rsidRPr="00051281">
        <w:t>Source: Table 2.24, p103</w:t>
      </w:r>
      <w:r w:rsidR="00B67754" w:rsidRPr="00051281">
        <w:t>;</w:t>
      </w:r>
      <w:r w:rsidRPr="00051281">
        <w:t xml:space="preserve"> Figure 2.13, p126 of the submission</w:t>
      </w:r>
      <w:r w:rsidR="00B67754" w:rsidRPr="00051281">
        <w:t>;</w:t>
      </w:r>
      <w:r w:rsidRPr="00051281">
        <w:t xml:space="preserve"> </w:t>
      </w:r>
      <w:r w:rsidR="00742247" w:rsidRPr="00051281">
        <w:t xml:space="preserve">and </w:t>
      </w:r>
      <w:r w:rsidRPr="00051281">
        <w:t>c</w:t>
      </w:r>
      <w:r w:rsidR="006D205B" w:rsidRPr="00051281">
        <w:t>alculated</w:t>
      </w:r>
      <w:r w:rsidRPr="00051281">
        <w:t xml:space="preserve"> during evaluation using Rev</w:t>
      </w:r>
      <w:r w:rsidR="000966AE" w:rsidRPr="00051281">
        <w:t xml:space="preserve">iew </w:t>
      </w:r>
      <w:r w:rsidRPr="00051281">
        <w:t>Man</w:t>
      </w:r>
      <w:r w:rsidR="000966AE" w:rsidRPr="00051281">
        <w:t>ager</w:t>
      </w:r>
      <w:r w:rsidRPr="00051281">
        <w:t xml:space="preserve"> 5.3</w:t>
      </w:r>
    </w:p>
    <w:p w:rsidR="001D05EE" w:rsidRPr="00051281" w:rsidRDefault="001D05EE" w:rsidP="00B67754">
      <w:pPr>
        <w:pStyle w:val="TableFooter"/>
        <w:keepNext/>
        <w:keepLines/>
        <w:jc w:val="left"/>
      </w:pPr>
      <w:r w:rsidRPr="00051281">
        <w:t xml:space="preserve">CI = confidence interval; </w:t>
      </w:r>
      <w:proofErr w:type="spellStart"/>
      <w:r w:rsidRPr="00051281">
        <w:t>mITT</w:t>
      </w:r>
      <w:proofErr w:type="spellEnd"/>
      <w:r w:rsidRPr="00051281">
        <w:t xml:space="preserve"> = modified intention-to-treat; </w:t>
      </w:r>
      <w:r w:rsidR="008831D6" w:rsidRPr="00051281">
        <w:t xml:space="preserve">P = p-value; </w:t>
      </w:r>
      <w:r w:rsidRPr="00051281">
        <w:t xml:space="preserve">SD = standard deviation; </w:t>
      </w:r>
      <w:r w:rsidRPr="00051281">
        <w:rPr>
          <w:b/>
        </w:rPr>
        <w:t xml:space="preserve">Bold </w:t>
      </w:r>
      <w:r w:rsidRPr="00051281">
        <w:t xml:space="preserve">= statistically significant  </w:t>
      </w:r>
    </w:p>
    <w:p w:rsidR="001D05EE" w:rsidRPr="00051281" w:rsidRDefault="001D05EE" w:rsidP="0062529D">
      <w:pPr>
        <w:pStyle w:val="TableFooter"/>
      </w:pPr>
      <w:proofErr w:type="gramStart"/>
      <w:r w:rsidRPr="00051281">
        <w:rPr>
          <w:vertAlign w:val="superscript"/>
        </w:rPr>
        <w:t>a</w:t>
      </w:r>
      <w:proofErr w:type="gramEnd"/>
      <w:r w:rsidRPr="00051281">
        <w:t xml:space="preserve"> Calculated post-hoc: events per patient year = total events</w:t>
      </w:r>
      <w:r w:rsidR="00C22DFC" w:rsidRPr="00051281">
        <w:t>/ (</w:t>
      </w:r>
      <w:r w:rsidRPr="00051281">
        <w:t>total exposure days/365.25)</w:t>
      </w:r>
    </w:p>
    <w:p w:rsidR="001D05EE" w:rsidRPr="00051281" w:rsidRDefault="001D05EE" w:rsidP="00B67754">
      <w:pPr>
        <w:pStyle w:val="TableFooter"/>
        <w:keepNext/>
        <w:keepLines/>
        <w:jc w:val="left"/>
      </w:pPr>
      <w:proofErr w:type="gramStart"/>
      <w:r w:rsidRPr="00051281">
        <w:rPr>
          <w:vertAlign w:val="superscript"/>
        </w:rPr>
        <w:t>b</w:t>
      </w:r>
      <w:proofErr w:type="gramEnd"/>
      <w:r w:rsidRPr="00051281">
        <w:rPr>
          <w:vertAlign w:val="superscript"/>
        </w:rPr>
        <w:t xml:space="preserve"> </w:t>
      </w:r>
      <w:r w:rsidRPr="00051281">
        <w:t>95% CI calculated post-hoc using Review Manager 5.2 software</w:t>
      </w:r>
    </w:p>
    <w:p w:rsidR="001D05EE" w:rsidRPr="00051281" w:rsidRDefault="001D05EE" w:rsidP="009320CE">
      <w:pPr>
        <w:pStyle w:val="TableFooter"/>
        <w:keepNext/>
        <w:keepLines/>
        <w:spacing w:after="120"/>
        <w:jc w:val="left"/>
      </w:pPr>
      <w:proofErr w:type="gramStart"/>
      <w:r w:rsidRPr="00051281">
        <w:rPr>
          <w:vertAlign w:val="superscript"/>
        </w:rPr>
        <w:t>c</w:t>
      </w:r>
      <w:proofErr w:type="gramEnd"/>
      <w:r w:rsidRPr="00051281">
        <w:t xml:space="preserve"> Risk ratio reported  </w:t>
      </w:r>
    </w:p>
    <w:p w:rsidR="00117E03" w:rsidRPr="00051281" w:rsidRDefault="00C26A64" w:rsidP="00117E03">
      <w:pPr>
        <w:pStyle w:val="ListParagraph"/>
        <w:widowControl/>
        <w:numPr>
          <w:ilvl w:val="1"/>
          <w:numId w:val="1"/>
        </w:numPr>
        <w:spacing w:after="120"/>
      </w:pPr>
      <w:r w:rsidRPr="00051281">
        <w:rPr>
          <w:szCs w:val="20"/>
        </w:rPr>
        <w:t xml:space="preserve">The rates of symptomatic exacerbations (non-severe and severe) </w:t>
      </w:r>
      <w:r w:rsidR="001649BA" w:rsidRPr="00051281">
        <w:rPr>
          <w:szCs w:val="20"/>
        </w:rPr>
        <w:t xml:space="preserve">per patient year </w:t>
      </w:r>
      <w:r w:rsidRPr="00051281">
        <w:rPr>
          <w:szCs w:val="20"/>
        </w:rPr>
        <w:t xml:space="preserve">were lower in the tiotropium arms compared to the placebo arms in both trials; however, the difference was only statistically significant for symptomatic </w:t>
      </w:r>
      <w:r w:rsidRPr="00051281">
        <w:rPr>
          <w:szCs w:val="20"/>
        </w:rPr>
        <w:lastRenderedPageBreak/>
        <w:t>exacerbations in trial 205.446 (</w:t>
      </w:r>
      <w:r w:rsidR="00A14B68" w:rsidRPr="00051281">
        <w:rPr>
          <w:szCs w:val="20"/>
        </w:rPr>
        <w:t>6-11 years</w:t>
      </w:r>
      <w:r w:rsidRPr="00051281">
        <w:rPr>
          <w:szCs w:val="20"/>
        </w:rPr>
        <w:t>) (rate ratio</w:t>
      </w:r>
      <w:r w:rsidR="000966AE" w:rsidRPr="00051281">
        <w:rPr>
          <w:szCs w:val="20"/>
        </w:rPr>
        <w:t xml:space="preserve"> (RR)</w:t>
      </w:r>
      <w:r w:rsidRPr="00051281">
        <w:rPr>
          <w:szCs w:val="20"/>
        </w:rPr>
        <w:t xml:space="preserve"> = </w:t>
      </w:r>
      <w:r w:rsidR="002A17A3">
        <w:rPr>
          <w:noProof/>
          <w:color w:val="000000"/>
          <w:szCs w:val="20"/>
          <w:highlight w:val="black"/>
        </w:rPr>
        <w:t>'''''''''</w:t>
      </w:r>
      <w:r w:rsidRPr="00051281">
        <w:rPr>
          <w:szCs w:val="20"/>
        </w:rPr>
        <w:t xml:space="preserve">; 95% CI: </w:t>
      </w:r>
      <w:r w:rsidR="002A17A3">
        <w:rPr>
          <w:noProof/>
          <w:color w:val="000000"/>
          <w:szCs w:val="20"/>
          <w:highlight w:val="black"/>
        </w:rPr>
        <w:t>'''''''''' ''''''''</w:t>
      </w:r>
      <w:r w:rsidRPr="00051281">
        <w:rPr>
          <w:szCs w:val="20"/>
        </w:rPr>
        <w:t>)</w:t>
      </w:r>
      <w:r w:rsidR="00D81B6F" w:rsidRPr="00051281">
        <w:rPr>
          <w:szCs w:val="20"/>
        </w:rPr>
        <w:t xml:space="preserve"> and this was due to a reduction in non-severe symptomatic exacerbations</w:t>
      </w:r>
      <w:r w:rsidRPr="00051281">
        <w:rPr>
          <w:szCs w:val="20"/>
        </w:rPr>
        <w:t xml:space="preserve">. </w:t>
      </w:r>
      <w:r w:rsidR="00A753C9" w:rsidRPr="00051281">
        <w:rPr>
          <w:szCs w:val="20"/>
        </w:rPr>
        <w:t xml:space="preserve">The </w:t>
      </w:r>
      <w:r w:rsidR="00327429" w:rsidRPr="00051281">
        <w:rPr>
          <w:szCs w:val="20"/>
        </w:rPr>
        <w:t xml:space="preserve">ESC noted that </w:t>
      </w:r>
      <w:r w:rsidR="00670607" w:rsidRPr="00051281">
        <w:rPr>
          <w:szCs w:val="20"/>
        </w:rPr>
        <w:t>reduction in</w:t>
      </w:r>
      <w:r w:rsidR="00327429" w:rsidRPr="00051281">
        <w:rPr>
          <w:szCs w:val="20"/>
        </w:rPr>
        <w:t xml:space="preserve"> non-severe </w:t>
      </w:r>
      <w:r w:rsidR="00670607" w:rsidRPr="00051281">
        <w:rPr>
          <w:szCs w:val="20"/>
        </w:rPr>
        <w:t>exacerbations may</w:t>
      </w:r>
      <w:r w:rsidR="00327429" w:rsidRPr="00051281">
        <w:rPr>
          <w:szCs w:val="20"/>
        </w:rPr>
        <w:t xml:space="preserve"> be expected in a 12 week trial. </w:t>
      </w:r>
      <w:r w:rsidR="00117E03" w:rsidRPr="00051281">
        <w:rPr>
          <w:szCs w:val="20"/>
        </w:rPr>
        <w:t xml:space="preserve">‘Symptomatic exacerbations’ </w:t>
      </w:r>
      <w:r w:rsidR="00670607" w:rsidRPr="00051281">
        <w:rPr>
          <w:szCs w:val="20"/>
        </w:rPr>
        <w:t xml:space="preserve">is </w:t>
      </w:r>
      <w:r w:rsidR="00117E03" w:rsidRPr="00051281">
        <w:rPr>
          <w:szCs w:val="20"/>
        </w:rPr>
        <w:t xml:space="preserve">not the usual trial measure for a study of long term treatment for asthma. </w:t>
      </w:r>
      <w:proofErr w:type="gramStart"/>
      <w:r w:rsidR="00117E03" w:rsidRPr="00051281">
        <w:rPr>
          <w:szCs w:val="20"/>
        </w:rPr>
        <w:t xml:space="preserve">Severe </w:t>
      </w:r>
      <w:r w:rsidR="005D1E74" w:rsidRPr="00051281">
        <w:rPr>
          <w:szCs w:val="20"/>
        </w:rPr>
        <w:t>exacerbations is</w:t>
      </w:r>
      <w:proofErr w:type="gramEnd"/>
      <w:r w:rsidR="00670607" w:rsidRPr="00051281">
        <w:rPr>
          <w:szCs w:val="20"/>
        </w:rPr>
        <w:t xml:space="preserve"> </w:t>
      </w:r>
      <w:r w:rsidR="00117E03" w:rsidRPr="00051281">
        <w:rPr>
          <w:szCs w:val="20"/>
        </w:rPr>
        <w:t xml:space="preserve">considered to be the usual outcome measure, which </w:t>
      </w:r>
      <w:r w:rsidR="00670607" w:rsidRPr="00051281">
        <w:rPr>
          <w:szCs w:val="20"/>
        </w:rPr>
        <w:t xml:space="preserve">is </w:t>
      </w:r>
      <w:r w:rsidR="00117E03" w:rsidRPr="00051281">
        <w:rPr>
          <w:szCs w:val="20"/>
        </w:rPr>
        <w:t xml:space="preserve">often the primary </w:t>
      </w:r>
      <w:r w:rsidR="00670607" w:rsidRPr="00051281">
        <w:rPr>
          <w:szCs w:val="20"/>
        </w:rPr>
        <w:t xml:space="preserve">outcome </w:t>
      </w:r>
      <w:r w:rsidR="00117E03" w:rsidRPr="00051281">
        <w:rPr>
          <w:szCs w:val="20"/>
        </w:rPr>
        <w:t>measure, for asthma trials across all age groups.</w:t>
      </w:r>
      <w:r w:rsidR="00670607" w:rsidRPr="00051281">
        <w:rPr>
          <w:szCs w:val="20"/>
        </w:rPr>
        <w:t xml:space="preserve"> The clinical relevance of non-severe exacerbations as an outcome measure is unclear.</w:t>
      </w:r>
    </w:p>
    <w:p w:rsidR="001D05EE" w:rsidRPr="00051281" w:rsidRDefault="00D81B6F" w:rsidP="00C66102">
      <w:pPr>
        <w:pStyle w:val="ListParagraph"/>
        <w:widowControl/>
        <w:numPr>
          <w:ilvl w:val="1"/>
          <w:numId w:val="1"/>
        </w:numPr>
        <w:spacing w:after="120"/>
      </w:pPr>
      <w:r w:rsidRPr="00051281">
        <w:rPr>
          <w:szCs w:val="20"/>
        </w:rPr>
        <w:t>T</w:t>
      </w:r>
      <w:r w:rsidR="00C26A64" w:rsidRPr="00051281">
        <w:rPr>
          <w:szCs w:val="20"/>
        </w:rPr>
        <w:t xml:space="preserve">he rates </w:t>
      </w:r>
      <w:r w:rsidRPr="00051281">
        <w:rPr>
          <w:szCs w:val="20"/>
        </w:rPr>
        <w:t xml:space="preserve">of </w:t>
      </w:r>
      <w:r w:rsidR="00C26A64" w:rsidRPr="00051281">
        <w:rPr>
          <w:szCs w:val="20"/>
        </w:rPr>
        <w:t xml:space="preserve">severe asthma exacerbations </w:t>
      </w:r>
      <w:r w:rsidR="00C26A64" w:rsidRPr="00051281">
        <w:rPr>
          <w:rFonts w:cstheme="minorHAnsi"/>
          <w:lang w:eastAsia="en-GB"/>
        </w:rPr>
        <w:t xml:space="preserve">were marginally higher in the tiotropium arms compared to the placebo arms </w:t>
      </w:r>
      <w:r w:rsidR="006D205B" w:rsidRPr="00051281">
        <w:rPr>
          <w:rFonts w:cstheme="minorHAnsi"/>
          <w:lang w:eastAsia="en-GB"/>
        </w:rPr>
        <w:t xml:space="preserve">in </w:t>
      </w:r>
      <w:r w:rsidR="00C26A64" w:rsidRPr="00051281">
        <w:rPr>
          <w:rFonts w:cstheme="minorHAnsi"/>
          <w:lang w:eastAsia="en-GB"/>
        </w:rPr>
        <w:t>both trials.</w:t>
      </w:r>
    </w:p>
    <w:p w:rsidR="006D205B" w:rsidRPr="00051281" w:rsidRDefault="006D205B" w:rsidP="00693802">
      <w:pPr>
        <w:pStyle w:val="ListParagraph"/>
        <w:widowControl/>
        <w:numPr>
          <w:ilvl w:val="1"/>
          <w:numId w:val="1"/>
        </w:numPr>
        <w:spacing w:after="120"/>
      </w:pPr>
      <w:r w:rsidRPr="00051281">
        <w:rPr>
          <w:rFonts w:cstheme="minorHAnsi"/>
          <w:lang w:eastAsia="en-GB"/>
        </w:rPr>
        <w:t>The results of the meta-analyses suggested that tiotropium resulted in a statistically significant reduction in symptomatic exacerbations (non-severe and severe)</w:t>
      </w:r>
      <w:r w:rsidR="00D81B6F" w:rsidRPr="00051281">
        <w:rPr>
          <w:rFonts w:cstheme="minorHAnsi"/>
          <w:lang w:eastAsia="en-GB"/>
        </w:rPr>
        <w:t xml:space="preserve"> for children aged 6 to 17 years (</w:t>
      </w:r>
      <w:r w:rsidR="000966AE" w:rsidRPr="00051281">
        <w:rPr>
          <w:rFonts w:cstheme="minorHAnsi"/>
          <w:lang w:eastAsia="en-GB"/>
        </w:rPr>
        <w:t>RR</w:t>
      </w:r>
      <w:r w:rsidR="00D81B6F" w:rsidRPr="00051281">
        <w:rPr>
          <w:rFonts w:cstheme="minorHAnsi"/>
          <w:lang w:eastAsia="en-GB"/>
        </w:rPr>
        <w:t xml:space="preserve"> = </w:t>
      </w:r>
      <w:r w:rsidR="002A17A3">
        <w:rPr>
          <w:rFonts w:cstheme="minorHAnsi"/>
          <w:noProof/>
          <w:color w:val="000000"/>
          <w:highlight w:val="black"/>
          <w:lang w:eastAsia="en-GB"/>
        </w:rPr>
        <w:t>'''''''''</w:t>
      </w:r>
      <w:r w:rsidR="00D81B6F" w:rsidRPr="00051281">
        <w:rPr>
          <w:rFonts w:cstheme="minorHAnsi"/>
          <w:lang w:eastAsia="en-GB"/>
        </w:rPr>
        <w:t>; 95% CI</w:t>
      </w:r>
      <w:r w:rsidR="00563431" w:rsidRPr="00051281">
        <w:rPr>
          <w:rFonts w:cstheme="minorHAnsi"/>
          <w:lang w:eastAsia="en-GB"/>
        </w:rPr>
        <w:t>:</w:t>
      </w:r>
      <w:r w:rsidR="00D81B6F" w:rsidRPr="00051281">
        <w:rPr>
          <w:rFonts w:cstheme="minorHAnsi"/>
          <w:lang w:eastAsia="en-GB"/>
        </w:rPr>
        <w:t xml:space="preserve"> </w:t>
      </w:r>
      <w:r w:rsidR="002A17A3">
        <w:rPr>
          <w:rFonts w:cstheme="minorHAnsi"/>
          <w:noProof/>
          <w:color w:val="000000"/>
          <w:highlight w:val="black"/>
          <w:lang w:eastAsia="en-GB"/>
        </w:rPr>
        <w:t>''''''''' ''''''''</w:t>
      </w:r>
      <w:r w:rsidR="00D81B6F" w:rsidRPr="00051281">
        <w:rPr>
          <w:rFonts w:cstheme="minorHAnsi"/>
          <w:lang w:eastAsia="en-GB"/>
        </w:rPr>
        <w:t>)</w:t>
      </w:r>
      <w:r w:rsidRPr="00051281">
        <w:rPr>
          <w:rFonts w:cstheme="minorHAnsi"/>
          <w:lang w:eastAsia="en-GB"/>
        </w:rPr>
        <w:t>. This was due to the reduction in non-severe symptomatic exacerbations</w:t>
      </w:r>
      <w:r w:rsidR="00D81B6F" w:rsidRPr="00051281">
        <w:rPr>
          <w:rFonts w:cstheme="minorHAnsi"/>
          <w:lang w:eastAsia="en-GB"/>
        </w:rPr>
        <w:t xml:space="preserve"> in trial 20</w:t>
      </w:r>
      <w:r w:rsidR="00563431" w:rsidRPr="00051281">
        <w:rPr>
          <w:rFonts w:cstheme="minorHAnsi"/>
          <w:lang w:eastAsia="en-GB"/>
        </w:rPr>
        <w:t>5</w:t>
      </w:r>
      <w:r w:rsidR="00D81B6F" w:rsidRPr="00051281">
        <w:rPr>
          <w:rFonts w:cstheme="minorHAnsi"/>
          <w:lang w:eastAsia="en-GB"/>
        </w:rPr>
        <w:t>.446 (6</w:t>
      </w:r>
      <w:r w:rsidR="00563431" w:rsidRPr="00051281">
        <w:rPr>
          <w:rFonts w:cstheme="minorHAnsi"/>
          <w:lang w:eastAsia="en-GB"/>
        </w:rPr>
        <w:t>-</w:t>
      </w:r>
      <w:r w:rsidR="00D81B6F" w:rsidRPr="00051281">
        <w:rPr>
          <w:rFonts w:cstheme="minorHAnsi"/>
          <w:lang w:eastAsia="en-GB"/>
        </w:rPr>
        <w:t>11</w:t>
      </w:r>
      <w:r w:rsidR="00A14B68" w:rsidRPr="00051281">
        <w:rPr>
          <w:rFonts w:cstheme="minorHAnsi"/>
          <w:lang w:eastAsia="en-GB"/>
        </w:rPr>
        <w:t xml:space="preserve"> years</w:t>
      </w:r>
      <w:r w:rsidR="00D81B6F" w:rsidRPr="00051281">
        <w:rPr>
          <w:rFonts w:cstheme="minorHAnsi"/>
          <w:lang w:eastAsia="en-GB"/>
        </w:rPr>
        <w:t>)</w:t>
      </w:r>
      <w:r w:rsidRPr="00051281">
        <w:rPr>
          <w:rFonts w:cstheme="minorHAnsi"/>
          <w:lang w:eastAsia="en-GB"/>
        </w:rPr>
        <w:t xml:space="preserve"> (risk ratio</w:t>
      </w:r>
      <w:r w:rsidR="00D81B6F" w:rsidRPr="00051281">
        <w:rPr>
          <w:rFonts w:cstheme="minorHAnsi"/>
          <w:lang w:eastAsia="en-GB"/>
        </w:rPr>
        <w:t xml:space="preserve"> =</w:t>
      </w:r>
      <w:r w:rsidRPr="00051281">
        <w:rPr>
          <w:rFonts w:cstheme="minorHAnsi"/>
          <w:lang w:eastAsia="en-GB"/>
        </w:rPr>
        <w:t xml:space="preserve"> </w:t>
      </w:r>
      <w:r w:rsidR="002A17A3">
        <w:rPr>
          <w:rFonts w:cstheme="minorHAnsi"/>
          <w:noProof/>
          <w:color w:val="000000"/>
          <w:highlight w:val="black"/>
          <w:lang w:eastAsia="en-GB"/>
        </w:rPr>
        <w:t>''''''''</w:t>
      </w:r>
      <w:r w:rsidRPr="00051281">
        <w:rPr>
          <w:rFonts w:cstheme="minorHAnsi"/>
          <w:lang w:eastAsia="en-GB"/>
        </w:rPr>
        <w:t xml:space="preserve">; 95% CI: </w:t>
      </w:r>
      <w:r w:rsidR="002A17A3">
        <w:rPr>
          <w:rFonts w:cstheme="minorHAnsi"/>
          <w:noProof/>
          <w:color w:val="000000"/>
          <w:highlight w:val="black"/>
          <w:lang w:eastAsia="en-GB"/>
        </w:rPr>
        <w:t>''''''''' '''''''''</w:t>
      </w:r>
      <w:r w:rsidRPr="00051281">
        <w:rPr>
          <w:rFonts w:cstheme="minorHAnsi"/>
          <w:lang w:eastAsia="en-GB"/>
        </w:rPr>
        <w:t>).</w:t>
      </w:r>
      <w:r w:rsidR="00693802" w:rsidRPr="00051281">
        <w:t xml:space="preserve"> </w:t>
      </w:r>
      <w:r w:rsidR="00A753C9" w:rsidRPr="00051281">
        <w:t xml:space="preserve">As noted above </w:t>
      </w:r>
      <w:r w:rsidR="00185E21" w:rsidRPr="00051281">
        <w:t xml:space="preserve">with the </w:t>
      </w:r>
      <w:r w:rsidR="00A753C9" w:rsidRPr="00051281">
        <w:t>FEV</w:t>
      </w:r>
      <w:r w:rsidR="00A753C9" w:rsidRPr="00051281">
        <w:rPr>
          <w:vertAlign w:val="subscript"/>
        </w:rPr>
        <w:t xml:space="preserve">1 </w:t>
      </w:r>
      <w:r w:rsidR="00A753C9" w:rsidRPr="00051281">
        <w:t>responses,</w:t>
      </w:r>
      <w:r w:rsidR="00693802" w:rsidRPr="00051281">
        <w:rPr>
          <w:rFonts w:cstheme="minorHAnsi"/>
          <w:lang w:eastAsia="en-GB"/>
        </w:rPr>
        <w:t xml:space="preserve"> the effect identified in the meta-analysis was due to the effect in the 6-11 year trial. It is of concern that in 12-17 year </w:t>
      </w:r>
      <w:r w:rsidR="00670607" w:rsidRPr="00051281">
        <w:rPr>
          <w:rFonts w:cstheme="minorHAnsi"/>
          <w:lang w:eastAsia="en-GB"/>
        </w:rPr>
        <w:t>olds there was a non-significant increase in the severe exacerbations</w:t>
      </w:r>
      <w:r w:rsidR="00693802" w:rsidRPr="00051281">
        <w:rPr>
          <w:rFonts w:cstheme="minorHAnsi"/>
          <w:lang w:eastAsia="en-GB"/>
        </w:rPr>
        <w:t xml:space="preserve"> (RR </w:t>
      </w:r>
      <w:r w:rsidR="002A17A3">
        <w:rPr>
          <w:rFonts w:cstheme="minorHAnsi"/>
          <w:noProof/>
          <w:color w:val="000000"/>
          <w:highlight w:val="black"/>
          <w:lang w:eastAsia="en-GB"/>
        </w:rPr>
        <w:t>'''''''''</w:t>
      </w:r>
      <w:r w:rsidR="00A753C9" w:rsidRPr="00051281">
        <w:rPr>
          <w:rFonts w:cstheme="minorHAnsi"/>
          <w:lang w:eastAsia="en-GB"/>
        </w:rPr>
        <w:t>;</w:t>
      </w:r>
      <w:r w:rsidR="00693802" w:rsidRPr="00051281">
        <w:rPr>
          <w:rFonts w:cstheme="minorHAnsi"/>
          <w:lang w:eastAsia="en-GB"/>
        </w:rPr>
        <w:t xml:space="preserve"> </w:t>
      </w:r>
      <w:r w:rsidR="00A753C9" w:rsidRPr="00051281">
        <w:rPr>
          <w:rFonts w:cstheme="minorHAnsi"/>
          <w:lang w:eastAsia="en-GB"/>
        </w:rPr>
        <w:t xml:space="preserve">CI: </w:t>
      </w:r>
      <w:r w:rsidR="002A17A3">
        <w:rPr>
          <w:rFonts w:cstheme="minorHAnsi"/>
          <w:noProof/>
          <w:color w:val="000000"/>
          <w:highlight w:val="black"/>
          <w:lang w:eastAsia="en-GB"/>
        </w:rPr>
        <w:t>'''''''''''''''''</w:t>
      </w:r>
      <w:r w:rsidR="00693802" w:rsidRPr="00051281">
        <w:rPr>
          <w:rFonts w:cstheme="minorHAnsi"/>
          <w:lang w:eastAsia="en-GB"/>
        </w:rPr>
        <w:t>).</w:t>
      </w:r>
      <w:r w:rsidR="00414607" w:rsidRPr="00051281">
        <w:rPr>
          <w:rFonts w:cstheme="minorHAnsi"/>
          <w:lang w:eastAsia="en-GB"/>
        </w:rPr>
        <w:t xml:space="preserve"> </w:t>
      </w:r>
      <w:r w:rsidR="00670607" w:rsidRPr="00051281">
        <w:rPr>
          <w:rFonts w:cstheme="minorHAnsi"/>
          <w:lang w:eastAsia="en-GB"/>
        </w:rPr>
        <w:t>Coupled with the uncertain clinical relevance of non-severe exacerbations and no evidence of an impact in severe exacerbations, t</w:t>
      </w:r>
      <w:r w:rsidR="00A753C9" w:rsidRPr="00051281">
        <w:rPr>
          <w:rFonts w:cstheme="minorHAnsi"/>
          <w:lang w:eastAsia="en-GB"/>
        </w:rPr>
        <w:t xml:space="preserve">he </w:t>
      </w:r>
      <w:r w:rsidR="00414607" w:rsidRPr="00051281">
        <w:rPr>
          <w:rFonts w:cstheme="minorHAnsi"/>
          <w:lang w:eastAsia="en-GB"/>
        </w:rPr>
        <w:t xml:space="preserve">ESC </w:t>
      </w:r>
      <w:r w:rsidR="00185E21" w:rsidRPr="00051281">
        <w:rPr>
          <w:rFonts w:cstheme="minorHAnsi"/>
          <w:lang w:eastAsia="en-GB"/>
        </w:rPr>
        <w:t>did not consider</w:t>
      </w:r>
      <w:r w:rsidR="00AE4FA0" w:rsidRPr="00051281">
        <w:rPr>
          <w:rFonts w:cstheme="minorHAnsi"/>
          <w:lang w:eastAsia="en-GB"/>
        </w:rPr>
        <w:t xml:space="preserve"> the data presented were good indicators that tiotropium would work well for children.</w:t>
      </w:r>
    </w:p>
    <w:p w:rsidR="003841D3" w:rsidRPr="00051281" w:rsidRDefault="00C26A64" w:rsidP="003841D3">
      <w:pPr>
        <w:pStyle w:val="ListParagraph"/>
        <w:widowControl/>
        <w:numPr>
          <w:ilvl w:val="1"/>
          <w:numId w:val="1"/>
        </w:numPr>
        <w:spacing w:after="120"/>
      </w:pPr>
      <w:r w:rsidRPr="00051281">
        <w:t>The submission stated that neither trial was powered to detect differences in asthma exacerbations</w:t>
      </w:r>
      <w:r w:rsidR="00B46962" w:rsidRPr="00051281">
        <w:t>. T</w:t>
      </w:r>
      <w:r w:rsidRPr="00051281">
        <w:t xml:space="preserve">he short </w:t>
      </w:r>
      <w:r w:rsidR="00D81B6F" w:rsidRPr="00051281">
        <w:t xml:space="preserve">12-week </w:t>
      </w:r>
      <w:r w:rsidRPr="00051281">
        <w:t>duration of the trials meant that the number of all, symptomatic and severe exacerbations w</w:t>
      </w:r>
      <w:r w:rsidR="00B46962" w:rsidRPr="00051281">
        <w:t>ere</w:t>
      </w:r>
      <w:r w:rsidRPr="00051281">
        <w:t xml:space="preserve"> low</w:t>
      </w:r>
      <w:r w:rsidR="00B46962" w:rsidRPr="00051281">
        <w:t xml:space="preserve"> and that</w:t>
      </w:r>
      <w:r w:rsidR="0087449A" w:rsidRPr="00051281">
        <w:t xml:space="preserve"> it was not possible to obtain statistically significant results from the data.</w:t>
      </w:r>
      <w:r w:rsidR="00693802" w:rsidRPr="00051281">
        <w:t xml:space="preserve"> </w:t>
      </w:r>
      <w:r w:rsidR="00185E21" w:rsidRPr="00051281">
        <w:t xml:space="preserve">The </w:t>
      </w:r>
      <w:r w:rsidR="001755DF" w:rsidRPr="00051281">
        <w:t>ESC noted t</w:t>
      </w:r>
      <w:r w:rsidR="00693802" w:rsidRPr="00051281">
        <w:t xml:space="preserve">he study duration of 12 weeks </w:t>
      </w:r>
      <w:r w:rsidR="001755DF" w:rsidRPr="00051281">
        <w:t xml:space="preserve">presented in the </w:t>
      </w:r>
      <w:r w:rsidR="00693802" w:rsidRPr="00051281">
        <w:t xml:space="preserve">submission </w:t>
      </w:r>
      <w:r w:rsidR="001755DF" w:rsidRPr="00051281">
        <w:t xml:space="preserve">was not appropriate </w:t>
      </w:r>
      <w:r w:rsidR="00693802" w:rsidRPr="00051281">
        <w:t>fo</w:t>
      </w:r>
      <w:r w:rsidR="001755DF" w:rsidRPr="00051281">
        <w:t>r long-term treatment of asthma,</w:t>
      </w:r>
      <w:r w:rsidR="00693802" w:rsidRPr="00051281">
        <w:t xml:space="preserve"> </w:t>
      </w:r>
      <w:r w:rsidR="001755DF" w:rsidRPr="00051281">
        <w:t xml:space="preserve">and </w:t>
      </w:r>
      <w:r w:rsidR="00693802" w:rsidRPr="00051281">
        <w:t>the selected primary  outcome measure, peak FEV</w:t>
      </w:r>
      <w:r w:rsidR="00693802" w:rsidRPr="00051281">
        <w:rPr>
          <w:vertAlign w:val="subscript"/>
        </w:rPr>
        <w:t>1</w:t>
      </w:r>
      <w:r w:rsidR="001755DF" w:rsidRPr="00051281">
        <w:t xml:space="preserve"> (</w:t>
      </w:r>
      <w:r w:rsidR="00EF1028" w:rsidRPr="00051281">
        <w:t>0–3</w:t>
      </w:r>
      <w:r w:rsidR="001755DF" w:rsidRPr="00051281">
        <w:t>h), did</w:t>
      </w:r>
      <w:r w:rsidR="00693802" w:rsidRPr="00051281">
        <w:t xml:space="preserve"> not have evidence to support its use a</w:t>
      </w:r>
      <w:r w:rsidR="001755DF" w:rsidRPr="00051281">
        <w:t>s a</w:t>
      </w:r>
      <w:r w:rsidR="00693802" w:rsidRPr="00051281">
        <w:t xml:space="preserve"> surrogate of long-term control of childhood asthma.</w:t>
      </w:r>
    </w:p>
    <w:p w:rsidR="00B60939" w:rsidRPr="005E6581" w:rsidRDefault="00B60939" w:rsidP="009320CE">
      <w:pPr>
        <w:pStyle w:val="Heading2"/>
      </w:pPr>
      <w:bookmarkStart w:id="8" w:name="_Toc503966233"/>
      <w:r w:rsidRPr="005E6581">
        <w:t>Comparative harms</w:t>
      </w:r>
      <w:bookmarkEnd w:id="8"/>
    </w:p>
    <w:p w:rsidR="00A734E6" w:rsidRPr="00051281" w:rsidRDefault="00A734E6" w:rsidP="003841D3">
      <w:pPr>
        <w:pStyle w:val="ListParagraph"/>
        <w:widowControl/>
        <w:numPr>
          <w:ilvl w:val="1"/>
          <w:numId w:val="1"/>
        </w:numPr>
        <w:spacing w:after="120"/>
        <w:contextualSpacing/>
      </w:pPr>
      <w:r w:rsidRPr="00051281">
        <w:t xml:space="preserve">A summary of the adverse events </w:t>
      </w:r>
      <w:r w:rsidR="00B46962" w:rsidRPr="00051281">
        <w:t xml:space="preserve">reported in trials 205.446 and 205.456 are </w:t>
      </w:r>
      <w:r w:rsidRPr="00051281">
        <w:t xml:space="preserve">presented below. </w:t>
      </w:r>
    </w:p>
    <w:p w:rsidR="002F4026" w:rsidRPr="00051281" w:rsidRDefault="002F4026" w:rsidP="005E6581">
      <w:pPr>
        <w:pStyle w:val="Tabletext"/>
        <w:keepNext/>
        <w:keepLines/>
        <w:widowControl w:val="0"/>
        <w:rPr>
          <w:b/>
        </w:rPr>
      </w:pPr>
      <w:r w:rsidRPr="00051281">
        <w:rPr>
          <w:b/>
        </w:rPr>
        <w:lastRenderedPageBreak/>
        <w:t xml:space="preserve">Table 7:  Summary of adverse events </w:t>
      </w:r>
      <w:r w:rsidR="00E117D3" w:rsidRPr="00051281">
        <w:rPr>
          <w:b/>
        </w:rPr>
        <w:t xml:space="preserve">from trials </w:t>
      </w:r>
      <w:r w:rsidRPr="00051281">
        <w:rPr>
          <w:b/>
        </w:rPr>
        <w:t>205.446 and 205.456</w:t>
      </w:r>
      <w:r w:rsidR="0062529D" w:rsidRPr="00051281">
        <w:rPr>
          <w:b/>
        </w:rPr>
        <w:t xml:space="preserve"> </w:t>
      </w:r>
      <w:r w:rsidR="001649BA" w:rsidRPr="00051281">
        <w:rPr>
          <w:b/>
        </w:rPr>
        <w:t xml:space="preserve">at 12 weeks </w:t>
      </w:r>
      <w:r w:rsidR="0062529D" w:rsidRPr="00051281">
        <w:rPr>
          <w:b/>
        </w:rPr>
        <w:t>(</w:t>
      </w:r>
      <w:proofErr w:type="spellStart"/>
      <w:r w:rsidRPr="00051281">
        <w:rPr>
          <w:b/>
        </w:rPr>
        <w:t>mITT</w:t>
      </w:r>
      <w:proofErr w:type="spellEnd"/>
      <w:r w:rsidRPr="00051281">
        <w:rPr>
          <w:b/>
        </w:rPr>
        <w:t xml:space="preserve"> population</w:t>
      </w:r>
      <w:r w:rsidR="00E117D3" w:rsidRPr="00051281">
        <w:rPr>
          <w:b/>
        </w:rPr>
        <w:t>s</w:t>
      </w:r>
      <w:r w:rsidR="0062529D" w:rsidRPr="00051281">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1515"/>
        <w:gridCol w:w="1515"/>
        <w:gridCol w:w="2367"/>
      </w:tblGrid>
      <w:tr w:rsidR="002F4026" w:rsidRPr="00051281" w:rsidTr="004574B9">
        <w:trPr>
          <w:cantSplit/>
          <w:trHeight w:val="13"/>
          <w:tblHeader/>
        </w:trPr>
        <w:tc>
          <w:tcPr>
            <w:tcW w:w="2029" w:type="pct"/>
            <w:tcMar>
              <w:left w:w="28" w:type="dxa"/>
              <w:right w:w="28" w:type="dxa"/>
            </w:tcMar>
            <w:vAlign w:val="bottom"/>
          </w:tcPr>
          <w:p w:rsidR="002F4026" w:rsidRPr="00051281" w:rsidRDefault="002F4026" w:rsidP="005E6581">
            <w:pPr>
              <w:pStyle w:val="Tabletext"/>
              <w:keepNext/>
              <w:keepLines/>
              <w:widowControl w:val="0"/>
              <w:rPr>
                <w:b/>
              </w:rPr>
            </w:pPr>
          </w:p>
        </w:tc>
        <w:tc>
          <w:tcPr>
            <w:tcW w:w="834" w:type="pct"/>
            <w:tcMar>
              <w:left w:w="28" w:type="dxa"/>
              <w:right w:w="28" w:type="dxa"/>
            </w:tcMar>
            <w:vAlign w:val="bottom"/>
          </w:tcPr>
          <w:p w:rsidR="002F4026" w:rsidRPr="00051281" w:rsidRDefault="002F4026" w:rsidP="005E6581">
            <w:pPr>
              <w:pStyle w:val="Tabletext"/>
              <w:keepNext/>
              <w:keepLines/>
              <w:widowControl w:val="0"/>
              <w:jc w:val="center"/>
              <w:rPr>
                <w:b/>
              </w:rPr>
            </w:pPr>
            <w:r w:rsidRPr="00051281">
              <w:rPr>
                <w:b/>
              </w:rPr>
              <w:t>Tiotropium</w:t>
            </w:r>
          </w:p>
        </w:tc>
        <w:tc>
          <w:tcPr>
            <w:tcW w:w="834" w:type="pct"/>
            <w:tcMar>
              <w:left w:w="28" w:type="dxa"/>
              <w:right w:w="28" w:type="dxa"/>
            </w:tcMar>
            <w:vAlign w:val="bottom"/>
          </w:tcPr>
          <w:p w:rsidR="002F4026" w:rsidRPr="00051281" w:rsidRDefault="002F4026" w:rsidP="005E6581">
            <w:pPr>
              <w:pStyle w:val="Tabletext"/>
              <w:keepNext/>
              <w:keepLines/>
              <w:widowControl w:val="0"/>
              <w:jc w:val="center"/>
              <w:rPr>
                <w:b/>
              </w:rPr>
            </w:pPr>
            <w:r w:rsidRPr="00051281">
              <w:rPr>
                <w:b/>
              </w:rPr>
              <w:t>Placebo</w:t>
            </w:r>
          </w:p>
        </w:tc>
        <w:tc>
          <w:tcPr>
            <w:tcW w:w="1303" w:type="pct"/>
            <w:tcMar>
              <w:left w:w="28" w:type="dxa"/>
              <w:right w:w="28" w:type="dxa"/>
            </w:tcMar>
            <w:vAlign w:val="bottom"/>
          </w:tcPr>
          <w:p w:rsidR="002F4026" w:rsidRPr="00051281" w:rsidRDefault="002F4026" w:rsidP="005E6581">
            <w:pPr>
              <w:pStyle w:val="Tabletext"/>
              <w:keepNext/>
              <w:keepLines/>
              <w:widowControl w:val="0"/>
              <w:jc w:val="center"/>
              <w:rPr>
                <w:b/>
                <w:vertAlign w:val="superscript"/>
              </w:rPr>
            </w:pPr>
            <w:r w:rsidRPr="00051281">
              <w:rPr>
                <w:b/>
              </w:rPr>
              <w:t>R</w:t>
            </w:r>
            <w:r w:rsidR="00E117D3" w:rsidRPr="00051281">
              <w:rPr>
                <w:b/>
              </w:rPr>
              <w:t>isk difference</w:t>
            </w:r>
            <w:r w:rsidRPr="00051281">
              <w:rPr>
                <w:b/>
              </w:rPr>
              <w:t xml:space="preserve"> (95% CI)</w:t>
            </w:r>
          </w:p>
        </w:tc>
      </w:tr>
      <w:tr w:rsidR="002F4026" w:rsidRPr="00051281" w:rsidTr="004574B9">
        <w:trPr>
          <w:cantSplit/>
          <w:trHeight w:val="13"/>
        </w:trPr>
        <w:tc>
          <w:tcPr>
            <w:tcW w:w="5000" w:type="pct"/>
            <w:gridSpan w:val="4"/>
            <w:tcMar>
              <w:left w:w="28" w:type="dxa"/>
              <w:right w:w="28" w:type="dxa"/>
            </w:tcMar>
            <w:vAlign w:val="center"/>
          </w:tcPr>
          <w:p w:rsidR="002F4026" w:rsidRPr="00051281" w:rsidRDefault="002F4026" w:rsidP="005E6581">
            <w:pPr>
              <w:pStyle w:val="Tabletext"/>
              <w:keepNext/>
              <w:keepLines/>
              <w:widowControl w:val="0"/>
            </w:pPr>
            <w:r w:rsidRPr="00051281">
              <w:rPr>
                <w:rFonts w:cs="Arial"/>
                <w:b/>
              </w:rPr>
              <w:t>Any adverse event</w:t>
            </w:r>
            <w:r w:rsidR="00E117D3" w:rsidRPr="00051281">
              <w:rPr>
                <w:rFonts w:cs="Arial"/>
                <w:b/>
              </w:rPr>
              <w:t>, n/N (%)</w:t>
            </w:r>
          </w:p>
        </w:tc>
      </w:tr>
      <w:tr w:rsidR="002F4026" w:rsidRPr="00051281" w:rsidTr="004574B9">
        <w:trPr>
          <w:cantSplit/>
          <w:trHeight w:val="13"/>
        </w:trPr>
        <w:tc>
          <w:tcPr>
            <w:tcW w:w="2029" w:type="pct"/>
            <w:tcMar>
              <w:left w:w="28" w:type="dxa"/>
              <w:right w:w="28" w:type="dxa"/>
            </w:tcMar>
            <w:vAlign w:val="center"/>
          </w:tcPr>
          <w:p w:rsidR="002F4026" w:rsidRPr="00051281" w:rsidRDefault="002F4026" w:rsidP="005E6581">
            <w:pPr>
              <w:pStyle w:val="Tabletext"/>
              <w:keepNext/>
            </w:pPr>
            <w:r w:rsidRPr="00051281">
              <w:t>205.446 (6-11 years)</w:t>
            </w:r>
          </w:p>
        </w:tc>
        <w:tc>
          <w:tcPr>
            <w:tcW w:w="834" w:type="pct"/>
            <w:tcMar>
              <w:left w:w="28" w:type="dxa"/>
              <w:right w:w="28" w:type="dxa"/>
            </w:tcMar>
            <w:vAlign w:val="center"/>
          </w:tcPr>
          <w:p w:rsidR="002F4026" w:rsidRPr="00051281" w:rsidRDefault="002F4026" w:rsidP="005E6581">
            <w:pPr>
              <w:pStyle w:val="Tabletext"/>
              <w:keepNext/>
            </w:pPr>
            <w:r w:rsidRPr="00051281">
              <w:t>56/130 (43%)</w:t>
            </w:r>
          </w:p>
        </w:tc>
        <w:tc>
          <w:tcPr>
            <w:tcW w:w="834" w:type="pct"/>
            <w:tcMar>
              <w:left w:w="28" w:type="dxa"/>
              <w:right w:w="28" w:type="dxa"/>
            </w:tcMar>
            <w:vAlign w:val="center"/>
          </w:tcPr>
          <w:p w:rsidR="002F4026" w:rsidRPr="00051281" w:rsidRDefault="002F4026" w:rsidP="005E6581">
            <w:pPr>
              <w:pStyle w:val="Tabletext"/>
              <w:keepNext/>
            </w:pPr>
            <w:r w:rsidRPr="00051281">
              <w:t>66/134 (49%)</w:t>
            </w:r>
          </w:p>
        </w:tc>
        <w:tc>
          <w:tcPr>
            <w:tcW w:w="1303" w:type="pct"/>
            <w:tcMar>
              <w:left w:w="28" w:type="dxa"/>
              <w:right w:w="28" w:type="dxa"/>
            </w:tcMar>
            <w:vAlign w:val="center"/>
          </w:tcPr>
          <w:p w:rsidR="002F4026" w:rsidRPr="00051281" w:rsidRDefault="002F4026" w:rsidP="005E6581">
            <w:pPr>
              <w:pStyle w:val="Tabletext"/>
              <w:keepNext/>
            </w:pPr>
            <w:r w:rsidRPr="00051281">
              <w:t>-</w:t>
            </w:r>
            <w:r w:rsidR="00563431" w:rsidRPr="00051281">
              <w:t>0.0</w:t>
            </w:r>
            <w:r w:rsidRPr="00051281">
              <w:t>6 (-</w:t>
            </w:r>
            <w:r w:rsidR="00563431" w:rsidRPr="00051281">
              <w:t>0.</w:t>
            </w:r>
            <w:r w:rsidRPr="00051281">
              <w:t xml:space="preserve">18, </w:t>
            </w:r>
            <w:r w:rsidR="00563431" w:rsidRPr="00051281">
              <w:t>0.0</w:t>
            </w:r>
            <w:r w:rsidRPr="00051281">
              <w:t>6)</w:t>
            </w:r>
          </w:p>
        </w:tc>
      </w:tr>
      <w:tr w:rsidR="002F4026" w:rsidRPr="00051281" w:rsidTr="004574B9">
        <w:trPr>
          <w:cantSplit/>
          <w:trHeight w:val="13"/>
        </w:trPr>
        <w:tc>
          <w:tcPr>
            <w:tcW w:w="2029" w:type="pct"/>
            <w:tcMar>
              <w:left w:w="28" w:type="dxa"/>
              <w:right w:w="28" w:type="dxa"/>
            </w:tcMar>
            <w:vAlign w:val="center"/>
          </w:tcPr>
          <w:p w:rsidR="002F4026" w:rsidRPr="00051281" w:rsidRDefault="002F4026" w:rsidP="005E6581">
            <w:pPr>
              <w:pStyle w:val="Tabletext"/>
              <w:keepNext/>
            </w:pPr>
            <w:r w:rsidRPr="00051281">
              <w:t xml:space="preserve">205.456 (12-17 years) </w:t>
            </w:r>
          </w:p>
        </w:tc>
        <w:tc>
          <w:tcPr>
            <w:tcW w:w="834" w:type="pct"/>
            <w:tcMar>
              <w:left w:w="28" w:type="dxa"/>
              <w:right w:w="28" w:type="dxa"/>
            </w:tcMar>
            <w:vAlign w:val="center"/>
          </w:tcPr>
          <w:p w:rsidR="002F4026" w:rsidRPr="00051281" w:rsidRDefault="002F4026" w:rsidP="005E6581">
            <w:pPr>
              <w:pStyle w:val="Tabletext"/>
              <w:keepNext/>
            </w:pPr>
            <w:r w:rsidRPr="00051281">
              <w:t>43/130 (33%)</w:t>
            </w:r>
          </w:p>
        </w:tc>
        <w:tc>
          <w:tcPr>
            <w:tcW w:w="834" w:type="pct"/>
            <w:tcMar>
              <w:left w:w="28" w:type="dxa"/>
              <w:right w:w="28" w:type="dxa"/>
            </w:tcMar>
            <w:vAlign w:val="center"/>
          </w:tcPr>
          <w:p w:rsidR="002F4026" w:rsidRPr="00051281" w:rsidRDefault="002F4026" w:rsidP="005E6581">
            <w:pPr>
              <w:pStyle w:val="Tabletext"/>
              <w:keepNext/>
            </w:pPr>
            <w:r w:rsidRPr="00051281">
              <w:t>48/135 (36</w:t>
            </w:r>
            <w:r w:rsidR="00E117D3" w:rsidRPr="00051281">
              <w:t>%</w:t>
            </w:r>
            <w:r w:rsidRPr="00051281">
              <w:t>)</w:t>
            </w:r>
          </w:p>
        </w:tc>
        <w:tc>
          <w:tcPr>
            <w:tcW w:w="1303" w:type="pct"/>
            <w:tcMar>
              <w:left w:w="28" w:type="dxa"/>
              <w:right w:w="28" w:type="dxa"/>
            </w:tcMar>
            <w:vAlign w:val="center"/>
          </w:tcPr>
          <w:p w:rsidR="002F4026" w:rsidRPr="00051281" w:rsidRDefault="002F4026" w:rsidP="005E6581">
            <w:pPr>
              <w:pStyle w:val="Tabletext"/>
              <w:keepNext/>
            </w:pPr>
            <w:r w:rsidRPr="00051281">
              <w:t>-</w:t>
            </w:r>
            <w:r w:rsidR="00563431" w:rsidRPr="00051281">
              <w:t>0.0</w:t>
            </w:r>
            <w:r w:rsidRPr="00051281">
              <w:t>2 (-</w:t>
            </w:r>
            <w:r w:rsidR="00563431" w:rsidRPr="00051281">
              <w:t>0.</w:t>
            </w:r>
            <w:r w:rsidRPr="00051281">
              <w:t xml:space="preserve">14, </w:t>
            </w:r>
            <w:r w:rsidR="00563431" w:rsidRPr="00051281">
              <w:t>0.0</w:t>
            </w:r>
            <w:r w:rsidRPr="00051281">
              <w:t>9)</w:t>
            </w:r>
          </w:p>
        </w:tc>
      </w:tr>
      <w:tr w:rsidR="00B46962" w:rsidRPr="00051281" w:rsidTr="004574B9">
        <w:trPr>
          <w:cantSplit/>
          <w:trHeight w:val="63"/>
        </w:trPr>
        <w:tc>
          <w:tcPr>
            <w:tcW w:w="3697" w:type="pct"/>
            <w:gridSpan w:val="3"/>
            <w:tcMar>
              <w:left w:w="28" w:type="dxa"/>
              <w:right w:w="28" w:type="dxa"/>
            </w:tcMar>
            <w:vAlign w:val="center"/>
          </w:tcPr>
          <w:p w:rsidR="00B46962" w:rsidRPr="00051281" w:rsidRDefault="00B46962" w:rsidP="005E6581">
            <w:pPr>
              <w:pStyle w:val="Tabletext"/>
              <w:keepNext/>
            </w:pPr>
            <w:r w:rsidRPr="00051281">
              <w:t>Meta-analysis result (I</w:t>
            </w:r>
            <w:r w:rsidRPr="00051281">
              <w:rPr>
                <w:vertAlign w:val="superscript"/>
              </w:rPr>
              <w:t>2</w:t>
            </w:r>
            <w:r w:rsidRPr="00051281">
              <w:t xml:space="preserve"> = 0%; Chi</w:t>
            </w:r>
            <w:r w:rsidRPr="00051281">
              <w:rPr>
                <w:vertAlign w:val="superscript"/>
              </w:rPr>
              <w:t>2</w:t>
            </w:r>
            <w:r w:rsidRPr="00051281">
              <w:t xml:space="preserve"> = 0.19 (P = 0.66)</w:t>
            </w:r>
            <w:r w:rsidR="00E117D3" w:rsidRPr="00051281">
              <w:t>)</w:t>
            </w:r>
          </w:p>
        </w:tc>
        <w:tc>
          <w:tcPr>
            <w:tcW w:w="1303" w:type="pct"/>
            <w:tcMar>
              <w:left w:w="28" w:type="dxa"/>
              <w:right w:w="28" w:type="dxa"/>
            </w:tcMar>
            <w:vAlign w:val="center"/>
          </w:tcPr>
          <w:p w:rsidR="00B46962" w:rsidRPr="00051281" w:rsidRDefault="00B46962" w:rsidP="005E6581">
            <w:pPr>
              <w:pStyle w:val="Tabletext"/>
              <w:keepNext/>
            </w:pPr>
            <w:r w:rsidRPr="00051281">
              <w:t>-</w:t>
            </w:r>
            <w:r w:rsidR="00563431" w:rsidRPr="00051281">
              <w:t>0.04</w:t>
            </w:r>
            <w:r w:rsidRPr="00051281">
              <w:t xml:space="preserve"> (-</w:t>
            </w:r>
            <w:r w:rsidR="00563431" w:rsidRPr="00051281">
              <w:t>0.</w:t>
            </w:r>
            <w:r w:rsidRPr="00051281">
              <w:t xml:space="preserve">13, </w:t>
            </w:r>
            <w:r w:rsidR="00563431" w:rsidRPr="00051281">
              <w:t>0.0</w:t>
            </w:r>
            <w:r w:rsidRPr="00051281">
              <w:t>4)</w:t>
            </w:r>
          </w:p>
        </w:tc>
      </w:tr>
      <w:tr w:rsidR="002F4026" w:rsidRPr="00051281" w:rsidTr="004574B9">
        <w:trPr>
          <w:cantSplit/>
          <w:trHeight w:val="13"/>
        </w:trPr>
        <w:tc>
          <w:tcPr>
            <w:tcW w:w="5000" w:type="pct"/>
            <w:gridSpan w:val="4"/>
            <w:tcMar>
              <w:left w:w="28" w:type="dxa"/>
              <w:right w:w="28" w:type="dxa"/>
            </w:tcMar>
            <w:vAlign w:val="center"/>
          </w:tcPr>
          <w:p w:rsidR="002F4026" w:rsidRPr="00051281" w:rsidRDefault="002F4026" w:rsidP="005E6581">
            <w:pPr>
              <w:pStyle w:val="Tabletext"/>
              <w:keepNext/>
            </w:pPr>
            <w:r w:rsidRPr="00051281">
              <w:rPr>
                <w:rFonts w:cs="Arial"/>
                <w:b/>
              </w:rPr>
              <w:t>Serious adverse event</w:t>
            </w:r>
            <w:r w:rsidR="00E117D3" w:rsidRPr="00051281">
              <w:rPr>
                <w:rFonts w:cs="Arial"/>
                <w:b/>
              </w:rPr>
              <w:t>, n/N (%)</w:t>
            </w:r>
          </w:p>
        </w:tc>
      </w:tr>
      <w:tr w:rsidR="002F4026" w:rsidRPr="00051281" w:rsidTr="004574B9">
        <w:trPr>
          <w:cantSplit/>
          <w:trHeight w:val="13"/>
        </w:trPr>
        <w:tc>
          <w:tcPr>
            <w:tcW w:w="2029" w:type="pct"/>
            <w:tcMar>
              <w:left w:w="28" w:type="dxa"/>
              <w:right w:w="28" w:type="dxa"/>
            </w:tcMar>
            <w:vAlign w:val="center"/>
          </w:tcPr>
          <w:p w:rsidR="002F4026" w:rsidRPr="00051281" w:rsidRDefault="002F4026" w:rsidP="005E6581">
            <w:pPr>
              <w:pStyle w:val="Tabletext"/>
              <w:keepNext/>
            </w:pPr>
            <w:r w:rsidRPr="00051281">
              <w:t>205.446 (6-11 years)</w:t>
            </w:r>
          </w:p>
        </w:tc>
        <w:tc>
          <w:tcPr>
            <w:tcW w:w="834" w:type="pct"/>
            <w:tcMar>
              <w:left w:w="28" w:type="dxa"/>
              <w:right w:w="28" w:type="dxa"/>
            </w:tcMar>
          </w:tcPr>
          <w:p w:rsidR="002F4026" w:rsidRPr="00051281" w:rsidRDefault="002F4026" w:rsidP="005E6581">
            <w:pPr>
              <w:pStyle w:val="Tabletext"/>
              <w:keepNext/>
            </w:pPr>
            <w:r w:rsidRPr="00051281">
              <w:t>4/130 (3%)</w:t>
            </w:r>
          </w:p>
        </w:tc>
        <w:tc>
          <w:tcPr>
            <w:tcW w:w="834" w:type="pct"/>
            <w:tcMar>
              <w:left w:w="28" w:type="dxa"/>
              <w:right w:w="28" w:type="dxa"/>
            </w:tcMar>
          </w:tcPr>
          <w:p w:rsidR="002F4026" w:rsidRPr="00051281" w:rsidRDefault="002F4026" w:rsidP="005E6581">
            <w:pPr>
              <w:pStyle w:val="Tabletext"/>
              <w:keepNext/>
            </w:pPr>
            <w:r w:rsidRPr="00051281">
              <w:t>2/134 (2%)</w:t>
            </w:r>
          </w:p>
        </w:tc>
        <w:tc>
          <w:tcPr>
            <w:tcW w:w="1303" w:type="pct"/>
            <w:tcMar>
              <w:left w:w="28" w:type="dxa"/>
              <w:right w:w="28" w:type="dxa"/>
            </w:tcMar>
          </w:tcPr>
          <w:p w:rsidR="002F4026" w:rsidRPr="00051281" w:rsidRDefault="00563431" w:rsidP="005E6581">
            <w:pPr>
              <w:pStyle w:val="Tabletext"/>
              <w:keepNext/>
            </w:pPr>
            <w:r w:rsidRPr="00051281">
              <w:t>0.0</w:t>
            </w:r>
            <w:r w:rsidR="002F4026" w:rsidRPr="00051281">
              <w:t>2 (-</w:t>
            </w:r>
            <w:r w:rsidRPr="00051281">
              <w:t>0.0</w:t>
            </w:r>
            <w:r w:rsidR="002F4026" w:rsidRPr="00051281">
              <w:t xml:space="preserve">2, </w:t>
            </w:r>
            <w:r w:rsidRPr="00051281">
              <w:t>0.0</w:t>
            </w:r>
            <w:r w:rsidR="002F4026" w:rsidRPr="00051281">
              <w:t>5)</w:t>
            </w:r>
          </w:p>
        </w:tc>
      </w:tr>
      <w:tr w:rsidR="002F4026" w:rsidRPr="00051281" w:rsidTr="004574B9">
        <w:trPr>
          <w:cantSplit/>
          <w:trHeight w:val="13"/>
        </w:trPr>
        <w:tc>
          <w:tcPr>
            <w:tcW w:w="2029" w:type="pct"/>
            <w:tcMar>
              <w:left w:w="28" w:type="dxa"/>
              <w:right w:w="28" w:type="dxa"/>
            </w:tcMar>
            <w:vAlign w:val="center"/>
          </w:tcPr>
          <w:p w:rsidR="002F4026" w:rsidRPr="00051281" w:rsidRDefault="002F4026" w:rsidP="005E6581">
            <w:pPr>
              <w:pStyle w:val="Tabletext"/>
              <w:keepNext/>
            </w:pPr>
            <w:r w:rsidRPr="00051281">
              <w:t xml:space="preserve">205.456 (12-17 years) </w:t>
            </w:r>
          </w:p>
        </w:tc>
        <w:tc>
          <w:tcPr>
            <w:tcW w:w="834" w:type="pct"/>
            <w:tcMar>
              <w:left w:w="28" w:type="dxa"/>
              <w:right w:w="28" w:type="dxa"/>
            </w:tcMar>
            <w:vAlign w:val="center"/>
          </w:tcPr>
          <w:p w:rsidR="002F4026" w:rsidRPr="00051281" w:rsidRDefault="002F4026" w:rsidP="005E6581">
            <w:pPr>
              <w:pStyle w:val="Tabletext"/>
              <w:keepNext/>
            </w:pPr>
            <w:r w:rsidRPr="00051281">
              <w:t>2/130 (2%)</w:t>
            </w:r>
          </w:p>
        </w:tc>
        <w:tc>
          <w:tcPr>
            <w:tcW w:w="834" w:type="pct"/>
            <w:tcMar>
              <w:left w:w="28" w:type="dxa"/>
              <w:right w:w="28" w:type="dxa"/>
            </w:tcMar>
            <w:vAlign w:val="center"/>
          </w:tcPr>
          <w:p w:rsidR="002F4026" w:rsidRPr="00051281" w:rsidRDefault="002F4026" w:rsidP="005E6581">
            <w:pPr>
              <w:pStyle w:val="Tabletext"/>
              <w:keepNext/>
            </w:pPr>
            <w:r w:rsidRPr="00051281">
              <w:t xml:space="preserve">0/135 </w:t>
            </w:r>
          </w:p>
        </w:tc>
        <w:tc>
          <w:tcPr>
            <w:tcW w:w="1303" w:type="pct"/>
            <w:tcMar>
              <w:left w:w="28" w:type="dxa"/>
              <w:right w:w="28" w:type="dxa"/>
            </w:tcMar>
            <w:vAlign w:val="center"/>
          </w:tcPr>
          <w:p w:rsidR="002F4026" w:rsidRPr="00051281" w:rsidRDefault="00563431" w:rsidP="005E6581">
            <w:pPr>
              <w:pStyle w:val="Tabletext"/>
              <w:keepNext/>
            </w:pPr>
            <w:r w:rsidRPr="00051281">
              <w:t>0.0</w:t>
            </w:r>
            <w:r w:rsidR="002F4026" w:rsidRPr="00051281">
              <w:t>2 (-</w:t>
            </w:r>
            <w:r w:rsidRPr="00051281">
              <w:t>0.0</w:t>
            </w:r>
            <w:r w:rsidR="002F4026" w:rsidRPr="00051281">
              <w:t xml:space="preserve">3, </w:t>
            </w:r>
            <w:r w:rsidRPr="00051281">
              <w:t>0.0</w:t>
            </w:r>
            <w:r w:rsidR="002F4026" w:rsidRPr="00051281">
              <w:t>4)</w:t>
            </w:r>
          </w:p>
        </w:tc>
      </w:tr>
      <w:tr w:rsidR="00E117D3" w:rsidRPr="00051281" w:rsidTr="004574B9">
        <w:trPr>
          <w:cantSplit/>
          <w:trHeight w:val="39"/>
        </w:trPr>
        <w:tc>
          <w:tcPr>
            <w:tcW w:w="3697" w:type="pct"/>
            <w:gridSpan w:val="3"/>
            <w:tcMar>
              <w:left w:w="28" w:type="dxa"/>
              <w:right w:w="28" w:type="dxa"/>
            </w:tcMar>
            <w:vAlign w:val="center"/>
          </w:tcPr>
          <w:p w:rsidR="00E117D3" w:rsidRPr="00051281" w:rsidRDefault="00E117D3" w:rsidP="005E6581">
            <w:pPr>
              <w:pStyle w:val="Tabletext"/>
              <w:keepNext/>
            </w:pPr>
            <w:r w:rsidRPr="00051281">
              <w:t>Meta-analysis result (I</w:t>
            </w:r>
            <w:r w:rsidRPr="00051281">
              <w:rPr>
                <w:vertAlign w:val="superscript"/>
              </w:rPr>
              <w:t>2</w:t>
            </w:r>
            <w:r w:rsidRPr="00051281">
              <w:t xml:space="preserve"> = 0%; Chi</w:t>
            </w:r>
            <w:r w:rsidRPr="00051281">
              <w:rPr>
                <w:vertAlign w:val="superscript"/>
              </w:rPr>
              <w:t>2</w:t>
            </w:r>
            <w:r w:rsidRPr="00051281">
              <w:t xml:space="preserve"> = 0.00 (P = 0.98))</w:t>
            </w:r>
          </w:p>
        </w:tc>
        <w:tc>
          <w:tcPr>
            <w:tcW w:w="1303" w:type="pct"/>
            <w:tcMar>
              <w:left w:w="28" w:type="dxa"/>
              <w:right w:w="28" w:type="dxa"/>
            </w:tcMar>
            <w:vAlign w:val="center"/>
          </w:tcPr>
          <w:p w:rsidR="00E117D3" w:rsidRPr="00051281" w:rsidRDefault="00563431" w:rsidP="005E6581">
            <w:pPr>
              <w:pStyle w:val="Tabletext"/>
              <w:keepNext/>
            </w:pPr>
            <w:r w:rsidRPr="00051281">
              <w:t>0.0</w:t>
            </w:r>
            <w:r w:rsidR="00E117D3" w:rsidRPr="00051281">
              <w:t>2 (-</w:t>
            </w:r>
            <w:r w:rsidRPr="00051281">
              <w:t>0.0</w:t>
            </w:r>
            <w:r w:rsidR="00E117D3" w:rsidRPr="00051281">
              <w:t xml:space="preserve">1, </w:t>
            </w:r>
            <w:r w:rsidRPr="00051281">
              <w:t>0.0</w:t>
            </w:r>
            <w:r w:rsidR="00E117D3" w:rsidRPr="00051281">
              <w:t>4)</w:t>
            </w:r>
          </w:p>
        </w:tc>
      </w:tr>
      <w:tr w:rsidR="002F4026" w:rsidRPr="00051281" w:rsidTr="004574B9">
        <w:trPr>
          <w:cantSplit/>
          <w:trHeight w:val="39"/>
        </w:trPr>
        <w:tc>
          <w:tcPr>
            <w:tcW w:w="5000" w:type="pct"/>
            <w:gridSpan w:val="4"/>
            <w:tcMar>
              <w:left w:w="28" w:type="dxa"/>
              <w:right w:w="28" w:type="dxa"/>
            </w:tcMar>
            <w:vAlign w:val="center"/>
          </w:tcPr>
          <w:p w:rsidR="002F4026" w:rsidRPr="00051281" w:rsidRDefault="002F4026" w:rsidP="005E6581">
            <w:pPr>
              <w:pStyle w:val="Tabletext"/>
              <w:keepNext/>
              <w:rPr>
                <w:b/>
              </w:rPr>
            </w:pPr>
            <w:r w:rsidRPr="00051281">
              <w:rPr>
                <w:b/>
              </w:rPr>
              <w:t>Leading to discontinuation</w:t>
            </w:r>
            <w:r w:rsidR="00E117D3" w:rsidRPr="00051281">
              <w:rPr>
                <w:b/>
              </w:rPr>
              <w:t>, n/N (%)</w:t>
            </w:r>
          </w:p>
        </w:tc>
      </w:tr>
      <w:tr w:rsidR="002F4026" w:rsidRPr="00051281" w:rsidTr="004574B9">
        <w:trPr>
          <w:cantSplit/>
          <w:trHeight w:val="39"/>
        </w:trPr>
        <w:tc>
          <w:tcPr>
            <w:tcW w:w="2029" w:type="pct"/>
            <w:tcMar>
              <w:left w:w="28" w:type="dxa"/>
              <w:right w:w="28" w:type="dxa"/>
            </w:tcMar>
            <w:vAlign w:val="center"/>
          </w:tcPr>
          <w:p w:rsidR="002F4026" w:rsidRPr="00051281" w:rsidRDefault="002F4026" w:rsidP="005E6581">
            <w:pPr>
              <w:pStyle w:val="Tabletext"/>
              <w:keepNext/>
            </w:pPr>
            <w:r w:rsidRPr="00051281">
              <w:t>205.446 (6-11 years)</w:t>
            </w:r>
          </w:p>
        </w:tc>
        <w:tc>
          <w:tcPr>
            <w:tcW w:w="834" w:type="pct"/>
            <w:tcMar>
              <w:left w:w="28" w:type="dxa"/>
              <w:right w:w="28" w:type="dxa"/>
            </w:tcMar>
            <w:vAlign w:val="center"/>
          </w:tcPr>
          <w:p w:rsidR="002F4026" w:rsidRPr="00051281" w:rsidRDefault="002F4026" w:rsidP="005E6581">
            <w:pPr>
              <w:pStyle w:val="Tabletext"/>
              <w:keepNext/>
            </w:pPr>
            <w:r w:rsidRPr="00051281">
              <w:t>2/130 (2%)</w:t>
            </w:r>
          </w:p>
        </w:tc>
        <w:tc>
          <w:tcPr>
            <w:tcW w:w="834" w:type="pct"/>
            <w:tcMar>
              <w:left w:w="28" w:type="dxa"/>
              <w:right w:w="28" w:type="dxa"/>
            </w:tcMar>
            <w:vAlign w:val="center"/>
          </w:tcPr>
          <w:p w:rsidR="002F4026" w:rsidRPr="00051281" w:rsidRDefault="002F4026" w:rsidP="005E6581">
            <w:pPr>
              <w:pStyle w:val="Tabletext"/>
              <w:keepNext/>
            </w:pPr>
            <w:r w:rsidRPr="00051281">
              <w:t xml:space="preserve">2/134 (2%) </w:t>
            </w:r>
          </w:p>
        </w:tc>
        <w:tc>
          <w:tcPr>
            <w:tcW w:w="1303" w:type="pct"/>
            <w:tcMar>
              <w:left w:w="28" w:type="dxa"/>
              <w:right w:w="28" w:type="dxa"/>
            </w:tcMar>
            <w:vAlign w:val="center"/>
          </w:tcPr>
          <w:p w:rsidR="002F4026" w:rsidRPr="00051281" w:rsidRDefault="002F4026" w:rsidP="005E6581">
            <w:pPr>
              <w:pStyle w:val="Tabletext"/>
              <w:keepNext/>
            </w:pPr>
            <w:r w:rsidRPr="00051281">
              <w:t>0</w:t>
            </w:r>
            <w:r w:rsidR="00751AAD" w:rsidRPr="00051281">
              <w:t>.00</w:t>
            </w:r>
            <w:r w:rsidRPr="00051281">
              <w:t xml:space="preserve"> (-</w:t>
            </w:r>
            <w:r w:rsidR="00751AAD" w:rsidRPr="00051281">
              <w:t>0.0</w:t>
            </w:r>
            <w:r w:rsidRPr="00051281">
              <w:t xml:space="preserve">3, </w:t>
            </w:r>
            <w:r w:rsidR="00751AAD" w:rsidRPr="00051281">
              <w:t>0.0</w:t>
            </w:r>
            <w:r w:rsidRPr="00051281">
              <w:t>3)</w:t>
            </w:r>
          </w:p>
        </w:tc>
      </w:tr>
      <w:tr w:rsidR="002F4026" w:rsidRPr="00051281" w:rsidTr="004574B9">
        <w:trPr>
          <w:cantSplit/>
          <w:trHeight w:val="39"/>
        </w:trPr>
        <w:tc>
          <w:tcPr>
            <w:tcW w:w="2029" w:type="pct"/>
            <w:tcMar>
              <w:left w:w="28" w:type="dxa"/>
              <w:right w:w="28" w:type="dxa"/>
            </w:tcMar>
            <w:vAlign w:val="center"/>
          </w:tcPr>
          <w:p w:rsidR="002F4026" w:rsidRPr="00051281" w:rsidRDefault="002F4026" w:rsidP="005E6581">
            <w:pPr>
              <w:pStyle w:val="Tabletext"/>
              <w:keepNext/>
              <w:keepLines/>
            </w:pPr>
            <w:r w:rsidRPr="00051281">
              <w:t xml:space="preserve">205.456 (12-17 years) </w:t>
            </w:r>
          </w:p>
        </w:tc>
        <w:tc>
          <w:tcPr>
            <w:tcW w:w="834" w:type="pct"/>
            <w:tcMar>
              <w:left w:w="28" w:type="dxa"/>
              <w:right w:w="28" w:type="dxa"/>
            </w:tcMar>
            <w:vAlign w:val="center"/>
          </w:tcPr>
          <w:p w:rsidR="002F4026" w:rsidRPr="00051281" w:rsidRDefault="002F4026" w:rsidP="005E6581">
            <w:pPr>
              <w:pStyle w:val="Tabletext"/>
              <w:keepNext/>
              <w:keepLines/>
            </w:pPr>
            <w:r w:rsidRPr="00051281">
              <w:t>0/130</w:t>
            </w:r>
          </w:p>
        </w:tc>
        <w:tc>
          <w:tcPr>
            <w:tcW w:w="834" w:type="pct"/>
            <w:tcMar>
              <w:left w:w="28" w:type="dxa"/>
              <w:right w:w="28" w:type="dxa"/>
            </w:tcMar>
            <w:vAlign w:val="center"/>
          </w:tcPr>
          <w:p w:rsidR="002F4026" w:rsidRPr="00051281" w:rsidRDefault="002F4026" w:rsidP="005E6581">
            <w:pPr>
              <w:pStyle w:val="Tabletext"/>
              <w:keepNext/>
              <w:keepLines/>
            </w:pPr>
            <w:r w:rsidRPr="00051281">
              <w:t>1/135 (1%)</w:t>
            </w:r>
          </w:p>
        </w:tc>
        <w:tc>
          <w:tcPr>
            <w:tcW w:w="1303" w:type="pct"/>
            <w:tcMar>
              <w:left w:w="28" w:type="dxa"/>
              <w:right w:w="28" w:type="dxa"/>
            </w:tcMar>
            <w:vAlign w:val="center"/>
          </w:tcPr>
          <w:p w:rsidR="002F4026" w:rsidRPr="00051281" w:rsidRDefault="002F4026" w:rsidP="005E6581">
            <w:pPr>
              <w:pStyle w:val="Tabletext"/>
              <w:keepNext/>
              <w:keepLines/>
            </w:pPr>
            <w:r w:rsidRPr="00051281">
              <w:t>-</w:t>
            </w:r>
            <w:r w:rsidR="00751AAD" w:rsidRPr="00051281">
              <w:t>0.0</w:t>
            </w:r>
            <w:r w:rsidRPr="00051281">
              <w:t>1 (-</w:t>
            </w:r>
            <w:r w:rsidR="00751AAD" w:rsidRPr="00051281">
              <w:t>0.0</w:t>
            </w:r>
            <w:r w:rsidRPr="00051281">
              <w:t xml:space="preserve">3, </w:t>
            </w:r>
            <w:r w:rsidR="00751AAD" w:rsidRPr="00051281">
              <w:t>0.0</w:t>
            </w:r>
            <w:r w:rsidRPr="00051281">
              <w:t>1)</w:t>
            </w:r>
          </w:p>
        </w:tc>
      </w:tr>
      <w:tr w:rsidR="00E117D3" w:rsidRPr="00051281" w:rsidTr="004574B9">
        <w:trPr>
          <w:cantSplit/>
          <w:trHeight w:val="39"/>
        </w:trPr>
        <w:tc>
          <w:tcPr>
            <w:tcW w:w="3697" w:type="pct"/>
            <w:gridSpan w:val="3"/>
            <w:tcMar>
              <w:left w:w="28" w:type="dxa"/>
              <w:right w:w="28" w:type="dxa"/>
            </w:tcMar>
            <w:vAlign w:val="center"/>
          </w:tcPr>
          <w:p w:rsidR="00E117D3" w:rsidRPr="00051281" w:rsidRDefault="00E117D3" w:rsidP="005E6581">
            <w:pPr>
              <w:pStyle w:val="Tabletext"/>
              <w:keepNext/>
              <w:keepLines/>
            </w:pPr>
            <w:r w:rsidRPr="00051281">
              <w:t>Meta-analysis result (I</w:t>
            </w:r>
            <w:r w:rsidRPr="00051281">
              <w:rPr>
                <w:vertAlign w:val="superscript"/>
              </w:rPr>
              <w:t>2</w:t>
            </w:r>
            <w:r w:rsidRPr="00051281">
              <w:t xml:space="preserve"> = 0%; Chi</w:t>
            </w:r>
            <w:r w:rsidRPr="00051281">
              <w:rPr>
                <w:vertAlign w:val="superscript"/>
              </w:rPr>
              <w:t>2</w:t>
            </w:r>
            <w:r w:rsidRPr="00051281">
              <w:t xml:space="preserve"> = 0.21 (P = 0.65))</w:t>
            </w:r>
          </w:p>
        </w:tc>
        <w:tc>
          <w:tcPr>
            <w:tcW w:w="1303" w:type="pct"/>
            <w:tcMar>
              <w:left w:w="28" w:type="dxa"/>
              <w:right w:w="28" w:type="dxa"/>
            </w:tcMar>
            <w:vAlign w:val="center"/>
          </w:tcPr>
          <w:p w:rsidR="00E117D3" w:rsidRPr="00051281" w:rsidRDefault="00E117D3" w:rsidP="005E6581">
            <w:pPr>
              <w:pStyle w:val="Tabletext"/>
              <w:keepNext/>
              <w:keepLines/>
            </w:pPr>
            <w:r w:rsidRPr="00051281">
              <w:t>-</w:t>
            </w:r>
            <w:r w:rsidR="00751AAD" w:rsidRPr="00051281">
              <w:t>0.0</w:t>
            </w:r>
            <w:r w:rsidRPr="00051281">
              <w:t>1 (-</w:t>
            </w:r>
            <w:r w:rsidR="00751AAD" w:rsidRPr="00051281">
              <w:t>0.0</w:t>
            </w:r>
            <w:r w:rsidRPr="00051281">
              <w:t xml:space="preserve">3, </w:t>
            </w:r>
            <w:r w:rsidR="00751AAD" w:rsidRPr="00051281">
              <w:t>0.0</w:t>
            </w:r>
            <w:r w:rsidRPr="00051281">
              <w:t>1)</w:t>
            </w:r>
          </w:p>
        </w:tc>
      </w:tr>
    </w:tbl>
    <w:p w:rsidR="002F4026" w:rsidRPr="00051281" w:rsidRDefault="002F4026" w:rsidP="008831D6">
      <w:pPr>
        <w:pStyle w:val="TableFooter"/>
        <w:keepNext/>
        <w:keepLines/>
        <w:rPr>
          <w:sz w:val="20"/>
        </w:rPr>
      </w:pPr>
      <w:r w:rsidRPr="00051281">
        <w:t xml:space="preserve">Source: Tables 2.27-2.33, </w:t>
      </w:r>
      <w:r w:rsidR="00A14B68" w:rsidRPr="00051281">
        <w:t>p</w:t>
      </w:r>
      <w:r w:rsidRPr="00051281">
        <w:t>p107-117</w:t>
      </w:r>
      <w:r w:rsidR="00A14B68" w:rsidRPr="00051281">
        <w:t xml:space="preserve">; </w:t>
      </w:r>
      <w:r w:rsidR="00742247" w:rsidRPr="00051281">
        <w:t xml:space="preserve">and </w:t>
      </w:r>
      <w:r w:rsidRPr="00051281">
        <w:t>Figures 2.16-2.20, p</w:t>
      </w:r>
      <w:r w:rsidR="00A14B68" w:rsidRPr="00051281">
        <w:t>p</w:t>
      </w:r>
      <w:r w:rsidRPr="00051281">
        <w:t xml:space="preserve">133-142 of the submission </w:t>
      </w:r>
    </w:p>
    <w:p w:rsidR="00546FCE" w:rsidRPr="00051281" w:rsidRDefault="002F4026" w:rsidP="005E1CCA">
      <w:pPr>
        <w:pStyle w:val="TableFooter"/>
        <w:keepNext/>
        <w:keepLines/>
        <w:spacing w:after="120"/>
        <w:rPr>
          <w:rFonts w:eastAsia="Calibri"/>
        </w:rPr>
      </w:pPr>
      <w:r w:rsidRPr="00051281">
        <w:rPr>
          <w:rFonts w:eastAsia="Calibri"/>
        </w:rPr>
        <w:t xml:space="preserve">CI = confidence interval; </w:t>
      </w:r>
      <w:proofErr w:type="spellStart"/>
      <w:r w:rsidRPr="00051281">
        <w:rPr>
          <w:rFonts w:eastAsia="Calibri"/>
        </w:rPr>
        <w:t>mITT</w:t>
      </w:r>
      <w:proofErr w:type="spellEnd"/>
      <w:r w:rsidRPr="00051281">
        <w:rPr>
          <w:rFonts w:eastAsia="Calibri"/>
        </w:rPr>
        <w:t xml:space="preserve"> = modified intention-to-treat;</w:t>
      </w:r>
      <w:r w:rsidRPr="00051281">
        <w:t xml:space="preserve"> </w:t>
      </w:r>
      <w:r w:rsidR="008831D6" w:rsidRPr="00051281">
        <w:t>P = p-value</w:t>
      </w:r>
    </w:p>
    <w:p w:rsidR="00E117D3" w:rsidRDefault="002F4026" w:rsidP="003841D3">
      <w:pPr>
        <w:pStyle w:val="ListParagraph"/>
        <w:widowControl/>
        <w:numPr>
          <w:ilvl w:val="1"/>
          <w:numId w:val="1"/>
        </w:numPr>
        <w:spacing w:after="120"/>
        <w:contextualSpacing/>
      </w:pPr>
      <w:r w:rsidRPr="00051281">
        <w:t xml:space="preserve">The </w:t>
      </w:r>
      <w:proofErr w:type="gramStart"/>
      <w:r w:rsidRPr="00051281">
        <w:t>number of adverse events reported in the tiotropium arms of both trials were</w:t>
      </w:r>
      <w:proofErr w:type="gramEnd"/>
      <w:r w:rsidRPr="00051281">
        <w:t xml:space="preserve"> similar to the number of adverse events reported in the placebo arms. Further, the number of serious adverse events and the number of adverse events leading to discontinuation were low across both trials. None of the differences were statistically significant. </w:t>
      </w:r>
      <w:r w:rsidR="00DF4990" w:rsidRPr="00051281">
        <w:t>This was similar to the response in the adult tiotropium submission, in which there were no differences in the proportion of patients experiencing adverse events resulting in discontinuation, severe adverse events or serious adverse events compared to usual care</w:t>
      </w:r>
      <w:r w:rsidR="008179E9" w:rsidRPr="00051281">
        <w:t xml:space="preserve"> (paragraph 6.14, PSD July 2015)</w:t>
      </w:r>
      <w:r w:rsidR="00DF4990" w:rsidRPr="00051281">
        <w:t>.</w:t>
      </w:r>
    </w:p>
    <w:p w:rsidR="004151CF" w:rsidRPr="005E6581" w:rsidRDefault="007F1017" w:rsidP="009320CE">
      <w:pPr>
        <w:pStyle w:val="Heading2"/>
      </w:pPr>
      <w:bookmarkStart w:id="9" w:name="_Toc503966234"/>
      <w:r w:rsidRPr="005E6581">
        <w:t>Benefits/harms</w:t>
      </w:r>
      <w:bookmarkEnd w:id="9"/>
    </w:p>
    <w:p w:rsidR="00724E44" w:rsidRPr="00051281" w:rsidRDefault="00EC00C9" w:rsidP="003841D3">
      <w:pPr>
        <w:pStyle w:val="ListParagraph"/>
        <w:widowControl/>
        <w:numPr>
          <w:ilvl w:val="1"/>
          <w:numId w:val="1"/>
        </w:numPr>
        <w:spacing w:after="120"/>
      </w:pPr>
      <w:r w:rsidRPr="00051281">
        <w:t xml:space="preserve">A summary of the comparative benefits and harms for </w:t>
      </w:r>
      <w:r w:rsidR="0023783B" w:rsidRPr="00051281">
        <w:t xml:space="preserve">tiotropium </w:t>
      </w:r>
      <w:r w:rsidRPr="00051281">
        <w:t xml:space="preserve">versus </w:t>
      </w:r>
      <w:r w:rsidR="0023783B" w:rsidRPr="00051281">
        <w:t>placebo</w:t>
      </w:r>
      <w:r w:rsidRPr="00051281">
        <w:t xml:space="preserve"> is presented in the table below.</w:t>
      </w:r>
      <w:r w:rsidR="00410708" w:rsidRPr="00051281">
        <w:t xml:space="preserve"> </w:t>
      </w:r>
    </w:p>
    <w:p w:rsidR="00B62715" w:rsidRPr="00051281" w:rsidRDefault="00B62715" w:rsidP="005E6581">
      <w:pPr>
        <w:keepNext/>
        <w:keepLines/>
        <w:rPr>
          <w:rStyle w:val="CommentReference"/>
        </w:rPr>
      </w:pPr>
      <w:r w:rsidRPr="00051281">
        <w:rPr>
          <w:rStyle w:val="CommentReference"/>
        </w:rPr>
        <w:lastRenderedPageBreak/>
        <w:t xml:space="preserve">Table </w:t>
      </w:r>
      <w:r w:rsidR="0023783B" w:rsidRPr="00051281">
        <w:rPr>
          <w:rStyle w:val="CommentReference"/>
        </w:rPr>
        <w:t>8</w:t>
      </w:r>
      <w:r w:rsidRPr="00051281">
        <w:rPr>
          <w:rStyle w:val="CommentReference"/>
        </w:rPr>
        <w:t xml:space="preserve">: Summary of comparative benefits and harms for </w:t>
      </w:r>
      <w:r w:rsidR="00034280" w:rsidRPr="00051281">
        <w:rPr>
          <w:rStyle w:val="CommentReference"/>
        </w:rPr>
        <w:t>tiotropium</w:t>
      </w:r>
      <w:r w:rsidRPr="00051281">
        <w:rPr>
          <w:rStyle w:val="CommentReference"/>
        </w:rPr>
        <w:t xml:space="preserve"> and </w:t>
      </w:r>
      <w:r w:rsidR="00034280" w:rsidRPr="00051281">
        <w:rPr>
          <w:rStyle w:val="CommentReference"/>
        </w:rPr>
        <w:t>placebo</w:t>
      </w:r>
    </w:p>
    <w:tbl>
      <w:tblPr>
        <w:tblW w:w="5000" w:type="pct"/>
        <w:tblCellMar>
          <w:left w:w="28" w:type="dxa"/>
          <w:right w:w="28" w:type="dxa"/>
        </w:tblCellMar>
        <w:tblLook w:val="04A0" w:firstRow="1" w:lastRow="0" w:firstColumn="1" w:lastColumn="0" w:noHBand="0" w:noVBand="1"/>
      </w:tblPr>
      <w:tblGrid>
        <w:gridCol w:w="1995"/>
        <w:gridCol w:w="716"/>
        <w:gridCol w:w="302"/>
        <w:gridCol w:w="990"/>
        <w:gridCol w:w="9"/>
        <w:gridCol w:w="425"/>
        <w:gridCol w:w="719"/>
        <w:gridCol w:w="409"/>
        <w:gridCol w:w="999"/>
        <w:gridCol w:w="303"/>
        <w:gridCol w:w="696"/>
        <w:gridCol w:w="1520"/>
      </w:tblGrid>
      <w:tr w:rsidR="00257ABE" w:rsidRPr="00051281" w:rsidTr="004574B9">
        <w:trPr>
          <w:trHeight w:val="150"/>
        </w:trPr>
        <w:tc>
          <w:tcPr>
            <w:tcW w:w="109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B266C" w:rsidRPr="00051281" w:rsidRDefault="000B266C" w:rsidP="005E6581">
            <w:pPr>
              <w:keepNext/>
              <w:keepLines/>
              <w:rPr>
                <w:rFonts w:ascii="Arial Narrow" w:hAnsi="Arial Narrow"/>
                <w:b/>
                <w:color w:val="000000"/>
                <w:sz w:val="20"/>
                <w:szCs w:val="18"/>
              </w:rPr>
            </w:pPr>
            <w:r w:rsidRPr="00051281">
              <w:rPr>
                <w:rFonts w:ascii="Arial Narrow" w:hAnsi="Arial Narrow"/>
                <w:b/>
                <w:color w:val="000000"/>
                <w:sz w:val="20"/>
                <w:szCs w:val="18"/>
              </w:rPr>
              <w:t>Trial</w:t>
            </w:r>
          </w:p>
        </w:tc>
        <w:tc>
          <w:tcPr>
            <w:tcW w:w="1110" w:type="pct"/>
            <w:gridSpan w:val="4"/>
            <w:tcBorders>
              <w:top w:val="single" w:sz="4" w:space="0" w:color="auto"/>
              <w:left w:val="single" w:sz="4" w:space="0" w:color="auto"/>
              <w:bottom w:val="single" w:sz="4" w:space="0" w:color="auto"/>
              <w:right w:val="single" w:sz="4" w:space="0" w:color="auto"/>
            </w:tcBorders>
            <w:vAlign w:val="center"/>
          </w:tcPr>
          <w:p w:rsidR="0070720C" w:rsidRPr="00051281" w:rsidRDefault="00751AAD" w:rsidP="005E6581">
            <w:pPr>
              <w:keepNext/>
              <w:keepLines/>
              <w:jc w:val="center"/>
              <w:rPr>
                <w:rFonts w:ascii="Arial Narrow" w:hAnsi="Arial Narrow"/>
                <w:b/>
                <w:color w:val="000000"/>
                <w:sz w:val="20"/>
                <w:szCs w:val="18"/>
              </w:rPr>
            </w:pPr>
            <w:r w:rsidRPr="00051281">
              <w:rPr>
                <w:rFonts w:ascii="Arial Narrow" w:hAnsi="Arial Narrow"/>
                <w:b/>
                <w:color w:val="000000"/>
                <w:sz w:val="20"/>
                <w:szCs w:val="18"/>
              </w:rPr>
              <w:t>Events per</w:t>
            </w:r>
          </w:p>
          <w:p w:rsidR="000B266C" w:rsidRPr="00051281" w:rsidRDefault="000B266C" w:rsidP="005E6581">
            <w:pPr>
              <w:keepNext/>
              <w:keepLines/>
              <w:jc w:val="center"/>
              <w:rPr>
                <w:rFonts w:ascii="Arial Narrow" w:hAnsi="Arial Narrow"/>
                <w:b/>
                <w:color w:val="000000"/>
                <w:sz w:val="20"/>
                <w:szCs w:val="18"/>
              </w:rPr>
            </w:pPr>
            <w:r w:rsidRPr="00051281">
              <w:rPr>
                <w:rFonts w:ascii="Arial Narrow" w:hAnsi="Arial Narrow"/>
                <w:b/>
                <w:color w:val="000000"/>
                <w:sz w:val="20"/>
                <w:szCs w:val="18"/>
              </w:rPr>
              <w:t>patient year</w:t>
            </w:r>
          </w:p>
        </w:tc>
        <w:tc>
          <w:tcPr>
            <w:tcW w:w="855" w:type="pct"/>
            <w:gridSpan w:val="3"/>
            <w:vMerge w:val="restart"/>
            <w:tcBorders>
              <w:top w:val="single" w:sz="4" w:space="0" w:color="auto"/>
              <w:left w:val="single" w:sz="4" w:space="0" w:color="auto"/>
              <w:bottom w:val="single" w:sz="4" w:space="0" w:color="auto"/>
              <w:right w:val="single" w:sz="4" w:space="0" w:color="auto"/>
            </w:tcBorders>
            <w:vAlign w:val="center"/>
          </w:tcPr>
          <w:p w:rsidR="000B266C" w:rsidRPr="00051281" w:rsidRDefault="00724E44" w:rsidP="005E6581">
            <w:pPr>
              <w:keepNext/>
              <w:keepLines/>
              <w:jc w:val="center"/>
              <w:rPr>
                <w:rFonts w:ascii="Arial Narrow" w:hAnsi="Arial Narrow"/>
                <w:b/>
                <w:color w:val="000000"/>
                <w:sz w:val="20"/>
                <w:szCs w:val="18"/>
                <w:vertAlign w:val="superscript"/>
              </w:rPr>
            </w:pPr>
            <w:r w:rsidRPr="00051281">
              <w:rPr>
                <w:rFonts w:ascii="Arial Narrow" w:hAnsi="Arial Narrow"/>
                <w:b/>
                <w:color w:val="000000"/>
                <w:sz w:val="20"/>
                <w:szCs w:val="18"/>
              </w:rPr>
              <w:t xml:space="preserve">Rate </w:t>
            </w:r>
            <w:r w:rsidR="00257ABE" w:rsidRPr="00051281">
              <w:rPr>
                <w:rFonts w:ascii="Arial Narrow" w:hAnsi="Arial Narrow"/>
                <w:b/>
                <w:color w:val="000000"/>
                <w:sz w:val="20"/>
                <w:szCs w:val="18"/>
              </w:rPr>
              <w:t>r</w:t>
            </w:r>
            <w:r w:rsidRPr="00051281">
              <w:rPr>
                <w:rFonts w:ascii="Arial Narrow" w:hAnsi="Arial Narrow"/>
                <w:b/>
                <w:color w:val="000000"/>
                <w:sz w:val="20"/>
                <w:szCs w:val="18"/>
              </w:rPr>
              <w:t>atio</w:t>
            </w:r>
          </w:p>
          <w:p w:rsidR="000B266C" w:rsidRPr="00051281" w:rsidRDefault="000B266C" w:rsidP="005E6581">
            <w:pPr>
              <w:keepNext/>
              <w:keepLines/>
              <w:jc w:val="center"/>
              <w:rPr>
                <w:rFonts w:ascii="Arial Narrow" w:hAnsi="Arial Narrow"/>
                <w:b/>
                <w:color w:val="000000"/>
                <w:sz w:val="20"/>
                <w:szCs w:val="18"/>
              </w:rPr>
            </w:pPr>
            <w:r w:rsidRPr="00051281">
              <w:rPr>
                <w:rFonts w:ascii="Arial Narrow" w:hAnsi="Arial Narrow"/>
                <w:b/>
                <w:color w:val="000000"/>
                <w:sz w:val="20"/>
                <w:szCs w:val="18"/>
              </w:rPr>
              <w:t>(95% CI)</w:t>
            </w:r>
          </w:p>
        </w:tc>
        <w:tc>
          <w:tcPr>
            <w:tcW w:w="1100" w:type="pct"/>
            <w:gridSpan w:val="3"/>
            <w:tcBorders>
              <w:top w:val="single" w:sz="4" w:space="0" w:color="auto"/>
              <w:left w:val="single" w:sz="4" w:space="0" w:color="auto"/>
              <w:bottom w:val="single" w:sz="4" w:space="0" w:color="auto"/>
              <w:right w:val="single" w:sz="4" w:space="0" w:color="auto"/>
            </w:tcBorders>
            <w:vAlign w:val="center"/>
          </w:tcPr>
          <w:p w:rsidR="0070720C" w:rsidRPr="00051281" w:rsidRDefault="00751AAD" w:rsidP="005E6581">
            <w:pPr>
              <w:keepNext/>
              <w:keepLines/>
              <w:jc w:val="center"/>
              <w:rPr>
                <w:rFonts w:ascii="Arial Narrow" w:hAnsi="Arial Narrow"/>
                <w:b/>
                <w:color w:val="000000"/>
                <w:sz w:val="20"/>
                <w:szCs w:val="18"/>
              </w:rPr>
            </w:pPr>
            <w:r w:rsidRPr="00051281">
              <w:rPr>
                <w:rFonts w:ascii="Arial Narrow" w:hAnsi="Arial Narrow"/>
                <w:b/>
                <w:color w:val="000000"/>
                <w:sz w:val="20"/>
                <w:szCs w:val="18"/>
              </w:rPr>
              <w:t>Event rate per</w:t>
            </w:r>
          </w:p>
          <w:p w:rsidR="000B266C" w:rsidRPr="00051281" w:rsidRDefault="000B266C" w:rsidP="005E6581">
            <w:pPr>
              <w:keepNext/>
              <w:keepLines/>
              <w:jc w:val="center"/>
              <w:rPr>
                <w:rFonts w:ascii="Arial Narrow" w:hAnsi="Arial Narrow"/>
                <w:b/>
                <w:color w:val="000000"/>
                <w:sz w:val="20"/>
                <w:szCs w:val="18"/>
              </w:rPr>
            </w:pPr>
            <w:r w:rsidRPr="00051281">
              <w:rPr>
                <w:rFonts w:ascii="Arial Narrow" w:hAnsi="Arial Narrow"/>
                <w:b/>
                <w:color w:val="000000"/>
                <w:sz w:val="20"/>
                <w:szCs w:val="18"/>
              </w:rPr>
              <w:t>100 patient y</w:t>
            </w:r>
            <w:r w:rsidR="0006651E" w:rsidRPr="00051281">
              <w:rPr>
                <w:rFonts w:ascii="Arial Narrow" w:hAnsi="Arial Narrow"/>
                <w:b/>
                <w:color w:val="000000"/>
                <w:sz w:val="20"/>
                <w:szCs w:val="18"/>
              </w:rPr>
              <w:t>ea</w:t>
            </w:r>
            <w:r w:rsidRPr="00051281">
              <w:rPr>
                <w:rFonts w:ascii="Arial Narrow" w:hAnsi="Arial Narrow"/>
                <w:b/>
                <w:color w:val="000000"/>
                <w:sz w:val="20"/>
                <w:szCs w:val="18"/>
              </w:rPr>
              <w:t>rs</w:t>
            </w:r>
          </w:p>
        </w:tc>
        <w:tc>
          <w:tcPr>
            <w:tcW w:w="837" w:type="pct"/>
            <w:vMerge w:val="restart"/>
            <w:tcBorders>
              <w:top w:val="single" w:sz="4" w:space="0" w:color="auto"/>
              <w:left w:val="single" w:sz="4" w:space="0" w:color="auto"/>
              <w:bottom w:val="single" w:sz="4" w:space="0" w:color="auto"/>
              <w:right w:val="single" w:sz="4" w:space="0" w:color="auto"/>
            </w:tcBorders>
            <w:vAlign w:val="center"/>
          </w:tcPr>
          <w:p w:rsidR="000B266C" w:rsidRPr="00051281" w:rsidRDefault="00724E44" w:rsidP="005E6581">
            <w:pPr>
              <w:keepNext/>
              <w:keepLines/>
              <w:jc w:val="center"/>
              <w:rPr>
                <w:rFonts w:ascii="Arial Narrow" w:hAnsi="Arial Narrow"/>
                <w:b/>
                <w:color w:val="000000"/>
                <w:sz w:val="20"/>
                <w:szCs w:val="18"/>
              </w:rPr>
            </w:pPr>
            <w:r w:rsidRPr="00051281">
              <w:rPr>
                <w:rFonts w:ascii="Arial Narrow" w:hAnsi="Arial Narrow"/>
                <w:b/>
                <w:color w:val="000000"/>
                <w:sz w:val="20"/>
                <w:szCs w:val="18"/>
              </w:rPr>
              <w:t>R</w:t>
            </w:r>
            <w:r w:rsidR="0070720C" w:rsidRPr="00051281">
              <w:rPr>
                <w:rFonts w:ascii="Arial Narrow" w:hAnsi="Arial Narrow"/>
                <w:b/>
                <w:color w:val="000000"/>
                <w:sz w:val="20"/>
                <w:szCs w:val="18"/>
              </w:rPr>
              <w:t>isk difference</w:t>
            </w:r>
          </w:p>
          <w:p w:rsidR="000B266C" w:rsidRPr="00051281" w:rsidRDefault="000B266C" w:rsidP="005E6581">
            <w:pPr>
              <w:keepNext/>
              <w:keepLines/>
              <w:jc w:val="center"/>
              <w:rPr>
                <w:rFonts w:ascii="Arial Narrow" w:hAnsi="Arial Narrow"/>
                <w:b/>
                <w:color w:val="000000"/>
                <w:sz w:val="20"/>
                <w:szCs w:val="18"/>
              </w:rPr>
            </w:pPr>
            <w:r w:rsidRPr="00051281">
              <w:rPr>
                <w:rFonts w:ascii="Arial Narrow" w:hAnsi="Arial Narrow"/>
                <w:b/>
                <w:color w:val="000000"/>
                <w:sz w:val="20"/>
                <w:szCs w:val="18"/>
              </w:rPr>
              <w:t>(95% CI)</w:t>
            </w:r>
          </w:p>
        </w:tc>
      </w:tr>
      <w:tr w:rsidR="00617871" w:rsidRPr="00051281" w:rsidTr="004574B9">
        <w:trPr>
          <w:trHeight w:val="315"/>
        </w:trPr>
        <w:tc>
          <w:tcPr>
            <w:tcW w:w="1098" w:type="pct"/>
            <w:vMerge/>
            <w:tcBorders>
              <w:top w:val="single" w:sz="4" w:space="0" w:color="auto"/>
              <w:left w:val="single" w:sz="4" w:space="0" w:color="auto"/>
              <w:bottom w:val="single" w:sz="4" w:space="0" w:color="auto"/>
              <w:right w:val="single" w:sz="4" w:space="0" w:color="auto"/>
            </w:tcBorders>
            <w:shd w:val="clear" w:color="auto" w:fill="auto"/>
            <w:vAlign w:val="center"/>
          </w:tcPr>
          <w:p w:rsidR="000B266C" w:rsidRPr="00051281" w:rsidRDefault="000B266C" w:rsidP="005E6581">
            <w:pPr>
              <w:keepNext/>
              <w:keepLines/>
              <w:rPr>
                <w:rFonts w:ascii="Arial Narrow" w:hAnsi="Arial Narrow"/>
                <w:b/>
                <w:color w:val="000000"/>
                <w:sz w:val="20"/>
                <w:szCs w:val="18"/>
              </w:rPr>
            </w:pPr>
          </w:p>
        </w:tc>
        <w:tc>
          <w:tcPr>
            <w:tcW w:w="560" w:type="pct"/>
            <w:gridSpan w:val="2"/>
            <w:tcBorders>
              <w:top w:val="single" w:sz="4" w:space="0" w:color="auto"/>
              <w:left w:val="single" w:sz="4" w:space="0" w:color="auto"/>
              <w:bottom w:val="single" w:sz="4" w:space="0" w:color="auto"/>
              <w:right w:val="single" w:sz="4" w:space="0" w:color="auto"/>
            </w:tcBorders>
            <w:vAlign w:val="center"/>
          </w:tcPr>
          <w:p w:rsidR="000B266C" w:rsidRPr="00051281" w:rsidRDefault="000B266C" w:rsidP="005E6581">
            <w:pPr>
              <w:keepNext/>
              <w:keepLines/>
              <w:jc w:val="center"/>
              <w:rPr>
                <w:rFonts w:ascii="Arial Narrow" w:hAnsi="Arial Narrow"/>
                <w:b/>
                <w:color w:val="000000"/>
                <w:sz w:val="20"/>
                <w:szCs w:val="18"/>
              </w:rPr>
            </w:pPr>
            <w:r w:rsidRPr="00051281">
              <w:rPr>
                <w:rFonts w:ascii="Arial Narrow" w:hAnsi="Arial Narrow"/>
                <w:b/>
                <w:color w:val="000000"/>
                <w:sz w:val="20"/>
                <w:szCs w:val="18"/>
              </w:rPr>
              <w:t>Tiotropium</w:t>
            </w:r>
          </w:p>
        </w:tc>
        <w:tc>
          <w:tcPr>
            <w:tcW w:w="550" w:type="pct"/>
            <w:gridSpan w:val="2"/>
            <w:tcBorders>
              <w:top w:val="single" w:sz="4" w:space="0" w:color="auto"/>
              <w:left w:val="single" w:sz="4" w:space="0" w:color="auto"/>
              <w:bottom w:val="single" w:sz="4" w:space="0" w:color="auto"/>
              <w:right w:val="single" w:sz="4" w:space="0" w:color="auto"/>
            </w:tcBorders>
            <w:vAlign w:val="center"/>
          </w:tcPr>
          <w:p w:rsidR="000B266C" w:rsidRPr="00051281" w:rsidRDefault="000B266C" w:rsidP="005E6581">
            <w:pPr>
              <w:keepNext/>
              <w:keepLines/>
              <w:jc w:val="center"/>
              <w:rPr>
                <w:rFonts w:ascii="Arial Narrow" w:hAnsi="Arial Narrow"/>
                <w:b/>
                <w:color w:val="000000"/>
                <w:sz w:val="20"/>
                <w:szCs w:val="18"/>
              </w:rPr>
            </w:pPr>
            <w:r w:rsidRPr="00051281">
              <w:rPr>
                <w:rFonts w:ascii="Arial Narrow" w:hAnsi="Arial Narrow"/>
                <w:b/>
                <w:color w:val="000000"/>
                <w:sz w:val="20"/>
                <w:szCs w:val="18"/>
              </w:rPr>
              <w:t>Placebo</w:t>
            </w:r>
          </w:p>
        </w:tc>
        <w:tc>
          <w:tcPr>
            <w:tcW w:w="855" w:type="pct"/>
            <w:gridSpan w:val="3"/>
            <w:vMerge/>
            <w:tcBorders>
              <w:top w:val="single" w:sz="4" w:space="0" w:color="auto"/>
              <w:left w:val="single" w:sz="4" w:space="0" w:color="auto"/>
              <w:bottom w:val="single" w:sz="4" w:space="0" w:color="auto"/>
              <w:right w:val="single" w:sz="4" w:space="0" w:color="auto"/>
            </w:tcBorders>
            <w:vAlign w:val="center"/>
          </w:tcPr>
          <w:p w:rsidR="000B266C" w:rsidRPr="00051281" w:rsidRDefault="000B266C" w:rsidP="005E6581">
            <w:pPr>
              <w:keepNext/>
              <w:keepLines/>
              <w:jc w:val="center"/>
              <w:rPr>
                <w:rFonts w:ascii="Arial Narrow" w:hAnsi="Arial Narrow"/>
                <w:b/>
                <w:color w:val="000000"/>
                <w:sz w:val="20"/>
                <w:szCs w:val="18"/>
              </w:rPr>
            </w:pPr>
          </w:p>
        </w:tc>
        <w:tc>
          <w:tcPr>
            <w:tcW w:w="550" w:type="pct"/>
            <w:tcBorders>
              <w:top w:val="single" w:sz="4" w:space="0" w:color="auto"/>
              <w:left w:val="single" w:sz="4" w:space="0" w:color="auto"/>
              <w:bottom w:val="single" w:sz="4" w:space="0" w:color="auto"/>
              <w:right w:val="single" w:sz="4" w:space="0" w:color="auto"/>
            </w:tcBorders>
            <w:vAlign w:val="center"/>
          </w:tcPr>
          <w:p w:rsidR="000B266C" w:rsidRPr="00051281" w:rsidRDefault="000B266C" w:rsidP="005E6581">
            <w:pPr>
              <w:keepNext/>
              <w:keepLines/>
              <w:jc w:val="center"/>
              <w:rPr>
                <w:rFonts w:ascii="Arial Narrow" w:hAnsi="Arial Narrow"/>
                <w:b/>
                <w:color w:val="000000"/>
                <w:sz w:val="20"/>
                <w:szCs w:val="18"/>
              </w:rPr>
            </w:pPr>
            <w:r w:rsidRPr="00051281">
              <w:rPr>
                <w:rFonts w:ascii="Arial Narrow" w:hAnsi="Arial Narrow"/>
                <w:b/>
                <w:color w:val="000000"/>
                <w:sz w:val="20"/>
                <w:szCs w:val="18"/>
              </w:rPr>
              <w:t>Tiotropium</w:t>
            </w:r>
          </w:p>
        </w:tc>
        <w:tc>
          <w:tcPr>
            <w:tcW w:w="550" w:type="pct"/>
            <w:gridSpan w:val="2"/>
            <w:tcBorders>
              <w:top w:val="single" w:sz="4" w:space="0" w:color="auto"/>
              <w:left w:val="single" w:sz="4" w:space="0" w:color="auto"/>
              <w:bottom w:val="single" w:sz="4" w:space="0" w:color="auto"/>
              <w:right w:val="single" w:sz="4" w:space="0" w:color="auto"/>
            </w:tcBorders>
            <w:vAlign w:val="center"/>
          </w:tcPr>
          <w:p w:rsidR="000B266C" w:rsidRPr="00051281" w:rsidRDefault="000B266C" w:rsidP="005E6581">
            <w:pPr>
              <w:keepNext/>
              <w:keepLines/>
              <w:jc w:val="center"/>
              <w:rPr>
                <w:rFonts w:ascii="Arial Narrow" w:hAnsi="Arial Narrow"/>
                <w:b/>
                <w:color w:val="000000"/>
                <w:sz w:val="20"/>
                <w:szCs w:val="18"/>
              </w:rPr>
            </w:pPr>
            <w:r w:rsidRPr="00051281">
              <w:rPr>
                <w:rFonts w:ascii="Arial Narrow" w:hAnsi="Arial Narrow"/>
                <w:b/>
                <w:color w:val="000000"/>
                <w:sz w:val="20"/>
                <w:szCs w:val="18"/>
              </w:rPr>
              <w:t>Placebo</w:t>
            </w:r>
          </w:p>
        </w:tc>
        <w:tc>
          <w:tcPr>
            <w:tcW w:w="837" w:type="pct"/>
            <w:vMerge/>
            <w:tcBorders>
              <w:top w:val="single" w:sz="4" w:space="0" w:color="auto"/>
              <w:left w:val="single" w:sz="4" w:space="0" w:color="auto"/>
              <w:bottom w:val="single" w:sz="4" w:space="0" w:color="auto"/>
              <w:right w:val="single" w:sz="4" w:space="0" w:color="auto"/>
            </w:tcBorders>
            <w:vAlign w:val="center"/>
          </w:tcPr>
          <w:p w:rsidR="000B266C" w:rsidRPr="00051281" w:rsidRDefault="000B266C" w:rsidP="005E6581">
            <w:pPr>
              <w:keepNext/>
              <w:keepLines/>
              <w:jc w:val="center"/>
              <w:rPr>
                <w:rFonts w:ascii="Arial Narrow" w:hAnsi="Arial Narrow"/>
                <w:b/>
                <w:color w:val="000000"/>
                <w:sz w:val="20"/>
                <w:szCs w:val="18"/>
              </w:rPr>
            </w:pPr>
          </w:p>
        </w:tc>
      </w:tr>
      <w:tr w:rsidR="00B62715" w:rsidRPr="00051281" w:rsidTr="004574B9">
        <w:tc>
          <w:tcPr>
            <w:tcW w:w="5000" w:type="pct"/>
            <w:gridSpan w:val="12"/>
            <w:tcBorders>
              <w:top w:val="single" w:sz="4" w:space="0" w:color="auto"/>
              <w:left w:val="single" w:sz="4" w:space="0" w:color="auto"/>
              <w:bottom w:val="double" w:sz="4" w:space="0" w:color="auto"/>
              <w:right w:val="single" w:sz="4" w:space="0" w:color="auto"/>
            </w:tcBorders>
            <w:shd w:val="clear" w:color="auto" w:fill="auto"/>
            <w:vAlign w:val="center"/>
          </w:tcPr>
          <w:p w:rsidR="00B62715" w:rsidRPr="00051281" w:rsidRDefault="00B62715" w:rsidP="005E6581">
            <w:pPr>
              <w:keepNext/>
              <w:keepLines/>
              <w:rPr>
                <w:rFonts w:ascii="Arial Narrow" w:hAnsi="Arial Narrow"/>
                <w:b/>
                <w:color w:val="000000"/>
                <w:sz w:val="20"/>
                <w:szCs w:val="18"/>
              </w:rPr>
            </w:pPr>
            <w:r w:rsidRPr="00051281">
              <w:rPr>
                <w:rFonts w:ascii="Arial Narrow" w:hAnsi="Arial Narrow"/>
                <w:b/>
                <w:color w:val="000000"/>
                <w:sz w:val="20"/>
                <w:szCs w:val="18"/>
              </w:rPr>
              <w:t>Benefits</w:t>
            </w:r>
          </w:p>
        </w:tc>
      </w:tr>
      <w:tr w:rsidR="00B62715" w:rsidRPr="00051281" w:rsidTr="004574B9">
        <w:trPr>
          <w:trHeight w:val="87"/>
        </w:trPr>
        <w:tc>
          <w:tcPr>
            <w:tcW w:w="5000" w:type="pct"/>
            <w:gridSpan w:val="12"/>
            <w:tcBorders>
              <w:top w:val="double" w:sz="4" w:space="0" w:color="auto"/>
              <w:left w:val="single" w:sz="4" w:space="0" w:color="auto"/>
              <w:bottom w:val="single" w:sz="4" w:space="0" w:color="auto"/>
              <w:right w:val="single" w:sz="4" w:space="0" w:color="auto"/>
            </w:tcBorders>
            <w:shd w:val="clear" w:color="auto" w:fill="auto"/>
            <w:vAlign w:val="center"/>
          </w:tcPr>
          <w:p w:rsidR="00B62715" w:rsidRPr="00051281" w:rsidRDefault="00900EC6" w:rsidP="005E6581">
            <w:pPr>
              <w:keepNext/>
              <w:keepLines/>
              <w:rPr>
                <w:rFonts w:ascii="Arial Narrow" w:hAnsi="Arial Narrow"/>
                <w:b/>
                <w:color w:val="000000"/>
                <w:sz w:val="20"/>
                <w:szCs w:val="18"/>
              </w:rPr>
            </w:pPr>
            <w:r w:rsidRPr="00051281">
              <w:rPr>
                <w:rFonts w:ascii="Arial Narrow" w:hAnsi="Arial Narrow"/>
                <w:b/>
                <w:color w:val="000000"/>
                <w:sz w:val="20"/>
                <w:szCs w:val="18"/>
              </w:rPr>
              <w:t>S</w:t>
            </w:r>
            <w:r w:rsidR="0023783B" w:rsidRPr="00051281">
              <w:rPr>
                <w:rFonts w:ascii="Arial Narrow" w:hAnsi="Arial Narrow"/>
                <w:b/>
                <w:color w:val="000000"/>
                <w:sz w:val="20"/>
                <w:szCs w:val="18"/>
              </w:rPr>
              <w:t>ymptomatic (severe and non-severe) exacerbation</w:t>
            </w:r>
            <w:r w:rsidR="0006651E" w:rsidRPr="00051281">
              <w:rPr>
                <w:rFonts w:ascii="Arial Narrow" w:hAnsi="Arial Narrow"/>
                <w:b/>
                <w:color w:val="000000"/>
                <w:sz w:val="20"/>
                <w:szCs w:val="18"/>
              </w:rPr>
              <w:t>s</w:t>
            </w:r>
            <w:r w:rsidRPr="00051281">
              <w:rPr>
                <w:rFonts w:ascii="Arial Narrow" w:hAnsi="Arial Narrow"/>
                <w:b/>
                <w:color w:val="000000"/>
                <w:sz w:val="20"/>
                <w:szCs w:val="18"/>
              </w:rPr>
              <w:t xml:space="preserve"> (number per patient year)</w:t>
            </w:r>
            <w:r w:rsidR="00435F38" w:rsidRPr="00051281">
              <w:rPr>
                <w:rFonts w:ascii="Arial Narrow" w:hAnsi="Arial Narrow"/>
                <w:b/>
                <w:color w:val="000000"/>
                <w:sz w:val="20"/>
                <w:szCs w:val="18"/>
              </w:rPr>
              <w:t xml:space="preserve"> </w:t>
            </w:r>
            <w:r w:rsidR="00435F38" w:rsidRPr="00051281">
              <w:rPr>
                <w:rFonts w:ascii="Arial Narrow" w:hAnsi="Arial Narrow"/>
                <w:b/>
                <w:sz w:val="20"/>
                <w:szCs w:val="18"/>
                <w:vertAlign w:val="superscript"/>
              </w:rPr>
              <w:t>a</w:t>
            </w:r>
          </w:p>
        </w:tc>
      </w:tr>
      <w:tr w:rsidR="00DB31ED" w:rsidRPr="00051281" w:rsidTr="004574B9">
        <w:tc>
          <w:tcPr>
            <w:tcW w:w="1098" w:type="pct"/>
            <w:tcBorders>
              <w:top w:val="single" w:sz="4" w:space="0" w:color="auto"/>
              <w:left w:val="single" w:sz="4" w:space="0" w:color="auto"/>
              <w:bottom w:val="single" w:sz="4" w:space="0" w:color="auto"/>
              <w:right w:val="single" w:sz="4" w:space="0" w:color="auto"/>
            </w:tcBorders>
            <w:shd w:val="clear" w:color="auto" w:fill="auto"/>
            <w:vAlign w:val="center"/>
          </w:tcPr>
          <w:p w:rsidR="000B266C" w:rsidRPr="00051281" w:rsidRDefault="000B266C" w:rsidP="005E6581">
            <w:pPr>
              <w:pStyle w:val="Tabletext"/>
              <w:keepNext/>
              <w:keepLines/>
              <w:rPr>
                <w:color w:val="000000"/>
                <w:szCs w:val="18"/>
              </w:rPr>
            </w:pPr>
            <w:r w:rsidRPr="00051281">
              <w:t>205.446 (6-11 y</w:t>
            </w:r>
            <w:r w:rsidR="0070720C" w:rsidRPr="00051281">
              <w:t>ea</w:t>
            </w:r>
            <w:r w:rsidRPr="00051281">
              <w:t>rs)</w:t>
            </w:r>
          </w:p>
        </w:tc>
        <w:tc>
          <w:tcPr>
            <w:tcW w:w="560" w:type="pct"/>
            <w:gridSpan w:val="2"/>
            <w:tcBorders>
              <w:top w:val="single" w:sz="4" w:space="0" w:color="auto"/>
              <w:left w:val="single" w:sz="4" w:space="0" w:color="auto"/>
              <w:bottom w:val="single" w:sz="4" w:space="0" w:color="auto"/>
              <w:right w:val="single" w:sz="4" w:space="0" w:color="auto"/>
            </w:tcBorders>
            <w:vAlign w:val="center"/>
          </w:tcPr>
          <w:p w:rsidR="000B266C" w:rsidRPr="002A17A3" w:rsidRDefault="002A17A3" w:rsidP="005E6581">
            <w:pPr>
              <w:pStyle w:val="Tabletext"/>
              <w:keepNext/>
              <w:keepLines/>
              <w:jc w:val="center"/>
              <w:rPr>
                <w:color w:val="000000"/>
                <w:szCs w:val="18"/>
                <w:highlight w:val="black"/>
              </w:rPr>
            </w:pPr>
            <w:r>
              <w:rPr>
                <w:noProof/>
                <w:color w:val="000000"/>
                <w:highlight w:val="black"/>
              </w:rPr>
              <w:t>'''''''''''</w:t>
            </w:r>
          </w:p>
        </w:tc>
        <w:tc>
          <w:tcPr>
            <w:tcW w:w="550" w:type="pct"/>
            <w:gridSpan w:val="2"/>
            <w:tcBorders>
              <w:top w:val="single" w:sz="4" w:space="0" w:color="auto"/>
              <w:left w:val="single" w:sz="4" w:space="0" w:color="auto"/>
              <w:bottom w:val="single" w:sz="4" w:space="0" w:color="auto"/>
              <w:right w:val="single" w:sz="4" w:space="0" w:color="auto"/>
            </w:tcBorders>
            <w:vAlign w:val="center"/>
          </w:tcPr>
          <w:p w:rsidR="000B266C" w:rsidRPr="002A17A3" w:rsidRDefault="002A17A3" w:rsidP="005E6581">
            <w:pPr>
              <w:pStyle w:val="Tabletext"/>
              <w:keepNext/>
              <w:keepLines/>
              <w:jc w:val="center"/>
              <w:rPr>
                <w:color w:val="000000"/>
                <w:szCs w:val="18"/>
                <w:highlight w:val="black"/>
              </w:rPr>
            </w:pPr>
            <w:r>
              <w:rPr>
                <w:noProof/>
                <w:color w:val="000000"/>
                <w:highlight w:val="black"/>
              </w:rPr>
              <w:t>''''''''''''</w:t>
            </w:r>
          </w:p>
        </w:tc>
        <w:tc>
          <w:tcPr>
            <w:tcW w:w="855" w:type="pct"/>
            <w:gridSpan w:val="3"/>
            <w:tcBorders>
              <w:top w:val="single" w:sz="4" w:space="0" w:color="auto"/>
              <w:left w:val="single" w:sz="4" w:space="0" w:color="auto"/>
              <w:bottom w:val="single" w:sz="4" w:space="0" w:color="auto"/>
              <w:right w:val="single" w:sz="4" w:space="0" w:color="auto"/>
            </w:tcBorders>
            <w:vAlign w:val="center"/>
          </w:tcPr>
          <w:p w:rsidR="000B266C" w:rsidRPr="002A17A3" w:rsidRDefault="002A17A3" w:rsidP="005E6581">
            <w:pPr>
              <w:keepNext/>
              <w:keepLines/>
              <w:jc w:val="center"/>
              <w:rPr>
                <w:rFonts w:ascii="Arial Narrow" w:hAnsi="Arial Narrow"/>
                <w:b/>
                <w:color w:val="000000"/>
                <w:sz w:val="20"/>
                <w:szCs w:val="18"/>
                <w:highlight w:val="black"/>
              </w:rPr>
            </w:pPr>
            <w:r>
              <w:rPr>
                <w:rFonts w:ascii="Arial Narrow" w:hAnsi="Arial Narrow"/>
                <w:b/>
                <w:noProof/>
                <w:color w:val="000000"/>
                <w:sz w:val="20"/>
                <w:szCs w:val="18"/>
                <w:highlight w:val="black"/>
              </w:rPr>
              <w:t>'''''''' ''''''''''' ''''''''''</w:t>
            </w:r>
          </w:p>
        </w:tc>
        <w:tc>
          <w:tcPr>
            <w:tcW w:w="550" w:type="pct"/>
            <w:tcBorders>
              <w:top w:val="single" w:sz="4" w:space="0" w:color="auto"/>
              <w:left w:val="single" w:sz="4" w:space="0" w:color="auto"/>
              <w:bottom w:val="single" w:sz="4" w:space="0" w:color="auto"/>
              <w:right w:val="single" w:sz="4" w:space="0" w:color="auto"/>
            </w:tcBorders>
            <w:vAlign w:val="center"/>
          </w:tcPr>
          <w:p w:rsidR="000B266C" w:rsidRPr="002A17A3" w:rsidRDefault="002A17A3" w:rsidP="005E6581">
            <w:pPr>
              <w:keepNext/>
              <w:keepLines/>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550" w:type="pct"/>
            <w:gridSpan w:val="2"/>
            <w:tcBorders>
              <w:top w:val="single" w:sz="4" w:space="0" w:color="auto"/>
              <w:left w:val="single" w:sz="4" w:space="0" w:color="auto"/>
              <w:bottom w:val="single" w:sz="4" w:space="0" w:color="auto"/>
              <w:right w:val="single" w:sz="4" w:space="0" w:color="auto"/>
            </w:tcBorders>
            <w:vAlign w:val="center"/>
          </w:tcPr>
          <w:p w:rsidR="000B266C" w:rsidRPr="002A17A3" w:rsidRDefault="002A17A3" w:rsidP="005E6581">
            <w:pPr>
              <w:keepNext/>
              <w:keepLines/>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837" w:type="pct"/>
            <w:tcBorders>
              <w:top w:val="single" w:sz="4" w:space="0" w:color="auto"/>
              <w:left w:val="single" w:sz="4" w:space="0" w:color="auto"/>
              <w:bottom w:val="single" w:sz="4" w:space="0" w:color="auto"/>
              <w:right w:val="single" w:sz="4" w:space="0" w:color="auto"/>
            </w:tcBorders>
            <w:vAlign w:val="center"/>
          </w:tcPr>
          <w:p w:rsidR="000B266C" w:rsidRPr="002A17A3" w:rsidRDefault="002A17A3" w:rsidP="005E6581">
            <w:pPr>
              <w:keepNext/>
              <w:keepLines/>
              <w:jc w:val="center"/>
              <w:rPr>
                <w:rFonts w:ascii="Arial Narrow" w:hAnsi="Arial Narrow"/>
                <w:color w:val="000000"/>
                <w:sz w:val="20"/>
                <w:szCs w:val="18"/>
                <w:highlight w:val="black"/>
              </w:rPr>
            </w:pPr>
            <w:r>
              <w:rPr>
                <w:rFonts w:ascii="Arial Narrow" w:hAnsi="Arial Narrow"/>
                <w:noProof/>
                <w:color w:val="000000"/>
                <w:sz w:val="20"/>
                <w:szCs w:val="18"/>
                <w:highlight w:val="black"/>
              </w:rPr>
              <w:t>''''''''''''' '''''''''' ''''''''''</w:t>
            </w:r>
          </w:p>
        </w:tc>
      </w:tr>
      <w:tr w:rsidR="00DB31ED" w:rsidRPr="00051281" w:rsidTr="004574B9">
        <w:tc>
          <w:tcPr>
            <w:tcW w:w="1098" w:type="pct"/>
            <w:tcBorders>
              <w:top w:val="single" w:sz="4" w:space="0" w:color="auto"/>
              <w:left w:val="single" w:sz="4" w:space="0" w:color="auto"/>
              <w:bottom w:val="single" w:sz="4" w:space="0" w:color="auto"/>
              <w:right w:val="single" w:sz="4" w:space="0" w:color="auto"/>
            </w:tcBorders>
            <w:shd w:val="clear" w:color="auto" w:fill="auto"/>
            <w:vAlign w:val="center"/>
          </w:tcPr>
          <w:p w:rsidR="000B266C" w:rsidRPr="00051281" w:rsidRDefault="000B266C" w:rsidP="005E6581">
            <w:pPr>
              <w:pStyle w:val="Tabletext"/>
              <w:keepNext/>
              <w:keepLines/>
              <w:rPr>
                <w:color w:val="000000"/>
                <w:szCs w:val="18"/>
              </w:rPr>
            </w:pPr>
            <w:r w:rsidRPr="00051281">
              <w:t>205.456 (12-17 y</w:t>
            </w:r>
            <w:r w:rsidR="0070720C" w:rsidRPr="00051281">
              <w:t>ea</w:t>
            </w:r>
            <w:r w:rsidRPr="00051281">
              <w:t>rs)</w:t>
            </w:r>
          </w:p>
        </w:tc>
        <w:tc>
          <w:tcPr>
            <w:tcW w:w="560" w:type="pct"/>
            <w:gridSpan w:val="2"/>
            <w:tcBorders>
              <w:top w:val="single" w:sz="4" w:space="0" w:color="auto"/>
              <w:left w:val="single" w:sz="4" w:space="0" w:color="auto"/>
              <w:bottom w:val="single" w:sz="4" w:space="0" w:color="auto"/>
              <w:right w:val="single" w:sz="4" w:space="0" w:color="auto"/>
            </w:tcBorders>
            <w:vAlign w:val="center"/>
          </w:tcPr>
          <w:p w:rsidR="000B266C" w:rsidRPr="002A17A3" w:rsidRDefault="002A17A3" w:rsidP="005E6581">
            <w:pPr>
              <w:pStyle w:val="Tabletext"/>
              <w:keepNext/>
              <w:keepLines/>
              <w:jc w:val="center"/>
              <w:rPr>
                <w:color w:val="000000"/>
                <w:szCs w:val="18"/>
                <w:highlight w:val="black"/>
              </w:rPr>
            </w:pPr>
            <w:r>
              <w:rPr>
                <w:noProof/>
                <w:color w:val="000000"/>
                <w:highlight w:val="black"/>
              </w:rPr>
              <w:t>'''''''''''</w:t>
            </w:r>
          </w:p>
        </w:tc>
        <w:tc>
          <w:tcPr>
            <w:tcW w:w="550" w:type="pct"/>
            <w:gridSpan w:val="2"/>
            <w:tcBorders>
              <w:top w:val="single" w:sz="4" w:space="0" w:color="auto"/>
              <w:left w:val="single" w:sz="4" w:space="0" w:color="auto"/>
              <w:bottom w:val="single" w:sz="4" w:space="0" w:color="auto"/>
              <w:right w:val="single" w:sz="4" w:space="0" w:color="auto"/>
            </w:tcBorders>
            <w:vAlign w:val="center"/>
          </w:tcPr>
          <w:p w:rsidR="000B266C" w:rsidRPr="002A17A3" w:rsidRDefault="002A17A3" w:rsidP="005E6581">
            <w:pPr>
              <w:pStyle w:val="Tabletext"/>
              <w:keepNext/>
              <w:keepLines/>
              <w:jc w:val="center"/>
              <w:rPr>
                <w:color w:val="000000"/>
                <w:szCs w:val="18"/>
                <w:highlight w:val="black"/>
              </w:rPr>
            </w:pPr>
            <w:r>
              <w:rPr>
                <w:noProof/>
                <w:color w:val="000000"/>
                <w:highlight w:val="black"/>
              </w:rPr>
              <w:t>''''''''''''</w:t>
            </w:r>
          </w:p>
        </w:tc>
        <w:tc>
          <w:tcPr>
            <w:tcW w:w="855" w:type="pct"/>
            <w:gridSpan w:val="3"/>
            <w:tcBorders>
              <w:top w:val="single" w:sz="4" w:space="0" w:color="auto"/>
              <w:left w:val="single" w:sz="4" w:space="0" w:color="auto"/>
              <w:bottom w:val="single" w:sz="4" w:space="0" w:color="auto"/>
              <w:right w:val="single" w:sz="4" w:space="0" w:color="auto"/>
            </w:tcBorders>
            <w:vAlign w:val="center"/>
          </w:tcPr>
          <w:p w:rsidR="000B266C" w:rsidRPr="002A17A3" w:rsidRDefault="002A17A3" w:rsidP="005E6581">
            <w:pPr>
              <w:keepNext/>
              <w:keepLines/>
              <w:jc w:val="center"/>
              <w:rPr>
                <w:rFonts w:ascii="Arial Narrow" w:hAnsi="Arial Narrow"/>
                <w:color w:val="000000"/>
                <w:sz w:val="20"/>
                <w:szCs w:val="18"/>
                <w:highlight w:val="black"/>
              </w:rPr>
            </w:pPr>
            <w:r>
              <w:rPr>
                <w:rFonts w:ascii="Arial Narrow" w:hAnsi="Arial Narrow"/>
                <w:noProof/>
                <w:color w:val="000000"/>
                <w:sz w:val="20"/>
                <w:szCs w:val="18"/>
                <w:highlight w:val="black"/>
              </w:rPr>
              <w:t>'''''''''' ''''''''''''''' '''''''''''''</w:t>
            </w:r>
          </w:p>
        </w:tc>
        <w:tc>
          <w:tcPr>
            <w:tcW w:w="550" w:type="pct"/>
            <w:tcBorders>
              <w:top w:val="single" w:sz="4" w:space="0" w:color="auto"/>
              <w:left w:val="single" w:sz="4" w:space="0" w:color="auto"/>
              <w:bottom w:val="single" w:sz="4" w:space="0" w:color="auto"/>
              <w:right w:val="single" w:sz="4" w:space="0" w:color="auto"/>
            </w:tcBorders>
            <w:vAlign w:val="center"/>
          </w:tcPr>
          <w:p w:rsidR="000B266C" w:rsidRPr="002A17A3" w:rsidRDefault="002A17A3" w:rsidP="005E6581">
            <w:pPr>
              <w:keepNext/>
              <w:keepLines/>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550" w:type="pct"/>
            <w:gridSpan w:val="2"/>
            <w:tcBorders>
              <w:top w:val="single" w:sz="4" w:space="0" w:color="auto"/>
              <w:left w:val="single" w:sz="4" w:space="0" w:color="auto"/>
              <w:bottom w:val="single" w:sz="4" w:space="0" w:color="auto"/>
              <w:right w:val="single" w:sz="4" w:space="0" w:color="auto"/>
            </w:tcBorders>
            <w:vAlign w:val="center"/>
          </w:tcPr>
          <w:p w:rsidR="000B266C" w:rsidRPr="002A17A3" w:rsidRDefault="002A17A3" w:rsidP="005E6581">
            <w:pPr>
              <w:keepNext/>
              <w:keepLines/>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837" w:type="pct"/>
            <w:tcBorders>
              <w:top w:val="single" w:sz="4" w:space="0" w:color="auto"/>
              <w:left w:val="single" w:sz="4" w:space="0" w:color="auto"/>
              <w:bottom w:val="single" w:sz="4" w:space="0" w:color="auto"/>
              <w:right w:val="single" w:sz="4" w:space="0" w:color="auto"/>
            </w:tcBorders>
            <w:vAlign w:val="center"/>
          </w:tcPr>
          <w:p w:rsidR="000B266C" w:rsidRPr="002A17A3" w:rsidRDefault="002A17A3" w:rsidP="005E6581">
            <w:pPr>
              <w:keepNext/>
              <w:keepLines/>
              <w:jc w:val="center"/>
              <w:rPr>
                <w:rFonts w:ascii="Arial Narrow" w:hAnsi="Arial Narrow"/>
                <w:color w:val="000000"/>
                <w:sz w:val="20"/>
                <w:szCs w:val="18"/>
                <w:highlight w:val="black"/>
              </w:rPr>
            </w:pPr>
            <w:r>
              <w:rPr>
                <w:rFonts w:ascii="Arial Narrow" w:hAnsi="Arial Narrow"/>
                <w:noProof/>
                <w:color w:val="000000"/>
                <w:sz w:val="20"/>
                <w:szCs w:val="18"/>
                <w:highlight w:val="black"/>
              </w:rPr>
              <w:t>'''''''''''''' '''''''''''''' ''''''''''''</w:t>
            </w:r>
          </w:p>
        </w:tc>
      </w:tr>
      <w:tr w:rsidR="00363D60" w:rsidRPr="00051281" w:rsidTr="004574B9">
        <w:tc>
          <w:tcPr>
            <w:tcW w:w="5000"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rsidR="00363D60" w:rsidRPr="00051281" w:rsidRDefault="00390590" w:rsidP="005E6581">
            <w:pPr>
              <w:keepNext/>
              <w:keepLines/>
              <w:jc w:val="left"/>
              <w:rPr>
                <w:rFonts w:ascii="Arial Narrow" w:hAnsi="Arial Narrow"/>
                <w:color w:val="000000"/>
                <w:sz w:val="20"/>
                <w:szCs w:val="18"/>
              </w:rPr>
            </w:pPr>
            <w:r w:rsidRPr="00051281">
              <w:rPr>
                <w:rFonts w:ascii="Arial Narrow" w:hAnsi="Arial Narrow"/>
                <w:b/>
                <w:color w:val="000000"/>
                <w:sz w:val="20"/>
                <w:szCs w:val="18"/>
              </w:rPr>
              <w:t>S</w:t>
            </w:r>
            <w:r w:rsidR="00363D60" w:rsidRPr="00051281">
              <w:rPr>
                <w:rFonts w:ascii="Arial Narrow" w:hAnsi="Arial Narrow"/>
                <w:b/>
                <w:color w:val="000000"/>
                <w:sz w:val="20"/>
                <w:szCs w:val="18"/>
              </w:rPr>
              <w:t>evere symptomatic exacerbation</w:t>
            </w:r>
            <w:r w:rsidR="0006651E" w:rsidRPr="00051281">
              <w:rPr>
                <w:rFonts w:ascii="Arial Narrow" w:hAnsi="Arial Narrow"/>
                <w:b/>
                <w:color w:val="000000"/>
                <w:sz w:val="20"/>
                <w:szCs w:val="18"/>
              </w:rPr>
              <w:t>s</w:t>
            </w:r>
            <w:r w:rsidR="000A1E3B" w:rsidRPr="00051281">
              <w:rPr>
                <w:rFonts w:ascii="Arial Narrow" w:hAnsi="Arial Narrow"/>
                <w:b/>
                <w:color w:val="000000"/>
                <w:sz w:val="20"/>
                <w:szCs w:val="18"/>
              </w:rPr>
              <w:t xml:space="preserve"> </w:t>
            </w:r>
            <w:r w:rsidRPr="00051281">
              <w:rPr>
                <w:rFonts w:ascii="Arial Narrow" w:hAnsi="Arial Narrow"/>
                <w:b/>
                <w:color w:val="000000"/>
                <w:sz w:val="20"/>
                <w:szCs w:val="18"/>
              </w:rPr>
              <w:t xml:space="preserve">(number </w:t>
            </w:r>
            <w:r w:rsidR="000A1E3B" w:rsidRPr="00051281">
              <w:rPr>
                <w:rFonts w:ascii="Arial Narrow" w:hAnsi="Arial Narrow"/>
                <w:b/>
                <w:color w:val="000000"/>
                <w:sz w:val="20"/>
                <w:szCs w:val="18"/>
              </w:rPr>
              <w:t>per patient year</w:t>
            </w:r>
            <w:r w:rsidRPr="00051281">
              <w:rPr>
                <w:rFonts w:ascii="Arial Narrow" w:hAnsi="Arial Narrow"/>
                <w:b/>
                <w:color w:val="000000"/>
                <w:sz w:val="20"/>
                <w:szCs w:val="18"/>
              </w:rPr>
              <w:t>)</w:t>
            </w:r>
            <w:r w:rsidR="00363D60" w:rsidRPr="00051281">
              <w:rPr>
                <w:rFonts w:ascii="Arial Narrow" w:hAnsi="Arial Narrow"/>
                <w:b/>
                <w:color w:val="000000"/>
                <w:sz w:val="20"/>
                <w:szCs w:val="18"/>
              </w:rPr>
              <w:t xml:space="preserve"> </w:t>
            </w:r>
            <w:r w:rsidR="00435F38" w:rsidRPr="00051281">
              <w:rPr>
                <w:rFonts w:ascii="Arial Narrow" w:hAnsi="Arial Narrow"/>
                <w:b/>
                <w:sz w:val="20"/>
                <w:szCs w:val="18"/>
                <w:vertAlign w:val="superscript"/>
              </w:rPr>
              <w:t>a</w:t>
            </w:r>
          </w:p>
        </w:tc>
      </w:tr>
      <w:tr w:rsidR="00257ABE" w:rsidRPr="00051281" w:rsidTr="004574B9">
        <w:trPr>
          <w:trHeight w:val="40"/>
        </w:trPr>
        <w:tc>
          <w:tcPr>
            <w:tcW w:w="1098" w:type="pct"/>
            <w:tcBorders>
              <w:top w:val="single" w:sz="4" w:space="0" w:color="auto"/>
              <w:left w:val="single" w:sz="4" w:space="0" w:color="auto"/>
              <w:bottom w:val="single" w:sz="4" w:space="0" w:color="auto"/>
              <w:right w:val="single" w:sz="4" w:space="0" w:color="auto"/>
            </w:tcBorders>
            <w:shd w:val="clear" w:color="auto" w:fill="auto"/>
          </w:tcPr>
          <w:p w:rsidR="00363D60" w:rsidRPr="00051281" w:rsidRDefault="00363D60" w:rsidP="005E6581">
            <w:pPr>
              <w:pStyle w:val="Tabletext"/>
              <w:keepNext/>
              <w:keepLines/>
              <w:rPr>
                <w:color w:val="000000"/>
                <w:szCs w:val="18"/>
              </w:rPr>
            </w:pPr>
            <w:r w:rsidRPr="00051281">
              <w:t>205.446 (6-11 y</w:t>
            </w:r>
            <w:r w:rsidR="0070720C" w:rsidRPr="00051281">
              <w:t>ea</w:t>
            </w:r>
            <w:r w:rsidRPr="00051281">
              <w:t>rs)</w:t>
            </w:r>
          </w:p>
        </w:tc>
        <w:tc>
          <w:tcPr>
            <w:tcW w:w="560" w:type="pct"/>
            <w:gridSpan w:val="2"/>
            <w:tcBorders>
              <w:top w:val="single" w:sz="4" w:space="0" w:color="auto"/>
              <w:left w:val="single" w:sz="4" w:space="0" w:color="auto"/>
              <w:bottom w:val="single" w:sz="4" w:space="0" w:color="auto"/>
              <w:right w:val="single" w:sz="4" w:space="0" w:color="auto"/>
            </w:tcBorders>
            <w:vAlign w:val="center"/>
          </w:tcPr>
          <w:p w:rsidR="00363D60" w:rsidRPr="002A17A3" w:rsidRDefault="002A17A3" w:rsidP="005E6581">
            <w:pPr>
              <w:pStyle w:val="Tabletext"/>
              <w:keepNext/>
              <w:keepLines/>
              <w:jc w:val="center"/>
              <w:rPr>
                <w:color w:val="000000"/>
                <w:szCs w:val="18"/>
                <w:highlight w:val="black"/>
              </w:rPr>
            </w:pPr>
            <w:r>
              <w:rPr>
                <w:noProof/>
                <w:color w:val="000000"/>
                <w:highlight w:val="black"/>
              </w:rPr>
              <w:t>'''''''''''</w:t>
            </w:r>
          </w:p>
        </w:tc>
        <w:tc>
          <w:tcPr>
            <w:tcW w:w="550" w:type="pct"/>
            <w:gridSpan w:val="2"/>
            <w:tcBorders>
              <w:top w:val="single" w:sz="4" w:space="0" w:color="auto"/>
              <w:left w:val="single" w:sz="4" w:space="0" w:color="auto"/>
              <w:bottom w:val="single" w:sz="4" w:space="0" w:color="auto"/>
              <w:right w:val="single" w:sz="4" w:space="0" w:color="auto"/>
            </w:tcBorders>
            <w:vAlign w:val="center"/>
          </w:tcPr>
          <w:p w:rsidR="00363D60" w:rsidRPr="002A17A3" w:rsidRDefault="002A17A3" w:rsidP="005E6581">
            <w:pPr>
              <w:pStyle w:val="Tabletext"/>
              <w:keepNext/>
              <w:keepLines/>
              <w:jc w:val="center"/>
              <w:rPr>
                <w:color w:val="000000"/>
                <w:szCs w:val="18"/>
                <w:highlight w:val="black"/>
              </w:rPr>
            </w:pPr>
            <w:r>
              <w:rPr>
                <w:noProof/>
                <w:color w:val="000000"/>
                <w:highlight w:val="black"/>
              </w:rPr>
              <w:t>''''''''''</w:t>
            </w:r>
          </w:p>
        </w:tc>
        <w:tc>
          <w:tcPr>
            <w:tcW w:w="855" w:type="pct"/>
            <w:gridSpan w:val="3"/>
            <w:tcBorders>
              <w:top w:val="single" w:sz="4" w:space="0" w:color="auto"/>
              <w:left w:val="single" w:sz="4" w:space="0" w:color="auto"/>
              <w:bottom w:val="single" w:sz="4" w:space="0" w:color="auto"/>
              <w:right w:val="single" w:sz="4" w:space="0" w:color="auto"/>
            </w:tcBorders>
            <w:vAlign w:val="center"/>
          </w:tcPr>
          <w:p w:rsidR="00363D60" w:rsidRPr="002A17A3" w:rsidRDefault="002A17A3" w:rsidP="005E6581">
            <w:pPr>
              <w:pStyle w:val="Tabletext"/>
              <w:keepNext/>
              <w:keepLines/>
              <w:jc w:val="center"/>
              <w:rPr>
                <w:color w:val="000000"/>
                <w:szCs w:val="18"/>
                <w:highlight w:val="black"/>
              </w:rPr>
            </w:pPr>
            <w:r>
              <w:rPr>
                <w:noProof/>
                <w:color w:val="000000"/>
                <w:highlight w:val="black"/>
              </w:rPr>
              <w:t>'''''''''' '''''''''''''' ''''''''''''</w:t>
            </w:r>
          </w:p>
        </w:tc>
        <w:tc>
          <w:tcPr>
            <w:tcW w:w="550" w:type="pct"/>
            <w:tcBorders>
              <w:top w:val="single" w:sz="4" w:space="0" w:color="auto"/>
              <w:left w:val="single" w:sz="4" w:space="0" w:color="auto"/>
              <w:bottom w:val="single" w:sz="4" w:space="0" w:color="auto"/>
              <w:right w:val="single" w:sz="4" w:space="0" w:color="auto"/>
            </w:tcBorders>
            <w:vAlign w:val="center"/>
          </w:tcPr>
          <w:p w:rsidR="00363D60" w:rsidRPr="002A17A3" w:rsidRDefault="002A17A3" w:rsidP="005E6581">
            <w:pPr>
              <w:keepNext/>
              <w:keepLines/>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550" w:type="pct"/>
            <w:gridSpan w:val="2"/>
            <w:tcBorders>
              <w:top w:val="single" w:sz="4" w:space="0" w:color="auto"/>
              <w:left w:val="single" w:sz="4" w:space="0" w:color="auto"/>
              <w:bottom w:val="single" w:sz="4" w:space="0" w:color="auto"/>
              <w:right w:val="single" w:sz="4" w:space="0" w:color="auto"/>
            </w:tcBorders>
            <w:vAlign w:val="center"/>
          </w:tcPr>
          <w:p w:rsidR="00363D60" w:rsidRPr="002A17A3" w:rsidRDefault="002A17A3" w:rsidP="005E6581">
            <w:pPr>
              <w:keepNext/>
              <w:keepLines/>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837" w:type="pct"/>
            <w:tcBorders>
              <w:top w:val="single" w:sz="4" w:space="0" w:color="auto"/>
              <w:left w:val="single" w:sz="4" w:space="0" w:color="auto"/>
              <w:bottom w:val="single" w:sz="4" w:space="0" w:color="auto"/>
              <w:right w:val="single" w:sz="4" w:space="0" w:color="auto"/>
            </w:tcBorders>
            <w:vAlign w:val="center"/>
          </w:tcPr>
          <w:p w:rsidR="00363D60" w:rsidRPr="002A17A3" w:rsidRDefault="002A17A3" w:rsidP="005E6581">
            <w:pPr>
              <w:keepNext/>
              <w:keepLines/>
              <w:jc w:val="center"/>
              <w:rPr>
                <w:rFonts w:ascii="Arial Narrow" w:hAnsi="Arial Narrow"/>
                <w:color w:val="000000"/>
                <w:sz w:val="20"/>
                <w:szCs w:val="18"/>
                <w:highlight w:val="black"/>
              </w:rPr>
            </w:pPr>
            <w:r>
              <w:rPr>
                <w:rFonts w:ascii="Arial Narrow" w:hAnsi="Arial Narrow"/>
                <w:noProof/>
                <w:color w:val="000000"/>
                <w:sz w:val="20"/>
                <w:szCs w:val="18"/>
                <w:highlight w:val="black"/>
              </w:rPr>
              <w:t>'''''''''' '''''''''''''''' ''''''''''''''</w:t>
            </w:r>
          </w:p>
        </w:tc>
      </w:tr>
      <w:tr w:rsidR="00257ABE" w:rsidRPr="00051281" w:rsidTr="004574B9">
        <w:trPr>
          <w:trHeight w:val="47"/>
        </w:trPr>
        <w:tc>
          <w:tcPr>
            <w:tcW w:w="1098" w:type="pct"/>
            <w:tcBorders>
              <w:top w:val="single" w:sz="4" w:space="0" w:color="auto"/>
              <w:left w:val="single" w:sz="4" w:space="0" w:color="auto"/>
              <w:bottom w:val="single" w:sz="4" w:space="0" w:color="auto"/>
              <w:right w:val="single" w:sz="4" w:space="0" w:color="auto"/>
            </w:tcBorders>
            <w:shd w:val="clear" w:color="auto" w:fill="auto"/>
          </w:tcPr>
          <w:p w:rsidR="00363D60" w:rsidRPr="00051281" w:rsidRDefault="00363D60" w:rsidP="005E6581">
            <w:pPr>
              <w:pStyle w:val="Tabletext"/>
              <w:keepNext/>
              <w:keepLines/>
              <w:rPr>
                <w:color w:val="000000"/>
                <w:szCs w:val="18"/>
              </w:rPr>
            </w:pPr>
            <w:r w:rsidRPr="00051281">
              <w:t>205.456 (12-17 y</w:t>
            </w:r>
            <w:r w:rsidR="0070720C" w:rsidRPr="00051281">
              <w:t>ea</w:t>
            </w:r>
            <w:r w:rsidRPr="00051281">
              <w:t>rs)</w:t>
            </w:r>
          </w:p>
        </w:tc>
        <w:tc>
          <w:tcPr>
            <w:tcW w:w="560" w:type="pct"/>
            <w:gridSpan w:val="2"/>
            <w:tcBorders>
              <w:top w:val="single" w:sz="4" w:space="0" w:color="auto"/>
              <w:left w:val="single" w:sz="4" w:space="0" w:color="auto"/>
              <w:bottom w:val="single" w:sz="4" w:space="0" w:color="auto"/>
              <w:right w:val="single" w:sz="4" w:space="0" w:color="auto"/>
            </w:tcBorders>
            <w:vAlign w:val="center"/>
          </w:tcPr>
          <w:p w:rsidR="00363D60" w:rsidRPr="002A17A3" w:rsidRDefault="002A17A3" w:rsidP="005E6581">
            <w:pPr>
              <w:pStyle w:val="Tabletext"/>
              <w:keepNext/>
              <w:keepLines/>
              <w:jc w:val="center"/>
              <w:rPr>
                <w:color w:val="000000"/>
                <w:szCs w:val="18"/>
                <w:highlight w:val="black"/>
              </w:rPr>
            </w:pPr>
            <w:r>
              <w:rPr>
                <w:noProof/>
                <w:color w:val="000000"/>
                <w:highlight w:val="black"/>
              </w:rPr>
              <w:t>''''''''''</w:t>
            </w:r>
          </w:p>
        </w:tc>
        <w:tc>
          <w:tcPr>
            <w:tcW w:w="550" w:type="pct"/>
            <w:gridSpan w:val="2"/>
            <w:tcBorders>
              <w:top w:val="single" w:sz="4" w:space="0" w:color="auto"/>
              <w:left w:val="single" w:sz="4" w:space="0" w:color="auto"/>
              <w:bottom w:val="single" w:sz="4" w:space="0" w:color="auto"/>
              <w:right w:val="single" w:sz="4" w:space="0" w:color="auto"/>
            </w:tcBorders>
            <w:vAlign w:val="center"/>
          </w:tcPr>
          <w:p w:rsidR="00363D60" w:rsidRPr="002A17A3" w:rsidRDefault="002A17A3" w:rsidP="005E6581">
            <w:pPr>
              <w:pStyle w:val="Tabletext"/>
              <w:keepNext/>
              <w:keepLines/>
              <w:jc w:val="center"/>
              <w:rPr>
                <w:color w:val="000000"/>
                <w:szCs w:val="18"/>
                <w:highlight w:val="black"/>
              </w:rPr>
            </w:pPr>
            <w:r>
              <w:rPr>
                <w:noProof/>
                <w:color w:val="000000"/>
                <w:highlight w:val="black"/>
              </w:rPr>
              <w:t>'''''''''''</w:t>
            </w:r>
          </w:p>
        </w:tc>
        <w:tc>
          <w:tcPr>
            <w:tcW w:w="855" w:type="pct"/>
            <w:gridSpan w:val="3"/>
            <w:tcBorders>
              <w:top w:val="single" w:sz="4" w:space="0" w:color="auto"/>
              <w:left w:val="single" w:sz="4" w:space="0" w:color="auto"/>
              <w:bottom w:val="single" w:sz="4" w:space="0" w:color="auto"/>
              <w:right w:val="single" w:sz="4" w:space="0" w:color="auto"/>
            </w:tcBorders>
            <w:vAlign w:val="center"/>
          </w:tcPr>
          <w:p w:rsidR="00363D60" w:rsidRPr="002A17A3" w:rsidRDefault="002A17A3" w:rsidP="005E6581">
            <w:pPr>
              <w:pStyle w:val="Tabletext"/>
              <w:keepNext/>
              <w:keepLines/>
              <w:jc w:val="center"/>
              <w:rPr>
                <w:color w:val="000000"/>
                <w:szCs w:val="18"/>
                <w:highlight w:val="black"/>
              </w:rPr>
            </w:pPr>
            <w:r>
              <w:rPr>
                <w:noProof/>
                <w:color w:val="000000"/>
                <w:highlight w:val="black"/>
              </w:rPr>
              <w:t>'''''''''' '''''''''''''' ''''''''''''</w:t>
            </w:r>
          </w:p>
        </w:tc>
        <w:tc>
          <w:tcPr>
            <w:tcW w:w="550" w:type="pct"/>
            <w:tcBorders>
              <w:top w:val="single" w:sz="4" w:space="0" w:color="auto"/>
              <w:left w:val="single" w:sz="4" w:space="0" w:color="auto"/>
              <w:bottom w:val="single" w:sz="4" w:space="0" w:color="auto"/>
              <w:right w:val="single" w:sz="4" w:space="0" w:color="auto"/>
            </w:tcBorders>
            <w:vAlign w:val="center"/>
          </w:tcPr>
          <w:p w:rsidR="00363D60" w:rsidRPr="002A17A3" w:rsidRDefault="002A17A3" w:rsidP="005E6581">
            <w:pPr>
              <w:keepNext/>
              <w:keepLines/>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550" w:type="pct"/>
            <w:gridSpan w:val="2"/>
            <w:tcBorders>
              <w:top w:val="single" w:sz="4" w:space="0" w:color="auto"/>
              <w:left w:val="single" w:sz="4" w:space="0" w:color="auto"/>
              <w:bottom w:val="single" w:sz="4" w:space="0" w:color="auto"/>
              <w:right w:val="single" w:sz="4" w:space="0" w:color="auto"/>
            </w:tcBorders>
            <w:vAlign w:val="center"/>
          </w:tcPr>
          <w:p w:rsidR="00363D60" w:rsidRPr="002A17A3" w:rsidRDefault="002A17A3" w:rsidP="005E6581">
            <w:pPr>
              <w:keepNext/>
              <w:keepLines/>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837" w:type="pct"/>
            <w:tcBorders>
              <w:top w:val="single" w:sz="4" w:space="0" w:color="auto"/>
              <w:left w:val="single" w:sz="4" w:space="0" w:color="auto"/>
              <w:bottom w:val="single" w:sz="4" w:space="0" w:color="auto"/>
              <w:right w:val="single" w:sz="4" w:space="0" w:color="auto"/>
            </w:tcBorders>
            <w:vAlign w:val="center"/>
          </w:tcPr>
          <w:p w:rsidR="00363D60" w:rsidRPr="002A17A3" w:rsidRDefault="002A17A3" w:rsidP="005E6581">
            <w:pPr>
              <w:keepNext/>
              <w:keepLines/>
              <w:jc w:val="center"/>
              <w:rPr>
                <w:rFonts w:ascii="Arial Narrow" w:hAnsi="Arial Narrow"/>
                <w:color w:val="000000"/>
                <w:sz w:val="20"/>
                <w:szCs w:val="18"/>
                <w:highlight w:val="black"/>
              </w:rPr>
            </w:pPr>
            <w:r>
              <w:rPr>
                <w:rFonts w:ascii="Arial Narrow" w:hAnsi="Arial Narrow"/>
                <w:noProof/>
                <w:color w:val="000000"/>
                <w:sz w:val="20"/>
                <w:szCs w:val="18"/>
                <w:highlight w:val="black"/>
              </w:rPr>
              <w:t>''''''''''' '''''''''''''' ''''''''''''</w:t>
            </w:r>
          </w:p>
        </w:tc>
      </w:tr>
      <w:tr w:rsidR="00363D60" w:rsidRPr="00051281" w:rsidTr="004574B9">
        <w:tc>
          <w:tcPr>
            <w:tcW w:w="5000" w:type="pct"/>
            <w:gridSpan w:val="12"/>
            <w:tcBorders>
              <w:top w:val="double" w:sz="4" w:space="0" w:color="auto"/>
              <w:left w:val="single" w:sz="4" w:space="0" w:color="auto"/>
              <w:bottom w:val="single" w:sz="4" w:space="0" w:color="auto"/>
              <w:right w:val="single" w:sz="4" w:space="0" w:color="auto"/>
            </w:tcBorders>
            <w:shd w:val="clear" w:color="auto" w:fill="auto"/>
            <w:vAlign w:val="center"/>
          </w:tcPr>
          <w:p w:rsidR="00363D60" w:rsidRPr="00051281" w:rsidRDefault="00363D60" w:rsidP="005E6581">
            <w:pPr>
              <w:keepNext/>
              <w:rPr>
                <w:rFonts w:ascii="Arial Narrow" w:hAnsi="Arial Narrow"/>
                <w:b/>
                <w:color w:val="000000"/>
                <w:sz w:val="20"/>
                <w:szCs w:val="18"/>
              </w:rPr>
            </w:pPr>
            <w:r w:rsidRPr="00051281">
              <w:rPr>
                <w:rStyle w:val="CommentReference"/>
              </w:rPr>
              <w:t>FEV</w:t>
            </w:r>
            <w:r w:rsidRPr="00051281">
              <w:rPr>
                <w:rStyle w:val="CommentReference"/>
                <w:vertAlign w:val="subscript"/>
              </w:rPr>
              <w:t>1</w:t>
            </w:r>
            <w:r w:rsidRPr="00051281">
              <w:rPr>
                <w:rStyle w:val="CommentReference"/>
              </w:rPr>
              <w:t xml:space="preserve"> peak (</w:t>
            </w:r>
            <w:r w:rsidR="00EF1028" w:rsidRPr="00051281">
              <w:rPr>
                <w:rStyle w:val="CommentReference"/>
              </w:rPr>
              <w:t>0–3</w:t>
            </w:r>
            <w:r w:rsidRPr="00051281">
              <w:rPr>
                <w:rStyle w:val="CommentReference"/>
              </w:rPr>
              <w:t>h) response (L) at 12 weeks</w:t>
            </w:r>
          </w:p>
        </w:tc>
      </w:tr>
      <w:tr w:rsidR="00257ABE" w:rsidRPr="00051281" w:rsidTr="004574B9">
        <w:trPr>
          <w:trHeight w:val="225"/>
        </w:trPr>
        <w:tc>
          <w:tcPr>
            <w:tcW w:w="109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63D60" w:rsidRPr="00051281" w:rsidRDefault="00363D60" w:rsidP="005E6581">
            <w:pPr>
              <w:keepNext/>
              <w:rPr>
                <w:rFonts w:ascii="Arial Narrow" w:hAnsi="Arial Narrow"/>
                <w:color w:val="000000"/>
                <w:sz w:val="20"/>
                <w:szCs w:val="18"/>
              </w:rPr>
            </w:pPr>
          </w:p>
        </w:tc>
        <w:tc>
          <w:tcPr>
            <w:tcW w:w="1344" w:type="pct"/>
            <w:gridSpan w:val="5"/>
            <w:tcBorders>
              <w:top w:val="single" w:sz="4" w:space="0" w:color="auto"/>
              <w:left w:val="single" w:sz="4" w:space="0" w:color="auto"/>
              <w:bottom w:val="single" w:sz="4" w:space="0" w:color="auto"/>
              <w:right w:val="single" w:sz="4" w:space="0" w:color="auto"/>
            </w:tcBorders>
            <w:vAlign w:val="center"/>
          </w:tcPr>
          <w:p w:rsidR="00363D60" w:rsidRPr="00051281" w:rsidRDefault="00363D60" w:rsidP="005E6581">
            <w:pPr>
              <w:keepNext/>
              <w:jc w:val="center"/>
              <w:rPr>
                <w:rFonts w:ascii="Arial Narrow" w:hAnsi="Arial Narrow"/>
                <w:color w:val="000000"/>
                <w:sz w:val="20"/>
                <w:szCs w:val="18"/>
              </w:rPr>
            </w:pPr>
            <w:r w:rsidRPr="00051281">
              <w:rPr>
                <w:rFonts w:ascii="Arial Narrow" w:hAnsi="Arial Narrow"/>
                <w:b/>
                <w:color w:val="000000"/>
                <w:sz w:val="20"/>
                <w:szCs w:val="18"/>
              </w:rPr>
              <w:t>Tiotropium</w:t>
            </w:r>
          </w:p>
        </w:tc>
        <w:tc>
          <w:tcPr>
            <w:tcW w:w="1338" w:type="pct"/>
            <w:gridSpan w:val="4"/>
            <w:tcBorders>
              <w:top w:val="single" w:sz="4" w:space="0" w:color="auto"/>
              <w:left w:val="single" w:sz="4" w:space="0" w:color="auto"/>
              <w:bottom w:val="single" w:sz="4" w:space="0" w:color="auto"/>
              <w:right w:val="single" w:sz="4" w:space="0" w:color="auto"/>
            </w:tcBorders>
            <w:vAlign w:val="center"/>
          </w:tcPr>
          <w:p w:rsidR="00363D60" w:rsidRPr="00051281" w:rsidRDefault="00363D60" w:rsidP="005E6581">
            <w:pPr>
              <w:keepNext/>
              <w:jc w:val="center"/>
              <w:rPr>
                <w:rFonts w:ascii="Arial Narrow" w:hAnsi="Arial Narrow"/>
                <w:color w:val="000000"/>
                <w:sz w:val="20"/>
                <w:szCs w:val="18"/>
              </w:rPr>
            </w:pPr>
            <w:r w:rsidRPr="00051281">
              <w:rPr>
                <w:rFonts w:ascii="Arial Narrow" w:hAnsi="Arial Narrow"/>
                <w:b/>
                <w:color w:val="000000"/>
                <w:sz w:val="20"/>
                <w:szCs w:val="18"/>
              </w:rPr>
              <w:t>Placebo</w:t>
            </w:r>
          </w:p>
        </w:tc>
        <w:tc>
          <w:tcPr>
            <w:tcW w:w="1220" w:type="pct"/>
            <w:gridSpan w:val="2"/>
            <w:vMerge w:val="restart"/>
            <w:tcBorders>
              <w:top w:val="single" w:sz="4" w:space="0" w:color="auto"/>
              <w:left w:val="single" w:sz="4" w:space="0" w:color="auto"/>
              <w:bottom w:val="single" w:sz="4" w:space="0" w:color="auto"/>
              <w:right w:val="single" w:sz="4" w:space="0" w:color="auto"/>
            </w:tcBorders>
            <w:vAlign w:val="center"/>
          </w:tcPr>
          <w:p w:rsidR="00363D60" w:rsidRPr="00051281" w:rsidRDefault="00363D60" w:rsidP="005E6581">
            <w:pPr>
              <w:keepNext/>
              <w:jc w:val="center"/>
              <w:rPr>
                <w:rFonts w:ascii="Arial Narrow" w:hAnsi="Arial Narrow"/>
                <w:b/>
                <w:sz w:val="20"/>
                <w:szCs w:val="18"/>
              </w:rPr>
            </w:pPr>
            <w:r w:rsidRPr="00051281">
              <w:rPr>
                <w:rFonts w:ascii="Arial Narrow" w:hAnsi="Arial Narrow"/>
                <w:b/>
                <w:sz w:val="20"/>
                <w:szCs w:val="18"/>
              </w:rPr>
              <w:t>Adjusted mean difference</w:t>
            </w:r>
            <w:r w:rsidR="0006651E" w:rsidRPr="00051281">
              <w:rPr>
                <w:rFonts w:ascii="Arial Narrow" w:hAnsi="Arial Narrow"/>
                <w:b/>
                <w:sz w:val="20"/>
                <w:szCs w:val="18"/>
              </w:rPr>
              <w:t xml:space="preserve"> </w:t>
            </w:r>
            <w:r w:rsidRPr="00051281">
              <w:rPr>
                <w:rFonts w:ascii="Arial Narrow" w:hAnsi="Arial Narrow"/>
                <w:b/>
                <w:sz w:val="20"/>
                <w:szCs w:val="18"/>
              </w:rPr>
              <w:t xml:space="preserve">(95% CI) </w:t>
            </w:r>
            <w:r w:rsidR="00435F38" w:rsidRPr="00051281">
              <w:rPr>
                <w:rFonts w:ascii="Arial Narrow" w:hAnsi="Arial Narrow"/>
                <w:b/>
                <w:sz w:val="20"/>
                <w:szCs w:val="18"/>
                <w:vertAlign w:val="superscript"/>
              </w:rPr>
              <w:t>c</w:t>
            </w:r>
            <w:r w:rsidR="00435F38" w:rsidRPr="00051281">
              <w:rPr>
                <w:rFonts w:ascii="Arial Narrow" w:hAnsi="Arial Narrow"/>
                <w:b/>
                <w:sz w:val="20"/>
                <w:szCs w:val="18"/>
              </w:rPr>
              <w:t xml:space="preserve"> </w:t>
            </w:r>
          </w:p>
        </w:tc>
      </w:tr>
      <w:tr w:rsidR="00DB31ED" w:rsidRPr="00051281" w:rsidTr="004574B9">
        <w:trPr>
          <w:trHeight w:val="225"/>
        </w:trPr>
        <w:tc>
          <w:tcPr>
            <w:tcW w:w="1098" w:type="pct"/>
            <w:vMerge/>
            <w:tcBorders>
              <w:top w:val="single" w:sz="4" w:space="0" w:color="auto"/>
              <w:left w:val="single" w:sz="4" w:space="0" w:color="auto"/>
              <w:bottom w:val="single" w:sz="4" w:space="0" w:color="auto"/>
              <w:right w:val="single" w:sz="4" w:space="0" w:color="auto"/>
            </w:tcBorders>
            <w:shd w:val="clear" w:color="auto" w:fill="auto"/>
            <w:vAlign w:val="center"/>
          </w:tcPr>
          <w:p w:rsidR="00363D60" w:rsidRPr="00051281" w:rsidRDefault="00363D60" w:rsidP="005E6581">
            <w:pPr>
              <w:keepNext/>
              <w:rPr>
                <w:rFonts w:ascii="Arial Narrow" w:hAnsi="Arial Narrow"/>
                <w:color w:val="000000"/>
                <w:sz w:val="20"/>
                <w:szCs w:val="18"/>
              </w:rPr>
            </w:pPr>
          </w:p>
        </w:tc>
        <w:tc>
          <w:tcPr>
            <w:tcW w:w="394" w:type="pct"/>
            <w:tcBorders>
              <w:top w:val="single" w:sz="4" w:space="0" w:color="auto"/>
              <w:left w:val="single" w:sz="4" w:space="0" w:color="auto"/>
              <w:bottom w:val="single" w:sz="4" w:space="0" w:color="auto"/>
              <w:right w:val="single" w:sz="4" w:space="0" w:color="auto"/>
            </w:tcBorders>
            <w:vAlign w:val="center"/>
          </w:tcPr>
          <w:p w:rsidR="00363D60" w:rsidRPr="00051281" w:rsidRDefault="00363D60" w:rsidP="005E6581">
            <w:pPr>
              <w:keepNext/>
              <w:jc w:val="center"/>
              <w:rPr>
                <w:rFonts w:ascii="Arial Narrow" w:hAnsi="Arial Narrow"/>
                <w:b/>
                <w:color w:val="000000"/>
                <w:sz w:val="20"/>
                <w:szCs w:val="18"/>
              </w:rPr>
            </w:pPr>
            <w:r w:rsidRPr="00051281">
              <w:rPr>
                <w:rFonts w:ascii="Arial Narrow" w:hAnsi="Arial Narrow"/>
                <w:b/>
                <w:color w:val="000000"/>
                <w:sz w:val="20"/>
                <w:szCs w:val="18"/>
              </w:rPr>
              <w:t>N</w:t>
            </w:r>
          </w:p>
        </w:tc>
        <w:tc>
          <w:tcPr>
            <w:tcW w:w="950" w:type="pct"/>
            <w:gridSpan w:val="4"/>
            <w:tcBorders>
              <w:top w:val="single" w:sz="4" w:space="0" w:color="auto"/>
              <w:left w:val="single" w:sz="4" w:space="0" w:color="auto"/>
              <w:bottom w:val="single" w:sz="4" w:space="0" w:color="auto"/>
              <w:right w:val="single" w:sz="4" w:space="0" w:color="auto"/>
            </w:tcBorders>
            <w:vAlign w:val="center"/>
          </w:tcPr>
          <w:p w:rsidR="00363D60" w:rsidRPr="00051281" w:rsidRDefault="00363D60" w:rsidP="005E6581">
            <w:pPr>
              <w:keepNext/>
              <w:jc w:val="center"/>
              <w:rPr>
                <w:rFonts w:ascii="Arial Narrow" w:hAnsi="Arial Narrow"/>
                <w:b/>
                <w:sz w:val="20"/>
                <w:szCs w:val="18"/>
              </w:rPr>
            </w:pPr>
            <w:r w:rsidRPr="00051281">
              <w:rPr>
                <w:rFonts w:ascii="Arial Narrow" w:hAnsi="Arial Narrow"/>
                <w:b/>
                <w:sz w:val="20"/>
                <w:szCs w:val="18"/>
              </w:rPr>
              <w:t>Adjusted mean change</w:t>
            </w:r>
            <w:r w:rsidR="0006651E" w:rsidRPr="00051281">
              <w:rPr>
                <w:rFonts w:ascii="Arial Narrow" w:hAnsi="Arial Narrow"/>
                <w:b/>
                <w:sz w:val="20"/>
                <w:szCs w:val="18"/>
              </w:rPr>
              <w:t xml:space="preserve"> </w:t>
            </w:r>
            <w:r w:rsidRPr="00051281">
              <w:rPr>
                <w:rFonts w:ascii="Arial Narrow" w:hAnsi="Arial Narrow"/>
                <w:b/>
                <w:sz w:val="20"/>
                <w:szCs w:val="18"/>
              </w:rPr>
              <w:t xml:space="preserve">(SD) </w:t>
            </w:r>
            <w:r w:rsidR="00435F38" w:rsidRPr="00051281">
              <w:rPr>
                <w:rFonts w:ascii="Arial Narrow" w:hAnsi="Arial Narrow"/>
                <w:b/>
                <w:sz w:val="20"/>
                <w:szCs w:val="18"/>
                <w:vertAlign w:val="superscript"/>
              </w:rPr>
              <w:t>b</w:t>
            </w:r>
          </w:p>
        </w:tc>
        <w:tc>
          <w:tcPr>
            <w:tcW w:w="396" w:type="pct"/>
            <w:tcBorders>
              <w:top w:val="single" w:sz="4" w:space="0" w:color="auto"/>
              <w:left w:val="single" w:sz="4" w:space="0" w:color="auto"/>
              <w:bottom w:val="single" w:sz="4" w:space="0" w:color="auto"/>
              <w:right w:val="single" w:sz="4" w:space="0" w:color="auto"/>
            </w:tcBorders>
            <w:vAlign w:val="center"/>
          </w:tcPr>
          <w:p w:rsidR="00363D60" w:rsidRPr="00051281" w:rsidRDefault="00363D60" w:rsidP="005E6581">
            <w:pPr>
              <w:keepNext/>
              <w:jc w:val="center"/>
              <w:rPr>
                <w:rFonts w:ascii="Arial Narrow" w:hAnsi="Arial Narrow"/>
                <w:b/>
                <w:color w:val="000000"/>
                <w:sz w:val="20"/>
                <w:szCs w:val="18"/>
              </w:rPr>
            </w:pPr>
            <w:r w:rsidRPr="00051281">
              <w:rPr>
                <w:rFonts w:ascii="Arial Narrow" w:hAnsi="Arial Narrow"/>
                <w:b/>
                <w:color w:val="000000"/>
                <w:sz w:val="20"/>
                <w:szCs w:val="18"/>
              </w:rPr>
              <w:t>N</w:t>
            </w:r>
          </w:p>
        </w:tc>
        <w:tc>
          <w:tcPr>
            <w:tcW w:w="942" w:type="pct"/>
            <w:gridSpan w:val="3"/>
            <w:tcBorders>
              <w:top w:val="single" w:sz="4" w:space="0" w:color="auto"/>
              <w:left w:val="single" w:sz="4" w:space="0" w:color="auto"/>
              <w:bottom w:val="single" w:sz="4" w:space="0" w:color="auto"/>
              <w:right w:val="single" w:sz="4" w:space="0" w:color="auto"/>
            </w:tcBorders>
            <w:vAlign w:val="center"/>
          </w:tcPr>
          <w:p w:rsidR="00363D60" w:rsidRPr="00051281" w:rsidRDefault="00363D60" w:rsidP="005E6581">
            <w:pPr>
              <w:keepNext/>
              <w:jc w:val="center"/>
              <w:rPr>
                <w:rFonts w:ascii="Arial Narrow" w:hAnsi="Arial Narrow"/>
                <w:b/>
                <w:sz w:val="20"/>
                <w:szCs w:val="18"/>
              </w:rPr>
            </w:pPr>
            <w:r w:rsidRPr="00051281">
              <w:rPr>
                <w:rFonts w:ascii="Arial Narrow" w:hAnsi="Arial Narrow"/>
                <w:b/>
                <w:sz w:val="20"/>
                <w:szCs w:val="18"/>
              </w:rPr>
              <w:t>Adjusted mean change (SD)</w:t>
            </w:r>
            <w:r w:rsidR="0006651E" w:rsidRPr="00051281">
              <w:rPr>
                <w:rFonts w:ascii="Arial Narrow" w:hAnsi="Arial Narrow"/>
                <w:b/>
                <w:sz w:val="20"/>
                <w:szCs w:val="18"/>
              </w:rPr>
              <w:t xml:space="preserve"> </w:t>
            </w:r>
            <w:r w:rsidR="00435F38" w:rsidRPr="00051281">
              <w:rPr>
                <w:rFonts w:ascii="Arial Narrow" w:hAnsi="Arial Narrow"/>
                <w:b/>
                <w:sz w:val="20"/>
                <w:szCs w:val="18"/>
                <w:vertAlign w:val="superscript"/>
              </w:rPr>
              <w:t>b</w:t>
            </w:r>
          </w:p>
        </w:tc>
        <w:tc>
          <w:tcPr>
            <w:tcW w:w="1220" w:type="pct"/>
            <w:gridSpan w:val="2"/>
            <w:vMerge/>
            <w:tcBorders>
              <w:top w:val="single" w:sz="4" w:space="0" w:color="auto"/>
              <w:left w:val="single" w:sz="4" w:space="0" w:color="auto"/>
              <w:bottom w:val="single" w:sz="4" w:space="0" w:color="auto"/>
              <w:right w:val="single" w:sz="4" w:space="0" w:color="auto"/>
            </w:tcBorders>
            <w:vAlign w:val="center"/>
          </w:tcPr>
          <w:p w:rsidR="00363D60" w:rsidRPr="00051281" w:rsidRDefault="00363D60" w:rsidP="005E6581">
            <w:pPr>
              <w:keepNext/>
              <w:jc w:val="center"/>
              <w:rPr>
                <w:rFonts w:ascii="Arial Narrow" w:hAnsi="Arial Narrow"/>
                <w:b/>
                <w:sz w:val="20"/>
                <w:szCs w:val="18"/>
              </w:rPr>
            </w:pPr>
          </w:p>
        </w:tc>
      </w:tr>
      <w:tr w:rsidR="00DB31ED" w:rsidRPr="00051281" w:rsidTr="004574B9">
        <w:tc>
          <w:tcPr>
            <w:tcW w:w="1098" w:type="pct"/>
            <w:tcBorders>
              <w:top w:val="single" w:sz="4" w:space="0" w:color="auto"/>
              <w:left w:val="single" w:sz="4" w:space="0" w:color="auto"/>
              <w:bottom w:val="single" w:sz="4" w:space="0" w:color="auto"/>
              <w:right w:val="single" w:sz="4" w:space="0" w:color="auto"/>
            </w:tcBorders>
            <w:shd w:val="clear" w:color="auto" w:fill="auto"/>
          </w:tcPr>
          <w:p w:rsidR="00363D60" w:rsidRPr="00051281" w:rsidRDefault="00363D60" w:rsidP="005E6581">
            <w:pPr>
              <w:pStyle w:val="Tabletext"/>
              <w:keepNext/>
              <w:rPr>
                <w:color w:val="000000"/>
                <w:szCs w:val="18"/>
              </w:rPr>
            </w:pPr>
            <w:r w:rsidRPr="00051281">
              <w:t>205.446 (6-11 y</w:t>
            </w:r>
            <w:r w:rsidR="00257ABE" w:rsidRPr="00051281">
              <w:t>ea</w:t>
            </w:r>
            <w:r w:rsidRPr="00051281">
              <w:t>rs)</w:t>
            </w:r>
          </w:p>
        </w:tc>
        <w:tc>
          <w:tcPr>
            <w:tcW w:w="394" w:type="pct"/>
            <w:tcBorders>
              <w:top w:val="single" w:sz="4" w:space="0" w:color="auto"/>
              <w:left w:val="single" w:sz="4" w:space="0" w:color="auto"/>
              <w:bottom w:val="single" w:sz="4" w:space="0" w:color="auto"/>
              <w:right w:val="single" w:sz="4" w:space="0" w:color="auto"/>
            </w:tcBorders>
            <w:vAlign w:val="center"/>
          </w:tcPr>
          <w:p w:rsidR="00363D60" w:rsidRPr="00051281" w:rsidRDefault="00363D60" w:rsidP="005E6581">
            <w:pPr>
              <w:pStyle w:val="Tabletext"/>
              <w:keepNext/>
              <w:jc w:val="center"/>
              <w:rPr>
                <w:color w:val="000000"/>
                <w:szCs w:val="18"/>
              </w:rPr>
            </w:pPr>
            <w:r w:rsidRPr="00051281">
              <w:t>128</w:t>
            </w:r>
          </w:p>
        </w:tc>
        <w:tc>
          <w:tcPr>
            <w:tcW w:w="950" w:type="pct"/>
            <w:gridSpan w:val="4"/>
            <w:tcBorders>
              <w:top w:val="single" w:sz="4" w:space="0" w:color="auto"/>
              <w:left w:val="single" w:sz="4" w:space="0" w:color="auto"/>
              <w:bottom w:val="single" w:sz="4" w:space="0" w:color="auto"/>
              <w:right w:val="single" w:sz="4" w:space="0" w:color="auto"/>
            </w:tcBorders>
            <w:vAlign w:val="center"/>
          </w:tcPr>
          <w:p w:rsidR="00363D60" w:rsidRPr="00051281" w:rsidRDefault="00363D60" w:rsidP="005E6581">
            <w:pPr>
              <w:pStyle w:val="Tabletext"/>
              <w:keepNext/>
              <w:jc w:val="center"/>
              <w:rPr>
                <w:color w:val="000000"/>
                <w:szCs w:val="18"/>
              </w:rPr>
            </w:pPr>
            <w:r w:rsidRPr="00051281">
              <w:t>0.39 (0.35)</w:t>
            </w:r>
          </w:p>
        </w:tc>
        <w:tc>
          <w:tcPr>
            <w:tcW w:w="396" w:type="pct"/>
            <w:tcBorders>
              <w:top w:val="single" w:sz="4" w:space="0" w:color="auto"/>
              <w:left w:val="single" w:sz="4" w:space="0" w:color="auto"/>
              <w:bottom w:val="single" w:sz="4" w:space="0" w:color="auto"/>
              <w:right w:val="single" w:sz="4" w:space="0" w:color="auto"/>
            </w:tcBorders>
            <w:vAlign w:val="center"/>
          </w:tcPr>
          <w:p w:rsidR="00363D60" w:rsidRPr="00051281" w:rsidRDefault="00363D60" w:rsidP="005E6581">
            <w:pPr>
              <w:pStyle w:val="Tabletext"/>
              <w:keepNext/>
              <w:jc w:val="center"/>
              <w:rPr>
                <w:color w:val="000000"/>
                <w:szCs w:val="18"/>
              </w:rPr>
            </w:pPr>
            <w:r w:rsidRPr="00051281">
              <w:t>130</w:t>
            </w:r>
          </w:p>
        </w:tc>
        <w:tc>
          <w:tcPr>
            <w:tcW w:w="942" w:type="pct"/>
            <w:gridSpan w:val="3"/>
            <w:tcBorders>
              <w:top w:val="single" w:sz="4" w:space="0" w:color="auto"/>
              <w:left w:val="single" w:sz="4" w:space="0" w:color="auto"/>
              <w:bottom w:val="single" w:sz="4" w:space="0" w:color="auto"/>
              <w:right w:val="single" w:sz="4" w:space="0" w:color="auto"/>
            </w:tcBorders>
            <w:vAlign w:val="center"/>
          </w:tcPr>
          <w:p w:rsidR="00363D60" w:rsidRPr="00051281" w:rsidRDefault="00363D60" w:rsidP="005E6581">
            <w:pPr>
              <w:pStyle w:val="Tabletext"/>
              <w:keepNext/>
              <w:jc w:val="center"/>
              <w:rPr>
                <w:color w:val="000000"/>
                <w:szCs w:val="18"/>
              </w:rPr>
            </w:pPr>
            <w:r w:rsidRPr="00051281">
              <w:t>0.25 (0.29)</w:t>
            </w:r>
          </w:p>
        </w:tc>
        <w:tc>
          <w:tcPr>
            <w:tcW w:w="1220" w:type="pct"/>
            <w:gridSpan w:val="2"/>
            <w:tcBorders>
              <w:top w:val="single" w:sz="4" w:space="0" w:color="auto"/>
              <w:left w:val="single" w:sz="4" w:space="0" w:color="auto"/>
              <w:bottom w:val="single" w:sz="4" w:space="0" w:color="auto"/>
              <w:right w:val="single" w:sz="4" w:space="0" w:color="auto"/>
            </w:tcBorders>
            <w:vAlign w:val="center"/>
          </w:tcPr>
          <w:p w:rsidR="00363D60" w:rsidRPr="00051281" w:rsidRDefault="00363D60" w:rsidP="005E6581">
            <w:pPr>
              <w:pStyle w:val="Tabletext"/>
              <w:keepNext/>
              <w:jc w:val="center"/>
              <w:rPr>
                <w:szCs w:val="18"/>
              </w:rPr>
            </w:pPr>
            <w:r w:rsidRPr="00051281">
              <w:rPr>
                <w:b/>
              </w:rPr>
              <w:t>0.14 (0.08, 0.20)</w:t>
            </w:r>
          </w:p>
        </w:tc>
      </w:tr>
      <w:tr w:rsidR="00DB31ED" w:rsidRPr="00051281" w:rsidTr="004574B9">
        <w:tc>
          <w:tcPr>
            <w:tcW w:w="1098" w:type="pct"/>
            <w:tcBorders>
              <w:top w:val="single" w:sz="4" w:space="0" w:color="auto"/>
              <w:left w:val="single" w:sz="4" w:space="0" w:color="auto"/>
              <w:bottom w:val="single" w:sz="4" w:space="0" w:color="auto"/>
              <w:right w:val="single" w:sz="4" w:space="0" w:color="auto"/>
            </w:tcBorders>
            <w:shd w:val="clear" w:color="auto" w:fill="auto"/>
          </w:tcPr>
          <w:p w:rsidR="00363D60" w:rsidRPr="00051281" w:rsidRDefault="00363D60" w:rsidP="005E6581">
            <w:pPr>
              <w:pStyle w:val="Tabletext"/>
              <w:keepNext/>
              <w:rPr>
                <w:color w:val="000000"/>
                <w:szCs w:val="18"/>
              </w:rPr>
            </w:pPr>
            <w:r w:rsidRPr="00051281">
              <w:t>205.456 (12-17 y</w:t>
            </w:r>
            <w:r w:rsidR="00257ABE" w:rsidRPr="00051281">
              <w:t>ea</w:t>
            </w:r>
            <w:r w:rsidRPr="00051281">
              <w:t>rs)</w:t>
            </w:r>
          </w:p>
        </w:tc>
        <w:tc>
          <w:tcPr>
            <w:tcW w:w="394" w:type="pct"/>
            <w:tcBorders>
              <w:top w:val="single" w:sz="4" w:space="0" w:color="auto"/>
              <w:left w:val="single" w:sz="4" w:space="0" w:color="auto"/>
              <w:bottom w:val="single" w:sz="4" w:space="0" w:color="auto"/>
              <w:right w:val="single" w:sz="4" w:space="0" w:color="auto"/>
            </w:tcBorders>
            <w:vAlign w:val="center"/>
          </w:tcPr>
          <w:p w:rsidR="00363D60" w:rsidRPr="00051281" w:rsidRDefault="00363D60" w:rsidP="005E6581">
            <w:pPr>
              <w:pStyle w:val="Tabletext"/>
              <w:keepNext/>
              <w:jc w:val="center"/>
              <w:rPr>
                <w:color w:val="000000"/>
                <w:szCs w:val="18"/>
              </w:rPr>
            </w:pPr>
            <w:r w:rsidRPr="00051281">
              <w:t>130</w:t>
            </w:r>
          </w:p>
        </w:tc>
        <w:tc>
          <w:tcPr>
            <w:tcW w:w="950" w:type="pct"/>
            <w:gridSpan w:val="4"/>
            <w:tcBorders>
              <w:top w:val="single" w:sz="4" w:space="0" w:color="auto"/>
              <w:left w:val="single" w:sz="4" w:space="0" w:color="auto"/>
              <w:bottom w:val="single" w:sz="4" w:space="0" w:color="auto"/>
              <w:right w:val="single" w:sz="4" w:space="0" w:color="auto"/>
            </w:tcBorders>
            <w:vAlign w:val="center"/>
          </w:tcPr>
          <w:p w:rsidR="00363D60" w:rsidRPr="00051281" w:rsidRDefault="00363D60" w:rsidP="005E6581">
            <w:pPr>
              <w:pStyle w:val="Tabletext"/>
              <w:keepNext/>
              <w:jc w:val="center"/>
              <w:rPr>
                <w:color w:val="000000"/>
                <w:szCs w:val="18"/>
              </w:rPr>
            </w:pPr>
            <w:r w:rsidRPr="00051281">
              <w:t>0.53 (0.51)</w:t>
            </w:r>
          </w:p>
        </w:tc>
        <w:tc>
          <w:tcPr>
            <w:tcW w:w="396" w:type="pct"/>
            <w:tcBorders>
              <w:top w:val="single" w:sz="4" w:space="0" w:color="auto"/>
              <w:left w:val="single" w:sz="4" w:space="0" w:color="auto"/>
              <w:bottom w:val="single" w:sz="4" w:space="0" w:color="auto"/>
              <w:right w:val="single" w:sz="4" w:space="0" w:color="auto"/>
            </w:tcBorders>
            <w:vAlign w:val="center"/>
          </w:tcPr>
          <w:p w:rsidR="00363D60" w:rsidRPr="00051281" w:rsidRDefault="00363D60" w:rsidP="005E6581">
            <w:pPr>
              <w:pStyle w:val="Tabletext"/>
              <w:keepNext/>
              <w:jc w:val="center"/>
              <w:rPr>
                <w:color w:val="000000"/>
                <w:szCs w:val="18"/>
              </w:rPr>
            </w:pPr>
            <w:r w:rsidRPr="00051281">
              <w:t>132</w:t>
            </w:r>
          </w:p>
        </w:tc>
        <w:tc>
          <w:tcPr>
            <w:tcW w:w="942" w:type="pct"/>
            <w:gridSpan w:val="3"/>
            <w:tcBorders>
              <w:top w:val="single" w:sz="4" w:space="0" w:color="auto"/>
              <w:left w:val="single" w:sz="4" w:space="0" w:color="auto"/>
              <w:bottom w:val="single" w:sz="4" w:space="0" w:color="auto"/>
              <w:right w:val="single" w:sz="4" w:space="0" w:color="auto"/>
            </w:tcBorders>
            <w:vAlign w:val="center"/>
          </w:tcPr>
          <w:p w:rsidR="00363D60" w:rsidRPr="00051281" w:rsidRDefault="00363D60" w:rsidP="005E6581">
            <w:pPr>
              <w:pStyle w:val="Tabletext"/>
              <w:keepNext/>
              <w:jc w:val="center"/>
              <w:rPr>
                <w:color w:val="000000"/>
                <w:szCs w:val="18"/>
              </w:rPr>
            </w:pPr>
            <w:r w:rsidRPr="00051281">
              <w:t>0.44 (0.52)</w:t>
            </w:r>
          </w:p>
        </w:tc>
        <w:tc>
          <w:tcPr>
            <w:tcW w:w="1220" w:type="pct"/>
            <w:gridSpan w:val="2"/>
            <w:tcBorders>
              <w:top w:val="single" w:sz="4" w:space="0" w:color="auto"/>
              <w:left w:val="single" w:sz="4" w:space="0" w:color="auto"/>
              <w:bottom w:val="single" w:sz="4" w:space="0" w:color="auto"/>
              <w:right w:val="single" w:sz="4" w:space="0" w:color="auto"/>
            </w:tcBorders>
            <w:vAlign w:val="center"/>
          </w:tcPr>
          <w:p w:rsidR="00363D60" w:rsidRPr="00051281" w:rsidRDefault="00363D60" w:rsidP="005E6581">
            <w:pPr>
              <w:pStyle w:val="Tabletext"/>
              <w:keepNext/>
              <w:jc w:val="center"/>
              <w:rPr>
                <w:szCs w:val="18"/>
              </w:rPr>
            </w:pPr>
            <w:r w:rsidRPr="00051281">
              <w:t>0.09 (</w:t>
            </w:r>
            <w:r w:rsidRPr="00051281">
              <w:noBreakHyphen/>
              <w:t>0.02, 0.20)</w:t>
            </w:r>
          </w:p>
        </w:tc>
      </w:tr>
      <w:tr w:rsidR="00363D60" w:rsidRPr="00051281" w:rsidTr="004574B9">
        <w:tc>
          <w:tcPr>
            <w:tcW w:w="5000"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rsidR="00363D60" w:rsidRPr="00051281" w:rsidRDefault="0006651E" w:rsidP="005E6581">
            <w:pPr>
              <w:keepNext/>
              <w:jc w:val="left"/>
              <w:rPr>
                <w:rFonts w:ascii="Arial Narrow" w:hAnsi="Arial Narrow"/>
                <w:b/>
                <w:color w:val="000000"/>
                <w:sz w:val="20"/>
                <w:szCs w:val="18"/>
              </w:rPr>
            </w:pPr>
            <w:r w:rsidRPr="00051281">
              <w:rPr>
                <w:rFonts w:ascii="Arial Narrow" w:hAnsi="Arial Narrow"/>
                <w:b/>
                <w:color w:val="000000"/>
                <w:sz w:val="20"/>
                <w:szCs w:val="18"/>
              </w:rPr>
              <w:t>T</w:t>
            </w:r>
            <w:r w:rsidR="00363D60" w:rsidRPr="00051281">
              <w:rPr>
                <w:rFonts w:ascii="Arial Narrow" w:hAnsi="Arial Narrow"/>
                <w:b/>
                <w:color w:val="000000"/>
                <w:sz w:val="20"/>
                <w:szCs w:val="18"/>
              </w:rPr>
              <w:t xml:space="preserve">rough </w:t>
            </w:r>
            <w:r w:rsidR="00363D60" w:rsidRPr="00051281">
              <w:rPr>
                <w:rStyle w:val="CommentReference"/>
              </w:rPr>
              <w:t>FEV</w:t>
            </w:r>
            <w:r w:rsidR="00363D60" w:rsidRPr="00051281">
              <w:rPr>
                <w:rStyle w:val="CommentReference"/>
                <w:vertAlign w:val="subscript"/>
              </w:rPr>
              <w:t>1</w:t>
            </w:r>
            <w:r w:rsidR="00363D60" w:rsidRPr="00051281">
              <w:rPr>
                <w:rStyle w:val="CommentReference"/>
              </w:rPr>
              <w:t xml:space="preserve"> response (L) at 12 weeks</w:t>
            </w:r>
          </w:p>
        </w:tc>
      </w:tr>
      <w:tr w:rsidR="00257ABE" w:rsidRPr="00051281" w:rsidTr="004574B9">
        <w:trPr>
          <w:trHeight w:val="225"/>
        </w:trPr>
        <w:tc>
          <w:tcPr>
            <w:tcW w:w="109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63D60" w:rsidRPr="00051281" w:rsidRDefault="00363D60" w:rsidP="005E6581">
            <w:pPr>
              <w:keepNext/>
              <w:rPr>
                <w:rFonts w:ascii="Arial Narrow" w:hAnsi="Arial Narrow"/>
                <w:color w:val="000000"/>
                <w:sz w:val="20"/>
                <w:szCs w:val="18"/>
              </w:rPr>
            </w:pPr>
          </w:p>
        </w:tc>
        <w:tc>
          <w:tcPr>
            <w:tcW w:w="1344" w:type="pct"/>
            <w:gridSpan w:val="5"/>
            <w:tcBorders>
              <w:top w:val="single" w:sz="4" w:space="0" w:color="auto"/>
              <w:left w:val="single" w:sz="4" w:space="0" w:color="auto"/>
              <w:bottom w:val="single" w:sz="4" w:space="0" w:color="auto"/>
              <w:right w:val="single" w:sz="4" w:space="0" w:color="auto"/>
            </w:tcBorders>
            <w:vAlign w:val="center"/>
          </w:tcPr>
          <w:p w:rsidR="00363D60" w:rsidRPr="00051281" w:rsidRDefault="00363D60" w:rsidP="005E6581">
            <w:pPr>
              <w:keepNext/>
              <w:jc w:val="center"/>
              <w:rPr>
                <w:rFonts w:ascii="Arial Narrow" w:hAnsi="Arial Narrow"/>
                <w:color w:val="000000"/>
                <w:sz w:val="20"/>
                <w:szCs w:val="18"/>
              </w:rPr>
            </w:pPr>
            <w:r w:rsidRPr="00051281">
              <w:rPr>
                <w:rFonts w:ascii="Arial Narrow" w:hAnsi="Arial Narrow"/>
                <w:b/>
                <w:color w:val="000000"/>
                <w:sz w:val="20"/>
                <w:szCs w:val="18"/>
              </w:rPr>
              <w:t>Tiotropium</w:t>
            </w:r>
          </w:p>
        </w:tc>
        <w:tc>
          <w:tcPr>
            <w:tcW w:w="1338" w:type="pct"/>
            <w:gridSpan w:val="4"/>
            <w:tcBorders>
              <w:top w:val="single" w:sz="4" w:space="0" w:color="auto"/>
              <w:left w:val="single" w:sz="4" w:space="0" w:color="auto"/>
              <w:bottom w:val="single" w:sz="4" w:space="0" w:color="auto"/>
              <w:right w:val="single" w:sz="4" w:space="0" w:color="auto"/>
            </w:tcBorders>
            <w:vAlign w:val="center"/>
          </w:tcPr>
          <w:p w:rsidR="00363D60" w:rsidRPr="00051281" w:rsidRDefault="00363D60" w:rsidP="005E6581">
            <w:pPr>
              <w:keepNext/>
              <w:jc w:val="center"/>
              <w:rPr>
                <w:rFonts w:ascii="Arial Narrow" w:hAnsi="Arial Narrow"/>
                <w:color w:val="000000"/>
                <w:sz w:val="20"/>
                <w:szCs w:val="18"/>
              </w:rPr>
            </w:pPr>
            <w:r w:rsidRPr="00051281">
              <w:rPr>
                <w:rFonts w:ascii="Arial Narrow" w:hAnsi="Arial Narrow"/>
                <w:b/>
                <w:color w:val="000000"/>
                <w:sz w:val="20"/>
                <w:szCs w:val="18"/>
              </w:rPr>
              <w:t>Placebo</w:t>
            </w:r>
          </w:p>
        </w:tc>
        <w:tc>
          <w:tcPr>
            <w:tcW w:w="1220" w:type="pct"/>
            <w:gridSpan w:val="2"/>
            <w:vMerge w:val="restart"/>
            <w:tcBorders>
              <w:top w:val="single" w:sz="4" w:space="0" w:color="auto"/>
              <w:left w:val="single" w:sz="4" w:space="0" w:color="auto"/>
              <w:bottom w:val="single" w:sz="4" w:space="0" w:color="auto"/>
              <w:right w:val="single" w:sz="4" w:space="0" w:color="auto"/>
            </w:tcBorders>
            <w:vAlign w:val="center"/>
          </w:tcPr>
          <w:p w:rsidR="00363D60" w:rsidRPr="00051281" w:rsidRDefault="00363D60" w:rsidP="005E6581">
            <w:pPr>
              <w:keepNext/>
              <w:jc w:val="center"/>
              <w:rPr>
                <w:rFonts w:ascii="Arial Narrow" w:hAnsi="Arial Narrow"/>
                <w:b/>
                <w:sz w:val="20"/>
                <w:szCs w:val="18"/>
              </w:rPr>
            </w:pPr>
            <w:r w:rsidRPr="00051281">
              <w:rPr>
                <w:rFonts w:ascii="Arial Narrow" w:hAnsi="Arial Narrow"/>
                <w:b/>
                <w:sz w:val="20"/>
                <w:szCs w:val="18"/>
              </w:rPr>
              <w:t>Adjusted mean difference</w:t>
            </w:r>
            <w:r w:rsidR="0006651E" w:rsidRPr="00051281">
              <w:rPr>
                <w:rFonts w:ascii="Arial Narrow" w:hAnsi="Arial Narrow"/>
                <w:b/>
                <w:sz w:val="20"/>
                <w:szCs w:val="18"/>
              </w:rPr>
              <w:t xml:space="preserve"> </w:t>
            </w:r>
            <w:r w:rsidRPr="00051281">
              <w:rPr>
                <w:rFonts w:ascii="Arial Narrow" w:hAnsi="Arial Narrow"/>
                <w:b/>
                <w:sz w:val="20"/>
                <w:szCs w:val="18"/>
              </w:rPr>
              <w:t xml:space="preserve">(95% CI) </w:t>
            </w:r>
            <w:r w:rsidR="00435F38" w:rsidRPr="00051281">
              <w:rPr>
                <w:rFonts w:ascii="Arial Narrow" w:hAnsi="Arial Narrow"/>
                <w:b/>
                <w:sz w:val="20"/>
                <w:szCs w:val="18"/>
                <w:vertAlign w:val="superscript"/>
              </w:rPr>
              <w:t>c</w:t>
            </w:r>
          </w:p>
        </w:tc>
      </w:tr>
      <w:tr w:rsidR="00257ABE" w:rsidRPr="00051281" w:rsidTr="004574B9">
        <w:trPr>
          <w:trHeight w:val="225"/>
        </w:trPr>
        <w:tc>
          <w:tcPr>
            <w:tcW w:w="1098" w:type="pct"/>
            <w:vMerge/>
            <w:tcBorders>
              <w:top w:val="single" w:sz="4" w:space="0" w:color="auto"/>
              <w:left w:val="single" w:sz="4" w:space="0" w:color="auto"/>
              <w:bottom w:val="single" w:sz="4" w:space="0" w:color="auto"/>
              <w:right w:val="single" w:sz="4" w:space="0" w:color="auto"/>
            </w:tcBorders>
            <w:shd w:val="clear" w:color="auto" w:fill="auto"/>
            <w:vAlign w:val="center"/>
          </w:tcPr>
          <w:p w:rsidR="00363D60" w:rsidRPr="00051281" w:rsidRDefault="00363D60" w:rsidP="005E6581">
            <w:pPr>
              <w:keepNext/>
              <w:rPr>
                <w:rFonts w:ascii="Arial Narrow" w:hAnsi="Arial Narrow"/>
                <w:color w:val="000000"/>
                <w:sz w:val="20"/>
                <w:szCs w:val="18"/>
              </w:rPr>
            </w:pPr>
          </w:p>
        </w:tc>
        <w:tc>
          <w:tcPr>
            <w:tcW w:w="394" w:type="pct"/>
            <w:tcBorders>
              <w:top w:val="single" w:sz="4" w:space="0" w:color="auto"/>
              <w:left w:val="single" w:sz="4" w:space="0" w:color="auto"/>
              <w:bottom w:val="single" w:sz="4" w:space="0" w:color="auto"/>
              <w:right w:val="single" w:sz="4" w:space="0" w:color="auto"/>
            </w:tcBorders>
            <w:vAlign w:val="center"/>
          </w:tcPr>
          <w:p w:rsidR="00363D60" w:rsidRPr="00051281" w:rsidRDefault="00363D60" w:rsidP="005E6581">
            <w:pPr>
              <w:keepNext/>
              <w:jc w:val="center"/>
              <w:rPr>
                <w:rFonts w:ascii="Arial Narrow" w:hAnsi="Arial Narrow"/>
                <w:b/>
                <w:color w:val="000000"/>
                <w:sz w:val="20"/>
                <w:szCs w:val="18"/>
              </w:rPr>
            </w:pPr>
            <w:r w:rsidRPr="00051281">
              <w:rPr>
                <w:rFonts w:ascii="Arial Narrow" w:hAnsi="Arial Narrow"/>
                <w:b/>
                <w:color w:val="000000"/>
                <w:sz w:val="20"/>
                <w:szCs w:val="18"/>
              </w:rPr>
              <w:t>N</w:t>
            </w:r>
          </w:p>
        </w:tc>
        <w:tc>
          <w:tcPr>
            <w:tcW w:w="950" w:type="pct"/>
            <w:gridSpan w:val="4"/>
            <w:tcBorders>
              <w:top w:val="single" w:sz="4" w:space="0" w:color="auto"/>
              <w:left w:val="single" w:sz="4" w:space="0" w:color="auto"/>
              <w:bottom w:val="single" w:sz="4" w:space="0" w:color="auto"/>
              <w:right w:val="single" w:sz="4" w:space="0" w:color="auto"/>
            </w:tcBorders>
            <w:vAlign w:val="center"/>
          </w:tcPr>
          <w:p w:rsidR="00363D60" w:rsidRPr="00051281" w:rsidRDefault="00363D60" w:rsidP="005E6581">
            <w:pPr>
              <w:keepNext/>
              <w:jc w:val="center"/>
              <w:rPr>
                <w:rFonts w:ascii="Arial Narrow" w:hAnsi="Arial Narrow"/>
                <w:b/>
                <w:sz w:val="20"/>
                <w:szCs w:val="18"/>
              </w:rPr>
            </w:pPr>
            <w:r w:rsidRPr="00051281">
              <w:rPr>
                <w:rFonts w:ascii="Arial Narrow" w:hAnsi="Arial Narrow"/>
                <w:b/>
                <w:sz w:val="20"/>
                <w:szCs w:val="18"/>
              </w:rPr>
              <w:t xml:space="preserve">Adjusted mean change (SD) </w:t>
            </w:r>
            <w:r w:rsidR="00435F38" w:rsidRPr="00051281">
              <w:rPr>
                <w:rFonts w:ascii="Arial Narrow" w:hAnsi="Arial Narrow"/>
                <w:b/>
                <w:sz w:val="20"/>
                <w:szCs w:val="18"/>
                <w:vertAlign w:val="superscript"/>
              </w:rPr>
              <w:t>b</w:t>
            </w:r>
          </w:p>
        </w:tc>
        <w:tc>
          <w:tcPr>
            <w:tcW w:w="396" w:type="pct"/>
            <w:tcBorders>
              <w:top w:val="single" w:sz="4" w:space="0" w:color="auto"/>
              <w:left w:val="single" w:sz="4" w:space="0" w:color="auto"/>
              <w:bottom w:val="single" w:sz="4" w:space="0" w:color="auto"/>
              <w:right w:val="single" w:sz="4" w:space="0" w:color="auto"/>
            </w:tcBorders>
            <w:vAlign w:val="center"/>
          </w:tcPr>
          <w:p w:rsidR="00363D60" w:rsidRPr="00051281" w:rsidRDefault="00363D60" w:rsidP="005E6581">
            <w:pPr>
              <w:keepNext/>
              <w:jc w:val="center"/>
              <w:rPr>
                <w:rFonts w:ascii="Arial Narrow" w:hAnsi="Arial Narrow"/>
                <w:b/>
                <w:color w:val="000000"/>
                <w:sz w:val="20"/>
                <w:szCs w:val="18"/>
              </w:rPr>
            </w:pPr>
            <w:r w:rsidRPr="00051281">
              <w:rPr>
                <w:rFonts w:ascii="Arial Narrow" w:hAnsi="Arial Narrow"/>
                <w:b/>
                <w:color w:val="000000"/>
                <w:sz w:val="20"/>
                <w:szCs w:val="18"/>
              </w:rPr>
              <w:t>N</w:t>
            </w:r>
          </w:p>
        </w:tc>
        <w:tc>
          <w:tcPr>
            <w:tcW w:w="942" w:type="pct"/>
            <w:gridSpan w:val="3"/>
            <w:tcBorders>
              <w:top w:val="single" w:sz="4" w:space="0" w:color="auto"/>
              <w:left w:val="single" w:sz="4" w:space="0" w:color="auto"/>
              <w:bottom w:val="single" w:sz="4" w:space="0" w:color="auto"/>
              <w:right w:val="single" w:sz="4" w:space="0" w:color="auto"/>
            </w:tcBorders>
            <w:vAlign w:val="center"/>
          </w:tcPr>
          <w:p w:rsidR="00363D60" w:rsidRPr="00051281" w:rsidRDefault="00363D60" w:rsidP="005E6581">
            <w:pPr>
              <w:keepNext/>
              <w:jc w:val="center"/>
              <w:rPr>
                <w:rFonts w:ascii="Arial Narrow" w:hAnsi="Arial Narrow"/>
                <w:b/>
                <w:sz w:val="20"/>
                <w:szCs w:val="18"/>
              </w:rPr>
            </w:pPr>
            <w:r w:rsidRPr="00051281">
              <w:rPr>
                <w:rFonts w:ascii="Arial Narrow" w:hAnsi="Arial Narrow"/>
                <w:b/>
                <w:sz w:val="20"/>
                <w:szCs w:val="18"/>
              </w:rPr>
              <w:t xml:space="preserve">Adjusted mean change (SD) </w:t>
            </w:r>
            <w:r w:rsidR="00435F38" w:rsidRPr="00051281">
              <w:rPr>
                <w:rFonts w:ascii="Arial Narrow" w:hAnsi="Arial Narrow"/>
                <w:b/>
                <w:sz w:val="20"/>
                <w:szCs w:val="18"/>
                <w:vertAlign w:val="superscript"/>
              </w:rPr>
              <w:t>b</w:t>
            </w:r>
          </w:p>
        </w:tc>
        <w:tc>
          <w:tcPr>
            <w:tcW w:w="1220" w:type="pct"/>
            <w:gridSpan w:val="2"/>
            <w:vMerge/>
            <w:tcBorders>
              <w:top w:val="single" w:sz="4" w:space="0" w:color="auto"/>
              <w:left w:val="single" w:sz="4" w:space="0" w:color="auto"/>
              <w:bottom w:val="single" w:sz="4" w:space="0" w:color="auto"/>
              <w:right w:val="single" w:sz="4" w:space="0" w:color="auto"/>
            </w:tcBorders>
            <w:vAlign w:val="center"/>
          </w:tcPr>
          <w:p w:rsidR="00363D60" w:rsidRPr="00051281" w:rsidRDefault="00363D60" w:rsidP="005E6581">
            <w:pPr>
              <w:keepNext/>
              <w:jc w:val="center"/>
              <w:rPr>
                <w:rFonts w:ascii="Arial Narrow" w:hAnsi="Arial Narrow"/>
                <w:b/>
                <w:sz w:val="20"/>
                <w:szCs w:val="18"/>
              </w:rPr>
            </w:pPr>
          </w:p>
        </w:tc>
      </w:tr>
      <w:tr w:rsidR="00257ABE" w:rsidRPr="00051281" w:rsidTr="004574B9">
        <w:tc>
          <w:tcPr>
            <w:tcW w:w="1098" w:type="pct"/>
            <w:tcBorders>
              <w:top w:val="single" w:sz="4" w:space="0" w:color="auto"/>
              <w:left w:val="single" w:sz="4" w:space="0" w:color="auto"/>
              <w:bottom w:val="single" w:sz="4" w:space="0" w:color="auto"/>
              <w:right w:val="single" w:sz="4" w:space="0" w:color="auto"/>
            </w:tcBorders>
            <w:shd w:val="clear" w:color="auto" w:fill="auto"/>
          </w:tcPr>
          <w:p w:rsidR="00363D60" w:rsidRPr="00051281" w:rsidRDefault="00363D60" w:rsidP="005E6581">
            <w:pPr>
              <w:pStyle w:val="Tabletext"/>
              <w:keepNext/>
              <w:rPr>
                <w:color w:val="000000"/>
                <w:szCs w:val="18"/>
              </w:rPr>
            </w:pPr>
            <w:r w:rsidRPr="00051281">
              <w:t>205.446 (6-11 y</w:t>
            </w:r>
            <w:r w:rsidR="00257ABE" w:rsidRPr="00051281">
              <w:t>ea</w:t>
            </w:r>
            <w:r w:rsidRPr="00051281">
              <w:t>rs)</w:t>
            </w:r>
          </w:p>
        </w:tc>
        <w:tc>
          <w:tcPr>
            <w:tcW w:w="394" w:type="pct"/>
            <w:tcBorders>
              <w:top w:val="single" w:sz="4" w:space="0" w:color="auto"/>
              <w:left w:val="single" w:sz="4" w:space="0" w:color="auto"/>
              <w:bottom w:val="single" w:sz="4" w:space="0" w:color="auto"/>
              <w:right w:val="single" w:sz="4" w:space="0" w:color="auto"/>
            </w:tcBorders>
            <w:vAlign w:val="center"/>
          </w:tcPr>
          <w:p w:rsidR="00363D60" w:rsidRPr="00051281" w:rsidRDefault="00363D60" w:rsidP="005E6581">
            <w:pPr>
              <w:pStyle w:val="Tabletext"/>
              <w:keepNext/>
              <w:jc w:val="center"/>
              <w:rPr>
                <w:color w:val="000000"/>
                <w:szCs w:val="18"/>
              </w:rPr>
            </w:pPr>
            <w:r w:rsidRPr="00051281">
              <w:t>128</w:t>
            </w:r>
          </w:p>
        </w:tc>
        <w:tc>
          <w:tcPr>
            <w:tcW w:w="950" w:type="pct"/>
            <w:gridSpan w:val="4"/>
            <w:tcBorders>
              <w:top w:val="single" w:sz="4" w:space="0" w:color="auto"/>
              <w:left w:val="single" w:sz="4" w:space="0" w:color="auto"/>
              <w:bottom w:val="single" w:sz="4" w:space="0" w:color="auto"/>
              <w:right w:val="single" w:sz="4" w:space="0" w:color="auto"/>
            </w:tcBorders>
            <w:vAlign w:val="center"/>
          </w:tcPr>
          <w:p w:rsidR="00363D60" w:rsidRPr="00051281" w:rsidRDefault="00363D60" w:rsidP="005E6581">
            <w:pPr>
              <w:pStyle w:val="Tabletext"/>
              <w:keepNext/>
              <w:jc w:val="center"/>
              <w:rPr>
                <w:color w:val="000000"/>
                <w:szCs w:val="18"/>
              </w:rPr>
            </w:pPr>
            <w:r w:rsidRPr="00051281">
              <w:t>0.</w:t>
            </w:r>
            <w:r w:rsidR="00257ABE" w:rsidRPr="00051281">
              <w:t>22</w:t>
            </w:r>
            <w:r w:rsidRPr="00051281">
              <w:t xml:space="preserve"> (0.3</w:t>
            </w:r>
            <w:r w:rsidR="00257ABE" w:rsidRPr="00051281">
              <w:t>1</w:t>
            </w:r>
            <w:r w:rsidRPr="00051281">
              <w:t>)</w:t>
            </w:r>
          </w:p>
        </w:tc>
        <w:tc>
          <w:tcPr>
            <w:tcW w:w="396" w:type="pct"/>
            <w:tcBorders>
              <w:top w:val="single" w:sz="4" w:space="0" w:color="auto"/>
              <w:left w:val="single" w:sz="4" w:space="0" w:color="auto"/>
              <w:bottom w:val="single" w:sz="4" w:space="0" w:color="auto"/>
              <w:right w:val="single" w:sz="4" w:space="0" w:color="auto"/>
            </w:tcBorders>
            <w:vAlign w:val="center"/>
          </w:tcPr>
          <w:p w:rsidR="00363D60" w:rsidRPr="00051281" w:rsidRDefault="00363D60" w:rsidP="005E6581">
            <w:pPr>
              <w:pStyle w:val="Tabletext"/>
              <w:keepNext/>
              <w:jc w:val="center"/>
              <w:rPr>
                <w:color w:val="000000"/>
                <w:szCs w:val="18"/>
              </w:rPr>
            </w:pPr>
            <w:r w:rsidRPr="00051281">
              <w:t>130</w:t>
            </w:r>
          </w:p>
        </w:tc>
        <w:tc>
          <w:tcPr>
            <w:tcW w:w="942" w:type="pct"/>
            <w:gridSpan w:val="3"/>
            <w:tcBorders>
              <w:top w:val="single" w:sz="4" w:space="0" w:color="auto"/>
              <w:left w:val="single" w:sz="4" w:space="0" w:color="auto"/>
              <w:bottom w:val="single" w:sz="4" w:space="0" w:color="auto"/>
              <w:right w:val="single" w:sz="4" w:space="0" w:color="auto"/>
            </w:tcBorders>
            <w:vAlign w:val="center"/>
          </w:tcPr>
          <w:p w:rsidR="00363D60" w:rsidRPr="00051281" w:rsidRDefault="00131C8A" w:rsidP="005E6581">
            <w:pPr>
              <w:pStyle w:val="Tabletext"/>
              <w:keepNext/>
              <w:jc w:val="center"/>
              <w:rPr>
                <w:color w:val="000000"/>
                <w:szCs w:val="18"/>
              </w:rPr>
            </w:pPr>
            <w:r w:rsidRPr="00051281">
              <w:t>0.14</w:t>
            </w:r>
            <w:r w:rsidR="00363D60" w:rsidRPr="00051281">
              <w:t xml:space="preserve"> (0.</w:t>
            </w:r>
            <w:r w:rsidR="00257ABE" w:rsidRPr="00051281">
              <w:t>31</w:t>
            </w:r>
            <w:r w:rsidR="00363D60" w:rsidRPr="00051281">
              <w:t>)</w:t>
            </w:r>
          </w:p>
        </w:tc>
        <w:tc>
          <w:tcPr>
            <w:tcW w:w="1220" w:type="pct"/>
            <w:gridSpan w:val="2"/>
            <w:tcBorders>
              <w:top w:val="single" w:sz="4" w:space="0" w:color="auto"/>
              <w:left w:val="single" w:sz="4" w:space="0" w:color="auto"/>
              <w:bottom w:val="single" w:sz="4" w:space="0" w:color="auto"/>
              <w:right w:val="single" w:sz="4" w:space="0" w:color="auto"/>
            </w:tcBorders>
            <w:vAlign w:val="center"/>
          </w:tcPr>
          <w:p w:rsidR="00363D60" w:rsidRPr="00051281" w:rsidRDefault="00131C8A" w:rsidP="005E6581">
            <w:pPr>
              <w:pStyle w:val="Tabletext"/>
              <w:keepNext/>
              <w:jc w:val="center"/>
              <w:rPr>
                <w:szCs w:val="18"/>
              </w:rPr>
            </w:pPr>
            <w:r w:rsidRPr="00051281">
              <w:rPr>
                <w:b/>
              </w:rPr>
              <w:t>0.09</w:t>
            </w:r>
            <w:r w:rsidR="00363D60" w:rsidRPr="00051281">
              <w:rPr>
                <w:b/>
              </w:rPr>
              <w:t xml:space="preserve"> (0.0</w:t>
            </w:r>
            <w:r w:rsidR="00257ABE" w:rsidRPr="00051281">
              <w:rPr>
                <w:b/>
              </w:rPr>
              <w:t>2</w:t>
            </w:r>
            <w:r w:rsidR="00363D60" w:rsidRPr="00051281">
              <w:rPr>
                <w:b/>
              </w:rPr>
              <w:t>, 0.</w:t>
            </w:r>
            <w:r w:rsidR="00257ABE" w:rsidRPr="00051281">
              <w:rPr>
                <w:b/>
              </w:rPr>
              <w:t>15</w:t>
            </w:r>
            <w:r w:rsidR="00363D60" w:rsidRPr="00051281">
              <w:rPr>
                <w:b/>
              </w:rPr>
              <w:t>)</w:t>
            </w:r>
          </w:p>
        </w:tc>
      </w:tr>
      <w:tr w:rsidR="00257ABE" w:rsidRPr="00051281" w:rsidTr="004574B9">
        <w:tc>
          <w:tcPr>
            <w:tcW w:w="1098" w:type="pct"/>
            <w:tcBorders>
              <w:top w:val="single" w:sz="4" w:space="0" w:color="auto"/>
              <w:left w:val="single" w:sz="4" w:space="0" w:color="auto"/>
              <w:bottom w:val="single" w:sz="4" w:space="0" w:color="auto"/>
              <w:right w:val="single" w:sz="4" w:space="0" w:color="auto"/>
            </w:tcBorders>
            <w:shd w:val="clear" w:color="auto" w:fill="auto"/>
          </w:tcPr>
          <w:p w:rsidR="00363D60" w:rsidRPr="00051281" w:rsidRDefault="00363D60" w:rsidP="005E6581">
            <w:pPr>
              <w:pStyle w:val="Tabletext"/>
              <w:keepNext/>
              <w:rPr>
                <w:color w:val="000000"/>
                <w:szCs w:val="18"/>
              </w:rPr>
            </w:pPr>
            <w:r w:rsidRPr="00051281">
              <w:t>205.456 (12-17 y</w:t>
            </w:r>
            <w:r w:rsidR="00257ABE" w:rsidRPr="00051281">
              <w:t>ea</w:t>
            </w:r>
            <w:r w:rsidRPr="00051281">
              <w:t>rs)</w:t>
            </w:r>
          </w:p>
        </w:tc>
        <w:tc>
          <w:tcPr>
            <w:tcW w:w="394" w:type="pct"/>
            <w:tcBorders>
              <w:top w:val="single" w:sz="4" w:space="0" w:color="auto"/>
              <w:left w:val="single" w:sz="4" w:space="0" w:color="auto"/>
              <w:bottom w:val="single" w:sz="4" w:space="0" w:color="auto"/>
              <w:right w:val="single" w:sz="4" w:space="0" w:color="auto"/>
            </w:tcBorders>
            <w:vAlign w:val="center"/>
          </w:tcPr>
          <w:p w:rsidR="00363D60" w:rsidRPr="00051281" w:rsidRDefault="00363D60" w:rsidP="005E6581">
            <w:pPr>
              <w:pStyle w:val="Tabletext"/>
              <w:keepNext/>
              <w:jc w:val="center"/>
              <w:rPr>
                <w:color w:val="000000"/>
                <w:szCs w:val="18"/>
              </w:rPr>
            </w:pPr>
            <w:r w:rsidRPr="00051281">
              <w:t>130</w:t>
            </w:r>
          </w:p>
        </w:tc>
        <w:tc>
          <w:tcPr>
            <w:tcW w:w="950" w:type="pct"/>
            <w:gridSpan w:val="4"/>
            <w:tcBorders>
              <w:top w:val="single" w:sz="4" w:space="0" w:color="auto"/>
              <w:left w:val="single" w:sz="4" w:space="0" w:color="auto"/>
              <w:bottom w:val="single" w:sz="4" w:space="0" w:color="auto"/>
              <w:right w:val="single" w:sz="4" w:space="0" w:color="auto"/>
            </w:tcBorders>
            <w:vAlign w:val="center"/>
          </w:tcPr>
          <w:p w:rsidR="00363D60" w:rsidRPr="00051281" w:rsidRDefault="00131C8A" w:rsidP="005E6581">
            <w:pPr>
              <w:pStyle w:val="Tabletext"/>
              <w:keepNext/>
              <w:jc w:val="center"/>
              <w:rPr>
                <w:color w:val="000000"/>
                <w:szCs w:val="18"/>
              </w:rPr>
            </w:pPr>
            <w:r w:rsidRPr="00051281">
              <w:t>0.28</w:t>
            </w:r>
            <w:r w:rsidR="00363D60" w:rsidRPr="00051281">
              <w:t xml:space="preserve"> (0.</w:t>
            </w:r>
            <w:r w:rsidR="00257ABE" w:rsidRPr="00051281">
              <w:t>55</w:t>
            </w:r>
            <w:r w:rsidR="00363D60" w:rsidRPr="00051281">
              <w:t>)</w:t>
            </w:r>
          </w:p>
        </w:tc>
        <w:tc>
          <w:tcPr>
            <w:tcW w:w="396" w:type="pct"/>
            <w:tcBorders>
              <w:top w:val="single" w:sz="4" w:space="0" w:color="auto"/>
              <w:left w:val="single" w:sz="4" w:space="0" w:color="auto"/>
              <w:bottom w:val="single" w:sz="4" w:space="0" w:color="auto"/>
              <w:right w:val="single" w:sz="4" w:space="0" w:color="auto"/>
            </w:tcBorders>
            <w:vAlign w:val="center"/>
          </w:tcPr>
          <w:p w:rsidR="00363D60" w:rsidRPr="00051281" w:rsidRDefault="00363D60" w:rsidP="005E6581">
            <w:pPr>
              <w:pStyle w:val="Tabletext"/>
              <w:keepNext/>
              <w:jc w:val="center"/>
              <w:rPr>
                <w:color w:val="000000"/>
                <w:szCs w:val="18"/>
              </w:rPr>
            </w:pPr>
            <w:r w:rsidRPr="00051281">
              <w:t>132</w:t>
            </w:r>
          </w:p>
        </w:tc>
        <w:tc>
          <w:tcPr>
            <w:tcW w:w="942" w:type="pct"/>
            <w:gridSpan w:val="3"/>
            <w:tcBorders>
              <w:top w:val="single" w:sz="4" w:space="0" w:color="auto"/>
              <w:left w:val="single" w:sz="4" w:space="0" w:color="auto"/>
              <w:bottom w:val="single" w:sz="4" w:space="0" w:color="auto"/>
              <w:right w:val="single" w:sz="4" w:space="0" w:color="auto"/>
            </w:tcBorders>
            <w:vAlign w:val="center"/>
          </w:tcPr>
          <w:p w:rsidR="00363D60" w:rsidRPr="00051281" w:rsidRDefault="00363D60" w:rsidP="005E6581">
            <w:pPr>
              <w:pStyle w:val="Tabletext"/>
              <w:keepNext/>
              <w:jc w:val="center"/>
              <w:rPr>
                <w:color w:val="000000"/>
                <w:szCs w:val="18"/>
              </w:rPr>
            </w:pPr>
            <w:r w:rsidRPr="00051281">
              <w:t>0.</w:t>
            </w:r>
            <w:r w:rsidR="00257ABE" w:rsidRPr="00051281">
              <w:t>23</w:t>
            </w:r>
            <w:r w:rsidRPr="00051281">
              <w:t xml:space="preserve"> (0.5</w:t>
            </w:r>
            <w:r w:rsidR="00257ABE" w:rsidRPr="00051281">
              <w:t>5</w:t>
            </w:r>
            <w:r w:rsidRPr="00051281">
              <w:t>)</w:t>
            </w:r>
          </w:p>
        </w:tc>
        <w:tc>
          <w:tcPr>
            <w:tcW w:w="1220" w:type="pct"/>
            <w:gridSpan w:val="2"/>
            <w:tcBorders>
              <w:top w:val="single" w:sz="4" w:space="0" w:color="auto"/>
              <w:left w:val="single" w:sz="4" w:space="0" w:color="auto"/>
              <w:bottom w:val="single" w:sz="4" w:space="0" w:color="auto"/>
              <w:right w:val="single" w:sz="4" w:space="0" w:color="auto"/>
            </w:tcBorders>
            <w:vAlign w:val="center"/>
          </w:tcPr>
          <w:p w:rsidR="00363D60" w:rsidRPr="00051281" w:rsidRDefault="00363D60" w:rsidP="005E6581">
            <w:pPr>
              <w:pStyle w:val="Tabletext"/>
              <w:keepNext/>
              <w:jc w:val="center"/>
              <w:rPr>
                <w:szCs w:val="18"/>
              </w:rPr>
            </w:pPr>
            <w:r w:rsidRPr="00051281">
              <w:t>0.0</w:t>
            </w:r>
            <w:r w:rsidR="00257ABE" w:rsidRPr="00051281">
              <w:t>5</w:t>
            </w:r>
            <w:r w:rsidRPr="00051281">
              <w:t xml:space="preserve"> (</w:t>
            </w:r>
            <w:r w:rsidRPr="00051281">
              <w:noBreakHyphen/>
              <w:t>0.0</w:t>
            </w:r>
            <w:r w:rsidR="00257ABE" w:rsidRPr="00051281">
              <w:t>6</w:t>
            </w:r>
            <w:r w:rsidRPr="00051281">
              <w:t>, 0.</w:t>
            </w:r>
            <w:r w:rsidR="00257ABE" w:rsidRPr="00051281">
              <w:t>17</w:t>
            </w:r>
            <w:r w:rsidRPr="00051281">
              <w:t>)</w:t>
            </w:r>
          </w:p>
        </w:tc>
      </w:tr>
      <w:tr w:rsidR="00363D60" w:rsidRPr="00051281" w:rsidTr="004574B9">
        <w:tc>
          <w:tcPr>
            <w:tcW w:w="5000" w:type="pct"/>
            <w:gridSpan w:val="12"/>
            <w:tcBorders>
              <w:top w:val="double" w:sz="4" w:space="0" w:color="auto"/>
              <w:left w:val="single" w:sz="4" w:space="0" w:color="auto"/>
              <w:bottom w:val="single" w:sz="4" w:space="0" w:color="auto"/>
              <w:right w:val="single" w:sz="4" w:space="0" w:color="auto"/>
            </w:tcBorders>
            <w:shd w:val="clear" w:color="auto" w:fill="auto"/>
            <w:vAlign w:val="center"/>
          </w:tcPr>
          <w:p w:rsidR="00363D60" w:rsidRPr="00051281" w:rsidRDefault="00363D60" w:rsidP="005E6581">
            <w:pPr>
              <w:keepNext/>
              <w:rPr>
                <w:rFonts w:ascii="Arial Narrow" w:hAnsi="Arial Narrow"/>
                <w:b/>
                <w:color w:val="000000"/>
                <w:sz w:val="20"/>
                <w:szCs w:val="18"/>
              </w:rPr>
            </w:pPr>
            <w:r w:rsidRPr="00051281">
              <w:rPr>
                <w:rFonts w:ascii="Arial Narrow" w:hAnsi="Arial Narrow"/>
                <w:b/>
                <w:color w:val="000000"/>
                <w:sz w:val="20"/>
                <w:szCs w:val="18"/>
              </w:rPr>
              <w:t xml:space="preserve">Harms </w:t>
            </w:r>
          </w:p>
        </w:tc>
      </w:tr>
      <w:tr w:rsidR="00DB31ED" w:rsidRPr="00051281" w:rsidTr="004574B9">
        <w:trPr>
          <w:trHeight w:val="341"/>
        </w:trPr>
        <w:tc>
          <w:tcPr>
            <w:tcW w:w="109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63D60" w:rsidRPr="00051281" w:rsidRDefault="00363D60" w:rsidP="005E6581">
            <w:pPr>
              <w:keepNext/>
              <w:rPr>
                <w:rFonts w:ascii="Arial Narrow" w:hAnsi="Arial Narrow"/>
                <w:b/>
                <w:color w:val="000000"/>
                <w:sz w:val="20"/>
                <w:szCs w:val="18"/>
              </w:rPr>
            </w:pPr>
          </w:p>
        </w:tc>
        <w:tc>
          <w:tcPr>
            <w:tcW w:w="560" w:type="pct"/>
            <w:gridSpan w:val="2"/>
            <w:vMerge w:val="restart"/>
            <w:tcBorders>
              <w:top w:val="single" w:sz="4" w:space="0" w:color="auto"/>
              <w:left w:val="single" w:sz="4" w:space="0" w:color="auto"/>
              <w:bottom w:val="single" w:sz="4" w:space="0" w:color="auto"/>
              <w:right w:val="single" w:sz="4" w:space="0" w:color="auto"/>
            </w:tcBorders>
            <w:vAlign w:val="center"/>
          </w:tcPr>
          <w:p w:rsidR="00363D60" w:rsidRPr="00051281" w:rsidRDefault="00363D60" w:rsidP="005E6581">
            <w:pPr>
              <w:keepNext/>
              <w:jc w:val="center"/>
              <w:rPr>
                <w:rFonts w:ascii="Arial Narrow" w:hAnsi="Arial Narrow"/>
                <w:b/>
                <w:color w:val="000000"/>
                <w:sz w:val="20"/>
                <w:szCs w:val="18"/>
              </w:rPr>
            </w:pPr>
            <w:r w:rsidRPr="00051281">
              <w:rPr>
                <w:rFonts w:ascii="Arial Narrow" w:hAnsi="Arial Narrow"/>
                <w:b/>
                <w:color w:val="000000"/>
                <w:sz w:val="20"/>
                <w:szCs w:val="18"/>
              </w:rPr>
              <w:t>Tiotropium</w:t>
            </w:r>
          </w:p>
        </w:tc>
        <w:tc>
          <w:tcPr>
            <w:tcW w:w="545" w:type="pct"/>
            <w:vMerge w:val="restart"/>
            <w:tcBorders>
              <w:top w:val="single" w:sz="4" w:space="0" w:color="auto"/>
              <w:left w:val="single" w:sz="4" w:space="0" w:color="auto"/>
              <w:bottom w:val="single" w:sz="4" w:space="0" w:color="auto"/>
              <w:right w:val="single" w:sz="4" w:space="0" w:color="auto"/>
            </w:tcBorders>
            <w:vAlign w:val="center"/>
          </w:tcPr>
          <w:p w:rsidR="00363D60" w:rsidRPr="00051281" w:rsidRDefault="00363D60" w:rsidP="005E6581">
            <w:pPr>
              <w:keepNext/>
              <w:jc w:val="center"/>
              <w:rPr>
                <w:rFonts w:ascii="Arial Narrow" w:hAnsi="Arial Narrow"/>
                <w:b/>
                <w:color w:val="000000"/>
                <w:sz w:val="20"/>
                <w:szCs w:val="18"/>
              </w:rPr>
            </w:pPr>
            <w:r w:rsidRPr="00051281">
              <w:rPr>
                <w:rFonts w:ascii="Arial Narrow" w:hAnsi="Arial Narrow"/>
                <w:b/>
                <w:color w:val="000000"/>
                <w:sz w:val="20"/>
                <w:szCs w:val="18"/>
              </w:rPr>
              <w:t>Placebo</w:t>
            </w:r>
          </w:p>
        </w:tc>
        <w:tc>
          <w:tcPr>
            <w:tcW w:w="860" w:type="pct"/>
            <w:gridSpan w:val="4"/>
            <w:vMerge w:val="restart"/>
            <w:tcBorders>
              <w:top w:val="single" w:sz="4" w:space="0" w:color="auto"/>
              <w:left w:val="single" w:sz="4" w:space="0" w:color="auto"/>
              <w:bottom w:val="single" w:sz="4" w:space="0" w:color="auto"/>
              <w:right w:val="single" w:sz="4" w:space="0" w:color="auto"/>
            </w:tcBorders>
            <w:vAlign w:val="center"/>
          </w:tcPr>
          <w:p w:rsidR="00257ABE" w:rsidRPr="00051281" w:rsidRDefault="00363D60" w:rsidP="005E6581">
            <w:pPr>
              <w:keepNext/>
              <w:jc w:val="center"/>
              <w:rPr>
                <w:rFonts w:ascii="Arial Narrow" w:hAnsi="Arial Narrow"/>
                <w:b/>
                <w:color w:val="000000"/>
                <w:sz w:val="20"/>
                <w:szCs w:val="18"/>
              </w:rPr>
            </w:pPr>
            <w:r w:rsidRPr="00051281">
              <w:rPr>
                <w:rFonts w:ascii="Arial Narrow" w:hAnsi="Arial Narrow"/>
                <w:b/>
                <w:color w:val="000000"/>
                <w:sz w:val="20"/>
                <w:szCs w:val="18"/>
              </w:rPr>
              <w:t xml:space="preserve">Relative </w:t>
            </w:r>
            <w:r w:rsidR="00257ABE" w:rsidRPr="00051281">
              <w:rPr>
                <w:rFonts w:ascii="Arial Narrow" w:hAnsi="Arial Narrow"/>
                <w:b/>
                <w:color w:val="000000"/>
                <w:sz w:val="20"/>
                <w:szCs w:val="18"/>
              </w:rPr>
              <w:t>r</w:t>
            </w:r>
            <w:r w:rsidRPr="00051281">
              <w:rPr>
                <w:rFonts w:ascii="Arial Narrow" w:hAnsi="Arial Narrow"/>
                <w:b/>
                <w:color w:val="000000"/>
                <w:sz w:val="20"/>
                <w:szCs w:val="18"/>
              </w:rPr>
              <w:t xml:space="preserve">isk </w:t>
            </w:r>
          </w:p>
          <w:p w:rsidR="00363D60" w:rsidRPr="00051281" w:rsidRDefault="00363D60" w:rsidP="005E6581">
            <w:pPr>
              <w:keepNext/>
              <w:jc w:val="center"/>
              <w:rPr>
                <w:rFonts w:ascii="Arial Narrow" w:hAnsi="Arial Narrow"/>
                <w:b/>
                <w:color w:val="000000"/>
                <w:sz w:val="20"/>
                <w:szCs w:val="18"/>
              </w:rPr>
            </w:pPr>
            <w:r w:rsidRPr="00051281">
              <w:rPr>
                <w:rFonts w:ascii="Arial Narrow" w:hAnsi="Arial Narrow"/>
                <w:b/>
                <w:color w:val="000000"/>
                <w:sz w:val="20"/>
                <w:szCs w:val="18"/>
              </w:rPr>
              <w:t>(95% CI)</w:t>
            </w:r>
          </w:p>
        </w:tc>
        <w:tc>
          <w:tcPr>
            <w:tcW w:w="1100" w:type="pct"/>
            <w:gridSpan w:val="3"/>
            <w:tcBorders>
              <w:top w:val="single" w:sz="4" w:space="0" w:color="auto"/>
              <w:left w:val="single" w:sz="4" w:space="0" w:color="auto"/>
              <w:bottom w:val="single" w:sz="4" w:space="0" w:color="auto"/>
              <w:right w:val="single" w:sz="4" w:space="0" w:color="auto"/>
            </w:tcBorders>
            <w:vAlign w:val="center"/>
          </w:tcPr>
          <w:p w:rsidR="00363D60" w:rsidRPr="00051281" w:rsidRDefault="00363D60" w:rsidP="005E6581">
            <w:pPr>
              <w:keepNext/>
              <w:jc w:val="center"/>
              <w:rPr>
                <w:rFonts w:ascii="Arial Narrow" w:hAnsi="Arial Narrow"/>
                <w:b/>
                <w:color w:val="000000"/>
                <w:sz w:val="20"/>
                <w:szCs w:val="18"/>
              </w:rPr>
            </w:pPr>
            <w:r w:rsidRPr="00051281">
              <w:rPr>
                <w:rFonts w:ascii="Arial Narrow" w:hAnsi="Arial Narrow"/>
                <w:b/>
                <w:color w:val="000000"/>
                <w:sz w:val="20"/>
                <w:szCs w:val="18"/>
              </w:rPr>
              <w:t>Even</w:t>
            </w:r>
            <w:r w:rsidR="00751AAD" w:rsidRPr="00051281">
              <w:rPr>
                <w:rFonts w:ascii="Arial Narrow" w:hAnsi="Arial Narrow"/>
                <w:b/>
                <w:color w:val="000000"/>
                <w:sz w:val="20"/>
                <w:szCs w:val="18"/>
              </w:rPr>
              <w:t xml:space="preserve">t rate per </w:t>
            </w:r>
            <w:r w:rsidRPr="00051281">
              <w:rPr>
                <w:rFonts w:ascii="Arial Narrow" w:hAnsi="Arial Narrow"/>
                <w:b/>
                <w:color w:val="000000"/>
                <w:sz w:val="20"/>
                <w:szCs w:val="18"/>
              </w:rPr>
              <w:t>100 patients</w:t>
            </w:r>
            <w:r w:rsidR="00EE6B1C" w:rsidRPr="00051281">
              <w:rPr>
                <w:rFonts w:ascii="Arial Narrow" w:hAnsi="Arial Narrow"/>
                <w:b/>
                <w:color w:val="000000"/>
                <w:sz w:val="20"/>
                <w:szCs w:val="18"/>
              </w:rPr>
              <w:t xml:space="preserve"> per 12 weeks</w:t>
            </w:r>
            <w:r w:rsidRPr="00051281">
              <w:rPr>
                <w:rFonts w:ascii="Arial Narrow" w:hAnsi="Arial Narrow"/>
                <w:b/>
                <w:color w:val="000000"/>
                <w:sz w:val="20"/>
                <w:szCs w:val="18"/>
              </w:rPr>
              <w:t xml:space="preserve"> </w:t>
            </w:r>
          </w:p>
        </w:tc>
        <w:tc>
          <w:tcPr>
            <w:tcW w:w="837" w:type="pct"/>
            <w:vMerge w:val="restart"/>
            <w:tcBorders>
              <w:top w:val="single" w:sz="4" w:space="0" w:color="auto"/>
              <w:left w:val="single" w:sz="4" w:space="0" w:color="auto"/>
              <w:bottom w:val="single" w:sz="4" w:space="0" w:color="auto"/>
              <w:right w:val="single" w:sz="4" w:space="0" w:color="auto"/>
            </w:tcBorders>
            <w:vAlign w:val="center"/>
          </w:tcPr>
          <w:p w:rsidR="00363D60" w:rsidRPr="00051281" w:rsidRDefault="00363D60" w:rsidP="005E6581">
            <w:pPr>
              <w:keepNext/>
              <w:jc w:val="center"/>
              <w:rPr>
                <w:rFonts w:ascii="Arial Narrow" w:hAnsi="Arial Narrow"/>
                <w:b/>
                <w:color w:val="000000"/>
                <w:sz w:val="20"/>
                <w:szCs w:val="18"/>
              </w:rPr>
            </w:pPr>
            <w:r w:rsidRPr="00051281">
              <w:rPr>
                <w:rFonts w:ascii="Arial Narrow" w:hAnsi="Arial Narrow"/>
                <w:b/>
                <w:color w:val="000000"/>
                <w:sz w:val="20"/>
                <w:szCs w:val="18"/>
              </w:rPr>
              <w:t>R</w:t>
            </w:r>
            <w:r w:rsidR="00257ABE" w:rsidRPr="00051281">
              <w:rPr>
                <w:rFonts w:ascii="Arial Narrow" w:hAnsi="Arial Narrow"/>
                <w:b/>
                <w:color w:val="000000"/>
                <w:sz w:val="20"/>
                <w:szCs w:val="18"/>
              </w:rPr>
              <w:t>isk difference</w:t>
            </w:r>
            <w:r w:rsidRPr="00051281">
              <w:rPr>
                <w:rFonts w:ascii="Arial Narrow" w:hAnsi="Arial Narrow"/>
                <w:b/>
                <w:color w:val="000000"/>
                <w:sz w:val="20"/>
                <w:szCs w:val="18"/>
              </w:rPr>
              <w:t xml:space="preserve"> (95% CI)</w:t>
            </w:r>
          </w:p>
        </w:tc>
      </w:tr>
      <w:tr w:rsidR="00DB31ED" w:rsidRPr="00051281" w:rsidTr="004574B9">
        <w:trPr>
          <w:trHeight w:val="145"/>
        </w:trPr>
        <w:tc>
          <w:tcPr>
            <w:tcW w:w="1098" w:type="pct"/>
            <w:vMerge/>
            <w:tcBorders>
              <w:top w:val="single" w:sz="4" w:space="0" w:color="auto"/>
              <w:left w:val="single" w:sz="4" w:space="0" w:color="auto"/>
              <w:bottom w:val="single" w:sz="4" w:space="0" w:color="auto"/>
              <w:right w:val="single" w:sz="4" w:space="0" w:color="auto"/>
            </w:tcBorders>
            <w:shd w:val="clear" w:color="auto" w:fill="auto"/>
            <w:vAlign w:val="center"/>
          </w:tcPr>
          <w:p w:rsidR="00363D60" w:rsidRPr="00051281" w:rsidRDefault="00363D60" w:rsidP="005E6581">
            <w:pPr>
              <w:keepNext/>
              <w:rPr>
                <w:rFonts w:ascii="Arial Narrow" w:hAnsi="Arial Narrow"/>
                <w:b/>
                <w:color w:val="000000"/>
                <w:sz w:val="20"/>
                <w:szCs w:val="18"/>
              </w:rPr>
            </w:pPr>
          </w:p>
        </w:tc>
        <w:tc>
          <w:tcPr>
            <w:tcW w:w="560" w:type="pct"/>
            <w:gridSpan w:val="2"/>
            <w:vMerge/>
            <w:tcBorders>
              <w:top w:val="single" w:sz="4" w:space="0" w:color="auto"/>
              <w:left w:val="single" w:sz="4" w:space="0" w:color="auto"/>
              <w:bottom w:val="single" w:sz="4" w:space="0" w:color="auto"/>
              <w:right w:val="single" w:sz="4" w:space="0" w:color="auto"/>
            </w:tcBorders>
            <w:vAlign w:val="center"/>
          </w:tcPr>
          <w:p w:rsidR="00363D60" w:rsidRPr="00051281" w:rsidRDefault="00363D60" w:rsidP="005E6581">
            <w:pPr>
              <w:keepNext/>
              <w:jc w:val="center"/>
              <w:rPr>
                <w:rFonts w:ascii="Arial Narrow" w:hAnsi="Arial Narrow"/>
                <w:b/>
                <w:color w:val="000000"/>
                <w:sz w:val="20"/>
                <w:szCs w:val="18"/>
              </w:rPr>
            </w:pPr>
          </w:p>
        </w:tc>
        <w:tc>
          <w:tcPr>
            <w:tcW w:w="545" w:type="pct"/>
            <w:vMerge/>
            <w:tcBorders>
              <w:top w:val="single" w:sz="4" w:space="0" w:color="auto"/>
              <w:left w:val="single" w:sz="4" w:space="0" w:color="auto"/>
              <w:bottom w:val="single" w:sz="4" w:space="0" w:color="auto"/>
              <w:right w:val="single" w:sz="4" w:space="0" w:color="auto"/>
            </w:tcBorders>
            <w:vAlign w:val="center"/>
          </w:tcPr>
          <w:p w:rsidR="00363D60" w:rsidRPr="00051281" w:rsidRDefault="00363D60" w:rsidP="005E6581">
            <w:pPr>
              <w:keepNext/>
              <w:jc w:val="center"/>
              <w:rPr>
                <w:rFonts w:ascii="Arial Narrow" w:hAnsi="Arial Narrow"/>
                <w:b/>
                <w:color w:val="000000"/>
                <w:sz w:val="20"/>
                <w:szCs w:val="18"/>
              </w:rPr>
            </w:pPr>
          </w:p>
        </w:tc>
        <w:tc>
          <w:tcPr>
            <w:tcW w:w="860" w:type="pct"/>
            <w:gridSpan w:val="4"/>
            <w:vMerge/>
            <w:tcBorders>
              <w:top w:val="single" w:sz="4" w:space="0" w:color="auto"/>
              <w:left w:val="single" w:sz="4" w:space="0" w:color="auto"/>
              <w:bottom w:val="single" w:sz="4" w:space="0" w:color="auto"/>
              <w:right w:val="single" w:sz="4" w:space="0" w:color="auto"/>
            </w:tcBorders>
            <w:vAlign w:val="center"/>
          </w:tcPr>
          <w:p w:rsidR="00363D60" w:rsidRPr="00051281" w:rsidRDefault="00363D60" w:rsidP="005E6581">
            <w:pPr>
              <w:keepNext/>
              <w:jc w:val="center"/>
              <w:rPr>
                <w:rFonts w:ascii="Arial Narrow" w:hAnsi="Arial Narrow"/>
                <w:b/>
                <w:color w:val="000000"/>
                <w:sz w:val="20"/>
                <w:szCs w:val="18"/>
              </w:rPr>
            </w:pPr>
          </w:p>
        </w:tc>
        <w:tc>
          <w:tcPr>
            <w:tcW w:w="550" w:type="pct"/>
            <w:tcBorders>
              <w:top w:val="single" w:sz="4" w:space="0" w:color="auto"/>
              <w:left w:val="single" w:sz="4" w:space="0" w:color="auto"/>
              <w:bottom w:val="single" w:sz="4" w:space="0" w:color="auto"/>
              <w:right w:val="single" w:sz="4" w:space="0" w:color="auto"/>
            </w:tcBorders>
            <w:vAlign w:val="center"/>
          </w:tcPr>
          <w:p w:rsidR="00363D60" w:rsidRPr="00051281" w:rsidRDefault="00257ABE" w:rsidP="005E6581">
            <w:pPr>
              <w:keepNext/>
              <w:jc w:val="center"/>
              <w:rPr>
                <w:rFonts w:ascii="Arial Narrow" w:hAnsi="Arial Narrow"/>
                <w:b/>
                <w:color w:val="000000"/>
                <w:sz w:val="20"/>
                <w:szCs w:val="18"/>
              </w:rPr>
            </w:pPr>
            <w:r w:rsidRPr="00051281">
              <w:rPr>
                <w:rFonts w:ascii="Arial Narrow" w:hAnsi="Arial Narrow"/>
                <w:b/>
                <w:color w:val="000000"/>
                <w:sz w:val="20"/>
                <w:szCs w:val="18"/>
              </w:rPr>
              <w:t>Tiotropium</w:t>
            </w:r>
          </w:p>
        </w:tc>
        <w:tc>
          <w:tcPr>
            <w:tcW w:w="550" w:type="pct"/>
            <w:gridSpan w:val="2"/>
            <w:tcBorders>
              <w:top w:val="single" w:sz="4" w:space="0" w:color="auto"/>
              <w:left w:val="single" w:sz="4" w:space="0" w:color="auto"/>
              <w:bottom w:val="single" w:sz="4" w:space="0" w:color="auto"/>
              <w:right w:val="single" w:sz="4" w:space="0" w:color="auto"/>
            </w:tcBorders>
            <w:vAlign w:val="center"/>
          </w:tcPr>
          <w:p w:rsidR="00363D60" w:rsidRPr="00051281" w:rsidRDefault="00257ABE" w:rsidP="005E6581">
            <w:pPr>
              <w:keepNext/>
              <w:jc w:val="center"/>
              <w:rPr>
                <w:rFonts w:ascii="Arial Narrow" w:hAnsi="Arial Narrow"/>
                <w:b/>
                <w:color w:val="000000"/>
                <w:sz w:val="20"/>
                <w:szCs w:val="18"/>
              </w:rPr>
            </w:pPr>
            <w:r w:rsidRPr="00051281">
              <w:rPr>
                <w:rFonts w:ascii="Arial Narrow" w:hAnsi="Arial Narrow"/>
                <w:b/>
                <w:color w:val="000000"/>
                <w:sz w:val="20"/>
                <w:szCs w:val="18"/>
              </w:rPr>
              <w:t>Placebo</w:t>
            </w:r>
          </w:p>
        </w:tc>
        <w:tc>
          <w:tcPr>
            <w:tcW w:w="837" w:type="pct"/>
            <w:vMerge/>
            <w:tcBorders>
              <w:top w:val="single" w:sz="4" w:space="0" w:color="auto"/>
              <w:left w:val="single" w:sz="4" w:space="0" w:color="auto"/>
              <w:bottom w:val="single" w:sz="4" w:space="0" w:color="auto"/>
              <w:right w:val="single" w:sz="4" w:space="0" w:color="auto"/>
            </w:tcBorders>
            <w:vAlign w:val="center"/>
          </w:tcPr>
          <w:p w:rsidR="00363D60" w:rsidRPr="00051281" w:rsidRDefault="00363D60" w:rsidP="005E6581">
            <w:pPr>
              <w:keepNext/>
              <w:jc w:val="center"/>
              <w:rPr>
                <w:rFonts w:ascii="Arial Narrow" w:hAnsi="Arial Narrow"/>
                <w:b/>
                <w:color w:val="000000"/>
                <w:sz w:val="20"/>
                <w:szCs w:val="18"/>
              </w:rPr>
            </w:pPr>
          </w:p>
        </w:tc>
      </w:tr>
      <w:tr w:rsidR="00363D60" w:rsidRPr="00051281" w:rsidTr="004574B9">
        <w:tc>
          <w:tcPr>
            <w:tcW w:w="5000"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rsidR="00363D60" w:rsidRPr="00051281" w:rsidRDefault="00363D60" w:rsidP="005E6581">
            <w:pPr>
              <w:keepNext/>
              <w:rPr>
                <w:rFonts w:ascii="Arial Narrow" w:hAnsi="Arial Narrow"/>
                <w:b/>
                <w:color w:val="000000"/>
                <w:sz w:val="20"/>
                <w:szCs w:val="18"/>
              </w:rPr>
            </w:pPr>
            <w:proofErr w:type="spellStart"/>
            <w:r w:rsidRPr="00051281">
              <w:rPr>
                <w:rFonts w:ascii="Arial Narrow" w:hAnsi="Arial Narrow"/>
                <w:b/>
                <w:color w:val="000000"/>
                <w:sz w:val="20"/>
                <w:szCs w:val="18"/>
              </w:rPr>
              <w:t>Nasopharyngitis</w:t>
            </w:r>
            <w:proofErr w:type="spellEnd"/>
            <w:r w:rsidR="000A1E3B" w:rsidRPr="00051281">
              <w:rPr>
                <w:rFonts w:ascii="Arial Narrow" w:hAnsi="Arial Narrow"/>
                <w:b/>
                <w:color w:val="000000"/>
                <w:sz w:val="20"/>
                <w:szCs w:val="18"/>
              </w:rPr>
              <w:t xml:space="preserve"> events per 12 weeks</w:t>
            </w:r>
          </w:p>
        </w:tc>
      </w:tr>
      <w:tr w:rsidR="00DB31ED" w:rsidRPr="00051281" w:rsidTr="004574B9">
        <w:tc>
          <w:tcPr>
            <w:tcW w:w="1098" w:type="pct"/>
            <w:tcBorders>
              <w:top w:val="single" w:sz="4" w:space="0" w:color="auto"/>
              <w:left w:val="single" w:sz="4" w:space="0" w:color="auto"/>
              <w:bottom w:val="single" w:sz="4" w:space="0" w:color="auto"/>
              <w:right w:val="single" w:sz="4" w:space="0" w:color="auto"/>
            </w:tcBorders>
            <w:shd w:val="clear" w:color="auto" w:fill="auto"/>
          </w:tcPr>
          <w:p w:rsidR="00363D60" w:rsidRPr="00051281" w:rsidRDefault="00363D60" w:rsidP="005E6581">
            <w:pPr>
              <w:pStyle w:val="Tabletext"/>
              <w:keepNext/>
              <w:rPr>
                <w:color w:val="000000"/>
                <w:szCs w:val="18"/>
              </w:rPr>
            </w:pPr>
            <w:r w:rsidRPr="00051281">
              <w:t>205.446 (6-11 y</w:t>
            </w:r>
            <w:r w:rsidR="00257ABE" w:rsidRPr="00051281">
              <w:t>ea</w:t>
            </w:r>
            <w:r w:rsidRPr="00051281">
              <w:t>rs)</w:t>
            </w:r>
          </w:p>
        </w:tc>
        <w:tc>
          <w:tcPr>
            <w:tcW w:w="560" w:type="pct"/>
            <w:gridSpan w:val="2"/>
            <w:tcBorders>
              <w:top w:val="single" w:sz="4" w:space="0" w:color="auto"/>
              <w:left w:val="single" w:sz="4" w:space="0" w:color="auto"/>
              <w:bottom w:val="single" w:sz="4" w:space="0" w:color="auto"/>
              <w:right w:val="single" w:sz="4" w:space="0" w:color="auto"/>
            </w:tcBorders>
            <w:vAlign w:val="center"/>
          </w:tcPr>
          <w:p w:rsidR="00363D60" w:rsidRPr="00051281" w:rsidRDefault="00363D60" w:rsidP="005E6581">
            <w:pPr>
              <w:keepNext/>
              <w:jc w:val="center"/>
              <w:rPr>
                <w:rFonts w:ascii="Arial Narrow" w:hAnsi="Arial Narrow"/>
                <w:color w:val="000000"/>
                <w:sz w:val="20"/>
                <w:szCs w:val="18"/>
              </w:rPr>
            </w:pPr>
            <w:r w:rsidRPr="00051281">
              <w:rPr>
                <w:rFonts w:ascii="Arial Narrow" w:hAnsi="Arial Narrow"/>
                <w:color w:val="000000"/>
                <w:sz w:val="20"/>
                <w:szCs w:val="18"/>
              </w:rPr>
              <w:t>6/130</w:t>
            </w:r>
          </w:p>
        </w:tc>
        <w:tc>
          <w:tcPr>
            <w:tcW w:w="545" w:type="pct"/>
            <w:tcBorders>
              <w:top w:val="single" w:sz="4" w:space="0" w:color="auto"/>
              <w:left w:val="single" w:sz="4" w:space="0" w:color="auto"/>
              <w:bottom w:val="single" w:sz="4" w:space="0" w:color="auto"/>
              <w:right w:val="single" w:sz="4" w:space="0" w:color="auto"/>
            </w:tcBorders>
            <w:vAlign w:val="center"/>
          </w:tcPr>
          <w:p w:rsidR="00363D60" w:rsidRPr="00051281" w:rsidRDefault="00363D60" w:rsidP="005E6581">
            <w:pPr>
              <w:keepNext/>
              <w:jc w:val="center"/>
              <w:rPr>
                <w:rFonts w:ascii="Arial Narrow" w:hAnsi="Arial Narrow"/>
                <w:color w:val="000000"/>
                <w:sz w:val="20"/>
                <w:szCs w:val="18"/>
              </w:rPr>
            </w:pPr>
            <w:r w:rsidRPr="00051281">
              <w:rPr>
                <w:rFonts w:ascii="Arial Narrow" w:hAnsi="Arial Narrow"/>
                <w:color w:val="000000"/>
                <w:sz w:val="20"/>
                <w:szCs w:val="18"/>
              </w:rPr>
              <w:t>11/134</w:t>
            </w:r>
          </w:p>
        </w:tc>
        <w:tc>
          <w:tcPr>
            <w:tcW w:w="860" w:type="pct"/>
            <w:gridSpan w:val="4"/>
            <w:tcBorders>
              <w:top w:val="single" w:sz="4" w:space="0" w:color="auto"/>
              <w:left w:val="single" w:sz="4" w:space="0" w:color="auto"/>
              <w:bottom w:val="single" w:sz="4" w:space="0" w:color="auto"/>
              <w:right w:val="single" w:sz="4" w:space="0" w:color="auto"/>
            </w:tcBorders>
            <w:vAlign w:val="center"/>
          </w:tcPr>
          <w:p w:rsidR="00363D60" w:rsidRPr="00051281" w:rsidRDefault="00464AB2" w:rsidP="005E6581">
            <w:pPr>
              <w:keepNext/>
              <w:jc w:val="center"/>
              <w:rPr>
                <w:rFonts w:ascii="Arial Narrow" w:hAnsi="Arial Narrow"/>
                <w:color w:val="000000"/>
                <w:sz w:val="20"/>
                <w:szCs w:val="18"/>
              </w:rPr>
            </w:pPr>
            <w:r w:rsidRPr="00051281">
              <w:rPr>
                <w:rFonts w:ascii="Arial Narrow" w:hAnsi="Arial Narrow"/>
                <w:color w:val="000000"/>
                <w:sz w:val="20"/>
                <w:szCs w:val="18"/>
              </w:rPr>
              <w:t>0.56 (0.21, 1.48)</w:t>
            </w:r>
          </w:p>
        </w:tc>
        <w:tc>
          <w:tcPr>
            <w:tcW w:w="550" w:type="pct"/>
            <w:tcBorders>
              <w:top w:val="single" w:sz="4" w:space="0" w:color="auto"/>
              <w:left w:val="single" w:sz="4" w:space="0" w:color="auto"/>
              <w:bottom w:val="single" w:sz="4" w:space="0" w:color="auto"/>
              <w:right w:val="single" w:sz="4" w:space="0" w:color="auto"/>
            </w:tcBorders>
            <w:vAlign w:val="center"/>
          </w:tcPr>
          <w:p w:rsidR="00363D60" w:rsidRPr="00051281" w:rsidRDefault="00DB31ED" w:rsidP="005E6581">
            <w:pPr>
              <w:keepNext/>
              <w:jc w:val="center"/>
              <w:rPr>
                <w:rFonts w:ascii="Arial Narrow" w:hAnsi="Arial Narrow"/>
                <w:color w:val="000000"/>
                <w:sz w:val="20"/>
                <w:szCs w:val="18"/>
              </w:rPr>
            </w:pPr>
            <w:r w:rsidRPr="00051281">
              <w:rPr>
                <w:rFonts w:ascii="Arial Narrow" w:hAnsi="Arial Narrow"/>
                <w:color w:val="000000"/>
                <w:sz w:val="20"/>
                <w:szCs w:val="18"/>
              </w:rPr>
              <w:t>4.6</w:t>
            </w:r>
          </w:p>
        </w:tc>
        <w:tc>
          <w:tcPr>
            <w:tcW w:w="550" w:type="pct"/>
            <w:gridSpan w:val="2"/>
            <w:tcBorders>
              <w:top w:val="single" w:sz="4" w:space="0" w:color="auto"/>
              <w:left w:val="single" w:sz="4" w:space="0" w:color="auto"/>
              <w:bottom w:val="single" w:sz="4" w:space="0" w:color="auto"/>
              <w:right w:val="single" w:sz="4" w:space="0" w:color="auto"/>
            </w:tcBorders>
            <w:vAlign w:val="center"/>
          </w:tcPr>
          <w:p w:rsidR="00363D60" w:rsidRPr="00051281" w:rsidRDefault="00363D60" w:rsidP="005E6581">
            <w:pPr>
              <w:keepNext/>
              <w:jc w:val="center"/>
              <w:rPr>
                <w:rFonts w:ascii="Arial Narrow" w:hAnsi="Arial Narrow"/>
                <w:color w:val="000000"/>
                <w:sz w:val="20"/>
                <w:szCs w:val="18"/>
              </w:rPr>
            </w:pPr>
            <w:r w:rsidRPr="00051281">
              <w:rPr>
                <w:rFonts w:ascii="Arial Narrow" w:hAnsi="Arial Narrow"/>
                <w:color w:val="000000"/>
                <w:sz w:val="20"/>
                <w:szCs w:val="18"/>
              </w:rPr>
              <w:t>8</w:t>
            </w:r>
            <w:r w:rsidR="00DB31ED" w:rsidRPr="00051281">
              <w:rPr>
                <w:rFonts w:ascii="Arial Narrow" w:hAnsi="Arial Narrow"/>
                <w:color w:val="000000"/>
                <w:sz w:val="20"/>
                <w:szCs w:val="18"/>
              </w:rPr>
              <w:t>.2</w:t>
            </w:r>
          </w:p>
        </w:tc>
        <w:tc>
          <w:tcPr>
            <w:tcW w:w="837" w:type="pct"/>
            <w:tcBorders>
              <w:top w:val="single" w:sz="4" w:space="0" w:color="auto"/>
              <w:left w:val="single" w:sz="4" w:space="0" w:color="auto"/>
              <w:bottom w:val="single" w:sz="4" w:space="0" w:color="auto"/>
              <w:right w:val="single" w:sz="4" w:space="0" w:color="auto"/>
            </w:tcBorders>
            <w:vAlign w:val="center"/>
          </w:tcPr>
          <w:p w:rsidR="00363D60" w:rsidRPr="00051281" w:rsidRDefault="00617871" w:rsidP="005E6581">
            <w:pPr>
              <w:keepNext/>
              <w:jc w:val="center"/>
              <w:rPr>
                <w:rFonts w:ascii="Arial Narrow" w:hAnsi="Arial Narrow"/>
                <w:color w:val="000000"/>
                <w:sz w:val="20"/>
                <w:szCs w:val="18"/>
              </w:rPr>
            </w:pPr>
            <w:r w:rsidRPr="00051281">
              <w:rPr>
                <w:rFonts w:ascii="Arial Narrow" w:hAnsi="Arial Narrow"/>
                <w:color w:val="000000"/>
                <w:sz w:val="20"/>
                <w:szCs w:val="18"/>
              </w:rPr>
              <w:t>-</w:t>
            </w:r>
            <w:r w:rsidR="00DB31ED" w:rsidRPr="00051281">
              <w:rPr>
                <w:rFonts w:ascii="Arial Narrow" w:hAnsi="Arial Narrow"/>
                <w:color w:val="000000"/>
                <w:sz w:val="20"/>
                <w:szCs w:val="18"/>
              </w:rPr>
              <w:t>0.0</w:t>
            </w:r>
            <w:r w:rsidR="00464AB2" w:rsidRPr="00051281">
              <w:rPr>
                <w:rFonts w:ascii="Arial Narrow" w:hAnsi="Arial Narrow"/>
                <w:color w:val="000000"/>
                <w:sz w:val="20"/>
                <w:szCs w:val="18"/>
              </w:rPr>
              <w:t>4 (-</w:t>
            </w:r>
            <w:r w:rsidR="00DB31ED" w:rsidRPr="00051281">
              <w:rPr>
                <w:rFonts w:ascii="Arial Narrow" w:hAnsi="Arial Narrow"/>
                <w:color w:val="000000"/>
                <w:sz w:val="20"/>
                <w:szCs w:val="18"/>
              </w:rPr>
              <w:t>0.0</w:t>
            </w:r>
            <w:r w:rsidR="00464AB2" w:rsidRPr="00051281">
              <w:rPr>
                <w:rFonts w:ascii="Arial Narrow" w:hAnsi="Arial Narrow"/>
                <w:color w:val="000000"/>
                <w:sz w:val="20"/>
                <w:szCs w:val="18"/>
              </w:rPr>
              <w:t xml:space="preserve">1, </w:t>
            </w:r>
            <w:r w:rsidR="00DB31ED" w:rsidRPr="00051281">
              <w:rPr>
                <w:rFonts w:ascii="Arial Narrow" w:hAnsi="Arial Narrow"/>
                <w:color w:val="000000"/>
                <w:sz w:val="20"/>
                <w:szCs w:val="18"/>
              </w:rPr>
              <w:t>0.0</w:t>
            </w:r>
            <w:r w:rsidR="00464AB2" w:rsidRPr="00051281">
              <w:rPr>
                <w:rFonts w:ascii="Arial Narrow" w:hAnsi="Arial Narrow"/>
                <w:color w:val="000000"/>
                <w:sz w:val="20"/>
                <w:szCs w:val="18"/>
              </w:rPr>
              <w:t>2)</w:t>
            </w:r>
          </w:p>
        </w:tc>
      </w:tr>
      <w:tr w:rsidR="00DB31ED" w:rsidRPr="00051281" w:rsidTr="004574B9">
        <w:tc>
          <w:tcPr>
            <w:tcW w:w="1098" w:type="pct"/>
            <w:tcBorders>
              <w:top w:val="single" w:sz="4" w:space="0" w:color="auto"/>
              <w:left w:val="single" w:sz="4" w:space="0" w:color="auto"/>
              <w:bottom w:val="single" w:sz="4" w:space="0" w:color="auto"/>
              <w:right w:val="single" w:sz="4" w:space="0" w:color="auto"/>
            </w:tcBorders>
            <w:shd w:val="clear" w:color="auto" w:fill="auto"/>
          </w:tcPr>
          <w:p w:rsidR="00363D60" w:rsidRPr="00051281" w:rsidRDefault="00363D60" w:rsidP="005E6581">
            <w:pPr>
              <w:pStyle w:val="Tabletext"/>
              <w:keepNext/>
              <w:rPr>
                <w:color w:val="000000"/>
                <w:szCs w:val="18"/>
              </w:rPr>
            </w:pPr>
            <w:r w:rsidRPr="00051281">
              <w:t>205.456 (12-17 y</w:t>
            </w:r>
            <w:r w:rsidR="00257ABE" w:rsidRPr="00051281">
              <w:t>ea</w:t>
            </w:r>
            <w:r w:rsidRPr="00051281">
              <w:t>rs)</w:t>
            </w:r>
          </w:p>
        </w:tc>
        <w:tc>
          <w:tcPr>
            <w:tcW w:w="560" w:type="pct"/>
            <w:gridSpan w:val="2"/>
            <w:tcBorders>
              <w:top w:val="single" w:sz="4" w:space="0" w:color="auto"/>
              <w:left w:val="single" w:sz="4" w:space="0" w:color="auto"/>
              <w:bottom w:val="single" w:sz="4" w:space="0" w:color="auto"/>
              <w:right w:val="single" w:sz="4" w:space="0" w:color="auto"/>
            </w:tcBorders>
            <w:vAlign w:val="center"/>
          </w:tcPr>
          <w:p w:rsidR="00363D60" w:rsidRPr="00051281" w:rsidRDefault="00363D60" w:rsidP="005E6581">
            <w:pPr>
              <w:keepNext/>
              <w:jc w:val="center"/>
              <w:rPr>
                <w:rFonts w:ascii="Arial Narrow" w:hAnsi="Arial Narrow"/>
                <w:color w:val="000000"/>
                <w:sz w:val="20"/>
                <w:szCs w:val="18"/>
              </w:rPr>
            </w:pPr>
            <w:r w:rsidRPr="00051281">
              <w:rPr>
                <w:rFonts w:ascii="Arial Narrow" w:hAnsi="Arial Narrow"/>
                <w:color w:val="000000"/>
                <w:sz w:val="20"/>
                <w:szCs w:val="18"/>
              </w:rPr>
              <w:t xml:space="preserve">5/130 </w:t>
            </w:r>
          </w:p>
        </w:tc>
        <w:tc>
          <w:tcPr>
            <w:tcW w:w="545" w:type="pct"/>
            <w:tcBorders>
              <w:top w:val="single" w:sz="4" w:space="0" w:color="auto"/>
              <w:left w:val="single" w:sz="4" w:space="0" w:color="auto"/>
              <w:bottom w:val="single" w:sz="4" w:space="0" w:color="auto"/>
              <w:right w:val="single" w:sz="4" w:space="0" w:color="auto"/>
            </w:tcBorders>
            <w:vAlign w:val="center"/>
          </w:tcPr>
          <w:p w:rsidR="00363D60" w:rsidRPr="00051281" w:rsidRDefault="00363D60" w:rsidP="005E6581">
            <w:pPr>
              <w:keepNext/>
              <w:jc w:val="center"/>
              <w:rPr>
                <w:rFonts w:ascii="Arial Narrow" w:hAnsi="Arial Narrow"/>
                <w:color w:val="000000"/>
                <w:sz w:val="20"/>
                <w:szCs w:val="18"/>
              </w:rPr>
            </w:pPr>
            <w:r w:rsidRPr="00051281">
              <w:rPr>
                <w:rFonts w:ascii="Arial Narrow" w:hAnsi="Arial Narrow"/>
                <w:color w:val="000000"/>
                <w:sz w:val="20"/>
                <w:szCs w:val="18"/>
              </w:rPr>
              <w:t>4/135</w:t>
            </w:r>
          </w:p>
        </w:tc>
        <w:tc>
          <w:tcPr>
            <w:tcW w:w="860" w:type="pct"/>
            <w:gridSpan w:val="4"/>
            <w:tcBorders>
              <w:top w:val="single" w:sz="4" w:space="0" w:color="auto"/>
              <w:left w:val="single" w:sz="4" w:space="0" w:color="auto"/>
              <w:bottom w:val="single" w:sz="4" w:space="0" w:color="auto"/>
              <w:right w:val="single" w:sz="4" w:space="0" w:color="auto"/>
            </w:tcBorders>
            <w:vAlign w:val="center"/>
          </w:tcPr>
          <w:p w:rsidR="00363D60" w:rsidRPr="00051281" w:rsidRDefault="00464AB2" w:rsidP="005E6581">
            <w:pPr>
              <w:keepNext/>
              <w:jc w:val="center"/>
              <w:rPr>
                <w:rFonts w:ascii="Arial Narrow" w:hAnsi="Arial Narrow"/>
                <w:color w:val="000000"/>
                <w:sz w:val="20"/>
                <w:szCs w:val="18"/>
              </w:rPr>
            </w:pPr>
            <w:r w:rsidRPr="00051281">
              <w:rPr>
                <w:rFonts w:ascii="Arial Narrow" w:hAnsi="Arial Narrow"/>
                <w:color w:val="000000"/>
                <w:sz w:val="20"/>
                <w:szCs w:val="18"/>
              </w:rPr>
              <w:t>1.3</w:t>
            </w:r>
            <w:r w:rsidR="00257ABE" w:rsidRPr="00051281">
              <w:rPr>
                <w:rFonts w:ascii="Arial Narrow" w:hAnsi="Arial Narrow"/>
                <w:color w:val="000000"/>
                <w:sz w:val="20"/>
                <w:szCs w:val="18"/>
              </w:rPr>
              <w:t>0</w:t>
            </w:r>
            <w:r w:rsidRPr="00051281">
              <w:rPr>
                <w:rFonts w:ascii="Arial Narrow" w:hAnsi="Arial Narrow"/>
                <w:color w:val="000000"/>
                <w:sz w:val="20"/>
                <w:szCs w:val="18"/>
              </w:rPr>
              <w:t xml:space="preserve"> (0.36, 4.73)</w:t>
            </w:r>
          </w:p>
        </w:tc>
        <w:tc>
          <w:tcPr>
            <w:tcW w:w="550" w:type="pct"/>
            <w:tcBorders>
              <w:top w:val="single" w:sz="4" w:space="0" w:color="auto"/>
              <w:left w:val="single" w:sz="4" w:space="0" w:color="auto"/>
              <w:bottom w:val="single" w:sz="4" w:space="0" w:color="auto"/>
              <w:right w:val="single" w:sz="4" w:space="0" w:color="auto"/>
            </w:tcBorders>
            <w:vAlign w:val="center"/>
          </w:tcPr>
          <w:p w:rsidR="00363D60" w:rsidRPr="00051281" w:rsidRDefault="00DB31ED" w:rsidP="005E6581">
            <w:pPr>
              <w:keepNext/>
              <w:jc w:val="center"/>
              <w:rPr>
                <w:rFonts w:ascii="Arial Narrow" w:hAnsi="Arial Narrow"/>
                <w:color w:val="000000"/>
                <w:sz w:val="20"/>
                <w:szCs w:val="18"/>
              </w:rPr>
            </w:pPr>
            <w:r w:rsidRPr="00051281">
              <w:rPr>
                <w:rFonts w:ascii="Arial Narrow" w:hAnsi="Arial Narrow"/>
                <w:color w:val="000000"/>
                <w:sz w:val="20"/>
                <w:szCs w:val="18"/>
              </w:rPr>
              <w:t>3.8</w:t>
            </w:r>
          </w:p>
        </w:tc>
        <w:tc>
          <w:tcPr>
            <w:tcW w:w="550" w:type="pct"/>
            <w:gridSpan w:val="2"/>
            <w:tcBorders>
              <w:top w:val="single" w:sz="4" w:space="0" w:color="auto"/>
              <w:left w:val="single" w:sz="4" w:space="0" w:color="auto"/>
              <w:bottom w:val="single" w:sz="4" w:space="0" w:color="auto"/>
              <w:right w:val="single" w:sz="4" w:space="0" w:color="auto"/>
            </w:tcBorders>
            <w:vAlign w:val="center"/>
          </w:tcPr>
          <w:p w:rsidR="00363D60" w:rsidRPr="00051281" w:rsidRDefault="00DB31ED" w:rsidP="005E6581">
            <w:pPr>
              <w:keepNext/>
              <w:jc w:val="center"/>
              <w:rPr>
                <w:rFonts w:ascii="Arial Narrow" w:hAnsi="Arial Narrow"/>
                <w:color w:val="000000"/>
                <w:sz w:val="20"/>
                <w:szCs w:val="18"/>
              </w:rPr>
            </w:pPr>
            <w:r w:rsidRPr="00051281">
              <w:rPr>
                <w:rFonts w:ascii="Arial Narrow" w:hAnsi="Arial Narrow"/>
                <w:color w:val="000000"/>
                <w:sz w:val="20"/>
                <w:szCs w:val="18"/>
              </w:rPr>
              <w:t>3.0</w:t>
            </w:r>
          </w:p>
        </w:tc>
        <w:tc>
          <w:tcPr>
            <w:tcW w:w="837" w:type="pct"/>
            <w:tcBorders>
              <w:top w:val="single" w:sz="4" w:space="0" w:color="auto"/>
              <w:left w:val="single" w:sz="4" w:space="0" w:color="auto"/>
              <w:bottom w:val="single" w:sz="4" w:space="0" w:color="auto"/>
              <w:right w:val="single" w:sz="4" w:space="0" w:color="auto"/>
            </w:tcBorders>
            <w:vAlign w:val="center"/>
          </w:tcPr>
          <w:p w:rsidR="00363D60" w:rsidRPr="00051281" w:rsidRDefault="00DB31ED" w:rsidP="005E6581">
            <w:pPr>
              <w:keepNext/>
              <w:jc w:val="center"/>
              <w:rPr>
                <w:rFonts w:ascii="Arial Narrow" w:hAnsi="Arial Narrow"/>
                <w:color w:val="000000"/>
                <w:sz w:val="20"/>
                <w:szCs w:val="18"/>
              </w:rPr>
            </w:pPr>
            <w:r w:rsidRPr="00051281">
              <w:rPr>
                <w:rFonts w:ascii="Arial Narrow" w:hAnsi="Arial Narrow"/>
                <w:color w:val="000000"/>
                <w:sz w:val="20"/>
                <w:szCs w:val="18"/>
              </w:rPr>
              <w:t>0.0</w:t>
            </w:r>
            <w:r w:rsidR="00464AB2" w:rsidRPr="00051281">
              <w:rPr>
                <w:rFonts w:ascii="Arial Narrow" w:hAnsi="Arial Narrow"/>
                <w:color w:val="000000"/>
                <w:sz w:val="20"/>
                <w:szCs w:val="18"/>
              </w:rPr>
              <w:t>1 (-</w:t>
            </w:r>
            <w:r w:rsidRPr="00051281">
              <w:rPr>
                <w:rFonts w:ascii="Arial Narrow" w:hAnsi="Arial Narrow"/>
                <w:color w:val="000000"/>
                <w:sz w:val="20"/>
                <w:szCs w:val="18"/>
              </w:rPr>
              <w:t>0.0</w:t>
            </w:r>
            <w:r w:rsidR="00464AB2" w:rsidRPr="00051281">
              <w:rPr>
                <w:rFonts w:ascii="Arial Narrow" w:hAnsi="Arial Narrow"/>
                <w:color w:val="000000"/>
                <w:sz w:val="20"/>
                <w:szCs w:val="18"/>
              </w:rPr>
              <w:t xml:space="preserve">4, </w:t>
            </w:r>
            <w:r w:rsidRPr="00051281">
              <w:rPr>
                <w:rFonts w:ascii="Arial Narrow" w:hAnsi="Arial Narrow"/>
                <w:color w:val="000000"/>
                <w:sz w:val="20"/>
                <w:szCs w:val="18"/>
              </w:rPr>
              <w:t>0.0</w:t>
            </w:r>
            <w:r w:rsidR="00464AB2" w:rsidRPr="00051281">
              <w:rPr>
                <w:rFonts w:ascii="Arial Narrow" w:hAnsi="Arial Narrow"/>
                <w:color w:val="000000"/>
                <w:sz w:val="20"/>
                <w:szCs w:val="18"/>
              </w:rPr>
              <w:t>5)</w:t>
            </w:r>
          </w:p>
        </w:tc>
      </w:tr>
      <w:tr w:rsidR="00363D60" w:rsidRPr="00051281" w:rsidTr="004574B9">
        <w:tc>
          <w:tcPr>
            <w:tcW w:w="5000"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rsidR="00363D60" w:rsidRPr="00051281" w:rsidRDefault="00363D60" w:rsidP="005E6581">
            <w:pPr>
              <w:keepNext/>
              <w:rPr>
                <w:rFonts w:ascii="Arial Narrow" w:hAnsi="Arial Narrow"/>
                <w:b/>
                <w:color w:val="000000"/>
                <w:sz w:val="20"/>
                <w:szCs w:val="18"/>
              </w:rPr>
            </w:pPr>
            <w:r w:rsidRPr="00051281">
              <w:rPr>
                <w:rFonts w:ascii="Arial Narrow" w:hAnsi="Arial Narrow"/>
                <w:b/>
                <w:color w:val="000000"/>
                <w:sz w:val="20"/>
                <w:szCs w:val="18"/>
              </w:rPr>
              <w:t>Respiratory tract infection</w:t>
            </w:r>
            <w:r w:rsidR="000A1E3B" w:rsidRPr="00051281">
              <w:rPr>
                <w:rFonts w:ascii="Arial Narrow" w:hAnsi="Arial Narrow"/>
                <w:b/>
                <w:color w:val="000000"/>
                <w:sz w:val="20"/>
                <w:szCs w:val="18"/>
              </w:rPr>
              <w:t xml:space="preserve"> events per 12 weeks</w:t>
            </w:r>
          </w:p>
        </w:tc>
      </w:tr>
      <w:tr w:rsidR="00DB31ED" w:rsidRPr="00051281" w:rsidTr="004574B9">
        <w:tc>
          <w:tcPr>
            <w:tcW w:w="1098" w:type="pct"/>
            <w:tcBorders>
              <w:top w:val="single" w:sz="4" w:space="0" w:color="auto"/>
              <w:left w:val="single" w:sz="4" w:space="0" w:color="auto"/>
              <w:bottom w:val="single" w:sz="4" w:space="0" w:color="auto"/>
              <w:right w:val="single" w:sz="4" w:space="0" w:color="auto"/>
            </w:tcBorders>
            <w:shd w:val="clear" w:color="auto" w:fill="auto"/>
          </w:tcPr>
          <w:p w:rsidR="00363D60" w:rsidRPr="00051281" w:rsidRDefault="00363D60" w:rsidP="005E6581">
            <w:pPr>
              <w:pStyle w:val="Tabletext"/>
              <w:keepNext/>
              <w:rPr>
                <w:color w:val="000000"/>
                <w:szCs w:val="18"/>
              </w:rPr>
            </w:pPr>
            <w:r w:rsidRPr="00051281">
              <w:t>205.446 (6-11 y</w:t>
            </w:r>
            <w:r w:rsidR="00257ABE" w:rsidRPr="00051281">
              <w:t>ea</w:t>
            </w:r>
            <w:r w:rsidRPr="00051281">
              <w:t>rs)</w:t>
            </w:r>
          </w:p>
        </w:tc>
        <w:tc>
          <w:tcPr>
            <w:tcW w:w="560" w:type="pct"/>
            <w:gridSpan w:val="2"/>
            <w:tcBorders>
              <w:top w:val="single" w:sz="4" w:space="0" w:color="auto"/>
              <w:left w:val="single" w:sz="4" w:space="0" w:color="auto"/>
              <w:bottom w:val="single" w:sz="4" w:space="0" w:color="auto"/>
              <w:right w:val="single" w:sz="4" w:space="0" w:color="auto"/>
            </w:tcBorders>
            <w:vAlign w:val="center"/>
          </w:tcPr>
          <w:p w:rsidR="00363D60" w:rsidRPr="00051281" w:rsidRDefault="00363D60" w:rsidP="005E6581">
            <w:pPr>
              <w:keepNext/>
              <w:jc w:val="center"/>
              <w:rPr>
                <w:rFonts w:ascii="Arial Narrow" w:hAnsi="Arial Narrow"/>
                <w:color w:val="000000"/>
                <w:sz w:val="20"/>
                <w:szCs w:val="18"/>
              </w:rPr>
            </w:pPr>
            <w:r w:rsidRPr="00051281">
              <w:rPr>
                <w:rFonts w:ascii="Arial Narrow" w:hAnsi="Arial Narrow"/>
                <w:color w:val="000000"/>
                <w:sz w:val="20"/>
                <w:szCs w:val="18"/>
              </w:rPr>
              <w:t xml:space="preserve">3/130 </w:t>
            </w:r>
          </w:p>
        </w:tc>
        <w:tc>
          <w:tcPr>
            <w:tcW w:w="545" w:type="pct"/>
            <w:tcBorders>
              <w:top w:val="single" w:sz="4" w:space="0" w:color="auto"/>
              <w:left w:val="single" w:sz="4" w:space="0" w:color="auto"/>
              <w:bottom w:val="single" w:sz="4" w:space="0" w:color="auto"/>
              <w:right w:val="single" w:sz="4" w:space="0" w:color="auto"/>
            </w:tcBorders>
            <w:vAlign w:val="center"/>
          </w:tcPr>
          <w:p w:rsidR="00363D60" w:rsidRPr="00051281" w:rsidRDefault="00363D60" w:rsidP="005E6581">
            <w:pPr>
              <w:keepNext/>
              <w:jc w:val="center"/>
              <w:rPr>
                <w:rFonts w:ascii="Arial Narrow" w:hAnsi="Arial Narrow"/>
                <w:color w:val="000000"/>
                <w:sz w:val="20"/>
                <w:szCs w:val="18"/>
              </w:rPr>
            </w:pPr>
            <w:r w:rsidRPr="00051281">
              <w:rPr>
                <w:rFonts w:ascii="Arial Narrow" w:hAnsi="Arial Narrow"/>
                <w:color w:val="000000"/>
                <w:sz w:val="20"/>
                <w:szCs w:val="18"/>
              </w:rPr>
              <w:t>5/134</w:t>
            </w:r>
          </w:p>
        </w:tc>
        <w:tc>
          <w:tcPr>
            <w:tcW w:w="860" w:type="pct"/>
            <w:gridSpan w:val="4"/>
            <w:tcBorders>
              <w:top w:val="single" w:sz="4" w:space="0" w:color="auto"/>
              <w:left w:val="single" w:sz="4" w:space="0" w:color="auto"/>
              <w:bottom w:val="single" w:sz="4" w:space="0" w:color="auto"/>
              <w:right w:val="single" w:sz="4" w:space="0" w:color="auto"/>
            </w:tcBorders>
            <w:vAlign w:val="center"/>
          </w:tcPr>
          <w:p w:rsidR="00363D60" w:rsidRPr="00051281" w:rsidRDefault="00464AB2" w:rsidP="005E6581">
            <w:pPr>
              <w:keepNext/>
              <w:jc w:val="center"/>
              <w:rPr>
                <w:rFonts w:ascii="Arial Narrow" w:hAnsi="Arial Narrow"/>
                <w:color w:val="000000"/>
                <w:sz w:val="20"/>
                <w:szCs w:val="18"/>
              </w:rPr>
            </w:pPr>
            <w:r w:rsidRPr="00051281">
              <w:rPr>
                <w:rFonts w:ascii="Arial Narrow" w:hAnsi="Arial Narrow"/>
                <w:color w:val="000000"/>
                <w:sz w:val="20"/>
                <w:szCs w:val="18"/>
              </w:rPr>
              <w:t>0.62 (0.15, 2.54)</w:t>
            </w:r>
          </w:p>
        </w:tc>
        <w:tc>
          <w:tcPr>
            <w:tcW w:w="550" w:type="pct"/>
            <w:tcBorders>
              <w:top w:val="single" w:sz="4" w:space="0" w:color="auto"/>
              <w:left w:val="single" w:sz="4" w:space="0" w:color="auto"/>
              <w:bottom w:val="single" w:sz="4" w:space="0" w:color="auto"/>
              <w:right w:val="single" w:sz="4" w:space="0" w:color="auto"/>
            </w:tcBorders>
            <w:vAlign w:val="center"/>
          </w:tcPr>
          <w:p w:rsidR="00363D60" w:rsidRPr="00051281" w:rsidRDefault="00DB31ED" w:rsidP="005E6581">
            <w:pPr>
              <w:keepNext/>
              <w:jc w:val="center"/>
              <w:rPr>
                <w:rFonts w:ascii="Arial Narrow" w:hAnsi="Arial Narrow"/>
                <w:color w:val="000000"/>
                <w:sz w:val="20"/>
                <w:szCs w:val="18"/>
              </w:rPr>
            </w:pPr>
            <w:r w:rsidRPr="00051281">
              <w:rPr>
                <w:rFonts w:ascii="Arial Narrow" w:hAnsi="Arial Narrow"/>
                <w:color w:val="000000"/>
                <w:sz w:val="20"/>
                <w:szCs w:val="18"/>
              </w:rPr>
              <w:t>2.3</w:t>
            </w:r>
          </w:p>
        </w:tc>
        <w:tc>
          <w:tcPr>
            <w:tcW w:w="550" w:type="pct"/>
            <w:gridSpan w:val="2"/>
            <w:tcBorders>
              <w:top w:val="single" w:sz="4" w:space="0" w:color="auto"/>
              <w:left w:val="single" w:sz="4" w:space="0" w:color="auto"/>
              <w:bottom w:val="single" w:sz="4" w:space="0" w:color="auto"/>
              <w:right w:val="single" w:sz="4" w:space="0" w:color="auto"/>
            </w:tcBorders>
            <w:vAlign w:val="center"/>
          </w:tcPr>
          <w:p w:rsidR="00363D60" w:rsidRPr="00051281" w:rsidRDefault="00DB31ED" w:rsidP="005E6581">
            <w:pPr>
              <w:keepNext/>
              <w:jc w:val="center"/>
              <w:rPr>
                <w:rFonts w:ascii="Arial Narrow" w:hAnsi="Arial Narrow"/>
                <w:color w:val="000000"/>
                <w:sz w:val="20"/>
                <w:szCs w:val="18"/>
              </w:rPr>
            </w:pPr>
            <w:r w:rsidRPr="00051281">
              <w:rPr>
                <w:rFonts w:ascii="Arial Narrow" w:hAnsi="Arial Narrow"/>
                <w:color w:val="000000"/>
                <w:sz w:val="20"/>
                <w:szCs w:val="18"/>
              </w:rPr>
              <w:t>3.7</w:t>
            </w:r>
          </w:p>
        </w:tc>
        <w:tc>
          <w:tcPr>
            <w:tcW w:w="837" w:type="pct"/>
            <w:tcBorders>
              <w:top w:val="single" w:sz="4" w:space="0" w:color="auto"/>
              <w:left w:val="single" w:sz="4" w:space="0" w:color="auto"/>
              <w:bottom w:val="single" w:sz="4" w:space="0" w:color="auto"/>
              <w:right w:val="single" w:sz="4" w:space="0" w:color="auto"/>
            </w:tcBorders>
            <w:vAlign w:val="center"/>
          </w:tcPr>
          <w:p w:rsidR="00363D60" w:rsidRPr="00051281" w:rsidRDefault="00617871" w:rsidP="005E6581">
            <w:pPr>
              <w:keepNext/>
              <w:jc w:val="center"/>
              <w:rPr>
                <w:rFonts w:ascii="Arial Narrow" w:hAnsi="Arial Narrow"/>
                <w:color w:val="000000"/>
                <w:sz w:val="20"/>
                <w:szCs w:val="18"/>
              </w:rPr>
            </w:pPr>
            <w:r w:rsidRPr="00051281">
              <w:rPr>
                <w:rFonts w:ascii="Arial Narrow" w:hAnsi="Arial Narrow"/>
                <w:color w:val="000000"/>
                <w:sz w:val="20"/>
                <w:szCs w:val="18"/>
              </w:rPr>
              <w:t>-</w:t>
            </w:r>
            <w:r w:rsidR="00DB31ED" w:rsidRPr="00051281">
              <w:rPr>
                <w:rFonts w:ascii="Arial Narrow" w:hAnsi="Arial Narrow"/>
                <w:color w:val="000000"/>
                <w:sz w:val="20"/>
                <w:szCs w:val="18"/>
              </w:rPr>
              <w:t>0.0</w:t>
            </w:r>
            <w:r w:rsidR="00464AB2" w:rsidRPr="00051281">
              <w:rPr>
                <w:rFonts w:ascii="Arial Narrow" w:hAnsi="Arial Narrow"/>
                <w:color w:val="000000"/>
                <w:sz w:val="20"/>
                <w:szCs w:val="18"/>
              </w:rPr>
              <w:t>1 (-</w:t>
            </w:r>
            <w:r w:rsidR="00DB31ED" w:rsidRPr="00051281">
              <w:rPr>
                <w:rFonts w:ascii="Arial Narrow" w:hAnsi="Arial Narrow"/>
                <w:color w:val="000000"/>
                <w:sz w:val="20"/>
                <w:szCs w:val="18"/>
              </w:rPr>
              <w:t>0.0</w:t>
            </w:r>
            <w:r w:rsidR="00464AB2" w:rsidRPr="00051281">
              <w:rPr>
                <w:rFonts w:ascii="Arial Narrow" w:hAnsi="Arial Narrow"/>
                <w:color w:val="000000"/>
                <w:sz w:val="20"/>
                <w:szCs w:val="18"/>
              </w:rPr>
              <w:t xml:space="preserve">6, </w:t>
            </w:r>
            <w:r w:rsidR="00DB31ED" w:rsidRPr="00051281">
              <w:rPr>
                <w:rFonts w:ascii="Arial Narrow" w:hAnsi="Arial Narrow"/>
                <w:color w:val="000000"/>
                <w:sz w:val="20"/>
                <w:szCs w:val="18"/>
              </w:rPr>
              <w:t>0.0</w:t>
            </w:r>
            <w:r w:rsidR="00464AB2" w:rsidRPr="00051281">
              <w:rPr>
                <w:rFonts w:ascii="Arial Narrow" w:hAnsi="Arial Narrow"/>
                <w:color w:val="000000"/>
                <w:sz w:val="20"/>
                <w:szCs w:val="18"/>
              </w:rPr>
              <w:t>3)</w:t>
            </w:r>
          </w:p>
        </w:tc>
      </w:tr>
      <w:tr w:rsidR="00DB31ED" w:rsidRPr="00051281" w:rsidTr="004574B9">
        <w:tc>
          <w:tcPr>
            <w:tcW w:w="1098" w:type="pct"/>
            <w:tcBorders>
              <w:top w:val="single" w:sz="4" w:space="0" w:color="auto"/>
              <w:left w:val="single" w:sz="4" w:space="0" w:color="auto"/>
              <w:bottom w:val="single" w:sz="4" w:space="0" w:color="auto"/>
              <w:right w:val="single" w:sz="4" w:space="0" w:color="auto"/>
            </w:tcBorders>
            <w:shd w:val="clear" w:color="auto" w:fill="auto"/>
          </w:tcPr>
          <w:p w:rsidR="00363D60" w:rsidRPr="00051281" w:rsidRDefault="00363D60" w:rsidP="005E6581">
            <w:pPr>
              <w:pStyle w:val="Tabletext"/>
              <w:keepNext/>
              <w:rPr>
                <w:color w:val="000000"/>
                <w:szCs w:val="18"/>
              </w:rPr>
            </w:pPr>
            <w:r w:rsidRPr="00051281">
              <w:t>205.456 (12-17 y</w:t>
            </w:r>
            <w:r w:rsidR="00257ABE" w:rsidRPr="00051281">
              <w:t>ea</w:t>
            </w:r>
            <w:r w:rsidRPr="00051281">
              <w:t>rs)</w:t>
            </w:r>
          </w:p>
        </w:tc>
        <w:tc>
          <w:tcPr>
            <w:tcW w:w="560" w:type="pct"/>
            <w:gridSpan w:val="2"/>
            <w:tcBorders>
              <w:top w:val="single" w:sz="4" w:space="0" w:color="auto"/>
              <w:left w:val="single" w:sz="4" w:space="0" w:color="auto"/>
              <w:bottom w:val="single" w:sz="4" w:space="0" w:color="auto"/>
              <w:right w:val="single" w:sz="4" w:space="0" w:color="auto"/>
            </w:tcBorders>
            <w:vAlign w:val="center"/>
          </w:tcPr>
          <w:p w:rsidR="00363D60" w:rsidRPr="00051281" w:rsidRDefault="00363D60" w:rsidP="005E6581">
            <w:pPr>
              <w:keepNext/>
              <w:jc w:val="center"/>
              <w:rPr>
                <w:rFonts w:ascii="Arial Narrow" w:hAnsi="Arial Narrow"/>
                <w:color w:val="000000"/>
                <w:sz w:val="20"/>
                <w:szCs w:val="18"/>
              </w:rPr>
            </w:pPr>
            <w:r w:rsidRPr="00051281">
              <w:rPr>
                <w:rFonts w:ascii="Arial Narrow" w:hAnsi="Arial Narrow"/>
                <w:color w:val="000000"/>
                <w:sz w:val="20"/>
                <w:szCs w:val="18"/>
              </w:rPr>
              <w:t xml:space="preserve">1/130 </w:t>
            </w:r>
          </w:p>
        </w:tc>
        <w:tc>
          <w:tcPr>
            <w:tcW w:w="545" w:type="pct"/>
            <w:tcBorders>
              <w:top w:val="single" w:sz="4" w:space="0" w:color="auto"/>
              <w:left w:val="single" w:sz="4" w:space="0" w:color="auto"/>
              <w:bottom w:val="single" w:sz="4" w:space="0" w:color="auto"/>
              <w:right w:val="single" w:sz="4" w:space="0" w:color="auto"/>
            </w:tcBorders>
            <w:vAlign w:val="center"/>
          </w:tcPr>
          <w:p w:rsidR="00363D60" w:rsidRPr="00051281" w:rsidRDefault="00363D60" w:rsidP="005E6581">
            <w:pPr>
              <w:keepNext/>
              <w:jc w:val="center"/>
              <w:rPr>
                <w:rFonts w:ascii="Arial Narrow" w:hAnsi="Arial Narrow"/>
                <w:color w:val="000000"/>
                <w:sz w:val="20"/>
                <w:szCs w:val="18"/>
              </w:rPr>
            </w:pPr>
            <w:r w:rsidRPr="00051281">
              <w:rPr>
                <w:rFonts w:ascii="Arial Narrow" w:hAnsi="Arial Narrow"/>
                <w:color w:val="000000"/>
                <w:sz w:val="20"/>
                <w:szCs w:val="18"/>
              </w:rPr>
              <w:t>2/135</w:t>
            </w:r>
          </w:p>
        </w:tc>
        <w:tc>
          <w:tcPr>
            <w:tcW w:w="860" w:type="pct"/>
            <w:gridSpan w:val="4"/>
            <w:tcBorders>
              <w:top w:val="single" w:sz="4" w:space="0" w:color="auto"/>
              <w:left w:val="single" w:sz="4" w:space="0" w:color="auto"/>
              <w:bottom w:val="single" w:sz="4" w:space="0" w:color="auto"/>
              <w:right w:val="single" w:sz="4" w:space="0" w:color="auto"/>
            </w:tcBorders>
            <w:vAlign w:val="center"/>
          </w:tcPr>
          <w:p w:rsidR="00363D60" w:rsidRPr="00051281" w:rsidRDefault="00852E76" w:rsidP="005E6581">
            <w:pPr>
              <w:keepNext/>
              <w:jc w:val="center"/>
              <w:rPr>
                <w:rFonts w:ascii="Arial Narrow" w:hAnsi="Arial Narrow"/>
                <w:color w:val="000000"/>
                <w:sz w:val="20"/>
                <w:szCs w:val="18"/>
              </w:rPr>
            </w:pPr>
            <w:r w:rsidRPr="00051281">
              <w:rPr>
                <w:rFonts w:ascii="Arial Narrow" w:hAnsi="Arial Narrow"/>
                <w:color w:val="000000"/>
                <w:sz w:val="20"/>
                <w:szCs w:val="18"/>
              </w:rPr>
              <w:t>0.52 (0.05, 5.66)</w:t>
            </w:r>
          </w:p>
        </w:tc>
        <w:tc>
          <w:tcPr>
            <w:tcW w:w="550" w:type="pct"/>
            <w:tcBorders>
              <w:top w:val="single" w:sz="4" w:space="0" w:color="auto"/>
              <w:left w:val="single" w:sz="4" w:space="0" w:color="auto"/>
              <w:bottom w:val="single" w:sz="4" w:space="0" w:color="auto"/>
              <w:right w:val="single" w:sz="4" w:space="0" w:color="auto"/>
            </w:tcBorders>
            <w:vAlign w:val="center"/>
          </w:tcPr>
          <w:p w:rsidR="00363D60" w:rsidRPr="00051281" w:rsidRDefault="00DB31ED" w:rsidP="005E6581">
            <w:pPr>
              <w:keepNext/>
              <w:jc w:val="center"/>
              <w:rPr>
                <w:rFonts w:ascii="Arial Narrow" w:hAnsi="Arial Narrow"/>
                <w:color w:val="000000"/>
                <w:sz w:val="20"/>
                <w:szCs w:val="18"/>
              </w:rPr>
            </w:pPr>
            <w:r w:rsidRPr="00051281">
              <w:rPr>
                <w:rFonts w:ascii="Arial Narrow" w:hAnsi="Arial Narrow"/>
                <w:color w:val="000000"/>
                <w:sz w:val="20"/>
                <w:szCs w:val="18"/>
              </w:rPr>
              <w:t>0.8</w:t>
            </w:r>
          </w:p>
        </w:tc>
        <w:tc>
          <w:tcPr>
            <w:tcW w:w="550" w:type="pct"/>
            <w:gridSpan w:val="2"/>
            <w:tcBorders>
              <w:top w:val="single" w:sz="4" w:space="0" w:color="auto"/>
              <w:left w:val="single" w:sz="4" w:space="0" w:color="auto"/>
              <w:bottom w:val="single" w:sz="4" w:space="0" w:color="auto"/>
              <w:right w:val="single" w:sz="4" w:space="0" w:color="auto"/>
            </w:tcBorders>
            <w:vAlign w:val="center"/>
          </w:tcPr>
          <w:p w:rsidR="00363D60" w:rsidRPr="00051281" w:rsidRDefault="00DB31ED" w:rsidP="005E6581">
            <w:pPr>
              <w:keepNext/>
              <w:jc w:val="center"/>
              <w:rPr>
                <w:rFonts w:ascii="Arial Narrow" w:hAnsi="Arial Narrow"/>
                <w:color w:val="000000"/>
                <w:sz w:val="20"/>
                <w:szCs w:val="18"/>
              </w:rPr>
            </w:pPr>
            <w:r w:rsidRPr="00051281">
              <w:rPr>
                <w:rFonts w:ascii="Arial Narrow" w:hAnsi="Arial Narrow"/>
                <w:color w:val="000000"/>
                <w:sz w:val="20"/>
                <w:szCs w:val="18"/>
              </w:rPr>
              <w:t>1.5</w:t>
            </w:r>
          </w:p>
        </w:tc>
        <w:tc>
          <w:tcPr>
            <w:tcW w:w="837" w:type="pct"/>
            <w:tcBorders>
              <w:top w:val="single" w:sz="4" w:space="0" w:color="auto"/>
              <w:left w:val="single" w:sz="4" w:space="0" w:color="auto"/>
              <w:bottom w:val="single" w:sz="4" w:space="0" w:color="auto"/>
              <w:right w:val="single" w:sz="4" w:space="0" w:color="auto"/>
            </w:tcBorders>
            <w:vAlign w:val="center"/>
          </w:tcPr>
          <w:p w:rsidR="00363D60" w:rsidRPr="00051281" w:rsidRDefault="00617871" w:rsidP="005E6581">
            <w:pPr>
              <w:keepNext/>
              <w:jc w:val="center"/>
              <w:rPr>
                <w:rFonts w:ascii="Arial Narrow" w:hAnsi="Arial Narrow"/>
                <w:color w:val="000000"/>
                <w:sz w:val="20"/>
                <w:szCs w:val="18"/>
              </w:rPr>
            </w:pPr>
            <w:r w:rsidRPr="00051281">
              <w:rPr>
                <w:rFonts w:ascii="Arial Narrow" w:hAnsi="Arial Narrow"/>
                <w:color w:val="000000"/>
                <w:sz w:val="20"/>
                <w:szCs w:val="18"/>
              </w:rPr>
              <w:t>-</w:t>
            </w:r>
            <w:r w:rsidR="00DB31ED" w:rsidRPr="00051281">
              <w:rPr>
                <w:rFonts w:ascii="Arial Narrow" w:hAnsi="Arial Narrow"/>
                <w:color w:val="000000"/>
                <w:sz w:val="20"/>
                <w:szCs w:val="18"/>
              </w:rPr>
              <w:t>0.0</w:t>
            </w:r>
            <w:r w:rsidR="00852E76" w:rsidRPr="00051281">
              <w:rPr>
                <w:rFonts w:ascii="Arial Narrow" w:hAnsi="Arial Narrow"/>
                <w:color w:val="000000"/>
                <w:sz w:val="20"/>
                <w:szCs w:val="18"/>
              </w:rPr>
              <w:t>1 (-</w:t>
            </w:r>
            <w:r w:rsidR="00DB31ED" w:rsidRPr="00051281">
              <w:rPr>
                <w:rFonts w:ascii="Arial Narrow" w:hAnsi="Arial Narrow"/>
                <w:color w:val="000000"/>
                <w:sz w:val="20"/>
                <w:szCs w:val="18"/>
              </w:rPr>
              <w:t>0.0</w:t>
            </w:r>
            <w:r w:rsidR="00852E76" w:rsidRPr="00051281">
              <w:rPr>
                <w:rFonts w:ascii="Arial Narrow" w:hAnsi="Arial Narrow"/>
                <w:color w:val="000000"/>
                <w:sz w:val="20"/>
                <w:szCs w:val="18"/>
              </w:rPr>
              <w:t xml:space="preserve">3, </w:t>
            </w:r>
            <w:r w:rsidR="00DB31ED" w:rsidRPr="00051281">
              <w:rPr>
                <w:rFonts w:ascii="Arial Narrow" w:hAnsi="Arial Narrow"/>
                <w:color w:val="000000"/>
                <w:sz w:val="20"/>
                <w:szCs w:val="18"/>
              </w:rPr>
              <w:t>0.0</w:t>
            </w:r>
            <w:r w:rsidR="00852E76" w:rsidRPr="00051281">
              <w:rPr>
                <w:rFonts w:ascii="Arial Narrow" w:hAnsi="Arial Narrow"/>
                <w:color w:val="000000"/>
                <w:sz w:val="20"/>
                <w:szCs w:val="18"/>
              </w:rPr>
              <w:t>2)</w:t>
            </w:r>
          </w:p>
        </w:tc>
      </w:tr>
    </w:tbl>
    <w:p w:rsidR="00B62715" w:rsidRPr="00051281" w:rsidRDefault="007F4A61" w:rsidP="00175307">
      <w:pPr>
        <w:pStyle w:val="TableFooter"/>
        <w:jc w:val="left"/>
      </w:pPr>
      <w:r w:rsidRPr="00051281">
        <w:t xml:space="preserve">Source: </w:t>
      </w:r>
      <w:r w:rsidR="00546FCE" w:rsidRPr="00051281">
        <w:t>Tables 2.19-</w:t>
      </w:r>
      <w:r w:rsidR="00744322" w:rsidRPr="00051281">
        <w:t>2.</w:t>
      </w:r>
      <w:r w:rsidR="00546FCE" w:rsidRPr="00051281">
        <w:t>20, p</w:t>
      </w:r>
      <w:r w:rsidR="00744322" w:rsidRPr="00051281">
        <w:t>p</w:t>
      </w:r>
      <w:r w:rsidR="00546FCE" w:rsidRPr="00051281">
        <w:t>94-95; Figure</w:t>
      </w:r>
      <w:r w:rsidR="00744322" w:rsidRPr="00051281">
        <w:t>s</w:t>
      </w:r>
      <w:r w:rsidR="00546FCE" w:rsidRPr="00051281">
        <w:t xml:space="preserve"> 2.8-2.9, p</w:t>
      </w:r>
      <w:r w:rsidR="00744322" w:rsidRPr="00051281">
        <w:t>p</w:t>
      </w:r>
      <w:r w:rsidR="00546FCE" w:rsidRPr="00051281">
        <w:t>119-120</w:t>
      </w:r>
      <w:r w:rsidR="00175307" w:rsidRPr="00051281">
        <w:t xml:space="preserve">; </w:t>
      </w:r>
      <w:r w:rsidR="00546FCE" w:rsidRPr="00051281">
        <w:t>Table 2.24, p103</w:t>
      </w:r>
      <w:r w:rsidR="00175307" w:rsidRPr="00051281">
        <w:t>;</w:t>
      </w:r>
      <w:r w:rsidR="00744322" w:rsidRPr="00051281">
        <w:t xml:space="preserve"> </w:t>
      </w:r>
      <w:r w:rsidR="00742247" w:rsidRPr="00051281">
        <w:t xml:space="preserve">and </w:t>
      </w:r>
      <w:r w:rsidR="00546FCE" w:rsidRPr="00051281">
        <w:t xml:space="preserve">Tables 2.32-2.33, </w:t>
      </w:r>
      <w:r w:rsidR="00744322" w:rsidRPr="00051281">
        <w:t>p</w:t>
      </w:r>
      <w:r w:rsidR="00546FCE" w:rsidRPr="00051281">
        <w:t>p116-117 of the submission</w:t>
      </w:r>
    </w:p>
    <w:p w:rsidR="00363D60" w:rsidRPr="00051281" w:rsidRDefault="00546FCE" w:rsidP="00175307">
      <w:pPr>
        <w:pStyle w:val="TableFooter"/>
        <w:jc w:val="left"/>
      </w:pPr>
      <w:r w:rsidRPr="00051281">
        <w:rPr>
          <w:rFonts w:eastAsia="Calibri"/>
        </w:rPr>
        <w:t>CI = confidence interval;</w:t>
      </w:r>
      <w:r w:rsidRPr="00051281">
        <w:t xml:space="preserve"> FEV</w:t>
      </w:r>
      <w:r w:rsidRPr="00051281">
        <w:rPr>
          <w:vertAlign w:val="subscript"/>
        </w:rPr>
        <w:t>1</w:t>
      </w:r>
      <w:r w:rsidRPr="00051281">
        <w:t xml:space="preserve"> = forced expiratory v</w:t>
      </w:r>
      <w:r w:rsidR="00852E76" w:rsidRPr="00051281">
        <w:t xml:space="preserve">olume in one second; L = </w:t>
      </w:r>
      <w:r w:rsidR="00175307" w:rsidRPr="00051281">
        <w:t>l</w:t>
      </w:r>
      <w:r w:rsidR="00852E76" w:rsidRPr="00051281">
        <w:t>itre;</w:t>
      </w:r>
      <w:r w:rsidRPr="00051281">
        <w:rPr>
          <w:rFonts w:eastAsia="Calibri"/>
        </w:rPr>
        <w:t xml:space="preserve"> </w:t>
      </w:r>
      <w:r w:rsidR="00DB31ED" w:rsidRPr="00051281">
        <w:rPr>
          <w:rFonts w:eastAsia="Calibri"/>
        </w:rPr>
        <w:t xml:space="preserve">MMRM = mixed model repeated measures; </w:t>
      </w:r>
      <w:r w:rsidRPr="00051281">
        <w:t>SD</w:t>
      </w:r>
      <w:r w:rsidR="00175307" w:rsidRPr="00051281">
        <w:t> </w:t>
      </w:r>
      <w:r w:rsidRPr="00051281">
        <w:t>=</w:t>
      </w:r>
      <w:r w:rsidR="00175307" w:rsidRPr="00051281">
        <w:t> </w:t>
      </w:r>
      <w:r w:rsidRPr="00051281">
        <w:t xml:space="preserve">standard deviations; </w:t>
      </w:r>
      <w:r w:rsidRPr="00051281">
        <w:rPr>
          <w:b/>
        </w:rPr>
        <w:t>Bold</w:t>
      </w:r>
      <w:r w:rsidRPr="00051281">
        <w:t xml:space="preserve"> = statistically significant </w:t>
      </w:r>
    </w:p>
    <w:p w:rsidR="00435F38" w:rsidRPr="00051281" w:rsidRDefault="00435F38" w:rsidP="00175307">
      <w:pPr>
        <w:pStyle w:val="TableFooter"/>
        <w:keepNext/>
        <w:keepLines/>
        <w:jc w:val="left"/>
      </w:pPr>
      <w:proofErr w:type="gramStart"/>
      <w:r w:rsidRPr="00051281">
        <w:rPr>
          <w:vertAlign w:val="superscript"/>
        </w:rPr>
        <w:t>a</w:t>
      </w:r>
      <w:proofErr w:type="gramEnd"/>
      <w:r w:rsidRPr="00051281">
        <w:t xml:space="preserve"> Calculated post-hoc: events per patient year = total events/(total exposure days/365.25)</w:t>
      </w:r>
    </w:p>
    <w:p w:rsidR="0006651E" w:rsidRPr="00051281" w:rsidRDefault="00435F38" w:rsidP="00175307">
      <w:pPr>
        <w:pStyle w:val="TableFooter"/>
        <w:keepNext/>
        <w:keepLines/>
        <w:jc w:val="left"/>
      </w:pPr>
      <w:proofErr w:type="gramStart"/>
      <w:r w:rsidRPr="00051281">
        <w:rPr>
          <w:vertAlign w:val="superscript"/>
        </w:rPr>
        <w:t>b</w:t>
      </w:r>
      <w:proofErr w:type="gramEnd"/>
      <w:r w:rsidR="0006651E" w:rsidRPr="00051281">
        <w:t xml:space="preserve"> SD calculated post-hoc </w:t>
      </w:r>
    </w:p>
    <w:p w:rsidR="0006651E" w:rsidRPr="00051281" w:rsidRDefault="00435F38" w:rsidP="005E1CCA">
      <w:pPr>
        <w:pStyle w:val="TableFooter"/>
        <w:keepNext/>
        <w:keepLines/>
        <w:spacing w:after="120"/>
        <w:jc w:val="left"/>
      </w:pPr>
      <w:proofErr w:type="gramStart"/>
      <w:r w:rsidRPr="00051281">
        <w:rPr>
          <w:vertAlign w:val="superscript"/>
        </w:rPr>
        <w:t>c</w:t>
      </w:r>
      <w:proofErr w:type="gramEnd"/>
      <w:r w:rsidR="0006651E" w:rsidRPr="00051281">
        <w:rPr>
          <w:vertAlign w:val="superscript"/>
        </w:rPr>
        <w:t xml:space="preserve"> </w:t>
      </w:r>
      <w:r w:rsidR="0006651E" w:rsidRPr="00051281">
        <w:t>MMRM with fixed categorical effects of treatment, country, visit, and treatment-by-visit interaction, continuous fixed covariates of baseline and baseline-by-visit interaction, and random effect of patient.</w:t>
      </w:r>
    </w:p>
    <w:p w:rsidR="00FC1884" w:rsidRPr="00051281" w:rsidRDefault="001C289A" w:rsidP="003841D3">
      <w:pPr>
        <w:pStyle w:val="ListParagraph"/>
        <w:widowControl/>
        <w:numPr>
          <w:ilvl w:val="1"/>
          <w:numId w:val="1"/>
        </w:numPr>
        <w:spacing w:after="120"/>
      </w:pPr>
      <w:r w:rsidRPr="00051281">
        <w:t xml:space="preserve">On the basis of </w:t>
      </w:r>
      <w:r w:rsidR="00DB31ED" w:rsidRPr="00051281">
        <w:t>the</w:t>
      </w:r>
      <w:r w:rsidRPr="00051281">
        <w:t xml:space="preserve"> direct</w:t>
      </w:r>
      <w:r w:rsidR="00EC00C9" w:rsidRPr="00051281">
        <w:t xml:space="preserve"> comparison evidence presented by the submission, for e</w:t>
      </w:r>
      <w:r w:rsidR="00363D60" w:rsidRPr="00051281">
        <w:t>very 100 patients treated with tiotropium</w:t>
      </w:r>
      <w:r w:rsidR="00EC00C9" w:rsidRPr="00051281">
        <w:t xml:space="preserve"> in comparison to </w:t>
      </w:r>
      <w:r w:rsidR="00363D60" w:rsidRPr="00051281">
        <w:t>placebo and over a</w:t>
      </w:r>
      <w:r w:rsidR="00422260" w:rsidRPr="00051281">
        <w:t xml:space="preserve"> duration of </w:t>
      </w:r>
      <w:r w:rsidR="001C2A9B" w:rsidRPr="00051281">
        <w:t xml:space="preserve">exposure of </w:t>
      </w:r>
      <w:r w:rsidR="00DB31ED" w:rsidRPr="00051281">
        <w:t>one year:</w:t>
      </w:r>
    </w:p>
    <w:p w:rsidR="00363D60" w:rsidRPr="00051281" w:rsidRDefault="00363D60" w:rsidP="00693802">
      <w:pPr>
        <w:pStyle w:val="Bulletpoints"/>
        <w:numPr>
          <w:ilvl w:val="1"/>
          <w:numId w:val="14"/>
        </w:numPr>
        <w:spacing w:after="120"/>
      </w:pPr>
      <w:r w:rsidRPr="00051281">
        <w:t xml:space="preserve">Approximately </w:t>
      </w:r>
      <w:r w:rsidR="00817D5B" w:rsidRPr="00051281">
        <w:t xml:space="preserve">64 </w:t>
      </w:r>
      <w:r w:rsidR="00DC7249" w:rsidRPr="00051281">
        <w:t xml:space="preserve">fewer </w:t>
      </w:r>
      <w:r w:rsidR="00C14A6D" w:rsidRPr="00051281">
        <w:t>symptomatic exacerbation</w:t>
      </w:r>
      <w:r w:rsidR="00DC7249" w:rsidRPr="00051281">
        <w:t>s</w:t>
      </w:r>
      <w:r w:rsidR="00C14A6D" w:rsidRPr="00051281">
        <w:t xml:space="preserve"> (</w:t>
      </w:r>
      <w:r w:rsidR="00693802" w:rsidRPr="00051281">
        <w:t xml:space="preserve">due only to </w:t>
      </w:r>
      <w:r w:rsidR="00186BCE" w:rsidRPr="00051281">
        <w:t xml:space="preserve">a </w:t>
      </w:r>
      <w:r w:rsidR="00693802" w:rsidRPr="00051281">
        <w:t>reduction in</w:t>
      </w:r>
      <w:r w:rsidR="00C14A6D" w:rsidRPr="00051281">
        <w:t xml:space="preserve"> non-severe</w:t>
      </w:r>
      <w:r w:rsidR="00186BCE" w:rsidRPr="00051281">
        <w:t xml:space="preserve"> exacerbations</w:t>
      </w:r>
      <w:r w:rsidR="00C14A6D" w:rsidRPr="00051281">
        <w:t>)</w:t>
      </w:r>
      <w:r w:rsidR="00DC7249" w:rsidRPr="00051281">
        <w:t xml:space="preserve"> would be experienced in patients aged 6 to 11 years</w:t>
      </w:r>
      <w:r w:rsidR="00C14A6D" w:rsidRPr="00051281">
        <w:t>.</w:t>
      </w:r>
    </w:p>
    <w:p w:rsidR="00464AB2" w:rsidRPr="00051281" w:rsidRDefault="00EB569C" w:rsidP="003841D3">
      <w:pPr>
        <w:pStyle w:val="Bulletpoints"/>
        <w:numPr>
          <w:ilvl w:val="1"/>
          <w:numId w:val="14"/>
        </w:numPr>
        <w:spacing w:after="120"/>
      </w:pPr>
      <w:r w:rsidRPr="00051281">
        <w:t>There would be no</w:t>
      </w:r>
      <w:r w:rsidR="00A14B68" w:rsidRPr="00051281">
        <w:t xml:space="preserve"> </w:t>
      </w:r>
      <w:r w:rsidR="003844E9" w:rsidRPr="00051281">
        <w:t>difference</w:t>
      </w:r>
      <w:r w:rsidR="00A14B68" w:rsidRPr="00051281">
        <w:t xml:space="preserve"> in the </w:t>
      </w:r>
      <w:r w:rsidR="005304D6" w:rsidRPr="00051281">
        <w:t>rate</w:t>
      </w:r>
      <w:r w:rsidR="00A14B68" w:rsidRPr="00051281">
        <w:t xml:space="preserve"> of severe exacerbations.</w:t>
      </w:r>
    </w:p>
    <w:p w:rsidR="00B60939" w:rsidRPr="00051281" w:rsidRDefault="00843B66" w:rsidP="00EF0BCA">
      <w:pPr>
        <w:pStyle w:val="Bulletpoints"/>
        <w:numPr>
          <w:ilvl w:val="1"/>
          <w:numId w:val="14"/>
        </w:numPr>
        <w:spacing w:after="120"/>
      </w:pPr>
      <w:r w:rsidRPr="00051281">
        <w:t>There would be no difference in either symptomatic (which includes both non-severe and severe), or severe exacerbations for patients aged 12 to 17 years.</w:t>
      </w:r>
    </w:p>
    <w:p w:rsidR="00617871" w:rsidRPr="00051281" w:rsidRDefault="00617871" w:rsidP="003841D3">
      <w:pPr>
        <w:pStyle w:val="ListParagraph"/>
        <w:widowControl/>
        <w:numPr>
          <w:ilvl w:val="1"/>
          <w:numId w:val="1"/>
        </w:numPr>
        <w:spacing w:after="120"/>
      </w:pPr>
      <w:r w:rsidRPr="00051281">
        <w:lastRenderedPageBreak/>
        <w:t>On the basis of the direct comparison evidence presented by the submission, the comparison of tiotropium and placebo</w:t>
      </w:r>
      <w:r w:rsidR="00131C8A" w:rsidRPr="00051281">
        <w:t>, over a duration of follow-up of 12 weeks,</w:t>
      </w:r>
      <w:r w:rsidRPr="00051281">
        <w:t xml:space="preserve"> resulted in:</w:t>
      </w:r>
    </w:p>
    <w:p w:rsidR="00617871" w:rsidRPr="00051281" w:rsidRDefault="00617871" w:rsidP="003841D3">
      <w:pPr>
        <w:pStyle w:val="Bulletpoints"/>
        <w:numPr>
          <w:ilvl w:val="1"/>
          <w:numId w:val="15"/>
        </w:numPr>
        <w:spacing w:after="120"/>
      </w:pPr>
      <w:r w:rsidRPr="00051281">
        <w:t xml:space="preserve">Approximately </w:t>
      </w:r>
      <w:r w:rsidR="00131C8A" w:rsidRPr="00051281">
        <w:t xml:space="preserve">0.14 L improvement in </w:t>
      </w:r>
      <w:r w:rsidR="00DC7249" w:rsidRPr="00051281">
        <w:t>lung function, as measured by the forced expiratory volume in one second (</w:t>
      </w:r>
      <w:r w:rsidR="00131C8A" w:rsidRPr="00051281">
        <w:t>FEV</w:t>
      </w:r>
      <w:r w:rsidR="00131C8A" w:rsidRPr="00051281">
        <w:rPr>
          <w:vertAlign w:val="subscript"/>
        </w:rPr>
        <w:t>1</w:t>
      </w:r>
      <w:r w:rsidR="00DC7249" w:rsidRPr="00051281">
        <w:t>)</w:t>
      </w:r>
      <w:r w:rsidR="00131C8A" w:rsidRPr="00051281">
        <w:t xml:space="preserve"> peak</w:t>
      </w:r>
      <w:r w:rsidR="00DC7249" w:rsidRPr="00051281">
        <w:t xml:space="preserve"> response</w:t>
      </w:r>
      <w:r w:rsidR="00131C8A" w:rsidRPr="00051281">
        <w:t xml:space="preserve"> (</w:t>
      </w:r>
      <w:r w:rsidR="00DC7249" w:rsidRPr="00051281">
        <w:t xml:space="preserve">which is </w:t>
      </w:r>
      <w:r w:rsidR="00743739" w:rsidRPr="00051281">
        <w:t xml:space="preserve">measured </w:t>
      </w:r>
      <w:r w:rsidR="00DC7249" w:rsidRPr="00051281">
        <w:t xml:space="preserve">0 to 3 hours </w:t>
      </w:r>
      <w:r w:rsidR="00B74A25" w:rsidRPr="00051281">
        <w:t xml:space="preserve">after dosing </w:t>
      </w:r>
      <w:r w:rsidR="00707C37" w:rsidRPr="00051281">
        <w:t>by spirometry</w:t>
      </w:r>
      <w:r w:rsidR="00131C8A" w:rsidRPr="00051281">
        <w:t>)</w:t>
      </w:r>
      <w:r w:rsidR="00DC7249" w:rsidRPr="00051281">
        <w:t>,</w:t>
      </w:r>
      <w:r w:rsidR="00131C8A" w:rsidRPr="00051281">
        <w:t xml:space="preserve"> in patients aged 6 to 11 years. The submission considered that an improvement of 0.12 L was clinically meaningful.</w:t>
      </w:r>
    </w:p>
    <w:p w:rsidR="00131C8A" w:rsidRPr="00051281" w:rsidRDefault="00131C8A" w:rsidP="003841D3">
      <w:pPr>
        <w:pStyle w:val="Bulletpoints"/>
        <w:numPr>
          <w:ilvl w:val="1"/>
          <w:numId w:val="15"/>
        </w:numPr>
        <w:spacing w:after="120"/>
      </w:pPr>
      <w:r w:rsidRPr="00051281">
        <w:t xml:space="preserve">Approximately 0.09 L improvement in </w:t>
      </w:r>
      <w:r w:rsidR="00DC7249" w:rsidRPr="00051281">
        <w:t xml:space="preserve">lung function, as measured by the </w:t>
      </w:r>
      <w:r w:rsidRPr="00051281">
        <w:t>trough FEV</w:t>
      </w:r>
      <w:r w:rsidRPr="00051281">
        <w:rPr>
          <w:vertAlign w:val="subscript"/>
        </w:rPr>
        <w:t>1</w:t>
      </w:r>
      <w:r w:rsidRPr="00051281">
        <w:t xml:space="preserve"> </w:t>
      </w:r>
      <w:r w:rsidR="00DC7249" w:rsidRPr="00051281">
        <w:t xml:space="preserve">response </w:t>
      </w:r>
      <w:r w:rsidR="00B74A25" w:rsidRPr="00051281">
        <w:t>(</w:t>
      </w:r>
      <w:r w:rsidR="00DC7249" w:rsidRPr="00051281">
        <w:t xml:space="preserve">which is </w:t>
      </w:r>
      <w:r w:rsidR="00B74A25" w:rsidRPr="00051281">
        <w:t xml:space="preserve">measured </w:t>
      </w:r>
      <w:r w:rsidR="00B74A25" w:rsidRPr="00051281">
        <w:rPr>
          <w:rFonts w:cstheme="minorHAnsi"/>
        </w:rPr>
        <w:t xml:space="preserve">24 hours </w:t>
      </w:r>
      <w:r w:rsidR="00DC7249" w:rsidRPr="00051281">
        <w:rPr>
          <w:rFonts w:cstheme="minorHAnsi"/>
        </w:rPr>
        <w:t xml:space="preserve">after </w:t>
      </w:r>
      <w:r w:rsidR="00B74A25" w:rsidRPr="00051281">
        <w:t xml:space="preserve">dosing by </w:t>
      </w:r>
      <w:r w:rsidR="00707C37" w:rsidRPr="00051281">
        <w:t>spirometry</w:t>
      </w:r>
      <w:r w:rsidR="00B74A25" w:rsidRPr="00051281">
        <w:t>)</w:t>
      </w:r>
      <w:r w:rsidR="00DC7249" w:rsidRPr="00051281">
        <w:t>,</w:t>
      </w:r>
      <w:r w:rsidR="00B74A25" w:rsidRPr="00051281">
        <w:t xml:space="preserve"> </w:t>
      </w:r>
      <w:r w:rsidRPr="00051281">
        <w:t>in patients aged 6 to 11 years. It was considered that an improvement of 0.10 L was clinically meaningful.</w:t>
      </w:r>
    </w:p>
    <w:p w:rsidR="00617871" w:rsidRPr="00051281" w:rsidRDefault="00175307" w:rsidP="003841D3">
      <w:pPr>
        <w:pStyle w:val="Bulletpoints"/>
        <w:numPr>
          <w:ilvl w:val="1"/>
          <w:numId w:val="15"/>
        </w:numPr>
        <w:spacing w:after="120"/>
      </w:pPr>
      <w:r w:rsidRPr="00051281">
        <w:t xml:space="preserve">No </w:t>
      </w:r>
      <w:r w:rsidR="00B74A25" w:rsidRPr="00051281">
        <w:t xml:space="preserve">clinically meaningful </w:t>
      </w:r>
      <w:r w:rsidR="003844E9" w:rsidRPr="00051281">
        <w:t>difference</w:t>
      </w:r>
      <w:r w:rsidRPr="00051281">
        <w:t xml:space="preserve"> </w:t>
      </w:r>
      <w:r w:rsidR="00DC7249" w:rsidRPr="00051281">
        <w:t xml:space="preserve">lung function, as measured by </w:t>
      </w:r>
      <w:r w:rsidRPr="00051281">
        <w:t>FEV</w:t>
      </w:r>
      <w:r w:rsidRPr="00051281">
        <w:rPr>
          <w:vertAlign w:val="subscript"/>
        </w:rPr>
        <w:t>1</w:t>
      </w:r>
      <w:r w:rsidRPr="00051281">
        <w:t xml:space="preserve"> peak (</w:t>
      </w:r>
      <w:r w:rsidR="00EF1028" w:rsidRPr="00051281">
        <w:t>0–3</w:t>
      </w:r>
      <w:r w:rsidRPr="00051281">
        <w:t>h)</w:t>
      </w:r>
      <w:r w:rsidR="007952C4" w:rsidRPr="00051281">
        <w:t xml:space="preserve"> </w:t>
      </w:r>
      <w:r w:rsidRPr="00051281">
        <w:t>and trough FEV</w:t>
      </w:r>
      <w:r w:rsidRPr="00051281">
        <w:rPr>
          <w:vertAlign w:val="subscript"/>
        </w:rPr>
        <w:t xml:space="preserve">1 </w:t>
      </w:r>
      <w:r w:rsidR="003844E9" w:rsidRPr="00051281">
        <w:t>response</w:t>
      </w:r>
      <w:r w:rsidR="00DC7249" w:rsidRPr="00051281">
        <w:t>s,</w:t>
      </w:r>
      <w:r w:rsidR="003844E9" w:rsidRPr="00051281">
        <w:t xml:space="preserve"> </w:t>
      </w:r>
      <w:r w:rsidR="007952C4" w:rsidRPr="00051281">
        <w:t>i</w:t>
      </w:r>
      <w:r w:rsidRPr="00051281">
        <w:t>n patients aged 12 to 17 years.</w:t>
      </w:r>
    </w:p>
    <w:p w:rsidR="00AE4FA0" w:rsidRPr="00051281" w:rsidRDefault="00131C8A" w:rsidP="00AE4FA0">
      <w:pPr>
        <w:pStyle w:val="ListParagraph"/>
        <w:widowControl/>
        <w:numPr>
          <w:ilvl w:val="1"/>
          <w:numId w:val="1"/>
        </w:numPr>
        <w:spacing w:after="120"/>
      </w:pPr>
      <w:r w:rsidRPr="00051281">
        <w:t xml:space="preserve">On the basis of the direct comparison evidence presented by the submission, for </w:t>
      </w:r>
      <w:r w:rsidR="00AE4FA0" w:rsidRPr="00051281">
        <w:t>every 100 patients treated with tiotropium in comparison to placebo and over a duration of follow-up of 12 weeks:</w:t>
      </w:r>
    </w:p>
    <w:p w:rsidR="00AE4FA0" w:rsidRPr="00051281" w:rsidRDefault="00AE4FA0" w:rsidP="00AE4FA0">
      <w:pPr>
        <w:pStyle w:val="Bulletpoints"/>
        <w:numPr>
          <w:ilvl w:val="1"/>
          <w:numId w:val="16"/>
        </w:numPr>
        <w:spacing w:after="120"/>
      </w:pPr>
      <w:r w:rsidRPr="00051281">
        <w:t xml:space="preserve">There would be no difference in the proportion of patients who developed </w:t>
      </w:r>
      <w:proofErr w:type="spellStart"/>
      <w:r w:rsidRPr="00051281">
        <w:t>nasopharyngitis</w:t>
      </w:r>
      <w:proofErr w:type="spellEnd"/>
      <w:r w:rsidRPr="00051281">
        <w:t>.</w:t>
      </w:r>
    </w:p>
    <w:p w:rsidR="00ED32F2" w:rsidRPr="00051281" w:rsidRDefault="00AE4FA0" w:rsidP="00093B99">
      <w:pPr>
        <w:pStyle w:val="Bulletpoints"/>
        <w:numPr>
          <w:ilvl w:val="1"/>
          <w:numId w:val="16"/>
        </w:numPr>
        <w:spacing w:after="120"/>
      </w:pPr>
      <w:r w:rsidRPr="00051281">
        <w:t>There would be no difference in the proportion of patients who developed a respiratory tract infection.</w:t>
      </w:r>
    </w:p>
    <w:p w:rsidR="00131C8A" w:rsidRPr="005E6581" w:rsidRDefault="00131C8A" w:rsidP="005E1CCA">
      <w:pPr>
        <w:pStyle w:val="Heading2"/>
      </w:pPr>
      <w:bookmarkStart w:id="10" w:name="_Toc503966235"/>
      <w:r w:rsidRPr="005E6581">
        <w:t>Clinical claim</w:t>
      </w:r>
      <w:bookmarkEnd w:id="10"/>
    </w:p>
    <w:p w:rsidR="004B4B5F" w:rsidRPr="00051281" w:rsidRDefault="00A9492C" w:rsidP="003841D3">
      <w:pPr>
        <w:pStyle w:val="ListParagraph"/>
        <w:widowControl/>
        <w:numPr>
          <w:ilvl w:val="1"/>
          <w:numId w:val="1"/>
        </w:numPr>
        <w:spacing w:after="120"/>
      </w:pPr>
      <w:r w:rsidRPr="00051281">
        <w:t>The submission described tiotropium plus optimised asthma therapy as superior in terms of effectiveness and non-inferior in terms of safety compared to placebo plus optimised asthma therapy.</w:t>
      </w:r>
    </w:p>
    <w:p w:rsidR="004B4B5F" w:rsidRPr="00051281" w:rsidRDefault="00A9492C" w:rsidP="003841D3">
      <w:pPr>
        <w:pStyle w:val="ListParagraph"/>
        <w:widowControl/>
        <w:numPr>
          <w:ilvl w:val="1"/>
          <w:numId w:val="1"/>
        </w:numPr>
        <w:spacing w:after="120"/>
      </w:pPr>
      <w:r w:rsidRPr="00051281">
        <w:t>The submission’s claim that tiotropium was superior in terms of effectiveness compared to placebo was not supported as:</w:t>
      </w:r>
    </w:p>
    <w:p w:rsidR="00A9492C" w:rsidRPr="00051281" w:rsidRDefault="003844E9" w:rsidP="003841D3">
      <w:pPr>
        <w:pStyle w:val="ListParagraph"/>
        <w:widowControl/>
        <w:numPr>
          <w:ilvl w:val="0"/>
          <w:numId w:val="6"/>
        </w:numPr>
        <w:spacing w:after="120"/>
      </w:pPr>
      <w:r w:rsidRPr="00051281">
        <w:t xml:space="preserve">no </w:t>
      </w:r>
      <w:r w:rsidR="00A9492C" w:rsidRPr="00051281">
        <w:t xml:space="preserve">primary </w:t>
      </w:r>
      <w:r w:rsidRPr="00051281">
        <w:t>or</w:t>
      </w:r>
      <w:r w:rsidR="00A9492C" w:rsidRPr="00051281">
        <w:t xml:space="preserve"> secondary outcomes from trial 205.456 (12</w:t>
      </w:r>
      <w:r w:rsidR="00004A96" w:rsidRPr="00051281">
        <w:t>-</w:t>
      </w:r>
      <w:r w:rsidR="00A9492C" w:rsidRPr="00051281">
        <w:t xml:space="preserve">17 years) were </w:t>
      </w:r>
      <w:r w:rsidRPr="00051281">
        <w:t xml:space="preserve">considered </w:t>
      </w:r>
      <w:r w:rsidR="006242EF" w:rsidRPr="00051281">
        <w:t xml:space="preserve">to be </w:t>
      </w:r>
      <w:r w:rsidR="00A9492C" w:rsidRPr="00051281">
        <w:t>clinically</w:t>
      </w:r>
      <w:r w:rsidR="00175307" w:rsidRPr="00051281">
        <w:t xml:space="preserve"> meaningful</w:t>
      </w:r>
      <w:r w:rsidR="00A9492C" w:rsidRPr="00051281">
        <w:t xml:space="preserve"> </w:t>
      </w:r>
      <w:r w:rsidRPr="00051281">
        <w:t xml:space="preserve">or </w:t>
      </w:r>
      <w:r w:rsidR="00A9492C" w:rsidRPr="00051281">
        <w:t xml:space="preserve">statistically </w:t>
      </w:r>
      <w:r w:rsidR="006242EF" w:rsidRPr="00051281">
        <w:t>different</w:t>
      </w:r>
      <w:r w:rsidR="00A9492C" w:rsidRPr="00051281">
        <w:t xml:space="preserve">, suggesting tiotropium had limited clinical benefit </w:t>
      </w:r>
      <w:r w:rsidR="003057F5">
        <w:t xml:space="preserve">as an add-on to optimised asthma therapy </w:t>
      </w:r>
      <w:r w:rsidR="00A9492C" w:rsidRPr="00051281">
        <w:t>in children aged 12 to 17 years;</w:t>
      </w:r>
    </w:p>
    <w:p w:rsidR="00A9492C" w:rsidRPr="00051281" w:rsidRDefault="00A9492C" w:rsidP="003841D3">
      <w:pPr>
        <w:pStyle w:val="ListParagraph"/>
        <w:numPr>
          <w:ilvl w:val="0"/>
          <w:numId w:val="6"/>
        </w:numPr>
        <w:spacing w:after="120"/>
      </w:pPr>
      <w:r w:rsidRPr="00051281">
        <w:t xml:space="preserve">the incremental benefit for </w:t>
      </w:r>
      <w:r w:rsidR="00744322" w:rsidRPr="00051281">
        <w:t xml:space="preserve">trough </w:t>
      </w:r>
      <w:r w:rsidRPr="00051281">
        <w:t>FEV</w:t>
      </w:r>
      <w:r w:rsidRPr="00051281">
        <w:rPr>
          <w:vertAlign w:val="subscript"/>
        </w:rPr>
        <w:t>1</w:t>
      </w:r>
      <w:r w:rsidRPr="00051281">
        <w:t xml:space="preserve"> was below the </w:t>
      </w:r>
      <w:r w:rsidR="003844E9" w:rsidRPr="00051281">
        <w:t xml:space="preserve">nominated </w:t>
      </w:r>
      <w:r w:rsidRPr="00051281">
        <w:t>M</w:t>
      </w:r>
      <w:r w:rsidR="00744322" w:rsidRPr="00051281">
        <w:t>C</w:t>
      </w:r>
      <w:r w:rsidRPr="00051281">
        <w:t xml:space="preserve">ID of 0.10 L in both trials and in the meta-analysis; </w:t>
      </w:r>
    </w:p>
    <w:p w:rsidR="00A9492C" w:rsidRPr="00051281" w:rsidRDefault="009F1CC9" w:rsidP="003841D3">
      <w:pPr>
        <w:pStyle w:val="ListParagraph"/>
        <w:numPr>
          <w:ilvl w:val="0"/>
          <w:numId w:val="6"/>
        </w:numPr>
        <w:spacing w:after="120"/>
      </w:pPr>
      <w:proofErr w:type="gramStart"/>
      <w:r w:rsidRPr="00051281">
        <w:t>the</w:t>
      </w:r>
      <w:proofErr w:type="gramEnd"/>
      <w:r w:rsidRPr="00051281">
        <w:t xml:space="preserve"> selected primary  outcome measure, peak FEV</w:t>
      </w:r>
      <w:r w:rsidRPr="00051281">
        <w:rPr>
          <w:vertAlign w:val="subscript"/>
        </w:rPr>
        <w:t>1</w:t>
      </w:r>
      <w:r w:rsidRPr="00051281">
        <w:t xml:space="preserve"> (0–3h), did not have evidence to support its use as a surrogate of long-term control of childhood asthma. T</w:t>
      </w:r>
      <w:r w:rsidR="00A9492C" w:rsidRPr="00051281">
        <w:t>he nominated MCID of 0.12 L for FEV</w:t>
      </w:r>
      <w:r w:rsidR="00A9492C" w:rsidRPr="00051281">
        <w:rPr>
          <w:vertAlign w:val="subscript"/>
        </w:rPr>
        <w:t>1</w:t>
      </w:r>
      <w:r w:rsidR="00A9492C" w:rsidRPr="00051281">
        <w:t xml:space="preserve"> peak (0−3h) </w:t>
      </w:r>
      <w:r w:rsidR="00242998" w:rsidRPr="00051281">
        <w:t xml:space="preserve">has </w:t>
      </w:r>
      <w:r w:rsidR="00A9492C" w:rsidRPr="00051281">
        <w:t xml:space="preserve">not </w:t>
      </w:r>
      <w:r w:rsidR="00242998" w:rsidRPr="00051281">
        <w:t xml:space="preserve">previously </w:t>
      </w:r>
      <w:r w:rsidR="003844E9" w:rsidRPr="00051281">
        <w:t>be</w:t>
      </w:r>
      <w:r w:rsidR="00242998" w:rsidRPr="00051281">
        <w:t>en</w:t>
      </w:r>
      <w:r w:rsidR="003844E9" w:rsidRPr="00051281">
        <w:t xml:space="preserve"> </w:t>
      </w:r>
      <w:r w:rsidR="00242998" w:rsidRPr="00051281">
        <w:t xml:space="preserve">accepted </w:t>
      </w:r>
      <w:r w:rsidR="003844E9" w:rsidRPr="00051281">
        <w:t>by the PBAC</w:t>
      </w:r>
      <w:r w:rsidR="00242998" w:rsidRPr="00051281">
        <w:t xml:space="preserve"> and is not sourced from published literature</w:t>
      </w:r>
      <w:r w:rsidR="00A9492C" w:rsidRPr="00051281">
        <w:t>. Therefore, the improvements observed in trial 20</w:t>
      </w:r>
      <w:r w:rsidR="003844E9" w:rsidRPr="00051281">
        <w:t>5</w:t>
      </w:r>
      <w:r w:rsidR="00A9492C" w:rsidRPr="00051281">
        <w:t>.446 (6</w:t>
      </w:r>
      <w:r w:rsidR="00004A96" w:rsidRPr="00051281">
        <w:t>-</w:t>
      </w:r>
      <w:r w:rsidR="00A9492C" w:rsidRPr="00051281">
        <w:t xml:space="preserve">11 years) and in the meta-analysis </w:t>
      </w:r>
      <w:r w:rsidR="00A9492C" w:rsidRPr="00051281">
        <w:lastRenderedPageBreak/>
        <w:t>m</w:t>
      </w:r>
      <w:r w:rsidR="003844E9" w:rsidRPr="00051281">
        <w:t xml:space="preserve">ight </w:t>
      </w:r>
      <w:r w:rsidR="00A9492C" w:rsidRPr="00051281">
        <w:t xml:space="preserve">not </w:t>
      </w:r>
      <w:r w:rsidR="00744322" w:rsidRPr="00051281">
        <w:t xml:space="preserve">have </w:t>
      </w:r>
      <w:r w:rsidR="00A9492C" w:rsidRPr="00051281">
        <w:t>be</w:t>
      </w:r>
      <w:r w:rsidR="00744322" w:rsidRPr="00051281">
        <w:t>en</w:t>
      </w:r>
      <w:r w:rsidR="00A9492C" w:rsidRPr="00051281">
        <w:t xml:space="preserve"> </w:t>
      </w:r>
      <w:r w:rsidR="00242998" w:rsidRPr="00051281">
        <w:t xml:space="preserve">clinically </w:t>
      </w:r>
      <w:r w:rsidR="00175307" w:rsidRPr="00051281">
        <w:t>meaningful</w:t>
      </w:r>
      <w:r w:rsidR="00A9492C" w:rsidRPr="00051281">
        <w:t>;</w:t>
      </w:r>
    </w:p>
    <w:p w:rsidR="00A9492C" w:rsidRPr="00051281" w:rsidRDefault="00A9492C" w:rsidP="003841D3">
      <w:pPr>
        <w:pStyle w:val="ListParagraph"/>
        <w:numPr>
          <w:ilvl w:val="0"/>
          <w:numId w:val="6"/>
        </w:numPr>
        <w:spacing w:after="120"/>
      </w:pPr>
      <w:r w:rsidRPr="00051281">
        <w:t xml:space="preserve">tiotropium resulted in a statistically significant </w:t>
      </w:r>
      <w:r w:rsidRPr="00051281">
        <w:rPr>
          <w:noProof/>
        </w:rPr>
        <w:t>reduction</w:t>
      </w:r>
      <w:r w:rsidRPr="00051281">
        <w:t xml:space="preserve"> in the </w:t>
      </w:r>
      <w:r w:rsidRPr="00051281">
        <w:rPr>
          <w:noProof/>
        </w:rPr>
        <w:t>rate</w:t>
      </w:r>
      <w:r w:rsidRPr="00051281">
        <w:t xml:space="preserve"> of </w:t>
      </w:r>
      <w:r w:rsidRPr="00051281">
        <w:rPr>
          <w:szCs w:val="20"/>
        </w:rPr>
        <w:t>symptomatic exacerbations</w:t>
      </w:r>
      <w:r w:rsidR="00744322" w:rsidRPr="00051281">
        <w:rPr>
          <w:szCs w:val="20"/>
        </w:rPr>
        <w:t xml:space="preserve"> (non-severe and severe)</w:t>
      </w:r>
      <w:r w:rsidRPr="00051281">
        <w:rPr>
          <w:szCs w:val="20"/>
        </w:rPr>
        <w:t xml:space="preserve"> in trial 205.446 (6</w:t>
      </w:r>
      <w:r w:rsidR="00004A96" w:rsidRPr="00051281">
        <w:rPr>
          <w:szCs w:val="20"/>
        </w:rPr>
        <w:t>-</w:t>
      </w:r>
      <w:r w:rsidRPr="00051281">
        <w:rPr>
          <w:szCs w:val="20"/>
        </w:rPr>
        <w:t>11 years) only</w:t>
      </w:r>
      <w:r w:rsidR="00744322" w:rsidRPr="00051281">
        <w:rPr>
          <w:szCs w:val="20"/>
        </w:rPr>
        <w:t xml:space="preserve">, which was </w:t>
      </w:r>
      <w:r w:rsidR="009F1CC9" w:rsidRPr="00051281">
        <w:rPr>
          <w:szCs w:val="20"/>
        </w:rPr>
        <w:t>due only to</w:t>
      </w:r>
      <w:r w:rsidR="00744322" w:rsidRPr="00051281">
        <w:rPr>
          <w:szCs w:val="20"/>
        </w:rPr>
        <w:t xml:space="preserve"> the reduction in non-severe symptomatic exacerbations</w:t>
      </w:r>
      <w:r w:rsidRPr="00051281">
        <w:rPr>
          <w:szCs w:val="20"/>
        </w:rPr>
        <w:t>; all other analyses were</w:t>
      </w:r>
      <w:r w:rsidR="00175307" w:rsidRPr="00051281">
        <w:rPr>
          <w:szCs w:val="20"/>
        </w:rPr>
        <w:t xml:space="preserve"> not</w:t>
      </w:r>
      <w:r w:rsidRPr="00051281">
        <w:rPr>
          <w:szCs w:val="20"/>
        </w:rPr>
        <w:t xml:space="preserve"> statistically</w:t>
      </w:r>
      <w:r w:rsidR="00175307" w:rsidRPr="00051281">
        <w:rPr>
          <w:szCs w:val="20"/>
        </w:rPr>
        <w:t xml:space="preserve"> different</w:t>
      </w:r>
      <w:r w:rsidRPr="00051281">
        <w:rPr>
          <w:szCs w:val="20"/>
        </w:rPr>
        <w:t xml:space="preserve">; </w:t>
      </w:r>
    </w:p>
    <w:p w:rsidR="00147A02" w:rsidRPr="00051281" w:rsidRDefault="00147A02" w:rsidP="003841D3">
      <w:pPr>
        <w:pStyle w:val="Bulletpoints"/>
        <w:numPr>
          <w:ilvl w:val="0"/>
          <w:numId w:val="6"/>
        </w:numPr>
        <w:spacing w:after="120"/>
      </w:pPr>
      <w:r w:rsidRPr="00051281">
        <w:t>the majority of trial patients were receiving triple therapy, consisting of a high dose ICS, a LABA and a LTRA, wh</w:t>
      </w:r>
      <w:r w:rsidR="00751AAD" w:rsidRPr="00051281">
        <w:t>ereas</w:t>
      </w:r>
      <w:r w:rsidRPr="00051281">
        <w:t xml:space="preserve"> the proposed PBS restriction required patients to have uncontrolled severe asthma despite optimal treatment with an ICS and a LABA; and</w:t>
      </w:r>
    </w:p>
    <w:p w:rsidR="004B4B5F" w:rsidRPr="00051281" w:rsidRDefault="00A9492C" w:rsidP="003841D3">
      <w:pPr>
        <w:pStyle w:val="ListParagraph"/>
        <w:numPr>
          <w:ilvl w:val="0"/>
          <w:numId w:val="6"/>
        </w:numPr>
        <w:spacing w:after="120"/>
      </w:pPr>
      <w:proofErr w:type="gramStart"/>
      <w:r w:rsidRPr="00051281">
        <w:t>the</w:t>
      </w:r>
      <w:proofErr w:type="gramEnd"/>
      <w:r w:rsidRPr="00051281">
        <w:t xml:space="preserve"> </w:t>
      </w:r>
      <w:r w:rsidR="00D412EF" w:rsidRPr="00051281">
        <w:t>rate</w:t>
      </w:r>
      <w:r w:rsidRPr="00051281">
        <w:t xml:space="preserve"> of severe exacerbations was marginally higher in the tiotropium arms compared to the placebo arms in both trials</w:t>
      </w:r>
      <w:r w:rsidR="001C289A" w:rsidRPr="00051281">
        <w:t>.</w:t>
      </w:r>
      <w:r w:rsidR="00CA4D73" w:rsidRPr="00051281">
        <w:t xml:space="preserve"> It should be noted that the definition for severe exacerbations aligned with the definition of clinically significant exacerbations in the </w:t>
      </w:r>
      <w:proofErr w:type="spellStart"/>
      <w:r w:rsidR="00CA4D73" w:rsidRPr="00051281">
        <w:t>omalizumab</w:t>
      </w:r>
      <w:proofErr w:type="spellEnd"/>
      <w:r w:rsidR="00CA4D73" w:rsidRPr="00051281">
        <w:t xml:space="preserve"> in children with severe allergic asthma submission</w:t>
      </w:r>
      <w:r w:rsidR="008179E9" w:rsidRPr="00051281">
        <w:t>,</w:t>
      </w:r>
      <w:r w:rsidR="00CA4D73" w:rsidRPr="00051281">
        <w:t xml:space="preserve"> which was considered by the PBAC in July 2016.</w:t>
      </w:r>
    </w:p>
    <w:p w:rsidR="004B723F" w:rsidRPr="00051281" w:rsidRDefault="00DB0CD2" w:rsidP="00DB0CD2">
      <w:pPr>
        <w:pStyle w:val="ListParagraph"/>
        <w:widowControl/>
        <w:numPr>
          <w:ilvl w:val="1"/>
          <w:numId w:val="1"/>
        </w:numPr>
        <w:spacing w:after="120"/>
      </w:pPr>
      <w:r w:rsidRPr="00051281">
        <w:t>Compared to optim</w:t>
      </w:r>
      <w:r w:rsidR="009F1CC9" w:rsidRPr="00051281">
        <w:t>ised</w:t>
      </w:r>
      <w:r w:rsidRPr="00051281">
        <w:t xml:space="preserve"> asthma therapy, treatment with tiotropium for 12 weeks did not improve FEV</w:t>
      </w:r>
      <w:r w:rsidRPr="00051281">
        <w:rPr>
          <w:vertAlign w:val="subscript"/>
        </w:rPr>
        <w:t>1</w:t>
      </w:r>
      <w:r w:rsidRPr="00051281">
        <w:t xml:space="preserve"> measurements to a clinically important degree and did not reduce clinically important exacerbations. </w:t>
      </w:r>
      <w:r w:rsidR="009F1CC9" w:rsidRPr="00051281">
        <w:t xml:space="preserve">The </w:t>
      </w:r>
      <w:r w:rsidR="004B723F" w:rsidRPr="00051281">
        <w:t>ESC advised that three aspects of the trials may have caused the uncertainty in the results:</w:t>
      </w:r>
    </w:p>
    <w:p w:rsidR="004B723F" w:rsidRPr="00051281" w:rsidRDefault="004B723F" w:rsidP="004B723F">
      <w:pPr>
        <w:pStyle w:val="ListParagraph"/>
        <w:widowControl/>
        <w:numPr>
          <w:ilvl w:val="0"/>
          <w:numId w:val="24"/>
        </w:numPr>
        <w:spacing w:after="120"/>
        <w:ind w:left="993"/>
      </w:pPr>
      <w:proofErr w:type="gramStart"/>
      <w:r w:rsidRPr="00051281">
        <w:t>questions</w:t>
      </w:r>
      <w:proofErr w:type="gramEnd"/>
      <w:r w:rsidRPr="00051281">
        <w:t xml:space="preserve"> surrounding adherence to maximal optimal asthma therapy, especially in the 12-17 years group. This was apparent by the high placebo responses</w:t>
      </w:r>
      <w:r w:rsidR="009F1CC9" w:rsidRPr="00051281">
        <w:t xml:space="preserve"> for trough, peak and bronchodilator response compared to the MCIDs of 0.10 L to 0.12 L</w:t>
      </w:r>
      <w:r w:rsidRPr="00051281">
        <w:t>.</w:t>
      </w:r>
    </w:p>
    <w:p w:rsidR="004B723F" w:rsidRPr="00051281" w:rsidRDefault="004B723F" w:rsidP="004B723F">
      <w:pPr>
        <w:pStyle w:val="ListParagraph"/>
        <w:widowControl/>
        <w:numPr>
          <w:ilvl w:val="0"/>
          <w:numId w:val="24"/>
        </w:numPr>
        <w:spacing w:after="120"/>
        <w:ind w:left="993"/>
      </w:pPr>
      <w:proofErr w:type="gramStart"/>
      <w:r w:rsidRPr="00051281">
        <w:t>the</w:t>
      </w:r>
      <w:proofErr w:type="gramEnd"/>
      <w:r w:rsidRPr="00051281">
        <w:t xml:space="preserve"> study duration of 12 weeks was not long enough to develop a benefit in lung function or exacerbations.</w:t>
      </w:r>
    </w:p>
    <w:p w:rsidR="004B723F" w:rsidRPr="00051281" w:rsidRDefault="004B723F" w:rsidP="004B723F">
      <w:pPr>
        <w:pStyle w:val="ListParagraph"/>
        <w:widowControl/>
        <w:numPr>
          <w:ilvl w:val="0"/>
          <w:numId w:val="24"/>
        </w:numPr>
        <w:spacing w:after="120"/>
        <w:ind w:left="993"/>
      </w:pPr>
      <w:proofErr w:type="gramStart"/>
      <w:r w:rsidRPr="00051281">
        <w:t>the</w:t>
      </w:r>
      <w:proofErr w:type="gramEnd"/>
      <w:r w:rsidRPr="00051281">
        <w:t xml:space="preserve"> large discrepancies between the two age-based groups; for instance the overall rate </w:t>
      </w:r>
      <w:r w:rsidR="00DB0CD2" w:rsidRPr="00051281">
        <w:t xml:space="preserve">of exacerbations </w:t>
      </w:r>
      <w:r w:rsidRPr="00051281">
        <w:t xml:space="preserve">in the 6-11 years group was </w:t>
      </w:r>
      <w:r w:rsidR="002A17A3">
        <w:rPr>
          <w:noProof/>
          <w:color w:val="000000"/>
          <w:highlight w:val="black"/>
        </w:rPr>
        <w:t>'''''''''</w:t>
      </w:r>
      <w:r w:rsidRPr="00051281">
        <w:t xml:space="preserve">/patient year, compared to </w:t>
      </w:r>
      <w:r w:rsidR="002A17A3">
        <w:rPr>
          <w:noProof/>
          <w:color w:val="000000"/>
          <w:highlight w:val="black"/>
        </w:rPr>
        <w:t>''''''''</w:t>
      </w:r>
      <w:r w:rsidR="009F1CC9" w:rsidRPr="00051281">
        <w:t>/patient year</w:t>
      </w:r>
      <w:r w:rsidRPr="00051281">
        <w:t xml:space="preserve"> in the 12-17 years group. As noted above, this may have been adherence related.</w:t>
      </w:r>
    </w:p>
    <w:p w:rsidR="00A9492C" w:rsidRDefault="009F1CC9" w:rsidP="003841D3">
      <w:pPr>
        <w:pStyle w:val="ListParagraph"/>
        <w:widowControl/>
        <w:numPr>
          <w:ilvl w:val="1"/>
          <w:numId w:val="1"/>
        </w:numPr>
        <w:spacing w:after="120"/>
      </w:pPr>
      <w:r w:rsidRPr="00051281">
        <w:t>The ESC considered t</w:t>
      </w:r>
      <w:r w:rsidR="004B4B5F" w:rsidRPr="00051281">
        <w:t xml:space="preserve">he submission’s claim of non-inferior safety compared to placebo was adequately supported </w:t>
      </w:r>
      <w:r w:rsidR="00744322" w:rsidRPr="00051281">
        <w:t>at 12 weeks</w:t>
      </w:r>
      <w:r w:rsidR="004B4B5F" w:rsidRPr="00051281">
        <w:t>.</w:t>
      </w:r>
    </w:p>
    <w:p w:rsidR="00051281" w:rsidRPr="006D3641" w:rsidRDefault="00051281" w:rsidP="00051281">
      <w:pPr>
        <w:pStyle w:val="ListParagraph"/>
        <w:widowControl/>
        <w:numPr>
          <w:ilvl w:val="1"/>
          <w:numId w:val="1"/>
        </w:numPr>
        <w:spacing w:after="120"/>
      </w:pPr>
      <w:r w:rsidRPr="006D3641">
        <w:t>The PBAC considered that the claim of superior comparative effectiveness was not adequately supported by the data.</w:t>
      </w:r>
    </w:p>
    <w:p w:rsidR="003841D3" w:rsidRPr="00051281" w:rsidRDefault="00051281" w:rsidP="003841D3">
      <w:pPr>
        <w:pStyle w:val="ListParagraph"/>
        <w:widowControl/>
        <w:numPr>
          <w:ilvl w:val="1"/>
          <w:numId w:val="1"/>
        </w:numPr>
        <w:spacing w:after="120"/>
      </w:pPr>
      <w:r w:rsidRPr="006D3641">
        <w:t>The PBAC considered that the claim of non-inferior comparative safety was reasonable.</w:t>
      </w:r>
    </w:p>
    <w:p w:rsidR="00B60939" w:rsidRPr="005E6581" w:rsidRDefault="00B60939" w:rsidP="005E1CCA">
      <w:pPr>
        <w:pStyle w:val="Heading2"/>
      </w:pPr>
      <w:bookmarkStart w:id="11" w:name="_Toc503966236"/>
      <w:r w:rsidRPr="005E6581">
        <w:t>Economic analysis</w:t>
      </w:r>
      <w:bookmarkEnd w:id="11"/>
      <w:r w:rsidR="00491B3A" w:rsidRPr="005E6581">
        <w:t xml:space="preserve"> </w:t>
      </w:r>
    </w:p>
    <w:p w:rsidR="004851C8" w:rsidRPr="00051281" w:rsidRDefault="004851C8" w:rsidP="003841D3">
      <w:pPr>
        <w:pStyle w:val="ListParagraph"/>
        <w:widowControl/>
        <w:numPr>
          <w:ilvl w:val="1"/>
          <w:numId w:val="1"/>
        </w:numPr>
        <w:spacing w:after="120"/>
      </w:pPr>
      <w:r w:rsidRPr="00051281">
        <w:rPr>
          <w:rFonts w:cs="Calibri"/>
          <w:snapToGrid/>
          <w:szCs w:val="24"/>
          <w:lang w:val="en-US" w:eastAsia="en-AU"/>
        </w:rPr>
        <w:t xml:space="preserve">The submission presented a trial-based </w:t>
      </w:r>
      <w:r w:rsidR="0013682E">
        <w:rPr>
          <w:rFonts w:cs="Calibri"/>
          <w:snapToGrid/>
          <w:szCs w:val="24"/>
          <w:lang w:val="en-US" w:eastAsia="en-AU"/>
        </w:rPr>
        <w:t xml:space="preserve">cost-effectiveness </w:t>
      </w:r>
      <w:r w:rsidRPr="00051281">
        <w:rPr>
          <w:rFonts w:cs="Calibri"/>
          <w:snapToGrid/>
          <w:szCs w:val="24"/>
          <w:lang w:val="en-US" w:eastAsia="en-AU"/>
        </w:rPr>
        <w:t xml:space="preserve">analysis, based on the direct </w:t>
      </w:r>
      <w:proofErr w:type="spellStart"/>
      <w:r w:rsidRPr="00051281">
        <w:rPr>
          <w:rFonts w:cs="Calibri"/>
          <w:snapToGrid/>
          <w:szCs w:val="24"/>
          <w:lang w:val="en-US" w:eastAsia="en-AU"/>
        </w:rPr>
        <w:t>randomised</w:t>
      </w:r>
      <w:proofErr w:type="spellEnd"/>
      <w:r w:rsidRPr="00051281">
        <w:rPr>
          <w:rFonts w:cs="Calibri"/>
          <w:snapToGrid/>
          <w:szCs w:val="24"/>
          <w:lang w:val="en-US" w:eastAsia="en-AU"/>
        </w:rPr>
        <w:t xml:space="preserve"> trials, </w:t>
      </w:r>
      <w:r w:rsidR="00C168F5" w:rsidRPr="00051281">
        <w:rPr>
          <w:rFonts w:cs="Calibri"/>
          <w:snapToGrid/>
          <w:szCs w:val="24"/>
          <w:lang w:val="en-US" w:eastAsia="en-AU"/>
        </w:rPr>
        <w:t>205.446 (6-11 years) and 2</w:t>
      </w:r>
      <w:r w:rsidRPr="00051281">
        <w:rPr>
          <w:rFonts w:cs="Calibri"/>
          <w:snapToGrid/>
          <w:szCs w:val="24"/>
          <w:lang w:val="en-US" w:eastAsia="en-AU"/>
        </w:rPr>
        <w:t>05.456</w:t>
      </w:r>
      <w:r w:rsidR="00C168F5" w:rsidRPr="00051281">
        <w:rPr>
          <w:rFonts w:cs="Calibri"/>
          <w:snapToGrid/>
          <w:szCs w:val="24"/>
          <w:lang w:val="en-US" w:eastAsia="en-AU"/>
        </w:rPr>
        <w:t xml:space="preserve"> (12-17 years)</w:t>
      </w:r>
      <w:r w:rsidRPr="00051281">
        <w:rPr>
          <w:rFonts w:cs="Calibri"/>
          <w:snapToGrid/>
          <w:szCs w:val="24"/>
          <w:lang w:val="en-US" w:eastAsia="en-AU"/>
        </w:rPr>
        <w:t>.</w:t>
      </w:r>
      <w:r w:rsidR="00C168F5" w:rsidRPr="00051281">
        <w:rPr>
          <w:rFonts w:cs="Calibri"/>
          <w:snapToGrid/>
          <w:szCs w:val="24"/>
          <w:lang w:val="en-US" w:eastAsia="en-AU"/>
        </w:rPr>
        <w:t xml:space="preserve"> </w:t>
      </w:r>
      <w:r w:rsidR="00C168F5" w:rsidRPr="00051281">
        <w:t xml:space="preserve">The </w:t>
      </w:r>
      <w:r w:rsidR="00C168F5" w:rsidRPr="00051281">
        <w:lastRenderedPageBreak/>
        <w:t xml:space="preserve">economic evaluation was </w:t>
      </w:r>
      <w:r w:rsidR="00004A96" w:rsidRPr="00051281">
        <w:t xml:space="preserve">in the form of a </w:t>
      </w:r>
      <w:r w:rsidR="00C168F5" w:rsidRPr="00051281">
        <w:t>cost per symptomatic exacerbation avoided</w:t>
      </w:r>
      <w:r w:rsidR="00004A96" w:rsidRPr="00051281">
        <w:t>, as the submission considered that there was insufficient data to develop a full cost</w:t>
      </w:r>
      <w:r w:rsidR="00175307" w:rsidRPr="00051281">
        <w:t xml:space="preserve"> utility</w:t>
      </w:r>
      <w:r w:rsidR="00004A96" w:rsidRPr="00051281">
        <w:t xml:space="preserve"> </w:t>
      </w:r>
      <w:r w:rsidR="00742247" w:rsidRPr="00051281">
        <w:t>model</w:t>
      </w:r>
      <w:r w:rsidR="00C168F5" w:rsidRPr="00051281">
        <w:t>.</w:t>
      </w:r>
      <w:r w:rsidR="00600F7E" w:rsidRPr="00051281">
        <w:t xml:space="preserve"> The primary outcome of </w:t>
      </w:r>
      <w:r w:rsidR="00C10F88" w:rsidRPr="00051281">
        <w:t>FEV</w:t>
      </w:r>
      <w:r w:rsidR="00C10F88" w:rsidRPr="00051281">
        <w:rPr>
          <w:vertAlign w:val="subscript"/>
        </w:rPr>
        <w:t>1</w:t>
      </w:r>
      <w:r w:rsidR="00C10F88" w:rsidRPr="00051281">
        <w:t xml:space="preserve"> peak (0–3h) </w:t>
      </w:r>
      <w:r w:rsidR="00600F7E" w:rsidRPr="00051281">
        <w:t>was not used in the model.</w:t>
      </w:r>
    </w:p>
    <w:p w:rsidR="00275C5A" w:rsidRPr="00051281" w:rsidRDefault="00275C5A" w:rsidP="005714E4">
      <w:pPr>
        <w:keepNext/>
        <w:keepLines/>
        <w:widowControl/>
        <w:rPr>
          <w:rStyle w:val="CommentReference"/>
        </w:rPr>
      </w:pPr>
      <w:r w:rsidRPr="00051281">
        <w:rPr>
          <w:rStyle w:val="CommentReference"/>
        </w:rPr>
        <w:t xml:space="preserve">Table </w:t>
      </w:r>
      <w:r w:rsidR="00547304" w:rsidRPr="00051281">
        <w:rPr>
          <w:rStyle w:val="CommentReference"/>
        </w:rPr>
        <w:t>9</w:t>
      </w:r>
      <w:r w:rsidRPr="00051281">
        <w:rPr>
          <w:rStyle w:val="CommentReference"/>
        </w:rPr>
        <w:t>: Summary of model structure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851"/>
        <w:gridCol w:w="7232"/>
      </w:tblGrid>
      <w:tr w:rsidR="00275C5A" w:rsidRPr="00051281" w:rsidTr="004574B9">
        <w:trPr>
          <w:tblHeader/>
        </w:trPr>
        <w:tc>
          <w:tcPr>
            <w:tcW w:w="1019" w:type="pct"/>
            <w:shd w:val="clear" w:color="auto" w:fill="auto"/>
            <w:vAlign w:val="center"/>
          </w:tcPr>
          <w:p w:rsidR="00275C5A" w:rsidRPr="00051281" w:rsidRDefault="00275C5A" w:rsidP="005714E4">
            <w:pPr>
              <w:pStyle w:val="Tabletext"/>
              <w:keepNext/>
              <w:keepLines/>
              <w:rPr>
                <w:b/>
              </w:rPr>
            </w:pPr>
            <w:r w:rsidRPr="00051281">
              <w:rPr>
                <w:b/>
              </w:rPr>
              <w:t>Component</w:t>
            </w:r>
          </w:p>
        </w:tc>
        <w:tc>
          <w:tcPr>
            <w:tcW w:w="3981" w:type="pct"/>
            <w:shd w:val="clear" w:color="auto" w:fill="auto"/>
            <w:vAlign w:val="center"/>
          </w:tcPr>
          <w:p w:rsidR="00275C5A" w:rsidRPr="00051281" w:rsidRDefault="00275C5A" w:rsidP="005714E4">
            <w:pPr>
              <w:pStyle w:val="Tabletext"/>
              <w:keepNext/>
              <w:keepLines/>
              <w:jc w:val="center"/>
              <w:rPr>
                <w:b/>
              </w:rPr>
            </w:pPr>
            <w:r w:rsidRPr="00051281">
              <w:rPr>
                <w:b/>
              </w:rPr>
              <w:t>Summary</w:t>
            </w:r>
          </w:p>
        </w:tc>
      </w:tr>
      <w:tr w:rsidR="00004A96" w:rsidRPr="00051281" w:rsidTr="004574B9">
        <w:tc>
          <w:tcPr>
            <w:tcW w:w="1019" w:type="pct"/>
            <w:shd w:val="clear" w:color="auto" w:fill="auto"/>
          </w:tcPr>
          <w:p w:rsidR="00004A96" w:rsidRPr="00051281" w:rsidRDefault="00004A96" w:rsidP="005714E4">
            <w:pPr>
              <w:pStyle w:val="Tabletext"/>
              <w:keepNext/>
              <w:keepLines/>
            </w:pPr>
            <w:r w:rsidRPr="00051281">
              <w:t>Time horizon</w:t>
            </w:r>
          </w:p>
        </w:tc>
        <w:tc>
          <w:tcPr>
            <w:tcW w:w="3981" w:type="pct"/>
            <w:shd w:val="clear" w:color="auto" w:fill="auto"/>
          </w:tcPr>
          <w:p w:rsidR="00004A96" w:rsidRPr="00051281" w:rsidRDefault="00004A96" w:rsidP="005714E4">
            <w:pPr>
              <w:pStyle w:val="Tabletext"/>
              <w:keepNext/>
              <w:keepLines/>
            </w:pPr>
            <w:r w:rsidRPr="00051281">
              <w:t xml:space="preserve">12 weeks in the model base case </w:t>
            </w:r>
            <w:r w:rsidRPr="00051281">
              <w:rPr>
                <w:noProof/>
              </w:rPr>
              <w:t>versus</w:t>
            </w:r>
            <w:r w:rsidRPr="00051281">
              <w:t xml:space="preserve"> 12 weeks in the </w:t>
            </w:r>
            <w:r w:rsidRPr="00051281">
              <w:rPr>
                <w:noProof/>
              </w:rPr>
              <w:t>key</w:t>
            </w:r>
            <w:r w:rsidRPr="00051281">
              <w:t xml:space="preserve"> trials (205.446 and 205.456)</w:t>
            </w:r>
          </w:p>
        </w:tc>
      </w:tr>
      <w:tr w:rsidR="00C168F5" w:rsidRPr="00051281" w:rsidTr="004574B9">
        <w:tc>
          <w:tcPr>
            <w:tcW w:w="1019" w:type="pct"/>
            <w:shd w:val="clear" w:color="auto" w:fill="auto"/>
          </w:tcPr>
          <w:p w:rsidR="00C168F5" w:rsidRPr="00051281" w:rsidRDefault="00C168F5" w:rsidP="005714E4">
            <w:pPr>
              <w:pStyle w:val="Tabletext"/>
              <w:keepNext/>
              <w:keepLines/>
            </w:pPr>
            <w:r w:rsidRPr="00051281">
              <w:t>Health outcomes</w:t>
            </w:r>
          </w:p>
        </w:tc>
        <w:tc>
          <w:tcPr>
            <w:tcW w:w="3981" w:type="pct"/>
            <w:shd w:val="clear" w:color="auto" w:fill="auto"/>
          </w:tcPr>
          <w:p w:rsidR="00C168F5" w:rsidRPr="00051281" w:rsidRDefault="00C168F5" w:rsidP="005714E4">
            <w:pPr>
              <w:pStyle w:val="Tabletext"/>
              <w:keepNext/>
              <w:keepLines/>
            </w:pPr>
            <w:r w:rsidRPr="00051281">
              <w:t>Symptomatic (non-severe plus severe) asthma exacerbations avoided</w:t>
            </w:r>
          </w:p>
        </w:tc>
      </w:tr>
      <w:tr w:rsidR="00C168F5" w:rsidRPr="00051281" w:rsidTr="004574B9">
        <w:tc>
          <w:tcPr>
            <w:tcW w:w="1019" w:type="pct"/>
            <w:shd w:val="clear" w:color="auto" w:fill="auto"/>
          </w:tcPr>
          <w:p w:rsidR="00C168F5" w:rsidRPr="00051281" w:rsidRDefault="00C168F5" w:rsidP="005714E4">
            <w:pPr>
              <w:pStyle w:val="Tabletext"/>
              <w:keepNext/>
              <w:keepLines/>
            </w:pPr>
            <w:r w:rsidRPr="00051281">
              <w:t>Methods used to generate results</w:t>
            </w:r>
          </w:p>
        </w:tc>
        <w:tc>
          <w:tcPr>
            <w:tcW w:w="3981" w:type="pct"/>
            <w:shd w:val="clear" w:color="auto" w:fill="auto"/>
          </w:tcPr>
          <w:p w:rsidR="00C168F5" w:rsidRPr="00051281" w:rsidRDefault="00C168F5" w:rsidP="005714E4">
            <w:pPr>
              <w:pStyle w:val="Tabletext"/>
              <w:keepNext/>
              <w:keepLines/>
            </w:pPr>
            <w:r w:rsidRPr="00051281">
              <w:t xml:space="preserve">Decision tree analysis estimating the cost of treatment and </w:t>
            </w:r>
            <w:r w:rsidRPr="00051281">
              <w:rPr>
                <w:noProof/>
              </w:rPr>
              <w:t>cost</w:t>
            </w:r>
            <w:r w:rsidRPr="00051281">
              <w:t xml:space="preserve"> of asthma exacerbations for: </w:t>
            </w:r>
          </w:p>
          <w:p w:rsidR="00C168F5" w:rsidRPr="00051281" w:rsidRDefault="00C168F5" w:rsidP="005714E4">
            <w:pPr>
              <w:pStyle w:val="Tabletext"/>
              <w:keepNext/>
              <w:keepLines/>
            </w:pPr>
            <w:r w:rsidRPr="00051281">
              <w:t>1) Tiotropium plus optimised asthma therapy; and</w:t>
            </w:r>
          </w:p>
          <w:p w:rsidR="00C168F5" w:rsidRPr="00051281" w:rsidRDefault="00C168F5" w:rsidP="005714E4">
            <w:pPr>
              <w:pStyle w:val="Tabletext"/>
              <w:keepNext/>
              <w:keepLines/>
            </w:pPr>
            <w:r w:rsidRPr="00051281">
              <w:t>2) Optimised asthma therapy alone.</w:t>
            </w:r>
          </w:p>
        </w:tc>
      </w:tr>
      <w:tr w:rsidR="00C168F5" w:rsidRPr="00051281" w:rsidTr="004574B9">
        <w:tc>
          <w:tcPr>
            <w:tcW w:w="1019" w:type="pct"/>
            <w:shd w:val="clear" w:color="auto" w:fill="auto"/>
          </w:tcPr>
          <w:p w:rsidR="00C168F5" w:rsidRPr="00051281" w:rsidRDefault="00C168F5" w:rsidP="005714E4">
            <w:pPr>
              <w:pStyle w:val="Tabletext"/>
              <w:keepNext/>
              <w:keepLines/>
            </w:pPr>
            <w:r w:rsidRPr="00051281">
              <w:t>Transition probabilities</w:t>
            </w:r>
          </w:p>
        </w:tc>
        <w:tc>
          <w:tcPr>
            <w:tcW w:w="3981" w:type="pct"/>
            <w:shd w:val="clear" w:color="auto" w:fill="auto"/>
          </w:tcPr>
          <w:p w:rsidR="00C168F5" w:rsidRPr="00051281" w:rsidRDefault="00C168F5" w:rsidP="005714E4">
            <w:pPr>
              <w:pStyle w:val="Tabletext"/>
              <w:keepNext/>
              <w:keepLines/>
            </w:pPr>
            <w:r w:rsidRPr="00051281">
              <w:t xml:space="preserve">Trial based - rate of symptomatic asthma exacerbations (non-severe and severe) in the tiotropium and placebo arms.  </w:t>
            </w:r>
          </w:p>
        </w:tc>
      </w:tr>
    </w:tbl>
    <w:p w:rsidR="00C168F5" w:rsidRPr="00051281" w:rsidRDefault="00C168F5" w:rsidP="005E1CCA">
      <w:pPr>
        <w:pStyle w:val="TableFooter"/>
        <w:keepNext/>
        <w:keepLines/>
        <w:spacing w:after="120"/>
        <w:jc w:val="left"/>
      </w:pPr>
      <w:r w:rsidRPr="00051281">
        <w:t xml:space="preserve">Source: Table 3.1, p163 of the submission </w:t>
      </w:r>
    </w:p>
    <w:p w:rsidR="000B7363" w:rsidRPr="00051281" w:rsidRDefault="000B7363" w:rsidP="003841D3">
      <w:pPr>
        <w:pStyle w:val="ListParagraph"/>
        <w:widowControl/>
        <w:numPr>
          <w:ilvl w:val="1"/>
          <w:numId w:val="1"/>
        </w:numPr>
        <w:spacing w:after="120"/>
      </w:pPr>
      <w:r w:rsidRPr="00051281">
        <w:t xml:space="preserve">In the consideration of </w:t>
      </w:r>
      <w:proofErr w:type="spellStart"/>
      <w:r w:rsidRPr="00051281">
        <w:t>omalizumab</w:t>
      </w:r>
      <w:proofErr w:type="spellEnd"/>
      <w:r w:rsidRPr="00051281">
        <w:t>, July 2016</w:t>
      </w:r>
      <w:r w:rsidR="00C57BDC" w:rsidRPr="00051281">
        <w:t>,</w:t>
      </w:r>
      <w:r w:rsidRPr="00051281">
        <w:t xml:space="preserve"> the PBAC accepted </w:t>
      </w:r>
      <w:r w:rsidR="0036371A" w:rsidRPr="00051281">
        <w:t>a</w:t>
      </w:r>
      <w:r w:rsidRPr="00051281">
        <w:t xml:space="preserve"> cost per clinically significant exacerbation avoided. The definition for clinically significant exacerbation was ‘a worsening of asthma symptoms requiring doubling of the baseline ICS dose and/or treatment with rescue systemic corticosteroids for at least three days’ (paragraph 6.7, </w:t>
      </w:r>
      <w:proofErr w:type="spellStart"/>
      <w:r w:rsidRPr="00051281">
        <w:t>omalizumab</w:t>
      </w:r>
      <w:proofErr w:type="spellEnd"/>
      <w:r w:rsidRPr="00051281">
        <w:t xml:space="preserve"> PSD</w:t>
      </w:r>
      <w:r w:rsidR="005E13DC">
        <w:t>,</w:t>
      </w:r>
      <w:r w:rsidRPr="00051281">
        <w:t xml:space="preserve"> July 2016</w:t>
      </w:r>
      <w:r w:rsidR="005E13DC">
        <w:t xml:space="preserve"> PBAC Meeting</w:t>
      </w:r>
      <w:r w:rsidRPr="00051281">
        <w:t xml:space="preserve">). This definition aligned with the definition of </w:t>
      </w:r>
      <w:r w:rsidRPr="00051281">
        <w:rPr>
          <w:u w:val="single"/>
        </w:rPr>
        <w:t>severe</w:t>
      </w:r>
      <w:r w:rsidRPr="00051281">
        <w:t xml:space="preserve"> symptomatic exacerbation in trials 205.446 and 205.456.</w:t>
      </w:r>
      <w:r w:rsidRPr="00051281">
        <w:rPr>
          <w:b/>
        </w:rPr>
        <w:t xml:space="preserve"> </w:t>
      </w:r>
    </w:p>
    <w:p w:rsidR="0036371A" w:rsidRPr="00051281" w:rsidRDefault="0036371A" w:rsidP="003841D3">
      <w:pPr>
        <w:pStyle w:val="ListParagraph"/>
        <w:widowControl/>
        <w:numPr>
          <w:ilvl w:val="1"/>
          <w:numId w:val="1"/>
        </w:numPr>
        <w:spacing w:after="120"/>
      </w:pPr>
      <w:r w:rsidRPr="00051281">
        <w:t xml:space="preserve">The </w:t>
      </w:r>
      <w:r w:rsidR="00AE5A72" w:rsidRPr="00051281">
        <w:t xml:space="preserve">ESC did not consider the outcome used in the </w:t>
      </w:r>
      <w:r w:rsidRPr="00051281">
        <w:t xml:space="preserve">economic evaluation </w:t>
      </w:r>
      <w:r w:rsidR="00AE5A72" w:rsidRPr="00051281">
        <w:t>for this tiotropium submission was clinically</w:t>
      </w:r>
      <w:r w:rsidRPr="00051281">
        <w:t xml:space="preserve"> </w:t>
      </w:r>
      <w:r w:rsidR="00AE5A72" w:rsidRPr="00051281">
        <w:t>meaningful given the outcomes for</w:t>
      </w:r>
      <w:r w:rsidRPr="00051281">
        <w:t xml:space="preserve"> symptomatic exacerbations </w:t>
      </w:r>
      <w:r w:rsidR="00AE5A72" w:rsidRPr="00051281">
        <w:t>were due only to the effect on non-severe exacerbations and only for the results in trial 205.446 (6-11 years)</w:t>
      </w:r>
      <w:r w:rsidRPr="00051281">
        <w:t>.</w:t>
      </w:r>
    </w:p>
    <w:p w:rsidR="00275C5A" w:rsidRPr="00051281" w:rsidRDefault="003A5E09" w:rsidP="003841D3">
      <w:pPr>
        <w:pStyle w:val="ListParagraph"/>
        <w:widowControl/>
        <w:numPr>
          <w:ilvl w:val="1"/>
          <w:numId w:val="1"/>
        </w:numPr>
        <w:spacing w:after="120"/>
      </w:pPr>
      <w:r w:rsidRPr="00051281">
        <w:t>The results of the economic evaluation</w:t>
      </w:r>
      <w:r w:rsidR="00F13E03" w:rsidRPr="00051281">
        <w:t xml:space="preserve"> </w:t>
      </w:r>
      <w:r w:rsidRPr="00051281">
        <w:t>are presented in the table below.</w:t>
      </w:r>
    </w:p>
    <w:p w:rsidR="00D110BD" w:rsidRPr="00051281" w:rsidRDefault="00547304" w:rsidP="005714E4">
      <w:pPr>
        <w:keepNext/>
        <w:keepLines/>
        <w:widowControl/>
      </w:pPr>
      <w:r w:rsidRPr="00051281">
        <w:rPr>
          <w:rStyle w:val="CommentReference"/>
        </w:rPr>
        <w:t>Table 1</w:t>
      </w:r>
      <w:r w:rsidR="006B43A6" w:rsidRPr="00051281">
        <w:rPr>
          <w:rStyle w:val="CommentReference"/>
        </w:rPr>
        <w:t>0</w:t>
      </w:r>
      <w:r w:rsidR="003A5E09" w:rsidRPr="00051281">
        <w:rPr>
          <w:rStyle w:val="CommentReference"/>
        </w:rPr>
        <w:t>: Results of the</w:t>
      </w:r>
      <w:r w:rsidR="005A373D" w:rsidRPr="00051281">
        <w:rPr>
          <w:rStyle w:val="CommentReference"/>
        </w:rPr>
        <w:t xml:space="preserv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28" w:type="dxa"/>
          <w:right w:w="28" w:type="dxa"/>
        </w:tblCellMar>
        <w:tblLook w:val="04A0" w:firstRow="1" w:lastRow="0" w:firstColumn="1" w:lastColumn="0" w:noHBand="0" w:noVBand="1"/>
      </w:tblPr>
      <w:tblGrid>
        <w:gridCol w:w="1561"/>
        <w:gridCol w:w="1009"/>
        <w:gridCol w:w="857"/>
        <w:gridCol w:w="857"/>
        <w:gridCol w:w="1001"/>
        <w:gridCol w:w="857"/>
        <w:gridCol w:w="856"/>
        <w:gridCol w:w="2085"/>
      </w:tblGrid>
      <w:tr w:rsidR="00786768" w:rsidRPr="00051281" w:rsidTr="004574B9">
        <w:trPr>
          <w:cantSplit/>
          <w:tblHeader/>
        </w:trPr>
        <w:tc>
          <w:tcPr>
            <w:tcW w:w="859" w:type="pct"/>
            <w:vMerge w:val="restart"/>
            <w:shd w:val="clear" w:color="auto" w:fill="FFFFFF" w:themeFill="background1"/>
            <w:vAlign w:val="center"/>
          </w:tcPr>
          <w:p w:rsidR="003A5E09" w:rsidRPr="00051281" w:rsidRDefault="003A5E09" w:rsidP="005714E4">
            <w:pPr>
              <w:pStyle w:val="Tabletext"/>
              <w:keepNext/>
              <w:keepLines/>
              <w:rPr>
                <w:b/>
              </w:rPr>
            </w:pPr>
          </w:p>
        </w:tc>
        <w:tc>
          <w:tcPr>
            <w:tcW w:w="1498" w:type="pct"/>
            <w:gridSpan w:val="3"/>
            <w:shd w:val="clear" w:color="auto" w:fill="FFFFFF" w:themeFill="background1"/>
            <w:vAlign w:val="center"/>
          </w:tcPr>
          <w:p w:rsidR="003A5E09" w:rsidRPr="00051281" w:rsidRDefault="003A5E09" w:rsidP="00923282">
            <w:pPr>
              <w:pStyle w:val="Tabletext"/>
              <w:keepNext/>
              <w:keepLines/>
              <w:jc w:val="center"/>
              <w:rPr>
                <w:b/>
              </w:rPr>
            </w:pPr>
            <w:r w:rsidRPr="00051281">
              <w:rPr>
                <w:b/>
              </w:rPr>
              <w:t>Costs</w:t>
            </w:r>
          </w:p>
        </w:tc>
        <w:tc>
          <w:tcPr>
            <w:tcW w:w="1494" w:type="pct"/>
            <w:gridSpan w:val="3"/>
            <w:shd w:val="clear" w:color="auto" w:fill="FFFFFF" w:themeFill="background1"/>
            <w:vAlign w:val="center"/>
          </w:tcPr>
          <w:p w:rsidR="003A5E09" w:rsidRPr="00051281" w:rsidRDefault="00CC462B" w:rsidP="00923282">
            <w:pPr>
              <w:pStyle w:val="Tabletext"/>
              <w:keepNext/>
              <w:keepLines/>
              <w:jc w:val="center"/>
              <w:rPr>
                <w:b/>
              </w:rPr>
            </w:pPr>
            <w:r w:rsidRPr="00051281">
              <w:rPr>
                <w:b/>
              </w:rPr>
              <w:t>Exacerbation rate</w:t>
            </w:r>
          </w:p>
        </w:tc>
        <w:tc>
          <w:tcPr>
            <w:tcW w:w="1149" w:type="pct"/>
            <w:vMerge w:val="restart"/>
            <w:shd w:val="clear" w:color="auto" w:fill="FFFFFF" w:themeFill="background1"/>
            <w:vAlign w:val="center"/>
          </w:tcPr>
          <w:p w:rsidR="003A5E09" w:rsidRPr="00051281" w:rsidRDefault="003A5E09" w:rsidP="00923282">
            <w:pPr>
              <w:pStyle w:val="Tabletext"/>
              <w:keepNext/>
              <w:keepLines/>
              <w:jc w:val="center"/>
              <w:rPr>
                <w:b/>
              </w:rPr>
            </w:pPr>
            <w:r w:rsidRPr="00051281">
              <w:rPr>
                <w:b/>
              </w:rPr>
              <w:t>Result</w:t>
            </w:r>
          </w:p>
        </w:tc>
      </w:tr>
      <w:tr w:rsidR="00786768" w:rsidRPr="00051281" w:rsidTr="004574B9">
        <w:trPr>
          <w:cantSplit/>
          <w:tblHeader/>
        </w:trPr>
        <w:tc>
          <w:tcPr>
            <w:tcW w:w="859" w:type="pct"/>
            <w:vMerge/>
            <w:shd w:val="clear" w:color="auto" w:fill="FFFFFF" w:themeFill="background1"/>
            <w:vAlign w:val="center"/>
          </w:tcPr>
          <w:p w:rsidR="003A5E09" w:rsidRPr="00051281" w:rsidRDefault="003A5E09" w:rsidP="005714E4">
            <w:pPr>
              <w:pStyle w:val="Tabletext"/>
              <w:keepNext/>
              <w:keepLines/>
            </w:pPr>
          </w:p>
        </w:tc>
        <w:tc>
          <w:tcPr>
            <w:tcW w:w="555" w:type="pct"/>
            <w:shd w:val="clear" w:color="auto" w:fill="FFFFFF" w:themeFill="background1"/>
            <w:vAlign w:val="center"/>
          </w:tcPr>
          <w:p w:rsidR="003A5E09" w:rsidRPr="00051281" w:rsidRDefault="003A5E09" w:rsidP="00923282">
            <w:pPr>
              <w:pStyle w:val="Tabletext"/>
              <w:keepNext/>
              <w:keepLines/>
              <w:jc w:val="center"/>
              <w:rPr>
                <w:rFonts w:ascii="Times" w:hAnsi="Times"/>
                <w:b/>
              </w:rPr>
            </w:pPr>
            <w:r w:rsidRPr="00051281">
              <w:rPr>
                <w:b/>
              </w:rPr>
              <w:t>Tiotropium</w:t>
            </w:r>
          </w:p>
        </w:tc>
        <w:tc>
          <w:tcPr>
            <w:tcW w:w="472" w:type="pct"/>
            <w:shd w:val="clear" w:color="auto" w:fill="FFFFFF" w:themeFill="background1"/>
            <w:vAlign w:val="center"/>
          </w:tcPr>
          <w:p w:rsidR="003A5E09" w:rsidRPr="00051281" w:rsidRDefault="003A5E09" w:rsidP="00923282">
            <w:pPr>
              <w:pStyle w:val="Tabletext"/>
              <w:keepNext/>
              <w:keepLines/>
              <w:jc w:val="center"/>
              <w:rPr>
                <w:rFonts w:ascii="Times" w:hAnsi="Times"/>
                <w:b/>
              </w:rPr>
            </w:pPr>
            <w:r w:rsidRPr="00051281">
              <w:rPr>
                <w:b/>
              </w:rPr>
              <w:t>Placebo</w:t>
            </w:r>
          </w:p>
        </w:tc>
        <w:tc>
          <w:tcPr>
            <w:tcW w:w="472" w:type="pct"/>
            <w:shd w:val="clear" w:color="auto" w:fill="FFFFFF" w:themeFill="background1"/>
            <w:vAlign w:val="center"/>
          </w:tcPr>
          <w:p w:rsidR="003A5E09" w:rsidRPr="00051281" w:rsidRDefault="003A5E09" w:rsidP="00923282">
            <w:pPr>
              <w:pStyle w:val="Tabletext"/>
              <w:keepNext/>
              <w:keepLines/>
              <w:jc w:val="center"/>
              <w:rPr>
                <w:rFonts w:ascii="Times" w:hAnsi="Times"/>
                <w:b/>
              </w:rPr>
            </w:pPr>
            <w:r w:rsidRPr="00051281">
              <w:rPr>
                <w:b/>
              </w:rPr>
              <w:t>Increment</w:t>
            </w:r>
          </w:p>
        </w:tc>
        <w:tc>
          <w:tcPr>
            <w:tcW w:w="551" w:type="pct"/>
            <w:shd w:val="clear" w:color="auto" w:fill="FFFFFF" w:themeFill="background1"/>
            <w:vAlign w:val="center"/>
          </w:tcPr>
          <w:p w:rsidR="003A5E09" w:rsidRPr="00051281" w:rsidRDefault="003A5E09" w:rsidP="00923282">
            <w:pPr>
              <w:pStyle w:val="Tabletext"/>
              <w:keepNext/>
              <w:keepLines/>
              <w:jc w:val="center"/>
              <w:rPr>
                <w:rFonts w:ascii="Times" w:hAnsi="Times"/>
                <w:b/>
              </w:rPr>
            </w:pPr>
            <w:r w:rsidRPr="00051281">
              <w:rPr>
                <w:b/>
              </w:rPr>
              <w:t>Tiotropium</w:t>
            </w:r>
          </w:p>
        </w:tc>
        <w:tc>
          <w:tcPr>
            <w:tcW w:w="472" w:type="pct"/>
            <w:shd w:val="clear" w:color="auto" w:fill="FFFFFF" w:themeFill="background1"/>
            <w:vAlign w:val="center"/>
          </w:tcPr>
          <w:p w:rsidR="003A5E09" w:rsidRPr="00051281" w:rsidRDefault="003A5E09" w:rsidP="00923282">
            <w:pPr>
              <w:pStyle w:val="Tabletext"/>
              <w:keepNext/>
              <w:keepLines/>
              <w:jc w:val="center"/>
              <w:rPr>
                <w:b/>
              </w:rPr>
            </w:pPr>
            <w:r w:rsidRPr="00051281">
              <w:rPr>
                <w:b/>
              </w:rPr>
              <w:t>Placebo</w:t>
            </w:r>
          </w:p>
        </w:tc>
        <w:tc>
          <w:tcPr>
            <w:tcW w:w="471" w:type="pct"/>
            <w:shd w:val="clear" w:color="auto" w:fill="FFFFFF" w:themeFill="background1"/>
            <w:vAlign w:val="center"/>
          </w:tcPr>
          <w:p w:rsidR="003A5E09" w:rsidRPr="00051281" w:rsidRDefault="003A5E09" w:rsidP="00923282">
            <w:pPr>
              <w:pStyle w:val="Tabletext"/>
              <w:keepNext/>
              <w:keepLines/>
              <w:jc w:val="center"/>
              <w:rPr>
                <w:b/>
              </w:rPr>
            </w:pPr>
            <w:r w:rsidRPr="00051281">
              <w:rPr>
                <w:b/>
              </w:rPr>
              <w:t>Increment</w:t>
            </w:r>
          </w:p>
        </w:tc>
        <w:tc>
          <w:tcPr>
            <w:tcW w:w="1149" w:type="pct"/>
            <w:vMerge/>
            <w:shd w:val="clear" w:color="auto" w:fill="FFFFFF" w:themeFill="background1"/>
            <w:vAlign w:val="center"/>
          </w:tcPr>
          <w:p w:rsidR="003A5E09" w:rsidRPr="00051281" w:rsidRDefault="003A5E09" w:rsidP="00923282">
            <w:pPr>
              <w:pStyle w:val="Tabletext"/>
              <w:keepNext/>
              <w:keepLines/>
              <w:jc w:val="center"/>
            </w:pPr>
          </w:p>
        </w:tc>
      </w:tr>
      <w:tr w:rsidR="003A5E09" w:rsidRPr="00051281" w:rsidTr="004574B9">
        <w:trPr>
          <w:cantSplit/>
          <w:trHeight w:val="255"/>
        </w:trPr>
        <w:tc>
          <w:tcPr>
            <w:tcW w:w="5000" w:type="pct"/>
            <w:gridSpan w:val="8"/>
            <w:shd w:val="clear" w:color="auto" w:fill="FFFFFF" w:themeFill="background1"/>
            <w:vAlign w:val="center"/>
          </w:tcPr>
          <w:p w:rsidR="003A5E09" w:rsidRPr="00051281" w:rsidRDefault="0074351A" w:rsidP="005714E4">
            <w:pPr>
              <w:pStyle w:val="Tabletext"/>
              <w:keepNext/>
              <w:keepLines/>
              <w:rPr>
                <w:b/>
              </w:rPr>
            </w:pPr>
            <w:r w:rsidRPr="00051281">
              <w:rPr>
                <w:b/>
              </w:rPr>
              <w:t xml:space="preserve">Cost per </w:t>
            </w:r>
            <w:r w:rsidR="00CC462B" w:rsidRPr="00051281">
              <w:rPr>
                <w:b/>
              </w:rPr>
              <w:t xml:space="preserve">extra </w:t>
            </w:r>
            <w:r w:rsidRPr="00051281">
              <w:rPr>
                <w:b/>
              </w:rPr>
              <w:t>symptomatic exacerbation (non-severe and severe) avoided</w:t>
            </w:r>
            <w:r w:rsidR="003A5E09" w:rsidRPr="00051281">
              <w:rPr>
                <w:b/>
              </w:rPr>
              <w:t xml:space="preserve"> </w:t>
            </w:r>
          </w:p>
        </w:tc>
      </w:tr>
      <w:tr w:rsidR="00786768" w:rsidRPr="00051281" w:rsidTr="004574B9">
        <w:trPr>
          <w:cantSplit/>
          <w:trHeight w:val="343"/>
        </w:trPr>
        <w:tc>
          <w:tcPr>
            <w:tcW w:w="859" w:type="pct"/>
            <w:vMerge w:val="restart"/>
            <w:shd w:val="clear" w:color="auto" w:fill="FFFFFF" w:themeFill="background1"/>
            <w:vAlign w:val="center"/>
          </w:tcPr>
          <w:p w:rsidR="003A5E09" w:rsidRPr="00051281" w:rsidRDefault="003A5E09" w:rsidP="005714E4">
            <w:pPr>
              <w:pStyle w:val="Tabletext"/>
              <w:keepNext/>
              <w:keepLines/>
            </w:pPr>
            <w:r w:rsidRPr="00051281">
              <w:t>Children 6-17 years</w:t>
            </w:r>
          </w:p>
        </w:tc>
        <w:tc>
          <w:tcPr>
            <w:tcW w:w="555" w:type="pct"/>
            <w:shd w:val="clear" w:color="auto" w:fill="FFFFFF" w:themeFill="background1"/>
            <w:vAlign w:val="center"/>
          </w:tcPr>
          <w:p w:rsidR="003A5E09" w:rsidRPr="00051281" w:rsidRDefault="003A5E09" w:rsidP="005714E4">
            <w:pPr>
              <w:pStyle w:val="Tabletext"/>
              <w:keepNext/>
              <w:keepLines/>
            </w:pPr>
            <w:r w:rsidRPr="00051281">
              <w:t>$</w:t>
            </w:r>
            <w:r w:rsidR="002A17A3">
              <w:rPr>
                <w:noProof/>
                <w:color w:val="000000"/>
                <w:highlight w:val="black"/>
              </w:rPr>
              <w:t>''''''''''</w:t>
            </w:r>
          </w:p>
        </w:tc>
        <w:tc>
          <w:tcPr>
            <w:tcW w:w="472" w:type="pct"/>
            <w:shd w:val="clear" w:color="auto" w:fill="FFFFFF" w:themeFill="background1"/>
            <w:vAlign w:val="center"/>
          </w:tcPr>
          <w:p w:rsidR="003A5E09" w:rsidRPr="00051281" w:rsidRDefault="003A5E09" w:rsidP="005714E4">
            <w:pPr>
              <w:pStyle w:val="Tabletext"/>
              <w:keepNext/>
              <w:keepLines/>
            </w:pPr>
            <w:r w:rsidRPr="00051281">
              <w:t>$</w:t>
            </w:r>
            <w:r w:rsidR="002A17A3">
              <w:rPr>
                <w:noProof/>
                <w:color w:val="000000"/>
                <w:highlight w:val="black"/>
              </w:rPr>
              <w:t>''''''''''</w:t>
            </w:r>
          </w:p>
        </w:tc>
        <w:tc>
          <w:tcPr>
            <w:tcW w:w="472" w:type="pct"/>
            <w:shd w:val="clear" w:color="auto" w:fill="FFFFFF" w:themeFill="background1"/>
            <w:vAlign w:val="center"/>
          </w:tcPr>
          <w:p w:rsidR="003A5E09" w:rsidRPr="00051281" w:rsidRDefault="003A5E09" w:rsidP="005714E4">
            <w:pPr>
              <w:pStyle w:val="Tabletext"/>
              <w:keepNext/>
              <w:keepLines/>
            </w:pPr>
            <w:r w:rsidRPr="00051281">
              <w:t>$</w:t>
            </w:r>
            <w:r w:rsidR="002A17A3">
              <w:rPr>
                <w:noProof/>
                <w:color w:val="000000"/>
                <w:highlight w:val="black"/>
              </w:rPr>
              <w:t>'''''''''</w:t>
            </w:r>
          </w:p>
        </w:tc>
        <w:tc>
          <w:tcPr>
            <w:tcW w:w="551" w:type="pct"/>
            <w:shd w:val="clear" w:color="auto" w:fill="FFFFFF" w:themeFill="background1"/>
            <w:vAlign w:val="center"/>
          </w:tcPr>
          <w:p w:rsidR="003A5E09" w:rsidRPr="002A17A3" w:rsidRDefault="002A17A3" w:rsidP="005714E4">
            <w:pPr>
              <w:pStyle w:val="Tabletext"/>
              <w:keepNext/>
              <w:keepLines/>
              <w:rPr>
                <w:highlight w:val="black"/>
              </w:rPr>
            </w:pPr>
            <w:r>
              <w:rPr>
                <w:noProof/>
                <w:color w:val="000000"/>
                <w:highlight w:val="black"/>
              </w:rPr>
              <w:t>''''''''''''''</w:t>
            </w:r>
          </w:p>
        </w:tc>
        <w:tc>
          <w:tcPr>
            <w:tcW w:w="472" w:type="pct"/>
            <w:shd w:val="clear" w:color="auto" w:fill="FFFFFF" w:themeFill="background1"/>
            <w:vAlign w:val="center"/>
          </w:tcPr>
          <w:p w:rsidR="003A5E09" w:rsidRPr="002A17A3" w:rsidRDefault="002A17A3" w:rsidP="005714E4">
            <w:pPr>
              <w:pStyle w:val="Tabletext"/>
              <w:keepNext/>
              <w:keepLines/>
              <w:rPr>
                <w:highlight w:val="black"/>
              </w:rPr>
            </w:pPr>
            <w:r>
              <w:rPr>
                <w:noProof/>
                <w:color w:val="000000"/>
                <w:highlight w:val="black"/>
              </w:rPr>
              <w:t>'''''''''''''</w:t>
            </w:r>
          </w:p>
        </w:tc>
        <w:tc>
          <w:tcPr>
            <w:tcW w:w="471" w:type="pct"/>
            <w:shd w:val="clear" w:color="auto" w:fill="FFFFFF" w:themeFill="background1"/>
            <w:vAlign w:val="center"/>
          </w:tcPr>
          <w:p w:rsidR="003A5E09" w:rsidRPr="002A17A3" w:rsidRDefault="002A17A3" w:rsidP="005714E4">
            <w:pPr>
              <w:pStyle w:val="Tabletext"/>
              <w:keepNext/>
              <w:keepLines/>
              <w:rPr>
                <w:highlight w:val="black"/>
              </w:rPr>
            </w:pPr>
            <w:r>
              <w:rPr>
                <w:noProof/>
                <w:color w:val="000000"/>
                <w:highlight w:val="black"/>
              </w:rPr>
              <w:t>''''''''''''''''</w:t>
            </w:r>
          </w:p>
        </w:tc>
        <w:tc>
          <w:tcPr>
            <w:tcW w:w="1149" w:type="pct"/>
            <w:shd w:val="clear" w:color="auto" w:fill="FFFFFF" w:themeFill="background1"/>
            <w:vAlign w:val="center"/>
          </w:tcPr>
          <w:p w:rsidR="003A5E09" w:rsidRPr="00051281" w:rsidRDefault="003A5E09" w:rsidP="005714E4">
            <w:pPr>
              <w:pStyle w:val="Tabletext"/>
              <w:keepNext/>
              <w:keepLines/>
            </w:pPr>
            <w:r w:rsidRPr="00051281">
              <w:t>$</w:t>
            </w:r>
            <w:r w:rsidR="002A17A3">
              <w:rPr>
                <w:noProof/>
                <w:color w:val="000000"/>
                <w:highlight w:val="black"/>
              </w:rPr>
              <w:t>'''''''''''''</w:t>
            </w:r>
            <w:r w:rsidRPr="00051281">
              <w:t xml:space="preserve"> per symptomatic exacerbation avoided</w:t>
            </w:r>
          </w:p>
        </w:tc>
      </w:tr>
      <w:tr w:rsidR="00786768" w:rsidRPr="00051281" w:rsidTr="004574B9">
        <w:trPr>
          <w:cantSplit/>
          <w:trHeight w:val="60"/>
        </w:trPr>
        <w:tc>
          <w:tcPr>
            <w:tcW w:w="859" w:type="pct"/>
            <w:vMerge/>
            <w:shd w:val="clear" w:color="auto" w:fill="FFFFFF" w:themeFill="background1"/>
            <w:vAlign w:val="center"/>
          </w:tcPr>
          <w:p w:rsidR="003A5E09" w:rsidRPr="00051281" w:rsidDel="00965352" w:rsidRDefault="003A5E09" w:rsidP="005714E4">
            <w:pPr>
              <w:pStyle w:val="Tabletext"/>
              <w:keepNext/>
              <w:keepLines/>
            </w:pPr>
          </w:p>
        </w:tc>
        <w:tc>
          <w:tcPr>
            <w:tcW w:w="4141" w:type="pct"/>
            <w:gridSpan w:val="7"/>
            <w:shd w:val="clear" w:color="auto" w:fill="FFFFFF" w:themeFill="background1"/>
            <w:vAlign w:val="center"/>
          </w:tcPr>
          <w:p w:rsidR="003A5E09" w:rsidRPr="00051281" w:rsidRDefault="003A5E09" w:rsidP="00C543EB">
            <w:pPr>
              <w:pStyle w:val="Tabletext"/>
              <w:keepNext/>
              <w:keepLines/>
            </w:pPr>
            <w:r w:rsidRPr="00051281">
              <w:t>To provide an ICER of $</w:t>
            </w:r>
            <w:r w:rsidR="002A17A3">
              <w:rPr>
                <w:noProof/>
                <w:color w:val="000000"/>
                <w:highlight w:val="black"/>
              </w:rPr>
              <w:t>'''''''''''''''</w:t>
            </w:r>
            <w:r w:rsidR="00786768" w:rsidRPr="00051281">
              <w:t>,</w:t>
            </w:r>
            <w:r w:rsidRPr="00051281">
              <w:t xml:space="preserve"> the QALY loss per symptomatic exacerbation = $</w:t>
            </w:r>
            <w:r w:rsidR="002A17A3">
              <w:rPr>
                <w:noProof/>
                <w:color w:val="000000"/>
                <w:highlight w:val="black"/>
              </w:rPr>
              <w:t>''''''''''''''</w:t>
            </w:r>
            <w:r w:rsidRPr="00051281">
              <w:t>/$</w:t>
            </w:r>
            <w:r w:rsidR="002A17A3">
              <w:rPr>
                <w:noProof/>
                <w:color w:val="000000"/>
                <w:highlight w:val="black"/>
              </w:rPr>
              <w:t>'''''''''''''''''</w:t>
            </w:r>
            <w:r w:rsidRPr="00051281">
              <w:t xml:space="preserve"> </w:t>
            </w:r>
            <w:r w:rsidR="00C543EB" w:rsidRPr="00051281">
              <w:t>=</w:t>
            </w:r>
            <w:r w:rsidR="00D412EF" w:rsidRPr="00051281">
              <w:t xml:space="preserve"> </w:t>
            </w:r>
            <w:r w:rsidR="002A17A3">
              <w:rPr>
                <w:noProof/>
                <w:color w:val="000000"/>
                <w:highlight w:val="black"/>
              </w:rPr>
              <w:t>''''''''''''</w:t>
            </w:r>
            <w:r w:rsidR="00C543EB" w:rsidRPr="00051281">
              <w:t xml:space="preserve"> </w:t>
            </w:r>
          </w:p>
        </w:tc>
      </w:tr>
      <w:tr w:rsidR="003A5E09" w:rsidRPr="00051281" w:rsidTr="004574B9">
        <w:trPr>
          <w:cantSplit/>
        </w:trPr>
        <w:tc>
          <w:tcPr>
            <w:tcW w:w="5000" w:type="pct"/>
            <w:gridSpan w:val="8"/>
            <w:shd w:val="clear" w:color="auto" w:fill="FFFFFF" w:themeFill="background1"/>
            <w:vAlign w:val="center"/>
          </w:tcPr>
          <w:p w:rsidR="003A5E09" w:rsidRPr="00051281" w:rsidRDefault="0074351A" w:rsidP="005714E4">
            <w:pPr>
              <w:pStyle w:val="Tabletext"/>
              <w:keepNext/>
              <w:keepLines/>
            </w:pPr>
            <w:r w:rsidRPr="00051281">
              <w:rPr>
                <w:b/>
              </w:rPr>
              <w:t xml:space="preserve">Cost per </w:t>
            </w:r>
            <w:r w:rsidR="00CC462B" w:rsidRPr="00051281">
              <w:rPr>
                <w:b/>
              </w:rPr>
              <w:t xml:space="preserve">extra </w:t>
            </w:r>
            <w:r w:rsidRPr="00051281">
              <w:rPr>
                <w:b/>
              </w:rPr>
              <w:t>severe symptomatic exacerbation avoided</w:t>
            </w:r>
            <w:r w:rsidR="003A5E09" w:rsidRPr="00051281">
              <w:rPr>
                <w:b/>
              </w:rPr>
              <w:t xml:space="preserve"> </w:t>
            </w:r>
          </w:p>
        </w:tc>
      </w:tr>
      <w:tr w:rsidR="00786768" w:rsidRPr="00051281" w:rsidTr="004574B9">
        <w:trPr>
          <w:cantSplit/>
        </w:trPr>
        <w:tc>
          <w:tcPr>
            <w:tcW w:w="859" w:type="pct"/>
            <w:shd w:val="clear" w:color="auto" w:fill="FFFFFF" w:themeFill="background1"/>
            <w:vAlign w:val="center"/>
          </w:tcPr>
          <w:p w:rsidR="003A5E09" w:rsidRPr="00051281" w:rsidRDefault="003A5E09" w:rsidP="005714E4">
            <w:pPr>
              <w:pStyle w:val="Tabletext"/>
              <w:keepNext/>
              <w:keepLines/>
            </w:pPr>
            <w:r w:rsidRPr="00051281">
              <w:t>Children 6-17 years</w:t>
            </w:r>
          </w:p>
        </w:tc>
        <w:tc>
          <w:tcPr>
            <w:tcW w:w="555" w:type="pct"/>
            <w:shd w:val="clear" w:color="auto" w:fill="FFFFFF" w:themeFill="background1"/>
            <w:vAlign w:val="center"/>
          </w:tcPr>
          <w:p w:rsidR="003A5E09" w:rsidRPr="00051281" w:rsidRDefault="003A5E09" w:rsidP="005714E4">
            <w:pPr>
              <w:pStyle w:val="Tabletext"/>
              <w:keepNext/>
              <w:keepLines/>
            </w:pPr>
            <w:r w:rsidRPr="00051281">
              <w:t>$</w:t>
            </w:r>
            <w:r w:rsidR="002A17A3">
              <w:rPr>
                <w:noProof/>
                <w:color w:val="000000"/>
                <w:highlight w:val="black"/>
              </w:rPr>
              <w:t>''''''''</w:t>
            </w:r>
          </w:p>
        </w:tc>
        <w:tc>
          <w:tcPr>
            <w:tcW w:w="472" w:type="pct"/>
            <w:shd w:val="clear" w:color="auto" w:fill="FFFFFF" w:themeFill="background1"/>
            <w:vAlign w:val="center"/>
          </w:tcPr>
          <w:p w:rsidR="003A5E09" w:rsidRPr="00051281" w:rsidRDefault="003A5E09" w:rsidP="005714E4">
            <w:pPr>
              <w:pStyle w:val="Tabletext"/>
              <w:keepNext/>
              <w:keepLines/>
            </w:pPr>
            <w:r w:rsidRPr="00051281">
              <w:t>$</w:t>
            </w:r>
            <w:r w:rsidR="002A17A3">
              <w:rPr>
                <w:noProof/>
                <w:color w:val="000000"/>
                <w:highlight w:val="black"/>
              </w:rPr>
              <w:t>''''''''''</w:t>
            </w:r>
          </w:p>
        </w:tc>
        <w:tc>
          <w:tcPr>
            <w:tcW w:w="472" w:type="pct"/>
            <w:shd w:val="clear" w:color="auto" w:fill="FFFFFF" w:themeFill="background1"/>
            <w:vAlign w:val="center"/>
          </w:tcPr>
          <w:p w:rsidR="003A5E09" w:rsidRPr="00051281" w:rsidRDefault="003A5E09" w:rsidP="005714E4">
            <w:pPr>
              <w:pStyle w:val="Tabletext"/>
              <w:keepNext/>
              <w:keepLines/>
            </w:pPr>
            <w:r w:rsidRPr="00051281">
              <w:t>$</w:t>
            </w:r>
            <w:r w:rsidR="002A17A3">
              <w:rPr>
                <w:noProof/>
                <w:color w:val="000000"/>
                <w:highlight w:val="black"/>
              </w:rPr>
              <w:t>''''''''''</w:t>
            </w:r>
          </w:p>
        </w:tc>
        <w:tc>
          <w:tcPr>
            <w:tcW w:w="551" w:type="pct"/>
            <w:shd w:val="clear" w:color="auto" w:fill="FFFFFF" w:themeFill="background1"/>
            <w:vAlign w:val="center"/>
          </w:tcPr>
          <w:p w:rsidR="003A5E09" w:rsidRPr="002A17A3" w:rsidRDefault="002A17A3" w:rsidP="005714E4">
            <w:pPr>
              <w:pStyle w:val="Tabletext"/>
              <w:keepNext/>
              <w:keepLines/>
              <w:rPr>
                <w:highlight w:val="black"/>
              </w:rPr>
            </w:pPr>
            <w:r>
              <w:rPr>
                <w:noProof/>
                <w:color w:val="000000"/>
                <w:highlight w:val="black"/>
              </w:rPr>
              <w:t>'''''''''''''''</w:t>
            </w:r>
          </w:p>
        </w:tc>
        <w:tc>
          <w:tcPr>
            <w:tcW w:w="472" w:type="pct"/>
            <w:shd w:val="clear" w:color="auto" w:fill="FFFFFF" w:themeFill="background1"/>
            <w:vAlign w:val="center"/>
          </w:tcPr>
          <w:p w:rsidR="003A5E09" w:rsidRPr="002A17A3" w:rsidRDefault="002A17A3" w:rsidP="005714E4">
            <w:pPr>
              <w:pStyle w:val="Tabletext"/>
              <w:keepNext/>
              <w:keepLines/>
              <w:rPr>
                <w:highlight w:val="black"/>
              </w:rPr>
            </w:pPr>
            <w:r>
              <w:rPr>
                <w:noProof/>
                <w:color w:val="000000"/>
                <w:highlight w:val="black"/>
              </w:rPr>
              <w:t>'''''''''''''</w:t>
            </w:r>
          </w:p>
        </w:tc>
        <w:tc>
          <w:tcPr>
            <w:tcW w:w="471" w:type="pct"/>
            <w:shd w:val="clear" w:color="auto" w:fill="FFFFFF" w:themeFill="background1"/>
            <w:vAlign w:val="center"/>
          </w:tcPr>
          <w:p w:rsidR="003A5E09" w:rsidRPr="002A17A3" w:rsidRDefault="002A17A3" w:rsidP="005714E4">
            <w:pPr>
              <w:pStyle w:val="Tabletext"/>
              <w:keepNext/>
              <w:keepLines/>
              <w:rPr>
                <w:highlight w:val="black"/>
              </w:rPr>
            </w:pPr>
            <w:r>
              <w:rPr>
                <w:noProof/>
                <w:color w:val="000000"/>
                <w:highlight w:val="black"/>
              </w:rPr>
              <w:t>'''''''''''''</w:t>
            </w:r>
          </w:p>
        </w:tc>
        <w:tc>
          <w:tcPr>
            <w:tcW w:w="1149" w:type="pct"/>
            <w:shd w:val="clear" w:color="auto" w:fill="FFFFFF" w:themeFill="background1"/>
            <w:vAlign w:val="center"/>
          </w:tcPr>
          <w:p w:rsidR="003A5E09" w:rsidRPr="002A17A3" w:rsidRDefault="002A17A3" w:rsidP="005714E4">
            <w:pPr>
              <w:pStyle w:val="Tabletext"/>
              <w:keepNext/>
              <w:keepLines/>
              <w:rPr>
                <w:highlight w:val="black"/>
              </w:rPr>
            </w:pPr>
            <w:r>
              <w:rPr>
                <w:noProof/>
                <w:color w:val="000000"/>
                <w:highlight w:val="black"/>
              </w:rPr>
              <w:t>'''''''''''''''''''''''''''</w:t>
            </w:r>
          </w:p>
        </w:tc>
      </w:tr>
      <w:tr w:rsidR="003A5E09" w:rsidRPr="00051281" w:rsidTr="004574B9">
        <w:trPr>
          <w:cantSplit/>
        </w:trPr>
        <w:tc>
          <w:tcPr>
            <w:tcW w:w="5000" w:type="pct"/>
            <w:gridSpan w:val="8"/>
            <w:shd w:val="clear" w:color="auto" w:fill="FFFFFF" w:themeFill="background1"/>
            <w:vAlign w:val="center"/>
          </w:tcPr>
          <w:p w:rsidR="003A5E09" w:rsidRPr="00051281" w:rsidRDefault="0074351A" w:rsidP="005714E4">
            <w:pPr>
              <w:pStyle w:val="Tabletext"/>
              <w:keepNext/>
              <w:keepLines/>
            </w:pPr>
            <w:r w:rsidRPr="00051281">
              <w:rPr>
                <w:b/>
              </w:rPr>
              <w:t xml:space="preserve">Cost per </w:t>
            </w:r>
            <w:r w:rsidR="00CC462B" w:rsidRPr="00051281">
              <w:rPr>
                <w:b/>
              </w:rPr>
              <w:t xml:space="preserve">extra </w:t>
            </w:r>
            <w:r w:rsidRPr="00051281">
              <w:rPr>
                <w:b/>
              </w:rPr>
              <w:t>non-severe symptomatic exacerbation avoided</w:t>
            </w:r>
            <w:r w:rsidR="003A5E09" w:rsidRPr="00051281">
              <w:rPr>
                <w:b/>
              </w:rPr>
              <w:t xml:space="preserve"> </w:t>
            </w:r>
          </w:p>
        </w:tc>
      </w:tr>
      <w:tr w:rsidR="00786768" w:rsidRPr="00051281" w:rsidTr="004574B9">
        <w:trPr>
          <w:cantSplit/>
        </w:trPr>
        <w:tc>
          <w:tcPr>
            <w:tcW w:w="859" w:type="pct"/>
            <w:shd w:val="clear" w:color="auto" w:fill="FFFFFF" w:themeFill="background1"/>
            <w:vAlign w:val="center"/>
          </w:tcPr>
          <w:p w:rsidR="003A5E09" w:rsidRPr="00051281" w:rsidRDefault="003A5E09" w:rsidP="005714E4">
            <w:pPr>
              <w:pStyle w:val="Tabletext"/>
              <w:keepNext/>
              <w:keepLines/>
            </w:pPr>
            <w:r w:rsidRPr="00051281">
              <w:t>Children 6-17 years</w:t>
            </w:r>
          </w:p>
        </w:tc>
        <w:tc>
          <w:tcPr>
            <w:tcW w:w="555" w:type="pct"/>
            <w:shd w:val="clear" w:color="auto" w:fill="FFFFFF" w:themeFill="background1"/>
            <w:vAlign w:val="center"/>
          </w:tcPr>
          <w:p w:rsidR="003A5E09" w:rsidRPr="00051281" w:rsidRDefault="003A5E09" w:rsidP="005714E4">
            <w:pPr>
              <w:pStyle w:val="Tabletext"/>
              <w:keepNext/>
              <w:keepLines/>
            </w:pPr>
            <w:r w:rsidRPr="00051281">
              <w:t>$</w:t>
            </w:r>
            <w:r w:rsidR="002A17A3">
              <w:rPr>
                <w:noProof/>
                <w:color w:val="000000"/>
                <w:highlight w:val="black"/>
              </w:rPr>
              <w:t>''''''''''</w:t>
            </w:r>
          </w:p>
        </w:tc>
        <w:tc>
          <w:tcPr>
            <w:tcW w:w="472" w:type="pct"/>
            <w:shd w:val="clear" w:color="auto" w:fill="FFFFFF" w:themeFill="background1"/>
            <w:vAlign w:val="center"/>
          </w:tcPr>
          <w:p w:rsidR="003A5E09" w:rsidRPr="00051281" w:rsidRDefault="003A5E09" w:rsidP="005714E4">
            <w:pPr>
              <w:pStyle w:val="Tabletext"/>
              <w:keepNext/>
              <w:keepLines/>
            </w:pPr>
            <w:r w:rsidRPr="00051281">
              <w:t>$</w:t>
            </w:r>
            <w:r w:rsidR="002A17A3">
              <w:rPr>
                <w:noProof/>
                <w:color w:val="000000"/>
                <w:highlight w:val="black"/>
              </w:rPr>
              <w:t>'''''''</w:t>
            </w:r>
          </w:p>
        </w:tc>
        <w:tc>
          <w:tcPr>
            <w:tcW w:w="472" w:type="pct"/>
            <w:shd w:val="clear" w:color="auto" w:fill="FFFFFF" w:themeFill="background1"/>
            <w:vAlign w:val="center"/>
          </w:tcPr>
          <w:p w:rsidR="003A5E09" w:rsidRPr="00051281" w:rsidRDefault="003A5E09" w:rsidP="005714E4">
            <w:pPr>
              <w:pStyle w:val="Tabletext"/>
              <w:keepNext/>
              <w:keepLines/>
            </w:pPr>
            <w:r w:rsidRPr="00051281">
              <w:t>$</w:t>
            </w:r>
            <w:r w:rsidR="002A17A3">
              <w:rPr>
                <w:noProof/>
                <w:color w:val="000000"/>
                <w:highlight w:val="black"/>
              </w:rPr>
              <w:t>''''''''''</w:t>
            </w:r>
          </w:p>
        </w:tc>
        <w:tc>
          <w:tcPr>
            <w:tcW w:w="551" w:type="pct"/>
            <w:shd w:val="clear" w:color="auto" w:fill="FFFFFF" w:themeFill="background1"/>
            <w:vAlign w:val="center"/>
          </w:tcPr>
          <w:p w:rsidR="003A5E09" w:rsidRPr="002A17A3" w:rsidRDefault="002A17A3" w:rsidP="005714E4">
            <w:pPr>
              <w:pStyle w:val="Tabletext"/>
              <w:keepNext/>
              <w:keepLines/>
              <w:rPr>
                <w:highlight w:val="black"/>
              </w:rPr>
            </w:pPr>
            <w:r>
              <w:rPr>
                <w:noProof/>
                <w:color w:val="000000"/>
                <w:highlight w:val="black"/>
              </w:rPr>
              <w:t>'''''''''''''</w:t>
            </w:r>
          </w:p>
        </w:tc>
        <w:tc>
          <w:tcPr>
            <w:tcW w:w="472" w:type="pct"/>
            <w:shd w:val="clear" w:color="auto" w:fill="FFFFFF" w:themeFill="background1"/>
            <w:vAlign w:val="center"/>
          </w:tcPr>
          <w:p w:rsidR="003A5E09" w:rsidRPr="002A17A3" w:rsidRDefault="002A17A3" w:rsidP="005714E4">
            <w:pPr>
              <w:pStyle w:val="Tabletext"/>
              <w:keepNext/>
              <w:keepLines/>
              <w:rPr>
                <w:highlight w:val="black"/>
              </w:rPr>
            </w:pPr>
            <w:r>
              <w:rPr>
                <w:noProof/>
                <w:color w:val="000000"/>
                <w:highlight w:val="black"/>
              </w:rPr>
              <w:t>''''''''''''''</w:t>
            </w:r>
          </w:p>
        </w:tc>
        <w:tc>
          <w:tcPr>
            <w:tcW w:w="471" w:type="pct"/>
            <w:shd w:val="clear" w:color="auto" w:fill="FFFFFF" w:themeFill="background1"/>
            <w:vAlign w:val="center"/>
          </w:tcPr>
          <w:p w:rsidR="003A5E09" w:rsidRPr="002A17A3" w:rsidRDefault="002A17A3" w:rsidP="005714E4">
            <w:pPr>
              <w:pStyle w:val="Tabletext"/>
              <w:keepNext/>
              <w:keepLines/>
              <w:rPr>
                <w:highlight w:val="black"/>
              </w:rPr>
            </w:pPr>
            <w:r>
              <w:rPr>
                <w:noProof/>
                <w:color w:val="000000"/>
                <w:highlight w:val="black"/>
              </w:rPr>
              <w:t>''''''''''''''''</w:t>
            </w:r>
          </w:p>
        </w:tc>
        <w:tc>
          <w:tcPr>
            <w:tcW w:w="1149" w:type="pct"/>
            <w:shd w:val="clear" w:color="auto" w:fill="FFFFFF" w:themeFill="background1"/>
            <w:vAlign w:val="center"/>
          </w:tcPr>
          <w:p w:rsidR="003A5E09" w:rsidRPr="00051281" w:rsidRDefault="003A5E09" w:rsidP="005714E4">
            <w:pPr>
              <w:pStyle w:val="Tabletext"/>
              <w:keepNext/>
              <w:keepLines/>
            </w:pPr>
            <w:r w:rsidRPr="00051281">
              <w:t>$</w:t>
            </w:r>
            <w:r w:rsidR="002A17A3">
              <w:rPr>
                <w:noProof/>
                <w:color w:val="000000"/>
                <w:highlight w:val="black"/>
              </w:rPr>
              <w:t>''''''''''''</w:t>
            </w:r>
            <w:r w:rsidRPr="00051281">
              <w:t xml:space="preserve"> per non-severe exacerbation avoided</w:t>
            </w:r>
          </w:p>
        </w:tc>
      </w:tr>
    </w:tbl>
    <w:p w:rsidR="003A5E09" w:rsidRPr="00051281" w:rsidRDefault="003A5E09" w:rsidP="00923282">
      <w:pPr>
        <w:pStyle w:val="TableFooter"/>
        <w:keepNext/>
        <w:keepLines/>
        <w:jc w:val="left"/>
      </w:pPr>
      <w:r w:rsidRPr="00051281">
        <w:t xml:space="preserve">Source: Table 3.22, p203 of the </w:t>
      </w:r>
      <w:r w:rsidR="00742247" w:rsidRPr="00051281">
        <w:t>submission;</w:t>
      </w:r>
      <w:r w:rsidRPr="00051281">
        <w:t xml:space="preserve"> and </w:t>
      </w:r>
      <w:r w:rsidR="00051A50" w:rsidRPr="00051281">
        <w:t xml:space="preserve">calculated </w:t>
      </w:r>
      <w:r w:rsidRPr="00051281">
        <w:t xml:space="preserve">during evaluation from Att_10_Section 3 </w:t>
      </w:r>
      <w:proofErr w:type="spellStart"/>
      <w:r w:rsidRPr="00051281">
        <w:t>Workbook.xlsl</w:t>
      </w:r>
      <w:proofErr w:type="spellEnd"/>
    </w:p>
    <w:p w:rsidR="003A5E09" w:rsidRPr="00051281" w:rsidRDefault="003A5E09" w:rsidP="005E1CCA">
      <w:pPr>
        <w:pStyle w:val="TableFooter"/>
        <w:keepNext/>
        <w:keepLines/>
        <w:spacing w:after="120"/>
        <w:jc w:val="left"/>
        <w:rPr>
          <w:sz w:val="20"/>
        </w:rPr>
      </w:pPr>
      <w:r w:rsidRPr="00051281">
        <w:t>ICER = incremental cost effectiveness ratio; QALY = quality-adjusted life years</w:t>
      </w:r>
    </w:p>
    <w:p w:rsidR="00C7542C" w:rsidRPr="00051281" w:rsidRDefault="00C7542C" w:rsidP="003841D3">
      <w:pPr>
        <w:pStyle w:val="ListParagraph"/>
        <w:widowControl/>
        <w:numPr>
          <w:ilvl w:val="1"/>
          <w:numId w:val="1"/>
        </w:numPr>
        <w:spacing w:after="120"/>
      </w:pPr>
      <w:r w:rsidRPr="00051281">
        <w:t>The submission estimated a cost per symptomatic exacerbation</w:t>
      </w:r>
      <w:r w:rsidR="00051A50" w:rsidRPr="00051281">
        <w:t xml:space="preserve"> (non-severe and severe)</w:t>
      </w:r>
      <w:r w:rsidRPr="00051281">
        <w:t xml:space="preserve"> avoided of $</w:t>
      </w:r>
      <w:r w:rsidR="002A17A3">
        <w:rPr>
          <w:noProof/>
          <w:color w:val="000000"/>
          <w:highlight w:val="black"/>
        </w:rPr>
        <w:t>''''''''''</w:t>
      </w:r>
      <w:r w:rsidRPr="00051281">
        <w:t xml:space="preserve">. </w:t>
      </w:r>
    </w:p>
    <w:p w:rsidR="00701BE1" w:rsidRPr="00051281" w:rsidRDefault="00701BE1" w:rsidP="003841D3">
      <w:pPr>
        <w:pStyle w:val="ListParagraph"/>
        <w:widowControl/>
        <w:numPr>
          <w:ilvl w:val="1"/>
          <w:numId w:val="1"/>
        </w:numPr>
        <w:spacing w:after="120"/>
      </w:pPr>
      <w:r w:rsidRPr="00051281">
        <w:lastRenderedPageBreak/>
        <w:t xml:space="preserve">To provide a frame of reference for interpreting the cost per exacerbation avoided, the submission calculated that </w:t>
      </w:r>
      <w:r w:rsidRPr="00051281">
        <w:rPr>
          <w:lang w:val="en-US"/>
        </w:rPr>
        <w:t xml:space="preserve">to achieve an </w:t>
      </w:r>
      <w:r w:rsidR="003A03C5" w:rsidRPr="00051281">
        <w:rPr>
          <w:lang w:val="en-US"/>
        </w:rPr>
        <w:t>incremental cost-effectiveness ratio (</w:t>
      </w:r>
      <w:r w:rsidRPr="00051281">
        <w:rPr>
          <w:lang w:val="en-US"/>
        </w:rPr>
        <w:t>ICER</w:t>
      </w:r>
      <w:r w:rsidR="003A03C5" w:rsidRPr="00051281">
        <w:rPr>
          <w:lang w:val="en-US"/>
        </w:rPr>
        <w:t>)</w:t>
      </w:r>
      <w:r w:rsidRPr="00051281">
        <w:rPr>
          <w:lang w:val="en-US"/>
        </w:rPr>
        <w:t xml:space="preserve"> of </w:t>
      </w:r>
      <w:r w:rsidR="003F57C3">
        <w:rPr>
          <w:lang w:val="en-US"/>
        </w:rPr>
        <w:t xml:space="preserve">$45,000 - $75,000 </w:t>
      </w:r>
      <w:r w:rsidRPr="00051281">
        <w:rPr>
          <w:lang w:val="en-US"/>
        </w:rPr>
        <w:t xml:space="preserve">per </w:t>
      </w:r>
      <w:r w:rsidR="003A03C5" w:rsidRPr="00051281">
        <w:rPr>
          <w:lang w:val="en-US"/>
        </w:rPr>
        <w:t>quality-adjusted life year (</w:t>
      </w:r>
      <w:r w:rsidRPr="00051281">
        <w:rPr>
          <w:lang w:val="en-US"/>
        </w:rPr>
        <w:t>QALY</w:t>
      </w:r>
      <w:r w:rsidR="003A03C5" w:rsidRPr="00051281">
        <w:rPr>
          <w:lang w:val="en-US"/>
        </w:rPr>
        <w:t>)</w:t>
      </w:r>
      <w:r w:rsidRPr="00051281">
        <w:rPr>
          <w:lang w:val="en-US"/>
        </w:rPr>
        <w:t>,</w:t>
      </w:r>
      <w:r w:rsidRPr="00051281">
        <w:t xml:space="preserve"> a symptomatic exacerbation </w:t>
      </w:r>
      <w:r w:rsidR="00051A50" w:rsidRPr="00051281">
        <w:t xml:space="preserve">(non-severe and severe) </w:t>
      </w:r>
      <w:r w:rsidRPr="00051281">
        <w:t xml:space="preserve">must be associated with a loss of </w:t>
      </w:r>
      <w:r w:rsidR="002A17A3">
        <w:rPr>
          <w:noProof/>
          <w:color w:val="000000"/>
          <w:highlight w:val="black"/>
        </w:rPr>
        <w:t>''''''''''</w:t>
      </w:r>
      <w:r w:rsidRPr="00051281">
        <w:t xml:space="preserve"> QALYs.</w:t>
      </w:r>
      <w:r w:rsidR="006D56E8" w:rsidRPr="00051281">
        <w:t xml:space="preserve"> The American College of Allergy, Asthma and Immunology suggests that a </w:t>
      </w:r>
      <w:r w:rsidR="00E063EA" w:rsidRPr="00051281">
        <w:t>severe asthma attack can last from hours to days.</w:t>
      </w:r>
      <w:r w:rsidR="00600F7E" w:rsidRPr="00051281">
        <w:t xml:space="preserve"> ESC noted the submission’s proposed QALYs were large considering exacerbations usually only last a few days</w:t>
      </w:r>
      <w:r w:rsidR="00670607" w:rsidRPr="00051281">
        <w:t>, and suggested</w:t>
      </w:r>
      <w:r w:rsidR="00600F7E" w:rsidRPr="00051281">
        <w:t xml:space="preserve"> that a </w:t>
      </w:r>
      <w:r w:rsidR="002A17A3">
        <w:rPr>
          <w:noProof/>
          <w:color w:val="000000"/>
          <w:highlight w:val="black"/>
        </w:rPr>
        <w:t>'''''''''''</w:t>
      </w:r>
      <w:r w:rsidR="00600F7E" w:rsidRPr="00051281">
        <w:t xml:space="preserve"> QALY loss for a non-severe exacerbation was implausible.</w:t>
      </w:r>
      <w:r w:rsidR="008B5554" w:rsidRPr="00051281">
        <w:t xml:space="preserve"> </w:t>
      </w:r>
    </w:p>
    <w:p w:rsidR="00701BE1" w:rsidRPr="00051281" w:rsidRDefault="00701BE1" w:rsidP="003841D3">
      <w:pPr>
        <w:pStyle w:val="ListParagraph"/>
        <w:widowControl/>
        <w:numPr>
          <w:ilvl w:val="1"/>
          <w:numId w:val="1"/>
        </w:numPr>
        <w:spacing w:after="120"/>
      </w:pPr>
      <w:r w:rsidRPr="00051281">
        <w:t xml:space="preserve">The submission considered this QALY value demonstrated tiotropium’s cost-effectiveness as similar calculations considered by the PBAC relating to </w:t>
      </w:r>
      <w:proofErr w:type="spellStart"/>
      <w:r w:rsidRPr="00051281">
        <w:t>omalizumab</w:t>
      </w:r>
      <w:proofErr w:type="spellEnd"/>
      <w:r w:rsidRPr="00051281">
        <w:t xml:space="preserve">, resulted in a 0.28 QALY loss per clinically significant exacerbation (paragraph 6.33, </w:t>
      </w:r>
      <w:proofErr w:type="spellStart"/>
      <w:r w:rsidRPr="00051281">
        <w:t>omalizumab</w:t>
      </w:r>
      <w:proofErr w:type="spellEnd"/>
      <w:r w:rsidRPr="00051281">
        <w:t xml:space="preserve"> PSD</w:t>
      </w:r>
      <w:r w:rsidR="00696ABE">
        <w:t>,</w:t>
      </w:r>
      <w:r w:rsidRPr="00051281">
        <w:t xml:space="preserve"> July 2016</w:t>
      </w:r>
      <w:r w:rsidR="00696ABE">
        <w:t xml:space="preserve"> PBAC Meeting</w:t>
      </w:r>
      <w:r w:rsidRPr="00051281">
        <w:t xml:space="preserve">). </w:t>
      </w:r>
      <w:r w:rsidR="00786768" w:rsidRPr="00051281">
        <w:t>T</w:t>
      </w:r>
      <w:r w:rsidRPr="00051281">
        <w:t>he comparison was not appropriate as the outcomes were not equivalent</w:t>
      </w:r>
      <w:r w:rsidR="005F0E24" w:rsidRPr="00051281">
        <w:t>.</w:t>
      </w:r>
      <w:r w:rsidR="00786768" w:rsidRPr="00051281">
        <w:t xml:space="preserve"> A comparative QALY value could not be calculated for tiotropium as tiotropium was dominated by placebo in terms of severe exacerbations in both trials.</w:t>
      </w:r>
    </w:p>
    <w:p w:rsidR="00761216" w:rsidRPr="00051281" w:rsidRDefault="00761216" w:rsidP="003841D3">
      <w:pPr>
        <w:pStyle w:val="ListParagraph"/>
        <w:widowControl/>
        <w:numPr>
          <w:ilvl w:val="1"/>
          <w:numId w:val="1"/>
        </w:numPr>
        <w:spacing w:after="120"/>
      </w:pPr>
      <w:r w:rsidRPr="00051281">
        <w:t xml:space="preserve">The results of the sensitivity analyses presented by the submission and conducted during the evaluation are presented in the table below. </w:t>
      </w:r>
    </w:p>
    <w:p w:rsidR="00761216" w:rsidRPr="00051281" w:rsidRDefault="00547304" w:rsidP="00761216">
      <w:pPr>
        <w:keepNext/>
        <w:keepLines/>
        <w:rPr>
          <w:rStyle w:val="CommentReference"/>
        </w:rPr>
      </w:pPr>
      <w:r w:rsidRPr="00051281">
        <w:rPr>
          <w:rStyle w:val="CommentReference"/>
        </w:rPr>
        <w:t>Table 1</w:t>
      </w:r>
      <w:r w:rsidR="006B43A6" w:rsidRPr="00051281">
        <w:rPr>
          <w:rStyle w:val="CommentReference"/>
        </w:rPr>
        <w:t>1</w:t>
      </w:r>
      <w:r w:rsidR="00761216" w:rsidRPr="00051281">
        <w:rPr>
          <w:rStyle w:val="CommentReference"/>
        </w:rPr>
        <w:t>:  Results of sensitivity analyses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0"/>
        <w:gridCol w:w="857"/>
        <w:gridCol w:w="1284"/>
        <w:gridCol w:w="1092"/>
      </w:tblGrid>
      <w:tr w:rsidR="00761216" w:rsidRPr="00051281" w:rsidTr="004574B9">
        <w:trPr>
          <w:cantSplit/>
          <w:trHeight w:val="420"/>
          <w:tblHeader/>
        </w:trPr>
        <w:tc>
          <w:tcPr>
            <w:tcW w:w="3220" w:type="pct"/>
            <w:tcMar>
              <w:left w:w="28" w:type="dxa"/>
              <w:right w:w="28" w:type="dxa"/>
            </w:tcMar>
          </w:tcPr>
          <w:p w:rsidR="00761216" w:rsidRPr="00051281" w:rsidRDefault="00761216" w:rsidP="00AD2E87">
            <w:pPr>
              <w:pStyle w:val="Tabletext"/>
              <w:keepNext/>
              <w:keepLines/>
              <w:rPr>
                <w:b/>
              </w:rPr>
            </w:pPr>
          </w:p>
        </w:tc>
        <w:tc>
          <w:tcPr>
            <w:tcW w:w="472" w:type="pct"/>
            <w:tcMar>
              <w:left w:w="28" w:type="dxa"/>
              <w:right w:w="28" w:type="dxa"/>
            </w:tcMar>
          </w:tcPr>
          <w:p w:rsidR="00761216" w:rsidRPr="00051281" w:rsidRDefault="00761216" w:rsidP="00EB569C">
            <w:pPr>
              <w:pStyle w:val="Tabletext"/>
              <w:keepNext/>
              <w:keepLines/>
              <w:rPr>
                <w:b/>
              </w:rPr>
            </w:pPr>
            <w:r w:rsidRPr="00051281">
              <w:rPr>
                <w:b/>
              </w:rPr>
              <w:t>∆ cost</w:t>
            </w:r>
          </w:p>
        </w:tc>
        <w:tc>
          <w:tcPr>
            <w:tcW w:w="707" w:type="pct"/>
            <w:tcMar>
              <w:left w:w="28" w:type="dxa"/>
              <w:right w:w="28" w:type="dxa"/>
            </w:tcMar>
          </w:tcPr>
          <w:p w:rsidR="00761216" w:rsidRPr="00051281" w:rsidRDefault="00761216" w:rsidP="00205A60">
            <w:pPr>
              <w:pStyle w:val="Tabletext"/>
              <w:keepNext/>
              <w:keepLines/>
              <w:rPr>
                <w:b/>
              </w:rPr>
            </w:pPr>
            <w:r w:rsidRPr="00051281">
              <w:rPr>
                <w:b/>
              </w:rPr>
              <w:t>∆ exacerbation</w:t>
            </w:r>
            <w:r w:rsidR="00205A60" w:rsidRPr="00051281">
              <w:rPr>
                <w:b/>
              </w:rPr>
              <w:t xml:space="preserve"> rate</w:t>
            </w:r>
          </w:p>
        </w:tc>
        <w:tc>
          <w:tcPr>
            <w:tcW w:w="601" w:type="pct"/>
            <w:tcMar>
              <w:left w:w="28" w:type="dxa"/>
              <w:right w:w="28" w:type="dxa"/>
            </w:tcMar>
          </w:tcPr>
          <w:p w:rsidR="00761216" w:rsidRPr="00051281" w:rsidRDefault="00761216" w:rsidP="00EB569C">
            <w:pPr>
              <w:pStyle w:val="Tabletext"/>
              <w:keepNext/>
              <w:keepLines/>
              <w:rPr>
                <w:b/>
              </w:rPr>
            </w:pPr>
            <w:r w:rsidRPr="00051281">
              <w:rPr>
                <w:b/>
              </w:rPr>
              <w:t>Cost per exacerbation avoided</w:t>
            </w:r>
          </w:p>
        </w:tc>
      </w:tr>
      <w:tr w:rsidR="00761216" w:rsidRPr="00051281" w:rsidTr="004574B9">
        <w:trPr>
          <w:cantSplit/>
          <w:trHeight w:val="217"/>
        </w:trPr>
        <w:tc>
          <w:tcPr>
            <w:tcW w:w="3220" w:type="pct"/>
            <w:tcMar>
              <w:left w:w="28" w:type="dxa"/>
              <w:right w:w="28" w:type="dxa"/>
            </w:tcMar>
          </w:tcPr>
          <w:p w:rsidR="00761216" w:rsidRPr="00051281" w:rsidRDefault="00761216" w:rsidP="00AD2E87">
            <w:pPr>
              <w:pStyle w:val="Tabletext"/>
              <w:keepNext/>
              <w:keepLines/>
              <w:rPr>
                <w:b/>
              </w:rPr>
            </w:pPr>
            <w:r w:rsidRPr="00051281">
              <w:rPr>
                <w:b/>
              </w:rPr>
              <w:t>Base case</w:t>
            </w:r>
          </w:p>
        </w:tc>
        <w:tc>
          <w:tcPr>
            <w:tcW w:w="472" w:type="pct"/>
            <w:tcMar>
              <w:left w:w="28" w:type="dxa"/>
              <w:right w:w="28" w:type="dxa"/>
            </w:tcMar>
          </w:tcPr>
          <w:p w:rsidR="00761216" w:rsidRPr="00051281" w:rsidRDefault="00761216" w:rsidP="00AD2E87">
            <w:pPr>
              <w:pStyle w:val="Tabletext"/>
              <w:keepNext/>
              <w:keepLines/>
              <w:rPr>
                <w:b/>
              </w:rPr>
            </w:pPr>
            <w:r w:rsidRPr="00051281">
              <w:rPr>
                <w:b/>
              </w:rPr>
              <w:t>$</w:t>
            </w:r>
            <w:r w:rsidR="002A17A3">
              <w:rPr>
                <w:b/>
                <w:noProof/>
                <w:color w:val="000000"/>
                <w:highlight w:val="black"/>
              </w:rPr>
              <w:t>'''''''</w:t>
            </w:r>
          </w:p>
        </w:tc>
        <w:tc>
          <w:tcPr>
            <w:tcW w:w="707" w:type="pct"/>
            <w:tcMar>
              <w:left w:w="28" w:type="dxa"/>
              <w:right w:w="28" w:type="dxa"/>
            </w:tcMar>
          </w:tcPr>
          <w:p w:rsidR="00761216" w:rsidRPr="002A17A3" w:rsidRDefault="002A17A3" w:rsidP="00AD2E87">
            <w:pPr>
              <w:pStyle w:val="Tabletext"/>
              <w:keepNext/>
              <w:keepLines/>
              <w:rPr>
                <w:b/>
                <w:highlight w:val="black"/>
              </w:rPr>
            </w:pPr>
            <w:r>
              <w:rPr>
                <w:b/>
                <w:noProof/>
                <w:color w:val="000000"/>
                <w:highlight w:val="black"/>
              </w:rPr>
              <w:t>''''''''''''</w:t>
            </w:r>
          </w:p>
        </w:tc>
        <w:tc>
          <w:tcPr>
            <w:tcW w:w="601" w:type="pct"/>
            <w:tcMar>
              <w:left w:w="28" w:type="dxa"/>
              <w:right w:w="28" w:type="dxa"/>
            </w:tcMar>
          </w:tcPr>
          <w:p w:rsidR="00761216" w:rsidRPr="00051281" w:rsidRDefault="00761216" w:rsidP="00AD2E87">
            <w:pPr>
              <w:pStyle w:val="Tabletext"/>
              <w:keepNext/>
              <w:keepLines/>
              <w:rPr>
                <w:b/>
              </w:rPr>
            </w:pPr>
            <w:r w:rsidRPr="00051281">
              <w:rPr>
                <w:b/>
              </w:rPr>
              <w:t>$</w:t>
            </w:r>
            <w:r w:rsidR="002A17A3">
              <w:rPr>
                <w:b/>
                <w:noProof/>
                <w:color w:val="000000"/>
                <w:highlight w:val="black"/>
              </w:rPr>
              <w:t>'''''''''''</w:t>
            </w:r>
          </w:p>
        </w:tc>
      </w:tr>
      <w:tr w:rsidR="00B95879" w:rsidRPr="00051281" w:rsidTr="004574B9">
        <w:trPr>
          <w:cantSplit/>
          <w:trHeight w:val="217"/>
        </w:trPr>
        <w:tc>
          <w:tcPr>
            <w:tcW w:w="5000" w:type="pct"/>
            <w:gridSpan w:val="4"/>
            <w:tcMar>
              <w:left w:w="28" w:type="dxa"/>
              <w:right w:w="28" w:type="dxa"/>
            </w:tcMar>
          </w:tcPr>
          <w:p w:rsidR="00B95879" w:rsidRPr="002A17A3" w:rsidRDefault="00B95879" w:rsidP="00AD2E87">
            <w:pPr>
              <w:pStyle w:val="Tabletext"/>
              <w:keepNext/>
              <w:keepLines/>
              <w:rPr>
                <w:b/>
              </w:rPr>
            </w:pPr>
            <w:r w:rsidRPr="00945AE9">
              <w:rPr>
                <w:b/>
              </w:rPr>
              <w:t xml:space="preserve">COST PER </w:t>
            </w:r>
            <w:r w:rsidR="00205A60" w:rsidRPr="00945AE9">
              <w:rPr>
                <w:b/>
              </w:rPr>
              <w:t xml:space="preserve">EXTRA </w:t>
            </w:r>
            <w:r w:rsidRPr="00945AE9">
              <w:rPr>
                <w:b/>
              </w:rPr>
              <w:t>SYMPTOMATIC EXACERBATION (non-severe and severe) AVOIDED</w:t>
            </w:r>
          </w:p>
        </w:tc>
      </w:tr>
      <w:tr w:rsidR="0074351A" w:rsidRPr="00051281" w:rsidTr="004574B9">
        <w:trPr>
          <w:cantSplit/>
          <w:trHeight w:val="217"/>
        </w:trPr>
        <w:tc>
          <w:tcPr>
            <w:tcW w:w="3220" w:type="pct"/>
            <w:tcMar>
              <w:left w:w="28" w:type="dxa"/>
              <w:right w:w="28" w:type="dxa"/>
            </w:tcMar>
          </w:tcPr>
          <w:p w:rsidR="0074351A" w:rsidRPr="00051281" w:rsidRDefault="0074351A" w:rsidP="0074351A">
            <w:pPr>
              <w:pStyle w:val="Tabletext"/>
              <w:keepNext/>
              <w:keepLines/>
            </w:pPr>
            <w:r w:rsidRPr="00051281">
              <w:t>Children aged 6-11 years (trial 205.446)</w:t>
            </w:r>
          </w:p>
        </w:tc>
        <w:tc>
          <w:tcPr>
            <w:tcW w:w="472" w:type="pct"/>
            <w:tcMar>
              <w:left w:w="28" w:type="dxa"/>
              <w:right w:w="28" w:type="dxa"/>
            </w:tcMar>
          </w:tcPr>
          <w:p w:rsidR="0074351A" w:rsidRPr="00051281" w:rsidRDefault="0074351A" w:rsidP="00B95879">
            <w:pPr>
              <w:pStyle w:val="Tabletext"/>
              <w:keepNext/>
              <w:keepLines/>
            </w:pPr>
            <w:r w:rsidRPr="00051281">
              <w:t>$</w:t>
            </w:r>
            <w:r w:rsidR="002A17A3">
              <w:rPr>
                <w:noProof/>
                <w:color w:val="000000"/>
                <w:highlight w:val="black"/>
              </w:rPr>
              <w:t>'''''''''</w:t>
            </w:r>
          </w:p>
        </w:tc>
        <w:tc>
          <w:tcPr>
            <w:tcW w:w="707" w:type="pct"/>
            <w:tcMar>
              <w:left w:w="28" w:type="dxa"/>
              <w:right w:w="28" w:type="dxa"/>
            </w:tcMar>
          </w:tcPr>
          <w:p w:rsidR="0074351A" w:rsidRPr="002A17A3" w:rsidRDefault="002A17A3" w:rsidP="00B95879">
            <w:pPr>
              <w:pStyle w:val="Tabletext"/>
              <w:keepNext/>
              <w:keepLines/>
              <w:rPr>
                <w:highlight w:val="black"/>
              </w:rPr>
            </w:pPr>
            <w:r>
              <w:rPr>
                <w:noProof/>
                <w:color w:val="000000"/>
                <w:highlight w:val="black"/>
              </w:rPr>
              <w:t>''''''''''''''''</w:t>
            </w:r>
          </w:p>
        </w:tc>
        <w:tc>
          <w:tcPr>
            <w:tcW w:w="601" w:type="pct"/>
            <w:tcMar>
              <w:left w:w="28" w:type="dxa"/>
              <w:right w:w="28" w:type="dxa"/>
            </w:tcMar>
          </w:tcPr>
          <w:p w:rsidR="0074351A" w:rsidRPr="00051281" w:rsidRDefault="0074351A" w:rsidP="00B95879">
            <w:pPr>
              <w:pStyle w:val="Tabletext"/>
              <w:keepNext/>
              <w:keepLines/>
            </w:pPr>
            <w:r w:rsidRPr="00051281">
              <w:t>$</w:t>
            </w:r>
            <w:r w:rsidR="002A17A3">
              <w:rPr>
                <w:noProof/>
                <w:color w:val="000000"/>
                <w:highlight w:val="black"/>
              </w:rPr>
              <w:t>'''''''''</w:t>
            </w:r>
          </w:p>
        </w:tc>
      </w:tr>
      <w:tr w:rsidR="0074351A" w:rsidRPr="00051281" w:rsidTr="004574B9">
        <w:trPr>
          <w:cantSplit/>
          <w:trHeight w:val="217"/>
        </w:trPr>
        <w:tc>
          <w:tcPr>
            <w:tcW w:w="3220" w:type="pct"/>
            <w:tcMar>
              <w:left w:w="28" w:type="dxa"/>
              <w:right w:w="28" w:type="dxa"/>
            </w:tcMar>
          </w:tcPr>
          <w:p w:rsidR="0074351A" w:rsidRPr="00051281" w:rsidRDefault="0074351A" w:rsidP="00B95879">
            <w:pPr>
              <w:pStyle w:val="Tabletext"/>
              <w:keepNext/>
              <w:keepLines/>
            </w:pPr>
            <w:r w:rsidRPr="00051281">
              <w:t xml:space="preserve">Children aged 12-17 years (trial 205.456) </w:t>
            </w:r>
          </w:p>
        </w:tc>
        <w:tc>
          <w:tcPr>
            <w:tcW w:w="472" w:type="pct"/>
            <w:tcMar>
              <w:left w:w="28" w:type="dxa"/>
              <w:right w:w="28" w:type="dxa"/>
            </w:tcMar>
          </w:tcPr>
          <w:p w:rsidR="0074351A" w:rsidRPr="00051281" w:rsidRDefault="0074351A" w:rsidP="00B95879">
            <w:pPr>
              <w:pStyle w:val="Tabletext"/>
              <w:keepNext/>
              <w:keepLines/>
            </w:pPr>
            <w:r w:rsidRPr="00051281">
              <w:t>$</w:t>
            </w:r>
            <w:r w:rsidR="002A17A3">
              <w:rPr>
                <w:noProof/>
                <w:color w:val="000000"/>
                <w:highlight w:val="black"/>
              </w:rPr>
              <w:t>'''''''''</w:t>
            </w:r>
          </w:p>
        </w:tc>
        <w:tc>
          <w:tcPr>
            <w:tcW w:w="707" w:type="pct"/>
            <w:tcMar>
              <w:left w:w="28" w:type="dxa"/>
              <w:right w:w="28" w:type="dxa"/>
            </w:tcMar>
          </w:tcPr>
          <w:p w:rsidR="0074351A" w:rsidRPr="002A17A3" w:rsidRDefault="002A17A3" w:rsidP="00B95879">
            <w:pPr>
              <w:pStyle w:val="Tabletext"/>
              <w:keepNext/>
              <w:keepLines/>
              <w:rPr>
                <w:highlight w:val="black"/>
              </w:rPr>
            </w:pPr>
            <w:r>
              <w:rPr>
                <w:noProof/>
                <w:color w:val="000000"/>
                <w:highlight w:val="black"/>
              </w:rPr>
              <w:t>'''''''''''''''</w:t>
            </w:r>
          </w:p>
        </w:tc>
        <w:tc>
          <w:tcPr>
            <w:tcW w:w="601" w:type="pct"/>
            <w:tcMar>
              <w:left w:w="28" w:type="dxa"/>
              <w:right w:w="28" w:type="dxa"/>
            </w:tcMar>
          </w:tcPr>
          <w:p w:rsidR="0074351A" w:rsidRPr="00051281" w:rsidRDefault="0074351A" w:rsidP="00B95879">
            <w:pPr>
              <w:pStyle w:val="Tabletext"/>
              <w:keepNext/>
              <w:keepLines/>
            </w:pPr>
            <w:r w:rsidRPr="00051281">
              <w:t>$</w:t>
            </w:r>
            <w:r w:rsidR="002A17A3">
              <w:rPr>
                <w:noProof/>
                <w:color w:val="000000"/>
                <w:highlight w:val="black"/>
              </w:rPr>
              <w:t>''''''''''''</w:t>
            </w:r>
          </w:p>
        </w:tc>
      </w:tr>
      <w:tr w:rsidR="00B95879" w:rsidRPr="00051281" w:rsidTr="004574B9">
        <w:trPr>
          <w:cantSplit/>
          <w:trHeight w:val="217"/>
        </w:trPr>
        <w:tc>
          <w:tcPr>
            <w:tcW w:w="3220" w:type="pct"/>
            <w:tcMar>
              <w:left w:w="28" w:type="dxa"/>
              <w:right w:w="28" w:type="dxa"/>
            </w:tcMar>
          </w:tcPr>
          <w:p w:rsidR="00B95879" w:rsidRPr="00051281" w:rsidRDefault="00B95879" w:rsidP="00B95879">
            <w:pPr>
              <w:pStyle w:val="Tabletext"/>
              <w:keepNext/>
              <w:keepLines/>
            </w:pPr>
            <w:r w:rsidRPr="00051281">
              <w:t>Severe exacerbation rate (base case: tio</w:t>
            </w:r>
            <w:r w:rsidR="00B87D50" w:rsidRPr="00051281">
              <w:t>tropium</w:t>
            </w:r>
            <w:r w:rsidRPr="00051281">
              <w:t xml:space="preserve"> = </w:t>
            </w:r>
            <w:r w:rsidR="002A17A3">
              <w:rPr>
                <w:noProof/>
                <w:color w:val="000000"/>
                <w:highlight w:val="black"/>
              </w:rPr>
              <w:t>'''''''''''''</w:t>
            </w:r>
            <w:r w:rsidRPr="00051281">
              <w:t xml:space="preserve">; placebo = </w:t>
            </w:r>
            <w:r w:rsidR="002A17A3">
              <w:rPr>
                <w:noProof/>
                <w:color w:val="000000"/>
                <w:highlight w:val="black"/>
              </w:rPr>
              <w:t>''''''''''''''</w:t>
            </w:r>
            <w:r w:rsidRPr="00051281">
              <w:t>)</w:t>
            </w:r>
          </w:p>
          <w:p w:rsidR="00B95879" w:rsidRPr="00051281" w:rsidRDefault="00B95879" w:rsidP="00B95879">
            <w:pPr>
              <w:pStyle w:val="Tabletext"/>
              <w:keepNext/>
              <w:keepLines/>
              <w:ind w:firstLine="171"/>
            </w:pPr>
            <w:r w:rsidRPr="00051281">
              <w:t>Rate from 205.446 (tio</w:t>
            </w:r>
            <w:r w:rsidR="00B87D50" w:rsidRPr="00051281">
              <w:t>tropium</w:t>
            </w:r>
            <w:r w:rsidRPr="00051281">
              <w:t xml:space="preserve"> = </w:t>
            </w:r>
            <w:r w:rsidR="002A17A3">
              <w:rPr>
                <w:noProof/>
                <w:color w:val="000000"/>
                <w:highlight w:val="black"/>
              </w:rPr>
              <w:t>'''''''''''''''</w:t>
            </w:r>
            <w:r w:rsidRPr="00051281">
              <w:t xml:space="preserve">; placebo = </w:t>
            </w:r>
            <w:r w:rsidR="002A17A3">
              <w:rPr>
                <w:noProof/>
                <w:color w:val="000000"/>
                <w:highlight w:val="black"/>
              </w:rPr>
              <w:t>'''''''''''''</w:t>
            </w:r>
            <w:r w:rsidRPr="00051281">
              <w:t>)</w:t>
            </w:r>
          </w:p>
          <w:p w:rsidR="00B95879" w:rsidRPr="00051281" w:rsidRDefault="00B95879" w:rsidP="00B95879">
            <w:pPr>
              <w:pStyle w:val="Tabletext"/>
              <w:keepNext/>
              <w:keepLines/>
              <w:ind w:firstLine="171"/>
            </w:pPr>
            <w:r w:rsidRPr="00051281">
              <w:t>Rate from 205.456 (tio</w:t>
            </w:r>
            <w:r w:rsidR="00B87D50" w:rsidRPr="00051281">
              <w:t>tropium</w:t>
            </w:r>
            <w:r w:rsidRPr="00051281">
              <w:t xml:space="preserve"> = </w:t>
            </w:r>
            <w:r w:rsidR="002A17A3">
              <w:rPr>
                <w:noProof/>
                <w:color w:val="000000"/>
                <w:highlight w:val="black"/>
              </w:rPr>
              <w:t>''''''''''''''</w:t>
            </w:r>
            <w:r w:rsidRPr="00051281">
              <w:t xml:space="preserve">; placebo = </w:t>
            </w:r>
            <w:r w:rsidR="002A17A3">
              <w:rPr>
                <w:noProof/>
                <w:color w:val="000000"/>
                <w:highlight w:val="black"/>
              </w:rPr>
              <w:t>''''''''''''</w:t>
            </w:r>
            <w:r w:rsidRPr="00051281">
              <w:t>)</w:t>
            </w:r>
          </w:p>
        </w:tc>
        <w:tc>
          <w:tcPr>
            <w:tcW w:w="472" w:type="pct"/>
            <w:tcMar>
              <w:left w:w="28" w:type="dxa"/>
              <w:right w:w="28" w:type="dxa"/>
            </w:tcMar>
          </w:tcPr>
          <w:p w:rsidR="00B95879" w:rsidRPr="00051281" w:rsidRDefault="00B95879" w:rsidP="00B95879">
            <w:pPr>
              <w:pStyle w:val="Tabletext"/>
              <w:keepNext/>
              <w:keepLines/>
            </w:pPr>
          </w:p>
          <w:p w:rsidR="00B95879" w:rsidRPr="002A17A3" w:rsidRDefault="00B95879" w:rsidP="00B95879">
            <w:pPr>
              <w:pStyle w:val="Tabletext"/>
              <w:keepNext/>
              <w:keepLines/>
            </w:pPr>
            <w:r w:rsidRPr="00051281">
              <w:t>$</w:t>
            </w:r>
            <w:r w:rsidR="002A17A3">
              <w:rPr>
                <w:noProof/>
                <w:color w:val="000000"/>
                <w:highlight w:val="black"/>
              </w:rPr>
              <w:t>'''''''''</w:t>
            </w:r>
          </w:p>
          <w:p w:rsidR="00B95879" w:rsidRPr="00051281" w:rsidRDefault="00B95879" w:rsidP="00B95879">
            <w:pPr>
              <w:pStyle w:val="Tabletext"/>
              <w:keepNext/>
              <w:keepLines/>
              <w:rPr>
                <w:b/>
              </w:rPr>
            </w:pPr>
            <w:r w:rsidRPr="00051281">
              <w:t>$</w:t>
            </w:r>
            <w:r w:rsidR="002A17A3">
              <w:rPr>
                <w:noProof/>
                <w:color w:val="000000"/>
                <w:highlight w:val="black"/>
              </w:rPr>
              <w:t>''''''''''</w:t>
            </w:r>
          </w:p>
        </w:tc>
        <w:tc>
          <w:tcPr>
            <w:tcW w:w="707" w:type="pct"/>
            <w:tcMar>
              <w:left w:w="28" w:type="dxa"/>
              <w:right w:w="28" w:type="dxa"/>
            </w:tcMar>
          </w:tcPr>
          <w:p w:rsidR="00B95879" w:rsidRPr="002A17A3" w:rsidRDefault="00B95879" w:rsidP="00B95879">
            <w:pPr>
              <w:pStyle w:val="Tabletext"/>
              <w:keepNext/>
              <w:keepLines/>
            </w:pPr>
          </w:p>
          <w:p w:rsidR="00B95879" w:rsidRPr="002A17A3" w:rsidRDefault="002A17A3" w:rsidP="00B95879">
            <w:pPr>
              <w:pStyle w:val="Tabletext"/>
              <w:keepNext/>
              <w:keepLines/>
              <w:rPr>
                <w:highlight w:val="black"/>
              </w:rPr>
            </w:pPr>
            <w:r>
              <w:rPr>
                <w:noProof/>
                <w:color w:val="000000"/>
                <w:highlight w:val="black"/>
              </w:rPr>
              <w:t>''''''''''''''''</w:t>
            </w:r>
          </w:p>
          <w:p w:rsidR="00B95879" w:rsidRPr="002A17A3" w:rsidRDefault="002A17A3" w:rsidP="00B95879">
            <w:pPr>
              <w:pStyle w:val="Tabletext"/>
              <w:keepNext/>
              <w:keepLines/>
              <w:rPr>
                <w:b/>
                <w:highlight w:val="black"/>
              </w:rPr>
            </w:pPr>
            <w:r>
              <w:rPr>
                <w:noProof/>
                <w:color w:val="000000"/>
                <w:highlight w:val="black"/>
              </w:rPr>
              <w:t>''''''''''''''''</w:t>
            </w:r>
          </w:p>
        </w:tc>
        <w:tc>
          <w:tcPr>
            <w:tcW w:w="601" w:type="pct"/>
            <w:tcMar>
              <w:left w:w="28" w:type="dxa"/>
              <w:right w:w="28" w:type="dxa"/>
            </w:tcMar>
          </w:tcPr>
          <w:p w:rsidR="00B95879" w:rsidRPr="00051281" w:rsidRDefault="00B95879" w:rsidP="00B95879">
            <w:pPr>
              <w:pStyle w:val="Tabletext"/>
              <w:keepNext/>
              <w:keepLines/>
            </w:pPr>
          </w:p>
          <w:p w:rsidR="00B95879" w:rsidRPr="00051281" w:rsidRDefault="00B95879" w:rsidP="00B95879">
            <w:pPr>
              <w:pStyle w:val="Tabletext"/>
              <w:keepNext/>
              <w:keepLines/>
            </w:pPr>
            <w:r w:rsidRPr="00051281">
              <w:t>$</w:t>
            </w:r>
            <w:r w:rsidR="002A17A3">
              <w:rPr>
                <w:noProof/>
                <w:color w:val="000000"/>
                <w:highlight w:val="black"/>
              </w:rPr>
              <w:t>''''''''''''''</w:t>
            </w:r>
          </w:p>
          <w:p w:rsidR="00B95879" w:rsidRPr="00051281" w:rsidRDefault="00B95879" w:rsidP="00205A60">
            <w:pPr>
              <w:pStyle w:val="Tabletext"/>
              <w:keepNext/>
              <w:keepLines/>
              <w:rPr>
                <w:b/>
              </w:rPr>
            </w:pPr>
            <w:r w:rsidRPr="00051281">
              <w:t>$</w:t>
            </w:r>
            <w:r w:rsidR="002A17A3">
              <w:rPr>
                <w:noProof/>
                <w:color w:val="000000"/>
                <w:highlight w:val="black"/>
              </w:rPr>
              <w:t>'''''''''''''</w:t>
            </w:r>
          </w:p>
        </w:tc>
      </w:tr>
      <w:tr w:rsidR="00B95879" w:rsidRPr="00051281" w:rsidTr="004574B9">
        <w:trPr>
          <w:cantSplit/>
          <w:trHeight w:val="217"/>
        </w:trPr>
        <w:tc>
          <w:tcPr>
            <w:tcW w:w="3220" w:type="pct"/>
            <w:tcMar>
              <w:left w:w="28" w:type="dxa"/>
              <w:right w:w="28" w:type="dxa"/>
            </w:tcMar>
          </w:tcPr>
          <w:p w:rsidR="00B95879" w:rsidRPr="00051281" w:rsidRDefault="00B95879" w:rsidP="00B95879">
            <w:pPr>
              <w:pStyle w:val="Tabletext"/>
              <w:keepNext/>
              <w:keepLines/>
            </w:pPr>
            <w:r w:rsidRPr="00051281">
              <w:t>Non-severe exacerbation rate (base case</w:t>
            </w:r>
            <w:r w:rsidR="00B87D50" w:rsidRPr="00051281">
              <w:t>:</w:t>
            </w:r>
            <w:r w:rsidRPr="00051281">
              <w:t xml:space="preserve"> tio</w:t>
            </w:r>
            <w:r w:rsidR="00B87D50" w:rsidRPr="00051281">
              <w:t>tropium</w:t>
            </w:r>
            <w:r w:rsidRPr="00051281">
              <w:t xml:space="preserve"> = </w:t>
            </w:r>
            <w:r w:rsidR="002A17A3">
              <w:rPr>
                <w:noProof/>
                <w:color w:val="000000"/>
                <w:highlight w:val="black"/>
              </w:rPr>
              <w:t>'''''''''''''</w:t>
            </w:r>
            <w:r w:rsidRPr="00051281">
              <w:t xml:space="preserve">; placebo = </w:t>
            </w:r>
            <w:r w:rsidR="002A17A3">
              <w:rPr>
                <w:noProof/>
                <w:color w:val="000000"/>
                <w:highlight w:val="black"/>
              </w:rPr>
              <w:t>''''''''''''''</w:t>
            </w:r>
            <w:r w:rsidRPr="00051281">
              <w:t xml:space="preserve">)  </w:t>
            </w:r>
          </w:p>
          <w:p w:rsidR="00B95879" w:rsidRPr="00051281" w:rsidRDefault="00B95879" w:rsidP="00B95879">
            <w:pPr>
              <w:pStyle w:val="Tabletext"/>
              <w:keepNext/>
              <w:keepLines/>
              <w:ind w:firstLine="171"/>
            </w:pPr>
            <w:r w:rsidRPr="00051281">
              <w:t>Rate from 205.446 (tio</w:t>
            </w:r>
            <w:r w:rsidR="00B87D50" w:rsidRPr="00051281">
              <w:t>tropium</w:t>
            </w:r>
            <w:r w:rsidRPr="00051281">
              <w:t xml:space="preserve"> = </w:t>
            </w:r>
            <w:r w:rsidR="002A17A3">
              <w:rPr>
                <w:noProof/>
                <w:color w:val="000000"/>
                <w:highlight w:val="black"/>
              </w:rPr>
              <w:t>''''''''''''''</w:t>
            </w:r>
            <w:r w:rsidRPr="00051281">
              <w:t xml:space="preserve">; placebo = </w:t>
            </w:r>
            <w:r w:rsidR="002A17A3">
              <w:rPr>
                <w:noProof/>
                <w:color w:val="000000"/>
                <w:highlight w:val="black"/>
              </w:rPr>
              <w:t>'''''''''''''''</w:t>
            </w:r>
            <w:r w:rsidRPr="00051281">
              <w:t>)</w:t>
            </w:r>
          </w:p>
          <w:p w:rsidR="00B95879" w:rsidRPr="00051281" w:rsidRDefault="00B95879" w:rsidP="00B95879">
            <w:pPr>
              <w:pStyle w:val="Tabletext"/>
              <w:keepNext/>
              <w:keepLines/>
              <w:ind w:firstLine="171"/>
            </w:pPr>
            <w:r w:rsidRPr="00051281">
              <w:t>Rate from 205.456 (tio</w:t>
            </w:r>
            <w:r w:rsidR="00B87D50" w:rsidRPr="00051281">
              <w:t>tropium</w:t>
            </w:r>
            <w:r w:rsidRPr="00051281">
              <w:t xml:space="preserve"> = </w:t>
            </w:r>
            <w:r w:rsidR="002A17A3">
              <w:rPr>
                <w:noProof/>
                <w:color w:val="000000"/>
                <w:highlight w:val="black"/>
              </w:rPr>
              <w:t>'''''''''''''</w:t>
            </w:r>
            <w:r w:rsidRPr="00051281">
              <w:t xml:space="preserve">; placebo = </w:t>
            </w:r>
            <w:r w:rsidR="002A17A3">
              <w:rPr>
                <w:noProof/>
                <w:color w:val="000000"/>
                <w:highlight w:val="black"/>
              </w:rPr>
              <w:t>''''''''''''''</w:t>
            </w:r>
            <w:r w:rsidRPr="00051281">
              <w:t>)</w:t>
            </w:r>
          </w:p>
        </w:tc>
        <w:tc>
          <w:tcPr>
            <w:tcW w:w="472" w:type="pct"/>
            <w:tcMar>
              <w:left w:w="28" w:type="dxa"/>
              <w:right w:w="28" w:type="dxa"/>
            </w:tcMar>
          </w:tcPr>
          <w:p w:rsidR="00B87D50" w:rsidRPr="00051281" w:rsidRDefault="00B87D50" w:rsidP="00B95879">
            <w:pPr>
              <w:pStyle w:val="Tabletext"/>
              <w:keepNext/>
              <w:keepLines/>
            </w:pPr>
          </w:p>
          <w:p w:rsidR="00B95879" w:rsidRPr="00051281" w:rsidRDefault="00B95879" w:rsidP="00B95879">
            <w:pPr>
              <w:pStyle w:val="Tabletext"/>
              <w:keepNext/>
              <w:keepLines/>
            </w:pPr>
            <w:r w:rsidRPr="00051281">
              <w:t>$</w:t>
            </w:r>
            <w:r w:rsidR="002A17A3">
              <w:rPr>
                <w:noProof/>
                <w:color w:val="000000"/>
                <w:highlight w:val="black"/>
              </w:rPr>
              <w:t>'''''''''</w:t>
            </w:r>
          </w:p>
          <w:p w:rsidR="00B95879" w:rsidRPr="00051281" w:rsidRDefault="00B95879" w:rsidP="00B95879">
            <w:pPr>
              <w:pStyle w:val="Tabletext"/>
              <w:keepNext/>
              <w:keepLines/>
              <w:rPr>
                <w:b/>
              </w:rPr>
            </w:pPr>
            <w:r w:rsidRPr="00051281">
              <w:t>$</w:t>
            </w:r>
            <w:r w:rsidR="002A17A3">
              <w:rPr>
                <w:noProof/>
                <w:color w:val="000000"/>
                <w:highlight w:val="black"/>
              </w:rPr>
              <w:t>'''''''''</w:t>
            </w:r>
          </w:p>
        </w:tc>
        <w:tc>
          <w:tcPr>
            <w:tcW w:w="707" w:type="pct"/>
            <w:tcMar>
              <w:left w:w="28" w:type="dxa"/>
              <w:right w:w="28" w:type="dxa"/>
            </w:tcMar>
          </w:tcPr>
          <w:p w:rsidR="00B95879" w:rsidRPr="002A17A3" w:rsidRDefault="00B95879" w:rsidP="00B95879">
            <w:pPr>
              <w:pStyle w:val="Tabletext"/>
              <w:keepNext/>
              <w:keepLines/>
            </w:pPr>
          </w:p>
          <w:p w:rsidR="00B95879" w:rsidRPr="002A17A3" w:rsidRDefault="002A17A3" w:rsidP="00B95879">
            <w:pPr>
              <w:pStyle w:val="Tabletext"/>
              <w:keepNext/>
              <w:keepLines/>
              <w:rPr>
                <w:highlight w:val="black"/>
              </w:rPr>
            </w:pPr>
            <w:r>
              <w:rPr>
                <w:noProof/>
                <w:color w:val="000000"/>
                <w:highlight w:val="black"/>
              </w:rPr>
              <w:t>''''''''''''''''</w:t>
            </w:r>
          </w:p>
          <w:p w:rsidR="00B95879" w:rsidRPr="002A17A3" w:rsidRDefault="002A17A3" w:rsidP="00B95879">
            <w:pPr>
              <w:pStyle w:val="Tabletext"/>
              <w:keepNext/>
              <w:keepLines/>
              <w:rPr>
                <w:b/>
                <w:highlight w:val="black"/>
              </w:rPr>
            </w:pPr>
            <w:r>
              <w:rPr>
                <w:noProof/>
                <w:color w:val="000000"/>
                <w:highlight w:val="black"/>
              </w:rPr>
              <w:t>''''''''''''''''</w:t>
            </w:r>
          </w:p>
        </w:tc>
        <w:tc>
          <w:tcPr>
            <w:tcW w:w="601" w:type="pct"/>
            <w:tcMar>
              <w:left w:w="28" w:type="dxa"/>
              <w:right w:w="28" w:type="dxa"/>
            </w:tcMar>
          </w:tcPr>
          <w:p w:rsidR="00B95879" w:rsidRPr="00051281" w:rsidRDefault="00B95879" w:rsidP="00B95879">
            <w:pPr>
              <w:pStyle w:val="Tabletext"/>
              <w:keepNext/>
              <w:keepLines/>
            </w:pPr>
          </w:p>
          <w:p w:rsidR="00B95879" w:rsidRPr="00051281" w:rsidRDefault="00B95879" w:rsidP="00B95879">
            <w:pPr>
              <w:pStyle w:val="Tabletext"/>
              <w:keepNext/>
              <w:keepLines/>
            </w:pPr>
            <w:r w:rsidRPr="00051281">
              <w:t>$</w:t>
            </w:r>
            <w:r w:rsidR="002A17A3">
              <w:rPr>
                <w:noProof/>
                <w:color w:val="000000"/>
                <w:highlight w:val="black"/>
              </w:rPr>
              <w:t>'''''''''</w:t>
            </w:r>
          </w:p>
          <w:p w:rsidR="00B95879" w:rsidRPr="00051281" w:rsidRDefault="00B95879" w:rsidP="00B95879">
            <w:pPr>
              <w:pStyle w:val="Tabletext"/>
              <w:keepNext/>
              <w:keepLines/>
              <w:rPr>
                <w:b/>
              </w:rPr>
            </w:pPr>
            <w:r w:rsidRPr="00051281">
              <w:t>$</w:t>
            </w:r>
            <w:r w:rsidR="002A17A3">
              <w:rPr>
                <w:noProof/>
                <w:color w:val="000000"/>
                <w:highlight w:val="black"/>
              </w:rPr>
              <w:t>'''''''''''''</w:t>
            </w:r>
          </w:p>
        </w:tc>
      </w:tr>
      <w:tr w:rsidR="00B95879" w:rsidRPr="00051281" w:rsidTr="004574B9">
        <w:trPr>
          <w:cantSplit/>
          <w:trHeight w:val="217"/>
        </w:trPr>
        <w:tc>
          <w:tcPr>
            <w:tcW w:w="5000" w:type="pct"/>
            <w:gridSpan w:val="4"/>
            <w:tcMar>
              <w:left w:w="28" w:type="dxa"/>
              <w:right w:w="28" w:type="dxa"/>
            </w:tcMar>
          </w:tcPr>
          <w:p w:rsidR="00B95879" w:rsidRPr="002A17A3" w:rsidRDefault="00B95879" w:rsidP="0092180E">
            <w:pPr>
              <w:pStyle w:val="Tabletext"/>
              <w:keepNext/>
              <w:keepLines/>
            </w:pPr>
            <w:r w:rsidRPr="00945AE9">
              <w:rPr>
                <w:b/>
              </w:rPr>
              <w:t xml:space="preserve">COST PER </w:t>
            </w:r>
            <w:r w:rsidR="00205A60" w:rsidRPr="00945AE9">
              <w:rPr>
                <w:b/>
              </w:rPr>
              <w:t xml:space="preserve">EXTRA </w:t>
            </w:r>
            <w:r w:rsidRPr="00945AE9">
              <w:rPr>
                <w:b/>
              </w:rPr>
              <w:t xml:space="preserve">SEVERE SYMPTOMATIC EXACERBATION AVOIDED </w:t>
            </w:r>
          </w:p>
        </w:tc>
      </w:tr>
      <w:tr w:rsidR="00761216" w:rsidRPr="00051281" w:rsidTr="004574B9">
        <w:trPr>
          <w:cantSplit/>
          <w:trHeight w:val="20"/>
        </w:trPr>
        <w:tc>
          <w:tcPr>
            <w:tcW w:w="3220" w:type="pct"/>
            <w:tcMar>
              <w:left w:w="28" w:type="dxa"/>
              <w:right w:w="28" w:type="dxa"/>
            </w:tcMar>
          </w:tcPr>
          <w:p w:rsidR="000B32FC" w:rsidRPr="00051281" w:rsidRDefault="00B95879" w:rsidP="00E82EFA">
            <w:pPr>
              <w:pStyle w:val="Tabletext"/>
              <w:keepNext/>
              <w:keepLines/>
              <w:rPr>
                <w:b/>
              </w:rPr>
            </w:pPr>
            <w:r w:rsidRPr="00051281">
              <w:rPr>
                <w:b/>
              </w:rPr>
              <w:t>Base-case</w:t>
            </w:r>
            <w:r w:rsidR="0074351A" w:rsidRPr="00051281">
              <w:rPr>
                <w:b/>
              </w:rPr>
              <w:t>:</w:t>
            </w:r>
            <w:r w:rsidRPr="00051281">
              <w:rPr>
                <w:b/>
              </w:rPr>
              <w:t xml:space="preserve"> </w:t>
            </w:r>
            <w:r w:rsidR="0074351A" w:rsidRPr="00051281">
              <w:rPr>
                <w:b/>
              </w:rPr>
              <w:t>children aged 6-17 years</w:t>
            </w:r>
          </w:p>
          <w:p w:rsidR="00F13E03" w:rsidRPr="00051281" w:rsidRDefault="0074351A" w:rsidP="00F13E03">
            <w:pPr>
              <w:pStyle w:val="Tabletext"/>
              <w:keepNext/>
              <w:keepLines/>
              <w:ind w:firstLine="171"/>
            </w:pPr>
            <w:r w:rsidRPr="00051281">
              <w:t>Children aged 6-11 years (trial 205.446)</w:t>
            </w:r>
          </w:p>
          <w:p w:rsidR="0074351A" w:rsidRPr="00051281" w:rsidRDefault="0074351A" w:rsidP="00F13E03">
            <w:pPr>
              <w:pStyle w:val="Tabletext"/>
              <w:keepNext/>
              <w:keepLines/>
              <w:ind w:firstLine="171"/>
            </w:pPr>
            <w:r w:rsidRPr="00051281">
              <w:t>Children aged 12-17 years (trial 205.456)</w:t>
            </w:r>
          </w:p>
        </w:tc>
        <w:tc>
          <w:tcPr>
            <w:tcW w:w="472" w:type="pct"/>
            <w:tcMar>
              <w:left w:w="28" w:type="dxa"/>
              <w:right w:w="28" w:type="dxa"/>
            </w:tcMar>
          </w:tcPr>
          <w:p w:rsidR="00761216" w:rsidRPr="00051281" w:rsidRDefault="00B95879" w:rsidP="00AD2E87">
            <w:pPr>
              <w:pStyle w:val="Tabletext"/>
              <w:keepNext/>
              <w:keepLines/>
              <w:rPr>
                <w:b/>
              </w:rPr>
            </w:pPr>
            <w:r w:rsidRPr="00051281">
              <w:rPr>
                <w:b/>
              </w:rPr>
              <w:t>$</w:t>
            </w:r>
            <w:r w:rsidR="002A17A3">
              <w:rPr>
                <w:b/>
                <w:noProof/>
                <w:color w:val="000000"/>
                <w:highlight w:val="black"/>
              </w:rPr>
              <w:t>''''''''</w:t>
            </w:r>
          </w:p>
          <w:p w:rsidR="00B95879" w:rsidRPr="002A17A3" w:rsidRDefault="00B95879" w:rsidP="00AD2E87">
            <w:pPr>
              <w:pStyle w:val="Tabletext"/>
              <w:keepNext/>
              <w:keepLines/>
            </w:pPr>
            <w:r w:rsidRPr="00051281">
              <w:t>$</w:t>
            </w:r>
            <w:r w:rsidR="002A17A3">
              <w:rPr>
                <w:noProof/>
                <w:color w:val="000000"/>
                <w:highlight w:val="black"/>
              </w:rPr>
              <w:t>'''''''''</w:t>
            </w:r>
          </w:p>
          <w:p w:rsidR="00B95879" w:rsidRPr="00051281" w:rsidRDefault="00B95879" w:rsidP="00AD2E87">
            <w:pPr>
              <w:pStyle w:val="Tabletext"/>
              <w:keepNext/>
              <w:keepLines/>
            </w:pPr>
            <w:r w:rsidRPr="00051281">
              <w:t>$</w:t>
            </w:r>
            <w:r w:rsidR="002A17A3">
              <w:rPr>
                <w:noProof/>
                <w:color w:val="000000"/>
                <w:highlight w:val="black"/>
              </w:rPr>
              <w:t>'''''''''</w:t>
            </w:r>
          </w:p>
        </w:tc>
        <w:tc>
          <w:tcPr>
            <w:tcW w:w="707" w:type="pct"/>
            <w:tcMar>
              <w:left w:w="28" w:type="dxa"/>
              <w:right w:w="28" w:type="dxa"/>
            </w:tcMar>
          </w:tcPr>
          <w:p w:rsidR="00B95879" w:rsidRPr="002A17A3" w:rsidRDefault="002A17A3" w:rsidP="00F13E03">
            <w:pPr>
              <w:pStyle w:val="Tabletext"/>
              <w:keepNext/>
              <w:keepLines/>
              <w:rPr>
                <w:b/>
                <w:highlight w:val="black"/>
              </w:rPr>
            </w:pPr>
            <w:r>
              <w:rPr>
                <w:b/>
                <w:noProof/>
                <w:color w:val="000000"/>
                <w:highlight w:val="black"/>
              </w:rPr>
              <w:t>''''''''''</w:t>
            </w:r>
          </w:p>
          <w:p w:rsidR="00761216" w:rsidRPr="002A17A3" w:rsidRDefault="002A17A3" w:rsidP="00B95879">
            <w:pPr>
              <w:pStyle w:val="Tabletext"/>
              <w:keepNext/>
              <w:keepLines/>
              <w:rPr>
                <w:highlight w:val="black"/>
              </w:rPr>
            </w:pPr>
            <w:r>
              <w:rPr>
                <w:noProof/>
                <w:color w:val="000000"/>
                <w:highlight w:val="black"/>
              </w:rPr>
              <w:t>''''''''''''</w:t>
            </w:r>
          </w:p>
          <w:p w:rsidR="00B95879" w:rsidRPr="002A17A3" w:rsidRDefault="002A17A3" w:rsidP="00B95879">
            <w:pPr>
              <w:pStyle w:val="Tabletext"/>
              <w:keepNext/>
              <w:keepLines/>
              <w:rPr>
                <w:highlight w:val="black"/>
              </w:rPr>
            </w:pPr>
            <w:r>
              <w:rPr>
                <w:noProof/>
                <w:color w:val="000000"/>
                <w:highlight w:val="black"/>
              </w:rPr>
              <w:t>'''''''''''''</w:t>
            </w:r>
          </w:p>
        </w:tc>
        <w:tc>
          <w:tcPr>
            <w:tcW w:w="601" w:type="pct"/>
            <w:tcMar>
              <w:left w:w="28" w:type="dxa"/>
              <w:right w:w="28" w:type="dxa"/>
            </w:tcMar>
          </w:tcPr>
          <w:p w:rsidR="00B95879" w:rsidRPr="002A17A3" w:rsidRDefault="002A17A3" w:rsidP="00AD2E87">
            <w:pPr>
              <w:pStyle w:val="Tabletext"/>
              <w:keepNext/>
              <w:keepLines/>
              <w:rPr>
                <w:b/>
                <w:highlight w:val="black"/>
              </w:rPr>
            </w:pPr>
            <w:r>
              <w:rPr>
                <w:b/>
                <w:noProof/>
                <w:color w:val="000000"/>
                <w:highlight w:val="black"/>
              </w:rPr>
              <w:t>''''''''''''''''''''''</w:t>
            </w:r>
          </w:p>
          <w:p w:rsidR="00761216" w:rsidRPr="002A17A3" w:rsidRDefault="002A17A3" w:rsidP="00AD2E87">
            <w:pPr>
              <w:pStyle w:val="Tabletext"/>
              <w:keepNext/>
              <w:keepLines/>
              <w:rPr>
                <w:highlight w:val="black"/>
              </w:rPr>
            </w:pPr>
            <w:r>
              <w:rPr>
                <w:noProof/>
                <w:color w:val="000000"/>
                <w:highlight w:val="black"/>
              </w:rPr>
              <w:t>'''''''''''''''''''''''''''</w:t>
            </w:r>
          </w:p>
          <w:p w:rsidR="00B95879" w:rsidRPr="002A17A3" w:rsidRDefault="002A17A3" w:rsidP="00AD2E87">
            <w:pPr>
              <w:pStyle w:val="Tabletext"/>
              <w:keepNext/>
              <w:keepLines/>
              <w:rPr>
                <w:highlight w:val="black"/>
              </w:rPr>
            </w:pPr>
            <w:r>
              <w:rPr>
                <w:noProof/>
                <w:color w:val="000000"/>
                <w:highlight w:val="black"/>
              </w:rPr>
              <w:t>'''''''''''''''''''''''''</w:t>
            </w:r>
          </w:p>
        </w:tc>
      </w:tr>
      <w:tr w:rsidR="00B95879" w:rsidRPr="00051281" w:rsidTr="004574B9">
        <w:trPr>
          <w:cantSplit/>
          <w:trHeight w:val="20"/>
        </w:trPr>
        <w:tc>
          <w:tcPr>
            <w:tcW w:w="5000" w:type="pct"/>
            <w:gridSpan w:val="4"/>
            <w:tcMar>
              <w:left w:w="28" w:type="dxa"/>
              <w:right w:w="28" w:type="dxa"/>
            </w:tcMar>
          </w:tcPr>
          <w:p w:rsidR="00B95879" w:rsidRPr="002A17A3" w:rsidRDefault="00B95879" w:rsidP="0074351A">
            <w:pPr>
              <w:pStyle w:val="Tabletext"/>
              <w:keepNext/>
              <w:keepLines/>
            </w:pPr>
            <w:r w:rsidRPr="00945AE9">
              <w:rPr>
                <w:b/>
              </w:rPr>
              <w:t xml:space="preserve">COST PER </w:t>
            </w:r>
            <w:r w:rsidR="00205A60" w:rsidRPr="00945AE9">
              <w:rPr>
                <w:b/>
              </w:rPr>
              <w:t xml:space="preserve">EXTRA </w:t>
            </w:r>
            <w:r w:rsidRPr="00945AE9">
              <w:rPr>
                <w:b/>
              </w:rPr>
              <w:t>NON-SEVERE SYMPTOMATIC EXACERBATION AVOIDED</w:t>
            </w:r>
          </w:p>
        </w:tc>
      </w:tr>
      <w:tr w:rsidR="00E82EFA" w:rsidRPr="00051281" w:rsidTr="004574B9">
        <w:trPr>
          <w:cantSplit/>
          <w:trHeight w:val="20"/>
        </w:trPr>
        <w:tc>
          <w:tcPr>
            <w:tcW w:w="3220" w:type="pct"/>
            <w:tcMar>
              <w:left w:w="28" w:type="dxa"/>
              <w:right w:w="28" w:type="dxa"/>
            </w:tcMar>
          </w:tcPr>
          <w:p w:rsidR="00E82EFA" w:rsidRPr="00051281" w:rsidRDefault="00B95879" w:rsidP="00E82EFA">
            <w:pPr>
              <w:pStyle w:val="Tabletext"/>
              <w:keepNext/>
              <w:keepLines/>
              <w:rPr>
                <w:b/>
              </w:rPr>
            </w:pPr>
            <w:r w:rsidRPr="00051281">
              <w:rPr>
                <w:b/>
              </w:rPr>
              <w:t>Base-case</w:t>
            </w:r>
            <w:r w:rsidR="0074351A" w:rsidRPr="00051281">
              <w:rPr>
                <w:b/>
              </w:rPr>
              <w:t>: children aged 6-17 years</w:t>
            </w:r>
          </w:p>
          <w:p w:rsidR="00B95879" w:rsidRPr="00051281" w:rsidRDefault="0074351A" w:rsidP="0074351A">
            <w:pPr>
              <w:pStyle w:val="Tabletext"/>
              <w:keepNext/>
              <w:keepLines/>
              <w:ind w:firstLine="171"/>
            </w:pPr>
            <w:r w:rsidRPr="00051281">
              <w:t>Children aged 6-11 years (trial 205.446)</w:t>
            </w:r>
          </w:p>
          <w:p w:rsidR="0074351A" w:rsidRPr="00051281" w:rsidRDefault="0074351A" w:rsidP="0074351A">
            <w:pPr>
              <w:pStyle w:val="Tabletext"/>
              <w:keepNext/>
              <w:keepLines/>
              <w:ind w:firstLine="171"/>
            </w:pPr>
            <w:r w:rsidRPr="00051281">
              <w:t>Children aged 12-17 years (trial 205.456)</w:t>
            </w:r>
          </w:p>
        </w:tc>
        <w:tc>
          <w:tcPr>
            <w:tcW w:w="472" w:type="pct"/>
            <w:tcMar>
              <w:left w:w="28" w:type="dxa"/>
              <w:right w:w="28" w:type="dxa"/>
            </w:tcMar>
          </w:tcPr>
          <w:p w:rsidR="00E82EFA" w:rsidRPr="002A17A3" w:rsidRDefault="00C7542C" w:rsidP="00E82EFA">
            <w:pPr>
              <w:pStyle w:val="Tabletext"/>
              <w:keepNext/>
              <w:keepLines/>
            </w:pPr>
            <w:r w:rsidRPr="00051281">
              <w:rPr>
                <w:b/>
              </w:rPr>
              <w:t>$</w:t>
            </w:r>
            <w:r w:rsidR="002A17A3">
              <w:rPr>
                <w:b/>
                <w:noProof/>
                <w:color w:val="000000"/>
                <w:highlight w:val="black"/>
              </w:rPr>
              <w:t>'''''''</w:t>
            </w:r>
          </w:p>
          <w:p w:rsidR="00C7542C" w:rsidRPr="002A17A3" w:rsidRDefault="00C7542C" w:rsidP="00E82EFA">
            <w:pPr>
              <w:pStyle w:val="Tabletext"/>
              <w:keepNext/>
              <w:keepLines/>
            </w:pPr>
            <w:r w:rsidRPr="00051281">
              <w:t>$</w:t>
            </w:r>
            <w:r w:rsidR="002A17A3">
              <w:rPr>
                <w:noProof/>
                <w:color w:val="000000"/>
                <w:highlight w:val="black"/>
              </w:rPr>
              <w:t>''''''</w:t>
            </w:r>
          </w:p>
          <w:p w:rsidR="00C7542C" w:rsidRPr="00051281" w:rsidRDefault="00C7542C" w:rsidP="00E82EFA">
            <w:pPr>
              <w:pStyle w:val="Tabletext"/>
              <w:keepNext/>
              <w:keepLines/>
            </w:pPr>
            <w:r w:rsidRPr="00051281">
              <w:t>$</w:t>
            </w:r>
            <w:r w:rsidR="002A17A3">
              <w:rPr>
                <w:noProof/>
                <w:color w:val="000000"/>
                <w:highlight w:val="black"/>
              </w:rPr>
              <w:t>'''''''''</w:t>
            </w:r>
          </w:p>
        </w:tc>
        <w:tc>
          <w:tcPr>
            <w:tcW w:w="707" w:type="pct"/>
            <w:tcMar>
              <w:left w:w="28" w:type="dxa"/>
              <w:right w:w="28" w:type="dxa"/>
            </w:tcMar>
          </w:tcPr>
          <w:p w:rsidR="00E82EFA" w:rsidRPr="002A17A3" w:rsidRDefault="002A17A3" w:rsidP="00E82EFA">
            <w:pPr>
              <w:pStyle w:val="Tabletext"/>
              <w:keepNext/>
              <w:keepLines/>
              <w:rPr>
                <w:b/>
                <w:highlight w:val="black"/>
              </w:rPr>
            </w:pPr>
            <w:r>
              <w:rPr>
                <w:b/>
                <w:noProof/>
                <w:color w:val="000000"/>
                <w:highlight w:val="black"/>
              </w:rPr>
              <w:t>''''''''''''</w:t>
            </w:r>
          </w:p>
          <w:p w:rsidR="00C7542C" w:rsidRPr="002A17A3" w:rsidRDefault="002A17A3" w:rsidP="00E82EFA">
            <w:pPr>
              <w:pStyle w:val="Tabletext"/>
              <w:keepNext/>
              <w:keepLines/>
              <w:rPr>
                <w:highlight w:val="black"/>
              </w:rPr>
            </w:pPr>
            <w:r>
              <w:rPr>
                <w:noProof/>
                <w:color w:val="000000"/>
                <w:highlight w:val="black"/>
              </w:rPr>
              <w:t>''''''''''''''</w:t>
            </w:r>
          </w:p>
          <w:p w:rsidR="00C7542C" w:rsidRPr="002A17A3" w:rsidRDefault="002A17A3" w:rsidP="00E82EFA">
            <w:pPr>
              <w:pStyle w:val="Tabletext"/>
              <w:keepNext/>
              <w:keepLines/>
              <w:rPr>
                <w:highlight w:val="black"/>
              </w:rPr>
            </w:pPr>
            <w:r>
              <w:rPr>
                <w:noProof/>
                <w:color w:val="000000"/>
                <w:highlight w:val="black"/>
              </w:rPr>
              <w:t>''''''''''''''</w:t>
            </w:r>
          </w:p>
        </w:tc>
        <w:tc>
          <w:tcPr>
            <w:tcW w:w="601" w:type="pct"/>
            <w:tcMar>
              <w:left w:w="28" w:type="dxa"/>
              <w:right w:w="28" w:type="dxa"/>
            </w:tcMar>
          </w:tcPr>
          <w:p w:rsidR="00E82EFA" w:rsidRPr="002A17A3" w:rsidRDefault="00C7542C" w:rsidP="00E82EFA">
            <w:pPr>
              <w:pStyle w:val="Tabletext"/>
              <w:keepNext/>
              <w:keepLines/>
              <w:rPr>
                <w:b/>
              </w:rPr>
            </w:pPr>
            <w:r w:rsidRPr="00051281">
              <w:rPr>
                <w:b/>
              </w:rPr>
              <w:t>$</w:t>
            </w:r>
            <w:r w:rsidR="002A17A3">
              <w:rPr>
                <w:b/>
                <w:noProof/>
                <w:color w:val="000000"/>
                <w:highlight w:val="black"/>
              </w:rPr>
              <w:t>''''''''''''</w:t>
            </w:r>
          </w:p>
          <w:p w:rsidR="00C7542C" w:rsidRPr="002A17A3" w:rsidRDefault="00C7542C" w:rsidP="00E82EFA">
            <w:pPr>
              <w:pStyle w:val="Tabletext"/>
              <w:keepNext/>
              <w:keepLines/>
            </w:pPr>
            <w:r w:rsidRPr="00051281">
              <w:t>$</w:t>
            </w:r>
            <w:r w:rsidR="002A17A3">
              <w:rPr>
                <w:noProof/>
                <w:color w:val="000000"/>
                <w:highlight w:val="black"/>
              </w:rPr>
              <w:t>''''''''''</w:t>
            </w:r>
          </w:p>
          <w:p w:rsidR="00C7542C" w:rsidRPr="00051281" w:rsidRDefault="00C7542C" w:rsidP="00E82EFA">
            <w:pPr>
              <w:pStyle w:val="Tabletext"/>
              <w:keepNext/>
              <w:keepLines/>
            </w:pPr>
            <w:r w:rsidRPr="00051281">
              <w:t>$</w:t>
            </w:r>
            <w:r w:rsidR="002A17A3">
              <w:rPr>
                <w:noProof/>
                <w:color w:val="000000"/>
                <w:highlight w:val="black"/>
              </w:rPr>
              <w:t>'''''''''''''</w:t>
            </w:r>
          </w:p>
        </w:tc>
      </w:tr>
    </w:tbl>
    <w:p w:rsidR="00761216" w:rsidRPr="00051281" w:rsidRDefault="00761216" w:rsidP="005E1CCA">
      <w:pPr>
        <w:pStyle w:val="TableFooter"/>
        <w:keepNext/>
        <w:keepLines/>
        <w:spacing w:after="120"/>
        <w:jc w:val="left"/>
      </w:pPr>
      <w:r w:rsidRPr="00051281">
        <w:t>Source: Table 3.25, p203 of the submission</w:t>
      </w:r>
      <w:r w:rsidR="00923282" w:rsidRPr="00051281">
        <w:t>;</w:t>
      </w:r>
      <w:r w:rsidRPr="00051281">
        <w:t xml:space="preserve"> and compiled during evaluation using Att_10_Section 3 </w:t>
      </w:r>
      <w:proofErr w:type="spellStart"/>
      <w:r w:rsidRPr="00051281">
        <w:t>workbook.xlsl</w:t>
      </w:r>
      <w:proofErr w:type="spellEnd"/>
    </w:p>
    <w:p w:rsidR="00C25D9C" w:rsidRPr="00051281" w:rsidRDefault="00701BE1" w:rsidP="003841D3">
      <w:pPr>
        <w:pStyle w:val="ListParagraph"/>
        <w:widowControl/>
        <w:numPr>
          <w:ilvl w:val="1"/>
          <w:numId w:val="1"/>
        </w:numPr>
        <w:spacing w:after="120"/>
      </w:pPr>
      <w:r w:rsidRPr="00051281">
        <w:t xml:space="preserve">The cost per exacerbation avoided </w:t>
      </w:r>
      <w:r w:rsidR="005F0E24" w:rsidRPr="00051281">
        <w:t>was</w:t>
      </w:r>
      <w:r w:rsidRPr="00051281">
        <w:t xml:space="preserve"> most sensitive to changes in the rates of symptomatic exacerbations used.</w:t>
      </w:r>
    </w:p>
    <w:p w:rsidR="00306524" w:rsidRDefault="00585045" w:rsidP="00261CA2">
      <w:pPr>
        <w:pStyle w:val="ListParagraph"/>
        <w:widowControl/>
        <w:numPr>
          <w:ilvl w:val="1"/>
          <w:numId w:val="1"/>
        </w:numPr>
        <w:spacing w:after="120"/>
      </w:pPr>
      <w:r w:rsidRPr="00051281">
        <w:t xml:space="preserve">The submission assumed all severe exacerbations would require hospitalisations, and </w:t>
      </w:r>
      <w:r w:rsidR="00670607" w:rsidRPr="00051281">
        <w:t xml:space="preserve">the majority of </w:t>
      </w:r>
      <w:r w:rsidRPr="00051281">
        <w:t xml:space="preserve">non-severe exacerbations assumed general practitioner (GP) visits and purchases of medicines. ESC noted this may not be the case, for example </w:t>
      </w:r>
      <w:r w:rsidRPr="00051281">
        <w:lastRenderedPageBreak/>
        <w:t>parents usually stockpile asthma medications and may not take their children to the GP each time they had a non-severe exacerbation</w:t>
      </w:r>
      <w:r w:rsidR="00670607" w:rsidRPr="00051281">
        <w:t xml:space="preserve"> as defined in the trials</w:t>
      </w:r>
      <w:r w:rsidRPr="00051281">
        <w:t>.</w:t>
      </w:r>
      <w:r w:rsidR="00600F7E" w:rsidRPr="00051281">
        <w:t xml:space="preserve"> Cost offsets were likely to have been overestimated in the model.</w:t>
      </w:r>
      <w:r w:rsidR="00CE15C9">
        <w:t xml:space="preserve"> The PBAC agreed with the ESC’s view that this cost has been overestimated, as patients would have an asthma action plan in place and parents would know what to do in the case of a non-severe exacerbation</w:t>
      </w:r>
      <w:r w:rsidR="00794FCA">
        <w:t xml:space="preserve"> and would not need to visit the GP</w:t>
      </w:r>
      <w:r w:rsidR="009B41AA">
        <w:t xml:space="preserve"> for every event</w:t>
      </w:r>
      <w:r w:rsidR="00CE15C9">
        <w:t>.</w:t>
      </w:r>
    </w:p>
    <w:p w:rsidR="00306524" w:rsidRPr="00696ABE" w:rsidRDefault="00261CA2" w:rsidP="005E1CCA">
      <w:pPr>
        <w:pStyle w:val="Heading2"/>
      </w:pPr>
      <w:bookmarkStart w:id="12" w:name="_Toc503966237"/>
      <w:r w:rsidRPr="00696ABE">
        <w:t>Drug cost/patient/year: $</w:t>
      </w:r>
      <w:r w:rsidRPr="003F57C3">
        <w:t>638.21</w:t>
      </w:r>
      <w:bookmarkEnd w:id="12"/>
    </w:p>
    <w:p w:rsidR="00761216" w:rsidRPr="00051281" w:rsidRDefault="00761216" w:rsidP="00261CA2">
      <w:pPr>
        <w:keepNext/>
        <w:widowControl/>
        <w:spacing w:after="120"/>
      </w:pPr>
      <w:r w:rsidRPr="00051281">
        <w:t>The annual cost of tiotropium per patient per year was estimated to be $</w:t>
      </w:r>
      <w:r w:rsidRPr="003F57C3">
        <w:t>638.21</w:t>
      </w:r>
      <w:r w:rsidRPr="00051281">
        <w:t>, based on the proposed DPMQ of $</w:t>
      </w:r>
      <w:r w:rsidRPr="003F57C3">
        <w:t>52.42</w:t>
      </w:r>
      <w:r w:rsidRPr="00051281">
        <w:t xml:space="preserve"> (which included the 14.5% price reduction to be applied on 1 June 2018) and assuming 100% </w:t>
      </w:r>
      <w:r w:rsidR="00377FCF" w:rsidRPr="00051281">
        <w:t>compliance (1</w:t>
      </w:r>
      <w:r w:rsidRPr="00051281">
        <w:t>2.18 prescriptions per year</w:t>
      </w:r>
      <w:r w:rsidR="00377FCF" w:rsidRPr="00051281">
        <w:t>)</w:t>
      </w:r>
      <w:r w:rsidRPr="00051281">
        <w:t>.</w:t>
      </w:r>
    </w:p>
    <w:p w:rsidR="003841D3" w:rsidRPr="00051281" w:rsidRDefault="00761216" w:rsidP="003841D3">
      <w:pPr>
        <w:pStyle w:val="ListParagraph"/>
        <w:keepNext/>
        <w:widowControl/>
        <w:numPr>
          <w:ilvl w:val="1"/>
          <w:numId w:val="1"/>
        </w:numPr>
        <w:spacing w:after="120"/>
      </w:pPr>
      <w:r w:rsidRPr="00051281">
        <w:t>If a compliance rate of 80.9% was used, which was the weighted trial-based compliance rate, the annual cost of tiotropium per patient per year was estimated to be $</w:t>
      </w:r>
      <w:r w:rsidRPr="003F57C3">
        <w:t>516.53</w:t>
      </w:r>
      <w:r w:rsidRPr="00051281">
        <w:t xml:space="preserve"> (9.85 prescriptions per year).</w:t>
      </w:r>
    </w:p>
    <w:p w:rsidR="00B60939" w:rsidRPr="00696ABE" w:rsidRDefault="00696ABE" w:rsidP="005E1CCA">
      <w:pPr>
        <w:pStyle w:val="Heading2"/>
      </w:pPr>
      <w:bookmarkStart w:id="13" w:name="_Toc503966238"/>
      <w:r w:rsidRPr="00696ABE">
        <w:t>E</w:t>
      </w:r>
      <w:r w:rsidR="00B60939" w:rsidRPr="00696ABE">
        <w:t>stimated PBS usage &amp; financial implications</w:t>
      </w:r>
      <w:bookmarkEnd w:id="13"/>
    </w:p>
    <w:p w:rsidR="004B4B5F" w:rsidRPr="00051281" w:rsidRDefault="004B4B5F" w:rsidP="003841D3">
      <w:pPr>
        <w:pStyle w:val="ListParagraph"/>
        <w:widowControl/>
        <w:numPr>
          <w:ilvl w:val="1"/>
          <w:numId w:val="1"/>
        </w:numPr>
        <w:spacing w:after="120"/>
      </w:pPr>
      <w:r w:rsidRPr="00051281">
        <w:t>This submissi</w:t>
      </w:r>
      <w:r w:rsidR="00DA3375" w:rsidRPr="00051281">
        <w:t>on wa</w:t>
      </w:r>
      <w:r w:rsidRPr="00051281">
        <w:t>s not considered by DUSC</w:t>
      </w:r>
      <w:r w:rsidR="000965E3" w:rsidRPr="00051281">
        <w:t>.</w:t>
      </w:r>
      <w:r w:rsidRPr="00051281">
        <w:rPr>
          <w:color w:val="3366FF"/>
        </w:rPr>
        <w:t xml:space="preserve"> </w:t>
      </w:r>
    </w:p>
    <w:p w:rsidR="000965E3" w:rsidRPr="00051281" w:rsidRDefault="000965E3" w:rsidP="003841D3">
      <w:pPr>
        <w:pStyle w:val="ListParagraph"/>
        <w:widowControl/>
        <w:numPr>
          <w:ilvl w:val="1"/>
          <w:numId w:val="1"/>
        </w:numPr>
        <w:spacing w:after="120"/>
      </w:pPr>
      <w:r w:rsidRPr="00051281">
        <w:t>The submission presented an epidemiological approach to estimate the financial impact of listing tiotropium on the PBS/RPBS.</w:t>
      </w:r>
    </w:p>
    <w:p w:rsidR="00C25D9C" w:rsidRPr="00051281" w:rsidRDefault="002A2F50" w:rsidP="003A03C5">
      <w:pPr>
        <w:keepNext/>
        <w:keepLines/>
      </w:pPr>
      <w:r w:rsidRPr="00051281">
        <w:rPr>
          <w:rStyle w:val="CommentReference"/>
        </w:rPr>
        <w:t xml:space="preserve">Table </w:t>
      </w:r>
      <w:r w:rsidR="00547304" w:rsidRPr="00051281">
        <w:rPr>
          <w:rStyle w:val="CommentReference"/>
        </w:rPr>
        <w:t>1</w:t>
      </w:r>
      <w:r w:rsidR="006B43A6" w:rsidRPr="00051281">
        <w:rPr>
          <w:rStyle w:val="CommentReference"/>
        </w:rPr>
        <w:t>2</w:t>
      </w:r>
      <w:r w:rsidRPr="00051281">
        <w:rPr>
          <w:rStyle w:val="CommentReference"/>
        </w:rPr>
        <w:t>: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79"/>
        <w:gridCol w:w="1168"/>
        <w:gridCol w:w="1117"/>
        <w:gridCol w:w="1143"/>
        <w:gridCol w:w="1143"/>
        <w:gridCol w:w="1143"/>
        <w:gridCol w:w="1090"/>
      </w:tblGrid>
      <w:tr w:rsidR="006242EF" w:rsidRPr="00051281" w:rsidTr="004574B9">
        <w:trPr>
          <w:cantSplit/>
          <w:tblHeader/>
        </w:trPr>
        <w:tc>
          <w:tcPr>
            <w:tcW w:w="1255" w:type="pct"/>
            <w:shd w:val="clear" w:color="auto" w:fill="auto"/>
            <w:vAlign w:val="center"/>
          </w:tcPr>
          <w:p w:rsidR="00385A9D" w:rsidRPr="00051281" w:rsidRDefault="00385A9D" w:rsidP="003A03C5">
            <w:pPr>
              <w:pStyle w:val="Tabletext"/>
              <w:keepNext/>
              <w:keepLines/>
            </w:pPr>
          </w:p>
        </w:tc>
        <w:tc>
          <w:tcPr>
            <w:tcW w:w="643" w:type="pct"/>
            <w:shd w:val="clear" w:color="auto" w:fill="auto"/>
            <w:vAlign w:val="center"/>
          </w:tcPr>
          <w:p w:rsidR="00385A9D" w:rsidRPr="00051281" w:rsidRDefault="00385A9D" w:rsidP="006242EF">
            <w:pPr>
              <w:pStyle w:val="Tabletext"/>
              <w:keepNext/>
              <w:keepLines/>
              <w:rPr>
                <w:b/>
              </w:rPr>
            </w:pPr>
            <w:r w:rsidRPr="00051281">
              <w:rPr>
                <w:b/>
              </w:rPr>
              <w:t>Year 1</w:t>
            </w:r>
          </w:p>
          <w:p w:rsidR="00865B99" w:rsidRPr="00051281" w:rsidRDefault="00865B99" w:rsidP="006242EF">
            <w:pPr>
              <w:pStyle w:val="Tabletext"/>
              <w:keepNext/>
              <w:keepLines/>
              <w:rPr>
                <w:b/>
              </w:rPr>
            </w:pPr>
            <w:r w:rsidRPr="00051281">
              <w:rPr>
                <w:b/>
              </w:rPr>
              <w:t>(2018)</w:t>
            </w:r>
          </w:p>
        </w:tc>
        <w:tc>
          <w:tcPr>
            <w:tcW w:w="615" w:type="pct"/>
            <w:shd w:val="clear" w:color="auto" w:fill="auto"/>
            <w:vAlign w:val="center"/>
          </w:tcPr>
          <w:p w:rsidR="00385A9D" w:rsidRPr="00051281" w:rsidRDefault="00385A9D" w:rsidP="006242EF">
            <w:pPr>
              <w:pStyle w:val="Tabletext"/>
              <w:keepNext/>
              <w:keepLines/>
              <w:rPr>
                <w:b/>
              </w:rPr>
            </w:pPr>
            <w:r w:rsidRPr="00051281">
              <w:rPr>
                <w:b/>
              </w:rPr>
              <w:t>Year 2</w:t>
            </w:r>
          </w:p>
          <w:p w:rsidR="00865B99" w:rsidRPr="00051281" w:rsidRDefault="00865B99" w:rsidP="006242EF">
            <w:pPr>
              <w:pStyle w:val="Tabletext"/>
              <w:keepNext/>
              <w:keepLines/>
              <w:rPr>
                <w:b/>
              </w:rPr>
            </w:pPr>
            <w:r w:rsidRPr="00051281">
              <w:rPr>
                <w:b/>
              </w:rPr>
              <w:t>(2019)</w:t>
            </w:r>
          </w:p>
        </w:tc>
        <w:tc>
          <w:tcPr>
            <w:tcW w:w="629" w:type="pct"/>
            <w:shd w:val="clear" w:color="auto" w:fill="auto"/>
            <w:vAlign w:val="center"/>
          </w:tcPr>
          <w:p w:rsidR="00385A9D" w:rsidRPr="00051281" w:rsidRDefault="00385A9D" w:rsidP="006242EF">
            <w:pPr>
              <w:pStyle w:val="Tabletext"/>
              <w:keepNext/>
              <w:keepLines/>
              <w:rPr>
                <w:b/>
              </w:rPr>
            </w:pPr>
            <w:r w:rsidRPr="00051281">
              <w:rPr>
                <w:b/>
              </w:rPr>
              <w:t>Year 3</w:t>
            </w:r>
          </w:p>
          <w:p w:rsidR="00865B99" w:rsidRPr="00051281" w:rsidRDefault="00865B99" w:rsidP="006242EF">
            <w:pPr>
              <w:pStyle w:val="Tabletext"/>
              <w:keepNext/>
              <w:keepLines/>
              <w:rPr>
                <w:b/>
              </w:rPr>
            </w:pPr>
            <w:r w:rsidRPr="00051281">
              <w:rPr>
                <w:b/>
              </w:rPr>
              <w:t>(2020)</w:t>
            </w:r>
          </w:p>
        </w:tc>
        <w:tc>
          <w:tcPr>
            <w:tcW w:w="629" w:type="pct"/>
            <w:shd w:val="clear" w:color="auto" w:fill="auto"/>
            <w:vAlign w:val="center"/>
          </w:tcPr>
          <w:p w:rsidR="00385A9D" w:rsidRPr="00051281" w:rsidRDefault="00385A9D" w:rsidP="006242EF">
            <w:pPr>
              <w:pStyle w:val="Tabletext"/>
              <w:keepNext/>
              <w:keepLines/>
              <w:rPr>
                <w:b/>
              </w:rPr>
            </w:pPr>
            <w:r w:rsidRPr="00051281">
              <w:rPr>
                <w:b/>
              </w:rPr>
              <w:t>Year 4</w:t>
            </w:r>
          </w:p>
          <w:p w:rsidR="00865B99" w:rsidRPr="00051281" w:rsidRDefault="00865B99" w:rsidP="006242EF">
            <w:pPr>
              <w:pStyle w:val="Tabletext"/>
              <w:keepNext/>
              <w:keepLines/>
              <w:rPr>
                <w:b/>
              </w:rPr>
            </w:pPr>
            <w:r w:rsidRPr="00051281">
              <w:rPr>
                <w:b/>
              </w:rPr>
              <w:t>(2021)</w:t>
            </w:r>
          </w:p>
        </w:tc>
        <w:tc>
          <w:tcPr>
            <w:tcW w:w="629" w:type="pct"/>
            <w:shd w:val="clear" w:color="auto" w:fill="auto"/>
            <w:vAlign w:val="center"/>
          </w:tcPr>
          <w:p w:rsidR="00385A9D" w:rsidRPr="00051281" w:rsidRDefault="00385A9D" w:rsidP="006242EF">
            <w:pPr>
              <w:pStyle w:val="Tabletext"/>
              <w:keepNext/>
              <w:keepLines/>
              <w:rPr>
                <w:b/>
              </w:rPr>
            </w:pPr>
            <w:r w:rsidRPr="00051281">
              <w:rPr>
                <w:b/>
              </w:rPr>
              <w:t>Year 5</w:t>
            </w:r>
          </w:p>
          <w:p w:rsidR="00865B99" w:rsidRPr="00051281" w:rsidRDefault="00865B99" w:rsidP="006242EF">
            <w:pPr>
              <w:pStyle w:val="Tabletext"/>
              <w:keepNext/>
              <w:keepLines/>
              <w:rPr>
                <w:b/>
              </w:rPr>
            </w:pPr>
            <w:r w:rsidRPr="00051281">
              <w:rPr>
                <w:b/>
              </w:rPr>
              <w:t>(2022)</w:t>
            </w:r>
          </w:p>
        </w:tc>
        <w:tc>
          <w:tcPr>
            <w:tcW w:w="600" w:type="pct"/>
          </w:tcPr>
          <w:p w:rsidR="00385A9D" w:rsidRPr="00051281" w:rsidRDefault="00385A9D" w:rsidP="006242EF">
            <w:pPr>
              <w:pStyle w:val="Tabletext"/>
              <w:keepNext/>
              <w:keepLines/>
              <w:rPr>
                <w:b/>
              </w:rPr>
            </w:pPr>
            <w:r w:rsidRPr="00051281">
              <w:rPr>
                <w:b/>
              </w:rPr>
              <w:t>Year 6</w:t>
            </w:r>
          </w:p>
          <w:p w:rsidR="00865B99" w:rsidRPr="00051281" w:rsidRDefault="00865B99" w:rsidP="006242EF">
            <w:pPr>
              <w:pStyle w:val="Tabletext"/>
              <w:keepNext/>
              <w:keepLines/>
              <w:rPr>
                <w:b/>
              </w:rPr>
            </w:pPr>
            <w:r w:rsidRPr="00051281">
              <w:rPr>
                <w:b/>
              </w:rPr>
              <w:t>(2023)</w:t>
            </w:r>
          </w:p>
        </w:tc>
      </w:tr>
      <w:tr w:rsidR="00385A9D" w:rsidRPr="00051281" w:rsidTr="004574B9">
        <w:trPr>
          <w:cantSplit/>
        </w:trPr>
        <w:tc>
          <w:tcPr>
            <w:tcW w:w="5000" w:type="pct"/>
            <w:gridSpan w:val="7"/>
            <w:shd w:val="clear" w:color="auto" w:fill="auto"/>
            <w:vAlign w:val="center"/>
          </w:tcPr>
          <w:p w:rsidR="00385A9D" w:rsidRPr="00051281" w:rsidRDefault="00385A9D" w:rsidP="006242EF">
            <w:pPr>
              <w:pStyle w:val="Tabletext"/>
              <w:keepNext/>
              <w:keepLines/>
              <w:rPr>
                <w:b/>
              </w:rPr>
            </w:pPr>
            <w:r w:rsidRPr="00051281">
              <w:rPr>
                <w:b/>
              </w:rPr>
              <w:t>Estimated extent of use</w:t>
            </w:r>
          </w:p>
        </w:tc>
      </w:tr>
      <w:tr w:rsidR="006242EF" w:rsidRPr="00051281" w:rsidTr="004574B9">
        <w:trPr>
          <w:cantSplit/>
        </w:trPr>
        <w:tc>
          <w:tcPr>
            <w:tcW w:w="1255" w:type="pct"/>
            <w:shd w:val="clear" w:color="auto" w:fill="auto"/>
            <w:vAlign w:val="center"/>
          </w:tcPr>
          <w:p w:rsidR="004B4B5F" w:rsidRPr="00051281" w:rsidRDefault="004B4B5F" w:rsidP="003A03C5">
            <w:pPr>
              <w:pStyle w:val="Tabletext"/>
              <w:keepNext/>
              <w:keepLines/>
            </w:pPr>
            <w:r w:rsidRPr="00051281">
              <w:t>Number of patients treated</w:t>
            </w:r>
          </w:p>
        </w:tc>
        <w:tc>
          <w:tcPr>
            <w:tcW w:w="643" w:type="pct"/>
            <w:shd w:val="clear" w:color="auto" w:fill="auto"/>
          </w:tcPr>
          <w:p w:rsidR="004B4B5F" w:rsidRPr="002A17A3" w:rsidRDefault="002A17A3" w:rsidP="006242EF">
            <w:pPr>
              <w:pStyle w:val="Tabletext"/>
              <w:keepNext/>
              <w:keepLines/>
              <w:rPr>
                <w:highlight w:val="black"/>
              </w:rPr>
            </w:pPr>
            <w:r>
              <w:rPr>
                <w:noProof/>
                <w:color w:val="000000"/>
                <w:highlight w:val="black"/>
              </w:rPr>
              <w:t>''''''''''''''''</w:t>
            </w:r>
          </w:p>
        </w:tc>
        <w:tc>
          <w:tcPr>
            <w:tcW w:w="615" w:type="pct"/>
            <w:shd w:val="clear" w:color="auto" w:fill="auto"/>
          </w:tcPr>
          <w:p w:rsidR="004B4B5F" w:rsidRPr="002A17A3" w:rsidRDefault="002A17A3" w:rsidP="006242EF">
            <w:pPr>
              <w:pStyle w:val="Tabletext"/>
              <w:keepNext/>
              <w:keepLines/>
              <w:rPr>
                <w:highlight w:val="black"/>
              </w:rPr>
            </w:pPr>
            <w:r>
              <w:rPr>
                <w:noProof/>
                <w:color w:val="000000"/>
                <w:highlight w:val="black"/>
              </w:rPr>
              <w:t>'''''''''''''''''</w:t>
            </w:r>
          </w:p>
        </w:tc>
        <w:tc>
          <w:tcPr>
            <w:tcW w:w="629" w:type="pct"/>
            <w:shd w:val="clear" w:color="auto" w:fill="auto"/>
          </w:tcPr>
          <w:p w:rsidR="004B4B5F" w:rsidRPr="002A17A3" w:rsidRDefault="002A17A3" w:rsidP="006242EF">
            <w:pPr>
              <w:pStyle w:val="Tabletext"/>
              <w:keepNext/>
              <w:keepLines/>
              <w:rPr>
                <w:highlight w:val="black"/>
              </w:rPr>
            </w:pPr>
            <w:r>
              <w:rPr>
                <w:noProof/>
                <w:color w:val="000000"/>
                <w:highlight w:val="black"/>
              </w:rPr>
              <w:t>''''''''''''''''</w:t>
            </w:r>
          </w:p>
        </w:tc>
        <w:tc>
          <w:tcPr>
            <w:tcW w:w="629" w:type="pct"/>
            <w:shd w:val="clear" w:color="auto" w:fill="auto"/>
          </w:tcPr>
          <w:p w:rsidR="004B4B5F" w:rsidRPr="002A17A3" w:rsidRDefault="002A17A3" w:rsidP="006242EF">
            <w:pPr>
              <w:pStyle w:val="Tabletext"/>
              <w:keepNext/>
              <w:keepLines/>
              <w:rPr>
                <w:highlight w:val="black"/>
              </w:rPr>
            </w:pPr>
            <w:r>
              <w:rPr>
                <w:noProof/>
                <w:color w:val="000000"/>
                <w:highlight w:val="black"/>
              </w:rPr>
              <w:t>''''''''''''''''</w:t>
            </w:r>
          </w:p>
        </w:tc>
        <w:tc>
          <w:tcPr>
            <w:tcW w:w="629" w:type="pct"/>
            <w:shd w:val="clear" w:color="auto" w:fill="auto"/>
          </w:tcPr>
          <w:p w:rsidR="004B4B5F" w:rsidRPr="002A17A3" w:rsidRDefault="002A17A3" w:rsidP="006242EF">
            <w:pPr>
              <w:pStyle w:val="Tabletext"/>
              <w:keepNext/>
              <w:keepLines/>
              <w:rPr>
                <w:highlight w:val="black"/>
              </w:rPr>
            </w:pPr>
            <w:r>
              <w:rPr>
                <w:noProof/>
                <w:color w:val="000000"/>
                <w:highlight w:val="black"/>
              </w:rPr>
              <w:t>'''''''''''''''''</w:t>
            </w:r>
          </w:p>
        </w:tc>
        <w:tc>
          <w:tcPr>
            <w:tcW w:w="600" w:type="pct"/>
          </w:tcPr>
          <w:p w:rsidR="004B4B5F" w:rsidRPr="002A17A3" w:rsidRDefault="002A17A3" w:rsidP="006242EF">
            <w:pPr>
              <w:pStyle w:val="Tabletext"/>
              <w:keepNext/>
              <w:keepLines/>
              <w:rPr>
                <w:highlight w:val="black"/>
              </w:rPr>
            </w:pPr>
            <w:r>
              <w:rPr>
                <w:noProof/>
                <w:color w:val="000000"/>
                <w:highlight w:val="black"/>
              </w:rPr>
              <w:t>'''''''''''''''''</w:t>
            </w:r>
          </w:p>
        </w:tc>
      </w:tr>
      <w:tr w:rsidR="006242EF" w:rsidRPr="00051281" w:rsidTr="004574B9">
        <w:trPr>
          <w:cantSplit/>
        </w:trPr>
        <w:tc>
          <w:tcPr>
            <w:tcW w:w="1255" w:type="pct"/>
            <w:shd w:val="clear" w:color="auto" w:fill="auto"/>
            <w:vAlign w:val="center"/>
          </w:tcPr>
          <w:p w:rsidR="004B4B5F" w:rsidRPr="00051281" w:rsidRDefault="004B4B5F" w:rsidP="003A03C5">
            <w:pPr>
              <w:pStyle w:val="Tabletext"/>
              <w:keepNext/>
              <w:keepLines/>
            </w:pPr>
            <w:r w:rsidRPr="00051281">
              <w:t xml:space="preserve">Number of scripts dispensed </w:t>
            </w:r>
            <w:r w:rsidRPr="00051281">
              <w:rPr>
                <w:vertAlign w:val="superscript"/>
              </w:rPr>
              <w:t>a</w:t>
            </w:r>
          </w:p>
        </w:tc>
        <w:tc>
          <w:tcPr>
            <w:tcW w:w="643" w:type="pct"/>
            <w:shd w:val="clear" w:color="auto" w:fill="auto"/>
          </w:tcPr>
          <w:p w:rsidR="004B4B5F" w:rsidRPr="002A17A3" w:rsidRDefault="002A17A3" w:rsidP="006242EF">
            <w:pPr>
              <w:pStyle w:val="Tabletext"/>
              <w:keepNext/>
              <w:keepLines/>
              <w:rPr>
                <w:highlight w:val="black"/>
              </w:rPr>
            </w:pPr>
            <w:r>
              <w:rPr>
                <w:noProof/>
                <w:color w:val="000000"/>
                <w:highlight w:val="black"/>
              </w:rPr>
              <w:t>''''''''''''''''</w:t>
            </w:r>
          </w:p>
        </w:tc>
        <w:tc>
          <w:tcPr>
            <w:tcW w:w="615" w:type="pct"/>
            <w:shd w:val="clear" w:color="auto" w:fill="auto"/>
          </w:tcPr>
          <w:p w:rsidR="004B4B5F" w:rsidRPr="002A17A3" w:rsidRDefault="002A17A3" w:rsidP="006242EF">
            <w:pPr>
              <w:pStyle w:val="Tabletext"/>
              <w:keepNext/>
              <w:keepLines/>
              <w:rPr>
                <w:highlight w:val="black"/>
              </w:rPr>
            </w:pPr>
            <w:r>
              <w:rPr>
                <w:noProof/>
                <w:color w:val="000000"/>
                <w:highlight w:val="black"/>
              </w:rPr>
              <w:t>''''''''''''''''''''</w:t>
            </w:r>
          </w:p>
        </w:tc>
        <w:tc>
          <w:tcPr>
            <w:tcW w:w="629" w:type="pct"/>
            <w:shd w:val="clear" w:color="auto" w:fill="auto"/>
          </w:tcPr>
          <w:p w:rsidR="004B4B5F" w:rsidRPr="002A17A3" w:rsidRDefault="002A17A3" w:rsidP="006242EF">
            <w:pPr>
              <w:pStyle w:val="Tabletext"/>
              <w:keepNext/>
              <w:keepLines/>
              <w:rPr>
                <w:highlight w:val="black"/>
              </w:rPr>
            </w:pPr>
            <w:r>
              <w:rPr>
                <w:noProof/>
                <w:color w:val="000000"/>
                <w:highlight w:val="black"/>
              </w:rPr>
              <w:t>''''''''''''''''''''</w:t>
            </w:r>
          </w:p>
        </w:tc>
        <w:tc>
          <w:tcPr>
            <w:tcW w:w="629" w:type="pct"/>
            <w:shd w:val="clear" w:color="auto" w:fill="auto"/>
          </w:tcPr>
          <w:p w:rsidR="004B4B5F" w:rsidRPr="002A17A3" w:rsidRDefault="002A17A3" w:rsidP="006242EF">
            <w:pPr>
              <w:pStyle w:val="Tabletext"/>
              <w:keepNext/>
              <w:keepLines/>
              <w:rPr>
                <w:highlight w:val="black"/>
              </w:rPr>
            </w:pPr>
            <w:r>
              <w:rPr>
                <w:noProof/>
                <w:color w:val="000000"/>
                <w:highlight w:val="black"/>
              </w:rPr>
              <w:t>'''''''''''''''''''</w:t>
            </w:r>
          </w:p>
        </w:tc>
        <w:tc>
          <w:tcPr>
            <w:tcW w:w="629" w:type="pct"/>
            <w:shd w:val="clear" w:color="auto" w:fill="auto"/>
          </w:tcPr>
          <w:p w:rsidR="004B4B5F" w:rsidRPr="002A17A3" w:rsidRDefault="002A17A3" w:rsidP="006242EF">
            <w:pPr>
              <w:pStyle w:val="Tabletext"/>
              <w:keepNext/>
              <w:keepLines/>
              <w:rPr>
                <w:highlight w:val="black"/>
              </w:rPr>
            </w:pPr>
            <w:r>
              <w:rPr>
                <w:noProof/>
                <w:color w:val="000000"/>
                <w:highlight w:val="black"/>
              </w:rPr>
              <w:t>'''''''''''''''''''</w:t>
            </w:r>
          </w:p>
        </w:tc>
        <w:tc>
          <w:tcPr>
            <w:tcW w:w="600" w:type="pct"/>
          </w:tcPr>
          <w:p w:rsidR="004B4B5F" w:rsidRPr="002A17A3" w:rsidRDefault="002A17A3" w:rsidP="006242EF">
            <w:pPr>
              <w:pStyle w:val="Tabletext"/>
              <w:keepNext/>
              <w:keepLines/>
              <w:rPr>
                <w:highlight w:val="black"/>
              </w:rPr>
            </w:pPr>
            <w:r>
              <w:rPr>
                <w:noProof/>
                <w:color w:val="000000"/>
                <w:highlight w:val="black"/>
              </w:rPr>
              <w:t>'''''''''''''''''</w:t>
            </w:r>
          </w:p>
        </w:tc>
      </w:tr>
      <w:tr w:rsidR="00385A9D" w:rsidRPr="00051281" w:rsidTr="004574B9">
        <w:trPr>
          <w:cantSplit/>
        </w:trPr>
        <w:tc>
          <w:tcPr>
            <w:tcW w:w="5000" w:type="pct"/>
            <w:gridSpan w:val="7"/>
            <w:shd w:val="clear" w:color="auto" w:fill="auto"/>
            <w:vAlign w:val="center"/>
          </w:tcPr>
          <w:p w:rsidR="00385A9D" w:rsidRPr="00051281" w:rsidRDefault="00385A9D" w:rsidP="006242EF">
            <w:pPr>
              <w:pStyle w:val="Tabletext"/>
              <w:keepNext/>
              <w:keepLines/>
              <w:rPr>
                <w:b/>
              </w:rPr>
            </w:pPr>
            <w:r w:rsidRPr="00051281">
              <w:rPr>
                <w:b/>
              </w:rPr>
              <w:t xml:space="preserve">Estimated </w:t>
            </w:r>
            <w:r w:rsidR="004B4B5F" w:rsidRPr="00051281">
              <w:rPr>
                <w:b/>
              </w:rPr>
              <w:t xml:space="preserve">financial implications of tiotropium </w:t>
            </w:r>
          </w:p>
        </w:tc>
      </w:tr>
      <w:tr w:rsidR="006242EF" w:rsidRPr="003F57C3" w:rsidTr="004574B9">
        <w:trPr>
          <w:cantSplit/>
        </w:trPr>
        <w:tc>
          <w:tcPr>
            <w:tcW w:w="1255" w:type="pct"/>
            <w:shd w:val="clear" w:color="auto" w:fill="auto"/>
            <w:vAlign w:val="center"/>
          </w:tcPr>
          <w:p w:rsidR="004B4B5F" w:rsidRPr="00051281" w:rsidRDefault="004B4B5F" w:rsidP="003A03C5">
            <w:pPr>
              <w:pStyle w:val="Tabletext"/>
              <w:keepNext/>
              <w:keepLines/>
            </w:pPr>
            <w:r w:rsidRPr="00051281">
              <w:t>Cost to PBS/RPBS</w:t>
            </w:r>
          </w:p>
        </w:tc>
        <w:tc>
          <w:tcPr>
            <w:tcW w:w="643" w:type="pct"/>
            <w:shd w:val="clear" w:color="auto" w:fill="auto"/>
          </w:tcPr>
          <w:p w:rsidR="004B4B5F" w:rsidRPr="00051281" w:rsidRDefault="004B4B5F" w:rsidP="006242EF">
            <w:pPr>
              <w:pStyle w:val="Tabletext"/>
              <w:keepNext/>
              <w:keepLines/>
            </w:pPr>
            <w:r w:rsidRPr="00051281">
              <w:t>$</w:t>
            </w:r>
            <w:r w:rsidR="002A17A3">
              <w:rPr>
                <w:noProof/>
                <w:color w:val="000000"/>
                <w:highlight w:val="black"/>
              </w:rPr>
              <w:t>''''''''''''''''''''''''''</w:t>
            </w:r>
          </w:p>
        </w:tc>
        <w:tc>
          <w:tcPr>
            <w:tcW w:w="615" w:type="pct"/>
            <w:shd w:val="clear" w:color="auto" w:fill="auto"/>
          </w:tcPr>
          <w:p w:rsidR="004B4B5F" w:rsidRPr="00051281" w:rsidRDefault="004B4B5F" w:rsidP="006242EF">
            <w:pPr>
              <w:pStyle w:val="Tabletext"/>
              <w:keepNext/>
              <w:keepLines/>
            </w:pPr>
            <w:r w:rsidRPr="00051281">
              <w:t>$</w:t>
            </w:r>
            <w:r w:rsidR="002A17A3">
              <w:rPr>
                <w:noProof/>
                <w:color w:val="000000"/>
                <w:highlight w:val="black"/>
              </w:rPr>
              <w:t>'''''''''''''''''''''''</w:t>
            </w:r>
          </w:p>
        </w:tc>
        <w:tc>
          <w:tcPr>
            <w:tcW w:w="629" w:type="pct"/>
            <w:shd w:val="clear" w:color="auto" w:fill="auto"/>
          </w:tcPr>
          <w:p w:rsidR="004B4B5F" w:rsidRPr="00051281" w:rsidRDefault="004B4B5F" w:rsidP="006242EF">
            <w:pPr>
              <w:pStyle w:val="Tabletext"/>
              <w:keepNext/>
              <w:keepLines/>
            </w:pPr>
            <w:r w:rsidRPr="00051281">
              <w:t>$</w:t>
            </w:r>
            <w:r w:rsidR="002A17A3">
              <w:rPr>
                <w:noProof/>
                <w:color w:val="000000"/>
                <w:highlight w:val="black"/>
              </w:rPr>
              <w:t>''''''''''''''''''''''''''</w:t>
            </w:r>
          </w:p>
        </w:tc>
        <w:tc>
          <w:tcPr>
            <w:tcW w:w="629" w:type="pct"/>
            <w:shd w:val="clear" w:color="auto" w:fill="auto"/>
          </w:tcPr>
          <w:p w:rsidR="004B4B5F" w:rsidRPr="00051281" w:rsidRDefault="004B4B5F" w:rsidP="006242EF">
            <w:pPr>
              <w:pStyle w:val="Tabletext"/>
              <w:keepNext/>
              <w:keepLines/>
            </w:pPr>
            <w:r w:rsidRPr="00051281">
              <w:t>$</w:t>
            </w:r>
            <w:r w:rsidR="002A17A3">
              <w:rPr>
                <w:noProof/>
                <w:color w:val="000000"/>
                <w:highlight w:val="black"/>
              </w:rPr>
              <w:t>''''''''''''''''''''''</w:t>
            </w:r>
          </w:p>
        </w:tc>
        <w:tc>
          <w:tcPr>
            <w:tcW w:w="629" w:type="pct"/>
            <w:shd w:val="clear" w:color="auto" w:fill="auto"/>
          </w:tcPr>
          <w:p w:rsidR="004B4B5F" w:rsidRPr="00051281" w:rsidRDefault="004B4B5F" w:rsidP="006242EF">
            <w:pPr>
              <w:pStyle w:val="Tabletext"/>
              <w:keepNext/>
              <w:keepLines/>
            </w:pPr>
            <w:r w:rsidRPr="00051281">
              <w:t>$</w:t>
            </w:r>
            <w:r w:rsidR="002A17A3">
              <w:rPr>
                <w:noProof/>
                <w:color w:val="000000"/>
                <w:highlight w:val="black"/>
              </w:rPr>
              <w:t>'''''''''''''''''''''''''''</w:t>
            </w:r>
          </w:p>
        </w:tc>
        <w:tc>
          <w:tcPr>
            <w:tcW w:w="600" w:type="pct"/>
          </w:tcPr>
          <w:p w:rsidR="004B4B5F" w:rsidRPr="00051281" w:rsidRDefault="004B4B5F" w:rsidP="006242EF">
            <w:pPr>
              <w:pStyle w:val="Tabletext"/>
              <w:keepNext/>
              <w:keepLines/>
            </w:pPr>
            <w:r w:rsidRPr="00051281">
              <w:t>$</w:t>
            </w:r>
            <w:r w:rsidR="002A17A3">
              <w:rPr>
                <w:noProof/>
                <w:color w:val="000000"/>
                <w:highlight w:val="black"/>
              </w:rPr>
              <w:t>''''''''''''''''''''''''''''</w:t>
            </w:r>
          </w:p>
        </w:tc>
      </w:tr>
      <w:tr w:rsidR="006242EF" w:rsidRPr="00051281" w:rsidTr="004574B9">
        <w:trPr>
          <w:cantSplit/>
        </w:trPr>
        <w:tc>
          <w:tcPr>
            <w:tcW w:w="1255" w:type="pct"/>
            <w:shd w:val="clear" w:color="auto" w:fill="auto"/>
            <w:vAlign w:val="center"/>
          </w:tcPr>
          <w:p w:rsidR="004B4B5F" w:rsidRPr="00051281" w:rsidRDefault="004B4B5F" w:rsidP="003A03C5">
            <w:pPr>
              <w:pStyle w:val="Tabletext"/>
              <w:keepNext/>
              <w:keepLines/>
            </w:pPr>
            <w:r w:rsidRPr="00051281">
              <w:t>Co-payments</w:t>
            </w:r>
          </w:p>
        </w:tc>
        <w:tc>
          <w:tcPr>
            <w:tcW w:w="643" w:type="pct"/>
            <w:shd w:val="clear" w:color="auto" w:fill="auto"/>
          </w:tcPr>
          <w:p w:rsidR="004B4B5F" w:rsidRPr="00051281" w:rsidRDefault="004B4B5F" w:rsidP="006242EF">
            <w:pPr>
              <w:pStyle w:val="Tabletext"/>
              <w:keepNext/>
              <w:keepLines/>
            </w:pPr>
            <w:r w:rsidRPr="00051281">
              <w:t>$</w:t>
            </w:r>
            <w:r w:rsidR="002A17A3">
              <w:rPr>
                <w:noProof/>
                <w:color w:val="000000"/>
                <w:highlight w:val="black"/>
              </w:rPr>
              <w:t>'''''''''''''''''''''</w:t>
            </w:r>
          </w:p>
        </w:tc>
        <w:tc>
          <w:tcPr>
            <w:tcW w:w="615" w:type="pct"/>
            <w:shd w:val="clear" w:color="auto" w:fill="auto"/>
          </w:tcPr>
          <w:p w:rsidR="004B4B5F" w:rsidRPr="00051281" w:rsidRDefault="004B4B5F" w:rsidP="006242EF">
            <w:pPr>
              <w:pStyle w:val="Tabletext"/>
              <w:keepNext/>
              <w:keepLines/>
            </w:pPr>
            <w:r w:rsidRPr="00051281">
              <w:t>$</w:t>
            </w:r>
            <w:r w:rsidR="002A17A3">
              <w:rPr>
                <w:noProof/>
                <w:color w:val="000000"/>
                <w:highlight w:val="black"/>
              </w:rPr>
              <w:t>''''''''''''''''''''''''</w:t>
            </w:r>
          </w:p>
        </w:tc>
        <w:tc>
          <w:tcPr>
            <w:tcW w:w="629" w:type="pct"/>
            <w:shd w:val="clear" w:color="auto" w:fill="auto"/>
          </w:tcPr>
          <w:p w:rsidR="004B4B5F" w:rsidRPr="00051281" w:rsidRDefault="004B4B5F" w:rsidP="006242EF">
            <w:pPr>
              <w:pStyle w:val="Tabletext"/>
              <w:keepNext/>
              <w:keepLines/>
            </w:pPr>
            <w:r w:rsidRPr="00051281">
              <w:t>$</w:t>
            </w:r>
            <w:r w:rsidR="002A17A3">
              <w:rPr>
                <w:noProof/>
                <w:color w:val="000000"/>
                <w:highlight w:val="black"/>
              </w:rPr>
              <w:t>'''''''''''''''''''''''''</w:t>
            </w:r>
          </w:p>
        </w:tc>
        <w:tc>
          <w:tcPr>
            <w:tcW w:w="629" w:type="pct"/>
            <w:shd w:val="clear" w:color="auto" w:fill="auto"/>
          </w:tcPr>
          <w:p w:rsidR="004B4B5F" w:rsidRPr="00051281" w:rsidRDefault="004B4B5F" w:rsidP="006242EF">
            <w:pPr>
              <w:pStyle w:val="Tabletext"/>
              <w:keepNext/>
              <w:keepLines/>
            </w:pPr>
            <w:r w:rsidRPr="00051281">
              <w:t>$</w:t>
            </w:r>
            <w:r w:rsidR="002A17A3">
              <w:rPr>
                <w:noProof/>
                <w:color w:val="000000"/>
                <w:highlight w:val="black"/>
              </w:rPr>
              <w:t>'''''''''''''''''''''''</w:t>
            </w:r>
          </w:p>
        </w:tc>
        <w:tc>
          <w:tcPr>
            <w:tcW w:w="629" w:type="pct"/>
            <w:shd w:val="clear" w:color="auto" w:fill="auto"/>
          </w:tcPr>
          <w:p w:rsidR="004B4B5F" w:rsidRPr="00051281" w:rsidRDefault="004B4B5F" w:rsidP="006242EF">
            <w:pPr>
              <w:pStyle w:val="Tabletext"/>
              <w:keepNext/>
              <w:keepLines/>
            </w:pPr>
            <w:r w:rsidRPr="00051281">
              <w:t>$</w:t>
            </w:r>
            <w:r w:rsidR="002A17A3">
              <w:rPr>
                <w:noProof/>
                <w:color w:val="000000"/>
                <w:highlight w:val="black"/>
              </w:rPr>
              <w:t>'''''''''''''''''''''''</w:t>
            </w:r>
          </w:p>
        </w:tc>
        <w:tc>
          <w:tcPr>
            <w:tcW w:w="600" w:type="pct"/>
          </w:tcPr>
          <w:p w:rsidR="004B4B5F" w:rsidRPr="00051281" w:rsidRDefault="004B4B5F" w:rsidP="006242EF">
            <w:pPr>
              <w:pStyle w:val="Tabletext"/>
              <w:keepNext/>
              <w:keepLines/>
            </w:pPr>
            <w:r w:rsidRPr="00051281">
              <w:t>$</w:t>
            </w:r>
            <w:r w:rsidR="002A17A3">
              <w:rPr>
                <w:noProof/>
                <w:color w:val="000000"/>
                <w:highlight w:val="black"/>
              </w:rPr>
              <w:t>'''''''''''''''''''''</w:t>
            </w:r>
          </w:p>
        </w:tc>
      </w:tr>
      <w:tr w:rsidR="006242EF" w:rsidRPr="00051281" w:rsidTr="004574B9">
        <w:trPr>
          <w:cantSplit/>
        </w:trPr>
        <w:tc>
          <w:tcPr>
            <w:tcW w:w="1255" w:type="pct"/>
            <w:shd w:val="clear" w:color="auto" w:fill="auto"/>
            <w:vAlign w:val="center"/>
          </w:tcPr>
          <w:p w:rsidR="004B4B5F" w:rsidRPr="00051281" w:rsidRDefault="00865B99" w:rsidP="003A03C5">
            <w:pPr>
              <w:pStyle w:val="Tabletext"/>
              <w:keepNext/>
              <w:keepLines/>
            </w:pPr>
            <w:r w:rsidRPr="00051281">
              <w:t>Total c</w:t>
            </w:r>
            <w:r w:rsidR="004B4B5F" w:rsidRPr="00051281">
              <w:t xml:space="preserve">ost to PBS/RPBS </w:t>
            </w:r>
          </w:p>
        </w:tc>
        <w:tc>
          <w:tcPr>
            <w:tcW w:w="643" w:type="pct"/>
            <w:shd w:val="clear" w:color="auto" w:fill="auto"/>
          </w:tcPr>
          <w:p w:rsidR="004B4B5F" w:rsidRPr="00051281" w:rsidRDefault="004B4B5F" w:rsidP="006242EF">
            <w:pPr>
              <w:pStyle w:val="Tabletext"/>
              <w:keepNext/>
              <w:keepLines/>
            </w:pPr>
            <w:r w:rsidRPr="00051281">
              <w:t>$</w:t>
            </w:r>
            <w:r w:rsidR="002A17A3">
              <w:rPr>
                <w:noProof/>
                <w:color w:val="000000"/>
                <w:highlight w:val="black"/>
              </w:rPr>
              <w:t>''''''''''''''''''''''</w:t>
            </w:r>
          </w:p>
        </w:tc>
        <w:tc>
          <w:tcPr>
            <w:tcW w:w="615" w:type="pct"/>
            <w:shd w:val="clear" w:color="auto" w:fill="auto"/>
          </w:tcPr>
          <w:p w:rsidR="004B4B5F" w:rsidRPr="00051281" w:rsidRDefault="004B4B5F" w:rsidP="006242EF">
            <w:pPr>
              <w:pStyle w:val="Tabletext"/>
              <w:keepNext/>
              <w:keepLines/>
            </w:pPr>
            <w:r w:rsidRPr="00051281">
              <w:t>$</w:t>
            </w:r>
            <w:r w:rsidR="002A17A3">
              <w:rPr>
                <w:noProof/>
                <w:color w:val="000000"/>
                <w:highlight w:val="black"/>
              </w:rPr>
              <w:t>'''''''''''''''''''''''''</w:t>
            </w:r>
          </w:p>
        </w:tc>
        <w:tc>
          <w:tcPr>
            <w:tcW w:w="629" w:type="pct"/>
            <w:shd w:val="clear" w:color="auto" w:fill="auto"/>
          </w:tcPr>
          <w:p w:rsidR="004B4B5F" w:rsidRPr="00051281" w:rsidRDefault="004B4B5F" w:rsidP="006242EF">
            <w:pPr>
              <w:pStyle w:val="Tabletext"/>
              <w:keepNext/>
              <w:keepLines/>
            </w:pPr>
            <w:r w:rsidRPr="00051281">
              <w:t>$</w:t>
            </w:r>
            <w:r w:rsidR="002A17A3">
              <w:rPr>
                <w:noProof/>
                <w:color w:val="000000"/>
                <w:highlight w:val="black"/>
              </w:rPr>
              <w:t>'''''''''''''''''''''''''</w:t>
            </w:r>
          </w:p>
        </w:tc>
        <w:tc>
          <w:tcPr>
            <w:tcW w:w="629" w:type="pct"/>
            <w:shd w:val="clear" w:color="auto" w:fill="auto"/>
          </w:tcPr>
          <w:p w:rsidR="004B4B5F" w:rsidRPr="00051281" w:rsidRDefault="004B4B5F" w:rsidP="006242EF">
            <w:pPr>
              <w:pStyle w:val="Tabletext"/>
              <w:keepNext/>
              <w:keepLines/>
            </w:pPr>
            <w:r w:rsidRPr="00051281">
              <w:t>$</w:t>
            </w:r>
            <w:r w:rsidR="002A17A3">
              <w:rPr>
                <w:noProof/>
                <w:color w:val="000000"/>
                <w:highlight w:val="black"/>
              </w:rPr>
              <w:t>'''''''''''''''''''''''</w:t>
            </w:r>
          </w:p>
        </w:tc>
        <w:tc>
          <w:tcPr>
            <w:tcW w:w="629" w:type="pct"/>
            <w:shd w:val="clear" w:color="auto" w:fill="auto"/>
          </w:tcPr>
          <w:p w:rsidR="004B4B5F" w:rsidRPr="00051281" w:rsidRDefault="004B4B5F" w:rsidP="006242EF">
            <w:pPr>
              <w:pStyle w:val="Tabletext"/>
              <w:keepNext/>
              <w:keepLines/>
            </w:pPr>
            <w:r w:rsidRPr="00051281">
              <w:t>$</w:t>
            </w:r>
            <w:r w:rsidR="002A17A3">
              <w:rPr>
                <w:noProof/>
                <w:color w:val="000000"/>
                <w:highlight w:val="black"/>
              </w:rPr>
              <w:t>'''''''''''''''''''''''</w:t>
            </w:r>
          </w:p>
        </w:tc>
        <w:tc>
          <w:tcPr>
            <w:tcW w:w="600" w:type="pct"/>
          </w:tcPr>
          <w:p w:rsidR="004B4B5F" w:rsidRPr="00051281" w:rsidRDefault="004B4B5F" w:rsidP="006242EF">
            <w:pPr>
              <w:pStyle w:val="Tabletext"/>
              <w:keepNext/>
              <w:keepLines/>
            </w:pPr>
            <w:r w:rsidRPr="00051281">
              <w:t>$</w:t>
            </w:r>
            <w:r w:rsidR="002A17A3">
              <w:rPr>
                <w:noProof/>
                <w:color w:val="000000"/>
                <w:highlight w:val="black"/>
              </w:rPr>
              <w:t>''''''''''''''''''''''</w:t>
            </w:r>
          </w:p>
        </w:tc>
      </w:tr>
      <w:tr w:rsidR="00385A9D" w:rsidRPr="00051281" w:rsidTr="004574B9">
        <w:trPr>
          <w:cantSplit/>
        </w:trPr>
        <w:tc>
          <w:tcPr>
            <w:tcW w:w="5000" w:type="pct"/>
            <w:gridSpan w:val="7"/>
            <w:shd w:val="clear" w:color="auto" w:fill="auto"/>
            <w:vAlign w:val="center"/>
          </w:tcPr>
          <w:p w:rsidR="00385A9D" w:rsidRPr="00051281" w:rsidRDefault="00385A9D" w:rsidP="006242EF">
            <w:pPr>
              <w:pStyle w:val="Tabletext"/>
              <w:keepNext/>
              <w:keepLines/>
              <w:rPr>
                <w:b/>
              </w:rPr>
            </w:pPr>
            <w:r w:rsidRPr="00051281">
              <w:rPr>
                <w:b/>
              </w:rPr>
              <w:t xml:space="preserve">Estimated </w:t>
            </w:r>
            <w:r w:rsidR="004B4B5F" w:rsidRPr="00051281">
              <w:rPr>
                <w:b/>
              </w:rPr>
              <w:t>financial implications for other PBS medicines</w:t>
            </w:r>
          </w:p>
        </w:tc>
      </w:tr>
      <w:tr w:rsidR="006242EF" w:rsidRPr="00051281" w:rsidTr="004574B9">
        <w:trPr>
          <w:cantSplit/>
        </w:trPr>
        <w:tc>
          <w:tcPr>
            <w:tcW w:w="1255" w:type="pct"/>
            <w:shd w:val="clear" w:color="auto" w:fill="auto"/>
            <w:vAlign w:val="center"/>
          </w:tcPr>
          <w:p w:rsidR="004B4B5F" w:rsidRPr="00051281" w:rsidRDefault="004B4B5F" w:rsidP="003A1A62">
            <w:pPr>
              <w:pStyle w:val="Tabletext"/>
              <w:keepNext/>
              <w:keepLines/>
            </w:pPr>
            <w:r w:rsidRPr="00051281">
              <w:t xml:space="preserve">Cost </w:t>
            </w:r>
            <w:r w:rsidR="00865B99" w:rsidRPr="00051281">
              <w:t xml:space="preserve">offset </w:t>
            </w:r>
            <w:r w:rsidRPr="00051281">
              <w:t>to PBS/RPBS</w:t>
            </w:r>
          </w:p>
        </w:tc>
        <w:tc>
          <w:tcPr>
            <w:tcW w:w="643" w:type="pct"/>
            <w:shd w:val="clear" w:color="auto" w:fill="auto"/>
          </w:tcPr>
          <w:p w:rsidR="004B4B5F" w:rsidRPr="00051281" w:rsidRDefault="004B4B5F" w:rsidP="006242EF">
            <w:pPr>
              <w:pStyle w:val="Tabletext"/>
              <w:keepNext/>
              <w:keepLines/>
            </w:pPr>
            <w:r w:rsidRPr="00051281">
              <w:t>-$</w:t>
            </w:r>
            <w:r w:rsidR="002A17A3">
              <w:rPr>
                <w:noProof/>
                <w:color w:val="000000"/>
                <w:highlight w:val="black"/>
              </w:rPr>
              <w:t>'''''''''''''''''''''</w:t>
            </w:r>
          </w:p>
        </w:tc>
        <w:tc>
          <w:tcPr>
            <w:tcW w:w="615" w:type="pct"/>
            <w:shd w:val="clear" w:color="auto" w:fill="auto"/>
          </w:tcPr>
          <w:p w:rsidR="004B4B5F" w:rsidRPr="00051281" w:rsidRDefault="004B4B5F" w:rsidP="006242EF">
            <w:pPr>
              <w:pStyle w:val="Tabletext"/>
              <w:keepNext/>
              <w:keepLines/>
            </w:pPr>
            <w:r w:rsidRPr="00051281">
              <w:t>-$</w:t>
            </w:r>
            <w:r w:rsidR="002A17A3">
              <w:rPr>
                <w:noProof/>
                <w:color w:val="000000"/>
                <w:highlight w:val="black"/>
              </w:rPr>
              <w:t>'''''''''''''''''''</w:t>
            </w:r>
          </w:p>
        </w:tc>
        <w:tc>
          <w:tcPr>
            <w:tcW w:w="629" w:type="pct"/>
            <w:shd w:val="clear" w:color="auto" w:fill="auto"/>
          </w:tcPr>
          <w:p w:rsidR="004B4B5F" w:rsidRPr="00051281" w:rsidRDefault="004B4B5F" w:rsidP="006242EF">
            <w:pPr>
              <w:pStyle w:val="Tabletext"/>
              <w:keepNext/>
              <w:keepLines/>
            </w:pPr>
            <w:r w:rsidRPr="00051281">
              <w:t>-$</w:t>
            </w:r>
            <w:r w:rsidR="002A17A3">
              <w:rPr>
                <w:noProof/>
                <w:color w:val="000000"/>
                <w:highlight w:val="black"/>
              </w:rPr>
              <w:t>'''''''''''''''''''</w:t>
            </w:r>
          </w:p>
        </w:tc>
        <w:tc>
          <w:tcPr>
            <w:tcW w:w="629" w:type="pct"/>
            <w:shd w:val="clear" w:color="auto" w:fill="auto"/>
          </w:tcPr>
          <w:p w:rsidR="004B4B5F" w:rsidRPr="00051281" w:rsidRDefault="004B4B5F" w:rsidP="006242EF">
            <w:pPr>
              <w:pStyle w:val="Tabletext"/>
              <w:keepNext/>
              <w:keepLines/>
            </w:pPr>
            <w:r w:rsidRPr="00051281">
              <w:t>-$</w:t>
            </w:r>
            <w:r w:rsidR="002A17A3">
              <w:rPr>
                <w:noProof/>
                <w:color w:val="000000"/>
                <w:highlight w:val="black"/>
              </w:rPr>
              <w:t>''''''''''''''''''</w:t>
            </w:r>
          </w:p>
        </w:tc>
        <w:tc>
          <w:tcPr>
            <w:tcW w:w="629" w:type="pct"/>
            <w:shd w:val="clear" w:color="auto" w:fill="auto"/>
          </w:tcPr>
          <w:p w:rsidR="004B4B5F" w:rsidRPr="00051281" w:rsidRDefault="004B4B5F" w:rsidP="006242EF">
            <w:pPr>
              <w:pStyle w:val="Tabletext"/>
              <w:keepNext/>
              <w:keepLines/>
            </w:pPr>
            <w:r w:rsidRPr="00051281">
              <w:t>-$</w:t>
            </w:r>
            <w:r w:rsidR="002A17A3">
              <w:rPr>
                <w:noProof/>
                <w:color w:val="000000"/>
                <w:highlight w:val="black"/>
              </w:rPr>
              <w:t>''''''''''''''''''</w:t>
            </w:r>
          </w:p>
        </w:tc>
        <w:tc>
          <w:tcPr>
            <w:tcW w:w="600" w:type="pct"/>
          </w:tcPr>
          <w:p w:rsidR="004B4B5F" w:rsidRPr="00051281" w:rsidRDefault="004B4B5F" w:rsidP="006242EF">
            <w:pPr>
              <w:pStyle w:val="Tabletext"/>
              <w:keepNext/>
              <w:keepLines/>
            </w:pPr>
            <w:r w:rsidRPr="00051281">
              <w:t>-$</w:t>
            </w:r>
            <w:r w:rsidR="002A17A3">
              <w:rPr>
                <w:noProof/>
                <w:color w:val="000000"/>
                <w:highlight w:val="black"/>
              </w:rPr>
              <w:t>''''''''''''''''''</w:t>
            </w:r>
          </w:p>
        </w:tc>
      </w:tr>
      <w:tr w:rsidR="006242EF" w:rsidRPr="00051281" w:rsidTr="004574B9">
        <w:trPr>
          <w:cantSplit/>
        </w:trPr>
        <w:tc>
          <w:tcPr>
            <w:tcW w:w="1255" w:type="pct"/>
            <w:shd w:val="clear" w:color="auto" w:fill="auto"/>
            <w:vAlign w:val="center"/>
          </w:tcPr>
          <w:p w:rsidR="004B4B5F" w:rsidRPr="00051281" w:rsidRDefault="004B4B5F" w:rsidP="003A1A62">
            <w:pPr>
              <w:pStyle w:val="Tabletext"/>
              <w:keepNext/>
              <w:keepLines/>
            </w:pPr>
            <w:r w:rsidRPr="00051281">
              <w:t>Co-payments</w:t>
            </w:r>
          </w:p>
        </w:tc>
        <w:tc>
          <w:tcPr>
            <w:tcW w:w="643" w:type="pct"/>
            <w:shd w:val="clear" w:color="auto" w:fill="auto"/>
          </w:tcPr>
          <w:p w:rsidR="004B4B5F" w:rsidRPr="00051281" w:rsidRDefault="004B4B5F" w:rsidP="006242EF">
            <w:pPr>
              <w:pStyle w:val="Tabletext"/>
              <w:keepNext/>
              <w:keepLines/>
            </w:pPr>
            <w:r w:rsidRPr="00051281">
              <w:t>$</w:t>
            </w:r>
            <w:r w:rsidR="002A17A3">
              <w:rPr>
                <w:noProof/>
                <w:color w:val="000000"/>
                <w:highlight w:val="black"/>
              </w:rPr>
              <w:t>'''''''''''''''</w:t>
            </w:r>
          </w:p>
        </w:tc>
        <w:tc>
          <w:tcPr>
            <w:tcW w:w="615" w:type="pct"/>
            <w:shd w:val="clear" w:color="auto" w:fill="auto"/>
          </w:tcPr>
          <w:p w:rsidR="004B4B5F" w:rsidRPr="00051281" w:rsidRDefault="004B4B5F" w:rsidP="006242EF">
            <w:pPr>
              <w:pStyle w:val="Tabletext"/>
              <w:keepNext/>
              <w:keepLines/>
            </w:pPr>
            <w:r w:rsidRPr="00051281">
              <w:t>$</w:t>
            </w:r>
            <w:r w:rsidR="002A17A3">
              <w:rPr>
                <w:noProof/>
                <w:color w:val="000000"/>
                <w:highlight w:val="black"/>
              </w:rPr>
              <w:t>''''''''''''''''''</w:t>
            </w:r>
          </w:p>
        </w:tc>
        <w:tc>
          <w:tcPr>
            <w:tcW w:w="629" w:type="pct"/>
            <w:shd w:val="clear" w:color="auto" w:fill="auto"/>
          </w:tcPr>
          <w:p w:rsidR="004B4B5F" w:rsidRPr="00051281" w:rsidRDefault="004B4B5F" w:rsidP="006242EF">
            <w:pPr>
              <w:pStyle w:val="Tabletext"/>
              <w:keepNext/>
              <w:keepLines/>
            </w:pPr>
            <w:r w:rsidRPr="00051281">
              <w:t>$</w:t>
            </w:r>
            <w:r w:rsidR="002A17A3">
              <w:rPr>
                <w:noProof/>
                <w:color w:val="000000"/>
                <w:highlight w:val="black"/>
              </w:rPr>
              <w:t>'''''''''''''''''''''</w:t>
            </w:r>
          </w:p>
        </w:tc>
        <w:tc>
          <w:tcPr>
            <w:tcW w:w="629" w:type="pct"/>
            <w:shd w:val="clear" w:color="auto" w:fill="auto"/>
          </w:tcPr>
          <w:p w:rsidR="004B4B5F" w:rsidRPr="00051281" w:rsidRDefault="004B4B5F" w:rsidP="006242EF">
            <w:pPr>
              <w:pStyle w:val="Tabletext"/>
              <w:keepNext/>
              <w:keepLines/>
            </w:pPr>
            <w:r w:rsidRPr="00051281">
              <w:t>$</w:t>
            </w:r>
            <w:r w:rsidR="002A17A3">
              <w:rPr>
                <w:noProof/>
                <w:color w:val="000000"/>
                <w:highlight w:val="black"/>
              </w:rPr>
              <w:t>'''''''''''''''''''''</w:t>
            </w:r>
          </w:p>
        </w:tc>
        <w:tc>
          <w:tcPr>
            <w:tcW w:w="629" w:type="pct"/>
            <w:shd w:val="clear" w:color="auto" w:fill="auto"/>
          </w:tcPr>
          <w:p w:rsidR="004B4B5F" w:rsidRPr="00051281" w:rsidRDefault="004B4B5F" w:rsidP="006242EF">
            <w:pPr>
              <w:pStyle w:val="Tabletext"/>
              <w:keepNext/>
              <w:keepLines/>
            </w:pPr>
            <w:r w:rsidRPr="00051281">
              <w:t>$</w:t>
            </w:r>
            <w:r w:rsidR="002A17A3">
              <w:rPr>
                <w:noProof/>
                <w:color w:val="000000"/>
                <w:highlight w:val="black"/>
              </w:rPr>
              <w:t>''''''''''''''''''</w:t>
            </w:r>
          </w:p>
        </w:tc>
        <w:tc>
          <w:tcPr>
            <w:tcW w:w="600" w:type="pct"/>
          </w:tcPr>
          <w:p w:rsidR="004B4B5F" w:rsidRPr="00051281" w:rsidRDefault="004B4B5F" w:rsidP="006242EF">
            <w:pPr>
              <w:pStyle w:val="Tabletext"/>
              <w:keepNext/>
              <w:keepLines/>
            </w:pPr>
            <w:r w:rsidRPr="00051281">
              <w:t>$</w:t>
            </w:r>
            <w:r w:rsidR="002A17A3">
              <w:rPr>
                <w:noProof/>
                <w:color w:val="000000"/>
                <w:highlight w:val="black"/>
              </w:rPr>
              <w:t>'''''''''''''''''''</w:t>
            </w:r>
          </w:p>
        </w:tc>
      </w:tr>
      <w:tr w:rsidR="006242EF" w:rsidRPr="00051281" w:rsidTr="004574B9">
        <w:trPr>
          <w:cantSplit/>
        </w:trPr>
        <w:tc>
          <w:tcPr>
            <w:tcW w:w="1255" w:type="pct"/>
            <w:shd w:val="clear" w:color="auto" w:fill="auto"/>
            <w:vAlign w:val="center"/>
          </w:tcPr>
          <w:p w:rsidR="004B4B5F" w:rsidRPr="00051281" w:rsidRDefault="00865B99" w:rsidP="00865B99">
            <w:pPr>
              <w:pStyle w:val="Tabletext"/>
              <w:keepNext/>
              <w:keepLines/>
            </w:pPr>
            <w:r w:rsidRPr="00051281">
              <w:t>Total cost offset</w:t>
            </w:r>
            <w:r w:rsidR="004B4B5F" w:rsidRPr="00051281">
              <w:t xml:space="preserve"> to PBS/RPBS</w:t>
            </w:r>
          </w:p>
        </w:tc>
        <w:tc>
          <w:tcPr>
            <w:tcW w:w="643" w:type="pct"/>
            <w:shd w:val="clear" w:color="auto" w:fill="auto"/>
          </w:tcPr>
          <w:p w:rsidR="004B4B5F" w:rsidRPr="00051281" w:rsidRDefault="004B4B5F" w:rsidP="006242EF">
            <w:pPr>
              <w:pStyle w:val="Tabletext"/>
              <w:keepNext/>
              <w:keepLines/>
            </w:pPr>
            <w:r w:rsidRPr="00051281">
              <w:t>-$</w:t>
            </w:r>
            <w:r w:rsidR="002A17A3">
              <w:rPr>
                <w:noProof/>
                <w:color w:val="000000"/>
                <w:highlight w:val="black"/>
              </w:rPr>
              <w:t>''''''''''''''''''</w:t>
            </w:r>
          </w:p>
        </w:tc>
        <w:tc>
          <w:tcPr>
            <w:tcW w:w="615" w:type="pct"/>
            <w:shd w:val="clear" w:color="auto" w:fill="auto"/>
          </w:tcPr>
          <w:p w:rsidR="004B4B5F" w:rsidRPr="00051281" w:rsidRDefault="004B4B5F" w:rsidP="006242EF">
            <w:pPr>
              <w:pStyle w:val="Tabletext"/>
              <w:keepNext/>
              <w:keepLines/>
            </w:pPr>
            <w:r w:rsidRPr="00051281">
              <w:t>-$</w:t>
            </w:r>
            <w:r w:rsidR="002A17A3">
              <w:rPr>
                <w:noProof/>
                <w:color w:val="000000"/>
                <w:highlight w:val="black"/>
              </w:rPr>
              <w:t>'''''''''''''''</w:t>
            </w:r>
          </w:p>
        </w:tc>
        <w:tc>
          <w:tcPr>
            <w:tcW w:w="629" w:type="pct"/>
            <w:shd w:val="clear" w:color="auto" w:fill="auto"/>
          </w:tcPr>
          <w:p w:rsidR="004B4B5F" w:rsidRPr="00051281" w:rsidRDefault="004B4B5F" w:rsidP="006242EF">
            <w:pPr>
              <w:pStyle w:val="Tabletext"/>
              <w:keepNext/>
              <w:keepLines/>
            </w:pPr>
            <w:r w:rsidRPr="00051281">
              <w:t>-$</w:t>
            </w:r>
            <w:r w:rsidR="002A17A3">
              <w:rPr>
                <w:noProof/>
                <w:color w:val="000000"/>
                <w:highlight w:val="black"/>
              </w:rPr>
              <w:t>''''''''''''''''</w:t>
            </w:r>
          </w:p>
        </w:tc>
        <w:tc>
          <w:tcPr>
            <w:tcW w:w="629" w:type="pct"/>
            <w:shd w:val="clear" w:color="auto" w:fill="auto"/>
          </w:tcPr>
          <w:p w:rsidR="004B4B5F" w:rsidRPr="00051281" w:rsidRDefault="004B4B5F" w:rsidP="006242EF">
            <w:pPr>
              <w:pStyle w:val="Tabletext"/>
              <w:keepNext/>
              <w:keepLines/>
            </w:pPr>
            <w:r w:rsidRPr="00051281">
              <w:t>-$</w:t>
            </w:r>
            <w:r w:rsidR="002A17A3">
              <w:rPr>
                <w:noProof/>
                <w:color w:val="000000"/>
                <w:highlight w:val="black"/>
              </w:rPr>
              <w:t>''''''''''''''''</w:t>
            </w:r>
          </w:p>
        </w:tc>
        <w:tc>
          <w:tcPr>
            <w:tcW w:w="629" w:type="pct"/>
            <w:shd w:val="clear" w:color="auto" w:fill="auto"/>
          </w:tcPr>
          <w:p w:rsidR="004B4B5F" w:rsidRPr="00051281" w:rsidRDefault="004B4B5F" w:rsidP="006242EF">
            <w:pPr>
              <w:pStyle w:val="Tabletext"/>
              <w:keepNext/>
              <w:keepLines/>
            </w:pPr>
            <w:r w:rsidRPr="00051281">
              <w:t>-$</w:t>
            </w:r>
            <w:r w:rsidR="002A17A3">
              <w:rPr>
                <w:noProof/>
                <w:color w:val="000000"/>
                <w:highlight w:val="black"/>
              </w:rPr>
              <w:t>''''''''''''''''''''</w:t>
            </w:r>
          </w:p>
        </w:tc>
        <w:tc>
          <w:tcPr>
            <w:tcW w:w="600" w:type="pct"/>
          </w:tcPr>
          <w:p w:rsidR="004B4B5F" w:rsidRPr="00051281" w:rsidRDefault="004B4B5F" w:rsidP="006242EF">
            <w:pPr>
              <w:pStyle w:val="Tabletext"/>
              <w:keepNext/>
              <w:keepLines/>
            </w:pPr>
            <w:r w:rsidRPr="00051281">
              <w:t>-$</w:t>
            </w:r>
            <w:r w:rsidR="002A17A3">
              <w:rPr>
                <w:noProof/>
                <w:color w:val="000000"/>
                <w:highlight w:val="black"/>
              </w:rPr>
              <w:t>'''''''''''''''''''''</w:t>
            </w:r>
          </w:p>
        </w:tc>
      </w:tr>
      <w:tr w:rsidR="00385A9D" w:rsidRPr="00051281" w:rsidTr="004574B9">
        <w:trPr>
          <w:cantSplit/>
        </w:trPr>
        <w:tc>
          <w:tcPr>
            <w:tcW w:w="5000" w:type="pct"/>
            <w:gridSpan w:val="7"/>
            <w:shd w:val="clear" w:color="auto" w:fill="auto"/>
            <w:vAlign w:val="center"/>
          </w:tcPr>
          <w:p w:rsidR="00385A9D" w:rsidRPr="00051281" w:rsidRDefault="00385A9D" w:rsidP="006242EF">
            <w:pPr>
              <w:pStyle w:val="Tabletext"/>
              <w:keepNext/>
              <w:keepLines/>
              <w:rPr>
                <w:b/>
              </w:rPr>
            </w:pPr>
            <w:r w:rsidRPr="00051281">
              <w:rPr>
                <w:b/>
              </w:rPr>
              <w:t>Net financial implications</w:t>
            </w:r>
          </w:p>
        </w:tc>
      </w:tr>
      <w:tr w:rsidR="006242EF" w:rsidRPr="00051281" w:rsidTr="004574B9">
        <w:trPr>
          <w:cantSplit/>
        </w:trPr>
        <w:tc>
          <w:tcPr>
            <w:tcW w:w="1255" w:type="pct"/>
            <w:shd w:val="clear" w:color="auto" w:fill="auto"/>
          </w:tcPr>
          <w:p w:rsidR="000965E3" w:rsidRPr="00051281" w:rsidRDefault="000965E3" w:rsidP="003A03C5">
            <w:pPr>
              <w:pStyle w:val="Tabletext"/>
              <w:keepNext/>
              <w:keepLines/>
            </w:pPr>
            <w:r w:rsidRPr="00051281">
              <w:t>Net cost to PBS/RPBS</w:t>
            </w:r>
          </w:p>
        </w:tc>
        <w:tc>
          <w:tcPr>
            <w:tcW w:w="643" w:type="pct"/>
            <w:shd w:val="clear" w:color="auto" w:fill="auto"/>
          </w:tcPr>
          <w:p w:rsidR="000965E3" w:rsidRPr="00051281" w:rsidRDefault="000965E3" w:rsidP="006242EF">
            <w:pPr>
              <w:pStyle w:val="Tabletext"/>
              <w:keepNext/>
              <w:keepLines/>
            </w:pPr>
            <w:r w:rsidRPr="00051281">
              <w:t>$</w:t>
            </w:r>
            <w:r w:rsidR="002A17A3">
              <w:rPr>
                <w:noProof/>
                <w:color w:val="000000"/>
                <w:highlight w:val="black"/>
              </w:rPr>
              <w:t>'''''''''''''''''''''''''</w:t>
            </w:r>
          </w:p>
        </w:tc>
        <w:tc>
          <w:tcPr>
            <w:tcW w:w="615" w:type="pct"/>
            <w:shd w:val="clear" w:color="auto" w:fill="auto"/>
          </w:tcPr>
          <w:p w:rsidR="000965E3" w:rsidRPr="00051281" w:rsidRDefault="000965E3" w:rsidP="006242EF">
            <w:pPr>
              <w:pStyle w:val="Tabletext"/>
              <w:keepNext/>
              <w:keepLines/>
            </w:pPr>
            <w:r w:rsidRPr="00051281">
              <w:t>$</w:t>
            </w:r>
            <w:r w:rsidR="002A17A3">
              <w:rPr>
                <w:noProof/>
                <w:color w:val="000000"/>
                <w:highlight w:val="black"/>
              </w:rPr>
              <w:t>'''''''''''''''''''''''</w:t>
            </w:r>
          </w:p>
        </w:tc>
        <w:tc>
          <w:tcPr>
            <w:tcW w:w="629" w:type="pct"/>
            <w:shd w:val="clear" w:color="auto" w:fill="auto"/>
          </w:tcPr>
          <w:p w:rsidR="000965E3" w:rsidRPr="00051281" w:rsidRDefault="000965E3" w:rsidP="006242EF">
            <w:pPr>
              <w:pStyle w:val="Tabletext"/>
              <w:keepNext/>
              <w:keepLines/>
            </w:pPr>
            <w:r w:rsidRPr="00051281">
              <w:t>$</w:t>
            </w:r>
            <w:r w:rsidR="002A17A3">
              <w:rPr>
                <w:noProof/>
                <w:color w:val="000000"/>
                <w:highlight w:val="black"/>
              </w:rPr>
              <w:t>'''''''''''''''''''''''</w:t>
            </w:r>
          </w:p>
        </w:tc>
        <w:tc>
          <w:tcPr>
            <w:tcW w:w="629" w:type="pct"/>
            <w:shd w:val="clear" w:color="auto" w:fill="auto"/>
          </w:tcPr>
          <w:p w:rsidR="000965E3" w:rsidRPr="00051281" w:rsidRDefault="000965E3" w:rsidP="006242EF">
            <w:pPr>
              <w:pStyle w:val="Tabletext"/>
              <w:keepNext/>
              <w:keepLines/>
            </w:pPr>
            <w:r w:rsidRPr="00051281">
              <w:t>$</w:t>
            </w:r>
            <w:r w:rsidR="002A17A3">
              <w:rPr>
                <w:noProof/>
                <w:color w:val="000000"/>
                <w:highlight w:val="black"/>
              </w:rPr>
              <w:t>'''''''''''''''''''''''''</w:t>
            </w:r>
          </w:p>
        </w:tc>
        <w:tc>
          <w:tcPr>
            <w:tcW w:w="629" w:type="pct"/>
            <w:shd w:val="clear" w:color="auto" w:fill="auto"/>
          </w:tcPr>
          <w:p w:rsidR="000965E3" w:rsidRPr="00051281" w:rsidRDefault="000965E3" w:rsidP="006242EF">
            <w:pPr>
              <w:pStyle w:val="Tabletext"/>
              <w:keepNext/>
              <w:keepLines/>
            </w:pPr>
            <w:r w:rsidRPr="00051281">
              <w:t>$</w:t>
            </w:r>
            <w:r w:rsidR="002A17A3">
              <w:rPr>
                <w:noProof/>
                <w:color w:val="000000"/>
                <w:highlight w:val="black"/>
              </w:rPr>
              <w:t>''''''''''''''''''''''''''</w:t>
            </w:r>
          </w:p>
        </w:tc>
        <w:tc>
          <w:tcPr>
            <w:tcW w:w="600" w:type="pct"/>
          </w:tcPr>
          <w:p w:rsidR="000965E3" w:rsidRPr="00051281" w:rsidRDefault="000965E3" w:rsidP="006242EF">
            <w:pPr>
              <w:pStyle w:val="Tabletext"/>
              <w:keepNext/>
              <w:keepLines/>
            </w:pPr>
            <w:r w:rsidRPr="00051281">
              <w:t>$</w:t>
            </w:r>
            <w:r w:rsidR="002A17A3">
              <w:rPr>
                <w:noProof/>
                <w:color w:val="000000"/>
                <w:highlight w:val="black"/>
              </w:rPr>
              <w:t>''''''''''''''''''''''''</w:t>
            </w:r>
          </w:p>
        </w:tc>
      </w:tr>
    </w:tbl>
    <w:p w:rsidR="00385A9D" w:rsidRPr="00051281" w:rsidRDefault="00385A9D" w:rsidP="003A03C5">
      <w:pPr>
        <w:pStyle w:val="TableFooter"/>
        <w:keepNext/>
        <w:keepLines/>
      </w:pPr>
      <w:r w:rsidRPr="00051281">
        <w:t xml:space="preserve">Source: </w:t>
      </w:r>
      <w:r w:rsidR="000965E3" w:rsidRPr="00051281">
        <w:t>Tables 4.15-4.33, p</w:t>
      </w:r>
      <w:r w:rsidR="00865B99" w:rsidRPr="00051281">
        <w:t>p</w:t>
      </w:r>
      <w:r w:rsidR="000965E3" w:rsidRPr="00051281">
        <w:t>217-232; and Att_12_Section 4 Workbook.xlsx</w:t>
      </w:r>
    </w:p>
    <w:p w:rsidR="000965E3" w:rsidRPr="00051281" w:rsidRDefault="000965E3" w:rsidP="003A03C5">
      <w:pPr>
        <w:pStyle w:val="TableFooter"/>
        <w:keepNext/>
        <w:keepLines/>
        <w:rPr>
          <w:rFonts w:cs="Times New Roman"/>
          <w:szCs w:val="18"/>
        </w:rPr>
      </w:pPr>
      <w:r w:rsidRPr="00051281">
        <w:rPr>
          <w:rFonts w:cs="Times New Roman"/>
          <w:szCs w:val="18"/>
        </w:rPr>
        <w:t>PBS = Pharmaceutical Benefits Scheme; RPBS = Repatriation Pharmaceutical Benefits Scheme</w:t>
      </w:r>
    </w:p>
    <w:p w:rsidR="00C25D9C" w:rsidRDefault="000965E3" w:rsidP="00B06EA2">
      <w:pPr>
        <w:pStyle w:val="TableFooter"/>
        <w:keepNext/>
        <w:keepLines/>
        <w:tabs>
          <w:tab w:val="left" w:pos="142"/>
        </w:tabs>
        <w:spacing w:after="120"/>
        <w:jc w:val="left"/>
      </w:pPr>
      <w:proofErr w:type="spellStart"/>
      <w:proofErr w:type="gramStart"/>
      <w:r w:rsidRPr="00051281">
        <w:rPr>
          <w:vertAlign w:val="superscript"/>
        </w:rPr>
        <w:t>a</w:t>
      </w:r>
      <w:proofErr w:type="spellEnd"/>
      <w:proofErr w:type="gramEnd"/>
      <w:r w:rsidR="003A03C5" w:rsidRPr="00051281">
        <w:t xml:space="preserve"> </w:t>
      </w:r>
      <w:r w:rsidRPr="00051281">
        <w:t>Assuming 9.</w:t>
      </w:r>
      <w:r w:rsidR="00865B99" w:rsidRPr="00051281">
        <w:t>8</w:t>
      </w:r>
      <w:r w:rsidRPr="00051281">
        <w:t>5</w:t>
      </w:r>
      <w:r w:rsidR="00865B99" w:rsidRPr="00051281">
        <w:t xml:space="preserve"> </w:t>
      </w:r>
      <w:r w:rsidRPr="00051281">
        <w:t>number of scripts per year as estimated by the submiss</w:t>
      </w:r>
      <w:r w:rsidR="00261CA2">
        <w:t>ion.</w:t>
      </w:r>
    </w:p>
    <w:p w:rsidR="003F57C3" w:rsidRPr="003F57C3" w:rsidRDefault="003F57C3" w:rsidP="005E1CCA">
      <w:pPr>
        <w:pStyle w:val="TableFooter"/>
        <w:keepNext/>
        <w:keepLines/>
        <w:tabs>
          <w:tab w:val="left" w:pos="142"/>
        </w:tabs>
        <w:spacing w:before="120" w:after="120"/>
        <w:jc w:val="left"/>
        <w:rPr>
          <w:rFonts w:asciiTheme="minorHAnsi" w:hAnsiTheme="minorHAnsi"/>
          <w:sz w:val="24"/>
          <w:szCs w:val="24"/>
        </w:rPr>
      </w:pPr>
      <w:r>
        <w:rPr>
          <w:rFonts w:asciiTheme="minorHAnsi" w:hAnsiTheme="minorHAnsi"/>
          <w:sz w:val="24"/>
          <w:szCs w:val="24"/>
        </w:rPr>
        <w:t>The redacted table shows that at Year 6, the estimated number of patients was 10,000 – 50,000 per year, and the net cost to the PBS would be less than $10 million per year.</w:t>
      </w:r>
    </w:p>
    <w:p w:rsidR="000965E3" w:rsidRPr="00051281" w:rsidRDefault="000965E3" w:rsidP="003841D3">
      <w:pPr>
        <w:pStyle w:val="ListParagraph"/>
        <w:widowControl/>
        <w:numPr>
          <w:ilvl w:val="1"/>
          <w:numId w:val="1"/>
        </w:numPr>
        <w:spacing w:after="120"/>
      </w:pPr>
      <w:r w:rsidRPr="00051281">
        <w:t>The estimated financial implications for the PBS/RPBS of listing tiotropium were uncertain as:</w:t>
      </w:r>
    </w:p>
    <w:p w:rsidR="000965E3" w:rsidRPr="00051281" w:rsidRDefault="000965E3" w:rsidP="003841D3">
      <w:pPr>
        <w:pStyle w:val="ListParagraph"/>
        <w:widowControl/>
        <w:numPr>
          <w:ilvl w:val="0"/>
          <w:numId w:val="11"/>
        </w:numPr>
        <w:spacing w:after="120"/>
        <w:rPr>
          <w:szCs w:val="24"/>
        </w:rPr>
      </w:pPr>
      <w:r w:rsidRPr="00051281">
        <w:rPr>
          <w:szCs w:val="24"/>
        </w:rPr>
        <w:t>there was uncertainty surrounding the size of the eligible population and the assumed uptake rates (over or underestimate);</w:t>
      </w:r>
    </w:p>
    <w:p w:rsidR="00EF6EB9" w:rsidRPr="00051281" w:rsidRDefault="000965E3" w:rsidP="003841D3">
      <w:pPr>
        <w:pStyle w:val="ListParagraph"/>
        <w:widowControl/>
        <w:numPr>
          <w:ilvl w:val="0"/>
          <w:numId w:val="11"/>
        </w:numPr>
        <w:spacing w:after="120"/>
        <w:rPr>
          <w:szCs w:val="24"/>
        </w:rPr>
      </w:pPr>
      <w:r w:rsidRPr="00051281">
        <w:rPr>
          <w:szCs w:val="24"/>
        </w:rPr>
        <w:lastRenderedPageBreak/>
        <w:t xml:space="preserve">the rate of compliance observed in clinical practice might be lower than that observed in the clinical trials (overestimate); </w:t>
      </w:r>
    </w:p>
    <w:p w:rsidR="000965E3" w:rsidRPr="00051281" w:rsidRDefault="00EF6EB9" w:rsidP="003841D3">
      <w:pPr>
        <w:pStyle w:val="ListParagraph"/>
        <w:widowControl/>
        <w:numPr>
          <w:ilvl w:val="0"/>
          <w:numId w:val="11"/>
        </w:numPr>
        <w:spacing w:after="120"/>
        <w:rPr>
          <w:szCs w:val="24"/>
        </w:rPr>
      </w:pPr>
      <w:r w:rsidRPr="00051281">
        <w:t>the true impact on other service use is highly uncertain;</w:t>
      </w:r>
      <w:r w:rsidRPr="00051281">
        <w:rPr>
          <w:szCs w:val="24"/>
        </w:rPr>
        <w:t xml:space="preserve"> </w:t>
      </w:r>
      <w:r w:rsidR="000965E3" w:rsidRPr="00051281">
        <w:rPr>
          <w:szCs w:val="24"/>
        </w:rPr>
        <w:t>and</w:t>
      </w:r>
    </w:p>
    <w:p w:rsidR="00F13E03" w:rsidRPr="00093B99" w:rsidRDefault="000965E3" w:rsidP="003841D3">
      <w:pPr>
        <w:pStyle w:val="ListParagraph"/>
        <w:widowControl/>
        <w:numPr>
          <w:ilvl w:val="0"/>
          <w:numId w:val="11"/>
        </w:numPr>
        <w:spacing w:after="120"/>
        <w:rPr>
          <w:szCs w:val="24"/>
        </w:rPr>
      </w:pPr>
      <w:proofErr w:type="gramStart"/>
      <w:r w:rsidRPr="00051281">
        <w:rPr>
          <w:szCs w:val="24"/>
        </w:rPr>
        <w:t>there</w:t>
      </w:r>
      <w:proofErr w:type="gramEnd"/>
      <w:r w:rsidRPr="00051281">
        <w:rPr>
          <w:szCs w:val="24"/>
        </w:rPr>
        <w:t xml:space="preserve"> was potential for use of tiotropium beyond the requested restriction  (underestimate). </w:t>
      </w:r>
    </w:p>
    <w:p w:rsidR="00576972" w:rsidRPr="006B7F8A" w:rsidRDefault="00576972" w:rsidP="005E1CCA">
      <w:pPr>
        <w:pStyle w:val="Heading2"/>
      </w:pPr>
      <w:bookmarkStart w:id="14" w:name="_Toc503966239"/>
      <w:r w:rsidRPr="006B7F8A">
        <w:t>Quality Use of Medicines</w:t>
      </w:r>
      <w:bookmarkEnd w:id="14"/>
    </w:p>
    <w:p w:rsidR="00051281" w:rsidRDefault="00FF44E8" w:rsidP="005E1CCA">
      <w:pPr>
        <w:pStyle w:val="ListParagraph"/>
        <w:widowControl/>
        <w:numPr>
          <w:ilvl w:val="1"/>
          <w:numId w:val="1"/>
        </w:numPr>
        <w:spacing w:before="120" w:after="120"/>
      </w:pPr>
      <w:r w:rsidRPr="00051281">
        <w:t xml:space="preserve">The </w:t>
      </w:r>
      <w:r w:rsidR="000965E3" w:rsidRPr="00051281">
        <w:t>submission included proposals for Quality of Use of Medicine information</w:t>
      </w:r>
      <w:r w:rsidR="005053B1" w:rsidRPr="00051281">
        <w:t xml:space="preserve">, </w:t>
      </w:r>
      <w:r w:rsidR="00DD6F35" w:rsidRPr="00051281">
        <w:t xml:space="preserve">such as </w:t>
      </w:r>
      <w:r w:rsidR="005053B1" w:rsidRPr="00051281">
        <w:t>an updated product information document and additional educational resources</w:t>
      </w:r>
      <w:r w:rsidR="00E653A2" w:rsidRPr="00051281">
        <w:t xml:space="preserve"> that would ensure tiotropium would be prescribed as indicated by the TGA</w:t>
      </w:r>
      <w:r w:rsidR="000965E3" w:rsidRPr="00051281">
        <w:t xml:space="preserve">. The </w:t>
      </w:r>
      <w:r w:rsidR="00865B99" w:rsidRPr="00051281">
        <w:t xml:space="preserve">proposals </w:t>
      </w:r>
      <w:r w:rsidRPr="00051281">
        <w:t xml:space="preserve">provided </w:t>
      </w:r>
      <w:r w:rsidR="000965E3" w:rsidRPr="00051281">
        <w:t>w</w:t>
      </w:r>
      <w:r w:rsidR="00865B99" w:rsidRPr="00051281">
        <w:t>ere</w:t>
      </w:r>
      <w:r w:rsidR="000965E3" w:rsidRPr="00051281">
        <w:t xml:space="preserve"> appropriate, given that a large proportion of asthma patients might not be compliant </w:t>
      </w:r>
      <w:r w:rsidR="00865B99" w:rsidRPr="00051281">
        <w:t>with their</w:t>
      </w:r>
      <w:r w:rsidR="000965E3" w:rsidRPr="00051281">
        <w:t xml:space="preserve"> chronic asthma medication</w:t>
      </w:r>
      <w:r w:rsidR="00865B99" w:rsidRPr="00051281">
        <w:t>s</w:t>
      </w:r>
      <w:r w:rsidR="000965E3" w:rsidRPr="00051281">
        <w:t xml:space="preserve"> and the potential for tiotropium use outside of </w:t>
      </w:r>
      <w:r w:rsidR="00865B99" w:rsidRPr="00051281">
        <w:t xml:space="preserve">the </w:t>
      </w:r>
      <w:r w:rsidR="000965E3" w:rsidRPr="00051281">
        <w:t xml:space="preserve">PBS restriction. </w:t>
      </w:r>
    </w:p>
    <w:p w:rsidR="00051281" w:rsidRPr="00051281" w:rsidRDefault="00051281" w:rsidP="005E1CCA">
      <w:pPr>
        <w:pStyle w:val="ListParagraph"/>
        <w:widowControl/>
        <w:spacing w:before="120" w:after="120"/>
      </w:pPr>
      <w:r w:rsidRPr="00DA407B">
        <w:rPr>
          <w:rFonts w:asciiTheme="minorHAnsi" w:hAnsiTheme="minorHAnsi"/>
          <w:i/>
        </w:rPr>
        <w:t>For more detail on PBAC’s view, see section 7 PBAC outcome.</w:t>
      </w:r>
    </w:p>
    <w:p w:rsidR="00051281" w:rsidRPr="00854E77" w:rsidRDefault="00051281" w:rsidP="006B7F8A">
      <w:pPr>
        <w:pStyle w:val="PBACHeading1"/>
        <w:numPr>
          <w:ilvl w:val="0"/>
          <w:numId w:val="1"/>
        </w:numPr>
        <w:spacing w:before="240" w:after="120"/>
        <w:outlineLvl w:val="0"/>
      </w:pPr>
      <w:r w:rsidRPr="00854E77">
        <w:t>PBAC Outcome</w:t>
      </w:r>
    </w:p>
    <w:p w:rsidR="00F36419" w:rsidRDefault="007831BF" w:rsidP="00051281">
      <w:pPr>
        <w:numPr>
          <w:ilvl w:val="1"/>
          <w:numId w:val="1"/>
        </w:numPr>
        <w:spacing w:after="120"/>
        <w:rPr>
          <w:rFonts w:asciiTheme="minorHAnsi" w:hAnsiTheme="minorHAnsi"/>
          <w:bCs/>
          <w:lang w:val="en-GB"/>
        </w:rPr>
      </w:pPr>
      <w:r>
        <w:rPr>
          <w:rFonts w:asciiTheme="minorHAnsi" w:hAnsiTheme="minorHAnsi"/>
          <w:bCs/>
          <w:lang w:val="en-GB"/>
        </w:rPr>
        <w:t>The PBAC decided</w:t>
      </w:r>
      <w:r w:rsidR="00F36419">
        <w:rPr>
          <w:rFonts w:asciiTheme="minorHAnsi" w:hAnsiTheme="minorHAnsi"/>
          <w:bCs/>
          <w:lang w:val="en-GB"/>
        </w:rPr>
        <w:t xml:space="preserve"> not </w:t>
      </w:r>
      <w:r>
        <w:rPr>
          <w:rFonts w:asciiTheme="minorHAnsi" w:hAnsiTheme="minorHAnsi"/>
          <w:bCs/>
          <w:lang w:val="en-GB"/>
        </w:rPr>
        <w:t xml:space="preserve">to </w:t>
      </w:r>
      <w:r w:rsidR="00F36419">
        <w:rPr>
          <w:rFonts w:asciiTheme="minorHAnsi" w:hAnsiTheme="minorHAnsi"/>
          <w:bCs/>
          <w:lang w:val="en-GB"/>
        </w:rPr>
        <w:t xml:space="preserve">recommend </w:t>
      </w:r>
      <w:r w:rsidR="00D35B7A">
        <w:rPr>
          <w:rFonts w:asciiTheme="minorHAnsi" w:hAnsiTheme="minorHAnsi"/>
          <w:bCs/>
          <w:lang w:val="en-GB"/>
        </w:rPr>
        <w:t>the Authority Required (STREAMLINED) listing for tiotropium solution for inhalation in patients aged 6 to 17 years old with severe asthma.</w:t>
      </w:r>
      <w:r w:rsidR="002D52F7">
        <w:rPr>
          <w:rFonts w:asciiTheme="minorHAnsi" w:hAnsiTheme="minorHAnsi"/>
          <w:bCs/>
          <w:lang w:val="en-GB"/>
        </w:rPr>
        <w:t xml:space="preserve"> The PBAC considered the clinical claim of superior effectiveness in comparison to placebo plus optimised asthma therapy to be questionable as there were several issues with the methodology and conclusions </w:t>
      </w:r>
      <w:r w:rsidR="009B41AA">
        <w:rPr>
          <w:rFonts w:asciiTheme="minorHAnsi" w:hAnsiTheme="minorHAnsi"/>
          <w:bCs/>
          <w:lang w:val="en-GB"/>
        </w:rPr>
        <w:t>based on</w:t>
      </w:r>
      <w:r w:rsidR="002D52F7">
        <w:rPr>
          <w:rFonts w:asciiTheme="minorHAnsi" w:hAnsiTheme="minorHAnsi"/>
          <w:bCs/>
          <w:lang w:val="en-GB"/>
        </w:rPr>
        <w:t xml:space="preserve"> the clinical trials presented in the submission.</w:t>
      </w:r>
      <w:r w:rsidR="006A744E">
        <w:rPr>
          <w:rFonts w:asciiTheme="minorHAnsi" w:hAnsiTheme="minorHAnsi"/>
          <w:bCs/>
          <w:lang w:val="en-GB"/>
        </w:rPr>
        <w:t xml:space="preserve"> The PBAC also considered the economic model based on a cost per symptomatic exacerbation avoided was problematic.</w:t>
      </w:r>
    </w:p>
    <w:p w:rsidR="00305D87" w:rsidRDefault="005C3939" w:rsidP="00051281">
      <w:pPr>
        <w:numPr>
          <w:ilvl w:val="1"/>
          <w:numId w:val="1"/>
        </w:numPr>
        <w:spacing w:after="120"/>
        <w:rPr>
          <w:rFonts w:asciiTheme="minorHAnsi" w:hAnsiTheme="minorHAnsi"/>
          <w:bCs/>
          <w:lang w:val="en-GB"/>
        </w:rPr>
      </w:pPr>
      <w:r>
        <w:rPr>
          <w:rFonts w:asciiTheme="minorHAnsi" w:hAnsiTheme="minorHAnsi"/>
          <w:bCs/>
          <w:lang w:val="en-GB"/>
        </w:rPr>
        <w:t xml:space="preserve">The PBAC noted the majority of trial patients were receiving triple therapy, consisting of a high dose ICS, a LABA and a LTRA, </w:t>
      </w:r>
      <w:r w:rsidR="00B949DE">
        <w:rPr>
          <w:rFonts w:asciiTheme="minorHAnsi" w:hAnsiTheme="minorHAnsi"/>
          <w:bCs/>
          <w:lang w:val="en-GB"/>
        </w:rPr>
        <w:t>which was not consistent with</w:t>
      </w:r>
      <w:r>
        <w:rPr>
          <w:rFonts w:asciiTheme="minorHAnsi" w:hAnsiTheme="minorHAnsi"/>
          <w:bCs/>
          <w:lang w:val="en-GB"/>
        </w:rPr>
        <w:t xml:space="preserve"> the proposed PBS restriction</w:t>
      </w:r>
      <w:r w:rsidR="00B949DE">
        <w:rPr>
          <w:rFonts w:asciiTheme="minorHAnsi" w:hAnsiTheme="minorHAnsi"/>
          <w:bCs/>
          <w:lang w:val="en-GB"/>
        </w:rPr>
        <w:t xml:space="preserve"> that</w:t>
      </w:r>
      <w:r>
        <w:rPr>
          <w:rFonts w:asciiTheme="minorHAnsi" w:hAnsiTheme="minorHAnsi"/>
          <w:bCs/>
          <w:lang w:val="en-GB"/>
        </w:rPr>
        <w:t xml:space="preserve"> required patients to have uncontrolled severe asthma despite optimal treatment with an ICS and a LABA.</w:t>
      </w:r>
      <w:r w:rsidR="00D01EE7">
        <w:rPr>
          <w:rFonts w:asciiTheme="minorHAnsi" w:hAnsiTheme="minorHAnsi"/>
          <w:bCs/>
          <w:lang w:val="en-GB"/>
        </w:rPr>
        <w:t xml:space="preserve"> </w:t>
      </w:r>
    </w:p>
    <w:p w:rsidR="00D01EE7" w:rsidRDefault="00D01EE7" w:rsidP="009B41AA">
      <w:pPr>
        <w:numPr>
          <w:ilvl w:val="1"/>
          <w:numId w:val="1"/>
        </w:numPr>
        <w:spacing w:after="120"/>
        <w:rPr>
          <w:rFonts w:asciiTheme="minorHAnsi" w:hAnsiTheme="minorHAnsi"/>
          <w:bCs/>
          <w:lang w:val="en-GB"/>
        </w:rPr>
      </w:pPr>
      <w:r>
        <w:rPr>
          <w:rFonts w:asciiTheme="minorHAnsi" w:hAnsiTheme="minorHAnsi"/>
          <w:bCs/>
          <w:lang w:val="en-GB"/>
        </w:rPr>
        <w:t xml:space="preserve">The PBAC noted both pivotal trials </w:t>
      </w:r>
      <w:r w:rsidR="002B3BF4">
        <w:rPr>
          <w:rFonts w:asciiTheme="minorHAnsi" w:hAnsiTheme="minorHAnsi"/>
          <w:bCs/>
          <w:lang w:val="en-GB"/>
        </w:rPr>
        <w:t>were conducted over short 12 week durations</w:t>
      </w:r>
      <w:r w:rsidR="0039096E">
        <w:rPr>
          <w:rFonts w:asciiTheme="minorHAnsi" w:hAnsiTheme="minorHAnsi"/>
          <w:bCs/>
          <w:lang w:val="en-GB"/>
        </w:rPr>
        <w:t>, which</w:t>
      </w:r>
      <w:r w:rsidR="002B3BF4">
        <w:rPr>
          <w:rFonts w:asciiTheme="minorHAnsi" w:hAnsiTheme="minorHAnsi"/>
          <w:bCs/>
          <w:lang w:val="en-GB"/>
        </w:rPr>
        <w:t xml:space="preserve"> was not </w:t>
      </w:r>
      <w:r w:rsidR="00B44F69">
        <w:rPr>
          <w:rFonts w:asciiTheme="minorHAnsi" w:hAnsiTheme="minorHAnsi"/>
          <w:bCs/>
          <w:lang w:val="en-GB"/>
        </w:rPr>
        <w:t>optimal</w:t>
      </w:r>
      <w:r w:rsidR="002B3BF4">
        <w:rPr>
          <w:rFonts w:asciiTheme="minorHAnsi" w:hAnsiTheme="minorHAnsi"/>
          <w:bCs/>
          <w:lang w:val="en-GB"/>
        </w:rPr>
        <w:t xml:space="preserve"> for a typically long term disease such as severe asthma. As expected from trials of a short duration, low numbers of symptomatic and severe exacerbations were recorded</w:t>
      </w:r>
      <w:r w:rsidR="00B44F69">
        <w:rPr>
          <w:rFonts w:asciiTheme="minorHAnsi" w:hAnsiTheme="minorHAnsi"/>
          <w:bCs/>
          <w:lang w:val="en-GB"/>
        </w:rPr>
        <w:t xml:space="preserve"> in both</w:t>
      </w:r>
      <w:r w:rsidR="003045E5">
        <w:rPr>
          <w:rFonts w:asciiTheme="minorHAnsi" w:hAnsiTheme="minorHAnsi"/>
          <w:bCs/>
          <w:lang w:val="en-GB"/>
        </w:rPr>
        <w:t xml:space="preserve"> the</w:t>
      </w:r>
      <w:r w:rsidR="00B44F69">
        <w:rPr>
          <w:rFonts w:asciiTheme="minorHAnsi" w:hAnsiTheme="minorHAnsi"/>
          <w:bCs/>
          <w:lang w:val="en-GB"/>
        </w:rPr>
        <w:t xml:space="preserve"> tiotropium and placebo arms</w:t>
      </w:r>
      <w:r w:rsidR="002B3BF4">
        <w:rPr>
          <w:rFonts w:asciiTheme="minorHAnsi" w:hAnsiTheme="minorHAnsi"/>
          <w:bCs/>
          <w:lang w:val="en-GB"/>
        </w:rPr>
        <w:t xml:space="preserve">, thus it was not possible </w:t>
      </w:r>
      <w:r w:rsidR="009B41AA">
        <w:rPr>
          <w:rFonts w:asciiTheme="minorHAnsi" w:hAnsiTheme="minorHAnsi"/>
          <w:bCs/>
          <w:lang w:val="en-GB"/>
        </w:rPr>
        <w:t>t</w:t>
      </w:r>
      <w:r w:rsidR="009B41AA" w:rsidRPr="009B41AA">
        <w:rPr>
          <w:rFonts w:asciiTheme="minorHAnsi" w:hAnsiTheme="minorHAnsi"/>
          <w:bCs/>
          <w:lang w:val="en-GB"/>
        </w:rPr>
        <w:t>o obtain reliable estimates for these events from the trials and the differences observed were not statistically significant</w:t>
      </w:r>
      <w:r w:rsidR="002B3BF4">
        <w:rPr>
          <w:rFonts w:asciiTheme="minorHAnsi" w:hAnsiTheme="minorHAnsi"/>
          <w:bCs/>
          <w:lang w:val="en-GB"/>
        </w:rPr>
        <w:t>.</w:t>
      </w:r>
      <w:r w:rsidR="0057401E">
        <w:rPr>
          <w:rFonts w:asciiTheme="minorHAnsi" w:hAnsiTheme="minorHAnsi"/>
          <w:bCs/>
          <w:lang w:val="en-GB"/>
        </w:rPr>
        <w:t xml:space="preserve"> Despite this, the submission used these outcomes </w:t>
      </w:r>
      <w:r w:rsidR="00794FCA">
        <w:rPr>
          <w:rFonts w:asciiTheme="minorHAnsi" w:hAnsiTheme="minorHAnsi"/>
          <w:bCs/>
          <w:lang w:val="en-GB"/>
        </w:rPr>
        <w:t>i</w:t>
      </w:r>
      <w:r w:rsidR="0057401E">
        <w:rPr>
          <w:rFonts w:asciiTheme="minorHAnsi" w:hAnsiTheme="minorHAnsi"/>
          <w:bCs/>
          <w:lang w:val="en-GB"/>
        </w:rPr>
        <w:t xml:space="preserve">n the economic </w:t>
      </w:r>
      <w:proofErr w:type="spellStart"/>
      <w:r w:rsidR="0057401E">
        <w:rPr>
          <w:rFonts w:asciiTheme="minorHAnsi" w:hAnsiTheme="minorHAnsi"/>
          <w:bCs/>
          <w:lang w:val="en-GB"/>
        </w:rPr>
        <w:t>anlaysis</w:t>
      </w:r>
      <w:proofErr w:type="spellEnd"/>
      <w:r w:rsidR="0057401E">
        <w:rPr>
          <w:rFonts w:asciiTheme="minorHAnsi" w:hAnsiTheme="minorHAnsi"/>
          <w:bCs/>
          <w:lang w:val="en-GB"/>
        </w:rPr>
        <w:t xml:space="preserve">. </w:t>
      </w:r>
    </w:p>
    <w:p w:rsidR="00B44F69" w:rsidRDefault="00B966E7" w:rsidP="00051281">
      <w:pPr>
        <w:numPr>
          <w:ilvl w:val="1"/>
          <w:numId w:val="1"/>
        </w:numPr>
        <w:spacing w:after="120"/>
        <w:rPr>
          <w:rFonts w:asciiTheme="minorHAnsi" w:hAnsiTheme="minorHAnsi"/>
          <w:bCs/>
          <w:lang w:val="en-GB"/>
        </w:rPr>
      </w:pPr>
      <w:r>
        <w:rPr>
          <w:rFonts w:asciiTheme="minorHAnsi" w:hAnsiTheme="minorHAnsi"/>
          <w:bCs/>
          <w:lang w:val="en-GB"/>
        </w:rPr>
        <w:t>The PBAC considered FEV</w:t>
      </w:r>
      <w:r>
        <w:rPr>
          <w:rFonts w:asciiTheme="minorHAnsi" w:hAnsiTheme="minorHAnsi"/>
          <w:bCs/>
          <w:vertAlign w:val="subscript"/>
          <w:lang w:val="en-GB"/>
        </w:rPr>
        <w:t>1</w:t>
      </w:r>
      <w:r>
        <w:rPr>
          <w:rFonts w:asciiTheme="minorHAnsi" w:hAnsiTheme="minorHAnsi"/>
          <w:bCs/>
          <w:vertAlign w:val="subscript"/>
          <w:lang w:val="en-GB"/>
        </w:rPr>
        <w:softHyphen/>
        <w:t xml:space="preserve"> </w:t>
      </w:r>
      <w:r>
        <w:rPr>
          <w:rFonts w:asciiTheme="minorHAnsi" w:hAnsiTheme="minorHAnsi"/>
          <w:bCs/>
          <w:lang w:val="en-GB"/>
        </w:rPr>
        <w:t>peak to be</w:t>
      </w:r>
      <w:r w:rsidR="009374FD">
        <w:rPr>
          <w:rFonts w:asciiTheme="minorHAnsi" w:hAnsiTheme="minorHAnsi"/>
          <w:bCs/>
          <w:lang w:val="en-GB"/>
        </w:rPr>
        <w:t xml:space="preserve"> a measure of short term effect, and</w:t>
      </w:r>
      <w:r w:rsidR="00D20EB6">
        <w:rPr>
          <w:rFonts w:asciiTheme="minorHAnsi" w:hAnsiTheme="minorHAnsi"/>
          <w:bCs/>
          <w:lang w:val="en-GB"/>
        </w:rPr>
        <w:t xml:space="preserve"> agreed with the ESC’s view that a bronchodilator response was not unexpected given that trial patients had been taking concomitant LABA which is also a bronchodilator, and that a longer period of follow-up may be required to detect an effect on exacerbations. </w:t>
      </w:r>
      <w:r w:rsidR="0057401E">
        <w:rPr>
          <w:rFonts w:asciiTheme="minorHAnsi" w:hAnsiTheme="minorHAnsi"/>
          <w:bCs/>
          <w:lang w:val="en-GB"/>
        </w:rPr>
        <w:t xml:space="preserve">Noting the submission stated that no longer term trials in this </w:t>
      </w:r>
      <w:r w:rsidR="0057401E">
        <w:rPr>
          <w:rFonts w:asciiTheme="minorHAnsi" w:hAnsiTheme="minorHAnsi"/>
          <w:bCs/>
          <w:lang w:val="en-GB"/>
        </w:rPr>
        <w:lastRenderedPageBreak/>
        <w:t xml:space="preserve">population are expected, the PBAC considered the extrapolation of adult outcomes to the adolescent population may be reasonable. However, PBAC also noted the longer term, 48-week, trials in </w:t>
      </w:r>
      <w:proofErr w:type="spellStart"/>
      <w:r w:rsidR="0057401E">
        <w:rPr>
          <w:rFonts w:asciiTheme="minorHAnsi" w:hAnsiTheme="minorHAnsi"/>
          <w:bCs/>
          <w:lang w:val="en-GB"/>
        </w:rPr>
        <w:t>pateints</w:t>
      </w:r>
      <w:proofErr w:type="spellEnd"/>
      <w:r w:rsidR="0057401E">
        <w:rPr>
          <w:rFonts w:asciiTheme="minorHAnsi" w:hAnsiTheme="minorHAnsi"/>
          <w:bCs/>
          <w:lang w:val="en-GB"/>
        </w:rPr>
        <w:t xml:space="preserve"> with more moderate disease, may have provided some further support to these claims.</w:t>
      </w:r>
    </w:p>
    <w:p w:rsidR="00D93D85" w:rsidRPr="00C721BB" w:rsidRDefault="00B44F69" w:rsidP="00D93D85">
      <w:pPr>
        <w:numPr>
          <w:ilvl w:val="1"/>
          <w:numId w:val="1"/>
        </w:numPr>
        <w:spacing w:after="120"/>
        <w:rPr>
          <w:rFonts w:asciiTheme="minorHAnsi" w:hAnsiTheme="minorHAnsi"/>
          <w:bCs/>
          <w:lang w:val="en-GB"/>
        </w:rPr>
      </w:pPr>
      <w:r>
        <w:rPr>
          <w:rFonts w:asciiTheme="minorHAnsi" w:hAnsiTheme="minorHAnsi"/>
          <w:bCs/>
          <w:lang w:val="en-GB"/>
        </w:rPr>
        <w:t>The PBAC noted that the secondary outcome of trough FEV</w:t>
      </w:r>
      <w:r>
        <w:rPr>
          <w:rFonts w:asciiTheme="minorHAnsi" w:hAnsiTheme="minorHAnsi"/>
          <w:bCs/>
          <w:vertAlign w:val="subscript"/>
          <w:lang w:val="en-GB"/>
        </w:rPr>
        <w:t>1</w:t>
      </w:r>
      <w:r>
        <w:rPr>
          <w:rFonts w:asciiTheme="minorHAnsi" w:hAnsiTheme="minorHAnsi"/>
          <w:bCs/>
          <w:lang w:val="en-GB"/>
        </w:rPr>
        <w:t xml:space="preserve"> with MCID of 0.10</w:t>
      </w:r>
      <w:r w:rsidR="0057401E">
        <w:rPr>
          <w:rFonts w:asciiTheme="minorHAnsi" w:hAnsiTheme="minorHAnsi"/>
          <w:bCs/>
          <w:lang w:val="en-GB"/>
        </w:rPr>
        <w:t xml:space="preserve"> </w:t>
      </w:r>
      <w:r>
        <w:rPr>
          <w:rFonts w:asciiTheme="minorHAnsi" w:hAnsiTheme="minorHAnsi"/>
          <w:bCs/>
          <w:lang w:val="en-GB"/>
        </w:rPr>
        <w:t>L had previously been accepted in the consideration of tiotropium in adults</w:t>
      </w:r>
      <w:r w:rsidR="009B41AA">
        <w:rPr>
          <w:rFonts w:asciiTheme="minorHAnsi" w:hAnsiTheme="minorHAnsi"/>
          <w:bCs/>
          <w:lang w:val="en-GB"/>
        </w:rPr>
        <w:t xml:space="preserve"> as a</w:t>
      </w:r>
      <w:r w:rsidRPr="00BF09ED">
        <w:rPr>
          <w:rFonts w:asciiTheme="minorHAnsi" w:hAnsiTheme="minorHAnsi"/>
          <w:bCs/>
          <w:lang w:val="en-GB"/>
        </w:rPr>
        <w:t xml:space="preserve"> clinically meaningful</w:t>
      </w:r>
      <w:r w:rsidR="009B41AA">
        <w:rPr>
          <w:rFonts w:asciiTheme="minorHAnsi" w:hAnsiTheme="minorHAnsi"/>
          <w:bCs/>
          <w:lang w:val="en-GB"/>
        </w:rPr>
        <w:t xml:space="preserve"> outcome</w:t>
      </w:r>
      <w:r w:rsidRPr="00BF09ED">
        <w:rPr>
          <w:rFonts w:asciiTheme="minorHAnsi" w:hAnsiTheme="minorHAnsi"/>
          <w:bCs/>
          <w:lang w:val="en-GB"/>
        </w:rPr>
        <w:t>. Results of the trough FEV</w:t>
      </w:r>
      <w:r w:rsidRPr="00BF09ED">
        <w:rPr>
          <w:rFonts w:asciiTheme="minorHAnsi" w:hAnsiTheme="minorHAnsi"/>
          <w:bCs/>
          <w:vertAlign w:val="subscript"/>
          <w:lang w:val="en-GB"/>
        </w:rPr>
        <w:t>1</w:t>
      </w:r>
      <w:r w:rsidRPr="00BF09ED">
        <w:rPr>
          <w:rFonts w:asciiTheme="minorHAnsi" w:hAnsiTheme="minorHAnsi"/>
          <w:bCs/>
          <w:vertAlign w:val="subscript"/>
          <w:lang w:val="en-GB"/>
        </w:rPr>
        <w:softHyphen/>
      </w:r>
      <w:r w:rsidRPr="00BF09ED">
        <w:rPr>
          <w:rFonts w:asciiTheme="minorHAnsi" w:hAnsiTheme="minorHAnsi"/>
          <w:bCs/>
          <w:vertAlign w:val="subscript"/>
          <w:lang w:val="en-GB"/>
        </w:rPr>
        <w:softHyphen/>
        <w:t xml:space="preserve"> </w:t>
      </w:r>
      <w:r w:rsidRPr="00BF09ED">
        <w:rPr>
          <w:rFonts w:asciiTheme="minorHAnsi" w:hAnsiTheme="minorHAnsi"/>
          <w:bCs/>
          <w:lang w:val="en-GB"/>
        </w:rPr>
        <w:t>outcome did not show any clinically significa</w:t>
      </w:r>
      <w:r w:rsidR="0057401E" w:rsidRPr="00BF09ED">
        <w:rPr>
          <w:rFonts w:asciiTheme="minorHAnsi" w:hAnsiTheme="minorHAnsi"/>
          <w:bCs/>
          <w:lang w:val="en-GB"/>
        </w:rPr>
        <w:t xml:space="preserve">nt </w:t>
      </w:r>
      <w:r w:rsidR="009B41AA">
        <w:rPr>
          <w:rFonts w:asciiTheme="minorHAnsi" w:hAnsiTheme="minorHAnsi"/>
          <w:bCs/>
          <w:lang w:val="en-GB"/>
        </w:rPr>
        <w:t>difference</w:t>
      </w:r>
      <w:r w:rsidR="009B41AA" w:rsidRPr="00BF09ED">
        <w:rPr>
          <w:rFonts w:asciiTheme="minorHAnsi" w:hAnsiTheme="minorHAnsi"/>
          <w:bCs/>
          <w:lang w:val="en-GB"/>
        </w:rPr>
        <w:t xml:space="preserve"> </w:t>
      </w:r>
      <w:r w:rsidR="0057401E" w:rsidRPr="00BF09ED">
        <w:rPr>
          <w:rFonts w:asciiTheme="minorHAnsi" w:hAnsiTheme="minorHAnsi"/>
          <w:bCs/>
          <w:lang w:val="en-GB"/>
        </w:rPr>
        <w:t xml:space="preserve">in either of the 6-11 </w:t>
      </w:r>
      <w:r w:rsidRPr="00BF09ED">
        <w:rPr>
          <w:rFonts w:asciiTheme="minorHAnsi" w:hAnsiTheme="minorHAnsi"/>
          <w:bCs/>
          <w:lang w:val="en-GB"/>
        </w:rPr>
        <w:t>or 12</w:t>
      </w:r>
      <w:r w:rsidR="00D93D85" w:rsidRPr="00BF09ED">
        <w:rPr>
          <w:rFonts w:asciiTheme="minorHAnsi" w:hAnsiTheme="minorHAnsi"/>
          <w:bCs/>
          <w:lang w:val="en-GB"/>
        </w:rPr>
        <w:t>-</w:t>
      </w:r>
      <w:r w:rsidRPr="00BF09ED">
        <w:rPr>
          <w:rFonts w:asciiTheme="minorHAnsi" w:hAnsiTheme="minorHAnsi"/>
          <w:bCs/>
          <w:lang w:val="en-GB"/>
        </w:rPr>
        <w:t xml:space="preserve">17 year </w:t>
      </w:r>
      <w:r w:rsidR="003045E5">
        <w:rPr>
          <w:rFonts w:asciiTheme="minorHAnsi" w:hAnsiTheme="minorHAnsi"/>
          <w:bCs/>
          <w:lang w:val="en-GB"/>
        </w:rPr>
        <w:t xml:space="preserve">age </w:t>
      </w:r>
      <w:r w:rsidRPr="00BF09ED">
        <w:rPr>
          <w:rFonts w:asciiTheme="minorHAnsi" w:hAnsiTheme="minorHAnsi"/>
          <w:bCs/>
          <w:lang w:val="en-GB"/>
        </w:rPr>
        <w:t xml:space="preserve">group trials. </w:t>
      </w:r>
      <w:r w:rsidR="00D93D85" w:rsidRPr="00BF09ED">
        <w:rPr>
          <w:rFonts w:asciiTheme="minorHAnsi" w:hAnsiTheme="minorHAnsi"/>
          <w:bCs/>
          <w:lang w:val="en-GB"/>
        </w:rPr>
        <w:t xml:space="preserve">The PBAC noted the ESC’s </w:t>
      </w:r>
      <w:r w:rsidR="009B41AA">
        <w:rPr>
          <w:rFonts w:asciiTheme="minorHAnsi" w:hAnsiTheme="minorHAnsi"/>
          <w:bCs/>
          <w:lang w:val="en-GB"/>
        </w:rPr>
        <w:t>view</w:t>
      </w:r>
      <w:r w:rsidR="009B41AA" w:rsidRPr="00BF09ED">
        <w:rPr>
          <w:rFonts w:asciiTheme="minorHAnsi" w:hAnsiTheme="minorHAnsi"/>
          <w:bCs/>
          <w:lang w:val="en-GB"/>
        </w:rPr>
        <w:t xml:space="preserve"> </w:t>
      </w:r>
      <w:r w:rsidR="00D93D85" w:rsidRPr="00BF09ED">
        <w:rPr>
          <w:rFonts w:asciiTheme="minorHAnsi" w:hAnsiTheme="minorHAnsi"/>
          <w:bCs/>
          <w:lang w:val="en-GB"/>
        </w:rPr>
        <w:t xml:space="preserve">that the strong placebo responses suggested that adherence to maximal optimal asthma therapy was poor prior to the trials, especially in the 12-17 year group, and thus </w:t>
      </w:r>
      <w:r w:rsidR="00EE15C9" w:rsidRPr="007E2A14">
        <w:rPr>
          <w:rFonts w:asciiTheme="minorHAnsi" w:hAnsiTheme="minorHAnsi"/>
          <w:lang w:val="en-GB"/>
        </w:rPr>
        <w:t xml:space="preserve">the addition of tiotropium to the dosing regimen </w:t>
      </w:r>
      <w:r w:rsidR="00D93D85" w:rsidRPr="00BF09ED">
        <w:rPr>
          <w:rFonts w:asciiTheme="minorHAnsi" w:hAnsiTheme="minorHAnsi"/>
          <w:bCs/>
          <w:lang w:val="en-GB"/>
        </w:rPr>
        <w:t xml:space="preserve">was not the most clinically appropriate </w:t>
      </w:r>
      <w:r w:rsidR="00EE15C9">
        <w:rPr>
          <w:rFonts w:asciiTheme="minorHAnsi" w:hAnsiTheme="minorHAnsi"/>
          <w:bCs/>
          <w:lang w:val="en-GB"/>
        </w:rPr>
        <w:t>approach</w:t>
      </w:r>
      <w:r w:rsidR="00D93D85" w:rsidRPr="00BF09ED">
        <w:rPr>
          <w:rFonts w:asciiTheme="minorHAnsi" w:hAnsiTheme="minorHAnsi"/>
          <w:bCs/>
          <w:lang w:val="en-GB"/>
        </w:rPr>
        <w:t xml:space="preserve">. The PBAC noted the consumer response from Asthma Australia emphasised the importance of </w:t>
      </w:r>
      <w:r w:rsidR="00C75A3A">
        <w:rPr>
          <w:rFonts w:asciiTheme="minorHAnsi" w:hAnsiTheme="minorHAnsi"/>
          <w:bCs/>
          <w:lang w:val="en-GB"/>
        </w:rPr>
        <w:t>patie</w:t>
      </w:r>
      <w:r w:rsidR="00BF09ED">
        <w:rPr>
          <w:rFonts w:asciiTheme="minorHAnsi" w:hAnsiTheme="minorHAnsi"/>
          <w:bCs/>
          <w:lang w:val="en-GB"/>
        </w:rPr>
        <w:t xml:space="preserve">nts undergoing systematic evaluation and following </w:t>
      </w:r>
      <w:r w:rsidR="00D93D85" w:rsidRPr="00BF09ED">
        <w:rPr>
          <w:rFonts w:asciiTheme="minorHAnsi" w:hAnsiTheme="minorHAnsi"/>
          <w:bCs/>
          <w:lang w:val="en-GB"/>
        </w:rPr>
        <w:t xml:space="preserve">the stepped approach </w:t>
      </w:r>
      <w:r w:rsidR="00D93D85" w:rsidRPr="00BF09ED">
        <w:rPr>
          <w:rFonts w:asciiTheme="minorHAnsi" w:hAnsiTheme="minorHAnsi"/>
          <w:bCs/>
        </w:rPr>
        <w:t xml:space="preserve">to treatment of children and adolescents, particularly in regards to the prescribing </w:t>
      </w:r>
      <w:r w:rsidR="00D93D85" w:rsidRPr="00A145D7">
        <w:rPr>
          <w:rFonts w:asciiTheme="minorHAnsi" w:hAnsiTheme="minorHAnsi"/>
          <w:bCs/>
        </w:rPr>
        <w:t>of ICS/LABA preventer medications</w:t>
      </w:r>
      <w:r w:rsidR="00281044">
        <w:rPr>
          <w:rFonts w:asciiTheme="minorHAnsi" w:hAnsiTheme="minorHAnsi"/>
          <w:bCs/>
        </w:rPr>
        <w:t>.</w:t>
      </w:r>
    </w:p>
    <w:p w:rsidR="00112FDB" w:rsidRPr="00BF09ED" w:rsidRDefault="0084258C" w:rsidP="00051281">
      <w:pPr>
        <w:numPr>
          <w:ilvl w:val="1"/>
          <w:numId w:val="1"/>
        </w:numPr>
        <w:spacing w:after="120"/>
        <w:rPr>
          <w:rFonts w:asciiTheme="minorHAnsi" w:hAnsiTheme="minorHAnsi"/>
          <w:bCs/>
          <w:lang w:val="en-GB"/>
        </w:rPr>
      </w:pPr>
      <w:r w:rsidRPr="00BF09ED">
        <w:rPr>
          <w:rFonts w:asciiTheme="minorHAnsi" w:hAnsiTheme="minorHAnsi"/>
          <w:bCs/>
          <w:lang w:val="en-GB"/>
        </w:rPr>
        <w:t>The PBAC noted that a statistically significant reduction in the rate of symptomatic exacerbations (non-severe and severe) was only found in trial 205.446 (6-11 years), which was due only to the reduction in non-severe symptomatic exacerbations.</w:t>
      </w:r>
      <w:r w:rsidR="00BF09ED">
        <w:rPr>
          <w:rFonts w:asciiTheme="minorHAnsi" w:hAnsiTheme="minorHAnsi"/>
          <w:bCs/>
          <w:lang w:val="en-GB"/>
        </w:rPr>
        <w:t xml:space="preserve"> </w:t>
      </w:r>
      <w:r w:rsidR="00C721BB" w:rsidRPr="00BF09ED">
        <w:rPr>
          <w:rFonts w:asciiTheme="minorHAnsi" w:hAnsiTheme="minorHAnsi"/>
          <w:bCs/>
          <w:lang w:val="en-GB"/>
        </w:rPr>
        <w:t>The PBAC noted that symptomatic exacerbations was not the usual trial measure for a study of long term treatment for asthma, and that severe exacerbations was used in the consideration of tiotropium in the adult population.</w:t>
      </w:r>
      <w:r w:rsidR="005B3F2D" w:rsidRPr="00BF09ED">
        <w:rPr>
          <w:rFonts w:asciiTheme="minorHAnsi" w:hAnsiTheme="minorHAnsi"/>
          <w:bCs/>
          <w:lang w:val="en-GB"/>
        </w:rPr>
        <w:t xml:space="preserve"> </w:t>
      </w:r>
      <w:r w:rsidR="00893982" w:rsidRPr="00BF09ED">
        <w:rPr>
          <w:rFonts w:asciiTheme="minorHAnsi" w:hAnsiTheme="minorHAnsi"/>
          <w:bCs/>
          <w:lang w:val="en-GB"/>
        </w:rPr>
        <w:t xml:space="preserve">The PBAC noted that the rate of severe exacerbations was marginally higher, but not statistically significant, in the tiotropium arms compared to the placebo arms in both trials. </w:t>
      </w:r>
    </w:p>
    <w:p w:rsidR="00EA6B31" w:rsidRPr="001F6C2D" w:rsidRDefault="00EA6B31" w:rsidP="0092074A">
      <w:pPr>
        <w:numPr>
          <w:ilvl w:val="1"/>
          <w:numId w:val="1"/>
        </w:numPr>
        <w:spacing w:after="120"/>
        <w:rPr>
          <w:rFonts w:asciiTheme="minorHAnsi" w:hAnsiTheme="minorHAnsi"/>
          <w:bCs/>
          <w:lang w:val="en-GB"/>
        </w:rPr>
      </w:pPr>
      <w:r w:rsidRPr="001F6C2D">
        <w:rPr>
          <w:rFonts w:asciiTheme="minorHAnsi" w:hAnsiTheme="minorHAnsi"/>
          <w:bCs/>
          <w:lang w:val="en-GB"/>
        </w:rPr>
        <w:t xml:space="preserve">The PBAC noted that the </w:t>
      </w:r>
      <w:r w:rsidR="001F6C2D" w:rsidRPr="001F6C2D">
        <w:rPr>
          <w:rFonts w:asciiTheme="minorHAnsi" w:hAnsiTheme="minorHAnsi"/>
          <w:bCs/>
          <w:lang w:val="en-GB"/>
        </w:rPr>
        <w:t>economic evaluation was in the form of a cost per symptomatic exacerbation avoided (non-severe</w:t>
      </w:r>
      <w:r w:rsidR="004F6FE4">
        <w:rPr>
          <w:rFonts w:asciiTheme="minorHAnsi" w:hAnsiTheme="minorHAnsi"/>
          <w:bCs/>
          <w:lang w:val="en-GB"/>
        </w:rPr>
        <w:t xml:space="preserve"> and severe</w:t>
      </w:r>
      <w:r w:rsidR="001F6C2D" w:rsidRPr="001F6C2D">
        <w:rPr>
          <w:rFonts w:asciiTheme="minorHAnsi" w:hAnsiTheme="minorHAnsi"/>
          <w:bCs/>
          <w:lang w:val="en-GB"/>
        </w:rPr>
        <w:t xml:space="preserve">), </w:t>
      </w:r>
      <w:r w:rsidR="001F6C2D">
        <w:rPr>
          <w:rFonts w:asciiTheme="minorHAnsi" w:hAnsiTheme="minorHAnsi"/>
          <w:bCs/>
          <w:lang w:val="en-GB"/>
        </w:rPr>
        <w:t>which</w:t>
      </w:r>
      <w:r w:rsidRPr="001F6C2D">
        <w:rPr>
          <w:rFonts w:asciiTheme="minorHAnsi" w:hAnsiTheme="minorHAnsi"/>
          <w:bCs/>
          <w:lang w:val="en-GB"/>
        </w:rPr>
        <w:t xml:space="preserve"> was not clinically meaningful given the outcomes for symptomatic exacerbations were due only to the effect on non-severe exacerbations and only for the results in trial 205.446 (6-11 years). As noted above, due to the short trial durations it was not possible </w:t>
      </w:r>
      <w:r w:rsidR="009B41AA">
        <w:rPr>
          <w:rFonts w:asciiTheme="minorHAnsi" w:hAnsiTheme="minorHAnsi"/>
          <w:bCs/>
          <w:lang w:val="en-GB"/>
        </w:rPr>
        <w:t>not possible t</w:t>
      </w:r>
      <w:r w:rsidR="009B41AA" w:rsidRPr="009B41AA">
        <w:rPr>
          <w:rFonts w:asciiTheme="minorHAnsi" w:hAnsiTheme="minorHAnsi"/>
          <w:bCs/>
          <w:lang w:val="en-GB"/>
        </w:rPr>
        <w:t>o obtain reliable estimates for these events from the trials and the differences observed were not statistically significant</w:t>
      </w:r>
      <w:r w:rsidR="00BF09ED">
        <w:rPr>
          <w:rFonts w:asciiTheme="minorHAnsi" w:hAnsiTheme="minorHAnsi"/>
          <w:bCs/>
          <w:lang w:val="en-GB"/>
        </w:rPr>
        <w:t xml:space="preserve">, and thus this outcome was an inappropriate basis for </w:t>
      </w:r>
      <w:r w:rsidR="00962691">
        <w:rPr>
          <w:rFonts w:asciiTheme="minorHAnsi" w:hAnsiTheme="minorHAnsi"/>
          <w:bCs/>
          <w:lang w:val="en-GB"/>
        </w:rPr>
        <w:t>an</w:t>
      </w:r>
      <w:r w:rsidR="00BF09ED">
        <w:rPr>
          <w:rFonts w:asciiTheme="minorHAnsi" w:hAnsiTheme="minorHAnsi"/>
          <w:bCs/>
          <w:lang w:val="en-GB"/>
        </w:rPr>
        <w:t xml:space="preserve"> economic analysis</w:t>
      </w:r>
      <w:r w:rsidRPr="001F6C2D">
        <w:rPr>
          <w:rFonts w:asciiTheme="minorHAnsi" w:hAnsiTheme="minorHAnsi"/>
          <w:bCs/>
          <w:lang w:val="en-GB"/>
        </w:rPr>
        <w:t>.</w:t>
      </w:r>
      <w:r w:rsidR="00F75D0C">
        <w:rPr>
          <w:rFonts w:asciiTheme="minorHAnsi" w:hAnsiTheme="minorHAnsi"/>
          <w:bCs/>
          <w:lang w:val="en-GB"/>
        </w:rPr>
        <w:t xml:space="preserve"> </w:t>
      </w:r>
    </w:p>
    <w:p w:rsidR="004F6FE4" w:rsidRDefault="004F6FE4" w:rsidP="0092074A">
      <w:pPr>
        <w:numPr>
          <w:ilvl w:val="1"/>
          <w:numId w:val="1"/>
        </w:numPr>
        <w:spacing w:after="120"/>
        <w:rPr>
          <w:rFonts w:asciiTheme="minorHAnsi" w:hAnsiTheme="minorHAnsi"/>
          <w:bCs/>
          <w:lang w:val="en-GB"/>
        </w:rPr>
      </w:pPr>
      <w:r>
        <w:rPr>
          <w:rFonts w:asciiTheme="minorHAnsi" w:hAnsiTheme="minorHAnsi"/>
          <w:bCs/>
          <w:lang w:val="en-GB"/>
        </w:rPr>
        <w:t xml:space="preserve">The PBAC agreed with the ESC’s view that the proposed </w:t>
      </w:r>
      <w:r w:rsidR="002A17A3">
        <w:rPr>
          <w:rFonts w:asciiTheme="minorHAnsi" w:hAnsiTheme="minorHAnsi"/>
          <w:bCs/>
          <w:noProof/>
          <w:color w:val="000000"/>
          <w:highlight w:val="black"/>
          <w:lang w:val="en-GB"/>
        </w:rPr>
        <w:t>''''''''''</w:t>
      </w:r>
      <w:r w:rsidR="00C44096">
        <w:rPr>
          <w:rFonts w:asciiTheme="minorHAnsi" w:hAnsiTheme="minorHAnsi"/>
          <w:bCs/>
          <w:lang w:val="en-GB"/>
        </w:rPr>
        <w:t xml:space="preserve"> QALY loss </w:t>
      </w:r>
      <w:r>
        <w:rPr>
          <w:rFonts w:asciiTheme="minorHAnsi" w:hAnsiTheme="minorHAnsi"/>
          <w:bCs/>
          <w:lang w:val="en-GB"/>
        </w:rPr>
        <w:t xml:space="preserve">per symptomatic exacerbation (non-severe and severe) was large considering exacerbations only last for a few days, and </w:t>
      </w:r>
      <w:r w:rsidR="00A82894">
        <w:rPr>
          <w:rFonts w:asciiTheme="minorHAnsi" w:hAnsiTheme="minorHAnsi"/>
          <w:bCs/>
          <w:lang w:val="en-GB"/>
        </w:rPr>
        <w:t>thought</w:t>
      </w:r>
      <w:r>
        <w:rPr>
          <w:rFonts w:asciiTheme="minorHAnsi" w:hAnsiTheme="minorHAnsi"/>
          <w:bCs/>
          <w:lang w:val="en-GB"/>
        </w:rPr>
        <w:t xml:space="preserve"> </w:t>
      </w:r>
      <w:r w:rsidR="00B27332">
        <w:rPr>
          <w:rFonts w:asciiTheme="minorHAnsi" w:hAnsiTheme="minorHAnsi"/>
          <w:bCs/>
          <w:lang w:val="en-GB"/>
        </w:rPr>
        <w:t>this to be implausible for a non-severe exacerbation.</w:t>
      </w:r>
      <w:r w:rsidR="00BB0EB7">
        <w:rPr>
          <w:rFonts w:asciiTheme="minorHAnsi" w:hAnsiTheme="minorHAnsi"/>
          <w:bCs/>
          <w:lang w:val="en-GB"/>
        </w:rPr>
        <w:t xml:space="preserve"> The PBAC noted the submission’s claim that patients would visit a GP and purchase medicines for a</w:t>
      </w:r>
      <w:r w:rsidR="009B41AA">
        <w:rPr>
          <w:rFonts w:asciiTheme="minorHAnsi" w:hAnsiTheme="minorHAnsi"/>
          <w:bCs/>
          <w:lang w:val="en-GB"/>
        </w:rPr>
        <w:t>ll</w:t>
      </w:r>
      <w:r w:rsidR="00BB0EB7">
        <w:rPr>
          <w:rFonts w:asciiTheme="minorHAnsi" w:hAnsiTheme="minorHAnsi"/>
          <w:bCs/>
          <w:lang w:val="en-GB"/>
        </w:rPr>
        <w:t xml:space="preserve"> non-severe exacerbation, however</w:t>
      </w:r>
      <w:r w:rsidR="00C44096">
        <w:rPr>
          <w:rFonts w:asciiTheme="minorHAnsi" w:hAnsiTheme="minorHAnsi"/>
          <w:bCs/>
          <w:lang w:val="en-GB"/>
        </w:rPr>
        <w:t xml:space="preserve"> considered that</w:t>
      </w:r>
      <w:r w:rsidR="00BB0EB7">
        <w:rPr>
          <w:rFonts w:asciiTheme="minorHAnsi" w:hAnsiTheme="minorHAnsi"/>
          <w:bCs/>
          <w:lang w:val="en-GB"/>
        </w:rPr>
        <w:t xml:space="preserve"> </w:t>
      </w:r>
      <w:r w:rsidR="00A82894">
        <w:rPr>
          <w:rFonts w:asciiTheme="minorHAnsi" w:hAnsiTheme="minorHAnsi"/>
          <w:bCs/>
          <w:lang w:val="en-GB"/>
        </w:rPr>
        <w:t>patients</w:t>
      </w:r>
      <w:r w:rsidR="00BB0EB7">
        <w:rPr>
          <w:rFonts w:asciiTheme="minorHAnsi" w:hAnsiTheme="minorHAnsi"/>
          <w:bCs/>
          <w:lang w:val="en-GB"/>
        </w:rPr>
        <w:t xml:space="preserve"> </w:t>
      </w:r>
      <w:r w:rsidR="00A82894">
        <w:rPr>
          <w:rFonts w:asciiTheme="minorHAnsi" w:hAnsiTheme="minorHAnsi"/>
          <w:bCs/>
          <w:lang w:val="en-GB"/>
        </w:rPr>
        <w:t>are</w:t>
      </w:r>
      <w:r w:rsidR="00BB0EB7">
        <w:rPr>
          <w:rFonts w:asciiTheme="minorHAnsi" w:hAnsiTheme="minorHAnsi"/>
          <w:bCs/>
          <w:lang w:val="en-GB"/>
        </w:rPr>
        <w:t xml:space="preserve"> likely to have an asthma action plan in place for these situations </w:t>
      </w:r>
      <w:r w:rsidR="00A82894">
        <w:rPr>
          <w:rFonts w:asciiTheme="minorHAnsi" w:hAnsiTheme="minorHAnsi"/>
          <w:bCs/>
          <w:lang w:val="en-GB"/>
        </w:rPr>
        <w:t>and parents would know the protocol to follow when treating their child for a non-severe exacerbation</w:t>
      </w:r>
      <w:r w:rsidR="00BB0EB7">
        <w:rPr>
          <w:rFonts w:asciiTheme="minorHAnsi" w:hAnsiTheme="minorHAnsi"/>
          <w:bCs/>
          <w:lang w:val="en-GB"/>
        </w:rPr>
        <w:t xml:space="preserve">, hence </w:t>
      </w:r>
      <w:r w:rsidR="00C44096">
        <w:rPr>
          <w:rFonts w:asciiTheme="minorHAnsi" w:hAnsiTheme="minorHAnsi"/>
          <w:bCs/>
          <w:lang w:val="en-GB"/>
        </w:rPr>
        <w:t xml:space="preserve">that </w:t>
      </w:r>
      <w:r w:rsidR="00BB0EB7">
        <w:rPr>
          <w:rFonts w:asciiTheme="minorHAnsi" w:hAnsiTheme="minorHAnsi"/>
          <w:bCs/>
          <w:lang w:val="en-GB"/>
        </w:rPr>
        <w:t>this cost has been overestimated.</w:t>
      </w:r>
    </w:p>
    <w:p w:rsidR="00F027F0" w:rsidRPr="00C44096" w:rsidRDefault="005300D3" w:rsidP="00C44096">
      <w:pPr>
        <w:numPr>
          <w:ilvl w:val="1"/>
          <w:numId w:val="1"/>
        </w:numPr>
        <w:spacing w:after="120"/>
        <w:rPr>
          <w:rFonts w:asciiTheme="minorHAnsi" w:hAnsiTheme="minorHAnsi"/>
          <w:bCs/>
          <w:lang w:val="en-GB"/>
        </w:rPr>
      </w:pPr>
      <w:r w:rsidRPr="00281044">
        <w:rPr>
          <w:rFonts w:asciiTheme="minorHAnsi" w:hAnsiTheme="minorHAnsi"/>
          <w:bCs/>
          <w:lang w:val="en-GB"/>
        </w:rPr>
        <w:lastRenderedPageBreak/>
        <w:t>The PBAC noted that the predicted u</w:t>
      </w:r>
      <w:r w:rsidR="0092074A" w:rsidRPr="00281044">
        <w:rPr>
          <w:rFonts w:asciiTheme="minorHAnsi" w:hAnsiTheme="minorHAnsi"/>
          <w:bCs/>
          <w:lang w:val="en-GB"/>
        </w:rPr>
        <w:t>ptake</w:t>
      </w:r>
      <w:r w:rsidRPr="00281044">
        <w:rPr>
          <w:rFonts w:asciiTheme="minorHAnsi" w:hAnsiTheme="minorHAnsi"/>
          <w:bCs/>
          <w:lang w:val="en-GB"/>
        </w:rPr>
        <w:t xml:space="preserve"> rates were </w:t>
      </w:r>
      <w:r w:rsidR="00281044" w:rsidRPr="00281044">
        <w:rPr>
          <w:rFonts w:asciiTheme="minorHAnsi" w:hAnsiTheme="minorHAnsi"/>
          <w:bCs/>
          <w:lang w:val="en-GB"/>
        </w:rPr>
        <w:t>uncertain</w:t>
      </w:r>
      <w:r w:rsidRPr="00281044">
        <w:rPr>
          <w:rFonts w:asciiTheme="minorHAnsi" w:hAnsiTheme="minorHAnsi"/>
          <w:bCs/>
          <w:lang w:val="en-GB"/>
        </w:rPr>
        <w:t xml:space="preserve"> due to differences in the rate of compliance observed in clinical practice and that observed in the clinical trials, the true impact on other service use for each exacerbation, </w:t>
      </w:r>
      <w:r w:rsidR="00281044">
        <w:rPr>
          <w:rFonts w:asciiTheme="minorHAnsi" w:hAnsiTheme="minorHAnsi"/>
          <w:bCs/>
          <w:lang w:val="en-GB"/>
        </w:rPr>
        <w:t xml:space="preserve">and </w:t>
      </w:r>
      <w:r w:rsidRPr="00281044">
        <w:rPr>
          <w:rFonts w:asciiTheme="minorHAnsi" w:hAnsiTheme="minorHAnsi"/>
          <w:bCs/>
          <w:lang w:val="en-GB"/>
        </w:rPr>
        <w:t>the potential for use beyond the requested restriction earlier in t</w:t>
      </w:r>
      <w:r w:rsidR="00281044">
        <w:rPr>
          <w:rFonts w:asciiTheme="minorHAnsi" w:hAnsiTheme="minorHAnsi"/>
          <w:bCs/>
          <w:lang w:val="en-GB"/>
        </w:rPr>
        <w:t>he proposed treatment algorithm</w:t>
      </w:r>
      <w:r w:rsidRPr="00281044">
        <w:rPr>
          <w:rFonts w:asciiTheme="minorHAnsi" w:hAnsiTheme="minorHAnsi"/>
          <w:bCs/>
          <w:lang w:val="en-GB"/>
        </w:rPr>
        <w:t>.</w:t>
      </w:r>
      <w:r w:rsidR="00F75D0C" w:rsidRPr="00281044">
        <w:rPr>
          <w:rFonts w:asciiTheme="minorHAnsi" w:hAnsiTheme="minorHAnsi"/>
          <w:bCs/>
          <w:lang w:val="en-GB"/>
        </w:rPr>
        <w:t xml:space="preserve"> </w:t>
      </w:r>
    </w:p>
    <w:p w:rsidR="00510430" w:rsidRDefault="00A23A16" w:rsidP="00051281">
      <w:pPr>
        <w:numPr>
          <w:ilvl w:val="1"/>
          <w:numId w:val="1"/>
        </w:numPr>
        <w:spacing w:after="120"/>
        <w:rPr>
          <w:rFonts w:asciiTheme="minorHAnsi" w:hAnsiTheme="minorHAnsi"/>
          <w:bCs/>
          <w:lang w:val="en-GB"/>
        </w:rPr>
      </w:pPr>
      <w:r>
        <w:rPr>
          <w:rFonts w:asciiTheme="minorHAnsi" w:hAnsiTheme="minorHAnsi"/>
          <w:bCs/>
          <w:lang w:val="en-GB"/>
        </w:rPr>
        <w:t xml:space="preserve">The PBAC noted that currently Australian guidelines for asthma do not include tiotropium in the treatment algorithm, however it is approved for use in the USA and by the EMA, and it has received TGA registration in the </w:t>
      </w:r>
      <w:r w:rsidR="009B41AA">
        <w:rPr>
          <w:rFonts w:asciiTheme="minorHAnsi" w:hAnsiTheme="minorHAnsi"/>
          <w:bCs/>
          <w:lang w:val="en-GB"/>
        </w:rPr>
        <w:t>paediatric</w:t>
      </w:r>
      <w:r>
        <w:rPr>
          <w:rFonts w:asciiTheme="minorHAnsi" w:hAnsiTheme="minorHAnsi"/>
          <w:bCs/>
          <w:lang w:val="en-GB"/>
        </w:rPr>
        <w:t xml:space="preserve"> population</w:t>
      </w:r>
      <w:r w:rsidR="00A40236">
        <w:rPr>
          <w:rFonts w:asciiTheme="minorHAnsi" w:hAnsiTheme="minorHAnsi"/>
          <w:bCs/>
          <w:lang w:val="en-GB"/>
        </w:rPr>
        <w:t>;</w:t>
      </w:r>
      <w:r>
        <w:rPr>
          <w:rFonts w:asciiTheme="minorHAnsi" w:hAnsiTheme="minorHAnsi"/>
          <w:bCs/>
          <w:lang w:val="en-GB"/>
        </w:rPr>
        <w:t xml:space="preserve"> thus it may have a place in the treatment of asthma</w:t>
      </w:r>
      <w:r w:rsidR="003E615A">
        <w:rPr>
          <w:rFonts w:asciiTheme="minorHAnsi" w:hAnsiTheme="minorHAnsi"/>
          <w:bCs/>
          <w:lang w:val="en-GB"/>
        </w:rPr>
        <w:t xml:space="preserve"> in children</w:t>
      </w:r>
      <w:r>
        <w:rPr>
          <w:rFonts w:asciiTheme="minorHAnsi" w:hAnsiTheme="minorHAnsi"/>
          <w:bCs/>
          <w:lang w:val="en-GB"/>
        </w:rPr>
        <w:t>. The PBAC advised that the data presented in support of its listing could potentially place it at the end of the therapeutic ladder</w:t>
      </w:r>
      <w:r w:rsidR="003E615A">
        <w:rPr>
          <w:rFonts w:asciiTheme="minorHAnsi" w:hAnsiTheme="minorHAnsi"/>
          <w:bCs/>
          <w:lang w:val="en-GB"/>
        </w:rPr>
        <w:t>, or alternatively, based on the 48-week trials (excluded from this submission</w:t>
      </w:r>
      <w:r w:rsidR="00C22BA0">
        <w:rPr>
          <w:rFonts w:asciiTheme="minorHAnsi" w:hAnsiTheme="minorHAnsi"/>
          <w:bCs/>
          <w:lang w:val="en-GB"/>
        </w:rPr>
        <w:t>, as noted in paragraph 6.5</w:t>
      </w:r>
      <w:r w:rsidR="003E615A">
        <w:rPr>
          <w:rFonts w:asciiTheme="minorHAnsi" w:hAnsiTheme="minorHAnsi"/>
          <w:bCs/>
          <w:lang w:val="en-GB"/>
        </w:rPr>
        <w:t xml:space="preserve">) in a more moderate population, </w:t>
      </w:r>
      <w:r>
        <w:rPr>
          <w:rFonts w:asciiTheme="minorHAnsi" w:hAnsiTheme="minorHAnsi"/>
          <w:bCs/>
          <w:lang w:val="en-GB"/>
        </w:rPr>
        <w:t>with a corresponding applicable price and restriction.</w:t>
      </w:r>
      <w:r w:rsidR="00F75D0C">
        <w:rPr>
          <w:rFonts w:asciiTheme="minorHAnsi" w:hAnsiTheme="minorHAnsi"/>
          <w:bCs/>
          <w:lang w:val="en-GB"/>
        </w:rPr>
        <w:t xml:space="preserve"> </w:t>
      </w:r>
    </w:p>
    <w:p w:rsidR="00051281" w:rsidRPr="002A088E" w:rsidRDefault="00051281" w:rsidP="002A088E">
      <w:pPr>
        <w:numPr>
          <w:ilvl w:val="1"/>
          <w:numId w:val="1"/>
        </w:numPr>
        <w:spacing w:after="120"/>
        <w:rPr>
          <w:rFonts w:asciiTheme="minorHAnsi" w:hAnsiTheme="minorHAnsi"/>
          <w:bCs/>
          <w:i/>
          <w:lang w:val="en-GB"/>
        </w:rPr>
      </w:pPr>
      <w:r w:rsidRPr="002A088E">
        <w:rPr>
          <w:rFonts w:asciiTheme="minorHAnsi" w:hAnsiTheme="minorHAnsi"/>
          <w:bCs/>
          <w:lang w:val="en-GB"/>
        </w:rPr>
        <w:t xml:space="preserve">The PBAC noted that this submission is eligible for an Independent Review. </w:t>
      </w:r>
    </w:p>
    <w:p w:rsidR="00051281" w:rsidRPr="00D35B7A" w:rsidRDefault="00051281" w:rsidP="00051281">
      <w:pPr>
        <w:spacing w:before="240"/>
        <w:rPr>
          <w:rFonts w:asciiTheme="minorHAnsi" w:hAnsiTheme="minorHAnsi"/>
          <w:b/>
          <w:bCs/>
          <w:lang w:val="en-GB"/>
        </w:rPr>
      </w:pPr>
      <w:r w:rsidRPr="00D35B7A">
        <w:rPr>
          <w:rFonts w:asciiTheme="minorHAnsi" w:hAnsiTheme="minorHAnsi"/>
          <w:b/>
          <w:bCs/>
          <w:lang w:val="en-GB"/>
        </w:rPr>
        <w:t>Outcome:</w:t>
      </w:r>
    </w:p>
    <w:p w:rsidR="00051281" w:rsidRPr="00D35B7A" w:rsidRDefault="00051281" w:rsidP="00051281">
      <w:pPr>
        <w:rPr>
          <w:rFonts w:asciiTheme="minorHAnsi" w:hAnsiTheme="minorHAnsi"/>
          <w:bCs/>
          <w:lang w:val="en-GB"/>
        </w:rPr>
      </w:pPr>
      <w:r w:rsidRPr="00D35B7A">
        <w:rPr>
          <w:rFonts w:asciiTheme="minorHAnsi" w:hAnsiTheme="minorHAnsi"/>
          <w:bCs/>
          <w:lang w:val="en-GB"/>
        </w:rPr>
        <w:t xml:space="preserve">Rejected </w:t>
      </w:r>
    </w:p>
    <w:p w:rsidR="00CC5C12" w:rsidRDefault="00CC5C12" w:rsidP="00CC5C12">
      <w:pPr>
        <w:numPr>
          <w:ilvl w:val="0"/>
          <w:numId w:val="1"/>
        </w:numPr>
        <w:spacing w:before="240" w:after="120"/>
        <w:outlineLvl w:val="0"/>
        <w:rPr>
          <w:rFonts w:asciiTheme="minorHAnsi" w:hAnsiTheme="minorHAnsi"/>
          <w:b/>
          <w:bCs/>
          <w:sz w:val="32"/>
        </w:rPr>
      </w:pPr>
      <w:r w:rsidRPr="00A56D22">
        <w:rPr>
          <w:rFonts w:asciiTheme="minorHAnsi" w:hAnsiTheme="minorHAnsi"/>
          <w:b/>
          <w:bCs/>
          <w:sz w:val="32"/>
        </w:rPr>
        <w:t>Context for Decision</w:t>
      </w:r>
    </w:p>
    <w:p w:rsidR="00CC5C12" w:rsidRDefault="00CC5C12" w:rsidP="005E1CCA">
      <w:pPr>
        <w:rPr>
          <w:b/>
          <w:bCs/>
          <w:sz w:val="32"/>
        </w:rPr>
      </w:pPr>
      <w:r w:rsidRPr="00C07617">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CC5C12" w:rsidRPr="00A56D22" w:rsidRDefault="00CC5C12" w:rsidP="00CC5C12">
      <w:pPr>
        <w:numPr>
          <w:ilvl w:val="0"/>
          <w:numId w:val="1"/>
        </w:numPr>
        <w:spacing w:before="240" w:after="120"/>
        <w:outlineLvl w:val="0"/>
        <w:rPr>
          <w:rFonts w:asciiTheme="minorHAnsi" w:hAnsiTheme="minorHAnsi"/>
          <w:b/>
          <w:bCs/>
          <w:sz w:val="32"/>
        </w:rPr>
      </w:pPr>
      <w:r w:rsidRPr="0065359A">
        <w:rPr>
          <w:rFonts w:asciiTheme="minorHAnsi" w:hAnsiTheme="minorHAnsi"/>
          <w:b/>
          <w:bCs/>
          <w:sz w:val="32"/>
        </w:rPr>
        <w:t>Sponsor’s Comment</w:t>
      </w:r>
    </w:p>
    <w:p w:rsidR="00C57BDC" w:rsidRPr="00051281" w:rsidRDefault="00CC5C12" w:rsidP="005E1CCA">
      <w:r w:rsidRPr="00111E47">
        <w:t>The sponsor had no comment.</w:t>
      </w:r>
    </w:p>
    <w:sectPr w:rsidR="00C57BDC" w:rsidRPr="00051281" w:rsidSect="00600646">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7A3" w:rsidRDefault="002A17A3" w:rsidP="00124A51">
      <w:r>
        <w:separator/>
      </w:r>
    </w:p>
    <w:p w:rsidR="002A17A3" w:rsidRDefault="002A17A3"/>
  </w:endnote>
  <w:endnote w:type="continuationSeparator" w:id="0">
    <w:p w:rsidR="002A17A3" w:rsidRDefault="002A17A3" w:rsidP="00124A51">
      <w:r>
        <w:continuationSeparator/>
      </w:r>
    </w:p>
    <w:p w:rsidR="002A17A3" w:rsidRDefault="002A17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altName w:val="Sylfae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ordia New">
    <w:panose1 w:val="020B0304020202020204"/>
    <w:charset w:val="DE"/>
    <w:family w:val="roman"/>
    <w:notTrueType/>
    <w:pitch w:val="variable"/>
    <w:sig w:usb0="01000001" w:usb1="00000000" w:usb2="00000000" w:usb3="00000000" w:csb0="00010000"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0CE" w:rsidRDefault="009320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0025637"/>
      <w:docPartObj>
        <w:docPartGallery w:val="Page Numbers (Bottom of Page)"/>
        <w:docPartUnique/>
      </w:docPartObj>
    </w:sdtPr>
    <w:sdtEndPr>
      <w:rPr>
        <w:b/>
        <w:noProof/>
      </w:rPr>
    </w:sdtEndPr>
    <w:sdtContent>
      <w:p w:rsidR="009320CE" w:rsidRPr="00051281" w:rsidRDefault="009320CE">
        <w:pPr>
          <w:pStyle w:val="Footer"/>
          <w:jc w:val="center"/>
          <w:rPr>
            <w:b/>
          </w:rPr>
        </w:pPr>
        <w:r w:rsidRPr="00051281">
          <w:rPr>
            <w:b/>
          </w:rPr>
          <w:fldChar w:fldCharType="begin"/>
        </w:r>
        <w:r w:rsidRPr="00051281">
          <w:rPr>
            <w:b/>
          </w:rPr>
          <w:instrText xml:space="preserve"> PAGE   \* MERGEFORMAT </w:instrText>
        </w:r>
        <w:r w:rsidRPr="00051281">
          <w:rPr>
            <w:b/>
          </w:rPr>
          <w:fldChar w:fldCharType="separate"/>
        </w:r>
        <w:r w:rsidR="00C64058">
          <w:rPr>
            <w:b/>
            <w:noProof/>
          </w:rPr>
          <w:t>21</w:t>
        </w:r>
        <w:r w:rsidRPr="00051281">
          <w:rPr>
            <w:b/>
            <w:noProof/>
          </w:rPr>
          <w:fldChar w:fldCharType="end"/>
        </w:r>
      </w:p>
    </w:sdtContent>
  </w:sdt>
  <w:p w:rsidR="009320CE" w:rsidRDefault="009320C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0CE" w:rsidRDefault="009320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7A3" w:rsidRDefault="002A17A3" w:rsidP="00124A51">
      <w:r>
        <w:separator/>
      </w:r>
    </w:p>
    <w:p w:rsidR="002A17A3" w:rsidRDefault="002A17A3"/>
  </w:footnote>
  <w:footnote w:type="continuationSeparator" w:id="0">
    <w:p w:rsidR="002A17A3" w:rsidRDefault="002A17A3" w:rsidP="00124A51">
      <w:r>
        <w:continuationSeparator/>
      </w:r>
    </w:p>
    <w:p w:rsidR="002A17A3" w:rsidRDefault="002A17A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0CE" w:rsidRDefault="009320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0CE" w:rsidRDefault="009320CE" w:rsidP="00051281">
    <w:pPr>
      <w:tabs>
        <w:tab w:val="left" w:pos="142"/>
        <w:tab w:val="right" w:pos="9027"/>
      </w:tabs>
      <w:jc w:val="center"/>
      <w:rPr>
        <w:i/>
        <w:szCs w:val="24"/>
      </w:rPr>
    </w:pPr>
    <w:r>
      <w:rPr>
        <w:i/>
        <w:szCs w:val="24"/>
      </w:rPr>
      <w:t>Public Summary Document – March 2018 PBAC Meeting</w:t>
    </w:r>
  </w:p>
  <w:p w:rsidR="009320CE" w:rsidRDefault="009320CE">
    <w:pPr>
      <w:pStyle w:val="Header"/>
    </w:pPr>
  </w:p>
  <w:p w:rsidR="009320CE" w:rsidRDefault="009320C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0CE" w:rsidRDefault="009320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46D7FFE"/>
    <w:multiLevelType w:val="hybridMultilevel"/>
    <w:tmpl w:val="F6780C5C"/>
    <w:lvl w:ilvl="0" w:tplc="C324F4FC">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5681D76"/>
    <w:multiLevelType w:val="hybridMultilevel"/>
    <w:tmpl w:val="6A34ACF2"/>
    <w:lvl w:ilvl="0" w:tplc="56EE5540">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5BF2B93"/>
    <w:multiLevelType w:val="hybridMultilevel"/>
    <w:tmpl w:val="BC50C6B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0BDF20B2"/>
    <w:multiLevelType w:val="hybridMultilevel"/>
    <w:tmpl w:val="00283A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0E7845F4"/>
    <w:multiLevelType w:val="hybridMultilevel"/>
    <w:tmpl w:val="D51C2EF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nsid w:val="100C59FD"/>
    <w:multiLevelType w:val="hybridMultilevel"/>
    <w:tmpl w:val="ADB8226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140A79DF"/>
    <w:multiLevelType w:val="hybridMultilevel"/>
    <w:tmpl w:val="40E8742A"/>
    <w:lvl w:ilvl="0" w:tplc="03F0522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6CE24E6"/>
    <w:multiLevelType w:val="hybridMultilevel"/>
    <w:tmpl w:val="7AB61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E491510"/>
    <w:multiLevelType w:val="hybridMultilevel"/>
    <w:tmpl w:val="ADB8226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1EFA0F05"/>
    <w:multiLevelType w:val="hybridMultilevel"/>
    <w:tmpl w:val="C1CAF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0663048"/>
    <w:multiLevelType w:val="hybridMultilevel"/>
    <w:tmpl w:val="F376AD80"/>
    <w:lvl w:ilvl="0" w:tplc="C324F4FC">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1894EBC"/>
    <w:multiLevelType w:val="hybridMultilevel"/>
    <w:tmpl w:val="BC721164"/>
    <w:lvl w:ilvl="0" w:tplc="A3848F84">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6276DD6"/>
    <w:multiLevelType w:val="hybridMultilevel"/>
    <w:tmpl w:val="F25AF1C2"/>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6">
    <w:nsid w:val="2D1E191B"/>
    <w:multiLevelType w:val="hybridMultilevel"/>
    <w:tmpl w:val="A064A306"/>
    <w:lvl w:ilvl="0" w:tplc="0C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37FB4C88"/>
    <w:multiLevelType w:val="hybridMultilevel"/>
    <w:tmpl w:val="1B40B166"/>
    <w:lvl w:ilvl="0" w:tplc="31F4DFC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38D57D36"/>
    <w:multiLevelType w:val="hybridMultilevel"/>
    <w:tmpl w:val="A01CE17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nsid w:val="3B3B0D72"/>
    <w:multiLevelType w:val="hybridMultilevel"/>
    <w:tmpl w:val="EB0CBEF8"/>
    <w:lvl w:ilvl="0" w:tplc="03F0522C">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0">
    <w:nsid w:val="3DC15792"/>
    <w:multiLevelType w:val="hybridMultilevel"/>
    <w:tmpl w:val="9DB4730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nsid w:val="44442297"/>
    <w:multiLevelType w:val="hybridMultilevel"/>
    <w:tmpl w:val="C16A9F7A"/>
    <w:lvl w:ilvl="0" w:tplc="C324F4FC">
      <w:start w:val="1"/>
      <w:numFmt w:val="bullet"/>
      <w:pStyle w:val="Bulletpoints"/>
      <w:lvlText w:val=""/>
      <w:lvlJc w:val="left"/>
      <w:pPr>
        <w:ind w:left="360" w:hanging="360"/>
      </w:pPr>
      <w:rPr>
        <w:rFonts w:ascii="Symbol" w:hAnsi="Symbol" w:hint="default"/>
      </w:rPr>
    </w:lvl>
    <w:lvl w:ilvl="1" w:tplc="B7EE93E6">
      <w:start w:val="1"/>
      <w:numFmt w:val="bullet"/>
      <w:lvlText w:val="o"/>
      <w:lvlJc w:val="left"/>
      <w:pPr>
        <w:ind w:left="1080" w:hanging="360"/>
      </w:pPr>
      <w:rPr>
        <w:rFonts w:ascii="Courier New" w:hAnsi="Courier New" w:hint="default"/>
        <w:color w:val="auto"/>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67C3CE8"/>
    <w:multiLevelType w:val="hybridMultilevel"/>
    <w:tmpl w:val="9FA87FF2"/>
    <w:lvl w:ilvl="0" w:tplc="C324F4FC">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910232C"/>
    <w:multiLevelType w:val="hybridMultilevel"/>
    <w:tmpl w:val="F3361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A9B66C1"/>
    <w:multiLevelType w:val="hybridMultilevel"/>
    <w:tmpl w:val="6BD8A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2E7282A"/>
    <w:multiLevelType w:val="hybridMultilevel"/>
    <w:tmpl w:val="1BB8D2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3B87557"/>
    <w:multiLevelType w:val="hybridMultilevel"/>
    <w:tmpl w:val="6A34ACF2"/>
    <w:lvl w:ilvl="0" w:tplc="56EE5540">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8">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F2724BA"/>
    <w:multiLevelType w:val="hybridMultilevel"/>
    <w:tmpl w:val="058C4D0E"/>
    <w:lvl w:ilvl="0" w:tplc="775200BE">
      <w:start w:val="1"/>
      <w:numFmt w:val="bullet"/>
      <w:pStyle w:val="BulletLas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nsid w:val="645B32F3"/>
    <w:multiLevelType w:val="multilevel"/>
    <w:tmpl w:val="9DD228A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6C2043A4"/>
    <w:multiLevelType w:val="multilevel"/>
    <w:tmpl w:val="9DD228A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784D033C"/>
    <w:multiLevelType w:val="multilevel"/>
    <w:tmpl w:val="9DD228A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2"/>
  </w:num>
  <w:num w:numId="2">
    <w:abstractNumId w:val="21"/>
  </w:num>
  <w:num w:numId="3">
    <w:abstractNumId w:val="24"/>
  </w:num>
  <w:num w:numId="4">
    <w:abstractNumId w:val="15"/>
  </w:num>
  <w:num w:numId="5">
    <w:abstractNumId w:val="11"/>
  </w:num>
  <w:num w:numId="6">
    <w:abstractNumId w:val="17"/>
  </w:num>
  <w:num w:numId="7">
    <w:abstractNumId w:val="23"/>
  </w:num>
  <w:num w:numId="8">
    <w:abstractNumId w:val="29"/>
  </w:num>
  <w:num w:numId="9">
    <w:abstractNumId w:val="25"/>
  </w:num>
  <w:num w:numId="10">
    <w:abstractNumId w:val="9"/>
  </w:num>
  <w:num w:numId="11">
    <w:abstractNumId w:val="7"/>
  </w:num>
  <w:num w:numId="12">
    <w:abstractNumId w:val="13"/>
  </w:num>
  <w:num w:numId="13">
    <w:abstractNumId w:val="5"/>
  </w:num>
  <w:num w:numId="14">
    <w:abstractNumId w:val="12"/>
  </w:num>
  <w:num w:numId="15">
    <w:abstractNumId w:val="1"/>
  </w:num>
  <w:num w:numId="16">
    <w:abstractNumId w:val="22"/>
  </w:num>
  <w:num w:numId="17">
    <w:abstractNumId w:val="10"/>
  </w:num>
  <w:num w:numId="18">
    <w:abstractNumId w:val="16"/>
  </w:num>
  <w:num w:numId="19">
    <w:abstractNumId w:val="32"/>
  </w:num>
  <w:num w:numId="20">
    <w:abstractNumId w:val="6"/>
  </w:num>
  <w:num w:numId="21">
    <w:abstractNumId w:val="26"/>
  </w:num>
  <w:num w:numId="22">
    <w:abstractNumId w:val="2"/>
  </w:num>
  <w:num w:numId="23">
    <w:abstractNumId w:val="32"/>
  </w:num>
  <w:num w:numId="24">
    <w:abstractNumId w:val="20"/>
  </w:num>
  <w:num w:numId="25">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28"/>
  </w:num>
  <w:num w:numId="28">
    <w:abstractNumId w:val="4"/>
  </w:num>
  <w:num w:numId="29">
    <w:abstractNumId w:val="0"/>
  </w:num>
  <w:num w:numId="30">
    <w:abstractNumId w:val="14"/>
  </w:num>
  <w:num w:numId="31">
    <w:abstractNumId w:val="18"/>
  </w:num>
  <w:num w:numId="32">
    <w:abstractNumId w:val="8"/>
  </w:num>
  <w:num w:numId="33">
    <w:abstractNumId w:val="30"/>
  </w:num>
  <w:num w:numId="34">
    <w:abstractNumId w:val="19"/>
  </w:num>
  <w:num w:numId="35">
    <w:abstractNumId w:val="31"/>
  </w:num>
  <w:num w:numId="36">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removePersonalInformation/>
  <w:removeDateAndTime/>
  <w:hideSpellingErrors/>
  <w:hideGrammaticalErrors/>
  <w:proofState w:spelling="clean" w:grammar="clean"/>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M2MjQxMDCzNDI2NzJT0lEKTi0uzszPAykwMqgFAEIDKfYtAAAA"/>
  </w:docVars>
  <w:rsids>
    <w:rsidRoot w:val="003A7E4D"/>
    <w:rsid w:val="000000CF"/>
    <w:rsid w:val="00000790"/>
    <w:rsid w:val="0000110B"/>
    <w:rsid w:val="0000145F"/>
    <w:rsid w:val="00003499"/>
    <w:rsid w:val="00003812"/>
    <w:rsid w:val="000039B7"/>
    <w:rsid w:val="00004A96"/>
    <w:rsid w:val="00005184"/>
    <w:rsid w:val="0000584E"/>
    <w:rsid w:val="000079A8"/>
    <w:rsid w:val="000107B6"/>
    <w:rsid w:val="00013247"/>
    <w:rsid w:val="00015886"/>
    <w:rsid w:val="00015C9D"/>
    <w:rsid w:val="000162EF"/>
    <w:rsid w:val="00021C14"/>
    <w:rsid w:val="0002220D"/>
    <w:rsid w:val="0002225F"/>
    <w:rsid w:val="00023763"/>
    <w:rsid w:val="00030F77"/>
    <w:rsid w:val="0003166F"/>
    <w:rsid w:val="00033863"/>
    <w:rsid w:val="00033CCF"/>
    <w:rsid w:val="00034280"/>
    <w:rsid w:val="0003442A"/>
    <w:rsid w:val="00035199"/>
    <w:rsid w:val="00035CED"/>
    <w:rsid w:val="00035DC0"/>
    <w:rsid w:val="00036829"/>
    <w:rsid w:val="00040895"/>
    <w:rsid w:val="00043C37"/>
    <w:rsid w:val="00045017"/>
    <w:rsid w:val="00045A2B"/>
    <w:rsid w:val="000466D9"/>
    <w:rsid w:val="0004698F"/>
    <w:rsid w:val="00051281"/>
    <w:rsid w:val="00051537"/>
    <w:rsid w:val="00051A50"/>
    <w:rsid w:val="000539D0"/>
    <w:rsid w:val="00053E5F"/>
    <w:rsid w:val="00054621"/>
    <w:rsid w:val="000546D7"/>
    <w:rsid w:val="00065208"/>
    <w:rsid w:val="00065B3F"/>
    <w:rsid w:val="000662DC"/>
    <w:rsid w:val="00066360"/>
    <w:rsid w:val="0006651E"/>
    <w:rsid w:val="000709C8"/>
    <w:rsid w:val="00071248"/>
    <w:rsid w:val="000720B9"/>
    <w:rsid w:val="000737F7"/>
    <w:rsid w:val="0007672F"/>
    <w:rsid w:val="000774F0"/>
    <w:rsid w:val="000803B8"/>
    <w:rsid w:val="00080909"/>
    <w:rsid w:val="000812CA"/>
    <w:rsid w:val="00081B84"/>
    <w:rsid w:val="0008258D"/>
    <w:rsid w:val="00083E99"/>
    <w:rsid w:val="00084E63"/>
    <w:rsid w:val="000856C5"/>
    <w:rsid w:val="00085762"/>
    <w:rsid w:val="00090C7E"/>
    <w:rsid w:val="00091A2F"/>
    <w:rsid w:val="00092600"/>
    <w:rsid w:val="0009262B"/>
    <w:rsid w:val="00093310"/>
    <w:rsid w:val="00093B99"/>
    <w:rsid w:val="0009445C"/>
    <w:rsid w:val="00095FE5"/>
    <w:rsid w:val="00096284"/>
    <w:rsid w:val="000965E3"/>
    <w:rsid w:val="000966AE"/>
    <w:rsid w:val="0009789A"/>
    <w:rsid w:val="000A1E3B"/>
    <w:rsid w:val="000A32CC"/>
    <w:rsid w:val="000A4B10"/>
    <w:rsid w:val="000A7D08"/>
    <w:rsid w:val="000B0670"/>
    <w:rsid w:val="000B0E75"/>
    <w:rsid w:val="000B266C"/>
    <w:rsid w:val="000B299A"/>
    <w:rsid w:val="000B32FC"/>
    <w:rsid w:val="000B3563"/>
    <w:rsid w:val="000B5F48"/>
    <w:rsid w:val="000B6CAC"/>
    <w:rsid w:val="000B7363"/>
    <w:rsid w:val="000B7612"/>
    <w:rsid w:val="000C3DF9"/>
    <w:rsid w:val="000C4F01"/>
    <w:rsid w:val="000C6713"/>
    <w:rsid w:val="000C73DE"/>
    <w:rsid w:val="000D1BFC"/>
    <w:rsid w:val="000D2679"/>
    <w:rsid w:val="000D281A"/>
    <w:rsid w:val="000D326A"/>
    <w:rsid w:val="000D3C79"/>
    <w:rsid w:val="000D51FB"/>
    <w:rsid w:val="000E135D"/>
    <w:rsid w:val="000E1EAF"/>
    <w:rsid w:val="000E3732"/>
    <w:rsid w:val="000E68D6"/>
    <w:rsid w:val="000F00BA"/>
    <w:rsid w:val="000F316A"/>
    <w:rsid w:val="000F31F4"/>
    <w:rsid w:val="000F3C74"/>
    <w:rsid w:val="000F49E7"/>
    <w:rsid w:val="000F4BB8"/>
    <w:rsid w:val="000F7127"/>
    <w:rsid w:val="00100F8A"/>
    <w:rsid w:val="00104D3D"/>
    <w:rsid w:val="00105AE2"/>
    <w:rsid w:val="00106B80"/>
    <w:rsid w:val="0010739B"/>
    <w:rsid w:val="0011007F"/>
    <w:rsid w:val="001100F9"/>
    <w:rsid w:val="0011032E"/>
    <w:rsid w:val="00110FDB"/>
    <w:rsid w:val="00111E47"/>
    <w:rsid w:val="00112FDB"/>
    <w:rsid w:val="0011348B"/>
    <w:rsid w:val="001158A8"/>
    <w:rsid w:val="00115982"/>
    <w:rsid w:val="001169FA"/>
    <w:rsid w:val="00116C53"/>
    <w:rsid w:val="00117E03"/>
    <w:rsid w:val="00121799"/>
    <w:rsid w:val="00121D5B"/>
    <w:rsid w:val="001222FC"/>
    <w:rsid w:val="00124A51"/>
    <w:rsid w:val="00126621"/>
    <w:rsid w:val="001301E9"/>
    <w:rsid w:val="00131C8A"/>
    <w:rsid w:val="00131D82"/>
    <w:rsid w:val="00133D36"/>
    <w:rsid w:val="0013682E"/>
    <w:rsid w:val="00137645"/>
    <w:rsid w:val="0014015A"/>
    <w:rsid w:val="00140E99"/>
    <w:rsid w:val="00145540"/>
    <w:rsid w:val="001456B0"/>
    <w:rsid w:val="00145DBA"/>
    <w:rsid w:val="00147A02"/>
    <w:rsid w:val="00147CDF"/>
    <w:rsid w:val="00156E32"/>
    <w:rsid w:val="00157130"/>
    <w:rsid w:val="001576B1"/>
    <w:rsid w:val="00160A4C"/>
    <w:rsid w:val="00162913"/>
    <w:rsid w:val="00162CB3"/>
    <w:rsid w:val="00163EFF"/>
    <w:rsid w:val="001649BA"/>
    <w:rsid w:val="00164A26"/>
    <w:rsid w:val="001661FB"/>
    <w:rsid w:val="00166FD2"/>
    <w:rsid w:val="00173565"/>
    <w:rsid w:val="00173B07"/>
    <w:rsid w:val="00175307"/>
    <w:rsid w:val="001755DF"/>
    <w:rsid w:val="00181D9C"/>
    <w:rsid w:val="0018468E"/>
    <w:rsid w:val="00185E21"/>
    <w:rsid w:val="0018665B"/>
    <w:rsid w:val="00186BCE"/>
    <w:rsid w:val="0018752F"/>
    <w:rsid w:val="001924FB"/>
    <w:rsid w:val="00195222"/>
    <w:rsid w:val="001975D8"/>
    <w:rsid w:val="001A43FA"/>
    <w:rsid w:val="001A59FB"/>
    <w:rsid w:val="001A6354"/>
    <w:rsid w:val="001A751A"/>
    <w:rsid w:val="001A7AE8"/>
    <w:rsid w:val="001B204E"/>
    <w:rsid w:val="001B2454"/>
    <w:rsid w:val="001B3443"/>
    <w:rsid w:val="001B44C0"/>
    <w:rsid w:val="001B4D20"/>
    <w:rsid w:val="001B4DE8"/>
    <w:rsid w:val="001B557E"/>
    <w:rsid w:val="001B5EB8"/>
    <w:rsid w:val="001B757C"/>
    <w:rsid w:val="001B7CA0"/>
    <w:rsid w:val="001C289A"/>
    <w:rsid w:val="001C2A9B"/>
    <w:rsid w:val="001C4299"/>
    <w:rsid w:val="001C5F94"/>
    <w:rsid w:val="001C6E66"/>
    <w:rsid w:val="001C71CF"/>
    <w:rsid w:val="001D05EE"/>
    <w:rsid w:val="001D4D43"/>
    <w:rsid w:val="001D6510"/>
    <w:rsid w:val="001D68DC"/>
    <w:rsid w:val="001E238E"/>
    <w:rsid w:val="001E2483"/>
    <w:rsid w:val="001E2B1E"/>
    <w:rsid w:val="001E30D4"/>
    <w:rsid w:val="001E3A7D"/>
    <w:rsid w:val="001E52EB"/>
    <w:rsid w:val="001E61D2"/>
    <w:rsid w:val="001E740C"/>
    <w:rsid w:val="001F1235"/>
    <w:rsid w:val="001F1CB3"/>
    <w:rsid w:val="001F302D"/>
    <w:rsid w:val="001F38B5"/>
    <w:rsid w:val="001F526C"/>
    <w:rsid w:val="001F6C2D"/>
    <w:rsid w:val="001F7361"/>
    <w:rsid w:val="002011B0"/>
    <w:rsid w:val="00203181"/>
    <w:rsid w:val="00203783"/>
    <w:rsid w:val="0020385F"/>
    <w:rsid w:val="00204F98"/>
    <w:rsid w:val="0020581F"/>
    <w:rsid w:val="00205A60"/>
    <w:rsid w:val="00207021"/>
    <w:rsid w:val="0020732F"/>
    <w:rsid w:val="00207D00"/>
    <w:rsid w:val="002105C1"/>
    <w:rsid w:val="00221370"/>
    <w:rsid w:val="00223B49"/>
    <w:rsid w:val="00224DD4"/>
    <w:rsid w:val="002304F0"/>
    <w:rsid w:val="002309CC"/>
    <w:rsid w:val="0023209F"/>
    <w:rsid w:val="00233225"/>
    <w:rsid w:val="00233DF0"/>
    <w:rsid w:val="0023629D"/>
    <w:rsid w:val="00237255"/>
    <w:rsid w:val="0023783B"/>
    <w:rsid w:val="002424AF"/>
    <w:rsid w:val="00242998"/>
    <w:rsid w:val="002439DC"/>
    <w:rsid w:val="00244DC8"/>
    <w:rsid w:val="002458BA"/>
    <w:rsid w:val="0024636C"/>
    <w:rsid w:val="00247925"/>
    <w:rsid w:val="0025301E"/>
    <w:rsid w:val="00254DCF"/>
    <w:rsid w:val="0025534B"/>
    <w:rsid w:val="00255BB7"/>
    <w:rsid w:val="00257541"/>
    <w:rsid w:val="00257ABE"/>
    <w:rsid w:val="00261CA2"/>
    <w:rsid w:val="00262A1A"/>
    <w:rsid w:val="00262A87"/>
    <w:rsid w:val="00264810"/>
    <w:rsid w:val="00264D26"/>
    <w:rsid w:val="0026622F"/>
    <w:rsid w:val="00267642"/>
    <w:rsid w:val="00267AEA"/>
    <w:rsid w:val="002700E6"/>
    <w:rsid w:val="0027294B"/>
    <w:rsid w:val="00275C5A"/>
    <w:rsid w:val="00281014"/>
    <w:rsid w:val="00281044"/>
    <w:rsid w:val="00281A71"/>
    <w:rsid w:val="00283AF3"/>
    <w:rsid w:val="00284ED3"/>
    <w:rsid w:val="0029140D"/>
    <w:rsid w:val="002946ED"/>
    <w:rsid w:val="002953D0"/>
    <w:rsid w:val="00295BCB"/>
    <w:rsid w:val="002A088E"/>
    <w:rsid w:val="002A14AB"/>
    <w:rsid w:val="002A1649"/>
    <w:rsid w:val="002A17A3"/>
    <w:rsid w:val="002A2803"/>
    <w:rsid w:val="002A2F50"/>
    <w:rsid w:val="002A50E5"/>
    <w:rsid w:val="002B09A4"/>
    <w:rsid w:val="002B1C1F"/>
    <w:rsid w:val="002B3BF4"/>
    <w:rsid w:val="002B432F"/>
    <w:rsid w:val="002B50A8"/>
    <w:rsid w:val="002B5F3A"/>
    <w:rsid w:val="002B62B3"/>
    <w:rsid w:val="002B6754"/>
    <w:rsid w:val="002B6CCE"/>
    <w:rsid w:val="002C2510"/>
    <w:rsid w:val="002C2775"/>
    <w:rsid w:val="002C27C1"/>
    <w:rsid w:val="002C2FDC"/>
    <w:rsid w:val="002C3920"/>
    <w:rsid w:val="002C5099"/>
    <w:rsid w:val="002C54F3"/>
    <w:rsid w:val="002C5889"/>
    <w:rsid w:val="002C71CE"/>
    <w:rsid w:val="002D52F7"/>
    <w:rsid w:val="002D577C"/>
    <w:rsid w:val="002E15B9"/>
    <w:rsid w:val="002E2158"/>
    <w:rsid w:val="002E406A"/>
    <w:rsid w:val="002E6DD2"/>
    <w:rsid w:val="002E7722"/>
    <w:rsid w:val="002E78EB"/>
    <w:rsid w:val="002F06B2"/>
    <w:rsid w:val="002F07BA"/>
    <w:rsid w:val="002F0DA9"/>
    <w:rsid w:val="002F4026"/>
    <w:rsid w:val="002F43F6"/>
    <w:rsid w:val="002F5F58"/>
    <w:rsid w:val="002F643C"/>
    <w:rsid w:val="002F71C0"/>
    <w:rsid w:val="002F7370"/>
    <w:rsid w:val="002F7C48"/>
    <w:rsid w:val="00301017"/>
    <w:rsid w:val="0030155F"/>
    <w:rsid w:val="0030190F"/>
    <w:rsid w:val="00302179"/>
    <w:rsid w:val="003045E5"/>
    <w:rsid w:val="003057F5"/>
    <w:rsid w:val="0030587B"/>
    <w:rsid w:val="00305D87"/>
    <w:rsid w:val="00306524"/>
    <w:rsid w:val="00306D98"/>
    <w:rsid w:val="0030786C"/>
    <w:rsid w:val="0031031A"/>
    <w:rsid w:val="00310981"/>
    <w:rsid w:val="00315498"/>
    <w:rsid w:val="00322107"/>
    <w:rsid w:val="00322846"/>
    <w:rsid w:val="00326DA7"/>
    <w:rsid w:val="003270E4"/>
    <w:rsid w:val="00327429"/>
    <w:rsid w:val="00330F5C"/>
    <w:rsid w:val="0033214B"/>
    <w:rsid w:val="00335BFD"/>
    <w:rsid w:val="003366C9"/>
    <w:rsid w:val="003371B0"/>
    <w:rsid w:val="003379B8"/>
    <w:rsid w:val="00340DF1"/>
    <w:rsid w:val="003410C3"/>
    <w:rsid w:val="003428D8"/>
    <w:rsid w:val="00345779"/>
    <w:rsid w:val="00345C9A"/>
    <w:rsid w:val="003517F9"/>
    <w:rsid w:val="00352A91"/>
    <w:rsid w:val="00355925"/>
    <w:rsid w:val="0035620E"/>
    <w:rsid w:val="00356ACD"/>
    <w:rsid w:val="003624C4"/>
    <w:rsid w:val="0036371A"/>
    <w:rsid w:val="00363D60"/>
    <w:rsid w:val="003654AC"/>
    <w:rsid w:val="003710CF"/>
    <w:rsid w:val="00371C51"/>
    <w:rsid w:val="00371D64"/>
    <w:rsid w:val="0037358A"/>
    <w:rsid w:val="00373DB4"/>
    <w:rsid w:val="0037503B"/>
    <w:rsid w:val="003750F6"/>
    <w:rsid w:val="003760FC"/>
    <w:rsid w:val="003773F8"/>
    <w:rsid w:val="00377FCF"/>
    <w:rsid w:val="0038365C"/>
    <w:rsid w:val="0038369B"/>
    <w:rsid w:val="00383B78"/>
    <w:rsid w:val="003841D3"/>
    <w:rsid w:val="003844E9"/>
    <w:rsid w:val="00385A9D"/>
    <w:rsid w:val="00386024"/>
    <w:rsid w:val="00387307"/>
    <w:rsid w:val="003902B1"/>
    <w:rsid w:val="00390590"/>
    <w:rsid w:val="0039096E"/>
    <w:rsid w:val="00396896"/>
    <w:rsid w:val="00396FD0"/>
    <w:rsid w:val="00397137"/>
    <w:rsid w:val="003A03C5"/>
    <w:rsid w:val="003A1A62"/>
    <w:rsid w:val="003A1A7A"/>
    <w:rsid w:val="003A2392"/>
    <w:rsid w:val="003A2831"/>
    <w:rsid w:val="003A3214"/>
    <w:rsid w:val="003A3ED1"/>
    <w:rsid w:val="003A5E09"/>
    <w:rsid w:val="003A7E4D"/>
    <w:rsid w:val="003B4812"/>
    <w:rsid w:val="003B5B61"/>
    <w:rsid w:val="003B6EAF"/>
    <w:rsid w:val="003C07BB"/>
    <w:rsid w:val="003C1654"/>
    <w:rsid w:val="003C3262"/>
    <w:rsid w:val="003C33B6"/>
    <w:rsid w:val="003C7D19"/>
    <w:rsid w:val="003D1828"/>
    <w:rsid w:val="003D1DE4"/>
    <w:rsid w:val="003D1EC5"/>
    <w:rsid w:val="003D2422"/>
    <w:rsid w:val="003D39A1"/>
    <w:rsid w:val="003D3FBF"/>
    <w:rsid w:val="003D4A30"/>
    <w:rsid w:val="003D501B"/>
    <w:rsid w:val="003D79BB"/>
    <w:rsid w:val="003D7BC6"/>
    <w:rsid w:val="003D7C98"/>
    <w:rsid w:val="003D7EB2"/>
    <w:rsid w:val="003E0543"/>
    <w:rsid w:val="003E21BE"/>
    <w:rsid w:val="003E615A"/>
    <w:rsid w:val="003E7CAD"/>
    <w:rsid w:val="003F4156"/>
    <w:rsid w:val="003F57C3"/>
    <w:rsid w:val="003F67EF"/>
    <w:rsid w:val="00400B29"/>
    <w:rsid w:val="00403637"/>
    <w:rsid w:val="00403F16"/>
    <w:rsid w:val="0040504B"/>
    <w:rsid w:val="00410708"/>
    <w:rsid w:val="00410EC7"/>
    <w:rsid w:val="004111C9"/>
    <w:rsid w:val="00411B39"/>
    <w:rsid w:val="00413A1E"/>
    <w:rsid w:val="00414476"/>
    <w:rsid w:val="00414607"/>
    <w:rsid w:val="00414C2E"/>
    <w:rsid w:val="004151CF"/>
    <w:rsid w:val="00415CF1"/>
    <w:rsid w:val="00416364"/>
    <w:rsid w:val="00417157"/>
    <w:rsid w:val="00420AA6"/>
    <w:rsid w:val="00420B9F"/>
    <w:rsid w:val="00422260"/>
    <w:rsid w:val="0042413F"/>
    <w:rsid w:val="00424B63"/>
    <w:rsid w:val="00424E03"/>
    <w:rsid w:val="00431523"/>
    <w:rsid w:val="004319F8"/>
    <w:rsid w:val="00431E55"/>
    <w:rsid w:val="004321F6"/>
    <w:rsid w:val="00433044"/>
    <w:rsid w:val="00435F38"/>
    <w:rsid w:val="004375B9"/>
    <w:rsid w:val="00441548"/>
    <w:rsid w:val="004428D0"/>
    <w:rsid w:val="004443A7"/>
    <w:rsid w:val="0044442C"/>
    <w:rsid w:val="00445941"/>
    <w:rsid w:val="00445F40"/>
    <w:rsid w:val="004464EB"/>
    <w:rsid w:val="00447186"/>
    <w:rsid w:val="004474C8"/>
    <w:rsid w:val="00447D26"/>
    <w:rsid w:val="00453EAB"/>
    <w:rsid w:val="00455D45"/>
    <w:rsid w:val="004574B9"/>
    <w:rsid w:val="004603A4"/>
    <w:rsid w:val="00462EFD"/>
    <w:rsid w:val="00464595"/>
    <w:rsid w:val="00464AB2"/>
    <w:rsid w:val="0047072C"/>
    <w:rsid w:val="00470D17"/>
    <w:rsid w:val="00472A79"/>
    <w:rsid w:val="00473F19"/>
    <w:rsid w:val="00475E22"/>
    <w:rsid w:val="004760C2"/>
    <w:rsid w:val="0048088E"/>
    <w:rsid w:val="00482720"/>
    <w:rsid w:val="004835E7"/>
    <w:rsid w:val="004845BF"/>
    <w:rsid w:val="004851C8"/>
    <w:rsid w:val="00485EE8"/>
    <w:rsid w:val="004867E2"/>
    <w:rsid w:val="004868B3"/>
    <w:rsid w:val="00491A5C"/>
    <w:rsid w:val="00491B3A"/>
    <w:rsid w:val="00492CFD"/>
    <w:rsid w:val="00492F42"/>
    <w:rsid w:val="00494DD5"/>
    <w:rsid w:val="004962D2"/>
    <w:rsid w:val="004976ED"/>
    <w:rsid w:val="004A070D"/>
    <w:rsid w:val="004A0DA1"/>
    <w:rsid w:val="004A52E9"/>
    <w:rsid w:val="004A5A91"/>
    <w:rsid w:val="004A6597"/>
    <w:rsid w:val="004A7848"/>
    <w:rsid w:val="004B0C41"/>
    <w:rsid w:val="004B1380"/>
    <w:rsid w:val="004B1CB4"/>
    <w:rsid w:val="004B2F18"/>
    <w:rsid w:val="004B3DDB"/>
    <w:rsid w:val="004B44FD"/>
    <w:rsid w:val="004B4B5F"/>
    <w:rsid w:val="004B5CFC"/>
    <w:rsid w:val="004B723F"/>
    <w:rsid w:val="004B774D"/>
    <w:rsid w:val="004C1A0D"/>
    <w:rsid w:val="004C4AED"/>
    <w:rsid w:val="004C703B"/>
    <w:rsid w:val="004D2C2D"/>
    <w:rsid w:val="004D7227"/>
    <w:rsid w:val="004E0E7F"/>
    <w:rsid w:val="004E0EB8"/>
    <w:rsid w:val="004E2ADC"/>
    <w:rsid w:val="004E43B2"/>
    <w:rsid w:val="004E6628"/>
    <w:rsid w:val="004F1D02"/>
    <w:rsid w:val="004F2679"/>
    <w:rsid w:val="004F2F21"/>
    <w:rsid w:val="004F6913"/>
    <w:rsid w:val="004F6FE4"/>
    <w:rsid w:val="004F7865"/>
    <w:rsid w:val="0050219B"/>
    <w:rsid w:val="00503F17"/>
    <w:rsid w:val="005053B1"/>
    <w:rsid w:val="00506017"/>
    <w:rsid w:val="0050674C"/>
    <w:rsid w:val="00506928"/>
    <w:rsid w:val="00510430"/>
    <w:rsid w:val="00511521"/>
    <w:rsid w:val="005152B5"/>
    <w:rsid w:val="00515F23"/>
    <w:rsid w:val="0051621D"/>
    <w:rsid w:val="0052084C"/>
    <w:rsid w:val="00521319"/>
    <w:rsid w:val="00521E04"/>
    <w:rsid w:val="00522BC8"/>
    <w:rsid w:val="00523898"/>
    <w:rsid w:val="00523C28"/>
    <w:rsid w:val="0052617E"/>
    <w:rsid w:val="0052786A"/>
    <w:rsid w:val="005300D3"/>
    <w:rsid w:val="005304D6"/>
    <w:rsid w:val="00531A37"/>
    <w:rsid w:val="00533E2D"/>
    <w:rsid w:val="005367BD"/>
    <w:rsid w:val="00536F42"/>
    <w:rsid w:val="00537182"/>
    <w:rsid w:val="00542743"/>
    <w:rsid w:val="00542C2D"/>
    <w:rsid w:val="0054331C"/>
    <w:rsid w:val="0054392F"/>
    <w:rsid w:val="00546FCE"/>
    <w:rsid w:val="00547304"/>
    <w:rsid w:val="00551985"/>
    <w:rsid w:val="00552BD3"/>
    <w:rsid w:val="00555109"/>
    <w:rsid w:val="00557505"/>
    <w:rsid w:val="00562F57"/>
    <w:rsid w:val="00563431"/>
    <w:rsid w:val="0056696F"/>
    <w:rsid w:val="005677D2"/>
    <w:rsid w:val="005714E4"/>
    <w:rsid w:val="00572269"/>
    <w:rsid w:val="0057244A"/>
    <w:rsid w:val="0057252C"/>
    <w:rsid w:val="00573546"/>
    <w:rsid w:val="00573547"/>
    <w:rsid w:val="00573C7B"/>
    <w:rsid w:val="0057401E"/>
    <w:rsid w:val="005743CE"/>
    <w:rsid w:val="00575D8D"/>
    <w:rsid w:val="00576972"/>
    <w:rsid w:val="00580454"/>
    <w:rsid w:val="00583699"/>
    <w:rsid w:val="00584263"/>
    <w:rsid w:val="00585045"/>
    <w:rsid w:val="00585CDD"/>
    <w:rsid w:val="00586B7C"/>
    <w:rsid w:val="00587058"/>
    <w:rsid w:val="0058720C"/>
    <w:rsid w:val="00591957"/>
    <w:rsid w:val="005948A5"/>
    <w:rsid w:val="00597BF9"/>
    <w:rsid w:val="005A373D"/>
    <w:rsid w:val="005A4DF5"/>
    <w:rsid w:val="005A5B70"/>
    <w:rsid w:val="005B3F2D"/>
    <w:rsid w:val="005B5857"/>
    <w:rsid w:val="005B592A"/>
    <w:rsid w:val="005B65A5"/>
    <w:rsid w:val="005C1B83"/>
    <w:rsid w:val="005C2D55"/>
    <w:rsid w:val="005C346B"/>
    <w:rsid w:val="005C3939"/>
    <w:rsid w:val="005C5173"/>
    <w:rsid w:val="005C5F83"/>
    <w:rsid w:val="005D044D"/>
    <w:rsid w:val="005D0ABD"/>
    <w:rsid w:val="005D18AD"/>
    <w:rsid w:val="005D1E74"/>
    <w:rsid w:val="005D26B4"/>
    <w:rsid w:val="005D5E7A"/>
    <w:rsid w:val="005D6068"/>
    <w:rsid w:val="005E13DC"/>
    <w:rsid w:val="005E1CCA"/>
    <w:rsid w:val="005E6581"/>
    <w:rsid w:val="005E6CBC"/>
    <w:rsid w:val="005E73C0"/>
    <w:rsid w:val="005F0B55"/>
    <w:rsid w:val="005F0E24"/>
    <w:rsid w:val="005F2706"/>
    <w:rsid w:val="005F6A8F"/>
    <w:rsid w:val="00600646"/>
    <w:rsid w:val="00600F7E"/>
    <w:rsid w:val="00603DB9"/>
    <w:rsid w:val="00606EAF"/>
    <w:rsid w:val="00607669"/>
    <w:rsid w:val="00607AFD"/>
    <w:rsid w:val="006123E5"/>
    <w:rsid w:val="00612AB8"/>
    <w:rsid w:val="00612CB6"/>
    <w:rsid w:val="00612CD6"/>
    <w:rsid w:val="00612F97"/>
    <w:rsid w:val="00613198"/>
    <w:rsid w:val="0061345D"/>
    <w:rsid w:val="00613F56"/>
    <w:rsid w:val="00616802"/>
    <w:rsid w:val="00617871"/>
    <w:rsid w:val="00617E12"/>
    <w:rsid w:val="0062085D"/>
    <w:rsid w:val="00621477"/>
    <w:rsid w:val="006242EF"/>
    <w:rsid w:val="006246D2"/>
    <w:rsid w:val="0062529D"/>
    <w:rsid w:val="00625ED3"/>
    <w:rsid w:val="00626B4F"/>
    <w:rsid w:val="0063158F"/>
    <w:rsid w:val="00631BB7"/>
    <w:rsid w:val="00631D6B"/>
    <w:rsid w:val="00631F29"/>
    <w:rsid w:val="006330A1"/>
    <w:rsid w:val="0063479F"/>
    <w:rsid w:val="00634B14"/>
    <w:rsid w:val="00634FD7"/>
    <w:rsid w:val="006353F0"/>
    <w:rsid w:val="006364A1"/>
    <w:rsid w:val="006373D3"/>
    <w:rsid w:val="00637B13"/>
    <w:rsid w:val="00637BFD"/>
    <w:rsid w:val="0064010B"/>
    <w:rsid w:val="00641C4E"/>
    <w:rsid w:val="006471CC"/>
    <w:rsid w:val="00647341"/>
    <w:rsid w:val="0065079F"/>
    <w:rsid w:val="00650B1B"/>
    <w:rsid w:val="0065379F"/>
    <w:rsid w:val="00660076"/>
    <w:rsid w:val="00661C6B"/>
    <w:rsid w:val="00663E29"/>
    <w:rsid w:val="00670607"/>
    <w:rsid w:val="006727C6"/>
    <w:rsid w:val="00674E42"/>
    <w:rsid w:val="00675550"/>
    <w:rsid w:val="006778B3"/>
    <w:rsid w:val="00682112"/>
    <w:rsid w:val="00686957"/>
    <w:rsid w:val="006872BA"/>
    <w:rsid w:val="00691648"/>
    <w:rsid w:val="006917D7"/>
    <w:rsid w:val="00692D45"/>
    <w:rsid w:val="00693802"/>
    <w:rsid w:val="00694F44"/>
    <w:rsid w:val="00695741"/>
    <w:rsid w:val="006968D6"/>
    <w:rsid w:val="00696ABE"/>
    <w:rsid w:val="00696D7B"/>
    <w:rsid w:val="006A390D"/>
    <w:rsid w:val="006A744E"/>
    <w:rsid w:val="006A7E5F"/>
    <w:rsid w:val="006B039E"/>
    <w:rsid w:val="006B261B"/>
    <w:rsid w:val="006B2C90"/>
    <w:rsid w:val="006B43A6"/>
    <w:rsid w:val="006B6DD0"/>
    <w:rsid w:val="006B73EA"/>
    <w:rsid w:val="006B7F8A"/>
    <w:rsid w:val="006C2A8E"/>
    <w:rsid w:val="006C61AA"/>
    <w:rsid w:val="006D0B88"/>
    <w:rsid w:val="006D205B"/>
    <w:rsid w:val="006D3641"/>
    <w:rsid w:val="006D3C03"/>
    <w:rsid w:val="006D3C7D"/>
    <w:rsid w:val="006D4D55"/>
    <w:rsid w:val="006D56E8"/>
    <w:rsid w:val="006D5947"/>
    <w:rsid w:val="006D5D5F"/>
    <w:rsid w:val="006D7843"/>
    <w:rsid w:val="006E14A5"/>
    <w:rsid w:val="006E2C1E"/>
    <w:rsid w:val="006E45A5"/>
    <w:rsid w:val="006E6473"/>
    <w:rsid w:val="006E7409"/>
    <w:rsid w:val="006E782A"/>
    <w:rsid w:val="006F20BC"/>
    <w:rsid w:val="006F20EC"/>
    <w:rsid w:val="006F306C"/>
    <w:rsid w:val="006F35C1"/>
    <w:rsid w:val="006F63A5"/>
    <w:rsid w:val="0070142B"/>
    <w:rsid w:val="00701BE1"/>
    <w:rsid w:val="0070276E"/>
    <w:rsid w:val="00702F8F"/>
    <w:rsid w:val="0070720C"/>
    <w:rsid w:val="00707C37"/>
    <w:rsid w:val="007108F8"/>
    <w:rsid w:val="00711178"/>
    <w:rsid w:val="00711A36"/>
    <w:rsid w:val="0071529C"/>
    <w:rsid w:val="007172AD"/>
    <w:rsid w:val="007174DA"/>
    <w:rsid w:val="00722B1B"/>
    <w:rsid w:val="0072416F"/>
    <w:rsid w:val="00724E44"/>
    <w:rsid w:val="00727C94"/>
    <w:rsid w:val="00730AF2"/>
    <w:rsid w:val="0073157C"/>
    <w:rsid w:val="00731EAE"/>
    <w:rsid w:val="0073502A"/>
    <w:rsid w:val="00735033"/>
    <w:rsid w:val="00735328"/>
    <w:rsid w:val="0073685B"/>
    <w:rsid w:val="00736C39"/>
    <w:rsid w:val="007407CD"/>
    <w:rsid w:val="00742247"/>
    <w:rsid w:val="007426F7"/>
    <w:rsid w:val="0074351A"/>
    <w:rsid w:val="00743739"/>
    <w:rsid w:val="00744322"/>
    <w:rsid w:val="007449E6"/>
    <w:rsid w:val="00744E71"/>
    <w:rsid w:val="0074654A"/>
    <w:rsid w:val="0075033F"/>
    <w:rsid w:val="00750AEA"/>
    <w:rsid w:val="00751AAD"/>
    <w:rsid w:val="00752142"/>
    <w:rsid w:val="007523F9"/>
    <w:rsid w:val="007573E8"/>
    <w:rsid w:val="00757714"/>
    <w:rsid w:val="00760C4E"/>
    <w:rsid w:val="00761216"/>
    <w:rsid w:val="007642B8"/>
    <w:rsid w:val="00765B1A"/>
    <w:rsid w:val="0077015F"/>
    <w:rsid w:val="00777D90"/>
    <w:rsid w:val="007831BF"/>
    <w:rsid w:val="007843F2"/>
    <w:rsid w:val="00786768"/>
    <w:rsid w:val="00786B82"/>
    <w:rsid w:val="00794FCA"/>
    <w:rsid w:val="007952C4"/>
    <w:rsid w:val="007952CB"/>
    <w:rsid w:val="00797061"/>
    <w:rsid w:val="007A0A12"/>
    <w:rsid w:val="007A132D"/>
    <w:rsid w:val="007A6E11"/>
    <w:rsid w:val="007B0D68"/>
    <w:rsid w:val="007B251D"/>
    <w:rsid w:val="007B385E"/>
    <w:rsid w:val="007B4F58"/>
    <w:rsid w:val="007B528D"/>
    <w:rsid w:val="007B54D9"/>
    <w:rsid w:val="007B554E"/>
    <w:rsid w:val="007B6419"/>
    <w:rsid w:val="007B7531"/>
    <w:rsid w:val="007B77D1"/>
    <w:rsid w:val="007C1CD9"/>
    <w:rsid w:val="007C361D"/>
    <w:rsid w:val="007C4B84"/>
    <w:rsid w:val="007C6605"/>
    <w:rsid w:val="007C7F4B"/>
    <w:rsid w:val="007D004F"/>
    <w:rsid w:val="007D0B38"/>
    <w:rsid w:val="007D201C"/>
    <w:rsid w:val="007D5440"/>
    <w:rsid w:val="007D5535"/>
    <w:rsid w:val="007D682B"/>
    <w:rsid w:val="007E2A14"/>
    <w:rsid w:val="007E5124"/>
    <w:rsid w:val="007E5738"/>
    <w:rsid w:val="007F1017"/>
    <w:rsid w:val="007F31AE"/>
    <w:rsid w:val="007F4A3F"/>
    <w:rsid w:val="007F4A61"/>
    <w:rsid w:val="007F5B2D"/>
    <w:rsid w:val="007F61C2"/>
    <w:rsid w:val="00801AF0"/>
    <w:rsid w:val="00805142"/>
    <w:rsid w:val="00807A2C"/>
    <w:rsid w:val="00807A8B"/>
    <w:rsid w:val="00811383"/>
    <w:rsid w:val="008117E2"/>
    <w:rsid w:val="008120BF"/>
    <w:rsid w:val="00812149"/>
    <w:rsid w:val="00812CAC"/>
    <w:rsid w:val="008166EF"/>
    <w:rsid w:val="008179E9"/>
    <w:rsid w:val="00817D5B"/>
    <w:rsid w:val="00821D59"/>
    <w:rsid w:val="0082494A"/>
    <w:rsid w:val="00825751"/>
    <w:rsid w:val="008264EB"/>
    <w:rsid w:val="0082728B"/>
    <w:rsid w:val="00827684"/>
    <w:rsid w:val="00830E03"/>
    <w:rsid w:val="00833B05"/>
    <w:rsid w:val="00834CEA"/>
    <w:rsid w:val="008362B4"/>
    <w:rsid w:val="00840CA2"/>
    <w:rsid w:val="0084258C"/>
    <w:rsid w:val="0084374F"/>
    <w:rsid w:val="00843B66"/>
    <w:rsid w:val="00845A39"/>
    <w:rsid w:val="00846FCA"/>
    <w:rsid w:val="00847DF5"/>
    <w:rsid w:val="00851A56"/>
    <w:rsid w:val="00852A8E"/>
    <w:rsid w:val="00852E76"/>
    <w:rsid w:val="0085309D"/>
    <w:rsid w:val="00854E77"/>
    <w:rsid w:val="00856897"/>
    <w:rsid w:val="00856C4C"/>
    <w:rsid w:val="00856E9A"/>
    <w:rsid w:val="00856FB7"/>
    <w:rsid w:val="0086075D"/>
    <w:rsid w:val="00860F14"/>
    <w:rsid w:val="008611CE"/>
    <w:rsid w:val="008616D5"/>
    <w:rsid w:val="008623CE"/>
    <w:rsid w:val="00862502"/>
    <w:rsid w:val="008646B6"/>
    <w:rsid w:val="00865B99"/>
    <w:rsid w:val="008660D4"/>
    <w:rsid w:val="00871FA9"/>
    <w:rsid w:val="008728E9"/>
    <w:rsid w:val="0087449A"/>
    <w:rsid w:val="00874942"/>
    <w:rsid w:val="00877147"/>
    <w:rsid w:val="008778EE"/>
    <w:rsid w:val="00877ECA"/>
    <w:rsid w:val="00881606"/>
    <w:rsid w:val="00882874"/>
    <w:rsid w:val="008831D6"/>
    <w:rsid w:val="00883787"/>
    <w:rsid w:val="008849FA"/>
    <w:rsid w:val="008861F2"/>
    <w:rsid w:val="00886CD2"/>
    <w:rsid w:val="00890406"/>
    <w:rsid w:val="008918BB"/>
    <w:rsid w:val="00892A36"/>
    <w:rsid w:val="00893239"/>
    <w:rsid w:val="00893982"/>
    <w:rsid w:val="00894489"/>
    <w:rsid w:val="008944A8"/>
    <w:rsid w:val="008963A5"/>
    <w:rsid w:val="0089674B"/>
    <w:rsid w:val="0089714F"/>
    <w:rsid w:val="008A1751"/>
    <w:rsid w:val="008A3363"/>
    <w:rsid w:val="008A3371"/>
    <w:rsid w:val="008A3C3E"/>
    <w:rsid w:val="008A4804"/>
    <w:rsid w:val="008A705E"/>
    <w:rsid w:val="008A7925"/>
    <w:rsid w:val="008A79DE"/>
    <w:rsid w:val="008B1757"/>
    <w:rsid w:val="008B2649"/>
    <w:rsid w:val="008B315A"/>
    <w:rsid w:val="008B5554"/>
    <w:rsid w:val="008B6325"/>
    <w:rsid w:val="008B691A"/>
    <w:rsid w:val="008B7D7E"/>
    <w:rsid w:val="008C22A0"/>
    <w:rsid w:val="008C4CFB"/>
    <w:rsid w:val="008C7ECB"/>
    <w:rsid w:val="008D0DEA"/>
    <w:rsid w:val="008D32AC"/>
    <w:rsid w:val="008D4755"/>
    <w:rsid w:val="008D4C3D"/>
    <w:rsid w:val="008E0859"/>
    <w:rsid w:val="008E0D3C"/>
    <w:rsid w:val="008E1B9E"/>
    <w:rsid w:val="008E55AB"/>
    <w:rsid w:val="008F0216"/>
    <w:rsid w:val="008F10CA"/>
    <w:rsid w:val="008F120A"/>
    <w:rsid w:val="008F27E0"/>
    <w:rsid w:val="008F3821"/>
    <w:rsid w:val="008F3911"/>
    <w:rsid w:val="008F48EB"/>
    <w:rsid w:val="008F4F0B"/>
    <w:rsid w:val="008F530B"/>
    <w:rsid w:val="00900EC6"/>
    <w:rsid w:val="009046C4"/>
    <w:rsid w:val="009062A5"/>
    <w:rsid w:val="00910114"/>
    <w:rsid w:val="00911272"/>
    <w:rsid w:val="009135D6"/>
    <w:rsid w:val="00914C77"/>
    <w:rsid w:val="009200B2"/>
    <w:rsid w:val="0092074A"/>
    <w:rsid w:val="0092180E"/>
    <w:rsid w:val="00923282"/>
    <w:rsid w:val="0092369B"/>
    <w:rsid w:val="00923D3B"/>
    <w:rsid w:val="00925370"/>
    <w:rsid w:val="009307E7"/>
    <w:rsid w:val="00930A83"/>
    <w:rsid w:val="009320CE"/>
    <w:rsid w:val="009361ED"/>
    <w:rsid w:val="009374FD"/>
    <w:rsid w:val="00937A09"/>
    <w:rsid w:val="00940EE2"/>
    <w:rsid w:val="00943672"/>
    <w:rsid w:val="00945AE9"/>
    <w:rsid w:val="00950798"/>
    <w:rsid w:val="009510A2"/>
    <w:rsid w:val="00953257"/>
    <w:rsid w:val="00962691"/>
    <w:rsid w:val="00962CB9"/>
    <w:rsid w:val="00963E1E"/>
    <w:rsid w:val="00964312"/>
    <w:rsid w:val="00965B8A"/>
    <w:rsid w:val="009717AC"/>
    <w:rsid w:val="00975E22"/>
    <w:rsid w:val="00977341"/>
    <w:rsid w:val="00980971"/>
    <w:rsid w:val="00981191"/>
    <w:rsid w:val="00981A75"/>
    <w:rsid w:val="009828FE"/>
    <w:rsid w:val="00983E57"/>
    <w:rsid w:val="0098675D"/>
    <w:rsid w:val="009874CA"/>
    <w:rsid w:val="00987CB2"/>
    <w:rsid w:val="00990077"/>
    <w:rsid w:val="009909CC"/>
    <w:rsid w:val="00996B1A"/>
    <w:rsid w:val="00997D61"/>
    <w:rsid w:val="009A1381"/>
    <w:rsid w:val="009A3293"/>
    <w:rsid w:val="009A53F8"/>
    <w:rsid w:val="009A7857"/>
    <w:rsid w:val="009A7F10"/>
    <w:rsid w:val="009B056F"/>
    <w:rsid w:val="009B29A0"/>
    <w:rsid w:val="009B3309"/>
    <w:rsid w:val="009B3E26"/>
    <w:rsid w:val="009B41AA"/>
    <w:rsid w:val="009C6CEA"/>
    <w:rsid w:val="009C7B85"/>
    <w:rsid w:val="009D5B91"/>
    <w:rsid w:val="009D73A6"/>
    <w:rsid w:val="009D792E"/>
    <w:rsid w:val="009E0DFE"/>
    <w:rsid w:val="009E38C9"/>
    <w:rsid w:val="009E4227"/>
    <w:rsid w:val="009E4C07"/>
    <w:rsid w:val="009F1CC9"/>
    <w:rsid w:val="009F4128"/>
    <w:rsid w:val="009F4958"/>
    <w:rsid w:val="009F68B9"/>
    <w:rsid w:val="00A01184"/>
    <w:rsid w:val="00A03D43"/>
    <w:rsid w:val="00A04380"/>
    <w:rsid w:val="00A114BF"/>
    <w:rsid w:val="00A11CD0"/>
    <w:rsid w:val="00A13948"/>
    <w:rsid w:val="00A145D7"/>
    <w:rsid w:val="00A14B68"/>
    <w:rsid w:val="00A1555B"/>
    <w:rsid w:val="00A155C5"/>
    <w:rsid w:val="00A16AD8"/>
    <w:rsid w:val="00A172A1"/>
    <w:rsid w:val="00A21CF3"/>
    <w:rsid w:val="00A23A16"/>
    <w:rsid w:val="00A24193"/>
    <w:rsid w:val="00A24798"/>
    <w:rsid w:val="00A27AEC"/>
    <w:rsid w:val="00A320DB"/>
    <w:rsid w:val="00A326DB"/>
    <w:rsid w:val="00A34EA0"/>
    <w:rsid w:val="00A35D16"/>
    <w:rsid w:val="00A37BCD"/>
    <w:rsid w:val="00A40236"/>
    <w:rsid w:val="00A407D7"/>
    <w:rsid w:val="00A4266D"/>
    <w:rsid w:val="00A43A58"/>
    <w:rsid w:val="00A43C59"/>
    <w:rsid w:val="00A50ECD"/>
    <w:rsid w:val="00A518F3"/>
    <w:rsid w:val="00A52729"/>
    <w:rsid w:val="00A52D01"/>
    <w:rsid w:val="00A53675"/>
    <w:rsid w:val="00A564D7"/>
    <w:rsid w:val="00A56B6A"/>
    <w:rsid w:val="00A578DC"/>
    <w:rsid w:val="00A60168"/>
    <w:rsid w:val="00A62C40"/>
    <w:rsid w:val="00A63033"/>
    <w:rsid w:val="00A6725B"/>
    <w:rsid w:val="00A70605"/>
    <w:rsid w:val="00A70C8F"/>
    <w:rsid w:val="00A70D29"/>
    <w:rsid w:val="00A73134"/>
    <w:rsid w:val="00A734E6"/>
    <w:rsid w:val="00A753C9"/>
    <w:rsid w:val="00A75650"/>
    <w:rsid w:val="00A777B2"/>
    <w:rsid w:val="00A82894"/>
    <w:rsid w:val="00A86E8B"/>
    <w:rsid w:val="00A87164"/>
    <w:rsid w:val="00A93072"/>
    <w:rsid w:val="00A93953"/>
    <w:rsid w:val="00A9492C"/>
    <w:rsid w:val="00A959D8"/>
    <w:rsid w:val="00AA047D"/>
    <w:rsid w:val="00AA0913"/>
    <w:rsid w:val="00AA113D"/>
    <w:rsid w:val="00AA5665"/>
    <w:rsid w:val="00AA6C7D"/>
    <w:rsid w:val="00AA7FD6"/>
    <w:rsid w:val="00AB042A"/>
    <w:rsid w:val="00AB2D34"/>
    <w:rsid w:val="00AB3430"/>
    <w:rsid w:val="00AB3A86"/>
    <w:rsid w:val="00AB4AD1"/>
    <w:rsid w:val="00AB7CFA"/>
    <w:rsid w:val="00AC5B48"/>
    <w:rsid w:val="00AD2E87"/>
    <w:rsid w:val="00AD6502"/>
    <w:rsid w:val="00AE37F2"/>
    <w:rsid w:val="00AE4FA0"/>
    <w:rsid w:val="00AE545E"/>
    <w:rsid w:val="00AE5A72"/>
    <w:rsid w:val="00AE6B7D"/>
    <w:rsid w:val="00AF1315"/>
    <w:rsid w:val="00AF19BF"/>
    <w:rsid w:val="00AF2DC3"/>
    <w:rsid w:val="00AF6487"/>
    <w:rsid w:val="00AF7CFE"/>
    <w:rsid w:val="00B00F31"/>
    <w:rsid w:val="00B033E5"/>
    <w:rsid w:val="00B03A63"/>
    <w:rsid w:val="00B0474A"/>
    <w:rsid w:val="00B048D9"/>
    <w:rsid w:val="00B06EA2"/>
    <w:rsid w:val="00B10265"/>
    <w:rsid w:val="00B17ABD"/>
    <w:rsid w:val="00B201A4"/>
    <w:rsid w:val="00B213A6"/>
    <w:rsid w:val="00B21D85"/>
    <w:rsid w:val="00B23714"/>
    <w:rsid w:val="00B24B0D"/>
    <w:rsid w:val="00B24DF6"/>
    <w:rsid w:val="00B25B81"/>
    <w:rsid w:val="00B27332"/>
    <w:rsid w:val="00B30302"/>
    <w:rsid w:val="00B34FE2"/>
    <w:rsid w:val="00B357D8"/>
    <w:rsid w:val="00B3709F"/>
    <w:rsid w:val="00B37BFC"/>
    <w:rsid w:val="00B40358"/>
    <w:rsid w:val="00B40E46"/>
    <w:rsid w:val="00B41614"/>
    <w:rsid w:val="00B41952"/>
    <w:rsid w:val="00B42851"/>
    <w:rsid w:val="00B42F80"/>
    <w:rsid w:val="00B435CB"/>
    <w:rsid w:val="00B44F69"/>
    <w:rsid w:val="00B46962"/>
    <w:rsid w:val="00B50DB8"/>
    <w:rsid w:val="00B5169F"/>
    <w:rsid w:val="00B53654"/>
    <w:rsid w:val="00B53905"/>
    <w:rsid w:val="00B54A29"/>
    <w:rsid w:val="00B54B5B"/>
    <w:rsid w:val="00B5562E"/>
    <w:rsid w:val="00B5671D"/>
    <w:rsid w:val="00B57000"/>
    <w:rsid w:val="00B575D5"/>
    <w:rsid w:val="00B60939"/>
    <w:rsid w:val="00B60AFD"/>
    <w:rsid w:val="00B623D4"/>
    <w:rsid w:val="00B62715"/>
    <w:rsid w:val="00B67754"/>
    <w:rsid w:val="00B70C5D"/>
    <w:rsid w:val="00B720E0"/>
    <w:rsid w:val="00B72E8F"/>
    <w:rsid w:val="00B74A25"/>
    <w:rsid w:val="00B75C26"/>
    <w:rsid w:val="00B75F50"/>
    <w:rsid w:val="00B818A4"/>
    <w:rsid w:val="00B81DDC"/>
    <w:rsid w:val="00B82292"/>
    <w:rsid w:val="00B84117"/>
    <w:rsid w:val="00B85AA2"/>
    <w:rsid w:val="00B85DFB"/>
    <w:rsid w:val="00B8649C"/>
    <w:rsid w:val="00B87D50"/>
    <w:rsid w:val="00B87F0A"/>
    <w:rsid w:val="00B92D0B"/>
    <w:rsid w:val="00B944C8"/>
    <w:rsid w:val="00B94945"/>
    <w:rsid w:val="00B949DE"/>
    <w:rsid w:val="00B95879"/>
    <w:rsid w:val="00B966E7"/>
    <w:rsid w:val="00B97E1B"/>
    <w:rsid w:val="00BA0DDF"/>
    <w:rsid w:val="00BA322D"/>
    <w:rsid w:val="00BB0BDD"/>
    <w:rsid w:val="00BB0EB7"/>
    <w:rsid w:val="00BB2A73"/>
    <w:rsid w:val="00BB3AD8"/>
    <w:rsid w:val="00BB4ACC"/>
    <w:rsid w:val="00BB703E"/>
    <w:rsid w:val="00BB7405"/>
    <w:rsid w:val="00BB7C92"/>
    <w:rsid w:val="00BC2C6D"/>
    <w:rsid w:val="00BC3631"/>
    <w:rsid w:val="00BC492F"/>
    <w:rsid w:val="00BC5A46"/>
    <w:rsid w:val="00BC79DE"/>
    <w:rsid w:val="00BD026A"/>
    <w:rsid w:val="00BD0C42"/>
    <w:rsid w:val="00BD58AF"/>
    <w:rsid w:val="00BD6470"/>
    <w:rsid w:val="00BD68A3"/>
    <w:rsid w:val="00BD6938"/>
    <w:rsid w:val="00BD6CF3"/>
    <w:rsid w:val="00BE0C2A"/>
    <w:rsid w:val="00BE2180"/>
    <w:rsid w:val="00BE21F2"/>
    <w:rsid w:val="00BE4275"/>
    <w:rsid w:val="00BE6EAD"/>
    <w:rsid w:val="00BF09ED"/>
    <w:rsid w:val="00BF0F95"/>
    <w:rsid w:val="00BF2277"/>
    <w:rsid w:val="00BF2433"/>
    <w:rsid w:val="00BF588E"/>
    <w:rsid w:val="00BF5B63"/>
    <w:rsid w:val="00BF61C9"/>
    <w:rsid w:val="00BF6C27"/>
    <w:rsid w:val="00BF6C94"/>
    <w:rsid w:val="00C00424"/>
    <w:rsid w:val="00C01471"/>
    <w:rsid w:val="00C04CDF"/>
    <w:rsid w:val="00C10F88"/>
    <w:rsid w:val="00C11489"/>
    <w:rsid w:val="00C11A53"/>
    <w:rsid w:val="00C12153"/>
    <w:rsid w:val="00C129A3"/>
    <w:rsid w:val="00C12C14"/>
    <w:rsid w:val="00C14A6D"/>
    <w:rsid w:val="00C168F5"/>
    <w:rsid w:val="00C16F0B"/>
    <w:rsid w:val="00C17037"/>
    <w:rsid w:val="00C200AA"/>
    <w:rsid w:val="00C22BA0"/>
    <w:rsid w:val="00C22DFC"/>
    <w:rsid w:val="00C237ED"/>
    <w:rsid w:val="00C24632"/>
    <w:rsid w:val="00C25418"/>
    <w:rsid w:val="00C25D9C"/>
    <w:rsid w:val="00C26A64"/>
    <w:rsid w:val="00C2778B"/>
    <w:rsid w:val="00C302B4"/>
    <w:rsid w:val="00C30575"/>
    <w:rsid w:val="00C31649"/>
    <w:rsid w:val="00C332E8"/>
    <w:rsid w:val="00C33717"/>
    <w:rsid w:val="00C33CC0"/>
    <w:rsid w:val="00C40385"/>
    <w:rsid w:val="00C44096"/>
    <w:rsid w:val="00C44C61"/>
    <w:rsid w:val="00C46250"/>
    <w:rsid w:val="00C475AA"/>
    <w:rsid w:val="00C50C95"/>
    <w:rsid w:val="00C53FEB"/>
    <w:rsid w:val="00C5434D"/>
    <w:rsid w:val="00C543EB"/>
    <w:rsid w:val="00C563B3"/>
    <w:rsid w:val="00C57BDC"/>
    <w:rsid w:val="00C57CFF"/>
    <w:rsid w:val="00C64058"/>
    <w:rsid w:val="00C65576"/>
    <w:rsid w:val="00C66102"/>
    <w:rsid w:val="00C66165"/>
    <w:rsid w:val="00C711C3"/>
    <w:rsid w:val="00C7151A"/>
    <w:rsid w:val="00C71F60"/>
    <w:rsid w:val="00C721BB"/>
    <w:rsid w:val="00C72241"/>
    <w:rsid w:val="00C750C8"/>
    <w:rsid w:val="00C7542C"/>
    <w:rsid w:val="00C7560F"/>
    <w:rsid w:val="00C7587E"/>
    <w:rsid w:val="00C75A3A"/>
    <w:rsid w:val="00C80A0E"/>
    <w:rsid w:val="00C8213F"/>
    <w:rsid w:val="00C8797A"/>
    <w:rsid w:val="00C900B8"/>
    <w:rsid w:val="00C90C71"/>
    <w:rsid w:val="00C931CF"/>
    <w:rsid w:val="00C938CF"/>
    <w:rsid w:val="00C9624D"/>
    <w:rsid w:val="00C969DA"/>
    <w:rsid w:val="00CA2C77"/>
    <w:rsid w:val="00CA3580"/>
    <w:rsid w:val="00CA43B4"/>
    <w:rsid w:val="00CA444F"/>
    <w:rsid w:val="00CA4D73"/>
    <w:rsid w:val="00CA5245"/>
    <w:rsid w:val="00CA71F4"/>
    <w:rsid w:val="00CA7B09"/>
    <w:rsid w:val="00CB0693"/>
    <w:rsid w:val="00CB1ABC"/>
    <w:rsid w:val="00CB2F2A"/>
    <w:rsid w:val="00CB3789"/>
    <w:rsid w:val="00CB4C74"/>
    <w:rsid w:val="00CB5B1A"/>
    <w:rsid w:val="00CB6B22"/>
    <w:rsid w:val="00CB7F5F"/>
    <w:rsid w:val="00CC1B39"/>
    <w:rsid w:val="00CC462B"/>
    <w:rsid w:val="00CC59AD"/>
    <w:rsid w:val="00CC5C12"/>
    <w:rsid w:val="00CC6397"/>
    <w:rsid w:val="00CC7B5F"/>
    <w:rsid w:val="00CD0641"/>
    <w:rsid w:val="00CD514C"/>
    <w:rsid w:val="00CD6ADC"/>
    <w:rsid w:val="00CD7C2F"/>
    <w:rsid w:val="00CE15C9"/>
    <w:rsid w:val="00CE2640"/>
    <w:rsid w:val="00CE4C8D"/>
    <w:rsid w:val="00CE6274"/>
    <w:rsid w:val="00CF2B8D"/>
    <w:rsid w:val="00CF456B"/>
    <w:rsid w:val="00CF5A22"/>
    <w:rsid w:val="00CF5E36"/>
    <w:rsid w:val="00D00604"/>
    <w:rsid w:val="00D01EE7"/>
    <w:rsid w:val="00D0262E"/>
    <w:rsid w:val="00D03945"/>
    <w:rsid w:val="00D07BC0"/>
    <w:rsid w:val="00D103D8"/>
    <w:rsid w:val="00D110BD"/>
    <w:rsid w:val="00D118B2"/>
    <w:rsid w:val="00D13675"/>
    <w:rsid w:val="00D141E1"/>
    <w:rsid w:val="00D16174"/>
    <w:rsid w:val="00D17269"/>
    <w:rsid w:val="00D17D6C"/>
    <w:rsid w:val="00D20EB6"/>
    <w:rsid w:val="00D219FB"/>
    <w:rsid w:val="00D2754D"/>
    <w:rsid w:val="00D27B27"/>
    <w:rsid w:val="00D27C9C"/>
    <w:rsid w:val="00D306CB"/>
    <w:rsid w:val="00D33BE9"/>
    <w:rsid w:val="00D357FF"/>
    <w:rsid w:val="00D35B7A"/>
    <w:rsid w:val="00D40955"/>
    <w:rsid w:val="00D412EF"/>
    <w:rsid w:val="00D424C7"/>
    <w:rsid w:val="00D427B3"/>
    <w:rsid w:val="00D43B2A"/>
    <w:rsid w:val="00D4610F"/>
    <w:rsid w:val="00D47575"/>
    <w:rsid w:val="00D65DA0"/>
    <w:rsid w:val="00D70F16"/>
    <w:rsid w:val="00D7197D"/>
    <w:rsid w:val="00D71FC7"/>
    <w:rsid w:val="00D7202D"/>
    <w:rsid w:val="00D75147"/>
    <w:rsid w:val="00D76A44"/>
    <w:rsid w:val="00D80D8B"/>
    <w:rsid w:val="00D815EF"/>
    <w:rsid w:val="00D81923"/>
    <w:rsid w:val="00D81B6F"/>
    <w:rsid w:val="00D8602E"/>
    <w:rsid w:val="00D90BA4"/>
    <w:rsid w:val="00D91923"/>
    <w:rsid w:val="00D926BF"/>
    <w:rsid w:val="00D93753"/>
    <w:rsid w:val="00D93D85"/>
    <w:rsid w:val="00DA0A85"/>
    <w:rsid w:val="00DA0B15"/>
    <w:rsid w:val="00DA3167"/>
    <w:rsid w:val="00DA3375"/>
    <w:rsid w:val="00DA407B"/>
    <w:rsid w:val="00DA4DC3"/>
    <w:rsid w:val="00DA77A5"/>
    <w:rsid w:val="00DA7E87"/>
    <w:rsid w:val="00DB0CD2"/>
    <w:rsid w:val="00DB2583"/>
    <w:rsid w:val="00DB2E28"/>
    <w:rsid w:val="00DB31ED"/>
    <w:rsid w:val="00DB3A89"/>
    <w:rsid w:val="00DB484F"/>
    <w:rsid w:val="00DB4FDF"/>
    <w:rsid w:val="00DB5B34"/>
    <w:rsid w:val="00DC04F6"/>
    <w:rsid w:val="00DC3C57"/>
    <w:rsid w:val="00DC4623"/>
    <w:rsid w:val="00DC5501"/>
    <w:rsid w:val="00DC7249"/>
    <w:rsid w:val="00DD273C"/>
    <w:rsid w:val="00DD3CF8"/>
    <w:rsid w:val="00DD3F28"/>
    <w:rsid w:val="00DD4537"/>
    <w:rsid w:val="00DD4E15"/>
    <w:rsid w:val="00DD6F35"/>
    <w:rsid w:val="00DE1E75"/>
    <w:rsid w:val="00DE3138"/>
    <w:rsid w:val="00DE37F8"/>
    <w:rsid w:val="00DE4FCB"/>
    <w:rsid w:val="00DE7832"/>
    <w:rsid w:val="00DF18FC"/>
    <w:rsid w:val="00DF4990"/>
    <w:rsid w:val="00DF5D2B"/>
    <w:rsid w:val="00E00E8E"/>
    <w:rsid w:val="00E0371E"/>
    <w:rsid w:val="00E05630"/>
    <w:rsid w:val="00E063EA"/>
    <w:rsid w:val="00E06DBB"/>
    <w:rsid w:val="00E06FAD"/>
    <w:rsid w:val="00E10149"/>
    <w:rsid w:val="00E117D3"/>
    <w:rsid w:val="00E16372"/>
    <w:rsid w:val="00E2085B"/>
    <w:rsid w:val="00E20E4D"/>
    <w:rsid w:val="00E20ED6"/>
    <w:rsid w:val="00E21358"/>
    <w:rsid w:val="00E2249B"/>
    <w:rsid w:val="00E22A0D"/>
    <w:rsid w:val="00E2771E"/>
    <w:rsid w:val="00E31E5C"/>
    <w:rsid w:val="00E34948"/>
    <w:rsid w:val="00E37569"/>
    <w:rsid w:val="00E40305"/>
    <w:rsid w:val="00E41E30"/>
    <w:rsid w:val="00E43BF0"/>
    <w:rsid w:val="00E43D70"/>
    <w:rsid w:val="00E44A12"/>
    <w:rsid w:val="00E44EB0"/>
    <w:rsid w:val="00E466F3"/>
    <w:rsid w:val="00E474C7"/>
    <w:rsid w:val="00E479BD"/>
    <w:rsid w:val="00E47B2C"/>
    <w:rsid w:val="00E51560"/>
    <w:rsid w:val="00E53B8F"/>
    <w:rsid w:val="00E54347"/>
    <w:rsid w:val="00E55424"/>
    <w:rsid w:val="00E55BB5"/>
    <w:rsid w:val="00E571D5"/>
    <w:rsid w:val="00E653A2"/>
    <w:rsid w:val="00E65E79"/>
    <w:rsid w:val="00E66063"/>
    <w:rsid w:val="00E66BA2"/>
    <w:rsid w:val="00E67416"/>
    <w:rsid w:val="00E718B6"/>
    <w:rsid w:val="00E723BA"/>
    <w:rsid w:val="00E73581"/>
    <w:rsid w:val="00E73E02"/>
    <w:rsid w:val="00E74A8A"/>
    <w:rsid w:val="00E80476"/>
    <w:rsid w:val="00E806C6"/>
    <w:rsid w:val="00E812F6"/>
    <w:rsid w:val="00E82EFA"/>
    <w:rsid w:val="00E833F7"/>
    <w:rsid w:val="00E83514"/>
    <w:rsid w:val="00E83BDF"/>
    <w:rsid w:val="00E85FD1"/>
    <w:rsid w:val="00E87183"/>
    <w:rsid w:val="00E87A1D"/>
    <w:rsid w:val="00E926A5"/>
    <w:rsid w:val="00EA17C3"/>
    <w:rsid w:val="00EA2CAA"/>
    <w:rsid w:val="00EA3864"/>
    <w:rsid w:val="00EA6B31"/>
    <w:rsid w:val="00EB15B6"/>
    <w:rsid w:val="00EB4916"/>
    <w:rsid w:val="00EB4CF2"/>
    <w:rsid w:val="00EB569C"/>
    <w:rsid w:val="00EB6873"/>
    <w:rsid w:val="00EB7A26"/>
    <w:rsid w:val="00EC00C9"/>
    <w:rsid w:val="00EC2649"/>
    <w:rsid w:val="00ED32F2"/>
    <w:rsid w:val="00ED339F"/>
    <w:rsid w:val="00ED34F4"/>
    <w:rsid w:val="00ED5071"/>
    <w:rsid w:val="00ED5472"/>
    <w:rsid w:val="00ED57EA"/>
    <w:rsid w:val="00ED6DD4"/>
    <w:rsid w:val="00EE07D3"/>
    <w:rsid w:val="00EE15C9"/>
    <w:rsid w:val="00EE22AF"/>
    <w:rsid w:val="00EE6B1C"/>
    <w:rsid w:val="00EF0171"/>
    <w:rsid w:val="00EF0BCA"/>
    <w:rsid w:val="00EF1028"/>
    <w:rsid w:val="00EF1B25"/>
    <w:rsid w:val="00EF4747"/>
    <w:rsid w:val="00EF4BF8"/>
    <w:rsid w:val="00EF6EB9"/>
    <w:rsid w:val="00F00805"/>
    <w:rsid w:val="00F01A71"/>
    <w:rsid w:val="00F02253"/>
    <w:rsid w:val="00F027F0"/>
    <w:rsid w:val="00F03C2E"/>
    <w:rsid w:val="00F04A66"/>
    <w:rsid w:val="00F0516C"/>
    <w:rsid w:val="00F05B1B"/>
    <w:rsid w:val="00F06086"/>
    <w:rsid w:val="00F067A2"/>
    <w:rsid w:val="00F07CCF"/>
    <w:rsid w:val="00F1263A"/>
    <w:rsid w:val="00F13E03"/>
    <w:rsid w:val="00F201DF"/>
    <w:rsid w:val="00F24837"/>
    <w:rsid w:val="00F2575F"/>
    <w:rsid w:val="00F25B65"/>
    <w:rsid w:val="00F27565"/>
    <w:rsid w:val="00F310D4"/>
    <w:rsid w:val="00F31D5A"/>
    <w:rsid w:val="00F33DE9"/>
    <w:rsid w:val="00F35E05"/>
    <w:rsid w:val="00F3619A"/>
    <w:rsid w:val="00F36419"/>
    <w:rsid w:val="00F40AAA"/>
    <w:rsid w:val="00F40BA7"/>
    <w:rsid w:val="00F41DE7"/>
    <w:rsid w:val="00F42B8C"/>
    <w:rsid w:val="00F42FA7"/>
    <w:rsid w:val="00F44EF9"/>
    <w:rsid w:val="00F46531"/>
    <w:rsid w:val="00F46CB6"/>
    <w:rsid w:val="00F47C74"/>
    <w:rsid w:val="00F47DE8"/>
    <w:rsid w:val="00F53ADB"/>
    <w:rsid w:val="00F542C1"/>
    <w:rsid w:val="00F55E73"/>
    <w:rsid w:val="00F55EDA"/>
    <w:rsid w:val="00F57875"/>
    <w:rsid w:val="00F60092"/>
    <w:rsid w:val="00F63A84"/>
    <w:rsid w:val="00F65A4D"/>
    <w:rsid w:val="00F65F4B"/>
    <w:rsid w:val="00F66C18"/>
    <w:rsid w:val="00F70C9D"/>
    <w:rsid w:val="00F72C0F"/>
    <w:rsid w:val="00F72CC3"/>
    <w:rsid w:val="00F74CD9"/>
    <w:rsid w:val="00F75C2D"/>
    <w:rsid w:val="00F75D0C"/>
    <w:rsid w:val="00F75D59"/>
    <w:rsid w:val="00F80A7B"/>
    <w:rsid w:val="00F80E23"/>
    <w:rsid w:val="00F80E5D"/>
    <w:rsid w:val="00F851CE"/>
    <w:rsid w:val="00F87116"/>
    <w:rsid w:val="00F87B74"/>
    <w:rsid w:val="00F87C0A"/>
    <w:rsid w:val="00F90D68"/>
    <w:rsid w:val="00F91219"/>
    <w:rsid w:val="00F920AC"/>
    <w:rsid w:val="00F935AD"/>
    <w:rsid w:val="00F97A78"/>
    <w:rsid w:val="00FA03D3"/>
    <w:rsid w:val="00FA0B20"/>
    <w:rsid w:val="00FA24E7"/>
    <w:rsid w:val="00FA30AE"/>
    <w:rsid w:val="00FB1253"/>
    <w:rsid w:val="00FB131F"/>
    <w:rsid w:val="00FB2FCB"/>
    <w:rsid w:val="00FB3513"/>
    <w:rsid w:val="00FC1074"/>
    <w:rsid w:val="00FC1884"/>
    <w:rsid w:val="00FC371D"/>
    <w:rsid w:val="00FC5F0B"/>
    <w:rsid w:val="00FD2100"/>
    <w:rsid w:val="00FD2814"/>
    <w:rsid w:val="00FD3619"/>
    <w:rsid w:val="00FD436C"/>
    <w:rsid w:val="00FD446D"/>
    <w:rsid w:val="00FD6394"/>
    <w:rsid w:val="00FD66A5"/>
    <w:rsid w:val="00FD73E5"/>
    <w:rsid w:val="00FE0E6C"/>
    <w:rsid w:val="00FE18DC"/>
    <w:rsid w:val="00FE55C6"/>
    <w:rsid w:val="00FE70C3"/>
    <w:rsid w:val="00FF38D5"/>
    <w:rsid w:val="00FF3DCF"/>
    <w:rsid w:val="00FF44E8"/>
    <w:rsid w:val="00FF492C"/>
    <w:rsid w:val="00FF4A21"/>
    <w:rsid w:val="00FF5AA3"/>
    <w:rsid w:val="00FF5AD8"/>
    <w:rsid w:val="00FF638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heading 8" w:uiPriority="7" w:qFormat="1"/>
    <w:lsdException w:name="toc 1" w:uiPriority="39"/>
    <w:lsdException w:name="toc 2" w:uiPriority="39"/>
    <w:lsdException w:name="toc 3" w:uiPriority="3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iPriority="2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2A2803"/>
    <w:pPr>
      <w:widowControl w:val="0"/>
      <w:jc w:val="both"/>
    </w:pPr>
    <w:rPr>
      <w:rFonts w:ascii="Calibri" w:hAnsi="Calibri" w:cs="Arial"/>
      <w:snapToGrid w:val="0"/>
      <w:sz w:val="24"/>
      <w:szCs w:val="22"/>
      <w:lang w:eastAsia="en-US"/>
    </w:rPr>
  </w:style>
  <w:style w:type="paragraph" w:styleId="Heading1">
    <w:name w:val="heading 1"/>
    <w:basedOn w:val="Normal"/>
    <w:next w:val="Normal"/>
    <w:uiPriority w:val="1"/>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qFormat/>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qFormat/>
    <w:rsid w:val="000D1BFC"/>
    <w:rPr>
      <w:b/>
      <w:sz w:val="20"/>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V5.0 Exec bullet List 1"/>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V5.0 Exec bullet List 1 Char"/>
    <w:basedOn w:val="DefaultParagraphFont"/>
    <w:link w:val="ListParagraph"/>
    <w:uiPriority w:val="72"/>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RTI AMCP Tabl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widowControl/>
      <w:jc w:val="left"/>
    </w:pPr>
    <w:rPr>
      <w:rFonts w:ascii="Arial Narrow" w:hAnsi="Arial Narrow" w:cs="Times New Roman"/>
      <w:snapToGrid/>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Bulletpoints">
    <w:name w:val="Bullet points"/>
    <w:basedOn w:val="ListParagraph"/>
    <w:link w:val="BulletpointsChar"/>
    <w:qFormat/>
    <w:rsid w:val="002C5099"/>
    <w:pPr>
      <w:numPr>
        <w:numId w:val="2"/>
      </w:numPr>
      <w:spacing w:after="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03A63"/>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character" w:customStyle="1" w:styleId="st">
    <w:name w:val="st"/>
    <w:basedOn w:val="DefaultParagraphFont"/>
    <w:rsid w:val="00005184"/>
  </w:style>
  <w:style w:type="character" w:styleId="Emphasis">
    <w:name w:val="Emphasis"/>
    <w:basedOn w:val="DefaultParagraphFont"/>
    <w:uiPriority w:val="20"/>
    <w:qFormat/>
    <w:rsid w:val="00005184"/>
    <w:rPr>
      <w:i/>
      <w:iCs/>
    </w:rPr>
  </w:style>
  <w:style w:type="paragraph" w:customStyle="1" w:styleId="V50Instructions">
    <w:name w:val="V5.0 Instructions"/>
    <w:basedOn w:val="Normal"/>
    <w:link w:val="V50InstructionsChar"/>
    <w:rsid w:val="00B944C8"/>
    <w:pPr>
      <w:widowControl/>
      <w:spacing w:before="120" w:after="160"/>
      <w:jc w:val="left"/>
    </w:pPr>
    <w:rPr>
      <w:rFonts w:asciiTheme="minorHAnsi" w:eastAsiaTheme="minorHAnsi" w:hAnsiTheme="minorHAnsi" w:cstheme="minorBidi"/>
      <w:snapToGrid/>
      <w:color w:val="4BACC6" w:themeColor="accent5"/>
    </w:rPr>
  </w:style>
  <w:style w:type="character" w:customStyle="1" w:styleId="V50InstructionsChar">
    <w:name w:val="V5.0 Instructions Char"/>
    <w:basedOn w:val="DefaultParagraphFont"/>
    <w:link w:val="V50Instructions"/>
    <w:rsid w:val="00B944C8"/>
    <w:rPr>
      <w:rFonts w:asciiTheme="minorHAnsi" w:eastAsiaTheme="minorHAnsi" w:hAnsiTheme="minorHAnsi" w:cstheme="minorBidi"/>
      <w:color w:val="4BACC6" w:themeColor="accent5"/>
      <w:sz w:val="24"/>
      <w:szCs w:val="22"/>
      <w:lang w:eastAsia="en-US"/>
    </w:rPr>
  </w:style>
  <w:style w:type="character" w:customStyle="1" w:styleId="tgc">
    <w:name w:val="_tgc"/>
    <w:basedOn w:val="DefaultParagraphFont"/>
    <w:rsid w:val="00F90D68"/>
  </w:style>
  <w:style w:type="table" w:customStyle="1" w:styleId="Summarybox11">
    <w:name w:val="Summary box11"/>
    <w:basedOn w:val="TableNormal"/>
    <w:next w:val="TableGrid"/>
    <w:uiPriority w:val="59"/>
    <w:rsid w:val="005A4DF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50Tablename">
    <w:name w:val="V5.0 Table name"/>
    <w:basedOn w:val="Normal"/>
    <w:link w:val="V50TablenameChar"/>
    <w:qFormat/>
    <w:rsid w:val="007C7F4B"/>
    <w:pPr>
      <w:keepNext/>
      <w:widowControl/>
      <w:jc w:val="left"/>
    </w:pPr>
    <w:rPr>
      <w:rFonts w:asciiTheme="minorHAnsi" w:eastAsiaTheme="minorHAnsi" w:hAnsiTheme="minorHAnsi" w:cstheme="minorBidi"/>
      <w:b/>
      <w:snapToGrid/>
      <w:sz w:val="20"/>
      <w:szCs w:val="24"/>
      <w:lang w:val="en-US"/>
    </w:rPr>
  </w:style>
  <w:style w:type="character" w:customStyle="1" w:styleId="V50TablenameChar">
    <w:name w:val="V5.0 Table name Char"/>
    <w:basedOn w:val="DefaultParagraphFont"/>
    <w:link w:val="V50Tablename"/>
    <w:rsid w:val="007C7F4B"/>
    <w:rPr>
      <w:rFonts w:asciiTheme="minorHAnsi" w:eastAsiaTheme="minorHAnsi" w:hAnsiTheme="minorHAnsi" w:cstheme="minorBidi"/>
      <w:b/>
      <w:szCs w:val="24"/>
      <w:lang w:val="en-US" w:eastAsia="en-US"/>
    </w:rPr>
  </w:style>
  <w:style w:type="table" w:customStyle="1" w:styleId="Summarybox211">
    <w:name w:val="Summary box211"/>
    <w:basedOn w:val="TableNormal"/>
    <w:next w:val="TableGrid"/>
    <w:uiPriority w:val="59"/>
    <w:rsid w:val="007C7F4B"/>
    <w:pPr>
      <w:spacing w:before="20" w:after="20"/>
    </w:pPr>
    <w:rPr>
      <w:rFonts w:ascii="Garamond" w:hAnsi="Garamond"/>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spacing w:beforeLines="40" w:beforeAutospacing="0" w:afterLines="20" w:afterAutospacing="0" w:line="360" w:lineRule="auto"/>
      </w:pPr>
      <w:rPr>
        <w:rFonts w:ascii="Garamond" w:hAnsi="Garamond"/>
        <w:b w:val="0"/>
        <w:i w:val="0"/>
        <w:sz w:val="22"/>
        <w:szCs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style>
  <w:style w:type="paragraph" w:customStyle="1" w:styleId="PBACheading10">
    <w:name w:val="PBAC heading 1"/>
    <w:qFormat/>
    <w:rsid w:val="00BA0DDF"/>
    <w:pPr>
      <w:ind w:left="720" w:hanging="720"/>
    </w:pPr>
    <w:rPr>
      <w:rFonts w:ascii="Arial" w:hAnsi="Arial" w:cs="Arial"/>
      <w:snapToGrid w:val="0"/>
      <w:sz w:val="22"/>
      <w:szCs w:val="22"/>
      <w:lang w:eastAsia="en-US"/>
    </w:rPr>
  </w:style>
  <w:style w:type="paragraph" w:customStyle="1" w:styleId="V50InstructionsBullets">
    <w:name w:val="V5.0 Instructions Bullets"/>
    <w:basedOn w:val="V50Instructions"/>
    <w:qFormat/>
    <w:rsid w:val="00634FD7"/>
    <w:pPr>
      <w:spacing w:before="0" w:after="0"/>
      <w:ind w:left="714" w:hanging="357"/>
    </w:pPr>
  </w:style>
  <w:style w:type="table" w:customStyle="1" w:styleId="Summarybox1">
    <w:name w:val="Summary box1"/>
    <w:basedOn w:val="TableNormal"/>
    <w:next w:val="TableGrid"/>
    <w:rsid w:val="00DB3A89"/>
    <w:pPr>
      <w:jc w:val="both"/>
    </w:pPr>
    <w:rPr>
      <w:rFonts w:ascii="Calibri" w:eastAsia="MS Mincho"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body">
    <w:name w:val="Table text (body)"/>
    <w:basedOn w:val="BodyText"/>
    <w:qFormat/>
    <w:rsid w:val="00AD2E87"/>
    <w:pPr>
      <w:keepNext/>
      <w:widowControl/>
      <w:spacing w:before="40" w:after="40"/>
      <w:jc w:val="center"/>
    </w:pPr>
    <w:rPr>
      <w:rFonts w:asciiTheme="minorHAnsi" w:hAnsiTheme="minorHAnsi" w:cs="Times New Roman"/>
      <w:snapToGrid/>
      <w:sz w:val="20"/>
      <w:szCs w:val="24"/>
      <w:lang w:eastAsia="en-AU"/>
    </w:rPr>
  </w:style>
  <w:style w:type="character" w:customStyle="1" w:styleId="BulletpointsChar">
    <w:name w:val="Bullet points Char"/>
    <w:basedOn w:val="ListParagraphChar"/>
    <w:link w:val="Bulletpoints"/>
    <w:rsid w:val="00AD2E87"/>
    <w:rPr>
      <w:rFonts w:ascii="Calibri" w:hAnsi="Calibri" w:cs="Arial"/>
      <w:snapToGrid w:val="0"/>
      <w:sz w:val="24"/>
      <w:szCs w:val="24"/>
      <w:lang w:eastAsia="en-US"/>
    </w:rPr>
  </w:style>
  <w:style w:type="table" w:customStyle="1" w:styleId="Summarybox10">
    <w:name w:val="Summary box10"/>
    <w:basedOn w:val="TableNormal"/>
    <w:next w:val="TableGrid"/>
    <w:uiPriority w:val="59"/>
    <w:rsid w:val="00CB4C7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3">
    <w:name w:val="Summary box3"/>
    <w:basedOn w:val="TableNormal"/>
    <w:next w:val="TableGrid"/>
    <w:uiPriority w:val="59"/>
    <w:rsid w:val="00CB4C74"/>
    <w:rPr>
      <w:rFonts w:ascii="Calibri" w:eastAsia="SimSun" w:hAnsi="Calibri" w:cs="Cordia New"/>
      <w:sz w:val="22"/>
      <w:szCs w:val="28"/>
      <w:lang w:eastAsia="zh-CN"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TableFooter">
    <w:name w:val="PBAC Table Footer"/>
    <w:basedOn w:val="Normal"/>
    <w:link w:val="PBACTableFooterChar"/>
    <w:rsid w:val="00B3709F"/>
    <w:pPr>
      <w:spacing w:after="120"/>
      <w:contextualSpacing/>
    </w:pPr>
    <w:rPr>
      <w:rFonts w:ascii="Arial Narrow" w:hAnsi="Arial Narrow"/>
      <w:sz w:val="18"/>
      <w:szCs w:val="20"/>
    </w:rPr>
  </w:style>
  <w:style w:type="character" w:customStyle="1" w:styleId="PBACTableFooterChar">
    <w:name w:val="PBAC Table Footer Char"/>
    <w:link w:val="PBACTableFooter"/>
    <w:rsid w:val="00B3709F"/>
    <w:rPr>
      <w:rFonts w:ascii="Arial Narrow" w:hAnsi="Arial Narrow" w:cs="Arial"/>
      <w:snapToGrid w:val="0"/>
      <w:sz w:val="18"/>
      <w:lang w:eastAsia="en-US"/>
    </w:rPr>
  </w:style>
  <w:style w:type="paragraph" w:customStyle="1" w:styleId="BulletLast">
    <w:name w:val="Bullet Last"/>
    <w:basedOn w:val="Normal"/>
    <w:qFormat/>
    <w:rsid w:val="00786B82"/>
    <w:pPr>
      <w:widowControl/>
      <w:numPr>
        <w:numId w:val="8"/>
      </w:numPr>
      <w:ind w:left="357" w:hanging="357"/>
      <w:jc w:val="left"/>
    </w:pPr>
    <w:rPr>
      <w:rFonts w:asciiTheme="minorHAnsi" w:eastAsiaTheme="minorHAnsi" w:hAnsiTheme="minorHAnsi" w:cstheme="minorBidi"/>
      <w:snapToGrid/>
    </w:rPr>
  </w:style>
  <w:style w:type="paragraph" w:customStyle="1" w:styleId="TableHeading0">
    <w:name w:val="Table Heading"/>
    <w:basedOn w:val="Normal"/>
    <w:qFormat/>
    <w:rsid w:val="008C4CFB"/>
    <w:pPr>
      <w:keepNext/>
      <w:widowControl/>
      <w:spacing w:after="60"/>
      <w:jc w:val="left"/>
    </w:pPr>
    <w:rPr>
      <w:rFonts w:ascii="Arial Narrow" w:eastAsiaTheme="minorHAnsi" w:hAnsi="Arial Narrow" w:cstheme="minorBidi"/>
      <w:b/>
      <w:snapToGrid/>
      <w:sz w:val="20"/>
    </w:rPr>
  </w:style>
  <w:style w:type="character" w:customStyle="1" w:styleId="m-3912426595671754544bold">
    <w:name w:val="m_-3912426595671754544bold"/>
    <w:basedOn w:val="DefaultParagraphFont"/>
    <w:rsid w:val="004E6628"/>
  </w:style>
  <w:style w:type="paragraph" w:customStyle="1" w:styleId="m-543701971612729714gmail-m7916664967428481655gmail-msonormal">
    <w:name w:val="m_-543701971612729714gmail-m_7916664967428481655gmail-msonormal"/>
    <w:basedOn w:val="Normal"/>
    <w:rsid w:val="00A4266D"/>
    <w:pPr>
      <w:widowControl/>
      <w:spacing w:before="100" w:beforeAutospacing="1" w:after="100" w:afterAutospacing="1"/>
      <w:jc w:val="left"/>
    </w:pPr>
    <w:rPr>
      <w:rFonts w:ascii="Times New Roman" w:hAnsi="Times New Roman" w:cs="Times New Roman"/>
      <w:snapToGrid/>
      <w:szCs w:val="24"/>
      <w:lang w:val="en-GB" w:eastAsia="en-G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2C54F3"/>
    <w:pPr>
      <w:widowControl/>
      <w:spacing w:after="160" w:line="240" w:lineRule="exact"/>
      <w:jc w:val="left"/>
    </w:pPr>
    <w:rPr>
      <w:rFonts w:ascii="Verdana" w:eastAsia="MS Mincho" w:hAnsi="Verdana" w:cs="Verdana"/>
      <w:snapToGrid/>
      <w:sz w:val="20"/>
      <w:szCs w:val="20"/>
      <w:lang w:val="en-US"/>
    </w:rPr>
  </w:style>
  <w:style w:type="character" w:customStyle="1" w:styleId="keywords">
    <w:name w:val="keywords"/>
    <w:basedOn w:val="DefaultParagraphFont"/>
    <w:rsid w:val="005104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heading 8" w:uiPriority="7" w:qFormat="1"/>
    <w:lsdException w:name="toc 1" w:uiPriority="39"/>
    <w:lsdException w:name="toc 2" w:uiPriority="39"/>
    <w:lsdException w:name="toc 3" w:uiPriority="3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iPriority="2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2A2803"/>
    <w:pPr>
      <w:widowControl w:val="0"/>
      <w:jc w:val="both"/>
    </w:pPr>
    <w:rPr>
      <w:rFonts w:ascii="Calibri" w:hAnsi="Calibri" w:cs="Arial"/>
      <w:snapToGrid w:val="0"/>
      <w:sz w:val="24"/>
      <w:szCs w:val="22"/>
      <w:lang w:eastAsia="en-US"/>
    </w:rPr>
  </w:style>
  <w:style w:type="paragraph" w:styleId="Heading1">
    <w:name w:val="heading 1"/>
    <w:basedOn w:val="Normal"/>
    <w:next w:val="Normal"/>
    <w:uiPriority w:val="1"/>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qFormat/>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qFormat/>
    <w:rsid w:val="000D1BFC"/>
    <w:rPr>
      <w:b/>
      <w:sz w:val="20"/>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V5.0 Exec bullet List 1"/>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V5.0 Exec bullet List 1 Char"/>
    <w:basedOn w:val="DefaultParagraphFont"/>
    <w:link w:val="ListParagraph"/>
    <w:uiPriority w:val="72"/>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RTI AMCP Tabl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widowControl/>
      <w:jc w:val="left"/>
    </w:pPr>
    <w:rPr>
      <w:rFonts w:ascii="Arial Narrow" w:hAnsi="Arial Narrow" w:cs="Times New Roman"/>
      <w:snapToGrid/>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Bulletpoints">
    <w:name w:val="Bullet points"/>
    <w:basedOn w:val="ListParagraph"/>
    <w:link w:val="BulletpointsChar"/>
    <w:qFormat/>
    <w:rsid w:val="002C5099"/>
    <w:pPr>
      <w:numPr>
        <w:numId w:val="2"/>
      </w:numPr>
      <w:spacing w:after="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03A63"/>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character" w:customStyle="1" w:styleId="st">
    <w:name w:val="st"/>
    <w:basedOn w:val="DefaultParagraphFont"/>
    <w:rsid w:val="00005184"/>
  </w:style>
  <w:style w:type="character" w:styleId="Emphasis">
    <w:name w:val="Emphasis"/>
    <w:basedOn w:val="DefaultParagraphFont"/>
    <w:uiPriority w:val="20"/>
    <w:qFormat/>
    <w:rsid w:val="00005184"/>
    <w:rPr>
      <w:i/>
      <w:iCs/>
    </w:rPr>
  </w:style>
  <w:style w:type="paragraph" w:customStyle="1" w:styleId="V50Instructions">
    <w:name w:val="V5.0 Instructions"/>
    <w:basedOn w:val="Normal"/>
    <w:link w:val="V50InstructionsChar"/>
    <w:rsid w:val="00B944C8"/>
    <w:pPr>
      <w:widowControl/>
      <w:spacing w:before="120" w:after="160"/>
      <w:jc w:val="left"/>
    </w:pPr>
    <w:rPr>
      <w:rFonts w:asciiTheme="minorHAnsi" w:eastAsiaTheme="minorHAnsi" w:hAnsiTheme="minorHAnsi" w:cstheme="minorBidi"/>
      <w:snapToGrid/>
      <w:color w:val="4BACC6" w:themeColor="accent5"/>
    </w:rPr>
  </w:style>
  <w:style w:type="character" w:customStyle="1" w:styleId="V50InstructionsChar">
    <w:name w:val="V5.0 Instructions Char"/>
    <w:basedOn w:val="DefaultParagraphFont"/>
    <w:link w:val="V50Instructions"/>
    <w:rsid w:val="00B944C8"/>
    <w:rPr>
      <w:rFonts w:asciiTheme="minorHAnsi" w:eastAsiaTheme="minorHAnsi" w:hAnsiTheme="minorHAnsi" w:cstheme="minorBidi"/>
      <w:color w:val="4BACC6" w:themeColor="accent5"/>
      <w:sz w:val="24"/>
      <w:szCs w:val="22"/>
      <w:lang w:eastAsia="en-US"/>
    </w:rPr>
  </w:style>
  <w:style w:type="character" w:customStyle="1" w:styleId="tgc">
    <w:name w:val="_tgc"/>
    <w:basedOn w:val="DefaultParagraphFont"/>
    <w:rsid w:val="00F90D68"/>
  </w:style>
  <w:style w:type="table" w:customStyle="1" w:styleId="Summarybox11">
    <w:name w:val="Summary box11"/>
    <w:basedOn w:val="TableNormal"/>
    <w:next w:val="TableGrid"/>
    <w:uiPriority w:val="59"/>
    <w:rsid w:val="005A4DF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50Tablename">
    <w:name w:val="V5.0 Table name"/>
    <w:basedOn w:val="Normal"/>
    <w:link w:val="V50TablenameChar"/>
    <w:qFormat/>
    <w:rsid w:val="007C7F4B"/>
    <w:pPr>
      <w:keepNext/>
      <w:widowControl/>
      <w:jc w:val="left"/>
    </w:pPr>
    <w:rPr>
      <w:rFonts w:asciiTheme="minorHAnsi" w:eastAsiaTheme="minorHAnsi" w:hAnsiTheme="minorHAnsi" w:cstheme="minorBidi"/>
      <w:b/>
      <w:snapToGrid/>
      <w:sz w:val="20"/>
      <w:szCs w:val="24"/>
      <w:lang w:val="en-US"/>
    </w:rPr>
  </w:style>
  <w:style w:type="character" w:customStyle="1" w:styleId="V50TablenameChar">
    <w:name w:val="V5.0 Table name Char"/>
    <w:basedOn w:val="DefaultParagraphFont"/>
    <w:link w:val="V50Tablename"/>
    <w:rsid w:val="007C7F4B"/>
    <w:rPr>
      <w:rFonts w:asciiTheme="minorHAnsi" w:eastAsiaTheme="minorHAnsi" w:hAnsiTheme="minorHAnsi" w:cstheme="minorBidi"/>
      <w:b/>
      <w:szCs w:val="24"/>
      <w:lang w:val="en-US" w:eastAsia="en-US"/>
    </w:rPr>
  </w:style>
  <w:style w:type="table" w:customStyle="1" w:styleId="Summarybox211">
    <w:name w:val="Summary box211"/>
    <w:basedOn w:val="TableNormal"/>
    <w:next w:val="TableGrid"/>
    <w:uiPriority w:val="59"/>
    <w:rsid w:val="007C7F4B"/>
    <w:pPr>
      <w:spacing w:before="20" w:after="20"/>
    </w:pPr>
    <w:rPr>
      <w:rFonts w:ascii="Garamond" w:hAnsi="Garamond"/>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spacing w:beforeLines="40" w:beforeAutospacing="0" w:afterLines="20" w:afterAutospacing="0" w:line="360" w:lineRule="auto"/>
      </w:pPr>
      <w:rPr>
        <w:rFonts w:ascii="Garamond" w:hAnsi="Garamond"/>
        <w:b w:val="0"/>
        <w:i w:val="0"/>
        <w:sz w:val="22"/>
        <w:szCs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style>
  <w:style w:type="paragraph" w:customStyle="1" w:styleId="PBACheading10">
    <w:name w:val="PBAC heading 1"/>
    <w:qFormat/>
    <w:rsid w:val="00BA0DDF"/>
    <w:pPr>
      <w:ind w:left="720" w:hanging="720"/>
    </w:pPr>
    <w:rPr>
      <w:rFonts w:ascii="Arial" w:hAnsi="Arial" w:cs="Arial"/>
      <w:snapToGrid w:val="0"/>
      <w:sz w:val="22"/>
      <w:szCs w:val="22"/>
      <w:lang w:eastAsia="en-US"/>
    </w:rPr>
  </w:style>
  <w:style w:type="paragraph" w:customStyle="1" w:styleId="V50InstructionsBullets">
    <w:name w:val="V5.0 Instructions Bullets"/>
    <w:basedOn w:val="V50Instructions"/>
    <w:qFormat/>
    <w:rsid w:val="00634FD7"/>
    <w:pPr>
      <w:spacing w:before="0" w:after="0"/>
      <w:ind w:left="714" w:hanging="357"/>
    </w:pPr>
  </w:style>
  <w:style w:type="table" w:customStyle="1" w:styleId="Summarybox1">
    <w:name w:val="Summary box1"/>
    <w:basedOn w:val="TableNormal"/>
    <w:next w:val="TableGrid"/>
    <w:rsid w:val="00DB3A89"/>
    <w:pPr>
      <w:jc w:val="both"/>
    </w:pPr>
    <w:rPr>
      <w:rFonts w:ascii="Calibri" w:eastAsia="MS Mincho"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body">
    <w:name w:val="Table text (body)"/>
    <w:basedOn w:val="BodyText"/>
    <w:qFormat/>
    <w:rsid w:val="00AD2E87"/>
    <w:pPr>
      <w:keepNext/>
      <w:widowControl/>
      <w:spacing w:before="40" w:after="40"/>
      <w:jc w:val="center"/>
    </w:pPr>
    <w:rPr>
      <w:rFonts w:asciiTheme="minorHAnsi" w:hAnsiTheme="minorHAnsi" w:cs="Times New Roman"/>
      <w:snapToGrid/>
      <w:sz w:val="20"/>
      <w:szCs w:val="24"/>
      <w:lang w:eastAsia="en-AU"/>
    </w:rPr>
  </w:style>
  <w:style w:type="character" w:customStyle="1" w:styleId="BulletpointsChar">
    <w:name w:val="Bullet points Char"/>
    <w:basedOn w:val="ListParagraphChar"/>
    <w:link w:val="Bulletpoints"/>
    <w:rsid w:val="00AD2E87"/>
    <w:rPr>
      <w:rFonts w:ascii="Calibri" w:hAnsi="Calibri" w:cs="Arial"/>
      <w:snapToGrid w:val="0"/>
      <w:sz w:val="24"/>
      <w:szCs w:val="24"/>
      <w:lang w:eastAsia="en-US"/>
    </w:rPr>
  </w:style>
  <w:style w:type="table" w:customStyle="1" w:styleId="Summarybox10">
    <w:name w:val="Summary box10"/>
    <w:basedOn w:val="TableNormal"/>
    <w:next w:val="TableGrid"/>
    <w:uiPriority w:val="59"/>
    <w:rsid w:val="00CB4C7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3">
    <w:name w:val="Summary box3"/>
    <w:basedOn w:val="TableNormal"/>
    <w:next w:val="TableGrid"/>
    <w:uiPriority w:val="59"/>
    <w:rsid w:val="00CB4C74"/>
    <w:rPr>
      <w:rFonts w:ascii="Calibri" w:eastAsia="SimSun" w:hAnsi="Calibri" w:cs="Cordia New"/>
      <w:sz w:val="22"/>
      <w:szCs w:val="28"/>
      <w:lang w:eastAsia="zh-CN"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TableFooter">
    <w:name w:val="PBAC Table Footer"/>
    <w:basedOn w:val="Normal"/>
    <w:link w:val="PBACTableFooterChar"/>
    <w:rsid w:val="00B3709F"/>
    <w:pPr>
      <w:spacing w:after="120"/>
      <w:contextualSpacing/>
    </w:pPr>
    <w:rPr>
      <w:rFonts w:ascii="Arial Narrow" w:hAnsi="Arial Narrow"/>
      <w:sz w:val="18"/>
      <w:szCs w:val="20"/>
    </w:rPr>
  </w:style>
  <w:style w:type="character" w:customStyle="1" w:styleId="PBACTableFooterChar">
    <w:name w:val="PBAC Table Footer Char"/>
    <w:link w:val="PBACTableFooter"/>
    <w:rsid w:val="00B3709F"/>
    <w:rPr>
      <w:rFonts w:ascii="Arial Narrow" w:hAnsi="Arial Narrow" w:cs="Arial"/>
      <w:snapToGrid w:val="0"/>
      <w:sz w:val="18"/>
      <w:lang w:eastAsia="en-US"/>
    </w:rPr>
  </w:style>
  <w:style w:type="paragraph" w:customStyle="1" w:styleId="BulletLast">
    <w:name w:val="Bullet Last"/>
    <w:basedOn w:val="Normal"/>
    <w:qFormat/>
    <w:rsid w:val="00786B82"/>
    <w:pPr>
      <w:widowControl/>
      <w:numPr>
        <w:numId w:val="8"/>
      </w:numPr>
      <w:ind w:left="357" w:hanging="357"/>
      <w:jc w:val="left"/>
    </w:pPr>
    <w:rPr>
      <w:rFonts w:asciiTheme="minorHAnsi" w:eastAsiaTheme="minorHAnsi" w:hAnsiTheme="minorHAnsi" w:cstheme="minorBidi"/>
      <w:snapToGrid/>
    </w:rPr>
  </w:style>
  <w:style w:type="paragraph" w:customStyle="1" w:styleId="TableHeading0">
    <w:name w:val="Table Heading"/>
    <w:basedOn w:val="Normal"/>
    <w:qFormat/>
    <w:rsid w:val="008C4CFB"/>
    <w:pPr>
      <w:keepNext/>
      <w:widowControl/>
      <w:spacing w:after="60"/>
      <w:jc w:val="left"/>
    </w:pPr>
    <w:rPr>
      <w:rFonts w:ascii="Arial Narrow" w:eastAsiaTheme="minorHAnsi" w:hAnsi="Arial Narrow" w:cstheme="minorBidi"/>
      <w:b/>
      <w:snapToGrid/>
      <w:sz w:val="20"/>
    </w:rPr>
  </w:style>
  <w:style w:type="character" w:customStyle="1" w:styleId="m-3912426595671754544bold">
    <w:name w:val="m_-3912426595671754544bold"/>
    <w:basedOn w:val="DefaultParagraphFont"/>
    <w:rsid w:val="004E6628"/>
  </w:style>
  <w:style w:type="paragraph" w:customStyle="1" w:styleId="m-543701971612729714gmail-m7916664967428481655gmail-msonormal">
    <w:name w:val="m_-543701971612729714gmail-m_7916664967428481655gmail-msonormal"/>
    <w:basedOn w:val="Normal"/>
    <w:rsid w:val="00A4266D"/>
    <w:pPr>
      <w:widowControl/>
      <w:spacing w:before="100" w:beforeAutospacing="1" w:after="100" w:afterAutospacing="1"/>
      <w:jc w:val="left"/>
    </w:pPr>
    <w:rPr>
      <w:rFonts w:ascii="Times New Roman" w:hAnsi="Times New Roman" w:cs="Times New Roman"/>
      <w:snapToGrid/>
      <w:szCs w:val="24"/>
      <w:lang w:val="en-GB" w:eastAsia="en-G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2C54F3"/>
    <w:pPr>
      <w:widowControl/>
      <w:spacing w:after="160" w:line="240" w:lineRule="exact"/>
      <w:jc w:val="left"/>
    </w:pPr>
    <w:rPr>
      <w:rFonts w:ascii="Verdana" w:eastAsia="MS Mincho" w:hAnsi="Verdana" w:cs="Verdana"/>
      <w:snapToGrid/>
      <w:sz w:val="20"/>
      <w:szCs w:val="20"/>
      <w:lang w:val="en-US"/>
    </w:rPr>
  </w:style>
  <w:style w:type="character" w:customStyle="1" w:styleId="keywords">
    <w:name w:val="keywords"/>
    <w:basedOn w:val="DefaultParagraphFont"/>
    <w:rsid w:val="005104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07815">
      <w:bodyDiv w:val="1"/>
      <w:marLeft w:val="0"/>
      <w:marRight w:val="0"/>
      <w:marTop w:val="0"/>
      <w:marBottom w:val="0"/>
      <w:divBdr>
        <w:top w:val="none" w:sz="0" w:space="0" w:color="auto"/>
        <w:left w:val="none" w:sz="0" w:space="0" w:color="auto"/>
        <w:bottom w:val="none" w:sz="0" w:space="0" w:color="auto"/>
        <w:right w:val="none" w:sz="0" w:space="0" w:color="auto"/>
      </w:divBdr>
    </w:div>
    <w:div w:id="187916757">
      <w:bodyDiv w:val="1"/>
      <w:marLeft w:val="0"/>
      <w:marRight w:val="0"/>
      <w:marTop w:val="0"/>
      <w:marBottom w:val="0"/>
      <w:divBdr>
        <w:top w:val="none" w:sz="0" w:space="0" w:color="auto"/>
        <w:left w:val="none" w:sz="0" w:space="0" w:color="auto"/>
        <w:bottom w:val="none" w:sz="0" w:space="0" w:color="auto"/>
        <w:right w:val="none" w:sz="0" w:space="0" w:color="auto"/>
      </w:divBdr>
    </w:div>
    <w:div w:id="352877097">
      <w:bodyDiv w:val="1"/>
      <w:marLeft w:val="0"/>
      <w:marRight w:val="0"/>
      <w:marTop w:val="0"/>
      <w:marBottom w:val="0"/>
      <w:divBdr>
        <w:top w:val="none" w:sz="0" w:space="0" w:color="auto"/>
        <w:left w:val="none" w:sz="0" w:space="0" w:color="auto"/>
        <w:bottom w:val="none" w:sz="0" w:space="0" w:color="auto"/>
        <w:right w:val="none" w:sz="0" w:space="0" w:color="auto"/>
      </w:divBdr>
    </w:div>
    <w:div w:id="394593660">
      <w:bodyDiv w:val="1"/>
      <w:marLeft w:val="0"/>
      <w:marRight w:val="0"/>
      <w:marTop w:val="0"/>
      <w:marBottom w:val="0"/>
      <w:divBdr>
        <w:top w:val="none" w:sz="0" w:space="0" w:color="auto"/>
        <w:left w:val="none" w:sz="0" w:space="0" w:color="auto"/>
        <w:bottom w:val="none" w:sz="0" w:space="0" w:color="auto"/>
        <w:right w:val="none" w:sz="0" w:space="0" w:color="auto"/>
      </w:divBdr>
    </w:div>
    <w:div w:id="436945351">
      <w:bodyDiv w:val="1"/>
      <w:marLeft w:val="0"/>
      <w:marRight w:val="0"/>
      <w:marTop w:val="0"/>
      <w:marBottom w:val="0"/>
      <w:divBdr>
        <w:top w:val="none" w:sz="0" w:space="0" w:color="auto"/>
        <w:left w:val="none" w:sz="0" w:space="0" w:color="auto"/>
        <w:bottom w:val="none" w:sz="0" w:space="0" w:color="auto"/>
        <w:right w:val="none" w:sz="0" w:space="0" w:color="auto"/>
      </w:divBdr>
    </w:div>
    <w:div w:id="876163935">
      <w:bodyDiv w:val="1"/>
      <w:marLeft w:val="0"/>
      <w:marRight w:val="0"/>
      <w:marTop w:val="0"/>
      <w:marBottom w:val="0"/>
      <w:divBdr>
        <w:top w:val="none" w:sz="0" w:space="0" w:color="auto"/>
        <w:left w:val="none" w:sz="0" w:space="0" w:color="auto"/>
        <w:bottom w:val="none" w:sz="0" w:space="0" w:color="auto"/>
        <w:right w:val="none" w:sz="0" w:space="0" w:color="auto"/>
      </w:divBdr>
    </w:div>
    <w:div w:id="1554199256">
      <w:bodyDiv w:val="1"/>
      <w:marLeft w:val="0"/>
      <w:marRight w:val="0"/>
      <w:marTop w:val="0"/>
      <w:marBottom w:val="0"/>
      <w:divBdr>
        <w:top w:val="none" w:sz="0" w:space="0" w:color="auto"/>
        <w:left w:val="none" w:sz="0" w:space="0" w:color="auto"/>
        <w:bottom w:val="none" w:sz="0" w:space="0" w:color="auto"/>
        <w:right w:val="none" w:sz="0" w:space="0" w:color="auto"/>
      </w:divBdr>
    </w:div>
    <w:div w:id="1594119201">
      <w:bodyDiv w:val="1"/>
      <w:marLeft w:val="0"/>
      <w:marRight w:val="0"/>
      <w:marTop w:val="0"/>
      <w:marBottom w:val="0"/>
      <w:divBdr>
        <w:top w:val="none" w:sz="0" w:space="0" w:color="auto"/>
        <w:left w:val="none" w:sz="0" w:space="0" w:color="auto"/>
        <w:bottom w:val="none" w:sz="0" w:space="0" w:color="auto"/>
        <w:right w:val="none" w:sz="0" w:space="0" w:color="auto"/>
      </w:divBdr>
      <w:divsChild>
        <w:div w:id="854031902">
          <w:marLeft w:val="0"/>
          <w:marRight w:val="0"/>
          <w:marTop w:val="0"/>
          <w:marBottom w:val="0"/>
          <w:divBdr>
            <w:top w:val="none" w:sz="0" w:space="0" w:color="auto"/>
            <w:left w:val="none" w:sz="0" w:space="0" w:color="auto"/>
            <w:bottom w:val="none" w:sz="0" w:space="0" w:color="auto"/>
            <w:right w:val="none" w:sz="0" w:space="0" w:color="auto"/>
          </w:divBdr>
        </w:div>
        <w:div w:id="2062050664">
          <w:marLeft w:val="0"/>
          <w:marRight w:val="0"/>
          <w:marTop w:val="0"/>
          <w:marBottom w:val="0"/>
          <w:divBdr>
            <w:top w:val="none" w:sz="0" w:space="0" w:color="auto"/>
            <w:left w:val="none" w:sz="0" w:space="0" w:color="auto"/>
            <w:bottom w:val="none" w:sz="0" w:space="0" w:color="auto"/>
            <w:right w:val="none" w:sz="0" w:space="0" w:color="auto"/>
          </w:divBdr>
        </w:div>
      </w:divsChild>
    </w:div>
    <w:div w:id="1600530833">
      <w:bodyDiv w:val="1"/>
      <w:marLeft w:val="0"/>
      <w:marRight w:val="0"/>
      <w:marTop w:val="0"/>
      <w:marBottom w:val="0"/>
      <w:divBdr>
        <w:top w:val="none" w:sz="0" w:space="0" w:color="auto"/>
        <w:left w:val="none" w:sz="0" w:space="0" w:color="auto"/>
        <w:bottom w:val="none" w:sz="0" w:space="0" w:color="auto"/>
        <w:right w:val="none" w:sz="0" w:space="0" w:color="auto"/>
      </w:divBdr>
    </w:div>
    <w:div w:id="1666125964">
      <w:bodyDiv w:val="1"/>
      <w:marLeft w:val="0"/>
      <w:marRight w:val="0"/>
      <w:marTop w:val="0"/>
      <w:marBottom w:val="0"/>
      <w:divBdr>
        <w:top w:val="none" w:sz="0" w:space="0" w:color="auto"/>
        <w:left w:val="none" w:sz="0" w:space="0" w:color="auto"/>
        <w:bottom w:val="none" w:sz="0" w:space="0" w:color="auto"/>
        <w:right w:val="none" w:sz="0" w:space="0" w:color="auto"/>
      </w:divBdr>
    </w:div>
    <w:div w:id="192113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0A24D-541A-4EEF-A164-1F419FBEE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8709</Words>
  <Characters>49697</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2018-06-19T07:18:00Z</dcterms:created>
  <dcterms:modified xsi:type="dcterms:W3CDTF">2018-06-22T00:23:00Z</dcterms:modified>
</cp:coreProperties>
</file>