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56" w:rsidRPr="003F4BE3" w:rsidRDefault="001A2456" w:rsidP="00C8469B">
      <w:pPr>
        <w:rPr>
          <w:rFonts w:asciiTheme="minorHAnsi" w:hAnsiTheme="minorHAnsi"/>
          <w:b/>
          <w:sz w:val="36"/>
          <w:szCs w:val="36"/>
          <w:lang w:val="en-AU"/>
        </w:rPr>
      </w:pPr>
      <w:r w:rsidRPr="003F4BE3">
        <w:rPr>
          <w:rFonts w:asciiTheme="minorHAnsi" w:hAnsiTheme="minorHAnsi"/>
          <w:b/>
          <w:sz w:val="36"/>
          <w:szCs w:val="36"/>
          <w:lang w:val="en-AU"/>
        </w:rPr>
        <w:t>5</w:t>
      </w:r>
      <w:r w:rsidR="00433044" w:rsidRPr="003F4BE3">
        <w:rPr>
          <w:rFonts w:asciiTheme="minorHAnsi" w:hAnsiTheme="minorHAnsi"/>
          <w:b/>
          <w:sz w:val="36"/>
          <w:szCs w:val="36"/>
          <w:lang w:val="en-AU"/>
        </w:rPr>
        <w:t>.</w:t>
      </w:r>
      <w:r w:rsidRPr="003F4BE3">
        <w:rPr>
          <w:rFonts w:asciiTheme="minorHAnsi" w:hAnsiTheme="minorHAnsi"/>
          <w:b/>
          <w:sz w:val="36"/>
          <w:szCs w:val="36"/>
          <w:lang w:val="en-AU"/>
        </w:rPr>
        <w:t>02</w:t>
      </w:r>
      <w:r w:rsidR="00B60939" w:rsidRPr="003F4BE3">
        <w:rPr>
          <w:rFonts w:asciiTheme="minorHAnsi" w:hAnsiTheme="minorHAnsi"/>
          <w:b/>
          <w:sz w:val="36"/>
          <w:szCs w:val="36"/>
          <w:lang w:val="en-AU"/>
        </w:rPr>
        <w:tab/>
      </w:r>
      <w:r w:rsidR="0068563A" w:rsidRPr="003F4BE3">
        <w:rPr>
          <w:rFonts w:asciiTheme="minorHAnsi" w:hAnsiTheme="minorHAnsi"/>
          <w:b/>
          <w:sz w:val="36"/>
          <w:szCs w:val="36"/>
          <w:lang w:val="en-AU"/>
        </w:rPr>
        <w:t>BICTEGRAVIR + EMTRICITABINE + TENOFOVIR ALAFENAMIDE</w:t>
      </w:r>
      <w:r w:rsidRPr="003F4BE3">
        <w:rPr>
          <w:rFonts w:asciiTheme="minorHAnsi" w:hAnsiTheme="minorHAnsi"/>
          <w:b/>
          <w:sz w:val="36"/>
          <w:szCs w:val="36"/>
          <w:lang w:val="en-AU"/>
        </w:rPr>
        <w:t xml:space="preserve"> FIXED DOSE COMBINATION</w:t>
      </w:r>
      <w:r w:rsidR="00B60939" w:rsidRPr="003F4BE3">
        <w:rPr>
          <w:rFonts w:asciiTheme="minorHAnsi" w:hAnsiTheme="minorHAnsi"/>
          <w:b/>
          <w:sz w:val="36"/>
          <w:szCs w:val="36"/>
          <w:lang w:val="en-AU"/>
        </w:rPr>
        <w:t xml:space="preserve">, </w:t>
      </w:r>
    </w:p>
    <w:p w:rsidR="001A2456" w:rsidRPr="003F4BE3" w:rsidRDefault="001A2456" w:rsidP="00C8469B">
      <w:pPr>
        <w:rPr>
          <w:rFonts w:asciiTheme="minorHAnsi" w:hAnsiTheme="minorHAnsi"/>
          <w:b/>
          <w:sz w:val="36"/>
          <w:szCs w:val="36"/>
          <w:lang w:val="en-AU"/>
        </w:rPr>
      </w:pPr>
      <w:r w:rsidRPr="003F4BE3">
        <w:rPr>
          <w:rFonts w:asciiTheme="minorHAnsi" w:hAnsiTheme="minorHAnsi"/>
          <w:b/>
          <w:sz w:val="36"/>
          <w:szCs w:val="36"/>
          <w:lang w:val="en-AU"/>
        </w:rPr>
        <w:t xml:space="preserve">Tablet containing tenofovir </w:t>
      </w:r>
      <w:proofErr w:type="spellStart"/>
      <w:r w:rsidRPr="003F4BE3">
        <w:rPr>
          <w:rFonts w:asciiTheme="minorHAnsi" w:hAnsiTheme="minorHAnsi"/>
          <w:b/>
          <w:sz w:val="36"/>
          <w:szCs w:val="36"/>
          <w:lang w:val="en-AU"/>
        </w:rPr>
        <w:t>alafenamide</w:t>
      </w:r>
      <w:proofErr w:type="spellEnd"/>
      <w:r w:rsidRPr="003F4BE3">
        <w:rPr>
          <w:rFonts w:asciiTheme="minorHAnsi" w:hAnsiTheme="minorHAnsi"/>
          <w:b/>
          <w:sz w:val="36"/>
          <w:szCs w:val="36"/>
          <w:lang w:val="en-AU"/>
        </w:rPr>
        <w:t xml:space="preserve"> 25 mg with emtricitabine 200 mg and bictegravir 50 mg</w:t>
      </w:r>
      <w:r w:rsidR="00C8469B" w:rsidRPr="003F4BE3">
        <w:rPr>
          <w:rFonts w:asciiTheme="minorHAnsi" w:hAnsiTheme="minorHAnsi"/>
          <w:b/>
          <w:sz w:val="36"/>
          <w:szCs w:val="36"/>
          <w:lang w:val="en-AU"/>
        </w:rPr>
        <w:t xml:space="preserve">, </w:t>
      </w:r>
    </w:p>
    <w:p w:rsidR="00C8469B" w:rsidRPr="003F4BE3" w:rsidRDefault="00242102" w:rsidP="004D3E6B">
      <w:pPr>
        <w:spacing w:after="360"/>
        <w:rPr>
          <w:rFonts w:asciiTheme="minorHAnsi" w:hAnsiTheme="minorHAnsi"/>
          <w:b/>
          <w:sz w:val="36"/>
          <w:szCs w:val="36"/>
          <w:lang w:val="en-AU"/>
        </w:rPr>
      </w:pPr>
      <w:proofErr w:type="spellStart"/>
      <w:r>
        <w:rPr>
          <w:rFonts w:asciiTheme="minorHAnsi" w:hAnsiTheme="minorHAnsi"/>
          <w:b/>
          <w:sz w:val="36"/>
          <w:szCs w:val="36"/>
          <w:lang w:val="en-AU"/>
        </w:rPr>
        <w:t>Biktarvy</w:t>
      </w:r>
      <w:proofErr w:type="spellEnd"/>
      <w:r w:rsidR="00C8469B" w:rsidRPr="003F4BE3">
        <w:rPr>
          <w:rFonts w:asciiTheme="minorHAnsi" w:hAnsiTheme="minorHAnsi"/>
          <w:b/>
          <w:sz w:val="36"/>
          <w:szCs w:val="36"/>
          <w:lang w:val="en-AU"/>
        </w:rPr>
        <w:t>®</w:t>
      </w:r>
      <w:r w:rsidR="00B74727">
        <w:rPr>
          <w:rFonts w:asciiTheme="minorHAnsi" w:hAnsiTheme="minorHAnsi"/>
          <w:b/>
          <w:sz w:val="36"/>
          <w:szCs w:val="36"/>
          <w:lang w:val="en-AU"/>
        </w:rPr>
        <w:t>,</w:t>
      </w:r>
      <w:r w:rsidR="004D3E6B">
        <w:rPr>
          <w:rFonts w:asciiTheme="minorHAnsi" w:hAnsiTheme="minorHAnsi"/>
          <w:b/>
          <w:sz w:val="36"/>
          <w:szCs w:val="36"/>
          <w:lang w:val="en-AU"/>
        </w:rPr>
        <w:t xml:space="preserve"> </w:t>
      </w:r>
      <w:r w:rsidR="00C8469B" w:rsidRPr="003F4BE3">
        <w:rPr>
          <w:rFonts w:asciiTheme="minorHAnsi" w:hAnsiTheme="minorHAnsi"/>
          <w:b/>
          <w:sz w:val="36"/>
          <w:szCs w:val="36"/>
          <w:lang w:val="en-AU"/>
        </w:rPr>
        <w:t>Gilead Sciences Pty Ltd</w:t>
      </w:r>
    </w:p>
    <w:p w:rsidR="00B50DB8" w:rsidRPr="004D3E6B" w:rsidRDefault="00B50DB8" w:rsidP="00DD3B41">
      <w:pPr>
        <w:pStyle w:val="PBACHeading1"/>
        <w:numPr>
          <w:ilvl w:val="0"/>
          <w:numId w:val="3"/>
        </w:numPr>
        <w:spacing w:before="0"/>
        <w:outlineLvl w:val="0"/>
      </w:pPr>
      <w:bookmarkStart w:id="0" w:name="_Toc503214681"/>
      <w:r w:rsidRPr="004D3E6B">
        <w:t>Purpose of Application</w:t>
      </w:r>
      <w:bookmarkEnd w:id="0"/>
    </w:p>
    <w:p w:rsidR="002C2775" w:rsidRPr="003F4BE3" w:rsidRDefault="005F096C" w:rsidP="008107C8">
      <w:pPr>
        <w:pStyle w:val="ListParagraph"/>
        <w:widowControl/>
        <w:numPr>
          <w:ilvl w:val="1"/>
          <w:numId w:val="3"/>
        </w:numPr>
        <w:spacing w:before="160"/>
      </w:pPr>
      <w:r w:rsidRPr="003F4BE3">
        <w:t xml:space="preserve">The submission requested an Authority Required (Streamlined) </w:t>
      </w:r>
      <w:r w:rsidR="008B1757" w:rsidRPr="003F4BE3">
        <w:t xml:space="preserve">Section 100 listing for </w:t>
      </w:r>
      <w:r w:rsidR="00384090" w:rsidRPr="003F4BE3">
        <w:t>a</w:t>
      </w:r>
      <w:r w:rsidR="00837672" w:rsidRPr="003F4BE3">
        <w:t xml:space="preserve"> fixed dose combination (FDC) tablet containing </w:t>
      </w:r>
      <w:r w:rsidR="00875924" w:rsidRPr="003F4BE3">
        <w:t>bictegravir</w:t>
      </w:r>
      <w:r w:rsidRPr="003F4BE3">
        <w:t xml:space="preserve"> with</w:t>
      </w:r>
      <w:r w:rsidR="00875924" w:rsidRPr="003F4BE3">
        <w:t xml:space="preserve"> emtricitabine</w:t>
      </w:r>
      <w:r w:rsidRPr="003F4BE3">
        <w:t xml:space="preserve"> </w:t>
      </w:r>
      <w:r w:rsidR="00875924" w:rsidRPr="003F4BE3">
        <w:t xml:space="preserve">and tenofovir </w:t>
      </w:r>
      <w:proofErr w:type="spellStart"/>
      <w:r w:rsidR="00875924" w:rsidRPr="003F4BE3">
        <w:t>alafenamide</w:t>
      </w:r>
      <w:proofErr w:type="spellEnd"/>
      <w:r w:rsidR="00875924" w:rsidRPr="003F4BE3">
        <w:t>, referred to as BFTAF herein</w:t>
      </w:r>
      <w:r w:rsidRPr="003F4BE3">
        <w:t>,</w:t>
      </w:r>
      <w:r w:rsidR="008B1757" w:rsidRPr="003F4BE3">
        <w:t xml:space="preserve"> for </w:t>
      </w:r>
      <w:r w:rsidR="00F60AC9" w:rsidRPr="003F4BE3">
        <w:t xml:space="preserve">the </w:t>
      </w:r>
      <w:r w:rsidR="008B1757" w:rsidRPr="003F4BE3">
        <w:t>treatment</w:t>
      </w:r>
      <w:r w:rsidRPr="003F4BE3">
        <w:t xml:space="preserve"> of</w:t>
      </w:r>
      <w:r w:rsidR="008B1757" w:rsidRPr="003F4BE3">
        <w:t xml:space="preserve"> </w:t>
      </w:r>
      <w:r w:rsidR="00875924" w:rsidRPr="003F4BE3">
        <w:t>treatment</w:t>
      </w:r>
      <w:r w:rsidR="007429A7" w:rsidRPr="003F4BE3">
        <w:t>-</w:t>
      </w:r>
      <w:r w:rsidR="00875924" w:rsidRPr="003F4BE3">
        <w:t xml:space="preserve">naïve and virologically suppressed </w:t>
      </w:r>
      <w:r w:rsidR="00F60AC9" w:rsidRPr="003F4BE3">
        <w:rPr>
          <w:rStyle w:val="BodyTextChar"/>
          <w:rFonts w:asciiTheme="minorHAnsi" w:hAnsiTheme="minorHAnsi"/>
          <w:sz w:val="24"/>
        </w:rPr>
        <w:t>human immunodeficiency virus (</w:t>
      </w:r>
      <w:r w:rsidR="00F60AC9" w:rsidRPr="003F4BE3">
        <w:t xml:space="preserve">HIV-1) infected </w:t>
      </w:r>
      <w:r w:rsidR="00875924" w:rsidRPr="003F4BE3">
        <w:t>patien</w:t>
      </w:r>
      <w:r w:rsidR="007429A7" w:rsidRPr="003F4BE3">
        <w:t>t</w:t>
      </w:r>
      <w:r w:rsidR="00875924" w:rsidRPr="003F4BE3">
        <w:t>s. BFTAF has not been considered by the PBAC previously</w:t>
      </w:r>
      <w:r w:rsidR="009E15F7" w:rsidRPr="003F4BE3">
        <w:t>.</w:t>
      </w:r>
    </w:p>
    <w:p w:rsidR="00D52336" w:rsidRDefault="00BE07CD" w:rsidP="00F3464F">
      <w:pPr>
        <w:pStyle w:val="ListParagraph"/>
        <w:widowControl/>
        <w:numPr>
          <w:ilvl w:val="1"/>
          <w:numId w:val="3"/>
        </w:numPr>
        <w:spacing w:after="120"/>
      </w:pPr>
      <w:r w:rsidRPr="003F4BE3">
        <w:t>The submission</w:t>
      </w:r>
      <w:r w:rsidR="007429A7" w:rsidRPr="003F4BE3">
        <w:t xml:space="preserve"> requested listing for BFTAF</w:t>
      </w:r>
      <w:r w:rsidR="0021271A" w:rsidRPr="003F4BE3">
        <w:t xml:space="preserve"> </w:t>
      </w:r>
      <w:r w:rsidR="007429A7" w:rsidRPr="003F4BE3">
        <w:t>on</w:t>
      </w:r>
      <w:r w:rsidRPr="003F4BE3">
        <w:t xml:space="preserve"> a cost minimisation </w:t>
      </w:r>
      <w:r w:rsidR="007429A7" w:rsidRPr="003F4BE3">
        <w:t xml:space="preserve">basis </w:t>
      </w:r>
      <w:r w:rsidRPr="003F4BE3">
        <w:t xml:space="preserve">against the primary comparator </w:t>
      </w:r>
      <w:r w:rsidR="006A6F37" w:rsidRPr="003F4BE3">
        <w:t>DESCOVY®</w:t>
      </w:r>
      <w:r w:rsidRPr="003F4BE3">
        <w:t xml:space="preserve"> </w:t>
      </w:r>
      <w:r w:rsidR="005C31BA" w:rsidRPr="003F4BE3">
        <w:rPr>
          <w:color w:val="000000" w:themeColor="text1"/>
        </w:rPr>
        <w:t xml:space="preserve">(emtricitabine + tenofovir </w:t>
      </w:r>
      <w:proofErr w:type="spellStart"/>
      <w:r w:rsidR="005C31BA" w:rsidRPr="003F4BE3">
        <w:rPr>
          <w:color w:val="000000" w:themeColor="text1"/>
        </w:rPr>
        <w:t>alafenamide</w:t>
      </w:r>
      <w:proofErr w:type="spellEnd"/>
      <w:r w:rsidR="005C31BA" w:rsidRPr="003F4BE3">
        <w:rPr>
          <w:color w:val="000000" w:themeColor="text1"/>
        </w:rPr>
        <w:t xml:space="preserve"> FDC) </w:t>
      </w:r>
      <w:r w:rsidRPr="003F4BE3">
        <w:t xml:space="preserve">plus </w:t>
      </w:r>
      <w:proofErr w:type="spellStart"/>
      <w:r w:rsidRPr="003F4BE3">
        <w:t>dolutegravir</w:t>
      </w:r>
      <w:proofErr w:type="spellEnd"/>
      <w:r w:rsidR="007429A7" w:rsidRPr="003F4BE3">
        <w:t>,</w:t>
      </w:r>
      <w:r w:rsidRPr="003F4BE3">
        <w:t xml:space="preserve"> and two secondary comparators</w:t>
      </w:r>
      <w:r w:rsidR="007429A7" w:rsidRPr="003F4BE3">
        <w:t>,</w:t>
      </w:r>
      <w:r w:rsidRPr="003F4BE3">
        <w:t xml:space="preserve"> </w:t>
      </w:r>
      <w:r w:rsidR="006A6F37" w:rsidRPr="003F4BE3">
        <w:t>GENVOYA®</w:t>
      </w:r>
      <w:r w:rsidR="005C31BA" w:rsidRPr="003F4BE3">
        <w:t xml:space="preserve"> </w:t>
      </w:r>
      <w:r w:rsidR="005C31BA" w:rsidRPr="003F4BE3">
        <w:rPr>
          <w:color w:val="000000" w:themeColor="text1"/>
        </w:rPr>
        <w:t>(</w:t>
      </w:r>
      <w:proofErr w:type="spellStart"/>
      <w:r w:rsidR="005C31BA" w:rsidRPr="003F4BE3">
        <w:rPr>
          <w:color w:val="000000" w:themeColor="text1"/>
        </w:rPr>
        <w:t>elvitegravir</w:t>
      </w:r>
      <w:proofErr w:type="spellEnd"/>
      <w:r w:rsidR="005C31BA" w:rsidRPr="003F4BE3">
        <w:rPr>
          <w:color w:val="000000" w:themeColor="text1"/>
        </w:rPr>
        <w:t xml:space="preserve">, emtricitabine + tenofovir </w:t>
      </w:r>
      <w:proofErr w:type="spellStart"/>
      <w:r w:rsidR="005C31BA" w:rsidRPr="003F4BE3">
        <w:rPr>
          <w:color w:val="000000" w:themeColor="text1"/>
        </w:rPr>
        <w:t>alafenamide</w:t>
      </w:r>
      <w:proofErr w:type="spellEnd"/>
      <w:r w:rsidR="005C31BA" w:rsidRPr="003F4BE3">
        <w:rPr>
          <w:color w:val="000000" w:themeColor="text1"/>
        </w:rPr>
        <w:t xml:space="preserve"> FDC)</w:t>
      </w:r>
      <w:r w:rsidRPr="003F4BE3">
        <w:t xml:space="preserve"> and </w:t>
      </w:r>
      <w:r w:rsidR="006A6F37" w:rsidRPr="003F4BE3">
        <w:t>ODEFSEY®</w:t>
      </w:r>
      <w:r w:rsidR="005C31BA" w:rsidRPr="003F4BE3">
        <w:t xml:space="preserve"> </w:t>
      </w:r>
      <w:r w:rsidR="005C31BA" w:rsidRPr="003F4BE3">
        <w:rPr>
          <w:color w:val="000000" w:themeColor="text1"/>
        </w:rPr>
        <w:t xml:space="preserve">(emtricitabine, </w:t>
      </w:r>
      <w:proofErr w:type="spellStart"/>
      <w:r w:rsidR="005C31BA" w:rsidRPr="003F4BE3">
        <w:rPr>
          <w:color w:val="000000" w:themeColor="text1"/>
        </w:rPr>
        <w:t>rilpivirine</w:t>
      </w:r>
      <w:proofErr w:type="spellEnd"/>
      <w:r w:rsidR="005C31BA" w:rsidRPr="003F4BE3">
        <w:rPr>
          <w:color w:val="000000" w:themeColor="text1"/>
        </w:rPr>
        <w:t xml:space="preserve"> + tenofovir </w:t>
      </w:r>
      <w:proofErr w:type="spellStart"/>
      <w:r w:rsidR="005C31BA" w:rsidRPr="003F4BE3">
        <w:rPr>
          <w:color w:val="000000" w:themeColor="text1"/>
        </w:rPr>
        <w:t>alafenamide</w:t>
      </w:r>
      <w:proofErr w:type="spellEnd"/>
      <w:r w:rsidR="005C31BA" w:rsidRPr="003F4BE3">
        <w:rPr>
          <w:color w:val="000000" w:themeColor="text1"/>
        </w:rPr>
        <w:t xml:space="preserve"> FDC)</w:t>
      </w:r>
      <w:r w:rsidR="004A5BA3" w:rsidRPr="003F4BE3">
        <w:rPr>
          <w:color w:val="000000" w:themeColor="text1"/>
        </w:rPr>
        <w:t xml:space="preserve">, that is, tenofovir </w:t>
      </w:r>
      <w:proofErr w:type="spellStart"/>
      <w:r w:rsidR="004A5BA3" w:rsidRPr="003F4BE3">
        <w:rPr>
          <w:color w:val="000000" w:themeColor="text1"/>
        </w:rPr>
        <w:t>alafenamide</w:t>
      </w:r>
      <w:proofErr w:type="spellEnd"/>
      <w:r w:rsidR="004A5BA3" w:rsidRPr="003F4BE3">
        <w:rPr>
          <w:color w:val="000000" w:themeColor="text1"/>
        </w:rPr>
        <w:t xml:space="preserve"> (TAF)-based FDCs</w:t>
      </w:r>
      <w:r w:rsidRPr="003F4BE3">
        <w:t>.</w:t>
      </w:r>
    </w:p>
    <w:p w:rsidR="009B5365" w:rsidRDefault="009B5365" w:rsidP="008B1757">
      <w:pPr>
        <w:rPr>
          <w:rStyle w:val="CommentReference"/>
          <w:lang w:val="en-AU"/>
        </w:rPr>
      </w:pPr>
    </w:p>
    <w:p w:rsidR="008B1757" w:rsidRPr="003F4BE3" w:rsidRDefault="00C8469B" w:rsidP="008B1757">
      <w:pPr>
        <w:rPr>
          <w:rStyle w:val="CommentReference"/>
          <w:lang w:val="en-AU"/>
        </w:rPr>
      </w:pPr>
      <w:r w:rsidRPr="003F4BE3">
        <w:rPr>
          <w:rStyle w:val="CommentReference"/>
          <w:lang w:val="en-AU"/>
        </w:rPr>
        <w:t>Table 1</w:t>
      </w:r>
      <w:r w:rsidR="008B1757" w:rsidRPr="003F4BE3">
        <w:rPr>
          <w:rStyle w:val="CommentReference"/>
          <w:lang w:val="en-AU"/>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8135"/>
      </w:tblGrid>
      <w:tr w:rsidR="00BE07CD" w:rsidRPr="003F4BE3" w:rsidTr="00224398">
        <w:trPr>
          <w:trHeight w:val="341"/>
        </w:trPr>
        <w:tc>
          <w:tcPr>
            <w:tcW w:w="1021" w:type="dxa"/>
            <w:vAlign w:val="center"/>
          </w:tcPr>
          <w:p w:rsidR="00BE07CD" w:rsidRPr="003F4BE3" w:rsidRDefault="00BE07CD" w:rsidP="00002110">
            <w:pPr>
              <w:pStyle w:val="Tabletext"/>
              <w:rPr>
                <w:b/>
              </w:rPr>
            </w:pPr>
            <w:r w:rsidRPr="003F4BE3">
              <w:rPr>
                <w:b/>
              </w:rPr>
              <w:t>Component</w:t>
            </w:r>
          </w:p>
        </w:tc>
        <w:tc>
          <w:tcPr>
            <w:tcW w:w="8135" w:type="dxa"/>
            <w:vAlign w:val="center"/>
          </w:tcPr>
          <w:p w:rsidR="00BE07CD" w:rsidRPr="003F4BE3" w:rsidRDefault="00BE07CD" w:rsidP="00002110">
            <w:pPr>
              <w:pStyle w:val="Tabletext"/>
              <w:jc w:val="center"/>
              <w:rPr>
                <w:b/>
              </w:rPr>
            </w:pPr>
            <w:r w:rsidRPr="003F4BE3">
              <w:rPr>
                <w:b/>
              </w:rPr>
              <w:t>Description</w:t>
            </w:r>
          </w:p>
        </w:tc>
      </w:tr>
      <w:tr w:rsidR="00BE07CD" w:rsidRPr="003F4BE3" w:rsidTr="00224398">
        <w:trPr>
          <w:trHeight w:val="70"/>
        </w:trPr>
        <w:tc>
          <w:tcPr>
            <w:tcW w:w="1021" w:type="dxa"/>
            <w:vAlign w:val="center"/>
          </w:tcPr>
          <w:p w:rsidR="00BE07CD" w:rsidRPr="003F4BE3" w:rsidRDefault="00BE07CD" w:rsidP="00002110">
            <w:pPr>
              <w:pStyle w:val="Tabletext"/>
            </w:pPr>
            <w:r w:rsidRPr="003F4BE3">
              <w:t>Population</w:t>
            </w:r>
          </w:p>
        </w:tc>
        <w:tc>
          <w:tcPr>
            <w:tcW w:w="8135" w:type="dxa"/>
            <w:vAlign w:val="center"/>
          </w:tcPr>
          <w:p w:rsidR="00BE07CD" w:rsidRPr="003F4BE3" w:rsidRDefault="00BE07CD" w:rsidP="00002110">
            <w:pPr>
              <w:pStyle w:val="Tabletext"/>
            </w:pPr>
            <w:r w:rsidRPr="003F4BE3">
              <w:t>Adults with HIV-1 infection</w:t>
            </w:r>
          </w:p>
        </w:tc>
      </w:tr>
      <w:tr w:rsidR="00BE07CD" w:rsidRPr="003F4BE3" w:rsidTr="00224398">
        <w:tc>
          <w:tcPr>
            <w:tcW w:w="1021" w:type="dxa"/>
            <w:vAlign w:val="center"/>
          </w:tcPr>
          <w:p w:rsidR="00BE07CD" w:rsidRPr="003F4BE3" w:rsidRDefault="00BE07CD" w:rsidP="00002110">
            <w:pPr>
              <w:pStyle w:val="Tabletext"/>
            </w:pPr>
            <w:r w:rsidRPr="003F4BE3">
              <w:t>Intervention</w:t>
            </w:r>
          </w:p>
        </w:tc>
        <w:tc>
          <w:tcPr>
            <w:tcW w:w="8135" w:type="dxa"/>
            <w:vAlign w:val="center"/>
          </w:tcPr>
          <w:p w:rsidR="00BE07CD" w:rsidRPr="003F4BE3" w:rsidRDefault="00BE07CD" w:rsidP="00002110">
            <w:pPr>
              <w:pStyle w:val="Tabletext"/>
            </w:pPr>
            <w:r w:rsidRPr="003F4BE3">
              <w:t xml:space="preserve">Fixed-dose combination (FDC) tablet of bictegravir 50mg + emtricitabine 200mg + tenofovir </w:t>
            </w:r>
            <w:proofErr w:type="spellStart"/>
            <w:r w:rsidRPr="003F4BE3">
              <w:t>alafenamide</w:t>
            </w:r>
            <w:proofErr w:type="spellEnd"/>
            <w:r w:rsidRPr="003F4BE3">
              <w:t xml:space="preserve"> 25mg</w:t>
            </w:r>
          </w:p>
        </w:tc>
      </w:tr>
      <w:tr w:rsidR="00BE07CD" w:rsidRPr="003F4BE3" w:rsidTr="00224398">
        <w:tc>
          <w:tcPr>
            <w:tcW w:w="1021" w:type="dxa"/>
            <w:vAlign w:val="center"/>
          </w:tcPr>
          <w:p w:rsidR="00BE07CD" w:rsidRPr="003F4BE3" w:rsidRDefault="00BE07CD" w:rsidP="00002110">
            <w:pPr>
              <w:pStyle w:val="Tabletext"/>
            </w:pPr>
            <w:r w:rsidRPr="003F4BE3">
              <w:t>Comparator</w:t>
            </w:r>
          </w:p>
        </w:tc>
        <w:tc>
          <w:tcPr>
            <w:tcW w:w="8135" w:type="dxa"/>
            <w:vAlign w:val="center"/>
          </w:tcPr>
          <w:p w:rsidR="00BE07CD" w:rsidRPr="003F4BE3" w:rsidRDefault="00BE07CD" w:rsidP="00002110">
            <w:pPr>
              <w:pStyle w:val="Tabletext"/>
            </w:pPr>
            <w:r w:rsidRPr="003F4BE3">
              <w:rPr>
                <w:u w:val="single"/>
              </w:rPr>
              <w:t>Primary</w:t>
            </w:r>
            <w:r w:rsidRPr="003F4BE3">
              <w:t xml:space="preserve">: </w:t>
            </w:r>
          </w:p>
          <w:p w:rsidR="00BE07CD" w:rsidRPr="003F4BE3" w:rsidRDefault="006A6F37" w:rsidP="00002110">
            <w:pPr>
              <w:pStyle w:val="Tabletext"/>
              <w:numPr>
                <w:ilvl w:val="0"/>
                <w:numId w:val="1"/>
              </w:numPr>
              <w:ind w:left="142" w:hanging="142"/>
            </w:pPr>
            <w:r w:rsidRPr="003F4BE3">
              <w:t>DESCOVY®</w:t>
            </w:r>
            <w:r w:rsidR="00BE07CD" w:rsidRPr="003F4BE3">
              <w:t xml:space="preserve"> (FDC of emtricitabine</w:t>
            </w:r>
            <w:r w:rsidR="00BE07CD" w:rsidRPr="003F4BE3" w:rsidDel="00576B37">
              <w:t xml:space="preserve"> </w:t>
            </w:r>
            <w:r w:rsidR="00BE07CD" w:rsidRPr="003F4BE3">
              <w:t xml:space="preserve">200mg &amp; tenofovir </w:t>
            </w:r>
            <w:proofErr w:type="spellStart"/>
            <w:r w:rsidR="00BE07CD" w:rsidRPr="003F4BE3">
              <w:t>alafenamide</w:t>
            </w:r>
            <w:proofErr w:type="spellEnd"/>
            <w:r w:rsidR="00BE07CD" w:rsidRPr="003F4BE3">
              <w:t xml:space="preserve"> 10/25mg) + </w:t>
            </w:r>
            <w:proofErr w:type="spellStart"/>
            <w:r w:rsidR="00BE07CD" w:rsidRPr="003F4BE3">
              <w:t>dolutegravir</w:t>
            </w:r>
            <w:proofErr w:type="spellEnd"/>
            <w:r w:rsidR="00BE07CD" w:rsidRPr="003F4BE3">
              <w:t xml:space="preserve"> 50mg </w:t>
            </w:r>
          </w:p>
          <w:p w:rsidR="00BE07CD" w:rsidRPr="003F4BE3" w:rsidRDefault="00BE07CD" w:rsidP="00002110">
            <w:pPr>
              <w:pStyle w:val="Tabletext"/>
            </w:pPr>
            <w:r w:rsidRPr="003F4BE3">
              <w:rPr>
                <w:u w:val="single"/>
              </w:rPr>
              <w:t>Secondary</w:t>
            </w:r>
            <w:r w:rsidRPr="003F4BE3">
              <w:t>:</w:t>
            </w:r>
          </w:p>
          <w:p w:rsidR="00BE07CD" w:rsidRPr="003F4BE3" w:rsidRDefault="006A6F37" w:rsidP="00002110">
            <w:pPr>
              <w:pStyle w:val="Tabletext"/>
              <w:numPr>
                <w:ilvl w:val="0"/>
                <w:numId w:val="1"/>
              </w:numPr>
              <w:ind w:left="142" w:hanging="142"/>
            </w:pPr>
            <w:r w:rsidRPr="003F4BE3">
              <w:t>GENVOYA®</w:t>
            </w:r>
            <w:r w:rsidR="00BE07CD" w:rsidRPr="003F4BE3">
              <w:t xml:space="preserve"> (FDC of tenofovir </w:t>
            </w:r>
            <w:proofErr w:type="spellStart"/>
            <w:r w:rsidR="00BE07CD" w:rsidRPr="003F4BE3">
              <w:t>alafenamide</w:t>
            </w:r>
            <w:proofErr w:type="spellEnd"/>
            <w:r w:rsidR="00BE07CD" w:rsidRPr="003F4BE3">
              <w:t xml:space="preserve"> 10 mg + emtricitabine 200 mg + </w:t>
            </w:r>
            <w:proofErr w:type="spellStart"/>
            <w:r w:rsidR="00BE07CD" w:rsidRPr="003F4BE3">
              <w:t>elvitegravir</w:t>
            </w:r>
            <w:proofErr w:type="spellEnd"/>
            <w:r w:rsidR="00BE07CD" w:rsidRPr="003F4BE3">
              <w:t xml:space="preserve"> 150 mg + cobicistat 150 mg); </w:t>
            </w:r>
          </w:p>
          <w:p w:rsidR="00BE07CD" w:rsidRPr="003F4BE3" w:rsidRDefault="006A6F37" w:rsidP="00002110">
            <w:pPr>
              <w:pStyle w:val="Tabletext"/>
              <w:numPr>
                <w:ilvl w:val="0"/>
                <w:numId w:val="1"/>
              </w:numPr>
              <w:ind w:left="142" w:hanging="142"/>
            </w:pPr>
            <w:r w:rsidRPr="003F4BE3">
              <w:t>ODEFSEY®</w:t>
            </w:r>
            <w:r w:rsidR="00BE07CD" w:rsidRPr="003F4BE3">
              <w:t xml:space="preserve"> (FDC of emtricitabine 200 mg + </w:t>
            </w:r>
            <w:proofErr w:type="spellStart"/>
            <w:r w:rsidR="00BE07CD" w:rsidRPr="003F4BE3">
              <w:t>rilpivirine</w:t>
            </w:r>
            <w:proofErr w:type="spellEnd"/>
            <w:r w:rsidR="00BE07CD" w:rsidRPr="003F4BE3">
              <w:t xml:space="preserve"> 25 mg + tenofovir </w:t>
            </w:r>
            <w:proofErr w:type="spellStart"/>
            <w:r w:rsidR="00BE07CD" w:rsidRPr="003F4BE3">
              <w:t>alafenamide</w:t>
            </w:r>
            <w:proofErr w:type="spellEnd"/>
            <w:r w:rsidR="00BE07CD" w:rsidRPr="003F4BE3">
              <w:t xml:space="preserve"> 25 mg)</w:t>
            </w:r>
          </w:p>
          <w:p w:rsidR="005C31BA" w:rsidRPr="003F4BE3" w:rsidRDefault="0040502A" w:rsidP="0040502A">
            <w:pPr>
              <w:pStyle w:val="Tabletext"/>
            </w:pPr>
            <w:r w:rsidRPr="003F4BE3">
              <w:t>T</w:t>
            </w:r>
            <w:r w:rsidR="005C31BA" w:rsidRPr="003F4BE3">
              <w:t>he</w:t>
            </w:r>
            <w:r w:rsidRPr="003F4BE3">
              <w:t>s</w:t>
            </w:r>
            <w:r w:rsidR="005C31BA" w:rsidRPr="003F4BE3">
              <w:t>e are</w:t>
            </w:r>
            <w:r w:rsidRPr="003F4BE3">
              <w:t xml:space="preserve"> not the only</w:t>
            </w:r>
            <w:r w:rsidR="005C31BA" w:rsidRPr="003F4BE3">
              <w:t xml:space="preserve"> </w:t>
            </w:r>
            <w:r w:rsidR="00224398">
              <w:t xml:space="preserve">relevant </w:t>
            </w:r>
            <w:r w:rsidR="005C31BA" w:rsidRPr="003F4BE3">
              <w:t>alternative therapies</w:t>
            </w:r>
          </w:p>
        </w:tc>
      </w:tr>
      <w:tr w:rsidR="00BE07CD" w:rsidRPr="003F4BE3" w:rsidTr="00224398">
        <w:trPr>
          <w:trHeight w:val="368"/>
        </w:trPr>
        <w:tc>
          <w:tcPr>
            <w:tcW w:w="1021" w:type="dxa"/>
            <w:vAlign w:val="center"/>
          </w:tcPr>
          <w:p w:rsidR="00BE07CD" w:rsidRPr="003F4BE3" w:rsidRDefault="00BE07CD" w:rsidP="00002110">
            <w:pPr>
              <w:pStyle w:val="Tabletext"/>
            </w:pPr>
            <w:r w:rsidRPr="003F4BE3">
              <w:t>Outcomes</w:t>
            </w:r>
          </w:p>
        </w:tc>
        <w:tc>
          <w:tcPr>
            <w:tcW w:w="8135" w:type="dxa"/>
            <w:vAlign w:val="center"/>
          </w:tcPr>
          <w:p w:rsidR="00BE07CD" w:rsidRPr="003F4BE3" w:rsidRDefault="00BE07CD" w:rsidP="00002110">
            <w:pPr>
              <w:pStyle w:val="Tabletext"/>
            </w:pPr>
            <w:r w:rsidRPr="003F4BE3">
              <w:t>Virological suppression (patients with plasma HIV RNA &lt;50 copies per mL using the FDA snapshot algorithm)</w:t>
            </w:r>
          </w:p>
        </w:tc>
      </w:tr>
      <w:tr w:rsidR="00BE07CD" w:rsidRPr="003F4BE3" w:rsidTr="00224398">
        <w:trPr>
          <w:trHeight w:val="188"/>
        </w:trPr>
        <w:tc>
          <w:tcPr>
            <w:tcW w:w="1021" w:type="dxa"/>
            <w:vAlign w:val="center"/>
          </w:tcPr>
          <w:p w:rsidR="00BE07CD" w:rsidRPr="003F4BE3" w:rsidRDefault="00BE07CD" w:rsidP="00002110">
            <w:pPr>
              <w:pStyle w:val="Tabletext"/>
            </w:pPr>
            <w:r w:rsidRPr="003F4BE3">
              <w:t>Clinical claim</w:t>
            </w:r>
          </w:p>
        </w:tc>
        <w:tc>
          <w:tcPr>
            <w:tcW w:w="8135" w:type="dxa"/>
            <w:vAlign w:val="center"/>
          </w:tcPr>
          <w:p w:rsidR="00BE07CD" w:rsidRPr="003F4BE3" w:rsidRDefault="00BE07CD" w:rsidP="00002110">
            <w:pPr>
              <w:pStyle w:val="Tabletext"/>
            </w:pPr>
            <w:r w:rsidRPr="003F4BE3">
              <w:t xml:space="preserve">The FDC of bictegravir 50mg + emtricitabine 200mg + tenofovir </w:t>
            </w:r>
            <w:proofErr w:type="spellStart"/>
            <w:r w:rsidRPr="003F4BE3">
              <w:t>alafenamide</w:t>
            </w:r>
            <w:proofErr w:type="spellEnd"/>
            <w:r w:rsidRPr="003F4BE3">
              <w:t xml:space="preserve"> 25mg (BFTAF) is non-inferior in terms of efficacy and safety, compared to emtricitabine + tenofovir </w:t>
            </w:r>
            <w:proofErr w:type="spellStart"/>
            <w:r w:rsidRPr="003F4BE3">
              <w:t>alafenamide</w:t>
            </w:r>
            <w:proofErr w:type="spellEnd"/>
            <w:r w:rsidRPr="003F4BE3">
              <w:t xml:space="preserve"> (FTAF)-based regimens</w:t>
            </w:r>
          </w:p>
        </w:tc>
      </w:tr>
    </w:tbl>
    <w:p w:rsidR="00BE07CD" w:rsidRPr="003F4BE3" w:rsidRDefault="00BE07CD" w:rsidP="00BE07CD">
      <w:pPr>
        <w:pStyle w:val="TableFooter"/>
      </w:pPr>
      <w:r w:rsidRPr="003F4BE3">
        <w:t xml:space="preserve">BFTAF = bictegravir, emtricitabine and tenofovir </w:t>
      </w:r>
      <w:proofErr w:type="spellStart"/>
      <w:r w:rsidRPr="003F4BE3">
        <w:t>alafenamide</w:t>
      </w:r>
      <w:proofErr w:type="spellEnd"/>
      <w:r w:rsidRPr="003F4BE3">
        <w:t xml:space="preserve">; FDA = Food and Drug Administration; FDC = Fixed-dose combination; FTAF = emtricitabine and tenofovir </w:t>
      </w:r>
      <w:proofErr w:type="spellStart"/>
      <w:r w:rsidRPr="003F4BE3">
        <w:t>alafenamide</w:t>
      </w:r>
      <w:proofErr w:type="spellEnd"/>
      <w:r w:rsidRPr="003F4BE3">
        <w:t>; HIV = human immunodeficiency virus; mg = milligram; RNA = ribonucleic acid</w:t>
      </w:r>
    </w:p>
    <w:p w:rsidR="00BE07CD" w:rsidRPr="003F4BE3" w:rsidRDefault="00BE07CD" w:rsidP="004D3E6B">
      <w:pPr>
        <w:pStyle w:val="TableFooter"/>
        <w:spacing w:after="120"/>
      </w:pPr>
      <w:r w:rsidRPr="003F4BE3">
        <w:t>Source: Table 1.2, p14 of the submission.</w:t>
      </w:r>
    </w:p>
    <w:p w:rsidR="00B60939" w:rsidRPr="00330F58" w:rsidRDefault="00B50DB8" w:rsidP="00DD3B41">
      <w:pPr>
        <w:pStyle w:val="PBACHeading1"/>
        <w:keepNext/>
        <w:numPr>
          <w:ilvl w:val="0"/>
          <w:numId w:val="3"/>
        </w:numPr>
        <w:spacing w:before="0"/>
        <w:outlineLvl w:val="0"/>
      </w:pPr>
      <w:bookmarkStart w:id="1" w:name="_Toc503214682"/>
      <w:r w:rsidRPr="00330F58">
        <w:lastRenderedPageBreak/>
        <w:t>Requested listing</w:t>
      </w:r>
      <w:bookmarkEnd w:id="1"/>
    </w:p>
    <w:p w:rsidR="00617E12" w:rsidRPr="00330F58" w:rsidRDefault="00617E12" w:rsidP="003747AF">
      <w:pPr>
        <w:keepNext/>
        <w:rPr>
          <w:rFonts w:asciiTheme="minorHAnsi" w:hAnsiTheme="minorHAnsi"/>
          <w:lang w:val="en-AU"/>
        </w:rPr>
      </w:pPr>
    </w:p>
    <w:tbl>
      <w:tblPr>
        <w:tblW w:w="4984" w:type="pct"/>
        <w:tblInd w:w="28" w:type="dxa"/>
        <w:tblCellMar>
          <w:left w:w="28" w:type="dxa"/>
          <w:right w:w="28" w:type="dxa"/>
        </w:tblCellMar>
        <w:tblLook w:val="0000" w:firstRow="0" w:lastRow="0" w:firstColumn="0" w:lastColumn="0" w:noHBand="0" w:noVBand="0"/>
      </w:tblPr>
      <w:tblGrid>
        <w:gridCol w:w="1999"/>
        <w:gridCol w:w="2111"/>
        <w:gridCol w:w="853"/>
        <w:gridCol w:w="440"/>
        <w:gridCol w:w="1543"/>
        <w:gridCol w:w="2108"/>
      </w:tblGrid>
      <w:tr w:rsidR="00820563" w:rsidRPr="003F4BE3" w:rsidTr="00224398">
        <w:trPr>
          <w:cantSplit/>
          <w:trHeight w:val="463"/>
        </w:trPr>
        <w:tc>
          <w:tcPr>
            <w:tcW w:w="2270" w:type="pct"/>
            <w:gridSpan w:val="2"/>
            <w:tcBorders>
              <w:top w:val="single" w:sz="4" w:space="0" w:color="auto"/>
              <w:bottom w:val="single" w:sz="4" w:space="0" w:color="auto"/>
            </w:tcBorders>
            <w:vAlign w:val="center"/>
          </w:tcPr>
          <w:p w:rsidR="00617E12" w:rsidRPr="003F4BE3" w:rsidRDefault="00617E12" w:rsidP="003747AF">
            <w:pPr>
              <w:keepNext/>
              <w:rPr>
                <w:rFonts w:ascii="Arial Narrow" w:hAnsi="Arial Narrow"/>
                <w:b/>
                <w:sz w:val="20"/>
                <w:lang w:val="en-AU"/>
              </w:rPr>
            </w:pPr>
            <w:r w:rsidRPr="003F4BE3">
              <w:rPr>
                <w:rFonts w:ascii="Arial Narrow" w:hAnsi="Arial Narrow"/>
                <w:b/>
                <w:sz w:val="20"/>
                <w:lang w:val="en-AU"/>
              </w:rPr>
              <w:t>Name, Restriction,</w:t>
            </w:r>
          </w:p>
          <w:p w:rsidR="00617E12" w:rsidRPr="003F4BE3" w:rsidRDefault="00617E12" w:rsidP="003747AF">
            <w:pPr>
              <w:keepNext/>
              <w:rPr>
                <w:rFonts w:ascii="Arial Narrow" w:hAnsi="Arial Narrow"/>
                <w:b/>
                <w:sz w:val="20"/>
                <w:lang w:val="en-AU"/>
              </w:rPr>
            </w:pPr>
            <w:r w:rsidRPr="003F4BE3">
              <w:rPr>
                <w:rFonts w:ascii="Arial Narrow" w:hAnsi="Arial Narrow"/>
                <w:b/>
                <w:sz w:val="20"/>
                <w:lang w:val="en-AU"/>
              </w:rPr>
              <w:t>Manner of administration and form</w:t>
            </w:r>
          </w:p>
        </w:tc>
        <w:tc>
          <w:tcPr>
            <w:tcW w:w="471" w:type="pct"/>
            <w:tcBorders>
              <w:top w:val="single" w:sz="4" w:space="0" w:color="auto"/>
              <w:bottom w:val="single" w:sz="4" w:space="0" w:color="auto"/>
            </w:tcBorders>
            <w:vAlign w:val="center"/>
          </w:tcPr>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Max.</w:t>
            </w:r>
          </w:p>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Qty</w:t>
            </w:r>
          </w:p>
        </w:tc>
        <w:tc>
          <w:tcPr>
            <w:tcW w:w="243" w:type="pct"/>
            <w:tcBorders>
              <w:top w:val="single" w:sz="4" w:space="0" w:color="auto"/>
              <w:bottom w:val="single" w:sz="4" w:space="0" w:color="auto"/>
            </w:tcBorders>
            <w:vAlign w:val="center"/>
          </w:tcPr>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№.of</w:t>
            </w:r>
          </w:p>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Rpts</w:t>
            </w:r>
          </w:p>
        </w:tc>
        <w:tc>
          <w:tcPr>
            <w:tcW w:w="852" w:type="pct"/>
            <w:tcBorders>
              <w:top w:val="single" w:sz="4" w:space="0" w:color="auto"/>
              <w:bottom w:val="single" w:sz="4" w:space="0" w:color="auto"/>
            </w:tcBorders>
            <w:vAlign w:val="center"/>
          </w:tcPr>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Dispensed Price for Max. Qty</w:t>
            </w:r>
            <w:r w:rsidR="00591957" w:rsidRPr="003F4BE3">
              <w:rPr>
                <w:rFonts w:ascii="Arial Narrow" w:hAnsi="Arial Narrow"/>
                <w:b/>
                <w:sz w:val="20"/>
                <w:lang w:val="en-AU"/>
              </w:rPr>
              <w:t xml:space="preserve"> </w:t>
            </w:r>
          </w:p>
        </w:tc>
        <w:tc>
          <w:tcPr>
            <w:tcW w:w="1164" w:type="pct"/>
            <w:tcBorders>
              <w:top w:val="single" w:sz="4" w:space="0" w:color="auto"/>
              <w:bottom w:val="single" w:sz="4" w:space="0" w:color="auto"/>
            </w:tcBorders>
            <w:vAlign w:val="center"/>
          </w:tcPr>
          <w:p w:rsidR="00617E12" w:rsidRPr="003F4BE3" w:rsidRDefault="00617E12" w:rsidP="003747AF">
            <w:pPr>
              <w:keepNext/>
              <w:jc w:val="center"/>
              <w:rPr>
                <w:rFonts w:ascii="Arial Narrow" w:hAnsi="Arial Narrow"/>
                <w:b/>
                <w:sz w:val="20"/>
                <w:lang w:val="en-AU"/>
              </w:rPr>
            </w:pPr>
            <w:r w:rsidRPr="003F4BE3">
              <w:rPr>
                <w:rFonts w:ascii="Arial Narrow" w:hAnsi="Arial Narrow"/>
                <w:b/>
                <w:sz w:val="20"/>
                <w:lang w:val="en-AU"/>
              </w:rPr>
              <w:t>Proprietary Name and Manufacturer</w:t>
            </w:r>
          </w:p>
        </w:tc>
      </w:tr>
      <w:tr w:rsidR="00820563" w:rsidRPr="003F4BE3" w:rsidTr="00224398">
        <w:trPr>
          <w:cantSplit/>
          <w:trHeight w:val="567"/>
        </w:trPr>
        <w:tc>
          <w:tcPr>
            <w:tcW w:w="2270" w:type="pct"/>
            <w:gridSpan w:val="2"/>
            <w:vAlign w:val="center"/>
          </w:tcPr>
          <w:p w:rsidR="00820563" w:rsidRPr="003F4BE3" w:rsidRDefault="00820563" w:rsidP="003747AF">
            <w:pPr>
              <w:keepNext/>
              <w:rPr>
                <w:rFonts w:ascii="Arial Narrow" w:hAnsi="Arial Narrow"/>
                <w:smallCaps/>
                <w:sz w:val="20"/>
                <w:lang w:val="en-AU"/>
              </w:rPr>
            </w:pPr>
            <w:proofErr w:type="spellStart"/>
            <w:r w:rsidRPr="003F4BE3">
              <w:rPr>
                <w:rFonts w:ascii="Arial Narrow" w:hAnsi="Arial Narrow"/>
                <w:smallCaps/>
                <w:sz w:val="20"/>
                <w:lang w:val="en-AU"/>
              </w:rPr>
              <w:t>Bictegravir+emtricitabine+tenofovir</w:t>
            </w:r>
            <w:proofErr w:type="spellEnd"/>
            <w:r w:rsidRPr="003F4BE3">
              <w:rPr>
                <w:rFonts w:ascii="Arial Narrow" w:hAnsi="Arial Narrow"/>
                <w:smallCaps/>
                <w:sz w:val="20"/>
                <w:lang w:val="en-AU"/>
              </w:rPr>
              <w:t xml:space="preserve"> </w:t>
            </w:r>
            <w:proofErr w:type="spellStart"/>
            <w:r w:rsidRPr="003F4BE3">
              <w:rPr>
                <w:rFonts w:ascii="Arial Narrow" w:hAnsi="Arial Narrow"/>
                <w:smallCaps/>
                <w:sz w:val="20"/>
                <w:lang w:val="en-AU"/>
              </w:rPr>
              <w:t>alafenamide</w:t>
            </w:r>
            <w:proofErr w:type="spellEnd"/>
          </w:p>
          <w:p w:rsidR="00820563" w:rsidRPr="003F4BE3" w:rsidRDefault="00820563" w:rsidP="003747AF">
            <w:pPr>
              <w:keepNext/>
              <w:rPr>
                <w:rFonts w:ascii="Arial Narrow" w:hAnsi="Arial Narrow"/>
                <w:smallCaps/>
                <w:sz w:val="20"/>
                <w:lang w:val="en-AU"/>
              </w:rPr>
            </w:pPr>
            <w:r w:rsidRPr="003F4BE3">
              <w:rPr>
                <w:rFonts w:ascii="Arial Narrow" w:hAnsi="Arial Narrow"/>
                <w:smallCaps/>
                <w:sz w:val="20"/>
                <w:lang w:val="en-AU"/>
              </w:rPr>
              <w:t>50mg+200mg+25mg, tablet.</w:t>
            </w:r>
          </w:p>
          <w:p w:rsidR="00820563" w:rsidRPr="003F4BE3" w:rsidRDefault="00820563" w:rsidP="003747AF">
            <w:pPr>
              <w:keepNext/>
              <w:rPr>
                <w:rFonts w:ascii="Arial Narrow" w:hAnsi="Arial Narrow"/>
                <w:sz w:val="20"/>
                <w:lang w:val="en-AU"/>
              </w:rPr>
            </w:pPr>
          </w:p>
        </w:tc>
        <w:tc>
          <w:tcPr>
            <w:tcW w:w="471" w:type="pct"/>
            <w:vAlign w:val="center"/>
          </w:tcPr>
          <w:p w:rsidR="00820563" w:rsidRPr="003F4BE3" w:rsidRDefault="00820563" w:rsidP="003747AF">
            <w:pPr>
              <w:keepNext/>
              <w:jc w:val="center"/>
              <w:rPr>
                <w:rFonts w:ascii="Arial Narrow" w:hAnsi="Arial Narrow"/>
                <w:sz w:val="20"/>
                <w:szCs w:val="20"/>
                <w:lang w:val="en-AU"/>
              </w:rPr>
            </w:pPr>
            <w:r w:rsidRPr="003F4BE3">
              <w:rPr>
                <w:rFonts w:ascii="Arial Narrow" w:hAnsi="Arial Narrow"/>
                <w:sz w:val="20"/>
                <w:szCs w:val="20"/>
              </w:rPr>
              <w:t>2</w:t>
            </w:r>
          </w:p>
        </w:tc>
        <w:tc>
          <w:tcPr>
            <w:tcW w:w="243" w:type="pct"/>
            <w:vAlign w:val="center"/>
          </w:tcPr>
          <w:p w:rsidR="00820563" w:rsidRPr="003F4BE3" w:rsidRDefault="00820563" w:rsidP="003747AF">
            <w:pPr>
              <w:keepNext/>
              <w:jc w:val="center"/>
              <w:rPr>
                <w:rFonts w:ascii="Arial Narrow" w:hAnsi="Arial Narrow"/>
                <w:sz w:val="20"/>
                <w:szCs w:val="20"/>
                <w:lang w:val="en-AU"/>
              </w:rPr>
            </w:pPr>
            <w:r w:rsidRPr="003F4BE3">
              <w:rPr>
                <w:rFonts w:ascii="Arial Narrow" w:hAnsi="Arial Narrow"/>
                <w:sz w:val="20"/>
                <w:szCs w:val="20"/>
              </w:rPr>
              <w:t>5</w:t>
            </w:r>
          </w:p>
        </w:tc>
        <w:tc>
          <w:tcPr>
            <w:tcW w:w="852" w:type="pct"/>
            <w:vAlign w:val="center"/>
          </w:tcPr>
          <w:p w:rsidR="00820563" w:rsidRPr="003F4BE3" w:rsidRDefault="00820563" w:rsidP="003747AF">
            <w:pPr>
              <w:keepNext/>
              <w:jc w:val="center"/>
              <w:rPr>
                <w:rFonts w:ascii="Arial Narrow" w:hAnsi="Arial Narrow"/>
                <w:sz w:val="20"/>
                <w:szCs w:val="20"/>
                <w:lang w:val="en-AU"/>
              </w:rPr>
            </w:pPr>
            <w:r w:rsidRPr="003F4BE3">
              <w:rPr>
                <w:rFonts w:ascii="Arial Narrow" w:hAnsi="Arial Narrow"/>
                <w:sz w:val="20"/>
                <w:szCs w:val="20"/>
              </w:rPr>
              <w:t>$</w:t>
            </w:r>
            <w:r w:rsidRPr="00B74727">
              <w:rPr>
                <w:rFonts w:ascii="Arial Narrow" w:hAnsi="Arial Narrow"/>
                <w:sz w:val="20"/>
                <w:szCs w:val="20"/>
              </w:rPr>
              <w:t>2,016.85</w:t>
            </w:r>
          </w:p>
        </w:tc>
        <w:tc>
          <w:tcPr>
            <w:tcW w:w="1164" w:type="pct"/>
            <w:vAlign w:val="center"/>
          </w:tcPr>
          <w:p w:rsidR="00820563" w:rsidRPr="003F4BE3" w:rsidRDefault="00397D53" w:rsidP="003747AF">
            <w:pPr>
              <w:pStyle w:val="Tabletext"/>
              <w:keepNext/>
              <w:jc w:val="center"/>
              <w:rPr>
                <w:szCs w:val="20"/>
              </w:rPr>
            </w:pPr>
            <w:proofErr w:type="spellStart"/>
            <w:r>
              <w:rPr>
                <w:szCs w:val="20"/>
              </w:rPr>
              <w:t>Biktarvy</w:t>
            </w:r>
            <w:proofErr w:type="spellEnd"/>
            <w:r w:rsidRPr="00397D53">
              <w:rPr>
                <w:szCs w:val="20"/>
              </w:rPr>
              <w:t>®</w:t>
            </w:r>
          </w:p>
          <w:p w:rsidR="00820563" w:rsidRPr="003F4BE3" w:rsidRDefault="00820563" w:rsidP="003747AF">
            <w:pPr>
              <w:keepNext/>
              <w:jc w:val="center"/>
              <w:rPr>
                <w:rFonts w:ascii="Arial Narrow" w:hAnsi="Arial Narrow"/>
                <w:sz w:val="20"/>
                <w:szCs w:val="20"/>
                <w:lang w:val="en-AU"/>
              </w:rPr>
            </w:pPr>
            <w:r w:rsidRPr="003F4BE3">
              <w:rPr>
                <w:rFonts w:ascii="Arial Narrow" w:hAnsi="Arial Narrow"/>
                <w:sz w:val="20"/>
                <w:szCs w:val="20"/>
              </w:rPr>
              <w:t>Gilead Sciences Pty Ltd</w:t>
            </w:r>
          </w:p>
        </w:tc>
      </w:tr>
      <w:tr w:rsidR="00542C2D"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542C2D" w:rsidRPr="002412C9" w:rsidRDefault="00591957" w:rsidP="003747AF">
            <w:pPr>
              <w:pStyle w:val="Tabletext"/>
              <w:keepNext/>
              <w:rPr>
                <w:b/>
                <w:lang w:eastAsia="en-AU"/>
              </w:rPr>
            </w:pPr>
            <w:r w:rsidRPr="002412C9">
              <w:rPr>
                <w:b/>
                <w:lang w:eastAsia="en-AU"/>
              </w:rPr>
              <w:t>Category/Program:</w:t>
            </w:r>
          </w:p>
        </w:tc>
        <w:tc>
          <w:tcPr>
            <w:tcW w:w="3896" w:type="pct"/>
            <w:gridSpan w:val="5"/>
            <w:tcBorders>
              <w:top w:val="single" w:sz="4" w:space="0" w:color="auto"/>
              <w:left w:val="single" w:sz="4" w:space="0" w:color="auto"/>
              <w:bottom w:val="single" w:sz="4" w:space="0" w:color="auto"/>
              <w:right w:val="single" w:sz="4" w:space="0" w:color="auto"/>
            </w:tcBorders>
          </w:tcPr>
          <w:p w:rsidR="00542C2D" w:rsidRPr="003F4BE3" w:rsidRDefault="00820563" w:rsidP="003747AF">
            <w:pPr>
              <w:pStyle w:val="Tabletext"/>
              <w:keepNext/>
              <w:rPr>
                <w:lang w:eastAsia="en-AU"/>
              </w:rPr>
            </w:pPr>
            <w:r w:rsidRPr="003F4BE3">
              <w:rPr>
                <w:lang w:eastAsia="en-AU"/>
              </w:rPr>
              <w:t>Section 100</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trPr>
        <w:tc>
          <w:tcPr>
            <w:tcW w:w="1104" w:type="pct"/>
            <w:tcBorders>
              <w:top w:val="single" w:sz="4" w:space="0" w:color="auto"/>
              <w:left w:val="single" w:sz="4" w:space="0" w:color="auto"/>
              <w:bottom w:val="single" w:sz="4" w:space="0" w:color="auto"/>
              <w:right w:val="single" w:sz="4" w:space="0" w:color="auto"/>
            </w:tcBorders>
            <w:hideMark/>
          </w:tcPr>
          <w:p w:rsidR="00820563" w:rsidRPr="003F4BE3" w:rsidRDefault="00820563" w:rsidP="003747AF">
            <w:pPr>
              <w:pStyle w:val="Tabletext"/>
              <w:keepNext/>
              <w:rPr>
                <w:lang w:eastAsia="en-AU"/>
              </w:rPr>
            </w:pPr>
            <w:r w:rsidRPr="003F4BE3">
              <w:rPr>
                <w:b/>
              </w:rPr>
              <w:t>Episodicity:</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t xml:space="preserve">Daily, continuous treatment </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820563" w:rsidRPr="003F4BE3" w:rsidRDefault="00820563" w:rsidP="003747AF">
            <w:pPr>
              <w:pStyle w:val="Tabletext"/>
              <w:keepNext/>
              <w:rPr>
                <w:lang w:eastAsia="en-AU"/>
              </w:rPr>
            </w:pPr>
            <w:r w:rsidRPr="003F4BE3">
              <w:rPr>
                <w:b/>
              </w:rPr>
              <w:t>Condition:</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t>HIV infection</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820563" w:rsidRPr="003F4BE3" w:rsidRDefault="00820563" w:rsidP="003747AF">
            <w:pPr>
              <w:pStyle w:val="Tabletext"/>
              <w:keepNext/>
              <w:rPr>
                <w:lang w:eastAsia="en-AU"/>
              </w:rPr>
            </w:pPr>
            <w:r w:rsidRPr="003F4BE3">
              <w:rPr>
                <w:b/>
              </w:rPr>
              <w:t>PBS Indication:</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t>HIV infection</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820563" w:rsidRPr="003F4BE3" w:rsidRDefault="00820563" w:rsidP="003747AF">
            <w:pPr>
              <w:pStyle w:val="Tabletext"/>
              <w:keepNext/>
              <w:rPr>
                <w:lang w:eastAsia="en-AU"/>
              </w:rPr>
            </w:pPr>
            <w:r w:rsidRPr="003F4BE3">
              <w:rPr>
                <w:b/>
              </w:rPr>
              <w:t>Treatment phase:</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t>Initial</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820563" w:rsidRPr="00224398" w:rsidRDefault="00224398" w:rsidP="003747AF">
            <w:pPr>
              <w:pStyle w:val="Tabletext"/>
              <w:keepNext/>
              <w:rPr>
                <w:b/>
              </w:rPr>
            </w:pPr>
            <w:r>
              <w:rPr>
                <w:b/>
              </w:rPr>
              <w:t>Restriction:</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pPr>
            <w:r w:rsidRPr="003F4BE3">
              <w:fldChar w:fldCharType="begin">
                <w:ffData>
                  <w:name w:val="Check1"/>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Restricted benefit</w:t>
            </w:r>
          </w:p>
          <w:p w:rsidR="00820563" w:rsidRPr="003F4BE3" w:rsidRDefault="00820563" w:rsidP="003747AF">
            <w:pPr>
              <w:pStyle w:val="Tabletext"/>
              <w:keepNext/>
            </w:pPr>
            <w:r w:rsidRPr="003F4BE3">
              <w:fldChar w:fldCharType="begin">
                <w:ffData>
                  <w:name w:val=""/>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In Writing</w:t>
            </w:r>
          </w:p>
          <w:p w:rsidR="00820563" w:rsidRPr="003F4BE3" w:rsidRDefault="00820563" w:rsidP="003747AF">
            <w:pPr>
              <w:pStyle w:val="Tabletext"/>
              <w:keepNext/>
            </w:pPr>
            <w:r w:rsidRPr="003F4BE3">
              <w:fldChar w:fldCharType="begin">
                <w:ffData>
                  <w:name w:val="Check3"/>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Telephone</w:t>
            </w:r>
          </w:p>
          <w:p w:rsidR="00820563" w:rsidRPr="003F4BE3" w:rsidRDefault="00820563" w:rsidP="003747AF">
            <w:pPr>
              <w:pStyle w:val="Tabletext"/>
              <w:keepNext/>
            </w:pPr>
            <w:r w:rsidRPr="003F4BE3">
              <w:fldChar w:fldCharType="begin">
                <w:ffData>
                  <w:name w:val=""/>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Emergency</w:t>
            </w:r>
          </w:p>
          <w:p w:rsidR="00820563" w:rsidRPr="003F4BE3" w:rsidRDefault="00820563" w:rsidP="003747AF">
            <w:pPr>
              <w:pStyle w:val="Tabletext"/>
              <w:keepNext/>
            </w:pPr>
            <w:r w:rsidRPr="003F4BE3">
              <w:fldChar w:fldCharType="begin">
                <w:ffData>
                  <w:name w:val="Check5"/>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Electronic</w:t>
            </w:r>
          </w:p>
          <w:p w:rsidR="00820563" w:rsidRPr="003F4BE3" w:rsidRDefault="00820563" w:rsidP="003747AF">
            <w:pPr>
              <w:pStyle w:val="Tabletext"/>
              <w:keepNext/>
              <w:rPr>
                <w:lang w:eastAsia="en-AU"/>
              </w:rPr>
            </w:pPr>
            <w:r w:rsidRPr="003F4BE3">
              <w:fldChar w:fldCharType="begin">
                <w:ffData>
                  <w:name w:val="Check5"/>
                  <w:enabled/>
                  <w:calcOnExit w:val="0"/>
                  <w:checkBox>
                    <w:size w:val="20"/>
                    <w:default w:val="1"/>
                  </w:checkBox>
                </w:ffData>
              </w:fldChar>
            </w:r>
            <w:r w:rsidRPr="003F4BE3">
              <w:instrText xml:space="preserve"> FORMCHECKBOX </w:instrText>
            </w:r>
            <w:r w:rsidR="005072E0">
              <w:fldChar w:fldCharType="separate"/>
            </w:r>
            <w:r w:rsidRPr="003F4BE3">
              <w:fldChar w:fldCharType="end"/>
            </w:r>
            <w:r w:rsidRPr="003F4BE3">
              <w:t>Streamlined</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rPr>
                <w:b/>
              </w:rPr>
              <w:t>Clinical criteria:</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color w:val="000000"/>
                <w:szCs w:val="24"/>
                <w:lang w:eastAsia="en-AU"/>
              </w:rPr>
            </w:pPr>
            <w:r w:rsidRPr="003F4BE3">
              <w:rPr>
                <w:rFonts w:cs="Arial"/>
              </w:rPr>
              <w:t xml:space="preserve">Patient must be antiretroviral treatment </w:t>
            </w:r>
            <w:r w:rsidR="00B360B2">
              <w:rPr>
                <w:rFonts w:cs="Arial"/>
              </w:rPr>
              <w:t>naïve</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820563" w:rsidRPr="003F4BE3" w:rsidRDefault="00820563" w:rsidP="003747AF">
            <w:pPr>
              <w:pStyle w:val="Tabletext"/>
              <w:keepNext/>
              <w:rPr>
                <w:lang w:eastAsia="en-AU"/>
              </w:rPr>
            </w:pPr>
            <w:r w:rsidRPr="003F4BE3">
              <w:rPr>
                <w:b/>
              </w:rPr>
              <w:t>Treatment phase:</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color w:val="000000"/>
                <w:szCs w:val="24"/>
                <w:lang w:eastAsia="en-AU"/>
              </w:rPr>
            </w:pPr>
            <w:r w:rsidRPr="003F4BE3">
              <w:t>Continuing</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rPr>
                <w:b/>
              </w:rPr>
              <w:t>Restriction</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pPr>
            <w:r w:rsidRPr="003F4BE3">
              <w:fldChar w:fldCharType="begin">
                <w:ffData>
                  <w:name w:val="Check1"/>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Restricted benefit</w:t>
            </w:r>
          </w:p>
          <w:p w:rsidR="00820563" w:rsidRPr="003F4BE3" w:rsidRDefault="00820563" w:rsidP="003747AF">
            <w:pPr>
              <w:pStyle w:val="Tabletext"/>
              <w:keepNext/>
            </w:pPr>
            <w:r w:rsidRPr="003F4BE3">
              <w:fldChar w:fldCharType="begin">
                <w:ffData>
                  <w:name w:val=""/>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In Writing</w:t>
            </w:r>
          </w:p>
          <w:p w:rsidR="00820563" w:rsidRPr="003F4BE3" w:rsidRDefault="00820563" w:rsidP="003747AF">
            <w:pPr>
              <w:pStyle w:val="Tabletext"/>
              <w:keepNext/>
            </w:pPr>
            <w:r w:rsidRPr="003F4BE3">
              <w:fldChar w:fldCharType="begin">
                <w:ffData>
                  <w:name w:val="Check3"/>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Telephone</w:t>
            </w:r>
          </w:p>
          <w:p w:rsidR="00820563" w:rsidRPr="003F4BE3" w:rsidRDefault="00820563" w:rsidP="003747AF">
            <w:pPr>
              <w:pStyle w:val="Tabletext"/>
              <w:keepNext/>
            </w:pPr>
            <w:r w:rsidRPr="003F4BE3">
              <w:fldChar w:fldCharType="begin">
                <w:ffData>
                  <w:name w:val=""/>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Emergency</w:t>
            </w:r>
          </w:p>
          <w:p w:rsidR="00820563" w:rsidRPr="003F4BE3" w:rsidRDefault="00820563" w:rsidP="003747AF">
            <w:pPr>
              <w:pStyle w:val="Tabletext"/>
              <w:keepNext/>
            </w:pPr>
            <w:r w:rsidRPr="003F4BE3">
              <w:fldChar w:fldCharType="begin">
                <w:ffData>
                  <w:name w:val="Check5"/>
                  <w:enabled/>
                  <w:calcOnExit w:val="0"/>
                  <w:checkBox>
                    <w:sizeAuto/>
                    <w:default w:val="0"/>
                  </w:checkBox>
                </w:ffData>
              </w:fldChar>
            </w:r>
            <w:r w:rsidRPr="003F4BE3">
              <w:instrText xml:space="preserve"> FORMCHECKBOX </w:instrText>
            </w:r>
            <w:r w:rsidR="005072E0">
              <w:fldChar w:fldCharType="separate"/>
            </w:r>
            <w:r w:rsidRPr="003F4BE3">
              <w:fldChar w:fldCharType="end"/>
            </w:r>
            <w:r w:rsidRPr="003F4BE3">
              <w:t>Authority Required - Electronic</w:t>
            </w:r>
          </w:p>
          <w:p w:rsidR="00820563" w:rsidRPr="003F4BE3" w:rsidRDefault="00820563" w:rsidP="003747AF">
            <w:pPr>
              <w:pStyle w:val="Tabletext"/>
              <w:keepNext/>
              <w:rPr>
                <w:color w:val="000000"/>
                <w:szCs w:val="24"/>
                <w:lang w:eastAsia="en-AU"/>
              </w:rPr>
            </w:pPr>
            <w:r w:rsidRPr="003F4BE3">
              <w:fldChar w:fldCharType="begin">
                <w:ffData>
                  <w:name w:val="Check5"/>
                  <w:enabled/>
                  <w:calcOnExit w:val="0"/>
                  <w:checkBox>
                    <w:size w:val="20"/>
                    <w:default w:val="1"/>
                  </w:checkBox>
                </w:ffData>
              </w:fldChar>
            </w:r>
            <w:r w:rsidRPr="003F4BE3">
              <w:instrText xml:space="preserve"> FORMCHECKBOX </w:instrText>
            </w:r>
            <w:r w:rsidR="005072E0">
              <w:fldChar w:fldCharType="separate"/>
            </w:r>
            <w:r w:rsidRPr="003F4BE3">
              <w:fldChar w:fldCharType="end"/>
            </w:r>
            <w:r w:rsidRPr="003F4BE3">
              <w:t>Streamlined</w:t>
            </w:r>
          </w:p>
        </w:tc>
      </w:tr>
      <w:tr w:rsidR="00820563" w:rsidRPr="003F4BE3" w:rsidTr="00224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lang w:eastAsia="en-AU"/>
              </w:rPr>
            </w:pPr>
            <w:r w:rsidRPr="003F4BE3">
              <w:rPr>
                <w:b/>
              </w:rPr>
              <w:t xml:space="preserve">Clinical criteria </w:t>
            </w:r>
          </w:p>
        </w:tc>
        <w:tc>
          <w:tcPr>
            <w:tcW w:w="3896" w:type="pct"/>
            <w:gridSpan w:val="5"/>
            <w:tcBorders>
              <w:top w:val="single" w:sz="4" w:space="0" w:color="auto"/>
              <w:left w:val="single" w:sz="4" w:space="0" w:color="auto"/>
              <w:bottom w:val="single" w:sz="4" w:space="0" w:color="auto"/>
              <w:right w:val="single" w:sz="4" w:space="0" w:color="auto"/>
            </w:tcBorders>
          </w:tcPr>
          <w:p w:rsidR="00820563" w:rsidRPr="003F4BE3" w:rsidRDefault="00820563" w:rsidP="003747AF">
            <w:pPr>
              <w:pStyle w:val="Tabletext"/>
              <w:keepNext/>
              <w:rPr>
                <w:color w:val="000000"/>
                <w:szCs w:val="24"/>
                <w:lang w:eastAsia="en-AU"/>
              </w:rPr>
            </w:pPr>
            <w:r w:rsidRPr="003F4BE3">
              <w:t>Patient must have previously received PBS-subsidised therapy for HIV infection</w:t>
            </w:r>
          </w:p>
        </w:tc>
      </w:tr>
    </w:tbl>
    <w:p w:rsidR="00B60939" w:rsidRPr="003F4BE3" w:rsidRDefault="00B60939" w:rsidP="004B1CB4">
      <w:pPr>
        <w:rPr>
          <w:rFonts w:asciiTheme="minorHAnsi" w:hAnsiTheme="minorHAnsi"/>
          <w:lang w:val="en-AU"/>
        </w:rPr>
      </w:pPr>
    </w:p>
    <w:p w:rsidR="00A36B06" w:rsidRPr="00A36B06" w:rsidRDefault="00BE07CD" w:rsidP="00A36B06">
      <w:pPr>
        <w:pStyle w:val="ListParagraph"/>
        <w:widowControl/>
        <w:numPr>
          <w:ilvl w:val="1"/>
          <w:numId w:val="3"/>
        </w:numPr>
        <w:rPr>
          <w:rFonts w:asciiTheme="minorHAnsi" w:hAnsiTheme="minorHAnsi"/>
          <w:b/>
        </w:rPr>
      </w:pPr>
      <w:r w:rsidRPr="003F4BE3">
        <w:t>No special pricing arrang</w:t>
      </w:r>
      <w:r w:rsidR="00B9039E" w:rsidRPr="003F4BE3">
        <w:t>e</w:t>
      </w:r>
      <w:r w:rsidRPr="003F4BE3">
        <w:t xml:space="preserve">ment </w:t>
      </w:r>
      <w:r w:rsidR="005E77BC" w:rsidRPr="003F4BE3">
        <w:t>was proposed</w:t>
      </w:r>
      <w:r w:rsidRPr="003F4BE3">
        <w:t>.</w:t>
      </w:r>
      <w:bookmarkStart w:id="2" w:name="_Toc503214683"/>
    </w:p>
    <w:p w:rsidR="00D52336" w:rsidRPr="00A36B06" w:rsidRDefault="00A36B06" w:rsidP="00A36B06">
      <w:pPr>
        <w:pStyle w:val="ListParagraph"/>
        <w:ind w:left="709"/>
        <w:rPr>
          <w:rFonts w:asciiTheme="minorHAnsi" w:hAnsiTheme="minorHAnsi"/>
          <w:i/>
        </w:rPr>
      </w:pPr>
      <w:r w:rsidRPr="009B0ECD">
        <w:rPr>
          <w:rFonts w:asciiTheme="minorHAnsi" w:hAnsiTheme="minorHAnsi"/>
          <w:i/>
        </w:rPr>
        <w:t>For more detail on PBAC’s view, see section 7 PBAC outcome.</w:t>
      </w:r>
    </w:p>
    <w:p w:rsidR="00B50DB8" w:rsidRPr="003F4BE3" w:rsidRDefault="00B50DB8" w:rsidP="00DD3B41">
      <w:pPr>
        <w:pStyle w:val="PBACHeading1"/>
        <w:keepNext/>
        <w:numPr>
          <w:ilvl w:val="0"/>
          <w:numId w:val="3"/>
        </w:numPr>
        <w:spacing w:before="0"/>
        <w:outlineLvl w:val="0"/>
      </w:pPr>
      <w:r w:rsidRPr="003F4BE3">
        <w:t>Background</w:t>
      </w:r>
      <w:bookmarkEnd w:id="2"/>
    </w:p>
    <w:p w:rsidR="00122B8A" w:rsidRDefault="003E7827" w:rsidP="00122B8A">
      <w:pPr>
        <w:pStyle w:val="ListParagraph"/>
        <w:widowControl/>
        <w:numPr>
          <w:ilvl w:val="1"/>
          <w:numId w:val="3"/>
        </w:numPr>
        <w:spacing w:before="160"/>
      </w:pPr>
      <w:r w:rsidRPr="00F7516E">
        <w:t xml:space="preserve">TGA status at time of </w:t>
      </w:r>
      <w:r w:rsidR="00F7516E" w:rsidRPr="00F7516E">
        <w:t>PBAC consideration</w:t>
      </w:r>
      <w:r w:rsidRPr="00F7516E">
        <w:t>:</w:t>
      </w:r>
      <w:r w:rsidRPr="00234835">
        <w:t xml:space="preserve"> </w:t>
      </w:r>
      <w:r w:rsidR="00B60939" w:rsidRPr="00234835">
        <w:t>The submission was made un</w:t>
      </w:r>
      <w:r w:rsidR="00B71169" w:rsidRPr="00234835">
        <w:t xml:space="preserve">der TGA/PBAC Parallel Process. </w:t>
      </w:r>
      <w:r w:rsidR="00B60939" w:rsidRPr="00234835">
        <w:t xml:space="preserve">At the time of </w:t>
      </w:r>
      <w:r w:rsidR="00AD01A9">
        <w:t>PBAC consideration</w:t>
      </w:r>
      <w:r w:rsidR="001576B1" w:rsidRPr="00234835">
        <w:t xml:space="preserve">, </w:t>
      </w:r>
      <w:r w:rsidR="003866B0" w:rsidRPr="00234835">
        <w:t xml:space="preserve">no TGA documents were available (except </w:t>
      </w:r>
      <w:r w:rsidR="00BE07CD" w:rsidRPr="00234835">
        <w:t>a draft PI</w:t>
      </w:r>
      <w:r w:rsidR="003866B0" w:rsidRPr="00234835">
        <w:t>)</w:t>
      </w:r>
      <w:r w:rsidR="00B71169" w:rsidRPr="00234835">
        <w:t xml:space="preserve">. </w:t>
      </w:r>
      <w:r w:rsidR="00BE07CD" w:rsidRPr="00234835">
        <w:t xml:space="preserve">The submission </w:t>
      </w:r>
      <w:r w:rsidR="00224398">
        <w:t xml:space="preserve">indicated </w:t>
      </w:r>
      <w:r w:rsidR="00BE07CD" w:rsidRPr="00234835">
        <w:t xml:space="preserve">that BFTAF </w:t>
      </w:r>
      <w:r w:rsidR="00224398">
        <w:t xml:space="preserve">is scheduled to </w:t>
      </w:r>
      <w:r w:rsidR="00BE07CD" w:rsidRPr="00234835">
        <w:t>be considered at the ACPM on 1 June 2018</w:t>
      </w:r>
      <w:r w:rsidR="00665E30">
        <w:t xml:space="preserve"> with the Clinical Evaluator’s Report expected on 31 March 2018 and the Delegate’s Overview on 1 May 2018</w:t>
      </w:r>
      <w:r w:rsidR="00BE07CD" w:rsidRPr="00234835">
        <w:t>.</w:t>
      </w:r>
    </w:p>
    <w:p w:rsidR="00A36B06" w:rsidRPr="00122B8A" w:rsidRDefault="00FF2D8B" w:rsidP="00122B8A">
      <w:pPr>
        <w:pStyle w:val="ListParagraph"/>
        <w:widowControl/>
        <w:numPr>
          <w:ilvl w:val="1"/>
          <w:numId w:val="3"/>
        </w:numPr>
        <w:spacing w:before="160"/>
      </w:pPr>
      <w:r w:rsidRPr="00122B8A">
        <w:rPr>
          <w:rFonts w:asciiTheme="minorHAnsi" w:hAnsiTheme="minorHAnsi"/>
        </w:rPr>
        <w:t>The therapeutic relativity sheets (1 January 2018) indicate that all triple-therapy FDCs (with the exception of T</w:t>
      </w:r>
      <w:r w:rsidR="0034161F" w:rsidRPr="00122B8A">
        <w:rPr>
          <w:rFonts w:asciiTheme="minorHAnsi" w:hAnsiTheme="minorHAnsi"/>
        </w:rPr>
        <w:t>RIZIVIR</w:t>
      </w:r>
      <w:r w:rsidRPr="00122B8A">
        <w:rPr>
          <w:rFonts w:asciiTheme="minorHAnsi" w:hAnsiTheme="minorHAnsi"/>
        </w:rPr>
        <w:t xml:space="preserve">®; </w:t>
      </w:r>
      <w:proofErr w:type="spellStart"/>
      <w:r w:rsidRPr="00122B8A">
        <w:rPr>
          <w:rFonts w:asciiTheme="minorHAnsi" w:hAnsiTheme="minorHAnsi"/>
        </w:rPr>
        <w:t>abac</w:t>
      </w:r>
      <w:r w:rsidR="003F4694" w:rsidRPr="00122B8A">
        <w:rPr>
          <w:rFonts w:asciiTheme="minorHAnsi" w:hAnsiTheme="minorHAnsi"/>
        </w:rPr>
        <w:t>avir</w:t>
      </w:r>
      <w:proofErr w:type="spellEnd"/>
      <w:r w:rsidR="003F4694" w:rsidRPr="00122B8A">
        <w:rPr>
          <w:rFonts w:asciiTheme="minorHAnsi" w:hAnsiTheme="minorHAnsi"/>
        </w:rPr>
        <w:t xml:space="preserve"> + lamivudine + zidovudine)</w:t>
      </w:r>
      <w:r w:rsidRPr="00122B8A">
        <w:rPr>
          <w:rFonts w:asciiTheme="minorHAnsi" w:hAnsiTheme="minorHAnsi"/>
        </w:rPr>
        <w:t xml:space="preserve"> listed for the treatment of HIV, i</w:t>
      </w:r>
      <w:r w:rsidR="003F4694" w:rsidRPr="00122B8A">
        <w:rPr>
          <w:rFonts w:asciiTheme="minorHAnsi" w:hAnsiTheme="minorHAnsi"/>
        </w:rPr>
        <w:t>.</w:t>
      </w:r>
      <w:r w:rsidRPr="00122B8A">
        <w:rPr>
          <w:rFonts w:asciiTheme="minorHAnsi" w:hAnsiTheme="minorHAnsi"/>
        </w:rPr>
        <w:t>e</w:t>
      </w:r>
      <w:r w:rsidR="003F4694" w:rsidRPr="00122B8A">
        <w:rPr>
          <w:rFonts w:asciiTheme="minorHAnsi" w:hAnsiTheme="minorHAnsi"/>
        </w:rPr>
        <w:t>.</w:t>
      </w:r>
      <w:r w:rsidRPr="00122B8A">
        <w:rPr>
          <w:rFonts w:asciiTheme="minorHAnsi" w:hAnsiTheme="minorHAnsi"/>
        </w:rPr>
        <w:t xml:space="preserve"> </w:t>
      </w:r>
      <w:r w:rsidR="0034161F" w:rsidRPr="00122B8A">
        <w:rPr>
          <w:rFonts w:asciiTheme="minorHAnsi" w:hAnsiTheme="minorHAnsi"/>
        </w:rPr>
        <w:t>ATRIPLA</w:t>
      </w:r>
      <w:r w:rsidRPr="00122B8A">
        <w:rPr>
          <w:rFonts w:asciiTheme="minorHAnsi" w:hAnsiTheme="minorHAnsi"/>
        </w:rPr>
        <w:t xml:space="preserve">® (emtricitabine + tenofovir </w:t>
      </w:r>
      <w:proofErr w:type="spellStart"/>
      <w:r w:rsidRPr="00122B8A">
        <w:rPr>
          <w:rFonts w:asciiTheme="minorHAnsi" w:hAnsiTheme="minorHAnsi"/>
        </w:rPr>
        <w:t>disoproxil</w:t>
      </w:r>
      <w:proofErr w:type="spellEnd"/>
      <w:r w:rsidRPr="00122B8A">
        <w:rPr>
          <w:rFonts w:asciiTheme="minorHAnsi" w:hAnsiTheme="minorHAnsi"/>
        </w:rPr>
        <w:t xml:space="preserve"> fumarate + </w:t>
      </w:r>
      <w:proofErr w:type="spellStart"/>
      <w:r w:rsidRPr="00122B8A">
        <w:rPr>
          <w:rFonts w:asciiTheme="minorHAnsi" w:hAnsiTheme="minorHAnsi"/>
        </w:rPr>
        <w:t>efavirenz</w:t>
      </w:r>
      <w:proofErr w:type="spellEnd"/>
      <w:r w:rsidRPr="00122B8A">
        <w:rPr>
          <w:rFonts w:asciiTheme="minorHAnsi" w:hAnsiTheme="minorHAnsi"/>
        </w:rPr>
        <w:t xml:space="preserve">), </w:t>
      </w:r>
      <w:r w:rsidR="0034161F" w:rsidRPr="00122B8A">
        <w:rPr>
          <w:rFonts w:asciiTheme="minorHAnsi" w:hAnsiTheme="minorHAnsi"/>
        </w:rPr>
        <w:t>TRIUMEQ</w:t>
      </w:r>
      <w:r w:rsidRPr="00122B8A">
        <w:rPr>
          <w:rFonts w:asciiTheme="minorHAnsi" w:hAnsiTheme="minorHAnsi"/>
        </w:rPr>
        <w:t>® (</w:t>
      </w:r>
      <w:proofErr w:type="spellStart"/>
      <w:r w:rsidRPr="00122B8A">
        <w:rPr>
          <w:rFonts w:asciiTheme="minorHAnsi" w:hAnsiTheme="minorHAnsi"/>
        </w:rPr>
        <w:t>dolutegravir</w:t>
      </w:r>
      <w:proofErr w:type="spellEnd"/>
      <w:r w:rsidRPr="00122B8A">
        <w:rPr>
          <w:rFonts w:asciiTheme="minorHAnsi" w:hAnsiTheme="minorHAnsi"/>
        </w:rPr>
        <w:t xml:space="preserve"> + </w:t>
      </w:r>
      <w:proofErr w:type="spellStart"/>
      <w:r w:rsidRPr="00122B8A">
        <w:rPr>
          <w:rFonts w:asciiTheme="minorHAnsi" w:hAnsiTheme="minorHAnsi"/>
        </w:rPr>
        <w:t>abacavir</w:t>
      </w:r>
      <w:proofErr w:type="spellEnd"/>
      <w:r w:rsidRPr="00122B8A">
        <w:rPr>
          <w:rFonts w:asciiTheme="minorHAnsi" w:hAnsiTheme="minorHAnsi"/>
        </w:rPr>
        <w:t xml:space="preserve"> + lamivudine), </w:t>
      </w:r>
      <w:r w:rsidR="0034161F" w:rsidRPr="00122B8A">
        <w:rPr>
          <w:rFonts w:asciiTheme="minorHAnsi" w:hAnsiTheme="minorHAnsi"/>
        </w:rPr>
        <w:t>STRIBILD</w:t>
      </w:r>
      <w:r w:rsidRPr="00122B8A">
        <w:rPr>
          <w:rFonts w:asciiTheme="minorHAnsi" w:hAnsiTheme="minorHAnsi"/>
        </w:rPr>
        <w:t xml:space="preserve">® (cobicistat + </w:t>
      </w:r>
      <w:proofErr w:type="spellStart"/>
      <w:r w:rsidRPr="00122B8A">
        <w:rPr>
          <w:rFonts w:asciiTheme="minorHAnsi" w:hAnsiTheme="minorHAnsi"/>
        </w:rPr>
        <w:t>elvitegravir</w:t>
      </w:r>
      <w:proofErr w:type="spellEnd"/>
      <w:r w:rsidRPr="00122B8A">
        <w:rPr>
          <w:rFonts w:asciiTheme="minorHAnsi" w:hAnsiTheme="minorHAnsi"/>
        </w:rPr>
        <w:t xml:space="preserve"> + emtricitabine + tenofovir </w:t>
      </w:r>
      <w:proofErr w:type="spellStart"/>
      <w:r w:rsidRPr="00122B8A">
        <w:rPr>
          <w:rFonts w:asciiTheme="minorHAnsi" w:hAnsiTheme="minorHAnsi"/>
        </w:rPr>
        <w:t>disoproxil</w:t>
      </w:r>
      <w:proofErr w:type="spellEnd"/>
      <w:r w:rsidRPr="00122B8A">
        <w:rPr>
          <w:rFonts w:asciiTheme="minorHAnsi" w:hAnsiTheme="minorHAnsi"/>
        </w:rPr>
        <w:t xml:space="preserve"> fumarate), </w:t>
      </w:r>
      <w:r w:rsidR="0034161F" w:rsidRPr="00122B8A">
        <w:rPr>
          <w:rFonts w:asciiTheme="minorHAnsi" w:hAnsiTheme="minorHAnsi"/>
        </w:rPr>
        <w:t>EVIPLERA</w:t>
      </w:r>
      <w:r w:rsidRPr="00122B8A">
        <w:rPr>
          <w:rFonts w:asciiTheme="minorHAnsi" w:hAnsiTheme="minorHAnsi"/>
        </w:rPr>
        <w:t xml:space="preserve">® (tenofovir </w:t>
      </w:r>
      <w:proofErr w:type="spellStart"/>
      <w:r w:rsidRPr="00122B8A">
        <w:rPr>
          <w:rFonts w:asciiTheme="minorHAnsi" w:hAnsiTheme="minorHAnsi"/>
        </w:rPr>
        <w:t>disoproxil</w:t>
      </w:r>
      <w:proofErr w:type="spellEnd"/>
      <w:r w:rsidRPr="00122B8A">
        <w:rPr>
          <w:rFonts w:asciiTheme="minorHAnsi" w:hAnsiTheme="minorHAnsi"/>
        </w:rPr>
        <w:t xml:space="preserve"> fumarate + emtricitabine + </w:t>
      </w:r>
      <w:proofErr w:type="spellStart"/>
      <w:r w:rsidRPr="00122B8A">
        <w:rPr>
          <w:rFonts w:asciiTheme="minorHAnsi" w:hAnsiTheme="minorHAnsi"/>
        </w:rPr>
        <w:t>rilpivirine</w:t>
      </w:r>
      <w:proofErr w:type="spellEnd"/>
      <w:r w:rsidRPr="00122B8A">
        <w:rPr>
          <w:rFonts w:asciiTheme="minorHAnsi" w:hAnsiTheme="minorHAnsi"/>
        </w:rPr>
        <w:t xml:space="preserve">), </w:t>
      </w:r>
      <w:r w:rsidR="0034161F" w:rsidRPr="00122B8A">
        <w:rPr>
          <w:rFonts w:asciiTheme="minorHAnsi" w:hAnsiTheme="minorHAnsi"/>
        </w:rPr>
        <w:t>GENVOYA</w:t>
      </w:r>
      <w:r w:rsidRPr="00122B8A">
        <w:rPr>
          <w:rFonts w:asciiTheme="minorHAnsi" w:hAnsiTheme="minorHAnsi"/>
        </w:rPr>
        <w:t xml:space="preserve">® and </w:t>
      </w:r>
      <w:r w:rsidR="0034161F" w:rsidRPr="00122B8A">
        <w:rPr>
          <w:rFonts w:asciiTheme="minorHAnsi" w:hAnsiTheme="minorHAnsi"/>
        </w:rPr>
        <w:t>ODEFSEY</w:t>
      </w:r>
      <w:r w:rsidRPr="00122B8A">
        <w:rPr>
          <w:rFonts w:asciiTheme="minorHAnsi" w:hAnsiTheme="minorHAnsi"/>
        </w:rPr>
        <w:t>® are considered non-inferior given their history of being listed on a cost-minimisation basis. Additionally, D</w:t>
      </w:r>
      <w:r w:rsidR="0034161F" w:rsidRPr="00122B8A">
        <w:rPr>
          <w:rFonts w:asciiTheme="minorHAnsi" w:hAnsiTheme="minorHAnsi"/>
        </w:rPr>
        <w:t>ESCOVY</w:t>
      </w:r>
      <w:r w:rsidRPr="00122B8A">
        <w:rPr>
          <w:rFonts w:asciiTheme="minorHAnsi" w:hAnsiTheme="minorHAnsi"/>
        </w:rPr>
        <w:t>® was recommended on a cost-minimisation basis with T</w:t>
      </w:r>
      <w:r w:rsidR="0034161F" w:rsidRPr="00122B8A">
        <w:rPr>
          <w:rFonts w:asciiTheme="minorHAnsi" w:hAnsiTheme="minorHAnsi"/>
        </w:rPr>
        <w:t>RUVADA</w:t>
      </w:r>
      <w:r w:rsidRPr="00122B8A">
        <w:rPr>
          <w:rFonts w:asciiTheme="minorHAnsi" w:hAnsiTheme="minorHAnsi"/>
        </w:rPr>
        <w:t xml:space="preserve">® (tenofovir </w:t>
      </w:r>
      <w:proofErr w:type="spellStart"/>
      <w:r w:rsidRPr="00122B8A">
        <w:rPr>
          <w:rFonts w:asciiTheme="minorHAnsi" w:hAnsiTheme="minorHAnsi"/>
        </w:rPr>
        <w:t>disoproxil</w:t>
      </w:r>
      <w:proofErr w:type="spellEnd"/>
      <w:r w:rsidRPr="00122B8A">
        <w:rPr>
          <w:rFonts w:asciiTheme="minorHAnsi" w:hAnsiTheme="minorHAnsi"/>
        </w:rPr>
        <w:t xml:space="preserve"> fumarate + emtricitabine).</w:t>
      </w:r>
    </w:p>
    <w:p w:rsidR="00312C71" w:rsidRPr="00A36B06" w:rsidRDefault="00A36B06" w:rsidP="00A36B06">
      <w:pPr>
        <w:pStyle w:val="ListParagraph"/>
        <w:ind w:left="709"/>
        <w:rPr>
          <w:rFonts w:asciiTheme="minorHAnsi" w:hAnsiTheme="minorHAnsi"/>
          <w:i/>
        </w:rPr>
      </w:pPr>
      <w:r w:rsidRPr="009B0ECD">
        <w:rPr>
          <w:rFonts w:asciiTheme="minorHAnsi" w:hAnsiTheme="minorHAnsi"/>
          <w:i/>
        </w:rPr>
        <w:lastRenderedPageBreak/>
        <w:t>For more detail on PBAC’s view, see section 7 PBAC outcome.</w:t>
      </w:r>
    </w:p>
    <w:p w:rsidR="00B50DB8" w:rsidRPr="003F4BE3" w:rsidRDefault="00203181" w:rsidP="00DD3B41">
      <w:pPr>
        <w:pStyle w:val="PBACHeading1"/>
        <w:keepNext/>
        <w:numPr>
          <w:ilvl w:val="0"/>
          <w:numId w:val="3"/>
        </w:numPr>
        <w:spacing w:before="0"/>
        <w:outlineLvl w:val="0"/>
      </w:pPr>
      <w:bookmarkStart w:id="3" w:name="_Toc503214684"/>
      <w:r w:rsidRPr="003F4BE3">
        <w:t xml:space="preserve">Population and </w:t>
      </w:r>
      <w:r w:rsidR="008E0D3C" w:rsidRPr="003F4BE3">
        <w:t>d</w:t>
      </w:r>
      <w:r w:rsidRPr="003F4BE3">
        <w:t>isease</w:t>
      </w:r>
      <w:bookmarkEnd w:id="3"/>
    </w:p>
    <w:p w:rsidR="00122B8A" w:rsidRDefault="00BA1228" w:rsidP="00122B8A">
      <w:pPr>
        <w:pStyle w:val="ListParagraph"/>
        <w:numPr>
          <w:ilvl w:val="1"/>
          <w:numId w:val="3"/>
        </w:numPr>
        <w:spacing w:before="160"/>
        <w:rPr>
          <w:rStyle w:val="BodyTextChar"/>
          <w:rFonts w:asciiTheme="minorHAnsi" w:hAnsiTheme="minorHAnsi"/>
          <w:sz w:val="24"/>
        </w:rPr>
      </w:pPr>
      <w:r w:rsidRPr="003F4BE3">
        <w:rPr>
          <w:rStyle w:val="BodyTextChar"/>
          <w:rFonts w:asciiTheme="minorHAnsi" w:hAnsiTheme="minorHAnsi"/>
          <w:sz w:val="24"/>
        </w:rPr>
        <w:t>Human immunodeficiency virus (</w:t>
      </w:r>
      <w:r w:rsidR="00BE07CD" w:rsidRPr="003F4BE3">
        <w:rPr>
          <w:rStyle w:val="BodyTextChar"/>
          <w:rFonts w:asciiTheme="minorHAnsi" w:hAnsiTheme="minorHAnsi"/>
          <w:sz w:val="24"/>
        </w:rPr>
        <w:t>HIV</w:t>
      </w:r>
      <w:r w:rsidRPr="003F4BE3">
        <w:rPr>
          <w:rStyle w:val="BodyTextChar"/>
          <w:rFonts w:asciiTheme="minorHAnsi" w:hAnsiTheme="minorHAnsi"/>
          <w:sz w:val="24"/>
        </w:rPr>
        <w:t xml:space="preserve">) </w:t>
      </w:r>
      <w:r w:rsidR="00BE07CD" w:rsidRPr="003F4BE3">
        <w:rPr>
          <w:rStyle w:val="BodyTextChar"/>
          <w:rFonts w:asciiTheme="minorHAnsi" w:hAnsiTheme="minorHAnsi"/>
          <w:sz w:val="24"/>
        </w:rPr>
        <w:t xml:space="preserve">infection is characterised by </w:t>
      </w:r>
      <w:r w:rsidR="0034161F" w:rsidRPr="003F4BE3">
        <w:rPr>
          <w:rStyle w:val="BodyTextChar"/>
          <w:rFonts w:asciiTheme="minorHAnsi" w:hAnsiTheme="minorHAnsi"/>
          <w:sz w:val="24"/>
        </w:rPr>
        <w:t xml:space="preserve">a </w:t>
      </w:r>
      <w:r w:rsidR="00BE07CD" w:rsidRPr="003F4BE3">
        <w:rPr>
          <w:rStyle w:val="BodyTextChar"/>
          <w:rFonts w:asciiTheme="minorHAnsi" w:hAnsiTheme="minorHAnsi"/>
          <w:sz w:val="24"/>
        </w:rPr>
        <w:t>dramatic reduction in the number of CD4+ T-cells causing damage to, and deterioration of, immune function, and subsequent increase in risk of opportunistic infections and malignancies result</w:t>
      </w:r>
      <w:r w:rsidRPr="003F4BE3">
        <w:rPr>
          <w:rStyle w:val="BodyTextChar"/>
          <w:rFonts w:asciiTheme="minorHAnsi" w:hAnsiTheme="minorHAnsi"/>
          <w:sz w:val="24"/>
        </w:rPr>
        <w:t>ing</w:t>
      </w:r>
      <w:r w:rsidR="00BE07CD" w:rsidRPr="003F4BE3">
        <w:rPr>
          <w:rStyle w:val="BodyTextChar"/>
          <w:rFonts w:asciiTheme="minorHAnsi" w:hAnsiTheme="minorHAnsi"/>
          <w:sz w:val="24"/>
        </w:rPr>
        <w:t xml:space="preserve"> in debilitating conditions, reduced quality of life and death. According to the Kirby Institute (2016), it was estimated there were 25,313 people living with HIV in Australia in 2015. Of these, an estimated 22,694 were diagnosed, 21,560 were retained in care, 19,051 were receiving antiretroviral therapy (ART), and 17,544 had achieved viral suppression. The overall prevalence of HIV in Austr</w:t>
      </w:r>
      <w:r w:rsidR="00330F58">
        <w:rPr>
          <w:rStyle w:val="BodyTextChar"/>
          <w:rFonts w:asciiTheme="minorHAnsi" w:hAnsiTheme="minorHAnsi"/>
          <w:sz w:val="24"/>
        </w:rPr>
        <w:t>alia was estimated to be 0.13%.</w:t>
      </w:r>
    </w:p>
    <w:p w:rsidR="00A36B06" w:rsidRPr="00122B8A" w:rsidRDefault="00BE07CD" w:rsidP="00122B8A">
      <w:pPr>
        <w:pStyle w:val="ListParagraph"/>
        <w:numPr>
          <w:ilvl w:val="1"/>
          <w:numId w:val="3"/>
        </w:numPr>
        <w:spacing w:before="160"/>
        <w:rPr>
          <w:rFonts w:asciiTheme="minorHAnsi" w:hAnsiTheme="minorHAnsi"/>
          <w:snapToGrid/>
        </w:rPr>
      </w:pPr>
      <w:r w:rsidRPr="00122B8A">
        <w:rPr>
          <w:rStyle w:val="BodyTextChar"/>
          <w:rFonts w:asciiTheme="minorHAnsi" w:hAnsiTheme="minorHAnsi"/>
          <w:sz w:val="24"/>
        </w:rPr>
        <w:t xml:space="preserve">The listing of BFTAF would only alter the current management algorithm by making another </w:t>
      </w:r>
      <w:r w:rsidR="00B9039E" w:rsidRPr="00122B8A">
        <w:rPr>
          <w:rStyle w:val="BodyTextChar"/>
          <w:rFonts w:asciiTheme="minorHAnsi" w:hAnsiTheme="minorHAnsi"/>
          <w:sz w:val="24"/>
        </w:rPr>
        <w:t xml:space="preserve">emtricitabine/tenofovir </w:t>
      </w:r>
      <w:proofErr w:type="spellStart"/>
      <w:r w:rsidR="00B9039E" w:rsidRPr="00122B8A">
        <w:rPr>
          <w:rStyle w:val="BodyTextChar"/>
          <w:rFonts w:asciiTheme="minorHAnsi" w:hAnsiTheme="minorHAnsi"/>
          <w:sz w:val="24"/>
        </w:rPr>
        <w:t>alafenamide</w:t>
      </w:r>
      <w:proofErr w:type="spellEnd"/>
      <w:r w:rsidR="00B9039E" w:rsidRPr="00122B8A">
        <w:rPr>
          <w:rStyle w:val="BodyTextChar"/>
          <w:rFonts w:asciiTheme="minorHAnsi" w:hAnsiTheme="minorHAnsi"/>
          <w:sz w:val="24"/>
        </w:rPr>
        <w:t xml:space="preserve"> (</w:t>
      </w:r>
      <w:r w:rsidRPr="00122B8A">
        <w:rPr>
          <w:rStyle w:val="BodyTextChar"/>
          <w:rFonts w:asciiTheme="minorHAnsi" w:hAnsiTheme="minorHAnsi"/>
          <w:sz w:val="24"/>
        </w:rPr>
        <w:t>FTAF</w:t>
      </w:r>
      <w:r w:rsidR="00B9039E" w:rsidRPr="00122B8A">
        <w:rPr>
          <w:rStyle w:val="BodyTextChar"/>
          <w:rFonts w:asciiTheme="minorHAnsi" w:hAnsiTheme="minorHAnsi"/>
          <w:sz w:val="24"/>
        </w:rPr>
        <w:t>)</w:t>
      </w:r>
      <w:r w:rsidRPr="00122B8A">
        <w:rPr>
          <w:rStyle w:val="BodyTextChar"/>
          <w:rFonts w:asciiTheme="minorHAnsi" w:hAnsiTheme="minorHAnsi"/>
          <w:sz w:val="24"/>
        </w:rPr>
        <w:t xml:space="preserve"> combination available for treatment-naïve </w:t>
      </w:r>
      <w:r w:rsidR="00384090" w:rsidRPr="00122B8A">
        <w:rPr>
          <w:rStyle w:val="BodyTextChar"/>
          <w:rFonts w:asciiTheme="minorHAnsi" w:hAnsiTheme="minorHAnsi"/>
          <w:sz w:val="24"/>
        </w:rPr>
        <w:t>and</w:t>
      </w:r>
      <w:r w:rsidRPr="00122B8A">
        <w:rPr>
          <w:rStyle w:val="BodyTextChar"/>
          <w:rFonts w:asciiTheme="minorHAnsi" w:hAnsiTheme="minorHAnsi"/>
          <w:sz w:val="24"/>
        </w:rPr>
        <w:t xml:space="preserve"> </w:t>
      </w:r>
      <w:r w:rsidR="00330F58">
        <w:rPr>
          <w:rStyle w:val="BodyTextChar"/>
          <w:rFonts w:asciiTheme="minorHAnsi" w:hAnsiTheme="minorHAnsi"/>
          <w:sz w:val="24"/>
        </w:rPr>
        <w:t>treatment</w:t>
      </w:r>
      <w:r w:rsidRPr="00122B8A">
        <w:rPr>
          <w:rStyle w:val="BodyTextChar"/>
          <w:rFonts w:asciiTheme="minorHAnsi" w:hAnsiTheme="minorHAnsi"/>
          <w:sz w:val="24"/>
        </w:rPr>
        <w:t>-experienced patients</w:t>
      </w:r>
      <w:r w:rsidR="00B71169" w:rsidRPr="00122B8A">
        <w:rPr>
          <w:rStyle w:val="BodyTextChar"/>
          <w:rFonts w:asciiTheme="minorHAnsi" w:hAnsiTheme="minorHAnsi"/>
          <w:sz w:val="24"/>
        </w:rPr>
        <w:t>.</w:t>
      </w:r>
    </w:p>
    <w:p w:rsidR="00D64227" w:rsidRPr="00A36B06" w:rsidRDefault="00A36B06" w:rsidP="00A36B06">
      <w:pPr>
        <w:pStyle w:val="ListParagraph"/>
        <w:ind w:left="709"/>
        <w:rPr>
          <w:rFonts w:asciiTheme="minorHAnsi" w:hAnsiTheme="minorHAnsi"/>
          <w:i/>
        </w:rPr>
      </w:pPr>
      <w:r w:rsidRPr="009B0ECD">
        <w:rPr>
          <w:rFonts w:asciiTheme="minorHAnsi" w:hAnsiTheme="minorHAnsi"/>
          <w:i/>
        </w:rPr>
        <w:t>For more detail on PBAC’s view, see section 7 PBAC outcome.</w:t>
      </w:r>
    </w:p>
    <w:p w:rsidR="00B50DB8" w:rsidRPr="003F4BE3" w:rsidRDefault="00B50DB8" w:rsidP="00DD3B41">
      <w:pPr>
        <w:pStyle w:val="PBACHeading1"/>
        <w:keepNext/>
        <w:numPr>
          <w:ilvl w:val="0"/>
          <w:numId w:val="3"/>
        </w:numPr>
        <w:spacing w:before="0"/>
        <w:outlineLvl w:val="0"/>
      </w:pPr>
      <w:bookmarkStart w:id="4" w:name="_Toc503214685"/>
      <w:r w:rsidRPr="003F4BE3">
        <w:t>Comparator</w:t>
      </w:r>
      <w:bookmarkEnd w:id="4"/>
    </w:p>
    <w:p w:rsidR="002C2775" w:rsidRPr="003F4BE3" w:rsidRDefault="00D72939" w:rsidP="008107C8">
      <w:pPr>
        <w:pStyle w:val="ListParagraph"/>
        <w:widowControl/>
        <w:numPr>
          <w:ilvl w:val="1"/>
          <w:numId w:val="3"/>
        </w:numPr>
        <w:spacing w:before="160"/>
      </w:pPr>
      <w:r w:rsidRPr="003F4BE3">
        <w:t xml:space="preserve">The submission nominated </w:t>
      </w:r>
      <w:r w:rsidR="006A6F37" w:rsidRPr="003F4BE3">
        <w:t>DESCOVY®</w:t>
      </w:r>
      <w:r w:rsidRPr="003F4BE3">
        <w:t xml:space="preserve"> plus </w:t>
      </w:r>
      <w:proofErr w:type="spellStart"/>
      <w:r w:rsidRPr="003F4BE3">
        <w:t>dolutegravir</w:t>
      </w:r>
      <w:proofErr w:type="spellEnd"/>
      <w:r w:rsidRPr="003F4BE3">
        <w:t xml:space="preserve"> as the main comparator, and nominated </w:t>
      </w:r>
      <w:r w:rsidR="006A6F37" w:rsidRPr="003F4BE3">
        <w:t>GENVOYA®</w:t>
      </w:r>
      <w:r w:rsidRPr="003F4BE3">
        <w:t xml:space="preserve"> and </w:t>
      </w:r>
      <w:r w:rsidR="006A6F37" w:rsidRPr="003F4BE3">
        <w:t>ODEFSEY®</w:t>
      </w:r>
      <w:r w:rsidRPr="003F4BE3">
        <w:t xml:space="preserve"> as supplementary comparators. The basis of this nomination was that they were all emtrici</w:t>
      </w:r>
      <w:r w:rsidR="00C953C8" w:rsidRPr="003F4BE3">
        <w:t>ta</w:t>
      </w:r>
      <w:r w:rsidRPr="003F4BE3">
        <w:t xml:space="preserve">bine and tenofovir </w:t>
      </w:r>
      <w:proofErr w:type="spellStart"/>
      <w:r w:rsidRPr="003F4BE3">
        <w:t>alafenamide</w:t>
      </w:r>
      <w:proofErr w:type="spellEnd"/>
      <w:r w:rsidRPr="003F4BE3">
        <w:t xml:space="preserve"> (FTAF) based regimens, and were </w:t>
      </w:r>
      <w:r w:rsidR="00D64227" w:rsidRPr="003F4BE3">
        <w:t xml:space="preserve">therefore </w:t>
      </w:r>
      <w:r w:rsidRPr="003F4BE3">
        <w:t>the regimens most likely to be replaced.</w:t>
      </w:r>
    </w:p>
    <w:p w:rsidR="00D72939" w:rsidRDefault="00D72939" w:rsidP="00F018AD">
      <w:pPr>
        <w:pStyle w:val="ListParagraph"/>
        <w:numPr>
          <w:ilvl w:val="1"/>
          <w:numId w:val="3"/>
        </w:numPr>
        <w:rPr>
          <w:rFonts w:cs="Calibri"/>
          <w:iCs/>
          <w:snapToGrid/>
          <w:szCs w:val="24"/>
          <w:lang w:eastAsia="en-AU"/>
        </w:rPr>
      </w:pPr>
      <w:r w:rsidRPr="003F4BE3">
        <w:rPr>
          <w:rFonts w:cs="Calibri"/>
          <w:iCs/>
          <w:snapToGrid/>
          <w:szCs w:val="24"/>
          <w:lang w:eastAsia="en-AU"/>
        </w:rPr>
        <w:t>The comparators nominated by the submission were appropriate, however all therapies currently PBS-listed for the treatment of HIV would represent potential alternative therapies.</w:t>
      </w:r>
      <w:r w:rsidR="00925F13" w:rsidRPr="003F4BE3">
        <w:rPr>
          <w:rFonts w:cs="Calibri"/>
          <w:iCs/>
          <w:snapToGrid/>
          <w:szCs w:val="24"/>
          <w:lang w:eastAsia="en-AU"/>
        </w:rPr>
        <w:t xml:space="preserve"> </w:t>
      </w:r>
      <w:r w:rsidR="003F624E">
        <w:rPr>
          <w:rFonts w:cs="Calibri"/>
          <w:iCs/>
          <w:snapToGrid/>
          <w:szCs w:val="24"/>
          <w:lang w:eastAsia="en-AU"/>
        </w:rPr>
        <w:t xml:space="preserve">Alternative therapies to BFTAF are presented in </w:t>
      </w:r>
      <w:r w:rsidRPr="003F4BE3">
        <w:rPr>
          <w:rFonts w:cs="Calibri"/>
          <w:iCs/>
          <w:snapToGrid/>
          <w:szCs w:val="24"/>
          <w:lang w:eastAsia="en-AU"/>
        </w:rPr>
        <w:t>Tab</w:t>
      </w:r>
      <w:r w:rsidR="00925F13" w:rsidRPr="003F4BE3">
        <w:rPr>
          <w:rFonts w:cs="Calibri"/>
          <w:iCs/>
          <w:snapToGrid/>
          <w:szCs w:val="24"/>
          <w:lang w:eastAsia="en-AU"/>
        </w:rPr>
        <w:t xml:space="preserve">le </w:t>
      </w:r>
      <w:r w:rsidR="00095504" w:rsidRPr="003F4BE3">
        <w:rPr>
          <w:rFonts w:cs="Calibri"/>
          <w:iCs/>
          <w:snapToGrid/>
          <w:szCs w:val="24"/>
          <w:lang w:eastAsia="en-AU"/>
        </w:rPr>
        <w:t xml:space="preserve">9 </w:t>
      </w:r>
      <w:r w:rsidR="00F018AD" w:rsidRPr="003F4BE3">
        <w:rPr>
          <w:rFonts w:cs="Calibri"/>
          <w:iCs/>
          <w:snapToGrid/>
          <w:szCs w:val="24"/>
          <w:lang w:eastAsia="en-AU"/>
        </w:rPr>
        <w:t xml:space="preserve">and </w:t>
      </w:r>
      <w:r w:rsidR="007743B4" w:rsidRPr="003F4BE3">
        <w:rPr>
          <w:rFonts w:cs="Calibri"/>
          <w:iCs/>
          <w:snapToGrid/>
          <w:szCs w:val="24"/>
          <w:lang w:eastAsia="en-AU"/>
        </w:rPr>
        <w:t>F</w:t>
      </w:r>
      <w:r w:rsidR="00F018AD" w:rsidRPr="003F4BE3">
        <w:rPr>
          <w:rFonts w:cs="Calibri"/>
          <w:iCs/>
          <w:snapToGrid/>
          <w:szCs w:val="24"/>
          <w:lang w:eastAsia="en-AU"/>
        </w:rPr>
        <w:t>igure 1</w:t>
      </w:r>
      <w:r w:rsidRPr="003F4BE3">
        <w:rPr>
          <w:rFonts w:cs="Calibri"/>
          <w:iCs/>
          <w:snapToGrid/>
          <w:szCs w:val="24"/>
          <w:lang w:eastAsia="en-AU"/>
        </w:rPr>
        <w:t>. For clarity and concision, only PBS-listed fix</w:t>
      </w:r>
      <w:r w:rsidR="00B71169" w:rsidRPr="003F4BE3">
        <w:rPr>
          <w:rFonts w:cs="Calibri"/>
          <w:iCs/>
          <w:snapToGrid/>
          <w:szCs w:val="24"/>
          <w:lang w:eastAsia="en-AU"/>
        </w:rPr>
        <w:t xml:space="preserve">ed dose combination </w:t>
      </w:r>
      <w:r w:rsidR="006E2159" w:rsidRPr="003F4BE3">
        <w:rPr>
          <w:rFonts w:cs="Calibri"/>
          <w:iCs/>
          <w:snapToGrid/>
          <w:szCs w:val="24"/>
          <w:lang w:eastAsia="en-AU"/>
        </w:rPr>
        <w:t xml:space="preserve">(FDC) </w:t>
      </w:r>
      <w:r w:rsidR="00B71169" w:rsidRPr="003F4BE3">
        <w:rPr>
          <w:rFonts w:cs="Calibri"/>
          <w:iCs/>
          <w:snapToGrid/>
          <w:szCs w:val="24"/>
          <w:lang w:eastAsia="en-AU"/>
        </w:rPr>
        <w:t xml:space="preserve">treatments </w:t>
      </w:r>
      <w:r w:rsidR="001A2A7A" w:rsidRPr="003F4BE3">
        <w:rPr>
          <w:rFonts w:cs="Calibri"/>
          <w:iCs/>
          <w:snapToGrid/>
          <w:szCs w:val="24"/>
          <w:lang w:eastAsia="en-AU"/>
        </w:rPr>
        <w:t xml:space="preserve">are </w:t>
      </w:r>
      <w:r w:rsidRPr="003F4BE3">
        <w:rPr>
          <w:rFonts w:cs="Calibri"/>
          <w:iCs/>
          <w:snapToGrid/>
          <w:szCs w:val="24"/>
          <w:lang w:eastAsia="en-AU"/>
        </w:rPr>
        <w:t xml:space="preserve">presented. However, as the currently PBS-listed therapies for HIV can be used in various combinations, </w:t>
      </w:r>
      <w:r w:rsidR="001A2A7A" w:rsidRPr="003F4BE3">
        <w:rPr>
          <w:rFonts w:cs="Calibri"/>
          <w:iCs/>
          <w:snapToGrid/>
          <w:szCs w:val="24"/>
          <w:lang w:eastAsia="en-AU"/>
        </w:rPr>
        <w:t>this</w:t>
      </w:r>
      <w:r w:rsidRPr="003F4BE3">
        <w:rPr>
          <w:rFonts w:cs="Calibri"/>
          <w:iCs/>
          <w:snapToGrid/>
          <w:szCs w:val="24"/>
          <w:lang w:eastAsia="en-AU"/>
        </w:rPr>
        <w:t xml:space="preserve"> list of </w:t>
      </w:r>
      <w:r w:rsidR="00814131" w:rsidRPr="003F4BE3">
        <w:rPr>
          <w:rFonts w:cs="Calibri"/>
          <w:iCs/>
          <w:snapToGrid/>
          <w:szCs w:val="24"/>
          <w:lang w:eastAsia="en-AU"/>
        </w:rPr>
        <w:t xml:space="preserve">alternative </w:t>
      </w:r>
      <w:r w:rsidRPr="003F4BE3">
        <w:rPr>
          <w:rFonts w:cs="Calibri"/>
          <w:iCs/>
          <w:snapToGrid/>
          <w:szCs w:val="24"/>
          <w:lang w:eastAsia="en-AU"/>
        </w:rPr>
        <w:t>therapies</w:t>
      </w:r>
      <w:r w:rsidR="00925F13" w:rsidRPr="003F4BE3">
        <w:rPr>
          <w:rFonts w:cs="Calibri"/>
          <w:iCs/>
          <w:snapToGrid/>
          <w:szCs w:val="24"/>
          <w:lang w:eastAsia="en-AU"/>
        </w:rPr>
        <w:t xml:space="preserve"> </w:t>
      </w:r>
      <w:r w:rsidR="001A2A7A" w:rsidRPr="003F4BE3">
        <w:rPr>
          <w:rFonts w:cs="Calibri"/>
          <w:iCs/>
          <w:snapToGrid/>
          <w:szCs w:val="24"/>
          <w:lang w:eastAsia="en-AU"/>
        </w:rPr>
        <w:t>is</w:t>
      </w:r>
      <w:r w:rsidRPr="003F4BE3">
        <w:rPr>
          <w:rFonts w:cs="Calibri"/>
          <w:iCs/>
          <w:snapToGrid/>
          <w:szCs w:val="24"/>
          <w:lang w:eastAsia="en-AU"/>
        </w:rPr>
        <w:t xml:space="preserve"> by no means exhaustive</w:t>
      </w:r>
      <w:r w:rsidR="00925F13" w:rsidRPr="003F4BE3">
        <w:rPr>
          <w:rFonts w:cs="Calibri"/>
          <w:iCs/>
          <w:snapToGrid/>
          <w:szCs w:val="24"/>
          <w:lang w:eastAsia="en-AU"/>
        </w:rPr>
        <w:t>.</w:t>
      </w:r>
    </w:p>
    <w:p w:rsidR="007743B4" w:rsidRDefault="009D3DFB" w:rsidP="003747AF">
      <w:pPr>
        <w:pStyle w:val="ListParagraph"/>
        <w:numPr>
          <w:ilvl w:val="1"/>
          <w:numId w:val="3"/>
        </w:numPr>
        <w:rPr>
          <w:rFonts w:cs="Calibri"/>
          <w:iCs/>
          <w:snapToGrid/>
          <w:szCs w:val="24"/>
          <w:lang w:eastAsia="en-AU"/>
        </w:rPr>
      </w:pPr>
      <w:r w:rsidRPr="003F4BE3">
        <w:rPr>
          <w:rFonts w:cs="Calibri"/>
          <w:iCs/>
          <w:snapToGrid/>
          <w:szCs w:val="24"/>
          <w:lang w:eastAsia="en-AU"/>
        </w:rPr>
        <w:t xml:space="preserve">The submission nominated TAF-based fixed dose combination therapies only as the comparators. Each of these TAF-based FDCs (DESCOVY® July 2016 PBAC Meeting, GENVOYA® November 2015 PBAC Meeting, ODEFSEY® July 2016 PBAC Meeting) have previously been accepted by the PBAC as being non-inferior to their respective </w:t>
      </w:r>
      <w:r w:rsidR="004A5BA3" w:rsidRPr="003F4BE3">
        <w:rPr>
          <w:rFonts w:cs="Calibri"/>
          <w:iCs/>
          <w:snapToGrid/>
          <w:szCs w:val="24"/>
          <w:lang w:eastAsia="en-AU"/>
        </w:rPr>
        <w:t xml:space="preserve">tenofovir </w:t>
      </w:r>
      <w:proofErr w:type="spellStart"/>
      <w:r w:rsidR="004A5BA3" w:rsidRPr="003F4BE3">
        <w:rPr>
          <w:rFonts w:cs="Calibri"/>
          <w:iCs/>
          <w:snapToGrid/>
          <w:szCs w:val="24"/>
          <w:lang w:eastAsia="en-AU"/>
        </w:rPr>
        <w:t>disoproxil</w:t>
      </w:r>
      <w:proofErr w:type="spellEnd"/>
      <w:r w:rsidR="004A5BA3" w:rsidRPr="003F4BE3">
        <w:rPr>
          <w:rFonts w:cs="Calibri"/>
          <w:iCs/>
          <w:snapToGrid/>
          <w:szCs w:val="24"/>
          <w:lang w:eastAsia="en-AU"/>
        </w:rPr>
        <w:t xml:space="preserve"> fumarate (</w:t>
      </w:r>
      <w:r w:rsidRPr="003F4BE3">
        <w:rPr>
          <w:rFonts w:cs="Calibri"/>
          <w:iCs/>
          <w:snapToGrid/>
          <w:szCs w:val="24"/>
          <w:lang w:eastAsia="en-AU"/>
        </w:rPr>
        <w:t>TDF</w:t>
      </w:r>
      <w:r w:rsidR="004A5BA3" w:rsidRPr="003F4BE3">
        <w:rPr>
          <w:rFonts w:cs="Calibri"/>
          <w:iCs/>
          <w:snapToGrid/>
          <w:szCs w:val="24"/>
          <w:lang w:eastAsia="en-AU"/>
        </w:rPr>
        <w:t>)</w:t>
      </w:r>
      <w:r w:rsidRPr="003F4BE3">
        <w:rPr>
          <w:rFonts w:cs="Calibri"/>
          <w:iCs/>
          <w:snapToGrid/>
          <w:szCs w:val="24"/>
          <w:lang w:eastAsia="en-AU"/>
        </w:rPr>
        <w:t>-based FDCs (TRUVADA®, STRIBILD®, EVIPLERA®). It was also noted that the comparator arm of Trial 1878 (presented as the evidence base of the submission for virologically suppressed/treatment-experienced patients) included patients treated with ritonavir boosted or cobicistat boosted atazanavir or darunavir, with either TRUVADA® or KIVEXA®</w:t>
      </w:r>
      <w:r w:rsidR="004A5BA3" w:rsidRPr="003F4BE3">
        <w:rPr>
          <w:rFonts w:cs="Calibri"/>
          <w:iCs/>
          <w:snapToGrid/>
          <w:szCs w:val="24"/>
          <w:lang w:eastAsia="en-AU"/>
        </w:rPr>
        <w:t xml:space="preserve"> (</w:t>
      </w:r>
      <w:proofErr w:type="spellStart"/>
      <w:r w:rsidR="004A5BA3" w:rsidRPr="003F4BE3">
        <w:rPr>
          <w:rFonts w:cs="Calibri"/>
          <w:iCs/>
          <w:snapToGrid/>
          <w:szCs w:val="24"/>
          <w:lang w:eastAsia="en-AU"/>
        </w:rPr>
        <w:t>abacavir</w:t>
      </w:r>
      <w:proofErr w:type="spellEnd"/>
      <w:r w:rsidR="004A5BA3" w:rsidRPr="003F4BE3">
        <w:rPr>
          <w:rFonts w:cs="Calibri"/>
          <w:iCs/>
          <w:snapToGrid/>
          <w:szCs w:val="24"/>
          <w:lang w:eastAsia="en-AU"/>
        </w:rPr>
        <w:t>/lamivudine</w:t>
      </w:r>
      <w:r w:rsidR="00C953C8" w:rsidRPr="003F4BE3">
        <w:rPr>
          <w:rFonts w:cs="Calibri"/>
          <w:iCs/>
          <w:snapToGrid/>
          <w:szCs w:val="24"/>
          <w:lang w:eastAsia="en-AU"/>
        </w:rPr>
        <w:t xml:space="preserve"> FDC; </w:t>
      </w:r>
      <w:r w:rsidR="004A5BA3" w:rsidRPr="003F4BE3">
        <w:rPr>
          <w:rFonts w:cs="Calibri"/>
          <w:iCs/>
          <w:snapToGrid/>
          <w:szCs w:val="24"/>
          <w:lang w:eastAsia="en-AU"/>
        </w:rPr>
        <w:t>A</w:t>
      </w:r>
      <w:r w:rsidR="000B7D4F">
        <w:rPr>
          <w:rFonts w:cs="Calibri"/>
          <w:iCs/>
          <w:snapToGrid/>
          <w:szCs w:val="24"/>
          <w:lang w:eastAsia="en-AU"/>
        </w:rPr>
        <w:t>BC/3TC</w:t>
      </w:r>
      <w:r w:rsidR="004A5BA3" w:rsidRPr="003F4BE3">
        <w:rPr>
          <w:rFonts w:cs="Calibri"/>
          <w:iCs/>
          <w:snapToGrid/>
          <w:szCs w:val="24"/>
          <w:lang w:eastAsia="en-AU"/>
        </w:rPr>
        <w:t>)</w:t>
      </w:r>
      <w:r w:rsidRPr="003F4BE3">
        <w:rPr>
          <w:rFonts w:cs="Calibri"/>
          <w:iCs/>
          <w:snapToGrid/>
          <w:szCs w:val="24"/>
          <w:lang w:eastAsia="en-AU"/>
        </w:rPr>
        <w:t>. This further suggests that TDF and ABC/3TC</w:t>
      </w:r>
      <w:r w:rsidR="00B655EF">
        <w:rPr>
          <w:rFonts w:cs="Calibri"/>
          <w:iCs/>
          <w:snapToGrid/>
          <w:szCs w:val="24"/>
          <w:lang w:eastAsia="en-AU"/>
        </w:rPr>
        <w:t>-containing</w:t>
      </w:r>
      <w:r w:rsidRPr="003F4BE3">
        <w:rPr>
          <w:rFonts w:cs="Calibri"/>
          <w:iCs/>
          <w:snapToGrid/>
          <w:szCs w:val="24"/>
          <w:lang w:eastAsia="en-AU"/>
        </w:rPr>
        <w:t xml:space="preserve"> treatments may also be reasonable comparators.</w:t>
      </w:r>
    </w:p>
    <w:p w:rsidR="007743B4" w:rsidRPr="003F4BE3" w:rsidRDefault="007743B4" w:rsidP="00402FAB">
      <w:pPr>
        <w:pStyle w:val="ListParagraph"/>
        <w:keepNext/>
        <w:ind w:hanging="720"/>
        <w:rPr>
          <w:rFonts w:cs="Calibri"/>
          <w:iCs/>
          <w:snapToGrid/>
          <w:szCs w:val="24"/>
          <w:lang w:eastAsia="en-AU"/>
        </w:rPr>
      </w:pPr>
      <w:r w:rsidRPr="003F4BE3">
        <w:rPr>
          <w:rStyle w:val="CommentReference"/>
        </w:rPr>
        <w:lastRenderedPageBreak/>
        <w:t>Figure 1: Current HIV management algorithm</w:t>
      </w:r>
    </w:p>
    <w:p w:rsidR="007743B4" w:rsidRPr="003F4BE3" w:rsidRDefault="007743B4" w:rsidP="007743B4">
      <w:pPr>
        <w:jc w:val="center"/>
        <w:rPr>
          <w:rFonts w:cs="Calibri"/>
          <w:iCs/>
          <w:lang w:eastAsia="en-AU"/>
        </w:rPr>
      </w:pPr>
      <w:r w:rsidRPr="003F4BE3">
        <w:rPr>
          <w:noProof/>
          <w:lang w:val="en-AU" w:eastAsia="en-AU"/>
        </w:rPr>
        <w:drawing>
          <wp:inline distT="0" distB="0" distL="0" distR="0" wp14:anchorId="573308DB" wp14:editId="5BE79DBD">
            <wp:extent cx="3452774" cy="6261234"/>
            <wp:effectExtent l="0" t="0" r="0" b="6350"/>
            <wp:docPr id="1" name="Picture 1" descr="HIV treatments broken into groups based on backbone" title="Current HIV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nce.khoo\Downloads\bftaf_v4 (5).jpg"/>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3452774" cy="6261234"/>
                    </a:xfrm>
                    <a:prstGeom prst="rect">
                      <a:avLst/>
                    </a:prstGeom>
                    <a:noFill/>
                    <a:ln>
                      <a:noFill/>
                    </a:ln>
                    <a:extLst>
                      <a:ext uri="{53640926-AAD7-44D8-BBD7-CCE9431645EC}">
                        <a14:shadowObscured xmlns:a14="http://schemas.microsoft.com/office/drawing/2010/main"/>
                      </a:ext>
                    </a:extLst>
                  </pic:spPr>
                </pic:pic>
              </a:graphicData>
            </a:graphic>
          </wp:inline>
        </w:drawing>
      </w:r>
    </w:p>
    <w:p w:rsidR="007743B4" w:rsidRPr="003F4BE3" w:rsidRDefault="007743B4" w:rsidP="007743B4">
      <w:pPr>
        <w:pStyle w:val="TableFooter"/>
      </w:pPr>
      <w:r w:rsidRPr="003F4BE3">
        <w:t xml:space="preserve">Source: Figure 1.4, p30 of the submission. </w:t>
      </w:r>
    </w:p>
    <w:p w:rsidR="007743B4" w:rsidRPr="003F4BE3" w:rsidRDefault="007743B4" w:rsidP="007743B4">
      <w:pPr>
        <w:pStyle w:val="TableFooter"/>
      </w:pPr>
      <w:r w:rsidRPr="003F4BE3">
        <w:t xml:space="preserve">3TC = lamivudine, ABC = </w:t>
      </w:r>
      <w:proofErr w:type="spellStart"/>
      <w:r w:rsidRPr="003F4BE3">
        <w:t>abacavir</w:t>
      </w:r>
      <w:proofErr w:type="spellEnd"/>
      <w:r w:rsidRPr="003F4BE3">
        <w:t xml:space="preserve">, F = emtricitabine, INSTI = integrase strand transfer inhibitor, MTR = multiple tablet regimen, </w:t>
      </w:r>
      <w:proofErr w:type="gramStart"/>
      <w:r w:rsidRPr="003F4BE3">
        <w:t>N(</w:t>
      </w:r>
      <w:proofErr w:type="gramEnd"/>
      <w:r w:rsidRPr="003F4BE3">
        <w:t xml:space="preserve">t)RTI = nucleotide reverse transcriptase inhibitor, NNRTI = non-nucleoside reverse transcriptase inhibitor, PI = protease inhibitor, PK enhancer = pharmacokinetic enhancer, STR = single tablet regimen, TAF = tenofovir </w:t>
      </w:r>
      <w:proofErr w:type="spellStart"/>
      <w:r w:rsidRPr="003F4BE3">
        <w:t>alafenamide</w:t>
      </w:r>
      <w:proofErr w:type="spellEnd"/>
      <w:r w:rsidRPr="003F4BE3">
        <w:t xml:space="preserve"> fumarate, Tenofovir DF = tenofovir </w:t>
      </w:r>
      <w:proofErr w:type="spellStart"/>
      <w:r w:rsidRPr="003F4BE3">
        <w:t>disoproxil</w:t>
      </w:r>
      <w:proofErr w:type="spellEnd"/>
      <w:r w:rsidRPr="003F4BE3">
        <w:t xml:space="preserve"> fumarate</w:t>
      </w:r>
    </w:p>
    <w:p w:rsidR="0034161F" w:rsidRPr="00402FAB" w:rsidRDefault="00D72939" w:rsidP="00330F58">
      <w:pPr>
        <w:pStyle w:val="ListParagraph"/>
        <w:numPr>
          <w:ilvl w:val="1"/>
          <w:numId w:val="3"/>
        </w:numPr>
        <w:spacing w:before="160"/>
        <w:rPr>
          <w:rFonts w:cs="Calibri"/>
          <w:iCs/>
          <w:snapToGrid/>
          <w:szCs w:val="24"/>
          <w:lang w:eastAsia="en-AU"/>
        </w:rPr>
      </w:pPr>
      <w:r w:rsidRPr="003F4BE3">
        <w:rPr>
          <w:rFonts w:cs="Calibri"/>
          <w:iCs/>
          <w:snapToGrid/>
          <w:lang w:eastAsia="en-AU"/>
        </w:rPr>
        <w:t>For the requested population, a number of other combination therapies are less c</w:t>
      </w:r>
      <w:r w:rsidR="00364C5D" w:rsidRPr="003F4BE3">
        <w:rPr>
          <w:rFonts w:cs="Calibri"/>
          <w:iCs/>
          <w:snapToGrid/>
          <w:lang w:eastAsia="en-AU"/>
        </w:rPr>
        <w:t xml:space="preserve">ostly than </w:t>
      </w:r>
      <w:r w:rsidR="006A6F37" w:rsidRPr="003F4BE3">
        <w:rPr>
          <w:rFonts w:cs="Calibri"/>
          <w:iCs/>
          <w:snapToGrid/>
          <w:szCs w:val="24"/>
          <w:lang w:eastAsia="en-AU"/>
        </w:rPr>
        <w:t>GENVOYA</w:t>
      </w:r>
      <w:r w:rsidR="006A6F37" w:rsidRPr="003F4BE3">
        <w:rPr>
          <w:rFonts w:cs="Calibri"/>
          <w:iCs/>
          <w:snapToGrid/>
          <w:lang w:eastAsia="en-AU"/>
        </w:rPr>
        <w:t>®</w:t>
      </w:r>
      <w:r w:rsidR="00364C5D" w:rsidRPr="003F4BE3">
        <w:rPr>
          <w:rFonts w:cs="Calibri"/>
          <w:iCs/>
          <w:snapToGrid/>
          <w:lang w:eastAsia="en-AU"/>
        </w:rPr>
        <w:t xml:space="preserve"> and </w:t>
      </w:r>
      <w:r w:rsidR="006A6F37" w:rsidRPr="003F4BE3">
        <w:rPr>
          <w:rFonts w:cs="Calibri"/>
          <w:iCs/>
          <w:snapToGrid/>
          <w:lang w:eastAsia="en-AU"/>
        </w:rPr>
        <w:t>ODEFSEY®</w:t>
      </w:r>
      <w:r w:rsidR="00364C5D" w:rsidRPr="003F4BE3">
        <w:rPr>
          <w:rFonts w:cs="Calibri"/>
          <w:iCs/>
          <w:snapToGrid/>
          <w:lang w:eastAsia="en-AU"/>
        </w:rPr>
        <w:t xml:space="preserve"> </w:t>
      </w:r>
      <w:r w:rsidR="00EA08AD" w:rsidRPr="003F4BE3">
        <w:rPr>
          <w:rFonts w:cs="Calibri"/>
          <w:iCs/>
          <w:snapToGrid/>
          <w:lang w:eastAsia="en-AU"/>
        </w:rPr>
        <w:t>(</w:t>
      </w:r>
      <w:r w:rsidR="001A5BC5" w:rsidRPr="003F4BE3">
        <w:rPr>
          <w:rFonts w:cs="Calibri"/>
          <w:iCs/>
          <w:snapToGrid/>
          <w:lang w:eastAsia="en-AU"/>
        </w:rPr>
        <w:t xml:space="preserve">and therefore </w:t>
      </w:r>
      <w:r w:rsidR="00330F58">
        <w:rPr>
          <w:rFonts w:cs="Calibri"/>
          <w:iCs/>
          <w:snapToGrid/>
          <w:lang w:eastAsia="en-AU"/>
        </w:rPr>
        <w:t>the requested price for BFTAF).</w:t>
      </w:r>
    </w:p>
    <w:p w:rsidR="007D79BD" w:rsidRPr="00A36B06" w:rsidRDefault="007D79BD" w:rsidP="007D79BD">
      <w:pPr>
        <w:pStyle w:val="ListParagraph"/>
        <w:numPr>
          <w:ilvl w:val="1"/>
          <w:numId w:val="3"/>
        </w:numPr>
        <w:rPr>
          <w:rFonts w:cs="Calibri"/>
          <w:iCs/>
          <w:snapToGrid/>
          <w:szCs w:val="24"/>
          <w:lang w:eastAsia="en-AU"/>
        </w:rPr>
      </w:pPr>
      <w:r w:rsidRPr="00A36B06">
        <w:rPr>
          <w:rFonts w:cs="Calibri"/>
          <w:iCs/>
          <w:snapToGrid/>
          <w:szCs w:val="24"/>
          <w:lang w:eastAsia="en-AU"/>
        </w:rPr>
        <w:t xml:space="preserve">The </w:t>
      </w:r>
      <w:r w:rsidR="005072E0">
        <w:rPr>
          <w:rFonts w:cs="Calibri"/>
          <w:iCs/>
          <w:snapToGrid/>
          <w:szCs w:val="24"/>
          <w:lang w:eastAsia="en-AU"/>
        </w:rPr>
        <w:t>Pre-Sub-Committee Response (</w:t>
      </w:r>
      <w:r w:rsidRPr="00A36B06">
        <w:rPr>
          <w:rFonts w:cs="Calibri"/>
          <w:iCs/>
          <w:snapToGrid/>
          <w:szCs w:val="24"/>
          <w:lang w:eastAsia="en-AU"/>
        </w:rPr>
        <w:t>PSCR</w:t>
      </w:r>
      <w:r w:rsidR="005072E0">
        <w:rPr>
          <w:rFonts w:cs="Calibri"/>
          <w:iCs/>
          <w:snapToGrid/>
          <w:szCs w:val="24"/>
          <w:lang w:eastAsia="en-AU"/>
        </w:rPr>
        <w:t>)</w:t>
      </w:r>
      <w:bookmarkStart w:id="5" w:name="_GoBack"/>
      <w:bookmarkEnd w:id="5"/>
      <w:r w:rsidRPr="00A36B06">
        <w:rPr>
          <w:rFonts w:cs="Calibri"/>
          <w:iCs/>
          <w:snapToGrid/>
          <w:szCs w:val="24"/>
          <w:lang w:eastAsia="en-AU"/>
        </w:rPr>
        <w:t xml:space="preserve"> </w:t>
      </w:r>
      <w:r w:rsidR="009B0ECD">
        <w:rPr>
          <w:rFonts w:cs="Calibri"/>
          <w:iCs/>
          <w:snapToGrid/>
          <w:szCs w:val="24"/>
          <w:lang w:eastAsia="en-AU"/>
        </w:rPr>
        <w:t xml:space="preserve">and Pre-PBAC Response </w:t>
      </w:r>
      <w:r w:rsidRPr="00A36B06">
        <w:rPr>
          <w:rFonts w:cs="Calibri"/>
          <w:iCs/>
          <w:snapToGrid/>
          <w:szCs w:val="24"/>
          <w:lang w:eastAsia="en-AU"/>
        </w:rPr>
        <w:t xml:space="preserve">disagreed that additional comparators outside those nominated in the submission were relevant, </w:t>
      </w:r>
      <w:r w:rsidRPr="00A36B06">
        <w:rPr>
          <w:rFonts w:cs="Calibri"/>
          <w:iCs/>
          <w:snapToGrid/>
          <w:szCs w:val="24"/>
          <w:lang w:eastAsia="en-AU"/>
        </w:rPr>
        <w:lastRenderedPageBreak/>
        <w:t xml:space="preserve">citing utilisation data to suggest that listing of </w:t>
      </w:r>
      <w:r w:rsidRPr="00A36B06">
        <w:rPr>
          <w:rFonts w:eastAsiaTheme="majorEastAsia" w:cstheme="minorHAnsi"/>
          <w:lang w:val="en-US" w:bidi="en-US"/>
        </w:rPr>
        <w:t xml:space="preserve">BFTAF would not significantly alter the usage rates across the ‘backbone’ groups. The PSCR </w:t>
      </w:r>
      <w:r w:rsidR="009B0ECD">
        <w:rPr>
          <w:rFonts w:eastAsiaTheme="majorEastAsia" w:cstheme="minorHAnsi"/>
          <w:lang w:val="en-US" w:bidi="en-US"/>
        </w:rPr>
        <w:t>and Pre-PBAC Response</w:t>
      </w:r>
      <w:r w:rsidR="00962158">
        <w:rPr>
          <w:rFonts w:eastAsiaTheme="majorEastAsia" w:cstheme="minorHAnsi"/>
          <w:lang w:val="en-US" w:bidi="en-US"/>
        </w:rPr>
        <w:t xml:space="preserve"> </w:t>
      </w:r>
      <w:r w:rsidRPr="00A36B06">
        <w:rPr>
          <w:rFonts w:eastAsiaTheme="majorEastAsia" w:cstheme="minorHAnsi"/>
          <w:lang w:val="en-US" w:bidi="en-US"/>
        </w:rPr>
        <w:t xml:space="preserve">argued that therapies other than the nominated comparators are not viable comparators </w:t>
      </w:r>
      <w:r w:rsidRPr="00A36B06">
        <w:rPr>
          <w:rFonts w:asciiTheme="minorHAnsi" w:hAnsiTheme="minorHAnsi" w:cstheme="minorHAnsi"/>
          <w:szCs w:val="24"/>
          <w:lang w:val="en-US"/>
        </w:rPr>
        <w:t xml:space="preserve">because they would not be replaced by BFTAF in clinical practice. </w:t>
      </w:r>
      <w:r w:rsidR="00224398" w:rsidRPr="00A36B06">
        <w:rPr>
          <w:rFonts w:eastAsiaTheme="majorEastAsia" w:cstheme="minorHAnsi"/>
          <w:lang w:val="en-US" w:bidi="en-US"/>
        </w:rPr>
        <w:t>The PSCR further inferred that providing patients with a single treatment regimen was an important consideration in guiding treatment selection with consequences for long term adherence.</w:t>
      </w:r>
    </w:p>
    <w:p w:rsidR="00122B8A" w:rsidRDefault="007D79BD" w:rsidP="00122B8A">
      <w:pPr>
        <w:pStyle w:val="ListParagraph"/>
        <w:numPr>
          <w:ilvl w:val="1"/>
          <w:numId w:val="3"/>
        </w:numPr>
        <w:rPr>
          <w:rFonts w:cs="Calibri"/>
          <w:iCs/>
          <w:snapToGrid/>
          <w:szCs w:val="24"/>
          <w:lang w:eastAsia="en-AU"/>
        </w:rPr>
      </w:pPr>
      <w:r w:rsidRPr="00A36B06">
        <w:rPr>
          <w:rFonts w:cs="Calibri"/>
          <w:iCs/>
          <w:snapToGrid/>
          <w:szCs w:val="24"/>
          <w:lang w:eastAsia="en-AU"/>
        </w:rPr>
        <w:t xml:space="preserve">The ESC considered the nominated TAF-based FDC therapies were appropriate comparators. However, the ESC considered that all triple-therapy FDCs for the treatment of HIV that are included </w:t>
      </w:r>
      <w:r w:rsidR="00D6061F" w:rsidRPr="00A36B06">
        <w:rPr>
          <w:rFonts w:cs="Calibri"/>
          <w:iCs/>
          <w:snapToGrid/>
          <w:szCs w:val="24"/>
          <w:lang w:eastAsia="en-AU"/>
        </w:rPr>
        <w:t xml:space="preserve">in </w:t>
      </w:r>
      <w:r w:rsidRPr="00A36B06">
        <w:rPr>
          <w:rFonts w:cs="Calibri"/>
          <w:iCs/>
          <w:snapToGrid/>
          <w:szCs w:val="24"/>
          <w:lang w:eastAsia="en-AU"/>
        </w:rPr>
        <w:t xml:space="preserve">the </w:t>
      </w:r>
      <w:r w:rsidRPr="00A36B06">
        <w:t xml:space="preserve">therapeutic relativity sheets (1 January 2018) </w:t>
      </w:r>
      <w:r w:rsidRPr="00A36B06">
        <w:rPr>
          <w:rFonts w:cs="Calibri"/>
          <w:iCs/>
          <w:snapToGrid/>
          <w:szCs w:val="24"/>
          <w:lang w:eastAsia="en-AU"/>
        </w:rPr>
        <w:t xml:space="preserve">are considered to be non-inferior </w:t>
      </w:r>
      <w:r w:rsidR="00224398" w:rsidRPr="00A36B06">
        <w:rPr>
          <w:rFonts w:cs="Calibri"/>
          <w:iCs/>
          <w:snapToGrid/>
          <w:szCs w:val="24"/>
          <w:lang w:eastAsia="en-AU"/>
        </w:rPr>
        <w:t xml:space="preserve">to each other </w:t>
      </w:r>
      <w:r w:rsidR="005408F8" w:rsidRPr="00A36B06">
        <w:rPr>
          <w:rFonts w:cs="Calibri"/>
          <w:iCs/>
          <w:snapToGrid/>
          <w:szCs w:val="24"/>
          <w:lang w:eastAsia="en-AU"/>
        </w:rPr>
        <w:t xml:space="preserve">in terms of both safety and efficacy </w:t>
      </w:r>
      <w:r w:rsidR="00224398" w:rsidRPr="00A36B06">
        <w:rPr>
          <w:rFonts w:cs="Calibri"/>
          <w:iCs/>
          <w:snapToGrid/>
          <w:szCs w:val="24"/>
          <w:lang w:eastAsia="en-AU"/>
        </w:rPr>
        <w:t xml:space="preserve">and thus have a </w:t>
      </w:r>
      <w:r w:rsidRPr="00A36B06">
        <w:rPr>
          <w:rFonts w:cs="Calibri"/>
          <w:iCs/>
          <w:snapToGrid/>
          <w:szCs w:val="24"/>
          <w:lang w:eastAsia="en-AU"/>
        </w:rPr>
        <w:t>history of being listed on a cost-minimisation basis</w:t>
      </w:r>
      <w:r w:rsidR="00224398" w:rsidRPr="00A36B06">
        <w:rPr>
          <w:rFonts w:cs="Calibri"/>
          <w:iCs/>
          <w:snapToGrid/>
          <w:szCs w:val="24"/>
          <w:lang w:eastAsia="en-AU"/>
        </w:rPr>
        <w:t xml:space="preserve">. The ESC also considered that arguments </w:t>
      </w:r>
      <w:r w:rsidR="005408F8" w:rsidRPr="00A36B06">
        <w:rPr>
          <w:rFonts w:cs="Calibri"/>
          <w:iCs/>
          <w:snapToGrid/>
          <w:szCs w:val="24"/>
          <w:lang w:eastAsia="en-AU"/>
        </w:rPr>
        <w:t xml:space="preserve">for a single treatment regimen over a multiple treatment regimen </w:t>
      </w:r>
      <w:r w:rsidR="00224398" w:rsidRPr="00A36B06">
        <w:rPr>
          <w:rFonts w:cs="Calibri"/>
          <w:iCs/>
          <w:snapToGrid/>
          <w:szCs w:val="24"/>
          <w:lang w:eastAsia="en-AU"/>
        </w:rPr>
        <w:t xml:space="preserve">based on </w:t>
      </w:r>
      <w:r w:rsidR="005408F8" w:rsidRPr="00A36B06">
        <w:rPr>
          <w:rFonts w:cs="Calibri"/>
          <w:iCs/>
          <w:snapToGrid/>
          <w:szCs w:val="24"/>
          <w:lang w:eastAsia="en-AU"/>
        </w:rPr>
        <w:t xml:space="preserve">long term adherence were not sufficient to change either of these conclusions of non-inferiority, recalling that PBAC had only accepted such a link would be realised with more substantial reductions in “pill burden” than </w:t>
      </w:r>
      <w:r w:rsidR="0031242C" w:rsidRPr="00A36B06">
        <w:rPr>
          <w:rFonts w:cs="Calibri"/>
          <w:iCs/>
          <w:snapToGrid/>
          <w:szCs w:val="24"/>
          <w:lang w:eastAsia="en-AU"/>
        </w:rPr>
        <w:t xml:space="preserve">would be likely </w:t>
      </w:r>
      <w:r w:rsidR="005408F8" w:rsidRPr="00A36B06">
        <w:rPr>
          <w:rFonts w:cs="Calibri"/>
          <w:iCs/>
          <w:snapToGrid/>
          <w:szCs w:val="24"/>
          <w:lang w:eastAsia="en-AU"/>
        </w:rPr>
        <w:t>in this context. The ESC</w:t>
      </w:r>
      <w:r w:rsidRPr="00A36B06">
        <w:rPr>
          <w:rFonts w:cs="Calibri"/>
          <w:iCs/>
          <w:snapToGrid/>
          <w:szCs w:val="24"/>
          <w:lang w:eastAsia="en-AU"/>
        </w:rPr>
        <w:t xml:space="preserve"> therefore </w:t>
      </w:r>
      <w:r w:rsidR="000907FA" w:rsidRPr="00A36B06">
        <w:rPr>
          <w:rFonts w:cs="Calibri"/>
          <w:iCs/>
          <w:snapToGrid/>
          <w:szCs w:val="24"/>
          <w:lang w:eastAsia="en-AU"/>
        </w:rPr>
        <w:t>a</w:t>
      </w:r>
      <w:r w:rsidR="005408F8" w:rsidRPr="00A36B06">
        <w:rPr>
          <w:rFonts w:cs="Calibri"/>
          <w:iCs/>
          <w:snapToGrid/>
          <w:szCs w:val="24"/>
          <w:lang w:eastAsia="en-AU"/>
        </w:rPr>
        <w:t xml:space="preserve">dvised that the least expensive triple-therapy FDC for the treatment of HIV would be the most </w:t>
      </w:r>
      <w:r w:rsidR="000907FA" w:rsidRPr="00A36B06">
        <w:rPr>
          <w:rFonts w:cs="Calibri"/>
          <w:iCs/>
          <w:snapToGrid/>
          <w:szCs w:val="24"/>
          <w:lang w:eastAsia="en-AU"/>
        </w:rPr>
        <w:t xml:space="preserve">relevant </w:t>
      </w:r>
      <w:r w:rsidRPr="00A36B06">
        <w:rPr>
          <w:rFonts w:cs="Calibri"/>
          <w:iCs/>
          <w:snapToGrid/>
          <w:szCs w:val="24"/>
          <w:lang w:eastAsia="en-AU"/>
        </w:rPr>
        <w:t>alternative therap</w:t>
      </w:r>
      <w:r w:rsidR="005408F8" w:rsidRPr="00A36B06">
        <w:rPr>
          <w:rFonts w:cs="Calibri"/>
          <w:iCs/>
          <w:snapToGrid/>
          <w:szCs w:val="24"/>
          <w:lang w:eastAsia="en-AU"/>
        </w:rPr>
        <w:t>y</w:t>
      </w:r>
      <w:r w:rsidRPr="00A36B06">
        <w:rPr>
          <w:rFonts w:cs="Calibri"/>
          <w:iCs/>
          <w:snapToGrid/>
          <w:szCs w:val="24"/>
          <w:lang w:eastAsia="en-AU"/>
        </w:rPr>
        <w:t xml:space="preserve"> for the purposes of Section 101 (3B) of the </w:t>
      </w:r>
      <w:r w:rsidRPr="00BB4291">
        <w:rPr>
          <w:rFonts w:cs="Calibri"/>
          <w:i/>
          <w:iCs/>
          <w:snapToGrid/>
          <w:szCs w:val="24"/>
          <w:lang w:eastAsia="en-AU"/>
        </w:rPr>
        <w:t>National Health Act 1953</w:t>
      </w:r>
      <w:r w:rsidRPr="00A36B06">
        <w:rPr>
          <w:rFonts w:cs="Calibri"/>
          <w:iCs/>
          <w:snapToGrid/>
          <w:szCs w:val="24"/>
          <w:lang w:eastAsia="en-AU"/>
        </w:rPr>
        <w:t>.</w:t>
      </w:r>
    </w:p>
    <w:p w:rsidR="00A36B06" w:rsidRPr="00962158" w:rsidRDefault="00D72939" w:rsidP="00122B8A">
      <w:pPr>
        <w:pStyle w:val="ListParagraph"/>
        <w:numPr>
          <w:ilvl w:val="1"/>
          <w:numId w:val="3"/>
        </w:numPr>
        <w:rPr>
          <w:rFonts w:cs="Calibri"/>
          <w:iCs/>
          <w:snapToGrid/>
          <w:szCs w:val="24"/>
          <w:lang w:eastAsia="en-AU"/>
        </w:rPr>
      </w:pPr>
      <w:r w:rsidRPr="00122B8A">
        <w:rPr>
          <w:rFonts w:asciiTheme="minorHAnsi" w:hAnsiTheme="minorHAnsi" w:cs="Calibri"/>
          <w:iCs/>
          <w:lang w:eastAsia="en-AU"/>
        </w:rPr>
        <w:t>The submission presented no data to establish superiority (and cites PBS-accepted therapeutic relativities of</w:t>
      </w:r>
      <w:r w:rsidR="00ED1AA3" w:rsidRPr="00122B8A">
        <w:rPr>
          <w:rFonts w:asciiTheme="minorHAnsi" w:hAnsiTheme="minorHAnsi" w:cs="Calibri"/>
          <w:iCs/>
          <w:lang w:eastAsia="en-AU"/>
        </w:rPr>
        <w:t xml:space="preserve"> </w:t>
      </w:r>
      <w:r w:rsidRPr="00122B8A">
        <w:rPr>
          <w:rFonts w:asciiTheme="minorHAnsi" w:hAnsiTheme="minorHAnsi" w:cs="Calibri"/>
          <w:iCs/>
          <w:lang w:eastAsia="en-AU"/>
        </w:rPr>
        <w:t>TDF</w:t>
      </w:r>
      <w:r w:rsidR="006E2159" w:rsidRPr="00122B8A">
        <w:rPr>
          <w:rFonts w:asciiTheme="minorHAnsi" w:hAnsiTheme="minorHAnsi" w:cs="Calibri"/>
          <w:iCs/>
          <w:lang w:eastAsia="en-AU"/>
        </w:rPr>
        <w:t>-</w:t>
      </w:r>
      <w:r w:rsidRPr="00122B8A">
        <w:rPr>
          <w:rFonts w:asciiTheme="minorHAnsi" w:hAnsiTheme="minorHAnsi" w:cs="Calibri"/>
          <w:iCs/>
          <w:lang w:eastAsia="en-AU"/>
        </w:rPr>
        <w:t>based and ABC/3TC</w:t>
      </w:r>
      <w:r w:rsidR="006E2159" w:rsidRPr="00122B8A">
        <w:rPr>
          <w:rFonts w:asciiTheme="minorHAnsi" w:hAnsiTheme="minorHAnsi" w:cs="Calibri"/>
          <w:iCs/>
          <w:lang w:eastAsia="en-AU"/>
        </w:rPr>
        <w:t>-</w:t>
      </w:r>
      <w:r w:rsidRPr="00122B8A">
        <w:rPr>
          <w:rFonts w:asciiTheme="minorHAnsi" w:hAnsiTheme="minorHAnsi" w:cs="Calibri"/>
          <w:iCs/>
          <w:lang w:eastAsia="en-AU"/>
        </w:rPr>
        <w:t xml:space="preserve">based </w:t>
      </w:r>
      <w:r w:rsidR="003D6BD6" w:rsidRPr="00122B8A">
        <w:rPr>
          <w:rFonts w:asciiTheme="minorHAnsi" w:hAnsiTheme="minorHAnsi" w:cs="Calibri"/>
          <w:iCs/>
          <w:lang w:eastAsia="en-AU"/>
        </w:rPr>
        <w:t>FDCs</w:t>
      </w:r>
      <w:r w:rsidR="00210594" w:rsidRPr="00122B8A">
        <w:rPr>
          <w:rFonts w:asciiTheme="minorHAnsi" w:hAnsiTheme="minorHAnsi" w:cs="Calibri"/>
          <w:iCs/>
          <w:lang w:eastAsia="en-AU"/>
        </w:rPr>
        <w:t>)</w:t>
      </w:r>
      <w:r w:rsidRPr="00122B8A">
        <w:rPr>
          <w:rFonts w:asciiTheme="minorHAnsi" w:hAnsiTheme="minorHAnsi" w:cs="Calibri"/>
          <w:iCs/>
          <w:lang w:eastAsia="en-AU"/>
        </w:rPr>
        <w:t xml:space="preserve">, thus there is no justification for the price of BFTAF to be higher than </w:t>
      </w:r>
      <w:r w:rsidR="005408F8" w:rsidRPr="00122B8A">
        <w:rPr>
          <w:rFonts w:asciiTheme="minorHAnsi" w:hAnsiTheme="minorHAnsi" w:cs="Calibri"/>
          <w:iCs/>
          <w:lang w:eastAsia="en-AU"/>
        </w:rPr>
        <w:t xml:space="preserve">the least expensive of </w:t>
      </w:r>
      <w:r w:rsidRPr="00122B8A">
        <w:rPr>
          <w:rFonts w:asciiTheme="minorHAnsi" w:hAnsiTheme="minorHAnsi" w:cs="Calibri"/>
          <w:iCs/>
          <w:lang w:eastAsia="en-AU"/>
        </w:rPr>
        <w:t>these</w:t>
      </w:r>
      <w:r w:rsidR="005408F8" w:rsidRPr="00122B8A">
        <w:rPr>
          <w:rFonts w:asciiTheme="minorHAnsi" w:hAnsiTheme="minorHAnsi" w:cs="Calibri"/>
          <w:iCs/>
          <w:lang w:eastAsia="en-AU"/>
        </w:rPr>
        <w:t xml:space="preserve"> alternative therapies</w:t>
      </w:r>
      <w:r w:rsidRPr="00122B8A">
        <w:rPr>
          <w:rFonts w:asciiTheme="minorHAnsi" w:hAnsiTheme="minorHAnsi" w:cs="Calibri"/>
          <w:iCs/>
          <w:lang w:eastAsia="en-AU"/>
        </w:rPr>
        <w:t>.</w:t>
      </w:r>
      <w:r w:rsidR="00F018AD" w:rsidRPr="00122B8A">
        <w:rPr>
          <w:rFonts w:asciiTheme="minorHAnsi" w:hAnsiTheme="minorHAnsi" w:cs="Calibri"/>
          <w:iCs/>
          <w:lang w:eastAsia="en-AU"/>
        </w:rPr>
        <w:t xml:space="preserve"> In its July 2016 considerations of </w:t>
      </w:r>
      <w:r w:rsidR="00CD5A54" w:rsidRPr="00122B8A">
        <w:rPr>
          <w:rFonts w:asciiTheme="minorHAnsi" w:hAnsiTheme="minorHAnsi" w:cs="Calibri"/>
          <w:iCs/>
          <w:lang w:eastAsia="en-AU"/>
        </w:rPr>
        <w:t>ODEFSEY</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 xml:space="preserve"> </w:t>
      </w:r>
      <w:r w:rsidR="00F018AD" w:rsidRPr="00122B8A">
        <w:rPr>
          <w:rFonts w:asciiTheme="minorHAnsi" w:hAnsiTheme="minorHAnsi" w:cs="Calibri"/>
          <w:iCs/>
          <w:lang w:eastAsia="en-AU"/>
        </w:rPr>
        <w:t xml:space="preserve">and </w:t>
      </w:r>
      <w:r w:rsidR="00CD5A54" w:rsidRPr="00122B8A">
        <w:rPr>
          <w:rFonts w:asciiTheme="minorHAnsi" w:hAnsiTheme="minorHAnsi" w:cs="Calibri"/>
          <w:iCs/>
          <w:lang w:eastAsia="en-AU"/>
        </w:rPr>
        <w:t>DESCOVY</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w:t>
      </w:r>
      <w:r w:rsidR="00F018AD" w:rsidRPr="00122B8A">
        <w:rPr>
          <w:rFonts w:asciiTheme="minorHAnsi" w:hAnsiTheme="minorHAnsi" w:cs="Calibri"/>
          <w:iCs/>
          <w:lang w:eastAsia="en-AU"/>
        </w:rPr>
        <w:t xml:space="preserve"> </w:t>
      </w:r>
      <w:r w:rsidR="00CD5A54" w:rsidRPr="00122B8A">
        <w:rPr>
          <w:rFonts w:asciiTheme="minorHAnsi" w:hAnsiTheme="minorHAnsi" w:cs="Calibri"/>
          <w:iCs/>
          <w:lang w:eastAsia="en-AU"/>
        </w:rPr>
        <w:t>t</w:t>
      </w:r>
      <w:r w:rsidR="00F018AD" w:rsidRPr="00122B8A">
        <w:rPr>
          <w:rFonts w:asciiTheme="minorHAnsi" w:hAnsiTheme="minorHAnsi" w:cs="Calibri"/>
          <w:iCs/>
          <w:lang w:eastAsia="en-AU"/>
        </w:rPr>
        <w:t xml:space="preserve">he PBAC accepted </w:t>
      </w:r>
      <w:r w:rsidR="00CD5A54" w:rsidRPr="00122B8A">
        <w:rPr>
          <w:rFonts w:asciiTheme="minorHAnsi" w:hAnsiTheme="minorHAnsi" w:cs="Calibri"/>
          <w:iCs/>
          <w:lang w:eastAsia="en-AU"/>
        </w:rPr>
        <w:t>TDF</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based regimens (EVIPLERA</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 xml:space="preserve"> and TRUVADA</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 respectively) as the only comparator. In its July 2015 consideration of GENVOYA</w:t>
      </w:r>
      <w:r w:rsidR="009D3DFB" w:rsidRPr="00122B8A">
        <w:rPr>
          <w:rFonts w:asciiTheme="minorHAnsi" w:hAnsiTheme="minorHAnsi" w:cs="Calibri"/>
          <w:iCs/>
          <w:lang w:eastAsia="en-AU"/>
        </w:rPr>
        <w:t>®,</w:t>
      </w:r>
      <w:r w:rsidR="00CD5A54" w:rsidRPr="00122B8A">
        <w:rPr>
          <w:rFonts w:asciiTheme="minorHAnsi" w:hAnsiTheme="minorHAnsi" w:cs="Calibri"/>
          <w:iCs/>
          <w:lang w:eastAsia="en-AU"/>
        </w:rPr>
        <w:t xml:space="preserve"> </w:t>
      </w:r>
      <w:r w:rsidR="009D3DFB" w:rsidRPr="00122B8A">
        <w:rPr>
          <w:rFonts w:asciiTheme="minorHAnsi" w:hAnsiTheme="minorHAnsi" w:cs="Calibri"/>
          <w:iCs/>
          <w:lang w:eastAsia="en-AU"/>
        </w:rPr>
        <w:t>t</w:t>
      </w:r>
      <w:r w:rsidR="00CD5A54" w:rsidRPr="00122B8A">
        <w:rPr>
          <w:rFonts w:asciiTheme="minorHAnsi" w:hAnsiTheme="minorHAnsi" w:cs="Calibri"/>
          <w:iCs/>
          <w:lang w:eastAsia="en-AU"/>
        </w:rPr>
        <w:t xml:space="preserve">he PBAC accepted STRIBILD® as the most appropriate comparator, but agreed with ESC that </w:t>
      </w:r>
      <w:r w:rsidR="009D3DFB" w:rsidRPr="00122B8A">
        <w:rPr>
          <w:rFonts w:asciiTheme="minorHAnsi" w:hAnsiTheme="minorHAnsi" w:cs="Calibri"/>
          <w:iCs/>
          <w:lang w:eastAsia="en-AU"/>
        </w:rPr>
        <w:t xml:space="preserve">GENVOYA® </w:t>
      </w:r>
      <w:r w:rsidR="00CD5A54" w:rsidRPr="00122B8A">
        <w:rPr>
          <w:rFonts w:asciiTheme="minorHAnsi" w:hAnsiTheme="minorHAnsi" w:cs="Calibri"/>
          <w:iCs/>
          <w:lang w:eastAsia="en-AU"/>
        </w:rPr>
        <w:t xml:space="preserve">might also displace other </w:t>
      </w:r>
      <w:r w:rsidR="00384090" w:rsidRPr="00122B8A">
        <w:rPr>
          <w:rFonts w:asciiTheme="minorHAnsi" w:hAnsiTheme="minorHAnsi" w:cs="Calibri"/>
          <w:iCs/>
          <w:lang w:eastAsia="en-AU"/>
        </w:rPr>
        <w:t xml:space="preserve">emtricitabine/tenofovir </w:t>
      </w:r>
      <w:proofErr w:type="spellStart"/>
      <w:r w:rsidR="00384090" w:rsidRPr="00122B8A">
        <w:rPr>
          <w:rFonts w:asciiTheme="minorHAnsi" w:hAnsiTheme="minorHAnsi" w:cs="Calibri"/>
          <w:iCs/>
          <w:lang w:eastAsia="en-AU"/>
        </w:rPr>
        <w:t>disoproxil</w:t>
      </w:r>
      <w:proofErr w:type="spellEnd"/>
      <w:r w:rsidR="00384090" w:rsidRPr="00122B8A">
        <w:rPr>
          <w:rFonts w:asciiTheme="minorHAnsi" w:hAnsiTheme="minorHAnsi" w:cs="Calibri"/>
          <w:iCs/>
          <w:lang w:eastAsia="en-AU"/>
        </w:rPr>
        <w:t xml:space="preserve"> fumarate</w:t>
      </w:r>
      <w:r w:rsidR="00CD5A54" w:rsidRPr="00122B8A">
        <w:rPr>
          <w:rFonts w:asciiTheme="minorHAnsi" w:hAnsiTheme="minorHAnsi" w:cs="Calibri"/>
          <w:iCs/>
          <w:lang w:eastAsia="en-AU"/>
        </w:rPr>
        <w:t>-containing single tablet and multi-tablet highly active antiretroviral therapies as well as TRIUMEQ® for adolescents and pati</w:t>
      </w:r>
      <w:r w:rsidR="000907FA" w:rsidRPr="00122B8A">
        <w:rPr>
          <w:rFonts w:asciiTheme="minorHAnsi" w:hAnsiTheme="minorHAnsi" w:cs="Calibri"/>
          <w:iCs/>
          <w:lang w:eastAsia="en-AU"/>
        </w:rPr>
        <w:t>ents with renal impairment.</w:t>
      </w:r>
      <w:r w:rsidR="00A36B06" w:rsidRPr="00122B8A">
        <w:rPr>
          <w:rFonts w:asciiTheme="minorHAnsi" w:hAnsiTheme="minorHAnsi"/>
          <w:sz w:val="22"/>
        </w:rPr>
        <w:t xml:space="preserve"> </w:t>
      </w:r>
    </w:p>
    <w:p w:rsidR="00962158" w:rsidRPr="00FC0238" w:rsidRDefault="00962158" w:rsidP="00BB4291">
      <w:pPr>
        <w:pStyle w:val="ListParagraph"/>
        <w:numPr>
          <w:ilvl w:val="1"/>
          <w:numId w:val="3"/>
        </w:numPr>
        <w:rPr>
          <w:rFonts w:cs="Calibri"/>
          <w:iCs/>
          <w:snapToGrid/>
          <w:szCs w:val="24"/>
          <w:lang w:eastAsia="en-AU"/>
        </w:rPr>
      </w:pPr>
      <w:r w:rsidRPr="00FC0238">
        <w:rPr>
          <w:rFonts w:asciiTheme="minorHAnsi" w:hAnsiTheme="minorHAnsi"/>
          <w:szCs w:val="24"/>
        </w:rPr>
        <w:t xml:space="preserve">The PBAC considered the submission’s nominated comparators of DESCOVY® plus </w:t>
      </w:r>
      <w:proofErr w:type="spellStart"/>
      <w:r w:rsidRPr="00FC0238">
        <w:rPr>
          <w:rFonts w:asciiTheme="minorHAnsi" w:hAnsiTheme="minorHAnsi"/>
          <w:szCs w:val="24"/>
        </w:rPr>
        <w:t>dolutegravir</w:t>
      </w:r>
      <w:proofErr w:type="spellEnd"/>
      <w:r w:rsidRPr="00FC0238">
        <w:rPr>
          <w:rFonts w:asciiTheme="minorHAnsi" w:hAnsiTheme="minorHAnsi"/>
          <w:szCs w:val="24"/>
        </w:rPr>
        <w:t xml:space="preserve"> </w:t>
      </w:r>
      <w:r w:rsidR="00AD01A9" w:rsidRPr="00FC0238">
        <w:rPr>
          <w:rFonts w:asciiTheme="minorHAnsi" w:hAnsiTheme="minorHAnsi"/>
          <w:szCs w:val="24"/>
        </w:rPr>
        <w:t>(</w:t>
      </w:r>
      <w:r w:rsidRPr="00FC0238">
        <w:rPr>
          <w:rFonts w:asciiTheme="minorHAnsi" w:hAnsiTheme="minorHAnsi"/>
          <w:szCs w:val="24"/>
        </w:rPr>
        <w:t>main comparator</w:t>
      </w:r>
      <w:r w:rsidR="00AD01A9" w:rsidRPr="00FC0238">
        <w:rPr>
          <w:rFonts w:asciiTheme="minorHAnsi" w:hAnsiTheme="minorHAnsi"/>
          <w:szCs w:val="24"/>
        </w:rPr>
        <w:t>)</w:t>
      </w:r>
      <w:r w:rsidRPr="00FC0238">
        <w:rPr>
          <w:rFonts w:asciiTheme="minorHAnsi" w:hAnsiTheme="minorHAnsi"/>
          <w:szCs w:val="24"/>
        </w:rPr>
        <w:t xml:space="preserve">, and GENVOYA® and ODEFSEY® </w:t>
      </w:r>
      <w:r w:rsidR="00AD01A9" w:rsidRPr="00FC0238">
        <w:rPr>
          <w:rFonts w:asciiTheme="minorHAnsi" w:hAnsiTheme="minorHAnsi"/>
          <w:szCs w:val="24"/>
        </w:rPr>
        <w:t>(</w:t>
      </w:r>
      <w:r w:rsidRPr="00FC0238">
        <w:rPr>
          <w:rFonts w:asciiTheme="minorHAnsi" w:hAnsiTheme="minorHAnsi"/>
          <w:szCs w:val="24"/>
        </w:rPr>
        <w:t>supplementary comparators</w:t>
      </w:r>
      <w:r w:rsidR="00AD01A9" w:rsidRPr="00FC0238">
        <w:rPr>
          <w:rFonts w:asciiTheme="minorHAnsi" w:hAnsiTheme="minorHAnsi"/>
          <w:szCs w:val="24"/>
        </w:rPr>
        <w:t>)</w:t>
      </w:r>
      <w:r w:rsidRPr="00FC0238">
        <w:rPr>
          <w:rFonts w:asciiTheme="minorHAnsi" w:hAnsiTheme="minorHAnsi"/>
          <w:szCs w:val="24"/>
        </w:rPr>
        <w:t xml:space="preserve"> </w:t>
      </w:r>
      <w:r w:rsidR="005019AF" w:rsidRPr="00FC0238">
        <w:rPr>
          <w:rFonts w:asciiTheme="minorHAnsi" w:hAnsiTheme="minorHAnsi"/>
          <w:szCs w:val="24"/>
        </w:rPr>
        <w:t>to be</w:t>
      </w:r>
      <w:r w:rsidRPr="00FC0238">
        <w:rPr>
          <w:rFonts w:asciiTheme="minorHAnsi" w:hAnsiTheme="minorHAnsi"/>
          <w:szCs w:val="24"/>
        </w:rPr>
        <w:t xml:space="preserve"> appropriate. However the PBAC agreed with the ESC </w:t>
      </w:r>
      <w:r w:rsidR="00BB4291" w:rsidRPr="00FC0238">
        <w:rPr>
          <w:rFonts w:asciiTheme="minorHAnsi" w:hAnsiTheme="minorHAnsi"/>
          <w:szCs w:val="24"/>
        </w:rPr>
        <w:t>that all triple-therapy FDCs for the treatment of HIV could be considered alternative therapies</w:t>
      </w:r>
      <w:r w:rsidR="00250671" w:rsidRPr="00FC0238">
        <w:rPr>
          <w:rFonts w:asciiTheme="minorHAnsi" w:hAnsiTheme="minorHAnsi"/>
          <w:szCs w:val="24"/>
        </w:rPr>
        <w:t>.</w:t>
      </w:r>
    </w:p>
    <w:p w:rsidR="004D466F" w:rsidRDefault="00A36B06" w:rsidP="00A36B06">
      <w:pPr>
        <w:pStyle w:val="ListParagraph"/>
        <w:ind w:left="709"/>
        <w:rPr>
          <w:rFonts w:asciiTheme="minorHAnsi" w:hAnsiTheme="minorHAnsi"/>
          <w:i/>
        </w:rPr>
      </w:pPr>
      <w:r w:rsidRPr="009B0ECD">
        <w:rPr>
          <w:rFonts w:asciiTheme="minorHAnsi" w:hAnsiTheme="minorHAnsi"/>
          <w:i/>
        </w:rPr>
        <w:t>For more detail on PBAC’s view, see section 7 PBAC outcome.</w:t>
      </w:r>
    </w:p>
    <w:p w:rsidR="00B50DB8" w:rsidRPr="003C74AB" w:rsidRDefault="00BD6CF3" w:rsidP="003C74AB">
      <w:pPr>
        <w:pStyle w:val="PBACHeading1"/>
        <w:numPr>
          <w:ilvl w:val="0"/>
          <w:numId w:val="3"/>
        </w:numPr>
        <w:spacing w:before="0"/>
        <w:outlineLvl w:val="0"/>
      </w:pPr>
      <w:bookmarkStart w:id="6" w:name="_Toc503214686"/>
      <w:r w:rsidRPr="003C74AB">
        <w:t>C</w:t>
      </w:r>
      <w:r w:rsidR="00B50DB8" w:rsidRPr="003C74AB">
        <w:t>onsideration of the evidence</w:t>
      </w:r>
      <w:bookmarkEnd w:id="6"/>
    </w:p>
    <w:p w:rsidR="001C7ED2" w:rsidRPr="009B0ECD" w:rsidRDefault="001C7ED2" w:rsidP="003D0925">
      <w:pPr>
        <w:pStyle w:val="Heading2"/>
        <w:spacing w:before="120" w:after="120"/>
      </w:pPr>
      <w:r w:rsidRPr="009B0ECD">
        <w:t>Sponsor hearing</w:t>
      </w:r>
    </w:p>
    <w:p w:rsidR="001C7ED2" w:rsidRPr="009B0ECD" w:rsidRDefault="009B0ECD" w:rsidP="001C7ED2">
      <w:pPr>
        <w:widowControl w:val="0"/>
        <w:numPr>
          <w:ilvl w:val="1"/>
          <w:numId w:val="3"/>
        </w:numPr>
        <w:spacing w:after="120"/>
        <w:jc w:val="both"/>
        <w:rPr>
          <w:rFonts w:asciiTheme="minorHAnsi" w:hAnsiTheme="minorHAnsi" w:cs="Arial"/>
          <w:bCs/>
          <w:snapToGrid w:val="0"/>
        </w:rPr>
      </w:pPr>
      <w:r w:rsidRPr="009B0ECD">
        <w:rPr>
          <w:rFonts w:asciiTheme="minorHAnsi" w:hAnsiTheme="minorHAnsi" w:cs="Arial"/>
          <w:bCs/>
          <w:snapToGrid w:val="0"/>
        </w:rPr>
        <w:t>There was no hearing for this item.</w:t>
      </w:r>
    </w:p>
    <w:p w:rsidR="001C7ED2" w:rsidRPr="009B0ECD" w:rsidRDefault="001C7ED2" w:rsidP="003D0925">
      <w:pPr>
        <w:pStyle w:val="Heading2"/>
        <w:spacing w:before="120" w:after="120"/>
      </w:pPr>
      <w:r w:rsidRPr="009B0ECD">
        <w:t>Consumer comments</w:t>
      </w:r>
    </w:p>
    <w:p w:rsidR="00122B8A" w:rsidRPr="009B0ECD" w:rsidRDefault="009B0ECD" w:rsidP="00104907">
      <w:pPr>
        <w:widowControl w:val="0"/>
        <w:numPr>
          <w:ilvl w:val="1"/>
          <w:numId w:val="3"/>
        </w:numPr>
        <w:spacing w:after="120"/>
        <w:jc w:val="both"/>
        <w:rPr>
          <w:rFonts w:asciiTheme="minorHAnsi" w:hAnsiTheme="minorHAnsi" w:cs="Arial"/>
          <w:bCs/>
          <w:snapToGrid w:val="0"/>
        </w:rPr>
      </w:pPr>
      <w:r w:rsidRPr="009B0ECD">
        <w:rPr>
          <w:rFonts w:asciiTheme="minorHAnsi" w:hAnsiTheme="minorHAnsi" w:cs="Arial"/>
          <w:bCs/>
          <w:snapToGrid w:val="0"/>
        </w:rPr>
        <w:lastRenderedPageBreak/>
        <w:t>The PBAC noted that no consumer comments were received for this item</w:t>
      </w:r>
      <w:r w:rsidR="001C7ED2" w:rsidRPr="009B0ECD">
        <w:rPr>
          <w:rFonts w:asciiTheme="minorHAnsi" w:hAnsiTheme="minorHAnsi" w:cs="Arial"/>
          <w:bCs/>
          <w:snapToGrid w:val="0"/>
        </w:rPr>
        <w:t>.</w:t>
      </w:r>
    </w:p>
    <w:p w:rsidR="00B60939" w:rsidRPr="009B0ECD" w:rsidRDefault="00B60939" w:rsidP="00DD3B41">
      <w:pPr>
        <w:pStyle w:val="Heading2"/>
        <w:spacing w:before="120" w:after="120"/>
        <w:rPr>
          <w:rFonts w:asciiTheme="minorHAnsi" w:hAnsiTheme="minorHAnsi"/>
        </w:rPr>
      </w:pPr>
      <w:bookmarkStart w:id="7" w:name="_Toc503214687"/>
      <w:r w:rsidRPr="009B0ECD">
        <w:rPr>
          <w:rFonts w:asciiTheme="minorHAnsi" w:hAnsiTheme="minorHAnsi"/>
        </w:rPr>
        <w:t>Clinical trials</w:t>
      </w:r>
      <w:bookmarkEnd w:id="7"/>
    </w:p>
    <w:p w:rsidR="00364C5D" w:rsidRPr="003F4BE3" w:rsidRDefault="00364C5D" w:rsidP="00330F58">
      <w:pPr>
        <w:pStyle w:val="ListParagraph"/>
        <w:numPr>
          <w:ilvl w:val="1"/>
          <w:numId w:val="3"/>
        </w:numPr>
        <w:spacing w:before="160" w:after="0"/>
        <w:rPr>
          <w:rFonts w:cs="Calibri"/>
          <w:snapToGrid/>
          <w:color w:val="000000" w:themeColor="text1"/>
          <w:szCs w:val="24"/>
          <w:lang w:eastAsia="en-AU"/>
        </w:rPr>
      </w:pPr>
      <w:r w:rsidRPr="003F4BE3">
        <w:rPr>
          <w:rFonts w:cs="Calibri"/>
          <w:snapToGrid/>
          <w:color w:val="000000" w:themeColor="text1"/>
          <w:szCs w:val="24"/>
          <w:lang w:eastAsia="en-AU"/>
        </w:rPr>
        <w:t>The submission was based on two</w:t>
      </w:r>
      <w:r w:rsidR="00B050E8" w:rsidRPr="003F4BE3">
        <w:rPr>
          <w:rFonts w:cs="Calibri"/>
          <w:snapToGrid/>
          <w:color w:val="000000" w:themeColor="text1"/>
          <w:szCs w:val="24"/>
          <w:lang w:eastAsia="en-AU"/>
        </w:rPr>
        <w:t xml:space="preserve"> direct</w:t>
      </w:r>
      <w:r w:rsidRPr="003F4BE3">
        <w:rPr>
          <w:rFonts w:cs="Calibri"/>
          <w:snapToGrid/>
          <w:color w:val="000000" w:themeColor="text1"/>
          <w:szCs w:val="24"/>
          <w:lang w:eastAsia="en-AU"/>
        </w:rPr>
        <w:t xml:space="preserve"> randomised trials:</w:t>
      </w:r>
    </w:p>
    <w:p w:rsidR="00364C5D" w:rsidRPr="003F4BE3" w:rsidRDefault="00364C5D" w:rsidP="00330F58">
      <w:pPr>
        <w:pStyle w:val="ListParagraph"/>
        <w:numPr>
          <w:ilvl w:val="0"/>
          <w:numId w:val="18"/>
        </w:numPr>
        <w:spacing w:after="0"/>
        <w:ind w:left="998" w:hanging="289"/>
        <w:rPr>
          <w:rFonts w:cs="Calibri"/>
          <w:snapToGrid/>
          <w:color w:val="000000" w:themeColor="text1"/>
          <w:lang w:eastAsia="en-AU"/>
        </w:rPr>
      </w:pPr>
      <w:r w:rsidRPr="003F4BE3">
        <w:rPr>
          <w:rFonts w:cs="Calibri"/>
          <w:snapToGrid/>
          <w:color w:val="000000" w:themeColor="text1"/>
          <w:lang w:eastAsia="en-AU"/>
        </w:rPr>
        <w:t xml:space="preserve">GS-US-380-1490 (Trial 1490; n=600), comparison of BFTAF and </w:t>
      </w:r>
      <w:r w:rsidR="006A6F37" w:rsidRPr="003F4BE3">
        <w:rPr>
          <w:rFonts w:cs="Calibri"/>
          <w:snapToGrid/>
          <w:color w:val="000000" w:themeColor="text1"/>
          <w:lang w:eastAsia="en-AU"/>
        </w:rPr>
        <w:t>DESCOVY®</w:t>
      </w:r>
      <w:r w:rsidRPr="003F4BE3">
        <w:rPr>
          <w:rFonts w:cs="Calibri"/>
          <w:snapToGrid/>
          <w:color w:val="000000" w:themeColor="text1"/>
          <w:lang w:eastAsia="en-AU"/>
        </w:rPr>
        <w:t xml:space="preserve"> plus </w:t>
      </w:r>
      <w:proofErr w:type="spellStart"/>
      <w:r w:rsidRPr="003F4BE3">
        <w:rPr>
          <w:rFonts w:cs="Calibri"/>
          <w:snapToGrid/>
          <w:color w:val="000000" w:themeColor="text1"/>
          <w:lang w:eastAsia="en-AU"/>
        </w:rPr>
        <w:t>dolutegravir</w:t>
      </w:r>
      <w:proofErr w:type="spellEnd"/>
      <w:r w:rsidRPr="003F4BE3">
        <w:rPr>
          <w:rFonts w:cs="Calibri"/>
          <w:snapToGrid/>
          <w:color w:val="000000" w:themeColor="text1"/>
          <w:lang w:eastAsia="en-AU"/>
        </w:rPr>
        <w:t xml:space="preserve"> in treatment</w:t>
      </w:r>
      <w:r w:rsidR="00F118B8" w:rsidRPr="003F4BE3">
        <w:rPr>
          <w:rFonts w:cs="Calibri"/>
          <w:snapToGrid/>
          <w:color w:val="000000" w:themeColor="text1"/>
          <w:lang w:eastAsia="en-AU"/>
        </w:rPr>
        <w:t>-</w:t>
      </w:r>
      <w:r w:rsidR="00330F58">
        <w:rPr>
          <w:rFonts w:cs="Calibri"/>
          <w:snapToGrid/>
          <w:color w:val="000000" w:themeColor="text1"/>
          <w:lang w:eastAsia="en-AU"/>
        </w:rPr>
        <w:t>naïve patients</w:t>
      </w:r>
    </w:p>
    <w:p w:rsidR="00364C5D" w:rsidRPr="003F4BE3" w:rsidRDefault="00364C5D" w:rsidP="00330F58">
      <w:pPr>
        <w:pStyle w:val="ListParagraph"/>
        <w:numPr>
          <w:ilvl w:val="0"/>
          <w:numId w:val="18"/>
        </w:numPr>
        <w:ind w:left="998" w:hanging="289"/>
        <w:rPr>
          <w:rFonts w:cs="Calibri"/>
          <w:snapToGrid/>
          <w:color w:val="000000" w:themeColor="text1"/>
          <w:lang w:eastAsia="en-AU"/>
        </w:rPr>
      </w:pPr>
      <w:r w:rsidRPr="003F4BE3">
        <w:rPr>
          <w:rFonts w:cs="Calibri"/>
          <w:snapToGrid/>
          <w:color w:val="000000" w:themeColor="text1"/>
          <w:szCs w:val="24"/>
          <w:lang w:eastAsia="en-AU"/>
        </w:rPr>
        <w:t xml:space="preserve">GS-US-380-1878 (Trial 1878; n=520), comparison of patients switching to BFTAF and those who stayed on their baseline regimen (SBR) consisting of either cobicistat or ritonavir boosted atazanavir or darunavir plus either </w:t>
      </w:r>
      <w:r w:rsidR="006A6F37" w:rsidRPr="003F4BE3">
        <w:rPr>
          <w:rFonts w:cs="Calibri"/>
          <w:snapToGrid/>
          <w:color w:val="000000" w:themeColor="text1"/>
          <w:szCs w:val="24"/>
          <w:lang w:eastAsia="en-AU"/>
        </w:rPr>
        <w:t>TRUVADA®</w:t>
      </w:r>
      <w:r w:rsidRPr="003F4BE3">
        <w:rPr>
          <w:rFonts w:cs="Calibri"/>
          <w:snapToGrid/>
          <w:color w:val="000000" w:themeColor="text1"/>
          <w:szCs w:val="24"/>
          <w:lang w:eastAsia="en-AU"/>
        </w:rPr>
        <w:t xml:space="preserve"> or </w:t>
      </w:r>
      <w:r w:rsidR="006A6F37" w:rsidRPr="003F4BE3">
        <w:rPr>
          <w:rFonts w:cs="Calibri"/>
          <w:snapToGrid/>
          <w:color w:val="000000" w:themeColor="text1"/>
          <w:szCs w:val="24"/>
          <w:lang w:eastAsia="en-AU"/>
        </w:rPr>
        <w:t>KIVEXA®</w:t>
      </w:r>
      <w:r w:rsidRPr="003F4BE3">
        <w:rPr>
          <w:rFonts w:cs="Calibri"/>
          <w:snapToGrid/>
          <w:color w:val="000000" w:themeColor="text1"/>
          <w:szCs w:val="24"/>
          <w:lang w:eastAsia="en-AU"/>
        </w:rPr>
        <w:t xml:space="preserve"> in virologically suppressed (treatment-experienced) patients.</w:t>
      </w:r>
    </w:p>
    <w:p w:rsidR="00364C5D" w:rsidRPr="003F4BE3" w:rsidRDefault="00364C5D" w:rsidP="00C953C8">
      <w:pPr>
        <w:pStyle w:val="ListParagraph"/>
        <w:numPr>
          <w:ilvl w:val="1"/>
          <w:numId w:val="3"/>
        </w:numPr>
        <w:spacing w:after="0"/>
        <w:rPr>
          <w:rFonts w:cs="Calibri"/>
          <w:snapToGrid/>
          <w:color w:val="000000" w:themeColor="text1"/>
          <w:szCs w:val="24"/>
          <w:lang w:eastAsia="en-AU"/>
        </w:rPr>
      </w:pPr>
      <w:r w:rsidRPr="003F4BE3">
        <w:rPr>
          <w:rFonts w:cs="Calibri"/>
          <w:snapToGrid/>
          <w:color w:val="000000" w:themeColor="text1"/>
          <w:szCs w:val="24"/>
          <w:lang w:eastAsia="en-AU"/>
        </w:rPr>
        <w:t>The submission also identified two supplementary trials</w:t>
      </w:r>
      <w:r w:rsidR="00C953C8" w:rsidRPr="003F4BE3">
        <w:rPr>
          <w:rFonts w:cs="Calibri"/>
          <w:snapToGrid/>
          <w:color w:val="000000" w:themeColor="text1"/>
          <w:szCs w:val="24"/>
          <w:lang w:eastAsia="en-AU"/>
        </w:rPr>
        <w:t xml:space="preserve"> (included only by the submission in the “Extended assessment of comparative harms”)</w:t>
      </w:r>
      <w:r w:rsidRPr="003F4BE3">
        <w:rPr>
          <w:rFonts w:cs="Calibri"/>
          <w:snapToGrid/>
          <w:color w:val="000000" w:themeColor="text1"/>
          <w:szCs w:val="24"/>
          <w:lang w:eastAsia="en-AU"/>
        </w:rPr>
        <w:t>:</w:t>
      </w:r>
    </w:p>
    <w:p w:rsidR="00364C5D" w:rsidRPr="003F4BE3" w:rsidRDefault="00364C5D" w:rsidP="0097693F">
      <w:pPr>
        <w:pStyle w:val="ListParagraph"/>
        <w:numPr>
          <w:ilvl w:val="0"/>
          <w:numId w:val="19"/>
        </w:numPr>
        <w:spacing w:after="0"/>
        <w:ind w:left="994" w:hanging="288"/>
        <w:rPr>
          <w:rFonts w:cs="Calibri"/>
          <w:snapToGrid/>
          <w:color w:val="000000" w:themeColor="text1"/>
          <w:lang w:eastAsia="en-AU"/>
        </w:rPr>
      </w:pPr>
      <w:r w:rsidRPr="003F4BE3">
        <w:rPr>
          <w:rFonts w:cs="Calibri"/>
          <w:snapToGrid/>
          <w:color w:val="000000" w:themeColor="text1"/>
          <w:lang w:eastAsia="en-AU"/>
        </w:rPr>
        <w:t xml:space="preserve">GS-US-380-1489 (Trial 1489; n=629) comparison of BFTAF to </w:t>
      </w:r>
      <w:r w:rsidR="00D0277C" w:rsidRPr="003F4BE3">
        <w:rPr>
          <w:rFonts w:cs="Calibri"/>
          <w:snapToGrid/>
          <w:color w:val="000000" w:themeColor="text1"/>
          <w:lang w:eastAsia="en-AU"/>
        </w:rPr>
        <w:t>TRIUMEQ®</w:t>
      </w:r>
      <w:r w:rsidR="00330F58">
        <w:rPr>
          <w:rFonts w:cs="Calibri"/>
          <w:snapToGrid/>
          <w:color w:val="000000" w:themeColor="text1"/>
          <w:lang w:eastAsia="en-AU"/>
        </w:rPr>
        <w:t xml:space="preserve"> in treatment-naïve patients</w:t>
      </w:r>
    </w:p>
    <w:p w:rsidR="00364C5D" w:rsidRPr="003F4BE3" w:rsidRDefault="00364C5D" w:rsidP="0097693F">
      <w:pPr>
        <w:pStyle w:val="ListParagraph"/>
        <w:numPr>
          <w:ilvl w:val="0"/>
          <w:numId w:val="19"/>
        </w:numPr>
        <w:ind w:left="994" w:hanging="288"/>
        <w:rPr>
          <w:rFonts w:cs="Calibri"/>
          <w:snapToGrid/>
          <w:color w:val="000000" w:themeColor="text1"/>
          <w:lang w:eastAsia="en-AU"/>
        </w:rPr>
      </w:pPr>
      <w:r w:rsidRPr="003F4BE3">
        <w:rPr>
          <w:rFonts w:cs="Calibri"/>
          <w:snapToGrid/>
          <w:color w:val="000000" w:themeColor="text1"/>
          <w:szCs w:val="24"/>
          <w:lang w:eastAsia="en-AU"/>
        </w:rPr>
        <w:t xml:space="preserve">GS-US-380-1844 (Trial 1844, n=563) comparison of patients switching to BFTAF and those who stayed on a regimen of </w:t>
      </w:r>
      <w:r w:rsidR="006A6F37" w:rsidRPr="003F4BE3">
        <w:rPr>
          <w:rFonts w:cs="Calibri"/>
          <w:snapToGrid/>
          <w:color w:val="000000" w:themeColor="text1"/>
          <w:szCs w:val="24"/>
          <w:lang w:eastAsia="en-AU"/>
        </w:rPr>
        <w:t>KIVEXA®</w:t>
      </w:r>
      <w:r w:rsidR="0034161F" w:rsidRPr="003F4BE3">
        <w:rPr>
          <w:rFonts w:cs="Calibri"/>
          <w:snapToGrid/>
          <w:color w:val="000000" w:themeColor="text1"/>
          <w:szCs w:val="24"/>
          <w:lang w:eastAsia="en-AU"/>
        </w:rPr>
        <w:t xml:space="preserve"> + </w:t>
      </w:r>
      <w:proofErr w:type="spellStart"/>
      <w:r w:rsidR="0034161F" w:rsidRPr="003F4BE3">
        <w:rPr>
          <w:rFonts w:cs="Calibri"/>
          <w:snapToGrid/>
          <w:color w:val="000000" w:themeColor="text1"/>
          <w:szCs w:val="24"/>
          <w:lang w:eastAsia="en-AU"/>
        </w:rPr>
        <w:t>dolutegravir</w:t>
      </w:r>
      <w:proofErr w:type="spellEnd"/>
      <w:r w:rsidRPr="003F4BE3">
        <w:rPr>
          <w:rFonts w:cs="Calibri"/>
          <w:snapToGrid/>
          <w:color w:val="000000" w:themeColor="text1"/>
          <w:szCs w:val="24"/>
          <w:lang w:eastAsia="en-AU"/>
        </w:rPr>
        <w:t xml:space="preserve"> or </w:t>
      </w:r>
      <w:r w:rsidR="00D0277C" w:rsidRPr="003F4BE3">
        <w:rPr>
          <w:rFonts w:cs="Calibri"/>
          <w:snapToGrid/>
          <w:color w:val="000000" w:themeColor="text1"/>
          <w:szCs w:val="24"/>
          <w:lang w:eastAsia="en-AU"/>
        </w:rPr>
        <w:t>TRIUMEQ®</w:t>
      </w:r>
      <w:r w:rsidRPr="003F4BE3">
        <w:rPr>
          <w:rFonts w:cs="Calibri"/>
          <w:snapToGrid/>
          <w:color w:val="000000" w:themeColor="text1"/>
          <w:szCs w:val="24"/>
          <w:lang w:eastAsia="en-AU"/>
        </w:rPr>
        <w:t xml:space="preserve"> in virologically suppressed (treatment-experienced) patients.</w:t>
      </w:r>
    </w:p>
    <w:p w:rsidR="00F76F05" w:rsidRPr="00F76F05" w:rsidRDefault="00364C5D" w:rsidP="00F76F05">
      <w:pPr>
        <w:pStyle w:val="ListParagraph"/>
        <w:numPr>
          <w:ilvl w:val="1"/>
          <w:numId w:val="3"/>
        </w:numPr>
        <w:rPr>
          <w:rFonts w:cs="Calibri"/>
          <w:snapToGrid/>
          <w:color w:val="000000" w:themeColor="text1"/>
          <w:szCs w:val="24"/>
          <w:lang w:eastAsia="en-AU"/>
        </w:rPr>
      </w:pPr>
      <w:r w:rsidRPr="00F76F05">
        <w:rPr>
          <w:rFonts w:cs="Calibri"/>
          <w:snapToGrid/>
          <w:color w:val="000000" w:themeColor="text1"/>
          <w:lang w:eastAsia="en-AU"/>
        </w:rPr>
        <w:t xml:space="preserve">The exclusion of </w:t>
      </w:r>
      <w:r w:rsidR="00C953C8" w:rsidRPr="00F76F05">
        <w:rPr>
          <w:rFonts w:cs="Calibri"/>
          <w:snapToGrid/>
          <w:color w:val="000000" w:themeColor="text1"/>
          <w:lang w:eastAsia="en-AU"/>
        </w:rPr>
        <w:t>Trials 1489 and 1844</w:t>
      </w:r>
      <w:r w:rsidR="00283669" w:rsidRPr="00F76F05">
        <w:rPr>
          <w:rFonts w:cs="Calibri"/>
          <w:snapToGrid/>
          <w:color w:val="000000" w:themeColor="text1"/>
          <w:lang w:eastAsia="en-AU"/>
        </w:rPr>
        <w:t xml:space="preserve"> from </w:t>
      </w:r>
      <w:r w:rsidR="00C953C8" w:rsidRPr="00F76F05">
        <w:rPr>
          <w:rFonts w:cs="Calibri"/>
          <w:snapToGrid/>
          <w:color w:val="000000" w:themeColor="text1"/>
          <w:lang w:eastAsia="en-AU"/>
        </w:rPr>
        <w:t xml:space="preserve">the </w:t>
      </w:r>
      <w:r w:rsidR="00283669" w:rsidRPr="00F76F05">
        <w:rPr>
          <w:rFonts w:cs="Calibri"/>
          <w:snapToGrid/>
          <w:color w:val="000000" w:themeColor="text1"/>
          <w:lang w:eastAsia="en-AU"/>
        </w:rPr>
        <w:t>clinical evaluation</w:t>
      </w:r>
      <w:r w:rsidRPr="00F76F05">
        <w:rPr>
          <w:rFonts w:cs="Calibri"/>
          <w:snapToGrid/>
          <w:color w:val="000000" w:themeColor="text1"/>
          <w:lang w:eastAsia="en-AU"/>
        </w:rPr>
        <w:t xml:space="preserve"> </w:t>
      </w:r>
      <w:r w:rsidR="00C953C8" w:rsidRPr="00F76F05">
        <w:rPr>
          <w:rFonts w:cs="Calibri"/>
          <w:snapToGrid/>
          <w:color w:val="000000" w:themeColor="text1"/>
          <w:lang w:eastAsia="en-AU"/>
        </w:rPr>
        <w:t xml:space="preserve">presented </w:t>
      </w:r>
      <w:r w:rsidR="004A0F1B" w:rsidRPr="00F76F05">
        <w:rPr>
          <w:rFonts w:cs="Calibri"/>
          <w:snapToGrid/>
          <w:color w:val="000000" w:themeColor="text1"/>
          <w:lang w:eastAsia="en-AU"/>
        </w:rPr>
        <w:t>in</w:t>
      </w:r>
      <w:r w:rsidR="00C953C8" w:rsidRPr="00F76F05">
        <w:rPr>
          <w:rFonts w:cs="Calibri"/>
          <w:snapToGrid/>
          <w:color w:val="000000" w:themeColor="text1"/>
          <w:lang w:eastAsia="en-AU"/>
        </w:rPr>
        <w:t xml:space="preserve"> the submission </w:t>
      </w:r>
      <w:r w:rsidRPr="00F76F05">
        <w:rPr>
          <w:rFonts w:cs="Calibri"/>
          <w:snapToGrid/>
          <w:color w:val="000000" w:themeColor="text1"/>
          <w:lang w:eastAsia="en-AU"/>
        </w:rPr>
        <w:t xml:space="preserve">was based on the absence of an emtricitabine/tenofovir </w:t>
      </w:r>
      <w:proofErr w:type="spellStart"/>
      <w:r w:rsidRPr="00F76F05">
        <w:rPr>
          <w:rFonts w:cs="Calibri"/>
          <w:snapToGrid/>
          <w:color w:val="000000" w:themeColor="text1"/>
          <w:lang w:eastAsia="en-AU"/>
        </w:rPr>
        <w:t>alafenamide</w:t>
      </w:r>
      <w:proofErr w:type="spellEnd"/>
      <w:r w:rsidRPr="00F76F05">
        <w:rPr>
          <w:rFonts w:cs="Calibri"/>
          <w:snapToGrid/>
          <w:color w:val="000000" w:themeColor="text1"/>
          <w:lang w:eastAsia="en-AU"/>
        </w:rPr>
        <w:t xml:space="preserve"> comparator arm, which </w:t>
      </w:r>
      <w:r w:rsidR="0097693F" w:rsidRPr="00F76F05">
        <w:rPr>
          <w:rFonts w:cs="Calibri"/>
          <w:snapToGrid/>
          <w:color w:val="000000" w:themeColor="text1"/>
          <w:lang w:eastAsia="en-AU"/>
        </w:rPr>
        <w:t>was</w:t>
      </w:r>
      <w:r w:rsidRPr="00F76F05">
        <w:rPr>
          <w:rFonts w:cs="Calibri"/>
          <w:snapToGrid/>
          <w:color w:val="000000" w:themeColor="text1"/>
          <w:lang w:eastAsia="en-AU"/>
        </w:rPr>
        <w:t xml:space="preserve"> inconsistent with the inclusion of Trial 1878. These other treatment regimens represent alternative therapies and their exclusion may not be appropriate. </w:t>
      </w:r>
      <w:r w:rsidR="00F76F05" w:rsidRPr="00F76F05">
        <w:rPr>
          <w:rFonts w:cs="Calibri"/>
          <w:snapToGrid/>
          <w:color w:val="000000" w:themeColor="text1"/>
          <w:szCs w:val="24"/>
          <w:lang w:eastAsia="en-AU"/>
        </w:rPr>
        <w:t>The Pre-PBAC Response argued that the comparison of BFTAF to ABC</w:t>
      </w:r>
      <w:r w:rsidR="00A724A0">
        <w:rPr>
          <w:rFonts w:cs="Calibri"/>
          <w:snapToGrid/>
          <w:color w:val="000000" w:themeColor="text1"/>
          <w:szCs w:val="24"/>
          <w:lang w:eastAsia="en-AU"/>
        </w:rPr>
        <w:t>/3TC</w:t>
      </w:r>
      <w:r w:rsidR="00F76F05" w:rsidRPr="00F76F05">
        <w:rPr>
          <w:rFonts w:cs="Calibri"/>
          <w:snapToGrid/>
          <w:color w:val="000000" w:themeColor="text1"/>
          <w:szCs w:val="24"/>
          <w:lang w:eastAsia="en-AU"/>
        </w:rPr>
        <w:t>-based regimens in Trials 1489 and 1844 w</w:t>
      </w:r>
      <w:r w:rsidR="00AD01A9">
        <w:rPr>
          <w:rFonts w:cs="Calibri"/>
          <w:snapToGrid/>
          <w:color w:val="000000" w:themeColor="text1"/>
          <w:szCs w:val="24"/>
          <w:lang w:eastAsia="en-AU"/>
        </w:rPr>
        <w:t>as</w:t>
      </w:r>
      <w:r w:rsidR="00F76F05" w:rsidRPr="00F76F05">
        <w:rPr>
          <w:rFonts w:cs="Calibri"/>
          <w:snapToGrid/>
          <w:color w:val="000000" w:themeColor="text1"/>
          <w:szCs w:val="24"/>
          <w:lang w:eastAsia="en-AU"/>
        </w:rPr>
        <w:t xml:space="preserve"> not relevant in the context of the Australian treatment algorithm.</w:t>
      </w:r>
    </w:p>
    <w:p w:rsidR="00862502" w:rsidRPr="003F4BE3" w:rsidRDefault="00A73134" w:rsidP="00F93CD9">
      <w:pPr>
        <w:pStyle w:val="ListParagraph"/>
        <w:widowControl/>
        <w:numPr>
          <w:ilvl w:val="1"/>
          <w:numId w:val="3"/>
        </w:numPr>
      </w:pPr>
      <w:r w:rsidRPr="00F93CD9">
        <w:rPr>
          <w:rFonts w:cs="Calibri"/>
          <w:snapToGrid/>
          <w:szCs w:val="24"/>
          <w:lang w:eastAsia="en-AU"/>
        </w:rPr>
        <w:t>Details of the trials presented in the submission ar</w:t>
      </w:r>
      <w:r w:rsidR="006429E3" w:rsidRPr="00F93CD9">
        <w:rPr>
          <w:rFonts w:cs="Calibri"/>
          <w:snapToGrid/>
          <w:szCs w:val="24"/>
          <w:lang w:eastAsia="en-AU"/>
        </w:rPr>
        <w:t xml:space="preserve">e provided in </w:t>
      </w:r>
      <w:r w:rsidR="00D216D1" w:rsidRPr="00F93CD9">
        <w:rPr>
          <w:rFonts w:cs="Calibri"/>
          <w:snapToGrid/>
          <w:szCs w:val="24"/>
          <w:lang w:eastAsia="en-AU"/>
        </w:rPr>
        <w:t>Table 2</w:t>
      </w:r>
      <w:r w:rsidR="00330F58">
        <w:rPr>
          <w:rFonts w:cs="Calibri"/>
          <w:snapToGrid/>
          <w:szCs w:val="24"/>
          <w:lang w:eastAsia="en-AU"/>
        </w:rPr>
        <w:t>.</w:t>
      </w:r>
    </w:p>
    <w:p w:rsidR="008E0D3C" w:rsidRPr="003F4BE3" w:rsidRDefault="008E0D3C" w:rsidP="00364590">
      <w:pPr>
        <w:keepNext/>
        <w:rPr>
          <w:rStyle w:val="CommentReference"/>
          <w:lang w:val="en-AU"/>
        </w:rPr>
      </w:pPr>
      <w:r w:rsidRPr="003F4BE3">
        <w:rPr>
          <w:rStyle w:val="CommentReference"/>
          <w:lang w:val="en-AU"/>
        </w:rPr>
        <w:lastRenderedPageBreak/>
        <w:t xml:space="preserve">Table </w:t>
      </w:r>
      <w:r w:rsidR="00D216D1" w:rsidRPr="003F4BE3">
        <w:rPr>
          <w:rStyle w:val="CommentReference"/>
          <w:lang w:val="en-AU"/>
        </w:rPr>
        <w:t>2</w:t>
      </w:r>
      <w:r w:rsidRPr="003F4BE3">
        <w:rPr>
          <w:rStyle w:val="CommentReference"/>
          <w:lang w:val="en-AU"/>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8"/>
        <w:gridCol w:w="6120"/>
        <w:gridCol w:w="1675"/>
      </w:tblGrid>
      <w:tr w:rsidR="00364C5D" w:rsidRPr="003F4BE3" w:rsidTr="00002110">
        <w:trPr>
          <w:tblHeader/>
        </w:trPr>
        <w:tc>
          <w:tcPr>
            <w:tcW w:w="709" w:type="pct"/>
            <w:vAlign w:val="center"/>
          </w:tcPr>
          <w:p w:rsidR="00364C5D" w:rsidRPr="003F4BE3" w:rsidRDefault="00364C5D" w:rsidP="00364590">
            <w:pPr>
              <w:pStyle w:val="Tabletext"/>
              <w:keepNext/>
              <w:rPr>
                <w:b/>
              </w:rPr>
            </w:pPr>
            <w:r w:rsidRPr="003F4BE3">
              <w:rPr>
                <w:b/>
              </w:rPr>
              <w:t>Trial ID</w:t>
            </w:r>
          </w:p>
        </w:tc>
        <w:tc>
          <w:tcPr>
            <w:tcW w:w="3369" w:type="pct"/>
            <w:vAlign w:val="center"/>
          </w:tcPr>
          <w:p w:rsidR="00364C5D" w:rsidRPr="003F4BE3" w:rsidRDefault="00364C5D" w:rsidP="00364590">
            <w:pPr>
              <w:pStyle w:val="Tabletext"/>
              <w:keepNext/>
              <w:jc w:val="center"/>
              <w:rPr>
                <w:b/>
              </w:rPr>
            </w:pPr>
            <w:r w:rsidRPr="003F4BE3">
              <w:rPr>
                <w:b/>
              </w:rPr>
              <w:t>Protocol title/ Publication title</w:t>
            </w:r>
          </w:p>
        </w:tc>
        <w:tc>
          <w:tcPr>
            <w:tcW w:w="922" w:type="pct"/>
            <w:vAlign w:val="center"/>
          </w:tcPr>
          <w:p w:rsidR="00364C5D" w:rsidRPr="003F4BE3" w:rsidRDefault="00364C5D" w:rsidP="00364590">
            <w:pPr>
              <w:pStyle w:val="Tabletext"/>
              <w:keepNext/>
              <w:jc w:val="center"/>
              <w:rPr>
                <w:b/>
              </w:rPr>
            </w:pPr>
            <w:r w:rsidRPr="003F4BE3">
              <w:rPr>
                <w:b/>
              </w:rPr>
              <w:t>Publication citation</w:t>
            </w:r>
          </w:p>
        </w:tc>
      </w:tr>
      <w:tr w:rsidR="00364C5D" w:rsidRPr="003F4BE3" w:rsidTr="00002110">
        <w:tc>
          <w:tcPr>
            <w:tcW w:w="5000" w:type="pct"/>
            <w:gridSpan w:val="3"/>
            <w:tcBorders>
              <w:bottom w:val="nil"/>
            </w:tcBorders>
            <w:vAlign w:val="center"/>
          </w:tcPr>
          <w:p w:rsidR="00364C5D" w:rsidRPr="003F4BE3" w:rsidRDefault="00364C5D" w:rsidP="00364590">
            <w:pPr>
              <w:pStyle w:val="Tabletext"/>
              <w:keepNext/>
            </w:pPr>
            <w:r w:rsidRPr="003F4BE3">
              <w:t>Key trials</w:t>
            </w:r>
          </w:p>
        </w:tc>
      </w:tr>
      <w:tr w:rsidR="00364C5D" w:rsidRPr="003F4BE3" w:rsidTr="00002110">
        <w:tc>
          <w:tcPr>
            <w:tcW w:w="709" w:type="pct"/>
            <w:vMerge w:val="restart"/>
            <w:vAlign w:val="center"/>
          </w:tcPr>
          <w:p w:rsidR="00364C5D" w:rsidRPr="003F4BE3" w:rsidRDefault="00364C5D" w:rsidP="00364590">
            <w:pPr>
              <w:pStyle w:val="Tabletext"/>
              <w:keepNext/>
              <w:rPr>
                <w:rFonts w:ascii="Times" w:hAnsi="Times"/>
              </w:rPr>
            </w:pPr>
            <w:r w:rsidRPr="003F4BE3">
              <w:t>Study 1490</w:t>
            </w:r>
          </w:p>
        </w:tc>
        <w:tc>
          <w:tcPr>
            <w:tcW w:w="3369" w:type="pct"/>
            <w:tcBorders>
              <w:bottom w:val="nil"/>
            </w:tcBorders>
            <w:vAlign w:val="center"/>
          </w:tcPr>
          <w:p w:rsidR="00364C5D" w:rsidRPr="003F4BE3" w:rsidRDefault="00364C5D" w:rsidP="00364590">
            <w:pPr>
              <w:pStyle w:val="Tabletext"/>
              <w:keepNext/>
              <w:rPr>
                <w:szCs w:val="18"/>
              </w:rPr>
            </w:pPr>
            <w:r w:rsidRPr="003F4BE3">
              <w:rPr>
                <w:szCs w:val="18"/>
              </w:rPr>
              <w:t xml:space="preserve">A Phase 3, Randomized, Double-Blind Study to Evaluate the Safety and Efficacy of GS-9883/Emtricitabine/Tenofovir </w:t>
            </w:r>
            <w:proofErr w:type="spellStart"/>
            <w:r w:rsidRPr="003F4BE3">
              <w:rPr>
                <w:szCs w:val="18"/>
              </w:rPr>
              <w:t>Alafenamide</w:t>
            </w:r>
            <w:proofErr w:type="spellEnd"/>
            <w:r w:rsidRPr="003F4BE3">
              <w:rPr>
                <w:szCs w:val="18"/>
              </w:rPr>
              <w:t xml:space="preserve"> Versus </w:t>
            </w:r>
            <w:proofErr w:type="spellStart"/>
            <w:r w:rsidRPr="003F4BE3">
              <w:rPr>
                <w:szCs w:val="18"/>
              </w:rPr>
              <w:t>Dolutegravir</w:t>
            </w:r>
            <w:proofErr w:type="spellEnd"/>
            <w:r w:rsidRPr="003F4BE3">
              <w:rPr>
                <w:szCs w:val="18"/>
              </w:rPr>
              <w:t xml:space="preserve"> + Emtricitabine/Tenofovir </w:t>
            </w:r>
            <w:proofErr w:type="spellStart"/>
            <w:r w:rsidRPr="003F4BE3">
              <w:rPr>
                <w:szCs w:val="18"/>
              </w:rPr>
              <w:t>Alafenamide</w:t>
            </w:r>
            <w:proofErr w:type="spellEnd"/>
            <w:r w:rsidRPr="003F4BE3">
              <w:rPr>
                <w:szCs w:val="18"/>
              </w:rPr>
              <w:t xml:space="preserve"> in HIV-1 Infected, Antiretroviral Treatment-Naïve Adults</w:t>
            </w:r>
          </w:p>
        </w:tc>
        <w:tc>
          <w:tcPr>
            <w:tcW w:w="922" w:type="pct"/>
            <w:tcBorders>
              <w:bottom w:val="nil"/>
            </w:tcBorders>
          </w:tcPr>
          <w:p w:rsidR="00364C5D" w:rsidRPr="003F4BE3" w:rsidRDefault="00364C5D" w:rsidP="00364590">
            <w:pPr>
              <w:pStyle w:val="Tabletext"/>
              <w:keepNext/>
              <w:rPr>
                <w:rFonts w:ascii="Times" w:hAnsi="Times"/>
              </w:rPr>
            </w:pPr>
            <w:r w:rsidRPr="003F4BE3">
              <w:t>May 2017</w:t>
            </w:r>
          </w:p>
        </w:tc>
      </w:tr>
      <w:tr w:rsidR="00364C5D" w:rsidRPr="003F4BE3" w:rsidTr="00002110">
        <w:tc>
          <w:tcPr>
            <w:tcW w:w="709" w:type="pct"/>
            <w:vMerge/>
            <w:tcBorders>
              <w:bottom w:val="nil"/>
            </w:tcBorders>
            <w:vAlign w:val="center"/>
          </w:tcPr>
          <w:p w:rsidR="00364C5D" w:rsidRPr="003F4BE3" w:rsidRDefault="00364C5D" w:rsidP="00364590">
            <w:pPr>
              <w:pStyle w:val="Tabletext"/>
              <w:keepNext/>
            </w:pPr>
          </w:p>
        </w:tc>
        <w:tc>
          <w:tcPr>
            <w:tcW w:w="3369" w:type="pct"/>
            <w:tcBorders>
              <w:top w:val="nil"/>
              <w:bottom w:val="nil"/>
            </w:tcBorders>
            <w:vAlign w:val="center"/>
          </w:tcPr>
          <w:p w:rsidR="00364C5D" w:rsidRPr="003F4BE3" w:rsidRDefault="00364C5D" w:rsidP="00364590">
            <w:pPr>
              <w:pStyle w:val="Tabletext"/>
              <w:keepNext/>
              <w:rPr>
                <w:szCs w:val="18"/>
                <w:lang w:eastAsia="en-AU"/>
              </w:rPr>
            </w:pPr>
            <w:r w:rsidRPr="003F4BE3">
              <w:rPr>
                <w:szCs w:val="18"/>
                <w:lang w:eastAsia="en-AU"/>
              </w:rPr>
              <w:t xml:space="preserve">Sax PE, </w:t>
            </w:r>
            <w:proofErr w:type="spellStart"/>
            <w:r w:rsidRPr="003F4BE3">
              <w:rPr>
                <w:szCs w:val="18"/>
                <w:lang w:eastAsia="en-AU"/>
              </w:rPr>
              <w:t>Pozniak</w:t>
            </w:r>
            <w:proofErr w:type="spellEnd"/>
            <w:r w:rsidRPr="003F4BE3">
              <w:rPr>
                <w:szCs w:val="18"/>
                <w:lang w:eastAsia="en-AU"/>
              </w:rPr>
              <w:t xml:space="preserve"> A, Montes ML, Koenig E, </w:t>
            </w:r>
            <w:proofErr w:type="spellStart"/>
            <w:r w:rsidRPr="003F4BE3">
              <w:rPr>
                <w:szCs w:val="18"/>
                <w:lang w:eastAsia="en-AU"/>
              </w:rPr>
              <w:t>DeJesus</w:t>
            </w:r>
            <w:proofErr w:type="spellEnd"/>
            <w:r w:rsidRPr="003F4BE3">
              <w:rPr>
                <w:szCs w:val="18"/>
                <w:lang w:eastAsia="en-AU"/>
              </w:rPr>
              <w:t xml:space="preserve"> E, </w:t>
            </w:r>
            <w:proofErr w:type="spellStart"/>
            <w:r w:rsidRPr="003F4BE3">
              <w:rPr>
                <w:szCs w:val="18"/>
                <w:lang w:eastAsia="en-AU"/>
              </w:rPr>
              <w:t>Stellbrink</w:t>
            </w:r>
            <w:proofErr w:type="spellEnd"/>
            <w:r w:rsidRPr="003F4BE3">
              <w:rPr>
                <w:szCs w:val="18"/>
                <w:lang w:eastAsia="en-AU"/>
              </w:rPr>
              <w:t xml:space="preserve"> HJ, et al., </w:t>
            </w:r>
            <w:proofErr w:type="spellStart"/>
            <w:r w:rsidRPr="003F4BE3">
              <w:rPr>
                <w:szCs w:val="18"/>
                <w:lang w:eastAsia="en-AU"/>
              </w:rPr>
              <w:t>Coformulated</w:t>
            </w:r>
            <w:proofErr w:type="spellEnd"/>
            <w:r w:rsidRPr="003F4BE3">
              <w:rPr>
                <w:szCs w:val="18"/>
                <w:lang w:eastAsia="en-AU"/>
              </w:rPr>
              <w:t xml:space="preserve"> bictegravir, emtricitabine, and tenofovir </w:t>
            </w:r>
            <w:proofErr w:type="spellStart"/>
            <w:r w:rsidRPr="003F4BE3">
              <w:rPr>
                <w:szCs w:val="18"/>
                <w:lang w:eastAsia="en-AU"/>
              </w:rPr>
              <w:t>alafenamide</w:t>
            </w:r>
            <w:proofErr w:type="spellEnd"/>
            <w:r w:rsidRPr="003F4BE3">
              <w:rPr>
                <w:szCs w:val="18"/>
                <w:lang w:eastAsia="en-AU"/>
              </w:rPr>
              <w:t xml:space="preserve"> versus </w:t>
            </w:r>
            <w:proofErr w:type="spellStart"/>
            <w:r w:rsidRPr="003F4BE3">
              <w:rPr>
                <w:szCs w:val="18"/>
                <w:lang w:eastAsia="en-AU"/>
              </w:rPr>
              <w:t>dolutegravir</w:t>
            </w:r>
            <w:proofErr w:type="spellEnd"/>
            <w:r w:rsidRPr="003F4BE3">
              <w:rPr>
                <w:szCs w:val="18"/>
                <w:lang w:eastAsia="en-AU"/>
              </w:rPr>
              <w:t xml:space="preserve"> with emtricitabine and tenofovir </w:t>
            </w:r>
            <w:proofErr w:type="spellStart"/>
            <w:r w:rsidRPr="003F4BE3">
              <w:rPr>
                <w:szCs w:val="18"/>
                <w:lang w:eastAsia="en-AU"/>
              </w:rPr>
              <w:t>alafenamide</w:t>
            </w:r>
            <w:proofErr w:type="spellEnd"/>
            <w:r w:rsidRPr="003F4BE3">
              <w:rPr>
                <w:szCs w:val="18"/>
                <w:lang w:eastAsia="en-AU"/>
              </w:rPr>
              <w:t xml:space="preserve">, for initial treatment of HIV-1 infection (GS-US-380-1490): a randomised, double-blind, multicentre, phase 3, non-inferiority trial. </w:t>
            </w:r>
          </w:p>
        </w:tc>
        <w:tc>
          <w:tcPr>
            <w:tcW w:w="922" w:type="pct"/>
            <w:tcBorders>
              <w:top w:val="nil"/>
              <w:bottom w:val="nil"/>
            </w:tcBorders>
          </w:tcPr>
          <w:p w:rsidR="00364C5D" w:rsidRPr="003F4BE3" w:rsidRDefault="00364C5D" w:rsidP="00364590">
            <w:pPr>
              <w:pStyle w:val="Tabletext"/>
              <w:keepNext/>
              <w:rPr>
                <w:szCs w:val="18"/>
                <w:lang w:eastAsia="en-AU"/>
              </w:rPr>
            </w:pPr>
            <w:r w:rsidRPr="003F4BE3">
              <w:rPr>
                <w:szCs w:val="18"/>
                <w:lang w:eastAsia="en-AU"/>
              </w:rPr>
              <w:t xml:space="preserve">Lancet. 2017; </w:t>
            </w:r>
            <w:proofErr w:type="spellStart"/>
            <w:r w:rsidRPr="003F4BE3">
              <w:rPr>
                <w:szCs w:val="18"/>
                <w:lang w:eastAsia="en-AU"/>
              </w:rPr>
              <w:t>pii</w:t>
            </w:r>
            <w:proofErr w:type="spellEnd"/>
            <w:r w:rsidRPr="003F4BE3">
              <w:rPr>
                <w:szCs w:val="18"/>
                <w:lang w:eastAsia="en-AU"/>
              </w:rPr>
              <w:t xml:space="preserve"> S0140-6736(17)32340-2437</w:t>
            </w:r>
          </w:p>
        </w:tc>
      </w:tr>
      <w:tr w:rsidR="00364C5D" w:rsidRPr="003F4BE3" w:rsidTr="00002110">
        <w:tc>
          <w:tcPr>
            <w:tcW w:w="709" w:type="pct"/>
            <w:tcBorders>
              <w:bottom w:val="nil"/>
            </w:tcBorders>
            <w:vAlign w:val="center"/>
          </w:tcPr>
          <w:p w:rsidR="00364C5D" w:rsidRPr="003F4BE3" w:rsidRDefault="00364C5D" w:rsidP="00364590">
            <w:pPr>
              <w:pStyle w:val="Tabletext"/>
              <w:keepNext/>
              <w:rPr>
                <w:rFonts w:ascii="Times" w:hAnsi="Times"/>
              </w:rPr>
            </w:pPr>
            <w:r w:rsidRPr="003F4BE3">
              <w:t>Study 1878</w:t>
            </w:r>
          </w:p>
        </w:tc>
        <w:tc>
          <w:tcPr>
            <w:tcW w:w="3369" w:type="pct"/>
            <w:tcBorders>
              <w:bottom w:val="nil"/>
            </w:tcBorders>
            <w:vAlign w:val="center"/>
          </w:tcPr>
          <w:p w:rsidR="00364C5D" w:rsidRPr="003F4BE3" w:rsidRDefault="00364C5D" w:rsidP="00364590">
            <w:pPr>
              <w:pStyle w:val="Tabletext"/>
              <w:keepNext/>
              <w:rPr>
                <w:rFonts w:ascii="Times" w:hAnsi="Times"/>
              </w:rPr>
            </w:pPr>
            <w:r w:rsidRPr="003F4BE3">
              <w:rPr>
                <w:szCs w:val="18"/>
              </w:rPr>
              <w:t xml:space="preserve">A Phase 3, Randomized, Open-Label Study to Evaluate the Safety and Efficacy of Switching from Regimens Consisting of Boosted Atazanavir or Darunavir plus either Emtricitabine/Tenofovir or </w:t>
            </w:r>
            <w:proofErr w:type="spellStart"/>
            <w:r w:rsidRPr="003F4BE3">
              <w:rPr>
                <w:szCs w:val="18"/>
              </w:rPr>
              <w:t>Abacavir</w:t>
            </w:r>
            <w:proofErr w:type="spellEnd"/>
            <w:r w:rsidRPr="003F4BE3">
              <w:rPr>
                <w:szCs w:val="18"/>
              </w:rPr>
              <w:t xml:space="preserve">/Lamivudine to GS-9883/Emtricitabine/Tenofovir </w:t>
            </w:r>
            <w:proofErr w:type="spellStart"/>
            <w:r w:rsidRPr="003F4BE3">
              <w:rPr>
                <w:szCs w:val="18"/>
              </w:rPr>
              <w:t>Alafenamide</w:t>
            </w:r>
            <w:proofErr w:type="spellEnd"/>
            <w:r w:rsidRPr="003F4BE3">
              <w:rPr>
                <w:szCs w:val="18"/>
              </w:rPr>
              <w:t xml:space="preserve"> in Virologically Suppressed HIV-1 Infected Adults</w:t>
            </w:r>
          </w:p>
        </w:tc>
        <w:tc>
          <w:tcPr>
            <w:tcW w:w="922" w:type="pct"/>
            <w:tcBorders>
              <w:bottom w:val="nil"/>
            </w:tcBorders>
          </w:tcPr>
          <w:p w:rsidR="00364C5D" w:rsidRPr="003F4BE3" w:rsidRDefault="00364C5D" w:rsidP="00364590">
            <w:pPr>
              <w:pStyle w:val="Tabletext"/>
              <w:keepNext/>
            </w:pPr>
            <w:r w:rsidRPr="003F4BE3">
              <w:t>May 2017</w:t>
            </w:r>
          </w:p>
        </w:tc>
      </w:tr>
      <w:tr w:rsidR="00364C5D" w:rsidRPr="003F4BE3" w:rsidTr="00002110">
        <w:trPr>
          <w:trHeight w:val="269"/>
        </w:trPr>
        <w:tc>
          <w:tcPr>
            <w:tcW w:w="5000" w:type="pct"/>
            <w:gridSpan w:val="3"/>
            <w:tcBorders>
              <w:bottom w:val="single" w:sz="4" w:space="0" w:color="auto"/>
            </w:tcBorders>
            <w:vAlign w:val="center"/>
          </w:tcPr>
          <w:p w:rsidR="00364C5D" w:rsidRPr="003F4BE3" w:rsidRDefault="00364C5D" w:rsidP="00364590">
            <w:pPr>
              <w:pStyle w:val="Tabletext"/>
              <w:keepNext/>
            </w:pPr>
            <w:r w:rsidRPr="003F4BE3">
              <w:t>Supplementary trials</w:t>
            </w:r>
          </w:p>
        </w:tc>
      </w:tr>
      <w:tr w:rsidR="00364C5D" w:rsidRPr="003F4BE3" w:rsidTr="00002110">
        <w:tc>
          <w:tcPr>
            <w:tcW w:w="709" w:type="pct"/>
            <w:vMerge w:val="restart"/>
            <w:tcBorders>
              <w:top w:val="single" w:sz="4" w:space="0" w:color="auto"/>
            </w:tcBorders>
            <w:vAlign w:val="center"/>
          </w:tcPr>
          <w:p w:rsidR="00364C5D" w:rsidRPr="003F4BE3" w:rsidRDefault="00364C5D" w:rsidP="00364590">
            <w:pPr>
              <w:pStyle w:val="Tabletext"/>
              <w:keepNext/>
            </w:pPr>
            <w:r w:rsidRPr="003F4BE3">
              <w:t>Study 1489</w:t>
            </w:r>
          </w:p>
        </w:tc>
        <w:tc>
          <w:tcPr>
            <w:tcW w:w="3369" w:type="pct"/>
            <w:tcBorders>
              <w:top w:val="single" w:sz="4" w:space="0" w:color="auto"/>
              <w:bottom w:val="nil"/>
            </w:tcBorders>
            <w:vAlign w:val="center"/>
          </w:tcPr>
          <w:p w:rsidR="00364C5D" w:rsidRPr="003F4BE3" w:rsidRDefault="00364C5D" w:rsidP="00364590">
            <w:pPr>
              <w:pStyle w:val="Tabletext"/>
              <w:keepNext/>
              <w:rPr>
                <w:szCs w:val="18"/>
              </w:rPr>
            </w:pPr>
            <w:r w:rsidRPr="003F4BE3">
              <w:rPr>
                <w:szCs w:val="18"/>
              </w:rPr>
              <w:t xml:space="preserve">A Phase 3, Randomized, Double-Blind Study to Evaluate the Safety and Efficacy of GS-9883/Emtricitabine/Tenofovir </w:t>
            </w:r>
            <w:proofErr w:type="spellStart"/>
            <w:r w:rsidRPr="003F4BE3">
              <w:rPr>
                <w:szCs w:val="18"/>
              </w:rPr>
              <w:t>Alafenamide</w:t>
            </w:r>
            <w:proofErr w:type="spellEnd"/>
            <w:r w:rsidRPr="003F4BE3">
              <w:rPr>
                <w:szCs w:val="18"/>
              </w:rPr>
              <w:t xml:space="preserve"> Versus </w:t>
            </w:r>
            <w:proofErr w:type="spellStart"/>
            <w:r w:rsidRPr="003F4BE3">
              <w:rPr>
                <w:szCs w:val="18"/>
              </w:rPr>
              <w:t>Abacavir</w:t>
            </w:r>
            <w:proofErr w:type="spellEnd"/>
            <w:r w:rsidRPr="003F4BE3">
              <w:rPr>
                <w:szCs w:val="18"/>
              </w:rPr>
              <w:t>/</w:t>
            </w:r>
            <w:proofErr w:type="spellStart"/>
            <w:r w:rsidRPr="003F4BE3">
              <w:rPr>
                <w:szCs w:val="18"/>
              </w:rPr>
              <w:t>Dolutegravir</w:t>
            </w:r>
            <w:proofErr w:type="spellEnd"/>
            <w:r w:rsidRPr="003F4BE3">
              <w:rPr>
                <w:szCs w:val="18"/>
              </w:rPr>
              <w:t>/Lamivudine in HIV-1 Infected, Antiretroviral Treatment-Naive Adults</w:t>
            </w:r>
          </w:p>
        </w:tc>
        <w:tc>
          <w:tcPr>
            <w:tcW w:w="922" w:type="pct"/>
            <w:tcBorders>
              <w:top w:val="single" w:sz="4" w:space="0" w:color="auto"/>
              <w:bottom w:val="nil"/>
            </w:tcBorders>
          </w:tcPr>
          <w:p w:rsidR="00364C5D" w:rsidRPr="003F4BE3" w:rsidRDefault="00364C5D" w:rsidP="00364590">
            <w:pPr>
              <w:pStyle w:val="Tabletext"/>
              <w:keepNext/>
            </w:pPr>
            <w:r w:rsidRPr="003F4BE3">
              <w:rPr>
                <w:szCs w:val="18"/>
              </w:rPr>
              <w:t>May 2017.</w:t>
            </w:r>
          </w:p>
        </w:tc>
      </w:tr>
      <w:tr w:rsidR="00364C5D" w:rsidRPr="003F4BE3" w:rsidTr="00002110">
        <w:trPr>
          <w:trHeight w:val="738"/>
        </w:trPr>
        <w:tc>
          <w:tcPr>
            <w:tcW w:w="709" w:type="pct"/>
            <w:vMerge/>
            <w:tcBorders>
              <w:bottom w:val="single" w:sz="4" w:space="0" w:color="auto"/>
            </w:tcBorders>
            <w:vAlign w:val="center"/>
          </w:tcPr>
          <w:p w:rsidR="00364C5D" w:rsidRPr="003F4BE3" w:rsidRDefault="00364C5D" w:rsidP="00364590">
            <w:pPr>
              <w:pStyle w:val="Tabletext"/>
              <w:keepNext/>
            </w:pPr>
          </w:p>
        </w:tc>
        <w:tc>
          <w:tcPr>
            <w:tcW w:w="3369" w:type="pct"/>
            <w:tcBorders>
              <w:top w:val="nil"/>
              <w:bottom w:val="single" w:sz="4" w:space="0" w:color="auto"/>
            </w:tcBorders>
            <w:vAlign w:val="center"/>
          </w:tcPr>
          <w:p w:rsidR="00364C5D" w:rsidRPr="003F4BE3" w:rsidRDefault="00060C3B" w:rsidP="00364590">
            <w:pPr>
              <w:pStyle w:val="Tabletext"/>
              <w:keepNext/>
              <w:rPr>
                <w:szCs w:val="18"/>
              </w:rPr>
            </w:pPr>
            <w:r w:rsidRPr="003F4BE3">
              <w:rPr>
                <w:szCs w:val="18"/>
              </w:rPr>
              <w:t xml:space="preserve">Gallant J, </w:t>
            </w:r>
            <w:proofErr w:type="spellStart"/>
            <w:r w:rsidRPr="003F4BE3">
              <w:rPr>
                <w:szCs w:val="18"/>
              </w:rPr>
              <w:t>Lazzarin</w:t>
            </w:r>
            <w:proofErr w:type="spellEnd"/>
            <w:r w:rsidRPr="003F4BE3">
              <w:rPr>
                <w:szCs w:val="18"/>
              </w:rPr>
              <w:t xml:space="preserve"> A, Mills A, </w:t>
            </w:r>
            <w:proofErr w:type="spellStart"/>
            <w:r w:rsidRPr="003F4BE3">
              <w:rPr>
                <w:szCs w:val="18"/>
              </w:rPr>
              <w:t>Orkin</w:t>
            </w:r>
            <w:proofErr w:type="spellEnd"/>
            <w:r w:rsidRPr="003F4BE3">
              <w:rPr>
                <w:szCs w:val="18"/>
              </w:rPr>
              <w:t xml:space="preserve"> C, </w:t>
            </w:r>
            <w:proofErr w:type="spellStart"/>
            <w:r w:rsidRPr="003F4BE3">
              <w:rPr>
                <w:szCs w:val="18"/>
              </w:rPr>
              <w:t>Podzamczer</w:t>
            </w:r>
            <w:proofErr w:type="spellEnd"/>
            <w:r w:rsidRPr="003F4BE3">
              <w:rPr>
                <w:szCs w:val="18"/>
              </w:rPr>
              <w:t xml:space="preserve"> D, </w:t>
            </w:r>
            <w:proofErr w:type="spellStart"/>
            <w:r w:rsidRPr="003F4BE3">
              <w:rPr>
                <w:szCs w:val="18"/>
              </w:rPr>
              <w:t>Tebas</w:t>
            </w:r>
            <w:proofErr w:type="spellEnd"/>
            <w:r w:rsidRPr="003F4BE3">
              <w:rPr>
                <w:szCs w:val="18"/>
              </w:rPr>
              <w:t xml:space="preserve"> P, et al., Bictegravir, emtricitabine, and tenofovir </w:t>
            </w:r>
            <w:proofErr w:type="spellStart"/>
            <w:r w:rsidRPr="003F4BE3">
              <w:rPr>
                <w:szCs w:val="18"/>
              </w:rPr>
              <w:t>alafenamide</w:t>
            </w:r>
            <w:proofErr w:type="spellEnd"/>
            <w:r w:rsidRPr="003F4BE3">
              <w:rPr>
                <w:szCs w:val="18"/>
              </w:rPr>
              <w:t xml:space="preserve"> versus </w:t>
            </w:r>
            <w:proofErr w:type="spellStart"/>
            <w:r w:rsidRPr="003F4BE3">
              <w:rPr>
                <w:szCs w:val="18"/>
              </w:rPr>
              <w:t>dolutegravir</w:t>
            </w:r>
            <w:proofErr w:type="spellEnd"/>
            <w:r w:rsidRPr="003F4BE3">
              <w:rPr>
                <w:szCs w:val="18"/>
              </w:rPr>
              <w:t xml:space="preserve">, </w:t>
            </w:r>
            <w:proofErr w:type="spellStart"/>
            <w:r w:rsidRPr="003F4BE3">
              <w:rPr>
                <w:szCs w:val="18"/>
              </w:rPr>
              <w:t>abacavir</w:t>
            </w:r>
            <w:proofErr w:type="spellEnd"/>
            <w:r w:rsidRPr="003F4BE3">
              <w:rPr>
                <w:szCs w:val="18"/>
              </w:rPr>
              <w:t xml:space="preserve">, and lamivudine for initial treatment of HIV-1 infection (GS-US-380-1489): a double-blind, multicentre, phase 3, randomised controlled non-inferiority trial. </w:t>
            </w:r>
          </w:p>
        </w:tc>
        <w:tc>
          <w:tcPr>
            <w:tcW w:w="922" w:type="pct"/>
            <w:tcBorders>
              <w:top w:val="nil"/>
              <w:bottom w:val="single" w:sz="4" w:space="0" w:color="auto"/>
            </w:tcBorders>
          </w:tcPr>
          <w:p w:rsidR="00364C5D" w:rsidRPr="003F4BE3" w:rsidRDefault="00364C5D" w:rsidP="00364590">
            <w:pPr>
              <w:pStyle w:val="Tabletext"/>
              <w:keepNext/>
              <w:rPr>
                <w:szCs w:val="18"/>
              </w:rPr>
            </w:pPr>
            <w:r w:rsidRPr="003F4BE3">
              <w:rPr>
                <w:szCs w:val="18"/>
              </w:rPr>
              <w:t>Lancet. 2017</w:t>
            </w:r>
            <w:proofErr w:type="gramStart"/>
            <w:r w:rsidRPr="003F4BE3">
              <w:rPr>
                <w:szCs w:val="18"/>
              </w:rPr>
              <w:t>;pii</w:t>
            </w:r>
            <w:proofErr w:type="gramEnd"/>
            <w:r w:rsidRPr="003F4BE3">
              <w:rPr>
                <w:szCs w:val="18"/>
              </w:rPr>
              <w:t xml:space="preserve">: S0140-6736(17)32299-7. </w:t>
            </w:r>
          </w:p>
        </w:tc>
      </w:tr>
      <w:tr w:rsidR="00364C5D" w:rsidRPr="003F4BE3" w:rsidTr="00002110">
        <w:tc>
          <w:tcPr>
            <w:tcW w:w="709" w:type="pct"/>
            <w:tcBorders>
              <w:top w:val="single" w:sz="4" w:space="0" w:color="auto"/>
              <w:bottom w:val="single" w:sz="4" w:space="0" w:color="auto"/>
            </w:tcBorders>
            <w:vAlign w:val="center"/>
          </w:tcPr>
          <w:p w:rsidR="00364C5D" w:rsidRPr="003F4BE3" w:rsidRDefault="00364C5D" w:rsidP="00364590">
            <w:pPr>
              <w:pStyle w:val="Tabletext"/>
              <w:keepNext/>
            </w:pPr>
            <w:r w:rsidRPr="003F4BE3">
              <w:t>Study 1844</w:t>
            </w:r>
          </w:p>
        </w:tc>
        <w:tc>
          <w:tcPr>
            <w:tcW w:w="3369" w:type="pct"/>
            <w:tcBorders>
              <w:top w:val="single" w:sz="4" w:space="0" w:color="auto"/>
              <w:bottom w:val="single" w:sz="4" w:space="0" w:color="auto"/>
            </w:tcBorders>
            <w:vAlign w:val="center"/>
          </w:tcPr>
          <w:p w:rsidR="00364C5D" w:rsidRPr="003F4BE3" w:rsidRDefault="00364C5D" w:rsidP="00364590">
            <w:pPr>
              <w:pStyle w:val="Tabletext"/>
              <w:keepNext/>
              <w:rPr>
                <w:szCs w:val="18"/>
              </w:rPr>
            </w:pPr>
            <w:r w:rsidRPr="003F4BE3">
              <w:rPr>
                <w:szCs w:val="18"/>
              </w:rPr>
              <w:t xml:space="preserve">A Phase 3, Randomized, Double-Blind Study to Evaluate the Safety and Efficacy of Switching from a Regimen of </w:t>
            </w:r>
            <w:proofErr w:type="spellStart"/>
            <w:r w:rsidRPr="003F4BE3">
              <w:rPr>
                <w:szCs w:val="18"/>
              </w:rPr>
              <w:t>Dolutegravir</w:t>
            </w:r>
            <w:proofErr w:type="spellEnd"/>
            <w:r w:rsidRPr="003F4BE3">
              <w:rPr>
                <w:szCs w:val="18"/>
              </w:rPr>
              <w:t xml:space="preserve"> and ABC/3TC, or a Fixed Dose Combination (FDC) of </w:t>
            </w:r>
            <w:r w:rsidR="00D0277C" w:rsidRPr="003F4BE3">
              <w:rPr>
                <w:szCs w:val="18"/>
              </w:rPr>
              <w:t>TRIUMEQ®</w:t>
            </w:r>
            <w:r w:rsidRPr="003F4BE3">
              <w:rPr>
                <w:szCs w:val="18"/>
              </w:rPr>
              <w:t xml:space="preserve"> to a FDC of GS-9883/F/TAF in HIV-1 Infected Subjects who are Virologically Suppressed</w:t>
            </w:r>
          </w:p>
        </w:tc>
        <w:tc>
          <w:tcPr>
            <w:tcW w:w="922" w:type="pct"/>
            <w:tcBorders>
              <w:top w:val="single" w:sz="4" w:space="0" w:color="auto"/>
              <w:bottom w:val="single" w:sz="4" w:space="0" w:color="auto"/>
            </w:tcBorders>
          </w:tcPr>
          <w:p w:rsidR="00364C5D" w:rsidRPr="003F4BE3" w:rsidRDefault="00364C5D" w:rsidP="00364590">
            <w:pPr>
              <w:pStyle w:val="Tabletext"/>
              <w:keepNext/>
              <w:rPr>
                <w:szCs w:val="18"/>
              </w:rPr>
            </w:pPr>
            <w:r w:rsidRPr="003F4BE3">
              <w:rPr>
                <w:szCs w:val="18"/>
              </w:rPr>
              <w:t>May 2017</w:t>
            </w:r>
          </w:p>
        </w:tc>
      </w:tr>
    </w:tbl>
    <w:p w:rsidR="00122B8A" w:rsidRDefault="00364C5D" w:rsidP="00122B8A">
      <w:pPr>
        <w:pStyle w:val="TableFooter"/>
      </w:pPr>
      <w:r w:rsidRPr="003F4BE3">
        <w:t>Source: Table 2.4, p45 of the submission.</w:t>
      </w:r>
    </w:p>
    <w:p w:rsidR="007F1017" w:rsidRPr="003F4BE3" w:rsidRDefault="008F120A" w:rsidP="00330F58">
      <w:pPr>
        <w:pStyle w:val="ListParagraph"/>
        <w:widowControl/>
        <w:numPr>
          <w:ilvl w:val="1"/>
          <w:numId w:val="3"/>
        </w:numPr>
        <w:spacing w:before="160"/>
      </w:pPr>
      <w:r w:rsidRPr="003F4BE3">
        <w:t>The key features of the direct ran</w:t>
      </w:r>
      <w:r w:rsidR="00CD36C3" w:rsidRPr="003F4BE3">
        <w:t>domised trials included in the submission</w:t>
      </w:r>
      <w:r w:rsidRPr="003F4BE3">
        <w:t xml:space="preserve"> are summarised in </w:t>
      </w:r>
      <w:r w:rsidR="00B71169" w:rsidRPr="003F4BE3">
        <w:t xml:space="preserve">Table </w:t>
      </w:r>
      <w:r w:rsidR="00D216D1" w:rsidRPr="003F4BE3">
        <w:t>3</w:t>
      </w:r>
      <w:r w:rsidR="00330F58">
        <w:t>.</w:t>
      </w:r>
    </w:p>
    <w:p w:rsidR="007F1017" w:rsidRPr="003F4BE3" w:rsidRDefault="00C8469B" w:rsidP="003F4BE3">
      <w:pPr>
        <w:keepNext/>
        <w:rPr>
          <w:rStyle w:val="CommentReference"/>
          <w:lang w:val="en-AU"/>
        </w:rPr>
      </w:pPr>
      <w:r w:rsidRPr="003F4BE3">
        <w:rPr>
          <w:rStyle w:val="CommentReference"/>
          <w:lang w:val="en-AU"/>
        </w:rPr>
        <w:t xml:space="preserve">Table </w:t>
      </w:r>
      <w:r w:rsidR="00D216D1" w:rsidRPr="003F4BE3">
        <w:rPr>
          <w:rStyle w:val="CommentReference"/>
          <w:lang w:val="en-AU"/>
        </w:rPr>
        <w:t>3</w:t>
      </w:r>
      <w:r w:rsidR="007F1017" w:rsidRPr="003F4BE3">
        <w:rPr>
          <w:rStyle w:val="CommentReference"/>
          <w:lang w:val="en-AU"/>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9"/>
        <w:gridCol w:w="527"/>
        <w:gridCol w:w="1361"/>
        <w:gridCol w:w="999"/>
        <w:gridCol w:w="1540"/>
        <w:gridCol w:w="3377"/>
      </w:tblGrid>
      <w:tr w:rsidR="006B6B01" w:rsidRPr="003F4BE3" w:rsidTr="003B6337">
        <w:tc>
          <w:tcPr>
            <w:tcW w:w="704" w:type="pct"/>
            <w:shd w:val="clear" w:color="auto" w:fill="auto"/>
            <w:vAlign w:val="center"/>
          </w:tcPr>
          <w:p w:rsidR="006B6B01" w:rsidRPr="003F4BE3" w:rsidRDefault="006B6B01" w:rsidP="003F4BE3">
            <w:pPr>
              <w:pStyle w:val="Tabletext"/>
              <w:keepNext/>
              <w:rPr>
                <w:b/>
              </w:rPr>
            </w:pPr>
            <w:r w:rsidRPr="003F4BE3">
              <w:rPr>
                <w:b/>
              </w:rPr>
              <w:t>Trial</w:t>
            </w:r>
          </w:p>
        </w:tc>
        <w:tc>
          <w:tcPr>
            <w:tcW w:w="290" w:type="pct"/>
            <w:shd w:val="clear" w:color="auto" w:fill="auto"/>
            <w:vAlign w:val="center"/>
          </w:tcPr>
          <w:p w:rsidR="006B6B01" w:rsidRPr="003F4BE3" w:rsidRDefault="006B6B01" w:rsidP="003F4BE3">
            <w:pPr>
              <w:pStyle w:val="Tabletext"/>
              <w:keepNext/>
              <w:jc w:val="center"/>
              <w:rPr>
                <w:b/>
              </w:rPr>
            </w:pPr>
            <w:r w:rsidRPr="003F4BE3">
              <w:rPr>
                <w:b/>
              </w:rPr>
              <w:t>N</w:t>
            </w:r>
          </w:p>
        </w:tc>
        <w:tc>
          <w:tcPr>
            <w:tcW w:w="749" w:type="pct"/>
            <w:shd w:val="clear" w:color="auto" w:fill="auto"/>
            <w:vAlign w:val="center"/>
          </w:tcPr>
          <w:p w:rsidR="006B6B01" w:rsidRPr="003F4BE3" w:rsidRDefault="006B6B01" w:rsidP="003F4BE3">
            <w:pPr>
              <w:pStyle w:val="Tabletext"/>
              <w:keepNext/>
              <w:jc w:val="center"/>
              <w:rPr>
                <w:b/>
              </w:rPr>
            </w:pPr>
            <w:r w:rsidRPr="003F4BE3">
              <w:rPr>
                <w:b/>
              </w:rPr>
              <w:t>Design/ duration</w:t>
            </w:r>
          </w:p>
        </w:tc>
        <w:tc>
          <w:tcPr>
            <w:tcW w:w="550" w:type="pct"/>
            <w:shd w:val="clear" w:color="auto" w:fill="auto"/>
            <w:vAlign w:val="center"/>
          </w:tcPr>
          <w:p w:rsidR="006B6B01" w:rsidRPr="003F4BE3" w:rsidRDefault="006B6B01" w:rsidP="003F4BE3">
            <w:pPr>
              <w:pStyle w:val="Tabletext"/>
              <w:keepNext/>
              <w:jc w:val="center"/>
              <w:rPr>
                <w:b/>
              </w:rPr>
            </w:pPr>
            <w:r w:rsidRPr="003F4BE3">
              <w:rPr>
                <w:b/>
              </w:rPr>
              <w:t>Risk of bias</w:t>
            </w:r>
          </w:p>
        </w:tc>
        <w:tc>
          <w:tcPr>
            <w:tcW w:w="848" w:type="pct"/>
            <w:shd w:val="clear" w:color="auto" w:fill="auto"/>
            <w:vAlign w:val="center"/>
          </w:tcPr>
          <w:p w:rsidR="006B6B01" w:rsidRPr="003F4BE3" w:rsidRDefault="006B6B01" w:rsidP="003F4BE3">
            <w:pPr>
              <w:pStyle w:val="Tabletext"/>
              <w:keepNext/>
              <w:jc w:val="center"/>
              <w:rPr>
                <w:b/>
              </w:rPr>
            </w:pPr>
            <w:r w:rsidRPr="003F4BE3">
              <w:rPr>
                <w:b/>
              </w:rPr>
              <w:t>Patient population</w:t>
            </w:r>
          </w:p>
        </w:tc>
        <w:tc>
          <w:tcPr>
            <w:tcW w:w="1859" w:type="pct"/>
            <w:shd w:val="clear" w:color="auto" w:fill="auto"/>
            <w:vAlign w:val="center"/>
          </w:tcPr>
          <w:p w:rsidR="006B6B01" w:rsidRPr="003F4BE3" w:rsidRDefault="006B6B01" w:rsidP="003F4BE3">
            <w:pPr>
              <w:pStyle w:val="Tabletext"/>
              <w:keepNext/>
              <w:jc w:val="center"/>
              <w:rPr>
                <w:b/>
              </w:rPr>
            </w:pPr>
            <w:r w:rsidRPr="003F4BE3">
              <w:rPr>
                <w:b/>
              </w:rPr>
              <w:t>Outcome(s)</w:t>
            </w:r>
          </w:p>
        </w:tc>
      </w:tr>
      <w:tr w:rsidR="00B16F9D" w:rsidRPr="003F4BE3" w:rsidTr="003B6337">
        <w:tc>
          <w:tcPr>
            <w:tcW w:w="5000" w:type="pct"/>
            <w:gridSpan w:val="6"/>
            <w:shd w:val="clear" w:color="auto" w:fill="auto"/>
            <w:vAlign w:val="center"/>
          </w:tcPr>
          <w:p w:rsidR="00B16F9D" w:rsidRPr="003F4BE3" w:rsidRDefault="00B16F9D" w:rsidP="003F4BE3">
            <w:pPr>
              <w:pStyle w:val="Tabletext"/>
              <w:keepNext/>
              <w:rPr>
                <w:b/>
              </w:rPr>
            </w:pPr>
            <w:r w:rsidRPr="003F4BE3">
              <w:rPr>
                <w:b/>
              </w:rPr>
              <w:t xml:space="preserve">BFTAF versus DESCOVY® plus </w:t>
            </w:r>
            <w:proofErr w:type="spellStart"/>
            <w:r w:rsidRPr="003F4BE3">
              <w:rPr>
                <w:b/>
              </w:rPr>
              <w:t>dolutegravir</w:t>
            </w:r>
            <w:proofErr w:type="spellEnd"/>
          </w:p>
        </w:tc>
      </w:tr>
      <w:tr w:rsidR="00B16F9D" w:rsidRPr="003F4BE3" w:rsidTr="003B6337">
        <w:tc>
          <w:tcPr>
            <w:tcW w:w="704" w:type="pct"/>
            <w:shd w:val="clear" w:color="auto" w:fill="auto"/>
            <w:vAlign w:val="center"/>
          </w:tcPr>
          <w:p w:rsidR="00B16F9D" w:rsidRPr="003F4BE3" w:rsidRDefault="00B16F9D" w:rsidP="003F4BE3">
            <w:pPr>
              <w:pStyle w:val="Tabletext"/>
              <w:keepNext/>
            </w:pPr>
            <w:r w:rsidRPr="003F4BE3">
              <w:t>Trial 1490</w:t>
            </w:r>
          </w:p>
        </w:tc>
        <w:tc>
          <w:tcPr>
            <w:tcW w:w="290" w:type="pct"/>
            <w:shd w:val="clear" w:color="auto" w:fill="auto"/>
            <w:vAlign w:val="center"/>
          </w:tcPr>
          <w:p w:rsidR="00B16F9D" w:rsidRPr="003F4BE3" w:rsidRDefault="00B16F9D" w:rsidP="003F4BE3">
            <w:pPr>
              <w:pStyle w:val="Tabletext"/>
              <w:keepNext/>
              <w:jc w:val="center"/>
            </w:pPr>
            <w:r w:rsidRPr="003F4BE3">
              <w:t>600</w:t>
            </w:r>
          </w:p>
        </w:tc>
        <w:tc>
          <w:tcPr>
            <w:tcW w:w="749" w:type="pct"/>
            <w:shd w:val="clear" w:color="auto" w:fill="auto"/>
            <w:vAlign w:val="center"/>
          </w:tcPr>
          <w:p w:rsidR="00B16F9D" w:rsidRPr="003F4BE3" w:rsidRDefault="00B16F9D" w:rsidP="003F4BE3">
            <w:pPr>
              <w:pStyle w:val="Tabletext"/>
              <w:keepNext/>
              <w:jc w:val="center"/>
            </w:pPr>
            <w:r w:rsidRPr="003F4BE3">
              <w:t>R, DB</w:t>
            </w:r>
          </w:p>
          <w:p w:rsidR="00B16F9D" w:rsidRPr="003F4BE3" w:rsidRDefault="00B16F9D" w:rsidP="003F4BE3">
            <w:pPr>
              <w:pStyle w:val="Tabletext"/>
              <w:keepNext/>
              <w:jc w:val="center"/>
            </w:pPr>
            <w:r w:rsidRPr="003F4BE3">
              <w:t>At least 144 weeks</w:t>
            </w:r>
          </w:p>
        </w:tc>
        <w:tc>
          <w:tcPr>
            <w:tcW w:w="550" w:type="pct"/>
            <w:shd w:val="clear" w:color="auto" w:fill="auto"/>
            <w:vAlign w:val="center"/>
          </w:tcPr>
          <w:p w:rsidR="00B16F9D" w:rsidRPr="003F4BE3" w:rsidRDefault="00B16F9D" w:rsidP="003F4BE3">
            <w:pPr>
              <w:pStyle w:val="Tabletext"/>
              <w:keepNext/>
              <w:jc w:val="center"/>
            </w:pPr>
            <w:r w:rsidRPr="003F4BE3">
              <w:t>Low</w:t>
            </w:r>
          </w:p>
        </w:tc>
        <w:tc>
          <w:tcPr>
            <w:tcW w:w="848" w:type="pct"/>
            <w:shd w:val="clear" w:color="auto" w:fill="auto"/>
            <w:vAlign w:val="center"/>
          </w:tcPr>
          <w:p w:rsidR="00B16F9D" w:rsidRPr="003F4BE3" w:rsidRDefault="00B16F9D" w:rsidP="003F4BE3">
            <w:pPr>
              <w:pStyle w:val="Tabletext"/>
              <w:keepNext/>
              <w:jc w:val="center"/>
            </w:pPr>
            <w:r w:rsidRPr="003F4BE3">
              <w:t>Treatment Naive</w:t>
            </w:r>
          </w:p>
        </w:tc>
        <w:tc>
          <w:tcPr>
            <w:tcW w:w="1859" w:type="pct"/>
            <w:shd w:val="clear" w:color="auto" w:fill="auto"/>
            <w:vAlign w:val="center"/>
          </w:tcPr>
          <w:p w:rsidR="00B16F9D" w:rsidRPr="003F4BE3" w:rsidRDefault="00B16F9D" w:rsidP="003F4BE3">
            <w:pPr>
              <w:pStyle w:val="Tabletext"/>
              <w:keepNext/>
              <w:jc w:val="center"/>
            </w:pPr>
            <w:r w:rsidRPr="003F4BE3">
              <w:t>Proportion of patients with plasma HIV RNA &lt;50 copies per mL using the FDA snapshot algorithm.</w:t>
            </w:r>
          </w:p>
        </w:tc>
      </w:tr>
      <w:tr w:rsidR="00B16F9D" w:rsidRPr="003F4BE3" w:rsidTr="003B6337">
        <w:tc>
          <w:tcPr>
            <w:tcW w:w="5000" w:type="pct"/>
            <w:gridSpan w:val="6"/>
            <w:shd w:val="clear" w:color="auto" w:fill="auto"/>
            <w:vAlign w:val="center"/>
          </w:tcPr>
          <w:p w:rsidR="00B16F9D" w:rsidRPr="003F4BE3" w:rsidRDefault="00B16F9D" w:rsidP="003F4BE3">
            <w:pPr>
              <w:pStyle w:val="Tabletext"/>
              <w:keepNext/>
            </w:pPr>
            <w:r w:rsidRPr="003F4BE3">
              <w:rPr>
                <w:b/>
              </w:rPr>
              <w:t>BFTAF versus staying on baseline regimen (SBR: cobicistat or ritonavir boosted atazanavir or darunavir plus either TRUVADA® or KIVEXA®)</w:t>
            </w:r>
          </w:p>
        </w:tc>
      </w:tr>
      <w:tr w:rsidR="00B16F9D" w:rsidRPr="003F4BE3" w:rsidTr="003B6337">
        <w:tc>
          <w:tcPr>
            <w:tcW w:w="704" w:type="pct"/>
            <w:shd w:val="clear" w:color="auto" w:fill="auto"/>
            <w:vAlign w:val="center"/>
          </w:tcPr>
          <w:p w:rsidR="00B16F9D" w:rsidRPr="003F4BE3" w:rsidRDefault="00B16F9D" w:rsidP="003F4BE3">
            <w:pPr>
              <w:pStyle w:val="Tabletext"/>
              <w:keepNext/>
            </w:pPr>
            <w:r w:rsidRPr="003F4BE3">
              <w:t>Trial 1878</w:t>
            </w:r>
          </w:p>
        </w:tc>
        <w:tc>
          <w:tcPr>
            <w:tcW w:w="290" w:type="pct"/>
            <w:shd w:val="clear" w:color="auto" w:fill="auto"/>
            <w:vAlign w:val="center"/>
          </w:tcPr>
          <w:p w:rsidR="00B16F9D" w:rsidRPr="003F4BE3" w:rsidRDefault="00B16F9D" w:rsidP="003F4BE3">
            <w:pPr>
              <w:pStyle w:val="Tabletext"/>
              <w:keepNext/>
              <w:jc w:val="center"/>
            </w:pPr>
            <w:r w:rsidRPr="003F4BE3">
              <w:t>520</w:t>
            </w:r>
          </w:p>
        </w:tc>
        <w:tc>
          <w:tcPr>
            <w:tcW w:w="749" w:type="pct"/>
            <w:shd w:val="clear" w:color="auto" w:fill="auto"/>
            <w:vAlign w:val="center"/>
          </w:tcPr>
          <w:p w:rsidR="00B16F9D" w:rsidRPr="003F4BE3" w:rsidRDefault="00B16F9D" w:rsidP="003F4BE3">
            <w:pPr>
              <w:pStyle w:val="Tabletext"/>
              <w:keepNext/>
              <w:jc w:val="center"/>
            </w:pPr>
            <w:r w:rsidRPr="003F4BE3">
              <w:t>R, OL</w:t>
            </w:r>
          </w:p>
          <w:p w:rsidR="00B16F9D" w:rsidRPr="003F4BE3" w:rsidRDefault="00B16F9D" w:rsidP="003F4BE3">
            <w:pPr>
              <w:pStyle w:val="Tabletext"/>
              <w:keepNext/>
              <w:jc w:val="center"/>
            </w:pPr>
            <w:r w:rsidRPr="003F4BE3">
              <w:t>At least 48 weeks</w:t>
            </w:r>
          </w:p>
        </w:tc>
        <w:tc>
          <w:tcPr>
            <w:tcW w:w="550" w:type="pct"/>
            <w:shd w:val="clear" w:color="auto" w:fill="auto"/>
            <w:vAlign w:val="center"/>
          </w:tcPr>
          <w:p w:rsidR="00B16F9D" w:rsidRPr="003F4BE3" w:rsidRDefault="00B16F9D" w:rsidP="003F4BE3">
            <w:pPr>
              <w:pStyle w:val="Tabletext"/>
              <w:keepNext/>
              <w:jc w:val="center"/>
            </w:pPr>
            <w:r w:rsidRPr="003F4BE3">
              <w:t>Low</w:t>
            </w:r>
          </w:p>
        </w:tc>
        <w:tc>
          <w:tcPr>
            <w:tcW w:w="848" w:type="pct"/>
            <w:shd w:val="clear" w:color="auto" w:fill="auto"/>
            <w:vAlign w:val="center"/>
          </w:tcPr>
          <w:p w:rsidR="00B16F9D" w:rsidRPr="003F4BE3" w:rsidRDefault="00B16F9D" w:rsidP="003F4BE3">
            <w:pPr>
              <w:pStyle w:val="Tabletext"/>
              <w:keepNext/>
              <w:jc w:val="center"/>
            </w:pPr>
            <w:r w:rsidRPr="003F4BE3">
              <w:t>Virologically suppressed</w:t>
            </w:r>
          </w:p>
        </w:tc>
        <w:tc>
          <w:tcPr>
            <w:tcW w:w="1859" w:type="pct"/>
            <w:shd w:val="clear" w:color="auto" w:fill="auto"/>
            <w:vAlign w:val="center"/>
          </w:tcPr>
          <w:p w:rsidR="00B16F9D" w:rsidRPr="003F4BE3" w:rsidRDefault="00B16F9D" w:rsidP="003F4BE3">
            <w:pPr>
              <w:pStyle w:val="Tabletext"/>
              <w:keepNext/>
              <w:jc w:val="center"/>
            </w:pPr>
            <w:r w:rsidRPr="003F4BE3">
              <w:t>Proportion of subjects with HIV-1 RNA ≥ 50 copies/mL at Week 48 as determined by the US FDA-defined snapshot algorithm</w:t>
            </w:r>
          </w:p>
        </w:tc>
      </w:tr>
      <w:tr w:rsidR="00B16F9D" w:rsidRPr="003F4BE3" w:rsidTr="00A71F4A">
        <w:tc>
          <w:tcPr>
            <w:tcW w:w="5000" w:type="pct"/>
            <w:gridSpan w:val="6"/>
            <w:shd w:val="clear" w:color="auto" w:fill="auto"/>
            <w:vAlign w:val="center"/>
          </w:tcPr>
          <w:p w:rsidR="00B16F9D" w:rsidRPr="003F4BE3" w:rsidRDefault="00B16F9D" w:rsidP="003F4BE3">
            <w:pPr>
              <w:pStyle w:val="Tabletext"/>
              <w:keepNext/>
            </w:pPr>
            <w:r w:rsidRPr="003F4BE3">
              <w:rPr>
                <w:b/>
              </w:rPr>
              <w:t xml:space="preserve">BFTAF versus TRIUMEQ® or KIVEXA® plus </w:t>
            </w:r>
            <w:proofErr w:type="spellStart"/>
            <w:r w:rsidRPr="003F4BE3">
              <w:rPr>
                <w:b/>
              </w:rPr>
              <w:t>dolutegravir</w:t>
            </w:r>
            <w:proofErr w:type="spellEnd"/>
          </w:p>
        </w:tc>
      </w:tr>
      <w:tr w:rsidR="00B16F9D" w:rsidRPr="003F4BE3" w:rsidTr="003B6337">
        <w:tc>
          <w:tcPr>
            <w:tcW w:w="704" w:type="pct"/>
            <w:shd w:val="clear" w:color="auto" w:fill="auto"/>
            <w:vAlign w:val="center"/>
          </w:tcPr>
          <w:p w:rsidR="00B16F9D" w:rsidRPr="003F4BE3" w:rsidRDefault="00B16F9D" w:rsidP="003F4BE3">
            <w:pPr>
              <w:pStyle w:val="Tabletext"/>
              <w:keepNext/>
            </w:pPr>
            <w:r w:rsidRPr="003F4BE3">
              <w:t>Trial 1489</w:t>
            </w:r>
          </w:p>
        </w:tc>
        <w:tc>
          <w:tcPr>
            <w:tcW w:w="290" w:type="pct"/>
            <w:shd w:val="clear" w:color="auto" w:fill="auto"/>
            <w:vAlign w:val="center"/>
          </w:tcPr>
          <w:p w:rsidR="00B16F9D" w:rsidRPr="003F4BE3" w:rsidRDefault="00B16F9D" w:rsidP="003F4BE3">
            <w:pPr>
              <w:pStyle w:val="Tabletext"/>
              <w:keepNext/>
              <w:jc w:val="center"/>
            </w:pPr>
            <w:r w:rsidRPr="003F4BE3">
              <w:t>629</w:t>
            </w:r>
          </w:p>
        </w:tc>
        <w:tc>
          <w:tcPr>
            <w:tcW w:w="749" w:type="pct"/>
            <w:shd w:val="clear" w:color="auto" w:fill="auto"/>
            <w:vAlign w:val="center"/>
          </w:tcPr>
          <w:p w:rsidR="00B16F9D" w:rsidRPr="003F4BE3" w:rsidRDefault="00B16F9D" w:rsidP="003F4BE3">
            <w:pPr>
              <w:pStyle w:val="Tabletext"/>
              <w:keepNext/>
              <w:jc w:val="center"/>
            </w:pPr>
            <w:r w:rsidRPr="003F4BE3">
              <w:t>R, DB</w:t>
            </w:r>
          </w:p>
          <w:p w:rsidR="00B16F9D" w:rsidRPr="003F4BE3" w:rsidRDefault="00B16F9D" w:rsidP="003F4BE3">
            <w:pPr>
              <w:pStyle w:val="Tabletext"/>
              <w:keepNext/>
              <w:jc w:val="center"/>
            </w:pPr>
            <w:r w:rsidRPr="003F4BE3">
              <w:t xml:space="preserve">At </w:t>
            </w:r>
            <w:r w:rsidR="00060C3B" w:rsidRPr="003F4BE3">
              <w:t>least</w:t>
            </w:r>
            <w:r w:rsidRPr="003F4BE3">
              <w:t xml:space="preserve"> 48 weeks</w:t>
            </w:r>
          </w:p>
        </w:tc>
        <w:tc>
          <w:tcPr>
            <w:tcW w:w="550" w:type="pct"/>
            <w:shd w:val="clear" w:color="auto" w:fill="auto"/>
            <w:vAlign w:val="center"/>
          </w:tcPr>
          <w:p w:rsidR="00B16F9D" w:rsidRPr="003F4BE3" w:rsidRDefault="00B16F9D" w:rsidP="003F4BE3">
            <w:pPr>
              <w:pStyle w:val="Tabletext"/>
              <w:keepNext/>
              <w:jc w:val="center"/>
            </w:pPr>
            <w:r w:rsidRPr="003F4BE3">
              <w:t>Low</w:t>
            </w:r>
          </w:p>
        </w:tc>
        <w:tc>
          <w:tcPr>
            <w:tcW w:w="848" w:type="pct"/>
            <w:shd w:val="clear" w:color="auto" w:fill="auto"/>
            <w:vAlign w:val="center"/>
          </w:tcPr>
          <w:p w:rsidR="00B16F9D" w:rsidRPr="003F4BE3" w:rsidRDefault="00B16F9D" w:rsidP="003F4BE3">
            <w:pPr>
              <w:pStyle w:val="Tabletext"/>
              <w:keepNext/>
              <w:jc w:val="center"/>
            </w:pPr>
            <w:r w:rsidRPr="003F4BE3">
              <w:t>Treatment Naive</w:t>
            </w:r>
          </w:p>
        </w:tc>
        <w:tc>
          <w:tcPr>
            <w:tcW w:w="1859" w:type="pct"/>
            <w:shd w:val="clear" w:color="auto" w:fill="auto"/>
            <w:vAlign w:val="center"/>
          </w:tcPr>
          <w:p w:rsidR="00B16F9D" w:rsidRPr="003F4BE3" w:rsidRDefault="00B16F9D" w:rsidP="003F4BE3">
            <w:pPr>
              <w:pStyle w:val="Tabletext"/>
              <w:keepNext/>
              <w:jc w:val="center"/>
            </w:pPr>
            <w:r w:rsidRPr="003F4BE3">
              <w:t>Proportion of patients with plasma HIV RNA &lt;50 copies per mL using the FDA snapshot algorithm.</w:t>
            </w:r>
          </w:p>
        </w:tc>
      </w:tr>
      <w:tr w:rsidR="00B16F9D" w:rsidRPr="003F4BE3" w:rsidTr="003B6337">
        <w:tc>
          <w:tcPr>
            <w:tcW w:w="704" w:type="pct"/>
            <w:shd w:val="clear" w:color="auto" w:fill="auto"/>
            <w:vAlign w:val="center"/>
          </w:tcPr>
          <w:p w:rsidR="00B16F9D" w:rsidRPr="003F4BE3" w:rsidRDefault="00B16F9D" w:rsidP="003F4BE3">
            <w:pPr>
              <w:pStyle w:val="Tabletext"/>
              <w:keepNext/>
            </w:pPr>
            <w:r w:rsidRPr="003F4BE3">
              <w:t>Trial 1844</w:t>
            </w:r>
          </w:p>
        </w:tc>
        <w:tc>
          <w:tcPr>
            <w:tcW w:w="290" w:type="pct"/>
            <w:shd w:val="clear" w:color="auto" w:fill="auto"/>
            <w:vAlign w:val="center"/>
          </w:tcPr>
          <w:p w:rsidR="00B16F9D" w:rsidRPr="003F4BE3" w:rsidRDefault="00B16F9D" w:rsidP="003F4BE3">
            <w:pPr>
              <w:pStyle w:val="Tabletext"/>
              <w:keepNext/>
              <w:jc w:val="center"/>
            </w:pPr>
            <w:r w:rsidRPr="003F4BE3">
              <w:t>563</w:t>
            </w:r>
          </w:p>
        </w:tc>
        <w:tc>
          <w:tcPr>
            <w:tcW w:w="749" w:type="pct"/>
            <w:shd w:val="clear" w:color="auto" w:fill="auto"/>
            <w:vAlign w:val="center"/>
          </w:tcPr>
          <w:p w:rsidR="00B16F9D" w:rsidRPr="003F4BE3" w:rsidRDefault="00B16F9D" w:rsidP="003F4BE3">
            <w:pPr>
              <w:pStyle w:val="Tabletext"/>
              <w:keepNext/>
              <w:jc w:val="center"/>
            </w:pPr>
            <w:r w:rsidRPr="003F4BE3">
              <w:t>R, DB,</w:t>
            </w:r>
          </w:p>
          <w:p w:rsidR="00B16F9D" w:rsidRPr="003F4BE3" w:rsidRDefault="00B16F9D" w:rsidP="003F4BE3">
            <w:pPr>
              <w:pStyle w:val="Tabletext"/>
              <w:keepNext/>
              <w:jc w:val="center"/>
            </w:pPr>
            <w:r w:rsidRPr="003F4BE3">
              <w:t>At least 48 weeks</w:t>
            </w:r>
          </w:p>
        </w:tc>
        <w:tc>
          <w:tcPr>
            <w:tcW w:w="550" w:type="pct"/>
            <w:shd w:val="clear" w:color="auto" w:fill="auto"/>
            <w:vAlign w:val="center"/>
          </w:tcPr>
          <w:p w:rsidR="00B16F9D" w:rsidRPr="003F4BE3" w:rsidRDefault="00B16F9D" w:rsidP="003F4BE3">
            <w:pPr>
              <w:pStyle w:val="Tabletext"/>
              <w:keepNext/>
              <w:jc w:val="center"/>
            </w:pPr>
            <w:r w:rsidRPr="003F4BE3">
              <w:t>Low</w:t>
            </w:r>
          </w:p>
        </w:tc>
        <w:tc>
          <w:tcPr>
            <w:tcW w:w="848" w:type="pct"/>
            <w:shd w:val="clear" w:color="auto" w:fill="auto"/>
            <w:vAlign w:val="center"/>
          </w:tcPr>
          <w:p w:rsidR="00B16F9D" w:rsidRPr="003F4BE3" w:rsidRDefault="00B16F9D" w:rsidP="003F4BE3">
            <w:pPr>
              <w:pStyle w:val="Tabletext"/>
              <w:keepNext/>
              <w:jc w:val="center"/>
            </w:pPr>
            <w:r w:rsidRPr="003F4BE3">
              <w:t>Virologically suppressed</w:t>
            </w:r>
          </w:p>
        </w:tc>
        <w:tc>
          <w:tcPr>
            <w:tcW w:w="1859" w:type="pct"/>
            <w:shd w:val="clear" w:color="auto" w:fill="auto"/>
            <w:vAlign w:val="center"/>
          </w:tcPr>
          <w:p w:rsidR="00B16F9D" w:rsidRPr="003F4BE3" w:rsidRDefault="00B16F9D" w:rsidP="003F4BE3">
            <w:pPr>
              <w:pStyle w:val="Tabletext"/>
              <w:keepNext/>
              <w:jc w:val="center"/>
            </w:pPr>
            <w:r w:rsidRPr="003F4BE3">
              <w:t>Proportion of subjects with HIV-1 RNA ≥ 50 copies/mL at Week 48 as determined by the US FDA-defined snapshot algorithm</w:t>
            </w:r>
          </w:p>
        </w:tc>
      </w:tr>
    </w:tbl>
    <w:p w:rsidR="007F1017" w:rsidRPr="003F4BE3" w:rsidRDefault="007F1017" w:rsidP="00045017">
      <w:pPr>
        <w:pStyle w:val="TableFooter"/>
      </w:pPr>
      <w:r w:rsidRPr="003F4BE3">
        <w:t>DB=double blind; OL=open label; R=randomised.</w:t>
      </w:r>
    </w:p>
    <w:p w:rsidR="00045017" w:rsidRDefault="009750B8" w:rsidP="00045017">
      <w:pPr>
        <w:pStyle w:val="TableFooter"/>
      </w:pPr>
      <w:r w:rsidRPr="003F4BE3">
        <w:t>So</w:t>
      </w:r>
      <w:r w:rsidR="00A71F4A" w:rsidRPr="003F4BE3">
        <w:t>urce: pp47-66 of the submission, Table 2, p11 of ‘TGA Dossier Section 2.5 (Clinical Overview)’</w:t>
      </w:r>
    </w:p>
    <w:p w:rsidR="00BE1773" w:rsidRPr="00A36B06" w:rsidRDefault="006C6B56" w:rsidP="00330F58">
      <w:pPr>
        <w:pStyle w:val="ListParagraph"/>
        <w:widowControl/>
        <w:numPr>
          <w:ilvl w:val="1"/>
          <w:numId w:val="3"/>
        </w:numPr>
        <w:spacing w:before="160"/>
      </w:pPr>
      <w:r w:rsidRPr="00A36B06">
        <w:lastRenderedPageBreak/>
        <w:t>The ESC considered there was a moderate risk of bias in the evidence reported for the endpoints from Study 1878 a</w:t>
      </w:r>
      <w:r w:rsidR="00330F58">
        <w:t>s it was an open-label study.</w:t>
      </w:r>
    </w:p>
    <w:p w:rsidR="00B60939" w:rsidRPr="00F76F05" w:rsidRDefault="00B60939" w:rsidP="00DD3B41">
      <w:pPr>
        <w:pStyle w:val="Heading2"/>
        <w:spacing w:before="120" w:after="120"/>
      </w:pPr>
      <w:bookmarkStart w:id="8" w:name="_Toc503214688"/>
      <w:r w:rsidRPr="00F76F05">
        <w:t>Comparative effectiveness</w:t>
      </w:r>
      <w:bookmarkEnd w:id="8"/>
    </w:p>
    <w:p w:rsidR="00D52336" w:rsidRDefault="006B5503" w:rsidP="00122B8A">
      <w:pPr>
        <w:pStyle w:val="ListParagraph"/>
        <w:numPr>
          <w:ilvl w:val="1"/>
          <w:numId w:val="3"/>
        </w:numPr>
        <w:spacing w:before="160"/>
        <w:rPr>
          <w:rFonts w:asciiTheme="minorHAnsi" w:hAnsiTheme="minorHAnsi" w:cs="Calibri"/>
          <w:snapToGrid/>
          <w:color w:val="000000" w:themeColor="text1"/>
          <w:szCs w:val="24"/>
          <w:lang w:eastAsia="en-AU"/>
        </w:rPr>
      </w:pPr>
      <w:r w:rsidRPr="003F4BE3">
        <w:rPr>
          <w:rFonts w:asciiTheme="minorHAnsi" w:hAnsiTheme="minorHAnsi" w:cs="Calibri"/>
          <w:snapToGrid/>
          <w:color w:val="000000" w:themeColor="text1"/>
          <w:szCs w:val="24"/>
          <w:lang w:eastAsia="en-AU"/>
        </w:rPr>
        <w:t>For treatment</w:t>
      </w:r>
      <w:r w:rsidR="00A35682" w:rsidRPr="003F4BE3">
        <w:rPr>
          <w:rFonts w:asciiTheme="minorHAnsi" w:hAnsiTheme="minorHAnsi" w:cs="Calibri"/>
          <w:snapToGrid/>
          <w:color w:val="000000" w:themeColor="text1"/>
          <w:szCs w:val="24"/>
          <w:lang w:eastAsia="en-AU"/>
        </w:rPr>
        <w:t>-</w:t>
      </w:r>
      <w:r w:rsidRPr="003F4BE3">
        <w:rPr>
          <w:rFonts w:asciiTheme="minorHAnsi" w:hAnsiTheme="minorHAnsi" w:cs="Calibri"/>
          <w:snapToGrid/>
          <w:color w:val="000000" w:themeColor="text1"/>
          <w:szCs w:val="24"/>
          <w:lang w:eastAsia="en-AU"/>
        </w:rPr>
        <w:t>naïve</w:t>
      </w:r>
      <w:r w:rsidR="00A71F4A" w:rsidRPr="003F4BE3">
        <w:rPr>
          <w:rFonts w:asciiTheme="minorHAnsi" w:hAnsiTheme="minorHAnsi" w:cs="Calibri"/>
          <w:snapToGrid/>
          <w:color w:val="000000" w:themeColor="text1"/>
          <w:szCs w:val="24"/>
          <w:lang w:eastAsia="en-AU"/>
        </w:rPr>
        <w:t xml:space="preserve"> patients,</w:t>
      </w:r>
      <w:r w:rsidRPr="003F4BE3">
        <w:rPr>
          <w:rFonts w:asciiTheme="minorHAnsi" w:hAnsiTheme="minorHAnsi" w:cs="Calibri"/>
          <w:snapToGrid/>
          <w:color w:val="000000" w:themeColor="text1"/>
          <w:szCs w:val="24"/>
          <w:lang w:eastAsia="en-AU"/>
        </w:rPr>
        <w:t xml:space="preserve"> </w:t>
      </w:r>
      <w:r w:rsidR="00C8469B" w:rsidRPr="003F4BE3">
        <w:rPr>
          <w:rFonts w:asciiTheme="minorHAnsi" w:hAnsiTheme="minorHAnsi" w:cs="Calibri"/>
          <w:snapToGrid/>
          <w:color w:val="000000" w:themeColor="text1"/>
          <w:szCs w:val="24"/>
          <w:lang w:eastAsia="en-AU"/>
        </w:rPr>
        <w:t xml:space="preserve">Table </w:t>
      </w:r>
      <w:r w:rsidR="00D216D1" w:rsidRPr="003F4BE3">
        <w:rPr>
          <w:rFonts w:asciiTheme="minorHAnsi" w:hAnsiTheme="minorHAnsi" w:cs="Calibri"/>
          <w:snapToGrid/>
          <w:color w:val="000000" w:themeColor="text1"/>
          <w:szCs w:val="24"/>
          <w:lang w:eastAsia="en-AU"/>
        </w:rPr>
        <w:t>4</w:t>
      </w:r>
      <w:r w:rsidRPr="003F4BE3">
        <w:rPr>
          <w:rFonts w:asciiTheme="minorHAnsi" w:hAnsiTheme="minorHAnsi" w:cs="Calibri"/>
          <w:snapToGrid/>
          <w:color w:val="000000" w:themeColor="text1"/>
          <w:szCs w:val="24"/>
          <w:lang w:eastAsia="en-AU"/>
        </w:rPr>
        <w:t xml:space="preserve"> presents the primary endpoint of proportion of patients with &lt;50 copies/mL of HIV-1 RNA </w:t>
      </w:r>
      <w:r w:rsidR="00416D73" w:rsidRPr="003F4BE3">
        <w:rPr>
          <w:rFonts w:asciiTheme="minorHAnsi" w:hAnsiTheme="minorHAnsi" w:cs="Calibri"/>
          <w:snapToGrid/>
          <w:color w:val="000000" w:themeColor="text1"/>
          <w:szCs w:val="24"/>
          <w:lang w:eastAsia="en-AU"/>
        </w:rPr>
        <w:t>(</w:t>
      </w:r>
      <w:r w:rsidRPr="003F4BE3">
        <w:rPr>
          <w:rFonts w:asciiTheme="minorHAnsi" w:hAnsiTheme="minorHAnsi" w:cs="Calibri"/>
          <w:snapToGrid/>
          <w:color w:val="000000" w:themeColor="text1"/>
          <w:szCs w:val="24"/>
          <w:lang w:eastAsia="en-AU"/>
        </w:rPr>
        <w:t>as per the FDA snapshot algorithm</w:t>
      </w:r>
      <w:r w:rsidR="00416D73" w:rsidRPr="003F4BE3">
        <w:rPr>
          <w:rFonts w:asciiTheme="minorHAnsi" w:hAnsiTheme="minorHAnsi" w:cs="Calibri"/>
          <w:snapToGrid/>
          <w:color w:val="000000" w:themeColor="text1"/>
          <w:szCs w:val="24"/>
          <w:lang w:eastAsia="en-AU"/>
        </w:rPr>
        <w:t>) from Trial 1490</w:t>
      </w:r>
      <w:r w:rsidRPr="003F4BE3">
        <w:rPr>
          <w:rFonts w:asciiTheme="minorHAnsi" w:hAnsiTheme="minorHAnsi" w:cs="Calibri"/>
          <w:snapToGrid/>
          <w:color w:val="000000" w:themeColor="text1"/>
          <w:szCs w:val="24"/>
          <w:lang w:eastAsia="en-AU"/>
        </w:rPr>
        <w:t xml:space="preserve">. The proportion of patients with &lt;50 copies were similar between the BFTAF and </w:t>
      </w:r>
      <w:r w:rsidR="006A6F37" w:rsidRPr="003F4BE3">
        <w:rPr>
          <w:rFonts w:asciiTheme="minorHAnsi" w:hAnsiTheme="minorHAnsi" w:cs="Calibri"/>
          <w:snapToGrid/>
          <w:color w:val="000000" w:themeColor="text1"/>
          <w:szCs w:val="24"/>
          <w:lang w:eastAsia="en-AU"/>
        </w:rPr>
        <w:t>DESCOVY®</w:t>
      </w:r>
      <w:r w:rsidRPr="003F4BE3">
        <w:rPr>
          <w:rFonts w:asciiTheme="minorHAnsi" w:hAnsiTheme="minorHAnsi" w:cs="Calibri"/>
          <w:snapToGrid/>
          <w:color w:val="000000" w:themeColor="text1"/>
          <w:szCs w:val="24"/>
          <w:lang w:eastAsia="en-AU"/>
        </w:rPr>
        <w:t xml:space="preserve"> </w:t>
      </w:r>
      <w:r w:rsidR="00B16F9D" w:rsidRPr="003F4BE3">
        <w:rPr>
          <w:rFonts w:asciiTheme="minorHAnsi" w:hAnsiTheme="minorHAnsi" w:cs="Calibri"/>
          <w:snapToGrid/>
          <w:color w:val="000000" w:themeColor="text1"/>
          <w:szCs w:val="24"/>
          <w:lang w:eastAsia="en-AU"/>
        </w:rPr>
        <w:t xml:space="preserve">+ </w:t>
      </w:r>
      <w:proofErr w:type="spellStart"/>
      <w:r w:rsidR="00B16F9D" w:rsidRPr="003F4BE3">
        <w:rPr>
          <w:rFonts w:asciiTheme="minorHAnsi" w:hAnsiTheme="minorHAnsi" w:cs="Calibri"/>
          <w:snapToGrid/>
          <w:color w:val="000000" w:themeColor="text1"/>
          <w:szCs w:val="24"/>
          <w:lang w:eastAsia="en-AU"/>
        </w:rPr>
        <w:t>dolutegravir</w:t>
      </w:r>
      <w:proofErr w:type="spellEnd"/>
      <w:r w:rsidR="00B16F9D" w:rsidRPr="003F4BE3">
        <w:rPr>
          <w:rFonts w:asciiTheme="minorHAnsi" w:hAnsiTheme="minorHAnsi" w:cs="Calibri"/>
          <w:snapToGrid/>
          <w:color w:val="000000" w:themeColor="text1"/>
          <w:szCs w:val="24"/>
          <w:lang w:eastAsia="en-AU"/>
        </w:rPr>
        <w:t xml:space="preserve"> </w:t>
      </w:r>
      <w:r w:rsidRPr="003F4BE3">
        <w:rPr>
          <w:rFonts w:asciiTheme="minorHAnsi" w:hAnsiTheme="minorHAnsi" w:cs="Calibri"/>
          <w:snapToGrid/>
          <w:color w:val="000000" w:themeColor="text1"/>
          <w:szCs w:val="24"/>
          <w:lang w:eastAsia="en-AU"/>
        </w:rPr>
        <w:t xml:space="preserve">treatment groups, with a non-significant difference of -3.5%. The submission considered that because the lower bound of the 95% CI (-7.9%) was greater than the pre-specified -12% margin, BFTAF was considered to be non-inferior to </w:t>
      </w:r>
      <w:r w:rsidR="006A6F37" w:rsidRPr="003F4BE3">
        <w:rPr>
          <w:rFonts w:asciiTheme="minorHAnsi" w:hAnsiTheme="minorHAnsi" w:cs="Calibri"/>
          <w:snapToGrid/>
          <w:color w:val="000000" w:themeColor="text1"/>
          <w:szCs w:val="24"/>
          <w:lang w:eastAsia="en-AU"/>
        </w:rPr>
        <w:t>DESCOVY®</w:t>
      </w:r>
      <w:r w:rsidR="00B16F9D" w:rsidRPr="003F4BE3">
        <w:rPr>
          <w:rFonts w:asciiTheme="minorHAnsi" w:hAnsiTheme="minorHAnsi" w:cs="Calibri"/>
          <w:snapToGrid/>
          <w:color w:val="000000" w:themeColor="text1"/>
          <w:szCs w:val="24"/>
          <w:lang w:eastAsia="en-AU"/>
        </w:rPr>
        <w:t xml:space="preserve"> + </w:t>
      </w:r>
      <w:proofErr w:type="spellStart"/>
      <w:r w:rsidR="00B16F9D" w:rsidRPr="003F4BE3">
        <w:rPr>
          <w:rFonts w:asciiTheme="minorHAnsi" w:hAnsiTheme="minorHAnsi" w:cs="Calibri"/>
          <w:snapToGrid/>
          <w:color w:val="000000" w:themeColor="text1"/>
          <w:szCs w:val="24"/>
          <w:lang w:eastAsia="en-AU"/>
        </w:rPr>
        <w:t>dolutegravir</w:t>
      </w:r>
      <w:proofErr w:type="spellEnd"/>
      <w:r w:rsidRPr="003F4BE3">
        <w:rPr>
          <w:rFonts w:asciiTheme="minorHAnsi" w:hAnsiTheme="minorHAnsi" w:cs="Calibri"/>
          <w:snapToGrid/>
          <w:color w:val="000000" w:themeColor="text1"/>
          <w:szCs w:val="24"/>
          <w:lang w:eastAsia="en-AU"/>
        </w:rPr>
        <w:t>. This was reasonable.</w:t>
      </w:r>
    </w:p>
    <w:p w:rsidR="006B5503" w:rsidRPr="003F4BE3" w:rsidRDefault="006B5503" w:rsidP="00200C06">
      <w:r w:rsidRPr="003F4BE3">
        <w:rPr>
          <w:rStyle w:val="CommentReference"/>
          <w:color w:val="000000" w:themeColor="text1"/>
        </w:rPr>
        <w:t xml:space="preserve">Table </w:t>
      </w:r>
      <w:r w:rsidR="00D216D1" w:rsidRPr="003F4BE3">
        <w:rPr>
          <w:rStyle w:val="CommentReference"/>
          <w:color w:val="000000" w:themeColor="text1"/>
        </w:rPr>
        <w:t>4</w:t>
      </w:r>
      <w:r w:rsidR="00C8469B" w:rsidRPr="003F4BE3">
        <w:rPr>
          <w:rStyle w:val="CommentReference"/>
          <w:color w:val="000000" w:themeColor="text1"/>
        </w:rPr>
        <w:t xml:space="preserve">: </w:t>
      </w:r>
      <w:r w:rsidRPr="003F4BE3">
        <w:rPr>
          <w:rStyle w:val="CommentReference"/>
          <w:color w:val="000000" w:themeColor="text1"/>
        </w:rPr>
        <w:t xml:space="preserve">Results of Trial 1490, </w:t>
      </w:r>
      <w:r w:rsidR="00330F58">
        <w:rPr>
          <w:rStyle w:val="CommentReference"/>
          <w:color w:val="000000" w:themeColor="text1"/>
        </w:rPr>
        <w:t>p</w:t>
      </w:r>
      <w:r w:rsidRPr="003F4BE3">
        <w:rPr>
          <w:rStyle w:val="CommentReference"/>
          <w:color w:val="000000" w:themeColor="text1"/>
        </w:rPr>
        <w:t>rimary endpoint</w:t>
      </w:r>
    </w:p>
    <w:tbl>
      <w:tblPr>
        <w:tblW w:w="9072" w:type="dxa"/>
        <w:tblInd w:w="29" w:type="dxa"/>
        <w:tblLayout w:type="fixed"/>
        <w:tblCellMar>
          <w:left w:w="29" w:type="dxa"/>
          <w:right w:w="29" w:type="dxa"/>
        </w:tblCellMar>
        <w:tblLook w:val="04A0" w:firstRow="1" w:lastRow="0" w:firstColumn="1" w:lastColumn="0" w:noHBand="0" w:noVBand="1"/>
      </w:tblPr>
      <w:tblGrid>
        <w:gridCol w:w="4536"/>
        <w:gridCol w:w="2268"/>
        <w:gridCol w:w="2268"/>
      </w:tblGrid>
      <w:tr w:rsidR="006B5503" w:rsidRPr="003F4BE3" w:rsidTr="00002110">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503" w:rsidRPr="003F4BE3" w:rsidRDefault="006B5503" w:rsidP="00330F58">
            <w:pPr>
              <w:rPr>
                <w:rFonts w:ascii="Arial Narrow" w:hAnsi="Arial Narrow"/>
                <w:b/>
                <w:color w:val="000000"/>
                <w:sz w:val="20"/>
                <w:szCs w:val="20"/>
                <w:lang w:val="en-AU"/>
              </w:rPr>
            </w:pPr>
            <w:proofErr w:type="spellStart"/>
            <w:r w:rsidRPr="003F4BE3">
              <w:rPr>
                <w:rFonts w:ascii="Arial Narrow" w:hAnsi="Arial Narrow"/>
                <w:b/>
                <w:sz w:val="20"/>
              </w:rPr>
              <w:t>Virological</w:t>
            </w:r>
            <w:proofErr w:type="spellEnd"/>
            <w:r w:rsidRPr="003F4BE3">
              <w:rPr>
                <w:rFonts w:ascii="Arial Narrow" w:hAnsi="Arial Narrow"/>
                <w:b/>
                <w:sz w:val="20"/>
              </w:rPr>
              <w:t xml:space="preserve"> </w:t>
            </w:r>
            <w:r w:rsidR="00330F58">
              <w:rPr>
                <w:rFonts w:ascii="Arial Narrow" w:hAnsi="Arial Narrow"/>
                <w:b/>
                <w:sz w:val="20"/>
              </w:rPr>
              <w:t>o</w:t>
            </w:r>
            <w:r w:rsidRPr="003F4BE3">
              <w:rPr>
                <w:rFonts w:ascii="Arial Narrow" w:hAnsi="Arial Narrow"/>
                <w:b/>
                <w:sz w:val="20"/>
              </w:rPr>
              <w:t>utcome at 48 weeks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b/>
                <w:color w:val="000000"/>
                <w:sz w:val="20"/>
                <w:szCs w:val="20"/>
                <w:lang w:val="en-AU"/>
              </w:rPr>
            </w:pPr>
            <w:r w:rsidRPr="003F4BE3">
              <w:rPr>
                <w:rFonts w:ascii="Arial Narrow" w:hAnsi="Arial Narrow"/>
                <w:b/>
                <w:color w:val="000000"/>
                <w:sz w:val="20"/>
                <w:szCs w:val="20"/>
                <w:lang w:val="en-AU"/>
              </w:rPr>
              <w:t>BFTAF</w:t>
            </w:r>
          </w:p>
          <w:p w:rsidR="006B5503" w:rsidRPr="003F4BE3" w:rsidRDefault="006B5503" w:rsidP="00002110">
            <w:pPr>
              <w:jc w:val="center"/>
              <w:rPr>
                <w:rFonts w:ascii="Arial Narrow" w:hAnsi="Arial Narrow"/>
                <w:b/>
                <w:color w:val="000000"/>
                <w:sz w:val="20"/>
                <w:szCs w:val="20"/>
                <w:lang w:val="en-AU"/>
              </w:rPr>
            </w:pPr>
            <w:r w:rsidRPr="003F4BE3">
              <w:rPr>
                <w:rFonts w:ascii="Arial Narrow" w:hAnsi="Arial Narrow"/>
                <w:b/>
                <w:color w:val="000000"/>
                <w:sz w:val="20"/>
                <w:szCs w:val="20"/>
                <w:lang w:val="en-AU"/>
              </w:rPr>
              <w:t>N=320</w:t>
            </w:r>
          </w:p>
          <w:p w:rsidR="006B5503" w:rsidRPr="003F4BE3" w:rsidRDefault="006B5503" w:rsidP="00002110">
            <w:pPr>
              <w:jc w:val="center"/>
              <w:rPr>
                <w:rFonts w:ascii="Arial Narrow" w:hAnsi="Arial Narrow"/>
                <w:b/>
                <w:color w:val="000000"/>
                <w:sz w:val="20"/>
                <w:szCs w:val="20"/>
                <w:lang w:val="en-AU"/>
              </w:rPr>
            </w:pPr>
            <w:proofErr w:type="gramStart"/>
            <w:r w:rsidRPr="003F4BE3">
              <w:rPr>
                <w:rFonts w:ascii="Arial Narrow" w:hAnsi="Arial Narrow"/>
                <w:b/>
                <w:color w:val="000000"/>
                <w:sz w:val="20"/>
                <w:szCs w:val="20"/>
                <w:lang w:val="en-AU"/>
              </w:rPr>
              <w:t>n</w:t>
            </w:r>
            <w:proofErr w:type="gramEnd"/>
            <w:r w:rsidRPr="003F4BE3">
              <w:rPr>
                <w:rFonts w:ascii="Arial Narrow" w:hAnsi="Arial Narrow"/>
                <w:b/>
                <w:color w:val="000000"/>
                <w:sz w:val="20"/>
                <w:szCs w:val="20"/>
                <w:lang w:val="en-AU"/>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B5503" w:rsidRPr="003F4BE3" w:rsidRDefault="006A6F37" w:rsidP="00002110">
            <w:pPr>
              <w:jc w:val="center"/>
              <w:rPr>
                <w:rFonts w:ascii="Arial Narrow" w:hAnsi="Arial Narrow"/>
                <w:b/>
                <w:color w:val="000000"/>
                <w:sz w:val="20"/>
                <w:szCs w:val="20"/>
                <w:lang w:val="en-AU"/>
              </w:rPr>
            </w:pPr>
            <w:r w:rsidRPr="003F4BE3">
              <w:rPr>
                <w:rFonts w:ascii="Arial Narrow" w:hAnsi="Arial Narrow"/>
                <w:b/>
                <w:color w:val="000000"/>
                <w:sz w:val="20"/>
                <w:szCs w:val="20"/>
                <w:lang w:val="en-AU"/>
              </w:rPr>
              <w:t>DESCOVY®</w:t>
            </w:r>
            <w:r w:rsidR="00B16F9D" w:rsidRPr="003F4BE3">
              <w:rPr>
                <w:rFonts w:ascii="Arial Narrow" w:hAnsi="Arial Narrow"/>
                <w:b/>
                <w:color w:val="000000"/>
                <w:sz w:val="20"/>
                <w:szCs w:val="20"/>
                <w:lang w:val="en-AU"/>
              </w:rPr>
              <w:t xml:space="preserve"> + </w:t>
            </w:r>
            <w:proofErr w:type="spellStart"/>
            <w:r w:rsidR="00B16F9D" w:rsidRPr="003F4BE3">
              <w:rPr>
                <w:rFonts w:ascii="Arial Narrow" w:hAnsi="Arial Narrow"/>
                <w:b/>
                <w:color w:val="000000"/>
                <w:sz w:val="20"/>
                <w:szCs w:val="20"/>
                <w:lang w:val="en-AU"/>
              </w:rPr>
              <w:t>Dolutegravir</w:t>
            </w:r>
            <w:proofErr w:type="spellEnd"/>
            <w:r w:rsidR="00B16F9D" w:rsidRPr="003F4BE3">
              <w:rPr>
                <w:rFonts w:ascii="Arial Narrow" w:hAnsi="Arial Narrow"/>
                <w:b/>
                <w:color w:val="000000"/>
                <w:sz w:val="20"/>
                <w:szCs w:val="20"/>
                <w:lang w:val="en-AU"/>
              </w:rPr>
              <w:t xml:space="preserve"> </w:t>
            </w:r>
            <w:r w:rsidR="006B5503" w:rsidRPr="003F4BE3">
              <w:rPr>
                <w:rFonts w:ascii="Arial Narrow" w:hAnsi="Arial Narrow"/>
                <w:b/>
                <w:color w:val="000000"/>
                <w:sz w:val="20"/>
                <w:szCs w:val="20"/>
                <w:lang w:val="en-AU"/>
              </w:rPr>
              <w:t>N=325</w:t>
            </w:r>
          </w:p>
          <w:p w:rsidR="006B5503" w:rsidRPr="003F4BE3" w:rsidRDefault="006B5503" w:rsidP="00002110">
            <w:pPr>
              <w:jc w:val="center"/>
              <w:rPr>
                <w:rFonts w:ascii="Arial Narrow" w:hAnsi="Arial Narrow"/>
                <w:b/>
                <w:color w:val="000000"/>
                <w:sz w:val="20"/>
                <w:szCs w:val="20"/>
                <w:lang w:val="en-AU"/>
              </w:rPr>
            </w:pPr>
            <w:proofErr w:type="gramStart"/>
            <w:r w:rsidRPr="003F4BE3">
              <w:rPr>
                <w:rFonts w:ascii="Arial Narrow" w:hAnsi="Arial Narrow"/>
                <w:b/>
                <w:color w:val="000000"/>
                <w:sz w:val="20"/>
                <w:szCs w:val="20"/>
                <w:lang w:val="en-AU"/>
              </w:rPr>
              <w:t>n</w:t>
            </w:r>
            <w:proofErr w:type="gramEnd"/>
            <w:r w:rsidRPr="003F4BE3">
              <w:rPr>
                <w:rFonts w:ascii="Arial Narrow" w:hAnsi="Arial Narrow"/>
                <w:b/>
                <w:color w:val="000000"/>
                <w:sz w:val="20"/>
                <w:szCs w:val="20"/>
                <w:lang w:val="en-AU"/>
              </w:rPr>
              <w:t xml:space="preserve"> (%)</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HIV-1 RNA &lt;50 copies/mL</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286 (89.4%)</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302 (92.9%)</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Difference in percentages (95% CI), p-value</w:t>
            </w:r>
          </w:p>
        </w:tc>
        <w:tc>
          <w:tcPr>
            <w:tcW w:w="4536" w:type="dxa"/>
            <w:gridSpan w:val="2"/>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-3.5% (-7.9% to 1.0%), p=0.12</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HIV-1 RNA ≥50 copies/mL</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14 (4.4%)</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4 (1.2%)</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HIV-1 RNA ≥50 copies/mL in Week 48 Window</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 (0.9%)</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 (0.3%)</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Discontinued study drug due to lack of efficacy</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0</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0</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Discontinued study drug due to other reasons and last available HIV-1 RNA ≥50 copies/mL</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11 (3.4%)</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 (0.9%)</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No virological data in Week 48 window</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20 (6.3%)</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19 (5.8%)</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Discontinued study drug due to AE/death</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 (0.9%)</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3 (0.9%)</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Discontinued study drug due to other reasons and last available HIV-1 RNA &lt;50 copies/mL</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11 (3.4%)</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14 (4.3%)</w:t>
            </w:r>
          </w:p>
        </w:tc>
      </w:tr>
      <w:tr w:rsidR="006B5503" w:rsidRPr="003F4BE3" w:rsidTr="00002110">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B5503" w:rsidRPr="003F4BE3" w:rsidRDefault="006B5503" w:rsidP="00002110">
            <w:pPr>
              <w:rPr>
                <w:rFonts w:ascii="Arial Narrow" w:hAnsi="Arial Narrow"/>
                <w:color w:val="000000"/>
                <w:sz w:val="20"/>
                <w:szCs w:val="20"/>
                <w:lang w:val="en-AU"/>
              </w:rPr>
            </w:pPr>
            <w:r w:rsidRPr="003F4BE3">
              <w:rPr>
                <w:rFonts w:ascii="Arial Narrow" w:hAnsi="Arial Narrow"/>
                <w:color w:val="000000"/>
                <w:sz w:val="20"/>
                <w:szCs w:val="20"/>
                <w:lang w:val="en-AU"/>
              </w:rPr>
              <w:t>Missing data during window but on study drug</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6 (1.9%)</w:t>
            </w:r>
          </w:p>
        </w:tc>
        <w:tc>
          <w:tcPr>
            <w:tcW w:w="2268" w:type="dxa"/>
            <w:tcBorders>
              <w:top w:val="nil"/>
              <w:left w:val="nil"/>
              <w:bottom w:val="single" w:sz="4" w:space="0" w:color="auto"/>
              <w:right w:val="single" w:sz="4" w:space="0" w:color="auto"/>
            </w:tcBorders>
            <w:shd w:val="clear" w:color="auto" w:fill="auto"/>
            <w:noWrap/>
            <w:vAlign w:val="center"/>
            <w:hideMark/>
          </w:tcPr>
          <w:p w:rsidR="006B5503" w:rsidRPr="003F4BE3" w:rsidRDefault="006B5503" w:rsidP="00002110">
            <w:pPr>
              <w:jc w:val="center"/>
              <w:rPr>
                <w:rFonts w:ascii="Arial Narrow" w:hAnsi="Arial Narrow"/>
                <w:color w:val="000000"/>
                <w:sz w:val="20"/>
                <w:szCs w:val="20"/>
                <w:lang w:val="en-AU"/>
              </w:rPr>
            </w:pPr>
            <w:r w:rsidRPr="003F4BE3">
              <w:rPr>
                <w:rFonts w:ascii="Arial Narrow" w:hAnsi="Arial Narrow"/>
                <w:color w:val="000000"/>
                <w:sz w:val="20"/>
                <w:szCs w:val="20"/>
                <w:lang w:val="en-AU"/>
              </w:rPr>
              <w:t>2 (0.6%)</w:t>
            </w:r>
          </w:p>
        </w:tc>
      </w:tr>
    </w:tbl>
    <w:p w:rsidR="006B5503" w:rsidRPr="003F4BE3" w:rsidRDefault="006B5503" w:rsidP="006B5503">
      <w:pPr>
        <w:pStyle w:val="TableFooter"/>
      </w:pPr>
      <w:r w:rsidRPr="003F4BE3">
        <w:t xml:space="preserve">AE = adverse event; CI = confidence interval; HIV = human immunodeficiency virus; mL = millilitre; RNA = ribonucleic acid; </w:t>
      </w:r>
    </w:p>
    <w:p w:rsidR="006B5503" w:rsidRPr="003F4BE3" w:rsidRDefault="006B5503" w:rsidP="006B5503">
      <w:pPr>
        <w:pStyle w:val="TableFooter"/>
      </w:pPr>
      <w:r w:rsidRPr="003F4BE3">
        <w:t>Source: Table 2.14, p68 of the submission.</w:t>
      </w:r>
    </w:p>
    <w:p w:rsidR="006B5503" w:rsidRPr="003F4BE3" w:rsidRDefault="006B5503" w:rsidP="00330F58">
      <w:pPr>
        <w:pStyle w:val="ListParagraph"/>
        <w:numPr>
          <w:ilvl w:val="1"/>
          <w:numId w:val="3"/>
        </w:numPr>
        <w:spacing w:before="160"/>
        <w:rPr>
          <w:rFonts w:cs="Calibri"/>
          <w:snapToGrid/>
          <w:color w:val="000000" w:themeColor="text1"/>
          <w:szCs w:val="24"/>
          <w:lang w:eastAsia="en-AU"/>
        </w:rPr>
      </w:pPr>
      <w:r w:rsidRPr="003F4BE3">
        <w:rPr>
          <w:rFonts w:cs="Calibri"/>
          <w:snapToGrid/>
          <w:color w:val="000000" w:themeColor="text1"/>
          <w:szCs w:val="24"/>
          <w:lang w:eastAsia="en-AU"/>
        </w:rPr>
        <w:t>Trial 1489 (n=629), excluded from the sub</w:t>
      </w:r>
      <w:r w:rsidR="00B71169" w:rsidRPr="003F4BE3">
        <w:rPr>
          <w:rFonts w:cs="Calibri"/>
          <w:snapToGrid/>
          <w:color w:val="000000" w:themeColor="text1"/>
          <w:szCs w:val="24"/>
          <w:lang w:eastAsia="en-AU"/>
        </w:rPr>
        <w:t>mission</w:t>
      </w:r>
      <w:r w:rsidR="00BF13B4" w:rsidRPr="003F4BE3">
        <w:rPr>
          <w:rFonts w:cs="Calibri"/>
          <w:snapToGrid/>
          <w:color w:val="000000" w:themeColor="text1"/>
          <w:szCs w:val="24"/>
          <w:lang w:eastAsia="en-AU"/>
        </w:rPr>
        <w:t>’s clinical evaluation</w:t>
      </w:r>
      <w:r w:rsidR="00B71169" w:rsidRPr="003F4BE3">
        <w:rPr>
          <w:rFonts w:cs="Calibri"/>
          <w:snapToGrid/>
          <w:color w:val="000000" w:themeColor="text1"/>
          <w:szCs w:val="24"/>
          <w:lang w:eastAsia="en-AU"/>
        </w:rPr>
        <w:t xml:space="preserve">, </w:t>
      </w:r>
      <w:r w:rsidRPr="003F4BE3">
        <w:rPr>
          <w:rFonts w:cs="Calibri"/>
          <w:snapToGrid/>
          <w:color w:val="000000" w:themeColor="text1"/>
          <w:szCs w:val="24"/>
          <w:lang w:eastAsia="en-AU"/>
        </w:rPr>
        <w:t xml:space="preserve">provided a comparison of BFTAF to </w:t>
      </w:r>
      <w:r w:rsidR="00D0277C" w:rsidRPr="003F4BE3">
        <w:rPr>
          <w:rFonts w:cs="Calibri"/>
          <w:snapToGrid/>
          <w:color w:val="000000" w:themeColor="text1"/>
          <w:szCs w:val="24"/>
          <w:lang w:eastAsia="en-AU"/>
        </w:rPr>
        <w:t>TRIUMEQ®</w:t>
      </w:r>
      <w:r w:rsidRPr="003F4BE3">
        <w:rPr>
          <w:rFonts w:cs="Calibri"/>
          <w:snapToGrid/>
          <w:color w:val="000000" w:themeColor="text1"/>
          <w:szCs w:val="24"/>
          <w:lang w:eastAsia="en-AU"/>
        </w:rPr>
        <w:t xml:space="preserve"> in treatment-naïve patients. The trial was randomised and double-blind and considered to be at a low risk of bias. Patient characteristics were balanced between treatment arms. The primary outcome was proporti</w:t>
      </w:r>
      <w:r w:rsidR="00B71169" w:rsidRPr="003F4BE3">
        <w:rPr>
          <w:rFonts w:cs="Calibri"/>
          <w:snapToGrid/>
          <w:color w:val="000000" w:themeColor="text1"/>
          <w:szCs w:val="24"/>
          <w:lang w:eastAsia="en-AU"/>
        </w:rPr>
        <w:t>on of subjects with HIV-1 RNA &lt;</w:t>
      </w:r>
      <w:proofErr w:type="gramStart"/>
      <w:r w:rsidRPr="003F4BE3">
        <w:rPr>
          <w:rFonts w:cs="Calibri"/>
          <w:snapToGrid/>
          <w:color w:val="000000" w:themeColor="text1"/>
          <w:szCs w:val="24"/>
          <w:lang w:eastAsia="en-AU"/>
        </w:rPr>
        <w:t>50 copies/mL using the US FDA-defined snapshot algorithm and a non-inferiority margin of -1</w:t>
      </w:r>
      <w:r w:rsidR="00B71169" w:rsidRPr="003F4BE3">
        <w:rPr>
          <w:rFonts w:cs="Calibri"/>
          <w:snapToGrid/>
          <w:color w:val="000000" w:themeColor="text1"/>
          <w:szCs w:val="24"/>
          <w:lang w:eastAsia="en-AU"/>
        </w:rPr>
        <w:t>2%</w:t>
      </w:r>
      <w:proofErr w:type="gramEnd"/>
      <w:r w:rsidR="00B71169" w:rsidRPr="003F4BE3">
        <w:rPr>
          <w:rFonts w:cs="Calibri"/>
          <w:snapToGrid/>
          <w:color w:val="000000" w:themeColor="text1"/>
          <w:szCs w:val="24"/>
          <w:lang w:eastAsia="en-AU"/>
        </w:rPr>
        <w:t xml:space="preserve"> was specified. 92.4% of the </w:t>
      </w:r>
      <w:r w:rsidRPr="003F4BE3">
        <w:rPr>
          <w:rFonts w:cs="Calibri"/>
          <w:snapToGrid/>
          <w:color w:val="000000" w:themeColor="text1"/>
          <w:szCs w:val="24"/>
          <w:lang w:eastAsia="en-AU"/>
        </w:rPr>
        <w:t>BFTAF group had &lt;</w:t>
      </w:r>
      <w:proofErr w:type="gramStart"/>
      <w:r w:rsidRPr="003F4BE3">
        <w:rPr>
          <w:rFonts w:cs="Calibri"/>
          <w:snapToGrid/>
          <w:color w:val="000000" w:themeColor="text1"/>
          <w:szCs w:val="24"/>
          <w:lang w:eastAsia="en-AU"/>
        </w:rPr>
        <w:t>50 copies/mL at Week 48</w:t>
      </w:r>
      <w:proofErr w:type="gramEnd"/>
      <w:r w:rsidRPr="003F4BE3">
        <w:rPr>
          <w:rFonts w:cs="Calibri"/>
          <w:snapToGrid/>
          <w:color w:val="000000" w:themeColor="text1"/>
          <w:szCs w:val="24"/>
          <w:lang w:eastAsia="en-AU"/>
        </w:rPr>
        <w:t xml:space="preserve"> compared to 93.3% in the </w:t>
      </w:r>
      <w:r w:rsidR="00D0277C" w:rsidRPr="003F4BE3">
        <w:rPr>
          <w:rFonts w:cs="Calibri"/>
          <w:snapToGrid/>
          <w:color w:val="000000" w:themeColor="text1"/>
          <w:szCs w:val="24"/>
          <w:lang w:eastAsia="en-AU"/>
        </w:rPr>
        <w:t>TRIUMEQ®</w:t>
      </w:r>
      <w:r w:rsidRPr="003F4BE3">
        <w:rPr>
          <w:rFonts w:cs="Calibri"/>
          <w:snapToGrid/>
          <w:color w:val="000000" w:themeColor="text1"/>
          <w:szCs w:val="24"/>
          <w:lang w:eastAsia="en-AU"/>
        </w:rPr>
        <w:t xml:space="preserve"> group, </w:t>
      </w:r>
      <w:r w:rsidR="00F825FA" w:rsidRPr="003F4BE3">
        <w:rPr>
          <w:rFonts w:cs="Calibri"/>
          <w:snapToGrid/>
          <w:color w:val="000000" w:themeColor="text1"/>
          <w:szCs w:val="24"/>
          <w:lang w:eastAsia="en-AU"/>
        </w:rPr>
        <w:t>with a non-significant difference of</w:t>
      </w:r>
      <w:r w:rsidR="00B16F9D" w:rsidRPr="003F4BE3">
        <w:rPr>
          <w:rFonts w:cs="Calibri"/>
          <w:snapToGrid/>
          <w:color w:val="000000" w:themeColor="text1"/>
          <w:szCs w:val="24"/>
          <w:lang w:eastAsia="en-AU"/>
        </w:rPr>
        <w:t xml:space="preserve"> </w:t>
      </w:r>
      <w:r w:rsidRPr="003F4BE3">
        <w:rPr>
          <w:rFonts w:cs="Calibri"/>
          <w:snapToGrid/>
          <w:color w:val="000000" w:themeColor="text1"/>
          <w:szCs w:val="24"/>
          <w:lang w:eastAsia="en-AU"/>
        </w:rPr>
        <w:t>-0.9% (95%</w:t>
      </w:r>
      <w:r w:rsidR="00F825FA" w:rsidRPr="003F4BE3">
        <w:rPr>
          <w:rFonts w:cs="Calibri"/>
          <w:snapToGrid/>
          <w:color w:val="000000" w:themeColor="text1"/>
          <w:szCs w:val="24"/>
          <w:lang w:eastAsia="en-AU"/>
        </w:rPr>
        <w:t xml:space="preserve"> </w:t>
      </w:r>
      <w:r w:rsidRPr="003F4BE3">
        <w:rPr>
          <w:rFonts w:cs="Calibri"/>
          <w:snapToGrid/>
          <w:color w:val="000000" w:themeColor="text1"/>
          <w:szCs w:val="24"/>
          <w:lang w:eastAsia="en-AU"/>
        </w:rPr>
        <w:t>CI: -5.1%</w:t>
      </w:r>
      <w:r w:rsidR="00B71169" w:rsidRPr="003F4BE3">
        <w:rPr>
          <w:rFonts w:cs="Calibri"/>
          <w:snapToGrid/>
          <w:color w:val="000000" w:themeColor="text1"/>
          <w:szCs w:val="24"/>
          <w:lang w:eastAsia="en-AU"/>
        </w:rPr>
        <w:t xml:space="preserve">, 3.2%). The results indicated </w:t>
      </w:r>
      <w:r w:rsidRPr="003F4BE3">
        <w:rPr>
          <w:rFonts w:cs="Calibri"/>
          <w:snapToGrid/>
          <w:color w:val="000000" w:themeColor="text1"/>
          <w:szCs w:val="24"/>
          <w:lang w:eastAsia="en-AU"/>
        </w:rPr>
        <w:t>non-inferior efficacy.</w:t>
      </w:r>
    </w:p>
    <w:p w:rsidR="006B5503" w:rsidRPr="003F4BE3" w:rsidRDefault="006B5503" w:rsidP="004F1736">
      <w:pPr>
        <w:pStyle w:val="ListParagraph"/>
        <w:numPr>
          <w:ilvl w:val="1"/>
          <w:numId w:val="3"/>
        </w:numPr>
        <w:rPr>
          <w:rFonts w:cs="Calibri"/>
          <w:snapToGrid/>
          <w:color w:val="000000" w:themeColor="text1"/>
          <w:szCs w:val="24"/>
          <w:lang w:eastAsia="en-AU"/>
        </w:rPr>
      </w:pPr>
      <w:r w:rsidRPr="003F4BE3">
        <w:rPr>
          <w:rFonts w:cs="Calibri"/>
          <w:snapToGrid/>
          <w:color w:val="000000" w:themeColor="text1"/>
          <w:szCs w:val="24"/>
          <w:lang w:eastAsia="en-AU"/>
        </w:rPr>
        <w:t xml:space="preserve">For virologically suppressed patients, Table </w:t>
      </w:r>
      <w:r w:rsidR="00D216D1" w:rsidRPr="003F4BE3">
        <w:rPr>
          <w:rFonts w:cs="Calibri"/>
          <w:snapToGrid/>
          <w:color w:val="000000" w:themeColor="text1"/>
          <w:szCs w:val="24"/>
          <w:lang w:eastAsia="en-AU"/>
        </w:rPr>
        <w:t>5</w:t>
      </w:r>
      <w:r w:rsidRPr="003F4BE3">
        <w:rPr>
          <w:rFonts w:cs="Calibri"/>
          <w:snapToGrid/>
          <w:color w:val="000000" w:themeColor="text1"/>
          <w:szCs w:val="24"/>
          <w:lang w:eastAsia="en-AU"/>
        </w:rPr>
        <w:t xml:space="preserve"> presents the primary endpoint of proportion of patients with </w:t>
      </w:r>
      <w:r w:rsidR="00DB2D5A" w:rsidRPr="003F4BE3">
        <w:rPr>
          <w:rFonts w:cs="Calibri"/>
          <w:snapToGrid/>
          <w:color w:val="000000" w:themeColor="text1"/>
          <w:szCs w:val="24"/>
          <w:lang w:eastAsia="en-AU"/>
        </w:rPr>
        <w:t>≥</w:t>
      </w:r>
      <w:r w:rsidRPr="003F4BE3">
        <w:rPr>
          <w:rFonts w:cs="Calibri"/>
          <w:snapToGrid/>
          <w:color w:val="000000" w:themeColor="text1"/>
          <w:szCs w:val="24"/>
          <w:lang w:eastAsia="en-AU"/>
        </w:rPr>
        <w:t xml:space="preserve">50 copies/mL of HIV-1 RNA </w:t>
      </w:r>
      <w:r w:rsidR="00416D73" w:rsidRPr="003F4BE3">
        <w:rPr>
          <w:rFonts w:cs="Calibri"/>
          <w:snapToGrid/>
          <w:color w:val="000000" w:themeColor="text1"/>
          <w:szCs w:val="24"/>
          <w:lang w:eastAsia="en-AU"/>
        </w:rPr>
        <w:t>(</w:t>
      </w:r>
      <w:r w:rsidRPr="003F4BE3">
        <w:rPr>
          <w:rFonts w:cs="Calibri"/>
          <w:snapToGrid/>
          <w:color w:val="000000" w:themeColor="text1"/>
          <w:szCs w:val="24"/>
          <w:lang w:eastAsia="en-AU"/>
        </w:rPr>
        <w:t>as per the FDA snapshot algorithm</w:t>
      </w:r>
      <w:r w:rsidR="00416D73" w:rsidRPr="003F4BE3">
        <w:rPr>
          <w:rFonts w:cs="Calibri"/>
          <w:snapToGrid/>
          <w:color w:val="000000" w:themeColor="text1"/>
          <w:szCs w:val="24"/>
          <w:lang w:eastAsia="en-AU"/>
        </w:rPr>
        <w:t>) from</w:t>
      </w:r>
      <w:r w:rsidR="00DB2D5A" w:rsidRPr="003F4BE3">
        <w:rPr>
          <w:rFonts w:cs="Calibri"/>
          <w:snapToGrid/>
          <w:color w:val="000000" w:themeColor="text1"/>
          <w:szCs w:val="24"/>
          <w:lang w:eastAsia="en-AU"/>
        </w:rPr>
        <w:t xml:space="preserve"> </w:t>
      </w:r>
      <w:r w:rsidRPr="003F4BE3">
        <w:rPr>
          <w:rFonts w:cs="Calibri"/>
          <w:snapToGrid/>
          <w:color w:val="000000" w:themeColor="text1"/>
          <w:szCs w:val="24"/>
          <w:lang w:eastAsia="en-AU"/>
        </w:rPr>
        <w:t xml:space="preserve">Trial 1878. The proportions were similar in each treatment group </w:t>
      </w:r>
      <w:r w:rsidR="00B16F9D" w:rsidRPr="003F4BE3">
        <w:rPr>
          <w:rFonts w:cs="Calibri"/>
          <w:snapToGrid/>
          <w:color w:val="000000" w:themeColor="text1"/>
          <w:szCs w:val="24"/>
          <w:lang w:eastAsia="en-AU"/>
        </w:rPr>
        <w:br/>
      </w:r>
      <w:r w:rsidRPr="003F4BE3">
        <w:rPr>
          <w:rFonts w:cs="Calibri"/>
          <w:snapToGrid/>
          <w:color w:val="000000" w:themeColor="text1"/>
          <w:szCs w:val="24"/>
          <w:lang w:eastAsia="en-AU"/>
        </w:rPr>
        <w:t>(-0.0% difference). The submission considered that because the upper bound of the 2 sided 95% CI of the difference between the treatment groups was less than the pre-specified 4% margin, switching to BFTAF was determined to be non-inferior to maintaining baseline regimen</w:t>
      </w:r>
      <w:r w:rsidR="0080571F" w:rsidRPr="003F4BE3">
        <w:rPr>
          <w:rFonts w:cs="Calibri"/>
          <w:snapToGrid/>
          <w:color w:val="000000" w:themeColor="text1"/>
          <w:szCs w:val="24"/>
          <w:lang w:eastAsia="en-AU"/>
        </w:rPr>
        <w:t>s</w:t>
      </w:r>
      <w:r w:rsidRPr="003F4BE3">
        <w:rPr>
          <w:rFonts w:cs="Calibri"/>
          <w:snapToGrid/>
          <w:color w:val="000000" w:themeColor="text1"/>
          <w:szCs w:val="24"/>
          <w:lang w:eastAsia="en-AU"/>
        </w:rPr>
        <w:t>. This was reasonable.</w:t>
      </w:r>
    </w:p>
    <w:p w:rsidR="004F1736" w:rsidRPr="003F4BE3" w:rsidRDefault="004F1736" w:rsidP="00364590">
      <w:pPr>
        <w:keepNext/>
        <w:rPr>
          <w:rFonts w:ascii="Arial Narrow" w:hAnsi="Arial Narrow"/>
          <w:sz w:val="20"/>
          <w:szCs w:val="20"/>
          <w:lang w:val="en-AU"/>
        </w:rPr>
      </w:pPr>
      <w:r w:rsidRPr="003F4BE3">
        <w:rPr>
          <w:rStyle w:val="CommentReference"/>
          <w:lang w:val="en-AU"/>
        </w:rPr>
        <w:lastRenderedPageBreak/>
        <w:t xml:space="preserve">Table </w:t>
      </w:r>
      <w:r w:rsidR="00D216D1" w:rsidRPr="003F4BE3">
        <w:rPr>
          <w:rStyle w:val="CommentReference"/>
          <w:lang w:val="en-AU"/>
        </w:rPr>
        <w:t>5</w:t>
      </w:r>
      <w:r w:rsidR="00C8469B" w:rsidRPr="003F4BE3">
        <w:rPr>
          <w:rStyle w:val="CommentReference"/>
          <w:lang w:val="en-AU"/>
        </w:rPr>
        <w:t xml:space="preserve">: </w:t>
      </w:r>
      <w:r w:rsidR="00330F58">
        <w:rPr>
          <w:rStyle w:val="CommentReference"/>
          <w:lang w:val="en-AU"/>
        </w:rPr>
        <w:t>Results of Trial 1878, p</w:t>
      </w:r>
      <w:r w:rsidRPr="003F4BE3">
        <w:rPr>
          <w:rStyle w:val="CommentReference"/>
          <w:lang w:val="en-AU"/>
        </w:rPr>
        <w:t xml:space="preserve">rimary </w:t>
      </w:r>
      <w:r w:rsidRPr="003F4BE3">
        <w:rPr>
          <w:rStyle w:val="CommentReference"/>
          <w:szCs w:val="20"/>
          <w:lang w:val="en-AU"/>
        </w:rPr>
        <w:t>endpoint</w:t>
      </w:r>
    </w:p>
    <w:tbl>
      <w:tblPr>
        <w:tblStyle w:val="TableGrid"/>
        <w:tblW w:w="9101" w:type="dxa"/>
        <w:tblLayout w:type="fixed"/>
        <w:tblCellMar>
          <w:left w:w="29" w:type="dxa"/>
          <w:right w:w="29" w:type="dxa"/>
        </w:tblCellMar>
        <w:tblLook w:val="04A0" w:firstRow="1" w:lastRow="0" w:firstColumn="1" w:lastColumn="0" w:noHBand="0" w:noVBand="1"/>
        <w:tblCaption w:val="Table 5: Results of Trial 1878, primary endpoint"/>
      </w:tblPr>
      <w:tblGrid>
        <w:gridCol w:w="4565"/>
        <w:gridCol w:w="2268"/>
        <w:gridCol w:w="2268"/>
      </w:tblGrid>
      <w:tr w:rsidR="004F1736" w:rsidRPr="003F4BE3" w:rsidTr="000316CC">
        <w:trPr>
          <w:tblHeader/>
        </w:trPr>
        <w:tc>
          <w:tcPr>
            <w:tcW w:w="4565" w:type="dxa"/>
            <w:noWrap/>
            <w:vAlign w:val="center"/>
            <w:hideMark/>
          </w:tcPr>
          <w:p w:rsidR="004F1736" w:rsidRPr="003F4BE3" w:rsidRDefault="004F1736" w:rsidP="00330F58">
            <w:pPr>
              <w:pStyle w:val="Tabletext"/>
              <w:keepNext/>
              <w:rPr>
                <w:b/>
              </w:rPr>
            </w:pPr>
            <w:r w:rsidRPr="003F4BE3">
              <w:rPr>
                <w:b/>
              </w:rPr>
              <w:t xml:space="preserve">Virological </w:t>
            </w:r>
            <w:r w:rsidR="00330F58">
              <w:rPr>
                <w:b/>
              </w:rPr>
              <w:t>o</w:t>
            </w:r>
            <w:r w:rsidRPr="003F4BE3">
              <w:rPr>
                <w:b/>
              </w:rPr>
              <w:t>utcome at 48 weeks</w:t>
            </w:r>
          </w:p>
        </w:tc>
        <w:tc>
          <w:tcPr>
            <w:tcW w:w="2268" w:type="dxa"/>
            <w:noWrap/>
            <w:vAlign w:val="center"/>
            <w:hideMark/>
          </w:tcPr>
          <w:p w:rsidR="004F1736" w:rsidRPr="003F4BE3" w:rsidRDefault="004F1736" w:rsidP="00364590">
            <w:pPr>
              <w:pStyle w:val="Tabletext"/>
              <w:keepNext/>
              <w:jc w:val="center"/>
              <w:rPr>
                <w:b/>
              </w:rPr>
            </w:pPr>
            <w:r w:rsidRPr="003F4BE3">
              <w:rPr>
                <w:b/>
              </w:rPr>
              <w:t>BFTAF; N=290</w:t>
            </w:r>
          </w:p>
          <w:p w:rsidR="004F1736" w:rsidRPr="003F4BE3" w:rsidRDefault="004F1736" w:rsidP="00364590">
            <w:pPr>
              <w:pStyle w:val="Tabletext"/>
              <w:keepNext/>
              <w:jc w:val="center"/>
              <w:rPr>
                <w:b/>
              </w:rPr>
            </w:pPr>
            <w:proofErr w:type="gramStart"/>
            <w:r w:rsidRPr="003F4BE3">
              <w:rPr>
                <w:b/>
              </w:rPr>
              <w:t>n</w:t>
            </w:r>
            <w:proofErr w:type="gramEnd"/>
            <w:r w:rsidRPr="003F4BE3">
              <w:rPr>
                <w:b/>
              </w:rPr>
              <w:t xml:space="preserve"> (%)</w:t>
            </w:r>
          </w:p>
        </w:tc>
        <w:tc>
          <w:tcPr>
            <w:tcW w:w="2268" w:type="dxa"/>
            <w:noWrap/>
            <w:vAlign w:val="center"/>
            <w:hideMark/>
          </w:tcPr>
          <w:p w:rsidR="004F1736" w:rsidRPr="003F4BE3" w:rsidRDefault="004F1736" w:rsidP="00364590">
            <w:pPr>
              <w:pStyle w:val="Tabletext"/>
              <w:keepNext/>
              <w:jc w:val="center"/>
              <w:rPr>
                <w:b/>
              </w:rPr>
            </w:pPr>
            <w:r w:rsidRPr="003F4BE3">
              <w:rPr>
                <w:b/>
              </w:rPr>
              <w:t>SBR; N=287</w:t>
            </w:r>
          </w:p>
          <w:p w:rsidR="004F1736" w:rsidRPr="003F4BE3" w:rsidRDefault="004F1736" w:rsidP="00364590">
            <w:pPr>
              <w:pStyle w:val="Tabletext"/>
              <w:keepNext/>
              <w:jc w:val="center"/>
              <w:rPr>
                <w:b/>
              </w:rPr>
            </w:pPr>
            <w:proofErr w:type="gramStart"/>
            <w:r w:rsidRPr="003F4BE3">
              <w:rPr>
                <w:b/>
              </w:rPr>
              <w:t>n</w:t>
            </w:r>
            <w:proofErr w:type="gramEnd"/>
            <w:r w:rsidRPr="003F4BE3">
              <w:rPr>
                <w:b/>
              </w:rPr>
              <w:t xml:space="preserve"> (%)</w:t>
            </w:r>
          </w:p>
        </w:tc>
      </w:tr>
      <w:tr w:rsidR="004F1736" w:rsidRPr="003F4BE3" w:rsidTr="00002110">
        <w:trPr>
          <w:trHeight w:val="188"/>
        </w:trPr>
        <w:tc>
          <w:tcPr>
            <w:tcW w:w="4565" w:type="dxa"/>
            <w:noWrap/>
            <w:hideMark/>
          </w:tcPr>
          <w:p w:rsidR="004F1736" w:rsidRPr="003F4BE3" w:rsidRDefault="004F1736" w:rsidP="00364590">
            <w:pPr>
              <w:pStyle w:val="Tabletext"/>
              <w:keepNext/>
            </w:pPr>
            <w:r w:rsidRPr="003F4BE3">
              <w:t>HIV-1 RNA &lt;50 copies/mL</w:t>
            </w:r>
          </w:p>
        </w:tc>
        <w:tc>
          <w:tcPr>
            <w:tcW w:w="2268" w:type="dxa"/>
            <w:noWrap/>
            <w:vAlign w:val="center"/>
            <w:hideMark/>
          </w:tcPr>
          <w:p w:rsidR="004F1736" w:rsidRPr="003F4BE3" w:rsidRDefault="004F1736" w:rsidP="00364590">
            <w:pPr>
              <w:pStyle w:val="Tabletext"/>
              <w:keepNext/>
              <w:jc w:val="center"/>
            </w:pPr>
            <w:r w:rsidRPr="003F4BE3">
              <w:t>267 (92.1%)</w:t>
            </w:r>
          </w:p>
        </w:tc>
        <w:tc>
          <w:tcPr>
            <w:tcW w:w="2268" w:type="dxa"/>
            <w:noWrap/>
            <w:vAlign w:val="center"/>
            <w:hideMark/>
          </w:tcPr>
          <w:p w:rsidR="004F1736" w:rsidRPr="003F4BE3" w:rsidRDefault="004F1736" w:rsidP="00364590">
            <w:pPr>
              <w:pStyle w:val="Tabletext"/>
              <w:keepNext/>
              <w:jc w:val="center"/>
            </w:pPr>
            <w:r w:rsidRPr="003F4BE3">
              <w:t>255 (88.9%)</w:t>
            </w:r>
          </w:p>
        </w:tc>
      </w:tr>
      <w:tr w:rsidR="004F1736" w:rsidRPr="003F4BE3" w:rsidTr="00002110">
        <w:tc>
          <w:tcPr>
            <w:tcW w:w="4565" w:type="dxa"/>
            <w:noWrap/>
            <w:hideMark/>
          </w:tcPr>
          <w:p w:rsidR="004F1736" w:rsidRPr="003F4BE3" w:rsidRDefault="004F1736" w:rsidP="00364590">
            <w:pPr>
              <w:pStyle w:val="Tabletext"/>
              <w:keepNext/>
            </w:pPr>
            <w:r w:rsidRPr="003F4BE3">
              <w:t>Difference in percentages (95% CI) p-value</w:t>
            </w:r>
          </w:p>
        </w:tc>
        <w:tc>
          <w:tcPr>
            <w:tcW w:w="4536" w:type="dxa"/>
            <w:gridSpan w:val="2"/>
            <w:noWrap/>
            <w:vAlign w:val="center"/>
            <w:hideMark/>
          </w:tcPr>
          <w:p w:rsidR="004F1736" w:rsidRPr="003F4BE3" w:rsidRDefault="004F1736" w:rsidP="00364590">
            <w:pPr>
              <w:pStyle w:val="Tabletext"/>
              <w:keepNext/>
              <w:jc w:val="center"/>
            </w:pPr>
            <w:r w:rsidRPr="003F4BE3">
              <w:t>3.2% (-1.6% to 8.2%) p=0.22</w:t>
            </w:r>
          </w:p>
        </w:tc>
      </w:tr>
      <w:tr w:rsidR="004F1736" w:rsidRPr="003F4BE3" w:rsidTr="00002110">
        <w:tc>
          <w:tcPr>
            <w:tcW w:w="4565" w:type="dxa"/>
            <w:noWrap/>
            <w:hideMark/>
          </w:tcPr>
          <w:p w:rsidR="004F1736" w:rsidRPr="003F4BE3" w:rsidRDefault="004F1736" w:rsidP="00364590">
            <w:pPr>
              <w:pStyle w:val="Tabletext"/>
              <w:keepNext/>
            </w:pPr>
            <w:r w:rsidRPr="003F4BE3">
              <w:t>HIV-1 RNA ≥50 copies/mL</w:t>
            </w:r>
          </w:p>
        </w:tc>
        <w:tc>
          <w:tcPr>
            <w:tcW w:w="2268" w:type="dxa"/>
            <w:noWrap/>
            <w:vAlign w:val="center"/>
            <w:hideMark/>
          </w:tcPr>
          <w:p w:rsidR="004F1736" w:rsidRPr="003F4BE3" w:rsidRDefault="004F1736" w:rsidP="00364590">
            <w:pPr>
              <w:pStyle w:val="Tabletext"/>
              <w:keepNext/>
              <w:jc w:val="center"/>
            </w:pPr>
            <w:r w:rsidRPr="003F4BE3">
              <w:t>5 (1.7%)</w:t>
            </w:r>
          </w:p>
        </w:tc>
        <w:tc>
          <w:tcPr>
            <w:tcW w:w="2268" w:type="dxa"/>
            <w:noWrap/>
            <w:vAlign w:val="center"/>
            <w:hideMark/>
          </w:tcPr>
          <w:p w:rsidR="004F1736" w:rsidRPr="003F4BE3" w:rsidRDefault="004F1736" w:rsidP="00364590">
            <w:pPr>
              <w:pStyle w:val="Tabletext"/>
              <w:keepNext/>
              <w:jc w:val="center"/>
            </w:pPr>
            <w:r w:rsidRPr="003F4BE3">
              <w:t>5 (1.7%)</w:t>
            </w:r>
          </w:p>
        </w:tc>
      </w:tr>
      <w:tr w:rsidR="004F1736" w:rsidRPr="003F4BE3" w:rsidTr="00002110">
        <w:tc>
          <w:tcPr>
            <w:tcW w:w="4565" w:type="dxa"/>
            <w:noWrap/>
            <w:hideMark/>
          </w:tcPr>
          <w:p w:rsidR="004F1736" w:rsidRPr="003F4BE3" w:rsidRDefault="004F1736" w:rsidP="00364590">
            <w:pPr>
              <w:pStyle w:val="Tabletext"/>
              <w:keepNext/>
            </w:pPr>
            <w:r w:rsidRPr="003F4BE3">
              <w:t>Difference in percentages (95% CI)</w:t>
            </w:r>
          </w:p>
        </w:tc>
        <w:tc>
          <w:tcPr>
            <w:tcW w:w="4536" w:type="dxa"/>
            <w:gridSpan w:val="2"/>
            <w:noWrap/>
            <w:vAlign w:val="center"/>
            <w:hideMark/>
          </w:tcPr>
          <w:p w:rsidR="004F1736" w:rsidRPr="003F4BE3" w:rsidRDefault="004F1736" w:rsidP="00364590">
            <w:pPr>
              <w:pStyle w:val="Tabletext"/>
              <w:keepNext/>
              <w:jc w:val="center"/>
            </w:pPr>
            <w:r w:rsidRPr="003F4BE3">
              <w:t>-0.0% (-2.5% to 2.5%) p=1.00</w:t>
            </w:r>
          </w:p>
        </w:tc>
      </w:tr>
      <w:tr w:rsidR="004F1736" w:rsidRPr="003F4BE3" w:rsidTr="00002110">
        <w:tc>
          <w:tcPr>
            <w:tcW w:w="4565" w:type="dxa"/>
            <w:noWrap/>
            <w:hideMark/>
          </w:tcPr>
          <w:p w:rsidR="004F1736" w:rsidRPr="003F4BE3" w:rsidRDefault="004F1736" w:rsidP="00364590">
            <w:pPr>
              <w:pStyle w:val="Tabletext"/>
              <w:keepNext/>
            </w:pPr>
            <w:r w:rsidRPr="003F4BE3">
              <w:t>HIV-1 RNA ≥50 copies/mL in Week 48 Window</w:t>
            </w:r>
          </w:p>
        </w:tc>
        <w:tc>
          <w:tcPr>
            <w:tcW w:w="2268" w:type="dxa"/>
            <w:noWrap/>
            <w:vAlign w:val="center"/>
            <w:hideMark/>
          </w:tcPr>
          <w:p w:rsidR="004F1736" w:rsidRPr="003F4BE3" w:rsidRDefault="004F1736" w:rsidP="00364590">
            <w:pPr>
              <w:pStyle w:val="Tabletext"/>
              <w:keepNext/>
              <w:jc w:val="center"/>
            </w:pPr>
            <w:r w:rsidRPr="003F4BE3">
              <w:t>2 (0.7%)</w:t>
            </w:r>
          </w:p>
        </w:tc>
        <w:tc>
          <w:tcPr>
            <w:tcW w:w="2268" w:type="dxa"/>
            <w:noWrap/>
            <w:vAlign w:val="center"/>
            <w:hideMark/>
          </w:tcPr>
          <w:p w:rsidR="004F1736" w:rsidRPr="003F4BE3" w:rsidRDefault="004F1736" w:rsidP="00364590">
            <w:pPr>
              <w:pStyle w:val="Tabletext"/>
              <w:keepNext/>
              <w:jc w:val="center"/>
            </w:pPr>
            <w:r w:rsidRPr="003F4BE3">
              <w:t>2 (0.7%)</w:t>
            </w:r>
          </w:p>
        </w:tc>
      </w:tr>
      <w:tr w:rsidR="004F1736" w:rsidRPr="003F4BE3" w:rsidTr="00002110">
        <w:tc>
          <w:tcPr>
            <w:tcW w:w="4565" w:type="dxa"/>
            <w:noWrap/>
            <w:hideMark/>
          </w:tcPr>
          <w:p w:rsidR="004F1736" w:rsidRPr="003F4BE3" w:rsidRDefault="004F1736" w:rsidP="00364590">
            <w:pPr>
              <w:pStyle w:val="Tabletext"/>
              <w:keepNext/>
            </w:pPr>
            <w:r w:rsidRPr="003F4BE3">
              <w:t>Discontinued study drug due to lack of efficacy</w:t>
            </w:r>
          </w:p>
        </w:tc>
        <w:tc>
          <w:tcPr>
            <w:tcW w:w="2268" w:type="dxa"/>
            <w:noWrap/>
            <w:vAlign w:val="center"/>
            <w:hideMark/>
          </w:tcPr>
          <w:p w:rsidR="004F1736" w:rsidRPr="003F4BE3" w:rsidRDefault="004F1736" w:rsidP="00364590">
            <w:pPr>
              <w:pStyle w:val="Tabletext"/>
              <w:keepNext/>
              <w:jc w:val="center"/>
            </w:pPr>
            <w:r w:rsidRPr="003F4BE3">
              <w:t>1 (0.3%)</w:t>
            </w:r>
          </w:p>
        </w:tc>
        <w:tc>
          <w:tcPr>
            <w:tcW w:w="2268" w:type="dxa"/>
            <w:noWrap/>
            <w:vAlign w:val="center"/>
            <w:hideMark/>
          </w:tcPr>
          <w:p w:rsidR="004F1736" w:rsidRPr="003F4BE3" w:rsidRDefault="004F1736" w:rsidP="00364590">
            <w:pPr>
              <w:pStyle w:val="Tabletext"/>
              <w:keepNext/>
              <w:jc w:val="center"/>
            </w:pPr>
            <w:r w:rsidRPr="003F4BE3">
              <w:t>0</w:t>
            </w:r>
          </w:p>
        </w:tc>
      </w:tr>
      <w:tr w:rsidR="004F1736" w:rsidRPr="003F4BE3" w:rsidTr="00002110">
        <w:tc>
          <w:tcPr>
            <w:tcW w:w="4565" w:type="dxa"/>
            <w:noWrap/>
            <w:hideMark/>
          </w:tcPr>
          <w:p w:rsidR="004F1736" w:rsidRPr="003F4BE3" w:rsidRDefault="004F1736" w:rsidP="00364590">
            <w:pPr>
              <w:pStyle w:val="Tabletext"/>
              <w:keepNext/>
            </w:pPr>
            <w:r w:rsidRPr="003F4BE3">
              <w:t>Discontinued study drug due to AE/death and last available HIV-1 RNA ≥50 copies/mL</w:t>
            </w:r>
          </w:p>
        </w:tc>
        <w:tc>
          <w:tcPr>
            <w:tcW w:w="2268" w:type="dxa"/>
            <w:noWrap/>
            <w:vAlign w:val="center"/>
            <w:hideMark/>
          </w:tcPr>
          <w:p w:rsidR="004F1736" w:rsidRPr="003F4BE3" w:rsidRDefault="004F1736" w:rsidP="00364590">
            <w:pPr>
              <w:pStyle w:val="Tabletext"/>
              <w:keepNext/>
              <w:jc w:val="center"/>
            </w:pPr>
            <w:r w:rsidRPr="003F4BE3">
              <w:t>0</w:t>
            </w:r>
          </w:p>
        </w:tc>
        <w:tc>
          <w:tcPr>
            <w:tcW w:w="2268" w:type="dxa"/>
            <w:noWrap/>
            <w:vAlign w:val="center"/>
            <w:hideMark/>
          </w:tcPr>
          <w:p w:rsidR="004F1736" w:rsidRPr="003F4BE3" w:rsidRDefault="004F1736" w:rsidP="00364590">
            <w:pPr>
              <w:pStyle w:val="Tabletext"/>
              <w:keepNext/>
              <w:jc w:val="center"/>
            </w:pPr>
            <w:r w:rsidRPr="003F4BE3">
              <w:t>0</w:t>
            </w:r>
          </w:p>
        </w:tc>
      </w:tr>
      <w:tr w:rsidR="004F1736" w:rsidRPr="003F4BE3" w:rsidTr="00002110">
        <w:tc>
          <w:tcPr>
            <w:tcW w:w="4565" w:type="dxa"/>
            <w:noWrap/>
            <w:hideMark/>
          </w:tcPr>
          <w:p w:rsidR="004F1736" w:rsidRPr="003F4BE3" w:rsidRDefault="004F1736" w:rsidP="00364590">
            <w:pPr>
              <w:pStyle w:val="Tabletext"/>
              <w:keepNext/>
            </w:pPr>
            <w:r w:rsidRPr="003F4BE3">
              <w:t>Discontinued study drug due to other reasons and last available HIV-1 RNA ≥50 copies/mL</w:t>
            </w:r>
          </w:p>
        </w:tc>
        <w:tc>
          <w:tcPr>
            <w:tcW w:w="2268" w:type="dxa"/>
            <w:noWrap/>
            <w:vAlign w:val="center"/>
            <w:hideMark/>
          </w:tcPr>
          <w:p w:rsidR="004F1736" w:rsidRPr="003F4BE3" w:rsidRDefault="004F1736" w:rsidP="00364590">
            <w:pPr>
              <w:pStyle w:val="Tabletext"/>
              <w:keepNext/>
              <w:jc w:val="center"/>
            </w:pPr>
            <w:r w:rsidRPr="003F4BE3">
              <w:t>2 (0.7%)</w:t>
            </w:r>
          </w:p>
        </w:tc>
        <w:tc>
          <w:tcPr>
            <w:tcW w:w="2268" w:type="dxa"/>
            <w:noWrap/>
            <w:vAlign w:val="center"/>
            <w:hideMark/>
          </w:tcPr>
          <w:p w:rsidR="004F1736" w:rsidRPr="003F4BE3" w:rsidRDefault="004F1736" w:rsidP="00364590">
            <w:pPr>
              <w:pStyle w:val="Tabletext"/>
              <w:keepNext/>
              <w:jc w:val="center"/>
            </w:pPr>
            <w:r w:rsidRPr="003F4BE3">
              <w:t>3 (1.0%)</w:t>
            </w:r>
          </w:p>
        </w:tc>
      </w:tr>
      <w:tr w:rsidR="004F1736" w:rsidRPr="003F4BE3" w:rsidTr="00002110">
        <w:tc>
          <w:tcPr>
            <w:tcW w:w="4565" w:type="dxa"/>
            <w:noWrap/>
            <w:hideMark/>
          </w:tcPr>
          <w:p w:rsidR="004F1736" w:rsidRPr="003F4BE3" w:rsidRDefault="004F1736" w:rsidP="00364590">
            <w:pPr>
              <w:pStyle w:val="Tabletext"/>
              <w:keepNext/>
            </w:pPr>
            <w:r w:rsidRPr="003F4BE3">
              <w:t>No virological data in Week 48 window</w:t>
            </w:r>
          </w:p>
        </w:tc>
        <w:tc>
          <w:tcPr>
            <w:tcW w:w="2268" w:type="dxa"/>
            <w:noWrap/>
            <w:vAlign w:val="center"/>
            <w:hideMark/>
          </w:tcPr>
          <w:p w:rsidR="004F1736" w:rsidRPr="003F4BE3" w:rsidRDefault="004F1736" w:rsidP="00364590">
            <w:pPr>
              <w:pStyle w:val="Tabletext"/>
              <w:keepNext/>
              <w:jc w:val="center"/>
            </w:pPr>
            <w:r w:rsidRPr="003F4BE3">
              <w:t>18 (6.2%)</w:t>
            </w:r>
          </w:p>
        </w:tc>
        <w:tc>
          <w:tcPr>
            <w:tcW w:w="2268" w:type="dxa"/>
            <w:noWrap/>
            <w:vAlign w:val="center"/>
            <w:hideMark/>
          </w:tcPr>
          <w:p w:rsidR="004F1736" w:rsidRPr="003F4BE3" w:rsidRDefault="004F1736" w:rsidP="00364590">
            <w:pPr>
              <w:pStyle w:val="Tabletext"/>
              <w:keepNext/>
              <w:jc w:val="center"/>
            </w:pPr>
            <w:r w:rsidRPr="003F4BE3">
              <w:t>27 (9.4%)</w:t>
            </w:r>
          </w:p>
        </w:tc>
      </w:tr>
      <w:tr w:rsidR="004F1736" w:rsidRPr="003F4BE3" w:rsidTr="00002110">
        <w:tc>
          <w:tcPr>
            <w:tcW w:w="4565" w:type="dxa"/>
            <w:noWrap/>
            <w:hideMark/>
          </w:tcPr>
          <w:p w:rsidR="004F1736" w:rsidRPr="003F4BE3" w:rsidRDefault="004F1736" w:rsidP="00364590">
            <w:pPr>
              <w:pStyle w:val="Tabletext"/>
              <w:keepNext/>
            </w:pPr>
            <w:r w:rsidRPr="003F4BE3">
              <w:t>Discontinued study drug due to AE/death and last available HIV-1 RNA &lt;50 copies/mL</w:t>
            </w:r>
          </w:p>
        </w:tc>
        <w:tc>
          <w:tcPr>
            <w:tcW w:w="2268" w:type="dxa"/>
            <w:noWrap/>
            <w:vAlign w:val="center"/>
            <w:hideMark/>
          </w:tcPr>
          <w:p w:rsidR="004F1736" w:rsidRPr="003F4BE3" w:rsidRDefault="004F1736" w:rsidP="00364590">
            <w:pPr>
              <w:pStyle w:val="Tabletext"/>
              <w:keepNext/>
              <w:jc w:val="center"/>
            </w:pPr>
            <w:r w:rsidRPr="003F4BE3">
              <w:t>3 (1.0%)</w:t>
            </w:r>
          </w:p>
        </w:tc>
        <w:tc>
          <w:tcPr>
            <w:tcW w:w="2268" w:type="dxa"/>
            <w:noWrap/>
            <w:vAlign w:val="center"/>
            <w:hideMark/>
          </w:tcPr>
          <w:p w:rsidR="004F1736" w:rsidRPr="003F4BE3" w:rsidRDefault="004F1736" w:rsidP="00364590">
            <w:pPr>
              <w:pStyle w:val="Tabletext"/>
              <w:keepNext/>
              <w:jc w:val="center"/>
            </w:pPr>
            <w:r w:rsidRPr="003F4BE3">
              <w:t>2 (0.7%)</w:t>
            </w:r>
          </w:p>
        </w:tc>
      </w:tr>
      <w:tr w:rsidR="004F1736" w:rsidRPr="003F4BE3" w:rsidTr="00002110">
        <w:tc>
          <w:tcPr>
            <w:tcW w:w="4565" w:type="dxa"/>
            <w:noWrap/>
            <w:hideMark/>
          </w:tcPr>
          <w:p w:rsidR="004F1736" w:rsidRPr="003F4BE3" w:rsidRDefault="004F1736" w:rsidP="00364590">
            <w:pPr>
              <w:pStyle w:val="Tabletext"/>
              <w:keepNext/>
            </w:pPr>
            <w:r w:rsidRPr="003F4BE3">
              <w:t>Discontinued study drug due to other reasons and last available HIV-1 RNA &lt;50 copies/mL*</w:t>
            </w:r>
          </w:p>
        </w:tc>
        <w:tc>
          <w:tcPr>
            <w:tcW w:w="2268" w:type="dxa"/>
            <w:noWrap/>
            <w:vAlign w:val="center"/>
            <w:hideMark/>
          </w:tcPr>
          <w:p w:rsidR="004F1736" w:rsidRPr="003F4BE3" w:rsidRDefault="004F1736" w:rsidP="00364590">
            <w:pPr>
              <w:pStyle w:val="Tabletext"/>
              <w:keepNext/>
              <w:jc w:val="center"/>
            </w:pPr>
            <w:r w:rsidRPr="003F4BE3">
              <w:t>10 (3.4%)</w:t>
            </w:r>
          </w:p>
        </w:tc>
        <w:tc>
          <w:tcPr>
            <w:tcW w:w="2268" w:type="dxa"/>
            <w:noWrap/>
            <w:vAlign w:val="center"/>
            <w:hideMark/>
          </w:tcPr>
          <w:p w:rsidR="004F1736" w:rsidRPr="003F4BE3" w:rsidRDefault="004F1736" w:rsidP="00364590">
            <w:pPr>
              <w:pStyle w:val="Tabletext"/>
              <w:keepNext/>
              <w:jc w:val="center"/>
            </w:pPr>
            <w:r w:rsidRPr="003F4BE3">
              <w:t>19 (6.6%)</w:t>
            </w:r>
          </w:p>
        </w:tc>
      </w:tr>
      <w:tr w:rsidR="004F1736" w:rsidRPr="003F4BE3" w:rsidTr="00002110">
        <w:tc>
          <w:tcPr>
            <w:tcW w:w="4565" w:type="dxa"/>
            <w:noWrap/>
            <w:hideMark/>
          </w:tcPr>
          <w:p w:rsidR="004F1736" w:rsidRPr="003F4BE3" w:rsidRDefault="004F1736" w:rsidP="00364590">
            <w:pPr>
              <w:pStyle w:val="Tabletext"/>
              <w:keepNext/>
            </w:pPr>
            <w:r w:rsidRPr="003F4BE3">
              <w:t>Missing data during window but on study drug</w:t>
            </w:r>
          </w:p>
        </w:tc>
        <w:tc>
          <w:tcPr>
            <w:tcW w:w="2268" w:type="dxa"/>
            <w:noWrap/>
            <w:vAlign w:val="center"/>
            <w:hideMark/>
          </w:tcPr>
          <w:p w:rsidR="004F1736" w:rsidRPr="003F4BE3" w:rsidRDefault="004F1736" w:rsidP="00364590">
            <w:pPr>
              <w:pStyle w:val="Tabletext"/>
              <w:keepNext/>
              <w:jc w:val="center"/>
            </w:pPr>
            <w:r w:rsidRPr="003F4BE3">
              <w:t>5 (1.7%)</w:t>
            </w:r>
          </w:p>
        </w:tc>
        <w:tc>
          <w:tcPr>
            <w:tcW w:w="2268" w:type="dxa"/>
            <w:noWrap/>
            <w:vAlign w:val="center"/>
            <w:hideMark/>
          </w:tcPr>
          <w:p w:rsidR="004F1736" w:rsidRPr="003F4BE3" w:rsidRDefault="004F1736" w:rsidP="00364590">
            <w:pPr>
              <w:pStyle w:val="Tabletext"/>
              <w:keepNext/>
              <w:jc w:val="center"/>
            </w:pPr>
            <w:r w:rsidRPr="003F4BE3">
              <w:t>6 (2.1%)</w:t>
            </w:r>
          </w:p>
        </w:tc>
      </w:tr>
    </w:tbl>
    <w:p w:rsidR="004F1736" w:rsidRPr="003F4BE3" w:rsidRDefault="004F1736" w:rsidP="004F1736">
      <w:pPr>
        <w:pStyle w:val="TableFooter"/>
      </w:pPr>
      <w:r w:rsidRPr="003F4BE3">
        <w:t xml:space="preserve">AE = adverse event; BFTAF = bictegravir, emtricitabine, tenofovir </w:t>
      </w:r>
      <w:proofErr w:type="spellStart"/>
      <w:r w:rsidRPr="003F4BE3">
        <w:t>alafenamide</w:t>
      </w:r>
      <w:proofErr w:type="spellEnd"/>
      <w:r w:rsidRPr="003F4BE3">
        <w:t>; CI = confidence interval; mL = millilitre; RNA = ribonucleic acid; SBR = stayed on baseline regimen</w:t>
      </w:r>
    </w:p>
    <w:p w:rsidR="004F1736" w:rsidRPr="003F4BE3" w:rsidRDefault="004F1736" w:rsidP="004F1736">
      <w:pPr>
        <w:pStyle w:val="TableFooter"/>
      </w:pPr>
      <w:r w:rsidRPr="003F4BE3">
        <w:t>Source: Tab</w:t>
      </w:r>
      <w:r w:rsidR="00330F58">
        <w:t>le 2.17, p72 of the submission.</w:t>
      </w:r>
    </w:p>
    <w:p w:rsidR="006B5503" w:rsidRDefault="006B5503" w:rsidP="00330F58">
      <w:pPr>
        <w:pStyle w:val="ListParagraph"/>
        <w:numPr>
          <w:ilvl w:val="1"/>
          <w:numId w:val="3"/>
        </w:numPr>
        <w:spacing w:before="160"/>
        <w:rPr>
          <w:rFonts w:cs="Calibri"/>
          <w:snapToGrid/>
          <w:color w:val="000000" w:themeColor="text1"/>
          <w:szCs w:val="24"/>
          <w:lang w:eastAsia="en-AU"/>
        </w:rPr>
      </w:pPr>
      <w:r w:rsidRPr="003F4BE3">
        <w:rPr>
          <w:rFonts w:cs="Calibri"/>
          <w:snapToGrid/>
          <w:color w:val="000000" w:themeColor="text1"/>
          <w:szCs w:val="24"/>
          <w:lang w:eastAsia="en-AU"/>
        </w:rPr>
        <w:t>Trial 1844 (n=563), excluded from the submission</w:t>
      </w:r>
      <w:r w:rsidR="005744E0" w:rsidRPr="003F4BE3">
        <w:rPr>
          <w:rFonts w:cs="Calibri"/>
          <w:snapToGrid/>
          <w:color w:val="000000" w:themeColor="text1"/>
          <w:szCs w:val="24"/>
          <w:lang w:eastAsia="en-AU"/>
        </w:rPr>
        <w:t>’s</w:t>
      </w:r>
      <w:r w:rsidR="00416D73" w:rsidRPr="003F4BE3">
        <w:rPr>
          <w:rFonts w:cs="Calibri"/>
          <w:snapToGrid/>
          <w:color w:val="000000" w:themeColor="text1"/>
          <w:szCs w:val="24"/>
          <w:lang w:eastAsia="en-AU"/>
        </w:rPr>
        <w:t xml:space="preserve"> clinical evaluation</w:t>
      </w:r>
      <w:r w:rsidRPr="003F4BE3">
        <w:rPr>
          <w:rFonts w:cs="Calibri"/>
          <w:snapToGrid/>
          <w:color w:val="000000" w:themeColor="text1"/>
          <w:szCs w:val="24"/>
          <w:lang w:eastAsia="en-AU"/>
        </w:rPr>
        <w:t xml:space="preserve">, provided a comparison of patients switching to BFTAF and those who stayed on a regimen of </w:t>
      </w:r>
      <w:r w:rsidR="006A6F37" w:rsidRPr="003F4BE3">
        <w:rPr>
          <w:rFonts w:cs="Calibri"/>
          <w:snapToGrid/>
          <w:color w:val="000000" w:themeColor="text1"/>
          <w:szCs w:val="24"/>
          <w:lang w:eastAsia="en-AU"/>
        </w:rPr>
        <w:t>KIVEXA®</w:t>
      </w:r>
      <w:r w:rsidRPr="003F4BE3">
        <w:rPr>
          <w:rFonts w:cs="Calibri"/>
          <w:snapToGrid/>
          <w:color w:val="000000" w:themeColor="text1"/>
          <w:szCs w:val="24"/>
          <w:lang w:eastAsia="en-AU"/>
        </w:rPr>
        <w:t xml:space="preserve"> </w:t>
      </w:r>
      <w:r w:rsidR="00B16F9D" w:rsidRPr="003F4BE3">
        <w:rPr>
          <w:rFonts w:cs="Calibri"/>
          <w:snapToGrid/>
          <w:color w:val="000000" w:themeColor="text1"/>
          <w:szCs w:val="24"/>
          <w:lang w:eastAsia="en-AU"/>
        </w:rPr>
        <w:t xml:space="preserve">+ </w:t>
      </w:r>
      <w:proofErr w:type="spellStart"/>
      <w:r w:rsidR="00B16F9D" w:rsidRPr="003F4BE3">
        <w:rPr>
          <w:rFonts w:cs="Calibri"/>
          <w:snapToGrid/>
          <w:color w:val="000000" w:themeColor="text1"/>
          <w:szCs w:val="24"/>
          <w:lang w:eastAsia="en-AU"/>
        </w:rPr>
        <w:t>dolutegravir</w:t>
      </w:r>
      <w:proofErr w:type="spellEnd"/>
      <w:r w:rsidR="00B16F9D" w:rsidRPr="003F4BE3">
        <w:rPr>
          <w:rFonts w:cs="Calibri"/>
          <w:snapToGrid/>
          <w:color w:val="000000" w:themeColor="text1"/>
          <w:szCs w:val="24"/>
          <w:lang w:eastAsia="en-AU"/>
        </w:rPr>
        <w:t xml:space="preserve"> </w:t>
      </w:r>
      <w:r w:rsidRPr="003F4BE3">
        <w:rPr>
          <w:rFonts w:cs="Calibri"/>
          <w:snapToGrid/>
          <w:color w:val="000000" w:themeColor="text1"/>
          <w:szCs w:val="24"/>
          <w:lang w:eastAsia="en-AU"/>
        </w:rPr>
        <w:t xml:space="preserve">or </w:t>
      </w:r>
      <w:r w:rsidR="00D0277C" w:rsidRPr="003F4BE3">
        <w:rPr>
          <w:rFonts w:cs="Calibri"/>
          <w:snapToGrid/>
          <w:color w:val="000000" w:themeColor="text1"/>
          <w:szCs w:val="24"/>
          <w:lang w:eastAsia="en-AU"/>
        </w:rPr>
        <w:t>TRIUMEQ®</w:t>
      </w:r>
      <w:r w:rsidRPr="003F4BE3">
        <w:rPr>
          <w:rFonts w:cs="Calibri"/>
          <w:snapToGrid/>
          <w:color w:val="000000" w:themeColor="text1"/>
          <w:szCs w:val="24"/>
          <w:lang w:eastAsia="en-AU"/>
        </w:rPr>
        <w:t xml:space="preserve"> in virologically suppressed (treatment-experienced) patients. The trial was randomised and double-blind and considered to be at a low risk of bias. Patient characteristics were balanced between treatment arms. The primary outcome was</w:t>
      </w:r>
      <w:r w:rsidR="002B5478" w:rsidRPr="003F4BE3">
        <w:rPr>
          <w:rFonts w:cs="Calibri"/>
          <w:snapToGrid/>
          <w:color w:val="000000" w:themeColor="text1"/>
          <w:szCs w:val="24"/>
          <w:lang w:eastAsia="en-AU"/>
        </w:rPr>
        <w:t xml:space="preserve"> the</w:t>
      </w:r>
      <w:r w:rsidRPr="003F4BE3">
        <w:rPr>
          <w:rFonts w:cs="Calibri"/>
          <w:snapToGrid/>
          <w:color w:val="000000" w:themeColor="text1"/>
          <w:szCs w:val="24"/>
          <w:lang w:eastAsia="en-AU"/>
        </w:rPr>
        <w:t xml:space="preserve"> proportion of subjects with HIV-1</w:t>
      </w:r>
      <w:r w:rsidR="00B71169" w:rsidRPr="003F4BE3">
        <w:rPr>
          <w:rFonts w:cs="Calibri"/>
          <w:snapToGrid/>
          <w:color w:val="000000" w:themeColor="text1"/>
          <w:szCs w:val="24"/>
          <w:lang w:eastAsia="en-AU"/>
        </w:rPr>
        <w:t xml:space="preserve"> RNA ≥</w:t>
      </w:r>
      <w:r w:rsidRPr="003F4BE3">
        <w:rPr>
          <w:rFonts w:cs="Calibri"/>
          <w:snapToGrid/>
          <w:color w:val="000000" w:themeColor="text1"/>
          <w:szCs w:val="24"/>
          <w:lang w:eastAsia="en-AU"/>
        </w:rPr>
        <w:t xml:space="preserve">50 copies/mL </w:t>
      </w:r>
      <w:r w:rsidR="00416D73" w:rsidRPr="003F4BE3">
        <w:rPr>
          <w:rFonts w:cs="Calibri"/>
          <w:snapToGrid/>
          <w:color w:val="000000" w:themeColor="text1"/>
          <w:szCs w:val="24"/>
          <w:lang w:eastAsia="en-AU"/>
        </w:rPr>
        <w:t>(</w:t>
      </w:r>
      <w:r w:rsidRPr="003F4BE3">
        <w:rPr>
          <w:rFonts w:cs="Calibri"/>
          <w:snapToGrid/>
          <w:color w:val="000000" w:themeColor="text1"/>
          <w:szCs w:val="24"/>
          <w:lang w:eastAsia="en-AU"/>
        </w:rPr>
        <w:t>using the US FDA-defined snapshot algorithm</w:t>
      </w:r>
      <w:r w:rsidR="00416D73" w:rsidRPr="003F4BE3">
        <w:rPr>
          <w:rFonts w:cs="Calibri"/>
          <w:snapToGrid/>
          <w:color w:val="000000" w:themeColor="text1"/>
          <w:szCs w:val="24"/>
          <w:lang w:eastAsia="en-AU"/>
        </w:rPr>
        <w:t>)</w:t>
      </w:r>
      <w:r w:rsidRPr="003F4BE3">
        <w:rPr>
          <w:rFonts w:cs="Calibri"/>
          <w:snapToGrid/>
          <w:color w:val="000000" w:themeColor="text1"/>
          <w:szCs w:val="24"/>
          <w:lang w:eastAsia="en-AU"/>
        </w:rPr>
        <w:t xml:space="preserve"> and a non-inferiority margin of 4% was specified. 1.1% of the BFTAF group had at least 50 copies of HIV RNA/ mL compared to 0.4% in the </w:t>
      </w:r>
      <w:r w:rsidR="00D0277C" w:rsidRPr="003F4BE3">
        <w:rPr>
          <w:rFonts w:cs="Calibri"/>
          <w:snapToGrid/>
          <w:color w:val="000000" w:themeColor="text1"/>
          <w:szCs w:val="24"/>
          <w:lang w:eastAsia="en-AU"/>
        </w:rPr>
        <w:t>TRIUMEQ®</w:t>
      </w:r>
      <w:r w:rsidR="00B71169" w:rsidRPr="003F4BE3">
        <w:rPr>
          <w:rFonts w:cs="Calibri"/>
          <w:snapToGrid/>
          <w:color w:val="000000" w:themeColor="text1"/>
          <w:szCs w:val="24"/>
          <w:lang w:eastAsia="en-AU"/>
        </w:rPr>
        <w:t xml:space="preserve"> group. </w:t>
      </w:r>
      <w:r w:rsidRPr="003F4BE3">
        <w:rPr>
          <w:rFonts w:cs="Calibri"/>
          <w:snapToGrid/>
          <w:color w:val="000000" w:themeColor="text1"/>
          <w:szCs w:val="24"/>
          <w:lang w:eastAsia="en-AU"/>
        </w:rPr>
        <w:t>The results indicate non-inferior</w:t>
      </w:r>
      <w:r w:rsidR="00330F58">
        <w:rPr>
          <w:rFonts w:cs="Calibri"/>
          <w:snapToGrid/>
          <w:color w:val="000000" w:themeColor="text1"/>
          <w:szCs w:val="24"/>
          <w:lang w:eastAsia="en-AU"/>
        </w:rPr>
        <w:t>ity between the two treatments.</w:t>
      </w:r>
    </w:p>
    <w:p w:rsidR="00824A96" w:rsidRPr="00A36B06" w:rsidRDefault="00824A96" w:rsidP="00824A96">
      <w:pPr>
        <w:pStyle w:val="ListParagraph"/>
        <w:numPr>
          <w:ilvl w:val="1"/>
          <w:numId w:val="3"/>
        </w:numPr>
        <w:rPr>
          <w:rFonts w:cs="Calibri"/>
          <w:snapToGrid/>
          <w:color w:val="000000" w:themeColor="text1"/>
          <w:szCs w:val="24"/>
          <w:lang w:eastAsia="en-AU"/>
        </w:rPr>
      </w:pPr>
      <w:r w:rsidRPr="00A36B06">
        <w:rPr>
          <w:rFonts w:cs="Calibri"/>
          <w:snapToGrid/>
          <w:color w:val="000000" w:themeColor="text1"/>
          <w:szCs w:val="24"/>
          <w:lang w:eastAsia="en-AU"/>
        </w:rPr>
        <w:t>The ESC considered the use of HIV RNA outcomes as defined using the FDA snapshot algorithm was appropriate</w:t>
      </w:r>
      <w:r w:rsidR="00214B07" w:rsidRPr="00A36B06">
        <w:rPr>
          <w:rFonts w:cs="Calibri"/>
          <w:snapToGrid/>
          <w:color w:val="000000" w:themeColor="text1"/>
          <w:szCs w:val="24"/>
          <w:lang w:eastAsia="en-AU"/>
        </w:rPr>
        <w:t>,</w:t>
      </w:r>
      <w:r w:rsidRPr="00A36B06">
        <w:rPr>
          <w:rFonts w:cs="Calibri"/>
          <w:snapToGrid/>
          <w:color w:val="000000" w:themeColor="text1"/>
          <w:szCs w:val="24"/>
          <w:lang w:eastAsia="en-AU"/>
        </w:rPr>
        <w:t xml:space="preserve"> noting that both GENVOYA® and DESCOVY® submissions were based on HIV RNA assessments using the FDA snapshot algorithm (DESCOVY® July 2016 PSD; GENVOYA® November 2015 PSD).</w:t>
      </w:r>
    </w:p>
    <w:p w:rsidR="006B5503" w:rsidRPr="00A36B06" w:rsidRDefault="006B5503" w:rsidP="00A71F4A">
      <w:pPr>
        <w:pStyle w:val="ListParagraph"/>
        <w:numPr>
          <w:ilvl w:val="1"/>
          <w:numId w:val="3"/>
        </w:numPr>
        <w:spacing w:after="0"/>
        <w:rPr>
          <w:rFonts w:cs="Calibri"/>
          <w:snapToGrid/>
          <w:color w:val="000000" w:themeColor="text1"/>
          <w:szCs w:val="24"/>
          <w:lang w:eastAsia="en-AU"/>
        </w:rPr>
      </w:pPr>
      <w:r w:rsidRPr="00A36B06">
        <w:rPr>
          <w:rFonts w:cs="Calibri"/>
          <w:snapToGrid/>
          <w:color w:val="000000" w:themeColor="text1"/>
          <w:szCs w:val="24"/>
          <w:lang w:eastAsia="en-AU"/>
        </w:rPr>
        <w:t xml:space="preserve">Overall, </w:t>
      </w:r>
      <w:r w:rsidR="001B7243" w:rsidRPr="00A36B06">
        <w:rPr>
          <w:rFonts w:cs="Calibri"/>
          <w:snapToGrid/>
          <w:color w:val="000000" w:themeColor="text1"/>
          <w:szCs w:val="24"/>
          <w:lang w:eastAsia="en-AU"/>
        </w:rPr>
        <w:t xml:space="preserve">the ESC considered that </w:t>
      </w:r>
      <w:r w:rsidRPr="00A36B06">
        <w:rPr>
          <w:rFonts w:cs="Calibri"/>
          <w:snapToGrid/>
          <w:color w:val="000000" w:themeColor="text1"/>
          <w:szCs w:val="24"/>
          <w:lang w:eastAsia="en-AU"/>
        </w:rPr>
        <w:t xml:space="preserve">a claim of non-inferiority in terms of effectiveness of BFTAF </w:t>
      </w:r>
      <w:r w:rsidR="00FB3A6B" w:rsidRPr="00A36B06">
        <w:rPr>
          <w:rFonts w:cs="Calibri"/>
          <w:snapToGrid/>
          <w:color w:val="000000" w:themeColor="text1"/>
          <w:szCs w:val="24"/>
          <w:lang w:eastAsia="en-AU"/>
        </w:rPr>
        <w:t xml:space="preserve">compared with </w:t>
      </w:r>
      <w:r w:rsidR="00416D73" w:rsidRPr="00A36B06">
        <w:rPr>
          <w:rFonts w:cs="Calibri"/>
          <w:snapToGrid/>
          <w:color w:val="000000" w:themeColor="text1"/>
          <w:szCs w:val="24"/>
          <w:lang w:eastAsia="en-AU"/>
        </w:rPr>
        <w:t>the following regimens</w:t>
      </w:r>
      <w:r w:rsidR="00BD630A" w:rsidRPr="00A36B06">
        <w:rPr>
          <w:rFonts w:cs="Calibri"/>
          <w:snapToGrid/>
          <w:color w:val="000000" w:themeColor="text1"/>
          <w:szCs w:val="24"/>
          <w:lang w:eastAsia="en-AU"/>
        </w:rPr>
        <w:t xml:space="preserve"> was supported by the trial evi</w:t>
      </w:r>
      <w:r w:rsidR="00416D73" w:rsidRPr="00A36B06">
        <w:rPr>
          <w:rFonts w:cs="Calibri"/>
          <w:snapToGrid/>
          <w:color w:val="000000" w:themeColor="text1"/>
          <w:szCs w:val="24"/>
          <w:lang w:eastAsia="en-AU"/>
        </w:rPr>
        <w:t>dence</w:t>
      </w:r>
      <w:r w:rsidR="00330F58">
        <w:rPr>
          <w:rFonts w:cs="Calibri"/>
          <w:snapToGrid/>
          <w:color w:val="000000" w:themeColor="text1"/>
          <w:szCs w:val="24"/>
          <w:lang w:eastAsia="en-AU"/>
        </w:rPr>
        <w:t>:</w:t>
      </w:r>
    </w:p>
    <w:p w:rsidR="006B5503" w:rsidRPr="00A36B06" w:rsidRDefault="006A6F37" w:rsidP="00A71F4A">
      <w:pPr>
        <w:pStyle w:val="ListParagraph"/>
        <w:numPr>
          <w:ilvl w:val="0"/>
          <w:numId w:val="20"/>
        </w:numPr>
        <w:spacing w:after="0"/>
        <w:ind w:left="994" w:hanging="288"/>
        <w:rPr>
          <w:rFonts w:cs="Calibri"/>
          <w:snapToGrid/>
          <w:color w:val="000000" w:themeColor="text1"/>
          <w:lang w:eastAsia="en-AU"/>
        </w:rPr>
      </w:pPr>
      <w:r w:rsidRPr="00A36B06">
        <w:rPr>
          <w:rFonts w:cs="Calibri"/>
          <w:snapToGrid/>
          <w:color w:val="000000" w:themeColor="text1"/>
          <w:lang w:eastAsia="en-AU"/>
        </w:rPr>
        <w:t>DESCOVY®</w:t>
      </w:r>
      <w:r w:rsidR="006B5503" w:rsidRPr="00A36B06">
        <w:rPr>
          <w:rFonts w:cs="Calibri"/>
          <w:snapToGrid/>
          <w:color w:val="000000" w:themeColor="text1"/>
          <w:lang w:eastAsia="en-AU"/>
        </w:rPr>
        <w:t xml:space="preserve"> </w:t>
      </w:r>
      <w:r w:rsidR="00B16F9D" w:rsidRPr="00A36B06">
        <w:rPr>
          <w:rFonts w:cs="Calibri"/>
          <w:snapToGrid/>
          <w:color w:val="000000" w:themeColor="text1"/>
          <w:lang w:eastAsia="en-AU"/>
        </w:rPr>
        <w:t xml:space="preserve">+ </w:t>
      </w:r>
      <w:proofErr w:type="spellStart"/>
      <w:r w:rsidR="00B16F9D" w:rsidRPr="00A36B06">
        <w:rPr>
          <w:rFonts w:cs="Calibri"/>
          <w:snapToGrid/>
          <w:color w:val="000000" w:themeColor="text1"/>
          <w:lang w:eastAsia="en-AU"/>
        </w:rPr>
        <w:t>dolutegravir</w:t>
      </w:r>
      <w:proofErr w:type="spellEnd"/>
      <w:r w:rsidR="00B16F9D" w:rsidRPr="00A36B06">
        <w:rPr>
          <w:rFonts w:cs="Calibri"/>
          <w:snapToGrid/>
          <w:color w:val="000000" w:themeColor="text1"/>
          <w:lang w:eastAsia="en-AU"/>
        </w:rPr>
        <w:t xml:space="preserve"> </w:t>
      </w:r>
      <w:r w:rsidR="00330F58">
        <w:rPr>
          <w:rFonts w:cs="Calibri"/>
          <w:snapToGrid/>
          <w:color w:val="000000" w:themeColor="text1"/>
          <w:lang w:eastAsia="en-AU"/>
        </w:rPr>
        <w:t>in treatment-naïve patients</w:t>
      </w:r>
    </w:p>
    <w:p w:rsidR="006B5503" w:rsidRPr="00A36B06" w:rsidRDefault="006B5503" w:rsidP="00A71F4A">
      <w:pPr>
        <w:pStyle w:val="ListParagraph"/>
        <w:numPr>
          <w:ilvl w:val="0"/>
          <w:numId w:val="20"/>
        </w:numPr>
        <w:spacing w:after="0"/>
        <w:ind w:left="994" w:hanging="288"/>
        <w:rPr>
          <w:rFonts w:cs="Calibri"/>
          <w:snapToGrid/>
          <w:color w:val="000000" w:themeColor="text1"/>
          <w:lang w:eastAsia="en-AU"/>
        </w:rPr>
      </w:pPr>
      <w:r w:rsidRPr="00A36B06">
        <w:rPr>
          <w:rFonts w:cs="Calibri"/>
          <w:snapToGrid/>
          <w:color w:val="000000" w:themeColor="text1"/>
          <w:lang w:eastAsia="en-AU"/>
        </w:rPr>
        <w:t xml:space="preserve">staying on baseline regimen (with a </w:t>
      </w:r>
      <w:r w:rsidR="006A6F37" w:rsidRPr="00A36B06">
        <w:rPr>
          <w:rFonts w:cs="Calibri"/>
          <w:snapToGrid/>
          <w:color w:val="000000" w:themeColor="text1"/>
          <w:lang w:eastAsia="en-AU"/>
        </w:rPr>
        <w:t>TRUVADA®</w:t>
      </w:r>
      <w:r w:rsidR="00DB2D5A" w:rsidRPr="00A36B06">
        <w:rPr>
          <w:rFonts w:cs="Calibri"/>
          <w:snapToGrid/>
          <w:color w:val="000000" w:themeColor="text1"/>
          <w:lang w:eastAsia="en-AU"/>
        </w:rPr>
        <w:t>-</w:t>
      </w:r>
      <w:r w:rsidRPr="00A36B06">
        <w:rPr>
          <w:rFonts w:cs="Calibri"/>
          <w:snapToGrid/>
          <w:color w:val="000000" w:themeColor="text1"/>
          <w:lang w:eastAsia="en-AU"/>
        </w:rPr>
        <w:t xml:space="preserve"> or </w:t>
      </w:r>
      <w:r w:rsidR="006A6F37" w:rsidRPr="00A36B06">
        <w:rPr>
          <w:rFonts w:cs="Calibri"/>
          <w:snapToGrid/>
          <w:color w:val="000000" w:themeColor="text1"/>
          <w:lang w:eastAsia="en-AU"/>
        </w:rPr>
        <w:t>KIVEXA®</w:t>
      </w:r>
      <w:r w:rsidR="00DB2D5A" w:rsidRPr="00A36B06">
        <w:rPr>
          <w:rFonts w:cs="Calibri"/>
          <w:snapToGrid/>
          <w:color w:val="000000" w:themeColor="text1"/>
          <w:lang w:eastAsia="en-AU"/>
        </w:rPr>
        <w:t>-</w:t>
      </w:r>
      <w:r w:rsidRPr="00A36B06">
        <w:rPr>
          <w:rFonts w:cs="Calibri"/>
          <w:snapToGrid/>
          <w:color w:val="000000" w:themeColor="text1"/>
          <w:lang w:eastAsia="en-AU"/>
        </w:rPr>
        <w:t xml:space="preserve"> backbone) in virologically suppressed (t</w:t>
      </w:r>
      <w:r w:rsidR="00330F58">
        <w:rPr>
          <w:rFonts w:cs="Calibri"/>
          <w:snapToGrid/>
          <w:color w:val="000000" w:themeColor="text1"/>
          <w:lang w:eastAsia="en-AU"/>
        </w:rPr>
        <w:t>reatment-experienced) patients</w:t>
      </w:r>
    </w:p>
    <w:p w:rsidR="006B5503" w:rsidRPr="00A36B06" w:rsidRDefault="00D0277C" w:rsidP="00A71F4A">
      <w:pPr>
        <w:pStyle w:val="ListParagraph"/>
        <w:numPr>
          <w:ilvl w:val="0"/>
          <w:numId w:val="20"/>
        </w:numPr>
        <w:spacing w:after="0"/>
        <w:ind w:left="994" w:hanging="288"/>
        <w:rPr>
          <w:rFonts w:cs="Calibri"/>
          <w:snapToGrid/>
          <w:color w:val="000000" w:themeColor="text1"/>
          <w:lang w:eastAsia="en-AU"/>
        </w:rPr>
      </w:pPr>
      <w:r w:rsidRPr="00A36B06">
        <w:rPr>
          <w:rFonts w:cs="Calibri"/>
          <w:snapToGrid/>
          <w:color w:val="000000" w:themeColor="text1"/>
          <w:lang w:eastAsia="en-AU"/>
        </w:rPr>
        <w:t>TRIUMEQ®</w:t>
      </w:r>
      <w:r w:rsidR="006B5503" w:rsidRPr="00A36B06">
        <w:rPr>
          <w:rFonts w:cs="Calibri"/>
          <w:snapToGrid/>
          <w:color w:val="000000" w:themeColor="text1"/>
          <w:lang w:eastAsia="en-AU"/>
        </w:rPr>
        <w:t xml:space="preserve"> in treatment</w:t>
      </w:r>
      <w:r w:rsidR="00416D73" w:rsidRPr="00A36B06">
        <w:rPr>
          <w:rFonts w:cs="Calibri"/>
          <w:snapToGrid/>
          <w:color w:val="000000" w:themeColor="text1"/>
          <w:lang w:eastAsia="en-AU"/>
        </w:rPr>
        <w:t>-</w:t>
      </w:r>
      <w:r w:rsidR="00330F58">
        <w:rPr>
          <w:rFonts w:cs="Calibri"/>
          <w:snapToGrid/>
          <w:color w:val="000000" w:themeColor="text1"/>
          <w:lang w:eastAsia="en-AU"/>
        </w:rPr>
        <w:t>naïve patients</w:t>
      </w:r>
    </w:p>
    <w:p w:rsidR="00CD4EE9" w:rsidRPr="00351F4A" w:rsidRDefault="006B5503" w:rsidP="00A71F4A">
      <w:pPr>
        <w:pStyle w:val="ListParagraph"/>
        <w:numPr>
          <w:ilvl w:val="0"/>
          <w:numId w:val="20"/>
        </w:numPr>
        <w:spacing w:after="0"/>
        <w:ind w:left="994" w:hanging="288"/>
        <w:rPr>
          <w:rFonts w:cs="Calibri"/>
          <w:color w:val="000000" w:themeColor="text1"/>
          <w:lang w:eastAsia="en-AU"/>
        </w:rPr>
      </w:pPr>
      <w:proofErr w:type="gramStart"/>
      <w:r w:rsidRPr="00A36B06">
        <w:rPr>
          <w:rFonts w:cs="Calibri"/>
          <w:snapToGrid/>
          <w:color w:val="000000" w:themeColor="text1"/>
          <w:lang w:eastAsia="en-AU"/>
        </w:rPr>
        <w:t>staying</w:t>
      </w:r>
      <w:proofErr w:type="gramEnd"/>
      <w:r w:rsidRPr="00A36B06">
        <w:rPr>
          <w:rFonts w:cs="Calibri"/>
          <w:snapToGrid/>
          <w:color w:val="000000" w:themeColor="text1"/>
          <w:lang w:eastAsia="en-AU"/>
        </w:rPr>
        <w:t xml:space="preserve"> on baseline </w:t>
      </w:r>
      <w:r w:rsidR="0080571F" w:rsidRPr="00A36B06">
        <w:rPr>
          <w:rFonts w:cs="Calibri"/>
          <w:snapToGrid/>
          <w:color w:val="000000" w:themeColor="text1"/>
          <w:lang w:eastAsia="en-AU"/>
        </w:rPr>
        <w:t xml:space="preserve">KIVEXA® + </w:t>
      </w:r>
      <w:proofErr w:type="spellStart"/>
      <w:r w:rsidR="0080571F" w:rsidRPr="00A36B06">
        <w:rPr>
          <w:rFonts w:cs="Calibri"/>
          <w:snapToGrid/>
          <w:color w:val="000000" w:themeColor="text1"/>
          <w:lang w:eastAsia="en-AU"/>
        </w:rPr>
        <w:t>dolutegravir</w:t>
      </w:r>
      <w:proofErr w:type="spellEnd"/>
      <w:r w:rsidR="0080571F" w:rsidRPr="00A36B06">
        <w:rPr>
          <w:rFonts w:cs="Calibri"/>
          <w:snapToGrid/>
          <w:color w:val="000000" w:themeColor="text1"/>
          <w:lang w:eastAsia="en-AU"/>
        </w:rPr>
        <w:t xml:space="preserve"> or </w:t>
      </w:r>
      <w:r w:rsidR="00D0277C" w:rsidRPr="00A36B06">
        <w:rPr>
          <w:rFonts w:cs="Calibri"/>
          <w:snapToGrid/>
          <w:color w:val="000000" w:themeColor="text1"/>
          <w:lang w:eastAsia="en-AU"/>
        </w:rPr>
        <w:t>TRIUMEQ®</w:t>
      </w:r>
      <w:r w:rsidRPr="00A36B06">
        <w:rPr>
          <w:rFonts w:cs="Calibri"/>
          <w:snapToGrid/>
          <w:color w:val="000000" w:themeColor="text1"/>
          <w:lang w:eastAsia="en-AU"/>
        </w:rPr>
        <w:t xml:space="preserve"> in virologically suppressed patients</w:t>
      </w:r>
      <w:r w:rsidR="00416D73" w:rsidRPr="00A36B06">
        <w:rPr>
          <w:rFonts w:cs="Calibri"/>
          <w:snapToGrid/>
          <w:color w:val="000000" w:themeColor="text1"/>
          <w:lang w:eastAsia="en-AU"/>
        </w:rPr>
        <w:t>.</w:t>
      </w:r>
    </w:p>
    <w:p w:rsidR="00351F4A" w:rsidRPr="00A36B06" w:rsidRDefault="00351F4A" w:rsidP="00351F4A">
      <w:pPr>
        <w:pStyle w:val="ListParagraph"/>
        <w:spacing w:after="0"/>
        <w:ind w:left="994"/>
        <w:rPr>
          <w:rFonts w:cs="Calibri"/>
          <w:color w:val="000000" w:themeColor="text1"/>
          <w:lang w:eastAsia="en-AU"/>
        </w:rPr>
      </w:pPr>
    </w:p>
    <w:p w:rsidR="00B60939" w:rsidRPr="00F76F05" w:rsidRDefault="00B60939" w:rsidP="00DD3B41">
      <w:pPr>
        <w:pStyle w:val="Heading2"/>
        <w:spacing w:before="120" w:after="120"/>
      </w:pPr>
      <w:bookmarkStart w:id="9" w:name="_Toc503214689"/>
      <w:r w:rsidRPr="00F76F05">
        <w:lastRenderedPageBreak/>
        <w:t>Comparative harms</w:t>
      </w:r>
      <w:bookmarkEnd w:id="9"/>
    </w:p>
    <w:p w:rsidR="004F1736" w:rsidRPr="003F4BE3" w:rsidRDefault="004F1736" w:rsidP="008107C8">
      <w:pPr>
        <w:pStyle w:val="ListParagraph"/>
        <w:widowControl/>
        <w:numPr>
          <w:ilvl w:val="1"/>
          <w:numId w:val="3"/>
        </w:numPr>
        <w:spacing w:before="160"/>
        <w:rPr>
          <w:color w:val="000000" w:themeColor="text1"/>
        </w:rPr>
      </w:pPr>
      <w:r w:rsidRPr="003F4BE3">
        <w:rPr>
          <w:color w:val="000000" w:themeColor="text1"/>
        </w:rPr>
        <w:t xml:space="preserve">Table </w:t>
      </w:r>
      <w:r w:rsidR="00D216D1" w:rsidRPr="003F4BE3">
        <w:rPr>
          <w:color w:val="000000" w:themeColor="text1"/>
        </w:rPr>
        <w:t>6</w:t>
      </w:r>
      <w:r w:rsidRPr="003F4BE3">
        <w:rPr>
          <w:color w:val="000000" w:themeColor="text1"/>
        </w:rPr>
        <w:t xml:space="preserve"> presents a summary of adverse events in Trial 1490</w:t>
      </w:r>
      <w:r w:rsidR="00CD4EE9" w:rsidRPr="003F4BE3">
        <w:rPr>
          <w:color w:val="000000" w:themeColor="text1"/>
        </w:rPr>
        <w:t>.</w:t>
      </w:r>
    </w:p>
    <w:p w:rsidR="004F1736" w:rsidRPr="003F4BE3" w:rsidRDefault="004F1736" w:rsidP="00364590">
      <w:pPr>
        <w:keepNext/>
        <w:rPr>
          <w:rFonts w:ascii="Arial Narrow" w:hAnsi="Arial Narrow"/>
          <w:sz w:val="20"/>
          <w:lang w:val="en-AU"/>
        </w:rPr>
      </w:pPr>
      <w:r w:rsidRPr="003F4BE3">
        <w:rPr>
          <w:rStyle w:val="CommentReference"/>
          <w:lang w:val="en-AU"/>
        </w:rPr>
        <w:t xml:space="preserve">Table </w:t>
      </w:r>
      <w:r w:rsidR="00D216D1" w:rsidRPr="003F4BE3">
        <w:rPr>
          <w:rStyle w:val="CommentReference"/>
          <w:lang w:val="en-AU"/>
        </w:rPr>
        <w:t>6</w:t>
      </w:r>
      <w:r w:rsidRPr="003F4BE3">
        <w:rPr>
          <w:rStyle w:val="CommentReference"/>
          <w:lang w:val="en-AU"/>
        </w:rPr>
        <w:t>: Summary of adverse events in Trial 1490</w:t>
      </w:r>
    </w:p>
    <w:tbl>
      <w:tblPr>
        <w:tblStyle w:val="TableGrid"/>
        <w:tblW w:w="5009" w:type="pct"/>
        <w:tblLayout w:type="fixed"/>
        <w:tblCellMar>
          <w:left w:w="29" w:type="dxa"/>
          <w:right w:w="29" w:type="dxa"/>
        </w:tblCellMar>
        <w:tblLook w:val="04A0" w:firstRow="1" w:lastRow="0" w:firstColumn="1" w:lastColumn="0" w:noHBand="0" w:noVBand="1"/>
        <w:tblCaption w:val="Table 6: Summary of adverse events in Trial 1490"/>
      </w:tblPr>
      <w:tblGrid>
        <w:gridCol w:w="4707"/>
        <w:gridCol w:w="1417"/>
        <w:gridCol w:w="1418"/>
        <w:gridCol w:w="1559"/>
      </w:tblGrid>
      <w:tr w:rsidR="004F1736" w:rsidRPr="003F4BE3" w:rsidTr="000316CC">
        <w:trPr>
          <w:trHeight w:val="251"/>
          <w:tblHeader/>
        </w:trPr>
        <w:tc>
          <w:tcPr>
            <w:tcW w:w="4707" w:type="dxa"/>
            <w:noWrap/>
            <w:vAlign w:val="center"/>
            <w:hideMark/>
          </w:tcPr>
          <w:p w:rsidR="004F1736" w:rsidRPr="003F4BE3" w:rsidRDefault="004F1736" w:rsidP="00364590">
            <w:pPr>
              <w:pStyle w:val="Tabletext"/>
              <w:keepNext/>
              <w:rPr>
                <w:b/>
              </w:rPr>
            </w:pPr>
            <w:r w:rsidRPr="003F4BE3">
              <w:rPr>
                <w:b/>
              </w:rPr>
              <w:t>Type of Adverse Event</w:t>
            </w:r>
          </w:p>
        </w:tc>
        <w:tc>
          <w:tcPr>
            <w:tcW w:w="1417" w:type="dxa"/>
            <w:noWrap/>
            <w:vAlign w:val="center"/>
            <w:hideMark/>
          </w:tcPr>
          <w:p w:rsidR="004F1736" w:rsidRPr="003F4BE3" w:rsidRDefault="004F1736" w:rsidP="00364590">
            <w:pPr>
              <w:pStyle w:val="Tabletext"/>
              <w:keepNext/>
              <w:jc w:val="center"/>
              <w:rPr>
                <w:b/>
              </w:rPr>
            </w:pPr>
            <w:r w:rsidRPr="003F4BE3">
              <w:rPr>
                <w:b/>
              </w:rPr>
              <w:t xml:space="preserve">BFTAF; </w:t>
            </w:r>
          </w:p>
          <w:p w:rsidR="004F1736" w:rsidRPr="003F4BE3" w:rsidRDefault="004F1736" w:rsidP="00364590">
            <w:pPr>
              <w:pStyle w:val="Tabletext"/>
              <w:keepNext/>
              <w:jc w:val="center"/>
              <w:rPr>
                <w:b/>
              </w:rPr>
            </w:pPr>
            <w:r w:rsidRPr="003F4BE3">
              <w:rPr>
                <w:b/>
              </w:rPr>
              <w:t>N=320</w:t>
            </w:r>
          </w:p>
        </w:tc>
        <w:tc>
          <w:tcPr>
            <w:tcW w:w="1418" w:type="dxa"/>
            <w:noWrap/>
            <w:vAlign w:val="center"/>
            <w:hideMark/>
          </w:tcPr>
          <w:p w:rsidR="004F1736" w:rsidRPr="003F4BE3" w:rsidRDefault="004F1736" w:rsidP="00364590">
            <w:pPr>
              <w:pStyle w:val="Tabletext"/>
              <w:keepNext/>
              <w:jc w:val="center"/>
              <w:rPr>
                <w:b/>
              </w:rPr>
            </w:pPr>
            <w:r w:rsidRPr="003F4BE3">
              <w:rPr>
                <w:b/>
              </w:rPr>
              <w:t>FTAF</w:t>
            </w:r>
            <w:r w:rsidR="00B16F9D" w:rsidRPr="003F4BE3">
              <w:rPr>
                <w:b/>
              </w:rPr>
              <w:t xml:space="preserve"> + DTG</w:t>
            </w:r>
            <w:r w:rsidRPr="003F4BE3">
              <w:rPr>
                <w:b/>
              </w:rPr>
              <w:t>; N=325</w:t>
            </w:r>
          </w:p>
        </w:tc>
        <w:tc>
          <w:tcPr>
            <w:tcW w:w="1559" w:type="dxa"/>
            <w:vAlign w:val="center"/>
          </w:tcPr>
          <w:p w:rsidR="004F1736" w:rsidRPr="003F4BE3" w:rsidRDefault="004F1736" w:rsidP="00364590">
            <w:pPr>
              <w:pStyle w:val="Tabletext"/>
              <w:keepNext/>
              <w:jc w:val="center"/>
              <w:rPr>
                <w:b/>
              </w:rPr>
            </w:pPr>
            <w:r w:rsidRPr="003F4BE3">
              <w:rPr>
                <w:b/>
              </w:rPr>
              <w:t>RD (95% CI)</w:t>
            </w:r>
          </w:p>
        </w:tc>
      </w:tr>
      <w:tr w:rsidR="004F1736" w:rsidRPr="003F4BE3" w:rsidTr="00002110">
        <w:tc>
          <w:tcPr>
            <w:tcW w:w="4707" w:type="dxa"/>
            <w:noWrap/>
            <w:hideMark/>
          </w:tcPr>
          <w:p w:rsidR="004F1736" w:rsidRPr="003F4BE3" w:rsidRDefault="004F1736" w:rsidP="00364590">
            <w:pPr>
              <w:pStyle w:val="Tabletext"/>
              <w:keepNext/>
            </w:pPr>
            <w:r w:rsidRPr="003F4BE3">
              <w:t>Any treatment-emergent AE</w:t>
            </w:r>
          </w:p>
        </w:tc>
        <w:tc>
          <w:tcPr>
            <w:tcW w:w="1417" w:type="dxa"/>
            <w:noWrap/>
            <w:vAlign w:val="center"/>
            <w:hideMark/>
          </w:tcPr>
          <w:p w:rsidR="004F1736" w:rsidRPr="003F4BE3" w:rsidRDefault="004F1736" w:rsidP="00364590">
            <w:pPr>
              <w:pStyle w:val="Tabletext"/>
              <w:keepNext/>
              <w:jc w:val="center"/>
            </w:pPr>
            <w:r w:rsidRPr="003F4BE3">
              <w:t>264 (82.5%)</w:t>
            </w:r>
          </w:p>
        </w:tc>
        <w:tc>
          <w:tcPr>
            <w:tcW w:w="1418" w:type="dxa"/>
            <w:noWrap/>
            <w:vAlign w:val="center"/>
            <w:hideMark/>
          </w:tcPr>
          <w:p w:rsidR="004F1736" w:rsidRPr="003F4BE3" w:rsidRDefault="004F1736" w:rsidP="00364590">
            <w:pPr>
              <w:pStyle w:val="Tabletext"/>
              <w:keepNext/>
              <w:jc w:val="center"/>
            </w:pPr>
            <w:r w:rsidRPr="003F4BE3">
              <w:t>272 (83.7%)</w:t>
            </w:r>
          </w:p>
        </w:tc>
        <w:tc>
          <w:tcPr>
            <w:tcW w:w="1559" w:type="dxa"/>
            <w:vAlign w:val="center"/>
          </w:tcPr>
          <w:p w:rsidR="004F1736" w:rsidRPr="003F4BE3" w:rsidRDefault="004F1736" w:rsidP="00364590">
            <w:pPr>
              <w:pStyle w:val="Tabletext"/>
              <w:keepNext/>
              <w:jc w:val="center"/>
            </w:pPr>
            <w:r w:rsidRPr="003F4BE3">
              <w:rPr>
                <w:color w:val="000000"/>
              </w:rPr>
              <w:t>-0.01 (-0.07, 0.05)</w:t>
            </w:r>
          </w:p>
        </w:tc>
      </w:tr>
      <w:tr w:rsidR="004F1736" w:rsidRPr="003F4BE3" w:rsidTr="00002110">
        <w:tc>
          <w:tcPr>
            <w:tcW w:w="4707" w:type="dxa"/>
            <w:noWrap/>
            <w:hideMark/>
          </w:tcPr>
          <w:p w:rsidR="004F1736" w:rsidRPr="003F4BE3" w:rsidRDefault="004F1736" w:rsidP="00364590">
            <w:pPr>
              <w:pStyle w:val="Tabletext"/>
              <w:keepNext/>
            </w:pPr>
            <w:r w:rsidRPr="003F4BE3">
              <w:t>Any Grade 2, 3, or 4 treatment-emergent AE</w:t>
            </w:r>
          </w:p>
        </w:tc>
        <w:tc>
          <w:tcPr>
            <w:tcW w:w="1417" w:type="dxa"/>
            <w:noWrap/>
            <w:vAlign w:val="center"/>
            <w:hideMark/>
          </w:tcPr>
          <w:p w:rsidR="004F1736" w:rsidRPr="003F4BE3" w:rsidRDefault="004F1736" w:rsidP="00364590">
            <w:pPr>
              <w:pStyle w:val="Tabletext"/>
              <w:keepNext/>
              <w:jc w:val="center"/>
            </w:pPr>
            <w:r w:rsidRPr="003F4BE3">
              <w:t>141 (44.1%)</w:t>
            </w:r>
          </w:p>
        </w:tc>
        <w:tc>
          <w:tcPr>
            <w:tcW w:w="1418" w:type="dxa"/>
            <w:noWrap/>
            <w:vAlign w:val="center"/>
            <w:hideMark/>
          </w:tcPr>
          <w:p w:rsidR="004F1736" w:rsidRPr="003F4BE3" w:rsidRDefault="004F1736" w:rsidP="00364590">
            <w:pPr>
              <w:pStyle w:val="Tabletext"/>
              <w:keepNext/>
              <w:jc w:val="center"/>
            </w:pPr>
            <w:r w:rsidRPr="003F4BE3">
              <w:t>132 (40.6%)</w:t>
            </w:r>
          </w:p>
        </w:tc>
        <w:tc>
          <w:tcPr>
            <w:tcW w:w="1559" w:type="dxa"/>
            <w:vAlign w:val="center"/>
          </w:tcPr>
          <w:p w:rsidR="004F1736" w:rsidRPr="003F4BE3" w:rsidRDefault="004F1736" w:rsidP="00364590">
            <w:pPr>
              <w:pStyle w:val="Tabletext"/>
              <w:keepNext/>
              <w:jc w:val="center"/>
            </w:pPr>
            <w:r w:rsidRPr="003F4BE3">
              <w:rPr>
                <w:color w:val="000000"/>
              </w:rPr>
              <w:t>0.03 (-0.04, 0.11)</w:t>
            </w:r>
          </w:p>
        </w:tc>
      </w:tr>
      <w:tr w:rsidR="004F1736" w:rsidRPr="003F4BE3" w:rsidTr="00002110">
        <w:tc>
          <w:tcPr>
            <w:tcW w:w="4707" w:type="dxa"/>
            <w:noWrap/>
            <w:hideMark/>
          </w:tcPr>
          <w:p w:rsidR="004F1736" w:rsidRPr="003F4BE3" w:rsidRDefault="004F1736" w:rsidP="00364590">
            <w:pPr>
              <w:pStyle w:val="Tabletext"/>
              <w:keepNext/>
            </w:pPr>
            <w:r w:rsidRPr="003F4BE3">
              <w:t>Any Grade 3 or 4 treatment-emergent AE</w:t>
            </w:r>
          </w:p>
        </w:tc>
        <w:tc>
          <w:tcPr>
            <w:tcW w:w="1417" w:type="dxa"/>
            <w:noWrap/>
            <w:vAlign w:val="center"/>
            <w:hideMark/>
          </w:tcPr>
          <w:p w:rsidR="004F1736" w:rsidRPr="003F4BE3" w:rsidRDefault="004F1736" w:rsidP="00364590">
            <w:pPr>
              <w:pStyle w:val="Tabletext"/>
              <w:keepNext/>
              <w:jc w:val="center"/>
            </w:pPr>
            <w:r w:rsidRPr="003F4BE3">
              <w:t>33 (10.3%)</w:t>
            </w:r>
          </w:p>
        </w:tc>
        <w:tc>
          <w:tcPr>
            <w:tcW w:w="1418" w:type="dxa"/>
            <w:noWrap/>
            <w:vAlign w:val="center"/>
            <w:hideMark/>
          </w:tcPr>
          <w:p w:rsidR="004F1736" w:rsidRPr="003F4BE3" w:rsidRDefault="004F1736" w:rsidP="00364590">
            <w:pPr>
              <w:pStyle w:val="Tabletext"/>
              <w:keepNext/>
              <w:jc w:val="center"/>
            </w:pPr>
            <w:r w:rsidRPr="003F4BE3">
              <w:t>25 (7.7%)</w:t>
            </w:r>
          </w:p>
        </w:tc>
        <w:tc>
          <w:tcPr>
            <w:tcW w:w="1559" w:type="dxa"/>
            <w:vAlign w:val="center"/>
          </w:tcPr>
          <w:p w:rsidR="004F1736" w:rsidRPr="003F4BE3" w:rsidRDefault="004F1736" w:rsidP="00364590">
            <w:pPr>
              <w:pStyle w:val="Tabletext"/>
              <w:keepNext/>
              <w:jc w:val="center"/>
            </w:pPr>
            <w:r w:rsidRPr="003F4BE3">
              <w:rPr>
                <w:color w:val="000000"/>
              </w:rPr>
              <w:t>0.03 (-0.02, 0.07)</w:t>
            </w:r>
          </w:p>
        </w:tc>
      </w:tr>
      <w:tr w:rsidR="004F1736" w:rsidRPr="003F4BE3" w:rsidTr="00002110">
        <w:tc>
          <w:tcPr>
            <w:tcW w:w="4707" w:type="dxa"/>
            <w:noWrap/>
            <w:hideMark/>
          </w:tcPr>
          <w:p w:rsidR="004F1736" w:rsidRPr="003F4BE3" w:rsidRDefault="004F1736" w:rsidP="00364590">
            <w:pPr>
              <w:pStyle w:val="Tabletext"/>
              <w:keepNext/>
            </w:pPr>
            <w:r w:rsidRPr="003F4BE3">
              <w:t>Any treatment-emergent study drug-related AE</w:t>
            </w:r>
          </w:p>
        </w:tc>
        <w:tc>
          <w:tcPr>
            <w:tcW w:w="1417" w:type="dxa"/>
            <w:noWrap/>
            <w:vAlign w:val="center"/>
            <w:hideMark/>
          </w:tcPr>
          <w:p w:rsidR="004F1736" w:rsidRPr="003F4BE3" w:rsidRDefault="004F1736" w:rsidP="00364590">
            <w:pPr>
              <w:pStyle w:val="Tabletext"/>
              <w:keepNext/>
              <w:jc w:val="center"/>
            </w:pPr>
            <w:r w:rsidRPr="003F4BE3">
              <w:t>57 (17.8%)</w:t>
            </w:r>
          </w:p>
        </w:tc>
        <w:tc>
          <w:tcPr>
            <w:tcW w:w="1418" w:type="dxa"/>
            <w:noWrap/>
            <w:vAlign w:val="center"/>
            <w:hideMark/>
          </w:tcPr>
          <w:p w:rsidR="004F1736" w:rsidRPr="003F4BE3" w:rsidRDefault="004F1736" w:rsidP="00364590">
            <w:pPr>
              <w:pStyle w:val="Tabletext"/>
              <w:keepNext/>
              <w:jc w:val="center"/>
            </w:pPr>
            <w:r w:rsidRPr="003F4BE3">
              <w:t>83 (25.5%)</w:t>
            </w:r>
          </w:p>
        </w:tc>
        <w:tc>
          <w:tcPr>
            <w:tcW w:w="1559" w:type="dxa"/>
            <w:vAlign w:val="center"/>
          </w:tcPr>
          <w:p w:rsidR="004F1736" w:rsidRPr="003F4BE3" w:rsidRDefault="004F1736" w:rsidP="00364590">
            <w:pPr>
              <w:pStyle w:val="Tabletext"/>
              <w:keepNext/>
              <w:jc w:val="center"/>
              <w:rPr>
                <w:b/>
              </w:rPr>
            </w:pPr>
            <w:r w:rsidRPr="003F4BE3">
              <w:rPr>
                <w:b/>
                <w:color w:val="000000"/>
              </w:rPr>
              <w:t>-0.08 (-0.14, -0.01)</w:t>
            </w:r>
          </w:p>
        </w:tc>
      </w:tr>
      <w:tr w:rsidR="004F1736" w:rsidRPr="003F4BE3" w:rsidTr="00002110">
        <w:tc>
          <w:tcPr>
            <w:tcW w:w="4707" w:type="dxa"/>
            <w:noWrap/>
            <w:hideMark/>
          </w:tcPr>
          <w:p w:rsidR="004F1736" w:rsidRPr="003F4BE3" w:rsidRDefault="004F1736" w:rsidP="00364590">
            <w:pPr>
              <w:pStyle w:val="Tabletext"/>
              <w:keepNext/>
            </w:pPr>
            <w:r w:rsidRPr="003F4BE3">
              <w:t>Any Grade 2, 3, or 4 treatment-emergent study drug-related AE</w:t>
            </w:r>
          </w:p>
        </w:tc>
        <w:tc>
          <w:tcPr>
            <w:tcW w:w="1417" w:type="dxa"/>
            <w:noWrap/>
            <w:vAlign w:val="center"/>
            <w:hideMark/>
          </w:tcPr>
          <w:p w:rsidR="004F1736" w:rsidRPr="003F4BE3" w:rsidRDefault="004F1736" w:rsidP="00364590">
            <w:pPr>
              <w:pStyle w:val="Tabletext"/>
              <w:keepNext/>
              <w:jc w:val="center"/>
            </w:pPr>
            <w:r w:rsidRPr="003F4BE3">
              <w:t>14 (4.4%)</w:t>
            </w:r>
          </w:p>
        </w:tc>
        <w:tc>
          <w:tcPr>
            <w:tcW w:w="1418" w:type="dxa"/>
            <w:noWrap/>
            <w:vAlign w:val="center"/>
            <w:hideMark/>
          </w:tcPr>
          <w:p w:rsidR="004F1736" w:rsidRPr="003F4BE3" w:rsidRDefault="004F1736" w:rsidP="00364590">
            <w:pPr>
              <w:pStyle w:val="Tabletext"/>
              <w:keepNext/>
              <w:jc w:val="center"/>
            </w:pPr>
            <w:r w:rsidRPr="003F4BE3">
              <w:t>5 (1.5%)</w:t>
            </w:r>
          </w:p>
        </w:tc>
        <w:tc>
          <w:tcPr>
            <w:tcW w:w="1559" w:type="dxa"/>
            <w:vAlign w:val="center"/>
          </w:tcPr>
          <w:p w:rsidR="004F1736" w:rsidRPr="003F4BE3" w:rsidRDefault="004F1736" w:rsidP="00364590">
            <w:pPr>
              <w:pStyle w:val="Tabletext"/>
              <w:keepNext/>
              <w:jc w:val="center"/>
            </w:pPr>
            <w:r w:rsidRPr="003F4BE3">
              <w:rPr>
                <w:color w:val="000000"/>
              </w:rPr>
              <w:t>0.03 (0, 0.05)</w:t>
            </w:r>
          </w:p>
        </w:tc>
      </w:tr>
      <w:tr w:rsidR="004F1736" w:rsidRPr="003F4BE3" w:rsidTr="00002110">
        <w:tc>
          <w:tcPr>
            <w:tcW w:w="4707" w:type="dxa"/>
            <w:noWrap/>
            <w:hideMark/>
          </w:tcPr>
          <w:p w:rsidR="004F1736" w:rsidRPr="003F4BE3" w:rsidRDefault="004F1736" w:rsidP="00364590">
            <w:pPr>
              <w:pStyle w:val="Tabletext"/>
              <w:keepNext/>
            </w:pPr>
            <w:r w:rsidRPr="003F4BE3">
              <w:t>Any Grade 3 or 4 treatment-emergent study drug-related AE</w:t>
            </w:r>
          </w:p>
        </w:tc>
        <w:tc>
          <w:tcPr>
            <w:tcW w:w="1417" w:type="dxa"/>
            <w:noWrap/>
            <w:vAlign w:val="center"/>
            <w:hideMark/>
          </w:tcPr>
          <w:p w:rsidR="004F1736" w:rsidRPr="003F4BE3" w:rsidRDefault="004F1736" w:rsidP="00364590">
            <w:pPr>
              <w:pStyle w:val="Tabletext"/>
              <w:keepNext/>
              <w:jc w:val="center"/>
            </w:pPr>
            <w:r w:rsidRPr="003F4BE3">
              <w:t>3 (0.9%)</w:t>
            </w:r>
          </w:p>
        </w:tc>
        <w:tc>
          <w:tcPr>
            <w:tcW w:w="1418" w:type="dxa"/>
            <w:noWrap/>
            <w:vAlign w:val="center"/>
            <w:hideMark/>
          </w:tcPr>
          <w:p w:rsidR="004F1736" w:rsidRPr="003F4BE3" w:rsidRDefault="004F1736" w:rsidP="00364590">
            <w:pPr>
              <w:pStyle w:val="Tabletext"/>
              <w:keepNext/>
              <w:jc w:val="center"/>
            </w:pPr>
            <w:r w:rsidRPr="003F4BE3">
              <w:t>0</w:t>
            </w:r>
          </w:p>
        </w:tc>
        <w:tc>
          <w:tcPr>
            <w:tcW w:w="1559" w:type="dxa"/>
            <w:vAlign w:val="center"/>
          </w:tcPr>
          <w:p w:rsidR="004F1736" w:rsidRPr="003F4BE3" w:rsidRDefault="004F1736" w:rsidP="00364590">
            <w:pPr>
              <w:pStyle w:val="Tabletext"/>
              <w:keepNext/>
              <w:jc w:val="center"/>
            </w:pPr>
            <w:r w:rsidRPr="003F4BE3">
              <w:rPr>
                <w:color w:val="000000"/>
              </w:rPr>
              <w:t>0.01 (0, 0.02)</w:t>
            </w:r>
          </w:p>
        </w:tc>
      </w:tr>
      <w:tr w:rsidR="004F1736" w:rsidRPr="003F4BE3" w:rsidTr="00002110">
        <w:tc>
          <w:tcPr>
            <w:tcW w:w="4707" w:type="dxa"/>
            <w:noWrap/>
            <w:hideMark/>
          </w:tcPr>
          <w:p w:rsidR="004F1736" w:rsidRPr="003F4BE3" w:rsidRDefault="004F1736" w:rsidP="00364590">
            <w:pPr>
              <w:pStyle w:val="Tabletext"/>
              <w:keepNext/>
            </w:pPr>
            <w:r w:rsidRPr="003F4BE3">
              <w:t>Any treatment-emergent serious AE</w:t>
            </w:r>
          </w:p>
        </w:tc>
        <w:tc>
          <w:tcPr>
            <w:tcW w:w="1417" w:type="dxa"/>
            <w:noWrap/>
            <w:vAlign w:val="center"/>
            <w:hideMark/>
          </w:tcPr>
          <w:p w:rsidR="004F1736" w:rsidRPr="003F4BE3" w:rsidRDefault="004F1736" w:rsidP="00364590">
            <w:pPr>
              <w:pStyle w:val="Tabletext"/>
              <w:keepNext/>
              <w:jc w:val="center"/>
            </w:pPr>
            <w:r w:rsidRPr="003F4BE3">
              <w:t>39 (12.2%)</w:t>
            </w:r>
          </w:p>
        </w:tc>
        <w:tc>
          <w:tcPr>
            <w:tcW w:w="1418" w:type="dxa"/>
            <w:noWrap/>
            <w:vAlign w:val="center"/>
            <w:hideMark/>
          </w:tcPr>
          <w:p w:rsidR="004F1736" w:rsidRPr="003F4BE3" w:rsidRDefault="004F1736" w:rsidP="00364590">
            <w:pPr>
              <w:pStyle w:val="Tabletext"/>
              <w:keepNext/>
              <w:jc w:val="center"/>
            </w:pPr>
            <w:r w:rsidRPr="003F4BE3">
              <w:t>23 (7.1%)</w:t>
            </w:r>
          </w:p>
        </w:tc>
        <w:tc>
          <w:tcPr>
            <w:tcW w:w="1559" w:type="dxa"/>
            <w:vAlign w:val="center"/>
          </w:tcPr>
          <w:p w:rsidR="004F1736" w:rsidRPr="003F4BE3" w:rsidRDefault="004F1736" w:rsidP="00364590">
            <w:pPr>
              <w:pStyle w:val="Tabletext"/>
              <w:keepNext/>
              <w:jc w:val="center"/>
              <w:rPr>
                <w:b/>
              </w:rPr>
            </w:pPr>
            <w:r w:rsidRPr="003F4BE3">
              <w:rPr>
                <w:b/>
                <w:color w:val="000000"/>
              </w:rPr>
              <w:t>0.05 (0.01, 0.1)</w:t>
            </w:r>
          </w:p>
        </w:tc>
      </w:tr>
      <w:tr w:rsidR="004F1736" w:rsidRPr="003F4BE3" w:rsidTr="00002110">
        <w:tc>
          <w:tcPr>
            <w:tcW w:w="4707" w:type="dxa"/>
            <w:noWrap/>
            <w:hideMark/>
          </w:tcPr>
          <w:p w:rsidR="004F1736" w:rsidRPr="003F4BE3" w:rsidRDefault="004F1736" w:rsidP="00364590">
            <w:pPr>
              <w:pStyle w:val="Tabletext"/>
              <w:keepNext/>
            </w:pPr>
            <w:r w:rsidRPr="003F4BE3">
              <w:t>Any treatment-emergent study drug-related serious AE</w:t>
            </w:r>
          </w:p>
        </w:tc>
        <w:tc>
          <w:tcPr>
            <w:tcW w:w="1417" w:type="dxa"/>
            <w:noWrap/>
            <w:vAlign w:val="center"/>
            <w:hideMark/>
          </w:tcPr>
          <w:p w:rsidR="004F1736" w:rsidRPr="003F4BE3" w:rsidRDefault="004F1736" w:rsidP="00364590">
            <w:pPr>
              <w:pStyle w:val="Tabletext"/>
              <w:keepNext/>
              <w:jc w:val="center"/>
            </w:pPr>
            <w:r w:rsidRPr="003F4BE3">
              <w:t>2 (0.6%)</w:t>
            </w:r>
          </w:p>
        </w:tc>
        <w:tc>
          <w:tcPr>
            <w:tcW w:w="1418" w:type="dxa"/>
            <w:noWrap/>
            <w:vAlign w:val="center"/>
            <w:hideMark/>
          </w:tcPr>
          <w:p w:rsidR="004F1736" w:rsidRPr="003F4BE3" w:rsidRDefault="004F1736" w:rsidP="00364590">
            <w:pPr>
              <w:pStyle w:val="Tabletext"/>
              <w:keepNext/>
              <w:jc w:val="center"/>
            </w:pPr>
            <w:r w:rsidRPr="003F4BE3">
              <w:t>0</w:t>
            </w:r>
          </w:p>
        </w:tc>
        <w:tc>
          <w:tcPr>
            <w:tcW w:w="1559" w:type="dxa"/>
            <w:vAlign w:val="center"/>
          </w:tcPr>
          <w:p w:rsidR="004F1736" w:rsidRPr="003F4BE3" w:rsidRDefault="004F1736" w:rsidP="00364590">
            <w:pPr>
              <w:pStyle w:val="Tabletext"/>
              <w:keepNext/>
              <w:jc w:val="center"/>
            </w:pPr>
            <w:r w:rsidRPr="003F4BE3">
              <w:rPr>
                <w:color w:val="000000"/>
              </w:rPr>
              <w:t>0.01 (0, 0.01)</w:t>
            </w:r>
          </w:p>
        </w:tc>
      </w:tr>
      <w:tr w:rsidR="004F1736" w:rsidRPr="003F4BE3" w:rsidTr="00002110">
        <w:tc>
          <w:tcPr>
            <w:tcW w:w="4707" w:type="dxa"/>
            <w:noWrap/>
            <w:hideMark/>
          </w:tcPr>
          <w:p w:rsidR="004F1736" w:rsidRPr="003F4BE3" w:rsidRDefault="004F1736" w:rsidP="00364590">
            <w:pPr>
              <w:pStyle w:val="Tabletext"/>
              <w:keepNext/>
            </w:pPr>
            <w:r w:rsidRPr="003F4BE3">
              <w:t>Any treatment-emergent adverse event leading to premature study drug discontinuation</w:t>
            </w:r>
          </w:p>
        </w:tc>
        <w:tc>
          <w:tcPr>
            <w:tcW w:w="1417" w:type="dxa"/>
            <w:noWrap/>
            <w:vAlign w:val="center"/>
            <w:hideMark/>
          </w:tcPr>
          <w:p w:rsidR="004F1736" w:rsidRPr="003F4BE3" w:rsidRDefault="004F1736" w:rsidP="00364590">
            <w:pPr>
              <w:pStyle w:val="Tabletext"/>
              <w:keepNext/>
              <w:jc w:val="center"/>
            </w:pPr>
            <w:r w:rsidRPr="003F4BE3">
              <w:t>5 (1.6%)</w:t>
            </w:r>
          </w:p>
        </w:tc>
        <w:tc>
          <w:tcPr>
            <w:tcW w:w="1418" w:type="dxa"/>
            <w:noWrap/>
            <w:vAlign w:val="center"/>
            <w:hideMark/>
          </w:tcPr>
          <w:p w:rsidR="004F1736" w:rsidRPr="003F4BE3" w:rsidRDefault="004F1736" w:rsidP="00364590">
            <w:pPr>
              <w:pStyle w:val="Tabletext"/>
              <w:keepNext/>
              <w:jc w:val="center"/>
            </w:pPr>
            <w:r w:rsidRPr="003F4BE3">
              <w:t>1 (0.3%)</w:t>
            </w:r>
          </w:p>
        </w:tc>
        <w:tc>
          <w:tcPr>
            <w:tcW w:w="1559" w:type="dxa"/>
            <w:vAlign w:val="center"/>
          </w:tcPr>
          <w:p w:rsidR="004F1736" w:rsidRPr="003F4BE3" w:rsidRDefault="004F1736" w:rsidP="00364590">
            <w:pPr>
              <w:pStyle w:val="Tabletext"/>
              <w:keepNext/>
              <w:jc w:val="center"/>
            </w:pPr>
            <w:r w:rsidRPr="003F4BE3">
              <w:rPr>
                <w:color w:val="000000"/>
              </w:rPr>
              <w:t>0.01 (0, 0.03)</w:t>
            </w:r>
          </w:p>
        </w:tc>
      </w:tr>
      <w:tr w:rsidR="004F1736" w:rsidRPr="003F4BE3" w:rsidTr="00002110">
        <w:tc>
          <w:tcPr>
            <w:tcW w:w="4707" w:type="dxa"/>
            <w:noWrap/>
            <w:hideMark/>
          </w:tcPr>
          <w:p w:rsidR="004F1736" w:rsidRPr="003F4BE3" w:rsidRDefault="004F1736" w:rsidP="00364590">
            <w:pPr>
              <w:pStyle w:val="Tabletext"/>
              <w:keepNext/>
            </w:pPr>
            <w:r w:rsidRPr="003F4BE3">
              <w:t>Treatment-emergent death</w:t>
            </w:r>
          </w:p>
        </w:tc>
        <w:tc>
          <w:tcPr>
            <w:tcW w:w="1417" w:type="dxa"/>
            <w:noWrap/>
            <w:vAlign w:val="center"/>
            <w:hideMark/>
          </w:tcPr>
          <w:p w:rsidR="004F1736" w:rsidRPr="003F4BE3" w:rsidRDefault="004F1736" w:rsidP="00364590">
            <w:pPr>
              <w:pStyle w:val="Tabletext"/>
              <w:keepNext/>
              <w:jc w:val="center"/>
            </w:pPr>
            <w:r w:rsidRPr="003F4BE3">
              <w:t>1 (0.3%)</w:t>
            </w:r>
          </w:p>
        </w:tc>
        <w:tc>
          <w:tcPr>
            <w:tcW w:w="1418" w:type="dxa"/>
            <w:noWrap/>
            <w:vAlign w:val="center"/>
            <w:hideMark/>
          </w:tcPr>
          <w:p w:rsidR="004F1736" w:rsidRPr="003F4BE3" w:rsidRDefault="004F1736" w:rsidP="00364590">
            <w:pPr>
              <w:pStyle w:val="Tabletext"/>
              <w:keepNext/>
              <w:jc w:val="center"/>
            </w:pPr>
            <w:r w:rsidRPr="003F4BE3">
              <w:t>2 (0.6%)</w:t>
            </w:r>
          </w:p>
        </w:tc>
        <w:tc>
          <w:tcPr>
            <w:tcW w:w="1559" w:type="dxa"/>
            <w:vAlign w:val="center"/>
          </w:tcPr>
          <w:p w:rsidR="004F1736" w:rsidRPr="003F4BE3" w:rsidRDefault="004F1736" w:rsidP="00364590">
            <w:pPr>
              <w:pStyle w:val="Tabletext"/>
              <w:keepNext/>
              <w:jc w:val="center"/>
            </w:pPr>
            <w:r w:rsidRPr="003F4BE3">
              <w:rPr>
                <w:color w:val="000000"/>
              </w:rPr>
              <w:t>0 (-0.01, 0.01)</w:t>
            </w:r>
          </w:p>
        </w:tc>
      </w:tr>
    </w:tbl>
    <w:p w:rsidR="004F1736" w:rsidRPr="003F4BE3" w:rsidRDefault="004F1736" w:rsidP="004F1736">
      <w:pPr>
        <w:pStyle w:val="TableFooter"/>
      </w:pPr>
      <w:r w:rsidRPr="003F4BE3">
        <w:t xml:space="preserve">AE = adverse event; BFTAF = bictegravir, emtricitabine and tenofovir </w:t>
      </w:r>
      <w:proofErr w:type="spellStart"/>
      <w:r w:rsidRPr="003F4BE3">
        <w:t>alafenamide</w:t>
      </w:r>
      <w:proofErr w:type="spellEnd"/>
      <w:r w:rsidRPr="003F4BE3">
        <w:t xml:space="preserve">; CI = confidence interval; DTG = </w:t>
      </w:r>
      <w:proofErr w:type="spellStart"/>
      <w:r w:rsidRPr="003F4BE3">
        <w:t>dolutegravir</w:t>
      </w:r>
      <w:proofErr w:type="spellEnd"/>
      <w:r w:rsidRPr="003F4BE3">
        <w:t xml:space="preserve">; FTAF = emtricitabine &amp; tenofovir </w:t>
      </w:r>
      <w:proofErr w:type="spellStart"/>
      <w:r w:rsidRPr="003F4BE3">
        <w:t>alafenamide</w:t>
      </w:r>
      <w:proofErr w:type="spellEnd"/>
      <w:r w:rsidRPr="003F4BE3">
        <w:t>; RD = risk difference;</w:t>
      </w:r>
    </w:p>
    <w:p w:rsidR="004F1736" w:rsidRPr="003F4BE3" w:rsidRDefault="004F1736" w:rsidP="004F1736">
      <w:pPr>
        <w:pStyle w:val="TableFooter"/>
      </w:pPr>
      <w:r w:rsidRPr="003F4BE3">
        <w:t>Note: Risk differences calculated during the evaluation. Bold text signifies statistically significant differences.</w:t>
      </w:r>
    </w:p>
    <w:p w:rsidR="004F1736" w:rsidRPr="003F4BE3" w:rsidRDefault="004F1736" w:rsidP="004F1736">
      <w:pPr>
        <w:pStyle w:val="TableFooter"/>
      </w:pPr>
      <w:proofErr w:type="gramStart"/>
      <w:r w:rsidRPr="003F4BE3">
        <w:t>Table 2.21, p 75 and 76 of the submission.</w:t>
      </w:r>
      <w:proofErr w:type="gramEnd"/>
    </w:p>
    <w:p w:rsidR="004F1736" w:rsidRPr="003F4BE3" w:rsidRDefault="004F1736" w:rsidP="00330F58">
      <w:pPr>
        <w:pStyle w:val="ListParagraph"/>
        <w:widowControl/>
        <w:numPr>
          <w:ilvl w:val="1"/>
          <w:numId w:val="3"/>
        </w:numPr>
        <w:spacing w:before="160"/>
        <w:rPr>
          <w:color w:val="000000" w:themeColor="text1"/>
        </w:rPr>
      </w:pPr>
      <w:r w:rsidRPr="003F4BE3">
        <w:t>There was a higher proportion of patients with any Grade 2, 3 or 4 treatment-emergent study drug related adverse event</w:t>
      </w:r>
      <w:r w:rsidR="002B5478" w:rsidRPr="003F4BE3">
        <w:t>s</w:t>
      </w:r>
      <w:r w:rsidRPr="003F4BE3">
        <w:t xml:space="preserve"> among those treated with BFTAF (4.4%) compared with </w:t>
      </w:r>
      <w:r w:rsidR="006A6F37" w:rsidRPr="003F4BE3">
        <w:t>DESCOVY®</w:t>
      </w:r>
      <w:r w:rsidR="005B30B6" w:rsidRPr="003F4BE3">
        <w:t xml:space="preserve"> + </w:t>
      </w:r>
      <w:proofErr w:type="spellStart"/>
      <w:r w:rsidR="005B30B6" w:rsidRPr="003F4BE3">
        <w:t>dolutegravir</w:t>
      </w:r>
      <w:proofErr w:type="spellEnd"/>
      <w:r w:rsidRPr="003F4BE3">
        <w:t xml:space="preserve"> (1.5%)</w:t>
      </w:r>
      <w:r w:rsidR="00BD630A" w:rsidRPr="003F4BE3">
        <w:t>,</w:t>
      </w:r>
      <w:r w:rsidRPr="003F4BE3">
        <w:t xml:space="preserve"> and any treatment-emergent serious AE</w:t>
      </w:r>
      <w:r w:rsidR="002B5478" w:rsidRPr="003F4BE3">
        <w:t>s</w:t>
      </w:r>
      <w:r w:rsidRPr="003F4BE3">
        <w:t xml:space="preserve"> among those treated with BFTAF (12.2%) compared with </w:t>
      </w:r>
      <w:r w:rsidR="006A6F37" w:rsidRPr="003F4BE3">
        <w:t>DESCOVY®</w:t>
      </w:r>
      <w:r w:rsidRPr="003F4BE3">
        <w:t xml:space="preserve"> </w:t>
      </w:r>
      <w:r w:rsidR="00B16F9D" w:rsidRPr="003F4BE3">
        <w:t xml:space="preserve">+ </w:t>
      </w:r>
      <w:proofErr w:type="spellStart"/>
      <w:r w:rsidR="00B16F9D" w:rsidRPr="003F4BE3">
        <w:t>dolutegravir</w:t>
      </w:r>
      <w:proofErr w:type="spellEnd"/>
      <w:r w:rsidR="00B16F9D" w:rsidRPr="003F4BE3">
        <w:t xml:space="preserve"> </w:t>
      </w:r>
      <w:r w:rsidRPr="003F4BE3">
        <w:t xml:space="preserve">(7.1%). </w:t>
      </w:r>
      <w:r w:rsidRPr="00A36B06">
        <w:t xml:space="preserve">Conversely, there was a higher rate of any treatment-emergent study drug related AE among those treated with </w:t>
      </w:r>
      <w:r w:rsidR="006A6F37" w:rsidRPr="00A36B06">
        <w:t>DESCOVY®</w:t>
      </w:r>
      <w:r w:rsidRPr="00A36B06">
        <w:t xml:space="preserve"> </w:t>
      </w:r>
      <w:r w:rsidR="00B16F9D" w:rsidRPr="00A36B06">
        <w:t xml:space="preserve">+ </w:t>
      </w:r>
      <w:proofErr w:type="spellStart"/>
      <w:r w:rsidR="00B16F9D" w:rsidRPr="00A36B06">
        <w:t>dolutegravir</w:t>
      </w:r>
      <w:proofErr w:type="spellEnd"/>
      <w:r w:rsidR="00B16F9D" w:rsidRPr="00A36B06">
        <w:t xml:space="preserve"> </w:t>
      </w:r>
      <w:r w:rsidRPr="00A36B06">
        <w:t xml:space="preserve">(25.5%) compared with BFTAF (17.8%). Overall </w:t>
      </w:r>
      <w:r w:rsidR="001B7243" w:rsidRPr="00A36B06">
        <w:t xml:space="preserve">the ESC considered that </w:t>
      </w:r>
      <w:r w:rsidRPr="00A36B06">
        <w:t xml:space="preserve">the safety profile </w:t>
      </w:r>
      <w:r w:rsidR="001B7243" w:rsidRPr="00A36B06">
        <w:t xml:space="preserve">was </w:t>
      </w:r>
      <w:r w:rsidRPr="00A36B06">
        <w:t>comparable in treatment-naïve patients.</w:t>
      </w:r>
      <w:r w:rsidRPr="003F4BE3">
        <w:t xml:space="preserve"> </w:t>
      </w:r>
    </w:p>
    <w:p w:rsidR="004F1736" w:rsidRPr="003F4BE3" w:rsidRDefault="004F1736" w:rsidP="004F1736">
      <w:pPr>
        <w:pStyle w:val="ListParagraph"/>
        <w:widowControl/>
        <w:numPr>
          <w:ilvl w:val="1"/>
          <w:numId w:val="3"/>
        </w:numPr>
        <w:rPr>
          <w:color w:val="000000" w:themeColor="text1"/>
        </w:rPr>
      </w:pPr>
      <w:r w:rsidRPr="003F4BE3">
        <w:t xml:space="preserve">Table </w:t>
      </w:r>
      <w:r w:rsidR="00D216D1" w:rsidRPr="003F4BE3">
        <w:t>7</w:t>
      </w:r>
      <w:r w:rsidRPr="003F4BE3">
        <w:t xml:space="preserve"> present the summary of adverse events in Trial 1878.</w:t>
      </w:r>
    </w:p>
    <w:p w:rsidR="004F1736" w:rsidRPr="003F4BE3" w:rsidRDefault="004F1736" w:rsidP="003F4BE3">
      <w:pPr>
        <w:keepNext/>
        <w:rPr>
          <w:rStyle w:val="CommentReference"/>
          <w:lang w:val="en-AU"/>
        </w:rPr>
      </w:pPr>
      <w:r w:rsidRPr="003F4BE3">
        <w:rPr>
          <w:rStyle w:val="CommentReference"/>
          <w:lang w:val="en-AU"/>
        </w:rPr>
        <w:t xml:space="preserve">Table </w:t>
      </w:r>
      <w:r w:rsidR="00D216D1" w:rsidRPr="003F4BE3">
        <w:rPr>
          <w:rStyle w:val="CommentReference"/>
          <w:lang w:val="en-AU"/>
        </w:rPr>
        <w:t>7</w:t>
      </w:r>
      <w:r w:rsidRPr="003F4BE3">
        <w:rPr>
          <w:rStyle w:val="CommentReference"/>
          <w:lang w:val="en-AU"/>
        </w:rPr>
        <w:t>: Summary of adverse events in Trial 1878</w:t>
      </w:r>
    </w:p>
    <w:tbl>
      <w:tblPr>
        <w:tblStyle w:val="TableGrid"/>
        <w:tblW w:w="5009" w:type="pct"/>
        <w:tblLayout w:type="fixed"/>
        <w:tblCellMar>
          <w:left w:w="29" w:type="dxa"/>
          <w:right w:w="29" w:type="dxa"/>
        </w:tblCellMar>
        <w:tblLook w:val="04A0" w:firstRow="1" w:lastRow="0" w:firstColumn="1" w:lastColumn="0" w:noHBand="0" w:noVBand="1"/>
        <w:tblCaption w:val="Table 7: Summary of adverse events in Trial 1878"/>
      </w:tblPr>
      <w:tblGrid>
        <w:gridCol w:w="4707"/>
        <w:gridCol w:w="1417"/>
        <w:gridCol w:w="1418"/>
        <w:gridCol w:w="1559"/>
      </w:tblGrid>
      <w:tr w:rsidR="004F1736" w:rsidRPr="003F4BE3" w:rsidTr="000316CC">
        <w:trPr>
          <w:trHeight w:val="116"/>
          <w:tblHeader/>
        </w:trPr>
        <w:tc>
          <w:tcPr>
            <w:tcW w:w="4707" w:type="dxa"/>
            <w:noWrap/>
            <w:hideMark/>
          </w:tcPr>
          <w:p w:rsidR="004F1736" w:rsidRPr="003F4BE3" w:rsidRDefault="004F1736" w:rsidP="003F4BE3">
            <w:pPr>
              <w:pStyle w:val="Tabletext"/>
              <w:keepNext/>
              <w:rPr>
                <w:b/>
              </w:rPr>
            </w:pPr>
            <w:r w:rsidRPr="003F4BE3">
              <w:rPr>
                <w:b/>
              </w:rPr>
              <w:t>Type of Adverse Event</w:t>
            </w:r>
          </w:p>
        </w:tc>
        <w:tc>
          <w:tcPr>
            <w:tcW w:w="1417" w:type="dxa"/>
            <w:noWrap/>
            <w:vAlign w:val="center"/>
            <w:hideMark/>
          </w:tcPr>
          <w:p w:rsidR="004F1736" w:rsidRPr="003F4BE3" w:rsidRDefault="004F1736" w:rsidP="003F4BE3">
            <w:pPr>
              <w:pStyle w:val="Tabletext"/>
              <w:keepNext/>
              <w:jc w:val="center"/>
              <w:rPr>
                <w:b/>
              </w:rPr>
            </w:pPr>
            <w:r w:rsidRPr="003F4BE3">
              <w:rPr>
                <w:b/>
              </w:rPr>
              <w:t>BFTAF; N=290</w:t>
            </w:r>
          </w:p>
        </w:tc>
        <w:tc>
          <w:tcPr>
            <w:tcW w:w="1418" w:type="dxa"/>
            <w:noWrap/>
            <w:vAlign w:val="center"/>
            <w:hideMark/>
          </w:tcPr>
          <w:p w:rsidR="004F1736" w:rsidRPr="003F4BE3" w:rsidRDefault="004F1736" w:rsidP="003F4BE3">
            <w:pPr>
              <w:pStyle w:val="Tabletext"/>
              <w:keepNext/>
              <w:jc w:val="center"/>
              <w:rPr>
                <w:b/>
              </w:rPr>
            </w:pPr>
            <w:r w:rsidRPr="003F4BE3">
              <w:rPr>
                <w:b/>
              </w:rPr>
              <w:t>SBR; N=287</w:t>
            </w:r>
          </w:p>
        </w:tc>
        <w:tc>
          <w:tcPr>
            <w:tcW w:w="1559" w:type="dxa"/>
            <w:vAlign w:val="center"/>
          </w:tcPr>
          <w:p w:rsidR="004F1736" w:rsidRPr="003F4BE3" w:rsidRDefault="004F1736" w:rsidP="003F4BE3">
            <w:pPr>
              <w:pStyle w:val="Tabletext"/>
              <w:keepNext/>
              <w:jc w:val="center"/>
              <w:rPr>
                <w:b/>
              </w:rPr>
            </w:pPr>
            <w:r w:rsidRPr="003F4BE3">
              <w:rPr>
                <w:b/>
              </w:rPr>
              <w:t>RD (95%CI)</w:t>
            </w:r>
          </w:p>
        </w:tc>
      </w:tr>
      <w:tr w:rsidR="004F1736" w:rsidRPr="003F4BE3" w:rsidTr="00002110">
        <w:tc>
          <w:tcPr>
            <w:tcW w:w="4707" w:type="dxa"/>
            <w:noWrap/>
            <w:hideMark/>
          </w:tcPr>
          <w:p w:rsidR="004F1736" w:rsidRPr="003F4BE3" w:rsidRDefault="004F1736" w:rsidP="003F4BE3">
            <w:pPr>
              <w:pStyle w:val="Tabletext"/>
              <w:keepNext/>
            </w:pPr>
            <w:r w:rsidRPr="003F4BE3">
              <w:t>Any treatment-emergent AE</w:t>
            </w:r>
          </w:p>
        </w:tc>
        <w:tc>
          <w:tcPr>
            <w:tcW w:w="1417" w:type="dxa"/>
            <w:noWrap/>
            <w:vAlign w:val="center"/>
            <w:hideMark/>
          </w:tcPr>
          <w:p w:rsidR="004F1736" w:rsidRPr="003F4BE3" w:rsidRDefault="004F1736" w:rsidP="003F4BE3">
            <w:pPr>
              <w:pStyle w:val="Tabletext"/>
              <w:keepNext/>
              <w:jc w:val="center"/>
            </w:pPr>
            <w:r w:rsidRPr="003F4BE3">
              <w:t>233 (80.3%)</w:t>
            </w:r>
          </w:p>
        </w:tc>
        <w:tc>
          <w:tcPr>
            <w:tcW w:w="1418" w:type="dxa"/>
            <w:noWrap/>
            <w:vAlign w:val="center"/>
            <w:hideMark/>
          </w:tcPr>
          <w:p w:rsidR="004F1736" w:rsidRPr="003F4BE3" w:rsidRDefault="004F1736" w:rsidP="003F4BE3">
            <w:pPr>
              <w:pStyle w:val="Tabletext"/>
              <w:keepNext/>
              <w:jc w:val="center"/>
            </w:pPr>
            <w:r w:rsidRPr="003F4BE3">
              <w:t>226 (78.7%)</w:t>
            </w:r>
          </w:p>
        </w:tc>
        <w:tc>
          <w:tcPr>
            <w:tcW w:w="1559" w:type="dxa"/>
            <w:vAlign w:val="center"/>
          </w:tcPr>
          <w:p w:rsidR="004F1736" w:rsidRPr="003F4BE3" w:rsidRDefault="004F1736" w:rsidP="003F4BE3">
            <w:pPr>
              <w:pStyle w:val="Tabletext"/>
              <w:keepNext/>
              <w:jc w:val="center"/>
            </w:pPr>
            <w:r w:rsidRPr="003F4BE3">
              <w:rPr>
                <w:color w:val="000000"/>
              </w:rPr>
              <w:t>0.02 (-0.05, 0.08)</w:t>
            </w:r>
          </w:p>
        </w:tc>
      </w:tr>
      <w:tr w:rsidR="004F1736" w:rsidRPr="003F4BE3" w:rsidTr="00002110">
        <w:tc>
          <w:tcPr>
            <w:tcW w:w="4707" w:type="dxa"/>
            <w:noWrap/>
            <w:hideMark/>
          </w:tcPr>
          <w:p w:rsidR="004F1736" w:rsidRPr="003F4BE3" w:rsidRDefault="004F1736" w:rsidP="003F4BE3">
            <w:pPr>
              <w:pStyle w:val="Tabletext"/>
              <w:keepNext/>
            </w:pPr>
            <w:r w:rsidRPr="003F4BE3">
              <w:t>Any grade 2, 3, or 4 treatment-emergent AE</w:t>
            </w:r>
          </w:p>
        </w:tc>
        <w:tc>
          <w:tcPr>
            <w:tcW w:w="1417" w:type="dxa"/>
            <w:noWrap/>
            <w:vAlign w:val="center"/>
            <w:hideMark/>
          </w:tcPr>
          <w:p w:rsidR="004F1736" w:rsidRPr="003F4BE3" w:rsidRDefault="004F1736" w:rsidP="003F4BE3">
            <w:pPr>
              <w:pStyle w:val="Tabletext"/>
              <w:keepNext/>
              <w:jc w:val="center"/>
            </w:pPr>
            <w:r w:rsidRPr="003F4BE3">
              <w:t>125 (43.1%)</w:t>
            </w:r>
          </w:p>
        </w:tc>
        <w:tc>
          <w:tcPr>
            <w:tcW w:w="1418" w:type="dxa"/>
            <w:noWrap/>
            <w:vAlign w:val="center"/>
            <w:hideMark/>
          </w:tcPr>
          <w:p w:rsidR="004F1736" w:rsidRPr="003F4BE3" w:rsidRDefault="004F1736" w:rsidP="003F4BE3">
            <w:pPr>
              <w:pStyle w:val="Tabletext"/>
              <w:keepNext/>
              <w:jc w:val="center"/>
            </w:pPr>
            <w:r w:rsidRPr="003F4BE3">
              <w:t>93 (32.4%)</w:t>
            </w:r>
          </w:p>
        </w:tc>
        <w:tc>
          <w:tcPr>
            <w:tcW w:w="1559" w:type="dxa"/>
            <w:vAlign w:val="center"/>
          </w:tcPr>
          <w:p w:rsidR="004F1736" w:rsidRPr="003F4BE3" w:rsidRDefault="004F1736" w:rsidP="003F4BE3">
            <w:pPr>
              <w:pStyle w:val="Tabletext"/>
              <w:keepNext/>
              <w:jc w:val="center"/>
              <w:rPr>
                <w:b/>
              </w:rPr>
            </w:pPr>
            <w:r w:rsidRPr="003F4BE3">
              <w:rPr>
                <w:b/>
                <w:color w:val="000000"/>
              </w:rPr>
              <w:t>0.11 (0.03, 0.19)</w:t>
            </w:r>
          </w:p>
        </w:tc>
      </w:tr>
      <w:tr w:rsidR="004F1736" w:rsidRPr="003F4BE3" w:rsidTr="00002110">
        <w:trPr>
          <w:trHeight w:val="84"/>
        </w:trPr>
        <w:tc>
          <w:tcPr>
            <w:tcW w:w="4707" w:type="dxa"/>
            <w:noWrap/>
            <w:hideMark/>
          </w:tcPr>
          <w:p w:rsidR="004F1736" w:rsidRPr="003F4BE3" w:rsidRDefault="004F1736" w:rsidP="003F4BE3">
            <w:pPr>
              <w:pStyle w:val="Tabletext"/>
              <w:keepNext/>
            </w:pPr>
            <w:r w:rsidRPr="003F4BE3">
              <w:t>Any grade 3 or 4 treatment-emergent adverse event</w:t>
            </w:r>
          </w:p>
        </w:tc>
        <w:tc>
          <w:tcPr>
            <w:tcW w:w="1417" w:type="dxa"/>
            <w:noWrap/>
            <w:vAlign w:val="center"/>
            <w:hideMark/>
          </w:tcPr>
          <w:p w:rsidR="004F1736" w:rsidRPr="003F4BE3" w:rsidRDefault="004F1736" w:rsidP="003F4BE3">
            <w:pPr>
              <w:pStyle w:val="Tabletext"/>
              <w:keepNext/>
              <w:jc w:val="center"/>
            </w:pPr>
            <w:r w:rsidRPr="003F4BE3">
              <w:t>13 (4.5%)</w:t>
            </w:r>
          </w:p>
        </w:tc>
        <w:tc>
          <w:tcPr>
            <w:tcW w:w="1418" w:type="dxa"/>
            <w:noWrap/>
            <w:vAlign w:val="center"/>
            <w:hideMark/>
          </w:tcPr>
          <w:p w:rsidR="004F1736" w:rsidRPr="003F4BE3" w:rsidRDefault="004F1736" w:rsidP="003F4BE3">
            <w:pPr>
              <w:pStyle w:val="Tabletext"/>
              <w:keepNext/>
              <w:jc w:val="center"/>
            </w:pPr>
            <w:r w:rsidRPr="003F4BE3">
              <w:t>18 (6.3%)</w:t>
            </w:r>
          </w:p>
        </w:tc>
        <w:tc>
          <w:tcPr>
            <w:tcW w:w="1559" w:type="dxa"/>
            <w:vAlign w:val="center"/>
          </w:tcPr>
          <w:p w:rsidR="004F1736" w:rsidRPr="003F4BE3" w:rsidRDefault="004F1736" w:rsidP="003F4BE3">
            <w:pPr>
              <w:pStyle w:val="Tabletext"/>
              <w:keepNext/>
              <w:jc w:val="center"/>
            </w:pPr>
            <w:r w:rsidRPr="003F4BE3">
              <w:rPr>
                <w:color w:val="000000"/>
              </w:rPr>
              <w:t>-0.02 (-0.05, 0.02)</w:t>
            </w:r>
          </w:p>
        </w:tc>
      </w:tr>
      <w:tr w:rsidR="004F1736" w:rsidRPr="003F4BE3" w:rsidTr="00002110">
        <w:tc>
          <w:tcPr>
            <w:tcW w:w="4707" w:type="dxa"/>
            <w:noWrap/>
            <w:hideMark/>
          </w:tcPr>
          <w:p w:rsidR="004F1736" w:rsidRPr="003F4BE3" w:rsidRDefault="004F1736" w:rsidP="003F4BE3">
            <w:pPr>
              <w:pStyle w:val="Tabletext"/>
              <w:keepNext/>
            </w:pPr>
            <w:r w:rsidRPr="003F4BE3">
              <w:t>Any treatment-emergent study drug-related AE</w:t>
            </w:r>
          </w:p>
        </w:tc>
        <w:tc>
          <w:tcPr>
            <w:tcW w:w="1417" w:type="dxa"/>
            <w:noWrap/>
            <w:vAlign w:val="center"/>
            <w:hideMark/>
          </w:tcPr>
          <w:p w:rsidR="004F1736" w:rsidRPr="003F4BE3" w:rsidRDefault="004F1736" w:rsidP="003F4BE3">
            <w:pPr>
              <w:pStyle w:val="Tabletext"/>
              <w:keepNext/>
              <w:jc w:val="center"/>
            </w:pPr>
            <w:r w:rsidRPr="003F4BE3">
              <w:t>54 (18.6%)</w:t>
            </w:r>
          </w:p>
        </w:tc>
        <w:tc>
          <w:tcPr>
            <w:tcW w:w="1418" w:type="dxa"/>
            <w:noWrap/>
            <w:vAlign w:val="center"/>
            <w:hideMark/>
          </w:tcPr>
          <w:p w:rsidR="004F1736" w:rsidRPr="003F4BE3" w:rsidRDefault="004F1736" w:rsidP="003F4BE3">
            <w:pPr>
              <w:pStyle w:val="Tabletext"/>
              <w:keepNext/>
              <w:jc w:val="center"/>
            </w:pPr>
            <w:r w:rsidRPr="003F4BE3">
              <w:t>6 (2.1%)</w:t>
            </w:r>
          </w:p>
        </w:tc>
        <w:tc>
          <w:tcPr>
            <w:tcW w:w="1559" w:type="dxa"/>
            <w:vAlign w:val="center"/>
          </w:tcPr>
          <w:p w:rsidR="004F1736" w:rsidRPr="003F4BE3" w:rsidRDefault="004F1736" w:rsidP="003F4BE3">
            <w:pPr>
              <w:pStyle w:val="Tabletext"/>
              <w:keepNext/>
              <w:jc w:val="center"/>
              <w:rPr>
                <w:b/>
              </w:rPr>
            </w:pPr>
            <w:r w:rsidRPr="003F4BE3">
              <w:rPr>
                <w:b/>
                <w:color w:val="000000"/>
              </w:rPr>
              <w:t>0.17 (0.12, 0.21)</w:t>
            </w:r>
          </w:p>
        </w:tc>
      </w:tr>
      <w:tr w:rsidR="004F1736" w:rsidRPr="003F4BE3" w:rsidTr="00002110">
        <w:tc>
          <w:tcPr>
            <w:tcW w:w="4707" w:type="dxa"/>
            <w:noWrap/>
            <w:hideMark/>
          </w:tcPr>
          <w:p w:rsidR="004F1736" w:rsidRPr="003F4BE3" w:rsidRDefault="004F1736" w:rsidP="003F4BE3">
            <w:pPr>
              <w:pStyle w:val="Tabletext"/>
              <w:keepNext/>
            </w:pPr>
            <w:r w:rsidRPr="003F4BE3">
              <w:t>Any grade 2, 3, or 4 treatment-emergent study drug-related AE</w:t>
            </w:r>
          </w:p>
        </w:tc>
        <w:tc>
          <w:tcPr>
            <w:tcW w:w="1417" w:type="dxa"/>
            <w:noWrap/>
            <w:vAlign w:val="center"/>
            <w:hideMark/>
          </w:tcPr>
          <w:p w:rsidR="004F1736" w:rsidRPr="003F4BE3" w:rsidRDefault="004F1736" w:rsidP="003F4BE3">
            <w:pPr>
              <w:pStyle w:val="Tabletext"/>
              <w:keepNext/>
              <w:jc w:val="center"/>
            </w:pPr>
            <w:r w:rsidRPr="003F4BE3">
              <w:t>15 (5.2%)</w:t>
            </w:r>
          </w:p>
        </w:tc>
        <w:tc>
          <w:tcPr>
            <w:tcW w:w="1418" w:type="dxa"/>
            <w:noWrap/>
            <w:vAlign w:val="center"/>
            <w:hideMark/>
          </w:tcPr>
          <w:p w:rsidR="004F1736" w:rsidRPr="003F4BE3" w:rsidRDefault="004F1736" w:rsidP="003F4BE3">
            <w:pPr>
              <w:pStyle w:val="Tabletext"/>
              <w:keepNext/>
              <w:jc w:val="center"/>
            </w:pPr>
            <w:r w:rsidRPr="003F4BE3">
              <w:t>1 (0.3%)</w:t>
            </w:r>
          </w:p>
        </w:tc>
        <w:tc>
          <w:tcPr>
            <w:tcW w:w="1559" w:type="dxa"/>
            <w:vAlign w:val="center"/>
          </w:tcPr>
          <w:p w:rsidR="004F1736" w:rsidRPr="003F4BE3" w:rsidRDefault="004F1736" w:rsidP="003F4BE3">
            <w:pPr>
              <w:pStyle w:val="Tabletext"/>
              <w:keepNext/>
              <w:jc w:val="center"/>
              <w:rPr>
                <w:b/>
              </w:rPr>
            </w:pPr>
            <w:r w:rsidRPr="003F4BE3">
              <w:rPr>
                <w:b/>
                <w:color w:val="000000"/>
              </w:rPr>
              <w:t>0.05 (0.02, 0.07)</w:t>
            </w:r>
          </w:p>
        </w:tc>
      </w:tr>
      <w:tr w:rsidR="004F1736" w:rsidRPr="003F4BE3" w:rsidTr="00002110">
        <w:tc>
          <w:tcPr>
            <w:tcW w:w="4707" w:type="dxa"/>
            <w:noWrap/>
            <w:hideMark/>
          </w:tcPr>
          <w:p w:rsidR="004F1736" w:rsidRPr="003F4BE3" w:rsidRDefault="004F1736" w:rsidP="003F4BE3">
            <w:pPr>
              <w:pStyle w:val="Tabletext"/>
              <w:keepNext/>
            </w:pPr>
            <w:r w:rsidRPr="003F4BE3">
              <w:t>Any grade 3 or 4 treatment-emergent study drug-related AE</w:t>
            </w:r>
          </w:p>
        </w:tc>
        <w:tc>
          <w:tcPr>
            <w:tcW w:w="1417" w:type="dxa"/>
            <w:noWrap/>
            <w:vAlign w:val="center"/>
            <w:hideMark/>
          </w:tcPr>
          <w:p w:rsidR="004F1736" w:rsidRPr="003F4BE3" w:rsidRDefault="004F1736" w:rsidP="003F4BE3">
            <w:pPr>
              <w:pStyle w:val="Tabletext"/>
              <w:keepNext/>
              <w:jc w:val="center"/>
            </w:pPr>
            <w:r w:rsidRPr="003F4BE3">
              <w:t>2 (0.7%)</w:t>
            </w:r>
          </w:p>
        </w:tc>
        <w:tc>
          <w:tcPr>
            <w:tcW w:w="1418" w:type="dxa"/>
            <w:noWrap/>
            <w:vAlign w:val="center"/>
            <w:hideMark/>
          </w:tcPr>
          <w:p w:rsidR="004F1736" w:rsidRPr="003F4BE3" w:rsidRDefault="004F1736" w:rsidP="003F4BE3">
            <w:pPr>
              <w:pStyle w:val="Tabletext"/>
              <w:keepNext/>
              <w:jc w:val="center"/>
            </w:pPr>
            <w:r w:rsidRPr="003F4BE3">
              <w:t>0</w:t>
            </w:r>
          </w:p>
        </w:tc>
        <w:tc>
          <w:tcPr>
            <w:tcW w:w="1559" w:type="dxa"/>
            <w:vAlign w:val="center"/>
          </w:tcPr>
          <w:p w:rsidR="004F1736" w:rsidRPr="003F4BE3" w:rsidRDefault="004F1736" w:rsidP="003F4BE3">
            <w:pPr>
              <w:pStyle w:val="Tabletext"/>
              <w:keepNext/>
              <w:jc w:val="center"/>
            </w:pPr>
            <w:r w:rsidRPr="003F4BE3">
              <w:rPr>
                <w:color w:val="000000"/>
              </w:rPr>
              <w:t>0.01 (0, 0.02)</w:t>
            </w:r>
          </w:p>
        </w:tc>
      </w:tr>
      <w:tr w:rsidR="004F1736" w:rsidRPr="003F4BE3" w:rsidTr="00002110">
        <w:trPr>
          <w:trHeight w:val="84"/>
        </w:trPr>
        <w:tc>
          <w:tcPr>
            <w:tcW w:w="4707" w:type="dxa"/>
            <w:noWrap/>
            <w:hideMark/>
          </w:tcPr>
          <w:p w:rsidR="004F1736" w:rsidRPr="003F4BE3" w:rsidRDefault="004F1736" w:rsidP="003F4BE3">
            <w:pPr>
              <w:pStyle w:val="Tabletext"/>
              <w:keepNext/>
            </w:pPr>
            <w:r w:rsidRPr="003F4BE3">
              <w:t>Any treatment-emergent serious AE</w:t>
            </w:r>
          </w:p>
        </w:tc>
        <w:tc>
          <w:tcPr>
            <w:tcW w:w="1417" w:type="dxa"/>
            <w:noWrap/>
            <w:vAlign w:val="center"/>
            <w:hideMark/>
          </w:tcPr>
          <w:p w:rsidR="004F1736" w:rsidRPr="003F4BE3" w:rsidRDefault="004F1736" w:rsidP="003F4BE3">
            <w:pPr>
              <w:pStyle w:val="Tabletext"/>
              <w:keepNext/>
              <w:jc w:val="center"/>
            </w:pPr>
            <w:r w:rsidRPr="003F4BE3">
              <w:t>17 (5.9%)</w:t>
            </w:r>
          </w:p>
        </w:tc>
        <w:tc>
          <w:tcPr>
            <w:tcW w:w="1418" w:type="dxa"/>
            <w:noWrap/>
            <w:vAlign w:val="center"/>
            <w:hideMark/>
          </w:tcPr>
          <w:p w:rsidR="004F1736" w:rsidRPr="003F4BE3" w:rsidRDefault="004F1736" w:rsidP="003F4BE3">
            <w:pPr>
              <w:pStyle w:val="Tabletext"/>
              <w:keepNext/>
              <w:jc w:val="center"/>
            </w:pPr>
            <w:r w:rsidRPr="003F4BE3">
              <w:t>20 (7.0%)</w:t>
            </w:r>
          </w:p>
        </w:tc>
        <w:tc>
          <w:tcPr>
            <w:tcW w:w="1559" w:type="dxa"/>
            <w:vAlign w:val="center"/>
          </w:tcPr>
          <w:p w:rsidR="004F1736" w:rsidRPr="003F4BE3" w:rsidRDefault="004F1736" w:rsidP="003F4BE3">
            <w:pPr>
              <w:pStyle w:val="Tabletext"/>
              <w:keepNext/>
              <w:jc w:val="center"/>
            </w:pPr>
            <w:r w:rsidRPr="003F4BE3">
              <w:rPr>
                <w:color w:val="000000"/>
              </w:rPr>
              <w:t>-0.01 (-0.05, 0.03)</w:t>
            </w:r>
          </w:p>
        </w:tc>
      </w:tr>
      <w:tr w:rsidR="004F1736" w:rsidRPr="003F4BE3" w:rsidTr="00002110">
        <w:tc>
          <w:tcPr>
            <w:tcW w:w="4707" w:type="dxa"/>
            <w:noWrap/>
            <w:hideMark/>
          </w:tcPr>
          <w:p w:rsidR="004F1736" w:rsidRPr="003F4BE3" w:rsidRDefault="004F1736" w:rsidP="003F4BE3">
            <w:pPr>
              <w:pStyle w:val="Tabletext"/>
              <w:keepNext/>
            </w:pPr>
            <w:r w:rsidRPr="003F4BE3">
              <w:t>Any treatment-emergent study drug-related serious AE</w:t>
            </w:r>
          </w:p>
        </w:tc>
        <w:tc>
          <w:tcPr>
            <w:tcW w:w="1417" w:type="dxa"/>
            <w:noWrap/>
            <w:vAlign w:val="center"/>
            <w:hideMark/>
          </w:tcPr>
          <w:p w:rsidR="004F1736" w:rsidRPr="003F4BE3" w:rsidRDefault="004F1736" w:rsidP="003F4BE3">
            <w:pPr>
              <w:pStyle w:val="Tabletext"/>
              <w:keepNext/>
              <w:jc w:val="center"/>
            </w:pPr>
            <w:r w:rsidRPr="003F4BE3">
              <w:t>1 (0.3%)</w:t>
            </w:r>
          </w:p>
        </w:tc>
        <w:tc>
          <w:tcPr>
            <w:tcW w:w="1418" w:type="dxa"/>
            <w:noWrap/>
            <w:vAlign w:val="center"/>
            <w:hideMark/>
          </w:tcPr>
          <w:p w:rsidR="004F1736" w:rsidRPr="003F4BE3" w:rsidRDefault="004F1736" w:rsidP="003F4BE3">
            <w:pPr>
              <w:pStyle w:val="Tabletext"/>
              <w:keepNext/>
              <w:jc w:val="center"/>
            </w:pPr>
            <w:r w:rsidRPr="003F4BE3">
              <w:t>0</w:t>
            </w:r>
          </w:p>
        </w:tc>
        <w:tc>
          <w:tcPr>
            <w:tcW w:w="1559" w:type="dxa"/>
            <w:vAlign w:val="center"/>
          </w:tcPr>
          <w:p w:rsidR="004F1736" w:rsidRPr="003F4BE3" w:rsidRDefault="004F1736" w:rsidP="003F4BE3">
            <w:pPr>
              <w:pStyle w:val="Tabletext"/>
              <w:keepNext/>
              <w:jc w:val="center"/>
            </w:pPr>
            <w:r w:rsidRPr="003F4BE3">
              <w:rPr>
                <w:color w:val="000000"/>
              </w:rPr>
              <w:t>0 (0, 0.01)</w:t>
            </w:r>
          </w:p>
        </w:tc>
      </w:tr>
      <w:tr w:rsidR="004F1736" w:rsidRPr="003F4BE3" w:rsidTr="00002110">
        <w:tc>
          <w:tcPr>
            <w:tcW w:w="4707" w:type="dxa"/>
            <w:noWrap/>
            <w:hideMark/>
          </w:tcPr>
          <w:p w:rsidR="004F1736" w:rsidRPr="003F4BE3" w:rsidRDefault="004F1736" w:rsidP="003F4BE3">
            <w:pPr>
              <w:pStyle w:val="Tabletext"/>
              <w:keepNext/>
            </w:pPr>
            <w:r w:rsidRPr="003F4BE3">
              <w:t>Any treatment-emergent AE leading to premature discontinuation</w:t>
            </w:r>
          </w:p>
        </w:tc>
        <w:tc>
          <w:tcPr>
            <w:tcW w:w="1417" w:type="dxa"/>
            <w:noWrap/>
            <w:vAlign w:val="center"/>
            <w:hideMark/>
          </w:tcPr>
          <w:p w:rsidR="004F1736" w:rsidRPr="003F4BE3" w:rsidRDefault="004F1736" w:rsidP="003F4BE3">
            <w:pPr>
              <w:pStyle w:val="Tabletext"/>
              <w:keepNext/>
              <w:jc w:val="center"/>
            </w:pPr>
            <w:r w:rsidRPr="003F4BE3">
              <w:t>2 (0.7%)</w:t>
            </w:r>
          </w:p>
        </w:tc>
        <w:tc>
          <w:tcPr>
            <w:tcW w:w="1418" w:type="dxa"/>
            <w:noWrap/>
            <w:vAlign w:val="center"/>
            <w:hideMark/>
          </w:tcPr>
          <w:p w:rsidR="004F1736" w:rsidRPr="003F4BE3" w:rsidRDefault="004F1736" w:rsidP="003F4BE3">
            <w:pPr>
              <w:pStyle w:val="Tabletext"/>
              <w:keepNext/>
              <w:jc w:val="center"/>
            </w:pPr>
            <w:r w:rsidRPr="003F4BE3">
              <w:t>1 (0.3%)</w:t>
            </w:r>
          </w:p>
        </w:tc>
        <w:tc>
          <w:tcPr>
            <w:tcW w:w="1559" w:type="dxa"/>
            <w:vAlign w:val="center"/>
          </w:tcPr>
          <w:p w:rsidR="004F1736" w:rsidRPr="003F4BE3" w:rsidRDefault="004F1736" w:rsidP="003F4BE3">
            <w:pPr>
              <w:pStyle w:val="Tabletext"/>
              <w:keepNext/>
              <w:jc w:val="center"/>
            </w:pPr>
            <w:r w:rsidRPr="003F4BE3">
              <w:rPr>
                <w:color w:val="000000"/>
              </w:rPr>
              <w:t>0 (-0.01, 0.02)</w:t>
            </w:r>
          </w:p>
        </w:tc>
      </w:tr>
    </w:tbl>
    <w:p w:rsidR="004F1736" w:rsidRPr="003F4BE3" w:rsidRDefault="004F1736" w:rsidP="004F1736">
      <w:pPr>
        <w:pStyle w:val="TableFooter"/>
      </w:pPr>
      <w:proofErr w:type="gramStart"/>
      <w:r w:rsidRPr="003F4BE3">
        <w:t>Table 2.24, p79 of the submission.</w:t>
      </w:r>
      <w:proofErr w:type="gramEnd"/>
      <w:r w:rsidRPr="003F4BE3">
        <w:t xml:space="preserve"> AE = adverse event; BFTAF = bictegravir, emtricitabine, tenofovir </w:t>
      </w:r>
      <w:proofErr w:type="spellStart"/>
      <w:r w:rsidRPr="003F4BE3">
        <w:t>alafenam</w:t>
      </w:r>
      <w:r w:rsidR="00330F58">
        <w:t>ide</w:t>
      </w:r>
      <w:proofErr w:type="spellEnd"/>
      <w:r w:rsidR="00330F58">
        <w:t xml:space="preserve">; CI = confidence interval; </w:t>
      </w:r>
      <w:r w:rsidRPr="003F4BE3">
        <w:t>RD = risk difference; SBR = stayed on baseline regimen</w:t>
      </w:r>
    </w:p>
    <w:p w:rsidR="004F1736" w:rsidRPr="003F4BE3" w:rsidRDefault="004F1736" w:rsidP="004F1736">
      <w:pPr>
        <w:pStyle w:val="TableFooter"/>
      </w:pPr>
      <w:r w:rsidRPr="003F4BE3">
        <w:t>Note: Risk differences calculated during the evaluation. Bold text signifies statistically significant differences.</w:t>
      </w:r>
    </w:p>
    <w:p w:rsidR="003B0991" w:rsidRPr="003F4BE3" w:rsidRDefault="003B0991" w:rsidP="00330F58">
      <w:pPr>
        <w:pStyle w:val="ListParagraph"/>
        <w:numPr>
          <w:ilvl w:val="1"/>
          <w:numId w:val="3"/>
        </w:numPr>
        <w:spacing w:before="160" w:after="0"/>
      </w:pPr>
      <w:r w:rsidRPr="003F4BE3">
        <w:t>There was a statistically significant higher proportion of patients treated with BFTAF compared with those who stayed on their baseline regimen for:</w:t>
      </w:r>
    </w:p>
    <w:p w:rsidR="003B0991" w:rsidRPr="003F4BE3" w:rsidRDefault="003B0991" w:rsidP="00A71F4A">
      <w:pPr>
        <w:pStyle w:val="ListParagraph"/>
        <w:numPr>
          <w:ilvl w:val="0"/>
          <w:numId w:val="21"/>
        </w:numPr>
        <w:spacing w:after="0"/>
        <w:ind w:left="994" w:hanging="288"/>
      </w:pPr>
      <w:r w:rsidRPr="003F4BE3">
        <w:t>any grade 2</w:t>
      </w:r>
      <w:r w:rsidR="00330F58">
        <w:t>, 3 or 4 treatment-emergent AE</w:t>
      </w:r>
    </w:p>
    <w:p w:rsidR="003B0991" w:rsidRPr="003F4BE3" w:rsidRDefault="003B0991" w:rsidP="00A71F4A">
      <w:pPr>
        <w:pStyle w:val="ListParagraph"/>
        <w:numPr>
          <w:ilvl w:val="0"/>
          <w:numId w:val="21"/>
        </w:numPr>
        <w:spacing w:after="0"/>
        <w:ind w:left="994" w:hanging="288"/>
      </w:pPr>
      <w:r w:rsidRPr="003F4BE3">
        <w:lastRenderedPageBreak/>
        <w:t xml:space="preserve">any treatment emergent study </w:t>
      </w:r>
      <w:r w:rsidR="00330F58">
        <w:t>drug related adverse event</w:t>
      </w:r>
    </w:p>
    <w:p w:rsidR="00A71F4A" w:rsidRPr="003F4BE3" w:rsidRDefault="003B0991" w:rsidP="00A71F4A">
      <w:pPr>
        <w:pStyle w:val="ListParagraph"/>
        <w:numPr>
          <w:ilvl w:val="0"/>
          <w:numId w:val="21"/>
        </w:numPr>
        <w:ind w:left="994" w:hanging="288"/>
      </w:pPr>
      <w:proofErr w:type="gramStart"/>
      <w:r w:rsidRPr="003F4BE3">
        <w:t>any</w:t>
      </w:r>
      <w:proofErr w:type="gramEnd"/>
      <w:r w:rsidRPr="003F4BE3">
        <w:t xml:space="preserve"> grade 2, 3, or 4 treatment-emergent study drug-related AE.</w:t>
      </w:r>
    </w:p>
    <w:p w:rsidR="003B0991" w:rsidRPr="003F4BE3" w:rsidRDefault="003B0991" w:rsidP="003B0991">
      <w:pPr>
        <w:pStyle w:val="ListParagraph"/>
        <w:numPr>
          <w:ilvl w:val="1"/>
          <w:numId w:val="3"/>
        </w:numPr>
      </w:pPr>
      <w:r w:rsidRPr="003F4BE3">
        <w:t xml:space="preserve">The submission concluded that BFTAF was safe and well tolerated. Common adverse events were generally consistent with those expected in the subject population and the known safety profiles of the study drugs. </w:t>
      </w:r>
      <w:r w:rsidR="001C733B" w:rsidRPr="003F4BE3">
        <w:rPr>
          <w:rFonts w:asciiTheme="minorHAnsi" w:hAnsiTheme="minorHAnsi"/>
        </w:rPr>
        <w:t xml:space="preserve">Given the mixed nature of the comparator in Trial 1878 it was difficult to assess the comparative safety of BFTAF in virologically suppressed patients, however as there were </w:t>
      </w:r>
      <w:r w:rsidRPr="003F4BE3">
        <w:t xml:space="preserve">statistically significant increases in adverse events </w:t>
      </w:r>
      <w:r w:rsidR="001C733B" w:rsidRPr="003F4BE3">
        <w:t xml:space="preserve">observed among those treated with BFTAF </w:t>
      </w:r>
      <w:r w:rsidRPr="003F4BE3">
        <w:t xml:space="preserve">compared to </w:t>
      </w:r>
      <w:r w:rsidR="001C733B" w:rsidRPr="003F4BE3">
        <w:t xml:space="preserve">those </w:t>
      </w:r>
      <w:r w:rsidRPr="003F4BE3">
        <w:t>staying on baseline treatment</w:t>
      </w:r>
      <w:r w:rsidR="009E0C20" w:rsidRPr="003F4BE3">
        <w:t>s</w:t>
      </w:r>
      <w:r w:rsidR="001C733B" w:rsidRPr="003F4BE3">
        <w:t>, the possibility that BFTAF is inferior in terms of safety cannot be excluded</w:t>
      </w:r>
      <w:r w:rsidRPr="003F4BE3">
        <w:t>.</w:t>
      </w:r>
    </w:p>
    <w:p w:rsidR="003B0991" w:rsidRPr="00F76F05" w:rsidRDefault="003B0991" w:rsidP="00DD3B41">
      <w:pPr>
        <w:pStyle w:val="Heading2"/>
        <w:spacing w:before="120" w:after="120"/>
      </w:pPr>
      <w:bookmarkStart w:id="10" w:name="_Toc503214690"/>
      <w:r w:rsidRPr="00F76F05">
        <w:t xml:space="preserve">Clinical </w:t>
      </w:r>
      <w:r w:rsidR="00DD3B41">
        <w:t>c</w:t>
      </w:r>
      <w:r w:rsidRPr="00F76F05">
        <w:t>laim</w:t>
      </w:r>
      <w:bookmarkEnd w:id="10"/>
    </w:p>
    <w:p w:rsidR="003B0991" w:rsidRPr="003F4BE3" w:rsidRDefault="003B0991" w:rsidP="008107C8">
      <w:pPr>
        <w:pStyle w:val="ListParagraph"/>
        <w:widowControl/>
        <w:numPr>
          <w:ilvl w:val="1"/>
          <w:numId w:val="3"/>
        </w:numPr>
        <w:spacing w:before="160"/>
      </w:pPr>
      <w:r w:rsidRPr="003F4BE3">
        <w:t xml:space="preserve">The submission described BFTAF as non-inferior in terms of effectiveness and safety compared with tenofovir </w:t>
      </w:r>
      <w:proofErr w:type="spellStart"/>
      <w:r w:rsidRPr="003F4BE3">
        <w:t>alafenamide</w:t>
      </w:r>
      <w:proofErr w:type="spellEnd"/>
      <w:r w:rsidRPr="003F4BE3">
        <w:t xml:space="preserve"> regimens </w:t>
      </w:r>
      <w:r w:rsidR="006A6F37" w:rsidRPr="003F4BE3">
        <w:t>DESCOVY®</w:t>
      </w:r>
      <w:r w:rsidRPr="003F4BE3">
        <w:t xml:space="preserve"> + </w:t>
      </w:r>
      <w:proofErr w:type="spellStart"/>
      <w:r w:rsidRPr="003F4BE3">
        <w:t>dolutegravir</w:t>
      </w:r>
      <w:proofErr w:type="spellEnd"/>
      <w:r w:rsidRPr="003F4BE3">
        <w:t xml:space="preserve">, </w:t>
      </w:r>
      <w:r w:rsidR="006A6F37" w:rsidRPr="003F4BE3">
        <w:t>GENVOYA®</w:t>
      </w:r>
      <w:r w:rsidRPr="003F4BE3">
        <w:t xml:space="preserve">, </w:t>
      </w:r>
      <w:r w:rsidR="006A6F37" w:rsidRPr="003F4BE3">
        <w:t>ODEFSEY®</w:t>
      </w:r>
      <w:r w:rsidRPr="003F4BE3">
        <w:t>.</w:t>
      </w:r>
    </w:p>
    <w:p w:rsidR="003B0991" w:rsidRPr="00330F58" w:rsidRDefault="003B0991" w:rsidP="003B0991">
      <w:pPr>
        <w:pStyle w:val="ListParagraph"/>
        <w:widowControl/>
        <w:numPr>
          <w:ilvl w:val="1"/>
          <w:numId w:val="3"/>
        </w:numPr>
      </w:pPr>
      <w:r w:rsidRPr="003F4BE3">
        <w:t xml:space="preserve">The therapeutic conclusion of non-inferior effectiveness presented in the submission was supported by Trial </w:t>
      </w:r>
      <w:r w:rsidR="00DB2D5A" w:rsidRPr="003F4BE3">
        <w:t xml:space="preserve">1490 </w:t>
      </w:r>
      <w:r w:rsidRPr="003F4BE3">
        <w:t xml:space="preserve">for the comparison of BFTAF and </w:t>
      </w:r>
      <w:r w:rsidR="006A6F37" w:rsidRPr="003F4BE3">
        <w:t>DESCOVY®</w:t>
      </w:r>
      <w:r w:rsidRPr="003F4BE3">
        <w:t xml:space="preserve"> </w:t>
      </w:r>
      <w:r w:rsidR="006E046F" w:rsidRPr="003F4BE3">
        <w:t xml:space="preserve">+ </w:t>
      </w:r>
      <w:proofErr w:type="spellStart"/>
      <w:r w:rsidR="006E046F" w:rsidRPr="003F4BE3">
        <w:t>dolutegravir</w:t>
      </w:r>
      <w:proofErr w:type="spellEnd"/>
      <w:r w:rsidR="006E046F" w:rsidRPr="003F4BE3">
        <w:t xml:space="preserve"> </w:t>
      </w:r>
      <w:r w:rsidRPr="003F4BE3">
        <w:t xml:space="preserve">in treatment-naïve patients given the trial met </w:t>
      </w:r>
      <w:proofErr w:type="gramStart"/>
      <w:r w:rsidRPr="003F4BE3">
        <w:t>accepted,</w:t>
      </w:r>
      <w:proofErr w:type="gramEnd"/>
      <w:r w:rsidRPr="003F4BE3">
        <w:t xml:space="preserve"> pre-specified non-inferiority margins. A claim of non-inferior effectiveness of BFTAF to </w:t>
      </w:r>
      <w:r w:rsidR="006A6F37" w:rsidRPr="003F4BE3">
        <w:t>GENVOYA®</w:t>
      </w:r>
      <w:r w:rsidRPr="003F4BE3">
        <w:t xml:space="preserve"> and </w:t>
      </w:r>
      <w:r w:rsidR="006A6F37" w:rsidRPr="003F4BE3">
        <w:t>ODEFSEY®</w:t>
      </w:r>
      <w:r w:rsidRPr="003F4BE3">
        <w:t xml:space="preserve"> was not presented or directly supported by any evidence presented in the submission, but may be surmised on the basis of the current accepted relativities of the treatments. This was further supported by data from Trial 1489</w:t>
      </w:r>
      <w:r w:rsidR="006E046F" w:rsidRPr="003F4BE3">
        <w:t xml:space="preserve"> (excluded by the submission)</w:t>
      </w:r>
      <w:r w:rsidRPr="003F4BE3">
        <w:t xml:space="preserve">, which indicated non-inferiority of BFTAF to </w:t>
      </w:r>
      <w:r w:rsidR="00D0277C" w:rsidRPr="003F4BE3">
        <w:t>TRIUMEQ®</w:t>
      </w:r>
      <w:r w:rsidRPr="003F4BE3">
        <w:t>.</w:t>
      </w:r>
    </w:p>
    <w:p w:rsidR="00AD01A9" w:rsidRPr="00AD01A9" w:rsidRDefault="003B0991" w:rsidP="003B0991">
      <w:pPr>
        <w:pStyle w:val="ListParagraph"/>
        <w:widowControl/>
        <w:numPr>
          <w:ilvl w:val="1"/>
          <w:numId w:val="3"/>
        </w:numPr>
      </w:pPr>
      <w:r w:rsidRPr="003F4BE3">
        <w:t xml:space="preserve">Trial 1878 supported a conclusion of non-inferior effectiveness of BFTAF to </w:t>
      </w:r>
      <w:r w:rsidR="006A6F37" w:rsidRPr="003F4BE3">
        <w:t>TRUVADA®</w:t>
      </w:r>
      <w:r w:rsidR="00911AC5" w:rsidRPr="003F4BE3">
        <w:t>-</w:t>
      </w:r>
      <w:r w:rsidRPr="003F4BE3">
        <w:t xml:space="preserve"> and </w:t>
      </w:r>
      <w:r w:rsidR="006A6F37" w:rsidRPr="003F4BE3">
        <w:t>KIVEXA®</w:t>
      </w:r>
      <w:r w:rsidR="00911AC5" w:rsidRPr="003F4BE3">
        <w:t>-</w:t>
      </w:r>
      <w:r w:rsidRPr="003F4BE3">
        <w:t xml:space="preserve"> based regimens in virologically suppressed (treatment-experienced) patients, with the trial meeting accepted, pre-specified non-inferiority margins. The results observed in Trial 1878 support the contention that </w:t>
      </w:r>
      <w:r w:rsidRPr="003F4BE3">
        <w:rPr>
          <w:rFonts w:asciiTheme="minorHAnsi" w:hAnsiTheme="minorHAnsi"/>
          <w:color w:val="000000" w:themeColor="text1"/>
        </w:rPr>
        <w:t xml:space="preserve">there is no justification for BFTAF to be listed at a higher price compared with </w:t>
      </w:r>
      <w:proofErr w:type="spellStart"/>
      <w:r w:rsidRPr="003F4BE3">
        <w:rPr>
          <w:rFonts w:asciiTheme="minorHAnsi" w:hAnsiTheme="minorHAnsi"/>
          <w:color w:val="000000" w:themeColor="text1"/>
        </w:rPr>
        <w:t>abacavir</w:t>
      </w:r>
      <w:proofErr w:type="spellEnd"/>
      <w:r w:rsidRPr="003F4BE3">
        <w:rPr>
          <w:rFonts w:asciiTheme="minorHAnsi" w:hAnsiTheme="minorHAnsi"/>
          <w:color w:val="000000" w:themeColor="text1"/>
        </w:rPr>
        <w:t xml:space="preserve"> and lamivudine regimens or tenofovir </w:t>
      </w:r>
      <w:proofErr w:type="spellStart"/>
      <w:r w:rsidRPr="003F4BE3">
        <w:rPr>
          <w:rFonts w:asciiTheme="minorHAnsi" w:hAnsiTheme="minorHAnsi"/>
          <w:color w:val="000000" w:themeColor="text1"/>
        </w:rPr>
        <w:t>disoproxil</w:t>
      </w:r>
      <w:proofErr w:type="spellEnd"/>
      <w:r w:rsidRPr="003F4BE3">
        <w:rPr>
          <w:rFonts w:asciiTheme="minorHAnsi" w:hAnsiTheme="minorHAnsi"/>
          <w:color w:val="000000" w:themeColor="text1"/>
        </w:rPr>
        <w:t xml:space="preserve"> fumarate regimens. This was further supported by data from Trial 1844</w:t>
      </w:r>
      <w:r w:rsidR="006E046F" w:rsidRPr="003F4BE3">
        <w:rPr>
          <w:rFonts w:asciiTheme="minorHAnsi" w:hAnsiTheme="minorHAnsi"/>
          <w:color w:val="000000" w:themeColor="text1"/>
        </w:rPr>
        <w:t xml:space="preserve"> (excluded by the submission)</w:t>
      </w:r>
      <w:r w:rsidRPr="003F4BE3">
        <w:rPr>
          <w:rFonts w:asciiTheme="minorHAnsi" w:hAnsiTheme="minorHAnsi"/>
          <w:color w:val="000000" w:themeColor="text1"/>
        </w:rPr>
        <w:t>, which indicated non-inferior</w:t>
      </w:r>
      <w:r w:rsidR="00DB2D5A" w:rsidRPr="003F4BE3">
        <w:rPr>
          <w:rFonts w:asciiTheme="minorHAnsi" w:hAnsiTheme="minorHAnsi"/>
          <w:color w:val="000000" w:themeColor="text1"/>
        </w:rPr>
        <w:t>i</w:t>
      </w:r>
      <w:r w:rsidRPr="003F4BE3">
        <w:rPr>
          <w:rFonts w:asciiTheme="minorHAnsi" w:hAnsiTheme="minorHAnsi"/>
          <w:color w:val="000000" w:themeColor="text1"/>
        </w:rPr>
        <w:t>ty of BFTAF to K</w:t>
      </w:r>
      <w:r w:rsidR="00CD4EE9" w:rsidRPr="003F4BE3">
        <w:rPr>
          <w:rFonts w:asciiTheme="minorHAnsi" w:hAnsiTheme="minorHAnsi"/>
          <w:color w:val="000000" w:themeColor="text1"/>
        </w:rPr>
        <w:t>IVEXA®</w:t>
      </w:r>
      <w:r w:rsidRPr="003F4BE3">
        <w:rPr>
          <w:rFonts w:asciiTheme="minorHAnsi" w:hAnsiTheme="minorHAnsi"/>
          <w:color w:val="000000" w:themeColor="text1"/>
        </w:rPr>
        <w:t xml:space="preserve"> plus </w:t>
      </w:r>
      <w:proofErr w:type="spellStart"/>
      <w:r w:rsidRPr="003F4BE3">
        <w:rPr>
          <w:rFonts w:asciiTheme="minorHAnsi" w:hAnsiTheme="minorHAnsi"/>
          <w:color w:val="000000" w:themeColor="text1"/>
        </w:rPr>
        <w:t>dolutegravir</w:t>
      </w:r>
      <w:proofErr w:type="spellEnd"/>
      <w:r w:rsidRPr="003F4BE3">
        <w:rPr>
          <w:rFonts w:asciiTheme="minorHAnsi" w:hAnsiTheme="minorHAnsi"/>
          <w:color w:val="000000" w:themeColor="text1"/>
        </w:rPr>
        <w:t xml:space="preserve"> or </w:t>
      </w:r>
      <w:r w:rsidR="00D0277C" w:rsidRPr="003F4BE3">
        <w:rPr>
          <w:rFonts w:asciiTheme="minorHAnsi" w:hAnsiTheme="minorHAnsi"/>
          <w:color w:val="000000" w:themeColor="text1"/>
        </w:rPr>
        <w:t>TRIUMEQ®</w:t>
      </w:r>
      <w:r w:rsidRPr="003F4BE3">
        <w:rPr>
          <w:rFonts w:asciiTheme="minorHAnsi" w:hAnsiTheme="minorHAnsi"/>
          <w:color w:val="000000" w:themeColor="text1"/>
        </w:rPr>
        <w:t>.</w:t>
      </w:r>
      <w:r w:rsidR="009C0F9B" w:rsidRPr="009C0F9B">
        <w:t xml:space="preserve"> </w:t>
      </w:r>
      <w:r w:rsidR="009C0F9B" w:rsidRPr="009C0F9B">
        <w:rPr>
          <w:rFonts w:asciiTheme="minorHAnsi" w:hAnsiTheme="minorHAnsi"/>
          <w:color w:val="000000" w:themeColor="text1"/>
        </w:rPr>
        <w:t>The Pre-PBAC Response argued against this comparison, claiming that ABC/3TC-based regimens are not relevant in the contex</w:t>
      </w:r>
      <w:r w:rsidR="00330F58">
        <w:rPr>
          <w:rFonts w:asciiTheme="minorHAnsi" w:hAnsiTheme="minorHAnsi"/>
          <w:color w:val="000000" w:themeColor="text1"/>
        </w:rPr>
        <w:t>t of Australian clinical practic</w:t>
      </w:r>
      <w:r w:rsidR="009C0F9B" w:rsidRPr="009C0F9B">
        <w:rPr>
          <w:rFonts w:asciiTheme="minorHAnsi" w:hAnsiTheme="minorHAnsi"/>
          <w:color w:val="000000" w:themeColor="text1"/>
        </w:rPr>
        <w:t>e.</w:t>
      </w:r>
    </w:p>
    <w:p w:rsidR="003B0991" w:rsidRPr="00A36B06" w:rsidRDefault="003B0991" w:rsidP="003B0991">
      <w:pPr>
        <w:pStyle w:val="ListParagraph"/>
        <w:widowControl/>
        <w:numPr>
          <w:ilvl w:val="1"/>
          <w:numId w:val="3"/>
        </w:numPr>
      </w:pPr>
      <w:r w:rsidRPr="003F4BE3">
        <w:rPr>
          <w:rFonts w:asciiTheme="minorHAnsi" w:hAnsiTheme="minorHAnsi"/>
        </w:rPr>
        <w:t xml:space="preserve">In terms of safety, Trial </w:t>
      </w:r>
      <w:r w:rsidR="00DB2D5A" w:rsidRPr="003F4BE3">
        <w:rPr>
          <w:rFonts w:asciiTheme="minorHAnsi" w:hAnsiTheme="minorHAnsi"/>
        </w:rPr>
        <w:t xml:space="preserve">1490 </w:t>
      </w:r>
      <w:r w:rsidRPr="003F4BE3">
        <w:rPr>
          <w:rFonts w:asciiTheme="minorHAnsi" w:hAnsiTheme="minorHAnsi"/>
        </w:rPr>
        <w:t xml:space="preserve">showed generally similar adverse events in treatment-naïve patients, but Trial 1878 showed higher proportions of select treatment emergent adverse events in patients treated with BFTAF compared to those staying on regimens with a </w:t>
      </w:r>
      <w:r w:rsidR="006A6F37" w:rsidRPr="003F4BE3">
        <w:rPr>
          <w:rFonts w:asciiTheme="minorHAnsi" w:hAnsiTheme="minorHAnsi"/>
        </w:rPr>
        <w:t>TRUVADA®</w:t>
      </w:r>
      <w:r w:rsidR="004A0F1B" w:rsidRPr="003F4BE3">
        <w:rPr>
          <w:rFonts w:asciiTheme="minorHAnsi" w:hAnsiTheme="minorHAnsi"/>
        </w:rPr>
        <w:t>-</w:t>
      </w:r>
      <w:r w:rsidRPr="003F4BE3">
        <w:rPr>
          <w:rFonts w:asciiTheme="minorHAnsi" w:hAnsiTheme="minorHAnsi"/>
        </w:rPr>
        <w:t xml:space="preserve"> or </w:t>
      </w:r>
      <w:r w:rsidR="006A6F37" w:rsidRPr="003F4BE3">
        <w:rPr>
          <w:rFonts w:asciiTheme="minorHAnsi" w:hAnsiTheme="minorHAnsi"/>
        </w:rPr>
        <w:t>KIVEXA®</w:t>
      </w:r>
      <w:r w:rsidR="004A0F1B" w:rsidRPr="003F4BE3">
        <w:rPr>
          <w:rFonts w:asciiTheme="minorHAnsi" w:hAnsiTheme="minorHAnsi"/>
        </w:rPr>
        <w:t>-</w:t>
      </w:r>
      <w:r w:rsidRPr="003F4BE3">
        <w:rPr>
          <w:rFonts w:asciiTheme="minorHAnsi" w:hAnsiTheme="minorHAnsi"/>
        </w:rPr>
        <w:t xml:space="preserve"> backbone. Given the mixed nature of the comparator in Trial 1878 it was difficult to assess the </w:t>
      </w:r>
      <w:r w:rsidR="009E69FF" w:rsidRPr="003F4BE3">
        <w:rPr>
          <w:rFonts w:asciiTheme="minorHAnsi" w:hAnsiTheme="minorHAnsi"/>
        </w:rPr>
        <w:t xml:space="preserve">comparative safety of </w:t>
      </w:r>
      <w:r w:rsidR="009E69FF" w:rsidRPr="00A36B06">
        <w:rPr>
          <w:rFonts w:asciiTheme="minorHAnsi" w:hAnsiTheme="minorHAnsi"/>
        </w:rPr>
        <w:t>BFTAF</w:t>
      </w:r>
      <w:r w:rsidR="001C733B" w:rsidRPr="00A36B06">
        <w:rPr>
          <w:rFonts w:asciiTheme="minorHAnsi" w:hAnsiTheme="minorHAnsi"/>
        </w:rPr>
        <w:t xml:space="preserve"> in virologically suppressed patients, however as there were </w:t>
      </w:r>
      <w:r w:rsidR="001C733B" w:rsidRPr="00A36B06">
        <w:t xml:space="preserve">statistically significant increases in adverse events observed among those treated with BFTAF </w:t>
      </w:r>
      <w:r w:rsidR="001C733B" w:rsidRPr="00A36B06">
        <w:lastRenderedPageBreak/>
        <w:t>compared to those staying on baseline treatments, the possibility that BFTAF is inferior in terms of safety cannot be excluded</w:t>
      </w:r>
      <w:r w:rsidRPr="00A36B06">
        <w:rPr>
          <w:rFonts w:asciiTheme="minorHAnsi" w:hAnsiTheme="minorHAnsi"/>
        </w:rPr>
        <w:t>. The</w:t>
      </w:r>
      <w:r w:rsidR="00844D44" w:rsidRPr="00A36B06">
        <w:rPr>
          <w:rFonts w:asciiTheme="minorHAnsi" w:hAnsiTheme="minorHAnsi"/>
        </w:rPr>
        <w:t xml:space="preserve"> ESC considered that the</w:t>
      </w:r>
      <w:r w:rsidRPr="00A36B06">
        <w:rPr>
          <w:rFonts w:asciiTheme="minorHAnsi" w:hAnsiTheme="minorHAnsi"/>
        </w:rPr>
        <w:t xml:space="preserve"> submission’s extended assessment of comparative harms generally suggested overall similarity in tolerability across all treatments included in the phase three trial program for BFTAF</w:t>
      </w:r>
      <w:r w:rsidR="004A0F1B" w:rsidRPr="00A36B06">
        <w:rPr>
          <w:rFonts w:asciiTheme="minorHAnsi" w:hAnsiTheme="minorHAnsi"/>
        </w:rPr>
        <w:t xml:space="preserve"> (Trials 1490, 1878, 1489 and 1844)</w:t>
      </w:r>
      <w:r w:rsidR="00330F58">
        <w:rPr>
          <w:rFonts w:asciiTheme="minorHAnsi" w:hAnsiTheme="minorHAnsi"/>
        </w:rPr>
        <w:t>.</w:t>
      </w:r>
    </w:p>
    <w:p w:rsidR="001E428B" w:rsidRDefault="001E428B" w:rsidP="003B0991">
      <w:pPr>
        <w:pStyle w:val="ListParagraph"/>
        <w:widowControl/>
        <w:numPr>
          <w:ilvl w:val="1"/>
          <w:numId w:val="3"/>
        </w:numPr>
      </w:pPr>
      <w:r w:rsidRPr="00A36B06">
        <w:t xml:space="preserve">The ESC </w:t>
      </w:r>
      <w:r w:rsidR="00B25CF5" w:rsidRPr="00A36B06">
        <w:t>considered</w:t>
      </w:r>
      <w:r w:rsidRPr="00A36B06">
        <w:t xml:space="preserve"> that BFTAF can be considered non-inferior </w:t>
      </w:r>
      <w:r w:rsidR="00C409EB" w:rsidRPr="00A36B06">
        <w:t xml:space="preserve">not only </w:t>
      </w:r>
      <w:r w:rsidRPr="00A36B06">
        <w:t xml:space="preserve">to DESCOVY® + </w:t>
      </w:r>
      <w:proofErr w:type="spellStart"/>
      <w:r w:rsidRPr="00A36B06">
        <w:t>dolutegravir</w:t>
      </w:r>
      <w:proofErr w:type="spellEnd"/>
      <w:r w:rsidRPr="00A36B06">
        <w:t>, GENVOYA®</w:t>
      </w:r>
      <w:r w:rsidR="00C409EB" w:rsidRPr="00A36B06">
        <w:t xml:space="preserve"> and</w:t>
      </w:r>
      <w:r w:rsidRPr="00A36B06">
        <w:t xml:space="preserve"> ODEFSEY®, </w:t>
      </w:r>
      <w:r w:rsidR="00C409EB" w:rsidRPr="00A36B06">
        <w:t xml:space="preserve">but also to TRIUMEQ®, </w:t>
      </w:r>
      <w:r w:rsidRPr="00A36B06">
        <w:t>TRUVADA®</w:t>
      </w:r>
      <w:r w:rsidR="00C409EB" w:rsidRPr="00A36B06">
        <w:t>- and</w:t>
      </w:r>
      <w:r w:rsidRPr="00A36B06">
        <w:t xml:space="preserve"> KIVEXA®</w:t>
      </w:r>
      <w:r w:rsidR="00C409EB" w:rsidRPr="00A36B06">
        <w:t>-based regimens</w:t>
      </w:r>
      <w:r w:rsidRPr="00A36B06">
        <w:t>.</w:t>
      </w:r>
    </w:p>
    <w:p w:rsidR="00F76F05" w:rsidRDefault="00F76F05" w:rsidP="00061B8C">
      <w:pPr>
        <w:pStyle w:val="ListParagraph"/>
        <w:numPr>
          <w:ilvl w:val="1"/>
          <w:numId w:val="3"/>
        </w:numPr>
      </w:pPr>
      <w:r>
        <w:t>The PBAC considered that the claim of non-inferior comparative effectiveness</w:t>
      </w:r>
      <w:r w:rsidR="00061B8C">
        <w:t xml:space="preserve"> </w:t>
      </w:r>
      <w:r w:rsidR="00E112D3">
        <w:t>to</w:t>
      </w:r>
      <w:r w:rsidR="00061B8C">
        <w:t xml:space="preserve"> </w:t>
      </w:r>
      <w:r w:rsidR="00061B8C" w:rsidRPr="00061B8C">
        <w:t xml:space="preserve">tenofovir </w:t>
      </w:r>
      <w:proofErr w:type="spellStart"/>
      <w:r w:rsidR="00061B8C" w:rsidRPr="00061B8C">
        <w:t>alafenamide</w:t>
      </w:r>
      <w:proofErr w:type="spellEnd"/>
      <w:r w:rsidR="00061B8C" w:rsidRPr="00061B8C">
        <w:t xml:space="preserve"> regimens DESCOVY® + </w:t>
      </w:r>
      <w:proofErr w:type="spellStart"/>
      <w:r w:rsidR="00061B8C" w:rsidRPr="00061B8C">
        <w:t>dolutegravir</w:t>
      </w:r>
      <w:proofErr w:type="spellEnd"/>
      <w:r w:rsidR="00061B8C" w:rsidRPr="00061B8C">
        <w:t>, GENVOYA®, ODEFSEY®</w:t>
      </w:r>
      <w:r>
        <w:t xml:space="preserve"> was reasonable.</w:t>
      </w:r>
      <w:r w:rsidR="00E77D62">
        <w:t xml:space="preserve"> </w:t>
      </w:r>
      <w:r w:rsidR="00B03F72">
        <w:t xml:space="preserve">The PBAC also considered that BFTAF was non-inferior in comparative effectiveness </w:t>
      </w:r>
      <w:r w:rsidR="00C87A6D">
        <w:t>by extension, to all triple-therapy FDCs for the treatment of HIV that are included in the therapeutic rela</w:t>
      </w:r>
      <w:r w:rsidR="00330F58">
        <w:t>tivity sheets (1 January 2018).</w:t>
      </w:r>
    </w:p>
    <w:p w:rsidR="00F76F05" w:rsidRDefault="00F76F05" w:rsidP="00F76F05">
      <w:pPr>
        <w:pStyle w:val="ListParagraph"/>
        <w:numPr>
          <w:ilvl w:val="1"/>
          <w:numId w:val="3"/>
        </w:numPr>
      </w:pPr>
      <w:r>
        <w:t>The PBAC considered that the claim of non-inferior comparative safety was reasonable</w:t>
      </w:r>
      <w:r w:rsidR="00290F81">
        <w:t xml:space="preserve"> noting </w:t>
      </w:r>
      <w:proofErr w:type="gramStart"/>
      <w:r w:rsidR="00290F81">
        <w:t>that</w:t>
      </w:r>
      <w:r w:rsidR="00330F58">
        <w:t>,</w:t>
      </w:r>
      <w:proofErr w:type="gramEnd"/>
      <w:r w:rsidR="00290F81">
        <w:t xml:space="preserve"> overall, there were no major safety signals in patients tha</w:t>
      </w:r>
      <w:r w:rsidR="00330F58">
        <w:t>t switched to BFTAF from SBR.</w:t>
      </w:r>
    </w:p>
    <w:p w:rsidR="00B60939" w:rsidRPr="00F76F05" w:rsidRDefault="00B60939" w:rsidP="00DD3B41">
      <w:pPr>
        <w:pStyle w:val="Heading2"/>
        <w:spacing w:before="120" w:after="120"/>
      </w:pPr>
      <w:bookmarkStart w:id="11" w:name="_Toc503214691"/>
      <w:r w:rsidRPr="00F76F05">
        <w:t>Economic analysis</w:t>
      </w:r>
      <w:bookmarkEnd w:id="11"/>
    </w:p>
    <w:p w:rsidR="00051910" w:rsidRPr="003F4BE3" w:rsidRDefault="00051910" w:rsidP="00F76F05">
      <w:pPr>
        <w:pStyle w:val="ListParagraph"/>
        <w:widowControl/>
        <w:numPr>
          <w:ilvl w:val="1"/>
          <w:numId w:val="3"/>
        </w:numPr>
      </w:pPr>
      <w:r w:rsidRPr="003F4BE3">
        <w:rPr>
          <w:rFonts w:asciiTheme="minorHAnsi" w:hAnsiTheme="minorHAnsi"/>
          <w:color w:val="000000" w:themeColor="text1"/>
        </w:rPr>
        <w:t xml:space="preserve">The submission stated that the </w:t>
      </w:r>
      <w:proofErr w:type="spellStart"/>
      <w:r w:rsidRPr="003F4BE3">
        <w:rPr>
          <w:rFonts w:asciiTheme="minorHAnsi" w:hAnsiTheme="minorHAnsi"/>
          <w:color w:val="000000" w:themeColor="text1"/>
        </w:rPr>
        <w:t>equi</w:t>
      </w:r>
      <w:proofErr w:type="spellEnd"/>
      <w:r w:rsidRPr="003F4BE3">
        <w:rPr>
          <w:rFonts w:asciiTheme="minorHAnsi" w:hAnsiTheme="minorHAnsi"/>
          <w:color w:val="000000" w:themeColor="text1"/>
        </w:rPr>
        <w:t xml:space="preserve">-effective doses were based on Trial 1490 regimens. These doses were consistent with the draft PI of BFTAF and available dosages of </w:t>
      </w:r>
      <w:r w:rsidR="006A6F37" w:rsidRPr="003F4BE3">
        <w:rPr>
          <w:rFonts w:asciiTheme="minorHAnsi" w:hAnsiTheme="minorHAnsi"/>
          <w:color w:val="000000" w:themeColor="text1"/>
        </w:rPr>
        <w:t>DESCOVY®</w:t>
      </w:r>
      <w:r w:rsidR="00330F58">
        <w:rPr>
          <w:rFonts w:asciiTheme="minorHAnsi" w:hAnsiTheme="minorHAnsi"/>
          <w:color w:val="000000" w:themeColor="text1"/>
        </w:rPr>
        <w:t xml:space="preserve"> plus </w:t>
      </w:r>
      <w:proofErr w:type="spellStart"/>
      <w:r w:rsidR="00330F58">
        <w:rPr>
          <w:rFonts w:asciiTheme="minorHAnsi" w:hAnsiTheme="minorHAnsi"/>
          <w:color w:val="000000" w:themeColor="text1"/>
        </w:rPr>
        <w:t>dolutegravir</w:t>
      </w:r>
      <w:proofErr w:type="spellEnd"/>
      <w:r w:rsidR="00330F58">
        <w:rPr>
          <w:rFonts w:asciiTheme="minorHAnsi" w:hAnsiTheme="minorHAnsi"/>
          <w:color w:val="000000" w:themeColor="text1"/>
        </w:rPr>
        <w:t xml:space="preserve"> on the PBS.</w:t>
      </w:r>
    </w:p>
    <w:p w:rsidR="00051910" w:rsidRPr="003F4BE3" w:rsidRDefault="00051910" w:rsidP="00F76F05">
      <w:pPr>
        <w:pStyle w:val="ListParagraph"/>
        <w:widowControl/>
        <w:numPr>
          <w:ilvl w:val="1"/>
          <w:numId w:val="3"/>
        </w:numPr>
        <w:spacing w:after="0"/>
      </w:pPr>
      <w:r w:rsidRPr="003F4BE3">
        <w:rPr>
          <w:rFonts w:asciiTheme="minorHAnsi" w:hAnsiTheme="minorHAnsi"/>
          <w:color w:val="000000" w:themeColor="text1"/>
        </w:rPr>
        <w:t xml:space="preserve">The submission also stated that given recent PBAC recommendations for FTAF-based regimens were on a cost-minimisation basis, it may be appropriate to describe additional </w:t>
      </w:r>
      <w:proofErr w:type="spellStart"/>
      <w:r w:rsidRPr="003F4BE3">
        <w:rPr>
          <w:rFonts w:asciiTheme="minorHAnsi" w:hAnsiTheme="minorHAnsi"/>
          <w:color w:val="000000" w:themeColor="text1"/>
        </w:rPr>
        <w:t>equi</w:t>
      </w:r>
      <w:proofErr w:type="spellEnd"/>
      <w:r w:rsidRPr="003F4BE3">
        <w:rPr>
          <w:rFonts w:asciiTheme="minorHAnsi" w:hAnsiTheme="minorHAnsi"/>
          <w:color w:val="000000" w:themeColor="text1"/>
        </w:rPr>
        <w:t>-effective doses for BFTAF versus other FTAF regimens (</w:t>
      </w:r>
      <w:r w:rsidR="006A6F37" w:rsidRPr="003F4BE3">
        <w:rPr>
          <w:rFonts w:asciiTheme="minorHAnsi" w:hAnsiTheme="minorHAnsi"/>
          <w:color w:val="000000" w:themeColor="text1"/>
        </w:rPr>
        <w:t>GENVOYA®</w:t>
      </w:r>
      <w:r w:rsidRPr="003F4BE3">
        <w:rPr>
          <w:rFonts w:asciiTheme="minorHAnsi" w:hAnsiTheme="minorHAnsi"/>
          <w:color w:val="000000" w:themeColor="text1"/>
        </w:rPr>
        <w:t xml:space="preserve"> and </w:t>
      </w:r>
      <w:r w:rsidR="006A6F37" w:rsidRPr="003F4BE3">
        <w:rPr>
          <w:rFonts w:asciiTheme="minorHAnsi" w:hAnsiTheme="minorHAnsi"/>
          <w:color w:val="000000" w:themeColor="text1"/>
        </w:rPr>
        <w:t>ODEFSEY®</w:t>
      </w:r>
      <w:r w:rsidRPr="003F4BE3">
        <w:rPr>
          <w:rFonts w:asciiTheme="minorHAnsi" w:hAnsiTheme="minorHAnsi"/>
          <w:color w:val="000000" w:themeColor="text1"/>
        </w:rPr>
        <w:t>):</w:t>
      </w:r>
    </w:p>
    <w:p w:rsidR="00051910" w:rsidRPr="003F4BE3" w:rsidRDefault="00330F58" w:rsidP="00F76F05">
      <w:pPr>
        <w:pStyle w:val="ListParagraph"/>
        <w:numPr>
          <w:ilvl w:val="0"/>
          <w:numId w:val="8"/>
        </w:numPr>
        <w:spacing w:after="0"/>
        <w:ind w:left="998" w:hanging="289"/>
        <w:rPr>
          <w:rFonts w:asciiTheme="minorHAnsi" w:hAnsiTheme="minorHAnsi" w:cs="Times New Roman"/>
          <w:color w:val="000000" w:themeColor="text1"/>
        </w:rPr>
      </w:pPr>
      <w:r>
        <w:rPr>
          <w:rFonts w:asciiTheme="minorHAnsi" w:hAnsiTheme="minorHAnsi" w:cs="Times New Roman"/>
          <w:color w:val="000000" w:themeColor="text1"/>
        </w:rPr>
        <w:t>o</w:t>
      </w:r>
      <w:r w:rsidR="00051910" w:rsidRPr="003F4BE3">
        <w:rPr>
          <w:rFonts w:asciiTheme="minorHAnsi" w:hAnsiTheme="minorHAnsi" w:cs="Times New Roman"/>
          <w:color w:val="000000" w:themeColor="text1"/>
        </w:rPr>
        <w:t xml:space="preserve">ne tablet of BFTAF (50mg/200mg/25mg) and one tablet of </w:t>
      </w:r>
      <w:r w:rsidR="006A6F37" w:rsidRPr="003F4BE3">
        <w:rPr>
          <w:rFonts w:asciiTheme="minorHAnsi" w:hAnsiTheme="minorHAnsi" w:cs="Times New Roman"/>
          <w:color w:val="000000" w:themeColor="text1"/>
        </w:rPr>
        <w:t>GENVOYA®</w:t>
      </w:r>
      <w:r w:rsidR="00051910" w:rsidRPr="003F4BE3">
        <w:rPr>
          <w:rFonts w:asciiTheme="minorHAnsi" w:hAnsiTheme="minorHAnsi" w:cs="Times New Roman"/>
          <w:color w:val="000000" w:themeColor="text1"/>
        </w:rPr>
        <w:t xml:space="preserve"> (10/200/1</w:t>
      </w:r>
      <w:r>
        <w:rPr>
          <w:rFonts w:asciiTheme="minorHAnsi" w:hAnsiTheme="minorHAnsi" w:cs="Times New Roman"/>
          <w:color w:val="000000" w:themeColor="text1"/>
        </w:rPr>
        <w:t xml:space="preserve">50//150) are </w:t>
      </w:r>
      <w:proofErr w:type="spellStart"/>
      <w:r>
        <w:rPr>
          <w:rFonts w:asciiTheme="minorHAnsi" w:hAnsiTheme="minorHAnsi" w:cs="Times New Roman"/>
          <w:color w:val="000000" w:themeColor="text1"/>
        </w:rPr>
        <w:t>equi</w:t>
      </w:r>
      <w:proofErr w:type="spellEnd"/>
      <w:r>
        <w:rPr>
          <w:rFonts w:asciiTheme="minorHAnsi" w:hAnsiTheme="minorHAnsi" w:cs="Times New Roman"/>
          <w:color w:val="000000" w:themeColor="text1"/>
        </w:rPr>
        <w:t>-effective</w:t>
      </w:r>
    </w:p>
    <w:p w:rsidR="00051910" w:rsidRPr="003F4BE3" w:rsidRDefault="00330F58" w:rsidP="00F76F05">
      <w:pPr>
        <w:pStyle w:val="ListParagraph"/>
        <w:numPr>
          <w:ilvl w:val="0"/>
          <w:numId w:val="8"/>
        </w:numPr>
        <w:ind w:left="998" w:hanging="289"/>
        <w:rPr>
          <w:rFonts w:asciiTheme="minorHAnsi" w:hAnsiTheme="minorHAnsi" w:cs="Times New Roman"/>
          <w:color w:val="000000" w:themeColor="text1"/>
        </w:rPr>
      </w:pPr>
      <w:proofErr w:type="gramStart"/>
      <w:r>
        <w:rPr>
          <w:rFonts w:asciiTheme="minorHAnsi" w:hAnsiTheme="minorHAnsi" w:cs="Times New Roman"/>
          <w:color w:val="000000" w:themeColor="text1"/>
        </w:rPr>
        <w:t>o</w:t>
      </w:r>
      <w:r w:rsidR="00051910" w:rsidRPr="003F4BE3">
        <w:rPr>
          <w:rFonts w:asciiTheme="minorHAnsi" w:hAnsiTheme="minorHAnsi" w:cs="Times New Roman"/>
          <w:color w:val="000000" w:themeColor="text1"/>
        </w:rPr>
        <w:t>ne</w:t>
      </w:r>
      <w:proofErr w:type="gramEnd"/>
      <w:r w:rsidR="00051910" w:rsidRPr="003F4BE3">
        <w:rPr>
          <w:rFonts w:asciiTheme="minorHAnsi" w:hAnsiTheme="minorHAnsi" w:cs="Times New Roman"/>
          <w:color w:val="000000" w:themeColor="text1"/>
        </w:rPr>
        <w:t xml:space="preserve"> tablet of BFTAF (50mg/200mg/25mg) daily and one tablet of </w:t>
      </w:r>
      <w:r w:rsidR="006A6F37" w:rsidRPr="003F4BE3">
        <w:rPr>
          <w:rFonts w:asciiTheme="minorHAnsi" w:hAnsiTheme="minorHAnsi" w:cs="Times New Roman"/>
          <w:color w:val="000000" w:themeColor="text1"/>
        </w:rPr>
        <w:t>ODEFSEY®</w:t>
      </w:r>
      <w:r w:rsidR="00051910" w:rsidRPr="003F4BE3">
        <w:rPr>
          <w:rFonts w:asciiTheme="minorHAnsi" w:hAnsiTheme="minorHAnsi" w:cs="Times New Roman"/>
          <w:color w:val="000000" w:themeColor="text1"/>
        </w:rPr>
        <w:t xml:space="preserve"> (200/25/25) are </w:t>
      </w:r>
      <w:proofErr w:type="spellStart"/>
      <w:r w:rsidR="00051910" w:rsidRPr="003F4BE3">
        <w:rPr>
          <w:rFonts w:asciiTheme="minorHAnsi" w:hAnsiTheme="minorHAnsi" w:cs="Times New Roman"/>
          <w:color w:val="000000" w:themeColor="text1"/>
        </w:rPr>
        <w:t>equi</w:t>
      </w:r>
      <w:proofErr w:type="spellEnd"/>
      <w:r w:rsidR="00051910" w:rsidRPr="003F4BE3">
        <w:rPr>
          <w:rFonts w:asciiTheme="minorHAnsi" w:hAnsiTheme="minorHAnsi" w:cs="Times New Roman"/>
          <w:color w:val="000000" w:themeColor="text1"/>
        </w:rPr>
        <w:t>-effective.</w:t>
      </w:r>
    </w:p>
    <w:p w:rsidR="00051910" w:rsidRPr="003F4BE3" w:rsidRDefault="00051910" w:rsidP="00F76F05">
      <w:pPr>
        <w:pStyle w:val="ListParagraph"/>
        <w:widowControl/>
        <w:numPr>
          <w:ilvl w:val="1"/>
          <w:numId w:val="3"/>
        </w:numPr>
        <w:rPr>
          <w:rFonts w:asciiTheme="minorHAnsi" w:hAnsiTheme="minorHAnsi" w:cstheme="minorHAnsi"/>
        </w:rPr>
      </w:pPr>
      <w:r w:rsidRPr="003F4BE3">
        <w:rPr>
          <w:rFonts w:asciiTheme="minorHAnsi" w:hAnsiTheme="minorHAnsi" w:cstheme="minorHAnsi"/>
        </w:rPr>
        <w:t xml:space="preserve">The </w:t>
      </w:r>
      <w:proofErr w:type="spellStart"/>
      <w:r w:rsidRPr="003F4BE3">
        <w:rPr>
          <w:rFonts w:asciiTheme="minorHAnsi" w:hAnsiTheme="minorHAnsi" w:cstheme="minorHAnsi"/>
        </w:rPr>
        <w:t>equi</w:t>
      </w:r>
      <w:proofErr w:type="spellEnd"/>
      <w:r w:rsidRPr="003F4BE3">
        <w:rPr>
          <w:rFonts w:asciiTheme="minorHAnsi" w:hAnsiTheme="minorHAnsi" w:cstheme="minorHAnsi"/>
        </w:rPr>
        <w:t xml:space="preserve">-effective doses </w:t>
      </w:r>
      <w:r w:rsidR="004A0F1B" w:rsidRPr="003F4BE3">
        <w:rPr>
          <w:rFonts w:asciiTheme="minorHAnsi" w:hAnsiTheme="minorHAnsi" w:cstheme="minorHAnsi"/>
        </w:rPr>
        <w:t xml:space="preserve">of BFTAF versus GENVOYA® and ODEFSEY® </w:t>
      </w:r>
      <w:r w:rsidRPr="003F4BE3">
        <w:rPr>
          <w:rFonts w:asciiTheme="minorHAnsi" w:hAnsiTheme="minorHAnsi" w:cstheme="minorHAnsi"/>
        </w:rPr>
        <w:t xml:space="preserve">were not supported by any trial evidence, but may be surmised on the basis of the current accepted relativities of the treatments. Other evidence additionally indicated non-inferiority of BFTAF to </w:t>
      </w:r>
      <w:r w:rsidR="006A6F37" w:rsidRPr="003F4BE3">
        <w:rPr>
          <w:rFonts w:asciiTheme="minorHAnsi" w:hAnsiTheme="minorHAnsi" w:cstheme="minorHAnsi"/>
        </w:rPr>
        <w:t>TRUVADA®</w:t>
      </w:r>
      <w:r w:rsidRPr="003F4BE3">
        <w:rPr>
          <w:rFonts w:asciiTheme="minorHAnsi" w:hAnsiTheme="minorHAnsi" w:cstheme="minorHAnsi"/>
        </w:rPr>
        <w:t>-</w:t>
      </w:r>
      <w:r w:rsidR="001C733B" w:rsidRPr="003F4BE3">
        <w:rPr>
          <w:rFonts w:asciiTheme="minorHAnsi" w:hAnsiTheme="minorHAnsi" w:cstheme="minorHAnsi"/>
        </w:rPr>
        <w:t xml:space="preserve"> and</w:t>
      </w:r>
      <w:r w:rsidR="00CD4EE9" w:rsidRPr="003F4BE3">
        <w:rPr>
          <w:rFonts w:asciiTheme="minorHAnsi" w:hAnsiTheme="minorHAnsi" w:cstheme="minorHAnsi"/>
        </w:rPr>
        <w:t xml:space="preserve"> </w:t>
      </w:r>
      <w:r w:rsidR="006A6F37" w:rsidRPr="003F4BE3">
        <w:rPr>
          <w:rFonts w:asciiTheme="minorHAnsi" w:hAnsiTheme="minorHAnsi" w:cstheme="minorHAnsi"/>
        </w:rPr>
        <w:t>KIVEXA®</w:t>
      </w:r>
      <w:r w:rsidRPr="003F4BE3">
        <w:rPr>
          <w:rFonts w:asciiTheme="minorHAnsi" w:hAnsiTheme="minorHAnsi" w:cstheme="minorHAnsi"/>
        </w:rPr>
        <w:t xml:space="preserve">- </w:t>
      </w:r>
      <w:r w:rsidR="006E046F" w:rsidRPr="003F4BE3">
        <w:rPr>
          <w:rFonts w:asciiTheme="minorHAnsi" w:hAnsiTheme="minorHAnsi" w:cstheme="minorHAnsi"/>
        </w:rPr>
        <w:t xml:space="preserve">based regimens </w:t>
      </w:r>
      <w:r w:rsidR="00CD4EE9" w:rsidRPr="003F4BE3">
        <w:rPr>
          <w:rFonts w:asciiTheme="minorHAnsi" w:hAnsiTheme="minorHAnsi" w:cstheme="minorHAnsi"/>
        </w:rPr>
        <w:t>and TRIUMEQ®</w:t>
      </w:r>
      <w:r w:rsidRPr="003F4BE3">
        <w:rPr>
          <w:rFonts w:asciiTheme="minorHAnsi" w:hAnsiTheme="minorHAnsi" w:cstheme="minorHAnsi"/>
        </w:rPr>
        <w:t>.</w:t>
      </w:r>
    </w:p>
    <w:p w:rsidR="00051910" w:rsidRPr="003F4BE3" w:rsidRDefault="00051910" w:rsidP="00F76F05">
      <w:pPr>
        <w:pStyle w:val="ListParagraph"/>
        <w:widowControl/>
        <w:numPr>
          <w:ilvl w:val="1"/>
          <w:numId w:val="3"/>
        </w:numPr>
        <w:rPr>
          <w:rFonts w:asciiTheme="minorHAnsi" w:hAnsiTheme="minorHAnsi" w:cstheme="minorHAnsi"/>
        </w:rPr>
      </w:pPr>
      <w:r w:rsidRPr="003F4BE3">
        <w:rPr>
          <w:rFonts w:asciiTheme="minorHAnsi" w:hAnsiTheme="minorHAnsi" w:cstheme="minorHAnsi"/>
        </w:rPr>
        <w:t xml:space="preserve">Table </w:t>
      </w:r>
      <w:r w:rsidR="00D216D1" w:rsidRPr="003F4BE3">
        <w:rPr>
          <w:rFonts w:asciiTheme="minorHAnsi" w:hAnsiTheme="minorHAnsi" w:cstheme="minorHAnsi"/>
        </w:rPr>
        <w:t>8</w:t>
      </w:r>
      <w:r w:rsidRPr="003F4BE3">
        <w:rPr>
          <w:rFonts w:asciiTheme="minorHAnsi" w:hAnsiTheme="minorHAnsi" w:cstheme="minorHAnsi"/>
        </w:rPr>
        <w:t xml:space="preserve"> presents the results of the cost-minimisation presented by the submission.</w:t>
      </w:r>
    </w:p>
    <w:p w:rsidR="00051910" w:rsidRPr="003F4BE3" w:rsidRDefault="00051910" w:rsidP="00351F4A">
      <w:pPr>
        <w:keepNext/>
        <w:rPr>
          <w:rFonts w:ascii="Arial Narrow" w:hAnsi="Arial Narrow"/>
          <w:b/>
          <w:sz w:val="20"/>
          <w:szCs w:val="16"/>
          <w:lang w:val="en-AU"/>
        </w:rPr>
      </w:pPr>
      <w:r w:rsidRPr="003F4BE3">
        <w:rPr>
          <w:rStyle w:val="CommentReference"/>
          <w:lang w:val="en-AU"/>
        </w:rPr>
        <w:lastRenderedPageBreak/>
        <w:t xml:space="preserve">Table </w:t>
      </w:r>
      <w:r w:rsidR="00D216D1" w:rsidRPr="003F4BE3">
        <w:rPr>
          <w:rStyle w:val="CommentReference"/>
          <w:lang w:val="en-AU"/>
        </w:rPr>
        <w:t>8</w:t>
      </w:r>
      <w:r w:rsidRPr="003F4BE3">
        <w:rPr>
          <w:rStyle w:val="CommentReference"/>
          <w:lang w:val="en-AU"/>
        </w:rPr>
        <w:t>: Results of the cost-minimisation analysis</w:t>
      </w:r>
    </w:p>
    <w:tbl>
      <w:tblPr>
        <w:tblW w:w="9072" w:type="dxa"/>
        <w:tblInd w:w="29" w:type="dxa"/>
        <w:tblLayout w:type="fixed"/>
        <w:tblCellMar>
          <w:left w:w="29" w:type="dxa"/>
          <w:right w:w="29" w:type="dxa"/>
        </w:tblCellMar>
        <w:tblLook w:val="04A0" w:firstRow="1" w:lastRow="0" w:firstColumn="1" w:lastColumn="0" w:noHBand="0" w:noVBand="1"/>
      </w:tblPr>
      <w:tblGrid>
        <w:gridCol w:w="3652"/>
        <w:gridCol w:w="1026"/>
        <w:gridCol w:w="1951"/>
        <w:gridCol w:w="1221"/>
        <w:gridCol w:w="1222"/>
      </w:tblGrid>
      <w:tr w:rsidR="00051910" w:rsidRPr="003F4BE3" w:rsidTr="006E046F">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910" w:rsidRPr="003F4BE3" w:rsidRDefault="00051910" w:rsidP="00351F4A">
            <w:pPr>
              <w:keepNext/>
              <w:rPr>
                <w:rFonts w:ascii="Arial Narrow" w:hAnsi="Arial Narrow"/>
                <w:b/>
                <w:color w:val="000000"/>
                <w:sz w:val="20"/>
                <w:szCs w:val="20"/>
                <w:lang w:val="en-AU"/>
              </w:rPr>
            </w:pPr>
            <w:r w:rsidRPr="003F4BE3">
              <w:rPr>
                <w:rFonts w:ascii="Arial Narrow" w:hAnsi="Arial Narrow"/>
                <w:b/>
                <w:color w:val="000000"/>
                <w:sz w:val="20"/>
                <w:szCs w:val="20"/>
                <w:lang w:val="en-AU"/>
              </w:rPr>
              <w:t>Description</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BFTAF</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rsidR="00051910" w:rsidRPr="003F4BE3" w:rsidRDefault="006A6F37"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DESCOVY®</w:t>
            </w:r>
            <w:r w:rsidR="00051910" w:rsidRPr="003F4BE3">
              <w:rPr>
                <w:rFonts w:ascii="Arial Narrow" w:hAnsi="Arial Narrow"/>
                <w:b/>
                <w:color w:val="000000"/>
                <w:sz w:val="20"/>
                <w:szCs w:val="20"/>
                <w:lang w:val="en-AU"/>
              </w:rPr>
              <w:t xml:space="preserve"> + </w:t>
            </w:r>
            <w:proofErr w:type="spellStart"/>
            <w:r w:rsidR="00051910" w:rsidRPr="003F4BE3">
              <w:rPr>
                <w:rFonts w:ascii="Arial Narrow" w:hAnsi="Arial Narrow"/>
                <w:b/>
                <w:color w:val="000000"/>
                <w:sz w:val="20"/>
                <w:szCs w:val="20"/>
                <w:lang w:val="en-AU"/>
              </w:rPr>
              <w:t>dolutegravir</w:t>
            </w:r>
            <w:proofErr w:type="spellEnd"/>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051910" w:rsidRPr="003F4BE3" w:rsidRDefault="006A6F37"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GENVOYA®</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051910" w:rsidRPr="003F4BE3" w:rsidRDefault="006A6F37"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ODEFSEY®</w:t>
            </w:r>
          </w:p>
        </w:tc>
      </w:tr>
      <w:tr w:rsidR="00051910" w:rsidRPr="003F4BE3" w:rsidTr="006E046F">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051910" w:rsidRPr="003F4BE3" w:rsidRDefault="00051910" w:rsidP="00351F4A">
            <w:pPr>
              <w:keepNext/>
              <w:rPr>
                <w:rFonts w:ascii="Arial Narrow" w:hAnsi="Arial Narrow"/>
                <w:color w:val="000000"/>
                <w:sz w:val="20"/>
                <w:szCs w:val="20"/>
                <w:lang w:val="en-AU"/>
              </w:rPr>
            </w:pPr>
            <w:r w:rsidRPr="003F4BE3">
              <w:rPr>
                <w:rFonts w:ascii="Arial Narrow" w:hAnsi="Arial Narrow"/>
                <w:color w:val="000000"/>
                <w:sz w:val="20"/>
                <w:szCs w:val="20"/>
                <w:lang w:val="en-AU"/>
              </w:rPr>
              <w:t>PBS Code</w:t>
            </w:r>
          </w:p>
        </w:tc>
        <w:tc>
          <w:tcPr>
            <w:tcW w:w="1026"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NA</w:t>
            </w:r>
          </w:p>
        </w:tc>
        <w:tc>
          <w:tcPr>
            <w:tcW w:w="195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11113X</w:t>
            </w:r>
            <w:r w:rsidR="007A4B2D">
              <w:rPr>
                <w:rFonts w:ascii="Arial Narrow" w:hAnsi="Arial Narrow"/>
                <w:color w:val="000000"/>
                <w:sz w:val="20"/>
                <w:szCs w:val="20"/>
                <w:lang w:val="en-AU"/>
              </w:rPr>
              <w:t xml:space="preserve"> + </w:t>
            </w:r>
            <w:r w:rsidR="007A4B2D" w:rsidRPr="003F4BE3">
              <w:rPr>
                <w:rFonts w:ascii="Arial Narrow" w:hAnsi="Arial Narrow"/>
                <w:color w:val="000000"/>
                <w:sz w:val="20"/>
                <w:szCs w:val="20"/>
                <w:lang w:val="en-AU"/>
              </w:rPr>
              <w:t>10283F</w:t>
            </w:r>
          </w:p>
        </w:tc>
        <w:tc>
          <w:tcPr>
            <w:tcW w:w="122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11114Y</w:t>
            </w:r>
          </w:p>
        </w:tc>
        <w:tc>
          <w:tcPr>
            <w:tcW w:w="1222"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11104K</w:t>
            </w:r>
          </w:p>
        </w:tc>
      </w:tr>
      <w:tr w:rsidR="00051910" w:rsidRPr="003F4BE3" w:rsidTr="006E046F">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051910" w:rsidRPr="003F4BE3" w:rsidRDefault="00051910" w:rsidP="00351F4A">
            <w:pPr>
              <w:keepNext/>
              <w:rPr>
                <w:rFonts w:ascii="Arial Narrow" w:hAnsi="Arial Narrow"/>
                <w:color w:val="000000"/>
                <w:sz w:val="20"/>
                <w:szCs w:val="20"/>
                <w:lang w:val="en-AU"/>
              </w:rPr>
            </w:pPr>
            <w:r w:rsidRPr="003F4BE3">
              <w:rPr>
                <w:rFonts w:ascii="Arial Narrow" w:hAnsi="Arial Narrow"/>
                <w:color w:val="000000"/>
                <w:sz w:val="20"/>
                <w:szCs w:val="20"/>
                <w:lang w:val="en-AU"/>
              </w:rPr>
              <w:t>Dose (daily mg)</w:t>
            </w:r>
          </w:p>
        </w:tc>
        <w:tc>
          <w:tcPr>
            <w:tcW w:w="1026"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50/200/25</w:t>
            </w:r>
          </w:p>
        </w:tc>
        <w:tc>
          <w:tcPr>
            <w:tcW w:w="195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200/25</w:t>
            </w:r>
            <w:r w:rsidR="007A4B2D">
              <w:rPr>
                <w:rFonts w:ascii="Arial Narrow" w:hAnsi="Arial Narrow"/>
                <w:color w:val="000000"/>
                <w:sz w:val="20"/>
                <w:szCs w:val="20"/>
                <w:lang w:val="en-AU"/>
              </w:rPr>
              <w:t xml:space="preserve"> + 50</w:t>
            </w:r>
          </w:p>
        </w:tc>
        <w:tc>
          <w:tcPr>
            <w:tcW w:w="122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10/200/150/150</w:t>
            </w:r>
          </w:p>
        </w:tc>
        <w:tc>
          <w:tcPr>
            <w:tcW w:w="1222"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200/25/25</w:t>
            </w:r>
          </w:p>
        </w:tc>
      </w:tr>
      <w:tr w:rsidR="00051910" w:rsidRPr="003F4BE3" w:rsidTr="006E046F">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051910" w:rsidRPr="003F4BE3" w:rsidRDefault="00051910" w:rsidP="00351F4A">
            <w:pPr>
              <w:keepNext/>
              <w:rPr>
                <w:rFonts w:ascii="Arial Narrow" w:hAnsi="Arial Narrow"/>
                <w:color w:val="000000"/>
                <w:sz w:val="20"/>
                <w:szCs w:val="20"/>
                <w:lang w:val="en-AU"/>
              </w:rPr>
            </w:pPr>
            <w:r w:rsidRPr="003F4BE3">
              <w:rPr>
                <w:rFonts w:ascii="Arial Narrow" w:hAnsi="Arial Narrow"/>
                <w:color w:val="000000"/>
                <w:sz w:val="20"/>
                <w:szCs w:val="20"/>
                <w:lang w:val="en-AU"/>
              </w:rPr>
              <w:t>Dispensed price, maximum quantity (60 tablets)</w:t>
            </w:r>
          </w:p>
        </w:tc>
        <w:tc>
          <w:tcPr>
            <w:tcW w:w="1026"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Pr="00CE68A7">
              <w:rPr>
                <w:rFonts w:ascii="Arial Narrow" w:hAnsi="Arial Narrow"/>
                <w:color w:val="000000"/>
                <w:sz w:val="20"/>
                <w:szCs w:val="20"/>
                <w:lang w:val="en-AU"/>
              </w:rPr>
              <w:t>2,016.85</w:t>
            </w:r>
          </w:p>
        </w:tc>
        <w:tc>
          <w:tcPr>
            <w:tcW w:w="195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$1,500.85</w:t>
            </w:r>
            <w:r w:rsidR="007A4B2D">
              <w:rPr>
                <w:rFonts w:ascii="Arial Narrow" w:hAnsi="Arial Narrow"/>
                <w:color w:val="000000"/>
                <w:sz w:val="20"/>
                <w:szCs w:val="20"/>
                <w:lang w:val="en-AU"/>
              </w:rPr>
              <w:t xml:space="preserve"> + </w:t>
            </w:r>
            <w:r w:rsidR="007A4B2D" w:rsidRPr="003F4BE3">
              <w:rPr>
                <w:rFonts w:ascii="Arial Narrow" w:hAnsi="Arial Narrow"/>
                <w:color w:val="000000"/>
                <w:sz w:val="20"/>
                <w:szCs w:val="20"/>
                <w:lang w:val="en-AU"/>
              </w:rPr>
              <w:t xml:space="preserve">$1,378.25 </w:t>
            </w:r>
            <w:r w:rsidRPr="003F4BE3">
              <w:rPr>
                <w:rFonts w:ascii="Arial Narrow" w:hAnsi="Arial Narrow"/>
                <w:color w:val="000000"/>
                <w:sz w:val="20"/>
                <w:szCs w:val="20"/>
                <w:lang w:val="en-AU"/>
              </w:rPr>
              <w:t>= $2,879.10</w:t>
            </w:r>
          </w:p>
        </w:tc>
        <w:tc>
          <w:tcPr>
            <w:tcW w:w="122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$2,016.85</w:t>
            </w:r>
          </w:p>
        </w:tc>
        <w:tc>
          <w:tcPr>
            <w:tcW w:w="1222"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$2,016.85</w:t>
            </w:r>
          </w:p>
        </w:tc>
      </w:tr>
      <w:tr w:rsidR="00051910" w:rsidRPr="003F4BE3" w:rsidTr="006E046F">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051910" w:rsidRPr="003F4BE3" w:rsidRDefault="00051910" w:rsidP="00351F4A">
            <w:pPr>
              <w:keepNext/>
              <w:rPr>
                <w:rFonts w:ascii="Arial Narrow" w:hAnsi="Arial Narrow"/>
                <w:color w:val="000000"/>
                <w:sz w:val="20"/>
                <w:szCs w:val="20"/>
                <w:lang w:val="en-AU"/>
              </w:rPr>
            </w:pPr>
            <w:r w:rsidRPr="003F4BE3">
              <w:rPr>
                <w:rFonts w:ascii="Arial Narrow" w:hAnsi="Arial Narrow"/>
                <w:color w:val="000000"/>
                <w:sz w:val="20"/>
                <w:szCs w:val="20"/>
                <w:lang w:val="en-AU"/>
              </w:rPr>
              <w:t xml:space="preserve">Drug cost per 30 tablet pack </w:t>
            </w:r>
          </w:p>
        </w:tc>
        <w:tc>
          <w:tcPr>
            <w:tcW w:w="1026"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Pr="00CE68A7">
              <w:rPr>
                <w:rFonts w:ascii="Arial Narrow" w:hAnsi="Arial Narrow"/>
                <w:color w:val="000000"/>
                <w:sz w:val="20"/>
                <w:szCs w:val="20"/>
                <w:lang w:val="en-AU"/>
              </w:rPr>
              <w:t>1,008.43</w:t>
            </w:r>
          </w:p>
        </w:tc>
        <w:tc>
          <w:tcPr>
            <w:tcW w:w="195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$1,439.55</w:t>
            </w:r>
          </w:p>
        </w:tc>
        <w:tc>
          <w:tcPr>
            <w:tcW w:w="122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$1,008.43</w:t>
            </w:r>
          </w:p>
        </w:tc>
        <w:tc>
          <w:tcPr>
            <w:tcW w:w="1222"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$1,008.43</w:t>
            </w:r>
          </w:p>
        </w:tc>
      </w:tr>
      <w:tr w:rsidR="00051910" w:rsidRPr="003F4BE3" w:rsidTr="006E046F">
        <w:tc>
          <w:tcPr>
            <w:tcW w:w="3652" w:type="dxa"/>
            <w:tcBorders>
              <w:top w:val="nil"/>
              <w:left w:val="single" w:sz="4" w:space="0" w:color="auto"/>
              <w:bottom w:val="single" w:sz="4" w:space="0" w:color="auto"/>
              <w:right w:val="single" w:sz="4" w:space="0" w:color="auto"/>
            </w:tcBorders>
            <w:shd w:val="clear" w:color="auto" w:fill="auto"/>
            <w:noWrap/>
            <w:vAlign w:val="center"/>
            <w:hideMark/>
          </w:tcPr>
          <w:p w:rsidR="00051910" w:rsidRPr="003F4BE3" w:rsidRDefault="00051910" w:rsidP="00351F4A">
            <w:pPr>
              <w:keepNext/>
              <w:rPr>
                <w:rFonts w:ascii="Arial Narrow" w:hAnsi="Arial Narrow"/>
                <w:color w:val="000000"/>
                <w:sz w:val="20"/>
                <w:szCs w:val="20"/>
                <w:lang w:val="en-AU"/>
              </w:rPr>
            </w:pPr>
            <w:r w:rsidRPr="003F4BE3">
              <w:rPr>
                <w:rFonts w:ascii="Arial Narrow" w:hAnsi="Arial Narrow"/>
                <w:color w:val="000000"/>
                <w:sz w:val="20"/>
                <w:szCs w:val="20"/>
                <w:lang w:val="en-AU"/>
              </w:rPr>
              <w:t>Drug cost per 30 tablet pack (ex-manufacturer)</w:t>
            </w:r>
          </w:p>
        </w:tc>
        <w:tc>
          <w:tcPr>
            <w:tcW w:w="1026"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w:t>
            </w:r>
            <w:r w:rsidRPr="00CE68A7">
              <w:rPr>
                <w:rFonts w:ascii="Arial Narrow" w:hAnsi="Arial Narrow"/>
                <w:b/>
                <w:color w:val="000000"/>
                <w:sz w:val="20"/>
                <w:szCs w:val="20"/>
                <w:lang w:val="en-AU"/>
              </w:rPr>
              <w:t>984.85</w:t>
            </w:r>
          </w:p>
        </w:tc>
        <w:tc>
          <w:tcPr>
            <w:tcW w:w="195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$726.85</w:t>
            </w:r>
            <w:r w:rsidR="007A4B2D">
              <w:rPr>
                <w:rFonts w:ascii="Arial Narrow" w:hAnsi="Arial Narrow"/>
                <w:color w:val="000000"/>
                <w:sz w:val="20"/>
                <w:szCs w:val="20"/>
                <w:lang w:val="en-AU"/>
              </w:rPr>
              <w:t xml:space="preserve"> + $665.55</w:t>
            </w:r>
            <w:r w:rsidRPr="003F4BE3">
              <w:rPr>
                <w:rFonts w:ascii="Arial Narrow" w:hAnsi="Arial Narrow"/>
                <w:color w:val="000000"/>
                <w:sz w:val="20"/>
                <w:szCs w:val="20"/>
                <w:lang w:val="en-AU"/>
              </w:rPr>
              <w:t xml:space="preserve"> = </w:t>
            </w:r>
            <w:r w:rsidRPr="003F4BE3">
              <w:rPr>
                <w:rFonts w:ascii="Arial Narrow" w:hAnsi="Arial Narrow"/>
                <w:b/>
                <w:color w:val="000000"/>
                <w:sz w:val="20"/>
                <w:szCs w:val="20"/>
                <w:lang w:val="en-AU"/>
              </w:rPr>
              <w:t>$1,392.40</w:t>
            </w:r>
          </w:p>
        </w:tc>
        <w:tc>
          <w:tcPr>
            <w:tcW w:w="1221"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$984.85</w:t>
            </w:r>
          </w:p>
        </w:tc>
        <w:tc>
          <w:tcPr>
            <w:tcW w:w="1222" w:type="dxa"/>
            <w:tcBorders>
              <w:top w:val="nil"/>
              <w:left w:val="nil"/>
              <w:bottom w:val="single" w:sz="4" w:space="0" w:color="auto"/>
              <w:right w:val="single" w:sz="4" w:space="0" w:color="auto"/>
            </w:tcBorders>
            <w:shd w:val="clear" w:color="auto" w:fill="auto"/>
            <w:noWrap/>
            <w:vAlign w:val="center"/>
            <w:hideMark/>
          </w:tcPr>
          <w:p w:rsidR="00051910" w:rsidRPr="003F4BE3" w:rsidRDefault="00051910" w:rsidP="00351F4A">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$984.85</w:t>
            </w:r>
          </w:p>
        </w:tc>
      </w:tr>
    </w:tbl>
    <w:p w:rsidR="00051910" w:rsidRPr="003F4BE3" w:rsidRDefault="00051910" w:rsidP="00051910">
      <w:pPr>
        <w:pStyle w:val="TableFooter"/>
      </w:pPr>
      <w:proofErr w:type="gramStart"/>
      <w:r w:rsidRPr="003F4BE3">
        <w:t>mg</w:t>
      </w:r>
      <w:proofErr w:type="gramEnd"/>
      <w:r w:rsidRPr="003F4BE3">
        <w:t xml:space="preserve"> = milligram; NA = not available; PBS =</w:t>
      </w:r>
      <w:r w:rsidR="00330F58">
        <w:t xml:space="preserve"> Pharmaceutical Benefits Scheme</w:t>
      </w:r>
    </w:p>
    <w:p w:rsidR="00051910" w:rsidRDefault="00051910" w:rsidP="00051910">
      <w:pPr>
        <w:pStyle w:val="TableFooter"/>
      </w:pPr>
      <w:r w:rsidRPr="003F4BE3">
        <w:t>Source: Tabl</w:t>
      </w:r>
      <w:r w:rsidR="00330F58">
        <w:t>e 3.3, p 95 of the submission.</w:t>
      </w:r>
    </w:p>
    <w:p w:rsidR="00051910" w:rsidRPr="00A36B06" w:rsidRDefault="00051910" w:rsidP="00330F58">
      <w:pPr>
        <w:pStyle w:val="ListParagraph"/>
        <w:widowControl/>
        <w:numPr>
          <w:ilvl w:val="1"/>
          <w:numId w:val="3"/>
        </w:numPr>
        <w:spacing w:before="160"/>
      </w:pPr>
      <w:r w:rsidRPr="00A36B06">
        <w:rPr>
          <w:rFonts w:asciiTheme="minorHAnsi" w:hAnsiTheme="minorHAnsi"/>
          <w:color w:val="000000" w:themeColor="text1"/>
        </w:rPr>
        <w:t xml:space="preserve">The </w:t>
      </w:r>
      <w:r w:rsidR="0037238F" w:rsidRPr="00A36B06">
        <w:rPr>
          <w:rFonts w:asciiTheme="minorHAnsi" w:hAnsiTheme="minorHAnsi"/>
          <w:color w:val="000000" w:themeColor="text1"/>
        </w:rPr>
        <w:t xml:space="preserve">ESC considered that the </w:t>
      </w:r>
      <w:r w:rsidRPr="00A36B06">
        <w:rPr>
          <w:rFonts w:asciiTheme="minorHAnsi" w:hAnsiTheme="minorHAnsi"/>
          <w:color w:val="000000" w:themeColor="text1"/>
        </w:rPr>
        <w:t xml:space="preserve">three nominated comparators </w:t>
      </w:r>
      <w:r w:rsidR="00D511D7" w:rsidRPr="00A36B06">
        <w:rPr>
          <w:rFonts w:asciiTheme="minorHAnsi" w:hAnsiTheme="minorHAnsi"/>
          <w:color w:val="000000" w:themeColor="text1"/>
        </w:rPr>
        <w:t>were</w:t>
      </w:r>
      <w:r w:rsidR="0037238F" w:rsidRPr="00A36B06">
        <w:rPr>
          <w:rFonts w:asciiTheme="minorHAnsi" w:hAnsiTheme="minorHAnsi"/>
          <w:color w:val="000000" w:themeColor="text1"/>
        </w:rPr>
        <w:t xml:space="preserve"> not </w:t>
      </w:r>
      <w:r w:rsidRPr="00A36B06">
        <w:rPr>
          <w:rFonts w:asciiTheme="minorHAnsi" w:hAnsiTheme="minorHAnsi"/>
          <w:color w:val="000000" w:themeColor="text1"/>
        </w:rPr>
        <w:t xml:space="preserve">the only relevant </w:t>
      </w:r>
      <w:r w:rsidR="00581047" w:rsidRPr="00A36B06">
        <w:rPr>
          <w:rFonts w:asciiTheme="minorHAnsi" w:hAnsiTheme="minorHAnsi"/>
          <w:color w:val="000000" w:themeColor="text1"/>
        </w:rPr>
        <w:t>alternative therapies</w:t>
      </w:r>
      <w:r w:rsidRPr="00A36B06">
        <w:rPr>
          <w:rFonts w:asciiTheme="minorHAnsi" w:hAnsiTheme="minorHAnsi"/>
          <w:color w:val="000000" w:themeColor="text1"/>
        </w:rPr>
        <w:t xml:space="preserve">. Several other regimens were identified as </w:t>
      </w:r>
      <w:r w:rsidR="004A0F1B" w:rsidRPr="00A36B06">
        <w:rPr>
          <w:rFonts w:asciiTheme="minorHAnsi" w:hAnsiTheme="minorHAnsi"/>
          <w:color w:val="000000" w:themeColor="text1"/>
        </w:rPr>
        <w:t>alternative therapies</w:t>
      </w:r>
      <w:r w:rsidRPr="00A36B06">
        <w:rPr>
          <w:rFonts w:asciiTheme="minorHAnsi" w:hAnsiTheme="minorHAnsi"/>
          <w:color w:val="000000" w:themeColor="text1"/>
        </w:rPr>
        <w:t xml:space="preserve">. These are presented in Table </w:t>
      </w:r>
      <w:r w:rsidR="00D216D1" w:rsidRPr="00A36B06">
        <w:rPr>
          <w:rFonts w:asciiTheme="minorHAnsi" w:hAnsiTheme="minorHAnsi"/>
          <w:color w:val="000000" w:themeColor="text1"/>
        </w:rPr>
        <w:t>9</w:t>
      </w:r>
      <w:r w:rsidR="00CD4EE9" w:rsidRPr="00A36B06">
        <w:rPr>
          <w:rFonts w:asciiTheme="minorHAnsi" w:hAnsiTheme="minorHAnsi"/>
          <w:color w:val="000000" w:themeColor="text1"/>
        </w:rPr>
        <w:t>.</w:t>
      </w:r>
    </w:p>
    <w:p w:rsidR="00D216D1" w:rsidRPr="003F4BE3" w:rsidRDefault="00D216D1" w:rsidP="00364590">
      <w:pPr>
        <w:keepNext/>
        <w:rPr>
          <w:rStyle w:val="CommentReference"/>
          <w:lang w:val="en-AU"/>
        </w:rPr>
      </w:pPr>
      <w:r w:rsidRPr="003F4BE3">
        <w:rPr>
          <w:rStyle w:val="CommentReference"/>
          <w:lang w:val="en-AU"/>
        </w:rPr>
        <w:t>Table 9: Potential comparators – fixed dose combinations for the treatment of HIV</w:t>
      </w:r>
    </w:p>
    <w:tbl>
      <w:tblPr>
        <w:tblW w:w="9072" w:type="dxa"/>
        <w:tblInd w:w="29" w:type="dxa"/>
        <w:tblLayout w:type="fixed"/>
        <w:tblCellMar>
          <w:left w:w="29" w:type="dxa"/>
          <w:right w:w="29" w:type="dxa"/>
        </w:tblCellMar>
        <w:tblLook w:val="04A0" w:firstRow="1" w:lastRow="0" w:firstColumn="1" w:lastColumn="0" w:noHBand="0" w:noVBand="1"/>
      </w:tblPr>
      <w:tblGrid>
        <w:gridCol w:w="4338"/>
        <w:gridCol w:w="1062"/>
        <w:gridCol w:w="837"/>
        <w:gridCol w:w="993"/>
        <w:gridCol w:w="850"/>
        <w:gridCol w:w="992"/>
      </w:tblGrid>
      <w:tr w:rsidR="00D216D1" w:rsidRPr="003F4BE3" w:rsidTr="00F26AE7">
        <w:trPr>
          <w:trHeight w:val="260"/>
        </w:trPr>
        <w:tc>
          <w:tcPr>
            <w:tcW w:w="4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6D1" w:rsidRPr="003F4BE3" w:rsidRDefault="00D216D1" w:rsidP="00364590">
            <w:pPr>
              <w:keepNext/>
              <w:rPr>
                <w:rFonts w:ascii="Arial Narrow" w:hAnsi="Arial Narrow"/>
                <w:b/>
                <w:color w:val="000000"/>
                <w:sz w:val="20"/>
                <w:szCs w:val="20"/>
                <w:lang w:val="en-AU"/>
              </w:rPr>
            </w:pPr>
            <w:r w:rsidRPr="003F4BE3">
              <w:rPr>
                <w:rFonts w:ascii="Arial Narrow" w:hAnsi="Arial Narrow"/>
                <w:b/>
                <w:color w:val="000000"/>
                <w:sz w:val="20"/>
                <w:szCs w:val="20"/>
                <w:lang w:val="en-AU"/>
              </w:rPr>
              <w:t>Drug name</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Brand name</w:t>
            </w:r>
          </w:p>
        </w:tc>
        <w:tc>
          <w:tcPr>
            <w:tcW w:w="837" w:type="dxa"/>
            <w:tcBorders>
              <w:top w:val="single" w:sz="4" w:space="0" w:color="auto"/>
              <w:left w:val="nil"/>
              <w:bottom w:val="single" w:sz="4" w:space="0" w:color="auto"/>
              <w:right w:val="single" w:sz="4" w:space="0" w:color="auto"/>
            </w:tcBorders>
            <w:vAlign w:val="center"/>
          </w:tcPr>
          <w:p w:rsidR="00D216D1" w:rsidRPr="003F4BE3" w:rsidDel="00AE6199" w:rsidRDefault="00D216D1" w:rsidP="00364590">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Qty</w:t>
            </w:r>
            <w:r w:rsidR="00BE5ECD" w:rsidRPr="003F4BE3">
              <w:rPr>
                <w:rFonts w:ascii="Arial Narrow" w:hAnsi="Arial Narrow"/>
                <w:b/>
                <w:color w:val="000000"/>
                <w:sz w:val="20"/>
                <w:szCs w:val="20"/>
                <w:lang w:val="en-AU"/>
              </w:rPr>
              <w:t>/pack</w:t>
            </w:r>
            <w:r w:rsidRPr="003F4BE3">
              <w:rPr>
                <w:rFonts w:ascii="Arial Narrow" w:hAnsi="Arial Narrow"/>
                <w:b/>
                <w:color w:val="000000"/>
                <w:sz w:val="20"/>
                <w:szCs w:val="20"/>
                <w:lang w:val="en-AU"/>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6D1" w:rsidRPr="003F4BE3" w:rsidRDefault="00BE5ECD" w:rsidP="00364590">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Ex-man/pack</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Backbone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b/>
                <w:color w:val="000000"/>
                <w:sz w:val="20"/>
                <w:szCs w:val="20"/>
                <w:lang w:val="en-AU"/>
              </w:rPr>
            </w:pPr>
            <w:r w:rsidRPr="003F4BE3">
              <w:rPr>
                <w:rFonts w:ascii="Arial Narrow" w:hAnsi="Arial Narrow"/>
                <w:b/>
                <w:color w:val="000000"/>
                <w:sz w:val="20"/>
                <w:szCs w:val="20"/>
                <w:lang w:val="en-AU"/>
              </w:rPr>
              <w:t>Non-inferior?</w:t>
            </w:r>
          </w:p>
        </w:tc>
      </w:tr>
      <w:tr w:rsidR="00D216D1" w:rsidRPr="003F4BE3" w:rsidTr="00F26AE7">
        <w:tc>
          <w:tcPr>
            <w:tcW w:w="4338" w:type="dxa"/>
            <w:tcBorders>
              <w:top w:val="nil"/>
              <w:left w:val="single" w:sz="4" w:space="0" w:color="auto"/>
              <w:bottom w:val="dashed" w:sz="4" w:space="0" w:color="auto"/>
              <w:right w:val="single" w:sz="4" w:space="0" w:color="auto"/>
            </w:tcBorders>
            <w:shd w:val="clear" w:color="auto" w:fill="auto"/>
            <w:noWrap/>
            <w:vAlign w:val="center"/>
          </w:tcPr>
          <w:p w:rsidR="00D216D1" w:rsidRPr="003F4BE3" w:rsidRDefault="00D216D1" w:rsidP="00364590">
            <w:pPr>
              <w:keepNext/>
              <w:rPr>
                <w:rFonts w:ascii="Arial Narrow" w:hAnsi="Arial Narrow"/>
                <w:color w:val="000000"/>
                <w:sz w:val="20"/>
                <w:szCs w:val="20"/>
                <w:lang w:val="en-AU"/>
              </w:rPr>
            </w:pPr>
            <w:r w:rsidRPr="003F4BE3">
              <w:rPr>
                <w:rFonts w:ascii="Arial Narrow" w:hAnsi="Arial Narrow"/>
                <w:color w:val="000000"/>
                <w:sz w:val="20"/>
                <w:szCs w:val="20"/>
                <w:lang w:val="en-AU"/>
              </w:rPr>
              <w:t>TAF 10mg or 25mg, emtricitabine 200mg</w:t>
            </w:r>
          </w:p>
        </w:tc>
        <w:tc>
          <w:tcPr>
            <w:tcW w:w="1062" w:type="dxa"/>
            <w:tcBorders>
              <w:top w:val="nil"/>
              <w:left w:val="nil"/>
              <w:bottom w:val="dashed" w:sz="4" w:space="0" w:color="auto"/>
              <w:right w:val="single" w:sz="4" w:space="0" w:color="auto"/>
            </w:tcBorders>
            <w:shd w:val="clear" w:color="auto" w:fill="auto"/>
            <w:noWrap/>
            <w:vAlign w:val="center"/>
          </w:tcPr>
          <w:p w:rsidR="00D216D1" w:rsidRPr="003F4BE3" w:rsidRDefault="00771872" w:rsidP="00364590">
            <w:pPr>
              <w:keepNext/>
              <w:jc w:val="center"/>
              <w:rPr>
                <w:rFonts w:ascii="Arial Narrow" w:hAnsi="Arial Narrow"/>
                <w:color w:val="000000"/>
                <w:sz w:val="20"/>
                <w:szCs w:val="20"/>
                <w:lang w:val="en-AU"/>
              </w:rPr>
            </w:pPr>
            <w:r>
              <w:rPr>
                <w:rFonts w:ascii="Arial Narrow" w:hAnsi="Arial Narrow"/>
                <w:color w:val="000000"/>
                <w:sz w:val="20"/>
                <w:szCs w:val="20"/>
                <w:lang w:val="en-AU"/>
              </w:rPr>
              <w:t>*</w:t>
            </w:r>
            <w:r w:rsidR="00D216D1" w:rsidRPr="003F4BE3">
              <w:rPr>
                <w:rFonts w:ascii="Arial Narrow" w:hAnsi="Arial Narrow"/>
                <w:color w:val="000000"/>
                <w:sz w:val="20"/>
                <w:szCs w:val="20"/>
                <w:lang w:val="en-AU"/>
              </w:rPr>
              <w:t>DESCOVY®</w:t>
            </w:r>
          </w:p>
        </w:tc>
        <w:tc>
          <w:tcPr>
            <w:tcW w:w="837" w:type="dxa"/>
            <w:tcBorders>
              <w:top w:val="nil"/>
              <w:left w:val="nil"/>
              <w:bottom w:val="dashed" w:sz="4" w:space="0" w:color="auto"/>
              <w:right w:val="single" w:sz="4" w:space="0" w:color="auto"/>
            </w:tcBorders>
            <w:vAlign w:val="center"/>
          </w:tcPr>
          <w:p w:rsidR="00D216D1"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dashed"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00BE5ECD" w:rsidRPr="003F4BE3">
              <w:rPr>
                <w:rFonts w:ascii="Arial Narrow" w:hAnsi="Arial Narrow"/>
                <w:color w:val="000000"/>
                <w:sz w:val="20"/>
                <w:szCs w:val="20"/>
                <w:lang w:val="en-AU"/>
              </w:rPr>
              <w:t>726.85</w:t>
            </w:r>
          </w:p>
        </w:tc>
        <w:tc>
          <w:tcPr>
            <w:tcW w:w="850" w:type="dxa"/>
            <w:vMerge w:val="restart"/>
            <w:tcBorders>
              <w:top w:val="nil"/>
              <w:left w:val="nil"/>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TAF</w:t>
            </w:r>
          </w:p>
        </w:tc>
        <w:tc>
          <w:tcPr>
            <w:tcW w:w="992" w:type="dxa"/>
            <w:vMerge w:val="restart"/>
            <w:tcBorders>
              <w:top w:val="nil"/>
              <w:left w:val="nil"/>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 xml:space="preserve">Yes </w:t>
            </w:r>
          </w:p>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(Trial 1490)</w:t>
            </w:r>
          </w:p>
        </w:tc>
      </w:tr>
      <w:tr w:rsidR="00D216D1" w:rsidRPr="003F4BE3" w:rsidTr="00F26AE7">
        <w:tc>
          <w:tcPr>
            <w:tcW w:w="4338" w:type="dxa"/>
            <w:tcBorders>
              <w:top w:val="dashed" w:sz="4" w:space="0" w:color="auto"/>
              <w:left w:val="single" w:sz="4" w:space="0" w:color="auto"/>
              <w:bottom w:val="single" w:sz="4" w:space="0" w:color="auto"/>
              <w:right w:val="single" w:sz="4" w:space="0" w:color="auto"/>
            </w:tcBorders>
            <w:shd w:val="clear" w:color="auto" w:fill="auto"/>
            <w:noWrap/>
            <w:vAlign w:val="center"/>
          </w:tcPr>
          <w:p w:rsidR="00D216D1" w:rsidRPr="003F4BE3" w:rsidRDefault="00D216D1" w:rsidP="00364590">
            <w:pPr>
              <w:keepNext/>
              <w:rPr>
                <w:rFonts w:ascii="Arial Narrow" w:hAnsi="Arial Narrow"/>
                <w:color w:val="000000"/>
                <w:sz w:val="20"/>
                <w:szCs w:val="20"/>
                <w:lang w:val="en-AU"/>
              </w:rPr>
            </w:pPr>
            <w:proofErr w:type="spellStart"/>
            <w:r w:rsidRPr="003F4BE3">
              <w:rPr>
                <w:rFonts w:ascii="Arial Narrow" w:hAnsi="Arial Narrow"/>
                <w:color w:val="000000"/>
                <w:sz w:val="20"/>
                <w:szCs w:val="20"/>
                <w:lang w:val="en-AU"/>
              </w:rPr>
              <w:t>Dolutegravir</w:t>
            </w:r>
            <w:proofErr w:type="spellEnd"/>
            <w:r w:rsidRPr="003F4BE3">
              <w:rPr>
                <w:rFonts w:ascii="Arial Narrow" w:hAnsi="Arial Narrow"/>
                <w:color w:val="000000"/>
                <w:sz w:val="20"/>
                <w:szCs w:val="20"/>
                <w:lang w:val="en-AU"/>
              </w:rPr>
              <w:t xml:space="preserve"> 50mg</w:t>
            </w:r>
          </w:p>
        </w:tc>
        <w:tc>
          <w:tcPr>
            <w:tcW w:w="1062" w:type="dxa"/>
            <w:tcBorders>
              <w:top w:val="dashed" w:sz="4" w:space="0" w:color="auto"/>
              <w:left w:val="nil"/>
              <w:bottom w:val="single" w:sz="4" w:space="0" w:color="auto"/>
              <w:right w:val="single" w:sz="4" w:space="0" w:color="auto"/>
            </w:tcBorders>
            <w:shd w:val="clear" w:color="auto" w:fill="auto"/>
            <w:noWrap/>
            <w:vAlign w:val="center"/>
          </w:tcPr>
          <w:p w:rsidR="00D216D1" w:rsidRPr="003F4BE3" w:rsidRDefault="00771872" w:rsidP="00364590">
            <w:pPr>
              <w:keepNext/>
              <w:jc w:val="center"/>
              <w:rPr>
                <w:rFonts w:ascii="Arial Narrow" w:hAnsi="Arial Narrow"/>
                <w:color w:val="000000"/>
                <w:sz w:val="20"/>
                <w:szCs w:val="20"/>
                <w:lang w:val="en-AU"/>
              </w:rPr>
            </w:pPr>
            <w:r>
              <w:rPr>
                <w:rFonts w:ascii="Arial Narrow" w:hAnsi="Arial Narrow"/>
                <w:color w:val="000000"/>
                <w:sz w:val="20"/>
                <w:szCs w:val="20"/>
                <w:lang w:val="en-AU"/>
              </w:rPr>
              <w:t>*</w:t>
            </w:r>
            <w:r w:rsidR="00D216D1" w:rsidRPr="003F4BE3">
              <w:rPr>
                <w:rFonts w:ascii="Arial Narrow" w:hAnsi="Arial Narrow"/>
                <w:color w:val="000000"/>
                <w:sz w:val="20"/>
                <w:szCs w:val="20"/>
                <w:lang w:val="en-AU"/>
              </w:rPr>
              <w:t>TIVICAY®</w:t>
            </w:r>
          </w:p>
        </w:tc>
        <w:tc>
          <w:tcPr>
            <w:tcW w:w="837" w:type="dxa"/>
            <w:tcBorders>
              <w:top w:val="dashed" w:sz="4" w:space="0" w:color="auto"/>
              <w:left w:val="nil"/>
              <w:bottom w:val="single" w:sz="4" w:space="0" w:color="auto"/>
              <w:right w:val="single" w:sz="4" w:space="0" w:color="auto"/>
            </w:tcBorders>
            <w:vAlign w:val="center"/>
          </w:tcPr>
          <w:p w:rsidR="00D216D1"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dashed" w:sz="4" w:space="0" w:color="auto"/>
              <w:left w:val="single" w:sz="4" w:space="0" w:color="auto"/>
              <w:bottom w:val="single" w:sz="4" w:space="0" w:color="auto"/>
              <w:right w:val="single" w:sz="4" w:space="0" w:color="auto"/>
            </w:tcBorders>
            <w:shd w:val="clear" w:color="auto" w:fill="auto"/>
            <w:noWrap/>
            <w:vAlign w:val="center"/>
          </w:tcPr>
          <w:p w:rsidR="00D216D1" w:rsidRPr="003F4BE3" w:rsidRDefault="00D216D1" w:rsidP="007A4B2D">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007A4B2D">
              <w:rPr>
                <w:rFonts w:ascii="Arial Narrow" w:hAnsi="Arial Narrow"/>
                <w:color w:val="000000"/>
                <w:sz w:val="20"/>
                <w:szCs w:val="20"/>
                <w:lang w:val="en-AU"/>
              </w:rPr>
              <w:t>665.55</w:t>
            </w:r>
          </w:p>
        </w:tc>
        <w:tc>
          <w:tcPr>
            <w:tcW w:w="850" w:type="dxa"/>
            <w:vMerge/>
            <w:tcBorders>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p>
        </w:tc>
        <w:tc>
          <w:tcPr>
            <w:tcW w:w="992" w:type="dxa"/>
            <w:vMerge/>
            <w:tcBorders>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p>
        </w:tc>
      </w:tr>
      <w:tr w:rsidR="00D216D1" w:rsidRPr="003F4BE3" w:rsidTr="00F26AE7">
        <w:tc>
          <w:tcPr>
            <w:tcW w:w="4338" w:type="dxa"/>
            <w:tcBorders>
              <w:top w:val="nil"/>
              <w:left w:val="single" w:sz="4" w:space="0" w:color="auto"/>
              <w:bottom w:val="single" w:sz="4" w:space="0" w:color="auto"/>
              <w:right w:val="single" w:sz="4" w:space="0" w:color="auto"/>
            </w:tcBorders>
            <w:shd w:val="clear" w:color="auto" w:fill="auto"/>
            <w:noWrap/>
            <w:vAlign w:val="center"/>
          </w:tcPr>
          <w:p w:rsidR="00D216D1" w:rsidRPr="00771872" w:rsidRDefault="00D216D1" w:rsidP="00364590">
            <w:pPr>
              <w:keepNext/>
              <w:rPr>
                <w:rFonts w:ascii="Arial Narrow" w:hAnsi="Arial Narrow"/>
                <w:color w:val="000000"/>
                <w:sz w:val="20"/>
                <w:szCs w:val="20"/>
                <w:lang w:val="en-AU"/>
              </w:rPr>
            </w:pPr>
            <w:r w:rsidRPr="00771872">
              <w:rPr>
                <w:rFonts w:ascii="Arial Narrow" w:hAnsi="Arial Narrow"/>
                <w:color w:val="000000"/>
                <w:sz w:val="20"/>
                <w:szCs w:val="20"/>
                <w:lang w:val="en-AU"/>
              </w:rPr>
              <w:t xml:space="preserve">TAF 10mg, emtricitabine 200mg, </w:t>
            </w:r>
            <w:proofErr w:type="spellStart"/>
            <w:r w:rsidRPr="00771872">
              <w:rPr>
                <w:rFonts w:ascii="Arial Narrow" w:hAnsi="Arial Narrow"/>
                <w:color w:val="000000"/>
                <w:sz w:val="20"/>
                <w:szCs w:val="20"/>
                <w:lang w:val="en-AU"/>
              </w:rPr>
              <w:t>elvitegravir</w:t>
            </w:r>
            <w:proofErr w:type="spellEnd"/>
            <w:r w:rsidRPr="00771872">
              <w:rPr>
                <w:rFonts w:ascii="Arial Narrow" w:hAnsi="Arial Narrow"/>
                <w:color w:val="000000"/>
                <w:sz w:val="20"/>
                <w:szCs w:val="20"/>
                <w:lang w:val="en-AU"/>
              </w:rPr>
              <w:t xml:space="preserve"> 150mg &amp; cobicistat 150mg</w:t>
            </w:r>
          </w:p>
        </w:tc>
        <w:tc>
          <w:tcPr>
            <w:tcW w:w="1062" w:type="dxa"/>
            <w:tcBorders>
              <w:top w:val="nil"/>
              <w:left w:val="nil"/>
              <w:bottom w:val="single" w:sz="4" w:space="0" w:color="auto"/>
              <w:right w:val="single" w:sz="4" w:space="0" w:color="auto"/>
            </w:tcBorders>
            <w:shd w:val="clear" w:color="auto" w:fill="auto"/>
            <w:noWrap/>
            <w:vAlign w:val="center"/>
          </w:tcPr>
          <w:p w:rsidR="00D216D1" w:rsidRPr="00771872" w:rsidRDefault="00D216D1"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GENVOYA®</w:t>
            </w:r>
          </w:p>
        </w:tc>
        <w:tc>
          <w:tcPr>
            <w:tcW w:w="837" w:type="dxa"/>
            <w:tcBorders>
              <w:top w:val="nil"/>
              <w:left w:val="nil"/>
              <w:bottom w:val="single" w:sz="4" w:space="0" w:color="auto"/>
              <w:right w:val="single" w:sz="4" w:space="0" w:color="auto"/>
            </w:tcBorders>
            <w:vAlign w:val="center"/>
          </w:tcPr>
          <w:p w:rsidR="00D216D1" w:rsidRPr="003F4BE3" w:rsidRDefault="00BE5EC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00BE5ECD" w:rsidRPr="003F4BE3">
              <w:rPr>
                <w:rFonts w:ascii="Arial Narrow" w:hAnsi="Arial Narrow"/>
                <w:color w:val="000000"/>
                <w:sz w:val="20"/>
                <w:szCs w:val="20"/>
                <w:lang w:val="en-AU"/>
              </w:rPr>
              <w:t>984.85</w:t>
            </w:r>
          </w:p>
        </w:tc>
        <w:tc>
          <w:tcPr>
            <w:tcW w:w="850" w:type="dxa"/>
            <w:tcBorders>
              <w:top w:val="nil"/>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TAF</w:t>
            </w:r>
          </w:p>
        </w:tc>
        <w:tc>
          <w:tcPr>
            <w:tcW w:w="992" w:type="dxa"/>
            <w:tcBorders>
              <w:top w:val="nil"/>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(assumed)</w:t>
            </w:r>
          </w:p>
        </w:tc>
      </w:tr>
      <w:tr w:rsidR="00D216D1" w:rsidRPr="003F4BE3" w:rsidTr="00F26AE7">
        <w:tc>
          <w:tcPr>
            <w:tcW w:w="4338" w:type="dxa"/>
            <w:tcBorders>
              <w:top w:val="nil"/>
              <w:left w:val="single" w:sz="4" w:space="0" w:color="auto"/>
              <w:bottom w:val="double" w:sz="4" w:space="0" w:color="auto"/>
              <w:right w:val="single" w:sz="4" w:space="0" w:color="auto"/>
            </w:tcBorders>
            <w:shd w:val="clear" w:color="auto" w:fill="auto"/>
            <w:noWrap/>
            <w:vAlign w:val="center"/>
          </w:tcPr>
          <w:p w:rsidR="00D216D1" w:rsidRPr="00771872" w:rsidRDefault="00D216D1" w:rsidP="00364590">
            <w:pPr>
              <w:keepNext/>
              <w:rPr>
                <w:rFonts w:ascii="Arial Narrow" w:hAnsi="Arial Narrow"/>
                <w:color w:val="000000"/>
                <w:sz w:val="20"/>
                <w:szCs w:val="20"/>
                <w:lang w:val="en-AU"/>
              </w:rPr>
            </w:pPr>
            <w:r w:rsidRPr="00771872">
              <w:rPr>
                <w:rFonts w:ascii="Arial Narrow" w:hAnsi="Arial Narrow"/>
                <w:color w:val="000000"/>
                <w:sz w:val="20"/>
                <w:szCs w:val="20"/>
                <w:lang w:val="en-AU"/>
              </w:rPr>
              <w:t xml:space="preserve">TAF 25mg, emtricitabine 200mg, &amp; </w:t>
            </w:r>
            <w:proofErr w:type="spellStart"/>
            <w:r w:rsidRPr="00771872">
              <w:rPr>
                <w:rFonts w:ascii="Arial Narrow" w:hAnsi="Arial Narrow"/>
                <w:color w:val="000000"/>
                <w:sz w:val="20"/>
                <w:szCs w:val="20"/>
                <w:lang w:val="en-AU"/>
              </w:rPr>
              <w:t>rilpivirine</w:t>
            </w:r>
            <w:proofErr w:type="spellEnd"/>
            <w:r w:rsidRPr="00771872">
              <w:rPr>
                <w:rFonts w:ascii="Arial Narrow" w:hAnsi="Arial Narrow"/>
                <w:color w:val="000000"/>
                <w:sz w:val="20"/>
                <w:szCs w:val="20"/>
                <w:lang w:val="en-AU"/>
              </w:rPr>
              <w:t xml:space="preserve"> 25mg</w:t>
            </w:r>
          </w:p>
        </w:tc>
        <w:tc>
          <w:tcPr>
            <w:tcW w:w="1062" w:type="dxa"/>
            <w:tcBorders>
              <w:top w:val="nil"/>
              <w:left w:val="nil"/>
              <w:bottom w:val="double" w:sz="4" w:space="0" w:color="auto"/>
              <w:right w:val="single" w:sz="4" w:space="0" w:color="auto"/>
            </w:tcBorders>
            <w:shd w:val="clear" w:color="auto" w:fill="auto"/>
            <w:noWrap/>
            <w:vAlign w:val="center"/>
          </w:tcPr>
          <w:p w:rsidR="00D216D1" w:rsidRPr="00771872" w:rsidRDefault="00D216D1"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ODEFSEY®</w:t>
            </w:r>
          </w:p>
        </w:tc>
        <w:tc>
          <w:tcPr>
            <w:tcW w:w="837" w:type="dxa"/>
            <w:tcBorders>
              <w:top w:val="nil"/>
              <w:left w:val="nil"/>
              <w:bottom w:val="double" w:sz="4" w:space="0" w:color="auto"/>
              <w:right w:val="single" w:sz="4" w:space="0" w:color="auto"/>
            </w:tcBorders>
            <w:vAlign w:val="center"/>
          </w:tcPr>
          <w:p w:rsidR="00D216D1" w:rsidRPr="003F4BE3" w:rsidRDefault="00BE5EC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doub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00BE5ECD" w:rsidRPr="003F4BE3">
              <w:rPr>
                <w:rFonts w:ascii="Arial Narrow" w:hAnsi="Arial Narrow"/>
                <w:color w:val="000000"/>
                <w:sz w:val="20"/>
                <w:szCs w:val="20"/>
                <w:lang w:val="en-AU"/>
              </w:rPr>
              <w:t>984.85</w:t>
            </w:r>
          </w:p>
        </w:tc>
        <w:tc>
          <w:tcPr>
            <w:tcW w:w="850" w:type="dxa"/>
            <w:tcBorders>
              <w:top w:val="nil"/>
              <w:left w:val="nil"/>
              <w:bottom w:val="doub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TAF</w:t>
            </w:r>
          </w:p>
        </w:tc>
        <w:tc>
          <w:tcPr>
            <w:tcW w:w="992" w:type="dxa"/>
            <w:tcBorders>
              <w:top w:val="nil"/>
              <w:left w:val="nil"/>
              <w:bottom w:val="doub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 xml:space="preserve">Yes </w:t>
            </w:r>
          </w:p>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(assumed)</w:t>
            </w:r>
          </w:p>
        </w:tc>
      </w:tr>
      <w:tr w:rsidR="00D216D1" w:rsidRPr="003F4BE3" w:rsidTr="00F26AE7">
        <w:tc>
          <w:tcPr>
            <w:tcW w:w="4338" w:type="dxa"/>
            <w:tcBorders>
              <w:top w:val="double" w:sz="4" w:space="0" w:color="auto"/>
              <w:left w:val="single" w:sz="4" w:space="0" w:color="auto"/>
              <w:bottom w:val="single" w:sz="4" w:space="0" w:color="auto"/>
              <w:right w:val="single" w:sz="4" w:space="0" w:color="auto"/>
            </w:tcBorders>
            <w:shd w:val="clear" w:color="auto" w:fill="auto"/>
            <w:noWrap/>
            <w:vAlign w:val="center"/>
          </w:tcPr>
          <w:p w:rsidR="00D216D1" w:rsidRPr="003F4BE3" w:rsidRDefault="00D216D1" w:rsidP="00364590">
            <w:pPr>
              <w:keepNext/>
              <w:rPr>
                <w:rFonts w:ascii="Arial Narrow" w:hAnsi="Arial Narrow"/>
                <w:color w:val="000000"/>
                <w:sz w:val="20"/>
                <w:szCs w:val="20"/>
                <w:lang w:val="en-AU"/>
              </w:rPr>
            </w:pPr>
            <w:r w:rsidRPr="003F4BE3">
              <w:rPr>
                <w:rFonts w:ascii="Arial Narrow" w:hAnsi="Arial Narrow"/>
                <w:color w:val="000000"/>
                <w:sz w:val="20"/>
                <w:szCs w:val="20"/>
                <w:lang w:val="en-AU"/>
              </w:rPr>
              <w:t>TDF 300mg &amp; emtricitabine 200mg</w:t>
            </w:r>
          </w:p>
        </w:tc>
        <w:tc>
          <w:tcPr>
            <w:tcW w:w="1062" w:type="dxa"/>
            <w:tcBorders>
              <w:top w:val="double" w:sz="4" w:space="0" w:color="auto"/>
              <w:left w:val="nil"/>
              <w:bottom w:val="single" w:sz="4" w:space="0" w:color="auto"/>
              <w:right w:val="single" w:sz="4" w:space="0" w:color="auto"/>
            </w:tcBorders>
            <w:shd w:val="clear" w:color="auto" w:fill="auto"/>
            <w:noWrap/>
            <w:vAlign w:val="center"/>
          </w:tcPr>
          <w:p w:rsidR="00D216D1" w:rsidRPr="00771872" w:rsidRDefault="00771872" w:rsidP="00364590">
            <w:pPr>
              <w:keepNext/>
              <w:jc w:val="center"/>
              <w:rPr>
                <w:rFonts w:ascii="Arial Narrow" w:hAnsi="Arial Narrow"/>
                <w:color w:val="000000"/>
                <w:sz w:val="20"/>
                <w:szCs w:val="20"/>
                <w:lang w:val="en-AU"/>
              </w:rPr>
            </w:pPr>
            <w:r>
              <w:rPr>
                <w:rFonts w:ascii="Arial Narrow" w:hAnsi="Arial Narrow"/>
                <w:color w:val="000000"/>
                <w:sz w:val="20"/>
                <w:szCs w:val="20"/>
                <w:lang w:val="en-AU"/>
              </w:rPr>
              <w:t>*</w:t>
            </w:r>
            <w:r w:rsidR="00D216D1" w:rsidRPr="00771872">
              <w:rPr>
                <w:rFonts w:ascii="Arial Narrow" w:hAnsi="Arial Narrow"/>
                <w:color w:val="000000"/>
                <w:sz w:val="20"/>
                <w:szCs w:val="20"/>
                <w:lang w:val="en-AU"/>
              </w:rPr>
              <w:t>TRUVADA®</w:t>
            </w:r>
          </w:p>
        </w:tc>
        <w:tc>
          <w:tcPr>
            <w:tcW w:w="837" w:type="dxa"/>
            <w:tcBorders>
              <w:top w:val="double" w:sz="4" w:space="0" w:color="auto"/>
              <w:left w:val="nil"/>
              <w:bottom w:val="single" w:sz="4" w:space="0" w:color="auto"/>
              <w:right w:val="single" w:sz="4" w:space="0" w:color="auto"/>
            </w:tcBorders>
            <w:vAlign w:val="center"/>
          </w:tcPr>
          <w:p w:rsidR="00D216D1" w:rsidRPr="003F4BE3" w:rsidRDefault="00BE5EC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double" w:sz="4" w:space="0" w:color="auto"/>
              <w:left w:val="single" w:sz="4" w:space="0" w:color="auto"/>
              <w:bottom w:val="single" w:sz="4" w:space="0" w:color="auto"/>
              <w:right w:val="single" w:sz="4" w:space="0" w:color="auto"/>
            </w:tcBorders>
            <w:shd w:val="clear" w:color="auto" w:fill="auto"/>
            <w:noWrap/>
            <w:vAlign w:val="center"/>
          </w:tcPr>
          <w:p w:rsidR="00D216D1" w:rsidRPr="003F4BE3" w:rsidRDefault="00BE5EC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$610.55</w:t>
            </w:r>
          </w:p>
        </w:tc>
        <w:tc>
          <w:tcPr>
            <w:tcW w:w="850" w:type="dxa"/>
            <w:tcBorders>
              <w:top w:val="double" w:sz="4" w:space="0" w:color="auto"/>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TDF</w:t>
            </w:r>
          </w:p>
        </w:tc>
        <w:tc>
          <w:tcPr>
            <w:tcW w:w="992" w:type="dxa"/>
            <w:tcBorders>
              <w:top w:val="double" w:sz="4" w:space="0" w:color="auto"/>
              <w:left w:val="nil"/>
              <w:bottom w:val="single" w:sz="4" w:space="0" w:color="auto"/>
              <w:right w:val="single" w:sz="4" w:space="0" w:color="auto"/>
            </w:tcBorders>
            <w:shd w:val="clear" w:color="auto" w:fill="auto"/>
            <w:noWrap/>
            <w:vAlign w:val="center"/>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D216D1" w:rsidRPr="003F4BE3" w:rsidRDefault="00D216D1" w:rsidP="00364590">
            <w:pPr>
              <w:keepNext/>
              <w:jc w:val="center"/>
              <w:rPr>
                <w:rFonts w:ascii="Arial Narrow" w:hAnsi="Arial Narrow"/>
                <w:color w:val="000000"/>
                <w:sz w:val="20"/>
                <w:szCs w:val="20"/>
                <w:vertAlign w:val="superscript"/>
                <w:lang w:val="en-AU"/>
              </w:rPr>
            </w:pPr>
            <w:r w:rsidRPr="003F4BE3">
              <w:rPr>
                <w:rFonts w:ascii="Arial Narrow" w:hAnsi="Arial Narrow"/>
                <w:color w:val="000000"/>
                <w:sz w:val="20"/>
                <w:szCs w:val="20"/>
                <w:lang w:val="en-AU"/>
              </w:rPr>
              <w:t>(Trial 1878)</w:t>
            </w:r>
            <w:r w:rsidRPr="003F4BE3">
              <w:rPr>
                <w:rFonts w:ascii="Arial Narrow" w:hAnsi="Arial Narrow"/>
                <w:color w:val="000000"/>
                <w:sz w:val="20"/>
                <w:szCs w:val="20"/>
                <w:vertAlign w:val="superscript"/>
                <w:lang w:val="en-AU"/>
              </w:rPr>
              <w:t>a</w:t>
            </w:r>
          </w:p>
        </w:tc>
      </w:tr>
      <w:tr w:rsidR="00D216D1" w:rsidRPr="003F4BE3" w:rsidTr="00F26AE7">
        <w:tc>
          <w:tcPr>
            <w:tcW w:w="4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6D1" w:rsidRPr="00771872" w:rsidRDefault="00D216D1" w:rsidP="00364590">
            <w:pPr>
              <w:keepNext/>
              <w:rPr>
                <w:rFonts w:ascii="Arial Narrow" w:hAnsi="Arial Narrow"/>
                <w:color w:val="000000"/>
                <w:sz w:val="20"/>
                <w:szCs w:val="20"/>
                <w:lang w:val="en-AU"/>
              </w:rPr>
            </w:pPr>
            <w:r w:rsidRPr="00771872">
              <w:rPr>
                <w:rFonts w:ascii="Arial Narrow" w:hAnsi="Arial Narrow"/>
                <w:color w:val="000000"/>
                <w:sz w:val="20"/>
                <w:szCs w:val="20"/>
                <w:lang w:val="en-AU"/>
              </w:rPr>
              <w:t xml:space="preserve">TDF 300mg, emtricitabine 200mg, </w:t>
            </w:r>
            <w:proofErr w:type="spellStart"/>
            <w:r w:rsidRPr="00771872">
              <w:rPr>
                <w:rFonts w:ascii="Arial Narrow" w:hAnsi="Arial Narrow"/>
                <w:color w:val="000000"/>
                <w:sz w:val="20"/>
                <w:szCs w:val="20"/>
                <w:lang w:val="en-AU"/>
              </w:rPr>
              <w:t>elvitegravir</w:t>
            </w:r>
            <w:proofErr w:type="spellEnd"/>
            <w:r w:rsidRPr="00771872">
              <w:rPr>
                <w:rFonts w:ascii="Arial Narrow" w:hAnsi="Arial Narrow"/>
                <w:color w:val="000000"/>
                <w:sz w:val="20"/>
                <w:szCs w:val="20"/>
                <w:lang w:val="en-AU"/>
              </w:rPr>
              <w:t xml:space="preserve"> 150mg &amp; cobicistat 150mg</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216D1" w:rsidRPr="00771872" w:rsidRDefault="00D216D1"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STRIBILD®</w:t>
            </w:r>
          </w:p>
        </w:tc>
        <w:tc>
          <w:tcPr>
            <w:tcW w:w="837" w:type="dxa"/>
            <w:tcBorders>
              <w:top w:val="single" w:sz="4" w:space="0" w:color="auto"/>
              <w:left w:val="nil"/>
              <w:bottom w:val="single" w:sz="4" w:space="0" w:color="auto"/>
              <w:right w:val="single" w:sz="4" w:space="0" w:color="auto"/>
            </w:tcBorders>
            <w:vAlign w:val="center"/>
          </w:tcPr>
          <w:p w:rsidR="00D216D1"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w:t>
            </w:r>
            <w:r w:rsidR="00F375ED" w:rsidRPr="003F4BE3">
              <w:rPr>
                <w:rFonts w:ascii="Arial Narrow" w:hAnsi="Arial Narrow"/>
                <w:color w:val="000000"/>
                <w:sz w:val="20"/>
                <w:szCs w:val="20"/>
                <w:lang w:val="en-AU"/>
              </w:rPr>
              <w:t>868.55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TDF</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216D1" w:rsidRPr="003F4BE3" w:rsidRDefault="00D216D1" w:rsidP="00364590">
            <w:pPr>
              <w:keepNext/>
              <w:jc w:val="center"/>
              <w:rPr>
                <w:rFonts w:ascii="Arial Narrow" w:hAnsi="Arial Narrow"/>
                <w:color w:val="000000"/>
                <w:sz w:val="20"/>
                <w:szCs w:val="20"/>
                <w:vertAlign w:val="superscript"/>
                <w:lang w:val="en-AU"/>
              </w:rPr>
            </w:pPr>
            <w:r w:rsidRPr="003F4BE3">
              <w:rPr>
                <w:rFonts w:ascii="Arial Narrow" w:hAnsi="Arial Narrow"/>
                <w:color w:val="000000"/>
                <w:sz w:val="20"/>
                <w:szCs w:val="20"/>
                <w:lang w:val="en-AU"/>
              </w:rPr>
              <w:t>Yes</w:t>
            </w:r>
          </w:p>
          <w:p w:rsidR="00D216D1" w:rsidRPr="003F4BE3" w:rsidRDefault="00D216D1"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(assumed)</w:t>
            </w:r>
          </w:p>
        </w:tc>
      </w:tr>
      <w:tr w:rsidR="00F375ED" w:rsidRPr="003F4BE3" w:rsidTr="00F375ED">
        <w:tc>
          <w:tcPr>
            <w:tcW w:w="4338" w:type="dxa"/>
            <w:tcBorders>
              <w:top w:val="nil"/>
              <w:left w:val="single" w:sz="4" w:space="0" w:color="auto"/>
              <w:bottom w:val="single" w:sz="4" w:space="0" w:color="auto"/>
              <w:right w:val="single" w:sz="4" w:space="0" w:color="auto"/>
            </w:tcBorders>
            <w:shd w:val="clear" w:color="auto" w:fill="auto"/>
            <w:noWrap/>
            <w:vAlign w:val="center"/>
            <w:hideMark/>
          </w:tcPr>
          <w:p w:rsidR="00F375ED" w:rsidRPr="00771872" w:rsidRDefault="00F375ED" w:rsidP="00364590">
            <w:pPr>
              <w:keepNext/>
              <w:rPr>
                <w:rFonts w:ascii="Arial Narrow" w:hAnsi="Arial Narrow"/>
                <w:color w:val="000000"/>
                <w:sz w:val="20"/>
                <w:szCs w:val="20"/>
                <w:lang w:val="en-AU"/>
              </w:rPr>
            </w:pPr>
            <w:r w:rsidRPr="00771872">
              <w:rPr>
                <w:rFonts w:ascii="Arial Narrow" w:hAnsi="Arial Narrow"/>
                <w:color w:val="000000"/>
                <w:sz w:val="20"/>
                <w:szCs w:val="20"/>
                <w:lang w:val="en-AU"/>
              </w:rPr>
              <w:t xml:space="preserve">TDF 300mg, emtricitabine 200mg, &amp; </w:t>
            </w:r>
            <w:proofErr w:type="spellStart"/>
            <w:r w:rsidRPr="00771872">
              <w:rPr>
                <w:rFonts w:ascii="Arial Narrow" w:hAnsi="Arial Narrow"/>
                <w:color w:val="000000"/>
                <w:sz w:val="20"/>
                <w:szCs w:val="20"/>
                <w:lang w:val="en-AU"/>
              </w:rPr>
              <w:t>rilpivirine</w:t>
            </w:r>
            <w:proofErr w:type="spellEnd"/>
            <w:r w:rsidRPr="00771872">
              <w:rPr>
                <w:rFonts w:ascii="Arial Narrow" w:hAnsi="Arial Narrow"/>
                <w:color w:val="000000"/>
                <w:sz w:val="20"/>
                <w:szCs w:val="20"/>
                <w:lang w:val="en-AU"/>
              </w:rPr>
              <w:t xml:space="preserve"> 25mg</w:t>
            </w:r>
          </w:p>
        </w:tc>
        <w:tc>
          <w:tcPr>
            <w:tcW w:w="1062" w:type="dxa"/>
            <w:tcBorders>
              <w:top w:val="nil"/>
              <w:left w:val="nil"/>
              <w:bottom w:val="single" w:sz="4" w:space="0" w:color="auto"/>
              <w:right w:val="single" w:sz="4" w:space="0" w:color="auto"/>
            </w:tcBorders>
            <w:shd w:val="clear" w:color="auto" w:fill="auto"/>
            <w:noWrap/>
            <w:vAlign w:val="center"/>
            <w:hideMark/>
          </w:tcPr>
          <w:p w:rsidR="00F375ED" w:rsidRPr="00771872" w:rsidRDefault="00F375ED"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EVIPLERA®</w:t>
            </w:r>
          </w:p>
        </w:tc>
        <w:tc>
          <w:tcPr>
            <w:tcW w:w="837" w:type="dxa"/>
            <w:tcBorders>
              <w:top w:val="nil"/>
              <w:left w:val="nil"/>
              <w:bottom w:val="single" w:sz="4" w:space="0" w:color="auto"/>
              <w:right w:val="single" w:sz="4" w:space="0" w:color="auto"/>
            </w:tcBorders>
            <w:vAlign w:val="center"/>
          </w:tcPr>
          <w:p w:rsidR="00F375ED"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$868.55</w:t>
            </w:r>
          </w:p>
        </w:tc>
        <w:tc>
          <w:tcPr>
            <w:tcW w:w="850"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TDF</w:t>
            </w:r>
          </w:p>
        </w:tc>
        <w:tc>
          <w:tcPr>
            <w:tcW w:w="992"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(assumed)</w:t>
            </w:r>
          </w:p>
        </w:tc>
      </w:tr>
      <w:tr w:rsidR="00F375ED" w:rsidRPr="003F4BE3" w:rsidTr="00F26AE7">
        <w:tc>
          <w:tcPr>
            <w:tcW w:w="4338" w:type="dxa"/>
            <w:tcBorders>
              <w:top w:val="nil"/>
              <w:left w:val="single" w:sz="4" w:space="0" w:color="auto"/>
              <w:bottom w:val="single" w:sz="4" w:space="0" w:color="auto"/>
              <w:right w:val="single" w:sz="4" w:space="0" w:color="auto"/>
            </w:tcBorders>
            <w:shd w:val="clear" w:color="auto" w:fill="auto"/>
            <w:noWrap/>
            <w:vAlign w:val="center"/>
          </w:tcPr>
          <w:p w:rsidR="00F375ED" w:rsidRPr="00771872" w:rsidRDefault="00F375ED" w:rsidP="00364590">
            <w:pPr>
              <w:keepNext/>
              <w:rPr>
                <w:rFonts w:ascii="Arial Narrow" w:hAnsi="Arial Narrow"/>
                <w:color w:val="000000"/>
                <w:sz w:val="20"/>
                <w:szCs w:val="20"/>
                <w:lang w:val="en-AU"/>
              </w:rPr>
            </w:pPr>
            <w:r w:rsidRPr="00771872">
              <w:rPr>
                <w:rFonts w:ascii="Arial Narrow" w:hAnsi="Arial Narrow"/>
                <w:color w:val="000000"/>
                <w:sz w:val="20"/>
                <w:szCs w:val="20"/>
                <w:lang w:val="en-AU"/>
              </w:rPr>
              <w:t xml:space="preserve">TDF 300mg, emtricitabine 200mg &amp; </w:t>
            </w:r>
            <w:proofErr w:type="spellStart"/>
            <w:r w:rsidRPr="00771872">
              <w:rPr>
                <w:rFonts w:ascii="Arial Narrow" w:hAnsi="Arial Narrow"/>
                <w:color w:val="000000"/>
                <w:sz w:val="20"/>
                <w:szCs w:val="20"/>
                <w:lang w:val="en-AU"/>
              </w:rPr>
              <w:t>efavirenz</w:t>
            </w:r>
            <w:proofErr w:type="spellEnd"/>
            <w:r w:rsidRPr="00771872">
              <w:rPr>
                <w:rFonts w:ascii="Arial Narrow" w:hAnsi="Arial Narrow"/>
                <w:color w:val="000000"/>
                <w:sz w:val="20"/>
                <w:szCs w:val="20"/>
                <w:lang w:val="en-AU"/>
              </w:rPr>
              <w:t xml:space="preserve"> 600mg</w:t>
            </w:r>
          </w:p>
        </w:tc>
        <w:tc>
          <w:tcPr>
            <w:tcW w:w="1062" w:type="dxa"/>
            <w:tcBorders>
              <w:top w:val="nil"/>
              <w:left w:val="nil"/>
              <w:bottom w:val="single" w:sz="4" w:space="0" w:color="auto"/>
              <w:right w:val="single" w:sz="4" w:space="0" w:color="auto"/>
            </w:tcBorders>
            <w:shd w:val="clear" w:color="auto" w:fill="auto"/>
            <w:noWrap/>
            <w:vAlign w:val="center"/>
          </w:tcPr>
          <w:p w:rsidR="00F375ED" w:rsidRPr="00771872" w:rsidRDefault="00F375ED"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ATRIPLA®</w:t>
            </w:r>
          </w:p>
        </w:tc>
        <w:tc>
          <w:tcPr>
            <w:tcW w:w="837" w:type="dxa"/>
            <w:tcBorders>
              <w:top w:val="nil"/>
              <w:left w:val="nil"/>
              <w:bottom w:val="single" w:sz="4" w:space="0" w:color="auto"/>
              <w:right w:val="single" w:sz="4" w:space="0" w:color="auto"/>
            </w:tcBorders>
            <w:vAlign w:val="center"/>
          </w:tcPr>
          <w:p w:rsidR="00F375ED"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$868.55</w:t>
            </w:r>
          </w:p>
        </w:tc>
        <w:tc>
          <w:tcPr>
            <w:tcW w:w="850" w:type="dxa"/>
            <w:tcBorders>
              <w:top w:val="nil"/>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TDF</w:t>
            </w:r>
          </w:p>
        </w:tc>
        <w:tc>
          <w:tcPr>
            <w:tcW w:w="992" w:type="dxa"/>
            <w:tcBorders>
              <w:top w:val="nil"/>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(assumed)</w:t>
            </w:r>
          </w:p>
        </w:tc>
      </w:tr>
      <w:tr w:rsidR="00F375ED" w:rsidRPr="003F4BE3" w:rsidTr="00F26AE7">
        <w:tc>
          <w:tcPr>
            <w:tcW w:w="4338" w:type="dxa"/>
            <w:tcBorders>
              <w:top w:val="nil"/>
              <w:left w:val="single" w:sz="4" w:space="0" w:color="auto"/>
              <w:bottom w:val="single" w:sz="4" w:space="0" w:color="auto"/>
              <w:right w:val="single" w:sz="4" w:space="0" w:color="auto"/>
            </w:tcBorders>
            <w:shd w:val="clear" w:color="auto" w:fill="auto"/>
            <w:noWrap/>
            <w:vAlign w:val="center"/>
          </w:tcPr>
          <w:p w:rsidR="00F375ED" w:rsidRPr="003F4BE3" w:rsidRDefault="00F375ED" w:rsidP="00364590">
            <w:pPr>
              <w:keepNext/>
              <w:rPr>
                <w:rFonts w:ascii="Arial Narrow" w:hAnsi="Arial Narrow"/>
                <w:color w:val="000000"/>
                <w:sz w:val="20"/>
                <w:szCs w:val="20"/>
                <w:lang w:val="en-AU"/>
              </w:rPr>
            </w:pPr>
            <w:proofErr w:type="spellStart"/>
            <w:r w:rsidRPr="003F4BE3">
              <w:rPr>
                <w:rFonts w:ascii="Arial Narrow" w:hAnsi="Arial Narrow"/>
                <w:color w:val="000000"/>
                <w:sz w:val="20"/>
                <w:szCs w:val="20"/>
                <w:lang w:val="en-AU"/>
              </w:rPr>
              <w:t>Abacavir</w:t>
            </w:r>
            <w:proofErr w:type="spellEnd"/>
            <w:r w:rsidRPr="003F4BE3">
              <w:rPr>
                <w:rFonts w:ascii="Arial Narrow" w:hAnsi="Arial Narrow"/>
                <w:color w:val="000000"/>
                <w:sz w:val="20"/>
                <w:szCs w:val="20"/>
                <w:lang w:val="en-AU"/>
              </w:rPr>
              <w:t xml:space="preserve"> 600mg &amp; lamivudine 300mg</w:t>
            </w:r>
          </w:p>
        </w:tc>
        <w:tc>
          <w:tcPr>
            <w:tcW w:w="1062" w:type="dxa"/>
            <w:tcBorders>
              <w:top w:val="nil"/>
              <w:left w:val="nil"/>
              <w:bottom w:val="single" w:sz="4" w:space="0" w:color="auto"/>
              <w:right w:val="single" w:sz="4" w:space="0" w:color="auto"/>
            </w:tcBorders>
            <w:shd w:val="clear" w:color="auto" w:fill="auto"/>
            <w:noWrap/>
            <w:vAlign w:val="center"/>
          </w:tcPr>
          <w:p w:rsidR="00F375ED" w:rsidRPr="00771872" w:rsidRDefault="00F375ED" w:rsidP="00364590">
            <w:pPr>
              <w:keepNext/>
              <w:jc w:val="center"/>
              <w:rPr>
                <w:rFonts w:ascii="Arial Narrow" w:hAnsi="Arial Narrow"/>
                <w:color w:val="000000"/>
                <w:sz w:val="20"/>
                <w:szCs w:val="20"/>
                <w:lang w:val="en-AU"/>
              </w:rPr>
            </w:pPr>
            <w:r w:rsidRPr="00771872">
              <w:rPr>
                <w:rFonts w:ascii="Arial Narrow" w:hAnsi="Arial Narrow"/>
                <w:color w:val="000000"/>
                <w:sz w:val="20"/>
                <w:szCs w:val="20"/>
                <w:lang w:val="en-AU"/>
              </w:rPr>
              <w:t>KIVEXA®</w:t>
            </w:r>
          </w:p>
        </w:tc>
        <w:tc>
          <w:tcPr>
            <w:tcW w:w="837" w:type="dxa"/>
            <w:tcBorders>
              <w:top w:val="nil"/>
              <w:left w:val="nil"/>
              <w:bottom w:val="single" w:sz="4" w:space="0" w:color="auto"/>
              <w:right w:val="single" w:sz="4" w:space="0" w:color="auto"/>
            </w:tcBorders>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$333.41</w:t>
            </w:r>
          </w:p>
        </w:tc>
        <w:tc>
          <w:tcPr>
            <w:tcW w:w="850" w:type="dxa"/>
            <w:tcBorders>
              <w:top w:val="nil"/>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ABC/3TC</w:t>
            </w:r>
          </w:p>
        </w:tc>
        <w:tc>
          <w:tcPr>
            <w:tcW w:w="992" w:type="dxa"/>
            <w:tcBorders>
              <w:top w:val="nil"/>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(Trial 1878)</w:t>
            </w:r>
            <w:r w:rsidRPr="003F4BE3">
              <w:rPr>
                <w:rFonts w:ascii="Arial Narrow" w:hAnsi="Arial Narrow"/>
                <w:color w:val="000000"/>
                <w:sz w:val="20"/>
                <w:szCs w:val="20"/>
                <w:vertAlign w:val="superscript"/>
                <w:lang w:val="en-AU"/>
              </w:rPr>
              <w:t>a</w:t>
            </w:r>
          </w:p>
        </w:tc>
      </w:tr>
      <w:tr w:rsidR="00F375ED" w:rsidRPr="003F4BE3" w:rsidTr="00F375ED">
        <w:tc>
          <w:tcPr>
            <w:tcW w:w="4338" w:type="dxa"/>
            <w:tcBorders>
              <w:top w:val="nil"/>
              <w:left w:val="single" w:sz="4" w:space="0" w:color="auto"/>
              <w:bottom w:val="dashed" w:sz="4" w:space="0" w:color="auto"/>
              <w:right w:val="single" w:sz="4" w:space="0" w:color="auto"/>
            </w:tcBorders>
            <w:shd w:val="clear" w:color="auto" w:fill="auto"/>
            <w:noWrap/>
            <w:vAlign w:val="center"/>
            <w:hideMark/>
          </w:tcPr>
          <w:p w:rsidR="00F375ED" w:rsidRPr="003F4BE3" w:rsidRDefault="00F375ED" w:rsidP="00364590">
            <w:pPr>
              <w:keepNext/>
              <w:rPr>
                <w:rFonts w:ascii="Arial Narrow" w:hAnsi="Arial Narrow"/>
                <w:color w:val="000000"/>
                <w:sz w:val="20"/>
                <w:szCs w:val="20"/>
                <w:lang w:val="en-AU"/>
              </w:rPr>
            </w:pPr>
            <w:proofErr w:type="spellStart"/>
            <w:r w:rsidRPr="003F4BE3">
              <w:rPr>
                <w:rFonts w:ascii="Arial Narrow" w:hAnsi="Arial Narrow"/>
                <w:color w:val="000000"/>
                <w:sz w:val="20"/>
                <w:szCs w:val="20"/>
                <w:lang w:val="en-AU"/>
              </w:rPr>
              <w:t>Abacavir</w:t>
            </w:r>
            <w:proofErr w:type="spellEnd"/>
            <w:r w:rsidRPr="003F4BE3">
              <w:rPr>
                <w:rFonts w:ascii="Arial Narrow" w:hAnsi="Arial Narrow"/>
                <w:color w:val="000000"/>
                <w:sz w:val="20"/>
                <w:szCs w:val="20"/>
                <w:lang w:val="en-AU"/>
              </w:rPr>
              <w:t xml:space="preserve"> 600mg &amp; lamivudine 300mg</w:t>
            </w:r>
          </w:p>
        </w:tc>
        <w:tc>
          <w:tcPr>
            <w:tcW w:w="1062" w:type="dxa"/>
            <w:tcBorders>
              <w:top w:val="nil"/>
              <w:left w:val="nil"/>
              <w:bottom w:val="dashed" w:sz="4" w:space="0" w:color="auto"/>
              <w:right w:val="single" w:sz="4" w:space="0" w:color="auto"/>
            </w:tcBorders>
            <w:shd w:val="clear" w:color="auto" w:fill="auto"/>
            <w:noWrap/>
            <w:vAlign w:val="center"/>
            <w:hideMark/>
          </w:tcPr>
          <w:p w:rsidR="00F375ED" w:rsidRPr="00771872" w:rsidRDefault="00771872" w:rsidP="00364590">
            <w:pPr>
              <w:keepNext/>
              <w:jc w:val="center"/>
              <w:rPr>
                <w:rFonts w:ascii="Arial Narrow" w:hAnsi="Arial Narrow"/>
                <w:color w:val="000000"/>
                <w:sz w:val="20"/>
                <w:szCs w:val="20"/>
                <w:lang w:val="en-AU"/>
              </w:rPr>
            </w:pPr>
            <w:r>
              <w:rPr>
                <w:rFonts w:ascii="Arial Narrow" w:hAnsi="Arial Narrow"/>
                <w:color w:val="000000"/>
                <w:sz w:val="20"/>
                <w:szCs w:val="20"/>
                <w:lang w:val="en-AU"/>
              </w:rPr>
              <w:t>*</w:t>
            </w:r>
            <w:r w:rsidR="00F375ED" w:rsidRPr="00771872">
              <w:rPr>
                <w:rFonts w:ascii="Arial Narrow" w:hAnsi="Arial Narrow"/>
                <w:color w:val="000000"/>
                <w:sz w:val="20"/>
                <w:szCs w:val="20"/>
                <w:lang w:val="en-AU"/>
              </w:rPr>
              <w:t>KIVEXA®</w:t>
            </w:r>
          </w:p>
        </w:tc>
        <w:tc>
          <w:tcPr>
            <w:tcW w:w="837" w:type="dxa"/>
            <w:tcBorders>
              <w:top w:val="nil"/>
              <w:left w:val="nil"/>
              <w:bottom w:val="dashed" w:sz="4" w:space="0" w:color="auto"/>
              <w:right w:val="single" w:sz="4" w:space="0" w:color="auto"/>
            </w:tcBorders>
            <w:vAlign w:val="center"/>
          </w:tcPr>
          <w:p w:rsidR="00F375ED"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dashed"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$333.41</w:t>
            </w:r>
          </w:p>
        </w:tc>
        <w:tc>
          <w:tcPr>
            <w:tcW w:w="850" w:type="dxa"/>
            <w:vMerge w:val="restart"/>
            <w:tcBorders>
              <w:top w:val="nil"/>
              <w:left w:val="nil"/>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ABC/3TC</w:t>
            </w:r>
          </w:p>
        </w:tc>
        <w:tc>
          <w:tcPr>
            <w:tcW w:w="992" w:type="dxa"/>
            <w:vMerge w:val="restart"/>
            <w:tcBorders>
              <w:top w:val="nil"/>
              <w:left w:val="nil"/>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(Trial 1844)</w:t>
            </w:r>
          </w:p>
        </w:tc>
      </w:tr>
      <w:tr w:rsidR="00F375ED" w:rsidRPr="003F4BE3" w:rsidTr="00F26AE7">
        <w:tc>
          <w:tcPr>
            <w:tcW w:w="4338" w:type="dxa"/>
            <w:tcBorders>
              <w:top w:val="dashed" w:sz="4" w:space="0" w:color="auto"/>
              <w:left w:val="single" w:sz="4" w:space="0" w:color="auto"/>
              <w:bottom w:val="single" w:sz="4" w:space="0" w:color="auto"/>
              <w:right w:val="single" w:sz="4" w:space="0" w:color="auto"/>
            </w:tcBorders>
            <w:shd w:val="clear" w:color="auto" w:fill="auto"/>
            <w:noWrap/>
            <w:vAlign w:val="center"/>
          </w:tcPr>
          <w:p w:rsidR="00F375ED" w:rsidRPr="003F4BE3" w:rsidRDefault="00F375ED" w:rsidP="00364590">
            <w:pPr>
              <w:keepNext/>
              <w:rPr>
                <w:rFonts w:ascii="Arial Narrow" w:hAnsi="Arial Narrow"/>
                <w:color w:val="000000"/>
                <w:sz w:val="20"/>
                <w:szCs w:val="20"/>
                <w:lang w:val="en-AU"/>
              </w:rPr>
            </w:pPr>
            <w:proofErr w:type="spellStart"/>
            <w:r w:rsidRPr="003F4BE3">
              <w:rPr>
                <w:rFonts w:ascii="Arial Narrow" w:hAnsi="Arial Narrow"/>
                <w:color w:val="000000"/>
                <w:sz w:val="20"/>
                <w:szCs w:val="20"/>
                <w:lang w:val="en-AU"/>
              </w:rPr>
              <w:t>Dolutegravir</w:t>
            </w:r>
            <w:proofErr w:type="spellEnd"/>
            <w:r w:rsidRPr="003F4BE3">
              <w:rPr>
                <w:rFonts w:ascii="Arial Narrow" w:hAnsi="Arial Narrow"/>
                <w:color w:val="000000"/>
                <w:sz w:val="20"/>
                <w:szCs w:val="20"/>
                <w:lang w:val="en-AU"/>
              </w:rPr>
              <w:t xml:space="preserve"> 50mg</w:t>
            </w:r>
          </w:p>
        </w:tc>
        <w:tc>
          <w:tcPr>
            <w:tcW w:w="1062" w:type="dxa"/>
            <w:tcBorders>
              <w:top w:val="dashed" w:sz="4" w:space="0" w:color="auto"/>
              <w:left w:val="nil"/>
              <w:bottom w:val="single" w:sz="4" w:space="0" w:color="auto"/>
              <w:right w:val="single" w:sz="4" w:space="0" w:color="auto"/>
            </w:tcBorders>
            <w:shd w:val="clear" w:color="auto" w:fill="auto"/>
            <w:noWrap/>
            <w:vAlign w:val="center"/>
          </w:tcPr>
          <w:p w:rsidR="00F375ED" w:rsidRPr="00771872" w:rsidRDefault="00771872" w:rsidP="00364590">
            <w:pPr>
              <w:keepNext/>
              <w:jc w:val="center"/>
              <w:rPr>
                <w:rFonts w:ascii="Arial Narrow" w:hAnsi="Arial Narrow"/>
                <w:color w:val="000000"/>
                <w:sz w:val="20"/>
                <w:szCs w:val="20"/>
                <w:lang w:val="en-AU"/>
              </w:rPr>
            </w:pPr>
            <w:r>
              <w:rPr>
                <w:rFonts w:ascii="Arial Narrow" w:hAnsi="Arial Narrow"/>
                <w:color w:val="000000"/>
                <w:sz w:val="20"/>
                <w:szCs w:val="20"/>
                <w:lang w:val="en-AU"/>
              </w:rPr>
              <w:t>*</w:t>
            </w:r>
            <w:r w:rsidR="00F375ED" w:rsidRPr="00771872">
              <w:rPr>
                <w:rFonts w:ascii="Arial Narrow" w:hAnsi="Arial Narrow"/>
                <w:color w:val="000000"/>
                <w:sz w:val="20"/>
                <w:szCs w:val="20"/>
                <w:lang w:val="en-AU"/>
              </w:rPr>
              <w:t>TIVICAY®</w:t>
            </w:r>
          </w:p>
        </w:tc>
        <w:tc>
          <w:tcPr>
            <w:tcW w:w="837" w:type="dxa"/>
            <w:tcBorders>
              <w:top w:val="dashed" w:sz="4" w:space="0" w:color="auto"/>
              <w:left w:val="nil"/>
              <w:bottom w:val="single" w:sz="4" w:space="0" w:color="auto"/>
              <w:right w:val="single" w:sz="4" w:space="0" w:color="auto"/>
            </w:tcBorders>
            <w:vAlign w:val="center"/>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dashed" w:sz="4" w:space="0" w:color="auto"/>
              <w:left w:val="single" w:sz="4" w:space="0" w:color="auto"/>
              <w:bottom w:val="single" w:sz="4" w:space="0" w:color="auto"/>
              <w:right w:val="single" w:sz="4" w:space="0" w:color="auto"/>
            </w:tcBorders>
            <w:shd w:val="clear" w:color="auto" w:fill="auto"/>
            <w:noWrap/>
            <w:vAlign w:val="center"/>
          </w:tcPr>
          <w:p w:rsidR="00F375ED" w:rsidRPr="003F4BE3" w:rsidRDefault="00A6209D" w:rsidP="00A6209D">
            <w:pPr>
              <w:keepNext/>
              <w:jc w:val="center"/>
              <w:rPr>
                <w:rFonts w:ascii="Arial Narrow" w:hAnsi="Arial Narrow"/>
                <w:color w:val="000000"/>
                <w:sz w:val="20"/>
                <w:szCs w:val="20"/>
                <w:lang w:val="en-AU"/>
              </w:rPr>
            </w:pPr>
            <w:r>
              <w:rPr>
                <w:rFonts w:ascii="Arial Narrow" w:hAnsi="Arial Narrow"/>
                <w:color w:val="000000"/>
                <w:sz w:val="20"/>
                <w:szCs w:val="20"/>
                <w:lang w:val="en-AU"/>
              </w:rPr>
              <w:t>$665.55</w:t>
            </w:r>
          </w:p>
        </w:tc>
        <w:tc>
          <w:tcPr>
            <w:tcW w:w="850" w:type="dxa"/>
            <w:vMerge/>
            <w:tcBorders>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p>
        </w:tc>
        <w:tc>
          <w:tcPr>
            <w:tcW w:w="992" w:type="dxa"/>
            <w:vMerge/>
            <w:tcBorders>
              <w:left w:val="nil"/>
              <w:bottom w:val="single" w:sz="4" w:space="0" w:color="auto"/>
              <w:right w:val="single" w:sz="4" w:space="0" w:color="auto"/>
            </w:tcBorders>
            <w:shd w:val="clear" w:color="auto" w:fill="auto"/>
            <w:noWrap/>
            <w:vAlign w:val="center"/>
          </w:tcPr>
          <w:p w:rsidR="00F375ED" w:rsidRPr="003F4BE3" w:rsidRDefault="00F375ED" w:rsidP="00364590">
            <w:pPr>
              <w:keepNext/>
              <w:jc w:val="center"/>
              <w:rPr>
                <w:rFonts w:ascii="Arial Narrow" w:hAnsi="Arial Narrow"/>
                <w:color w:val="000000"/>
                <w:sz w:val="20"/>
                <w:szCs w:val="20"/>
                <w:lang w:val="en-AU"/>
              </w:rPr>
            </w:pPr>
          </w:p>
        </w:tc>
      </w:tr>
      <w:tr w:rsidR="00F375ED" w:rsidRPr="003F4BE3" w:rsidTr="00F26AE7">
        <w:tc>
          <w:tcPr>
            <w:tcW w:w="4338" w:type="dxa"/>
            <w:tcBorders>
              <w:top w:val="nil"/>
              <w:left w:val="single" w:sz="4" w:space="0" w:color="auto"/>
              <w:bottom w:val="single" w:sz="4" w:space="0" w:color="auto"/>
              <w:right w:val="single" w:sz="4" w:space="0" w:color="auto"/>
            </w:tcBorders>
            <w:shd w:val="clear" w:color="auto" w:fill="auto"/>
            <w:noWrap/>
            <w:vAlign w:val="center"/>
            <w:hideMark/>
          </w:tcPr>
          <w:p w:rsidR="00F375ED" w:rsidRPr="003F4BE3" w:rsidRDefault="00F375ED" w:rsidP="00364590">
            <w:pPr>
              <w:keepNext/>
              <w:rPr>
                <w:rFonts w:ascii="Arial Narrow" w:hAnsi="Arial Narrow"/>
                <w:color w:val="000000"/>
                <w:sz w:val="20"/>
                <w:szCs w:val="20"/>
                <w:lang w:val="en-AU"/>
              </w:rPr>
            </w:pPr>
            <w:proofErr w:type="spellStart"/>
            <w:r w:rsidRPr="003F4BE3">
              <w:rPr>
                <w:rFonts w:ascii="Arial Narrow" w:hAnsi="Arial Narrow"/>
                <w:color w:val="000000"/>
                <w:sz w:val="20"/>
                <w:szCs w:val="20"/>
                <w:lang w:val="en-AU"/>
              </w:rPr>
              <w:t>Abacavir</w:t>
            </w:r>
            <w:proofErr w:type="spellEnd"/>
            <w:r w:rsidRPr="003F4BE3">
              <w:rPr>
                <w:rFonts w:ascii="Arial Narrow" w:hAnsi="Arial Narrow"/>
                <w:color w:val="000000"/>
                <w:sz w:val="20"/>
                <w:szCs w:val="20"/>
                <w:lang w:val="en-AU"/>
              </w:rPr>
              <w:t xml:space="preserve"> 300mg, lamivudine 150mg &amp; zidovudine 300mg</w:t>
            </w:r>
          </w:p>
        </w:tc>
        <w:tc>
          <w:tcPr>
            <w:tcW w:w="1062" w:type="dxa"/>
            <w:tcBorders>
              <w:top w:val="nil"/>
              <w:left w:val="nil"/>
              <w:bottom w:val="single" w:sz="4" w:space="0" w:color="auto"/>
              <w:right w:val="single" w:sz="4" w:space="0" w:color="auto"/>
            </w:tcBorders>
            <w:shd w:val="clear" w:color="auto" w:fill="auto"/>
            <w:noWrap/>
            <w:vAlign w:val="center"/>
            <w:hideMark/>
          </w:tcPr>
          <w:p w:rsidR="00F375ED" w:rsidRPr="00771872" w:rsidRDefault="00F375ED" w:rsidP="00364590">
            <w:pPr>
              <w:keepNext/>
              <w:jc w:val="center"/>
              <w:rPr>
                <w:rFonts w:ascii="Arial Narrow" w:hAnsi="Arial Narrow"/>
                <w:color w:val="000000"/>
                <w:sz w:val="20"/>
                <w:szCs w:val="20"/>
                <w:lang w:val="en-AU"/>
              </w:rPr>
            </w:pPr>
            <w:r w:rsidRPr="00771872">
              <w:rPr>
                <w:rFonts w:ascii="Arial Narrow" w:hAnsi="Arial Narrow"/>
                <w:color w:val="000000"/>
                <w:sz w:val="20"/>
                <w:szCs w:val="20"/>
                <w:lang w:val="en-AU"/>
              </w:rPr>
              <w:t>TRIZIVIR®</w:t>
            </w:r>
          </w:p>
        </w:tc>
        <w:tc>
          <w:tcPr>
            <w:tcW w:w="837" w:type="dxa"/>
            <w:tcBorders>
              <w:top w:val="nil"/>
              <w:left w:val="nil"/>
              <w:bottom w:val="single" w:sz="4" w:space="0" w:color="auto"/>
              <w:right w:val="single" w:sz="4" w:space="0" w:color="auto"/>
            </w:tcBorders>
            <w:vAlign w:val="center"/>
          </w:tcPr>
          <w:p w:rsidR="00F375ED"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$538.14</w:t>
            </w:r>
          </w:p>
        </w:tc>
        <w:tc>
          <w:tcPr>
            <w:tcW w:w="850"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ABC/3TC</w:t>
            </w:r>
          </w:p>
        </w:tc>
        <w:tc>
          <w:tcPr>
            <w:tcW w:w="992"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Unclear</w:t>
            </w:r>
          </w:p>
        </w:tc>
      </w:tr>
      <w:tr w:rsidR="00F375ED" w:rsidRPr="003F4BE3" w:rsidTr="00F26AE7">
        <w:trPr>
          <w:trHeight w:val="386"/>
        </w:trPr>
        <w:tc>
          <w:tcPr>
            <w:tcW w:w="4338" w:type="dxa"/>
            <w:tcBorders>
              <w:top w:val="nil"/>
              <w:left w:val="single" w:sz="4" w:space="0" w:color="auto"/>
              <w:bottom w:val="single" w:sz="4" w:space="0" w:color="auto"/>
              <w:right w:val="single" w:sz="4" w:space="0" w:color="auto"/>
            </w:tcBorders>
            <w:shd w:val="clear" w:color="auto" w:fill="auto"/>
            <w:noWrap/>
            <w:vAlign w:val="center"/>
            <w:hideMark/>
          </w:tcPr>
          <w:p w:rsidR="00F375ED" w:rsidRPr="00771872" w:rsidRDefault="00F375ED" w:rsidP="00364590">
            <w:pPr>
              <w:keepNext/>
              <w:rPr>
                <w:rFonts w:ascii="Arial Narrow" w:hAnsi="Arial Narrow"/>
                <w:color w:val="000000"/>
                <w:sz w:val="20"/>
                <w:szCs w:val="20"/>
                <w:lang w:val="en-AU"/>
              </w:rPr>
            </w:pPr>
            <w:proofErr w:type="spellStart"/>
            <w:r w:rsidRPr="00771872">
              <w:rPr>
                <w:rFonts w:ascii="Arial Narrow" w:hAnsi="Arial Narrow"/>
                <w:color w:val="000000"/>
                <w:sz w:val="20"/>
                <w:szCs w:val="20"/>
                <w:lang w:val="en-AU"/>
              </w:rPr>
              <w:t>Dolutegravir</w:t>
            </w:r>
            <w:proofErr w:type="spellEnd"/>
            <w:r w:rsidRPr="00771872">
              <w:rPr>
                <w:rFonts w:ascii="Arial Narrow" w:hAnsi="Arial Narrow"/>
                <w:color w:val="000000"/>
                <w:sz w:val="20"/>
                <w:szCs w:val="20"/>
                <w:lang w:val="en-AU"/>
              </w:rPr>
              <w:t xml:space="preserve"> 50mg, </w:t>
            </w:r>
            <w:proofErr w:type="spellStart"/>
            <w:r w:rsidRPr="00771872">
              <w:rPr>
                <w:rFonts w:ascii="Arial Narrow" w:hAnsi="Arial Narrow"/>
                <w:color w:val="000000"/>
                <w:sz w:val="20"/>
                <w:szCs w:val="20"/>
                <w:lang w:val="en-AU"/>
              </w:rPr>
              <w:t>abacavir</w:t>
            </w:r>
            <w:proofErr w:type="spellEnd"/>
            <w:r w:rsidRPr="00771872">
              <w:rPr>
                <w:rFonts w:ascii="Arial Narrow" w:hAnsi="Arial Narrow"/>
                <w:color w:val="000000"/>
                <w:sz w:val="20"/>
                <w:szCs w:val="20"/>
                <w:lang w:val="en-AU"/>
              </w:rPr>
              <w:t xml:space="preserve"> 600mg, lamivudine 300mg</w:t>
            </w:r>
          </w:p>
        </w:tc>
        <w:tc>
          <w:tcPr>
            <w:tcW w:w="1062" w:type="dxa"/>
            <w:tcBorders>
              <w:top w:val="nil"/>
              <w:left w:val="nil"/>
              <w:bottom w:val="single" w:sz="4" w:space="0" w:color="auto"/>
              <w:right w:val="single" w:sz="4" w:space="0" w:color="auto"/>
            </w:tcBorders>
            <w:shd w:val="clear" w:color="auto" w:fill="auto"/>
            <w:noWrap/>
            <w:vAlign w:val="center"/>
            <w:hideMark/>
          </w:tcPr>
          <w:p w:rsidR="00F375ED" w:rsidRPr="00771872" w:rsidRDefault="00771872" w:rsidP="00364590">
            <w:pPr>
              <w:keepNext/>
              <w:jc w:val="center"/>
              <w:rPr>
                <w:rFonts w:ascii="Arial Narrow" w:hAnsi="Arial Narrow"/>
                <w:b/>
                <w:color w:val="000000"/>
                <w:sz w:val="20"/>
                <w:szCs w:val="20"/>
                <w:lang w:val="en-AU"/>
              </w:rPr>
            </w:pPr>
            <w:r w:rsidRPr="00771872">
              <w:rPr>
                <w:rFonts w:ascii="Arial Narrow" w:hAnsi="Arial Narrow"/>
                <w:b/>
                <w:color w:val="000000"/>
                <w:sz w:val="20"/>
                <w:szCs w:val="20"/>
                <w:lang w:val="en-AU"/>
              </w:rPr>
              <w:t>*</w:t>
            </w:r>
            <w:r w:rsidR="00F375ED" w:rsidRPr="00771872">
              <w:rPr>
                <w:rFonts w:ascii="Arial Narrow" w:hAnsi="Arial Narrow"/>
                <w:b/>
                <w:color w:val="000000"/>
                <w:sz w:val="20"/>
                <w:szCs w:val="20"/>
                <w:lang w:val="en-AU"/>
              </w:rPr>
              <w:t>TRIUMEQ®</w:t>
            </w:r>
          </w:p>
        </w:tc>
        <w:tc>
          <w:tcPr>
            <w:tcW w:w="837" w:type="dxa"/>
            <w:tcBorders>
              <w:top w:val="nil"/>
              <w:left w:val="nil"/>
              <w:bottom w:val="single" w:sz="4" w:space="0" w:color="auto"/>
              <w:right w:val="single" w:sz="4" w:space="0" w:color="auto"/>
            </w:tcBorders>
            <w:vAlign w:val="center"/>
          </w:tcPr>
          <w:p w:rsidR="00F375ED" w:rsidRPr="003F4BE3" w:rsidDel="00AE6199"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$940.70</w:t>
            </w:r>
          </w:p>
        </w:tc>
        <w:tc>
          <w:tcPr>
            <w:tcW w:w="850"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ABC/3TC</w:t>
            </w:r>
          </w:p>
        </w:tc>
        <w:tc>
          <w:tcPr>
            <w:tcW w:w="992" w:type="dxa"/>
            <w:tcBorders>
              <w:top w:val="nil"/>
              <w:left w:val="nil"/>
              <w:bottom w:val="single" w:sz="4" w:space="0" w:color="auto"/>
              <w:right w:val="single" w:sz="4" w:space="0" w:color="auto"/>
            </w:tcBorders>
            <w:shd w:val="clear" w:color="auto" w:fill="auto"/>
            <w:noWrap/>
            <w:vAlign w:val="center"/>
            <w:hideMark/>
          </w:tcPr>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Yes</w:t>
            </w:r>
          </w:p>
          <w:p w:rsidR="00F375ED" w:rsidRPr="003F4BE3" w:rsidRDefault="00F375ED" w:rsidP="00364590">
            <w:pPr>
              <w:keepNext/>
              <w:jc w:val="center"/>
              <w:rPr>
                <w:rFonts w:ascii="Arial Narrow" w:hAnsi="Arial Narrow"/>
                <w:color w:val="000000"/>
                <w:sz w:val="20"/>
                <w:szCs w:val="20"/>
                <w:lang w:val="en-AU"/>
              </w:rPr>
            </w:pPr>
            <w:r w:rsidRPr="003F4BE3">
              <w:rPr>
                <w:rFonts w:ascii="Arial Narrow" w:hAnsi="Arial Narrow"/>
                <w:color w:val="000000"/>
                <w:sz w:val="20"/>
                <w:szCs w:val="20"/>
                <w:lang w:val="en-AU"/>
              </w:rPr>
              <w:t>(Trials 1489 &amp; 1844)</w:t>
            </w:r>
          </w:p>
        </w:tc>
      </w:tr>
    </w:tbl>
    <w:p w:rsidR="00771872" w:rsidRDefault="00771872" w:rsidP="00D216D1">
      <w:pPr>
        <w:pStyle w:val="TableFooter"/>
        <w:rPr>
          <w:i/>
        </w:rPr>
      </w:pPr>
      <w:r w:rsidRPr="00D511D7">
        <w:rPr>
          <w:i/>
        </w:rPr>
        <w:t>Bolded FDCs</w:t>
      </w:r>
      <w:r w:rsidRPr="00771872">
        <w:rPr>
          <w:i/>
        </w:rPr>
        <w:t xml:space="preserve"> are listed </w:t>
      </w:r>
      <w:r w:rsidRPr="00771872">
        <w:rPr>
          <w:rFonts w:cs="Calibri"/>
          <w:i/>
          <w:iCs/>
          <w:snapToGrid/>
          <w:szCs w:val="24"/>
          <w:lang w:eastAsia="en-AU"/>
        </w:rPr>
        <w:t xml:space="preserve">for the treatment of HIV in the </w:t>
      </w:r>
      <w:r w:rsidRPr="00771872">
        <w:rPr>
          <w:i/>
        </w:rPr>
        <w:t xml:space="preserve">therapeutic relativity sheets (1 January 2018) </w:t>
      </w:r>
      <w:r>
        <w:rPr>
          <w:i/>
        </w:rPr>
        <w:t xml:space="preserve">and </w:t>
      </w:r>
      <w:r w:rsidRPr="00771872">
        <w:rPr>
          <w:rFonts w:cs="Calibri"/>
          <w:i/>
          <w:iCs/>
          <w:snapToGrid/>
          <w:szCs w:val="24"/>
          <w:lang w:eastAsia="en-AU"/>
        </w:rPr>
        <w:t>are</w:t>
      </w:r>
      <w:r>
        <w:rPr>
          <w:rFonts w:cs="Calibri"/>
          <w:i/>
          <w:iCs/>
          <w:snapToGrid/>
          <w:szCs w:val="24"/>
          <w:lang w:eastAsia="en-AU"/>
        </w:rPr>
        <w:t xml:space="preserve"> considered to be non-inferior based on their history of being lis</w:t>
      </w:r>
      <w:r w:rsidR="00AA2917">
        <w:rPr>
          <w:rFonts w:cs="Calibri"/>
          <w:i/>
          <w:iCs/>
          <w:snapToGrid/>
          <w:szCs w:val="24"/>
          <w:lang w:eastAsia="en-AU"/>
        </w:rPr>
        <w:t>ted on a cost-minimisation basis.</w:t>
      </w:r>
    </w:p>
    <w:p w:rsidR="00771872" w:rsidRDefault="00D6061F" w:rsidP="00D216D1">
      <w:pPr>
        <w:pStyle w:val="TableFooter"/>
        <w:rPr>
          <w:i/>
        </w:rPr>
      </w:pPr>
      <w:r>
        <w:rPr>
          <w:i/>
        </w:rPr>
        <w:t>* i</w:t>
      </w:r>
      <w:r w:rsidR="00771872">
        <w:rPr>
          <w:i/>
        </w:rPr>
        <w:t xml:space="preserve">ndicates FDCs for which trial data </w:t>
      </w:r>
      <w:r w:rsidR="00F31DA7">
        <w:rPr>
          <w:i/>
        </w:rPr>
        <w:t>has been presented.</w:t>
      </w:r>
    </w:p>
    <w:p w:rsidR="00D6061F" w:rsidRPr="003F4BE3" w:rsidRDefault="00D6061F" w:rsidP="00D6061F">
      <w:pPr>
        <w:pStyle w:val="TableFooter"/>
        <w:tabs>
          <w:tab w:val="left" w:pos="284"/>
        </w:tabs>
      </w:pPr>
      <w:proofErr w:type="spellStart"/>
      <w:proofErr w:type="gramStart"/>
      <w:r w:rsidRPr="003F4BE3">
        <w:rPr>
          <w:vertAlign w:val="superscript"/>
        </w:rPr>
        <w:t>a</w:t>
      </w:r>
      <w:proofErr w:type="spellEnd"/>
      <w:proofErr w:type="gramEnd"/>
      <w:r w:rsidRPr="003F4BE3">
        <w:tab/>
        <w:t>in combination with cobicistat or ritonavir boosted atazanavir or darunavir</w:t>
      </w:r>
    </w:p>
    <w:p w:rsidR="00D216D1" w:rsidRPr="003F4BE3" w:rsidRDefault="00D216D1" w:rsidP="00D216D1">
      <w:pPr>
        <w:pStyle w:val="TableFooter"/>
      </w:pPr>
      <w:r w:rsidRPr="003F4BE3">
        <w:t xml:space="preserve">ABC/3TC = </w:t>
      </w:r>
      <w:proofErr w:type="spellStart"/>
      <w:r w:rsidRPr="003F4BE3">
        <w:t>abacavir</w:t>
      </w:r>
      <w:proofErr w:type="spellEnd"/>
      <w:r w:rsidRPr="003F4BE3">
        <w:t xml:space="preserve"> and lamivudine;</w:t>
      </w:r>
      <w:r w:rsidRPr="003F4BE3" w:rsidDel="00AE6199">
        <w:t xml:space="preserve"> </w:t>
      </w:r>
      <w:r w:rsidR="00747143" w:rsidRPr="003F4BE3">
        <w:t>Ex-man = ex-manufacturer</w:t>
      </w:r>
      <w:r w:rsidRPr="003F4BE3">
        <w:t xml:space="preserve">; TAF = tenofovir </w:t>
      </w:r>
      <w:proofErr w:type="spellStart"/>
      <w:r w:rsidRPr="003F4BE3">
        <w:t>alafenamide</w:t>
      </w:r>
      <w:proofErr w:type="spellEnd"/>
      <w:r w:rsidRPr="003F4BE3">
        <w:t xml:space="preserve">; TDF = tenofovir </w:t>
      </w:r>
      <w:proofErr w:type="spellStart"/>
      <w:r w:rsidRPr="003F4BE3">
        <w:t>disoproxil</w:t>
      </w:r>
      <w:proofErr w:type="spellEnd"/>
      <w:r w:rsidRPr="003F4BE3">
        <w:t xml:space="preserve"> fumarate</w:t>
      </w:r>
    </w:p>
    <w:p w:rsidR="00D216D1" w:rsidRPr="003F4BE3" w:rsidRDefault="00330F58" w:rsidP="00D216D1">
      <w:pPr>
        <w:pStyle w:val="TableFooter"/>
      </w:pPr>
      <w:r>
        <w:t>Source: PBS website.</w:t>
      </w:r>
    </w:p>
    <w:p w:rsidR="00D52336" w:rsidRPr="00EF0AE2" w:rsidRDefault="0037238F" w:rsidP="00330F58">
      <w:pPr>
        <w:pStyle w:val="ListParagraph"/>
        <w:widowControl/>
        <w:numPr>
          <w:ilvl w:val="1"/>
          <w:numId w:val="3"/>
        </w:numPr>
        <w:spacing w:before="160"/>
      </w:pPr>
      <w:r w:rsidRPr="00A36B06">
        <w:rPr>
          <w:rFonts w:asciiTheme="minorHAnsi" w:hAnsiTheme="minorHAnsi"/>
          <w:color w:val="000000" w:themeColor="text1"/>
        </w:rPr>
        <w:t>The ESC noted that</w:t>
      </w:r>
      <w:r w:rsidR="00CD4EE9" w:rsidRPr="00A36B06">
        <w:rPr>
          <w:rFonts w:asciiTheme="minorHAnsi" w:hAnsiTheme="minorHAnsi"/>
          <w:color w:val="000000" w:themeColor="text1"/>
        </w:rPr>
        <w:t xml:space="preserve">, </w:t>
      </w:r>
      <w:r w:rsidR="009E69FF" w:rsidRPr="00A36B06">
        <w:rPr>
          <w:rFonts w:asciiTheme="minorHAnsi" w:hAnsiTheme="minorHAnsi"/>
          <w:color w:val="000000" w:themeColor="text1"/>
        </w:rPr>
        <w:t xml:space="preserve">with the exception of combinations including </w:t>
      </w:r>
      <w:r w:rsidR="00207C32" w:rsidRPr="00A36B06">
        <w:rPr>
          <w:rFonts w:asciiTheme="minorHAnsi" w:hAnsiTheme="minorHAnsi"/>
          <w:color w:val="000000" w:themeColor="text1"/>
        </w:rPr>
        <w:t xml:space="preserve">DESCOVY® plus </w:t>
      </w:r>
      <w:proofErr w:type="spellStart"/>
      <w:r w:rsidR="009E69FF" w:rsidRPr="00A36B06">
        <w:rPr>
          <w:rFonts w:asciiTheme="minorHAnsi" w:hAnsiTheme="minorHAnsi"/>
          <w:color w:val="000000" w:themeColor="text1"/>
        </w:rPr>
        <w:t>dolutegravir</w:t>
      </w:r>
      <w:proofErr w:type="spellEnd"/>
      <w:r w:rsidR="007411CC" w:rsidRPr="00A36B06">
        <w:rPr>
          <w:rFonts w:asciiTheme="minorHAnsi" w:hAnsiTheme="minorHAnsi"/>
          <w:color w:val="000000" w:themeColor="text1"/>
        </w:rPr>
        <w:t xml:space="preserve"> and</w:t>
      </w:r>
      <w:r w:rsidR="00490E2E" w:rsidRPr="00A36B06">
        <w:rPr>
          <w:rFonts w:asciiTheme="minorHAnsi" w:hAnsiTheme="minorHAnsi"/>
          <w:color w:val="000000" w:themeColor="text1"/>
        </w:rPr>
        <w:t xml:space="preserve"> KIVEXA® plus</w:t>
      </w:r>
      <w:r w:rsidR="00027BE2" w:rsidRPr="00A36B06">
        <w:rPr>
          <w:rFonts w:asciiTheme="minorHAnsi" w:hAnsiTheme="minorHAnsi"/>
          <w:color w:val="000000" w:themeColor="text1"/>
        </w:rPr>
        <w:t xml:space="preserve"> </w:t>
      </w:r>
      <w:proofErr w:type="spellStart"/>
      <w:r w:rsidR="00027BE2" w:rsidRPr="00A36B06">
        <w:rPr>
          <w:rFonts w:asciiTheme="minorHAnsi" w:hAnsiTheme="minorHAnsi"/>
          <w:color w:val="000000" w:themeColor="text1"/>
        </w:rPr>
        <w:t>dolutegravir</w:t>
      </w:r>
      <w:proofErr w:type="spellEnd"/>
      <w:r w:rsidR="009E69FF" w:rsidRPr="00A36B06">
        <w:rPr>
          <w:rFonts w:asciiTheme="minorHAnsi" w:hAnsiTheme="minorHAnsi"/>
          <w:color w:val="000000" w:themeColor="text1"/>
        </w:rPr>
        <w:t xml:space="preserve">, </w:t>
      </w:r>
      <w:r w:rsidR="00CD4EE9" w:rsidRPr="00A36B06">
        <w:rPr>
          <w:rFonts w:asciiTheme="minorHAnsi" w:hAnsiTheme="minorHAnsi"/>
          <w:color w:val="000000" w:themeColor="text1"/>
        </w:rPr>
        <w:t xml:space="preserve">all </w:t>
      </w:r>
      <w:r w:rsidR="006F2F40" w:rsidRPr="00A36B06">
        <w:rPr>
          <w:rFonts w:asciiTheme="minorHAnsi" w:hAnsiTheme="minorHAnsi"/>
          <w:color w:val="000000" w:themeColor="text1"/>
        </w:rPr>
        <w:t>alternative</w:t>
      </w:r>
      <w:r w:rsidR="00160CA2" w:rsidRPr="00A36B06">
        <w:rPr>
          <w:rFonts w:asciiTheme="minorHAnsi" w:hAnsiTheme="minorHAnsi"/>
          <w:color w:val="000000" w:themeColor="text1"/>
        </w:rPr>
        <w:t xml:space="preserve"> FDC triple</w:t>
      </w:r>
      <w:r w:rsidR="006F2F40" w:rsidRPr="00A36B06">
        <w:rPr>
          <w:rFonts w:asciiTheme="minorHAnsi" w:hAnsiTheme="minorHAnsi"/>
          <w:color w:val="000000" w:themeColor="text1"/>
        </w:rPr>
        <w:t xml:space="preserve"> therapies</w:t>
      </w:r>
      <w:r w:rsidR="00CD4EE9" w:rsidRPr="00A36B06">
        <w:rPr>
          <w:rFonts w:asciiTheme="minorHAnsi" w:hAnsiTheme="minorHAnsi"/>
          <w:color w:val="000000" w:themeColor="text1"/>
        </w:rPr>
        <w:t xml:space="preserve"> identified had a lower price than BFTAF</w:t>
      </w:r>
      <w:r w:rsidR="006F2F40" w:rsidRPr="00A36B06">
        <w:rPr>
          <w:rFonts w:asciiTheme="minorHAnsi" w:hAnsiTheme="minorHAnsi"/>
          <w:color w:val="000000" w:themeColor="text1"/>
        </w:rPr>
        <w:t>.</w:t>
      </w:r>
      <w:r w:rsidR="00CD4EE9" w:rsidRPr="00A36B06">
        <w:rPr>
          <w:rFonts w:asciiTheme="minorHAnsi" w:hAnsiTheme="minorHAnsi"/>
          <w:color w:val="000000" w:themeColor="text1"/>
        </w:rPr>
        <w:t xml:space="preserve"> Given that both accepted relativities and trial evidence support a claim of non-inferiority to other combination treatments, </w:t>
      </w:r>
      <w:r w:rsidRPr="00A36B06">
        <w:rPr>
          <w:rFonts w:asciiTheme="minorHAnsi" w:hAnsiTheme="minorHAnsi"/>
          <w:color w:val="000000" w:themeColor="text1"/>
        </w:rPr>
        <w:t xml:space="preserve">the ESC considered that </w:t>
      </w:r>
      <w:r w:rsidR="00CD4EE9" w:rsidRPr="00A36B06">
        <w:rPr>
          <w:rFonts w:asciiTheme="minorHAnsi" w:hAnsiTheme="minorHAnsi"/>
          <w:color w:val="000000" w:themeColor="text1"/>
        </w:rPr>
        <w:t>a cost-minimisation based on the lowest priced of these</w:t>
      </w:r>
      <w:r w:rsidR="00B0284A" w:rsidRPr="00A36B06">
        <w:rPr>
          <w:rFonts w:asciiTheme="minorHAnsi" w:hAnsiTheme="minorHAnsi"/>
          <w:color w:val="000000" w:themeColor="text1"/>
        </w:rPr>
        <w:t xml:space="preserve"> may </w:t>
      </w:r>
      <w:r w:rsidR="00B0284A" w:rsidRPr="00A36B06">
        <w:rPr>
          <w:rFonts w:asciiTheme="minorHAnsi" w:hAnsiTheme="minorHAnsi"/>
          <w:color w:val="000000" w:themeColor="text1"/>
        </w:rPr>
        <w:lastRenderedPageBreak/>
        <w:t>be justified</w:t>
      </w:r>
      <w:r w:rsidR="00B9057F" w:rsidRPr="00A36B06">
        <w:rPr>
          <w:rFonts w:asciiTheme="minorHAnsi" w:hAnsiTheme="minorHAnsi"/>
          <w:color w:val="000000" w:themeColor="text1"/>
        </w:rPr>
        <w:t xml:space="preserve">, </w:t>
      </w:r>
      <w:r w:rsidR="00B0284A" w:rsidRPr="00A36B06">
        <w:rPr>
          <w:rFonts w:asciiTheme="minorHAnsi" w:hAnsiTheme="minorHAnsi"/>
          <w:color w:val="000000" w:themeColor="text1"/>
        </w:rPr>
        <w:t xml:space="preserve">given </w:t>
      </w:r>
      <w:r w:rsidR="00B9057F" w:rsidRPr="00A36B06">
        <w:rPr>
          <w:rFonts w:asciiTheme="minorHAnsi" w:hAnsiTheme="minorHAnsi"/>
          <w:color w:val="000000" w:themeColor="text1"/>
        </w:rPr>
        <w:t>the absence of sufficient evidence to support a benefit over these existing therapies</w:t>
      </w:r>
      <w:r w:rsidR="00CD4EE9" w:rsidRPr="00A36B06">
        <w:rPr>
          <w:rFonts w:asciiTheme="minorHAnsi" w:hAnsiTheme="minorHAnsi"/>
          <w:color w:val="000000" w:themeColor="text1"/>
        </w:rPr>
        <w:t>.</w:t>
      </w:r>
      <w:r w:rsidR="009E69FF" w:rsidRPr="00A36B06">
        <w:rPr>
          <w:rFonts w:asciiTheme="minorHAnsi" w:hAnsiTheme="minorHAnsi"/>
          <w:color w:val="000000" w:themeColor="text1"/>
        </w:rPr>
        <w:t xml:space="preserve"> </w:t>
      </w:r>
    </w:p>
    <w:p w:rsidR="00EF0AE2" w:rsidRDefault="00EF0AE2" w:rsidP="00EF0AE2">
      <w:pPr>
        <w:pStyle w:val="ListParagraph"/>
        <w:numPr>
          <w:ilvl w:val="1"/>
          <w:numId w:val="3"/>
        </w:numPr>
      </w:pPr>
      <w:r w:rsidRPr="00EF0AE2">
        <w:t xml:space="preserve">The Pre-PBAC Response argued that the most commonly used FTAF-based regimens are the only appropriate comparators, and therefore cost-minimisation against alternative regimens would be unjustified and inappropriate. The Pre-PBAC Response also reiterated that the proposed price for BFTAF is equivalent to the price of the lowest cost comparators GENVOYA® and ODEFSEY® and significantly less than the price of DESCOVY® + </w:t>
      </w:r>
      <w:proofErr w:type="spellStart"/>
      <w:r w:rsidRPr="00EF0AE2">
        <w:t>dolutegravir</w:t>
      </w:r>
      <w:proofErr w:type="spellEnd"/>
      <w:r w:rsidRPr="00EF0AE2">
        <w:t>, which the submission claims is the regimen most likely to</w:t>
      </w:r>
      <w:r w:rsidR="00330F58">
        <w:t xml:space="preserve"> be replaced in clinical practice.</w:t>
      </w:r>
    </w:p>
    <w:p w:rsidR="00C25D9C" w:rsidRPr="00F76F05" w:rsidRDefault="00C25D9C" w:rsidP="00DD3B41">
      <w:pPr>
        <w:pStyle w:val="Heading2"/>
        <w:spacing w:before="120" w:after="120"/>
      </w:pPr>
      <w:bookmarkStart w:id="12" w:name="_Toc503214692"/>
      <w:r w:rsidRPr="00F76F05">
        <w:t>Drug cost/patient/</w:t>
      </w:r>
      <w:r w:rsidR="00463EA4" w:rsidRPr="00F76F05">
        <w:t>year</w:t>
      </w:r>
      <w:bookmarkEnd w:id="12"/>
    </w:p>
    <w:p w:rsidR="00B60939" w:rsidRPr="003F4BE3" w:rsidRDefault="00463EA4" w:rsidP="00E05630">
      <w:pPr>
        <w:pStyle w:val="ListParagraph"/>
        <w:keepNext/>
        <w:widowControl/>
        <w:numPr>
          <w:ilvl w:val="1"/>
          <w:numId w:val="3"/>
        </w:numPr>
        <w:rPr>
          <w:color w:val="000000" w:themeColor="text1"/>
        </w:rPr>
      </w:pPr>
      <w:r w:rsidRPr="003F4BE3">
        <w:rPr>
          <w:color w:val="000000" w:themeColor="text1"/>
        </w:rPr>
        <w:t>$</w:t>
      </w:r>
      <w:r w:rsidRPr="00CE68A7">
        <w:rPr>
          <w:color w:val="000000" w:themeColor="text1"/>
        </w:rPr>
        <w:t>12,101.10</w:t>
      </w:r>
      <w:r w:rsidRPr="003F4BE3">
        <w:rPr>
          <w:color w:val="000000" w:themeColor="text1"/>
        </w:rPr>
        <w:t>, based on a DPMQ of $</w:t>
      </w:r>
      <w:r w:rsidRPr="00CE68A7">
        <w:rPr>
          <w:color w:val="000000" w:themeColor="text1"/>
        </w:rPr>
        <w:t>2,016.85</w:t>
      </w:r>
      <w:r w:rsidRPr="003F4BE3">
        <w:rPr>
          <w:color w:val="000000" w:themeColor="text1"/>
        </w:rPr>
        <w:t xml:space="preserve"> (ex-manufacturer price of $</w:t>
      </w:r>
      <w:r w:rsidRPr="00CE68A7">
        <w:rPr>
          <w:color w:val="000000" w:themeColor="text1"/>
        </w:rPr>
        <w:t>984.85</w:t>
      </w:r>
      <w:r w:rsidRPr="003F4BE3">
        <w:rPr>
          <w:color w:val="000000" w:themeColor="text1"/>
        </w:rPr>
        <w:t xml:space="preserve"> for 30 days of treatment (30 tablets)) and assuming </w:t>
      </w:r>
      <w:r w:rsidRPr="006A5EFA">
        <w:rPr>
          <w:color w:val="000000" w:themeColor="text1"/>
        </w:rPr>
        <w:t>6</w:t>
      </w:r>
      <w:r w:rsidRPr="003F4BE3">
        <w:rPr>
          <w:color w:val="000000" w:themeColor="text1"/>
        </w:rPr>
        <w:t xml:space="preserve"> scripts per year.</w:t>
      </w:r>
    </w:p>
    <w:p w:rsidR="00B60939" w:rsidRPr="00F76F05" w:rsidRDefault="00B60939" w:rsidP="00DD3B41">
      <w:pPr>
        <w:pStyle w:val="Heading2"/>
        <w:spacing w:before="120" w:after="120"/>
      </w:pPr>
      <w:bookmarkStart w:id="13" w:name="_Toc503214693"/>
      <w:r w:rsidRPr="00F76F05">
        <w:t>Estimated PBS usage &amp; financial implications</w:t>
      </w:r>
      <w:bookmarkEnd w:id="13"/>
    </w:p>
    <w:p w:rsidR="0072416F" w:rsidRPr="003F4BE3" w:rsidRDefault="00C25D9C" w:rsidP="007A132D">
      <w:pPr>
        <w:pStyle w:val="ListParagraph"/>
        <w:widowControl/>
        <w:numPr>
          <w:ilvl w:val="1"/>
          <w:numId w:val="3"/>
        </w:numPr>
      </w:pPr>
      <w:r w:rsidRPr="003F4BE3">
        <w:t xml:space="preserve">This submission </w:t>
      </w:r>
      <w:r w:rsidR="00B201A4" w:rsidRPr="003F4BE3">
        <w:t>wa</w:t>
      </w:r>
      <w:r w:rsidR="00002110" w:rsidRPr="003F4BE3">
        <w:t>s not</w:t>
      </w:r>
      <w:r w:rsidRPr="003F4BE3">
        <w:t xml:space="preserve"> considered by DUSC</w:t>
      </w:r>
      <w:r w:rsidRPr="003F4BE3">
        <w:rPr>
          <w:color w:val="0070C0"/>
        </w:rPr>
        <w:t xml:space="preserve">. </w:t>
      </w:r>
      <w:r w:rsidR="002301ED" w:rsidRPr="003F4BE3">
        <w:rPr>
          <w:color w:val="000000" w:themeColor="text1"/>
        </w:rPr>
        <w:t>The submission took a market share approach to estimating financial impact</w:t>
      </w:r>
      <w:r w:rsidR="00CD4EE9" w:rsidRPr="003F4BE3">
        <w:rPr>
          <w:color w:val="000000" w:themeColor="text1"/>
        </w:rPr>
        <w:t xml:space="preserve">, based on the assumption that </w:t>
      </w:r>
      <w:r w:rsidR="002301ED" w:rsidRPr="003F4BE3">
        <w:rPr>
          <w:color w:val="000000" w:themeColor="text1"/>
        </w:rPr>
        <w:t>BFTAF woul</w:t>
      </w:r>
      <w:r w:rsidR="00330F58">
        <w:rPr>
          <w:color w:val="000000" w:themeColor="text1"/>
        </w:rPr>
        <w:t>d only displace FTAF regimens.</w:t>
      </w:r>
    </w:p>
    <w:p w:rsidR="00C25D9C" w:rsidRPr="003F4BE3" w:rsidRDefault="002A2F50" w:rsidP="00364590">
      <w:pPr>
        <w:keepNext/>
      </w:pPr>
      <w:r w:rsidRPr="003F4BE3">
        <w:rPr>
          <w:rStyle w:val="CommentReference"/>
          <w:lang w:val="en-AU"/>
        </w:rPr>
        <w:t xml:space="preserve">Table </w:t>
      </w:r>
      <w:r w:rsidR="00D216D1" w:rsidRPr="003F4BE3">
        <w:rPr>
          <w:rStyle w:val="CommentReference"/>
          <w:lang w:val="en-AU"/>
        </w:rPr>
        <w:t>10</w:t>
      </w:r>
      <w:r w:rsidR="00C8469B" w:rsidRPr="003F4BE3">
        <w:rPr>
          <w:rStyle w:val="CommentReference"/>
          <w:lang w:val="en-AU"/>
        </w:rPr>
        <w:t>:</w:t>
      </w:r>
      <w:r w:rsidRPr="003F4BE3">
        <w:rPr>
          <w:rStyle w:val="CommentReference"/>
          <w:lang w:val="en-AU"/>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385A9D" w:rsidRPr="003F4BE3" w:rsidTr="002301ED">
        <w:trPr>
          <w:tblHeader/>
        </w:trPr>
        <w:tc>
          <w:tcPr>
            <w:tcW w:w="1119" w:type="pct"/>
            <w:shd w:val="clear" w:color="auto" w:fill="auto"/>
            <w:vAlign w:val="center"/>
          </w:tcPr>
          <w:p w:rsidR="00385A9D" w:rsidRPr="003F4BE3" w:rsidRDefault="00385A9D" w:rsidP="00364590">
            <w:pPr>
              <w:pStyle w:val="Tabletext"/>
              <w:keepNext/>
            </w:pPr>
          </w:p>
        </w:tc>
        <w:tc>
          <w:tcPr>
            <w:tcW w:w="647" w:type="pct"/>
            <w:shd w:val="clear" w:color="auto" w:fill="auto"/>
            <w:vAlign w:val="center"/>
          </w:tcPr>
          <w:p w:rsidR="00385A9D" w:rsidRPr="003F4BE3" w:rsidRDefault="00385A9D" w:rsidP="00364590">
            <w:pPr>
              <w:pStyle w:val="Tabletext"/>
              <w:keepNext/>
              <w:jc w:val="center"/>
              <w:rPr>
                <w:b/>
              </w:rPr>
            </w:pPr>
            <w:r w:rsidRPr="003F4BE3">
              <w:rPr>
                <w:b/>
              </w:rPr>
              <w:t>Year 1</w:t>
            </w:r>
          </w:p>
        </w:tc>
        <w:tc>
          <w:tcPr>
            <w:tcW w:w="647" w:type="pct"/>
            <w:shd w:val="clear" w:color="auto" w:fill="auto"/>
            <w:vAlign w:val="center"/>
          </w:tcPr>
          <w:p w:rsidR="00385A9D" w:rsidRPr="003F4BE3" w:rsidRDefault="00385A9D" w:rsidP="00364590">
            <w:pPr>
              <w:pStyle w:val="Tabletext"/>
              <w:keepNext/>
              <w:jc w:val="center"/>
              <w:rPr>
                <w:b/>
              </w:rPr>
            </w:pPr>
            <w:r w:rsidRPr="003F4BE3">
              <w:rPr>
                <w:b/>
              </w:rPr>
              <w:t>Year 2</w:t>
            </w:r>
          </w:p>
        </w:tc>
        <w:tc>
          <w:tcPr>
            <w:tcW w:w="647" w:type="pct"/>
            <w:shd w:val="clear" w:color="auto" w:fill="auto"/>
            <w:vAlign w:val="center"/>
          </w:tcPr>
          <w:p w:rsidR="00385A9D" w:rsidRPr="003F4BE3" w:rsidRDefault="00385A9D" w:rsidP="00364590">
            <w:pPr>
              <w:pStyle w:val="Tabletext"/>
              <w:keepNext/>
              <w:jc w:val="center"/>
              <w:rPr>
                <w:b/>
              </w:rPr>
            </w:pPr>
            <w:r w:rsidRPr="003F4BE3">
              <w:rPr>
                <w:b/>
              </w:rPr>
              <w:t>Year 3</w:t>
            </w:r>
          </w:p>
        </w:tc>
        <w:tc>
          <w:tcPr>
            <w:tcW w:w="647" w:type="pct"/>
            <w:shd w:val="clear" w:color="auto" w:fill="auto"/>
            <w:vAlign w:val="center"/>
          </w:tcPr>
          <w:p w:rsidR="00385A9D" w:rsidRPr="003F4BE3" w:rsidRDefault="00385A9D" w:rsidP="00364590">
            <w:pPr>
              <w:pStyle w:val="Tabletext"/>
              <w:keepNext/>
              <w:jc w:val="center"/>
              <w:rPr>
                <w:b/>
              </w:rPr>
            </w:pPr>
            <w:r w:rsidRPr="003F4BE3">
              <w:rPr>
                <w:b/>
              </w:rPr>
              <w:t>Year 4</w:t>
            </w:r>
          </w:p>
        </w:tc>
        <w:tc>
          <w:tcPr>
            <w:tcW w:w="647" w:type="pct"/>
            <w:shd w:val="clear" w:color="auto" w:fill="auto"/>
            <w:vAlign w:val="center"/>
          </w:tcPr>
          <w:p w:rsidR="00385A9D" w:rsidRPr="003F4BE3" w:rsidRDefault="00385A9D" w:rsidP="00364590">
            <w:pPr>
              <w:pStyle w:val="Tabletext"/>
              <w:keepNext/>
              <w:jc w:val="center"/>
              <w:rPr>
                <w:b/>
              </w:rPr>
            </w:pPr>
            <w:r w:rsidRPr="003F4BE3">
              <w:rPr>
                <w:b/>
              </w:rPr>
              <w:t>Year 5</w:t>
            </w:r>
          </w:p>
        </w:tc>
        <w:tc>
          <w:tcPr>
            <w:tcW w:w="646" w:type="pct"/>
          </w:tcPr>
          <w:p w:rsidR="00385A9D" w:rsidRPr="003F4BE3" w:rsidRDefault="00385A9D" w:rsidP="00364590">
            <w:pPr>
              <w:pStyle w:val="Tabletext"/>
              <w:keepNext/>
              <w:jc w:val="center"/>
              <w:rPr>
                <w:b/>
              </w:rPr>
            </w:pPr>
            <w:r w:rsidRPr="003F4BE3">
              <w:rPr>
                <w:b/>
              </w:rPr>
              <w:t>Year 6</w:t>
            </w:r>
          </w:p>
        </w:tc>
      </w:tr>
      <w:tr w:rsidR="00385A9D" w:rsidRPr="003F4BE3" w:rsidTr="00385A9D">
        <w:tc>
          <w:tcPr>
            <w:tcW w:w="5000" w:type="pct"/>
            <w:gridSpan w:val="7"/>
            <w:shd w:val="clear" w:color="auto" w:fill="auto"/>
            <w:vAlign w:val="center"/>
          </w:tcPr>
          <w:p w:rsidR="00385A9D" w:rsidRPr="003F4BE3" w:rsidRDefault="00385A9D" w:rsidP="00364590">
            <w:pPr>
              <w:pStyle w:val="Tabletext"/>
              <w:keepNext/>
              <w:rPr>
                <w:b/>
                <w:bCs/>
                <w:color w:val="000000"/>
              </w:rPr>
            </w:pPr>
            <w:r w:rsidRPr="003F4BE3">
              <w:rPr>
                <w:b/>
                <w:bCs/>
                <w:color w:val="000000"/>
              </w:rPr>
              <w:t>Estimated extent of use</w:t>
            </w:r>
          </w:p>
        </w:tc>
      </w:tr>
      <w:tr w:rsidR="006B432D" w:rsidRPr="003F4BE3" w:rsidTr="00207C32">
        <w:trPr>
          <w:trHeight w:val="92"/>
        </w:trPr>
        <w:tc>
          <w:tcPr>
            <w:tcW w:w="1119" w:type="pct"/>
            <w:shd w:val="clear" w:color="auto" w:fill="auto"/>
            <w:vAlign w:val="center"/>
          </w:tcPr>
          <w:p w:rsidR="006B432D" w:rsidRPr="003F4BE3" w:rsidRDefault="006B432D" w:rsidP="00364590">
            <w:pPr>
              <w:pStyle w:val="Tabletext"/>
              <w:keepNext/>
              <w:rPr>
                <w:rFonts w:ascii="Times" w:hAnsi="Times"/>
              </w:rPr>
            </w:pPr>
            <w:r w:rsidRPr="003F4BE3">
              <w:t>Number of scripts dispensed</w:t>
            </w:r>
          </w:p>
        </w:tc>
        <w:tc>
          <w:tcPr>
            <w:tcW w:w="647" w:type="pct"/>
            <w:shd w:val="clear" w:color="auto" w:fill="auto"/>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c>
          <w:tcPr>
            <w:tcW w:w="646" w:type="pct"/>
            <w:vAlign w:val="center"/>
          </w:tcPr>
          <w:p w:rsidR="006B432D" w:rsidRPr="004F226B" w:rsidRDefault="004F226B" w:rsidP="00364590">
            <w:pPr>
              <w:pStyle w:val="Tabletext"/>
              <w:keepNext/>
              <w:jc w:val="center"/>
              <w:rPr>
                <w:bCs/>
                <w:color w:val="000000"/>
                <w:highlight w:val="black"/>
              </w:rPr>
            </w:pPr>
            <w:r>
              <w:rPr>
                <w:noProof/>
                <w:color w:val="000000"/>
                <w:szCs w:val="20"/>
                <w:highlight w:val="black"/>
              </w:rPr>
              <w:t>''''''''''''''''</w:t>
            </w:r>
          </w:p>
        </w:tc>
      </w:tr>
      <w:tr w:rsidR="00385A9D" w:rsidRPr="003F4BE3" w:rsidTr="00385A9D">
        <w:tc>
          <w:tcPr>
            <w:tcW w:w="5000" w:type="pct"/>
            <w:gridSpan w:val="7"/>
            <w:shd w:val="clear" w:color="auto" w:fill="auto"/>
            <w:vAlign w:val="center"/>
          </w:tcPr>
          <w:p w:rsidR="00385A9D" w:rsidRPr="003F4BE3" w:rsidRDefault="00385A9D" w:rsidP="00364590">
            <w:pPr>
              <w:pStyle w:val="Tabletext"/>
              <w:keepNext/>
              <w:rPr>
                <w:b/>
                <w:bCs/>
                <w:color w:val="000000"/>
              </w:rPr>
            </w:pPr>
            <w:r w:rsidRPr="003F4BE3">
              <w:rPr>
                <w:b/>
                <w:bCs/>
                <w:color w:val="000000"/>
              </w:rPr>
              <w:t xml:space="preserve">Estimated financial implications of </w:t>
            </w:r>
            <w:r w:rsidR="006B432D" w:rsidRPr="003F4BE3">
              <w:rPr>
                <w:b/>
                <w:bCs/>
                <w:color w:val="000000"/>
              </w:rPr>
              <w:t>BFTAF</w:t>
            </w:r>
          </w:p>
        </w:tc>
      </w:tr>
      <w:tr w:rsidR="00567474" w:rsidRPr="003F4BE3" w:rsidTr="00207C32">
        <w:tc>
          <w:tcPr>
            <w:tcW w:w="1119" w:type="pct"/>
            <w:shd w:val="clear" w:color="auto" w:fill="auto"/>
            <w:vAlign w:val="center"/>
          </w:tcPr>
          <w:p w:rsidR="00567474" w:rsidRPr="003F4BE3" w:rsidRDefault="00567474" w:rsidP="00364590">
            <w:pPr>
              <w:pStyle w:val="Tabletext"/>
              <w:keepNext/>
              <w:rPr>
                <w:rFonts w:ascii="Times" w:hAnsi="Times"/>
              </w:rPr>
            </w:pPr>
            <w:r w:rsidRPr="003F4BE3">
              <w:rPr>
                <w:sz w:val="19"/>
                <w:szCs w:val="19"/>
              </w:rPr>
              <w:t>Cost to PBS/RPBS</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6" w:type="pct"/>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r>
      <w:tr w:rsidR="00567474" w:rsidRPr="003F4BE3" w:rsidTr="00207C32">
        <w:tc>
          <w:tcPr>
            <w:tcW w:w="1119" w:type="pct"/>
            <w:shd w:val="clear" w:color="auto" w:fill="auto"/>
            <w:vAlign w:val="center"/>
          </w:tcPr>
          <w:p w:rsidR="00567474" w:rsidRPr="003F4BE3" w:rsidRDefault="00567474" w:rsidP="00364590">
            <w:pPr>
              <w:pStyle w:val="Tabletext"/>
              <w:keepNext/>
              <w:rPr>
                <w:sz w:val="19"/>
                <w:szCs w:val="19"/>
              </w:rPr>
            </w:pPr>
            <w:proofErr w:type="spellStart"/>
            <w:r w:rsidRPr="003F4BE3">
              <w:rPr>
                <w:sz w:val="19"/>
                <w:szCs w:val="19"/>
              </w:rPr>
              <w:t>Copayments</w:t>
            </w:r>
            <w:proofErr w:type="spellEnd"/>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c>
          <w:tcPr>
            <w:tcW w:w="646" w:type="pct"/>
            <w:vAlign w:val="center"/>
          </w:tcPr>
          <w:p w:rsidR="00567474" w:rsidRPr="003F4BE3" w:rsidRDefault="00567474" w:rsidP="00364590">
            <w:pPr>
              <w:pStyle w:val="Tabletext"/>
              <w:keepNext/>
              <w:jc w:val="center"/>
              <w:rPr>
                <w:bCs/>
                <w:color w:val="000000"/>
              </w:rPr>
            </w:pPr>
            <w:r w:rsidRPr="003F4BE3">
              <w:rPr>
                <w:color w:val="000000"/>
              </w:rPr>
              <w:t>-$</w:t>
            </w:r>
            <w:r w:rsidR="004F226B">
              <w:rPr>
                <w:noProof/>
                <w:color w:val="000000"/>
                <w:highlight w:val="black"/>
              </w:rPr>
              <w:t>'''''''''''''''''''''</w:t>
            </w:r>
          </w:p>
        </w:tc>
      </w:tr>
      <w:tr w:rsidR="006B432D" w:rsidRPr="003F4BE3" w:rsidTr="00207C32">
        <w:tc>
          <w:tcPr>
            <w:tcW w:w="1119" w:type="pct"/>
            <w:shd w:val="clear" w:color="auto" w:fill="auto"/>
            <w:vAlign w:val="center"/>
          </w:tcPr>
          <w:p w:rsidR="006B432D" w:rsidRPr="003F4BE3" w:rsidRDefault="006B432D" w:rsidP="00364590">
            <w:pPr>
              <w:pStyle w:val="Tabletext"/>
              <w:keepNext/>
              <w:rPr>
                <w:sz w:val="19"/>
                <w:szCs w:val="19"/>
              </w:rPr>
            </w:pPr>
            <w:r w:rsidRPr="003F4BE3">
              <w:t xml:space="preserve">Net cost to PBS/RPBS less </w:t>
            </w:r>
            <w:proofErr w:type="spellStart"/>
            <w:r w:rsidRPr="003F4BE3">
              <w:t>copayments</w:t>
            </w:r>
            <w:proofErr w:type="spellEnd"/>
          </w:p>
        </w:tc>
        <w:tc>
          <w:tcPr>
            <w:tcW w:w="647" w:type="pct"/>
            <w:shd w:val="clear" w:color="auto" w:fill="auto"/>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c>
          <w:tcPr>
            <w:tcW w:w="646" w:type="pct"/>
            <w:vAlign w:val="center"/>
          </w:tcPr>
          <w:p w:rsidR="006B432D" w:rsidRPr="003F4BE3" w:rsidRDefault="006B432D" w:rsidP="00364590">
            <w:pPr>
              <w:pStyle w:val="Tabletext"/>
              <w:keepNext/>
              <w:jc w:val="center"/>
              <w:rPr>
                <w:bCs/>
                <w:color w:val="000000"/>
              </w:rPr>
            </w:pPr>
            <w:r w:rsidRPr="003F4BE3">
              <w:t>$</w:t>
            </w:r>
            <w:r w:rsidR="004F226B">
              <w:rPr>
                <w:noProof/>
                <w:color w:val="000000"/>
                <w:highlight w:val="black"/>
              </w:rPr>
              <w:t>'''''''''''''''''''''''''''''</w:t>
            </w:r>
          </w:p>
        </w:tc>
      </w:tr>
      <w:tr w:rsidR="00385A9D" w:rsidRPr="003F4BE3" w:rsidTr="00385A9D">
        <w:tc>
          <w:tcPr>
            <w:tcW w:w="5000" w:type="pct"/>
            <w:gridSpan w:val="7"/>
            <w:shd w:val="clear" w:color="auto" w:fill="auto"/>
            <w:vAlign w:val="center"/>
          </w:tcPr>
          <w:p w:rsidR="00385A9D" w:rsidRPr="003F4BE3" w:rsidRDefault="00385A9D" w:rsidP="00364590">
            <w:pPr>
              <w:pStyle w:val="Tabletext"/>
              <w:keepNext/>
              <w:rPr>
                <w:bCs/>
                <w:color w:val="000000"/>
              </w:rPr>
            </w:pPr>
            <w:r w:rsidRPr="003F4BE3">
              <w:rPr>
                <w:b/>
                <w:bCs/>
                <w:color w:val="000000"/>
              </w:rPr>
              <w:t xml:space="preserve">Estimated financial implications for </w:t>
            </w:r>
            <w:r w:rsidR="00567474" w:rsidRPr="003F4BE3">
              <w:rPr>
                <w:b/>
                <w:bCs/>
                <w:color w:val="000000"/>
              </w:rPr>
              <w:t>FTAF treatments</w:t>
            </w:r>
          </w:p>
        </w:tc>
      </w:tr>
      <w:tr w:rsidR="00465B35" w:rsidRPr="003F4BE3" w:rsidTr="00207C32">
        <w:tc>
          <w:tcPr>
            <w:tcW w:w="1119" w:type="pct"/>
            <w:shd w:val="clear" w:color="auto" w:fill="auto"/>
            <w:vAlign w:val="center"/>
          </w:tcPr>
          <w:p w:rsidR="00465B35" w:rsidRPr="003F4BE3" w:rsidRDefault="00465B35" w:rsidP="00364590">
            <w:pPr>
              <w:pStyle w:val="Tabletext"/>
              <w:keepNext/>
              <w:rPr>
                <w:sz w:val="19"/>
                <w:szCs w:val="19"/>
              </w:rPr>
            </w:pPr>
            <w:r w:rsidRPr="003F4BE3">
              <w:rPr>
                <w:sz w:val="19"/>
                <w:szCs w:val="19"/>
              </w:rPr>
              <w:t>Cost to PBS/RPBS</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6" w:type="pct"/>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r>
      <w:tr w:rsidR="00465B35" w:rsidRPr="003F4BE3" w:rsidTr="00207C32">
        <w:tc>
          <w:tcPr>
            <w:tcW w:w="1119" w:type="pct"/>
            <w:shd w:val="clear" w:color="auto" w:fill="auto"/>
            <w:vAlign w:val="center"/>
          </w:tcPr>
          <w:p w:rsidR="00465B35" w:rsidRPr="003F4BE3" w:rsidRDefault="00465B35" w:rsidP="00364590">
            <w:pPr>
              <w:pStyle w:val="Tabletext"/>
              <w:keepNext/>
              <w:rPr>
                <w:sz w:val="19"/>
                <w:szCs w:val="19"/>
              </w:rPr>
            </w:pPr>
            <w:proofErr w:type="spellStart"/>
            <w:r w:rsidRPr="003F4BE3">
              <w:rPr>
                <w:sz w:val="19"/>
                <w:szCs w:val="19"/>
              </w:rPr>
              <w:t>Copayments</w:t>
            </w:r>
            <w:proofErr w:type="spellEnd"/>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6" w:type="pct"/>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r>
      <w:tr w:rsidR="00465B35" w:rsidRPr="003F4BE3" w:rsidTr="00207C32">
        <w:tc>
          <w:tcPr>
            <w:tcW w:w="1119" w:type="pct"/>
            <w:shd w:val="clear" w:color="auto" w:fill="auto"/>
            <w:vAlign w:val="center"/>
          </w:tcPr>
          <w:p w:rsidR="00465B35" w:rsidRPr="003F4BE3" w:rsidRDefault="00465B35" w:rsidP="00364590">
            <w:pPr>
              <w:pStyle w:val="Tabletext"/>
              <w:keepNext/>
              <w:rPr>
                <w:sz w:val="19"/>
                <w:szCs w:val="19"/>
              </w:rPr>
            </w:pPr>
            <w:r w:rsidRPr="003F4BE3">
              <w:rPr>
                <w:sz w:val="19"/>
                <w:szCs w:val="19"/>
              </w:rPr>
              <w:t xml:space="preserve">Cost to PBS/RPBS less </w:t>
            </w:r>
            <w:proofErr w:type="spellStart"/>
            <w:r w:rsidRPr="003F4BE3">
              <w:rPr>
                <w:sz w:val="19"/>
                <w:szCs w:val="19"/>
              </w:rPr>
              <w:t>copayments</w:t>
            </w:r>
            <w:proofErr w:type="spellEnd"/>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7" w:type="pct"/>
            <w:shd w:val="clear" w:color="auto" w:fill="auto"/>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c>
          <w:tcPr>
            <w:tcW w:w="646" w:type="pct"/>
            <w:vAlign w:val="center"/>
          </w:tcPr>
          <w:p w:rsidR="00465B35" w:rsidRPr="003F4BE3" w:rsidRDefault="00465B35" w:rsidP="00364590">
            <w:pPr>
              <w:pStyle w:val="Tabletext"/>
              <w:keepNext/>
              <w:jc w:val="center"/>
              <w:rPr>
                <w:bCs/>
                <w:color w:val="000000"/>
              </w:rPr>
            </w:pPr>
            <w:r w:rsidRPr="003F4BE3">
              <w:rPr>
                <w:color w:val="000000"/>
              </w:rPr>
              <w:t>-$</w:t>
            </w:r>
            <w:r w:rsidR="004F226B">
              <w:rPr>
                <w:noProof/>
                <w:color w:val="000000"/>
                <w:highlight w:val="black"/>
              </w:rPr>
              <w:t>'''''''''''''''''''''''''''''</w:t>
            </w:r>
          </w:p>
        </w:tc>
      </w:tr>
      <w:tr w:rsidR="00385A9D" w:rsidRPr="003F4BE3" w:rsidTr="00465B35">
        <w:trPr>
          <w:trHeight w:val="260"/>
        </w:trPr>
        <w:tc>
          <w:tcPr>
            <w:tcW w:w="5000" w:type="pct"/>
            <w:gridSpan w:val="7"/>
            <w:shd w:val="clear" w:color="auto" w:fill="auto"/>
            <w:vAlign w:val="center"/>
          </w:tcPr>
          <w:p w:rsidR="00385A9D" w:rsidRPr="003F4BE3" w:rsidRDefault="00385A9D" w:rsidP="00364590">
            <w:pPr>
              <w:pStyle w:val="Tabletext"/>
              <w:keepNext/>
              <w:rPr>
                <w:b/>
                <w:bCs/>
                <w:color w:val="000000"/>
              </w:rPr>
            </w:pPr>
            <w:r w:rsidRPr="003F4BE3">
              <w:rPr>
                <w:b/>
                <w:bCs/>
                <w:color w:val="000000"/>
              </w:rPr>
              <w:t>Net financial implications</w:t>
            </w:r>
            <w:r w:rsidRPr="003F4BE3">
              <w:rPr>
                <w:b/>
                <w:bCs/>
                <w:color w:val="4BACC6" w:themeColor="accent5"/>
              </w:rPr>
              <w:t xml:space="preserve"> </w:t>
            </w:r>
          </w:p>
        </w:tc>
      </w:tr>
      <w:tr w:rsidR="00465B35" w:rsidRPr="003F4BE3" w:rsidTr="00465B35">
        <w:trPr>
          <w:trHeight w:val="143"/>
        </w:trPr>
        <w:tc>
          <w:tcPr>
            <w:tcW w:w="1119" w:type="pct"/>
            <w:shd w:val="clear" w:color="auto" w:fill="auto"/>
            <w:vAlign w:val="center"/>
          </w:tcPr>
          <w:p w:rsidR="00465B35" w:rsidRPr="003F4BE3" w:rsidRDefault="00465B35" w:rsidP="00364590">
            <w:pPr>
              <w:pStyle w:val="Tabletext"/>
              <w:keepNext/>
              <w:rPr>
                <w:sz w:val="19"/>
                <w:szCs w:val="19"/>
              </w:rPr>
            </w:pPr>
            <w:r w:rsidRPr="003F4BE3">
              <w:rPr>
                <w:sz w:val="19"/>
                <w:szCs w:val="19"/>
              </w:rPr>
              <w:t>Net cost to PBS</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6" w:type="pct"/>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r>
      <w:tr w:rsidR="00465B35" w:rsidRPr="003F4BE3" w:rsidTr="00002110">
        <w:tc>
          <w:tcPr>
            <w:tcW w:w="1119" w:type="pct"/>
            <w:shd w:val="clear" w:color="auto" w:fill="auto"/>
            <w:vAlign w:val="center"/>
          </w:tcPr>
          <w:p w:rsidR="00465B35" w:rsidRPr="003F4BE3" w:rsidRDefault="00465B35" w:rsidP="00364590">
            <w:pPr>
              <w:pStyle w:val="Tabletext"/>
              <w:keepNext/>
              <w:rPr>
                <w:sz w:val="19"/>
                <w:szCs w:val="19"/>
              </w:rPr>
            </w:pPr>
            <w:r w:rsidRPr="003F4BE3">
              <w:rPr>
                <w:sz w:val="19"/>
                <w:szCs w:val="19"/>
              </w:rPr>
              <w:t>Net cost to RPBS</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c>
          <w:tcPr>
            <w:tcW w:w="646" w:type="pct"/>
          </w:tcPr>
          <w:p w:rsidR="00465B35" w:rsidRPr="003F4BE3" w:rsidRDefault="00465B35" w:rsidP="00364590">
            <w:pPr>
              <w:pStyle w:val="Tabletext"/>
              <w:keepNext/>
              <w:jc w:val="center"/>
              <w:rPr>
                <w:bCs/>
                <w:color w:val="000000"/>
              </w:rPr>
            </w:pPr>
            <w:r w:rsidRPr="003F4BE3">
              <w:t>-$</w:t>
            </w:r>
            <w:r w:rsidR="004F226B">
              <w:rPr>
                <w:noProof/>
                <w:color w:val="000000"/>
                <w:highlight w:val="black"/>
              </w:rPr>
              <w:t>'''''''''''''''</w:t>
            </w:r>
          </w:p>
        </w:tc>
      </w:tr>
      <w:tr w:rsidR="00465B35" w:rsidRPr="003F4BE3" w:rsidTr="00002110">
        <w:tc>
          <w:tcPr>
            <w:tcW w:w="1119" w:type="pct"/>
            <w:shd w:val="clear" w:color="auto" w:fill="auto"/>
            <w:vAlign w:val="center"/>
          </w:tcPr>
          <w:p w:rsidR="00465B35" w:rsidRPr="003F4BE3" w:rsidRDefault="00465B35" w:rsidP="00364590">
            <w:pPr>
              <w:pStyle w:val="Tabletext"/>
              <w:keepNext/>
              <w:rPr>
                <w:sz w:val="19"/>
                <w:szCs w:val="19"/>
              </w:rPr>
            </w:pPr>
            <w:r w:rsidRPr="003F4BE3">
              <w:rPr>
                <w:sz w:val="19"/>
                <w:szCs w:val="19"/>
              </w:rPr>
              <w:t>Net cost to PBS/RPBS</w:t>
            </w:r>
          </w:p>
        </w:tc>
        <w:tc>
          <w:tcPr>
            <w:tcW w:w="647" w:type="pct"/>
            <w:shd w:val="clear" w:color="auto" w:fill="auto"/>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c>
          <w:tcPr>
            <w:tcW w:w="647" w:type="pct"/>
            <w:shd w:val="clear" w:color="auto" w:fill="auto"/>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c>
          <w:tcPr>
            <w:tcW w:w="646" w:type="pct"/>
          </w:tcPr>
          <w:p w:rsidR="00465B35" w:rsidRPr="003F4BE3" w:rsidRDefault="00465B35" w:rsidP="00364590">
            <w:pPr>
              <w:pStyle w:val="Tabletext"/>
              <w:keepNext/>
              <w:jc w:val="center"/>
              <w:rPr>
                <w:bCs/>
                <w:color w:val="000000"/>
              </w:rPr>
            </w:pPr>
            <w:r w:rsidRPr="003F4BE3">
              <w:rPr>
                <w:b/>
              </w:rPr>
              <w:t>-$</w:t>
            </w:r>
            <w:r w:rsidR="004F226B">
              <w:rPr>
                <w:b/>
                <w:noProof/>
                <w:color w:val="000000"/>
                <w:highlight w:val="black"/>
              </w:rPr>
              <w:t>'''''''''''''''''''''</w:t>
            </w:r>
          </w:p>
        </w:tc>
      </w:tr>
    </w:tbl>
    <w:p w:rsidR="00E466F3" w:rsidRPr="003F4BE3" w:rsidRDefault="00465B35" w:rsidP="00E466F3">
      <w:pPr>
        <w:pStyle w:val="TableFooter"/>
        <w:tabs>
          <w:tab w:val="left" w:pos="142"/>
        </w:tabs>
      </w:pPr>
      <w:r w:rsidRPr="003F4BE3">
        <w:t xml:space="preserve">BFTAF = bictegravir, emtricitabine and tenofovir </w:t>
      </w:r>
      <w:proofErr w:type="spellStart"/>
      <w:r w:rsidRPr="003F4BE3">
        <w:t>alafenamide</w:t>
      </w:r>
      <w:proofErr w:type="spellEnd"/>
      <w:r w:rsidRPr="003F4BE3">
        <w:t xml:space="preserve">, FTAF = emtricitabine and tenofovir </w:t>
      </w:r>
      <w:proofErr w:type="spellStart"/>
      <w:r w:rsidRPr="003F4BE3">
        <w:t>alafenamide</w:t>
      </w:r>
      <w:proofErr w:type="spellEnd"/>
      <w:r w:rsidRPr="003F4BE3">
        <w:t>; PBS = Pharmaceutical Benefits Scheme; RPBS = Repatriation Pharmaceutical Benefits Scheme</w:t>
      </w:r>
    </w:p>
    <w:p w:rsidR="00385A9D" w:rsidRDefault="00465B35" w:rsidP="00385A9D">
      <w:pPr>
        <w:pStyle w:val="TableFooter"/>
      </w:pPr>
      <w:r w:rsidRPr="003F4BE3">
        <w:t xml:space="preserve">Source: </w:t>
      </w:r>
      <w:r w:rsidR="006B432D" w:rsidRPr="003F4BE3">
        <w:t>Tables 4.3, 4.6, 4.7, 4.8</w:t>
      </w:r>
      <w:r w:rsidR="00567474" w:rsidRPr="003F4BE3">
        <w:t>, 4.10, 4.11</w:t>
      </w:r>
      <w:r w:rsidR="006B432D" w:rsidRPr="003F4BE3">
        <w:t xml:space="preserve">, </w:t>
      </w:r>
      <w:r w:rsidRPr="003F4BE3">
        <w:t xml:space="preserve">and 4.12, </w:t>
      </w:r>
      <w:r w:rsidR="006B432D" w:rsidRPr="003F4BE3">
        <w:t>p105</w:t>
      </w:r>
      <w:r w:rsidRPr="003F4BE3">
        <w:t>-110</w:t>
      </w:r>
      <w:r w:rsidR="006B432D" w:rsidRPr="003F4BE3">
        <w:t xml:space="preserve"> of the submission</w:t>
      </w:r>
    </w:p>
    <w:p w:rsidR="00865BC7" w:rsidRPr="00865BC7" w:rsidRDefault="00865BC7" w:rsidP="00865BC7">
      <w:pPr>
        <w:pStyle w:val="TableFooter"/>
        <w:spacing w:after="120"/>
        <w:rPr>
          <w:rStyle w:val="CommentReference"/>
          <w:rFonts w:asciiTheme="minorHAnsi" w:hAnsiTheme="minorHAnsi"/>
          <w:sz w:val="24"/>
          <w:szCs w:val="24"/>
        </w:rPr>
      </w:pPr>
      <w:r>
        <w:rPr>
          <w:rFonts w:asciiTheme="minorHAnsi" w:hAnsiTheme="minorHAnsi"/>
          <w:sz w:val="24"/>
          <w:szCs w:val="24"/>
        </w:rPr>
        <w:t>The redacted table shows that at Year 6, the estimated number of scripts dispensed was 10,000 – 50,000 per year.</w:t>
      </w:r>
    </w:p>
    <w:p w:rsidR="006A6F37" w:rsidRPr="003F4BE3" w:rsidRDefault="006A6F37" w:rsidP="00330F58">
      <w:pPr>
        <w:pStyle w:val="ListParagraph"/>
        <w:widowControl/>
        <w:numPr>
          <w:ilvl w:val="1"/>
          <w:numId w:val="3"/>
        </w:numPr>
        <w:spacing w:before="160"/>
      </w:pPr>
      <w:r w:rsidRPr="003F4BE3">
        <w:t xml:space="preserve">The submission estimated overall net savings to the PBS/RPBS of </w:t>
      </w:r>
      <w:r w:rsidR="00865BC7">
        <w:t xml:space="preserve">less than $10 million </w:t>
      </w:r>
      <w:r w:rsidRPr="003F4BE3">
        <w:t xml:space="preserve">in Year 1 increasing to </w:t>
      </w:r>
      <w:r w:rsidR="00865BC7">
        <w:t xml:space="preserve">$10 - $20 million </w:t>
      </w:r>
      <w:r w:rsidRPr="003F4BE3">
        <w:t>in Year 6. The submission did not estimate any costs to other government health budgets.</w:t>
      </w:r>
    </w:p>
    <w:p w:rsidR="00A36B06" w:rsidRDefault="00207C32" w:rsidP="00A36B06">
      <w:pPr>
        <w:pStyle w:val="ListParagraph"/>
        <w:widowControl/>
        <w:numPr>
          <w:ilvl w:val="1"/>
          <w:numId w:val="3"/>
        </w:numPr>
      </w:pPr>
      <w:r w:rsidRPr="00A36B06">
        <w:lastRenderedPageBreak/>
        <w:t xml:space="preserve">Savings would be expected to change based on the relative replacement of DESCOVY® plus </w:t>
      </w:r>
      <w:proofErr w:type="spellStart"/>
      <w:r w:rsidRPr="00A36B06">
        <w:t>dolutegravir</w:t>
      </w:r>
      <w:proofErr w:type="spellEnd"/>
      <w:r w:rsidRPr="00A36B06">
        <w:t xml:space="preserve"> (more expensive than BFTAF) versus GENVOYA® and ODEFSEY® (cost neutral) and </w:t>
      </w:r>
      <w:r w:rsidR="00B0284A" w:rsidRPr="00A36B06">
        <w:t xml:space="preserve">whether </w:t>
      </w:r>
      <w:r w:rsidRPr="00A36B06">
        <w:t>other less expensive, but relevant</w:t>
      </w:r>
      <w:r w:rsidR="00B0284A" w:rsidRPr="00A36B06">
        <w:t>,</w:t>
      </w:r>
      <w:r w:rsidRPr="00A36B06">
        <w:t xml:space="preserve"> alternative therapies </w:t>
      </w:r>
      <w:r w:rsidR="00B0284A" w:rsidRPr="00A36B06">
        <w:t xml:space="preserve">are </w:t>
      </w:r>
      <w:r w:rsidRPr="00A36B06">
        <w:t>replaced.</w:t>
      </w:r>
      <w:r w:rsidR="00B108E7" w:rsidRPr="00A36B06">
        <w:t xml:space="preserve"> The ESC considered that TAF-based therapies would constitute the bulk of </w:t>
      </w:r>
      <w:r w:rsidR="003D6BD6" w:rsidRPr="00A36B06">
        <w:t>dis</w:t>
      </w:r>
      <w:r w:rsidR="00B108E7" w:rsidRPr="00A36B06">
        <w:t xml:space="preserve">placement by BFTAF and other therapies would likely be </w:t>
      </w:r>
      <w:r w:rsidR="002F725A" w:rsidRPr="00A36B06">
        <w:t>re</w:t>
      </w:r>
      <w:r w:rsidR="00B108E7" w:rsidRPr="00A36B06">
        <w:t xml:space="preserve">placed to a </w:t>
      </w:r>
      <w:r w:rsidR="007D79BD" w:rsidRPr="00A36B06">
        <w:t>smaller</w:t>
      </w:r>
      <w:r w:rsidR="00330F58">
        <w:t xml:space="preserve"> extent.</w:t>
      </w:r>
    </w:p>
    <w:p w:rsidR="00EF0AE2" w:rsidRPr="00EF0AE2" w:rsidRDefault="00EF0AE2" w:rsidP="00EF0AE2">
      <w:pPr>
        <w:pStyle w:val="ListParagraph"/>
        <w:numPr>
          <w:ilvl w:val="1"/>
          <w:numId w:val="3"/>
        </w:numPr>
      </w:pPr>
      <w:r w:rsidRPr="00EF0AE2">
        <w:t xml:space="preserve">The Pre-PBAC Response reiterated the cost savings to be gained through BFTAF listing by displacement of DESCOVY® + </w:t>
      </w:r>
      <w:proofErr w:type="spellStart"/>
      <w:r w:rsidRPr="00EF0AE2">
        <w:t>dolutegravir</w:t>
      </w:r>
      <w:proofErr w:type="spellEnd"/>
      <w:r w:rsidRPr="00EF0AE2">
        <w:t xml:space="preserve"> from the market share, but acknowledged that the magnitu</w:t>
      </w:r>
      <w:r>
        <w:t>d</w:t>
      </w:r>
      <w:r w:rsidRPr="00EF0AE2">
        <w:t>e of savi</w:t>
      </w:r>
      <w:r>
        <w:t>ng</w:t>
      </w:r>
      <w:r w:rsidRPr="00EF0AE2">
        <w:t xml:space="preserve">s would be expected to change based on the relative displacement of DESCOVY® + </w:t>
      </w:r>
      <w:proofErr w:type="spellStart"/>
      <w:r w:rsidRPr="00EF0AE2">
        <w:t>dolutegravir</w:t>
      </w:r>
      <w:proofErr w:type="spellEnd"/>
      <w:r w:rsidRPr="00EF0AE2">
        <w:t xml:space="preserve"> </w:t>
      </w:r>
      <w:r w:rsidR="00330F58">
        <w:t>versus GENVOYA® and ODEFSEY®.</w:t>
      </w:r>
    </w:p>
    <w:p w:rsidR="001C7ED2" w:rsidRPr="00EF0AE2" w:rsidRDefault="00A36B06" w:rsidP="001C7ED2">
      <w:pPr>
        <w:pStyle w:val="ListParagraph"/>
        <w:ind w:left="709"/>
        <w:rPr>
          <w:rFonts w:asciiTheme="minorHAnsi" w:hAnsiTheme="minorHAnsi"/>
          <w:i/>
        </w:rPr>
      </w:pPr>
      <w:r w:rsidRPr="00EF0AE2">
        <w:rPr>
          <w:rFonts w:asciiTheme="minorHAnsi" w:hAnsiTheme="minorHAnsi"/>
          <w:i/>
        </w:rPr>
        <w:t>For more detail on PBAC’s view, see section 7 PBAC outcome.</w:t>
      </w:r>
    </w:p>
    <w:p w:rsidR="001C7ED2" w:rsidRPr="00791337" w:rsidRDefault="001C7ED2" w:rsidP="00DD3B41">
      <w:pPr>
        <w:pStyle w:val="PBACHeading1"/>
        <w:keepNext/>
        <w:numPr>
          <w:ilvl w:val="0"/>
          <w:numId w:val="3"/>
        </w:numPr>
        <w:spacing w:before="0"/>
        <w:outlineLvl w:val="0"/>
        <w:rPr>
          <w:rFonts w:cs="Times New Roman"/>
          <w:snapToGrid/>
          <w:color w:val="000000" w:themeColor="text1"/>
          <w:sz w:val="24"/>
        </w:rPr>
      </w:pPr>
      <w:r w:rsidRPr="00791337">
        <w:t xml:space="preserve">PBAC </w:t>
      </w:r>
      <w:r w:rsidR="00330F58" w:rsidRPr="00791337">
        <w:t>o</w:t>
      </w:r>
      <w:r w:rsidRPr="00791337">
        <w:t>utcome</w:t>
      </w:r>
    </w:p>
    <w:p w:rsidR="00EF0AE2" w:rsidRPr="00EF0AE2" w:rsidRDefault="00EF0AE2" w:rsidP="00293A90">
      <w:pPr>
        <w:widowControl w:val="0"/>
        <w:numPr>
          <w:ilvl w:val="1"/>
          <w:numId w:val="3"/>
        </w:numPr>
        <w:spacing w:after="160"/>
        <w:jc w:val="both"/>
        <w:rPr>
          <w:rFonts w:asciiTheme="minorHAnsi" w:hAnsiTheme="minorHAnsi" w:cs="Arial"/>
          <w:bCs/>
          <w:snapToGrid w:val="0"/>
          <w:lang w:val="en-GB"/>
        </w:rPr>
      </w:pPr>
      <w:r w:rsidRPr="00EF0AE2">
        <w:rPr>
          <w:rFonts w:asciiTheme="minorHAnsi" w:hAnsiTheme="minorHAnsi" w:cs="Arial"/>
          <w:bCs/>
          <w:snapToGrid w:val="0"/>
          <w:lang w:val="en-GB"/>
        </w:rPr>
        <w:t xml:space="preserve">The PBAC </w:t>
      </w:r>
      <w:r w:rsidR="00101D24">
        <w:rPr>
          <w:rFonts w:asciiTheme="minorHAnsi" w:hAnsiTheme="minorHAnsi" w:cs="Arial"/>
          <w:bCs/>
          <w:snapToGrid w:val="0"/>
          <w:lang w:val="en-GB"/>
        </w:rPr>
        <w:t>was of a mind to recommend</w:t>
      </w:r>
      <w:r w:rsidRPr="00EF0AE2">
        <w:rPr>
          <w:rFonts w:asciiTheme="minorHAnsi" w:hAnsiTheme="minorHAnsi" w:cs="Arial"/>
          <w:bCs/>
          <w:snapToGrid w:val="0"/>
          <w:lang w:val="en-GB"/>
        </w:rPr>
        <w:t xml:space="preserve"> the Authority Required (STREAMLINED) Section 100 listing for a fixed dose combination (FDC) tablet containing </w:t>
      </w:r>
      <w:r w:rsidR="009000E5">
        <w:rPr>
          <w:rFonts w:asciiTheme="minorHAnsi" w:hAnsiTheme="minorHAnsi" w:cs="Arial"/>
          <w:bCs/>
          <w:snapToGrid w:val="0"/>
          <w:lang w:val="en-GB"/>
        </w:rPr>
        <w:t xml:space="preserve">tenofovir </w:t>
      </w:r>
      <w:proofErr w:type="spellStart"/>
      <w:r w:rsidR="009000E5">
        <w:rPr>
          <w:rFonts w:asciiTheme="minorHAnsi" w:hAnsiTheme="minorHAnsi" w:cs="Arial"/>
          <w:bCs/>
          <w:snapToGrid w:val="0"/>
          <w:lang w:val="en-GB"/>
        </w:rPr>
        <w:t>alafenamide</w:t>
      </w:r>
      <w:proofErr w:type="spellEnd"/>
      <w:r w:rsidR="009000E5">
        <w:rPr>
          <w:rFonts w:asciiTheme="minorHAnsi" w:hAnsiTheme="minorHAnsi" w:cs="Arial"/>
          <w:bCs/>
          <w:snapToGrid w:val="0"/>
          <w:lang w:val="en-GB"/>
        </w:rPr>
        <w:t xml:space="preserve"> with emtricitabine and bictegravir</w:t>
      </w:r>
      <w:r w:rsidRPr="00EF0AE2">
        <w:rPr>
          <w:rFonts w:asciiTheme="minorHAnsi" w:hAnsiTheme="minorHAnsi" w:cs="Arial"/>
          <w:bCs/>
          <w:snapToGrid w:val="0"/>
          <w:lang w:val="en-GB"/>
        </w:rPr>
        <w:t xml:space="preserve"> (BFTAF) for the treatment of</w:t>
      </w:r>
      <w:r w:rsidR="00101D24">
        <w:rPr>
          <w:rFonts w:asciiTheme="minorHAnsi" w:hAnsiTheme="minorHAnsi" w:cs="Arial"/>
          <w:bCs/>
          <w:snapToGrid w:val="0"/>
          <w:lang w:val="en-GB"/>
        </w:rPr>
        <w:t xml:space="preserve"> patients with</w:t>
      </w:r>
      <w:r w:rsidRPr="00EF0AE2">
        <w:rPr>
          <w:rFonts w:asciiTheme="minorHAnsi" w:hAnsiTheme="minorHAnsi" w:cs="Arial"/>
          <w:bCs/>
          <w:snapToGrid w:val="0"/>
          <w:lang w:val="en-GB"/>
        </w:rPr>
        <w:t xml:space="preserve"> human immunodeficiency virus (HIV-1).</w:t>
      </w:r>
      <w:r w:rsidR="00101D24">
        <w:rPr>
          <w:rFonts w:asciiTheme="minorHAnsi" w:hAnsiTheme="minorHAnsi" w:cs="Arial"/>
          <w:bCs/>
          <w:snapToGrid w:val="0"/>
          <w:lang w:val="en-GB"/>
        </w:rPr>
        <w:t xml:space="preserve"> However the </w:t>
      </w:r>
      <w:r w:rsidRPr="00EF0AE2">
        <w:rPr>
          <w:rFonts w:asciiTheme="minorHAnsi" w:hAnsiTheme="minorHAnsi" w:cs="Arial"/>
          <w:bCs/>
          <w:snapToGrid w:val="0"/>
          <w:lang w:val="en-GB"/>
        </w:rPr>
        <w:t>PBAC</w:t>
      </w:r>
      <w:r w:rsidR="00101D24">
        <w:rPr>
          <w:rFonts w:asciiTheme="minorHAnsi" w:hAnsiTheme="minorHAnsi" w:cs="Arial"/>
          <w:bCs/>
          <w:snapToGrid w:val="0"/>
          <w:lang w:val="en-GB"/>
        </w:rPr>
        <w:t xml:space="preserve"> deferred making a final </w:t>
      </w:r>
      <w:r w:rsidRPr="00EF0AE2">
        <w:rPr>
          <w:rFonts w:asciiTheme="minorHAnsi" w:hAnsiTheme="minorHAnsi" w:cs="Arial"/>
          <w:bCs/>
          <w:snapToGrid w:val="0"/>
          <w:lang w:val="en-GB"/>
        </w:rPr>
        <w:t xml:space="preserve">recommendation </w:t>
      </w:r>
      <w:r w:rsidR="00101D24">
        <w:rPr>
          <w:rFonts w:asciiTheme="minorHAnsi" w:hAnsiTheme="minorHAnsi" w:cs="Arial"/>
          <w:bCs/>
          <w:snapToGrid w:val="0"/>
          <w:lang w:val="en-GB"/>
        </w:rPr>
        <w:t>pending the provision of the relevant TGA delegate’s overview.</w:t>
      </w:r>
    </w:p>
    <w:p w:rsidR="000E64CF" w:rsidRDefault="00EF0AE2" w:rsidP="001247FC">
      <w:pPr>
        <w:widowControl w:val="0"/>
        <w:numPr>
          <w:ilvl w:val="1"/>
          <w:numId w:val="3"/>
        </w:numPr>
        <w:jc w:val="both"/>
        <w:rPr>
          <w:rFonts w:asciiTheme="minorHAnsi" w:hAnsiTheme="minorHAnsi" w:cs="Arial"/>
          <w:bCs/>
          <w:snapToGrid w:val="0"/>
          <w:lang w:val="en-GB"/>
        </w:rPr>
      </w:pPr>
      <w:r w:rsidRPr="00EF0AE2">
        <w:rPr>
          <w:rFonts w:asciiTheme="minorHAnsi" w:hAnsiTheme="minorHAnsi" w:cs="Arial"/>
          <w:bCs/>
          <w:snapToGrid w:val="0"/>
          <w:lang w:val="en-GB"/>
        </w:rPr>
        <w:t xml:space="preserve">The PBAC </w:t>
      </w:r>
      <w:r w:rsidR="00D65878">
        <w:rPr>
          <w:rFonts w:asciiTheme="minorHAnsi" w:hAnsiTheme="minorHAnsi" w:cs="Arial"/>
          <w:bCs/>
          <w:snapToGrid w:val="0"/>
          <w:lang w:val="en-GB"/>
        </w:rPr>
        <w:t>considered</w:t>
      </w:r>
      <w:r w:rsidRPr="00EF0AE2">
        <w:rPr>
          <w:rFonts w:asciiTheme="minorHAnsi" w:hAnsiTheme="minorHAnsi" w:cs="Arial"/>
          <w:bCs/>
          <w:snapToGrid w:val="0"/>
          <w:lang w:val="en-GB"/>
        </w:rPr>
        <w:t xml:space="preserve"> that the cost-effectiveness of BFTAF would be acceptable if it were cost-minimised against</w:t>
      </w:r>
      <w:r w:rsidR="0070337A">
        <w:rPr>
          <w:rFonts w:asciiTheme="minorHAnsi" w:hAnsiTheme="minorHAnsi" w:cs="Arial"/>
          <w:bCs/>
          <w:snapToGrid w:val="0"/>
          <w:lang w:val="en-GB"/>
        </w:rPr>
        <w:t xml:space="preserve"> the lowest </w:t>
      </w:r>
      <w:r w:rsidR="00F6146F">
        <w:rPr>
          <w:rFonts w:asciiTheme="minorHAnsi" w:hAnsiTheme="minorHAnsi" w:cs="Arial"/>
          <w:bCs/>
          <w:snapToGrid w:val="0"/>
          <w:lang w:val="en-GB"/>
        </w:rPr>
        <w:t xml:space="preserve">priced alternative </w:t>
      </w:r>
      <w:r w:rsidR="0070337A">
        <w:rPr>
          <w:rFonts w:asciiTheme="minorHAnsi" w:hAnsiTheme="minorHAnsi" w:cs="Arial"/>
          <w:bCs/>
          <w:snapToGrid w:val="0"/>
          <w:lang w:val="en-GB"/>
        </w:rPr>
        <w:t>FDC triple-therapy for the treatment of HIV (i.e.</w:t>
      </w:r>
      <w:r w:rsidRPr="00EF0AE2">
        <w:rPr>
          <w:rFonts w:asciiTheme="minorHAnsi" w:hAnsiTheme="minorHAnsi" w:cs="Arial"/>
          <w:bCs/>
          <w:snapToGrid w:val="0"/>
          <w:lang w:val="en-GB"/>
        </w:rPr>
        <w:t xml:space="preserve"> tenofovir</w:t>
      </w:r>
      <w:r w:rsidR="00D65878">
        <w:rPr>
          <w:rFonts w:asciiTheme="minorHAnsi" w:hAnsiTheme="minorHAnsi" w:cs="Arial"/>
          <w:bCs/>
          <w:snapToGrid w:val="0"/>
          <w:lang w:val="en-GB"/>
        </w:rPr>
        <w:t xml:space="preserve"> </w:t>
      </w:r>
      <w:proofErr w:type="spellStart"/>
      <w:r w:rsidRPr="00EF0AE2">
        <w:rPr>
          <w:rFonts w:asciiTheme="minorHAnsi" w:hAnsiTheme="minorHAnsi" w:cs="Arial"/>
          <w:bCs/>
          <w:snapToGrid w:val="0"/>
          <w:lang w:val="en-GB"/>
        </w:rPr>
        <w:t>disprox</w:t>
      </w:r>
      <w:r w:rsidR="000E64CF">
        <w:rPr>
          <w:rFonts w:asciiTheme="minorHAnsi" w:hAnsiTheme="minorHAnsi" w:cs="Arial"/>
          <w:bCs/>
          <w:snapToGrid w:val="0"/>
          <w:lang w:val="en-GB"/>
        </w:rPr>
        <w:t>i</w:t>
      </w:r>
      <w:r w:rsidRPr="00EF0AE2">
        <w:rPr>
          <w:rFonts w:asciiTheme="minorHAnsi" w:hAnsiTheme="minorHAnsi" w:cs="Arial"/>
          <w:bCs/>
          <w:snapToGrid w:val="0"/>
          <w:lang w:val="en-GB"/>
        </w:rPr>
        <w:t>l</w:t>
      </w:r>
      <w:proofErr w:type="spellEnd"/>
      <w:r w:rsidRPr="00EF0AE2">
        <w:rPr>
          <w:rFonts w:asciiTheme="minorHAnsi" w:hAnsiTheme="minorHAnsi" w:cs="Arial"/>
          <w:bCs/>
          <w:snapToGrid w:val="0"/>
          <w:lang w:val="en-GB"/>
        </w:rPr>
        <w:t>-based (TDF) alternatives to the nominated secondary comparators GENVOYA® and ODEFSEY®, STRIBILD® and EVIPLERA®</w:t>
      </w:r>
      <w:r w:rsidR="0070337A">
        <w:rPr>
          <w:rFonts w:asciiTheme="minorHAnsi" w:hAnsiTheme="minorHAnsi" w:cs="Arial"/>
          <w:bCs/>
          <w:snapToGrid w:val="0"/>
          <w:lang w:val="en-GB"/>
        </w:rPr>
        <w:t>)</w:t>
      </w:r>
      <w:r w:rsidRPr="00EF0AE2">
        <w:rPr>
          <w:rFonts w:asciiTheme="minorHAnsi" w:hAnsiTheme="minorHAnsi" w:cs="Arial"/>
          <w:bCs/>
          <w:snapToGrid w:val="0"/>
          <w:lang w:val="en-GB"/>
        </w:rPr>
        <w:t>.</w:t>
      </w:r>
      <w:r w:rsidR="007E7026">
        <w:rPr>
          <w:rFonts w:asciiTheme="minorHAnsi" w:hAnsiTheme="minorHAnsi" w:cs="Arial"/>
          <w:bCs/>
          <w:snapToGrid w:val="0"/>
          <w:lang w:val="en-GB"/>
        </w:rPr>
        <w:t xml:space="preserve"> The </w:t>
      </w:r>
      <w:proofErr w:type="spellStart"/>
      <w:r w:rsidR="007E7026">
        <w:rPr>
          <w:rFonts w:asciiTheme="minorHAnsi" w:hAnsiTheme="minorHAnsi" w:cs="Arial"/>
          <w:bCs/>
          <w:snapToGrid w:val="0"/>
          <w:lang w:val="en-GB"/>
        </w:rPr>
        <w:t>equi</w:t>
      </w:r>
      <w:proofErr w:type="spellEnd"/>
      <w:r w:rsidR="007E7026">
        <w:rPr>
          <w:rFonts w:asciiTheme="minorHAnsi" w:hAnsiTheme="minorHAnsi" w:cs="Arial"/>
          <w:bCs/>
          <w:snapToGrid w:val="0"/>
          <w:lang w:val="en-GB"/>
        </w:rPr>
        <w:t>-effective doses are</w:t>
      </w:r>
      <w:r w:rsidR="000E64CF">
        <w:rPr>
          <w:rFonts w:asciiTheme="minorHAnsi" w:hAnsiTheme="minorHAnsi" w:cs="Arial"/>
          <w:bCs/>
          <w:snapToGrid w:val="0"/>
          <w:lang w:val="en-GB"/>
        </w:rPr>
        <w:t>:</w:t>
      </w:r>
    </w:p>
    <w:p w:rsidR="000E64CF" w:rsidRDefault="001247FC" w:rsidP="001247FC">
      <w:pPr>
        <w:pStyle w:val="ListParagraph"/>
        <w:numPr>
          <w:ilvl w:val="0"/>
          <w:numId w:val="33"/>
        </w:numPr>
        <w:spacing w:after="0"/>
        <w:ind w:left="1434" w:hanging="357"/>
        <w:rPr>
          <w:rFonts w:asciiTheme="minorHAnsi" w:hAnsiTheme="minorHAnsi"/>
          <w:bCs/>
          <w:lang w:val="en-GB"/>
        </w:rPr>
      </w:pPr>
      <w:r>
        <w:rPr>
          <w:rFonts w:asciiTheme="minorHAnsi" w:hAnsiTheme="minorHAnsi"/>
          <w:bCs/>
          <w:lang w:val="en-GB"/>
        </w:rPr>
        <w:t>b</w:t>
      </w:r>
      <w:r w:rsidR="000E64CF" w:rsidRPr="000E64CF">
        <w:rPr>
          <w:rFonts w:asciiTheme="minorHAnsi" w:hAnsiTheme="minorHAnsi"/>
          <w:bCs/>
          <w:lang w:val="en-GB"/>
        </w:rPr>
        <w:t>ictegra</w:t>
      </w:r>
      <w:r w:rsidR="000E64CF">
        <w:rPr>
          <w:rFonts w:asciiTheme="minorHAnsi" w:hAnsiTheme="minorHAnsi"/>
          <w:bCs/>
          <w:lang w:val="en-GB"/>
        </w:rPr>
        <w:t xml:space="preserve">vir 50 mg /emtricitabine 200 mg/ </w:t>
      </w:r>
      <w:r w:rsidR="000E64CF" w:rsidRPr="000E64CF">
        <w:rPr>
          <w:rFonts w:asciiTheme="minorHAnsi" w:hAnsiTheme="minorHAnsi"/>
          <w:bCs/>
          <w:lang w:val="en-GB"/>
        </w:rPr>
        <w:t xml:space="preserve">tenofovir </w:t>
      </w:r>
      <w:proofErr w:type="spellStart"/>
      <w:r w:rsidR="000E64CF" w:rsidRPr="000E64CF">
        <w:rPr>
          <w:rFonts w:asciiTheme="minorHAnsi" w:hAnsiTheme="minorHAnsi"/>
          <w:bCs/>
          <w:lang w:val="en-GB"/>
        </w:rPr>
        <w:t>alafenamide</w:t>
      </w:r>
      <w:proofErr w:type="spellEnd"/>
      <w:r w:rsidR="000E64CF" w:rsidRPr="000E64CF">
        <w:rPr>
          <w:rFonts w:asciiTheme="minorHAnsi" w:hAnsiTheme="minorHAnsi"/>
          <w:bCs/>
          <w:lang w:val="en-GB"/>
        </w:rPr>
        <w:t xml:space="preserve"> 25 mg in an FDC product</w:t>
      </w:r>
      <w:r w:rsidR="000E64CF">
        <w:rPr>
          <w:rFonts w:asciiTheme="minorHAnsi" w:hAnsiTheme="minorHAnsi"/>
          <w:bCs/>
          <w:lang w:val="en-GB"/>
        </w:rPr>
        <w:t>;</w:t>
      </w:r>
    </w:p>
    <w:p w:rsidR="000E64CF" w:rsidRPr="000E64CF" w:rsidRDefault="000E64CF" w:rsidP="001247FC">
      <w:pPr>
        <w:pStyle w:val="ListParagraph"/>
        <w:numPr>
          <w:ilvl w:val="0"/>
          <w:numId w:val="33"/>
        </w:numPr>
        <w:spacing w:after="0"/>
        <w:ind w:left="1434" w:hanging="357"/>
        <w:rPr>
          <w:rFonts w:asciiTheme="minorHAnsi" w:hAnsiTheme="minorHAnsi"/>
          <w:bCs/>
          <w:lang w:val="en-GB"/>
        </w:rPr>
      </w:pPr>
      <w:r w:rsidRPr="000E64CF">
        <w:rPr>
          <w:rFonts w:asciiTheme="minorHAnsi" w:hAnsiTheme="minorHAnsi"/>
          <w:bCs/>
          <w:lang w:val="en-GB"/>
        </w:rPr>
        <w:t>STRIBILD® (tenof</w:t>
      </w:r>
      <w:r>
        <w:rPr>
          <w:rFonts w:asciiTheme="minorHAnsi" w:hAnsiTheme="minorHAnsi"/>
          <w:bCs/>
          <w:lang w:val="en-GB"/>
        </w:rPr>
        <w:t xml:space="preserve">ovir </w:t>
      </w:r>
      <w:proofErr w:type="spellStart"/>
      <w:r>
        <w:rPr>
          <w:rFonts w:asciiTheme="minorHAnsi" w:hAnsiTheme="minorHAnsi"/>
          <w:bCs/>
          <w:lang w:val="en-GB"/>
        </w:rPr>
        <w:t>disoproxil</w:t>
      </w:r>
      <w:proofErr w:type="spellEnd"/>
      <w:r>
        <w:rPr>
          <w:rFonts w:asciiTheme="minorHAnsi" w:hAnsiTheme="minorHAnsi"/>
          <w:bCs/>
          <w:lang w:val="en-GB"/>
        </w:rPr>
        <w:t xml:space="preserve"> fumarate 300 mg/ emtricitabine 200 mg/</w:t>
      </w:r>
      <w:r w:rsidRPr="000E64CF">
        <w:rPr>
          <w:rFonts w:asciiTheme="minorHAnsi" w:hAnsiTheme="minorHAnsi"/>
          <w:bCs/>
          <w:lang w:val="en-GB"/>
        </w:rPr>
        <w:t xml:space="preserve"> </w:t>
      </w:r>
      <w:proofErr w:type="spellStart"/>
      <w:r w:rsidRPr="000E64CF">
        <w:rPr>
          <w:rFonts w:asciiTheme="minorHAnsi" w:hAnsiTheme="minorHAnsi"/>
          <w:bCs/>
          <w:lang w:val="en-GB"/>
        </w:rPr>
        <w:t>elvitegravir</w:t>
      </w:r>
      <w:proofErr w:type="spellEnd"/>
      <w:r w:rsidRPr="000E64CF">
        <w:rPr>
          <w:rFonts w:asciiTheme="minorHAnsi" w:hAnsiTheme="minorHAnsi"/>
          <w:bCs/>
          <w:lang w:val="en-GB"/>
        </w:rPr>
        <w:t xml:space="preserve"> 150 mg</w:t>
      </w:r>
      <w:r>
        <w:rPr>
          <w:rFonts w:asciiTheme="minorHAnsi" w:hAnsiTheme="minorHAnsi"/>
          <w:bCs/>
          <w:lang w:val="en-GB"/>
        </w:rPr>
        <w:t>/</w:t>
      </w:r>
      <w:r w:rsidR="001247FC">
        <w:rPr>
          <w:rFonts w:asciiTheme="minorHAnsi" w:hAnsiTheme="minorHAnsi"/>
          <w:bCs/>
          <w:lang w:val="en-GB"/>
        </w:rPr>
        <w:t xml:space="preserve">cobicistat 250 mg in an </w:t>
      </w:r>
      <w:r w:rsidRPr="000E64CF">
        <w:rPr>
          <w:rFonts w:asciiTheme="minorHAnsi" w:hAnsiTheme="minorHAnsi"/>
          <w:bCs/>
          <w:lang w:val="en-GB"/>
        </w:rPr>
        <w:t>FDC product</w:t>
      </w:r>
      <w:r>
        <w:rPr>
          <w:rFonts w:asciiTheme="minorHAnsi" w:hAnsiTheme="minorHAnsi"/>
          <w:bCs/>
          <w:lang w:val="en-GB"/>
        </w:rPr>
        <w:t>);</w:t>
      </w:r>
      <w:r w:rsidR="009000E5">
        <w:rPr>
          <w:rFonts w:asciiTheme="minorHAnsi" w:hAnsiTheme="minorHAnsi"/>
          <w:bCs/>
          <w:lang w:val="en-GB"/>
        </w:rPr>
        <w:t xml:space="preserve"> </w:t>
      </w:r>
      <w:r w:rsidR="001247FC">
        <w:rPr>
          <w:rFonts w:asciiTheme="minorHAnsi" w:hAnsiTheme="minorHAnsi"/>
          <w:bCs/>
          <w:lang w:val="en-GB"/>
        </w:rPr>
        <w:t>and</w:t>
      </w:r>
    </w:p>
    <w:p w:rsidR="000E64CF" w:rsidRPr="000E64CF" w:rsidRDefault="000E64CF" w:rsidP="001247FC">
      <w:pPr>
        <w:pStyle w:val="ListParagraph"/>
        <w:numPr>
          <w:ilvl w:val="0"/>
          <w:numId w:val="33"/>
        </w:numPr>
        <w:ind w:left="1434" w:hanging="357"/>
        <w:rPr>
          <w:rFonts w:asciiTheme="minorHAnsi" w:hAnsiTheme="minorHAnsi"/>
          <w:bCs/>
          <w:lang w:val="en-GB"/>
        </w:rPr>
      </w:pPr>
      <w:r w:rsidRPr="000E64CF">
        <w:rPr>
          <w:rFonts w:asciiTheme="minorHAnsi" w:hAnsiTheme="minorHAnsi"/>
          <w:bCs/>
          <w:lang w:val="en-GB"/>
        </w:rPr>
        <w:t>EVIPLERA®</w:t>
      </w:r>
      <w:r>
        <w:rPr>
          <w:rFonts w:asciiTheme="minorHAnsi" w:hAnsiTheme="minorHAnsi"/>
          <w:bCs/>
          <w:lang w:val="en-GB"/>
        </w:rPr>
        <w:t xml:space="preserve"> (</w:t>
      </w:r>
      <w:r w:rsidR="00F404C5" w:rsidRPr="00F404C5">
        <w:rPr>
          <w:rFonts w:asciiTheme="minorHAnsi" w:hAnsiTheme="minorHAnsi"/>
          <w:bCs/>
          <w:lang w:val="en-GB"/>
        </w:rPr>
        <w:t xml:space="preserve">tenofovir </w:t>
      </w:r>
      <w:proofErr w:type="spellStart"/>
      <w:r w:rsidR="00F404C5" w:rsidRPr="00F404C5">
        <w:rPr>
          <w:rFonts w:asciiTheme="minorHAnsi" w:hAnsiTheme="minorHAnsi"/>
          <w:bCs/>
          <w:lang w:val="en-GB"/>
        </w:rPr>
        <w:t>disoproxil</w:t>
      </w:r>
      <w:proofErr w:type="spellEnd"/>
      <w:r w:rsidR="00F404C5" w:rsidRPr="00F404C5">
        <w:rPr>
          <w:rFonts w:asciiTheme="minorHAnsi" w:hAnsiTheme="minorHAnsi"/>
          <w:bCs/>
          <w:lang w:val="en-GB"/>
        </w:rPr>
        <w:t xml:space="preserve"> fumarate 300 mg/ emtricitabine 200 mg/ </w:t>
      </w:r>
      <w:proofErr w:type="spellStart"/>
      <w:r w:rsidR="00F404C5">
        <w:rPr>
          <w:rFonts w:asciiTheme="minorHAnsi" w:hAnsiTheme="minorHAnsi"/>
          <w:bCs/>
          <w:lang w:val="en-GB"/>
        </w:rPr>
        <w:t>rilpivirine</w:t>
      </w:r>
      <w:proofErr w:type="spellEnd"/>
      <w:r w:rsidR="00F404C5">
        <w:rPr>
          <w:rFonts w:asciiTheme="minorHAnsi" w:hAnsiTheme="minorHAnsi"/>
          <w:bCs/>
          <w:lang w:val="en-GB"/>
        </w:rPr>
        <w:t xml:space="preserve"> 25 mg in an </w:t>
      </w:r>
      <w:r w:rsidR="00F404C5" w:rsidRPr="00F404C5">
        <w:rPr>
          <w:rFonts w:asciiTheme="minorHAnsi" w:hAnsiTheme="minorHAnsi"/>
          <w:bCs/>
          <w:lang w:val="en-GB"/>
        </w:rPr>
        <w:t>FDC product)</w:t>
      </w:r>
      <w:r w:rsidR="001247FC">
        <w:rPr>
          <w:rFonts w:asciiTheme="minorHAnsi" w:hAnsiTheme="minorHAnsi"/>
          <w:bCs/>
          <w:lang w:val="en-GB"/>
        </w:rPr>
        <w:t>.</w:t>
      </w:r>
    </w:p>
    <w:p w:rsidR="0048414E" w:rsidRDefault="00685743" w:rsidP="00103AAB">
      <w:pPr>
        <w:widowControl w:val="0"/>
        <w:numPr>
          <w:ilvl w:val="1"/>
          <w:numId w:val="3"/>
        </w:numPr>
        <w:spacing w:after="160"/>
        <w:jc w:val="both"/>
        <w:rPr>
          <w:rFonts w:asciiTheme="minorHAnsi" w:hAnsiTheme="minorHAnsi" w:cs="Arial"/>
          <w:bCs/>
          <w:snapToGrid w:val="0"/>
          <w:lang w:val="en-GB"/>
        </w:rPr>
      </w:pPr>
      <w:r>
        <w:rPr>
          <w:rFonts w:asciiTheme="minorHAnsi" w:hAnsiTheme="minorHAnsi" w:cs="Arial"/>
          <w:bCs/>
          <w:snapToGrid w:val="0"/>
          <w:lang w:val="en-GB"/>
        </w:rPr>
        <w:t>Th</w:t>
      </w:r>
      <w:r w:rsidR="00103AAB">
        <w:rPr>
          <w:rFonts w:asciiTheme="minorHAnsi" w:hAnsiTheme="minorHAnsi" w:cs="Arial"/>
          <w:bCs/>
          <w:snapToGrid w:val="0"/>
          <w:lang w:val="en-GB"/>
        </w:rPr>
        <w:t xml:space="preserve">e PBAC accepted the nominated comparators of </w:t>
      </w:r>
      <w:r w:rsidR="00103AAB" w:rsidRPr="00103AAB">
        <w:rPr>
          <w:rFonts w:asciiTheme="minorHAnsi" w:hAnsiTheme="minorHAnsi" w:cs="Arial"/>
          <w:bCs/>
          <w:snapToGrid w:val="0"/>
          <w:lang w:val="en-GB"/>
        </w:rPr>
        <w:t xml:space="preserve">DESCOVY® plus </w:t>
      </w:r>
      <w:proofErr w:type="spellStart"/>
      <w:r w:rsidR="00103AAB" w:rsidRPr="00103AAB">
        <w:rPr>
          <w:rFonts w:asciiTheme="minorHAnsi" w:hAnsiTheme="minorHAnsi" w:cs="Arial"/>
          <w:bCs/>
          <w:snapToGrid w:val="0"/>
          <w:lang w:val="en-GB"/>
        </w:rPr>
        <w:t>dolutegravir</w:t>
      </w:r>
      <w:proofErr w:type="spellEnd"/>
      <w:r w:rsidR="00103AAB">
        <w:rPr>
          <w:rFonts w:asciiTheme="minorHAnsi" w:hAnsiTheme="minorHAnsi" w:cs="Arial"/>
          <w:bCs/>
          <w:snapToGrid w:val="0"/>
          <w:lang w:val="en-GB"/>
        </w:rPr>
        <w:t xml:space="preserve">, </w:t>
      </w:r>
      <w:r w:rsidR="00103AAB" w:rsidRPr="00103AAB">
        <w:rPr>
          <w:rFonts w:asciiTheme="minorHAnsi" w:hAnsiTheme="minorHAnsi" w:cs="Arial"/>
          <w:bCs/>
          <w:snapToGrid w:val="0"/>
          <w:lang w:val="en-GB"/>
        </w:rPr>
        <w:t xml:space="preserve">GENVOYA® </w:t>
      </w:r>
      <w:r w:rsidR="00103AAB">
        <w:rPr>
          <w:rFonts w:asciiTheme="minorHAnsi" w:hAnsiTheme="minorHAnsi" w:cs="Arial"/>
          <w:bCs/>
          <w:snapToGrid w:val="0"/>
          <w:lang w:val="en-GB"/>
        </w:rPr>
        <w:t>and</w:t>
      </w:r>
      <w:r w:rsidR="00103AAB" w:rsidRPr="00103AAB">
        <w:t xml:space="preserve"> </w:t>
      </w:r>
      <w:r w:rsidR="00103AAB">
        <w:rPr>
          <w:rFonts w:asciiTheme="minorHAnsi" w:hAnsiTheme="minorHAnsi" w:cs="Arial"/>
          <w:bCs/>
          <w:snapToGrid w:val="0"/>
          <w:lang w:val="en-GB"/>
        </w:rPr>
        <w:t>ODEFSEY®. However,</w:t>
      </w:r>
      <w:r w:rsidR="003D7091">
        <w:rPr>
          <w:rFonts w:asciiTheme="minorHAnsi" w:hAnsiTheme="minorHAnsi" w:cs="Arial"/>
          <w:bCs/>
          <w:snapToGrid w:val="0"/>
          <w:lang w:val="en-GB"/>
        </w:rPr>
        <w:t xml:space="preserve"> the PBAC considered that all alternative FDC triple-therapies </w:t>
      </w:r>
      <w:r w:rsidR="008638E5">
        <w:rPr>
          <w:rFonts w:asciiTheme="minorHAnsi" w:hAnsiTheme="minorHAnsi" w:cs="Arial"/>
          <w:bCs/>
          <w:snapToGrid w:val="0"/>
          <w:lang w:val="en-GB"/>
        </w:rPr>
        <w:t>f</w:t>
      </w:r>
      <w:r w:rsidR="003D7091">
        <w:rPr>
          <w:rFonts w:asciiTheme="minorHAnsi" w:hAnsiTheme="minorHAnsi" w:cs="Arial"/>
          <w:bCs/>
          <w:snapToGrid w:val="0"/>
          <w:lang w:val="en-GB"/>
        </w:rPr>
        <w:t>or the treatment of HIV</w:t>
      </w:r>
      <w:r w:rsidR="008638E5">
        <w:rPr>
          <w:rFonts w:asciiTheme="minorHAnsi" w:hAnsiTheme="minorHAnsi" w:cs="Arial"/>
          <w:bCs/>
          <w:snapToGrid w:val="0"/>
          <w:lang w:val="en-GB"/>
        </w:rPr>
        <w:t xml:space="preserve"> are relevant alternative therapies</w:t>
      </w:r>
      <w:r w:rsidR="009D716F">
        <w:rPr>
          <w:rFonts w:asciiTheme="minorHAnsi" w:hAnsiTheme="minorHAnsi" w:cs="Arial"/>
          <w:bCs/>
          <w:snapToGrid w:val="0"/>
          <w:lang w:val="en-GB"/>
        </w:rPr>
        <w:t xml:space="preserve"> given that </w:t>
      </w:r>
      <w:r w:rsidR="00DA2AFA">
        <w:rPr>
          <w:rFonts w:asciiTheme="minorHAnsi" w:hAnsiTheme="minorHAnsi" w:cs="Arial"/>
          <w:bCs/>
          <w:snapToGrid w:val="0"/>
          <w:lang w:val="en-GB"/>
        </w:rPr>
        <w:t xml:space="preserve">accepted relativities and evidence presented in the trial </w:t>
      </w:r>
      <w:r w:rsidR="009D716F">
        <w:rPr>
          <w:rFonts w:asciiTheme="minorHAnsi" w:hAnsiTheme="minorHAnsi" w:cs="Arial"/>
          <w:bCs/>
          <w:snapToGrid w:val="0"/>
          <w:lang w:val="en-GB"/>
        </w:rPr>
        <w:t xml:space="preserve">both </w:t>
      </w:r>
      <w:r w:rsidR="00DA2AFA">
        <w:rPr>
          <w:rFonts w:asciiTheme="minorHAnsi" w:hAnsiTheme="minorHAnsi" w:cs="Arial"/>
          <w:bCs/>
          <w:snapToGrid w:val="0"/>
          <w:lang w:val="en-GB"/>
        </w:rPr>
        <w:t>support a cl</w:t>
      </w:r>
      <w:r w:rsidR="005A3323">
        <w:rPr>
          <w:rFonts w:asciiTheme="minorHAnsi" w:hAnsiTheme="minorHAnsi" w:cs="Arial"/>
          <w:bCs/>
          <w:snapToGrid w:val="0"/>
          <w:lang w:val="en-GB"/>
        </w:rPr>
        <w:t xml:space="preserve">aim of non-inferiority to these </w:t>
      </w:r>
      <w:r w:rsidR="00DA2AFA">
        <w:rPr>
          <w:rFonts w:asciiTheme="minorHAnsi" w:hAnsiTheme="minorHAnsi" w:cs="Arial"/>
          <w:bCs/>
          <w:snapToGrid w:val="0"/>
          <w:lang w:val="en-GB"/>
        </w:rPr>
        <w:t xml:space="preserve">therapies. Accordingly, the PBAC considered that a cost-minimisation </w:t>
      </w:r>
      <w:r w:rsidR="001247FC">
        <w:rPr>
          <w:rFonts w:asciiTheme="minorHAnsi" w:hAnsiTheme="minorHAnsi" w:cs="Arial"/>
          <w:bCs/>
          <w:snapToGrid w:val="0"/>
          <w:lang w:val="en-GB"/>
        </w:rPr>
        <w:t>approach</w:t>
      </w:r>
      <w:r w:rsidR="00DA2AFA">
        <w:rPr>
          <w:rFonts w:asciiTheme="minorHAnsi" w:hAnsiTheme="minorHAnsi" w:cs="Arial"/>
          <w:bCs/>
          <w:snapToGrid w:val="0"/>
          <w:lang w:val="en-GB"/>
        </w:rPr>
        <w:t xml:space="preserve"> against the least expensive FDC triple-therapy regimen for the treatment of HIV would be required to satisfy the requirements of Section 101 (3B) of the </w:t>
      </w:r>
      <w:r w:rsidR="00DA2AFA" w:rsidRPr="00DA2AFA">
        <w:rPr>
          <w:rFonts w:asciiTheme="minorHAnsi" w:hAnsiTheme="minorHAnsi" w:cs="Arial"/>
          <w:bCs/>
          <w:i/>
          <w:snapToGrid w:val="0"/>
          <w:lang w:val="en-GB"/>
        </w:rPr>
        <w:t>National Health Act 1953</w:t>
      </w:r>
      <w:r w:rsidR="001247FC">
        <w:rPr>
          <w:rFonts w:asciiTheme="minorHAnsi" w:hAnsiTheme="minorHAnsi" w:cs="Arial"/>
          <w:bCs/>
          <w:snapToGrid w:val="0"/>
          <w:lang w:val="en-GB"/>
        </w:rPr>
        <w:t>.</w:t>
      </w:r>
    </w:p>
    <w:p w:rsidR="00C04A15" w:rsidRPr="00EF0AE2" w:rsidRDefault="00C04A15" w:rsidP="0048414E">
      <w:pPr>
        <w:widowControl w:val="0"/>
        <w:numPr>
          <w:ilvl w:val="1"/>
          <w:numId w:val="3"/>
        </w:numPr>
        <w:spacing w:after="16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that the restriction for BFTAF should be consistent with </w:t>
      </w:r>
      <w:r>
        <w:rPr>
          <w:rFonts w:asciiTheme="minorHAnsi" w:hAnsiTheme="minorHAnsi" w:cs="Arial"/>
          <w:bCs/>
          <w:snapToGrid w:val="0"/>
          <w:lang w:val="en-GB"/>
        </w:rPr>
        <w:lastRenderedPageBreak/>
        <w:t xml:space="preserve">that of </w:t>
      </w:r>
      <w:r w:rsidR="0048414E" w:rsidRPr="0048414E">
        <w:rPr>
          <w:rFonts w:asciiTheme="minorHAnsi" w:hAnsiTheme="minorHAnsi" w:cs="Arial"/>
          <w:bCs/>
          <w:snapToGrid w:val="0"/>
          <w:lang w:val="en-GB"/>
        </w:rPr>
        <w:t>GENVOYA®</w:t>
      </w:r>
      <w:r w:rsidR="0048414E">
        <w:rPr>
          <w:rFonts w:asciiTheme="minorHAnsi" w:hAnsiTheme="minorHAnsi" w:cs="Arial"/>
          <w:bCs/>
          <w:snapToGrid w:val="0"/>
          <w:lang w:val="en-GB"/>
        </w:rPr>
        <w:t xml:space="preserve"> and </w:t>
      </w:r>
      <w:r w:rsidR="0048414E" w:rsidRPr="0048414E">
        <w:rPr>
          <w:rFonts w:asciiTheme="minorHAnsi" w:hAnsiTheme="minorHAnsi" w:cs="Arial"/>
          <w:bCs/>
          <w:snapToGrid w:val="0"/>
          <w:lang w:val="en-GB"/>
        </w:rPr>
        <w:t>ODEFSEY®</w:t>
      </w:r>
      <w:r w:rsidR="0048414E">
        <w:rPr>
          <w:rFonts w:asciiTheme="minorHAnsi" w:hAnsiTheme="minorHAnsi" w:cs="Arial"/>
          <w:bCs/>
          <w:snapToGrid w:val="0"/>
          <w:lang w:val="en-GB"/>
        </w:rPr>
        <w:t xml:space="preserve">, and that it </w:t>
      </w:r>
      <w:r w:rsidR="001247FC">
        <w:rPr>
          <w:rFonts w:asciiTheme="minorHAnsi" w:hAnsiTheme="minorHAnsi" w:cs="Arial"/>
          <w:bCs/>
          <w:snapToGrid w:val="0"/>
          <w:lang w:val="en-GB"/>
        </w:rPr>
        <w:t xml:space="preserve">should </w:t>
      </w:r>
      <w:r w:rsidR="0048414E">
        <w:rPr>
          <w:rFonts w:asciiTheme="minorHAnsi" w:hAnsiTheme="minorHAnsi" w:cs="Arial"/>
          <w:bCs/>
          <w:snapToGrid w:val="0"/>
          <w:lang w:val="en-GB"/>
        </w:rPr>
        <w:t>therefore include both treatment-experience</w:t>
      </w:r>
      <w:r w:rsidR="001247FC">
        <w:rPr>
          <w:rFonts w:asciiTheme="minorHAnsi" w:hAnsiTheme="minorHAnsi" w:cs="Arial"/>
          <w:bCs/>
          <w:snapToGrid w:val="0"/>
          <w:lang w:val="en-GB"/>
        </w:rPr>
        <w:t>d and treatment-naïve patients.</w:t>
      </w:r>
    </w:p>
    <w:p w:rsidR="001C7ED2" w:rsidRDefault="000559BD" w:rsidP="00293A90">
      <w:pPr>
        <w:widowControl w:val="0"/>
        <w:numPr>
          <w:ilvl w:val="1"/>
          <w:numId w:val="3"/>
        </w:numPr>
        <w:spacing w:after="160"/>
        <w:jc w:val="both"/>
        <w:rPr>
          <w:rFonts w:asciiTheme="minorHAnsi" w:hAnsiTheme="minorHAnsi" w:cs="Arial"/>
          <w:bCs/>
          <w:snapToGrid w:val="0"/>
          <w:lang w:val="en-GB"/>
        </w:rPr>
      </w:pPr>
      <w:r w:rsidRPr="006269FD">
        <w:rPr>
          <w:rFonts w:asciiTheme="minorHAnsi" w:hAnsiTheme="minorHAnsi" w:cs="Arial"/>
          <w:bCs/>
          <w:snapToGrid w:val="0"/>
          <w:lang w:val="en-GB"/>
        </w:rPr>
        <w:t xml:space="preserve">The PBAC </w:t>
      </w:r>
      <w:r w:rsidR="005A3323">
        <w:rPr>
          <w:rFonts w:asciiTheme="minorHAnsi" w:hAnsiTheme="minorHAnsi" w:cs="Arial"/>
          <w:bCs/>
          <w:snapToGrid w:val="0"/>
          <w:lang w:val="en-GB"/>
        </w:rPr>
        <w:t>noted that</w:t>
      </w:r>
      <w:r w:rsidRPr="006269FD">
        <w:rPr>
          <w:rFonts w:asciiTheme="minorHAnsi" w:hAnsiTheme="minorHAnsi" w:cs="Arial"/>
          <w:bCs/>
          <w:snapToGrid w:val="0"/>
          <w:lang w:val="en-GB"/>
        </w:rPr>
        <w:t xml:space="preserve"> </w:t>
      </w:r>
      <w:r w:rsidR="00AF1753" w:rsidRPr="006269FD">
        <w:rPr>
          <w:rFonts w:asciiTheme="minorHAnsi" w:hAnsiTheme="minorHAnsi" w:cs="Arial"/>
          <w:bCs/>
          <w:snapToGrid w:val="0"/>
          <w:lang w:val="en-GB"/>
        </w:rPr>
        <w:t>the</w:t>
      </w:r>
      <w:r w:rsidR="005A3323">
        <w:rPr>
          <w:rFonts w:asciiTheme="minorHAnsi" w:hAnsiTheme="minorHAnsi" w:cs="Arial"/>
          <w:bCs/>
          <w:snapToGrid w:val="0"/>
          <w:lang w:val="en-GB"/>
        </w:rPr>
        <w:t xml:space="preserve"> primary trials (Trial 1490 and 1878) reported the proportion of patients with</w:t>
      </w:r>
      <w:r w:rsidR="00AF1753" w:rsidRPr="006269FD">
        <w:rPr>
          <w:rFonts w:asciiTheme="minorHAnsi" w:hAnsiTheme="minorHAnsi" w:cs="Arial"/>
          <w:bCs/>
          <w:snapToGrid w:val="0"/>
          <w:lang w:val="en-GB"/>
        </w:rPr>
        <w:t xml:space="preserve"> HIV </w:t>
      </w:r>
      <w:r w:rsidR="005A3323">
        <w:rPr>
          <w:rFonts w:asciiTheme="minorHAnsi" w:hAnsiTheme="minorHAnsi" w:cs="Arial"/>
          <w:bCs/>
          <w:snapToGrid w:val="0"/>
          <w:lang w:val="en-GB"/>
        </w:rPr>
        <w:t>ribonucleic (</w:t>
      </w:r>
      <w:r w:rsidR="00AF1753" w:rsidRPr="006269FD">
        <w:rPr>
          <w:rFonts w:asciiTheme="minorHAnsi" w:hAnsiTheme="minorHAnsi" w:cs="Arial"/>
          <w:bCs/>
          <w:snapToGrid w:val="0"/>
          <w:lang w:val="en-GB"/>
        </w:rPr>
        <w:t>RNA</w:t>
      </w:r>
      <w:r w:rsidR="005A3323">
        <w:rPr>
          <w:rFonts w:asciiTheme="minorHAnsi" w:hAnsiTheme="minorHAnsi" w:cs="Arial"/>
          <w:bCs/>
          <w:snapToGrid w:val="0"/>
          <w:lang w:val="en-GB"/>
        </w:rPr>
        <w:t xml:space="preserve">) &lt; 50 copies/mL (as per the FDA snapshot algorithm) </w:t>
      </w:r>
      <w:r w:rsidR="00AF1753" w:rsidRPr="006269FD">
        <w:rPr>
          <w:rFonts w:asciiTheme="minorHAnsi" w:hAnsiTheme="minorHAnsi" w:cs="Arial"/>
          <w:bCs/>
          <w:snapToGrid w:val="0"/>
          <w:lang w:val="en-GB"/>
        </w:rPr>
        <w:t xml:space="preserve">as the clinically relevant outcome. </w:t>
      </w:r>
      <w:r w:rsidRPr="006269FD">
        <w:rPr>
          <w:rFonts w:asciiTheme="minorHAnsi" w:hAnsiTheme="minorHAnsi" w:cs="Arial"/>
          <w:bCs/>
          <w:snapToGrid w:val="0"/>
          <w:lang w:val="en-GB"/>
        </w:rPr>
        <w:t>The PBAC also noted that</w:t>
      </w:r>
      <w:r w:rsidR="001247FC">
        <w:rPr>
          <w:rFonts w:asciiTheme="minorHAnsi" w:hAnsiTheme="minorHAnsi" w:cs="Arial"/>
          <w:bCs/>
          <w:snapToGrid w:val="0"/>
          <w:lang w:val="en-GB"/>
        </w:rPr>
        <w:t>,</w:t>
      </w:r>
      <w:r w:rsidRPr="006269FD">
        <w:rPr>
          <w:rFonts w:asciiTheme="minorHAnsi" w:hAnsiTheme="minorHAnsi" w:cs="Arial"/>
          <w:bCs/>
          <w:snapToGrid w:val="0"/>
          <w:lang w:val="en-GB"/>
        </w:rPr>
        <w:t xml:space="preserve"> in terms of safety, similar </w:t>
      </w:r>
      <w:r w:rsidR="00E56F21">
        <w:rPr>
          <w:rFonts w:asciiTheme="minorHAnsi" w:hAnsiTheme="minorHAnsi" w:cs="Arial"/>
          <w:bCs/>
          <w:snapToGrid w:val="0"/>
          <w:lang w:val="en-GB"/>
        </w:rPr>
        <w:t>adverse events were experienced in treatment-</w:t>
      </w:r>
      <w:r w:rsidR="00E56F21">
        <w:rPr>
          <w:rFonts w:ascii="Calibri" w:eastAsia="Calibri" w:hAnsi="Calibri" w:cs="Calibri"/>
        </w:rPr>
        <w:t>naïve</w:t>
      </w:r>
      <w:r w:rsidRPr="006269FD">
        <w:rPr>
          <w:rFonts w:asciiTheme="minorHAnsi" w:hAnsiTheme="minorHAnsi" w:cs="Arial"/>
          <w:bCs/>
          <w:snapToGrid w:val="0"/>
          <w:lang w:val="en-GB"/>
        </w:rPr>
        <w:t xml:space="preserve"> patients</w:t>
      </w:r>
      <w:r w:rsidR="00E56F21">
        <w:rPr>
          <w:rFonts w:asciiTheme="minorHAnsi" w:hAnsiTheme="minorHAnsi" w:cs="Arial"/>
          <w:bCs/>
          <w:snapToGrid w:val="0"/>
          <w:lang w:val="en-GB"/>
        </w:rPr>
        <w:t xml:space="preserve"> treated with BFTAF or </w:t>
      </w:r>
      <w:r w:rsidR="00E56F21">
        <w:rPr>
          <w:rFonts w:ascii="Calibri" w:eastAsia="Calibri" w:hAnsi="Calibri" w:cs="Calibri"/>
        </w:rPr>
        <w:t xml:space="preserve">DESCOVY® + </w:t>
      </w:r>
      <w:proofErr w:type="spellStart"/>
      <w:r w:rsidR="00E56F21">
        <w:rPr>
          <w:rFonts w:ascii="Calibri" w:eastAsia="Calibri" w:hAnsi="Calibri" w:cs="Calibri"/>
        </w:rPr>
        <w:t>dolutegravir</w:t>
      </w:r>
      <w:proofErr w:type="spellEnd"/>
      <w:r w:rsidR="009108A7">
        <w:rPr>
          <w:rFonts w:ascii="Calibri" w:eastAsia="Calibri" w:hAnsi="Calibri" w:cs="Calibri"/>
        </w:rPr>
        <w:t xml:space="preserve"> (Trial 1490)</w:t>
      </w:r>
      <w:r w:rsidR="009108A7">
        <w:rPr>
          <w:rFonts w:asciiTheme="minorHAnsi" w:hAnsiTheme="minorHAnsi" w:cs="Arial"/>
          <w:bCs/>
          <w:snapToGrid w:val="0"/>
          <w:lang w:val="en-GB"/>
        </w:rPr>
        <w:t>. Although</w:t>
      </w:r>
      <w:r w:rsidR="00D42434">
        <w:rPr>
          <w:rFonts w:asciiTheme="minorHAnsi" w:hAnsiTheme="minorHAnsi" w:cs="Arial"/>
          <w:bCs/>
          <w:snapToGrid w:val="0"/>
          <w:lang w:val="en-GB"/>
        </w:rPr>
        <w:t xml:space="preserve"> the PBAC noted</w:t>
      </w:r>
      <w:r w:rsidR="009D716F">
        <w:rPr>
          <w:rFonts w:asciiTheme="minorHAnsi" w:hAnsiTheme="minorHAnsi" w:cs="Arial"/>
          <w:bCs/>
          <w:snapToGrid w:val="0"/>
          <w:lang w:val="en-GB"/>
        </w:rPr>
        <w:t xml:space="preserve"> </w:t>
      </w:r>
      <w:r w:rsidR="00E56F21">
        <w:rPr>
          <w:rFonts w:asciiTheme="minorHAnsi" w:hAnsiTheme="minorHAnsi" w:cs="Arial"/>
          <w:bCs/>
          <w:snapToGrid w:val="0"/>
          <w:lang w:val="en-GB"/>
        </w:rPr>
        <w:t>higher proportions of select emergent adverse events</w:t>
      </w:r>
      <w:r w:rsidRPr="006269FD">
        <w:rPr>
          <w:rFonts w:asciiTheme="minorHAnsi" w:hAnsiTheme="minorHAnsi" w:cs="Arial"/>
          <w:bCs/>
          <w:snapToGrid w:val="0"/>
          <w:lang w:val="en-GB"/>
        </w:rPr>
        <w:t xml:space="preserve"> </w:t>
      </w:r>
      <w:r w:rsidR="00AA7F09">
        <w:rPr>
          <w:rFonts w:asciiTheme="minorHAnsi" w:hAnsiTheme="minorHAnsi" w:cs="Arial"/>
          <w:bCs/>
          <w:snapToGrid w:val="0"/>
          <w:lang w:val="en-GB"/>
        </w:rPr>
        <w:t xml:space="preserve">were reported with BFTAF </w:t>
      </w:r>
      <w:r w:rsidR="00AA7F09">
        <w:rPr>
          <w:rFonts w:ascii="Calibri" w:eastAsia="Calibri" w:hAnsi="Calibri" w:cs="Calibri"/>
        </w:rPr>
        <w:t>compared to regimens with a TRUVADA®- or KIVEXA®- backbone</w:t>
      </w:r>
      <w:r w:rsidR="005A1913">
        <w:rPr>
          <w:rFonts w:ascii="Calibri" w:eastAsia="Calibri" w:hAnsi="Calibri" w:cs="Calibri"/>
        </w:rPr>
        <w:t xml:space="preserve"> (Trial 1878)</w:t>
      </w:r>
      <w:r w:rsidR="009108A7">
        <w:rPr>
          <w:rFonts w:ascii="Calibri" w:eastAsia="Calibri" w:hAnsi="Calibri" w:cs="Calibri"/>
        </w:rPr>
        <w:t>,</w:t>
      </w:r>
      <w:r w:rsidR="005A1913">
        <w:rPr>
          <w:rFonts w:ascii="Calibri" w:eastAsia="Calibri" w:hAnsi="Calibri" w:cs="Calibri"/>
        </w:rPr>
        <w:t xml:space="preserve"> the PBAC considered that the safety of BFTAF was overall similar noting there were no major safety signals in patients treated with BFTAF.</w:t>
      </w:r>
      <w:r w:rsidR="00AF1753" w:rsidRPr="006269FD">
        <w:rPr>
          <w:rFonts w:asciiTheme="minorHAnsi" w:hAnsiTheme="minorHAnsi" w:cs="Arial"/>
          <w:bCs/>
          <w:snapToGrid w:val="0"/>
          <w:lang w:val="en-GB"/>
        </w:rPr>
        <w:t xml:space="preserve"> The PBAC </w:t>
      </w:r>
      <w:r w:rsidR="00E56F21">
        <w:rPr>
          <w:rFonts w:asciiTheme="minorHAnsi" w:hAnsiTheme="minorHAnsi" w:cs="Arial"/>
          <w:bCs/>
          <w:snapToGrid w:val="0"/>
          <w:lang w:val="en-GB"/>
        </w:rPr>
        <w:t>n</w:t>
      </w:r>
      <w:r w:rsidR="00AF1753" w:rsidRPr="006269FD">
        <w:rPr>
          <w:rFonts w:asciiTheme="minorHAnsi" w:hAnsiTheme="minorHAnsi" w:cs="Arial"/>
          <w:bCs/>
          <w:snapToGrid w:val="0"/>
          <w:lang w:val="en-GB"/>
        </w:rPr>
        <w:t>oted that this data was informative and considered</w:t>
      </w:r>
      <w:r w:rsidR="003D159A">
        <w:rPr>
          <w:rFonts w:asciiTheme="minorHAnsi" w:hAnsiTheme="minorHAnsi" w:cs="Arial"/>
          <w:bCs/>
          <w:snapToGrid w:val="0"/>
          <w:lang w:val="en-GB"/>
        </w:rPr>
        <w:t xml:space="preserve"> that the claims of non-inferior efficacy and safety of</w:t>
      </w:r>
      <w:r w:rsidR="00AF1753" w:rsidRPr="006269FD">
        <w:rPr>
          <w:rFonts w:asciiTheme="minorHAnsi" w:hAnsiTheme="minorHAnsi" w:cs="Arial"/>
          <w:bCs/>
          <w:snapToGrid w:val="0"/>
          <w:lang w:val="en-GB"/>
        </w:rPr>
        <w:t xml:space="preserve"> BFTAF </w:t>
      </w:r>
      <w:r w:rsidR="003D159A">
        <w:rPr>
          <w:rFonts w:asciiTheme="minorHAnsi" w:hAnsiTheme="minorHAnsi" w:cs="Arial"/>
          <w:bCs/>
          <w:snapToGrid w:val="0"/>
          <w:lang w:val="en-GB"/>
        </w:rPr>
        <w:t>over</w:t>
      </w:r>
      <w:r w:rsidR="00AF1753" w:rsidRPr="006269FD">
        <w:rPr>
          <w:rFonts w:asciiTheme="minorHAnsi" w:hAnsiTheme="minorHAnsi" w:cs="Arial"/>
          <w:bCs/>
          <w:snapToGrid w:val="0"/>
          <w:lang w:val="en-GB"/>
        </w:rPr>
        <w:t xml:space="preserve"> </w:t>
      </w:r>
      <w:r w:rsidR="00E56F21">
        <w:rPr>
          <w:rFonts w:ascii="Calibri" w:eastAsia="Calibri" w:hAnsi="Calibri" w:cs="Calibri"/>
        </w:rPr>
        <w:t xml:space="preserve">DESCOVY® + </w:t>
      </w:r>
      <w:proofErr w:type="spellStart"/>
      <w:r w:rsidR="00E56F21">
        <w:rPr>
          <w:rFonts w:ascii="Calibri" w:eastAsia="Calibri" w:hAnsi="Calibri" w:cs="Calibri"/>
        </w:rPr>
        <w:t>dolutegravir</w:t>
      </w:r>
      <w:proofErr w:type="spellEnd"/>
      <w:r w:rsidR="00E56F21">
        <w:rPr>
          <w:rFonts w:ascii="Calibri" w:eastAsia="Calibri" w:hAnsi="Calibri" w:cs="Calibri"/>
        </w:rPr>
        <w:t>, GENVOYA® and ODEFSEY®, and also to TRIUMEQ®, TRUVADA®- and KIVEXA®-based regimens</w:t>
      </w:r>
      <w:r w:rsidR="00AF1753" w:rsidRPr="006269FD">
        <w:rPr>
          <w:rFonts w:asciiTheme="minorHAnsi" w:hAnsiTheme="minorHAnsi" w:cs="Arial"/>
          <w:bCs/>
          <w:snapToGrid w:val="0"/>
          <w:lang w:val="en-GB"/>
        </w:rPr>
        <w:t xml:space="preserve"> </w:t>
      </w:r>
      <w:r w:rsidR="00E56F21">
        <w:rPr>
          <w:rFonts w:asciiTheme="minorHAnsi" w:hAnsiTheme="minorHAnsi" w:cs="Arial"/>
          <w:bCs/>
          <w:snapToGrid w:val="0"/>
          <w:lang w:val="en-GB"/>
        </w:rPr>
        <w:t>in</w:t>
      </w:r>
      <w:r w:rsidR="00AF1753" w:rsidRPr="006269FD">
        <w:rPr>
          <w:rFonts w:asciiTheme="minorHAnsi" w:hAnsiTheme="minorHAnsi" w:cs="Arial"/>
          <w:bCs/>
          <w:snapToGrid w:val="0"/>
          <w:lang w:val="en-GB"/>
        </w:rPr>
        <w:t xml:space="preserve"> </w:t>
      </w:r>
      <w:r w:rsidR="003D159A">
        <w:rPr>
          <w:rFonts w:asciiTheme="minorHAnsi" w:hAnsiTheme="minorHAnsi" w:cs="Arial"/>
          <w:bCs/>
          <w:snapToGrid w:val="0"/>
          <w:lang w:val="en-GB"/>
        </w:rPr>
        <w:t>was supported</w:t>
      </w:r>
      <w:r w:rsidR="00AF1753" w:rsidRPr="006269FD">
        <w:rPr>
          <w:rFonts w:asciiTheme="minorHAnsi" w:hAnsiTheme="minorHAnsi" w:cs="Arial"/>
          <w:bCs/>
          <w:snapToGrid w:val="0"/>
          <w:lang w:val="en-GB"/>
        </w:rPr>
        <w:t>.</w:t>
      </w:r>
    </w:p>
    <w:p w:rsidR="001C7ED2" w:rsidRPr="006269FD" w:rsidRDefault="001C7ED2" w:rsidP="00293A90">
      <w:pPr>
        <w:widowControl w:val="0"/>
        <w:numPr>
          <w:ilvl w:val="1"/>
          <w:numId w:val="3"/>
        </w:numPr>
        <w:spacing w:after="160"/>
        <w:jc w:val="both"/>
        <w:rPr>
          <w:rFonts w:asciiTheme="minorHAnsi" w:hAnsiTheme="minorHAnsi" w:cs="Arial"/>
          <w:bCs/>
          <w:snapToGrid w:val="0"/>
          <w:lang w:val="en-GB"/>
        </w:rPr>
      </w:pPr>
      <w:r w:rsidRPr="006269FD">
        <w:rPr>
          <w:rFonts w:asciiTheme="minorHAnsi" w:hAnsiTheme="minorHAnsi" w:cs="Arial"/>
          <w:bCs/>
          <w:snapToGrid w:val="0"/>
          <w:lang w:val="en-GB"/>
        </w:rPr>
        <w:t xml:space="preserve">The PBAC advised that </w:t>
      </w:r>
      <w:r w:rsidR="008D398F">
        <w:rPr>
          <w:rFonts w:asciiTheme="minorHAnsi" w:hAnsiTheme="minorHAnsi" w:cs="Arial"/>
          <w:bCs/>
          <w:snapToGrid w:val="0"/>
          <w:lang w:val="en-GB"/>
        </w:rPr>
        <w:t>BFTAF</w:t>
      </w:r>
      <w:r w:rsidR="006269FD" w:rsidRPr="00EF0AE2">
        <w:rPr>
          <w:rFonts w:asciiTheme="minorHAnsi" w:hAnsiTheme="minorHAnsi" w:cs="Arial"/>
          <w:bCs/>
          <w:snapToGrid w:val="0"/>
          <w:lang w:val="en-GB"/>
        </w:rPr>
        <w:t xml:space="preserve"> </w:t>
      </w:r>
      <w:r w:rsidRPr="006269FD">
        <w:rPr>
          <w:rFonts w:asciiTheme="minorHAnsi" w:hAnsiTheme="minorHAnsi" w:cs="Arial"/>
          <w:bCs/>
          <w:snapToGrid w:val="0"/>
          <w:lang w:val="en-GB"/>
        </w:rPr>
        <w:t>is not suitable for presc</w:t>
      </w:r>
      <w:r w:rsidR="001247FC">
        <w:rPr>
          <w:rFonts w:asciiTheme="minorHAnsi" w:hAnsiTheme="minorHAnsi" w:cs="Arial"/>
          <w:bCs/>
          <w:snapToGrid w:val="0"/>
          <w:lang w:val="en-GB"/>
        </w:rPr>
        <w:t>ribing by nurse practitioners.</w:t>
      </w:r>
    </w:p>
    <w:p w:rsidR="00AF1753" w:rsidRPr="00ED6656" w:rsidRDefault="00AF1753" w:rsidP="00293A90">
      <w:pPr>
        <w:pStyle w:val="ListParagraph"/>
        <w:widowControl/>
        <w:numPr>
          <w:ilvl w:val="1"/>
          <w:numId w:val="3"/>
        </w:numPr>
        <w:contextualSpacing/>
        <w:rPr>
          <w:bCs/>
          <w:lang w:val="en-GB"/>
        </w:rPr>
      </w:pPr>
      <w:r w:rsidRPr="00ED6656">
        <w:rPr>
          <w:bCs/>
        </w:rPr>
        <w:t xml:space="preserve">The PBAC </w:t>
      </w:r>
      <w:r>
        <w:rPr>
          <w:bCs/>
        </w:rPr>
        <w:t xml:space="preserve">formed the view </w:t>
      </w:r>
      <w:r w:rsidRPr="00ED6656">
        <w:rPr>
          <w:bCs/>
        </w:rPr>
        <w:t xml:space="preserve">that the Early Supply Rule should apply to </w:t>
      </w:r>
      <w:r>
        <w:rPr>
          <w:bCs/>
        </w:rPr>
        <w:t>BFTAF</w:t>
      </w:r>
      <w:r w:rsidRPr="00ED6656">
        <w:rPr>
          <w:bCs/>
        </w:rPr>
        <w:t>, as recommended for all HIV treatments at the November 2015 meeting.</w:t>
      </w:r>
    </w:p>
    <w:p w:rsidR="006269FD" w:rsidRPr="006269FD" w:rsidRDefault="001C7ED2" w:rsidP="00293A90">
      <w:pPr>
        <w:widowControl w:val="0"/>
        <w:numPr>
          <w:ilvl w:val="1"/>
          <w:numId w:val="3"/>
        </w:numPr>
        <w:spacing w:after="160"/>
        <w:jc w:val="both"/>
        <w:rPr>
          <w:rFonts w:ascii="Calibri" w:eastAsia="Calibri" w:hAnsi="Calibri" w:cs="Calibri"/>
          <w:b/>
        </w:rPr>
      </w:pPr>
      <w:r w:rsidRPr="006269FD">
        <w:rPr>
          <w:rFonts w:asciiTheme="minorHAnsi" w:hAnsiTheme="minorHAnsi" w:cs="Arial"/>
          <w:bCs/>
          <w:snapToGrid w:val="0"/>
          <w:lang w:val="en-GB"/>
        </w:rPr>
        <w:t>The PBAC noted that this submission is elig</w:t>
      </w:r>
      <w:r w:rsidR="001247FC">
        <w:rPr>
          <w:rFonts w:asciiTheme="minorHAnsi" w:hAnsiTheme="minorHAnsi" w:cs="Arial"/>
          <w:bCs/>
          <w:snapToGrid w:val="0"/>
          <w:lang w:val="en-GB"/>
        </w:rPr>
        <w:t>ible for an Independent Review.</w:t>
      </w:r>
    </w:p>
    <w:p w:rsidR="0057465C" w:rsidRPr="006269FD" w:rsidRDefault="0057465C" w:rsidP="006269FD">
      <w:pPr>
        <w:widowControl w:val="0"/>
        <w:spacing w:before="240" w:after="120"/>
        <w:jc w:val="both"/>
        <w:rPr>
          <w:rFonts w:ascii="Calibri" w:eastAsia="Calibri" w:hAnsi="Calibri" w:cs="Calibri"/>
          <w:b/>
        </w:rPr>
      </w:pPr>
      <w:r w:rsidRPr="006269FD">
        <w:rPr>
          <w:rFonts w:ascii="Calibri" w:eastAsia="Calibri" w:hAnsi="Calibri" w:cs="Calibri"/>
          <w:b/>
        </w:rPr>
        <w:t>Outcome:</w:t>
      </w:r>
    </w:p>
    <w:p w:rsidR="00A36B06" w:rsidRDefault="009F4D99" w:rsidP="009F4D99">
      <w:pPr>
        <w:jc w:val="both"/>
        <w:rPr>
          <w:rFonts w:asciiTheme="minorHAnsi" w:hAnsiTheme="minorHAnsi" w:cs="Arial"/>
          <w:bCs/>
          <w:snapToGrid w:val="0"/>
          <w:lang w:val="en-GB"/>
        </w:rPr>
      </w:pPr>
      <w:r>
        <w:rPr>
          <w:rFonts w:asciiTheme="minorHAnsi" w:hAnsiTheme="minorHAnsi" w:cs="Arial"/>
          <w:bCs/>
          <w:snapToGrid w:val="0"/>
          <w:lang w:val="en-GB"/>
        </w:rPr>
        <w:t>Deferred</w:t>
      </w:r>
    </w:p>
    <w:p w:rsidR="00397D53" w:rsidRPr="003F53CD" w:rsidRDefault="00397D53" w:rsidP="00DD3B41">
      <w:pPr>
        <w:pStyle w:val="PBACHeading1"/>
        <w:keepNext/>
        <w:numPr>
          <w:ilvl w:val="0"/>
          <w:numId w:val="3"/>
        </w:numPr>
        <w:spacing w:before="240"/>
        <w:outlineLvl w:val="0"/>
        <w:rPr>
          <w:rFonts w:eastAsiaTheme="minorHAnsi"/>
          <w:snapToGrid/>
        </w:rPr>
      </w:pPr>
      <w:r w:rsidRPr="003F53CD">
        <w:rPr>
          <w:rFonts w:eastAsiaTheme="minorHAnsi"/>
          <w:snapToGrid/>
        </w:rPr>
        <w:t>Context for Decision</w:t>
      </w:r>
    </w:p>
    <w:p w:rsidR="00397D53" w:rsidRDefault="00397D53" w:rsidP="00276126">
      <w:pPr>
        <w:rPr>
          <w:rFonts w:asciiTheme="minorHAnsi" w:eastAsiaTheme="minorHAnsi" w:hAnsiTheme="minorHAnsi"/>
        </w:rPr>
      </w:pPr>
      <w:r w:rsidRPr="003F53CD">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7D53" w:rsidRPr="003F53CD" w:rsidRDefault="00397D53" w:rsidP="00DD3B41">
      <w:pPr>
        <w:pStyle w:val="PBACHeading1"/>
        <w:keepNext/>
        <w:numPr>
          <w:ilvl w:val="0"/>
          <w:numId w:val="3"/>
        </w:numPr>
        <w:outlineLvl w:val="0"/>
        <w:rPr>
          <w:rFonts w:eastAsiaTheme="minorHAnsi"/>
          <w:snapToGrid/>
        </w:rPr>
      </w:pPr>
      <w:r w:rsidRPr="003F53CD">
        <w:rPr>
          <w:rFonts w:eastAsiaTheme="minorHAnsi"/>
          <w:snapToGrid/>
        </w:rPr>
        <w:t>Sponsor’s Comment</w:t>
      </w:r>
    </w:p>
    <w:p w:rsidR="00397D53" w:rsidRDefault="00276126" w:rsidP="00DD3B41">
      <w:pPr>
        <w:pStyle w:val="PBACHeading1"/>
        <w:rPr>
          <w:b w:val="0"/>
          <w:sz w:val="24"/>
          <w:szCs w:val="24"/>
        </w:rPr>
      </w:pPr>
      <w:r w:rsidRPr="00DD3B41">
        <w:rPr>
          <w:b w:val="0"/>
          <w:sz w:val="24"/>
          <w:szCs w:val="24"/>
        </w:rPr>
        <w:t xml:space="preserve">Gilead notes that the PBAC accepted that the nominated comparators of DESCOVY® plus </w:t>
      </w:r>
      <w:proofErr w:type="spellStart"/>
      <w:r w:rsidRPr="00DD3B41">
        <w:rPr>
          <w:b w:val="0"/>
          <w:sz w:val="24"/>
          <w:szCs w:val="24"/>
        </w:rPr>
        <w:t>dolutegravir</w:t>
      </w:r>
      <w:proofErr w:type="spellEnd"/>
      <w:r w:rsidRPr="00DD3B41">
        <w:rPr>
          <w:b w:val="0"/>
          <w:sz w:val="24"/>
          <w:szCs w:val="24"/>
        </w:rPr>
        <w:t>, GENVOYA® and ODEFSEY® were appropriate. These are the regimens that it is agreed are most likely to be replaced in clinical practice. Older fixed dose regimens have been superseded by newer, safer treatments and no longer represent alternative therapies.</w:t>
      </w:r>
    </w:p>
    <w:p w:rsidR="00A33032" w:rsidRDefault="00A33032" w:rsidP="00A33032">
      <w:pPr>
        <w:rPr>
          <w:lang w:val="en-AU"/>
        </w:rPr>
      </w:pPr>
    </w:p>
    <w:p w:rsidR="00A33032" w:rsidRDefault="00A33032">
      <w:pPr>
        <w:rPr>
          <w:rFonts w:ascii="Calibri" w:eastAsia="Calibri" w:hAnsi="Calibri" w:cs="Arial"/>
          <w:b/>
          <w:color w:val="FF0000"/>
          <w:sz w:val="28"/>
          <w:szCs w:val="28"/>
          <w:lang w:val="en-AU"/>
        </w:rPr>
      </w:pPr>
      <w:r>
        <w:rPr>
          <w:rFonts w:ascii="Calibri" w:eastAsia="Calibri" w:hAnsi="Calibri" w:cs="Arial"/>
          <w:b/>
          <w:color w:val="FF0000"/>
          <w:sz w:val="28"/>
          <w:szCs w:val="28"/>
          <w:lang w:val="en-AU"/>
        </w:rPr>
        <w:br w:type="page"/>
      </w:r>
    </w:p>
    <w:p w:rsidR="00A33032" w:rsidRPr="00A33032" w:rsidRDefault="00A33032" w:rsidP="00A33032">
      <w:pPr>
        <w:spacing w:before="120" w:after="160"/>
        <w:outlineLvl w:val="0"/>
        <w:rPr>
          <w:rFonts w:ascii="Calibri" w:eastAsia="Calibri" w:hAnsi="Calibri" w:cs="Arial"/>
          <w:b/>
          <w:color w:val="FF0000"/>
          <w:sz w:val="28"/>
          <w:szCs w:val="28"/>
          <w:lang w:val="en-AU"/>
        </w:rPr>
      </w:pPr>
      <w:r w:rsidRPr="00A33032">
        <w:rPr>
          <w:rFonts w:ascii="Calibri" w:eastAsia="Calibri" w:hAnsi="Calibri" w:cs="Arial"/>
          <w:b/>
          <w:color w:val="FF0000"/>
          <w:sz w:val="28"/>
          <w:szCs w:val="28"/>
          <w:lang w:val="en-AU"/>
        </w:rPr>
        <w:lastRenderedPageBreak/>
        <w:t>Addendum to the March 2018 PBAC Minutes:</w:t>
      </w:r>
    </w:p>
    <w:p w:rsidR="00A33032" w:rsidRPr="00A33032" w:rsidRDefault="00A33032" w:rsidP="00A33032">
      <w:pPr>
        <w:widowControl w:val="0"/>
        <w:jc w:val="both"/>
        <w:rPr>
          <w:rFonts w:asciiTheme="minorHAnsi" w:hAnsiTheme="minorHAnsi" w:cstheme="minorHAnsi"/>
          <w:snapToGrid w:val="0"/>
          <w:szCs w:val="22"/>
          <w:lang w:val="en-AU"/>
        </w:rPr>
      </w:pPr>
    </w:p>
    <w:p w:rsidR="00A33032" w:rsidRPr="00A33032" w:rsidRDefault="00A33032" w:rsidP="00A33032">
      <w:pPr>
        <w:ind w:left="720" w:hanging="720"/>
        <w:rPr>
          <w:rFonts w:asciiTheme="minorHAnsi" w:hAnsiTheme="minorHAnsi"/>
          <w:b/>
          <w:sz w:val="36"/>
          <w:szCs w:val="36"/>
          <w:lang w:val="en-AU"/>
        </w:rPr>
      </w:pPr>
      <w:r w:rsidRPr="00A33032">
        <w:rPr>
          <w:rFonts w:ascii="Calibri" w:eastAsia="Calibri" w:hAnsi="Calibri" w:cs="Arial"/>
          <w:b/>
          <w:sz w:val="36"/>
          <w:szCs w:val="36"/>
          <w:lang w:val="en-AU"/>
        </w:rPr>
        <w:t>4.01</w:t>
      </w:r>
      <w:r w:rsidRPr="00A33032">
        <w:rPr>
          <w:rFonts w:ascii="Calibri" w:eastAsia="Calibri" w:hAnsi="Calibri" w:cs="Arial"/>
          <w:b/>
          <w:sz w:val="36"/>
          <w:szCs w:val="36"/>
          <w:lang w:val="en-AU"/>
        </w:rPr>
        <w:tab/>
      </w:r>
      <w:r w:rsidRPr="00A33032">
        <w:rPr>
          <w:rFonts w:asciiTheme="minorHAnsi" w:hAnsiTheme="minorHAnsi"/>
          <w:b/>
          <w:sz w:val="36"/>
          <w:szCs w:val="36"/>
          <w:lang w:val="en-AU"/>
        </w:rPr>
        <w:t xml:space="preserve">BICTEGRAVIR + EMTRICITABINE + TENOFOVIR ALAFENAMIDE FIXED DOSE COMBINATION, </w:t>
      </w:r>
    </w:p>
    <w:p w:rsidR="00A33032" w:rsidRPr="00A33032" w:rsidRDefault="00A33032" w:rsidP="00A33032">
      <w:pPr>
        <w:ind w:left="720"/>
        <w:rPr>
          <w:rFonts w:asciiTheme="minorHAnsi" w:hAnsiTheme="minorHAnsi"/>
          <w:b/>
          <w:sz w:val="36"/>
          <w:szCs w:val="36"/>
          <w:lang w:val="en-AU"/>
        </w:rPr>
      </w:pPr>
      <w:r w:rsidRPr="00A33032">
        <w:rPr>
          <w:rFonts w:asciiTheme="minorHAnsi" w:hAnsiTheme="minorHAnsi"/>
          <w:b/>
          <w:sz w:val="36"/>
          <w:szCs w:val="36"/>
          <w:lang w:val="en-AU"/>
        </w:rPr>
        <w:t xml:space="preserve">Tablet containing tenofovir </w:t>
      </w:r>
      <w:proofErr w:type="spellStart"/>
      <w:r w:rsidRPr="00A33032">
        <w:rPr>
          <w:rFonts w:asciiTheme="minorHAnsi" w:hAnsiTheme="minorHAnsi"/>
          <w:b/>
          <w:sz w:val="36"/>
          <w:szCs w:val="36"/>
          <w:lang w:val="en-AU"/>
        </w:rPr>
        <w:t>alafenamide</w:t>
      </w:r>
      <w:proofErr w:type="spellEnd"/>
      <w:r w:rsidRPr="00A33032">
        <w:rPr>
          <w:rFonts w:asciiTheme="minorHAnsi" w:hAnsiTheme="minorHAnsi"/>
          <w:b/>
          <w:sz w:val="36"/>
          <w:szCs w:val="36"/>
          <w:lang w:val="en-AU"/>
        </w:rPr>
        <w:t xml:space="preserve"> 25 mg with emtricitabine 200 mg and bictegravir 50 mg, </w:t>
      </w:r>
    </w:p>
    <w:p w:rsidR="00A33032" w:rsidRPr="00A33032" w:rsidRDefault="00A33032" w:rsidP="00A33032">
      <w:pPr>
        <w:ind w:firstLine="720"/>
        <w:rPr>
          <w:rFonts w:asciiTheme="minorHAnsi" w:hAnsiTheme="minorHAnsi"/>
          <w:b/>
          <w:sz w:val="36"/>
          <w:szCs w:val="36"/>
          <w:lang w:val="en-AU"/>
        </w:rPr>
      </w:pPr>
      <w:proofErr w:type="spellStart"/>
      <w:r w:rsidRPr="00A33032">
        <w:rPr>
          <w:rFonts w:asciiTheme="minorHAnsi" w:hAnsiTheme="minorHAnsi"/>
          <w:b/>
          <w:sz w:val="36"/>
          <w:szCs w:val="36"/>
          <w:lang w:val="en-AU"/>
        </w:rPr>
        <w:t>Biktarvy</w:t>
      </w:r>
      <w:proofErr w:type="spellEnd"/>
      <w:r w:rsidRPr="00A33032">
        <w:rPr>
          <w:rFonts w:asciiTheme="minorHAnsi" w:hAnsiTheme="minorHAnsi"/>
          <w:b/>
          <w:sz w:val="36"/>
          <w:szCs w:val="36"/>
          <w:lang w:val="en-AU"/>
        </w:rPr>
        <w:t xml:space="preserve">® </w:t>
      </w:r>
    </w:p>
    <w:p w:rsidR="00A33032" w:rsidRPr="00A33032" w:rsidRDefault="00A33032" w:rsidP="00A33032">
      <w:pPr>
        <w:ind w:firstLine="720"/>
        <w:rPr>
          <w:rFonts w:asciiTheme="minorHAnsi" w:hAnsiTheme="minorHAnsi"/>
          <w:b/>
          <w:sz w:val="36"/>
          <w:szCs w:val="36"/>
          <w:lang w:val="en-AU"/>
        </w:rPr>
      </w:pPr>
      <w:r w:rsidRPr="00A33032">
        <w:rPr>
          <w:rFonts w:asciiTheme="minorHAnsi" w:hAnsiTheme="minorHAnsi"/>
          <w:b/>
          <w:sz w:val="36"/>
          <w:szCs w:val="36"/>
          <w:lang w:val="en-AU"/>
        </w:rPr>
        <w:t>Gilead Sciences Pty Ltd</w:t>
      </w:r>
    </w:p>
    <w:p w:rsidR="00A33032" w:rsidRPr="00A33032" w:rsidRDefault="00A33032" w:rsidP="00A33032">
      <w:pPr>
        <w:ind w:firstLine="720"/>
        <w:rPr>
          <w:rFonts w:asciiTheme="minorHAnsi" w:hAnsiTheme="minorHAnsi"/>
          <w:b/>
          <w:sz w:val="36"/>
          <w:szCs w:val="36"/>
          <w:lang w:val="en-AU"/>
        </w:rPr>
      </w:pPr>
    </w:p>
    <w:p w:rsidR="00A33032" w:rsidRPr="00A33032" w:rsidRDefault="00A33032" w:rsidP="00A33032">
      <w:pPr>
        <w:ind w:firstLine="720"/>
        <w:rPr>
          <w:rFonts w:asciiTheme="minorHAnsi" w:hAnsiTheme="minorHAnsi"/>
          <w:b/>
          <w:sz w:val="36"/>
          <w:szCs w:val="36"/>
          <w:lang w:val="en-AU"/>
        </w:rPr>
      </w:pPr>
      <w:r w:rsidRPr="00A33032">
        <w:rPr>
          <w:rFonts w:asciiTheme="minorHAnsi" w:hAnsiTheme="minorHAnsi"/>
          <w:b/>
          <w:sz w:val="36"/>
          <w:szCs w:val="36"/>
          <w:lang w:val="en-AU"/>
        </w:rPr>
        <w:t xml:space="preserve">Preface </w:t>
      </w:r>
    </w:p>
    <w:p w:rsidR="00A33032" w:rsidRPr="00A33032" w:rsidRDefault="00A33032" w:rsidP="00A33032">
      <w:pPr>
        <w:ind w:firstLine="720"/>
        <w:rPr>
          <w:rFonts w:asciiTheme="minorHAnsi" w:hAnsiTheme="minorHAnsi"/>
          <w:b/>
          <w:sz w:val="36"/>
          <w:szCs w:val="36"/>
          <w:lang w:val="en-AU"/>
        </w:rPr>
      </w:pPr>
    </w:p>
    <w:p w:rsidR="00A33032" w:rsidRPr="00A33032" w:rsidRDefault="00A33032" w:rsidP="00B35569">
      <w:pPr>
        <w:ind w:left="720"/>
        <w:rPr>
          <w:rFonts w:asciiTheme="minorHAnsi" w:hAnsiTheme="minorHAnsi"/>
          <w:b/>
          <w:lang w:val="en-AU"/>
        </w:rPr>
      </w:pPr>
      <w:r w:rsidRPr="00A33032">
        <w:rPr>
          <w:rFonts w:asciiTheme="minorHAnsi" w:hAnsiTheme="minorHAnsi"/>
          <w:b/>
          <w:lang w:val="en-AU"/>
        </w:rPr>
        <w:t xml:space="preserve">To improve the readability of this addendum, brand names are generally used to identify fixed dose combination (FDC) antiretroviral products.  </w:t>
      </w:r>
    </w:p>
    <w:p w:rsidR="00A33032" w:rsidRPr="00A33032" w:rsidRDefault="00A33032" w:rsidP="00B35569">
      <w:pPr>
        <w:spacing w:before="240" w:after="120"/>
        <w:ind w:left="720" w:hanging="720"/>
        <w:outlineLvl w:val="0"/>
        <w:rPr>
          <w:rFonts w:ascii="Calibri" w:hAnsi="Calibri" w:cs="Arial"/>
          <w:b/>
          <w:snapToGrid w:val="0"/>
          <w:sz w:val="32"/>
          <w:szCs w:val="22"/>
          <w:lang w:val="en-AU"/>
        </w:rPr>
      </w:pPr>
      <w:r w:rsidRPr="00A33032">
        <w:rPr>
          <w:rFonts w:ascii="Calibri" w:hAnsi="Calibri" w:cs="Arial"/>
          <w:b/>
          <w:snapToGrid w:val="0"/>
          <w:sz w:val="32"/>
          <w:szCs w:val="22"/>
          <w:lang w:val="en-AU"/>
        </w:rPr>
        <w:t>Background</w:t>
      </w:r>
    </w:p>
    <w:p w:rsidR="00A33032" w:rsidRPr="00A33032" w:rsidRDefault="00A33032" w:rsidP="00A33032">
      <w:pPr>
        <w:widowControl w:val="0"/>
        <w:numPr>
          <w:ilvl w:val="1"/>
          <w:numId w:val="3"/>
        </w:numPr>
        <w:spacing w:after="160"/>
        <w:jc w:val="both"/>
        <w:rPr>
          <w:rFonts w:ascii="Calibri" w:eastAsia="Calibri" w:hAnsi="Calibri" w:cs="Calibri"/>
          <w:lang w:val="en-AU"/>
        </w:rPr>
      </w:pPr>
      <w:r w:rsidRPr="00A33032">
        <w:rPr>
          <w:rFonts w:ascii="Calibri" w:eastAsia="Calibri" w:hAnsi="Calibri" w:cs="Calibri"/>
          <w:snapToGrid w:val="0"/>
          <w:szCs w:val="22"/>
          <w:lang w:val="en-AU"/>
        </w:rPr>
        <w:t xml:space="preserve">At the March 2018 meeting, the PBAC deferred making a recommendation on the listing for a fixed dose combination (FDC) tablet containing tenofovir </w:t>
      </w:r>
      <w:proofErr w:type="spellStart"/>
      <w:r w:rsidRPr="00A33032">
        <w:rPr>
          <w:rFonts w:ascii="Calibri" w:eastAsia="Calibri" w:hAnsi="Calibri" w:cs="Calibri"/>
          <w:snapToGrid w:val="0"/>
          <w:szCs w:val="22"/>
          <w:lang w:val="en-AU"/>
        </w:rPr>
        <w:t>alafenamide</w:t>
      </w:r>
      <w:proofErr w:type="spellEnd"/>
      <w:r w:rsidRPr="00A33032">
        <w:rPr>
          <w:rFonts w:ascii="Calibri" w:eastAsia="Calibri" w:hAnsi="Calibri" w:cs="Calibri"/>
          <w:snapToGrid w:val="0"/>
          <w:szCs w:val="22"/>
          <w:lang w:val="en-AU"/>
        </w:rPr>
        <w:t xml:space="preserve"> with emtricitabine and bictegravir (BIKTARVY®) for the treatment of patients with human immunodeficiency virus (HIV-1). The PBAC was of a mind to recommend the listing of BIKTARVY® </w:t>
      </w:r>
      <w:r w:rsidRPr="00A33032">
        <w:rPr>
          <w:rFonts w:ascii="Calibri" w:eastAsia="Calibri" w:hAnsi="Calibri" w:cs="Calibri"/>
          <w:lang w:val="en-AU"/>
        </w:rPr>
        <w:t xml:space="preserve">pending the provision of the relevant TGA delegate’s overview. </w:t>
      </w:r>
    </w:p>
    <w:p w:rsidR="00A33032" w:rsidRPr="00A33032" w:rsidRDefault="00A33032" w:rsidP="00A33032">
      <w:pPr>
        <w:widowControl w:val="0"/>
        <w:numPr>
          <w:ilvl w:val="1"/>
          <w:numId w:val="3"/>
        </w:numPr>
        <w:spacing w:after="160"/>
        <w:jc w:val="both"/>
        <w:rPr>
          <w:rFonts w:ascii="Calibri" w:eastAsia="Calibri" w:hAnsi="Calibri" w:cs="Calibri"/>
          <w:b/>
          <w:lang w:val="en-AU"/>
        </w:rPr>
      </w:pPr>
      <w:r w:rsidRPr="00A33032">
        <w:rPr>
          <w:rFonts w:asciiTheme="minorHAnsi" w:hAnsiTheme="minorHAnsi" w:cs="Arial"/>
          <w:bCs/>
          <w:snapToGrid w:val="0"/>
          <w:lang w:val="en-AU"/>
        </w:rPr>
        <w:t>At that time, the PBAC considered that the cost-effectiveness of BIKTARVY® would be acceptable if it were cost-minimised against STRIBILD® and EVIPLERA®.</w:t>
      </w:r>
    </w:p>
    <w:p w:rsidR="00A33032" w:rsidRPr="00A33032" w:rsidRDefault="00A33032" w:rsidP="00AD1BA5">
      <w:pPr>
        <w:widowControl w:val="0"/>
        <w:numPr>
          <w:ilvl w:val="1"/>
          <w:numId w:val="3"/>
        </w:numPr>
        <w:spacing w:after="160"/>
        <w:jc w:val="both"/>
        <w:rPr>
          <w:rFonts w:asciiTheme="minorHAnsi" w:hAnsiTheme="minorHAnsi" w:cs="Arial"/>
          <w:bCs/>
          <w:snapToGrid w:val="0"/>
          <w:lang w:val="en-AU"/>
        </w:rPr>
      </w:pPr>
      <w:r w:rsidRPr="00A33032">
        <w:rPr>
          <w:rFonts w:asciiTheme="minorHAnsi" w:hAnsiTheme="minorHAnsi" w:cs="Arial"/>
          <w:bCs/>
          <w:snapToGrid w:val="0"/>
          <w:lang w:val="en-AU"/>
        </w:rPr>
        <w:t>At that time the PBAC considered that all FDC triple-therapies for the treatment of HIV were alternative therapies to BIKTARVY</w:t>
      </w:r>
      <w:r w:rsidR="00AD1BA5" w:rsidRPr="00AD1BA5">
        <w:rPr>
          <w:rFonts w:asciiTheme="minorHAnsi" w:hAnsiTheme="minorHAnsi" w:cs="Arial"/>
          <w:bCs/>
          <w:snapToGrid w:val="0"/>
          <w:lang w:val="en-AU"/>
        </w:rPr>
        <w:t>®</w:t>
      </w:r>
      <w:r w:rsidRPr="00A33032">
        <w:rPr>
          <w:rFonts w:asciiTheme="minorHAnsi" w:hAnsiTheme="minorHAnsi" w:cs="Arial"/>
          <w:bCs/>
          <w:snapToGrid w:val="0"/>
          <w:lang w:val="en-AU"/>
        </w:rPr>
        <w:t xml:space="preserve">. </w:t>
      </w:r>
    </w:p>
    <w:p w:rsidR="00A33032" w:rsidRPr="00A33032" w:rsidRDefault="00A33032" w:rsidP="00B35569">
      <w:pPr>
        <w:spacing w:before="240" w:after="120"/>
        <w:outlineLvl w:val="0"/>
        <w:rPr>
          <w:lang w:val="en-AU"/>
        </w:rPr>
      </w:pPr>
      <w:r w:rsidRPr="00A33032">
        <w:rPr>
          <w:rFonts w:ascii="Calibri" w:hAnsi="Calibri" w:cs="Arial"/>
          <w:b/>
          <w:snapToGrid w:val="0"/>
          <w:sz w:val="32"/>
          <w:szCs w:val="22"/>
          <w:lang w:val="en-AU"/>
        </w:rPr>
        <w:t>Current situation</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Subsequent to the March 2018 PBAC meeting, the sponsor provided the TGA delegate’s overview which outlined the delegate’s intent to approve BIKTARVY®</w:t>
      </w:r>
      <w:r w:rsidRPr="00A33032">
        <w:rPr>
          <w:rFonts w:asciiTheme="minorHAnsi" w:hAnsiTheme="minorHAnsi" w:cs="Arial"/>
          <w:bCs/>
          <w:snapToGrid w:val="0"/>
          <w:szCs w:val="22"/>
          <w:lang w:val="en-AU"/>
        </w:rPr>
        <w:t xml:space="preserve"> </w:t>
      </w:r>
      <w:r w:rsidRPr="00A33032">
        <w:rPr>
          <w:rFonts w:ascii="Calibri" w:eastAsia="Calibri" w:hAnsi="Calibri" w:cs="Calibri"/>
          <w:lang w:val="en-AU"/>
        </w:rPr>
        <w:t xml:space="preserve">for the treatment of HIV-1 infection in adults who are ART-naïve or virologically suppressed without any known mutations associated with resistance to the individual components of BIKTARVY®. </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 xml:space="preserve">The sponsor’s pre-PBAC Response maintained its previous argument (to the March 2018 meeting of PBAC) that </w:t>
      </w:r>
      <w:r w:rsidRPr="00A33032">
        <w:rPr>
          <w:rFonts w:asciiTheme="minorHAnsi" w:hAnsiTheme="minorHAnsi" w:cs="Arial"/>
          <w:bCs/>
          <w:snapToGrid w:val="0"/>
          <w:szCs w:val="22"/>
          <w:lang w:val="en-AU"/>
        </w:rPr>
        <w:t xml:space="preserve">GENVOYA® and ODEFSEY® are the lowest cost, most appropriate and relevant comparators for BIKTARVY® for the purpose of Section 101 (3B) of the </w:t>
      </w:r>
      <w:r w:rsidRPr="00A33032">
        <w:rPr>
          <w:rFonts w:asciiTheme="minorHAnsi" w:hAnsiTheme="minorHAnsi" w:cs="Arial"/>
          <w:bCs/>
          <w:i/>
          <w:snapToGrid w:val="0"/>
          <w:szCs w:val="22"/>
          <w:lang w:val="en-AU"/>
        </w:rPr>
        <w:t xml:space="preserve">National Health Act 1953 </w:t>
      </w:r>
      <w:r w:rsidRPr="00A33032">
        <w:rPr>
          <w:rFonts w:asciiTheme="minorHAnsi" w:hAnsiTheme="minorHAnsi" w:cs="Arial"/>
          <w:bCs/>
          <w:snapToGrid w:val="0"/>
          <w:szCs w:val="22"/>
          <w:lang w:val="en-AU"/>
        </w:rPr>
        <w:t xml:space="preserve">(the Act). The pre-PBAC Response argued that </w:t>
      </w:r>
      <w:r w:rsidRPr="00A33032">
        <w:rPr>
          <w:rFonts w:asciiTheme="minorHAnsi" w:hAnsiTheme="minorHAnsi" w:cs="Arial"/>
          <w:bCs/>
          <w:snapToGrid w:val="0"/>
          <w:szCs w:val="22"/>
          <w:lang w:val="en-AU"/>
        </w:rPr>
        <w:lastRenderedPageBreak/>
        <w:t xml:space="preserve">the selection of GENVOYA® and ODEFSEY® as the lowest cost comparator is consistent with current guidelines and clinical practice of first selecting the backbone for the antiretroviral therapy regimen (ART), and then the third agent whereas the PBAC’s advice that the lowest price alternative therapies are STRIBILD® and EVIPLERA® is not consistent with clinical practice. </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 xml:space="preserve">The pre-PBAC Response </w:t>
      </w:r>
      <w:r w:rsidRPr="00AD1BA5">
        <w:rPr>
          <w:rFonts w:ascii="Calibri" w:eastAsia="Calibri" w:hAnsi="Calibri" w:cs="Calibri"/>
          <w:lang w:val="en-AU"/>
        </w:rPr>
        <w:t xml:space="preserve">further </w:t>
      </w:r>
      <w:r w:rsidRPr="00A33032">
        <w:rPr>
          <w:rFonts w:ascii="Calibri" w:eastAsia="Calibri" w:hAnsi="Calibri" w:cs="Calibri"/>
          <w:lang w:val="en-AU"/>
        </w:rPr>
        <w:t xml:space="preserve">argued that </w:t>
      </w:r>
      <w:r w:rsidRPr="00A33032">
        <w:rPr>
          <w:rFonts w:asciiTheme="minorHAnsi" w:hAnsiTheme="minorHAnsi" w:cs="Arial"/>
          <w:bCs/>
          <w:snapToGrid w:val="0"/>
          <w:szCs w:val="22"/>
          <w:lang w:val="en-AU"/>
        </w:rPr>
        <w:t xml:space="preserve">BIKTARVY®, for some patients, provides a significant improvement in efficacy or reduction in toxicity over </w:t>
      </w:r>
      <w:r w:rsidRPr="00A33032">
        <w:rPr>
          <w:rFonts w:ascii="Calibri" w:eastAsia="Calibri" w:hAnsi="Calibri" w:cs="Calibri"/>
          <w:lang w:val="en-AU"/>
        </w:rPr>
        <w:t>STRIBILD® and EVIPLERA®</w:t>
      </w:r>
      <w:r w:rsidRPr="00A33032">
        <w:rPr>
          <w:rFonts w:asciiTheme="minorHAnsi" w:hAnsiTheme="minorHAnsi" w:cs="Arial"/>
          <w:bCs/>
          <w:snapToGrid w:val="0"/>
          <w:szCs w:val="22"/>
          <w:lang w:val="en-AU"/>
        </w:rPr>
        <w:t xml:space="preserve">. The PSCR also asserted that TAF-based regimens could be used in some patients in whom TDF-based regimens (such as </w:t>
      </w:r>
      <w:r w:rsidRPr="00A33032">
        <w:rPr>
          <w:rFonts w:ascii="Calibri" w:eastAsia="Calibri" w:hAnsi="Calibri" w:cs="Calibri"/>
          <w:lang w:val="en-AU"/>
        </w:rPr>
        <w:t xml:space="preserve">STRIBILD® and EVIPLERA®) </w:t>
      </w:r>
      <w:r w:rsidRPr="00A33032">
        <w:rPr>
          <w:rFonts w:asciiTheme="minorHAnsi" w:hAnsiTheme="minorHAnsi" w:cs="Arial"/>
          <w:bCs/>
          <w:snapToGrid w:val="0"/>
          <w:szCs w:val="22"/>
          <w:lang w:val="en-AU"/>
        </w:rPr>
        <w:t xml:space="preserve">cannot, specifically patients with renal impairment. Additionally, the pre-PBAC Response cited findings from the </w:t>
      </w:r>
      <w:proofErr w:type="spellStart"/>
      <w:r w:rsidRPr="00A33032">
        <w:rPr>
          <w:rFonts w:asciiTheme="minorHAnsi" w:hAnsiTheme="minorHAnsi" w:cs="Arial"/>
          <w:bCs/>
          <w:snapToGrid w:val="0"/>
          <w:szCs w:val="22"/>
          <w:lang w:val="en-AU"/>
        </w:rPr>
        <w:t>EuroSIDA</w:t>
      </w:r>
      <w:proofErr w:type="spellEnd"/>
      <w:r w:rsidRPr="00A33032">
        <w:rPr>
          <w:rFonts w:asciiTheme="minorHAnsi" w:hAnsiTheme="minorHAnsi" w:cs="Arial"/>
          <w:bCs/>
          <w:snapToGrid w:val="0"/>
          <w:szCs w:val="22"/>
          <w:lang w:val="en-AU"/>
        </w:rPr>
        <w:t xml:space="preserve"> study, a multicentre prospective study of more than 16,000 patients across Europe, Israel and Argentina that report that TDF use was associated with a 16% increase in chronic kidney disease</w:t>
      </w:r>
      <w:r w:rsidRPr="00A33032">
        <w:rPr>
          <w:rFonts w:asciiTheme="minorHAnsi" w:hAnsiTheme="minorHAnsi" w:cs="Arial"/>
          <w:bCs/>
          <w:snapToGrid w:val="0"/>
          <w:szCs w:val="22"/>
          <w:vertAlign w:val="superscript"/>
          <w:lang w:val="en-AU"/>
        </w:rPr>
        <w:footnoteReference w:id="1"/>
      </w:r>
      <w:r w:rsidRPr="00A33032">
        <w:rPr>
          <w:rFonts w:asciiTheme="minorHAnsi" w:hAnsiTheme="minorHAnsi" w:cs="Arial"/>
          <w:bCs/>
          <w:snapToGrid w:val="0"/>
          <w:szCs w:val="22"/>
          <w:lang w:val="en-AU"/>
        </w:rPr>
        <w:t xml:space="preserve">. </w:t>
      </w:r>
    </w:p>
    <w:p w:rsidR="00A33032" w:rsidRPr="00B35569" w:rsidRDefault="00A33032" w:rsidP="00B35569">
      <w:pPr>
        <w:widowControl w:val="0"/>
        <w:numPr>
          <w:ilvl w:val="1"/>
          <w:numId w:val="34"/>
        </w:numPr>
        <w:spacing w:after="160"/>
        <w:jc w:val="both"/>
        <w:rPr>
          <w:rFonts w:ascii="Calibri" w:eastAsia="Calibri" w:hAnsi="Calibri" w:cs="Calibri"/>
          <w:lang w:val="en-AU"/>
        </w:rPr>
      </w:pPr>
      <w:r w:rsidRPr="00A33032">
        <w:rPr>
          <w:rFonts w:asciiTheme="minorHAnsi" w:hAnsiTheme="minorHAnsi" w:cs="Arial"/>
          <w:bCs/>
          <w:snapToGrid w:val="0"/>
          <w:szCs w:val="22"/>
          <w:lang w:val="en-AU"/>
        </w:rPr>
        <w:t>The Pre-PBAC Response reiterated that the listing of BIKTARVY® will result in significant cost-saving to the PBS budget, estimated at $</w:t>
      </w:r>
      <w:r w:rsidR="00AD1BA5">
        <w:rPr>
          <w:rFonts w:asciiTheme="minorHAnsi" w:hAnsiTheme="minorHAnsi" w:cs="Arial"/>
          <w:bCs/>
          <w:snapToGrid w:val="0"/>
          <w:szCs w:val="22"/>
          <w:lang w:val="en-AU"/>
        </w:rPr>
        <w:t>60 - $100</w:t>
      </w:r>
      <w:r w:rsidRPr="00A33032">
        <w:rPr>
          <w:rFonts w:asciiTheme="minorHAnsi" w:hAnsiTheme="minorHAnsi" w:cs="Arial"/>
          <w:bCs/>
          <w:snapToGrid w:val="0"/>
          <w:szCs w:val="22"/>
          <w:lang w:val="en-AU"/>
        </w:rPr>
        <w:t xml:space="preserve"> million over the first six years of listing due to substitution of DESCOVY</w:t>
      </w:r>
      <w:r w:rsidRPr="00A33032">
        <w:rPr>
          <w:rFonts w:ascii="Calibri" w:eastAsia="Calibri" w:hAnsi="Calibri" w:cs="Calibri"/>
          <w:lang w:val="en-AU"/>
        </w:rPr>
        <w:t xml:space="preserve">® plus </w:t>
      </w:r>
      <w:proofErr w:type="spellStart"/>
      <w:r w:rsidRPr="00A33032">
        <w:rPr>
          <w:rFonts w:ascii="Calibri" w:eastAsia="Calibri" w:hAnsi="Calibri" w:cs="Calibri"/>
          <w:lang w:val="en-AU"/>
        </w:rPr>
        <w:t>dolutegravir</w:t>
      </w:r>
      <w:proofErr w:type="spellEnd"/>
      <w:r w:rsidRPr="00A33032">
        <w:rPr>
          <w:rFonts w:ascii="Calibri" w:eastAsia="Calibri" w:hAnsi="Calibri" w:cs="Calibri"/>
          <w:lang w:val="en-AU"/>
        </w:rPr>
        <w:t xml:space="preserve">. </w:t>
      </w:r>
    </w:p>
    <w:p w:rsidR="00A33032" w:rsidRPr="00A33032" w:rsidRDefault="00A33032" w:rsidP="00B35569">
      <w:pPr>
        <w:widowControl w:val="0"/>
        <w:numPr>
          <w:ilvl w:val="0"/>
          <w:numId w:val="34"/>
        </w:numPr>
        <w:spacing w:before="240" w:after="120"/>
        <w:jc w:val="both"/>
        <w:outlineLvl w:val="0"/>
        <w:rPr>
          <w:rFonts w:ascii="Calibri" w:eastAsia="Calibri" w:hAnsi="Calibri" w:cs="Calibri"/>
          <w:b/>
          <w:snapToGrid w:val="0"/>
          <w:sz w:val="32"/>
          <w:szCs w:val="22"/>
          <w:lang w:val="en-AU"/>
        </w:rPr>
      </w:pPr>
      <w:r w:rsidRPr="00A33032">
        <w:rPr>
          <w:rFonts w:ascii="Calibri" w:hAnsi="Calibri" w:cs="Arial"/>
          <w:b/>
          <w:snapToGrid w:val="0"/>
          <w:sz w:val="32"/>
          <w:szCs w:val="22"/>
          <w:lang w:val="en-AU"/>
        </w:rPr>
        <w:t>PBAC Outcome</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szCs w:val="22"/>
          <w:lang w:val="en-AU"/>
        </w:rPr>
        <w:t xml:space="preserve">The PBAC recommended the Authority Required (STREAMLINED) Section 100 (Community Access) listing of tenofovir </w:t>
      </w:r>
      <w:proofErr w:type="spellStart"/>
      <w:r w:rsidRPr="00A33032">
        <w:rPr>
          <w:rFonts w:ascii="Calibri" w:eastAsia="Calibri" w:hAnsi="Calibri" w:cs="Calibri"/>
          <w:szCs w:val="22"/>
          <w:lang w:val="en-AU"/>
        </w:rPr>
        <w:t>alafenamide</w:t>
      </w:r>
      <w:proofErr w:type="spellEnd"/>
      <w:r w:rsidRPr="00A33032">
        <w:rPr>
          <w:rFonts w:ascii="Calibri" w:eastAsia="Calibri" w:hAnsi="Calibri" w:cs="Calibri"/>
          <w:szCs w:val="22"/>
          <w:lang w:val="en-AU"/>
        </w:rPr>
        <w:t xml:space="preserve"> with emtricitabine and bictegravir (BIKTARVY®) in a fixed dose combination tablet </w:t>
      </w:r>
      <w:r w:rsidRPr="00A33032">
        <w:rPr>
          <w:rFonts w:ascii="Calibri" w:eastAsia="Calibri" w:hAnsi="Calibri" w:cs="Calibri"/>
          <w:lang w:val="en-AU"/>
        </w:rPr>
        <w:t>on the basis that it should be available only under the special arrangements and circumstances described in the table at section 11 below.</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 xml:space="preserve">The PBAC’s recommendation for listing was based on, among other matters, its assessment that the cost-effectiveness of BIKTARVY® would be acceptable if it were cost-minimised against a mixed comparator of EVIPLERA®/STRIBILD® and GENVOYA®/ODEFSEY®. The latter component of the price accounting for the small patient population (6% of the total population) ineligible to receive a tenofovir </w:t>
      </w:r>
      <w:proofErr w:type="spellStart"/>
      <w:r w:rsidRPr="00A33032">
        <w:rPr>
          <w:rFonts w:ascii="Calibri" w:eastAsia="Calibri" w:hAnsi="Calibri" w:cs="Calibri"/>
          <w:lang w:val="en-AU"/>
        </w:rPr>
        <w:t>disoproxil</w:t>
      </w:r>
      <w:proofErr w:type="spellEnd"/>
      <w:r w:rsidRPr="00A33032">
        <w:rPr>
          <w:rFonts w:ascii="Calibri" w:eastAsia="Calibri" w:hAnsi="Calibri" w:cs="Calibri"/>
          <w:lang w:val="en-AU"/>
        </w:rPr>
        <w:t xml:space="preserve"> fumarate (TDF) based regimen due to moderate or severe renal impairment for which TDF is not recommended. </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 xml:space="preserve">The </w:t>
      </w:r>
      <w:proofErr w:type="spellStart"/>
      <w:r w:rsidRPr="00A33032">
        <w:rPr>
          <w:rFonts w:ascii="Calibri" w:eastAsia="Calibri" w:hAnsi="Calibri" w:cs="Calibri"/>
          <w:lang w:val="en-AU"/>
        </w:rPr>
        <w:t>equi</w:t>
      </w:r>
      <w:proofErr w:type="spellEnd"/>
      <w:r w:rsidRPr="00A33032">
        <w:rPr>
          <w:rFonts w:ascii="Calibri" w:eastAsia="Calibri" w:hAnsi="Calibri" w:cs="Calibri"/>
          <w:lang w:val="en-AU"/>
        </w:rPr>
        <w:t xml:space="preserve">-effective doses are </w:t>
      </w:r>
    </w:p>
    <w:p w:rsidR="00A33032" w:rsidRPr="00A33032" w:rsidRDefault="00A33032" w:rsidP="00A33032">
      <w:pPr>
        <w:widowControl w:val="0"/>
        <w:numPr>
          <w:ilvl w:val="0"/>
          <w:numId w:val="33"/>
        </w:numPr>
        <w:ind w:left="1434" w:hanging="357"/>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 xml:space="preserve">BIKTARVY® (bictegravir 50 mg /emtricitabine 200 mg/ tenofovir </w:t>
      </w:r>
      <w:proofErr w:type="spellStart"/>
      <w:r w:rsidRPr="00A33032">
        <w:rPr>
          <w:rFonts w:asciiTheme="minorHAnsi" w:hAnsiTheme="minorHAnsi" w:cs="Arial"/>
          <w:bCs/>
          <w:snapToGrid w:val="0"/>
          <w:szCs w:val="22"/>
          <w:lang w:val="en-AU"/>
        </w:rPr>
        <w:t>alafenamide</w:t>
      </w:r>
      <w:proofErr w:type="spellEnd"/>
      <w:r w:rsidRPr="00A33032">
        <w:rPr>
          <w:rFonts w:asciiTheme="minorHAnsi" w:hAnsiTheme="minorHAnsi" w:cs="Arial"/>
          <w:bCs/>
          <w:snapToGrid w:val="0"/>
          <w:szCs w:val="22"/>
          <w:lang w:val="en-AU"/>
        </w:rPr>
        <w:t xml:space="preserve"> 25 mg);</w:t>
      </w:r>
    </w:p>
    <w:p w:rsidR="00A33032" w:rsidRPr="00A33032" w:rsidRDefault="00A33032" w:rsidP="00A33032">
      <w:pPr>
        <w:widowControl w:val="0"/>
        <w:numPr>
          <w:ilvl w:val="0"/>
          <w:numId w:val="33"/>
        </w:numPr>
        <w:ind w:left="1434" w:hanging="357"/>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 xml:space="preserve">STRIBILD® (tenofovir </w:t>
      </w:r>
      <w:proofErr w:type="spellStart"/>
      <w:r w:rsidRPr="00A33032">
        <w:rPr>
          <w:rFonts w:asciiTheme="minorHAnsi" w:hAnsiTheme="minorHAnsi" w:cs="Arial"/>
          <w:bCs/>
          <w:snapToGrid w:val="0"/>
          <w:szCs w:val="22"/>
          <w:lang w:val="en-AU"/>
        </w:rPr>
        <w:t>disoproxil</w:t>
      </w:r>
      <w:proofErr w:type="spellEnd"/>
      <w:r w:rsidRPr="00A33032">
        <w:rPr>
          <w:rFonts w:asciiTheme="minorHAnsi" w:hAnsiTheme="minorHAnsi" w:cs="Arial"/>
          <w:bCs/>
          <w:snapToGrid w:val="0"/>
          <w:szCs w:val="22"/>
          <w:lang w:val="en-AU"/>
        </w:rPr>
        <w:t xml:space="preserve"> fumarate 300 mg/ emtricitabine 200 mg/ </w:t>
      </w:r>
      <w:proofErr w:type="spellStart"/>
      <w:r w:rsidRPr="00A33032">
        <w:rPr>
          <w:rFonts w:asciiTheme="minorHAnsi" w:hAnsiTheme="minorHAnsi" w:cs="Arial"/>
          <w:bCs/>
          <w:snapToGrid w:val="0"/>
          <w:szCs w:val="22"/>
          <w:lang w:val="en-AU"/>
        </w:rPr>
        <w:t>elvitegravir</w:t>
      </w:r>
      <w:proofErr w:type="spellEnd"/>
      <w:r w:rsidRPr="00A33032">
        <w:rPr>
          <w:rFonts w:asciiTheme="minorHAnsi" w:hAnsiTheme="minorHAnsi" w:cs="Arial"/>
          <w:bCs/>
          <w:snapToGrid w:val="0"/>
          <w:szCs w:val="22"/>
          <w:lang w:val="en-AU"/>
        </w:rPr>
        <w:t xml:space="preserve"> 150 mg/cobicistat 150 mg); </w:t>
      </w:r>
    </w:p>
    <w:p w:rsidR="00A33032" w:rsidRPr="00A33032" w:rsidRDefault="00A33032" w:rsidP="00A33032">
      <w:pPr>
        <w:widowControl w:val="0"/>
        <w:numPr>
          <w:ilvl w:val="0"/>
          <w:numId w:val="33"/>
        </w:numPr>
        <w:ind w:left="1434" w:hanging="357"/>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 xml:space="preserve">EVIPLERA® (tenofovir </w:t>
      </w:r>
      <w:proofErr w:type="spellStart"/>
      <w:r w:rsidRPr="00A33032">
        <w:rPr>
          <w:rFonts w:asciiTheme="minorHAnsi" w:hAnsiTheme="minorHAnsi" w:cs="Arial"/>
          <w:bCs/>
          <w:snapToGrid w:val="0"/>
          <w:szCs w:val="22"/>
          <w:lang w:val="en-AU"/>
        </w:rPr>
        <w:t>disoproxil</w:t>
      </w:r>
      <w:proofErr w:type="spellEnd"/>
      <w:r w:rsidRPr="00A33032">
        <w:rPr>
          <w:rFonts w:asciiTheme="minorHAnsi" w:hAnsiTheme="minorHAnsi" w:cs="Arial"/>
          <w:bCs/>
          <w:snapToGrid w:val="0"/>
          <w:szCs w:val="22"/>
          <w:lang w:val="en-AU"/>
        </w:rPr>
        <w:t xml:space="preserve"> fumarate 300 mg/ emtricitabine 200 mg/ </w:t>
      </w:r>
      <w:proofErr w:type="spellStart"/>
      <w:r w:rsidRPr="00A33032">
        <w:rPr>
          <w:rFonts w:asciiTheme="minorHAnsi" w:hAnsiTheme="minorHAnsi" w:cs="Arial"/>
          <w:bCs/>
          <w:snapToGrid w:val="0"/>
          <w:szCs w:val="22"/>
          <w:lang w:val="en-AU"/>
        </w:rPr>
        <w:lastRenderedPageBreak/>
        <w:t>rilpivirine</w:t>
      </w:r>
      <w:proofErr w:type="spellEnd"/>
      <w:r w:rsidRPr="00A33032">
        <w:rPr>
          <w:rFonts w:asciiTheme="minorHAnsi" w:hAnsiTheme="minorHAnsi" w:cs="Arial"/>
          <w:bCs/>
          <w:snapToGrid w:val="0"/>
          <w:szCs w:val="22"/>
          <w:lang w:val="en-AU"/>
        </w:rPr>
        <w:t xml:space="preserve"> 25 mg); </w:t>
      </w:r>
    </w:p>
    <w:p w:rsidR="00A33032" w:rsidRPr="00A33032" w:rsidRDefault="00A33032" w:rsidP="00A33032">
      <w:pPr>
        <w:widowControl w:val="0"/>
        <w:numPr>
          <w:ilvl w:val="0"/>
          <w:numId w:val="33"/>
        </w:numPr>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 xml:space="preserve">GENVOYA® (tenofovir </w:t>
      </w:r>
      <w:proofErr w:type="spellStart"/>
      <w:r w:rsidRPr="00A33032">
        <w:rPr>
          <w:rFonts w:asciiTheme="minorHAnsi" w:hAnsiTheme="minorHAnsi" w:cs="Arial"/>
          <w:bCs/>
          <w:snapToGrid w:val="0"/>
          <w:szCs w:val="22"/>
          <w:lang w:val="en-AU"/>
        </w:rPr>
        <w:t>alafenamide</w:t>
      </w:r>
      <w:proofErr w:type="spellEnd"/>
      <w:r w:rsidRPr="00A33032">
        <w:rPr>
          <w:rFonts w:asciiTheme="minorHAnsi" w:hAnsiTheme="minorHAnsi" w:cs="Arial"/>
          <w:bCs/>
          <w:snapToGrid w:val="0"/>
          <w:szCs w:val="22"/>
          <w:lang w:val="en-AU"/>
        </w:rPr>
        <w:t xml:space="preserve"> 10 mg/ emtricitabine 200 mg/ </w:t>
      </w:r>
      <w:proofErr w:type="spellStart"/>
      <w:r w:rsidRPr="00A33032">
        <w:rPr>
          <w:rFonts w:asciiTheme="minorHAnsi" w:hAnsiTheme="minorHAnsi" w:cs="Arial"/>
          <w:bCs/>
          <w:snapToGrid w:val="0"/>
          <w:szCs w:val="22"/>
          <w:lang w:val="en-AU"/>
        </w:rPr>
        <w:t>elvitegravir</w:t>
      </w:r>
      <w:proofErr w:type="spellEnd"/>
      <w:r w:rsidRPr="00A33032">
        <w:rPr>
          <w:rFonts w:asciiTheme="minorHAnsi" w:hAnsiTheme="minorHAnsi" w:cs="Arial"/>
          <w:bCs/>
          <w:snapToGrid w:val="0"/>
          <w:szCs w:val="22"/>
          <w:lang w:val="en-AU"/>
        </w:rPr>
        <w:t xml:space="preserve"> 150 mg / cobicistat 150 mg; and</w:t>
      </w:r>
    </w:p>
    <w:p w:rsidR="00A33032" w:rsidRPr="00A33032" w:rsidRDefault="00A33032" w:rsidP="00A33032">
      <w:pPr>
        <w:widowControl w:val="0"/>
        <w:numPr>
          <w:ilvl w:val="0"/>
          <w:numId w:val="33"/>
        </w:numPr>
        <w:spacing w:after="160"/>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 xml:space="preserve">ODEFSEY® (emtricitabine 200 mg/ </w:t>
      </w:r>
      <w:proofErr w:type="spellStart"/>
      <w:r w:rsidRPr="00A33032">
        <w:rPr>
          <w:rFonts w:asciiTheme="minorHAnsi" w:hAnsiTheme="minorHAnsi" w:cs="Arial"/>
          <w:bCs/>
          <w:snapToGrid w:val="0"/>
          <w:szCs w:val="22"/>
          <w:lang w:val="en-AU"/>
        </w:rPr>
        <w:t>rilpivirine</w:t>
      </w:r>
      <w:proofErr w:type="spellEnd"/>
      <w:r w:rsidRPr="00A33032">
        <w:rPr>
          <w:rFonts w:asciiTheme="minorHAnsi" w:hAnsiTheme="minorHAnsi" w:cs="Arial"/>
          <w:bCs/>
          <w:snapToGrid w:val="0"/>
          <w:szCs w:val="22"/>
          <w:lang w:val="en-AU"/>
        </w:rPr>
        <w:t xml:space="preserve"> 25 mg/ tenofovir </w:t>
      </w:r>
      <w:proofErr w:type="spellStart"/>
      <w:r w:rsidRPr="00A33032">
        <w:rPr>
          <w:rFonts w:asciiTheme="minorHAnsi" w:hAnsiTheme="minorHAnsi" w:cs="Arial"/>
          <w:bCs/>
          <w:snapToGrid w:val="0"/>
          <w:szCs w:val="22"/>
          <w:lang w:val="en-AU"/>
        </w:rPr>
        <w:t>alafenamide</w:t>
      </w:r>
      <w:proofErr w:type="spellEnd"/>
      <w:r w:rsidRPr="00A33032">
        <w:rPr>
          <w:rFonts w:asciiTheme="minorHAnsi" w:hAnsiTheme="minorHAnsi" w:cs="Arial"/>
          <w:bCs/>
          <w:snapToGrid w:val="0"/>
          <w:szCs w:val="22"/>
          <w:lang w:val="en-AU"/>
        </w:rPr>
        <w:t xml:space="preserve"> 25 mg</w:t>
      </w:r>
    </w:p>
    <w:p w:rsidR="00A33032" w:rsidRPr="00A33032" w:rsidRDefault="00A33032" w:rsidP="00A33032">
      <w:pPr>
        <w:widowControl w:val="0"/>
        <w:numPr>
          <w:ilvl w:val="1"/>
          <w:numId w:val="34"/>
        </w:numPr>
        <w:spacing w:after="160"/>
        <w:jc w:val="both"/>
        <w:rPr>
          <w:rFonts w:asciiTheme="minorHAnsi" w:hAnsiTheme="minorHAnsi"/>
          <w:bCs/>
          <w:lang w:val="en-AU"/>
        </w:rPr>
      </w:pPr>
      <w:r w:rsidRPr="00A33032">
        <w:rPr>
          <w:rFonts w:asciiTheme="minorHAnsi" w:hAnsiTheme="minorHAnsi"/>
          <w:bCs/>
          <w:lang w:val="en-AU"/>
        </w:rPr>
        <w:t>The PBAC noted that Australian data on renal impairment, as defined by an estimated glomerular filtration rate (eGFR) of &lt;60 mL/min, in human immune deficiency virus (HIV) patients</w:t>
      </w:r>
      <w:r w:rsidRPr="00A33032">
        <w:rPr>
          <w:rFonts w:asciiTheme="minorHAnsi" w:hAnsiTheme="minorHAnsi"/>
          <w:bCs/>
          <w:vertAlign w:val="superscript"/>
          <w:lang w:val="en-AU"/>
        </w:rPr>
        <w:footnoteReference w:id="2"/>
      </w:r>
      <w:r w:rsidRPr="00A33032">
        <w:rPr>
          <w:rFonts w:asciiTheme="minorHAnsi" w:hAnsiTheme="minorHAnsi"/>
          <w:bCs/>
          <w:lang w:val="en-AU"/>
        </w:rPr>
        <w:t xml:space="preserve"> estimated approximately 6% of patients have an eGFR below this level, and would therefore be ineligible to receive TDF containing regimens. </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 xml:space="preserve">The PBAC recalled that it was of a mind to recommend the listing of BIKARVY® at the March 2018 meeting pending the provision of the relevant TGA delegate’s overview that had now been issued. </w:t>
      </w:r>
    </w:p>
    <w:p w:rsidR="00A33032" w:rsidRPr="00A33032" w:rsidRDefault="00A33032" w:rsidP="00A33032">
      <w:pPr>
        <w:widowControl w:val="0"/>
        <w:numPr>
          <w:ilvl w:val="1"/>
          <w:numId w:val="34"/>
        </w:numPr>
        <w:spacing w:after="160"/>
        <w:jc w:val="both"/>
        <w:rPr>
          <w:rFonts w:asciiTheme="minorHAnsi" w:eastAsia="Calibri" w:hAnsiTheme="minorHAnsi" w:cstheme="minorHAnsi"/>
          <w:lang w:val="en-AU"/>
        </w:rPr>
      </w:pPr>
      <w:r w:rsidRPr="00A33032">
        <w:rPr>
          <w:rFonts w:asciiTheme="minorHAnsi" w:eastAsia="Calibri" w:hAnsiTheme="minorHAnsi" w:cstheme="minorHAnsi"/>
          <w:lang w:val="en-AU"/>
        </w:rPr>
        <w:t xml:space="preserve">The PBAC recalled that in March 2018 it considered all alternative FDC triple-therapies for the treatment of HIV were alternative therapies to BIKTARVY.  It </w:t>
      </w:r>
      <w:proofErr w:type="gramStart"/>
      <w:r w:rsidRPr="00A33032">
        <w:rPr>
          <w:rFonts w:asciiTheme="minorHAnsi" w:eastAsia="Calibri" w:hAnsiTheme="minorHAnsi" w:cstheme="minorHAnsi"/>
          <w:lang w:val="en-AU"/>
        </w:rPr>
        <w:t xml:space="preserve">also </w:t>
      </w:r>
      <w:r w:rsidRPr="00A33032">
        <w:rPr>
          <w:rFonts w:asciiTheme="minorHAnsi" w:hAnsiTheme="minorHAnsi" w:cs="Arial"/>
          <w:bCs/>
          <w:snapToGrid w:val="0"/>
          <w:szCs w:val="22"/>
          <w:lang w:val="en-AU"/>
        </w:rPr>
        <w:t xml:space="preserve"> concluded</w:t>
      </w:r>
      <w:proofErr w:type="gramEnd"/>
      <w:r w:rsidRPr="00A33032">
        <w:rPr>
          <w:rFonts w:asciiTheme="minorHAnsi" w:hAnsiTheme="minorHAnsi" w:cs="Arial"/>
          <w:bCs/>
          <w:snapToGrid w:val="0"/>
          <w:szCs w:val="22"/>
          <w:lang w:val="en-AU"/>
        </w:rPr>
        <w:t xml:space="preserve"> at that time that accepted relativities and evidence supported a claim of non-inferiority of BIKTARVY to each of those therapies. </w:t>
      </w:r>
      <w:r w:rsidRPr="00A33032">
        <w:rPr>
          <w:rFonts w:asciiTheme="minorHAnsi" w:eastAsia="Calibri" w:hAnsiTheme="minorHAnsi" w:cstheme="minorHAnsi"/>
          <w:lang w:val="en-AU"/>
        </w:rPr>
        <w:t>Upon reconsideration, the PBAC accepted that its earlier conclusion in that regard was incorrect in that TRIZIVIR® (</w:t>
      </w:r>
      <w:proofErr w:type="spellStart"/>
      <w:r w:rsidRPr="00A33032">
        <w:rPr>
          <w:rFonts w:asciiTheme="minorHAnsi" w:eastAsia="Calibri" w:hAnsiTheme="minorHAnsi" w:cstheme="minorHAnsi"/>
          <w:lang w:val="en-AU"/>
        </w:rPr>
        <w:t>a</w:t>
      </w:r>
      <w:r w:rsidRPr="00A33032">
        <w:rPr>
          <w:rFonts w:asciiTheme="minorHAnsi" w:hAnsiTheme="minorHAnsi" w:cstheme="minorHAnsi"/>
          <w:snapToGrid w:val="0"/>
          <w:color w:val="000000"/>
          <w:lang w:val="en-AU"/>
        </w:rPr>
        <w:t>bacavir</w:t>
      </w:r>
      <w:proofErr w:type="spellEnd"/>
      <w:r w:rsidRPr="00A33032">
        <w:rPr>
          <w:rFonts w:asciiTheme="minorHAnsi" w:hAnsiTheme="minorHAnsi" w:cstheme="minorHAnsi"/>
          <w:snapToGrid w:val="0"/>
          <w:color w:val="000000"/>
          <w:lang w:val="en-AU"/>
        </w:rPr>
        <w:t>, lamivudine &amp; zidovudine)</w:t>
      </w:r>
      <w:r w:rsidRPr="00A33032">
        <w:rPr>
          <w:rFonts w:asciiTheme="minorHAnsi" w:eastAsia="Calibri" w:hAnsiTheme="minorHAnsi" w:cstheme="minorHAnsi"/>
          <w:lang w:val="en-AU"/>
        </w:rPr>
        <w:t xml:space="preserve"> has not been demonstrated to be non-inferior in terms of efficacy and toxicity to other FDC triple-therapies. In addition, the PBAC noted there is now considerable evidence that </w:t>
      </w:r>
      <w:proofErr w:type="spellStart"/>
      <w:r w:rsidRPr="00A33032">
        <w:rPr>
          <w:rFonts w:asciiTheme="minorHAnsi" w:eastAsia="Calibri" w:hAnsiTheme="minorHAnsi" w:cstheme="minorHAnsi"/>
          <w:lang w:val="en-AU"/>
        </w:rPr>
        <w:t>efavirenz</w:t>
      </w:r>
      <w:proofErr w:type="spellEnd"/>
      <w:r w:rsidRPr="00A33032">
        <w:rPr>
          <w:rFonts w:asciiTheme="minorHAnsi" w:eastAsia="Calibri" w:hAnsiTheme="minorHAnsi" w:cstheme="minorHAnsi"/>
          <w:lang w:val="en-AU"/>
        </w:rPr>
        <w:t xml:space="preserve"> (a component of </w:t>
      </w:r>
      <w:proofErr w:type="spellStart"/>
      <w:r w:rsidRPr="00A33032">
        <w:rPr>
          <w:rFonts w:asciiTheme="minorHAnsi" w:eastAsia="Calibri" w:hAnsiTheme="minorHAnsi" w:cstheme="minorHAnsi"/>
          <w:lang w:val="en-AU"/>
        </w:rPr>
        <w:t>Atripla</w:t>
      </w:r>
      <w:proofErr w:type="spellEnd"/>
      <w:r w:rsidRPr="00A33032">
        <w:rPr>
          <w:rFonts w:asciiTheme="minorHAnsi" w:eastAsia="Calibri" w:hAnsiTheme="minorHAnsi" w:cstheme="minorHAnsi"/>
          <w:lang w:val="en-AU"/>
        </w:rPr>
        <w:t xml:space="preserve">®) is associated with a range of moderate-to-severe central nervous system (CNS) adverse events including drowsiness, insomnia, nightmares, agitation, memory loss, hallucinations and other effects. The PBAC was therefore satisfied that therapies containing </w:t>
      </w:r>
      <w:proofErr w:type="spellStart"/>
      <w:r w:rsidRPr="00A33032">
        <w:rPr>
          <w:rFonts w:asciiTheme="minorHAnsi" w:eastAsia="Calibri" w:hAnsiTheme="minorHAnsi" w:cstheme="minorHAnsi"/>
          <w:lang w:val="en-AU"/>
        </w:rPr>
        <w:t>efavirenz</w:t>
      </w:r>
      <w:proofErr w:type="spellEnd"/>
      <w:r w:rsidRPr="00A33032">
        <w:rPr>
          <w:rFonts w:asciiTheme="minorHAnsi" w:eastAsia="Calibri" w:hAnsiTheme="minorHAnsi" w:cstheme="minorHAnsi"/>
          <w:lang w:val="en-AU"/>
        </w:rPr>
        <w:t xml:space="preserve"> are of inferior safety to non-</w:t>
      </w:r>
      <w:proofErr w:type="spellStart"/>
      <w:r w:rsidRPr="00A33032">
        <w:rPr>
          <w:rFonts w:asciiTheme="minorHAnsi" w:eastAsia="Calibri" w:hAnsiTheme="minorHAnsi" w:cstheme="minorHAnsi"/>
          <w:lang w:val="en-AU"/>
        </w:rPr>
        <w:t>efavirenz</w:t>
      </w:r>
      <w:proofErr w:type="spellEnd"/>
      <w:r w:rsidRPr="00A33032">
        <w:rPr>
          <w:rFonts w:asciiTheme="minorHAnsi" w:eastAsia="Calibri" w:hAnsiTheme="minorHAnsi" w:cstheme="minorHAnsi"/>
          <w:lang w:val="en-AU"/>
        </w:rPr>
        <w:t xml:space="preserve"> containing therapies for t</w:t>
      </w:r>
      <w:r w:rsidR="000316CC">
        <w:rPr>
          <w:rFonts w:asciiTheme="minorHAnsi" w:eastAsia="Calibri" w:hAnsiTheme="minorHAnsi" w:cstheme="minorHAnsi"/>
          <w:lang w:val="en-AU"/>
        </w:rPr>
        <w:t>he treatment of HIV infection.</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The PBAC considered the sponsor’s arguments that GENVOYA® and ODEFSEY® are the appropriate lowest cost comparators. However, the PBAC did not accept that, because TDF containing regimens could not be used in the sub-group of patients with renal impairment, these regimens could not be considered as potential alternative therapies for the remainder of the broader target population.</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As noted in paragraph 10.4 above, the PBAC agreed with the submission in the pre-PBAC Response that there is a subgroup of patients with renal impairment in whom TDF containing regimens should not be considered an alternative therapy to BIKARVY®. The PBAC considered that the alternative therapies to BIKARVY® in patients with renal impairm</w:t>
      </w:r>
      <w:r w:rsidR="000316CC">
        <w:rPr>
          <w:rFonts w:ascii="Calibri" w:eastAsia="Calibri" w:hAnsi="Calibri" w:cs="Calibri"/>
          <w:lang w:val="en-AU"/>
        </w:rPr>
        <w:t>ent are GENVOYA® and ODEFSEY®.</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lastRenderedPageBreak/>
        <w:t>However, the PBAC considered that the TDF containing regimens, STRIBILD® and EVIPLERA® are alternative therapies to BIKARVY® in patients who do not have renal impairment.</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The PBAC recalled that it had recommended GENVOYA® on a cost-minimisation basis with STRIBILD (GENVOYA®, November 2015 Public Summary Document). The PBAC further recalled that at the time it had recommended GENVOYA®, it had not been satisfied that GENVOYA® provided, for any group of patients, a significant improvement in patient compliance or efficacy, or a significant reduction in toxicity over alternative therapies. In particular, the PBAC considered there remained uncertainty that changes in surrogate outcomes of bone and renal safety over a 48-week study period were sufficient to support the claimed significant reduction in toxicity in some patients over a lifetime. The PBAC noted the sponsor had not made a further submission seeking to change the PBAC’s previously expressed view.</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Calibri" w:eastAsia="Calibri" w:hAnsi="Calibri" w:cs="Calibri"/>
          <w:lang w:val="en-AU"/>
        </w:rPr>
        <w:t>The PBAC further recalled that in July 2016 it had formed the view that ODEFSEY® is non inferior to EVIPLERA® in terms of effectiveness and safety (ODEFSEY® July 2016 Public Summary Document). The PBAC recalled that at the time, it had not been satisfied that ODEFSEY® provided, for any group of patients, a significant improvement in patient compliance or efficacy, or a significant reduction in toxicity, over alternative therapies. In particular, the PBAC considered there remained uncertainty that changes in surrogate outcomes of bone and renal safety over a 96-week study period were sufficient to support the claimed significant reduction in toxicity in some patients over a lifetime. The PBAC noted the sponsor had not made a further submission seeking to change the PBAC’s previously expressed view.</w:t>
      </w:r>
    </w:p>
    <w:p w:rsidR="00A33032" w:rsidRPr="00A33032" w:rsidRDefault="00A33032" w:rsidP="00A33032">
      <w:pPr>
        <w:widowControl w:val="0"/>
        <w:numPr>
          <w:ilvl w:val="1"/>
          <w:numId w:val="34"/>
        </w:numPr>
        <w:spacing w:after="160"/>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The PBAC agreed with the Pre-PBAC Response that the listing of BIKTARVY® would result in a net saving to the PBS, however the PBAC considered the utilisation estimates (</w:t>
      </w:r>
      <w:r w:rsidR="00AD1BA5">
        <w:rPr>
          <w:rFonts w:asciiTheme="minorHAnsi" w:hAnsiTheme="minorHAnsi" w:cs="Arial"/>
          <w:bCs/>
          <w:snapToGrid w:val="0"/>
          <w:szCs w:val="22"/>
          <w:lang w:val="en-AU"/>
        </w:rPr>
        <w:t xml:space="preserve">less than </w:t>
      </w:r>
      <w:r w:rsidRPr="00A33032">
        <w:rPr>
          <w:rFonts w:asciiTheme="minorHAnsi" w:hAnsiTheme="minorHAnsi" w:cs="Arial"/>
          <w:bCs/>
          <w:snapToGrid w:val="0"/>
          <w:szCs w:val="22"/>
          <w:lang w:val="en-AU"/>
        </w:rPr>
        <w:t>$</w:t>
      </w:r>
      <w:r w:rsidR="00AD1BA5">
        <w:rPr>
          <w:rFonts w:asciiTheme="minorHAnsi" w:hAnsiTheme="minorHAnsi" w:cs="Arial"/>
          <w:bCs/>
          <w:snapToGrid w:val="0"/>
          <w:szCs w:val="22"/>
          <w:lang w:val="en-AU"/>
        </w:rPr>
        <w:t>10 million</w:t>
      </w:r>
      <w:r w:rsidRPr="00A33032">
        <w:rPr>
          <w:rFonts w:asciiTheme="minorHAnsi" w:hAnsiTheme="minorHAnsi" w:cs="Arial"/>
          <w:bCs/>
          <w:snapToGrid w:val="0"/>
          <w:szCs w:val="22"/>
          <w:lang w:val="en-AU"/>
        </w:rPr>
        <w:t xml:space="preserve"> in Year 1 increasing to $</w:t>
      </w:r>
      <w:r w:rsidR="00AD1BA5">
        <w:rPr>
          <w:rFonts w:asciiTheme="minorHAnsi" w:hAnsiTheme="minorHAnsi" w:cs="Arial"/>
          <w:bCs/>
          <w:snapToGrid w:val="0"/>
          <w:szCs w:val="22"/>
          <w:lang w:val="en-AU"/>
        </w:rPr>
        <w:t>10 - $20 million</w:t>
      </w:r>
      <w:r w:rsidRPr="00A33032">
        <w:rPr>
          <w:rFonts w:asciiTheme="minorHAnsi" w:hAnsiTheme="minorHAnsi" w:cs="Arial"/>
          <w:bCs/>
          <w:snapToGrid w:val="0"/>
          <w:szCs w:val="22"/>
          <w:lang w:val="en-AU"/>
        </w:rPr>
        <w:t xml:space="preserve"> in Year 6) in the March 2018 submission to be uncertain as this would be expected to changed based on the relative replacement of DESCOVY® plus </w:t>
      </w:r>
      <w:proofErr w:type="spellStart"/>
      <w:r w:rsidRPr="00A33032">
        <w:rPr>
          <w:rFonts w:asciiTheme="minorHAnsi" w:hAnsiTheme="minorHAnsi" w:cs="Arial"/>
          <w:bCs/>
          <w:snapToGrid w:val="0"/>
          <w:szCs w:val="22"/>
          <w:lang w:val="en-AU"/>
        </w:rPr>
        <w:t>dolutegravir</w:t>
      </w:r>
      <w:proofErr w:type="spellEnd"/>
      <w:r w:rsidRPr="00A33032">
        <w:rPr>
          <w:rFonts w:asciiTheme="minorHAnsi" w:hAnsiTheme="minorHAnsi" w:cs="Arial"/>
          <w:bCs/>
          <w:snapToGrid w:val="0"/>
          <w:szCs w:val="22"/>
          <w:lang w:val="en-AU"/>
        </w:rPr>
        <w:t xml:space="preserve"> versus GENVOYA® and ODEFSEY® and whether other less expensive, but relevant, alternative therapies are replaced.</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Theme="minorHAnsi" w:hAnsiTheme="minorHAnsi" w:cs="Arial"/>
          <w:bCs/>
          <w:snapToGrid w:val="0"/>
          <w:szCs w:val="22"/>
          <w:lang w:val="en-AU"/>
        </w:rPr>
        <w:t>The PBAC reiterated that the restriction for BIKTARVY® should be consistent with that of GENVOYA® and ODEFSEY®, and that it should therefore include both treatment-experienced and treatment-na</w:t>
      </w:r>
      <w:r w:rsidR="000316CC">
        <w:rPr>
          <w:rFonts w:asciiTheme="minorHAnsi" w:hAnsiTheme="minorHAnsi" w:cs="Arial"/>
          <w:bCs/>
          <w:snapToGrid w:val="0"/>
          <w:szCs w:val="22"/>
          <w:lang w:val="en-AU"/>
        </w:rPr>
        <w:t>ïve patients.</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Theme="minorHAnsi" w:hAnsiTheme="minorHAnsi" w:cs="Arial"/>
          <w:bCs/>
          <w:snapToGrid w:val="0"/>
          <w:szCs w:val="22"/>
          <w:lang w:val="en-AU"/>
        </w:rPr>
        <w:t>The PBAC advised that BFTAF should not be treated as interchangeable on an individ</w:t>
      </w:r>
      <w:r w:rsidR="000316CC">
        <w:rPr>
          <w:rFonts w:asciiTheme="minorHAnsi" w:hAnsiTheme="minorHAnsi" w:cs="Arial"/>
          <w:bCs/>
          <w:snapToGrid w:val="0"/>
          <w:szCs w:val="22"/>
          <w:lang w:val="en-AU"/>
        </w:rPr>
        <w:t>ual basis with any other drugs.</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Theme="minorHAnsi" w:hAnsiTheme="minorHAnsi" w:cs="Arial"/>
          <w:bCs/>
          <w:snapToGrid w:val="0"/>
          <w:szCs w:val="22"/>
          <w:lang w:val="en-AU"/>
        </w:rPr>
        <w:t xml:space="preserve">The PBAC advised that BFTAF is not suitable for prescribing by nurse practitioners. </w:t>
      </w:r>
    </w:p>
    <w:p w:rsidR="00A33032" w:rsidRPr="00A33032" w:rsidRDefault="00A33032" w:rsidP="00A33032">
      <w:pPr>
        <w:widowControl w:val="0"/>
        <w:numPr>
          <w:ilvl w:val="1"/>
          <w:numId w:val="34"/>
        </w:numPr>
        <w:spacing w:after="160"/>
        <w:jc w:val="both"/>
        <w:rPr>
          <w:rFonts w:asciiTheme="minorHAnsi" w:hAnsiTheme="minorHAnsi" w:cs="Arial"/>
          <w:bCs/>
          <w:snapToGrid w:val="0"/>
          <w:szCs w:val="22"/>
          <w:lang w:val="en-AU"/>
        </w:rPr>
      </w:pPr>
      <w:r w:rsidRPr="00A33032">
        <w:rPr>
          <w:rFonts w:asciiTheme="minorHAnsi" w:hAnsiTheme="minorHAnsi" w:cs="Arial"/>
          <w:bCs/>
          <w:snapToGrid w:val="0"/>
          <w:szCs w:val="22"/>
          <w:lang w:val="en-AU"/>
        </w:rPr>
        <w:t>The PBAC recommended that the Early Supply Rule should apply to BFTAF, as recommended for all HIV treatments at the November 2015 meeting.</w:t>
      </w:r>
    </w:p>
    <w:p w:rsidR="00A33032" w:rsidRPr="00A33032" w:rsidRDefault="00A33032" w:rsidP="00A33032">
      <w:pPr>
        <w:widowControl w:val="0"/>
        <w:numPr>
          <w:ilvl w:val="1"/>
          <w:numId w:val="34"/>
        </w:numPr>
        <w:spacing w:after="160"/>
        <w:jc w:val="both"/>
        <w:rPr>
          <w:rFonts w:ascii="Calibri" w:eastAsia="Calibri" w:hAnsi="Calibri" w:cs="Calibri"/>
          <w:lang w:val="en-AU"/>
        </w:rPr>
      </w:pPr>
      <w:r w:rsidRPr="00A33032">
        <w:rPr>
          <w:rFonts w:asciiTheme="minorHAnsi" w:hAnsiTheme="minorHAnsi" w:cs="Arial"/>
          <w:bCs/>
          <w:snapToGrid w:val="0"/>
          <w:szCs w:val="22"/>
          <w:lang w:val="en-AU"/>
        </w:rPr>
        <w:t xml:space="preserve">The PBAC noted that this submission is not eligible for an Independent Review as it </w:t>
      </w:r>
      <w:r w:rsidRPr="00A33032">
        <w:rPr>
          <w:rFonts w:asciiTheme="minorHAnsi" w:hAnsiTheme="minorHAnsi" w:cs="Arial"/>
          <w:bCs/>
          <w:snapToGrid w:val="0"/>
          <w:szCs w:val="22"/>
          <w:lang w:val="en-AU"/>
        </w:rPr>
        <w:lastRenderedPageBreak/>
        <w:t>received a positive recommendation.</w:t>
      </w:r>
    </w:p>
    <w:p w:rsidR="00A33032" w:rsidRPr="00A33032" w:rsidRDefault="00A33032" w:rsidP="00B35569">
      <w:pPr>
        <w:spacing w:after="120"/>
        <w:outlineLvl w:val="1"/>
        <w:rPr>
          <w:rFonts w:ascii="Calibri" w:eastAsia="Calibri" w:hAnsi="Calibri" w:cs="Calibri"/>
          <w:lang w:val="en-AU"/>
        </w:rPr>
      </w:pPr>
      <w:r w:rsidRPr="00A33032">
        <w:rPr>
          <w:rFonts w:asciiTheme="minorHAnsi" w:hAnsiTheme="minorHAnsi"/>
          <w:b/>
          <w:bCs/>
          <w:lang w:val="en-AU"/>
        </w:rPr>
        <w:t>Outcome</w:t>
      </w:r>
      <w:proofErr w:type="gramStart"/>
      <w:r w:rsidRPr="00A33032">
        <w:rPr>
          <w:rFonts w:asciiTheme="minorHAnsi" w:hAnsiTheme="minorHAnsi"/>
          <w:b/>
          <w:bCs/>
          <w:lang w:val="en-AU"/>
        </w:rPr>
        <w:t>:</w:t>
      </w:r>
      <w:proofErr w:type="gramEnd"/>
      <w:r w:rsidRPr="00A33032">
        <w:rPr>
          <w:rFonts w:asciiTheme="minorHAnsi" w:hAnsiTheme="minorHAnsi"/>
          <w:b/>
          <w:bCs/>
          <w:lang w:val="en-AU"/>
        </w:rPr>
        <w:br/>
      </w:r>
      <w:r w:rsidRPr="00A33032">
        <w:rPr>
          <w:rFonts w:asciiTheme="minorHAnsi" w:hAnsiTheme="minorHAnsi"/>
          <w:bCs/>
          <w:lang w:val="en-AU"/>
        </w:rPr>
        <w:t>Recommended</w:t>
      </w:r>
    </w:p>
    <w:p w:rsidR="00A33032" w:rsidRPr="00A33032" w:rsidRDefault="00A33032" w:rsidP="00B35569">
      <w:pPr>
        <w:widowControl w:val="0"/>
        <w:numPr>
          <w:ilvl w:val="0"/>
          <w:numId w:val="34"/>
        </w:numPr>
        <w:spacing w:before="240" w:after="120"/>
        <w:jc w:val="both"/>
        <w:outlineLvl w:val="0"/>
        <w:rPr>
          <w:rFonts w:ascii="Calibri" w:hAnsi="Calibri" w:cs="Arial"/>
          <w:b/>
          <w:snapToGrid w:val="0"/>
          <w:sz w:val="32"/>
          <w:szCs w:val="22"/>
          <w:lang w:val="en-AU"/>
        </w:rPr>
      </w:pPr>
      <w:r w:rsidRPr="00A33032">
        <w:rPr>
          <w:rFonts w:ascii="Calibri" w:hAnsi="Calibri" w:cs="Arial"/>
          <w:b/>
          <w:snapToGrid w:val="0"/>
          <w:sz w:val="32"/>
          <w:szCs w:val="22"/>
          <w:lang w:val="en-AU"/>
        </w:rPr>
        <w:t>Recommended listing</w:t>
      </w:r>
    </w:p>
    <w:p w:rsidR="00A33032" w:rsidRPr="00A33032" w:rsidRDefault="00A33032" w:rsidP="00A33032">
      <w:pPr>
        <w:jc w:val="both"/>
        <w:rPr>
          <w:rFonts w:asciiTheme="minorHAnsi" w:hAnsiTheme="minorHAnsi" w:cs="Arial"/>
          <w:bCs/>
          <w:snapToGrid w:val="0"/>
          <w:lang w:val="en-AU"/>
        </w:rPr>
      </w:pPr>
      <w:r w:rsidRPr="00A33032">
        <w:rPr>
          <w:rFonts w:asciiTheme="minorHAnsi" w:hAnsiTheme="minorHAnsi" w:cs="Arial"/>
          <w:bCs/>
          <w:snapToGrid w:val="0"/>
          <w:lang w:val="en-AU"/>
        </w:rPr>
        <w:t>Add new item:</w:t>
      </w:r>
    </w:p>
    <w:p w:rsidR="00A33032" w:rsidRPr="00A33032" w:rsidRDefault="00A33032" w:rsidP="00A33032">
      <w:pPr>
        <w:jc w:val="both"/>
        <w:rPr>
          <w:rFonts w:asciiTheme="minorHAnsi" w:hAnsiTheme="minorHAnsi" w:cs="Arial"/>
          <w:bCs/>
          <w:snapToGrid w:val="0"/>
          <w:lang w:val="en-AU"/>
        </w:rPr>
      </w:pPr>
    </w:p>
    <w:tbl>
      <w:tblPr>
        <w:tblW w:w="4984" w:type="pct"/>
        <w:tblInd w:w="28" w:type="dxa"/>
        <w:tblCellMar>
          <w:left w:w="28" w:type="dxa"/>
          <w:right w:w="28" w:type="dxa"/>
        </w:tblCellMar>
        <w:tblLook w:val="0000" w:firstRow="0" w:lastRow="0" w:firstColumn="0" w:lastColumn="0" w:noHBand="0" w:noVBand="0"/>
      </w:tblPr>
      <w:tblGrid>
        <w:gridCol w:w="1999"/>
        <w:gridCol w:w="2111"/>
        <w:gridCol w:w="853"/>
        <w:gridCol w:w="440"/>
        <w:gridCol w:w="3651"/>
      </w:tblGrid>
      <w:tr w:rsidR="00A33032" w:rsidRPr="00A33032" w:rsidTr="00680088">
        <w:trPr>
          <w:cantSplit/>
          <w:trHeight w:val="463"/>
        </w:trPr>
        <w:tc>
          <w:tcPr>
            <w:tcW w:w="2270" w:type="pct"/>
            <w:gridSpan w:val="2"/>
            <w:tcBorders>
              <w:top w:val="single" w:sz="4" w:space="0" w:color="auto"/>
              <w:bottom w:val="single" w:sz="4" w:space="0" w:color="auto"/>
            </w:tcBorders>
            <w:vAlign w:val="center"/>
          </w:tcPr>
          <w:p w:rsidR="00A33032" w:rsidRPr="00A33032" w:rsidRDefault="00A33032" w:rsidP="00A33032">
            <w:pPr>
              <w:keepNext/>
              <w:rPr>
                <w:rFonts w:ascii="Arial Narrow" w:hAnsi="Arial Narrow"/>
                <w:b/>
                <w:sz w:val="20"/>
                <w:lang w:val="en-AU"/>
              </w:rPr>
            </w:pPr>
            <w:r w:rsidRPr="00A33032">
              <w:rPr>
                <w:rFonts w:ascii="Arial Narrow" w:hAnsi="Arial Narrow"/>
                <w:b/>
                <w:sz w:val="20"/>
                <w:lang w:val="en-AU"/>
              </w:rPr>
              <w:t>Name, Restriction,</w:t>
            </w:r>
          </w:p>
          <w:p w:rsidR="00A33032" w:rsidRPr="00A33032" w:rsidRDefault="00A33032" w:rsidP="00A33032">
            <w:pPr>
              <w:keepNext/>
              <w:rPr>
                <w:rFonts w:ascii="Arial Narrow" w:hAnsi="Arial Narrow"/>
                <w:b/>
                <w:sz w:val="20"/>
                <w:lang w:val="en-AU"/>
              </w:rPr>
            </w:pPr>
            <w:r w:rsidRPr="00A33032">
              <w:rPr>
                <w:rFonts w:ascii="Arial Narrow" w:hAnsi="Arial Narrow"/>
                <w:b/>
                <w:sz w:val="20"/>
                <w:lang w:val="en-AU"/>
              </w:rPr>
              <w:t>Manner of administration and form</w:t>
            </w:r>
          </w:p>
        </w:tc>
        <w:tc>
          <w:tcPr>
            <w:tcW w:w="471" w:type="pct"/>
            <w:tcBorders>
              <w:top w:val="single" w:sz="4" w:space="0" w:color="auto"/>
              <w:bottom w:val="single" w:sz="4" w:space="0" w:color="auto"/>
            </w:tcBorders>
            <w:vAlign w:val="center"/>
          </w:tcPr>
          <w:p w:rsidR="00A33032" w:rsidRPr="00A33032" w:rsidRDefault="00A33032" w:rsidP="00A33032">
            <w:pPr>
              <w:keepNext/>
              <w:jc w:val="center"/>
              <w:rPr>
                <w:rFonts w:ascii="Arial Narrow" w:hAnsi="Arial Narrow"/>
                <w:b/>
                <w:sz w:val="20"/>
                <w:lang w:val="en-AU"/>
              </w:rPr>
            </w:pPr>
            <w:r w:rsidRPr="00A33032">
              <w:rPr>
                <w:rFonts w:ascii="Arial Narrow" w:hAnsi="Arial Narrow"/>
                <w:b/>
                <w:sz w:val="20"/>
                <w:lang w:val="en-AU"/>
              </w:rPr>
              <w:t>Max.</w:t>
            </w:r>
          </w:p>
          <w:p w:rsidR="00A33032" w:rsidRPr="00A33032" w:rsidRDefault="00A33032" w:rsidP="00A33032">
            <w:pPr>
              <w:keepNext/>
              <w:jc w:val="center"/>
              <w:rPr>
                <w:rFonts w:ascii="Arial Narrow" w:hAnsi="Arial Narrow"/>
                <w:b/>
                <w:sz w:val="20"/>
                <w:lang w:val="en-AU"/>
              </w:rPr>
            </w:pPr>
            <w:r w:rsidRPr="00A33032">
              <w:rPr>
                <w:rFonts w:ascii="Arial Narrow" w:hAnsi="Arial Narrow"/>
                <w:b/>
                <w:sz w:val="20"/>
                <w:lang w:val="en-AU"/>
              </w:rPr>
              <w:t>Qty</w:t>
            </w:r>
          </w:p>
        </w:tc>
        <w:tc>
          <w:tcPr>
            <w:tcW w:w="243" w:type="pct"/>
            <w:tcBorders>
              <w:top w:val="single" w:sz="4" w:space="0" w:color="auto"/>
              <w:bottom w:val="single" w:sz="4" w:space="0" w:color="auto"/>
            </w:tcBorders>
            <w:vAlign w:val="center"/>
          </w:tcPr>
          <w:p w:rsidR="00A33032" w:rsidRPr="00A33032" w:rsidRDefault="00A33032" w:rsidP="00A33032">
            <w:pPr>
              <w:keepNext/>
              <w:jc w:val="center"/>
              <w:rPr>
                <w:rFonts w:ascii="Arial Narrow" w:hAnsi="Arial Narrow"/>
                <w:b/>
                <w:sz w:val="20"/>
                <w:lang w:val="en-AU"/>
              </w:rPr>
            </w:pPr>
            <w:r w:rsidRPr="00A33032">
              <w:rPr>
                <w:rFonts w:ascii="Arial Narrow" w:hAnsi="Arial Narrow"/>
                <w:b/>
                <w:sz w:val="20"/>
                <w:lang w:val="en-AU"/>
              </w:rPr>
              <w:t>№.of</w:t>
            </w:r>
          </w:p>
          <w:p w:rsidR="00A33032" w:rsidRPr="00A33032" w:rsidRDefault="00A33032" w:rsidP="00A33032">
            <w:pPr>
              <w:keepNext/>
              <w:jc w:val="center"/>
              <w:rPr>
                <w:rFonts w:ascii="Arial Narrow" w:hAnsi="Arial Narrow"/>
                <w:b/>
                <w:sz w:val="20"/>
                <w:lang w:val="en-AU"/>
              </w:rPr>
            </w:pPr>
            <w:r w:rsidRPr="00A33032">
              <w:rPr>
                <w:rFonts w:ascii="Arial Narrow" w:hAnsi="Arial Narrow"/>
                <w:b/>
                <w:sz w:val="20"/>
                <w:lang w:val="en-AU"/>
              </w:rPr>
              <w:t>Rpts</w:t>
            </w:r>
          </w:p>
        </w:tc>
        <w:tc>
          <w:tcPr>
            <w:tcW w:w="2016" w:type="pct"/>
            <w:tcBorders>
              <w:top w:val="single" w:sz="4" w:space="0" w:color="auto"/>
              <w:bottom w:val="single" w:sz="4" w:space="0" w:color="auto"/>
            </w:tcBorders>
            <w:vAlign w:val="center"/>
          </w:tcPr>
          <w:p w:rsidR="00A33032" w:rsidRPr="00A33032" w:rsidRDefault="00A33032" w:rsidP="00A33032">
            <w:pPr>
              <w:keepNext/>
              <w:jc w:val="center"/>
              <w:rPr>
                <w:rFonts w:ascii="Arial Narrow" w:hAnsi="Arial Narrow"/>
                <w:b/>
                <w:sz w:val="20"/>
                <w:lang w:val="en-AU"/>
              </w:rPr>
            </w:pPr>
            <w:r w:rsidRPr="00A33032">
              <w:rPr>
                <w:rFonts w:ascii="Arial Narrow" w:hAnsi="Arial Narrow"/>
                <w:b/>
                <w:sz w:val="20"/>
                <w:lang w:val="en-AU"/>
              </w:rPr>
              <w:t>Proprietary Name and Manufacturer</w:t>
            </w:r>
          </w:p>
        </w:tc>
      </w:tr>
      <w:tr w:rsidR="00A33032" w:rsidRPr="00A33032" w:rsidTr="00680088">
        <w:trPr>
          <w:cantSplit/>
          <w:trHeight w:val="567"/>
        </w:trPr>
        <w:tc>
          <w:tcPr>
            <w:tcW w:w="2270" w:type="pct"/>
            <w:gridSpan w:val="2"/>
            <w:vAlign w:val="center"/>
          </w:tcPr>
          <w:p w:rsidR="00A33032" w:rsidRPr="00A33032" w:rsidRDefault="00A33032" w:rsidP="00A33032">
            <w:pPr>
              <w:keepNext/>
              <w:rPr>
                <w:rFonts w:ascii="Arial Narrow" w:hAnsi="Arial Narrow"/>
                <w:smallCaps/>
                <w:sz w:val="20"/>
                <w:lang w:val="en-AU"/>
              </w:rPr>
            </w:pPr>
            <w:proofErr w:type="spellStart"/>
            <w:r w:rsidRPr="00A33032">
              <w:rPr>
                <w:rFonts w:ascii="Arial Narrow" w:hAnsi="Arial Narrow"/>
                <w:smallCaps/>
                <w:sz w:val="20"/>
                <w:lang w:val="en-AU"/>
              </w:rPr>
              <w:t>Bictegravir+emtricitabine+tenofovir</w:t>
            </w:r>
            <w:proofErr w:type="spellEnd"/>
            <w:r w:rsidRPr="00A33032">
              <w:rPr>
                <w:rFonts w:ascii="Arial Narrow" w:hAnsi="Arial Narrow"/>
                <w:smallCaps/>
                <w:sz w:val="20"/>
                <w:lang w:val="en-AU"/>
              </w:rPr>
              <w:t xml:space="preserve"> </w:t>
            </w:r>
            <w:proofErr w:type="spellStart"/>
            <w:r w:rsidRPr="00A33032">
              <w:rPr>
                <w:rFonts w:ascii="Arial Narrow" w:hAnsi="Arial Narrow"/>
                <w:smallCaps/>
                <w:sz w:val="20"/>
                <w:lang w:val="en-AU"/>
              </w:rPr>
              <w:t>alafenamide</w:t>
            </w:r>
            <w:proofErr w:type="spellEnd"/>
          </w:p>
          <w:p w:rsidR="00A33032" w:rsidRPr="00A33032" w:rsidRDefault="00A33032" w:rsidP="00A33032">
            <w:pPr>
              <w:keepNext/>
              <w:rPr>
                <w:rFonts w:ascii="Arial Narrow" w:hAnsi="Arial Narrow"/>
                <w:smallCaps/>
                <w:sz w:val="20"/>
                <w:lang w:val="en-AU"/>
              </w:rPr>
            </w:pPr>
            <w:r w:rsidRPr="00A33032">
              <w:rPr>
                <w:rFonts w:ascii="Arial Narrow" w:hAnsi="Arial Narrow"/>
                <w:smallCaps/>
                <w:sz w:val="20"/>
                <w:lang w:val="en-AU"/>
              </w:rPr>
              <w:t>50mg+200mg+25mg, tablet.</w:t>
            </w:r>
          </w:p>
          <w:p w:rsidR="00A33032" w:rsidRPr="00A33032" w:rsidRDefault="00A33032" w:rsidP="00A33032">
            <w:pPr>
              <w:keepNext/>
              <w:rPr>
                <w:rFonts w:ascii="Arial Narrow" w:hAnsi="Arial Narrow"/>
                <w:sz w:val="20"/>
                <w:lang w:val="en-AU"/>
              </w:rPr>
            </w:pPr>
          </w:p>
        </w:tc>
        <w:tc>
          <w:tcPr>
            <w:tcW w:w="471" w:type="pct"/>
            <w:vAlign w:val="center"/>
          </w:tcPr>
          <w:p w:rsidR="00A33032" w:rsidRPr="00A33032" w:rsidRDefault="00A33032" w:rsidP="00A33032">
            <w:pPr>
              <w:keepNext/>
              <w:jc w:val="center"/>
              <w:rPr>
                <w:rFonts w:ascii="Arial Narrow" w:hAnsi="Arial Narrow"/>
                <w:sz w:val="20"/>
                <w:szCs w:val="20"/>
                <w:lang w:val="en-AU"/>
              </w:rPr>
            </w:pPr>
            <w:r w:rsidRPr="00A33032">
              <w:rPr>
                <w:rFonts w:ascii="Arial Narrow" w:hAnsi="Arial Narrow"/>
                <w:sz w:val="20"/>
                <w:szCs w:val="20"/>
                <w:lang w:val="en-AU"/>
              </w:rPr>
              <w:t>2</w:t>
            </w:r>
          </w:p>
        </w:tc>
        <w:tc>
          <w:tcPr>
            <w:tcW w:w="243" w:type="pct"/>
            <w:vAlign w:val="center"/>
          </w:tcPr>
          <w:p w:rsidR="00A33032" w:rsidRPr="00A33032" w:rsidRDefault="00A33032" w:rsidP="00A33032">
            <w:pPr>
              <w:keepNext/>
              <w:jc w:val="center"/>
              <w:rPr>
                <w:rFonts w:ascii="Arial Narrow" w:hAnsi="Arial Narrow"/>
                <w:sz w:val="20"/>
                <w:szCs w:val="20"/>
                <w:lang w:val="en-AU"/>
              </w:rPr>
            </w:pPr>
            <w:r w:rsidRPr="00A33032">
              <w:rPr>
                <w:rFonts w:ascii="Arial Narrow" w:hAnsi="Arial Narrow"/>
                <w:sz w:val="20"/>
                <w:szCs w:val="20"/>
                <w:lang w:val="en-AU"/>
              </w:rPr>
              <w:t>5</w:t>
            </w:r>
          </w:p>
        </w:tc>
        <w:tc>
          <w:tcPr>
            <w:tcW w:w="2016" w:type="pct"/>
            <w:vAlign w:val="center"/>
          </w:tcPr>
          <w:p w:rsidR="00A33032" w:rsidRPr="00A33032" w:rsidRDefault="00A33032" w:rsidP="00A33032">
            <w:pPr>
              <w:keepNext/>
              <w:jc w:val="center"/>
              <w:rPr>
                <w:rFonts w:ascii="Arial Narrow" w:hAnsi="Arial Narrow"/>
                <w:sz w:val="20"/>
                <w:szCs w:val="20"/>
                <w:lang w:val="en-AU"/>
              </w:rPr>
            </w:pPr>
            <w:r w:rsidRPr="00A33032">
              <w:rPr>
                <w:rFonts w:ascii="Arial Narrow" w:hAnsi="Arial Narrow"/>
                <w:sz w:val="20"/>
                <w:szCs w:val="20"/>
                <w:lang w:val="en-AU"/>
              </w:rPr>
              <w:t>BIKTARVY®</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b/>
                <w:sz w:val="20"/>
                <w:szCs w:val="22"/>
                <w:lang w:val="en-AU" w:eastAsia="en-AU"/>
              </w:rPr>
            </w:pPr>
            <w:r w:rsidRPr="00A33032">
              <w:rPr>
                <w:rFonts w:ascii="Arial Narrow" w:hAnsi="Arial Narrow"/>
                <w:b/>
                <w:sz w:val="20"/>
                <w:szCs w:val="22"/>
                <w:lang w:val="en-AU" w:eastAsia="en-AU"/>
              </w:rPr>
              <w:t>Category/Program:</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sz w:val="20"/>
                <w:szCs w:val="22"/>
                <w:lang w:val="en-AU" w:eastAsia="en-AU"/>
              </w:rPr>
              <w:t>Section 100 Community Access</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Condition:</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sz w:val="20"/>
                <w:szCs w:val="22"/>
                <w:lang w:val="en-AU"/>
              </w:rPr>
              <w:t>HIV infection</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PBS Indication:</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sz w:val="20"/>
                <w:szCs w:val="22"/>
                <w:lang w:val="en-AU"/>
              </w:rPr>
              <w:t>HIV infection</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Treatment phase:</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sz w:val="20"/>
                <w:szCs w:val="22"/>
                <w:lang w:val="en-AU"/>
              </w:rPr>
              <w:t>Initial</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b/>
                <w:sz w:val="20"/>
                <w:szCs w:val="22"/>
                <w:lang w:val="en-AU"/>
              </w:rPr>
            </w:pPr>
            <w:r w:rsidRPr="00A33032">
              <w:rPr>
                <w:rFonts w:ascii="Arial Narrow" w:hAnsi="Arial Narrow"/>
                <w:b/>
                <w:sz w:val="20"/>
                <w:szCs w:val="22"/>
                <w:lang w:val="en-AU"/>
              </w:rPr>
              <w:t>Restriction:</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1"/>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Restricted benefit</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In Writing</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3"/>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Telephone</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Emergency</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5"/>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Electronic</w:t>
            </w:r>
          </w:p>
          <w:p w:rsidR="00A33032" w:rsidRPr="00A33032" w:rsidRDefault="00A33032" w:rsidP="00A33032">
            <w:pPr>
              <w:keepNext/>
              <w:rPr>
                <w:rFonts w:ascii="Arial Narrow" w:hAnsi="Arial Narrow"/>
                <w:sz w:val="20"/>
                <w:szCs w:val="22"/>
                <w:lang w:val="en-AU" w:eastAsia="en-AU"/>
              </w:rPr>
            </w:pPr>
            <w:r w:rsidRPr="00A33032">
              <w:rPr>
                <w:rFonts w:ascii="Arial Narrow" w:hAnsi="Arial Narrow"/>
                <w:sz w:val="20"/>
                <w:szCs w:val="22"/>
                <w:lang w:val="en-AU"/>
              </w:rPr>
              <w:fldChar w:fldCharType="begin">
                <w:ffData>
                  <w:name w:val="Check5"/>
                  <w:enabled/>
                  <w:calcOnExit w:val="0"/>
                  <w:checkBox>
                    <w:size w:val="20"/>
                    <w:default w:val="1"/>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Streamlined</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Clinical criteria:</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color w:val="000000"/>
                <w:sz w:val="20"/>
                <w:lang w:val="en-AU" w:eastAsia="en-AU"/>
              </w:rPr>
            </w:pPr>
            <w:r w:rsidRPr="00A33032">
              <w:rPr>
                <w:rFonts w:ascii="Arial Narrow" w:hAnsi="Arial Narrow" w:cs="Arial"/>
                <w:sz w:val="20"/>
                <w:szCs w:val="22"/>
                <w:lang w:val="en-AU"/>
              </w:rPr>
              <w:t>Patient must be antiretroviral treatment naïve.</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hideMark/>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Treatment phase:</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color w:val="000000"/>
                <w:sz w:val="20"/>
                <w:lang w:val="en-AU" w:eastAsia="en-AU"/>
              </w:rPr>
            </w:pPr>
            <w:r w:rsidRPr="00A33032">
              <w:rPr>
                <w:rFonts w:ascii="Arial Narrow" w:hAnsi="Arial Narrow"/>
                <w:sz w:val="20"/>
                <w:szCs w:val="22"/>
                <w:lang w:val="en-AU"/>
              </w:rPr>
              <w:t>Continuing</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Restriction</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1"/>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Restricted benefit</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In Writing</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3"/>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Telephone</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Emergency</w:t>
            </w:r>
          </w:p>
          <w:p w:rsidR="00A33032" w:rsidRPr="00A33032" w:rsidRDefault="00A33032" w:rsidP="00A33032">
            <w:pPr>
              <w:keepNext/>
              <w:rPr>
                <w:rFonts w:ascii="Arial Narrow" w:hAnsi="Arial Narrow"/>
                <w:sz w:val="20"/>
                <w:szCs w:val="22"/>
                <w:lang w:val="en-AU"/>
              </w:rPr>
            </w:pPr>
            <w:r w:rsidRPr="00A33032">
              <w:rPr>
                <w:rFonts w:ascii="Arial Narrow" w:hAnsi="Arial Narrow"/>
                <w:sz w:val="20"/>
                <w:szCs w:val="22"/>
                <w:lang w:val="en-AU"/>
              </w:rPr>
              <w:fldChar w:fldCharType="begin">
                <w:ffData>
                  <w:name w:val="Check5"/>
                  <w:enabled/>
                  <w:calcOnExit w:val="0"/>
                  <w:checkBox>
                    <w:sizeAuto/>
                    <w:default w:val="0"/>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Authority Required - Electronic</w:t>
            </w:r>
          </w:p>
          <w:p w:rsidR="00A33032" w:rsidRPr="00A33032" w:rsidRDefault="00A33032" w:rsidP="00A33032">
            <w:pPr>
              <w:keepNext/>
              <w:rPr>
                <w:rFonts w:ascii="Arial Narrow" w:hAnsi="Arial Narrow"/>
                <w:color w:val="000000"/>
                <w:sz w:val="20"/>
                <w:lang w:val="en-AU" w:eastAsia="en-AU"/>
              </w:rPr>
            </w:pPr>
            <w:r w:rsidRPr="00A33032">
              <w:rPr>
                <w:rFonts w:ascii="Arial Narrow" w:hAnsi="Arial Narrow"/>
                <w:sz w:val="20"/>
                <w:szCs w:val="22"/>
                <w:lang w:val="en-AU"/>
              </w:rPr>
              <w:fldChar w:fldCharType="begin">
                <w:ffData>
                  <w:name w:val="Check5"/>
                  <w:enabled/>
                  <w:calcOnExit w:val="0"/>
                  <w:checkBox>
                    <w:size w:val="20"/>
                    <w:default w:val="1"/>
                  </w:checkBox>
                </w:ffData>
              </w:fldChar>
            </w:r>
            <w:r w:rsidRPr="00A33032">
              <w:rPr>
                <w:rFonts w:ascii="Arial Narrow" w:hAnsi="Arial Narrow"/>
                <w:sz w:val="20"/>
                <w:szCs w:val="22"/>
                <w:lang w:val="en-AU"/>
              </w:rPr>
              <w:instrText xml:space="preserve"> FORMCHECKBOX </w:instrText>
            </w:r>
            <w:r w:rsidR="005072E0">
              <w:rPr>
                <w:rFonts w:ascii="Arial Narrow" w:hAnsi="Arial Narrow"/>
                <w:sz w:val="20"/>
                <w:szCs w:val="22"/>
                <w:lang w:val="en-AU"/>
              </w:rPr>
            </w:r>
            <w:r w:rsidR="005072E0">
              <w:rPr>
                <w:rFonts w:ascii="Arial Narrow" w:hAnsi="Arial Narrow"/>
                <w:sz w:val="20"/>
                <w:szCs w:val="22"/>
                <w:lang w:val="en-AU"/>
              </w:rPr>
              <w:fldChar w:fldCharType="separate"/>
            </w:r>
            <w:r w:rsidRPr="00A33032">
              <w:rPr>
                <w:rFonts w:ascii="Arial Narrow" w:hAnsi="Arial Narrow"/>
                <w:sz w:val="20"/>
                <w:szCs w:val="22"/>
                <w:lang w:val="en-AU"/>
              </w:rPr>
              <w:fldChar w:fldCharType="end"/>
            </w:r>
            <w:r w:rsidRPr="00A33032">
              <w:rPr>
                <w:rFonts w:ascii="Arial Narrow" w:hAnsi="Arial Narrow"/>
                <w:sz w:val="20"/>
                <w:szCs w:val="22"/>
                <w:lang w:val="en-AU"/>
              </w:rPr>
              <w:t>Streamlined</w:t>
            </w:r>
          </w:p>
        </w:tc>
      </w:tr>
      <w:tr w:rsidR="00A33032" w:rsidRPr="00A33032" w:rsidTr="00680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04" w:type="pct"/>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sz w:val="20"/>
                <w:szCs w:val="22"/>
                <w:lang w:val="en-AU" w:eastAsia="en-AU"/>
              </w:rPr>
            </w:pPr>
            <w:r w:rsidRPr="00A33032">
              <w:rPr>
                <w:rFonts w:ascii="Arial Narrow" w:hAnsi="Arial Narrow"/>
                <w:b/>
                <w:sz w:val="20"/>
                <w:szCs w:val="22"/>
                <w:lang w:val="en-AU"/>
              </w:rPr>
              <w:t xml:space="preserve">Clinical criteria </w:t>
            </w:r>
          </w:p>
        </w:tc>
        <w:tc>
          <w:tcPr>
            <w:tcW w:w="3896" w:type="pct"/>
            <w:gridSpan w:val="4"/>
            <w:tcBorders>
              <w:top w:val="single" w:sz="4" w:space="0" w:color="auto"/>
              <w:left w:val="single" w:sz="4" w:space="0" w:color="auto"/>
              <w:bottom w:val="single" w:sz="4" w:space="0" w:color="auto"/>
              <w:right w:val="single" w:sz="4" w:space="0" w:color="auto"/>
            </w:tcBorders>
          </w:tcPr>
          <w:p w:rsidR="00A33032" w:rsidRPr="00A33032" w:rsidRDefault="00A33032" w:rsidP="00A33032">
            <w:pPr>
              <w:keepNext/>
              <w:rPr>
                <w:rFonts w:ascii="Arial Narrow" w:hAnsi="Arial Narrow"/>
                <w:color w:val="000000"/>
                <w:sz w:val="20"/>
                <w:lang w:val="en-AU" w:eastAsia="en-AU"/>
              </w:rPr>
            </w:pPr>
            <w:r w:rsidRPr="00A33032">
              <w:rPr>
                <w:rFonts w:ascii="Arial Narrow" w:hAnsi="Arial Narrow"/>
                <w:sz w:val="20"/>
                <w:szCs w:val="22"/>
                <w:lang w:val="en-AU"/>
              </w:rPr>
              <w:t xml:space="preserve">Patient must have previously received PBS-subsidised therapy for HIV infection. </w:t>
            </w:r>
          </w:p>
        </w:tc>
      </w:tr>
    </w:tbl>
    <w:p w:rsidR="009449A9" w:rsidRDefault="009449A9" w:rsidP="009449A9">
      <w:pPr>
        <w:widowControl w:val="0"/>
        <w:numPr>
          <w:ilvl w:val="0"/>
          <w:numId w:val="34"/>
        </w:numPr>
        <w:spacing w:before="240" w:after="120"/>
        <w:jc w:val="both"/>
        <w:outlineLvl w:val="0"/>
        <w:rPr>
          <w:rFonts w:ascii="Calibri" w:hAnsi="Calibri" w:cs="Arial"/>
          <w:b/>
          <w:snapToGrid w:val="0"/>
          <w:sz w:val="32"/>
          <w:szCs w:val="22"/>
          <w:lang w:val="en-AU"/>
        </w:rPr>
      </w:pPr>
      <w:r>
        <w:rPr>
          <w:rFonts w:ascii="Calibri" w:hAnsi="Calibri" w:cs="Arial"/>
          <w:b/>
          <w:snapToGrid w:val="0"/>
          <w:sz w:val="32"/>
          <w:szCs w:val="22"/>
          <w:lang w:val="en-AU"/>
        </w:rPr>
        <w:t>Context for Decision</w:t>
      </w:r>
    </w:p>
    <w:p w:rsidR="009449A9" w:rsidRPr="00C07617" w:rsidRDefault="009449A9" w:rsidP="009449A9">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449A9" w:rsidRDefault="009449A9" w:rsidP="009449A9">
      <w:pPr>
        <w:widowControl w:val="0"/>
        <w:numPr>
          <w:ilvl w:val="0"/>
          <w:numId w:val="34"/>
        </w:numPr>
        <w:spacing w:before="240" w:after="120"/>
        <w:jc w:val="both"/>
        <w:outlineLvl w:val="0"/>
        <w:rPr>
          <w:rFonts w:ascii="Calibri" w:hAnsi="Calibri" w:cs="Arial"/>
          <w:b/>
          <w:snapToGrid w:val="0"/>
          <w:sz w:val="32"/>
          <w:szCs w:val="22"/>
          <w:lang w:val="en-AU"/>
        </w:rPr>
      </w:pPr>
      <w:r>
        <w:rPr>
          <w:rFonts w:ascii="Calibri" w:hAnsi="Calibri" w:cs="Arial"/>
          <w:b/>
          <w:snapToGrid w:val="0"/>
          <w:sz w:val="32"/>
          <w:szCs w:val="22"/>
          <w:lang w:val="en-AU"/>
        </w:rPr>
        <w:t>Sponsor’s Comment</w:t>
      </w:r>
    </w:p>
    <w:p w:rsidR="00A33032" w:rsidRPr="000316CC" w:rsidRDefault="009449A9" w:rsidP="000316CC">
      <w:pPr>
        <w:spacing w:after="120"/>
        <w:jc w:val="both"/>
        <w:rPr>
          <w:rFonts w:asciiTheme="minorHAnsi" w:hAnsiTheme="minorHAnsi" w:cs="Arial"/>
          <w:bCs/>
        </w:rPr>
      </w:pPr>
      <w:r w:rsidRPr="00C07617">
        <w:rPr>
          <w:rFonts w:asciiTheme="minorHAnsi" w:hAnsiTheme="minorHAnsi" w:cs="Arial"/>
          <w:bCs/>
        </w:rPr>
        <w:t>The sponsor had no comment.</w:t>
      </w:r>
    </w:p>
    <w:sectPr w:rsidR="00A33032" w:rsidRPr="000316CC" w:rsidSect="00495C1F">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08" w:rsidRDefault="00614508" w:rsidP="00124A51">
      <w:r>
        <w:separator/>
      </w:r>
    </w:p>
    <w:p w:rsidR="00614508" w:rsidRDefault="00614508"/>
  </w:endnote>
  <w:endnote w:type="continuationSeparator" w:id="0">
    <w:p w:rsidR="00614508" w:rsidRDefault="00614508" w:rsidP="00124A51">
      <w:r>
        <w:continuationSeparator/>
      </w:r>
    </w:p>
    <w:p w:rsidR="00614508" w:rsidRDefault="00614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B" w:rsidRDefault="004D3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851271"/>
      <w:docPartObj>
        <w:docPartGallery w:val="Page Numbers (Bottom of Page)"/>
        <w:docPartUnique/>
      </w:docPartObj>
    </w:sdtPr>
    <w:sdtEndPr>
      <w:rPr>
        <w:b/>
        <w:noProof/>
      </w:rPr>
    </w:sdtEndPr>
    <w:sdtContent>
      <w:p w:rsidR="004D3E6B" w:rsidRPr="00A36B06" w:rsidRDefault="004D3E6B">
        <w:pPr>
          <w:pStyle w:val="Footer"/>
          <w:jc w:val="center"/>
          <w:rPr>
            <w:b/>
          </w:rPr>
        </w:pPr>
        <w:r w:rsidRPr="00A36B06">
          <w:rPr>
            <w:b/>
          </w:rPr>
          <w:fldChar w:fldCharType="begin"/>
        </w:r>
        <w:r w:rsidRPr="00A36B06">
          <w:rPr>
            <w:b/>
          </w:rPr>
          <w:instrText xml:space="preserve"> PAGE   \* MERGEFORMAT </w:instrText>
        </w:r>
        <w:r w:rsidRPr="00A36B06">
          <w:rPr>
            <w:b/>
          </w:rPr>
          <w:fldChar w:fldCharType="separate"/>
        </w:r>
        <w:r w:rsidR="005072E0">
          <w:rPr>
            <w:b/>
            <w:noProof/>
          </w:rPr>
          <w:t>4</w:t>
        </w:r>
        <w:r w:rsidRPr="00A36B06">
          <w:rPr>
            <w:b/>
            <w:noProof/>
          </w:rPr>
          <w:fldChar w:fldCharType="end"/>
        </w:r>
      </w:p>
    </w:sdtContent>
  </w:sdt>
  <w:p w:rsidR="004D3E6B" w:rsidRPr="00364590" w:rsidRDefault="004D3E6B" w:rsidP="003645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B" w:rsidRDefault="004D3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08" w:rsidRDefault="00614508" w:rsidP="00124A51">
      <w:r>
        <w:separator/>
      </w:r>
    </w:p>
    <w:p w:rsidR="00614508" w:rsidRDefault="00614508"/>
  </w:footnote>
  <w:footnote w:type="continuationSeparator" w:id="0">
    <w:p w:rsidR="00614508" w:rsidRDefault="00614508" w:rsidP="00124A51">
      <w:r>
        <w:continuationSeparator/>
      </w:r>
    </w:p>
    <w:p w:rsidR="00614508" w:rsidRDefault="00614508"/>
  </w:footnote>
  <w:footnote w:id="1">
    <w:p w:rsidR="00A33032" w:rsidRPr="00C40ACB" w:rsidRDefault="00A33032" w:rsidP="00A33032">
      <w:pPr>
        <w:pStyle w:val="FootnoteText"/>
        <w:rPr>
          <w:lang w:val="en-AU"/>
        </w:rPr>
      </w:pPr>
      <w:r>
        <w:rPr>
          <w:rStyle w:val="FootnoteReference"/>
        </w:rPr>
        <w:footnoteRef/>
      </w:r>
      <w:r>
        <w:t xml:space="preserve"> </w:t>
      </w:r>
      <w:proofErr w:type="spellStart"/>
      <w:r w:rsidRPr="00CE653E">
        <w:rPr>
          <w:lang w:val="en-AU"/>
        </w:rPr>
        <w:t>Mallipattu</w:t>
      </w:r>
      <w:proofErr w:type="spellEnd"/>
      <w:r>
        <w:rPr>
          <w:lang w:val="en-AU"/>
        </w:rPr>
        <w:t>,</w:t>
      </w:r>
      <w:r w:rsidRPr="00CE653E">
        <w:rPr>
          <w:lang w:val="en-AU"/>
        </w:rPr>
        <w:t xml:space="preserve"> SK</w:t>
      </w:r>
      <w:r>
        <w:rPr>
          <w:lang w:val="en-AU"/>
        </w:rPr>
        <w:t>.</w:t>
      </w:r>
      <w:r w:rsidRPr="00CE653E">
        <w:rPr>
          <w:lang w:val="en-AU"/>
        </w:rPr>
        <w:t>, Wyatt</w:t>
      </w:r>
      <w:r>
        <w:rPr>
          <w:lang w:val="en-AU"/>
        </w:rPr>
        <w:t>,</w:t>
      </w:r>
      <w:r w:rsidRPr="00CE653E">
        <w:rPr>
          <w:lang w:val="en-AU"/>
        </w:rPr>
        <w:t xml:space="preserve"> CM</w:t>
      </w:r>
      <w:r>
        <w:rPr>
          <w:lang w:val="en-AU"/>
        </w:rPr>
        <w:t xml:space="preserve"> and </w:t>
      </w:r>
      <w:r w:rsidRPr="00CE653E">
        <w:rPr>
          <w:lang w:val="en-AU"/>
        </w:rPr>
        <w:t>He</w:t>
      </w:r>
      <w:r>
        <w:rPr>
          <w:lang w:val="en-AU"/>
        </w:rPr>
        <w:t>,</w:t>
      </w:r>
      <w:r w:rsidRPr="00CE653E">
        <w:rPr>
          <w:lang w:val="en-AU"/>
        </w:rPr>
        <w:t xml:space="preserve"> </w:t>
      </w:r>
      <w:proofErr w:type="gramStart"/>
      <w:r w:rsidRPr="00CE653E">
        <w:rPr>
          <w:lang w:val="en-AU"/>
        </w:rPr>
        <w:t>JC.</w:t>
      </w:r>
      <w:r>
        <w:rPr>
          <w:lang w:val="en-AU"/>
        </w:rPr>
        <w:t>,</w:t>
      </w:r>
      <w:proofErr w:type="gramEnd"/>
      <w:r>
        <w:rPr>
          <w:lang w:val="en-AU"/>
        </w:rPr>
        <w:t xml:space="preserve"> 2012.</w:t>
      </w:r>
      <w:r w:rsidRPr="00CE653E">
        <w:rPr>
          <w:lang w:val="en-AU"/>
        </w:rPr>
        <w:t xml:space="preserve"> </w:t>
      </w:r>
      <w:proofErr w:type="gramStart"/>
      <w:r w:rsidRPr="00CE653E">
        <w:rPr>
          <w:lang w:val="en-AU"/>
        </w:rPr>
        <w:t>The New Epidemiology of HIV-Related Kidney Disease.</w:t>
      </w:r>
      <w:proofErr w:type="gramEnd"/>
      <w:r w:rsidRPr="00CE653E">
        <w:rPr>
          <w:lang w:val="en-AU"/>
        </w:rPr>
        <w:t xml:space="preserve"> Jour</w:t>
      </w:r>
      <w:r>
        <w:rPr>
          <w:lang w:val="en-AU"/>
        </w:rPr>
        <w:t xml:space="preserve">nal of AIDS &amp; clinical research, </w:t>
      </w:r>
      <w:proofErr w:type="spellStart"/>
      <w:r w:rsidRPr="00CE653E">
        <w:rPr>
          <w:lang w:val="en-AU"/>
        </w:rPr>
        <w:t>Suppl</w:t>
      </w:r>
      <w:proofErr w:type="spellEnd"/>
      <w:r w:rsidRPr="00CE653E">
        <w:rPr>
          <w:lang w:val="en-AU"/>
        </w:rPr>
        <w:t xml:space="preserve"> 4:001-. doi:10.4172/2155-6113.S4-001.</w:t>
      </w:r>
      <w:r>
        <w:rPr>
          <w:lang w:val="en-AU"/>
        </w:rPr>
        <w:t xml:space="preserve"> </w:t>
      </w:r>
    </w:p>
  </w:footnote>
  <w:footnote w:id="2">
    <w:p w:rsidR="00A33032" w:rsidRDefault="00A33032" w:rsidP="00A33032">
      <w:pPr>
        <w:pStyle w:val="FootnoteText"/>
      </w:pPr>
      <w:r>
        <w:rPr>
          <w:rStyle w:val="FootnoteReference"/>
        </w:rPr>
        <w:footnoteRef/>
      </w:r>
      <w:r>
        <w:t xml:space="preserve"> </w:t>
      </w:r>
      <w:proofErr w:type="spellStart"/>
      <w:proofErr w:type="gramStart"/>
      <w:r w:rsidRPr="0059647F">
        <w:t>Gracey</w:t>
      </w:r>
      <w:proofErr w:type="spellEnd"/>
      <w:r w:rsidRPr="0059647F">
        <w:t>, D., Chan, D., Bailey, M., Richards, D. and Dalton, B., 2013.</w:t>
      </w:r>
      <w:proofErr w:type="gramEnd"/>
      <w:r w:rsidRPr="0059647F">
        <w:t xml:space="preserve"> </w:t>
      </w:r>
      <w:proofErr w:type="gramStart"/>
      <w:r w:rsidRPr="0059647F">
        <w:t>Screening and management of renal disease in human immunodeficien</w:t>
      </w:r>
      <w:r>
        <w:t>cy virus-infected patients in A</w:t>
      </w:r>
      <w:r w:rsidRPr="0059647F">
        <w:t>ustralia.</w:t>
      </w:r>
      <w:proofErr w:type="gramEnd"/>
      <w:r w:rsidRPr="0059647F">
        <w:t xml:space="preserve"> </w:t>
      </w:r>
      <w:proofErr w:type="gramStart"/>
      <w:r w:rsidRPr="0059647F">
        <w:t>Internal medicine journal, 43(4), pp.410-416.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B" w:rsidRDefault="004D3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B" w:rsidRPr="00F90A91" w:rsidRDefault="004D3E6B" w:rsidP="00A36B06">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4D3E6B" w:rsidRPr="00A36B06" w:rsidRDefault="004D3E6B" w:rsidP="00A36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B" w:rsidRDefault="004D3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3071DD"/>
    <w:multiLevelType w:val="hybridMultilevel"/>
    <w:tmpl w:val="0DCEE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DB8C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B008D"/>
    <w:multiLevelType w:val="hybridMultilevel"/>
    <w:tmpl w:val="B864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682379"/>
    <w:multiLevelType w:val="hybridMultilevel"/>
    <w:tmpl w:val="3248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6C2C05"/>
    <w:multiLevelType w:val="hybridMultilevel"/>
    <w:tmpl w:val="F632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876745"/>
    <w:multiLevelType w:val="hybridMultilevel"/>
    <w:tmpl w:val="3F82C4B4"/>
    <w:lvl w:ilvl="0" w:tplc="0C090001">
      <w:start w:val="1"/>
      <w:numFmt w:val="bullet"/>
      <w:lvlText w:val=""/>
      <w:lvlJc w:val="left"/>
      <w:pPr>
        <w:ind w:left="6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C82452"/>
    <w:multiLevelType w:val="hybridMultilevel"/>
    <w:tmpl w:val="B0A2D9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4302728"/>
    <w:multiLevelType w:val="hybridMultilevel"/>
    <w:tmpl w:val="EBF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D3389"/>
    <w:multiLevelType w:val="hybridMultilevel"/>
    <w:tmpl w:val="73783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A54543"/>
    <w:multiLevelType w:val="hybridMultilevel"/>
    <w:tmpl w:val="DCC2AC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2A5A694F"/>
    <w:multiLevelType w:val="hybridMultilevel"/>
    <w:tmpl w:val="E36EA3B0"/>
    <w:lvl w:ilvl="0" w:tplc="96B293D6">
      <w:start w:val="96"/>
      <w:numFmt w:val="bullet"/>
      <w:lvlText w:val="-"/>
      <w:lvlJc w:val="left"/>
      <w:pPr>
        <w:ind w:left="648" w:hanging="360"/>
      </w:pPr>
      <w:rPr>
        <w:rFonts w:ascii="Calibri" w:eastAsia="Times New Roman" w:hAnsi="Calibri" w:cs="Calibri"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14">
    <w:nsid w:val="2A954BD4"/>
    <w:multiLevelType w:val="multilevel"/>
    <w:tmpl w:val="80B65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20301"/>
    <w:multiLevelType w:val="hybridMultilevel"/>
    <w:tmpl w:val="F676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C34E2"/>
    <w:multiLevelType w:val="hybridMultilevel"/>
    <w:tmpl w:val="C3C25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E765C"/>
    <w:multiLevelType w:val="hybridMultilevel"/>
    <w:tmpl w:val="D02E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B3229"/>
    <w:multiLevelType w:val="hybridMultilevel"/>
    <w:tmpl w:val="A1F827A0"/>
    <w:lvl w:ilvl="0" w:tplc="B636C8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1B4D69"/>
    <w:multiLevelType w:val="hybridMultilevel"/>
    <w:tmpl w:val="1872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117BE8"/>
    <w:multiLevelType w:val="hybridMultilevel"/>
    <w:tmpl w:val="81EE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10EE9"/>
    <w:multiLevelType w:val="hybridMultilevel"/>
    <w:tmpl w:val="5176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5446A"/>
    <w:multiLevelType w:val="hybridMultilevel"/>
    <w:tmpl w:val="D224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379C5"/>
    <w:multiLevelType w:val="hybridMultilevel"/>
    <w:tmpl w:val="B160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22563"/>
    <w:multiLevelType w:val="hybridMultilevel"/>
    <w:tmpl w:val="444433B4"/>
    <w:lvl w:ilvl="0" w:tplc="E27A0F6E">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B3551"/>
    <w:multiLevelType w:val="hybridMultilevel"/>
    <w:tmpl w:val="20CC9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F560F3B"/>
    <w:multiLevelType w:val="hybridMultilevel"/>
    <w:tmpl w:val="DB02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5E9A9834"/>
    <w:lvl w:ilvl="0">
      <w:start w:val="1"/>
      <w:numFmt w:val="decimal"/>
      <w:lvlText w:val="%1"/>
      <w:lvlJc w:val="left"/>
      <w:pPr>
        <w:ind w:left="720" w:hanging="720"/>
      </w:pPr>
      <w:rPr>
        <w:rFonts w:hint="default"/>
        <w:b/>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
  </w:num>
  <w:num w:numId="3">
    <w:abstractNumId w:val="30"/>
  </w:num>
  <w:num w:numId="4">
    <w:abstractNumId w:val="17"/>
  </w:num>
  <w:num w:numId="5">
    <w:abstractNumId w:val="10"/>
  </w:num>
  <w:num w:numId="6">
    <w:abstractNumId w:val="25"/>
  </w:num>
  <w:num w:numId="7">
    <w:abstractNumId w:val="24"/>
  </w:num>
  <w:num w:numId="8">
    <w:abstractNumId w:val="26"/>
  </w:num>
  <w:num w:numId="9">
    <w:abstractNumId w:val="20"/>
  </w:num>
  <w:num w:numId="10">
    <w:abstractNumId w:val="4"/>
  </w:num>
  <w:num w:numId="11">
    <w:abstractNumId w:val="29"/>
  </w:num>
  <w:num w:numId="12">
    <w:abstractNumId w:val="3"/>
  </w:num>
  <w:num w:numId="13">
    <w:abstractNumId w:val="13"/>
  </w:num>
  <w:num w:numId="14">
    <w:abstractNumId w:val="7"/>
  </w:num>
  <w:num w:numId="15">
    <w:abstractNumId w:val="6"/>
  </w:num>
  <w:num w:numId="16">
    <w:abstractNumId w:val="1"/>
  </w:num>
  <w:num w:numId="17">
    <w:abstractNumId w:val="27"/>
  </w:num>
  <w:num w:numId="18">
    <w:abstractNumId w:val="18"/>
  </w:num>
  <w:num w:numId="19">
    <w:abstractNumId w:val="9"/>
  </w:num>
  <w:num w:numId="20">
    <w:abstractNumId w:val="15"/>
  </w:num>
  <w:num w:numId="21">
    <w:abstractNumId w:val="23"/>
  </w:num>
  <w:num w:numId="22">
    <w:abstractNumId w:val="17"/>
  </w:num>
  <w:num w:numId="23">
    <w:abstractNumId w:val="19"/>
  </w:num>
  <w:num w:numId="24">
    <w:abstractNumId w:val="12"/>
  </w:num>
  <w:num w:numId="25">
    <w:abstractNumId w:val="17"/>
  </w:num>
  <w:num w:numId="26">
    <w:abstractNumId w:val="21"/>
  </w:num>
  <w:num w:numId="27">
    <w:abstractNumId w:val="22"/>
  </w:num>
  <w:num w:numId="28">
    <w:abstractNumId w:val="5"/>
  </w:num>
  <w:num w:numId="29">
    <w:abstractNumId w:val="0"/>
  </w:num>
  <w:num w:numId="30">
    <w:abstractNumId w:val="11"/>
  </w:num>
  <w:num w:numId="31">
    <w:abstractNumId w:val="14"/>
  </w:num>
  <w:num w:numId="32">
    <w:abstractNumId w:val="8"/>
  </w:num>
  <w:num w:numId="33">
    <w:abstractNumId w:val="28"/>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110"/>
    <w:rsid w:val="00002961"/>
    <w:rsid w:val="00002D99"/>
    <w:rsid w:val="0000335C"/>
    <w:rsid w:val="00003499"/>
    <w:rsid w:val="00003829"/>
    <w:rsid w:val="000039B7"/>
    <w:rsid w:val="00013247"/>
    <w:rsid w:val="00014134"/>
    <w:rsid w:val="00015886"/>
    <w:rsid w:val="000162EF"/>
    <w:rsid w:val="00016719"/>
    <w:rsid w:val="0002225F"/>
    <w:rsid w:val="00023763"/>
    <w:rsid w:val="00023FD6"/>
    <w:rsid w:val="00027BE2"/>
    <w:rsid w:val="000316CC"/>
    <w:rsid w:val="000320E5"/>
    <w:rsid w:val="00033863"/>
    <w:rsid w:val="00035DC0"/>
    <w:rsid w:val="00036829"/>
    <w:rsid w:val="000376AF"/>
    <w:rsid w:val="00040895"/>
    <w:rsid w:val="00041A4A"/>
    <w:rsid w:val="00043C37"/>
    <w:rsid w:val="00045017"/>
    <w:rsid w:val="00045A2B"/>
    <w:rsid w:val="00046023"/>
    <w:rsid w:val="0004698F"/>
    <w:rsid w:val="00051910"/>
    <w:rsid w:val="000524B1"/>
    <w:rsid w:val="000539D0"/>
    <w:rsid w:val="00053E53"/>
    <w:rsid w:val="00054621"/>
    <w:rsid w:val="000546D7"/>
    <w:rsid w:val="00054B13"/>
    <w:rsid w:val="000559BD"/>
    <w:rsid w:val="00060C3B"/>
    <w:rsid w:val="00061B8C"/>
    <w:rsid w:val="00066360"/>
    <w:rsid w:val="00071248"/>
    <w:rsid w:val="000720B9"/>
    <w:rsid w:val="000737F7"/>
    <w:rsid w:val="00075E94"/>
    <w:rsid w:val="0007672F"/>
    <w:rsid w:val="000774F0"/>
    <w:rsid w:val="00080909"/>
    <w:rsid w:val="000812CA"/>
    <w:rsid w:val="0008258D"/>
    <w:rsid w:val="00083E99"/>
    <w:rsid w:val="00084F8F"/>
    <w:rsid w:val="000856C5"/>
    <w:rsid w:val="0008599C"/>
    <w:rsid w:val="0008699D"/>
    <w:rsid w:val="000907FA"/>
    <w:rsid w:val="00090C7E"/>
    <w:rsid w:val="00092600"/>
    <w:rsid w:val="0009262B"/>
    <w:rsid w:val="00093310"/>
    <w:rsid w:val="0009445C"/>
    <w:rsid w:val="00095504"/>
    <w:rsid w:val="00095FE5"/>
    <w:rsid w:val="0009624D"/>
    <w:rsid w:val="00096284"/>
    <w:rsid w:val="00096838"/>
    <w:rsid w:val="00097D5E"/>
    <w:rsid w:val="00097F78"/>
    <w:rsid w:val="000A2A2A"/>
    <w:rsid w:val="000A66D2"/>
    <w:rsid w:val="000A67AD"/>
    <w:rsid w:val="000A7D08"/>
    <w:rsid w:val="000B0670"/>
    <w:rsid w:val="000B0E75"/>
    <w:rsid w:val="000B3480"/>
    <w:rsid w:val="000B473D"/>
    <w:rsid w:val="000B6CAC"/>
    <w:rsid w:val="000B7612"/>
    <w:rsid w:val="000B7D4F"/>
    <w:rsid w:val="000C0E2E"/>
    <w:rsid w:val="000C3DF9"/>
    <w:rsid w:val="000C52C7"/>
    <w:rsid w:val="000C6713"/>
    <w:rsid w:val="000C762C"/>
    <w:rsid w:val="000D1BFC"/>
    <w:rsid w:val="000D2399"/>
    <w:rsid w:val="000D281A"/>
    <w:rsid w:val="000D2D60"/>
    <w:rsid w:val="000D326A"/>
    <w:rsid w:val="000D51FB"/>
    <w:rsid w:val="000D52CD"/>
    <w:rsid w:val="000D624A"/>
    <w:rsid w:val="000E00B0"/>
    <w:rsid w:val="000E0B14"/>
    <w:rsid w:val="000E135D"/>
    <w:rsid w:val="000E2B6B"/>
    <w:rsid w:val="000E4BCA"/>
    <w:rsid w:val="000E64CF"/>
    <w:rsid w:val="000F00BA"/>
    <w:rsid w:val="000F0367"/>
    <w:rsid w:val="000F316A"/>
    <w:rsid w:val="000F3C74"/>
    <w:rsid w:val="000F4BB8"/>
    <w:rsid w:val="000F563D"/>
    <w:rsid w:val="000F6A63"/>
    <w:rsid w:val="000F7127"/>
    <w:rsid w:val="000F7346"/>
    <w:rsid w:val="00100F8A"/>
    <w:rsid w:val="00101D24"/>
    <w:rsid w:val="0010231D"/>
    <w:rsid w:val="00103AAB"/>
    <w:rsid w:val="00104907"/>
    <w:rsid w:val="00105AE2"/>
    <w:rsid w:val="00106B80"/>
    <w:rsid w:val="0010729B"/>
    <w:rsid w:val="0011032E"/>
    <w:rsid w:val="001109D5"/>
    <w:rsid w:val="0011348B"/>
    <w:rsid w:val="00115982"/>
    <w:rsid w:val="00115C08"/>
    <w:rsid w:val="00116C53"/>
    <w:rsid w:val="00120E51"/>
    <w:rsid w:val="00121799"/>
    <w:rsid w:val="001222FC"/>
    <w:rsid w:val="00122B8A"/>
    <w:rsid w:val="001247FC"/>
    <w:rsid w:val="00124A51"/>
    <w:rsid w:val="00126621"/>
    <w:rsid w:val="001301E9"/>
    <w:rsid w:val="001314B1"/>
    <w:rsid w:val="00131D82"/>
    <w:rsid w:val="00133D36"/>
    <w:rsid w:val="00137645"/>
    <w:rsid w:val="0014015A"/>
    <w:rsid w:val="00140E99"/>
    <w:rsid w:val="001415EF"/>
    <w:rsid w:val="00145540"/>
    <w:rsid w:val="001456B0"/>
    <w:rsid w:val="00152864"/>
    <w:rsid w:val="00157130"/>
    <w:rsid w:val="001576B1"/>
    <w:rsid w:val="00160A4C"/>
    <w:rsid w:val="00160CA2"/>
    <w:rsid w:val="00160E8C"/>
    <w:rsid w:val="00162854"/>
    <w:rsid w:val="00162913"/>
    <w:rsid w:val="0016364F"/>
    <w:rsid w:val="00163EFF"/>
    <w:rsid w:val="001661FB"/>
    <w:rsid w:val="00170994"/>
    <w:rsid w:val="00171682"/>
    <w:rsid w:val="00171F80"/>
    <w:rsid w:val="00173565"/>
    <w:rsid w:val="00173B07"/>
    <w:rsid w:val="001757AC"/>
    <w:rsid w:val="00181D9C"/>
    <w:rsid w:val="001820DB"/>
    <w:rsid w:val="00182D3A"/>
    <w:rsid w:val="001832FE"/>
    <w:rsid w:val="00184163"/>
    <w:rsid w:val="0018752F"/>
    <w:rsid w:val="00193334"/>
    <w:rsid w:val="00193FC0"/>
    <w:rsid w:val="00194A2C"/>
    <w:rsid w:val="00194B92"/>
    <w:rsid w:val="00194E78"/>
    <w:rsid w:val="00195222"/>
    <w:rsid w:val="001975D8"/>
    <w:rsid w:val="001A2456"/>
    <w:rsid w:val="001A2A7A"/>
    <w:rsid w:val="001A2D76"/>
    <w:rsid w:val="001A43FA"/>
    <w:rsid w:val="001A59FB"/>
    <w:rsid w:val="001A5B66"/>
    <w:rsid w:val="001A5BC5"/>
    <w:rsid w:val="001A5DF4"/>
    <w:rsid w:val="001A6354"/>
    <w:rsid w:val="001A7AE8"/>
    <w:rsid w:val="001B204E"/>
    <w:rsid w:val="001B3443"/>
    <w:rsid w:val="001B4D20"/>
    <w:rsid w:val="001B7243"/>
    <w:rsid w:val="001B7B72"/>
    <w:rsid w:val="001C2A9B"/>
    <w:rsid w:val="001C4299"/>
    <w:rsid w:val="001C5F94"/>
    <w:rsid w:val="001C653C"/>
    <w:rsid w:val="001C6A7E"/>
    <w:rsid w:val="001C6E66"/>
    <w:rsid w:val="001C733B"/>
    <w:rsid w:val="001C7ED2"/>
    <w:rsid w:val="001D05D5"/>
    <w:rsid w:val="001D2149"/>
    <w:rsid w:val="001D39DE"/>
    <w:rsid w:val="001E238E"/>
    <w:rsid w:val="001E2483"/>
    <w:rsid w:val="001E2B1E"/>
    <w:rsid w:val="001E30D4"/>
    <w:rsid w:val="001E428B"/>
    <w:rsid w:val="001E52EB"/>
    <w:rsid w:val="001E61D2"/>
    <w:rsid w:val="001E740C"/>
    <w:rsid w:val="001F1235"/>
    <w:rsid w:val="001F1CB3"/>
    <w:rsid w:val="001F38B5"/>
    <w:rsid w:val="001F410A"/>
    <w:rsid w:val="001F7361"/>
    <w:rsid w:val="00200C06"/>
    <w:rsid w:val="002011B0"/>
    <w:rsid w:val="0020312E"/>
    <w:rsid w:val="00203181"/>
    <w:rsid w:val="00203783"/>
    <w:rsid w:val="0020385F"/>
    <w:rsid w:val="00203DFF"/>
    <w:rsid w:val="0020679D"/>
    <w:rsid w:val="00207021"/>
    <w:rsid w:val="0020732F"/>
    <w:rsid w:val="00207C32"/>
    <w:rsid w:val="00207D00"/>
    <w:rsid w:val="00210594"/>
    <w:rsid w:val="002105C1"/>
    <w:rsid w:val="00211169"/>
    <w:rsid w:val="0021271A"/>
    <w:rsid w:val="00214B07"/>
    <w:rsid w:val="00220C00"/>
    <w:rsid w:val="00223B3B"/>
    <w:rsid w:val="00223B49"/>
    <w:rsid w:val="00224398"/>
    <w:rsid w:val="00224DD4"/>
    <w:rsid w:val="002251A9"/>
    <w:rsid w:val="00227F21"/>
    <w:rsid w:val="002301ED"/>
    <w:rsid w:val="002309CC"/>
    <w:rsid w:val="0023209F"/>
    <w:rsid w:val="002320D9"/>
    <w:rsid w:val="00234835"/>
    <w:rsid w:val="0023629D"/>
    <w:rsid w:val="00237255"/>
    <w:rsid w:val="002412C9"/>
    <w:rsid w:val="00242102"/>
    <w:rsid w:val="002424AF"/>
    <w:rsid w:val="002439DC"/>
    <w:rsid w:val="00244DC8"/>
    <w:rsid w:val="00245235"/>
    <w:rsid w:val="002458BA"/>
    <w:rsid w:val="00245A4B"/>
    <w:rsid w:val="0024636C"/>
    <w:rsid w:val="00247925"/>
    <w:rsid w:val="00250671"/>
    <w:rsid w:val="00254DCF"/>
    <w:rsid w:val="0025534B"/>
    <w:rsid w:val="00255BB7"/>
    <w:rsid w:val="00257541"/>
    <w:rsid w:val="00260D96"/>
    <w:rsid w:val="00261619"/>
    <w:rsid w:val="00262A1A"/>
    <w:rsid w:val="00262A87"/>
    <w:rsid w:val="00264D26"/>
    <w:rsid w:val="00266599"/>
    <w:rsid w:val="00266612"/>
    <w:rsid w:val="00267642"/>
    <w:rsid w:val="00267AEA"/>
    <w:rsid w:val="002700E6"/>
    <w:rsid w:val="0027294B"/>
    <w:rsid w:val="00275C5A"/>
    <w:rsid w:val="00276126"/>
    <w:rsid w:val="00276481"/>
    <w:rsid w:val="00280621"/>
    <w:rsid w:val="00281014"/>
    <w:rsid w:val="00283019"/>
    <w:rsid w:val="00283669"/>
    <w:rsid w:val="00283D94"/>
    <w:rsid w:val="00286615"/>
    <w:rsid w:val="00290F81"/>
    <w:rsid w:val="00293A90"/>
    <w:rsid w:val="002A14AB"/>
    <w:rsid w:val="002A2459"/>
    <w:rsid w:val="002A2F50"/>
    <w:rsid w:val="002A3570"/>
    <w:rsid w:val="002A3ED0"/>
    <w:rsid w:val="002B09A4"/>
    <w:rsid w:val="002B0FA8"/>
    <w:rsid w:val="002B1C1F"/>
    <w:rsid w:val="002B2FAA"/>
    <w:rsid w:val="002B432F"/>
    <w:rsid w:val="002B5478"/>
    <w:rsid w:val="002B62B3"/>
    <w:rsid w:val="002B6754"/>
    <w:rsid w:val="002B6CCE"/>
    <w:rsid w:val="002C015A"/>
    <w:rsid w:val="002C2510"/>
    <w:rsid w:val="002C2775"/>
    <w:rsid w:val="002C27C1"/>
    <w:rsid w:val="002C5099"/>
    <w:rsid w:val="002C5889"/>
    <w:rsid w:val="002C71CE"/>
    <w:rsid w:val="002D24F1"/>
    <w:rsid w:val="002D38E8"/>
    <w:rsid w:val="002D577C"/>
    <w:rsid w:val="002E15B9"/>
    <w:rsid w:val="002E2158"/>
    <w:rsid w:val="002E7722"/>
    <w:rsid w:val="002F07BA"/>
    <w:rsid w:val="002F0DA9"/>
    <w:rsid w:val="002F3857"/>
    <w:rsid w:val="002F5186"/>
    <w:rsid w:val="002F5A5D"/>
    <w:rsid w:val="002F643C"/>
    <w:rsid w:val="002F71C0"/>
    <w:rsid w:val="002F725A"/>
    <w:rsid w:val="00300C77"/>
    <w:rsid w:val="00301017"/>
    <w:rsid w:val="0030155F"/>
    <w:rsid w:val="003042BA"/>
    <w:rsid w:val="00305771"/>
    <w:rsid w:val="0030587B"/>
    <w:rsid w:val="003063ED"/>
    <w:rsid w:val="00306D98"/>
    <w:rsid w:val="0030786C"/>
    <w:rsid w:val="0031031A"/>
    <w:rsid w:val="00310981"/>
    <w:rsid w:val="0031242C"/>
    <w:rsid w:val="00312C71"/>
    <w:rsid w:val="00312E1D"/>
    <w:rsid w:val="00315498"/>
    <w:rsid w:val="00316196"/>
    <w:rsid w:val="00322107"/>
    <w:rsid w:val="0032253B"/>
    <w:rsid w:val="00322846"/>
    <w:rsid w:val="003237A5"/>
    <w:rsid w:val="003264BB"/>
    <w:rsid w:val="00326DA7"/>
    <w:rsid w:val="003270E4"/>
    <w:rsid w:val="00330F58"/>
    <w:rsid w:val="00330F5C"/>
    <w:rsid w:val="00335509"/>
    <w:rsid w:val="003366C9"/>
    <w:rsid w:val="003371B0"/>
    <w:rsid w:val="00340DF1"/>
    <w:rsid w:val="0034161F"/>
    <w:rsid w:val="00343A50"/>
    <w:rsid w:val="0034446A"/>
    <w:rsid w:val="0034478D"/>
    <w:rsid w:val="00347C55"/>
    <w:rsid w:val="00347DD0"/>
    <w:rsid w:val="003503BC"/>
    <w:rsid w:val="003517F9"/>
    <w:rsid w:val="00351F4A"/>
    <w:rsid w:val="0035620E"/>
    <w:rsid w:val="003624C4"/>
    <w:rsid w:val="003632CA"/>
    <w:rsid w:val="00364590"/>
    <w:rsid w:val="00364C5D"/>
    <w:rsid w:val="003654AC"/>
    <w:rsid w:val="00365D32"/>
    <w:rsid w:val="00367B24"/>
    <w:rsid w:val="003710CF"/>
    <w:rsid w:val="00371B67"/>
    <w:rsid w:val="0037238F"/>
    <w:rsid w:val="00372CFC"/>
    <w:rsid w:val="0037358A"/>
    <w:rsid w:val="003747AF"/>
    <w:rsid w:val="003747B8"/>
    <w:rsid w:val="003750F6"/>
    <w:rsid w:val="003760FC"/>
    <w:rsid w:val="00376924"/>
    <w:rsid w:val="00381761"/>
    <w:rsid w:val="0038365C"/>
    <w:rsid w:val="0038369B"/>
    <w:rsid w:val="00383B78"/>
    <w:rsid w:val="00384090"/>
    <w:rsid w:val="00384D9F"/>
    <w:rsid w:val="00385A9D"/>
    <w:rsid w:val="003866B0"/>
    <w:rsid w:val="003902B1"/>
    <w:rsid w:val="003933C1"/>
    <w:rsid w:val="00394A38"/>
    <w:rsid w:val="00396896"/>
    <w:rsid w:val="00396FD0"/>
    <w:rsid w:val="00397D53"/>
    <w:rsid w:val="003A072C"/>
    <w:rsid w:val="003A1A7A"/>
    <w:rsid w:val="003A2392"/>
    <w:rsid w:val="003A2831"/>
    <w:rsid w:val="003A3ED1"/>
    <w:rsid w:val="003A731D"/>
    <w:rsid w:val="003B0991"/>
    <w:rsid w:val="003B5B61"/>
    <w:rsid w:val="003B6337"/>
    <w:rsid w:val="003C03D4"/>
    <w:rsid w:val="003C1654"/>
    <w:rsid w:val="003C19C2"/>
    <w:rsid w:val="003C2995"/>
    <w:rsid w:val="003C4E62"/>
    <w:rsid w:val="003C74AB"/>
    <w:rsid w:val="003C7D19"/>
    <w:rsid w:val="003D0925"/>
    <w:rsid w:val="003D159A"/>
    <w:rsid w:val="003D1828"/>
    <w:rsid w:val="003D1DE4"/>
    <w:rsid w:val="003D2422"/>
    <w:rsid w:val="003D39A1"/>
    <w:rsid w:val="003D3FBF"/>
    <w:rsid w:val="003D4013"/>
    <w:rsid w:val="003D4A30"/>
    <w:rsid w:val="003D6BD6"/>
    <w:rsid w:val="003D7091"/>
    <w:rsid w:val="003D70DF"/>
    <w:rsid w:val="003D79BB"/>
    <w:rsid w:val="003D7C98"/>
    <w:rsid w:val="003E0543"/>
    <w:rsid w:val="003E1160"/>
    <w:rsid w:val="003E17C4"/>
    <w:rsid w:val="003E311F"/>
    <w:rsid w:val="003E7827"/>
    <w:rsid w:val="003F252A"/>
    <w:rsid w:val="003F285A"/>
    <w:rsid w:val="003F367D"/>
    <w:rsid w:val="003F4156"/>
    <w:rsid w:val="003F44B5"/>
    <w:rsid w:val="003F4609"/>
    <w:rsid w:val="003F4694"/>
    <w:rsid w:val="003F4BE3"/>
    <w:rsid w:val="003F624E"/>
    <w:rsid w:val="00400B29"/>
    <w:rsid w:val="00402FAB"/>
    <w:rsid w:val="0040502A"/>
    <w:rsid w:val="0040504B"/>
    <w:rsid w:val="00406314"/>
    <w:rsid w:val="004072CD"/>
    <w:rsid w:val="004100B3"/>
    <w:rsid w:val="00410708"/>
    <w:rsid w:val="00410EC7"/>
    <w:rsid w:val="00411B39"/>
    <w:rsid w:val="00411ED1"/>
    <w:rsid w:val="00412298"/>
    <w:rsid w:val="00412737"/>
    <w:rsid w:val="00413A1E"/>
    <w:rsid w:val="00414476"/>
    <w:rsid w:val="00414C2E"/>
    <w:rsid w:val="004151CF"/>
    <w:rsid w:val="00416364"/>
    <w:rsid w:val="00416D73"/>
    <w:rsid w:val="00420AA6"/>
    <w:rsid w:val="00420B9F"/>
    <w:rsid w:val="00421888"/>
    <w:rsid w:val="00422260"/>
    <w:rsid w:val="0042413F"/>
    <w:rsid w:val="00426407"/>
    <w:rsid w:val="0043099F"/>
    <w:rsid w:val="0043126B"/>
    <w:rsid w:val="004319F8"/>
    <w:rsid w:val="00431E55"/>
    <w:rsid w:val="004321F6"/>
    <w:rsid w:val="00433044"/>
    <w:rsid w:val="004338D3"/>
    <w:rsid w:val="00434545"/>
    <w:rsid w:val="004369EA"/>
    <w:rsid w:val="004375B9"/>
    <w:rsid w:val="0044061E"/>
    <w:rsid w:val="004428D0"/>
    <w:rsid w:val="004443A7"/>
    <w:rsid w:val="0044442C"/>
    <w:rsid w:val="00445941"/>
    <w:rsid w:val="004464EB"/>
    <w:rsid w:val="00447D26"/>
    <w:rsid w:val="00455D45"/>
    <w:rsid w:val="0045703B"/>
    <w:rsid w:val="00463EA4"/>
    <w:rsid w:val="00464595"/>
    <w:rsid w:val="00465B35"/>
    <w:rsid w:val="0046669C"/>
    <w:rsid w:val="00472764"/>
    <w:rsid w:val="00472A79"/>
    <w:rsid w:val="00473B43"/>
    <w:rsid w:val="00473F19"/>
    <w:rsid w:val="00475E22"/>
    <w:rsid w:val="0048088E"/>
    <w:rsid w:val="00482720"/>
    <w:rsid w:val="004835E7"/>
    <w:rsid w:val="0048414E"/>
    <w:rsid w:val="004867E2"/>
    <w:rsid w:val="00490E2E"/>
    <w:rsid w:val="00490F7C"/>
    <w:rsid w:val="00491B3A"/>
    <w:rsid w:val="00491B88"/>
    <w:rsid w:val="00491DA5"/>
    <w:rsid w:val="00492CFD"/>
    <w:rsid w:val="00494DD5"/>
    <w:rsid w:val="00495C1F"/>
    <w:rsid w:val="004962D2"/>
    <w:rsid w:val="004A0DA1"/>
    <w:rsid w:val="004A0E15"/>
    <w:rsid w:val="004A0F1B"/>
    <w:rsid w:val="004A14D0"/>
    <w:rsid w:val="004A52E9"/>
    <w:rsid w:val="004A5BA3"/>
    <w:rsid w:val="004A64AA"/>
    <w:rsid w:val="004A6597"/>
    <w:rsid w:val="004A6F49"/>
    <w:rsid w:val="004A7848"/>
    <w:rsid w:val="004B0A1D"/>
    <w:rsid w:val="004B0A9B"/>
    <w:rsid w:val="004B1CB4"/>
    <w:rsid w:val="004B2CCE"/>
    <w:rsid w:val="004B2F18"/>
    <w:rsid w:val="004B3DDB"/>
    <w:rsid w:val="004B44FD"/>
    <w:rsid w:val="004B5CFC"/>
    <w:rsid w:val="004B774D"/>
    <w:rsid w:val="004C185F"/>
    <w:rsid w:val="004C214A"/>
    <w:rsid w:val="004C4AED"/>
    <w:rsid w:val="004C6204"/>
    <w:rsid w:val="004C71A0"/>
    <w:rsid w:val="004D2C2D"/>
    <w:rsid w:val="004D38FC"/>
    <w:rsid w:val="004D3E6B"/>
    <w:rsid w:val="004D466F"/>
    <w:rsid w:val="004D7227"/>
    <w:rsid w:val="004E0E7F"/>
    <w:rsid w:val="004E0EB8"/>
    <w:rsid w:val="004E2820"/>
    <w:rsid w:val="004E288F"/>
    <w:rsid w:val="004E2ADC"/>
    <w:rsid w:val="004E3DA9"/>
    <w:rsid w:val="004E4132"/>
    <w:rsid w:val="004E43B2"/>
    <w:rsid w:val="004E6ACE"/>
    <w:rsid w:val="004F0E66"/>
    <w:rsid w:val="004F1736"/>
    <w:rsid w:val="004F17F5"/>
    <w:rsid w:val="004F1D02"/>
    <w:rsid w:val="004F226B"/>
    <w:rsid w:val="004F229A"/>
    <w:rsid w:val="004F2679"/>
    <w:rsid w:val="004F2F21"/>
    <w:rsid w:val="004F3A7F"/>
    <w:rsid w:val="004F6913"/>
    <w:rsid w:val="004F7865"/>
    <w:rsid w:val="0050022E"/>
    <w:rsid w:val="005019AF"/>
    <w:rsid w:val="0050219B"/>
    <w:rsid w:val="005031D4"/>
    <w:rsid w:val="00503F17"/>
    <w:rsid w:val="00506928"/>
    <w:rsid w:val="005072E0"/>
    <w:rsid w:val="005112F7"/>
    <w:rsid w:val="00511E7E"/>
    <w:rsid w:val="005152B5"/>
    <w:rsid w:val="00515DF2"/>
    <w:rsid w:val="0052075C"/>
    <w:rsid w:val="00521319"/>
    <w:rsid w:val="00522BC8"/>
    <w:rsid w:val="00523C28"/>
    <w:rsid w:val="00526AD5"/>
    <w:rsid w:val="00536553"/>
    <w:rsid w:val="00536F42"/>
    <w:rsid w:val="00537182"/>
    <w:rsid w:val="0053734D"/>
    <w:rsid w:val="005408F8"/>
    <w:rsid w:val="0054213B"/>
    <w:rsid w:val="00542743"/>
    <w:rsid w:val="00542C2D"/>
    <w:rsid w:val="00543634"/>
    <w:rsid w:val="00544908"/>
    <w:rsid w:val="00551985"/>
    <w:rsid w:val="00552BD3"/>
    <w:rsid w:val="00553066"/>
    <w:rsid w:val="00553075"/>
    <w:rsid w:val="00555109"/>
    <w:rsid w:val="00556167"/>
    <w:rsid w:val="005606E7"/>
    <w:rsid w:val="0056170F"/>
    <w:rsid w:val="00566001"/>
    <w:rsid w:val="0056696F"/>
    <w:rsid w:val="00567474"/>
    <w:rsid w:val="00572269"/>
    <w:rsid w:val="0057244A"/>
    <w:rsid w:val="00573326"/>
    <w:rsid w:val="005744E0"/>
    <w:rsid w:val="0057465C"/>
    <w:rsid w:val="00575376"/>
    <w:rsid w:val="00575D8D"/>
    <w:rsid w:val="00576972"/>
    <w:rsid w:val="00576B37"/>
    <w:rsid w:val="00581047"/>
    <w:rsid w:val="00583699"/>
    <w:rsid w:val="00584EE3"/>
    <w:rsid w:val="00585560"/>
    <w:rsid w:val="00585CDD"/>
    <w:rsid w:val="0058691E"/>
    <w:rsid w:val="00587058"/>
    <w:rsid w:val="00590CF8"/>
    <w:rsid w:val="00591957"/>
    <w:rsid w:val="00592800"/>
    <w:rsid w:val="00597BF9"/>
    <w:rsid w:val="005A05E8"/>
    <w:rsid w:val="005A0C6B"/>
    <w:rsid w:val="005A1913"/>
    <w:rsid w:val="005A3323"/>
    <w:rsid w:val="005A373D"/>
    <w:rsid w:val="005B30B6"/>
    <w:rsid w:val="005B39EA"/>
    <w:rsid w:val="005B5857"/>
    <w:rsid w:val="005B75FC"/>
    <w:rsid w:val="005C1B83"/>
    <w:rsid w:val="005C1D6A"/>
    <w:rsid w:val="005C27AF"/>
    <w:rsid w:val="005C2D55"/>
    <w:rsid w:val="005C31BA"/>
    <w:rsid w:val="005C346B"/>
    <w:rsid w:val="005C741A"/>
    <w:rsid w:val="005C7933"/>
    <w:rsid w:val="005D044D"/>
    <w:rsid w:val="005D0568"/>
    <w:rsid w:val="005D0ABD"/>
    <w:rsid w:val="005D18AD"/>
    <w:rsid w:val="005D26B4"/>
    <w:rsid w:val="005D5E8D"/>
    <w:rsid w:val="005E0DCB"/>
    <w:rsid w:val="005E468B"/>
    <w:rsid w:val="005E5109"/>
    <w:rsid w:val="005E67BD"/>
    <w:rsid w:val="005E6CBC"/>
    <w:rsid w:val="005E73C0"/>
    <w:rsid w:val="005E77BC"/>
    <w:rsid w:val="005F096C"/>
    <w:rsid w:val="005F2706"/>
    <w:rsid w:val="005F6A8F"/>
    <w:rsid w:val="00603DB9"/>
    <w:rsid w:val="00607669"/>
    <w:rsid w:val="00607AFD"/>
    <w:rsid w:val="00612CAF"/>
    <w:rsid w:val="00612F97"/>
    <w:rsid w:val="0061345D"/>
    <w:rsid w:val="00614508"/>
    <w:rsid w:val="00616802"/>
    <w:rsid w:val="00616F9A"/>
    <w:rsid w:val="00617E12"/>
    <w:rsid w:val="00621477"/>
    <w:rsid w:val="006269FD"/>
    <w:rsid w:val="0062730C"/>
    <w:rsid w:val="0063158F"/>
    <w:rsid w:val="00631D6B"/>
    <w:rsid w:val="006330A1"/>
    <w:rsid w:val="00634618"/>
    <w:rsid w:val="0063479F"/>
    <w:rsid w:val="006353F0"/>
    <w:rsid w:val="00635AC1"/>
    <w:rsid w:val="006364A1"/>
    <w:rsid w:val="00637BFD"/>
    <w:rsid w:val="00637DB5"/>
    <w:rsid w:val="00641C4E"/>
    <w:rsid w:val="006429E3"/>
    <w:rsid w:val="00646D44"/>
    <w:rsid w:val="006471CC"/>
    <w:rsid w:val="0065079F"/>
    <w:rsid w:val="0065379F"/>
    <w:rsid w:val="0066164C"/>
    <w:rsid w:val="00661C6B"/>
    <w:rsid w:val="0066593A"/>
    <w:rsid w:val="00665E30"/>
    <w:rsid w:val="00671350"/>
    <w:rsid w:val="00674E42"/>
    <w:rsid w:val="0068002B"/>
    <w:rsid w:val="00682112"/>
    <w:rsid w:val="00684CE0"/>
    <w:rsid w:val="0068563A"/>
    <w:rsid w:val="00685743"/>
    <w:rsid w:val="00686957"/>
    <w:rsid w:val="006872BA"/>
    <w:rsid w:val="00691648"/>
    <w:rsid w:val="006917D7"/>
    <w:rsid w:val="00694C33"/>
    <w:rsid w:val="00694F44"/>
    <w:rsid w:val="00695F2C"/>
    <w:rsid w:val="006A26B5"/>
    <w:rsid w:val="006A4FE5"/>
    <w:rsid w:val="006A5B9D"/>
    <w:rsid w:val="006A5EFA"/>
    <w:rsid w:val="006A6F37"/>
    <w:rsid w:val="006A7E5F"/>
    <w:rsid w:val="006B261B"/>
    <w:rsid w:val="006B2C90"/>
    <w:rsid w:val="006B2F92"/>
    <w:rsid w:val="006B432D"/>
    <w:rsid w:val="006B5503"/>
    <w:rsid w:val="006B6220"/>
    <w:rsid w:val="006B6B01"/>
    <w:rsid w:val="006B6DD0"/>
    <w:rsid w:val="006C0007"/>
    <w:rsid w:val="006C0B39"/>
    <w:rsid w:val="006C2A8E"/>
    <w:rsid w:val="006C3C9E"/>
    <w:rsid w:val="006C6737"/>
    <w:rsid w:val="006C6B56"/>
    <w:rsid w:val="006D1577"/>
    <w:rsid w:val="006D3C7D"/>
    <w:rsid w:val="006D3F90"/>
    <w:rsid w:val="006D480F"/>
    <w:rsid w:val="006D5D5F"/>
    <w:rsid w:val="006E025C"/>
    <w:rsid w:val="006E046F"/>
    <w:rsid w:val="006E0646"/>
    <w:rsid w:val="006E2159"/>
    <w:rsid w:val="006F15F7"/>
    <w:rsid w:val="006F2F40"/>
    <w:rsid w:val="006F306C"/>
    <w:rsid w:val="006F466F"/>
    <w:rsid w:val="006F63A5"/>
    <w:rsid w:val="007008F7"/>
    <w:rsid w:val="0070142B"/>
    <w:rsid w:val="0070276E"/>
    <w:rsid w:val="00702E5D"/>
    <w:rsid w:val="00702F8F"/>
    <w:rsid w:val="0070337A"/>
    <w:rsid w:val="00711A36"/>
    <w:rsid w:val="0071529C"/>
    <w:rsid w:val="007172AD"/>
    <w:rsid w:val="00722B1B"/>
    <w:rsid w:val="0072416F"/>
    <w:rsid w:val="00724708"/>
    <w:rsid w:val="00724F65"/>
    <w:rsid w:val="0072670E"/>
    <w:rsid w:val="00727C94"/>
    <w:rsid w:val="00731EAE"/>
    <w:rsid w:val="00732674"/>
    <w:rsid w:val="00735033"/>
    <w:rsid w:val="00735328"/>
    <w:rsid w:val="0073685B"/>
    <w:rsid w:val="00740434"/>
    <w:rsid w:val="007411CC"/>
    <w:rsid w:val="007429A7"/>
    <w:rsid w:val="00742E4B"/>
    <w:rsid w:val="00747143"/>
    <w:rsid w:val="00752142"/>
    <w:rsid w:val="007523F9"/>
    <w:rsid w:val="0075731C"/>
    <w:rsid w:val="007573E8"/>
    <w:rsid w:val="00757C2E"/>
    <w:rsid w:val="00760C4E"/>
    <w:rsid w:val="0076183E"/>
    <w:rsid w:val="00765293"/>
    <w:rsid w:val="00765B1A"/>
    <w:rsid w:val="007667BA"/>
    <w:rsid w:val="00767CA8"/>
    <w:rsid w:val="00771872"/>
    <w:rsid w:val="007743B4"/>
    <w:rsid w:val="0077698E"/>
    <w:rsid w:val="00777CDC"/>
    <w:rsid w:val="007843F2"/>
    <w:rsid w:val="00785276"/>
    <w:rsid w:val="00791337"/>
    <w:rsid w:val="007979D5"/>
    <w:rsid w:val="007A059A"/>
    <w:rsid w:val="007A0A12"/>
    <w:rsid w:val="007A132D"/>
    <w:rsid w:val="007A271F"/>
    <w:rsid w:val="007A4878"/>
    <w:rsid w:val="007A4B2D"/>
    <w:rsid w:val="007B0D68"/>
    <w:rsid w:val="007B251D"/>
    <w:rsid w:val="007B2BA9"/>
    <w:rsid w:val="007B4F58"/>
    <w:rsid w:val="007B528D"/>
    <w:rsid w:val="007B6DF6"/>
    <w:rsid w:val="007B77D1"/>
    <w:rsid w:val="007C1C01"/>
    <w:rsid w:val="007C1CD9"/>
    <w:rsid w:val="007C361D"/>
    <w:rsid w:val="007C4B84"/>
    <w:rsid w:val="007D004F"/>
    <w:rsid w:val="007D0B38"/>
    <w:rsid w:val="007D0F3F"/>
    <w:rsid w:val="007D1311"/>
    <w:rsid w:val="007D4BED"/>
    <w:rsid w:val="007D5440"/>
    <w:rsid w:val="007D79BD"/>
    <w:rsid w:val="007E2CAB"/>
    <w:rsid w:val="007E4224"/>
    <w:rsid w:val="007E4951"/>
    <w:rsid w:val="007E7026"/>
    <w:rsid w:val="007F1017"/>
    <w:rsid w:val="007F4A3F"/>
    <w:rsid w:val="007F4A61"/>
    <w:rsid w:val="007F61C2"/>
    <w:rsid w:val="00804707"/>
    <w:rsid w:val="00805142"/>
    <w:rsid w:val="00805513"/>
    <w:rsid w:val="00805609"/>
    <w:rsid w:val="0080571F"/>
    <w:rsid w:val="00807A40"/>
    <w:rsid w:val="00807A8B"/>
    <w:rsid w:val="0081064F"/>
    <w:rsid w:val="008107C8"/>
    <w:rsid w:val="00810894"/>
    <w:rsid w:val="00811383"/>
    <w:rsid w:val="00812149"/>
    <w:rsid w:val="00812CAC"/>
    <w:rsid w:val="008130BE"/>
    <w:rsid w:val="00814131"/>
    <w:rsid w:val="008166EF"/>
    <w:rsid w:val="00820563"/>
    <w:rsid w:val="00824A96"/>
    <w:rsid w:val="00825751"/>
    <w:rsid w:val="00825C67"/>
    <w:rsid w:val="008264EB"/>
    <w:rsid w:val="008321D5"/>
    <w:rsid w:val="00833B05"/>
    <w:rsid w:val="00834B1F"/>
    <w:rsid w:val="0083597F"/>
    <w:rsid w:val="00835A14"/>
    <w:rsid w:val="008362B4"/>
    <w:rsid w:val="00837672"/>
    <w:rsid w:val="00840CA2"/>
    <w:rsid w:val="00842673"/>
    <w:rsid w:val="0084374F"/>
    <w:rsid w:val="00844D44"/>
    <w:rsid w:val="00847DF5"/>
    <w:rsid w:val="0085074D"/>
    <w:rsid w:val="00851278"/>
    <w:rsid w:val="00851705"/>
    <w:rsid w:val="008522A1"/>
    <w:rsid w:val="0085309D"/>
    <w:rsid w:val="00856897"/>
    <w:rsid w:val="00856E9A"/>
    <w:rsid w:val="008577DA"/>
    <w:rsid w:val="008578B8"/>
    <w:rsid w:val="0086075D"/>
    <w:rsid w:val="00862502"/>
    <w:rsid w:val="00862589"/>
    <w:rsid w:val="008638E5"/>
    <w:rsid w:val="00864B12"/>
    <w:rsid w:val="00865BC7"/>
    <w:rsid w:val="008660D4"/>
    <w:rsid w:val="00871FA9"/>
    <w:rsid w:val="00872446"/>
    <w:rsid w:val="008728E9"/>
    <w:rsid w:val="00872CBF"/>
    <w:rsid w:val="00875572"/>
    <w:rsid w:val="00875924"/>
    <w:rsid w:val="00881D19"/>
    <w:rsid w:val="00882874"/>
    <w:rsid w:val="00883787"/>
    <w:rsid w:val="00886CD2"/>
    <w:rsid w:val="00887471"/>
    <w:rsid w:val="0089021D"/>
    <w:rsid w:val="00892A36"/>
    <w:rsid w:val="00893239"/>
    <w:rsid w:val="00894489"/>
    <w:rsid w:val="00894916"/>
    <w:rsid w:val="008949D7"/>
    <w:rsid w:val="008963A5"/>
    <w:rsid w:val="008A3363"/>
    <w:rsid w:val="008A3371"/>
    <w:rsid w:val="008A3C3E"/>
    <w:rsid w:val="008A79DE"/>
    <w:rsid w:val="008B095F"/>
    <w:rsid w:val="008B0DB0"/>
    <w:rsid w:val="008B1757"/>
    <w:rsid w:val="008B6988"/>
    <w:rsid w:val="008B7D7E"/>
    <w:rsid w:val="008C233D"/>
    <w:rsid w:val="008C34DA"/>
    <w:rsid w:val="008C7ECB"/>
    <w:rsid w:val="008D11FD"/>
    <w:rsid w:val="008D239D"/>
    <w:rsid w:val="008D398F"/>
    <w:rsid w:val="008D4755"/>
    <w:rsid w:val="008D4C3D"/>
    <w:rsid w:val="008E0D3C"/>
    <w:rsid w:val="008E1B9E"/>
    <w:rsid w:val="008E3C2C"/>
    <w:rsid w:val="008E55AB"/>
    <w:rsid w:val="008E5F62"/>
    <w:rsid w:val="008F120A"/>
    <w:rsid w:val="008F23F1"/>
    <w:rsid w:val="008F27E0"/>
    <w:rsid w:val="008F48EB"/>
    <w:rsid w:val="008F4F0B"/>
    <w:rsid w:val="008F55C2"/>
    <w:rsid w:val="009000E5"/>
    <w:rsid w:val="00901C8B"/>
    <w:rsid w:val="009046C4"/>
    <w:rsid w:val="009062A5"/>
    <w:rsid w:val="009108A7"/>
    <w:rsid w:val="00911272"/>
    <w:rsid w:val="00911AC5"/>
    <w:rsid w:val="00912FD1"/>
    <w:rsid w:val="009135D6"/>
    <w:rsid w:val="00914C77"/>
    <w:rsid w:val="009179C8"/>
    <w:rsid w:val="009231BF"/>
    <w:rsid w:val="0092369B"/>
    <w:rsid w:val="00924A19"/>
    <w:rsid w:val="00925F13"/>
    <w:rsid w:val="009260B2"/>
    <w:rsid w:val="009351F1"/>
    <w:rsid w:val="00936EE9"/>
    <w:rsid w:val="009406CE"/>
    <w:rsid w:val="00943BF4"/>
    <w:rsid w:val="009449A9"/>
    <w:rsid w:val="00946E8D"/>
    <w:rsid w:val="00950E30"/>
    <w:rsid w:val="009510A2"/>
    <w:rsid w:val="00953257"/>
    <w:rsid w:val="009606F3"/>
    <w:rsid w:val="00960E16"/>
    <w:rsid w:val="00962158"/>
    <w:rsid w:val="00962CB9"/>
    <w:rsid w:val="00964312"/>
    <w:rsid w:val="00965B8A"/>
    <w:rsid w:val="00966294"/>
    <w:rsid w:val="0097124B"/>
    <w:rsid w:val="009717AC"/>
    <w:rsid w:val="00972ACA"/>
    <w:rsid w:val="009750B8"/>
    <w:rsid w:val="009763DE"/>
    <w:rsid w:val="0097693F"/>
    <w:rsid w:val="00977EF4"/>
    <w:rsid w:val="00983E57"/>
    <w:rsid w:val="0098675D"/>
    <w:rsid w:val="00992F0F"/>
    <w:rsid w:val="00995F4D"/>
    <w:rsid w:val="009962C3"/>
    <w:rsid w:val="00996B1A"/>
    <w:rsid w:val="009A2E74"/>
    <w:rsid w:val="009A5CA4"/>
    <w:rsid w:val="009A7F10"/>
    <w:rsid w:val="009B0ECD"/>
    <w:rsid w:val="009B270B"/>
    <w:rsid w:val="009B2B58"/>
    <w:rsid w:val="009B3E26"/>
    <w:rsid w:val="009B5365"/>
    <w:rsid w:val="009C0F9B"/>
    <w:rsid w:val="009C10DB"/>
    <w:rsid w:val="009C11F8"/>
    <w:rsid w:val="009C6CEA"/>
    <w:rsid w:val="009C7B85"/>
    <w:rsid w:val="009D247F"/>
    <w:rsid w:val="009D3569"/>
    <w:rsid w:val="009D3DFB"/>
    <w:rsid w:val="009D56FD"/>
    <w:rsid w:val="009D5B91"/>
    <w:rsid w:val="009D716F"/>
    <w:rsid w:val="009D792E"/>
    <w:rsid w:val="009E0BBB"/>
    <w:rsid w:val="009E0C20"/>
    <w:rsid w:val="009E0DFE"/>
    <w:rsid w:val="009E15F7"/>
    <w:rsid w:val="009E4C07"/>
    <w:rsid w:val="009E56E8"/>
    <w:rsid w:val="009E5B09"/>
    <w:rsid w:val="009E69FF"/>
    <w:rsid w:val="009F33CC"/>
    <w:rsid w:val="009F4807"/>
    <w:rsid w:val="009F49E4"/>
    <w:rsid w:val="009F4D99"/>
    <w:rsid w:val="00A01184"/>
    <w:rsid w:val="00A03D43"/>
    <w:rsid w:val="00A04380"/>
    <w:rsid w:val="00A11CD0"/>
    <w:rsid w:val="00A1255A"/>
    <w:rsid w:val="00A13948"/>
    <w:rsid w:val="00A1555B"/>
    <w:rsid w:val="00A155C5"/>
    <w:rsid w:val="00A16AD8"/>
    <w:rsid w:val="00A17AF3"/>
    <w:rsid w:val="00A21CF3"/>
    <w:rsid w:val="00A25F9F"/>
    <w:rsid w:val="00A27AEC"/>
    <w:rsid w:val="00A320DB"/>
    <w:rsid w:val="00A32EFB"/>
    <w:rsid w:val="00A33032"/>
    <w:rsid w:val="00A3334B"/>
    <w:rsid w:val="00A343A5"/>
    <w:rsid w:val="00A35682"/>
    <w:rsid w:val="00A35D16"/>
    <w:rsid w:val="00A36261"/>
    <w:rsid w:val="00A36B06"/>
    <w:rsid w:val="00A37BCD"/>
    <w:rsid w:val="00A420E0"/>
    <w:rsid w:val="00A42C50"/>
    <w:rsid w:val="00A437D9"/>
    <w:rsid w:val="00A43C59"/>
    <w:rsid w:val="00A470B5"/>
    <w:rsid w:val="00A50ECD"/>
    <w:rsid w:val="00A518F3"/>
    <w:rsid w:val="00A52729"/>
    <w:rsid w:val="00A53675"/>
    <w:rsid w:val="00A564D7"/>
    <w:rsid w:val="00A56B6A"/>
    <w:rsid w:val="00A578DC"/>
    <w:rsid w:val="00A57C22"/>
    <w:rsid w:val="00A61D6D"/>
    <w:rsid w:val="00A6209D"/>
    <w:rsid w:val="00A62FF8"/>
    <w:rsid w:val="00A6725B"/>
    <w:rsid w:val="00A70605"/>
    <w:rsid w:val="00A70652"/>
    <w:rsid w:val="00A71F4A"/>
    <w:rsid w:val="00A724A0"/>
    <w:rsid w:val="00A73134"/>
    <w:rsid w:val="00A749F1"/>
    <w:rsid w:val="00A777B2"/>
    <w:rsid w:val="00A7799F"/>
    <w:rsid w:val="00A85240"/>
    <w:rsid w:val="00A8653A"/>
    <w:rsid w:val="00A86E8B"/>
    <w:rsid w:val="00A87164"/>
    <w:rsid w:val="00A93072"/>
    <w:rsid w:val="00A93953"/>
    <w:rsid w:val="00A959D8"/>
    <w:rsid w:val="00AA113D"/>
    <w:rsid w:val="00AA2788"/>
    <w:rsid w:val="00AA2917"/>
    <w:rsid w:val="00AA2E3F"/>
    <w:rsid w:val="00AA3645"/>
    <w:rsid w:val="00AA6C7D"/>
    <w:rsid w:val="00AA7F09"/>
    <w:rsid w:val="00AA7FD6"/>
    <w:rsid w:val="00AB042A"/>
    <w:rsid w:val="00AB22D7"/>
    <w:rsid w:val="00AB2D34"/>
    <w:rsid w:val="00AB3430"/>
    <w:rsid w:val="00AB3C81"/>
    <w:rsid w:val="00AB4615"/>
    <w:rsid w:val="00AB4AD1"/>
    <w:rsid w:val="00AB7051"/>
    <w:rsid w:val="00AB7AA4"/>
    <w:rsid w:val="00AB7CFA"/>
    <w:rsid w:val="00AC0986"/>
    <w:rsid w:val="00AC3B15"/>
    <w:rsid w:val="00AC4864"/>
    <w:rsid w:val="00AC52CD"/>
    <w:rsid w:val="00AC563A"/>
    <w:rsid w:val="00AC5B48"/>
    <w:rsid w:val="00AD01A9"/>
    <w:rsid w:val="00AD08BB"/>
    <w:rsid w:val="00AD10DD"/>
    <w:rsid w:val="00AD1138"/>
    <w:rsid w:val="00AD1BA5"/>
    <w:rsid w:val="00AD2E20"/>
    <w:rsid w:val="00AD3A6B"/>
    <w:rsid w:val="00AD6502"/>
    <w:rsid w:val="00AE6199"/>
    <w:rsid w:val="00AE6288"/>
    <w:rsid w:val="00AE652F"/>
    <w:rsid w:val="00AF1315"/>
    <w:rsid w:val="00AF1753"/>
    <w:rsid w:val="00AF19BF"/>
    <w:rsid w:val="00AF2DC3"/>
    <w:rsid w:val="00AF7731"/>
    <w:rsid w:val="00B0284A"/>
    <w:rsid w:val="00B033E5"/>
    <w:rsid w:val="00B03A63"/>
    <w:rsid w:val="00B03F72"/>
    <w:rsid w:val="00B04A9D"/>
    <w:rsid w:val="00B050E8"/>
    <w:rsid w:val="00B06428"/>
    <w:rsid w:val="00B074BC"/>
    <w:rsid w:val="00B07555"/>
    <w:rsid w:val="00B108E7"/>
    <w:rsid w:val="00B14CD7"/>
    <w:rsid w:val="00B150B0"/>
    <w:rsid w:val="00B16F9D"/>
    <w:rsid w:val="00B201A4"/>
    <w:rsid w:val="00B20368"/>
    <w:rsid w:val="00B213A6"/>
    <w:rsid w:val="00B24DF6"/>
    <w:rsid w:val="00B25CF5"/>
    <w:rsid w:val="00B31F39"/>
    <w:rsid w:val="00B34F0F"/>
    <w:rsid w:val="00B34FE2"/>
    <w:rsid w:val="00B35569"/>
    <w:rsid w:val="00B357D8"/>
    <w:rsid w:val="00B35D9E"/>
    <w:rsid w:val="00B360B2"/>
    <w:rsid w:val="00B37BFC"/>
    <w:rsid w:val="00B40358"/>
    <w:rsid w:val="00B41614"/>
    <w:rsid w:val="00B42851"/>
    <w:rsid w:val="00B42F80"/>
    <w:rsid w:val="00B435CB"/>
    <w:rsid w:val="00B44638"/>
    <w:rsid w:val="00B45D00"/>
    <w:rsid w:val="00B50DB8"/>
    <w:rsid w:val="00B51E79"/>
    <w:rsid w:val="00B53654"/>
    <w:rsid w:val="00B53905"/>
    <w:rsid w:val="00B54B5B"/>
    <w:rsid w:val="00B5562E"/>
    <w:rsid w:val="00B57000"/>
    <w:rsid w:val="00B60939"/>
    <w:rsid w:val="00B60AFD"/>
    <w:rsid w:val="00B61416"/>
    <w:rsid w:val="00B61CA5"/>
    <w:rsid w:val="00B62715"/>
    <w:rsid w:val="00B655EF"/>
    <w:rsid w:val="00B66A87"/>
    <w:rsid w:val="00B70FBC"/>
    <w:rsid w:val="00B71169"/>
    <w:rsid w:val="00B74727"/>
    <w:rsid w:val="00B7483A"/>
    <w:rsid w:val="00B761FC"/>
    <w:rsid w:val="00B818A4"/>
    <w:rsid w:val="00B82742"/>
    <w:rsid w:val="00B82D85"/>
    <w:rsid w:val="00B84117"/>
    <w:rsid w:val="00B85AA2"/>
    <w:rsid w:val="00B8649C"/>
    <w:rsid w:val="00B87F0A"/>
    <w:rsid w:val="00B9039E"/>
    <w:rsid w:val="00B9057F"/>
    <w:rsid w:val="00B92D0B"/>
    <w:rsid w:val="00B94945"/>
    <w:rsid w:val="00B95C0A"/>
    <w:rsid w:val="00B97658"/>
    <w:rsid w:val="00BA1228"/>
    <w:rsid w:val="00BA322D"/>
    <w:rsid w:val="00BA54FE"/>
    <w:rsid w:val="00BB0BDD"/>
    <w:rsid w:val="00BB2A73"/>
    <w:rsid w:val="00BB3DD7"/>
    <w:rsid w:val="00BB4291"/>
    <w:rsid w:val="00BB4ACC"/>
    <w:rsid w:val="00BB703E"/>
    <w:rsid w:val="00BB7405"/>
    <w:rsid w:val="00BB795F"/>
    <w:rsid w:val="00BC00BC"/>
    <w:rsid w:val="00BC3631"/>
    <w:rsid w:val="00BC3FC8"/>
    <w:rsid w:val="00BC45C5"/>
    <w:rsid w:val="00BD0A7A"/>
    <w:rsid w:val="00BD630A"/>
    <w:rsid w:val="00BD68A3"/>
    <w:rsid w:val="00BD6938"/>
    <w:rsid w:val="00BD6CF3"/>
    <w:rsid w:val="00BE00F6"/>
    <w:rsid w:val="00BE07CD"/>
    <w:rsid w:val="00BE1773"/>
    <w:rsid w:val="00BE2180"/>
    <w:rsid w:val="00BE21F2"/>
    <w:rsid w:val="00BE4275"/>
    <w:rsid w:val="00BE5375"/>
    <w:rsid w:val="00BE5ECD"/>
    <w:rsid w:val="00BE6D92"/>
    <w:rsid w:val="00BE7751"/>
    <w:rsid w:val="00BF0F95"/>
    <w:rsid w:val="00BF13B4"/>
    <w:rsid w:val="00BF1438"/>
    <w:rsid w:val="00BF2433"/>
    <w:rsid w:val="00BF61C9"/>
    <w:rsid w:val="00BF6C94"/>
    <w:rsid w:val="00C00424"/>
    <w:rsid w:val="00C01592"/>
    <w:rsid w:val="00C024A3"/>
    <w:rsid w:val="00C04A15"/>
    <w:rsid w:val="00C06EC1"/>
    <w:rsid w:val="00C11BF8"/>
    <w:rsid w:val="00C12C14"/>
    <w:rsid w:val="00C17003"/>
    <w:rsid w:val="00C200AA"/>
    <w:rsid w:val="00C20135"/>
    <w:rsid w:val="00C230E0"/>
    <w:rsid w:val="00C2326E"/>
    <w:rsid w:val="00C237ED"/>
    <w:rsid w:val="00C24632"/>
    <w:rsid w:val="00C25418"/>
    <w:rsid w:val="00C25D9C"/>
    <w:rsid w:val="00C2778B"/>
    <w:rsid w:val="00C31649"/>
    <w:rsid w:val="00C33228"/>
    <w:rsid w:val="00C352A2"/>
    <w:rsid w:val="00C3626C"/>
    <w:rsid w:val="00C40385"/>
    <w:rsid w:val="00C409EB"/>
    <w:rsid w:val="00C467FE"/>
    <w:rsid w:val="00C46F4A"/>
    <w:rsid w:val="00C475AA"/>
    <w:rsid w:val="00C4768D"/>
    <w:rsid w:val="00C51E73"/>
    <w:rsid w:val="00C52AE7"/>
    <w:rsid w:val="00C55978"/>
    <w:rsid w:val="00C559CA"/>
    <w:rsid w:val="00C60AEB"/>
    <w:rsid w:val="00C65576"/>
    <w:rsid w:val="00C66165"/>
    <w:rsid w:val="00C664BB"/>
    <w:rsid w:val="00C7151A"/>
    <w:rsid w:val="00C71F60"/>
    <w:rsid w:val="00C72241"/>
    <w:rsid w:val="00C750C8"/>
    <w:rsid w:val="00C7560F"/>
    <w:rsid w:val="00C80A0E"/>
    <w:rsid w:val="00C8204E"/>
    <w:rsid w:val="00C8213F"/>
    <w:rsid w:val="00C8469B"/>
    <w:rsid w:val="00C85C8C"/>
    <w:rsid w:val="00C85FEB"/>
    <w:rsid w:val="00C8797A"/>
    <w:rsid w:val="00C87A6D"/>
    <w:rsid w:val="00C900B8"/>
    <w:rsid w:val="00C90C71"/>
    <w:rsid w:val="00C91AEE"/>
    <w:rsid w:val="00C931CF"/>
    <w:rsid w:val="00C938CF"/>
    <w:rsid w:val="00C953C8"/>
    <w:rsid w:val="00C9624D"/>
    <w:rsid w:val="00C969DA"/>
    <w:rsid w:val="00CA2C77"/>
    <w:rsid w:val="00CA3972"/>
    <w:rsid w:val="00CA444F"/>
    <w:rsid w:val="00CA4F86"/>
    <w:rsid w:val="00CA5245"/>
    <w:rsid w:val="00CA71F4"/>
    <w:rsid w:val="00CA7297"/>
    <w:rsid w:val="00CA7B09"/>
    <w:rsid w:val="00CB2F2A"/>
    <w:rsid w:val="00CB384C"/>
    <w:rsid w:val="00CB5B1A"/>
    <w:rsid w:val="00CB6B22"/>
    <w:rsid w:val="00CB7F5F"/>
    <w:rsid w:val="00CC1B39"/>
    <w:rsid w:val="00CC31FC"/>
    <w:rsid w:val="00CD1A82"/>
    <w:rsid w:val="00CD36C3"/>
    <w:rsid w:val="00CD4EE9"/>
    <w:rsid w:val="00CD5A54"/>
    <w:rsid w:val="00CD6ADC"/>
    <w:rsid w:val="00CE136E"/>
    <w:rsid w:val="00CE2E2E"/>
    <w:rsid w:val="00CE605E"/>
    <w:rsid w:val="00CE6274"/>
    <w:rsid w:val="00CE68A7"/>
    <w:rsid w:val="00CF1583"/>
    <w:rsid w:val="00CF2B8D"/>
    <w:rsid w:val="00CF456B"/>
    <w:rsid w:val="00CF5A22"/>
    <w:rsid w:val="00D0230D"/>
    <w:rsid w:val="00D0262E"/>
    <w:rsid w:val="00D0277C"/>
    <w:rsid w:val="00D036D5"/>
    <w:rsid w:val="00D03F38"/>
    <w:rsid w:val="00D06D3C"/>
    <w:rsid w:val="00D110BD"/>
    <w:rsid w:val="00D111ED"/>
    <w:rsid w:val="00D12413"/>
    <w:rsid w:val="00D13675"/>
    <w:rsid w:val="00D13B07"/>
    <w:rsid w:val="00D141E1"/>
    <w:rsid w:val="00D14A26"/>
    <w:rsid w:val="00D16DE8"/>
    <w:rsid w:val="00D17D6C"/>
    <w:rsid w:val="00D216D1"/>
    <w:rsid w:val="00D25B7D"/>
    <w:rsid w:val="00D2754D"/>
    <w:rsid w:val="00D27B27"/>
    <w:rsid w:val="00D27F39"/>
    <w:rsid w:val="00D325D5"/>
    <w:rsid w:val="00D336B9"/>
    <w:rsid w:val="00D33BE9"/>
    <w:rsid w:val="00D357FF"/>
    <w:rsid w:val="00D367B2"/>
    <w:rsid w:val="00D4034F"/>
    <w:rsid w:val="00D404E1"/>
    <w:rsid w:val="00D419D1"/>
    <w:rsid w:val="00D42434"/>
    <w:rsid w:val="00D424C7"/>
    <w:rsid w:val="00D43B2A"/>
    <w:rsid w:val="00D46D79"/>
    <w:rsid w:val="00D47575"/>
    <w:rsid w:val="00D4769A"/>
    <w:rsid w:val="00D511D7"/>
    <w:rsid w:val="00D5198C"/>
    <w:rsid w:val="00D52336"/>
    <w:rsid w:val="00D6061F"/>
    <w:rsid w:val="00D63C08"/>
    <w:rsid w:val="00D64227"/>
    <w:rsid w:val="00D65878"/>
    <w:rsid w:val="00D70F16"/>
    <w:rsid w:val="00D72939"/>
    <w:rsid w:val="00D74441"/>
    <w:rsid w:val="00D75519"/>
    <w:rsid w:val="00D76A44"/>
    <w:rsid w:val="00D76D93"/>
    <w:rsid w:val="00D815EF"/>
    <w:rsid w:val="00D86ECE"/>
    <w:rsid w:val="00D8754B"/>
    <w:rsid w:val="00D9086C"/>
    <w:rsid w:val="00D91202"/>
    <w:rsid w:val="00D91923"/>
    <w:rsid w:val="00D93753"/>
    <w:rsid w:val="00D9496E"/>
    <w:rsid w:val="00D9528B"/>
    <w:rsid w:val="00DA2AFA"/>
    <w:rsid w:val="00DA3167"/>
    <w:rsid w:val="00DA4DC3"/>
    <w:rsid w:val="00DA77A5"/>
    <w:rsid w:val="00DB0D5C"/>
    <w:rsid w:val="00DB2D5A"/>
    <w:rsid w:val="00DB484F"/>
    <w:rsid w:val="00DC04F6"/>
    <w:rsid w:val="00DC16EB"/>
    <w:rsid w:val="00DC263F"/>
    <w:rsid w:val="00DC3C57"/>
    <w:rsid w:val="00DC4867"/>
    <w:rsid w:val="00DC5501"/>
    <w:rsid w:val="00DD273C"/>
    <w:rsid w:val="00DD3B41"/>
    <w:rsid w:val="00DD3F28"/>
    <w:rsid w:val="00DD4537"/>
    <w:rsid w:val="00DD4E15"/>
    <w:rsid w:val="00DE3138"/>
    <w:rsid w:val="00DE37F8"/>
    <w:rsid w:val="00DE4FCB"/>
    <w:rsid w:val="00DE7832"/>
    <w:rsid w:val="00DF18FC"/>
    <w:rsid w:val="00DF1CA4"/>
    <w:rsid w:val="00DF5D2B"/>
    <w:rsid w:val="00DF6E10"/>
    <w:rsid w:val="00E000A2"/>
    <w:rsid w:val="00E00E8E"/>
    <w:rsid w:val="00E054B7"/>
    <w:rsid w:val="00E05630"/>
    <w:rsid w:val="00E06DBB"/>
    <w:rsid w:val="00E10149"/>
    <w:rsid w:val="00E112D3"/>
    <w:rsid w:val="00E16372"/>
    <w:rsid w:val="00E20E4D"/>
    <w:rsid w:val="00E20ED6"/>
    <w:rsid w:val="00E21358"/>
    <w:rsid w:val="00E2249B"/>
    <w:rsid w:val="00E22A0D"/>
    <w:rsid w:val="00E24CFE"/>
    <w:rsid w:val="00E2771E"/>
    <w:rsid w:val="00E27AFB"/>
    <w:rsid w:val="00E34948"/>
    <w:rsid w:val="00E37569"/>
    <w:rsid w:val="00E418D3"/>
    <w:rsid w:val="00E41E30"/>
    <w:rsid w:val="00E43D70"/>
    <w:rsid w:val="00E466F3"/>
    <w:rsid w:val="00E47B2C"/>
    <w:rsid w:val="00E51560"/>
    <w:rsid w:val="00E53085"/>
    <w:rsid w:val="00E53813"/>
    <w:rsid w:val="00E54347"/>
    <w:rsid w:val="00E5451D"/>
    <w:rsid w:val="00E55424"/>
    <w:rsid w:val="00E55558"/>
    <w:rsid w:val="00E55BB5"/>
    <w:rsid w:val="00E563B8"/>
    <w:rsid w:val="00E56F21"/>
    <w:rsid w:val="00E65E79"/>
    <w:rsid w:val="00E66BA2"/>
    <w:rsid w:val="00E67416"/>
    <w:rsid w:val="00E718B6"/>
    <w:rsid w:val="00E723BA"/>
    <w:rsid w:val="00E73581"/>
    <w:rsid w:val="00E77D62"/>
    <w:rsid w:val="00E833F7"/>
    <w:rsid w:val="00E83BDF"/>
    <w:rsid w:val="00E87A1D"/>
    <w:rsid w:val="00E926A5"/>
    <w:rsid w:val="00EA08AD"/>
    <w:rsid w:val="00EA17C3"/>
    <w:rsid w:val="00EA1ECF"/>
    <w:rsid w:val="00EA1F3F"/>
    <w:rsid w:val="00EA2A92"/>
    <w:rsid w:val="00EA2CAA"/>
    <w:rsid w:val="00EA3864"/>
    <w:rsid w:val="00EA7059"/>
    <w:rsid w:val="00EB15B6"/>
    <w:rsid w:val="00EB4916"/>
    <w:rsid w:val="00EC00C9"/>
    <w:rsid w:val="00EC2649"/>
    <w:rsid w:val="00EC3AD1"/>
    <w:rsid w:val="00ED1AA3"/>
    <w:rsid w:val="00ED231C"/>
    <w:rsid w:val="00ED4CBF"/>
    <w:rsid w:val="00ED57EA"/>
    <w:rsid w:val="00ED5D3F"/>
    <w:rsid w:val="00ED6944"/>
    <w:rsid w:val="00ED698C"/>
    <w:rsid w:val="00EE07D3"/>
    <w:rsid w:val="00EE22AF"/>
    <w:rsid w:val="00EE34DA"/>
    <w:rsid w:val="00EE5347"/>
    <w:rsid w:val="00EE5AA3"/>
    <w:rsid w:val="00EE6488"/>
    <w:rsid w:val="00EF0171"/>
    <w:rsid w:val="00EF01B3"/>
    <w:rsid w:val="00EF01F0"/>
    <w:rsid w:val="00EF0454"/>
    <w:rsid w:val="00EF06F2"/>
    <w:rsid w:val="00EF0AE2"/>
    <w:rsid w:val="00EF1B25"/>
    <w:rsid w:val="00EF1E12"/>
    <w:rsid w:val="00EF3571"/>
    <w:rsid w:val="00EF4747"/>
    <w:rsid w:val="00EF4BF8"/>
    <w:rsid w:val="00F00756"/>
    <w:rsid w:val="00F018AD"/>
    <w:rsid w:val="00F01A18"/>
    <w:rsid w:val="00F02253"/>
    <w:rsid w:val="00F03C2E"/>
    <w:rsid w:val="00F04A66"/>
    <w:rsid w:val="00F0516C"/>
    <w:rsid w:val="00F067A2"/>
    <w:rsid w:val="00F118B8"/>
    <w:rsid w:val="00F118D3"/>
    <w:rsid w:val="00F1263A"/>
    <w:rsid w:val="00F137D3"/>
    <w:rsid w:val="00F176BE"/>
    <w:rsid w:val="00F17DC7"/>
    <w:rsid w:val="00F22D2F"/>
    <w:rsid w:val="00F24837"/>
    <w:rsid w:val="00F2575F"/>
    <w:rsid w:val="00F25ED8"/>
    <w:rsid w:val="00F264DD"/>
    <w:rsid w:val="00F26AE7"/>
    <w:rsid w:val="00F27565"/>
    <w:rsid w:val="00F310D4"/>
    <w:rsid w:val="00F3134B"/>
    <w:rsid w:val="00F31B32"/>
    <w:rsid w:val="00F31D5A"/>
    <w:rsid w:val="00F31DA7"/>
    <w:rsid w:val="00F33DE9"/>
    <w:rsid w:val="00F34137"/>
    <w:rsid w:val="00F3464F"/>
    <w:rsid w:val="00F3619A"/>
    <w:rsid w:val="00F37557"/>
    <w:rsid w:val="00F375ED"/>
    <w:rsid w:val="00F379C5"/>
    <w:rsid w:val="00F404C5"/>
    <w:rsid w:val="00F40AAA"/>
    <w:rsid w:val="00F40BA7"/>
    <w:rsid w:val="00F41639"/>
    <w:rsid w:val="00F41D43"/>
    <w:rsid w:val="00F448F3"/>
    <w:rsid w:val="00F46CB6"/>
    <w:rsid w:val="00F47DE8"/>
    <w:rsid w:val="00F5107F"/>
    <w:rsid w:val="00F52591"/>
    <w:rsid w:val="00F54193"/>
    <w:rsid w:val="00F542C1"/>
    <w:rsid w:val="00F55E73"/>
    <w:rsid w:val="00F55EDA"/>
    <w:rsid w:val="00F60092"/>
    <w:rsid w:val="00F60AC9"/>
    <w:rsid w:val="00F6146F"/>
    <w:rsid w:val="00F65F4B"/>
    <w:rsid w:val="00F70C9D"/>
    <w:rsid w:val="00F71FC4"/>
    <w:rsid w:val="00F74CD9"/>
    <w:rsid w:val="00F7516E"/>
    <w:rsid w:val="00F76F05"/>
    <w:rsid w:val="00F80A7B"/>
    <w:rsid w:val="00F80E5D"/>
    <w:rsid w:val="00F825FA"/>
    <w:rsid w:val="00F82A9C"/>
    <w:rsid w:val="00F851CE"/>
    <w:rsid w:val="00F854C3"/>
    <w:rsid w:val="00F86E0D"/>
    <w:rsid w:val="00F87D73"/>
    <w:rsid w:val="00F91219"/>
    <w:rsid w:val="00F92CB7"/>
    <w:rsid w:val="00F93CD9"/>
    <w:rsid w:val="00F97A78"/>
    <w:rsid w:val="00F97CBD"/>
    <w:rsid w:val="00FA095C"/>
    <w:rsid w:val="00FA0B20"/>
    <w:rsid w:val="00FA24E7"/>
    <w:rsid w:val="00FB2FCB"/>
    <w:rsid w:val="00FB36E8"/>
    <w:rsid w:val="00FB3A6B"/>
    <w:rsid w:val="00FC0238"/>
    <w:rsid w:val="00FC1074"/>
    <w:rsid w:val="00FC1884"/>
    <w:rsid w:val="00FC371D"/>
    <w:rsid w:val="00FC5F0B"/>
    <w:rsid w:val="00FD1BF8"/>
    <w:rsid w:val="00FD2100"/>
    <w:rsid w:val="00FD436C"/>
    <w:rsid w:val="00FD446D"/>
    <w:rsid w:val="00FD6394"/>
    <w:rsid w:val="00FD7815"/>
    <w:rsid w:val="00FE0111"/>
    <w:rsid w:val="00FE0E6C"/>
    <w:rsid w:val="00FE10F9"/>
    <w:rsid w:val="00FE426D"/>
    <w:rsid w:val="00FE70C3"/>
    <w:rsid w:val="00FF22FF"/>
    <w:rsid w:val="00FF2D8B"/>
    <w:rsid w:val="00FF3DCF"/>
    <w:rsid w:val="00FF4217"/>
    <w:rsid w:val="00FF48A6"/>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024A3"/>
    <w:rPr>
      <w:sz w:val="24"/>
      <w:szCs w:val="24"/>
      <w:lang w:val="en-US" w:eastAsia="en-US"/>
    </w:rPr>
  </w:style>
  <w:style w:type="paragraph" w:styleId="Heading1">
    <w:name w:val="heading 1"/>
    <w:basedOn w:val="Normal"/>
    <w:next w:val="Normal"/>
    <w:qFormat/>
    <w:rsid w:val="001B204E"/>
    <w:pPr>
      <w:widowControl w:val="0"/>
      <w:ind w:left="720" w:hanging="720"/>
      <w:jc w:val="both"/>
      <w:outlineLvl w:val="0"/>
    </w:pPr>
    <w:rPr>
      <w:rFonts w:ascii="Calibri" w:hAnsi="Calibri" w:cs="Arial"/>
      <w:b/>
      <w:caps/>
      <w:snapToGrid w:val="0"/>
      <w:sz w:val="32"/>
      <w:szCs w:val="22"/>
      <w:lang w:val="en-AU"/>
    </w:rPr>
  </w:style>
  <w:style w:type="paragraph" w:styleId="Heading2">
    <w:name w:val="heading 2"/>
    <w:basedOn w:val="Normal"/>
    <w:next w:val="Normal"/>
    <w:link w:val="Heading2Char"/>
    <w:qFormat/>
    <w:rsid w:val="001B204E"/>
    <w:pPr>
      <w:widowControl w:val="0"/>
      <w:jc w:val="both"/>
      <w:outlineLvl w:val="1"/>
    </w:pPr>
    <w:rPr>
      <w:rFonts w:ascii="Calibri" w:hAnsi="Calibri" w:cs="Arial"/>
      <w:b/>
      <w:i/>
      <w:snapToGrid w:val="0"/>
      <w:sz w:val="28"/>
      <w:szCs w:val="22"/>
      <w:lang w:val="en-AU"/>
    </w:rPr>
  </w:style>
  <w:style w:type="paragraph" w:styleId="Heading3">
    <w:name w:val="heading 3"/>
    <w:basedOn w:val="Normal"/>
    <w:next w:val="Normal"/>
    <w:rsid w:val="001F7361"/>
    <w:pPr>
      <w:widowControl w:val="0"/>
      <w:jc w:val="both"/>
      <w:outlineLvl w:val="2"/>
    </w:pPr>
    <w:rPr>
      <w:rFonts w:ascii="Calibri" w:hAnsi="Calibri" w:cs="Arial"/>
      <w:snapToGrid w:val="0"/>
      <w:szCs w:val="22"/>
      <w:u w:val="single"/>
      <w:lang w:val="en-AU"/>
    </w:rPr>
  </w:style>
  <w:style w:type="paragraph" w:styleId="Heading4">
    <w:name w:val="heading 4"/>
    <w:basedOn w:val="Normal"/>
    <w:next w:val="Normal"/>
    <w:rsid w:val="00124A51"/>
    <w:pPr>
      <w:keepNext/>
      <w:widowControl w:val="0"/>
      <w:spacing w:before="240" w:after="60"/>
      <w:jc w:val="both"/>
      <w:outlineLvl w:val="3"/>
    </w:pPr>
    <w:rPr>
      <w:rFonts w:ascii="Calibri" w:hAnsi="Calibri" w:cs="Arial"/>
      <w:b/>
      <w:bCs/>
      <w:i/>
      <w:snapToGrid w:val="0"/>
      <w:sz w:val="26"/>
      <w:szCs w:val="28"/>
      <w:lang w:val="en-AU"/>
    </w:rPr>
  </w:style>
  <w:style w:type="paragraph" w:styleId="Heading5">
    <w:name w:val="heading 5"/>
    <w:basedOn w:val="Normal"/>
    <w:next w:val="Normal"/>
    <w:rsid w:val="00124A51"/>
    <w:pPr>
      <w:widowControl w:val="0"/>
      <w:spacing w:before="240" w:after="60"/>
      <w:jc w:val="both"/>
      <w:outlineLvl w:val="4"/>
    </w:pPr>
    <w:rPr>
      <w:rFonts w:ascii="Calibri" w:hAnsi="Calibri" w:cs="Arial"/>
      <w:b/>
      <w:bCs/>
      <w:iCs/>
      <w:snapToGrid w:val="0"/>
      <w:sz w:val="26"/>
      <w:szCs w:val="26"/>
      <w:lang w:val="en-AU"/>
    </w:rPr>
  </w:style>
  <w:style w:type="paragraph" w:styleId="Heading6">
    <w:name w:val="heading 6"/>
    <w:basedOn w:val="Normal"/>
    <w:next w:val="Normal"/>
    <w:rsid w:val="00124A51"/>
    <w:pPr>
      <w:widowControl w:val="0"/>
      <w:spacing w:before="240" w:after="60"/>
      <w:jc w:val="both"/>
      <w:outlineLvl w:val="5"/>
    </w:pPr>
    <w:rPr>
      <w:rFonts w:ascii="Calibri" w:hAnsi="Calibri" w:cs="Arial"/>
      <w:b/>
      <w:bCs/>
      <w:i/>
      <w:snapToGrid w:val="0"/>
      <w:szCs w:val="22"/>
      <w:lang w:val="en-AU"/>
    </w:rPr>
  </w:style>
  <w:style w:type="paragraph" w:styleId="Heading7">
    <w:name w:val="heading 7"/>
    <w:basedOn w:val="Normal"/>
    <w:next w:val="Normal"/>
    <w:link w:val="Heading7Char"/>
    <w:rsid w:val="00124A51"/>
    <w:pPr>
      <w:keepNext/>
      <w:widowControl w:val="0"/>
      <w:jc w:val="center"/>
      <w:outlineLvl w:val="6"/>
    </w:pPr>
    <w:rPr>
      <w:rFonts w:ascii="Calibri" w:hAnsi="Calibri" w:cs="Arial"/>
      <w:b/>
      <w:snapToGrid w:val="0"/>
      <w:sz w:val="20"/>
      <w:szCs w:val="22"/>
      <w:lang w:val="en-AU"/>
    </w:rPr>
  </w:style>
  <w:style w:type="paragraph" w:styleId="Heading8">
    <w:name w:val="heading 8"/>
    <w:basedOn w:val="Normal"/>
    <w:next w:val="Normal"/>
    <w:link w:val="Heading8Char"/>
    <w:rsid w:val="00124A51"/>
    <w:pPr>
      <w:keepNext/>
      <w:widowControl w:val="0"/>
      <w:jc w:val="right"/>
      <w:outlineLvl w:val="7"/>
    </w:pPr>
    <w:rPr>
      <w:rFonts w:ascii="Calibri" w:hAnsi="Calibri" w:cs="Arial"/>
      <w:b/>
      <w:snapToGrid w:val="0"/>
      <w:szCs w:val="22"/>
      <w:lang w:val="en-AU"/>
    </w:rPr>
  </w:style>
  <w:style w:type="paragraph" w:styleId="Heading9">
    <w:name w:val="heading 9"/>
    <w:basedOn w:val="Normal"/>
    <w:next w:val="Normal"/>
    <w:link w:val="Heading9Char"/>
    <w:rsid w:val="00124A51"/>
    <w:pPr>
      <w:keepNext/>
      <w:widowControl w:val="0"/>
      <w:jc w:val="center"/>
      <w:outlineLvl w:val="8"/>
    </w:pPr>
    <w:rPr>
      <w:rFonts w:ascii="Calibri" w:hAnsi="Calibri" w:cs="Arial"/>
      <w:b/>
      <w:snapToGrid w:val="0"/>
      <w:color w:val="000000"/>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pPr>
      <w:widowControl w:val="0"/>
      <w:jc w:val="both"/>
    </w:pPr>
    <w:rPr>
      <w:rFonts w:ascii="Arial Narrow" w:hAnsi="Arial Narrow" w:cs="Arial"/>
      <w:snapToGrid w:val="0"/>
      <w:sz w:val="18"/>
      <w:szCs w:val="22"/>
      <w:lang w:val="en-AU"/>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pPr>
      <w:widowControl w:val="0"/>
      <w:jc w:val="both"/>
    </w:pPr>
    <w:rPr>
      <w:rFonts w:ascii="Calibri" w:hAnsi="Calibri" w:cs="Arial"/>
      <w:b/>
      <w:snapToGrid w:val="0"/>
      <w:sz w:val="20"/>
      <w:szCs w:val="22"/>
      <w:lang w:val="en-AU"/>
    </w:rPr>
  </w:style>
  <w:style w:type="paragraph" w:styleId="Caption">
    <w:name w:val="caption"/>
    <w:basedOn w:val="Normal"/>
    <w:next w:val="Normal"/>
    <w:link w:val="CaptionChar"/>
    <w:unhideWhenUsed/>
    <w:rsid w:val="00124A51"/>
    <w:pPr>
      <w:widowControl w:val="0"/>
      <w:spacing w:after="200"/>
      <w:jc w:val="both"/>
    </w:pPr>
    <w:rPr>
      <w:rFonts w:ascii="Calibri" w:hAnsi="Calibri" w:cs="Arial"/>
      <w:b/>
      <w:bCs/>
      <w:snapToGrid w:val="0"/>
      <w:color w:val="4F81BD" w:themeColor="accent1"/>
      <w:sz w:val="18"/>
      <w:szCs w:val="18"/>
      <w:lang w:val="en-AU"/>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widowControl w:val="0"/>
      <w:spacing w:before="240" w:after="60"/>
      <w:jc w:val="center"/>
      <w:outlineLvl w:val="0"/>
    </w:pPr>
    <w:rPr>
      <w:rFonts w:ascii="Cambria" w:hAnsi="Cambria" w:cs="Arial"/>
      <w:b/>
      <w:bCs/>
      <w:snapToGrid w:val="0"/>
      <w:kern w:val="28"/>
      <w:sz w:val="32"/>
      <w:szCs w:val="32"/>
      <w:lang w:val="en-AU"/>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widowControl w:val="0"/>
    </w:pPr>
    <w:rPr>
      <w:rFonts w:ascii="Calibri" w:hAnsi="Calibri" w:cs="Arial"/>
      <w:snapToGrid w:val="0"/>
      <w:szCs w:val="22"/>
      <w:lang w:val="en-AU"/>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widowControl w:val="0"/>
      <w:spacing w:after="160"/>
      <w:ind w:left="720"/>
      <w:jc w:val="both"/>
    </w:pPr>
    <w:rPr>
      <w:rFonts w:ascii="Calibri" w:hAnsi="Calibri" w:cs="Arial"/>
      <w:snapToGrid w:val="0"/>
      <w:szCs w:val="22"/>
      <w:lang w:val="en-AU"/>
    </w:r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widowControl w:val="0"/>
      <w:tabs>
        <w:tab w:val="center" w:pos="4513"/>
        <w:tab w:val="right" w:pos="9026"/>
      </w:tabs>
      <w:jc w:val="both"/>
    </w:pPr>
    <w:rPr>
      <w:rFonts w:ascii="Calibri" w:hAnsi="Calibri" w:cs="Arial"/>
      <w:snapToGrid w:val="0"/>
      <w:szCs w:val="22"/>
      <w:lang w:val="en-AU"/>
    </w:r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widowControl w:val="0"/>
      <w:tabs>
        <w:tab w:val="center" w:pos="4513"/>
        <w:tab w:val="right" w:pos="9026"/>
      </w:tabs>
      <w:jc w:val="both"/>
    </w:pPr>
    <w:rPr>
      <w:rFonts w:ascii="Calibri" w:hAnsi="Calibri" w:cs="Arial"/>
      <w:snapToGrid w:val="0"/>
      <w:szCs w:val="22"/>
      <w:lang w:val="en-AU"/>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z w:val="20"/>
      <w:szCs w:val="22"/>
      <w:lang w:val="en-AU"/>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z w:val="20"/>
      <w:szCs w:val="22"/>
      <w:lang w:val="en-AU"/>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spacing w:before="100" w:after="100"/>
    </w:pPr>
    <w:rPr>
      <w:szCs w:val="22"/>
      <w:lang w:val="en-GB"/>
    </w:rPr>
  </w:style>
  <w:style w:type="paragraph" w:styleId="TOC2">
    <w:name w:val="toc 2"/>
    <w:basedOn w:val="Normal"/>
    <w:next w:val="Normal"/>
    <w:autoRedefine/>
    <w:uiPriority w:val="39"/>
    <w:rsid w:val="0009262B"/>
    <w:pPr>
      <w:widowControl w:val="0"/>
      <w:tabs>
        <w:tab w:val="left" w:pos="713"/>
        <w:tab w:val="left" w:pos="880"/>
        <w:tab w:val="right" w:leader="dot" w:pos="9016"/>
      </w:tabs>
      <w:spacing w:before="40"/>
      <w:ind w:left="221"/>
    </w:pPr>
    <w:rPr>
      <w:rFonts w:ascii="Calibri" w:hAnsi="Calibri" w:cs="Arial"/>
      <w:iCs/>
      <w:snapToGrid w:val="0"/>
      <w:sz w:val="20"/>
      <w:szCs w:val="22"/>
      <w:lang w:val="en-AU"/>
    </w:rPr>
  </w:style>
  <w:style w:type="paragraph" w:styleId="TOC1">
    <w:name w:val="toc 1"/>
    <w:basedOn w:val="Normal"/>
    <w:next w:val="Normal"/>
    <w:autoRedefine/>
    <w:uiPriority w:val="39"/>
    <w:rsid w:val="00D0262E"/>
    <w:pPr>
      <w:widowControl w:val="0"/>
      <w:spacing w:before="240" w:after="120"/>
    </w:pPr>
    <w:rPr>
      <w:rFonts w:ascii="Calibri" w:hAnsi="Calibri" w:cs="Arial"/>
      <w:bCs/>
      <w:snapToGrid w:val="0"/>
      <w:sz w:val="20"/>
      <w:szCs w:val="22"/>
      <w:lang w:val="en-AU"/>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widowControl w:val="0"/>
      <w:ind w:left="440"/>
    </w:pPr>
    <w:rPr>
      <w:rFonts w:asciiTheme="minorHAnsi" w:hAnsiTheme="minorHAnsi" w:cs="Arial"/>
      <w:snapToGrid w:val="0"/>
      <w:sz w:val="20"/>
      <w:szCs w:val="22"/>
      <w:lang w:val="en-AU"/>
    </w:rPr>
  </w:style>
  <w:style w:type="paragraph" w:styleId="TOC4">
    <w:name w:val="toc 4"/>
    <w:basedOn w:val="Normal"/>
    <w:next w:val="Normal"/>
    <w:autoRedefine/>
    <w:rsid w:val="00D0262E"/>
    <w:pPr>
      <w:widowControl w:val="0"/>
      <w:ind w:left="660"/>
    </w:pPr>
    <w:rPr>
      <w:rFonts w:asciiTheme="minorHAnsi" w:hAnsiTheme="minorHAnsi" w:cs="Arial"/>
      <w:snapToGrid w:val="0"/>
      <w:sz w:val="20"/>
      <w:szCs w:val="22"/>
      <w:lang w:val="en-AU"/>
    </w:rPr>
  </w:style>
  <w:style w:type="paragraph" w:styleId="TOC5">
    <w:name w:val="toc 5"/>
    <w:basedOn w:val="Normal"/>
    <w:next w:val="Normal"/>
    <w:autoRedefine/>
    <w:rsid w:val="00D0262E"/>
    <w:pPr>
      <w:widowControl w:val="0"/>
      <w:ind w:left="880"/>
    </w:pPr>
    <w:rPr>
      <w:rFonts w:asciiTheme="minorHAnsi" w:hAnsiTheme="minorHAnsi" w:cs="Arial"/>
      <w:snapToGrid w:val="0"/>
      <w:sz w:val="20"/>
      <w:szCs w:val="22"/>
      <w:lang w:val="en-AU"/>
    </w:rPr>
  </w:style>
  <w:style w:type="paragraph" w:styleId="TOC6">
    <w:name w:val="toc 6"/>
    <w:basedOn w:val="Normal"/>
    <w:next w:val="Normal"/>
    <w:autoRedefine/>
    <w:rsid w:val="00D0262E"/>
    <w:pPr>
      <w:widowControl w:val="0"/>
      <w:ind w:left="1100"/>
    </w:pPr>
    <w:rPr>
      <w:rFonts w:asciiTheme="minorHAnsi" w:hAnsiTheme="minorHAnsi" w:cs="Arial"/>
      <w:snapToGrid w:val="0"/>
      <w:sz w:val="20"/>
      <w:szCs w:val="22"/>
      <w:lang w:val="en-AU"/>
    </w:rPr>
  </w:style>
  <w:style w:type="paragraph" w:styleId="TOC7">
    <w:name w:val="toc 7"/>
    <w:basedOn w:val="Normal"/>
    <w:next w:val="Normal"/>
    <w:autoRedefine/>
    <w:rsid w:val="00D0262E"/>
    <w:pPr>
      <w:widowControl w:val="0"/>
      <w:ind w:left="1320"/>
    </w:pPr>
    <w:rPr>
      <w:rFonts w:asciiTheme="minorHAnsi" w:hAnsiTheme="minorHAnsi" w:cs="Arial"/>
      <w:snapToGrid w:val="0"/>
      <w:sz w:val="20"/>
      <w:szCs w:val="22"/>
      <w:lang w:val="en-AU"/>
    </w:rPr>
  </w:style>
  <w:style w:type="paragraph" w:styleId="TOC8">
    <w:name w:val="toc 8"/>
    <w:basedOn w:val="Normal"/>
    <w:next w:val="Normal"/>
    <w:autoRedefine/>
    <w:rsid w:val="00D0262E"/>
    <w:pPr>
      <w:widowControl w:val="0"/>
      <w:ind w:left="1540"/>
    </w:pPr>
    <w:rPr>
      <w:rFonts w:asciiTheme="minorHAnsi" w:hAnsiTheme="minorHAnsi" w:cs="Arial"/>
      <w:snapToGrid w:val="0"/>
      <w:sz w:val="20"/>
      <w:szCs w:val="22"/>
      <w:lang w:val="en-AU"/>
    </w:rPr>
  </w:style>
  <w:style w:type="paragraph" w:styleId="TOC9">
    <w:name w:val="toc 9"/>
    <w:basedOn w:val="Normal"/>
    <w:next w:val="Normal"/>
    <w:autoRedefine/>
    <w:rsid w:val="00D0262E"/>
    <w:pPr>
      <w:widowControl w:val="0"/>
      <w:ind w:left="1760"/>
    </w:pPr>
    <w:rPr>
      <w:rFonts w:asciiTheme="minorHAnsi" w:hAnsiTheme="minorHAnsi" w:cs="Arial"/>
      <w:snapToGrid w:val="0"/>
      <w:sz w:val="20"/>
      <w:szCs w:val="22"/>
      <w:lang w:val="en-AU"/>
    </w:rPr>
  </w:style>
  <w:style w:type="paragraph" w:styleId="CommentText">
    <w:name w:val="annotation text"/>
    <w:basedOn w:val="Normal"/>
    <w:link w:val="CommentTextChar"/>
    <w:uiPriority w:val="99"/>
    <w:rsid w:val="00FD2100"/>
    <w:pPr>
      <w:widowControl w:val="0"/>
      <w:jc w:val="both"/>
    </w:pPr>
    <w:rPr>
      <w:snapToGrid w:val="0"/>
      <w:sz w:val="20"/>
      <w:szCs w:val="22"/>
      <w:lang w:val="en-AU"/>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zCs w:val="22"/>
      <w:lang w:val="en-AU"/>
    </w:rPr>
  </w:style>
  <w:style w:type="paragraph" w:customStyle="1" w:styleId="TableNotes18">
    <w:name w:val="TableNotes+18"/>
    <w:basedOn w:val="Normal"/>
    <w:rsid w:val="002C5099"/>
    <w:pPr>
      <w:keepLines/>
      <w:spacing w:after="360"/>
      <w:ind w:left="720"/>
    </w:pPr>
    <w:rPr>
      <w:rFonts w:ascii="Arial Narrow" w:hAnsi="Arial Narrow" w:cs="Arial Narrow"/>
      <w:sz w:val="18"/>
      <w:szCs w:val="18"/>
      <w:lang w:val="en-AU"/>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widowControl w:val="0"/>
      <w:spacing w:after="120"/>
      <w:ind w:left="283"/>
      <w:jc w:val="both"/>
    </w:pPr>
    <w:rPr>
      <w:rFonts w:ascii="Calibri" w:hAnsi="Calibri" w:cs="Arial"/>
      <w:snapToGrid w:val="0"/>
      <w:szCs w:val="22"/>
      <w:lang w:val="en-AU"/>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z w:val="20"/>
      <w:szCs w:val="22"/>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jc w:val="both"/>
    </w:pPr>
    <w:rPr>
      <w:sz w:val="20"/>
      <w:szCs w:val="22"/>
      <w:lang w:val="en-AU"/>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next w:val="Normal"/>
    <w:link w:val="PBACHeading1Char"/>
    <w:qFormat/>
    <w:rsid w:val="004D3E6B"/>
    <w:p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pPr>
      <w:widowControl w:val="0"/>
      <w:jc w:val="both"/>
    </w:pPr>
    <w:rPr>
      <w:rFonts w:ascii="Calibri" w:hAnsi="Calibri" w:cs="Arial"/>
      <w:i/>
      <w:snapToGrid w:val="0"/>
      <w:lang w:val="en-AU"/>
    </w:rPr>
  </w:style>
  <w:style w:type="paragraph" w:styleId="BalloonText">
    <w:name w:val="Balloon Text"/>
    <w:basedOn w:val="Normal"/>
    <w:link w:val="BalloonTextChar"/>
    <w:semiHidden/>
    <w:unhideWhenUsed/>
    <w:rsid w:val="00B34FE2"/>
    <w:pPr>
      <w:widowControl w:val="0"/>
      <w:jc w:val="both"/>
    </w:pPr>
    <w:rPr>
      <w:rFonts w:ascii="Tahoma" w:hAnsi="Tahoma" w:cs="Tahoma"/>
      <w:snapToGrid w:val="0"/>
      <w:sz w:val="16"/>
      <w:szCs w:val="16"/>
      <w:lang w:val="en-AU"/>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851278"/>
    <w:pPr>
      <w:widowControl w:val="0"/>
      <w:jc w:val="both"/>
    </w:pPr>
    <w:rPr>
      <w:rFonts w:ascii="Lucida Grande" w:hAnsi="Lucida Grande" w:cs="Lucida Grande"/>
      <w:snapToGrid w:val="0"/>
      <w:lang w:val="en-AU"/>
    </w:rPr>
  </w:style>
  <w:style w:type="character" w:customStyle="1" w:styleId="DocumentMapChar">
    <w:name w:val="Document Map Char"/>
    <w:basedOn w:val="DefaultParagraphFont"/>
    <w:link w:val="DocumentMap"/>
    <w:semiHidden/>
    <w:rsid w:val="00851278"/>
    <w:rPr>
      <w:rFonts w:ascii="Lucida Grande" w:hAnsi="Lucida Grande" w:cs="Lucida Grande"/>
      <w:snapToGrid w:val="0"/>
      <w:sz w:val="24"/>
      <w:szCs w:val="24"/>
      <w:lang w:eastAsia="en-US"/>
    </w:rPr>
  </w:style>
  <w:style w:type="character" w:styleId="IntenseEmphasis">
    <w:name w:val="Intense Emphasis"/>
    <w:uiPriority w:val="21"/>
    <w:qFormat/>
    <w:rsid w:val="009B2B58"/>
    <w:rPr>
      <w:b/>
      <w:bCs/>
      <w:i/>
      <w:iCs/>
    </w:rPr>
  </w:style>
  <w:style w:type="character" w:customStyle="1" w:styleId="Small">
    <w:name w:val="Small"/>
    <w:basedOn w:val="DefaultParagraphFont"/>
    <w:uiPriority w:val="4"/>
    <w:qFormat/>
    <w:rsid w:val="009B2B58"/>
    <w:rPr>
      <w:rFonts w:ascii="Calibri" w:hAnsi="Calibri"/>
      <w:sz w:val="20"/>
    </w:rPr>
  </w:style>
  <w:style w:type="paragraph" w:customStyle="1" w:styleId="TableLeft">
    <w:name w:val="Table Left"/>
    <w:basedOn w:val="Normal"/>
    <w:link w:val="TableLeftChar"/>
    <w:uiPriority w:val="99"/>
    <w:qFormat/>
    <w:rsid w:val="009B2B58"/>
    <w:rPr>
      <w:rFonts w:ascii="Calibri" w:eastAsiaTheme="majorEastAsia" w:hAnsi="Calibri" w:cstheme="majorBidi"/>
      <w:sz w:val="20"/>
      <w:szCs w:val="22"/>
      <w:lang w:val="en-AU" w:bidi="en-US"/>
    </w:rPr>
  </w:style>
  <w:style w:type="character" w:customStyle="1" w:styleId="TableLeftChar">
    <w:name w:val="Table Left Char"/>
    <w:basedOn w:val="DefaultParagraphFont"/>
    <w:link w:val="TableLeft"/>
    <w:uiPriority w:val="99"/>
    <w:locked/>
    <w:rsid w:val="009B2B58"/>
    <w:rPr>
      <w:rFonts w:ascii="Calibri" w:eastAsiaTheme="majorEastAsia" w:hAnsi="Calibri" w:cstheme="majorBidi"/>
      <w:szCs w:val="22"/>
      <w:lang w:eastAsia="en-US" w:bidi="en-US"/>
    </w:rPr>
  </w:style>
  <w:style w:type="character" w:styleId="PlaceholderText">
    <w:name w:val="Placeholder Text"/>
    <w:basedOn w:val="DefaultParagraphFont"/>
    <w:uiPriority w:val="99"/>
    <w:semiHidden/>
    <w:rsid w:val="004E6ACE"/>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A095C"/>
    <w:pPr>
      <w:spacing w:after="160" w:line="240" w:lineRule="exact"/>
    </w:pPr>
    <w:rPr>
      <w:rFonts w:ascii="Verdana" w:eastAsia="MS Mincho" w:hAnsi="Verdana" w:cs="Verdana"/>
      <w:sz w:val="20"/>
      <w:szCs w:val="20"/>
    </w:rPr>
  </w:style>
  <w:style w:type="paragraph" w:styleId="PlainText">
    <w:name w:val="Plain Text"/>
    <w:basedOn w:val="Normal"/>
    <w:link w:val="PlainTextChar"/>
    <w:uiPriority w:val="99"/>
    <w:rsid w:val="001C7ED2"/>
    <w:rPr>
      <w:rFonts w:ascii="Courier New" w:hAnsi="Courier New"/>
      <w:sz w:val="20"/>
      <w:szCs w:val="20"/>
      <w:lang w:val="en-AU" w:eastAsia="en-AU"/>
    </w:rPr>
  </w:style>
  <w:style w:type="character" w:customStyle="1" w:styleId="PlainTextChar">
    <w:name w:val="Plain Text Char"/>
    <w:basedOn w:val="DefaultParagraphFont"/>
    <w:link w:val="PlainText"/>
    <w:uiPriority w:val="99"/>
    <w:rsid w:val="001C7ED2"/>
    <w:rPr>
      <w:rFonts w:ascii="Courier New" w:hAnsi="Courier New"/>
    </w:rPr>
  </w:style>
  <w:style w:type="character" w:customStyle="1" w:styleId="PBACHeading1Char">
    <w:name w:val="PBAC Heading 1 Char"/>
    <w:basedOn w:val="DefaultParagraphFont"/>
    <w:link w:val="PBACHeading1"/>
    <w:rsid w:val="00312E1D"/>
    <w:rPr>
      <w:rFonts w:ascii="Calibri" w:hAnsi="Calibri" w:cs="Arial"/>
      <w:b/>
      <w:snapToGrid w:val="0"/>
      <w:sz w:val="32"/>
      <w:szCs w:val="22"/>
      <w:lang w:eastAsia="en-US"/>
    </w:rPr>
  </w:style>
  <w:style w:type="paragraph" w:styleId="FootnoteText">
    <w:name w:val="footnote text"/>
    <w:basedOn w:val="Normal"/>
    <w:link w:val="FootnoteTextChar"/>
    <w:semiHidden/>
    <w:unhideWhenUsed/>
    <w:rsid w:val="00A33032"/>
    <w:rPr>
      <w:sz w:val="20"/>
      <w:szCs w:val="20"/>
    </w:rPr>
  </w:style>
  <w:style w:type="character" w:customStyle="1" w:styleId="FootnoteTextChar">
    <w:name w:val="Footnote Text Char"/>
    <w:basedOn w:val="DefaultParagraphFont"/>
    <w:link w:val="FootnoteText"/>
    <w:semiHidden/>
    <w:rsid w:val="00A33032"/>
    <w:rPr>
      <w:lang w:val="en-US" w:eastAsia="en-US"/>
    </w:rPr>
  </w:style>
  <w:style w:type="character" w:styleId="FootnoteReference">
    <w:name w:val="footnote reference"/>
    <w:basedOn w:val="DefaultParagraphFont"/>
    <w:semiHidden/>
    <w:unhideWhenUsed/>
    <w:rsid w:val="00A330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024A3"/>
    <w:rPr>
      <w:sz w:val="24"/>
      <w:szCs w:val="24"/>
      <w:lang w:val="en-US" w:eastAsia="en-US"/>
    </w:rPr>
  </w:style>
  <w:style w:type="paragraph" w:styleId="Heading1">
    <w:name w:val="heading 1"/>
    <w:basedOn w:val="Normal"/>
    <w:next w:val="Normal"/>
    <w:qFormat/>
    <w:rsid w:val="001B204E"/>
    <w:pPr>
      <w:widowControl w:val="0"/>
      <w:ind w:left="720" w:hanging="720"/>
      <w:jc w:val="both"/>
      <w:outlineLvl w:val="0"/>
    </w:pPr>
    <w:rPr>
      <w:rFonts w:ascii="Calibri" w:hAnsi="Calibri" w:cs="Arial"/>
      <w:b/>
      <w:caps/>
      <w:snapToGrid w:val="0"/>
      <w:sz w:val="32"/>
      <w:szCs w:val="22"/>
      <w:lang w:val="en-AU"/>
    </w:rPr>
  </w:style>
  <w:style w:type="paragraph" w:styleId="Heading2">
    <w:name w:val="heading 2"/>
    <w:basedOn w:val="Normal"/>
    <w:next w:val="Normal"/>
    <w:link w:val="Heading2Char"/>
    <w:qFormat/>
    <w:rsid w:val="001B204E"/>
    <w:pPr>
      <w:widowControl w:val="0"/>
      <w:jc w:val="both"/>
      <w:outlineLvl w:val="1"/>
    </w:pPr>
    <w:rPr>
      <w:rFonts w:ascii="Calibri" w:hAnsi="Calibri" w:cs="Arial"/>
      <w:b/>
      <w:i/>
      <w:snapToGrid w:val="0"/>
      <w:sz w:val="28"/>
      <w:szCs w:val="22"/>
      <w:lang w:val="en-AU"/>
    </w:rPr>
  </w:style>
  <w:style w:type="paragraph" w:styleId="Heading3">
    <w:name w:val="heading 3"/>
    <w:basedOn w:val="Normal"/>
    <w:next w:val="Normal"/>
    <w:rsid w:val="001F7361"/>
    <w:pPr>
      <w:widowControl w:val="0"/>
      <w:jc w:val="both"/>
      <w:outlineLvl w:val="2"/>
    </w:pPr>
    <w:rPr>
      <w:rFonts w:ascii="Calibri" w:hAnsi="Calibri" w:cs="Arial"/>
      <w:snapToGrid w:val="0"/>
      <w:szCs w:val="22"/>
      <w:u w:val="single"/>
      <w:lang w:val="en-AU"/>
    </w:rPr>
  </w:style>
  <w:style w:type="paragraph" w:styleId="Heading4">
    <w:name w:val="heading 4"/>
    <w:basedOn w:val="Normal"/>
    <w:next w:val="Normal"/>
    <w:rsid w:val="00124A51"/>
    <w:pPr>
      <w:keepNext/>
      <w:widowControl w:val="0"/>
      <w:spacing w:before="240" w:after="60"/>
      <w:jc w:val="both"/>
      <w:outlineLvl w:val="3"/>
    </w:pPr>
    <w:rPr>
      <w:rFonts w:ascii="Calibri" w:hAnsi="Calibri" w:cs="Arial"/>
      <w:b/>
      <w:bCs/>
      <w:i/>
      <w:snapToGrid w:val="0"/>
      <w:sz w:val="26"/>
      <w:szCs w:val="28"/>
      <w:lang w:val="en-AU"/>
    </w:rPr>
  </w:style>
  <w:style w:type="paragraph" w:styleId="Heading5">
    <w:name w:val="heading 5"/>
    <w:basedOn w:val="Normal"/>
    <w:next w:val="Normal"/>
    <w:rsid w:val="00124A51"/>
    <w:pPr>
      <w:widowControl w:val="0"/>
      <w:spacing w:before="240" w:after="60"/>
      <w:jc w:val="both"/>
      <w:outlineLvl w:val="4"/>
    </w:pPr>
    <w:rPr>
      <w:rFonts w:ascii="Calibri" w:hAnsi="Calibri" w:cs="Arial"/>
      <w:b/>
      <w:bCs/>
      <w:iCs/>
      <w:snapToGrid w:val="0"/>
      <w:sz w:val="26"/>
      <w:szCs w:val="26"/>
      <w:lang w:val="en-AU"/>
    </w:rPr>
  </w:style>
  <w:style w:type="paragraph" w:styleId="Heading6">
    <w:name w:val="heading 6"/>
    <w:basedOn w:val="Normal"/>
    <w:next w:val="Normal"/>
    <w:rsid w:val="00124A51"/>
    <w:pPr>
      <w:widowControl w:val="0"/>
      <w:spacing w:before="240" w:after="60"/>
      <w:jc w:val="both"/>
      <w:outlineLvl w:val="5"/>
    </w:pPr>
    <w:rPr>
      <w:rFonts w:ascii="Calibri" w:hAnsi="Calibri" w:cs="Arial"/>
      <w:b/>
      <w:bCs/>
      <w:i/>
      <w:snapToGrid w:val="0"/>
      <w:szCs w:val="22"/>
      <w:lang w:val="en-AU"/>
    </w:rPr>
  </w:style>
  <w:style w:type="paragraph" w:styleId="Heading7">
    <w:name w:val="heading 7"/>
    <w:basedOn w:val="Normal"/>
    <w:next w:val="Normal"/>
    <w:link w:val="Heading7Char"/>
    <w:rsid w:val="00124A51"/>
    <w:pPr>
      <w:keepNext/>
      <w:widowControl w:val="0"/>
      <w:jc w:val="center"/>
      <w:outlineLvl w:val="6"/>
    </w:pPr>
    <w:rPr>
      <w:rFonts w:ascii="Calibri" w:hAnsi="Calibri" w:cs="Arial"/>
      <w:b/>
      <w:snapToGrid w:val="0"/>
      <w:sz w:val="20"/>
      <w:szCs w:val="22"/>
      <w:lang w:val="en-AU"/>
    </w:rPr>
  </w:style>
  <w:style w:type="paragraph" w:styleId="Heading8">
    <w:name w:val="heading 8"/>
    <w:basedOn w:val="Normal"/>
    <w:next w:val="Normal"/>
    <w:link w:val="Heading8Char"/>
    <w:rsid w:val="00124A51"/>
    <w:pPr>
      <w:keepNext/>
      <w:widowControl w:val="0"/>
      <w:jc w:val="right"/>
      <w:outlineLvl w:val="7"/>
    </w:pPr>
    <w:rPr>
      <w:rFonts w:ascii="Calibri" w:hAnsi="Calibri" w:cs="Arial"/>
      <w:b/>
      <w:snapToGrid w:val="0"/>
      <w:szCs w:val="22"/>
      <w:lang w:val="en-AU"/>
    </w:rPr>
  </w:style>
  <w:style w:type="paragraph" w:styleId="Heading9">
    <w:name w:val="heading 9"/>
    <w:basedOn w:val="Normal"/>
    <w:next w:val="Normal"/>
    <w:link w:val="Heading9Char"/>
    <w:rsid w:val="00124A51"/>
    <w:pPr>
      <w:keepNext/>
      <w:widowControl w:val="0"/>
      <w:jc w:val="center"/>
      <w:outlineLvl w:val="8"/>
    </w:pPr>
    <w:rPr>
      <w:rFonts w:ascii="Calibri" w:hAnsi="Calibri" w:cs="Arial"/>
      <w:b/>
      <w:snapToGrid w:val="0"/>
      <w:color w:val="000000"/>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pPr>
      <w:widowControl w:val="0"/>
      <w:jc w:val="both"/>
    </w:pPr>
    <w:rPr>
      <w:rFonts w:ascii="Arial Narrow" w:hAnsi="Arial Narrow" w:cs="Arial"/>
      <w:snapToGrid w:val="0"/>
      <w:sz w:val="18"/>
      <w:szCs w:val="22"/>
      <w:lang w:val="en-AU"/>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pPr>
      <w:widowControl w:val="0"/>
      <w:jc w:val="both"/>
    </w:pPr>
    <w:rPr>
      <w:rFonts w:ascii="Calibri" w:hAnsi="Calibri" w:cs="Arial"/>
      <w:b/>
      <w:snapToGrid w:val="0"/>
      <w:sz w:val="20"/>
      <w:szCs w:val="22"/>
      <w:lang w:val="en-AU"/>
    </w:rPr>
  </w:style>
  <w:style w:type="paragraph" w:styleId="Caption">
    <w:name w:val="caption"/>
    <w:basedOn w:val="Normal"/>
    <w:next w:val="Normal"/>
    <w:link w:val="CaptionChar"/>
    <w:unhideWhenUsed/>
    <w:rsid w:val="00124A51"/>
    <w:pPr>
      <w:widowControl w:val="0"/>
      <w:spacing w:after="200"/>
      <w:jc w:val="both"/>
    </w:pPr>
    <w:rPr>
      <w:rFonts w:ascii="Calibri" w:hAnsi="Calibri" w:cs="Arial"/>
      <w:b/>
      <w:bCs/>
      <w:snapToGrid w:val="0"/>
      <w:color w:val="4F81BD" w:themeColor="accent1"/>
      <w:sz w:val="18"/>
      <w:szCs w:val="18"/>
      <w:lang w:val="en-AU"/>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widowControl w:val="0"/>
      <w:spacing w:before="240" w:after="60"/>
      <w:jc w:val="center"/>
      <w:outlineLvl w:val="0"/>
    </w:pPr>
    <w:rPr>
      <w:rFonts w:ascii="Cambria" w:hAnsi="Cambria" w:cs="Arial"/>
      <w:b/>
      <w:bCs/>
      <w:snapToGrid w:val="0"/>
      <w:kern w:val="28"/>
      <w:sz w:val="32"/>
      <w:szCs w:val="32"/>
      <w:lang w:val="en-AU"/>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widowControl w:val="0"/>
    </w:pPr>
    <w:rPr>
      <w:rFonts w:ascii="Calibri" w:hAnsi="Calibri" w:cs="Arial"/>
      <w:snapToGrid w:val="0"/>
      <w:szCs w:val="22"/>
      <w:lang w:val="en-AU"/>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widowControl w:val="0"/>
      <w:spacing w:after="160"/>
      <w:ind w:left="720"/>
      <w:jc w:val="both"/>
    </w:pPr>
    <w:rPr>
      <w:rFonts w:ascii="Calibri" w:hAnsi="Calibri" w:cs="Arial"/>
      <w:snapToGrid w:val="0"/>
      <w:szCs w:val="22"/>
      <w:lang w:val="en-AU"/>
    </w:r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widowControl w:val="0"/>
      <w:tabs>
        <w:tab w:val="center" w:pos="4513"/>
        <w:tab w:val="right" w:pos="9026"/>
      </w:tabs>
      <w:jc w:val="both"/>
    </w:pPr>
    <w:rPr>
      <w:rFonts w:ascii="Calibri" w:hAnsi="Calibri" w:cs="Arial"/>
      <w:snapToGrid w:val="0"/>
      <w:szCs w:val="22"/>
      <w:lang w:val="en-AU"/>
    </w:r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widowControl w:val="0"/>
      <w:tabs>
        <w:tab w:val="center" w:pos="4513"/>
        <w:tab w:val="right" w:pos="9026"/>
      </w:tabs>
      <w:jc w:val="both"/>
    </w:pPr>
    <w:rPr>
      <w:rFonts w:ascii="Calibri" w:hAnsi="Calibri" w:cs="Arial"/>
      <w:snapToGrid w:val="0"/>
      <w:szCs w:val="22"/>
      <w:lang w:val="en-AU"/>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z w:val="20"/>
      <w:szCs w:val="22"/>
      <w:lang w:val="en-AU"/>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z w:val="20"/>
      <w:szCs w:val="22"/>
      <w:lang w:val="en-AU"/>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spacing w:before="100" w:after="100"/>
    </w:pPr>
    <w:rPr>
      <w:szCs w:val="22"/>
      <w:lang w:val="en-GB"/>
    </w:rPr>
  </w:style>
  <w:style w:type="paragraph" w:styleId="TOC2">
    <w:name w:val="toc 2"/>
    <w:basedOn w:val="Normal"/>
    <w:next w:val="Normal"/>
    <w:autoRedefine/>
    <w:uiPriority w:val="39"/>
    <w:rsid w:val="0009262B"/>
    <w:pPr>
      <w:widowControl w:val="0"/>
      <w:tabs>
        <w:tab w:val="left" w:pos="713"/>
        <w:tab w:val="left" w:pos="880"/>
        <w:tab w:val="right" w:leader="dot" w:pos="9016"/>
      </w:tabs>
      <w:spacing w:before="40"/>
      <w:ind w:left="221"/>
    </w:pPr>
    <w:rPr>
      <w:rFonts w:ascii="Calibri" w:hAnsi="Calibri" w:cs="Arial"/>
      <w:iCs/>
      <w:snapToGrid w:val="0"/>
      <w:sz w:val="20"/>
      <w:szCs w:val="22"/>
      <w:lang w:val="en-AU"/>
    </w:rPr>
  </w:style>
  <w:style w:type="paragraph" w:styleId="TOC1">
    <w:name w:val="toc 1"/>
    <w:basedOn w:val="Normal"/>
    <w:next w:val="Normal"/>
    <w:autoRedefine/>
    <w:uiPriority w:val="39"/>
    <w:rsid w:val="00D0262E"/>
    <w:pPr>
      <w:widowControl w:val="0"/>
      <w:spacing w:before="240" w:after="120"/>
    </w:pPr>
    <w:rPr>
      <w:rFonts w:ascii="Calibri" w:hAnsi="Calibri" w:cs="Arial"/>
      <w:bCs/>
      <w:snapToGrid w:val="0"/>
      <w:sz w:val="20"/>
      <w:szCs w:val="22"/>
      <w:lang w:val="en-AU"/>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widowControl w:val="0"/>
      <w:ind w:left="440"/>
    </w:pPr>
    <w:rPr>
      <w:rFonts w:asciiTheme="minorHAnsi" w:hAnsiTheme="minorHAnsi" w:cs="Arial"/>
      <w:snapToGrid w:val="0"/>
      <w:sz w:val="20"/>
      <w:szCs w:val="22"/>
      <w:lang w:val="en-AU"/>
    </w:rPr>
  </w:style>
  <w:style w:type="paragraph" w:styleId="TOC4">
    <w:name w:val="toc 4"/>
    <w:basedOn w:val="Normal"/>
    <w:next w:val="Normal"/>
    <w:autoRedefine/>
    <w:rsid w:val="00D0262E"/>
    <w:pPr>
      <w:widowControl w:val="0"/>
      <w:ind w:left="660"/>
    </w:pPr>
    <w:rPr>
      <w:rFonts w:asciiTheme="minorHAnsi" w:hAnsiTheme="minorHAnsi" w:cs="Arial"/>
      <w:snapToGrid w:val="0"/>
      <w:sz w:val="20"/>
      <w:szCs w:val="22"/>
      <w:lang w:val="en-AU"/>
    </w:rPr>
  </w:style>
  <w:style w:type="paragraph" w:styleId="TOC5">
    <w:name w:val="toc 5"/>
    <w:basedOn w:val="Normal"/>
    <w:next w:val="Normal"/>
    <w:autoRedefine/>
    <w:rsid w:val="00D0262E"/>
    <w:pPr>
      <w:widowControl w:val="0"/>
      <w:ind w:left="880"/>
    </w:pPr>
    <w:rPr>
      <w:rFonts w:asciiTheme="minorHAnsi" w:hAnsiTheme="minorHAnsi" w:cs="Arial"/>
      <w:snapToGrid w:val="0"/>
      <w:sz w:val="20"/>
      <w:szCs w:val="22"/>
      <w:lang w:val="en-AU"/>
    </w:rPr>
  </w:style>
  <w:style w:type="paragraph" w:styleId="TOC6">
    <w:name w:val="toc 6"/>
    <w:basedOn w:val="Normal"/>
    <w:next w:val="Normal"/>
    <w:autoRedefine/>
    <w:rsid w:val="00D0262E"/>
    <w:pPr>
      <w:widowControl w:val="0"/>
      <w:ind w:left="1100"/>
    </w:pPr>
    <w:rPr>
      <w:rFonts w:asciiTheme="minorHAnsi" w:hAnsiTheme="minorHAnsi" w:cs="Arial"/>
      <w:snapToGrid w:val="0"/>
      <w:sz w:val="20"/>
      <w:szCs w:val="22"/>
      <w:lang w:val="en-AU"/>
    </w:rPr>
  </w:style>
  <w:style w:type="paragraph" w:styleId="TOC7">
    <w:name w:val="toc 7"/>
    <w:basedOn w:val="Normal"/>
    <w:next w:val="Normal"/>
    <w:autoRedefine/>
    <w:rsid w:val="00D0262E"/>
    <w:pPr>
      <w:widowControl w:val="0"/>
      <w:ind w:left="1320"/>
    </w:pPr>
    <w:rPr>
      <w:rFonts w:asciiTheme="minorHAnsi" w:hAnsiTheme="minorHAnsi" w:cs="Arial"/>
      <w:snapToGrid w:val="0"/>
      <w:sz w:val="20"/>
      <w:szCs w:val="22"/>
      <w:lang w:val="en-AU"/>
    </w:rPr>
  </w:style>
  <w:style w:type="paragraph" w:styleId="TOC8">
    <w:name w:val="toc 8"/>
    <w:basedOn w:val="Normal"/>
    <w:next w:val="Normal"/>
    <w:autoRedefine/>
    <w:rsid w:val="00D0262E"/>
    <w:pPr>
      <w:widowControl w:val="0"/>
      <w:ind w:left="1540"/>
    </w:pPr>
    <w:rPr>
      <w:rFonts w:asciiTheme="minorHAnsi" w:hAnsiTheme="minorHAnsi" w:cs="Arial"/>
      <w:snapToGrid w:val="0"/>
      <w:sz w:val="20"/>
      <w:szCs w:val="22"/>
      <w:lang w:val="en-AU"/>
    </w:rPr>
  </w:style>
  <w:style w:type="paragraph" w:styleId="TOC9">
    <w:name w:val="toc 9"/>
    <w:basedOn w:val="Normal"/>
    <w:next w:val="Normal"/>
    <w:autoRedefine/>
    <w:rsid w:val="00D0262E"/>
    <w:pPr>
      <w:widowControl w:val="0"/>
      <w:ind w:left="1760"/>
    </w:pPr>
    <w:rPr>
      <w:rFonts w:asciiTheme="minorHAnsi" w:hAnsiTheme="minorHAnsi" w:cs="Arial"/>
      <w:snapToGrid w:val="0"/>
      <w:sz w:val="20"/>
      <w:szCs w:val="22"/>
      <w:lang w:val="en-AU"/>
    </w:rPr>
  </w:style>
  <w:style w:type="paragraph" w:styleId="CommentText">
    <w:name w:val="annotation text"/>
    <w:basedOn w:val="Normal"/>
    <w:link w:val="CommentTextChar"/>
    <w:uiPriority w:val="99"/>
    <w:rsid w:val="00FD2100"/>
    <w:pPr>
      <w:widowControl w:val="0"/>
      <w:jc w:val="both"/>
    </w:pPr>
    <w:rPr>
      <w:snapToGrid w:val="0"/>
      <w:sz w:val="20"/>
      <w:szCs w:val="22"/>
      <w:lang w:val="en-AU"/>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zCs w:val="22"/>
      <w:lang w:val="en-AU"/>
    </w:rPr>
  </w:style>
  <w:style w:type="paragraph" w:customStyle="1" w:styleId="TableNotes18">
    <w:name w:val="TableNotes+18"/>
    <w:basedOn w:val="Normal"/>
    <w:rsid w:val="002C5099"/>
    <w:pPr>
      <w:keepLines/>
      <w:spacing w:after="360"/>
      <w:ind w:left="720"/>
    </w:pPr>
    <w:rPr>
      <w:rFonts w:ascii="Arial Narrow" w:hAnsi="Arial Narrow" w:cs="Arial Narrow"/>
      <w:sz w:val="18"/>
      <w:szCs w:val="18"/>
      <w:lang w:val="en-AU"/>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widowControl w:val="0"/>
      <w:spacing w:after="120"/>
      <w:ind w:left="283"/>
      <w:jc w:val="both"/>
    </w:pPr>
    <w:rPr>
      <w:rFonts w:ascii="Calibri" w:hAnsi="Calibri" w:cs="Arial"/>
      <w:snapToGrid w:val="0"/>
      <w:szCs w:val="22"/>
      <w:lang w:val="en-AU"/>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z w:val="20"/>
      <w:szCs w:val="22"/>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jc w:val="both"/>
    </w:pPr>
    <w:rPr>
      <w:sz w:val="20"/>
      <w:szCs w:val="22"/>
      <w:lang w:val="en-AU"/>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next w:val="Normal"/>
    <w:link w:val="PBACHeading1Char"/>
    <w:qFormat/>
    <w:rsid w:val="004D3E6B"/>
    <w:p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pPr>
      <w:widowControl w:val="0"/>
      <w:jc w:val="both"/>
    </w:pPr>
    <w:rPr>
      <w:rFonts w:ascii="Calibri" w:hAnsi="Calibri" w:cs="Arial"/>
      <w:i/>
      <w:snapToGrid w:val="0"/>
      <w:lang w:val="en-AU"/>
    </w:rPr>
  </w:style>
  <w:style w:type="paragraph" w:styleId="BalloonText">
    <w:name w:val="Balloon Text"/>
    <w:basedOn w:val="Normal"/>
    <w:link w:val="BalloonTextChar"/>
    <w:semiHidden/>
    <w:unhideWhenUsed/>
    <w:rsid w:val="00B34FE2"/>
    <w:pPr>
      <w:widowControl w:val="0"/>
      <w:jc w:val="both"/>
    </w:pPr>
    <w:rPr>
      <w:rFonts w:ascii="Tahoma" w:hAnsi="Tahoma" w:cs="Tahoma"/>
      <w:snapToGrid w:val="0"/>
      <w:sz w:val="16"/>
      <w:szCs w:val="16"/>
      <w:lang w:val="en-AU"/>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851278"/>
    <w:pPr>
      <w:widowControl w:val="0"/>
      <w:jc w:val="both"/>
    </w:pPr>
    <w:rPr>
      <w:rFonts w:ascii="Lucida Grande" w:hAnsi="Lucida Grande" w:cs="Lucida Grande"/>
      <w:snapToGrid w:val="0"/>
      <w:lang w:val="en-AU"/>
    </w:rPr>
  </w:style>
  <w:style w:type="character" w:customStyle="1" w:styleId="DocumentMapChar">
    <w:name w:val="Document Map Char"/>
    <w:basedOn w:val="DefaultParagraphFont"/>
    <w:link w:val="DocumentMap"/>
    <w:semiHidden/>
    <w:rsid w:val="00851278"/>
    <w:rPr>
      <w:rFonts w:ascii="Lucida Grande" w:hAnsi="Lucida Grande" w:cs="Lucida Grande"/>
      <w:snapToGrid w:val="0"/>
      <w:sz w:val="24"/>
      <w:szCs w:val="24"/>
      <w:lang w:eastAsia="en-US"/>
    </w:rPr>
  </w:style>
  <w:style w:type="character" w:styleId="IntenseEmphasis">
    <w:name w:val="Intense Emphasis"/>
    <w:uiPriority w:val="21"/>
    <w:qFormat/>
    <w:rsid w:val="009B2B58"/>
    <w:rPr>
      <w:b/>
      <w:bCs/>
      <w:i/>
      <w:iCs/>
    </w:rPr>
  </w:style>
  <w:style w:type="character" w:customStyle="1" w:styleId="Small">
    <w:name w:val="Small"/>
    <w:basedOn w:val="DefaultParagraphFont"/>
    <w:uiPriority w:val="4"/>
    <w:qFormat/>
    <w:rsid w:val="009B2B58"/>
    <w:rPr>
      <w:rFonts w:ascii="Calibri" w:hAnsi="Calibri"/>
      <w:sz w:val="20"/>
    </w:rPr>
  </w:style>
  <w:style w:type="paragraph" w:customStyle="1" w:styleId="TableLeft">
    <w:name w:val="Table Left"/>
    <w:basedOn w:val="Normal"/>
    <w:link w:val="TableLeftChar"/>
    <w:uiPriority w:val="99"/>
    <w:qFormat/>
    <w:rsid w:val="009B2B58"/>
    <w:rPr>
      <w:rFonts w:ascii="Calibri" w:eastAsiaTheme="majorEastAsia" w:hAnsi="Calibri" w:cstheme="majorBidi"/>
      <w:sz w:val="20"/>
      <w:szCs w:val="22"/>
      <w:lang w:val="en-AU" w:bidi="en-US"/>
    </w:rPr>
  </w:style>
  <w:style w:type="character" w:customStyle="1" w:styleId="TableLeftChar">
    <w:name w:val="Table Left Char"/>
    <w:basedOn w:val="DefaultParagraphFont"/>
    <w:link w:val="TableLeft"/>
    <w:uiPriority w:val="99"/>
    <w:locked/>
    <w:rsid w:val="009B2B58"/>
    <w:rPr>
      <w:rFonts w:ascii="Calibri" w:eastAsiaTheme="majorEastAsia" w:hAnsi="Calibri" w:cstheme="majorBidi"/>
      <w:szCs w:val="22"/>
      <w:lang w:eastAsia="en-US" w:bidi="en-US"/>
    </w:rPr>
  </w:style>
  <w:style w:type="character" w:styleId="PlaceholderText">
    <w:name w:val="Placeholder Text"/>
    <w:basedOn w:val="DefaultParagraphFont"/>
    <w:uiPriority w:val="99"/>
    <w:semiHidden/>
    <w:rsid w:val="004E6ACE"/>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A095C"/>
    <w:pPr>
      <w:spacing w:after="160" w:line="240" w:lineRule="exact"/>
    </w:pPr>
    <w:rPr>
      <w:rFonts w:ascii="Verdana" w:eastAsia="MS Mincho" w:hAnsi="Verdana" w:cs="Verdana"/>
      <w:sz w:val="20"/>
      <w:szCs w:val="20"/>
    </w:rPr>
  </w:style>
  <w:style w:type="paragraph" w:styleId="PlainText">
    <w:name w:val="Plain Text"/>
    <w:basedOn w:val="Normal"/>
    <w:link w:val="PlainTextChar"/>
    <w:uiPriority w:val="99"/>
    <w:rsid w:val="001C7ED2"/>
    <w:rPr>
      <w:rFonts w:ascii="Courier New" w:hAnsi="Courier New"/>
      <w:sz w:val="20"/>
      <w:szCs w:val="20"/>
      <w:lang w:val="en-AU" w:eastAsia="en-AU"/>
    </w:rPr>
  </w:style>
  <w:style w:type="character" w:customStyle="1" w:styleId="PlainTextChar">
    <w:name w:val="Plain Text Char"/>
    <w:basedOn w:val="DefaultParagraphFont"/>
    <w:link w:val="PlainText"/>
    <w:uiPriority w:val="99"/>
    <w:rsid w:val="001C7ED2"/>
    <w:rPr>
      <w:rFonts w:ascii="Courier New" w:hAnsi="Courier New"/>
    </w:rPr>
  </w:style>
  <w:style w:type="character" w:customStyle="1" w:styleId="PBACHeading1Char">
    <w:name w:val="PBAC Heading 1 Char"/>
    <w:basedOn w:val="DefaultParagraphFont"/>
    <w:link w:val="PBACHeading1"/>
    <w:rsid w:val="00312E1D"/>
    <w:rPr>
      <w:rFonts w:ascii="Calibri" w:hAnsi="Calibri" w:cs="Arial"/>
      <w:b/>
      <w:snapToGrid w:val="0"/>
      <w:sz w:val="32"/>
      <w:szCs w:val="22"/>
      <w:lang w:eastAsia="en-US"/>
    </w:rPr>
  </w:style>
  <w:style w:type="paragraph" w:styleId="FootnoteText">
    <w:name w:val="footnote text"/>
    <w:basedOn w:val="Normal"/>
    <w:link w:val="FootnoteTextChar"/>
    <w:semiHidden/>
    <w:unhideWhenUsed/>
    <w:rsid w:val="00A33032"/>
    <w:rPr>
      <w:sz w:val="20"/>
      <w:szCs w:val="20"/>
    </w:rPr>
  </w:style>
  <w:style w:type="character" w:customStyle="1" w:styleId="FootnoteTextChar">
    <w:name w:val="Footnote Text Char"/>
    <w:basedOn w:val="DefaultParagraphFont"/>
    <w:link w:val="FootnoteText"/>
    <w:semiHidden/>
    <w:rsid w:val="00A33032"/>
    <w:rPr>
      <w:lang w:val="en-US" w:eastAsia="en-US"/>
    </w:rPr>
  </w:style>
  <w:style w:type="character" w:styleId="FootnoteReference">
    <w:name w:val="footnote reference"/>
    <w:basedOn w:val="DefaultParagraphFont"/>
    <w:semiHidden/>
    <w:unhideWhenUsed/>
    <w:rsid w:val="00A33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970">
      <w:bodyDiv w:val="1"/>
      <w:marLeft w:val="0"/>
      <w:marRight w:val="0"/>
      <w:marTop w:val="0"/>
      <w:marBottom w:val="0"/>
      <w:divBdr>
        <w:top w:val="none" w:sz="0" w:space="0" w:color="auto"/>
        <w:left w:val="none" w:sz="0" w:space="0" w:color="auto"/>
        <w:bottom w:val="none" w:sz="0" w:space="0" w:color="auto"/>
        <w:right w:val="none" w:sz="0" w:space="0" w:color="auto"/>
      </w:divBdr>
    </w:div>
    <w:div w:id="117457787">
      <w:bodyDiv w:val="1"/>
      <w:marLeft w:val="0"/>
      <w:marRight w:val="0"/>
      <w:marTop w:val="0"/>
      <w:marBottom w:val="0"/>
      <w:divBdr>
        <w:top w:val="none" w:sz="0" w:space="0" w:color="auto"/>
        <w:left w:val="none" w:sz="0" w:space="0" w:color="auto"/>
        <w:bottom w:val="none" w:sz="0" w:space="0" w:color="auto"/>
        <w:right w:val="none" w:sz="0" w:space="0" w:color="auto"/>
      </w:divBdr>
    </w:div>
    <w:div w:id="147214899">
      <w:bodyDiv w:val="1"/>
      <w:marLeft w:val="0"/>
      <w:marRight w:val="0"/>
      <w:marTop w:val="0"/>
      <w:marBottom w:val="0"/>
      <w:divBdr>
        <w:top w:val="none" w:sz="0" w:space="0" w:color="auto"/>
        <w:left w:val="none" w:sz="0" w:space="0" w:color="auto"/>
        <w:bottom w:val="none" w:sz="0" w:space="0" w:color="auto"/>
        <w:right w:val="none" w:sz="0" w:space="0" w:color="auto"/>
      </w:divBdr>
    </w:div>
    <w:div w:id="214203269">
      <w:bodyDiv w:val="1"/>
      <w:marLeft w:val="0"/>
      <w:marRight w:val="0"/>
      <w:marTop w:val="0"/>
      <w:marBottom w:val="0"/>
      <w:divBdr>
        <w:top w:val="none" w:sz="0" w:space="0" w:color="auto"/>
        <w:left w:val="none" w:sz="0" w:space="0" w:color="auto"/>
        <w:bottom w:val="none" w:sz="0" w:space="0" w:color="auto"/>
        <w:right w:val="none" w:sz="0" w:space="0" w:color="auto"/>
      </w:divBdr>
    </w:div>
    <w:div w:id="237322605">
      <w:bodyDiv w:val="1"/>
      <w:marLeft w:val="0"/>
      <w:marRight w:val="0"/>
      <w:marTop w:val="0"/>
      <w:marBottom w:val="0"/>
      <w:divBdr>
        <w:top w:val="none" w:sz="0" w:space="0" w:color="auto"/>
        <w:left w:val="none" w:sz="0" w:space="0" w:color="auto"/>
        <w:bottom w:val="none" w:sz="0" w:space="0" w:color="auto"/>
        <w:right w:val="none" w:sz="0" w:space="0" w:color="auto"/>
      </w:divBdr>
    </w:div>
    <w:div w:id="279648323">
      <w:bodyDiv w:val="1"/>
      <w:marLeft w:val="0"/>
      <w:marRight w:val="0"/>
      <w:marTop w:val="0"/>
      <w:marBottom w:val="0"/>
      <w:divBdr>
        <w:top w:val="none" w:sz="0" w:space="0" w:color="auto"/>
        <w:left w:val="none" w:sz="0" w:space="0" w:color="auto"/>
        <w:bottom w:val="none" w:sz="0" w:space="0" w:color="auto"/>
        <w:right w:val="none" w:sz="0" w:space="0" w:color="auto"/>
      </w:divBdr>
    </w:div>
    <w:div w:id="282929855">
      <w:bodyDiv w:val="1"/>
      <w:marLeft w:val="0"/>
      <w:marRight w:val="0"/>
      <w:marTop w:val="0"/>
      <w:marBottom w:val="0"/>
      <w:divBdr>
        <w:top w:val="none" w:sz="0" w:space="0" w:color="auto"/>
        <w:left w:val="none" w:sz="0" w:space="0" w:color="auto"/>
        <w:bottom w:val="none" w:sz="0" w:space="0" w:color="auto"/>
        <w:right w:val="none" w:sz="0" w:space="0" w:color="auto"/>
      </w:divBdr>
    </w:div>
    <w:div w:id="289093626">
      <w:bodyDiv w:val="1"/>
      <w:marLeft w:val="0"/>
      <w:marRight w:val="0"/>
      <w:marTop w:val="0"/>
      <w:marBottom w:val="0"/>
      <w:divBdr>
        <w:top w:val="none" w:sz="0" w:space="0" w:color="auto"/>
        <w:left w:val="none" w:sz="0" w:space="0" w:color="auto"/>
        <w:bottom w:val="none" w:sz="0" w:space="0" w:color="auto"/>
        <w:right w:val="none" w:sz="0" w:space="0" w:color="auto"/>
      </w:divBdr>
    </w:div>
    <w:div w:id="360519073">
      <w:bodyDiv w:val="1"/>
      <w:marLeft w:val="0"/>
      <w:marRight w:val="0"/>
      <w:marTop w:val="0"/>
      <w:marBottom w:val="0"/>
      <w:divBdr>
        <w:top w:val="none" w:sz="0" w:space="0" w:color="auto"/>
        <w:left w:val="none" w:sz="0" w:space="0" w:color="auto"/>
        <w:bottom w:val="none" w:sz="0" w:space="0" w:color="auto"/>
        <w:right w:val="none" w:sz="0" w:space="0" w:color="auto"/>
      </w:divBdr>
    </w:div>
    <w:div w:id="394933049">
      <w:bodyDiv w:val="1"/>
      <w:marLeft w:val="0"/>
      <w:marRight w:val="0"/>
      <w:marTop w:val="0"/>
      <w:marBottom w:val="0"/>
      <w:divBdr>
        <w:top w:val="none" w:sz="0" w:space="0" w:color="auto"/>
        <w:left w:val="none" w:sz="0" w:space="0" w:color="auto"/>
        <w:bottom w:val="none" w:sz="0" w:space="0" w:color="auto"/>
        <w:right w:val="none" w:sz="0" w:space="0" w:color="auto"/>
      </w:divBdr>
    </w:div>
    <w:div w:id="465009961">
      <w:bodyDiv w:val="1"/>
      <w:marLeft w:val="0"/>
      <w:marRight w:val="0"/>
      <w:marTop w:val="0"/>
      <w:marBottom w:val="0"/>
      <w:divBdr>
        <w:top w:val="none" w:sz="0" w:space="0" w:color="auto"/>
        <w:left w:val="none" w:sz="0" w:space="0" w:color="auto"/>
        <w:bottom w:val="none" w:sz="0" w:space="0" w:color="auto"/>
        <w:right w:val="none" w:sz="0" w:space="0" w:color="auto"/>
      </w:divBdr>
    </w:div>
    <w:div w:id="506331933">
      <w:bodyDiv w:val="1"/>
      <w:marLeft w:val="0"/>
      <w:marRight w:val="0"/>
      <w:marTop w:val="0"/>
      <w:marBottom w:val="0"/>
      <w:divBdr>
        <w:top w:val="none" w:sz="0" w:space="0" w:color="auto"/>
        <w:left w:val="none" w:sz="0" w:space="0" w:color="auto"/>
        <w:bottom w:val="none" w:sz="0" w:space="0" w:color="auto"/>
        <w:right w:val="none" w:sz="0" w:space="0" w:color="auto"/>
      </w:divBdr>
    </w:div>
    <w:div w:id="511262907">
      <w:bodyDiv w:val="1"/>
      <w:marLeft w:val="0"/>
      <w:marRight w:val="0"/>
      <w:marTop w:val="0"/>
      <w:marBottom w:val="0"/>
      <w:divBdr>
        <w:top w:val="none" w:sz="0" w:space="0" w:color="auto"/>
        <w:left w:val="none" w:sz="0" w:space="0" w:color="auto"/>
        <w:bottom w:val="none" w:sz="0" w:space="0" w:color="auto"/>
        <w:right w:val="none" w:sz="0" w:space="0" w:color="auto"/>
      </w:divBdr>
    </w:div>
    <w:div w:id="543062708">
      <w:bodyDiv w:val="1"/>
      <w:marLeft w:val="0"/>
      <w:marRight w:val="0"/>
      <w:marTop w:val="0"/>
      <w:marBottom w:val="0"/>
      <w:divBdr>
        <w:top w:val="none" w:sz="0" w:space="0" w:color="auto"/>
        <w:left w:val="none" w:sz="0" w:space="0" w:color="auto"/>
        <w:bottom w:val="none" w:sz="0" w:space="0" w:color="auto"/>
        <w:right w:val="none" w:sz="0" w:space="0" w:color="auto"/>
      </w:divBdr>
    </w:div>
    <w:div w:id="583421797">
      <w:bodyDiv w:val="1"/>
      <w:marLeft w:val="0"/>
      <w:marRight w:val="0"/>
      <w:marTop w:val="0"/>
      <w:marBottom w:val="0"/>
      <w:divBdr>
        <w:top w:val="none" w:sz="0" w:space="0" w:color="auto"/>
        <w:left w:val="none" w:sz="0" w:space="0" w:color="auto"/>
        <w:bottom w:val="none" w:sz="0" w:space="0" w:color="auto"/>
        <w:right w:val="none" w:sz="0" w:space="0" w:color="auto"/>
      </w:divBdr>
    </w:div>
    <w:div w:id="690909859">
      <w:bodyDiv w:val="1"/>
      <w:marLeft w:val="0"/>
      <w:marRight w:val="0"/>
      <w:marTop w:val="0"/>
      <w:marBottom w:val="0"/>
      <w:divBdr>
        <w:top w:val="none" w:sz="0" w:space="0" w:color="auto"/>
        <w:left w:val="none" w:sz="0" w:space="0" w:color="auto"/>
        <w:bottom w:val="none" w:sz="0" w:space="0" w:color="auto"/>
        <w:right w:val="none" w:sz="0" w:space="0" w:color="auto"/>
      </w:divBdr>
    </w:div>
    <w:div w:id="695664900">
      <w:bodyDiv w:val="1"/>
      <w:marLeft w:val="0"/>
      <w:marRight w:val="0"/>
      <w:marTop w:val="0"/>
      <w:marBottom w:val="0"/>
      <w:divBdr>
        <w:top w:val="none" w:sz="0" w:space="0" w:color="auto"/>
        <w:left w:val="none" w:sz="0" w:space="0" w:color="auto"/>
        <w:bottom w:val="none" w:sz="0" w:space="0" w:color="auto"/>
        <w:right w:val="none" w:sz="0" w:space="0" w:color="auto"/>
      </w:divBdr>
    </w:div>
    <w:div w:id="846868270">
      <w:bodyDiv w:val="1"/>
      <w:marLeft w:val="0"/>
      <w:marRight w:val="0"/>
      <w:marTop w:val="0"/>
      <w:marBottom w:val="0"/>
      <w:divBdr>
        <w:top w:val="none" w:sz="0" w:space="0" w:color="auto"/>
        <w:left w:val="none" w:sz="0" w:space="0" w:color="auto"/>
        <w:bottom w:val="none" w:sz="0" w:space="0" w:color="auto"/>
        <w:right w:val="none" w:sz="0" w:space="0" w:color="auto"/>
      </w:divBdr>
    </w:div>
    <w:div w:id="927346248">
      <w:bodyDiv w:val="1"/>
      <w:marLeft w:val="0"/>
      <w:marRight w:val="0"/>
      <w:marTop w:val="0"/>
      <w:marBottom w:val="0"/>
      <w:divBdr>
        <w:top w:val="none" w:sz="0" w:space="0" w:color="auto"/>
        <w:left w:val="none" w:sz="0" w:space="0" w:color="auto"/>
        <w:bottom w:val="none" w:sz="0" w:space="0" w:color="auto"/>
        <w:right w:val="none" w:sz="0" w:space="0" w:color="auto"/>
      </w:divBdr>
    </w:div>
    <w:div w:id="980234971">
      <w:bodyDiv w:val="1"/>
      <w:marLeft w:val="0"/>
      <w:marRight w:val="0"/>
      <w:marTop w:val="0"/>
      <w:marBottom w:val="0"/>
      <w:divBdr>
        <w:top w:val="none" w:sz="0" w:space="0" w:color="auto"/>
        <w:left w:val="none" w:sz="0" w:space="0" w:color="auto"/>
        <w:bottom w:val="none" w:sz="0" w:space="0" w:color="auto"/>
        <w:right w:val="none" w:sz="0" w:space="0" w:color="auto"/>
      </w:divBdr>
    </w:div>
    <w:div w:id="1002271420">
      <w:bodyDiv w:val="1"/>
      <w:marLeft w:val="0"/>
      <w:marRight w:val="0"/>
      <w:marTop w:val="0"/>
      <w:marBottom w:val="0"/>
      <w:divBdr>
        <w:top w:val="none" w:sz="0" w:space="0" w:color="auto"/>
        <w:left w:val="none" w:sz="0" w:space="0" w:color="auto"/>
        <w:bottom w:val="none" w:sz="0" w:space="0" w:color="auto"/>
        <w:right w:val="none" w:sz="0" w:space="0" w:color="auto"/>
      </w:divBdr>
    </w:div>
    <w:div w:id="1031225631">
      <w:bodyDiv w:val="1"/>
      <w:marLeft w:val="0"/>
      <w:marRight w:val="0"/>
      <w:marTop w:val="0"/>
      <w:marBottom w:val="0"/>
      <w:divBdr>
        <w:top w:val="none" w:sz="0" w:space="0" w:color="auto"/>
        <w:left w:val="none" w:sz="0" w:space="0" w:color="auto"/>
        <w:bottom w:val="none" w:sz="0" w:space="0" w:color="auto"/>
        <w:right w:val="none" w:sz="0" w:space="0" w:color="auto"/>
      </w:divBdr>
    </w:div>
    <w:div w:id="1040978335">
      <w:bodyDiv w:val="1"/>
      <w:marLeft w:val="0"/>
      <w:marRight w:val="0"/>
      <w:marTop w:val="0"/>
      <w:marBottom w:val="0"/>
      <w:divBdr>
        <w:top w:val="none" w:sz="0" w:space="0" w:color="auto"/>
        <w:left w:val="none" w:sz="0" w:space="0" w:color="auto"/>
        <w:bottom w:val="none" w:sz="0" w:space="0" w:color="auto"/>
        <w:right w:val="none" w:sz="0" w:space="0" w:color="auto"/>
      </w:divBdr>
    </w:div>
    <w:div w:id="1055589210">
      <w:bodyDiv w:val="1"/>
      <w:marLeft w:val="0"/>
      <w:marRight w:val="0"/>
      <w:marTop w:val="0"/>
      <w:marBottom w:val="0"/>
      <w:divBdr>
        <w:top w:val="none" w:sz="0" w:space="0" w:color="auto"/>
        <w:left w:val="none" w:sz="0" w:space="0" w:color="auto"/>
        <w:bottom w:val="none" w:sz="0" w:space="0" w:color="auto"/>
        <w:right w:val="none" w:sz="0" w:space="0" w:color="auto"/>
      </w:divBdr>
    </w:div>
    <w:div w:id="1058628253">
      <w:bodyDiv w:val="1"/>
      <w:marLeft w:val="0"/>
      <w:marRight w:val="0"/>
      <w:marTop w:val="0"/>
      <w:marBottom w:val="0"/>
      <w:divBdr>
        <w:top w:val="none" w:sz="0" w:space="0" w:color="auto"/>
        <w:left w:val="none" w:sz="0" w:space="0" w:color="auto"/>
        <w:bottom w:val="none" w:sz="0" w:space="0" w:color="auto"/>
        <w:right w:val="none" w:sz="0" w:space="0" w:color="auto"/>
      </w:divBdr>
    </w:div>
    <w:div w:id="1120801840">
      <w:bodyDiv w:val="1"/>
      <w:marLeft w:val="0"/>
      <w:marRight w:val="0"/>
      <w:marTop w:val="0"/>
      <w:marBottom w:val="0"/>
      <w:divBdr>
        <w:top w:val="none" w:sz="0" w:space="0" w:color="auto"/>
        <w:left w:val="none" w:sz="0" w:space="0" w:color="auto"/>
        <w:bottom w:val="none" w:sz="0" w:space="0" w:color="auto"/>
        <w:right w:val="none" w:sz="0" w:space="0" w:color="auto"/>
      </w:divBdr>
    </w:div>
    <w:div w:id="1255896501">
      <w:bodyDiv w:val="1"/>
      <w:marLeft w:val="0"/>
      <w:marRight w:val="0"/>
      <w:marTop w:val="0"/>
      <w:marBottom w:val="0"/>
      <w:divBdr>
        <w:top w:val="none" w:sz="0" w:space="0" w:color="auto"/>
        <w:left w:val="none" w:sz="0" w:space="0" w:color="auto"/>
        <w:bottom w:val="none" w:sz="0" w:space="0" w:color="auto"/>
        <w:right w:val="none" w:sz="0" w:space="0" w:color="auto"/>
      </w:divBdr>
    </w:div>
    <w:div w:id="1348023449">
      <w:bodyDiv w:val="1"/>
      <w:marLeft w:val="0"/>
      <w:marRight w:val="0"/>
      <w:marTop w:val="0"/>
      <w:marBottom w:val="0"/>
      <w:divBdr>
        <w:top w:val="none" w:sz="0" w:space="0" w:color="auto"/>
        <w:left w:val="none" w:sz="0" w:space="0" w:color="auto"/>
        <w:bottom w:val="none" w:sz="0" w:space="0" w:color="auto"/>
        <w:right w:val="none" w:sz="0" w:space="0" w:color="auto"/>
      </w:divBdr>
    </w:div>
    <w:div w:id="1483623648">
      <w:bodyDiv w:val="1"/>
      <w:marLeft w:val="0"/>
      <w:marRight w:val="0"/>
      <w:marTop w:val="0"/>
      <w:marBottom w:val="0"/>
      <w:divBdr>
        <w:top w:val="none" w:sz="0" w:space="0" w:color="auto"/>
        <w:left w:val="none" w:sz="0" w:space="0" w:color="auto"/>
        <w:bottom w:val="none" w:sz="0" w:space="0" w:color="auto"/>
        <w:right w:val="none" w:sz="0" w:space="0" w:color="auto"/>
      </w:divBdr>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619800572">
      <w:bodyDiv w:val="1"/>
      <w:marLeft w:val="0"/>
      <w:marRight w:val="0"/>
      <w:marTop w:val="0"/>
      <w:marBottom w:val="0"/>
      <w:divBdr>
        <w:top w:val="none" w:sz="0" w:space="0" w:color="auto"/>
        <w:left w:val="none" w:sz="0" w:space="0" w:color="auto"/>
        <w:bottom w:val="none" w:sz="0" w:space="0" w:color="auto"/>
        <w:right w:val="none" w:sz="0" w:space="0" w:color="auto"/>
      </w:divBdr>
    </w:div>
    <w:div w:id="1737507274">
      <w:bodyDiv w:val="1"/>
      <w:marLeft w:val="0"/>
      <w:marRight w:val="0"/>
      <w:marTop w:val="0"/>
      <w:marBottom w:val="0"/>
      <w:divBdr>
        <w:top w:val="none" w:sz="0" w:space="0" w:color="auto"/>
        <w:left w:val="none" w:sz="0" w:space="0" w:color="auto"/>
        <w:bottom w:val="none" w:sz="0" w:space="0" w:color="auto"/>
        <w:right w:val="none" w:sz="0" w:space="0" w:color="auto"/>
      </w:divBdr>
    </w:div>
    <w:div w:id="1760322325">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75858246">
      <w:bodyDiv w:val="1"/>
      <w:marLeft w:val="0"/>
      <w:marRight w:val="0"/>
      <w:marTop w:val="0"/>
      <w:marBottom w:val="0"/>
      <w:divBdr>
        <w:top w:val="none" w:sz="0" w:space="0" w:color="auto"/>
        <w:left w:val="none" w:sz="0" w:space="0" w:color="auto"/>
        <w:bottom w:val="none" w:sz="0" w:space="0" w:color="auto"/>
        <w:right w:val="none" w:sz="0" w:space="0" w:color="auto"/>
      </w:divBdr>
    </w:div>
    <w:div w:id="1823964155">
      <w:bodyDiv w:val="1"/>
      <w:marLeft w:val="0"/>
      <w:marRight w:val="0"/>
      <w:marTop w:val="0"/>
      <w:marBottom w:val="0"/>
      <w:divBdr>
        <w:top w:val="none" w:sz="0" w:space="0" w:color="auto"/>
        <w:left w:val="none" w:sz="0" w:space="0" w:color="auto"/>
        <w:bottom w:val="none" w:sz="0" w:space="0" w:color="auto"/>
        <w:right w:val="none" w:sz="0" w:space="0" w:color="auto"/>
      </w:divBdr>
    </w:div>
    <w:div w:id="1890455505">
      <w:bodyDiv w:val="1"/>
      <w:marLeft w:val="0"/>
      <w:marRight w:val="0"/>
      <w:marTop w:val="0"/>
      <w:marBottom w:val="0"/>
      <w:divBdr>
        <w:top w:val="none" w:sz="0" w:space="0" w:color="auto"/>
        <w:left w:val="none" w:sz="0" w:space="0" w:color="auto"/>
        <w:bottom w:val="none" w:sz="0" w:space="0" w:color="auto"/>
        <w:right w:val="none" w:sz="0" w:space="0" w:color="auto"/>
      </w:divBdr>
    </w:div>
    <w:div w:id="1900940859">
      <w:bodyDiv w:val="1"/>
      <w:marLeft w:val="0"/>
      <w:marRight w:val="0"/>
      <w:marTop w:val="0"/>
      <w:marBottom w:val="0"/>
      <w:divBdr>
        <w:top w:val="none" w:sz="0" w:space="0" w:color="auto"/>
        <w:left w:val="none" w:sz="0" w:space="0" w:color="auto"/>
        <w:bottom w:val="none" w:sz="0" w:space="0" w:color="auto"/>
        <w:right w:val="none" w:sz="0" w:space="0" w:color="auto"/>
      </w:divBdr>
    </w:div>
    <w:div w:id="1922178365">
      <w:bodyDiv w:val="1"/>
      <w:marLeft w:val="0"/>
      <w:marRight w:val="0"/>
      <w:marTop w:val="0"/>
      <w:marBottom w:val="0"/>
      <w:divBdr>
        <w:top w:val="none" w:sz="0" w:space="0" w:color="auto"/>
        <w:left w:val="none" w:sz="0" w:space="0" w:color="auto"/>
        <w:bottom w:val="none" w:sz="0" w:space="0" w:color="auto"/>
        <w:right w:val="none" w:sz="0" w:space="0" w:color="auto"/>
      </w:divBdr>
    </w:div>
    <w:div w:id="2115860979">
      <w:bodyDiv w:val="1"/>
      <w:marLeft w:val="0"/>
      <w:marRight w:val="0"/>
      <w:marTop w:val="0"/>
      <w:marBottom w:val="0"/>
      <w:divBdr>
        <w:top w:val="none" w:sz="0" w:space="0" w:color="auto"/>
        <w:left w:val="none" w:sz="0" w:space="0" w:color="auto"/>
        <w:bottom w:val="none" w:sz="0" w:space="0" w:color="auto"/>
        <w:right w:val="none" w:sz="0" w:space="0" w:color="auto"/>
      </w:divBdr>
    </w:div>
    <w:div w:id="21301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7464-92AD-43FB-A710-D9F6CDE3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7585</Words>
  <Characters>45045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2018-10-10T00:42:00Z</dcterms:created>
  <dcterms:modified xsi:type="dcterms:W3CDTF">2018-10-18T02:19:00Z</dcterms:modified>
</cp:coreProperties>
</file>