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CBB" w:rsidRDefault="00EE6BEC" w:rsidP="00D26B29">
      <w:pPr>
        <w:ind w:left="709" w:hanging="709"/>
        <w:jc w:val="left"/>
        <w:outlineLvl w:val="0"/>
        <w:rPr>
          <w:b/>
          <w:sz w:val="36"/>
          <w:szCs w:val="36"/>
        </w:rPr>
      </w:pPr>
      <w:r>
        <w:rPr>
          <w:b/>
          <w:sz w:val="36"/>
          <w:szCs w:val="36"/>
        </w:rPr>
        <w:t>5.11</w:t>
      </w:r>
      <w:r w:rsidR="00B60939" w:rsidRPr="00C12C14">
        <w:rPr>
          <w:b/>
          <w:sz w:val="36"/>
          <w:szCs w:val="36"/>
        </w:rPr>
        <w:tab/>
      </w:r>
      <w:r w:rsidR="003D685B">
        <w:rPr>
          <w:b/>
          <w:sz w:val="36"/>
          <w:szCs w:val="36"/>
        </w:rPr>
        <w:t>SOFOSBUVIR</w:t>
      </w:r>
      <w:r w:rsidR="00B15B66">
        <w:rPr>
          <w:b/>
          <w:sz w:val="36"/>
          <w:szCs w:val="36"/>
        </w:rPr>
        <w:t xml:space="preserve"> with </w:t>
      </w:r>
      <w:r w:rsidR="003D685B">
        <w:rPr>
          <w:b/>
          <w:sz w:val="36"/>
          <w:szCs w:val="36"/>
        </w:rPr>
        <w:t>VELPATASVIR</w:t>
      </w:r>
      <w:r w:rsidR="00B15B66">
        <w:rPr>
          <w:b/>
          <w:sz w:val="36"/>
          <w:szCs w:val="36"/>
        </w:rPr>
        <w:t xml:space="preserve"> and </w:t>
      </w:r>
      <w:r w:rsidR="003D685B">
        <w:rPr>
          <w:b/>
          <w:sz w:val="36"/>
          <w:szCs w:val="36"/>
        </w:rPr>
        <w:t>VOXILAPREVIR</w:t>
      </w:r>
      <w:r w:rsidR="00B60939" w:rsidRPr="00C12C14">
        <w:rPr>
          <w:b/>
          <w:sz w:val="36"/>
          <w:szCs w:val="36"/>
        </w:rPr>
        <w:t xml:space="preserve">, </w:t>
      </w:r>
      <w:r w:rsidR="003D685B">
        <w:rPr>
          <w:b/>
          <w:sz w:val="36"/>
          <w:szCs w:val="36"/>
        </w:rPr>
        <w:t>400mg/100mg/100mg tablets</w:t>
      </w:r>
      <w:r w:rsidR="00B60939" w:rsidRPr="00C12C14">
        <w:rPr>
          <w:b/>
          <w:sz w:val="36"/>
          <w:szCs w:val="36"/>
        </w:rPr>
        <w:t xml:space="preserve">, </w:t>
      </w:r>
      <w:r w:rsidR="002D7F79">
        <w:rPr>
          <w:b/>
          <w:sz w:val="36"/>
          <w:szCs w:val="36"/>
        </w:rPr>
        <w:br/>
      </w:r>
      <w:r w:rsidR="003D685B">
        <w:rPr>
          <w:b/>
          <w:sz w:val="36"/>
          <w:szCs w:val="36"/>
        </w:rPr>
        <w:t>VOSEVI</w:t>
      </w:r>
      <w:r w:rsidR="00B60939" w:rsidRPr="00C12C14">
        <w:rPr>
          <w:b/>
          <w:sz w:val="36"/>
          <w:szCs w:val="36"/>
          <w:vertAlign w:val="superscript"/>
        </w:rPr>
        <w:t>®</w:t>
      </w:r>
      <w:r w:rsidR="00B60939" w:rsidRPr="00C12C14">
        <w:rPr>
          <w:b/>
          <w:sz w:val="36"/>
          <w:szCs w:val="36"/>
        </w:rPr>
        <w:t xml:space="preserve">, </w:t>
      </w:r>
    </w:p>
    <w:p w:rsidR="00E83F94" w:rsidRDefault="002D7F79" w:rsidP="001F58C9">
      <w:pPr>
        <w:ind w:left="709"/>
        <w:jc w:val="left"/>
        <w:outlineLvl w:val="0"/>
      </w:pPr>
      <w:r>
        <w:rPr>
          <w:b/>
          <w:sz w:val="36"/>
          <w:szCs w:val="36"/>
        </w:rPr>
        <w:t>Gilead Sciences Pty Limited</w:t>
      </w:r>
      <w:r w:rsidR="00B60939" w:rsidRPr="00C12C14">
        <w:rPr>
          <w:b/>
          <w:sz w:val="36"/>
          <w:szCs w:val="36"/>
        </w:rPr>
        <w:t>.</w:t>
      </w:r>
    </w:p>
    <w:p w:rsidR="00B50DB8" w:rsidRDefault="00B50DB8" w:rsidP="00025C10">
      <w:pPr>
        <w:pStyle w:val="PBACHeading1"/>
        <w:spacing w:before="240" w:after="120"/>
      </w:pPr>
      <w:bookmarkStart w:id="0" w:name="_Toc500605955"/>
      <w:r w:rsidRPr="00407F2D">
        <w:t>Purpose of Application</w:t>
      </w:r>
      <w:bookmarkEnd w:id="0"/>
    </w:p>
    <w:p w:rsidR="00727ED3" w:rsidRPr="008B1757" w:rsidRDefault="00D92BE6" w:rsidP="00F477B2">
      <w:pPr>
        <w:pStyle w:val="ListParagraph"/>
        <w:numPr>
          <w:ilvl w:val="1"/>
          <w:numId w:val="2"/>
        </w:numPr>
      </w:pPr>
      <w:r>
        <w:t xml:space="preserve">The submission requested </w:t>
      </w:r>
      <w:r w:rsidR="008B1757" w:rsidRPr="004B3DDB">
        <w:t xml:space="preserve">Section 100 </w:t>
      </w:r>
      <w:r w:rsidR="00727ED3">
        <w:t>and Section 85</w:t>
      </w:r>
      <w:r w:rsidR="008B1757" w:rsidRPr="004B3DDB">
        <w:t xml:space="preserve"> listing for </w:t>
      </w:r>
      <w:proofErr w:type="spellStart"/>
      <w:r w:rsidR="002457C6" w:rsidRPr="002457C6">
        <w:t>sofosbuvir</w:t>
      </w:r>
      <w:proofErr w:type="spellEnd"/>
      <w:r w:rsidR="002457C6" w:rsidRPr="002457C6">
        <w:t xml:space="preserve"> </w:t>
      </w:r>
      <w:r w:rsidR="00B15B66">
        <w:t>with</w:t>
      </w:r>
      <w:r w:rsidR="002457C6" w:rsidRPr="002457C6">
        <w:t xml:space="preserve"> </w:t>
      </w:r>
      <w:proofErr w:type="spellStart"/>
      <w:r w:rsidR="002457C6" w:rsidRPr="002457C6">
        <w:t>velpatasvir</w:t>
      </w:r>
      <w:proofErr w:type="spellEnd"/>
      <w:r w:rsidR="002457C6" w:rsidRPr="002457C6">
        <w:t xml:space="preserve"> </w:t>
      </w:r>
      <w:r w:rsidR="00B15B66">
        <w:t>and</w:t>
      </w:r>
      <w:r w:rsidR="002457C6" w:rsidRPr="002457C6">
        <w:t xml:space="preserve"> </w:t>
      </w:r>
      <w:proofErr w:type="spellStart"/>
      <w:r w:rsidR="002457C6" w:rsidRPr="002457C6">
        <w:t>voxilaprevir</w:t>
      </w:r>
      <w:proofErr w:type="spellEnd"/>
      <w:r w:rsidR="002457C6" w:rsidRPr="002457C6">
        <w:t xml:space="preserve"> </w:t>
      </w:r>
      <w:r w:rsidR="008B1757" w:rsidRPr="004B3DDB">
        <w:t xml:space="preserve">for treatment of </w:t>
      </w:r>
      <w:r w:rsidR="00727ED3">
        <w:t xml:space="preserve">adult </w:t>
      </w:r>
      <w:r w:rsidR="007427ED">
        <w:t>patients</w:t>
      </w:r>
      <w:r w:rsidR="00727ED3">
        <w:t xml:space="preserve"> with </w:t>
      </w:r>
      <w:r w:rsidR="00FA4054" w:rsidRPr="00FA4054">
        <w:rPr>
          <w:color w:val="000000" w:themeColor="text1"/>
        </w:rPr>
        <w:t>chronic hepatitis C</w:t>
      </w:r>
      <w:r w:rsidR="00FA4054">
        <w:t xml:space="preserve"> (</w:t>
      </w:r>
      <w:r w:rsidR="00727ED3">
        <w:t>CHC</w:t>
      </w:r>
      <w:r w:rsidR="00FA4054">
        <w:t>)</w:t>
      </w:r>
      <w:r w:rsidR="00727ED3">
        <w:t xml:space="preserve"> who have received prior treatment with an NS5A-based treatment regimen and not achieved </w:t>
      </w:r>
      <w:r>
        <w:t>sustained virological response (</w:t>
      </w:r>
      <w:r w:rsidR="00727ED3">
        <w:t>SVR</w:t>
      </w:r>
      <w:r>
        <w:t>)</w:t>
      </w:r>
      <w:r w:rsidR="00727ED3">
        <w:t xml:space="preserve">. </w:t>
      </w:r>
      <w:proofErr w:type="spellStart"/>
      <w:r w:rsidR="007770D3">
        <w:t>S</w:t>
      </w:r>
      <w:r w:rsidR="004021C2">
        <w:t>ofosbuvir</w:t>
      </w:r>
      <w:proofErr w:type="spellEnd"/>
      <w:r w:rsidR="004021C2">
        <w:t xml:space="preserve"> </w:t>
      </w:r>
      <w:r w:rsidR="00B15B66">
        <w:t>with</w:t>
      </w:r>
      <w:r w:rsidR="004021C2">
        <w:t xml:space="preserve"> </w:t>
      </w:r>
      <w:proofErr w:type="spellStart"/>
      <w:r w:rsidR="004021C2">
        <w:t>velpatas</w:t>
      </w:r>
      <w:r w:rsidR="00DA00C6">
        <w:t>vir</w:t>
      </w:r>
      <w:proofErr w:type="spellEnd"/>
      <w:r w:rsidR="00DA00C6">
        <w:t xml:space="preserve"> </w:t>
      </w:r>
      <w:r w:rsidR="00B15B66">
        <w:t>and</w:t>
      </w:r>
      <w:r w:rsidR="00DA00C6">
        <w:t xml:space="preserve"> </w:t>
      </w:r>
      <w:proofErr w:type="spellStart"/>
      <w:r w:rsidR="00DA00C6">
        <w:t>voxilaprevir</w:t>
      </w:r>
      <w:proofErr w:type="spellEnd"/>
      <w:r w:rsidR="00727ED3">
        <w:t xml:space="preserve"> has not been previously considered by the PBAC</w:t>
      </w:r>
      <w:r w:rsidR="008B1757" w:rsidRPr="004B3DDB">
        <w:t>.</w:t>
      </w:r>
    </w:p>
    <w:p w:rsidR="00C2778B" w:rsidRDefault="00727ED3" w:rsidP="00F477B2">
      <w:pPr>
        <w:pStyle w:val="ListParagraph"/>
        <w:numPr>
          <w:ilvl w:val="1"/>
          <w:numId w:val="2"/>
        </w:numPr>
        <w:spacing w:after="120"/>
      </w:pPr>
      <w:r>
        <w:t>The requested basis for listing was cost-effectivenes</w:t>
      </w:r>
      <w:r w:rsidR="007427ED">
        <w:t>s</w:t>
      </w:r>
      <w:r>
        <w:t xml:space="preserve"> compared to standard medical management</w:t>
      </w:r>
      <w:r w:rsidR="004A217B">
        <w:t xml:space="preserve"> (no active treatment)</w:t>
      </w:r>
      <w:r>
        <w:t xml:space="preserve">. </w:t>
      </w:r>
    </w:p>
    <w:p w:rsidR="00D43DF8" w:rsidRPr="001F58C9" w:rsidRDefault="007818C2" w:rsidP="00F477B2">
      <w:pPr>
        <w:pStyle w:val="ListParagraph"/>
        <w:numPr>
          <w:ilvl w:val="1"/>
          <w:numId w:val="2"/>
        </w:numPr>
        <w:spacing w:after="120"/>
        <w:rPr>
          <w:b/>
        </w:rPr>
      </w:pPr>
      <w:r>
        <w:t xml:space="preserve">The key </w:t>
      </w:r>
      <w:proofErr w:type="gramStart"/>
      <w:r>
        <w:t>components of the clinical issue addressed by the submission is</w:t>
      </w:r>
      <w:proofErr w:type="gramEnd"/>
      <w:r>
        <w:t xml:space="preserve"> presented in Table 1.</w:t>
      </w:r>
    </w:p>
    <w:p w:rsidR="008B1757" w:rsidRPr="008B1757" w:rsidRDefault="008B1757" w:rsidP="008B1757">
      <w:pPr>
        <w:rPr>
          <w:rStyle w:val="CommentReference"/>
        </w:rPr>
      </w:pPr>
      <w:r>
        <w:rPr>
          <w:rStyle w:val="CommentReference"/>
        </w:rPr>
        <w:t xml:space="preserve">Table </w:t>
      </w:r>
      <w:r w:rsidR="007617D1">
        <w:rPr>
          <w:rStyle w:val="CommentReference"/>
        </w:rPr>
        <w:t>1</w:t>
      </w:r>
      <w:r w:rsidR="007770D3">
        <w:rPr>
          <w:rStyle w:val="CommentReference"/>
        </w:rPr>
        <w:t xml:space="preserve">: </w:t>
      </w:r>
      <w:r>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7488"/>
      </w:tblGrid>
      <w:tr w:rsidR="007770D3" w:rsidRPr="00A518F3" w:rsidTr="00E0273C">
        <w:tc>
          <w:tcPr>
            <w:tcW w:w="1668" w:type="dxa"/>
            <w:vAlign w:val="center"/>
          </w:tcPr>
          <w:p w:rsidR="007770D3" w:rsidRPr="00A518F3" w:rsidRDefault="007770D3" w:rsidP="00E0273C">
            <w:pPr>
              <w:pStyle w:val="Tabletext"/>
              <w:rPr>
                <w:b/>
              </w:rPr>
            </w:pPr>
            <w:r w:rsidRPr="00A518F3">
              <w:rPr>
                <w:b/>
              </w:rPr>
              <w:t>Component</w:t>
            </w:r>
          </w:p>
        </w:tc>
        <w:tc>
          <w:tcPr>
            <w:tcW w:w="7488" w:type="dxa"/>
            <w:vAlign w:val="center"/>
          </w:tcPr>
          <w:p w:rsidR="007770D3" w:rsidRPr="00A518F3" w:rsidRDefault="007770D3" w:rsidP="00E0273C">
            <w:pPr>
              <w:pStyle w:val="Tabletext"/>
              <w:jc w:val="center"/>
              <w:rPr>
                <w:b/>
              </w:rPr>
            </w:pPr>
            <w:r w:rsidRPr="00A518F3">
              <w:rPr>
                <w:b/>
              </w:rPr>
              <w:t>Description</w:t>
            </w:r>
          </w:p>
        </w:tc>
      </w:tr>
      <w:tr w:rsidR="007770D3" w:rsidTr="00E0273C">
        <w:tc>
          <w:tcPr>
            <w:tcW w:w="1668" w:type="dxa"/>
            <w:vAlign w:val="center"/>
          </w:tcPr>
          <w:p w:rsidR="007770D3" w:rsidRDefault="007770D3" w:rsidP="00E0273C">
            <w:pPr>
              <w:pStyle w:val="Tabletext"/>
            </w:pPr>
            <w:r>
              <w:t>Population</w:t>
            </w:r>
          </w:p>
        </w:tc>
        <w:tc>
          <w:tcPr>
            <w:tcW w:w="7488" w:type="dxa"/>
            <w:vAlign w:val="center"/>
          </w:tcPr>
          <w:p w:rsidR="007770D3" w:rsidRDefault="007770D3" w:rsidP="007770D3">
            <w:pPr>
              <w:pStyle w:val="Tabletext"/>
              <w:jc w:val="left"/>
            </w:pPr>
            <w:r>
              <w:t>Hepatitis C-infected patients who have failed to achieve virological response with non-structural protein 5A (NS5A) therapy</w:t>
            </w:r>
          </w:p>
        </w:tc>
      </w:tr>
      <w:tr w:rsidR="007770D3" w:rsidTr="00E0273C">
        <w:trPr>
          <w:trHeight w:val="80"/>
        </w:trPr>
        <w:tc>
          <w:tcPr>
            <w:tcW w:w="1668" w:type="dxa"/>
            <w:vAlign w:val="center"/>
          </w:tcPr>
          <w:p w:rsidR="007770D3" w:rsidRDefault="007770D3" w:rsidP="00E0273C">
            <w:pPr>
              <w:pStyle w:val="Tabletext"/>
            </w:pPr>
            <w:r>
              <w:t>Intervention</w:t>
            </w:r>
          </w:p>
        </w:tc>
        <w:tc>
          <w:tcPr>
            <w:tcW w:w="7488" w:type="dxa"/>
            <w:vAlign w:val="center"/>
          </w:tcPr>
          <w:p w:rsidR="007770D3" w:rsidRDefault="007770D3" w:rsidP="007770D3">
            <w:pPr>
              <w:pStyle w:val="Tabletext"/>
              <w:jc w:val="left"/>
            </w:pPr>
            <w:proofErr w:type="spellStart"/>
            <w:r>
              <w:t>Sofosbuvir</w:t>
            </w:r>
            <w:proofErr w:type="spellEnd"/>
            <w:r>
              <w:t xml:space="preserve"> + </w:t>
            </w:r>
            <w:proofErr w:type="spellStart"/>
            <w:r>
              <w:t>velpatasvir</w:t>
            </w:r>
            <w:proofErr w:type="spellEnd"/>
            <w:r>
              <w:t xml:space="preserve"> + </w:t>
            </w:r>
            <w:proofErr w:type="spellStart"/>
            <w:r>
              <w:t>voxilaprevir</w:t>
            </w:r>
            <w:proofErr w:type="spellEnd"/>
          </w:p>
        </w:tc>
      </w:tr>
      <w:tr w:rsidR="007770D3" w:rsidTr="00E0273C">
        <w:tc>
          <w:tcPr>
            <w:tcW w:w="1668" w:type="dxa"/>
            <w:vAlign w:val="center"/>
          </w:tcPr>
          <w:p w:rsidR="007770D3" w:rsidRDefault="007770D3" w:rsidP="00E0273C">
            <w:pPr>
              <w:pStyle w:val="Tabletext"/>
            </w:pPr>
            <w:r>
              <w:t>Comparator</w:t>
            </w:r>
          </w:p>
        </w:tc>
        <w:tc>
          <w:tcPr>
            <w:tcW w:w="7488" w:type="dxa"/>
            <w:vAlign w:val="center"/>
          </w:tcPr>
          <w:p w:rsidR="007770D3" w:rsidRPr="00863D2A" w:rsidRDefault="007770D3" w:rsidP="00D94E6A">
            <w:pPr>
              <w:pStyle w:val="Tabletext"/>
              <w:jc w:val="left"/>
            </w:pPr>
            <w:r w:rsidRPr="00863D2A">
              <w:t xml:space="preserve">Standard medical management (supportive care only, no active treatment); this is reasonable, however upon PBS-listing of </w:t>
            </w:r>
            <w:proofErr w:type="spellStart"/>
            <w:r w:rsidRPr="00863D2A">
              <w:t>glecaprevir</w:t>
            </w:r>
            <w:proofErr w:type="spellEnd"/>
            <w:r w:rsidRPr="00863D2A">
              <w:t xml:space="preserve"> with </w:t>
            </w:r>
            <w:proofErr w:type="spellStart"/>
            <w:r w:rsidRPr="00863D2A">
              <w:t>pibrentasvir</w:t>
            </w:r>
            <w:proofErr w:type="spellEnd"/>
            <w:r w:rsidRPr="00863D2A">
              <w:t xml:space="preserve"> (recommended for listing in patients infected with chronic hepatitis C (CHC) that have failed prior treatment with the use of an NS5A inhibitor at the November 2017 PBAC meeting), </w:t>
            </w:r>
            <w:proofErr w:type="spellStart"/>
            <w:r w:rsidRPr="00863D2A">
              <w:t>glecaprevir</w:t>
            </w:r>
            <w:proofErr w:type="spellEnd"/>
            <w:r w:rsidRPr="00863D2A">
              <w:t xml:space="preserve"> with </w:t>
            </w:r>
            <w:proofErr w:type="spellStart"/>
            <w:r w:rsidRPr="00863D2A">
              <w:t>pibrentasvir</w:t>
            </w:r>
            <w:proofErr w:type="spellEnd"/>
            <w:r w:rsidRPr="00863D2A">
              <w:t xml:space="preserve"> would become the appropriate comparator.</w:t>
            </w:r>
          </w:p>
        </w:tc>
      </w:tr>
      <w:tr w:rsidR="007770D3" w:rsidTr="00E0273C">
        <w:trPr>
          <w:trHeight w:val="77"/>
        </w:trPr>
        <w:tc>
          <w:tcPr>
            <w:tcW w:w="1668" w:type="dxa"/>
            <w:vAlign w:val="center"/>
          </w:tcPr>
          <w:p w:rsidR="007770D3" w:rsidRDefault="007770D3" w:rsidP="00E0273C">
            <w:pPr>
              <w:pStyle w:val="Tabletext"/>
            </w:pPr>
            <w:r>
              <w:t>Outcomes</w:t>
            </w:r>
          </w:p>
        </w:tc>
        <w:tc>
          <w:tcPr>
            <w:tcW w:w="7488" w:type="dxa"/>
            <w:vAlign w:val="center"/>
          </w:tcPr>
          <w:p w:rsidR="007770D3" w:rsidRDefault="007770D3" w:rsidP="007770D3">
            <w:pPr>
              <w:pStyle w:val="Tabletext"/>
              <w:jc w:val="left"/>
            </w:pPr>
            <w:r>
              <w:t>Sustained virological response at 12 weeks</w:t>
            </w:r>
          </w:p>
        </w:tc>
      </w:tr>
      <w:tr w:rsidR="007770D3" w:rsidTr="00E0273C">
        <w:tc>
          <w:tcPr>
            <w:tcW w:w="1668" w:type="dxa"/>
            <w:vAlign w:val="center"/>
          </w:tcPr>
          <w:p w:rsidR="007770D3" w:rsidRDefault="007770D3" w:rsidP="00E0273C">
            <w:pPr>
              <w:pStyle w:val="Tabletext"/>
            </w:pPr>
            <w:r>
              <w:t>Clinical claim</w:t>
            </w:r>
          </w:p>
        </w:tc>
        <w:tc>
          <w:tcPr>
            <w:tcW w:w="7488" w:type="dxa"/>
            <w:vAlign w:val="center"/>
          </w:tcPr>
          <w:p w:rsidR="007770D3" w:rsidRDefault="007770D3" w:rsidP="007770D3">
            <w:pPr>
              <w:pStyle w:val="Tabletext"/>
              <w:jc w:val="left"/>
            </w:pPr>
            <w:proofErr w:type="spellStart"/>
            <w:r>
              <w:t>Sofosbuvir</w:t>
            </w:r>
            <w:proofErr w:type="spellEnd"/>
            <w:r>
              <w:t xml:space="preserve"> + </w:t>
            </w:r>
            <w:proofErr w:type="spellStart"/>
            <w:r>
              <w:t>velpatasvir</w:t>
            </w:r>
            <w:proofErr w:type="spellEnd"/>
            <w:r>
              <w:t xml:space="preserve"> + </w:t>
            </w:r>
            <w:proofErr w:type="spellStart"/>
            <w:r>
              <w:t>voxilaprevir</w:t>
            </w:r>
            <w:proofErr w:type="spellEnd"/>
            <w:r>
              <w:t xml:space="preserve"> is superior to no active treatment</w:t>
            </w:r>
          </w:p>
        </w:tc>
      </w:tr>
    </w:tbl>
    <w:p w:rsidR="00727ED3" w:rsidRDefault="00727ED3" w:rsidP="00727ED3">
      <w:pPr>
        <w:pStyle w:val="TableFooter"/>
      </w:pPr>
      <w:r>
        <w:t>NS5A = non</w:t>
      </w:r>
      <w:r w:rsidR="009D17AD">
        <w:t>-</w:t>
      </w:r>
      <w:r>
        <w:t>structural protein 5A</w:t>
      </w:r>
    </w:p>
    <w:p w:rsidR="001F58C9" w:rsidRDefault="007C299C" w:rsidP="00A433A8">
      <w:pPr>
        <w:pStyle w:val="TableFooter"/>
      </w:pPr>
      <w:r>
        <w:t>Source: Table 1.1, p15 of the submission.</w:t>
      </w:r>
      <w:bookmarkStart w:id="1" w:name="_Toc500605956"/>
    </w:p>
    <w:p w:rsidR="001F58C9" w:rsidRDefault="001F58C9">
      <w:pPr>
        <w:jc w:val="left"/>
        <w:rPr>
          <w:rFonts w:ascii="Arial Narrow" w:hAnsi="Arial Narrow"/>
          <w:sz w:val="18"/>
        </w:rPr>
      </w:pPr>
      <w:r>
        <w:br w:type="page"/>
      </w:r>
    </w:p>
    <w:p w:rsidR="00B60939" w:rsidRPr="00882085" w:rsidRDefault="00B50DB8" w:rsidP="004B1CB4">
      <w:pPr>
        <w:pStyle w:val="PBACHeading1"/>
      </w:pPr>
      <w:r w:rsidRPr="00407F2D">
        <w:lastRenderedPageBreak/>
        <w:t>Requested listing</w:t>
      </w:r>
      <w:bookmarkEnd w:id="1"/>
    </w:p>
    <w:p w:rsidR="00617E12" w:rsidRPr="007770D3" w:rsidRDefault="00617E12" w:rsidP="00591957"/>
    <w:tbl>
      <w:tblPr>
        <w:tblW w:w="923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18"/>
        <w:gridCol w:w="904"/>
        <w:gridCol w:w="230"/>
        <w:gridCol w:w="992"/>
        <w:gridCol w:w="851"/>
        <w:gridCol w:w="2268"/>
        <w:gridCol w:w="1417"/>
        <w:gridCol w:w="56"/>
      </w:tblGrid>
      <w:tr w:rsidR="007427ED" w:rsidRPr="007D2D5F" w:rsidTr="002D7F79">
        <w:trPr>
          <w:trHeight w:val="728"/>
        </w:trPr>
        <w:tc>
          <w:tcPr>
            <w:tcW w:w="2518" w:type="dxa"/>
            <w:vAlign w:val="center"/>
          </w:tcPr>
          <w:p w:rsidR="00727ED3" w:rsidRPr="002C71CE" w:rsidRDefault="00727ED3" w:rsidP="00993FA4">
            <w:pPr>
              <w:pStyle w:val="Tabletext"/>
              <w:jc w:val="left"/>
              <w:rPr>
                <w:b/>
                <w:bCs/>
              </w:rPr>
            </w:pPr>
            <w:r w:rsidRPr="002C71CE">
              <w:rPr>
                <w:b/>
              </w:rPr>
              <w:t>Name, restriction, manner of administration, form</w:t>
            </w:r>
          </w:p>
        </w:tc>
        <w:tc>
          <w:tcPr>
            <w:tcW w:w="1134" w:type="dxa"/>
            <w:gridSpan w:val="2"/>
            <w:vAlign w:val="center"/>
          </w:tcPr>
          <w:p w:rsidR="00727ED3" w:rsidRPr="002C71CE" w:rsidRDefault="00727ED3" w:rsidP="00993FA4">
            <w:pPr>
              <w:pStyle w:val="Tabletext"/>
              <w:jc w:val="center"/>
              <w:rPr>
                <w:b/>
                <w:bCs/>
              </w:rPr>
            </w:pPr>
            <w:r w:rsidRPr="002C71CE">
              <w:rPr>
                <w:b/>
              </w:rPr>
              <w:t>Maximum quantity (packs)</w:t>
            </w:r>
          </w:p>
        </w:tc>
        <w:tc>
          <w:tcPr>
            <w:tcW w:w="992" w:type="dxa"/>
            <w:vAlign w:val="center"/>
          </w:tcPr>
          <w:p w:rsidR="00727ED3" w:rsidRPr="002C71CE" w:rsidRDefault="00727ED3" w:rsidP="00993FA4">
            <w:pPr>
              <w:pStyle w:val="Tabletext"/>
              <w:jc w:val="center"/>
              <w:rPr>
                <w:b/>
                <w:bCs/>
              </w:rPr>
            </w:pPr>
            <w:r w:rsidRPr="002C71CE">
              <w:rPr>
                <w:b/>
              </w:rPr>
              <w:t>Maximum quantity (units)</w:t>
            </w:r>
          </w:p>
        </w:tc>
        <w:tc>
          <w:tcPr>
            <w:tcW w:w="851" w:type="dxa"/>
            <w:vAlign w:val="center"/>
          </w:tcPr>
          <w:p w:rsidR="00727ED3" w:rsidRPr="002C71CE" w:rsidRDefault="00727ED3" w:rsidP="00993FA4">
            <w:pPr>
              <w:pStyle w:val="Tabletext"/>
              <w:jc w:val="center"/>
              <w:rPr>
                <w:b/>
                <w:bCs/>
              </w:rPr>
            </w:pPr>
            <w:r w:rsidRPr="002C71CE">
              <w:rPr>
                <w:b/>
              </w:rPr>
              <w:t>No. of repeats</w:t>
            </w:r>
          </w:p>
        </w:tc>
        <w:tc>
          <w:tcPr>
            <w:tcW w:w="2268" w:type="dxa"/>
            <w:vAlign w:val="center"/>
          </w:tcPr>
          <w:p w:rsidR="00727ED3" w:rsidRPr="002C71CE" w:rsidRDefault="00727ED3" w:rsidP="00993FA4">
            <w:pPr>
              <w:pStyle w:val="Tabletext"/>
              <w:jc w:val="center"/>
              <w:rPr>
                <w:b/>
                <w:bCs/>
              </w:rPr>
            </w:pPr>
            <w:r w:rsidRPr="002C71CE">
              <w:rPr>
                <w:b/>
              </w:rPr>
              <w:t>Dispensed price for maximum quantity</w:t>
            </w:r>
          </w:p>
        </w:tc>
        <w:tc>
          <w:tcPr>
            <w:tcW w:w="1473" w:type="dxa"/>
            <w:gridSpan w:val="2"/>
            <w:vAlign w:val="center"/>
          </w:tcPr>
          <w:p w:rsidR="00727ED3" w:rsidRPr="002C71CE" w:rsidRDefault="00727ED3" w:rsidP="00993FA4">
            <w:pPr>
              <w:pStyle w:val="Tabletext"/>
              <w:jc w:val="center"/>
              <w:rPr>
                <w:b/>
                <w:bCs/>
              </w:rPr>
            </w:pPr>
            <w:r w:rsidRPr="002C71CE">
              <w:rPr>
                <w:b/>
              </w:rPr>
              <w:t>Proprietary name and manufacturer</w:t>
            </w:r>
          </w:p>
        </w:tc>
      </w:tr>
      <w:tr w:rsidR="007427ED" w:rsidRPr="007D2D5F" w:rsidTr="002D7F79">
        <w:tc>
          <w:tcPr>
            <w:tcW w:w="2518" w:type="dxa"/>
          </w:tcPr>
          <w:p w:rsidR="00727ED3" w:rsidRPr="00437E5E" w:rsidRDefault="00B15B66" w:rsidP="002D7F79">
            <w:pPr>
              <w:pStyle w:val="Tabletext"/>
              <w:jc w:val="left"/>
            </w:pPr>
            <w:r w:rsidRPr="00437E5E">
              <w:t xml:space="preserve">SOFOSBUVIR + VELPATASVIR </w:t>
            </w:r>
            <w:r>
              <w:t>&amp;</w:t>
            </w:r>
            <w:r w:rsidRPr="00437E5E">
              <w:t xml:space="preserve"> VOXILAPREVIR</w:t>
            </w:r>
          </w:p>
          <w:p w:rsidR="00727ED3" w:rsidRPr="00437E5E" w:rsidRDefault="00727ED3" w:rsidP="00674657">
            <w:pPr>
              <w:pStyle w:val="Tabletext"/>
              <w:rPr>
                <w:b/>
                <w:bCs/>
              </w:rPr>
            </w:pPr>
            <w:r w:rsidRPr="00437E5E">
              <w:t>400mg/100mg/100mg tablet</w:t>
            </w:r>
          </w:p>
        </w:tc>
        <w:tc>
          <w:tcPr>
            <w:tcW w:w="1134" w:type="dxa"/>
            <w:gridSpan w:val="2"/>
          </w:tcPr>
          <w:p w:rsidR="00727ED3" w:rsidRPr="00437E5E" w:rsidRDefault="00727ED3" w:rsidP="00674657">
            <w:pPr>
              <w:pStyle w:val="Tabletext"/>
              <w:jc w:val="center"/>
              <w:rPr>
                <w:rFonts w:ascii="Times" w:hAnsi="Times"/>
              </w:rPr>
            </w:pPr>
            <w:r w:rsidRPr="00437E5E">
              <w:t>1</w:t>
            </w:r>
          </w:p>
        </w:tc>
        <w:tc>
          <w:tcPr>
            <w:tcW w:w="992" w:type="dxa"/>
          </w:tcPr>
          <w:p w:rsidR="00727ED3" w:rsidRPr="00437E5E" w:rsidRDefault="00727ED3" w:rsidP="00674657">
            <w:pPr>
              <w:pStyle w:val="Tabletext"/>
              <w:jc w:val="center"/>
              <w:rPr>
                <w:rFonts w:ascii="Times" w:hAnsi="Times"/>
              </w:rPr>
            </w:pPr>
            <w:r w:rsidRPr="00437E5E">
              <w:t>28</w:t>
            </w:r>
          </w:p>
        </w:tc>
        <w:tc>
          <w:tcPr>
            <w:tcW w:w="851" w:type="dxa"/>
          </w:tcPr>
          <w:p w:rsidR="00727ED3" w:rsidRPr="00437E5E" w:rsidRDefault="00727ED3" w:rsidP="00674657">
            <w:pPr>
              <w:pStyle w:val="Tabletext"/>
              <w:jc w:val="center"/>
              <w:rPr>
                <w:rFonts w:ascii="Times" w:hAnsi="Times"/>
              </w:rPr>
            </w:pPr>
            <w:r w:rsidRPr="00437E5E">
              <w:t>2</w:t>
            </w:r>
          </w:p>
        </w:tc>
        <w:tc>
          <w:tcPr>
            <w:tcW w:w="2268" w:type="dxa"/>
          </w:tcPr>
          <w:p w:rsidR="00727ED3" w:rsidRPr="00437E5E" w:rsidRDefault="00727ED3" w:rsidP="00674657">
            <w:pPr>
              <w:pStyle w:val="Tabletext"/>
              <w:rPr>
                <w:u w:val="single"/>
              </w:rPr>
            </w:pPr>
            <w:r w:rsidRPr="00437E5E">
              <w:rPr>
                <w:u w:val="single"/>
              </w:rPr>
              <w:t>S85</w:t>
            </w:r>
          </w:p>
          <w:p w:rsidR="00727ED3" w:rsidRPr="00437E5E" w:rsidRDefault="00727ED3" w:rsidP="00674657">
            <w:pPr>
              <w:pStyle w:val="Tabletext"/>
            </w:pPr>
            <w:r w:rsidRPr="00437E5E">
              <w:t>$</w:t>
            </w:r>
            <w:r w:rsidR="00B17F15">
              <w:rPr>
                <w:noProof/>
                <w:color w:val="000000"/>
                <w:highlight w:val="black"/>
              </w:rPr>
              <w:t>'''''''''''''''''''''''</w:t>
            </w:r>
            <w:r w:rsidRPr="00437E5E">
              <w:t xml:space="preserve"> published price</w:t>
            </w:r>
          </w:p>
          <w:p w:rsidR="00727ED3" w:rsidRPr="00437E5E" w:rsidRDefault="00727ED3" w:rsidP="00674657">
            <w:pPr>
              <w:pStyle w:val="Tabletext"/>
            </w:pPr>
            <w:r w:rsidRPr="00437E5E">
              <w:t>$</w:t>
            </w:r>
            <w:r w:rsidR="00B17F15">
              <w:rPr>
                <w:noProof/>
                <w:color w:val="000000"/>
                <w:highlight w:val="black"/>
              </w:rPr>
              <w:t>''''''''''''''''''</w:t>
            </w:r>
            <w:r w:rsidRPr="00437E5E">
              <w:t xml:space="preserve"> effective price</w:t>
            </w:r>
          </w:p>
          <w:p w:rsidR="00727ED3" w:rsidRPr="00437E5E" w:rsidRDefault="00727ED3" w:rsidP="00674657">
            <w:pPr>
              <w:pStyle w:val="Tabletext"/>
              <w:rPr>
                <w:u w:val="single"/>
              </w:rPr>
            </w:pPr>
            <w:r w:rsidRPr="00437E5E">
              <w:rPr>
                <w:u w:val="single"/>
              </w:rPr>
              <w:t>S100 Private</w:t>
            </w:r>
          </w:p>
          <w:p w:rsidR="00727ED3" w:rsidRPr="00437E5E" w:rsidRDefault="00727ED3" w:rsidP="00674657">
            <w:pPr>
              <w:pStyle w:val="Tabletext"/>
            </w:pPr>
            <w:r w:rsidRPr="00437E5E">
              <w:t>$</w:t>
            </w:r>
            <w:r w:rsidR="00B17F15">
              <w:rPr>
                <w:noProof/>
                <w:color w:val="000000"/>
                <w:highlight w:val="black"/>
              </w:rPr>
              <w:t>'''''''''''''''''''''''''</w:t>
            </w:r>
            <w:r w:rsidRPr="00437E5E">
              <w:t xml:space="preserve"> published price</w:t>
            </w:r>
          </w:p>
          <w:p w:rsidR="00727ED3" w:rsidRPr="00437E5E" w:rsidRDefault="00727ED3" w:rsidP="00674657">
            <w:pPr>
              <w:pStyle w:val="Tabletext"/>
            </w:pPr>
            <w:r w:rsidRPr="00437E5E">
              <w:t>$</w:t>
            </w:r>
            <w:r w:rsidR="00B17F15">
              <w:rPr>
                <w:noProof/>
                <w:color w:val="000000"/>
                <w:highlight w:val="black"/>
              </w:rPr>
              <w:t>'''''''''''''''''''''</w:t>
            </w:r>
            <w:r w:rsidRPr="00437E5E">
              <w:t xml:space="preserve"> effective price</w:t>
            </w:r>
          </w:p>
          <w:p w:rsidR="00727ED3" w:rsidRPr="00437E5E" w:rsidRDefault="00727ED3" w:rsidP="00674657">
            <w:pPr>
              <w:pStyle w:val="Tabletext"/>
              <w:rPr>
                <w:u w:val="single"/>
              </w:rPr>
            </w:pPr>
            <w:r w:rsidRPr="00437E5E">
              <w:rPr>
                <w:u w:val="single"/>
              </w:rPr>
              <w:t>S100 Public</w:t>
            </w:r>
          </w:p>
          <w:p w:rsidR="00727ED3" w:rsidRPr="00437E5E" w:rsidRDefault="00727ED3" w:rsidP="00674657">
            <w:pPr>
              <w:pStyle w:val="Tabletext"/>
            </w:pPr>
            <w:r w:rsidRPr="00437E5E">
              <w:t>$</w:t>
            </w:r>
            <w:r w:rsidR="00B17F15">
              <w:rPr>
                <w:noProof/>
                <w:color w:val="000000"/>
                <w:highlight w:val="black"/>
              </w:rPr>
              <w:t>''''''''''''''''''''''''</w:t>
            </w:r>
            <w:r w:rsidRPr="00437E5E">
              <w:t xml:space="preserve"> published price</w:t>
            </w:r>
          </w:p>
          <w:p w:rsidR="00727ED3" w:rsidRPr="00437E5E" w:rsidRDefault="00727ED3" w:rsidP="00674657">
            <w:pPr>
              <w:pStyle w:val="Tabletext"/>
            </w:pPr>
            <w:r w:rsidRPr="00437E5E">
              <w:t>$</w:t>
            </w:r>
            <w:r w:rsidR="00B17F15">
              <w:rPr>
                <w:noProof/>
                <w:color w:val="000000"/>
                <w:highlight w:val="black"/>
              </w:rPr>
              <w:t>''''''''''''''''''''</w:t>
            </w:r>
            <w:r w:rsidRPr="00437E5E">
              <w:t xml:space="preserve"> effective price</w:t>
            </w:r>
          </w:p>
        </w:tc>
        <w:tc>
          <w:tcPr>
            <w:tcW w:w="1473" w:type="dxa"/>
            <w:gridSpan w:val="2"/>
          </w:tcPr>
          <w:p w:rsidR="00727ED3" w:rsidRPr="00437E5E" w:rsidRDefault="00727ED3" w:rsidP="002D7F79">
            <w:pPr>
              <w:pStyle w:val="Tabletext"/>
              <w:jc w:val="left"/>
              <w:rPr>
                <w:rFonts w:ascii="Times" w:hAnsi="Times"/>
              </w:rPr>
            </w:pPr>
            <w:r w:rsidRPr="00437E5E">
              <w:t>VOSEVI ®, Gilead</w:t>
            </w:r>
            <w:r w:rsidR="002D7F79" w:rsidRPr="00437E5E">
              <w:t xml:space="preserve"> Sciences Pty Limited</w:t>
            </w:r>
          </w:p>
        </w:tc>
      </w:tr>
      <w:tr w:rsidR="00512405"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Pr>
        <w:tc>
          <w:tcPr>
            <w:tcW w:w="3422" w:type="dxa"/>
            <w:gridSpan w:val="2"/>
            <w:tcBorders>
              <w:top w:val="single" w:sz="4" w:space="0" w:color="auto"/>
              <w:left w:val="single" w:sz="4" w:space="0" w:color="auto"/>
              <w:bottom w:val="single" w:sz="4" w:space="0" w:color="auto"/>
              <w:right w:val="single" w:sz="4" w:space="0" w:color="auto"/>
            </w:tcBorders>
          </w:tcPr>
          <w:p w:rsidR="00512405" w:rsidRPr="00892A36" w:rsidRDefault="00512405" w:rsidP="00D061CC">
            <w:pPr>
              <w:pStyle w:val="Tabletext"/>
              <w:rPr>
                <w:b/>
              </w:rPr>
            </w:pPr>
            <w:r>
              <w:rPr>
                <w:b/>
              </w:rPr>
              <w:t>Category</w:t>
            </w:r>
          </w:p>
        </w:tc>
        <w:tc>
          <w:tcPr>
            <w:tcW w:w="5758" w:type="dxa"/>
            <w:gridSpan w:val="5"/>
            <w:tcBorders>
              <w:top w:val="single" w:sz="4" w:space="0" w:color="auto"/>
              <w:left w:val="single" w:sz="4" w:space="0" w:color="auto"/>
              <w:bottom w:val="single" w:sz="4" w:space="0" w:color="auto"/>
              <w:right w:val="single" w:sz="4" w:space="0" w:color="auto"/>
            </w:tcBorders>
          </w:tcPr>
          <w:p w:rsidR="00512405" w:rsidRDefault="00512405" w:rsidP="00D061CC">
            <w:pPr>
              <w:pStyle w:val="Tabletext"/>
            </w:pPr>
            <w:r>
              <w:t>Section 100 and Section 85</w:t>
            </w:r>
          </w:p>
        </w:tc>
      </w:tr>
      <w:tr w:rsidR="00512405"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Pr>
        <w:tc>
          <w:tcPr>
            <w:tcW w:w="3422" w:type="dxa"/>
            <w:gridSpan w:val="2"/>
            <w:tcBorders>
              <w:top w:val="single" w:sz="4" w:space="0" w:color="auto"/>
              <w:left w:val="single" w:sz="4" w:space="0" w:color="auto"/>
              <w:bottom w:val="single" w:sz="4" w:space="0" w:color="auto"/>
              <w:right w:val="single" w:sz="4" w:space="0" w:color="auto"/>
            </w:tcBorders>
          </w:tcPr>
          <w:p w:rsidR="00512405" w:rsidRPr="00892A36" w:rsidRDefault="00512405" w:rsidP="00D061CC">
            <w:pPr>
              <w:pStyle w:val="Tabletext"/>
              <w:rPr>
                <w:b/>
              </w:rPr>
            </w:pPr>
            <w:r w:rsidRPr="00892A36">
              <w:rPr>
                <w:b/>
              </w:rPr>
              <w:t>Condition:</w:t>
            </w:r>
          </w:p>
        </w:tc>
        <w:tc>
          <w:tcPr>
            <w:tcW w:w="5758" w:type="dxa"/>
            <w:gridSpan w:val="5"/>
            <w:tcBorders>
              <w:top w:val="single" w:sz="4" w:space="0" w:color="auto"/>
              <w:left w:val="single" w:sz="4" w:space="0" w:color="auto"/>
              <w:bottom w:val="single" w:sz="4" w:space="0" w:color="auto"/>
              <w:right w:val="single" w:sz="4" w:space="0" w:color="auto"/>
            </w:tcBorders>
          </w:tcPr>
          <w:p w:rsidR="00512405" w:rsidRDefault="00512405" w:rsidP="00D061CC">
            <w:pPr>
              <w:pStyle w:val="Tabletext"/>
            </w:pPr>
            <w:r>
              <w:t>Chronic Hepatitis C</w:t>
            </w:r>
          </w:p>
        </w:tc>
      </w:tr>
      <w:tr w:rsidR="00512405"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Pr>
        <w:tc>
          <w:tcPr>
            <w:tcW w:w="3422" w:type="dxa"/>
            <w:gridSpan w:val="2"/>
            <w:tcBorders>
              <w:top w:val="single" w:sz="4" w:space="0" w:color="auto"/>
              <w:left w:val="single" w:sz="4" w:space="0" w:color="auto"/>
              <w:bottom w:val="single" w:sz="4" w:space="0" w:color="auto"/>
              <w:right w:val="single" w:sz="4" w:space="0" w:color="auto"/>
            </w:tcBorders>
          </w:tcPr>
          <w:p w:rsidR="00512405" w:rsidRPr="00892A36" w:rsidRDefault="00512405" w:rsidP="00D061CC">
            <w:pPr>
              <w:pStyle w:val="Tabletext"/>
              <w:rPr>
                <w:b/>
              </w:rPr>
            </w:pPr>
            <w:r w:rsidRPr="00892A36">
              <w:rPr>
                <w:b/>
              </w:rPr>
              <w:t>PBS Indication:</w:t>
            </w:r>
          </w:p>
        </w:tc>
        <w:tc>
          <w:tcPr>
            <w:tcW w:w="5758" w:type="dxa"/>
            <w:gridSpan w:val="5"/>
            <w:tcBorders>
              <w:top w:val="single" w:sz="4" w:space="0" w:color="auto"/>
              <w:left w:val="single" w:sz="4" w:space="0" w:color="auto"/>
              <w:bottom w:val="single" w:sz="4" w:space="0" w:color="auto"/>
              <w:right w:val="single" w:sz="4" w:space="0" w:color="auto"/>
            </w:tcBorders>
          </w:tcPr>
          <w:p w:rsidR="00512405" w:rsidRDefault="00CC5B43" w:rsidP="00D061CC">
            <w:pPr>
              <w:pStyle w:val="Tabletext"/>
            </w:pPr>
            <w:r w:rsidRPr="00CC5B43">
              <w:t>Hepatitis C-infected patients who have failed to achieve virological response with non-structural protein 5A (NS5A) therapy</w:t>
            </w:r>
          </w:p>
        </w:tc>
      </w:tr>
      <w:tr w:rsidR="00512405"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Pr>
        <w:tc>
          <w:tcPr>
            <w:tcW w:w="3422" w:type="dxa"/>
            <w:gridSpan w:val="2"/>
            <w:tcBorders>
              <w:top w:val="single" w:sz="4" w:space="0" w:color="auto"/>
              <w:left w:val="single" w:sz="4" w:space="0" w:color="auto"/>
              <w:bottom w:val="single" w:sz="4" w:space="0" w:color="auto"/>
              <w:right w:val="single" w:sz="4" w:space="0" w:color="auto"/>
            </w:tcBorders>
          </w:tcPr>
          <w:p w:rsidR="00512405" w:rsidRPr="00E0273C" w:rsidRDefault="00512405" w:rsidP="00D061CC">
            <w:pPr>
              <w:pStyle w:val="Tabletext"/>
              <w:rPr>
                <w:b/>
              </w:rPr>
            </w:pPr>
            <w:r w:rsidRPr="00892A36">
              <w:rPr>
                <w:b/>
              </w:rPr>
              <w:t>Treatment phase:</w:t>
            </w:r>
          </w:p>
        </w:tc>
        <w:tc>
          <w:tcPr>
            <w:tcW w:w="5758" w:type="dxa"/>
            <w:gridSpan w:val="5"/>
            <w:tcBorders>
              <w:top w:val="single" w:sz="4" w:space="0" w:color="auto"/>
              <w:left w:val="single" w:sz="4" w:space="0" w:color="auto"/>
              <w:bottom w:val="single" w:sz="4" w:space="0" w:color="auto"/>
              <w:right w:val="single" w:sz="4" w:space="0" w:color="auto"/>
            </w:tcBorders>
          </w:tcPr>
          <w:p w:rsidR="00512405" w:rsidRDefault="00512405" w:rsidP="00D061CC">
            <w:pPr>
              <w:pStyle w:val="Tabletext"/>
            </w:pPr>
            <w:r>
              <w:t>Initial</w:t>
            </w:r>
          </w:p>
        </w:tc>
      </w:tr>
      <w:tr w:rsidR="00512405"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Height w:val="1034"/>
        </w:trPr>
        <w:tc>
          <w:tcPr>
            <w:tcW w:w="3422" w:type="dxa"/>
            <w:gridSpan w:val="2"/>
            <w:tcBorders>
              <w:top w:val="single" w:sz="4" w:space="0" w:color="auto"/>
              <w:left w:val="single" w:sz="4" w:space="0" w:color="auto"/>
              <w:bottom w:val="single" w:sz="4" w:space="0" w:color="auto"/>
              <w:right w:val="single" w:sz="4" w:space="0" w:color="auto"/>
            </w:tcBorders>
          </w:tcPr>
          <w:p w:rsidR="00512405" w:rsidRPr="00892A36" w:rsidRDefault="00512405" w:rsidP="00D061CC">
            <w:pPr>
              <w:pStyle w:val="Tabletext"/>
              <w:rPr>
                <w:b/>
              </w:rPr>
            </w:pPr>
            <w:r w:rsidRPr="00892A36">
              <w:rPr>
                <w:b/>
              </w:rPr>
              <w:t>Restriction:</w:t>
            </w:r>
          </w:p>
          <w:p w:rsidR="00512405" w:rsidRPr="00045A2B" w:rsidRDefault="00512405" w:rsidP="00D061CC">
            <w:pPr>
              <w:pStyle w:val="Tabletext"/>
              <w:rPr>
                <w:i/>
              </w:rPr>
            </w:pPr>
          </w:p>
        </w:tc>
        <w:tc>
          <w:tcPr>
            <w:tcW w:w="5758" w:type="dxa"/>
            <w:gridSpan w:val="5"/>
            <w:tcBorders>
              <w:top w:val="single" w:sz="4" w:space="0" w:color="auto"/>
              <w:left w:val="single" w:sz="4" w:space="0" w:color="auto"/>
              <w:bottom w:val="single" w:sz="4" w:space="0" w:color="auto"/>
              <w:right w:val="single" w:sz="4" w:space="0" w:color="auto"/>
            </w:tcBorders>
          </w:tcPr>
          <w:p w:rsidR="00512405" w:rsidRPr="00B43577" w:rsidRDefault="00512405" w:rsidP="00D061CC">
            <w:pPr>
              <w:pStyle w:val="Tabletext"/>
            </w:pPr>
            <w:r w:rsidRPr="00B43577">
              <w:fldChar w:fldCharType="begin">
                <w:ffData>
                  <w:name w:val="Check1"/>
                  <w:enabled/>
                  <w:calcOnExit w:val="0"/>
                  <w:checkBox>
                    <w:sizeAuto/>
                    <w:default w:val="0"/>
                  </w:checkBox>
                </w:ffData>
              </w:fldChar>
            </w:r>
            <w:r w:rsidRPr="00B43577">
              <w:instrText xml:space="preserve"> FORMCHECKBOX </w:instrText>
            </w:r>
            <w:r w:rsidR="005C08FA">
              <w:fldChar w:fldCharType="separate"/>
            </w:r>
            <w:r w:rsidRPr="00B43577">
              <w:fldChar w:fldCharType="end"/>
            </w:r>
            <w:r w:rsidRPr="00B43577">
              <w:t>Restricted benefit</w:t>
            </w:r>
          </w:p>
          <w:p w:rsidR="00512405" w:rsidRPr="00B43577" w:rsidRDefault="00512405" w:rsidP="00D061CC">
            <w:pPr>
              <w:pStyle w:val="Tabletext"/>
            </w:pPr>
            <w:r>
              <w:fldChar w:fldCharType="begin">
                <w:ffData>
                  <w:name w:val=""/>
                  <w:enabled/>
                  <w:calcOnExit w:val="0"/>
                  <w:checkBox>
                    <w:sizeAuto/>
                    <w:default w:val="0"/>
                  </w:checkBox>
                </w:ffData>
              </w:fldChar>
            </w:r>
            <w:r>
              <w:instrText xml:space="preserve"> FORMCHECKBOX </w:instrText>
            </w:r>
            <w:r w:rsidR="005C08FA">
              <w:fldChar w:fldCharType="separate"/>
            </w:r>
            <w:r>
              <w:fldChar w:fldCharType="end"/>
            </w:r>
            <w:r w:rsidRPr="00B43577">
              <w:t>Authority Required - In Writing</w:t>
            </w:r>
          </w:p>
          <w:p w:rsidR="00512405" w:rsidRPr="00B43577" w:rsidRDefault="00512405" w:rsidP="00D061CC">
            <w:pPr>
              <w:pStyle w:val="Tabletext"/>
            </w:pPr>
            <w:r>
              <w:fldChar w:fldCharType="begin">
                <w:ffData>
                  <w:name w:val="Check3"/>
                  <w:enabled/>
                  <w:calcOnExit w:val="0"/>
                  <w:checkBox>
                    <w:size w:val="20"/>
                    <w:default w:val="1"/>
                  </w:checkBox>
                </w:ffData>
              </w:fldChar>
            </w:r>
            <w:r>
              <w:instrText xml:space="preserve"> FORMCHECKBOX </w:instrText>
            </w:r>
            <w:r w:rsidR="005C08FA">
              <w:fldChar w:fldCharType="separate"/>
            </w:r>
            <w:r>
              <w:fldChar w:fldCharType="end"/>
            </w:r>
            <w:r w:rsidRPr="00B43577">
              <w:t>Authority Required - Telephone</w:t>
            </w:r>
          </w:p>
          <w:p w:rsidR="00512405" w:rsidRPr="00B43577" w:rsidRDefault="00512405" w:rsidP="00D061CC">
            <w:pPr>
              <w:pStyle w:val="Tabletext"/>
            </w:pPr>
            <w:r w:rsidRPr="00B43577">
              <w:fldChar w:fldCharType="begin">
                <w:ffData>
                  <w:name w:val=""/>
                  <w:enabled/>
                  <w:calcOnExit w:val="0"/>
                  <w:checkBox>
                    <w:sizeAuto/>
                    <w:default w:val="0"/>
                  </w:checkBox>
                </w:ffData>
              </w:fldChar>
            </w:r>
            <w:r w:rsidRPr="00B43577">
              <w:instrText xml:space="preserve"> FORMCHECKBOX </w:instrText>
            </w:r>
            <w:r w:rsidR="005C08FA">
              <w:fldChar w:fldCharType="separate"/>
            </w:r>
            <w:r w:rsidRPr="00B43577">
              <w:fldChar w:fldCharType="end"/>
            </w:r>
            <w:r w:rsidRPr="00B43577">
              <w:t>Authority Required – Emergency</w:t>
            </w:r>
          </w:p>
          <w:p w:rsidR="00512405" w:rsidRPr="00B43577" w:rsidRDefault="00512405" w:rsidP="00D061CC">
            <w:pPr>
              <w:pStyle w:val="Tabletext"/>
            </w:pPr>
            <w:r w:rsidRPr="00B43577">
              <w:fldChar w:fldCharType="begin">
                <w:ffData>
                  <w:name w:val="Check5"/>
                  <w:enabled/>
                  <w:calcOnExit w:val="0"/>
                  <w:checkBox>
                    <w:sizeAuto/>
                    <w:default w:val="0"/>
                  </w:checkBox>
                </w:ffData>
              </w:fldChar>
            </w:r>
            <w:r w:rsidRPr="00B43577">
              <w:instrText xml:space="preserve"> FORMCHECKBOX </w:instrText>
            </w:r>
            <w:r w:rsidR="005C08FA">
              <w:fldChar w:fldCharType="separate"/>
            </w:r>
            <w:r w:rsidRPr="00B43577">
              <w:fldChar w:fldCharType="end"/>
            </w:r>
            <w:r w:rsidRPr="00B43577">
              <w:t>Authority Required - Electronic</w:t>
            </w:r>
          </w:p>
          <w:p w:rsidR="00512405" w:rsidRDefault="00512405" w:rsidP="00D061CC">
            <w:pPr>
              <w:pStyle w:val="Tabletext"/>
            </w:pPr>
            <w:r w:rsidRPr="00B43577">
              <w:fldChar w:fldCharType="begin">
                <w:ffData>
                  <w:name w:val="Check5"/>
                  <w:enabled/>
                  <w:calcOnExit w:val="0"/>
                  <w:checkBox>
                    <w:sizeAuto/>
                    <w:default w:val="0"/>
                  </w:checkBox>
                </w:ffData>
              </w:fldChar>
            </w:r>
            <w:r w:rsidRPr="00B43577">
              <w:instrText xml:space="preserve"> FORMCHECKBOX </w:instrText>
            </w:r>
            <w:r w:rsidR="005C08FA">
              <w:fldChar w:fldCharType="separate"/>
            </w:r>
            <w:r w:rsidRPr="00B43577">
              <w:fldChar w:fldCharType="end"/>
            </w:r>
            <w:r w:rsidRPr="00B43577">
              <w:t>Streamlined</w:t>
            </w:r>
          </w:p>
        </w:tc>
      </w:tr>
      <w:tr w:rsidR="00512405" w:rsidRPr="00C31A26"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Pr>
        <w:tc>
          <w:tcPr>
            <w:tcW w:w="3422" w:type="dxa"/>
            <w:gridSpan w:val="2"/>
            <w:tcBorders>
              <w:top w:val="single" w:sz="4" w:space="0" w:color="auto"/>
              <w:left w:val="single" w:sz="4" w:space="0" w:color="auto"/>
              <w:bottom w:val="single" w:sz="4" w:space="0" w:color="auto"/>
              <w:right w:val="single" w:sz="4" w:space="0" w:color="auto"/>
            </w:tcBorders>
          </w:tcPr>
          <w:p w:rsidR="00512405" w:rsidRPr="00423E3A" w:rsidRDefault="00512405" w:rsidP="00D061CC">
            <w:pPr>
              <w:pStyle w:val="Tabletext"/>
              <w:rPr>
                <w:b/>
              </w:rPr>
            </w:pPr>
            <w:r w:rsidRPr="00892A36">
              <w:rPr>
                <w:b/>
              </w:rPr>
              <w:t>Treatment criteria:</w:t>
            </w:r>
          </w:p>
        </w:tc>
        <w:tc>
          <w:tcPr>
            <w:tcW w:w="5758" w:type="dxa"/>
            <w:gridSpan w:val="5"/>
            <w:tcBorders>
              <w:top w:val="single" w:sz="4" w:space="0" w:color="auto"/>
              <w:left w:val="single" w:sz="4" w:space="0" w:color="auto"/>
              <w:bottom w:val="single" w:sz="4" w:space="0" w:color="auto"/>
              <w:right w:val="single" w:sz="4" w:space="0" w:color="auto"/>
            </w:tcBorders>
          </w:tcPr>
          <w:p w:rsidR="00512405" w:rsidRPr="00C31A26" w:rsidRDefault="000D52B4" w:rsidP="000D52B4">
            <w:pPr>
              <w:pStyle w:val="Tabletext"/>
              <w:rPr>
                <w:rFonts w:cs="Arial"/>
              </w:rPr>
            </w:pPr>
            <w:r>
              <w:rPr>
                <w:rFonts w:cs="Arial"/>
              </w:rPr>
              <w:t xml:space="preserve">Patient must </w:t>
            </w:r>
            <w:r w:rsidR="00512405">
              <w:rPr>
                <w:rFonts w:cs="Arial"/>
              </w:rPr>
              <w:t>ha</w:t>
            </w:r>
            <w:r w:rsidR="00512405" w:rsidRPr="00E0273C">
              <w:rPr>
                <w:rFonts w:cs="Arial"/>
              </w:rPr>
              <w:t xml:space="preserve">ve received prior treatment with a NS5A-based treatment regimen and not achieved </w:t>
            </w:r>
            <w:r w:rsidR="005D1843">
              <w:rPr>
                <w:rFonts w:cs="Arial"/>
              </w:rPr>
              <w:t xml:space="preserve">sustained virological </w:t>
            </w:r>
            <w:r>
              <w:rPr>
                <w:rFonts w:cs="Arial"/>
              </w:rPr>
              <w:t>response</w:t>
            </w:r>
            <w:r w:rsidR="00512405" w:rsidRPr="00E0273C">
              <w:rPr>
                <w:rFonts w:cs="Arial"/>
              </w:rPr>
              <w:t>.</w:t>
            </w:r>
          </w:p>
        </w:tc>
      </w:tr>
      <w:tr w:rsidR="00512405" w:rsidTr="002D7F79">
        <w:tblPrEx>
          <w:tblBorders>
            <w:top w:val="none" w:sz="0" w:space="0" w:color="auto"/>
            <w:bottom w:val="none" w:sz="0" w:space="0" w:color="auto"/>
            <w:insideH w:val="none" w:sz="0" w:space="0" w:color="auto"/>
          </w:tblBorders>
          <w:tblLook w:val="0000" w:firstRow="0" w:lastRow="0" w:firstColumn="0" w:lastColumn="0" w:noHBand="0" w:noVBand="0"/>
        </w:tblPrEx>
        <w:trPr>
          <w:gridAfter w:val="1"/>
          <w:wAfter w:w="56" w:type="dxa"/>
          <w:cantSplit/>
          <w:trHeight w:val="90"/>
        </w:trPr>
        <w:tc>
          <w:tcPr>
            <w:tcW w:w="3422" w:type="dxa"/>
            <w:gridSpan w:val="2"/>
            <w:tcBorders>
              <w:top w:val="single" w:sz="4" w:space="0" w:color="auto"/>
              <w:left w:val="single" w:sz="4" w:space="0" w:color="auto"/>
              <w:bottom w:val="single" w:sz="4" w:space="0" w:color="auto"/>
              <w:right w:val="single" w:sz="4" w:space="0" w:color="auto"/>
            </w:tcBorders>
          </w:tcPr>
          <w:p w:rsidR="00512405" w:rsidRPr="00423E3A" w:rsidRDefault="00512405" w:rsidP="00D061CC">
            <w:pPr>
              <w:pStyle w:val="Tabletext"/>
              <w:rPr>
                <w:b/>
              </w:rPr>
            </w:pPr>
            <w:r w:rsidRPr="00892A36">
              <w:rPr>
                <w:b/>
              </w:rPr>
              <w:t>Population criteria:</w:t>
            </w:r>
          </w:p>
        </w:tc>
        <w:tc>
          <w:tcPr>
            <w:tcW w:w="5758" w:type="dxa"/>
            <w:gridSpan w:val="5"/>
            <w:tcBorders>
              <w:top w:val="single" w:sz="4" w:space="0" w:color="auto"/>
              <w:left w:val="single" w:sz="4" w:space="0" w:color="auto"/>
              <w:bottom w:val="single" w:sz="4" w:space="0" w:color="auto"/>
              <w:right w:val="single" w:sz="4" w:space="0" w:color="auto"/>
            </w:tcBorders>
          </w:tcPr>
          <w:p w:rsidR="00512405" w:rsidRDefault="00512405" w:rsidP="00D061CC">
            <w:pPr>
              <w:pStyle w:val="Tabletext"/>
            </w:pPr>
            <w:r>
              <w:t>Patient must be adult.</w:t>
            </w:r>
          </w:p>
        </w:tc>
      </w:tr>
    </w:tbl>
    <w:p w:rsidR="00512405" w:rsidRDefault="00512405" w:rsidP="00512405">
      <w:pPr>
        <w:pStyle w:val="TableFooter"/>
      </w:pPr>
      <w:r>
        <w:t xml:space="preserve">Source: </w:t>
      </w:r>
      <w:r w:rsidR="00727ED3">
        <w:t>Table 1.3, p17</w:t>
      </w:r>
      <w:r>
        <w:t>,</w:t>
      </w:r>
      <w:r w:rsidR="00727ED3">
        <w:t xml:space="preserve"> </w:t>
      </w:r>
      <w:r>
        <w:t xml:space="preserve">and p28 of the submission. </w:t>
      </w:r>
    </w:p>
    <w:p w:rsidR="00B60939" w:rsidRPr="00882085" w:rsidRDefault="00B60939" w:rsidP="004B1CB4"/>
    <w:p w:rsidR="00E02CFF" w:rsidRPr="0013046E" w:rsidRDefault="00FA4054" w:rsidP="00F477B2">
      <w:pPr>
        <w:pStyle w:val="ListParagraph"/>
        <w:numPr>
          <w:ilvl w:val="1"/>
          <w:numId w:val="2"/>
        </w:numPr>
      </w:pPr>
      <w:r w:rsidRPr="0013046E">
        <w:t xml:space="preserve">The submission stated that in accordance with currently listed therapies for CHC, it was requested that </w:t>
      </w:r>
      <w:proofErr w:type="spellStart"/>
      <w:r w:rsidR="00DA00C6" w:rsidRPr="0013046E">
        <w:t>sofosbuvir</w:t>
      </w:r>
      <w:proofErr w:type="spellEnd"/>
      <w:r w:rsidR="00DA00C6" w:rsidRPr="0013046E">
        <w:t xml:space="preserve"> </w:t>
      </w:r>
      <w:r w:rsidR="00B15B66">
        <w:t>with</w:t>
      </w:r>
      <w:r w:rsidR="00DA00C6" w:rsidRPr="0013046E">
        <w:t xml:space="preserve"> </w:t>
      </w:r>
      <w:proofErr w:type="spellStart"/>
      <w:r w:rsidR="00DA00C6" w:rsidRPr="0013046E">
        <w:t>velpat</w:t>
      </w:r>
      <w:r w:rsidR="00411646" w:rsidRPr="0013046E">
        <w:t>a</w:t>
      </w:r>
      <w:r w:rsidR="00DA00C6" w:rsidRPr="0013046E">
        <w:t>svir</w:t>
      </w:r>
      <w:proofErr w:type="spellEnd"/>
      <w:r w:rsidR="00DA00C6" w:rsidRPr="0013046E">
        <w:t xml:space="preserve"> </w:t>
      </w:r>
      <w:r w:rsidR="00B15B66">
        <w:t>and</w:t>
      </w:r>
      <w:r w:rsidR="00DA00C6" w:rsidRPr="0013046E">
        <w:t xml:space="preserve"> </w:t>
      </w:r>
      <w:proofErr w:type="spellStart"/>
      <w:r w:rsidR="00DA00C6" w:rsidRPr="0013046E">
        <w:t>voxilaprevir</w:t>
      </w:r>
      <w:proofErr w:type="spellEnd"/>
      <w:r w:rsidRPr="0013046E">
        <w:t xml:space="preserve"> be subject to a Special Pricing </w:t>
      </w:r>
      <w:r w:rsidR="00674657" w:rsidRPr="0013046E">
        <w:t>Arrangement</w:t>
      </w:r>
      <w:r w:rsidRPr="0013046E">
        <w:t xml:space="preserve"> (SPA)</w:t>
      </w:r>
      <w:r w:rsidR="00993FA4" w:rsidRPr="0013046E">
        <w:t>.</w:t>
      </w:r>
    </w:p>
    <w:p w:rsidR="00E02CFF" w:rsidRPr="0013046E" w:rsidRDefault="00E02CFF" w:rsidP="00F477B2">
      <w:pPr>
        <w:pStyle w:val="ListParagraph"/>
        <w:numPr>
          <w:ilvl w:val="1"/>
          <w:numId w:val="2"/>
        </w:numPr>
      </w:pPr>
      <w:r w:rsidRPr="00116E7D">
        <w:t>The submission proposed that the existing CHC treatment matrix in the General Statement for Drugs for the Treatment of Hepatitis C be modified to create a separate ‘treatment experienced’ category for patients that have failed treatment with NS5A-based</w:t>
      </w:r>
      <w:r w:rsidR="00437E5E" w:rsidRPr="00116E7D">
        <w:t xml:space="preserve"> treatment regimen (see table 2</w:t>
      </w:r>
      <w:r w:rsidRPr="00116E7D">
        <w:t xml:space="preserve"> below). </w:t>
      </w:r>
    </w:p>
    <w:p w:rsidR="00E02CFF" w:rsidRPr="0013046E" w:rsidRDefault="00E02CFF" w:rsidP="00F477B2">
      <w:pPr>
        <w:pStyle w:val="ListParagraph"/>
        <w:numPr>
          <w:ilvl w:val="1"/>
          <w:numId w:val="2"/>
        </w:numPr>
      </w:pPr>
      <w:r w:rsidRPr="00C72017">
        <w:t xml:space="preserve">The </w:t>
      </w:r>
      <w:r w:rsidR="00437E5E" w:rsidRPr="00C72017">
        <w:t xml:space="preserve">ESC noted that the </w:t>
      </w:r>
      <w:r w:rsidRPr="00C72017">
        <w:t xml:space="preserve">General Statement for Drugs for the Treatment of Hepatitis C </w:t>
      </w:r>
      <w:r w:rsidR="00437E5E" w:rsidRPr="00C72017">
        <w:t xml:space="preserve">(the General Statement) </w:t>
      </w:r>
      <w:r w:rsidRPr="00C72017">
        <w:t xml:space="preserve">currently specifies treatments according to prior treatment experience (where treatment-experienced refers to prior exposure to peg-interferon) and cirrhotic status. </w:t>
      </w:r>
      <w:r w:rsidR="00310477" w:rsidRPr="00C72017">
        <w:t>The ESC further noted that a</w:t>
      </w:r>
      <w:r w:rsidRPr="00C72017">
        <w:t xml:space="preserve">s </w:t>
      </w:r>
      <w:proofErr w:type="spellStart"/>
      <w:r w:rsidRPr="00C72017">
        <w:t>glecaprevir</w:t>
      </w:r>
      <w:proofErr w:type="spellEnd"/>
      <w:r w:rsidRPr="00C72017">
        <w:t xml:space="preserve"> with </w:t>
      </w:r>
      <w:proofErr w:type="spellStart"/>
      <w:r w:rsidRPr="00C72017">
        <w:t>pibrentasvir</w:t>
      </w:r>
      <w:proofErr w:type="spellEnd"/>
      <w:r w:rsidRPr="00C72017">
        <w:t xml:space="preserve"> has been recommended for listing and </w:t>
      </w:r>
      <w:proofErr w:type="spellStart"/>
      <w:r w:rsidRPr="00C72017">
        <w:t>sofosbuvir</w:t>
      </w:r>
      <w:proofErr w:type="spellEnd"/>
      <w:r w:rsidRPr="00C72017">
        <w:t xml:space="preserve"> </w:t>
      </w:r>
      <w:r w:rsidR="0079597C">
        <w:t>with</w:t>
      </w:r>
      <w:r w:rsidRPr="00C72017">
        <w:t xml:space="preserve"> </w:t>
      </w:r>
      <w:proofErr w:type="spellStart"/>
      <w:r w:rsidRPr="00C72017">
        <w:t>velpatasvir</w:t>
      </w:r>
      <w:proofErr w:type="spellEnd"/>
      <w:r w:rsidRPr="00C72017">
        <w:t xml:space="preserve"> </w:t>
      </w:r>
      <w:r w:rsidR="0079597C">
        <w:t>and</w:t>
      </w:r>
      <w:r w:rsidRPr="00C72017">
        <w:t xml:space="preserve"> </w:t>
      </w:r>
      <w:proofErr w:type="spellStart"/>
      <w:r w:rsidRPr="00C72017">
        <w:t>voxilaprevir</w:t>
      </w:r>
      <w:proofErr w:type="spellEnd"/>
      <w:r w:rsidRPr="00C72017">
        <w:t xml:space="preserve"> is now requesting listing specifically in patients who have failed prior NS5A therapy, the PBAC may wish to consider whether the General Statement should be amended or changed to reflect specific use of these therapies in these</w:t>
      </w:r>
      <w:r w:rsidRPr="00437E5E">
        <w:t xml:space="preserve"> patients. This will become particularly relevant should </w:t>
      </w:r>
      <w:proofErr w:type="spellStart"/>
      <w:r w:rsidRPr="00437E5E">
        <w:t>sofosbuvir</w:t>
      </w:r>
      <w:proofErr w:type="spellEnd"/>
      <w:r w:rsidRPr="00437E5E">
        <w:t xml:space="preserve"> </w:t>
      </w:r>
      <w:r w:rsidR="0079597C">
        <w:t>with</w:t>
      </w:r>
      <w:r w:rsidRPr="00437E5E">
        <w:t xml:space="preserve"> </w:t>
      </w:r>
      <w:proofErr w:type="spellStart"/>
      <w:r w:rsidRPr="00437E5E">
        <w:t>velpatasvir</w:t>
      </w:r>
      <w:proofErr w:type="spellEnd"/>
      <w:r w:rsidRPr="00437E5E">
        <w:t xml:space="preserve"> </w:t>
      </w:r>
      <w:r w:rsidR="0079597C">
        <w:lastRenderedPageBreak/>
        <w:t>and</w:t>
      </w:r>
      <w:r w:rsidRPr="00437E5E">
        <w:t xml:space="preserve"> </w:t>
      </w:r>
      <w:proofErr w:type="spellStart"/>
      <w:r w:rsidRPr="00437E5E">
        <w:t>voxilaprevir</w:t>
      </w:r>
      <w:proofErr w:type="spellEnd"/>
      <w:r w:rsidRPr="00437E5E">
        <w:t xml:space="preserve"> be PBS-listed among only patients who are NS5A treatment-experienced to avoid any potential use of </w:t>
      </w:r>
      <w:proofErr w:type="spellStart"/>
      <w:r w:rsidRPr="00437E5E">
        <w:t>sofosbuvir</w:t>
      </w:r>
      <w:proofErr w:type="spellEnd"/>
      <w:r w:rsidRPr="00437E5E">
        <w:t xml:space="preserve"> </w:t>
      </w:r>
      <w:r w:rsidR="0079597C">
        <w:t>with</w:t>
      </w:r>
      <w:r w:rsidRPr="00437E5E">
        <w:t xml:space="preserve"> </w:t>
      </w:r>
      <w:proofErr w:type="spellStart"/>
      <w:r w:rsidRPr="00437E5E">
        <w:t>velpatasvir</w:t>
      </w:r>
      <w:proofErr w:type="spellEnd"/>
      <w:r w:rsidRPr="00437E5E">
        <w:t xml:space="preserve"> </w:t>
      </w:r>
      <w:r w:rsidR="0079597C">
        <w:t>and</w:t>
      </w:r>
      <w:r w:rsidRPr="00437E5E">
        <w:t xml:space="preserve"> </w:t>
      </w:r>
      <w:proofErr w:type="spellStart"/>
      <w:r w:rsidRPr="00437E5E">
        <w:t>voxilaprevir</w:t>
      </w:r>
      <w:proofErr w:type="spellEnd"/>
      <w:r w:rsidRPr="00437E5E">
        <w:t xml:space="preserve"> as a first-line DAA (there are two randomised trials assessing the use of this regimen among DAA-naïve patients, POL</w:t>
      </w:r>
      <w:r w:rsidR="00437E5E">
        <w:t>ARIS-2 and -3</w:t>
      </w:r>
      <w:r w:rsidRPr="00437E5E">
        <w:t xml:space="preserve">). </w:t>
      </w:r>
    </w:p>
    <w:p w:rsidR="0020732F" w:rsidRPr="0013046E" w:rsidRDefault="007E6CAF" w:rsidP="00F477B2">
      <w:pPr>
        <w:pStyle w:val="ListParagraph"/>
        <w:numPr>
          <w:ilvl w:val="1"/>
          <w:numId w:val="2"/>
        </w:numPr>
      </w:pPr>
      <w:r w:rsidRPr="0013046E">
        <w:t xml:space="preserve">In addition to </w:t>
      </w:r>
      <w:r w:rsidR="00747926" w:rsidRPr="0013046E">
        <w:t>patients</w:t>
      </w:r>
      <w:r w:rsidRPr="0013046E">
        <w:t xml:space="preserve"> who were NS5A</w:t>
      </w:r>
      <w:r w:rsidR="00747926" w:rsidRPr="0013046E">
        <w:t>-</w:t>
      </w:r>
      <w:r w:rsidRPr="0013046E">
        <w:t xml:space="preserve">experienced, the </w:t>
      </w:r>
      <w:r w:rsidR="00D92BE6" w:rsidRPr="0013046E">
        <w:t>European Medicines Agency</w:t>
      </w:r>
      <w:r w:rsidR="009D17AD" w:rsidRPr="0013046E">
        <w:t xml:space="preserve"> </w:t>
      </w:r>
      <w:r w:rsidR="00D92BE6" w:rsidRPr="0013046E">
        <w:t>(</w:t>
      </w:r>
      <w:r w:rsidRPr="0013046E">
        <w:t>EMA</w:t>
      </w:r>
      <w:r w:rsidR="00D92BE6" w:rsidRPr="0013046E">
        <w:t>)</w:t>
      </w:r>
      <w:r w:rsidRPr="0013046E">
        <w:t xml:space="preserve"> approved </w:t>
      </w:r>
      <w:proofErr w:type="spellStart"/>
      <w:r w:rsidR="002457C6" w:rsidRPr="00C72017">
        <w:t>sofosbuvir</w:t>
      </w:r>
      <w:proofErr w:type="spellEnd"/>
      <w:r w:rsidR="002457C6" w:rsidRPr="00C72017">
        <w:t xml:space="preserve"> </w:t>
      </w:r>
      <w:r w:rsidR="0079597C">
        <w:t>with</w:t>
      </w:r>
      <w:r w:rsidR="002457C6" w:rsidRPr="00C72017">
        <w:t xml:space="preserve"> </w:t>
      </w:r>
      <w:proofErr w:type="spellStart"/>
      <w:r w:rsidR="002457C6" w:rsidRPr="00C72017">
        <w:t>velpatasvir</w:t>
      </w:r>
      <w:proofErr w:type="spellEnd"/>
      <w:r w:rsidR="002457C6" w:rsidRPr="00C72017">
        <w:t xml:space="preserve"> </w:t>
      </w:r>
      <w:r w:rsidR="0079597C">
        <w:t>and</w:t>
      </w:r>
      <w:r w:rsidR="002457C6" w:rsidRPr="00C72017">
        <w:t xml:space="preserve"> </w:t>
      </w:r>
      <w:proofErr w:type="spellStart"/>
      <w:r w:rsidR="002457C6" w:rsidRPr="00C72017">
        <w:t>voxilaprevir</w:t>
      </w:r>
      <w:proofErr w:type="spellEnd"/>
      <w:r w:rsidR="002457C6" w:rsidRPr="00C72017">
        <w:t xml:space="preserve"> </w:t>
      </w:r>
      <w:r w:rsidRPr="0013046E">
        <w:t xml:space="preserve">in patients who were </w:t>
      </w:r>
      <w:r w:rsidR="00D92BE6" w:rsidRPr="0013046E">
        <w:t>direct acting antiviral</w:t>
      </w:r>
      <w:r w:rsidR="009D17AD" w:rsidRPr="0013046E">
        <w:t xml:space="preserve"> </w:t>
      </w:r>
      <w:r w:rsidR="00D92BE6" w:rsidRPr="0013046E">
        <w:t>(</w:t>
      </w:r>
      <w:r w:rsidRPr="0013046E">
        <w:t>DAA</w:t>
      </w:r>
      <w:r w:rsidR="00D92BE6" w:rsidRPr="0013046E">
        <w:t>)</w:t>
      </w:r>
      <w:r w:rsidRPr="0013046E">
        <w:t xml:space="preserve"> naïve based on results of the POLARIS</w:t>
      </w:r>
      <w:r w:rsidR="00747926" w:rsidRPr="0013046E">
        <w:t>-</w:t>
      </w:r>
      <w:r w:rsidRPr="0013046E">
        <w:t xml:space="preserve">2 and POLARIS-3 studies. </w:t>
      </w:r>
      <w:r w:rsidR="00FA4054" w:rsidRPr="0013046E">
        <w:t xml:space="preserve">It </w:t>
      </w:r>
      <w:r w:rsidR="00CE76B1" w:rsidRPr="0013046E">
        <w:t xml:space="preserve">is </w:t>
      </w:r>
      <w:r w:rsidRPr="0013046E">
        <w:t xml:space="preserve">therefore </w:t>
      </w:r>
      <w:r w:rsidR="00FA4054" w:rsidRPr="0013046E">
        <w:t xml:space="preserve">likely that </w:t>
      </w:r>
      <w:proofErr w:type="spellStart"/>
      <w:r w:rsidR="002457C6" w:rsidRPr="00C72017">
        <w:t>sofosbuvir</w:t>
      </w:r>
      <w:proofErr w:type="spellEnd"/>
      <w:r w:rsidR="002457C6" w:rsidRPr="00C72017">
        <w:t xml:space="preserve"> </w:t>
      </w:r>
      <w:r w:rsidR="0079597C">
        <w:t>with</w:t>
      </w:r>
      <w:r w:rsidR="002457C6" w:rsidRPr="00C72017">
        <w:t xml:space="preserve"> </w:t>
      </w:r>
      <w:proofErr w:type="spellStart"/>
      <w:r w:rsidR="002457C6" w:rsidRPr="00C72017">
        <w:t>velpatasvir</w:t>
      </w:r>
      <w:proofErr w:type="spellEnd"/>
      <w:r w:rsidR="002457C6" w:rsidRPr="00C72017">
        <w:t xml:space="preserve"> </w:t>
      </w:r>
      <w:r w:rsidR="0079597C">
        <w:t>and</w:t>
      </w:r>
      <w:r w:rsidR="002457C6" w:rsidRPr="00C72017">
        <w:t xml:space="preserve"> </w:t>
      </w:r>
      <w:proofErr w:type="spellStart"/>
      <w:r w:rsidR="002457C6" w:rsidRPr="00C72017">
        <w:t>voxilaprevir</w:t>
      </w:r>
      <w:proofErr w:type="spellEnd"/>
      <w:r w:rsidR="002457C6" w:rsidRPr="00C72017">
        <w:t xml:space="preserve"> </w:t>
      </w:r>
      <w:r w:rsidR="00674657" w:rsidRPr="0013046E">
        <w:t>could</w:t>
      </w:r>
      <w:r w:rsidR="00FA4054" w:rsidRPr="0013046E">
        <w:t xml:space="preserve"> be used </w:t>
      </w:r>
      <w:r w:rsidR="00CC5B43" w:rsidRPr="0013046E">
        <w:t>beyond</w:t>
      </w:r>
      <w:r w:rsidR="00FA4054" w:rsidRPr="0013046E">
        <w:t xml:space="preserve"> the requested restriction</w:t>
      </w:r>
      <w:r w:rsidR="00674657" w:rsidRPr="0013046E">
        <w:t xml:space="preserve"> of only NS5A experienced patients</w:t>
      </w:r>
      <w:r w:rsidR="00FA4054" w:rsidRPr="0013046E">
        <w:t xml:space="preserve">. Given that the NS5A experienced population </w:t>
      </w:r>
      <w:r w:rsidR="00CE76B1" w:rsidRPr="0013046E">
        <w:t>is</w:t>
      </w:r>
      <w:r w:rsidR="00FA4054" w:rsidRPr="0013046E">
        <w:t xml:space="preserve"> a fraction of the size of the NS5A naïve population, treatment outside of the restriction could be considerable. </w:t>
      </w:r>
      <w:r w:rsidR="00310477" w:rsidRPr="0013046E">
        <w:t xml:space="preserve">The </w:t>
      </w:r>
      <w:r w:rsidR="005C08FA">
        <w:t>Pre-Sub-Committee Response (</w:t>
      </w:r>
      <w:r w:rsidR="00310477" w:rsidRPr="0013046E">
        <w:t>PSCR</w:t>
      </w:r>
      <w:r w:rsidR="005C08FA">
        <w:t>)</w:t>
      </w:r>
      <w:r w:rsidR="00310477" w:rsidRPr="0013046E">
        <w:t xml:space="preserve"> stated </w:t>
      </w:r>
      <w:r w:rsidR="00E91C64" w:rsidRPr="0013046E">
        <w:t xml:space="preserve">that usage outside the requested restriction is likely to be minimal due to the proposed restriction wording and possible changes to the treatment matrix. In addition, the sponsor noted that if recommended for listing, </w:t>
      </w:r>
      <w:proofErr w:type="spellStart"/>
      <w:r w:rsidR="00E91C64" w:rsidRPr="00C72017">
        <w:t>sofosbuvir</w:t>
      </w:r>
      <w:proofErr w:type="spellEnd"/>
      <w:r w:rsidR="00E91C64" w:rsidRPr="00C72017">
        <w:t xml:space="preserve"> </w:t>
      </w:r>
      <w:r w:rsidR="0079597C">
        <w:t>with</w:t>
      </w:r>
      <w:r w:rsidR="00E91C64" w:rsidRPr="00C72017">
        <w:t xml:space="preserve"> </w:t>
      </w:r>
      <w:proofErr w:type="spellStart"/>
      <w:r w:rsidR="00E91C64" w:rsidRPr="00C72017">
        <w:t>velpatasvir</w:t>
      </w:r>
      <w:proofErr w:type="spellEnd"/>
      <w:r w:rsidR="00E91C64" w:rsidRPr="00C72017">
        <w:t xml:space="preserve"> </w:t>
      </w:r>
      <w:r w:rsidR="0079597C">
        <w:t>and</w:t>
      </w:r>
      <w:r w:rsidR="00E91C64" w:rsidRPr="00C72017">
        <w:t xml:space="preserve"> </w:t>
      </w:r>
      <w:proofErr w:type="spellStart"/>
      <w:r w:rsidR="00E91C64" w:rsidRPr="00C72017">
        <w:t>voxilaprevir</w:t>
      </w:r>
      <w:proofErr w:type="spellEnd"/>
      <w:r w:rsidR="00E91C64" w:rsidRPr="00C72017">
        <w:t xml:space="preserve"> would </w:t>
      </w:r>
      <w:r w:rsidR="00EF5AEA" w:rsidRPr="00C72017">
        <w:t>likely join the existing Risk Sharing A</w:t>
      </w:r>
      <w:r w:rsidR="00E91C64" w:rsidRPr="00C72017">
        <w:t xml:space="preserve">rrangement (RSA) for other drugs for the treatment of HCV – as per the </w:t>
      </w:r>
      <w:proofErr w:type="spellStart"/>
      <w:r w:rsidR="00E91C64" w:rsidRPr="00C72017">
        <w:t>glecaprevir</w:t>
      </w:r>
      <w:proofErr w:type="spellEnd"/>
      <w:r w:rsidR="00E91C64" w:rsidRPr="00C72017">
        <w:t xml:space="preserve"> with </w:t>
      </w:r>
      <w:proofErr w:type="spellStart"/>
      <w:r w:rsidR="00E91C64" w:rsidRPr="00C72017">
        <w:t>pibrentasvir</w:t>
      </w:r>
      <w:proofErr w:type="spellEnd"/>
      <w:r w:rsidR="00E91C64" w:rsidRPr="00C72017">
        <w:t xml:space="preserve"> recommendation.</w:t>
      </w:r>
      <w:r w:rsidR="00E91C64">
        <w:t xml:space="preserve"> </w:t>
      </w:r>
    </w:p>
    <w:p w:rsidR="00E02CFF" w:rsidRPr="00C75B9C" w:rsidRDefault="00E02CFF" w:rsidP="00E02CFF">
      <w:pPr>
        <w:pStyle w:val="Caption"/>
        <w:keepNext/>
        <w:spacing w:after="0"/>
        <w:rPr>
          <w:rFonts w:ascii="Arial Narrow" w:hAnsi="Arial Narrow"/>
          <w:color w:val="auto"/>
          <w:sz w:val="20"/>
          <w:szCs w:val="20"/>
        </w:rPr>
      </w:pPr>
      <w:bookmarkStart w:id="2" w:name="_Toc500605957"/>
      <w:r w:rsidRPr="00C75B9C">
        <w:rPr>
          <w:rFonts w:ascii="Arial Narrow" w:hAnsi="Arial Narrow"/>
          <w:color w:val="auto"/>
          <w:sz w:val="20"/>
          <w:szCs w:val="20"/>
        </w:rPr>
        <w:t xml:space="preserve">Table </w:t>
      </w:r>
      <w:r w:rsidR="00116E7D">
        <w:rPr>
          <w:rFonts w:ascii="Arial Narrow" w:hAnsi="Arial Narrow"/>
          <w:color w:val="auto"/>
          <w:sz w:val="20"/>
          <w:szCs w:val="20"/>
        </w:rPr>
        <w:t>2</w:t>
      </w:r>
      <w:r>
        <w:rPr>
          <w:rFonts w:ascii="Arial Narrow" w:hAnsi="Arial Narrow"/>
          <w:color w:val="auto"/>
          <w:sz w:val="20"/>
          <w:szCs w:val="20"/>
        </w:rPr>
        <w:t>:</w:t>
      </w:r>
      <w:r w:rsidRPr="00C75B9C">
        <w:rPr>
          <w:rFonts w:ascii="Arial Narrow" w:hAnsi="Arial Narrow"/>
          <w:color w:val="auto"/>
          <w:sz w:val="20"/>
          <w:szCs w:val="20"/>
        </w:rPr>
        <w:t xml:space="preserve"> Proposed modified PBS treatment matrix</w:t>
      </w: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697"/>
        <w:gridCol w:w="2708"/>
        <w:gridCol w:w="2693"/>
        <w:gridCol w:w="2835"/>
      </w:tblGrid>
      <w:tr w:rsidR="00E02CFF" w:rsidRPr="00811D54" w:rsidTr="00E02CFF">
        <w:trPr>
          <w:trHeight w:val="345"/>
        </w:trPr>
        <w:tc>
          <w:tcPr>
            <w:tcW w:w="697" w:type="dxa"/>
            <w:shd w:val="clear" w:color="auto" w:fill="BFBFBF" w:themeFill="background1" w:themeFillShade="BF"/>
            <w:tcMar>
              <w:top w:w="72" w:type="dxa"/>
              <w:left w:w="144" w:type="dxa"/>
              <w:bottom w:w="72" w:type="dxa"/>
              <w:right w:w="144" w:type="dxa"/>
            </w:tcMar>
          </w:tcPr>
          <w:p w:rsidR="00E02CFF" w:rsidRPr="00AA1FCE" w:rsidRDefault="00E02CFF" w:rsidP="00E02CFF">
            <w:pPr>
              <w:pStyle w:val="Table"/>
              <w:rPr>
                <w:rFonts w:ascii="Arial Narrow" w:hAnsi="Arial Narrow" w:cstheme="minorHAnsi"/>
                <w:b/>
                <w:szCs w:val="20"/>
              </w:rPr>
            </w:pPr>
            <w:r w:rsidRPr="00AA1FCE">
              <w:rPr>
                <w:rFonts w:ascii="Arial Narrow" w:hAnsi="Arial Narrow" w:cstheme="minorHAnsi"/>
                <w:b/>
                <w:szCs w:val="20"/>
              </w:rPr>
              <w:t>GT</w:t>
            </w:r>
          </w:p>
        </w:tc>
        <w:tc>
          <w:tcPr>
            <w:tcW w:w="2708" w:type="dxa"/>
            <w:shd w:val="clear" w:color="auto" w:fill="BFBFBF" w:themeFill="background1" w:themeFillShade="BF"/>
            <w:tcMar>
              <w:top w:w="72" w:type="dxa"/>
              <w:left w:w="144" w:type="dxa"/>
              <w:bottom w:w="72" w:type="dxa"/>
              <w:right w:w="144" w:type="dxa"/>
            </w:tcMar>
          </w:tcPr>
          <w:p w:rsidR="00E02CFF" w:rsidRPr="00AA1FCE" w:rsidRDefault="00E02CFF" w:rsidP="00E02CFF">
            <w:pPr>
              <w:pStyle w:val="Table"/>
              <w:jc w:val="center"/>
              <w:rPr>
                <w:rFonts w:ascii="Arial Narrow" w:hAnsi="Arial Narrow" w:cstheme="minorHAnsi"/>
                <w:b/>
                <w:szCs w:val="20"/>
              </w:rPr>
            </w:pPr>
            <w:r w:rsidRPr="00AA1FCE">
              <w:rPr>
                <w:rFonts w:ascii="Arial Narrow" w:hAnsi="Arial Narrow" w:cstheme="minorHAnsi"/>
                <w:b/>
                <w:szCs w:val="20"/>
              </w:rPr>
              <w:t>Treatment naive</w:t>
            </w:r>
          </w:p>
        </w:tc>
        <w:tc>
          <w:tcPr>
            <w:tcW w:w="5528" w:type="dxa"/>
            <w:gridSpan w:val="2"/>
            <w:shd w:val="clear" w:color="auto" w:fill="BFBFBF" w:themeFill="background1" w:themeFillShade="BF"/>
            <w:tcMar>
              <w:top w:w="72" w:type="dxa"/>
              <w:left w:w="144" w:type="dxa"/>
              <w:bottom w:w="72" w:type="dxa"/>
              <w:right w:w="144" w:type="dxa"/>
            </w:tcMar>
            <w:vAlign w:val="center"/>
          </w:tcPr>
          <w:p w:rsidR="00E02CFF" w:rsidRPr="00AA1FCE" w:rsidRDefault="00E02CFF" w:rsidP="00E02CFF">
            <w:pPr>
              <w:pStyle w:val="Table"/>
              <w:jc w:val="center"/>
              <w:rPr>
                <w:rFonts w:ascii="Arial Narrow" w:hAnsi="Arial Narrow" w:cstheme="minorHAnsi"/>
                <w:b/>
                <w:szCs w:val="20"/>
              </w:rPr>
            </w:pPr>
            <w:r w:rsidRPr="00AA1FCE">
              <w:rPr>
                <w:rFonts w:ascii="Arial Narrow" w:hAnsi="Arial Narrow" w:cstheme="minorHAnsi"/>
                <w:b/>
                <w:szCs w:val="20"/>
              </w:rPr>
              <w:t>Treatment experienced</w:t>
            </w:r>
          </w:p>
        </w:tc>
      </w:tr>
      <w:tr w:rsidR="00E02CFF" w:rsidRPr="00811D54" w:rsidTr="00E02CFF">
        <w:trPr>
          <w:trHeight w:val="345"/>
        </w:trPr>
        <w:tc>
          <w:tcPr>
            <w:tcW w:w="697" w:type="dxa"/>
            <w:shd w:val="clear" w:color="auto" w:fill="BFBFBF" w:themeFill="background1" w:themeFillShade="BF"/>
            <w:tcMar>
              <w:top w:w="72" w:type="dxa"/>
              <w:left w:w="144" w:type="dxa"/>
              <w:bottom w:w="72" w:type="dxa"/>
              <w:right w:w="144" w:type="dxa"/>
            </w:tcMar>
          </w:tcPr>
          <w:p w:rsidR="00E02CFF" w:rsidRPr="00AA1FCE" w:rsidRDefault="00E02CFF" w:rsidP="00E02CFF">
            <w:pPr>
              <w:pStyle w:val="Table"/>
              <w:rPr>
                <w:rFonts w:ascii="Arial Narrow" w:hAnsi="Arial Narrow" w:cstheme="minorHAnsi"/>
                <w:b/>
                <w:szCs w:val="20"/>
              </w:rPr>
            </w:pPr>
          </w:p>
        </w:tc>
        <w:tc>
          <w:tcPr>
            <w:tcW w:w="2708" w:type="dxa"/>
            <w:shd w:val="clear" w:color="auto" w:fill="BFBFBF" w:themeFill="background1" w:themeFillShade="BF"/>
            <w:tcMar>
              <w:top w:w="72" w:type="dxa"/>
              <w:left w:w="144" w:type="dxa"/>
              <w:bottom w:w="72" w:type="dxa"/>
              <w:right w:w="144" w:type="dxa"/>
            </w:tcMar>
          </w:tcPr>
          <w:p w:rsidR="00E02CFF" w:rsidRPr="00AA1FCE" w:rsidRDefault="00E02CFF" w:rsidP="00E02CFF">
            <w:pPr>
              <w:pStyle w:val="Table"/>
              <w:rPr>
                <w:rFonts w:ascii="Arial Narrow" w:hAnsi="Arial Narrow" w:cstheme="minorHAnsi"/>
                <w:szCs w:val="20"/>
              </w:rPr>
            </w:pPr>
          </w:p>
        </w:tc>
        <w:tc>
          <w:tcPr>
            <w:tcW w:w="2693" w:type="dxa"/>
            <w:shd w:val="clear" w:color="auto" w:fill="BFBFBF" w:themeFill="background1" w:themeFillShade="BF"/>
            <w:tcMar>
              <w:top w:w="72" w:type="dxa"/>
              <w:left w:w="144" w:type="dxa"/>
              <w:bottom w:w="72" w:type="dxa"/>
              <w:right w:w="144" w:type="dxa"/>
            </w:tcMar>
            <w:vAlign w:val="center"/>
          </w:tcPr>
          <w:p w:rsidR="00E02CFF" w:rsidRPr="00AA1FCE" w:rsidRDefault="00E02CFF" w:rsidP="00E02CFF">
            <w:pPr>
              <w:pStyle w:val="Table"/>
              <w:jc w:val="center"/>
              <w:rPr>
                <w:rFonts w:ascii="Arial Narrow" w:hAnsi="Arial Narrow" w:cstheme="minorHAnsi"/>
                <w:b/>
                <w:szCs w:val="20"/>
              </w:rPr>
            </w:pPr>
            <w:r w:rsidRPr="00AA1FCE">
              <w:rPr>
                <w:rFonts w:ascii="Arial Narrow" w:hAnsi="Arial Narrow" w:cstheme="minorHAnsi"/>
                <w:b/>
                <w:szCs w:val="20"/>
              </w:rPr>
              <w:t>Non-NS5A failures</w:t>
            </w:r>
          </w:p>
        </w:tc>
        <w:tc>
          <w:tcPr>
            <w:tcW w:w="2835" w:type="dxa"/>
            <w:shd w:val="clear" w:color="auto" w:fill="BFBFBF" w:themeFill="background1" w:themeFillShade="BF"/>
          </w:tcPr>
          <w:p w:rsidR="00E02CFF" w:rsidRPr="00AA1FCE" w:rsidRDefault="00E02CFF" w:rsidP="00E02CFF">
            <w:pPr>
              <w:pStyle w:val="Table"/>
              <w:jc w:val="center"/>
              <w:rPr>
                <w:rFonts w:ascii="Arial Narrow" w:hAnsi="Arial Narrow" w:cstheme="minorHAnsi"/>
                <w:b/>
                <w:szCs w:val="20"/>
              </w:rPr>
            </w:pPr>
            <w:r w:rsidRPr="00AA1FCE">
              <w:rPr>
                <w:rFonts w:ascii="Arial Narrow" w:hAnsi="Arial Narrow" w:cstheme="minorHAnsi"/>
                <w:b/>
                <w:szCs w:val="20"/>
              </w:rPr>
              <w:t>NS5A failures</w:t>
            </w:r>
          </w:p>
        </w:tc>
      </w:tr>
      <w:tr w:rsidR="00E02CFF" w:rsidRPr="00811D54" w:rsidTr="00E02CFF">
        <w:trPr>
          <w:trHeight w:val="2370"/>
        </w:trPr>
        <w:tc>
          <w:tcPr>
            <w:tcW w:w="697" w:type="dxa"/>
            <w:shd w:val="clear" w:color="auto" w:fill="BFBFBF" w:themeFill="background1" w:themeFillShade="BF"/>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b/>
                <w:szCs w:val="20"/>
              </w:rPr>
            </w:pPr>
            <w:r w:rsidRPr="00AA1FCE">
              <w:rPr>
                <w:rFonts w:ascii="Arial Narrow" w:hAnsi="Arial Narrow" w:cstheme="minorHAnsi"/>
                <w:b/>
                <w:szCs w:val="20"/>
              </w:rPr>
              <w:t>1</w:t>
            </w:r>
          </w:p>
        </w:tc>
        <w:tc>
          <w:tcPr>
            <w:tcW w:w="2708"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LEDIPASVIR + SOFOSBUVIR (HARVONI)</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DACLATASVIR + SOFOSBUVIR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PARITEPRASIR + RITONAVIR + OMBITASVIR &amp; DASABUVIR (</w:t>
            </w:r>
            <w:proofErr w:type="spellStart"/>
            <w:r w:rsidRPr="00AA1FCE">
              <w:rPr>
                <w:rFonts w:ascii="Arial Narrow" w:hAnsi="Arial Narrow" w:cstheme="minorHAnsi"/>
                <w:szCs w:val="20"/>
              </w:rPr>
              <w:t>Viekira</w:t>
            </w:r>
            <w:proofErr w:type="spellEnd"/>
            <w:r w:rsidRPr="00AA1FCE">
              <w:rPr>
                <w:rFonts w:ascii="Arial Narrow" w:hAnsi="Arial Narrow" w:cstheme="minorHAnsi"/>
                <w:szCs w:val="20"/>
              </w:rPr>
              <w:t xml:space="preserve"> Pak)</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PARITEPRASIR + RITONAVIR + OMBITASVIR &amp; DASABUVIR &amp; RIBAVIRIN (</w:t>
            </w:r>
            <w:proofErr w:type="spellStart"/>
            <w:r w:rsidRPr="00AA1FCE">
              <w:rPr>
                <w:rFonts w:ascii="Arial Narrow" w:hAnsi="Arial Narrow" w:cstheme="minorHAnsi"/>
                <w:szCs w:val="20"/>
              </w:rPr>
              <w:t>Viekira</w:t>
            </w:r>
            <w:proofErr w:type="spellEnd"/>
            <w:r w:rsidRPr="00AA1FCE">
              <w:rPr>
                <w:rFonts w:ascii="Arial Narrow" w:hAnsi="Arial Narrow" w:cstheme="minorHAnsi"/>
                <w:szCs w:val="20"/>
              </w:rPr>
              <w:t xml:space="preserve"> Pak RBV)</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GRAZOPREVIR + ELBASVIR (</w:t>
            </w:r>
            <w:proofErr w:type="spellStart"/>
            <w:r w:rsidRPr="00AA1FCE">
              <w:rPr>
                <w:rFonts w:ascii="Arial Narrow" w:hAnsi="Arial Narrow" w:cstheme="minorHAnsi"/>
                <w:szCs w:val="20"/>
              </w:rPr>
              <w:t>Zepatier</w:t>
            </w:r>
            <w:proofErr w:type="spellEnd"/>
            <w:r w:rsidRPr="00AA1FCE">
              <w:rPr>
                <w:rFonts w:ascii="Arial Narrow" w:hAnsi="Arial Narrow" w:cstheme="minorHAnsi"/>
                <w:szCs w:val="20"/>
              </w:rPr>
              <w:t>)</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SOFOSBUVIR &amp; PEGYLATED INTERFERON &amp; RIBAVIRIN </w:t>
            </w:r>
          </w:p>
        </w:tc>
        <w:tc>
          <w:tcPr>
            <w:tcW w:w="2693"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LEDIPASVIR + SOFOSBUVIR (HARVONI)</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DACLATASVIR + SOFOSBUVIR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PARITEPRASIR + RITONAVIR + OMBITASVIR + DASABUVIR (</w:t>
            </w:r>
            <w:proofErr w:type="spellStart"/>
            <w:r w:rsidRPr="00AA1FCE">
              <w:rPr>
                <w:rFonts w:ascii="Arial Narrow" w:hAnsi="Arial Narrow" w:cstheme="minorHAnsi"/>
                <w:szCs w:val="20"/>
              </w:rPr>
              <w:t>Viekira</w:t>
            </w:r>
            <w:proofErr w:type="spellEnd"/>
            <w:r w:rsidRPr="00AA1FCE">
              <w:rPr>
                <w:rFonts w:ascii="Arial Narrow" w:hAnsi="Arial Narrow" w:cstheme="minorHAnsi"/>
                <w:szCs w:val="20"/>
              </w:rPr>
              <w:t xml:space="preserve"> Pak)</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PARITEPRASIR + RITONAVIR + OMBITASVIR &amp; DASABUVIR + RIBAVIRIN (</w:t>
            </w:r>
            <w:proofErr w:type="spellStart"/>
            <w:r w:rsidRPr="00AA1FCE">
              <w:rPr>
                <w:rFonts w:ascii="Arial Narrow" w:hAnsi="Arial Narrow" w:cstheme="minorHAnsi"/>
                <w:szCs w:val="20"/>
              </w:rPr>
              <w:t>Viekira</w:t>
            </w:r>
            <w:proofErr w:type="spellEnd"/>
            <w:r w:rsidRPr="00AA1FCE">
              <w:rPr>
                <w:rFonts w:ascii="Arial Narrow" w:hAnsi="Arial Narrow" w:cstheme="minorHAnsi"/>
                <w:szCs w:val="20"/>
              </w:rPr>
              <w:t xml:space="preserve"> Pak RBV)</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GRAZOPREVIR + ELBASVIR (</w:t>
            </w:r>
            <w:proofErr w:type="spellStart"/>
            <w:r w:rsidRPr="00AA1FCE">
              <w:rPr>
                <w:rFonts w:ascii="Arial Narrow" w:hAnsi="Arial Narrow" w:cstheme="minorHAnsi"/>
                <w:szCs w:val="20"/>
              </w:rPr>
              <w:t>Zepatier</w:t>
            </w:r>
            <w:proofErr w:type="spellEnd"/>
            <w:r w:rsidRPr="00AA1FCE">
              <w:rPr>
                <w:rFonts w:ascii="Arial Narrow" w:hAnsi="Arial Narrow" w:cstheme="minorHAnsi"/>
                <w:szCs w:val="20"/>
              </w:rPr>
              <w:t>) ± RIBAVIRIN</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835" w:type="dxa"/>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 VOXILAPREVIR (VOSEVI)</w:t>
            </w:r>
          </w:p>
          <w:p w:rsidR="00E02CFF" w:rsidRPr="00AA1FCE" w:rsidRDefault="00E02CFF" w:rsidP="00E02CFF">
            <w:pPr>
              <w:pStyle w:val="Table"/>
              <w:rPr>
                <w:rFonts w:ascii="Arial Narrow" w:hAnsi="Arial Narrow" w:cstheme="minorHAnsi"/>
                <w:szCs w:val="20"/>
              </w:rPr>
            </w:pPr>
          </w:p>
        </w:tc>
      </w:tr>
      <w:tr w:rsidR="00E02CFF" w:rsidRPr="00811D54" w:rsidTr="00E02CFF">
        <w:trPr>
          <w:trHeight w:val="379"/>
        </w:trPr>
        <w:tc>
          <w:tcPr>
            <w:tcW w:w="697" w:type="dxa"/>
            <w:shd w:val="clear" w:color="auto" w:fill="BFBFBF" w:themeFill="background1" w:themeFillShade="BF"/>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b/>
                <w:szCs w:val="20"/>
              </w:rPr>
            </w:pPr>
            <w:r w:rsidRPr="00AA1FCE">
              <w:rPr>
                <w:rFonts w:ascii="Arial Narrow" w:hAnsi="Arial Narrow" w:cstheme="minorHAnsi"/>
                <w:b/>
                <w:szCs w:val="20"/>
              </w:rPr>
              <w:t>2</w:t>
            </w:r>
          </w:p>
        </w:tc>
        <w:tc>
          <w:tcPr>
            <w:tcW w:w="2708"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lastRenderedPageBreak/>
              <w:t>SOFOSBUVIR + RIBAVIRIN</w:t>
            </w:r>
          </w:p>
        </w:tc>
        <w:tc>
          <w:tcPr>
            <w:tcW w:w="2693"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lastRenderedPageBreak/>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lastRenderedPageBreak/>
              <w:t>SOFOSBUVIR + RIBAVIRIN</w:t>
            </w:r>
          </w:p>
        </w:tc>
        <w:tc>
          <w:tcPr>
            <w:tcW w:w="2835" w:type="dxa"/>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lastRenderedPageBreak/>
              <w:t>SOFOSBUVIR + VELPATASVIR + VOXILAPREVIR (VOSEVI)</w:t>
            </w:r>
          </w:p>
        </w:tc>
      </w:tr>
      <w:tr w:rsidR="00E02CFF" w:rsidRPr="00811D54" w:rsidTr="00E02CFF">
        <w:trPr>
          <w:trHeight w:val="948"/>
        </w:trPr>
        <w:tc>
          <w:tcPr>
            <w:tcW w:w="697" w:type="dxa"/>
            <w:shd w:val="clear" w:color="auto" w:fill="BFBFBF" w:themeFill="background1" w:themeFillShade="BF"/>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b/>
                <w:szCs w:val="20"/>
              </w:rPr>
            </w:pPr>
            <w:r w:rsidRPr="00AA1FCE">
              <w:rPr>
                <w:rFonts w:ascii="Arial Narrow" w:hAnsi="Arial Narrow" w:cstheme="minorHAnsi"/>
                <w:b/>
                <w:szCs w:val="20"/>
              </w:rPr>
              <w:lastRenderedPageBreak/>
              <w:t>3</w:t>
            </w:r>
          </w:p>
        </w:tc>
        <w:tc>
          <w:tcPr>
            <w:tcW w:w="2708"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DACLATASVIR + SOFOSBUVIR</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RIBAVIRIN</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693"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DACLATASVIR + SOFOSBUVIR</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 xml:space="preserve"> </w:t>
            </w: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RIBAVIRIN</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835" w:type="dxa"/>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 VOXILAPREVIR (VOSEVI)</w:t>
            </w:r>
          </w:p>
          <w:p w:rsidR="00E02CFF" w:rsidRPr="00AA1FCE" w:rsidRDefault="00E02CFF" w:rsidP="00E02CFF">
            <w:pPr>
              <w:pStyle w:val="Table"/>
              <w:rPr>
                <w:rFonts w:ascii="Arial Narrow" w:hAnsi="Arial Narrow" w:cstheme="minorHAnsi"/>
                <w:szCs w:val="20"/>
              </w:rPr>
            </w:pPr>
          </w:p>
        </w:tc>
      </w:tr>
      <w:tr w:rsidR="00E02CFF" w:rsidRPr="00811D54" w:rsidTr="00E02CFF">
        <w:trPr>
          <w:trHeight w:val="948"/>
        </w:trPr>
        <w:tc>
          <w:tcPr>
            <w:tcW w:w="697" w:type="dxa"/>
            <w:shd w:val="clear" w:color="auto" w:fill="BFBFBF" w:themeFill="background1" w:themeFillShade="BF"/>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b/>
                <w:szCs w:val="20"/>
              </w:rPr>
            </w:pPr>
            <w:r w:rsidRPr="00AA1FCE">
              <w:rPr>
                <w:rFonts w:ascii="Arial Narrow" w:hAnsi="Arial Narrow" w:cstheme="minorHAnsi"/>
                <w:b/>
                <w:szCs w:val="20"/>
              </w:rPr>
              <w:t>4</w:t>
            </w:r>
          </w:p>
        </w:tc>
        <w:tc>
          <w:tcPr>
            <w:tcW w:w="2708"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GRAZOPREVIR + ELBASVIR (</w:t>
            </w:r>
            <w:proofErr w:type="spellStart"/>
            <w:r w:rsidRPr="00AA1FCE">
              <w:rPr>
                <w:rFonts w:ascii="Arial Narrow" w:hAnsi="Arial Narrow" w:cstheme="minorHAnsi"/>
                <w:szCs w:val="20"/>
              </w:rPr>
              <w:t>Zepatier</w:t>
            </w:r>
            <w:proofErr w:type="spellEnd"/>
            <w:r w:rsidRPr="00AA1FCE">
              <w:rPr>
                <w:rFonts w:ascii="Arial Narrow" w:hAnsi="Arial Narrow" w:cstheme="minorHAnsi"/>
                <w:szCs w:val="20"/>
              </w:rPr>
              <w:t>)</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693"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GRAZOPREVIR + ELBASVIR (</w:t>
            </w:r>
            <w:proofErr w:type="spellStart"/>
            <w:r w:rsidRPr="00AA1FCE">
              <w:rPr>
                <w:rFonts w:ascii="Arial Narrow" w:hAnsi="Arial Narrow" w:cstheme="minorHAnsi"/>
                <w:szCs w:val="20"/>
              </w:rPr>
              <w:t>Zepatier</w:t>
            </w:r>
            <w:proofErr w:type="spellEnd"/>
            <w:r w:rsidRPr="00AA1FCE">
              <w:rPr>
                <w:rFonts w:ascii="Arial Narrow" w:hAnsi="Arial Narrow" w:cstheme="minorHAnsi"/>
                <w:szCs w:val="20"/>
              </w:rPr>
              <w:t>) ± RIBAVIRIN</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835" w:type="dxa"/>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 VOXILAPREVIR (VOSEVI)</w:t>
            </w:r>
          </w:p>
          <w:p w:rsidR="00E02CFF" w:rsidRPr="00AA1FCE" w:rsidRDefault="00E02CFF" w:rsidP="00E02CFF">
            <w:pPr>
              <w:pStyle w:val="Table"/>
              <w:rPr>
                <w:rFonts w:ascii="Arial Narrow" w:hAnsi="Arial Narrow" w:cstheme="minorHAnsi"/>
                <w:szCs w:val="20"/>
              </w:rPr>
            </w:pPr>
          </w:p>
        </w:tc>
      </w:tr>
      <w:tr w:rsidR="00E02CFF" w:rsidRPr="00811D54" w:rsidTr="00E02CFF">
        <w:trPr>
          <w:trHeight w:val="664"/>
        </w:trPr>
        <w:tc>
          <w:tcPr>
            <w:tcW w:w="697" w:type="dxa"/>
            <w:shd w:val="clear" w:color="auto" w:fill="BFBFBF" w:themeFill="background1" w:themeFillShade="BF"/>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b/>
                <w:szCs w:val="20"/>
              </w:rPr>
            </w:pPr>
            <w:r w:rsidRPr="00AA1FCE">
              <w:rPr>
                <w:rFonts w:ascii="Arial Narrow" w:hAnsi="Arial Narrow" w:cstheme="minorHAnsi"/>
                <w:b/>
                <w:szCs w:val="20"/>
              </w:rPr>
              <w:t>5&amp;6</w:t>
            </w:r>
          </w:p>
        </w:tc>
        <w:tc>
          <w:tcPr>
            <w:tcW w:w="2708"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693" w:type="dxa"/>
            <w:shd w:val="clear" w:color="auto" w:fill="auto"/>
            <w:tcMar>
              <w:top w:w="72" w:type="dxa"/>
              <w:left w:w="144" w:type="dxa"/>
              <w:bottom w:w="72" w:type="dxa"/>
              <w:right w:w="144" w:type="dxa"/>
            </w:tcMar>
            <w:hideMark/>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(EPCLUSA)</w:t>
            </w:r>
          </w:p>
          <w:p w:rsidR="00E02CFF" w:rsidRPr="00AA1FCE" w:rsidRDefault="00E02CFF" w:rsidP="00E02CFF">
            <w:pPr>
              <w:pStyle w:val="Table"/>
              <w:rPr>
                <w:rFonts w:ascii="Arial Narrow" w:hAnsi="Arial Narrow" w:cstheme="minorHAnsi"/>
                <w:szCs w:val="20"/>
              </w:rPr>
            </w:pPr>
          </w:p>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&amp; PEGYLATED INTERFERON &amp; RIBAVIRIN</w:t>
            </w:r>
          </w:p>
        </w:tc>
        <w:tc>
          <w:tcPr>
            <w:tcW w:w="2835" w:type="dxa"/>
          </w:tcPr>
          <w:p w:rsidR="00E02CFF" w:rsidRPr="00AA1FCE" w:rsidRDefault="00E02CFF" w:rsidP="00E02CFF">
            <w:pPr>
              <w:pStyle w:val="Table"/>
              <w:rPr>
                <w:rFonts w:ascii="Arial Narrow" w:hAnsi="Arial Narrow" w:cstheme="minorHAnsi"/>
                <w:szCs w:val="20"/>
              </w:rPr>
            </w:pPr>
            <w:r w:rsidRPr="00AA1FCE">
              <w:rPr>
                <w:rFonts w:ascii="Arial Narrow" w:hAnsi="Arial Narrow" w:cstheme="minorHAnsi"/>
                <w:szCs w:val="20"/>
              </w:rPr>
              <w:t>SOFOSBUVIR + VELPATASVIR + VOXILAPREVIR (VOSEVI)</w:t>
            </w:r>
          </w:p>
          <w:p w:rsidR="00E02CFF" w:rsidRPr="00AA1FCE" w:rsidRDefault="00E02CFF" w:rsidP="00E02CFF">
            <w:pPr>
              <w:pStyle w:val="Table"/>
              <w:rPr>
                <w:rFonts w:ascii="Arial Narrow" w:hAnsi="Arial Narrow" w:cstheme="minorHAnsi"/>
                <w:szCs w:val="20"/>
              </w:rPr>
            </w:pPr>
          </w:p>
        </w:tc>
      </w:tr>
    </w:tbl>
    <w:p w:rsidR="004A217B" w:rsidRDefault="00E02CFF">
      <w:pPr>
        <w:jc w:val="left"/>
        <w:rPr>
          <w:rFonts w:ascii="Arial Narrow" w:hAnsi="Arial Narrow"/>
          <w:sz w:val="18"/>
          <w:szCs w:val="18"/>
        </w:rPr>
      </w:pPr>
      <w:r w:rsidRPr="00AA1FCE">
        <w:rPr>
          <w:rFonts w:ascii="Arial Narrow" w:hAnsi="Arial Narrow"/>
          <w:sz w:val="18"/>
          <w:szCs w:val="18"/>
        </w:rPr>
        <w:t>Source: p24 of the submission</w:t>
      </w:r>
      <w:r w:rsidR="00C72017">
        <w:rPr>
          <w:rFonts w:ascii="Arial Narrow" w:hAnsi="Arial Narrow"/>
          <w:sz w:val="18"/>
          <w:szCs w:val="18"/>
        </w:rPr>
        <w:br/>
      </w:r>
      <w:r w:rsidR="00D43DF8">
        <w:rPr>
          <w:rFonts w:ascii="Arial Narrow" w:hAnsi="Arial Narrow"/>
          <w:sz w:val="18"/>
          <w:szCs w:val="18"/>
        </w:rPr>
        <w:br w:type="page"/>
      </w:r>
    </w:p>
    <w:p w:rsidR="00993FA4" w:rsidRDefault="00B50DB8" w:rsidP="00025C10">
      <w:pPr>
        <w:pStyle w:val="PBACHeading1"/>
        <w:spacing w:before="240" w:after="120"/>
      </w:pPr>
      <w:r w:rsidRPr="00407F2D">
        <w:lastRenderedPageBreak/>
        <w:t>Background</w:t>
      </w:r>
      <w:bookmarkEnd w:id="2"/>
    </w:p>
    <w:p w:rsidR="00591957" w:rsidRPr="0025652C" w:rsidRDefault="00591957" w:rsidP="00025C10">
      <w:pPr>
        <w:widowControl w:val="0"/>
        <w:spacing w:before="120" w:line="276" w:lineRule="auto"/>
        <w:rPr>
          <w:rFonts w:cs="Arial"/>
          <w:b/>
          <w:bCs/>
          <w:i/>
          <w:snapToGrid w:val="0"/>
          <w:sz w:val="28"/>
          <w:szCs w:val="28"/>
        </w:rPr>
      </w:pPr>
      <w:r w:rsidRPr="0025652C">
        <w:rPr>
          <w:rFonts w:cs="Arial"/>
          <w:b/>
          <w:bCs/>
          <w:i/>
          <w:snapToGrid w:val="0"/>
          <w:sz w:val="28"/>
          <w:szCs w:val="28"/>
        </w:rPr>
        <w:t>Registration status</w:t>
      </w:r>
    </w:p>
    <w:p w:rsidR="00E55BB5" w:rsidRPr="00936870" w:rsidRDefault="00FA4054" w:rsidP="00F477B2">
      <w:pPr>
        <w:pStyle w:val="ListParagraph"/>
        <w:numPr>
          <w:ilvl w:val="1"/>
          <w:numId w:val="2"/>
        </w:numPr>
      </w:pPr>
      <w:r w:rsidRPr="00936870">
        <w:rPr>
          <w:color w:val="000000" w:themeColor="text1"/>
        </w:rPr>
        <w:t xml:space="preserve">The </w:t>
      </w:r>
      <w:r w:rsidR="00B60939" w:rsidRPr="00936870">
        <w:t>submission was made un</w:t>
      </w:r>
      <w:r w:rsidR="00993FA4" w:rsidRPr="00936870">
        <w:t xml:space="preserve">der TGA/PBAC Parallel Process. </w:t>
      </w:r>
      <w:r w:rsidR="00B60939" w:rsidRPr="00936870">
        <w:t>At the time of</w:t>
      </w:r>
      <w:r w:rsidR="008F35F5">
        <w:t xml:space="preserve"> PBAC</w:t>
      </w:r>
      <w:r w:rsidRPr="00936870">
        <w:t xml:space="preserve"> consideration, the clinical evaluat</w:t>
      </w:r>
      <w:r w:rsidR="0076025D">
        <w:t>ion</w:t>
      </w:r>
      <w:r w:rsidRPr="00936870">
        <w:t xml:space="preserve"> report </w:t>
      </w:r>
      <w:r w:rsidR="00936870">
        <w:t xml:space="preserve">and </w:t>
      </w:r>
      <w:r w:rsidR="00936870" w:rsidRPr="00936870">
        <w:t xml:space="preserve">TGA delegate’s overview </w:t>
      </w:r>
      <w:r w:rsidRPr="00936870">
        <w:t>w</w:t>
      </w:r>
      <w:r w:rsidR="00936870">
        <w:t>ere</w:t>
      </w:r>
      <w:r w:rsidR="00993FA4" w:rsidRPr="00936870">
        <w:t xml:space="preserve"> available.</w:t>
      </w:r>
      <w:r w:rsidR="004647F2" w:rsidRPr="00936870">
        <w:t xml:space="preserve"> The delegate indicated that at this time they have no reason to say that the application for </w:t>
      </w:r>
      <w:proofErr w:type="spellStart"/>
      <w:r w:rsidR="004647F2" w:rsidRPr="00936870">
        <w:rPr>
          <w:color w:val="000000" w:themeColor="text1"/>
        </w:rPr>
        <w:t>sofosbuvir</w:t>
      </w:r>
      <w:proofErr w:type="spellEnd"/>
      <w:r w:rsidR="004647F2" w:rsidRPr="00936870">
        <w:rPr>
          <w:color w:val="000000" w:themeColor="text1"/>
        </w:rPr>
        <w:t xml:space="preserve"> </w:t>
      </w:r>
      <w:r w:rsidR="0079597C">
        <w:rPr>
          <w:color w:val="000000" w:themeColor="text1"/>
        </w:rPr>
        <w:t>with</w:t>
      </w:r>
      <w:r w:rsidR="004647F2" w:rsidRPr="00936870">
        <w:rPr>
          <w:color w:val="000000" w:themeColor="text1"/>
        </w:rPr>
        <w:t xml:space="preserve"> </w:t>
      </w:r>
      <w:proofErr w:type="spellStart"/>
      <w:r w:rsidR="004647F2" w:rsidRPr="00936870">
        <w:rPr>
          <w:color w:val="000000" w:themeColor="text1"/>
        </w:rPr>
        <w:t>velpatasvir</w:t>
      </w:r>
      <w:proofErr w:type="spellEnd"/>
      <w:r w:rsidR="004647F2" w:rsidRPr="00936870">
        <w:rPr>
          <w:color w:val="000000" w:themeColor="text1"/>
        </w:rPr>
        <w:t xml:space="preserve"> </w:t>
      </w:r>
      <w:r w:rsidR="0079597C">
        <w:rPr>
          <w:color w:val="000000" w:themeColor="text1"/>
        </w:rPr>
        <w:t>and</w:t>
      </w:r>
      <w:r w:rsidR="004647F2" w:rsidRPr="00936870">
        <w:rPr>
          <w:color w:val="000000" w:themeColor="text1"/>
        </w:rPr>
        <w:t xml:space="preserve"> </w:t>
      </w:r>
      <w:proofErr w:type="spellStart"/>
      <w:r w:rsidR="004647F2" w:rsidRPr="00936870">
        <w:rPr>
          <w:color w:val="000000" w:themeColor="text1"/>
        </w:rPr>
        <w:t>voxilaprevir</w:t>
      </w:r>
      <w:proofErr w:type="spellEnd"/>
      <w:r w:rsidR="004647F2" w:rsidRPr="00936870">
        <w:rPr>
          <w:color w:val="000000" w:themeColor="text1"/>
        </w:rPr>
        <w:t xml:space="preserve"> should not be approved. </w:t>
      </w:r>
      <w:r w:rsidR="00936870" w:rsidRPr="00936870">
        <w:t>Registration is expected on 30</w:t>
      </w:r>
      <w:r w:rsidR="00936870" w:rsidRPr="00936870">
        <w:rPr>
          <w:vertAlign w:val="superscript"/>
        </w:rPr>
        <w:t xml:space="preserve"> </w:t>
      </w:r>
      <w:r w:rsidR="00936870" w:rsidRPr="00936870">
        <w:t>April 2018</w:t>
      </w:r>
      <w:r w:rsidR="008F35F5">
        <w:t>.</w:t>
      </w:r>
    </w:p>
    <w:p w:rsidR="00D92BE6" w:rsidRPr="0002304B" w:rsidRDefault="00D92BE6" w:rsidP="00F477B2">
      <w:pPr>
        <w:pStyle w:val="ListParagraph"/>
        <w:numPr>
          <w:ilvl w:val="1"/>
          <w:numId w:val="2"/>
        </w:numPr>
        <w:rPr>
          <w:color w:val="000000" w:themeColor="text1"/>
        </w:rPr>
      </w:pPr>
      <w:r>
        <w:rPr>
          <w:color w:val="000000" w:themeColor="text1"/>
        </w:rPr>
        <w:t>The PBAC</w:t>
      </w:r>
      <w:r w:rsidR="00D51F27" w:rsidRPr="00D51F27">
        <w:t xml:space="preserve"> </w:t>
      </w:r>
      <w:r w:rsidR="00D51F27">
        <w:t xml:space="preserve">has not previously considered </w:t>
      </w:r>
      <w:proofErr w:type="spellStart"/>
      <w:r w:rsidR="00D51F27" w:rsidRPr="00D51F27">
        <w:rPr>
          <w:color w:val="000000" w:themeColor="text1"/>
        </w:rPr>
        <w:t>sofosbuvir</w:t>
      </w:r>
      <w:proofErr w:type="spellEnd"/>
      <w:r w:rsidR="00D51F27" w:rsidRPr="00D51F27">
        <w:rPr>
          <w:color w:val="000000" w:themeColor="text1"/>
        </w:rPr>
        <w:t xml:space="preserve"> </w:t>
      </w:r>
      <w:r w:rsidR="0079597C">
        <w:rPr>
          <w:color w:val="000000" w:themeColor="text1"/>
        </w:rPr>
        <w:t>with</w:t>
      </w:r>
      <w:r w:rsidR="00D51F27" w:rsidRPr="00D51F27">
        <w:rPr>
          <w:color w:val="000000" w:themeColor="text1"/>
        </w:rPr>
        <w:t xml:space="preserve"> </w:t>
      </w:r>
      <w:proofErr w:type="spellStart"/>
      <w:r w:rsidR="00D51F27" w:rsidRPr="00D51F27">
        <w:rPr>
          <w:color w:val="000000" w:themeColor="text1"/>
        </w:rPr>
        <w:t>velpatasvir</w:t>
      </w:r>
      <w:proofErr w:type="spellEnd"/>
      <w:r w:rsidR="00D51F27" w:rsidRPr="00D51F27">
        <w:rPr>
          <w:color w:val="000000" w:themeColor="text1"/>
        </w:rPr>
        <w:t xml:space="preserve"> </w:t>
      </w:r>
      <w:r w:rsidR="0079597C">
        <w:rPr>
          <w:color w:val="000000" w:themeColor="text1"/>
        </w:rPr>
        <w:t>and</w:t>
      </w:r>
      <w:r w:rsidR="00D51F27" w:rsidRPr="00D51F27">
        <w:rPr>
          <w:color w:val="000000" w:themeColor="text1"/>
        </w:rPr>
        <w:t xml:space="preserve"> </w:t>
      </w:r>
      <w:proofErr w:type="spellStart"/>
      <w:r w:rsidR="00D51F27" w:rsidRPr="00D51F27">
        <w:rPr>
          <w:color w:val="000000" w:themeColor="text1"/>
        </w:rPr>
        <w:t>voxilaprevir</w:t>
      </w:r>
      <w:proofErr w:type="spellEnd"/>
      <w:r w:rsidR="00025C10">
        <w:rPr>
          <w:color w:val="000000" w:themeColor="text1"/>
        </w:rPr>
        <w:t>.</w:t>
      </w:r>
    </w:p>
    <w:p w:rsidR="00B50DB8" w:rsidRPr="00407F2D" w:rsidRDefault="00203181" w:rsidP="00025C10">
      <w:pPr>
        <w:pStyle w:val="PBACHeading1"/>
        <w:spacing w:before="240" w:after="120"/>
      </w:pPr>
      <w:bookmarkStart w:id="3" w:name="_Toc500605958"/>
      <w:r>
        <w:t xml:space="preserve">Population and </w:t>
      </w:r>
      <w:r w:rsidR="008E0D3C">
        <w:t>d</w:t>
      </w:r>
      <w:r>
        <w:t>isease</w:t>
      </w:r>
      <w:bookmarkEnd w:id="3"/>
    </w:p>
    <w:p w:rsidR="00FA4054" w:rsidRDefault="00FA4054" w:rsidP="00F477B2">
      <w:pPr>
        <w:pStyle w:val="ListParagraph"/>
        <w:numPr>
          <w:ilvl w:val="1"/>
          <w:numId w:val="2"/>
        </w:numPr>
      </w:pPr>
      <w:r>
        <w:t xml:space="preserve">Chronic hepatitis C (CHC) is a blood borne inflammatory liver disease caused by the hepatitis </w:t>
      </w:r>
      <w:r w:rsidR="00747926">
        <w:t>C</w:t>
      </w:r>
      <w:r>
        <w:t xml:space="preserve"> virus (HCV). Untreated chronic infection may lead to cirrhosis, liver failure, hepatocellular carcinoma and death. In Australia, CHC is treated with combination treatments that include inhibitors of the non-structural protein 5A (NS5A). </w:t>
      </w:r>
    </w:p>
    <w:p w:rsidR="00747926" w:rsidRDefault="00FA4054" w:rsidP="00F477B2">
      <w:pPr>
        <w:pStyle w:val="ListParagraph"/>
        <w:numPr>
          <w:ilvl w:val="1"/>
          <w:numId w:val="2"/>
        </w:numPr>
      </w:pPr>
      <w:r>
        <w:t xml:space="preserve">According to the observational study REACH C (Kirby Institute 2017) NS5A therapies led to sustained virological response (i.e. cure) in 95-97% of Australian patients. </w:t>
      </w:r>
      <w:r w:rsidR="00B962BA">
        <w:t>Consequently,</w:t>
      </w:r>
      <w:r>
        <w:t xml:space="preserve"> 3-5% of patients </w:t>
      </w:r>
      <w:r w:rsidR="00747926">
        <w:t xml:space="preserve">may </w:t>
      </w:r>
      <w:r>
        <w:t>fail to achieve virological response after NS5A treatment</w:t>
      </w:r>
      <w:r w:rsidR="00B962BA">
        <w:t xml:space="preserve">. </w:t>
      </w:r>
      <w:r w:rsidR="00B962BA" w:rsidRPr="00B962BA">
        <w:t>These patients tend to have more advanced disease, and have a higher occurrence of cirrhosis, than the general CHC population.</w:t>
      </w:r>
    </w:p>
    <w:p w:rsidR="001E7C41" w:rsidRPr="001E7C41" w:rsidRDefault="002457C6" w:rsidP="00F477B2">
      <w:pPr>
        <w:pStyle w:val="ListParagraph"/>
        <w:numPr>
          <w:ilvl w:val="1"/>
          <w:numId w:val="2"/>
        </w:numPr>
        <w:spacing w:after="0"/>
      </w:pPr>
      <w:proofErr w:type="spellStart"/>
      <w:r>
        <w:t>S</w:t>
      </w:r>
      <w:r w:rsidRPr="002457C6">
        <w:t>ofosbuvir</w:t>
      </w:r>
      <w:proofErr w:type="spellEnd"/>
      <w:r w:rsidRPr="002457C6">
        <w:t xml:space="preserve"> </w:t>
      </w:r>
      <w:r w:rsidR="003303A6">
        <w:t>with</w:t>
      </w:r>
      <w:r w:rsidRPr="002457C6">
        <w:t xml:space="preserve"> </w:t>
      </w:r>
      <w:proofErr w:type="spellStart"/>
      <w:r w:rsidRPr="002457C6">
        <w:t>velpatasvir</w:t>
      </w:r>
      <w:proofErr w:type="spellEnd"/>
      <w:r w:rsidRPr="002457C6">
        <w:t xml:space="preserve"> </w:t>
      </w:r>
      <w:r w:rsidR="003303A6">
        <w:t>and</w:t>
      </w:r>
      <w:r w:rsidRPr="002457C6">
        <w:t xml:space="preserve"> </w:t>
      </w:r>
      <w:proofErr w:type="spellStart"/>
      <w:r w:rsidRPr="002457C6">
        <w:t>voxilaprevir</w:t>
      </w:r>
      <w:proofErr w:type="spellEnd"/>
      <w:r w:rsidRPr="002457C6">
        <w:t xml:space="preserve"> </w:t>
      </w:r>
      <w:r w:rsidR="00FA4054">
        <w:t xml:space="preserve">would be prescribed </w:t>
      </w:r>
      <w:r w:rsidR="00747926">
        <w:t>after NS5A treatment failure</w:t>
      </w:r>
      <w:r w:rsidR="00D51F27">
        <w:t xml:space="preserve"> (also </w:t>
      </w:r>
      <w:r w:rsidR="00D26C02">
        <w:t>referred to as</w:t>
      </w:r>
      <w:r w:rsidR="00D51F27">
        <w:t xml:space="preserve"> NS5A treatment experienced)</w:t>
      </w:r>
      <w:r w:rsidR="00FA4054">
        <w:t xml:space="preserve">. </w:t>
      </w:r>
      <w:proofErr w:type="spellStart"/>
      <w:r w:rsidR="001E7C41" w:rsidRPr="001E7C41">
        <w:t>Sofosbuvir</w:t>
      </w:r>
      <w:proofErr w:type="spellEnd"/>
      <w:r w:rsidR="001E7C41" w:rsidRPr="001E7C41">
        <w:t xml:space="preserve"> </w:t>
      </w:r>
      <w:r w:rsidR="003303A6">
        <w:t>with</w:t>
      </w:r>
      <w:r w:rsidR="001E7C41" w:rsidRPr="001E7C41">
        <w:t xml:space="preserve"> </w:t>
      </w:r>
      <w:proofErr w:type="spellStart"/>
      <w:r w:rsidR="001E7C41" w:rsidRPr="001E7C41">
        <w:t>velpatasvir</w:t>
      </w:r>
      <w:proofErr w:type="spellEnd"/>
      <w:r w:rsidR="001E7C41" w:rsidRPr="001E7C41">
        <w:t xml:space="preserve"> </w:t>
      </w:r>
      <w:r w:rsidR="003303A6">
        <w:t>and</w:t>
      </w:r>
      <w:r w:rsidR="001E7C41" w:rsidRPr="001E7C41">
        <w:t xml:space="preserve"> </w:t>
      </w:r>
      <w:proofErr w:type="spellStart"/>
      <w:r w:rsidR="001E7C41" w:rsidRPr="001E7C41">
        <w:t>voxilaprevir</w:t>
      </w:r>
      <w:proofErr w:type="spellEnd"/>
      <w:r w:rsidR="001E7C41" w:rsidRPr="001E7C41">
        <w:t xml:space="preserve"> is a single fixed dose combination tablet containing:</w:t>
      </w:r>
    </w:p>
    <w:p w:rsidR="001E7C41" w:rsidRPr="001E7C41" w:rsidRDefault="001E7C41" w:rsidP="00F477B2">
      <w:pPr>
        <w:pStyle w:val="ListParagraph"/>
        <w:numPr>
          <w:ilvl w:val="0"/>
          <w:numId w:val="4"/>
        </w:numPr>
        <w:spacing w:after="0"/>
        <w:ind w:left="1004" w:hanging="284"/>
      </w:pPr>
      <w:r w:rsidRPr="001E7C41">
        <w:t xml:space="preserve">400mg </w:t>
      </w:r>
      <w:proofErr w:type="spellStart"/>
      <w:r w:rsidRPr="001E7C41">
        <w:t>sofosbuvir</w:t>
      </w:r>
      <w:proofErr w:type="spellEnd"/>
      <w:r w:rsidRPr="001E7C41">
        <w:t xml:space="preserve"> (pan-genotypic inhibitor of HCV NS5B RNA-dependent RNA polymerase, an essential enzyme for viral replication); </w:t>
      </w:r>
    </w:p>
    <w:p w:rsidR="001E7C41" w:rsidRPr="001E7C41" w:rsidRDefault="001E7C41" w:rsidP="00F477B2">
      <w:pPr>
        <w:pStyle w:val="ListParagraph"/>
        <w:numPr>
          <w:ilvl w:val="0"/>
          <w:numId w:val="4"/>
        </w:numPr>
        <w:spacing w:after="0"/>
        <w:ind w:left="1004" w:hanging="284"/>
      </w:pPr>
      <w:r w:rsidRPr="001E7C41">
        <w:t xml:space="preserve">100mg </w:t>
      </w:r>
      <w:proofErr w:type="spellStart"/>
      <w:r w:rsidRPr="001E7C41">
        <w:t>velpatasvir</w:t>
      </w:r>
      <w:proofErr w:type="spellEnd"/>
      <w:r w:rsidRPr="001E7C41">
        <w:t xml:space="preserve"> (pan-genotypic HCV inhibitor targeting the HCV NS5A protein, which is essential for HCV NRA replication and assembly of HCV </w:t>
      </w:r>
      <w:proofErr w:type="spellStart"/>
      <w:r w:rsidRPr="001E7C41">
        <w:t>virions</w:t>
      </w:r>
      <w:proofErr w:type="spellEnd"/>
      <w:r w:rsidRPr="001E7C41">
        <w:t xml:space="preserve">); and </w:t>
      </w:r>
    </w:p>
    <w:p w:rsidR="00E55BB5" w:rsidRPr="00882085" w:rsidRDefault="001E7C41" w:rsidP="00F477B2">
      <w:pPr>
        <w:pStyle w:val="ListParagraph"/>
        <w:numPr>
          <w:ilvl w:val="0"/>
          <w:numId w:val="4"/>
        </w:numPr>
        <w:spacing w:after="0"/>
        <w:ind w:left="1004" w:hanging="284"/>
        <w:jc w:val="left"/>
      </w:pPr>
      <w:r w:rsidRPr="001E7C41">
        <w:t xml:space="preserve">100mg </w:t>
      </w:r>
      <w:proofErr w:type="spellStart"/>
      <w:r w:rsidRPr="001E7C41">
        <w:t>voxilaprevir</w:t>
      </w:r>
      <w:proofErr w:type="spellEnd"/>
      <w:r w:rsidRPr="001E7C41">
        <w:t xml:space="preserve"> (pan-genotypic inhibitor of the NS3/4A protease, acts as a noncovalent reversible inhibitor). </w:t>
      </w:r>
    </w:p>
    <w:p w:rsidR="00B50DB8" w:rsidRPr="00407F2D" w:rsidRDefault="00B50DB8" w:rsidP="00025C10">
      <w:pPr>
        <w:pStyle w:val="PBACHeading1"/>
        <w:spacing w:before="240" w:after="120"/>
      </w:pPr>
      <w:bookmarkStart w:id="4" w:name="_Toc500605959"/>
      <w:r w:rsidRPr="00407F2D">
        <w:t>Comparator</w:t>
      </w:r>
      <w:bookmarkEnd w:id="4"/>
    </w:p>
    <w:p w:rsidR="006D44D1" w:rsidRPr="00C72017" w:rsidRDefault="006D44D1" w:rsidP="00F477B2">
      <w:pPr>
        <w:pStyle w:val="ListParagraph"/>
        <w:numPr>
          <w:ilvl w:val="1"/>
          <w:numId w:val="2"/>
        </w:numPr>
        <w:rPr>
          <w:rFonts w:cs="Calibri"/>
          <w:color w:val="000000" w:themeColor="text1"/>
          <w:lang w:eastAsia="en-AU"/>
        </w:rPr>
      </w:pPr>
      <w:r w:rsidRPr="006D44D1">
        <w:t xml:space="preserve">The </w:t>
      </w:r>
      <w:r w:rsidRPr="00C72017">
        <w:t xml:space="preserve">submission nominated standard medical management (supportive care only, no active treatment) as the main comparator. </w:t>
      </w:r>
      <w:r w:rsidR="00116E7D" w:rsidRPr="00C72017">
        <w:t>This was reasonable.</w:t>
      </w:r>
    </w:p>
    <w:p w:rsidR="006D44D1" w:rsidRPr="00C72017" w:rsidRDefault="00993FA4" w:rsidP="00F477B2">
      <w:pPr>
        <w:pStyle w:val="ListParagraph"/>
        <w:numPr>
          <w:ilvl w:val="1"/>
          <w:numId w:val="2"/>
        </w:numPr>
        <w:rPr>
          <w:rFonts w:cs="Calibri"/>
          <w:color w:val="000000" w:themeColor="text1"/>
          <w:lang w:eastAsia="en-AU"/>
        </w:rPr>
      </w:pPr>
      <w:r w:rsidRPr="00C72017">
        <w:t>T</w:t>
      </w:r>
      <w:r w:rsidR="006D44D1" w:rsidRPr="00C72017">
        <w:t xml:space="preserve">he PBAC recommended the Authority Required General Schedule and Section 100 listing of </w:t>
      </w:r>
      <w:proofErr w:type="spellStart"/>
      <w:r w:rsidR="006D44D1" w:rsidRPr="00C72017">
        <w:t>glecaprevir</w:t>
      </w:r>
      <w:proofErr w:type="spellEnd"/>
      <w:r w:rsidR="006D44D1" w:rsidRPr="00C72017">
        <w:t xml:space="preserve"> with </w:t>
      </w:r>
      <w:proofErr w:type="spellStart"/>
      <w:r w:rsidR="006D44D1" w:rsidRPr="00C72017">
        <w:t>pibrentasvir</w:t>
      </w:r>
      <w:proofErr w:type="spellEnd"/>
      <w:r w:rsidR="006D44D1" w:rsidRPr="00C72017">
        <w:t xml:space="preserve"> for the treatment of chronic hepatitis C infection for treatment naïve and treatment experienced patients (</w:t>
      </w:r>
      <w:r w:rsidR="006D44D1" w:rsidRPr="00C72017">
        <w:rPr>
          <w:u w:val="single"/>
        </w:rPr>
        <w:t>including those with prior NS5A treatment</w:t>
      </w:r>
      <w:r w:rsidR="006D44D1" w:rsidRPr="00C72017">
        <w:t>) with genotypes 1-6, with or without cirrhosis</w:t>
      </w:r>
      <w:r w:rsidR="00444CCB" w:rsidRPr="00C72017">
        <w:t xml:space="preserve"> in November 2017</w:t>
      </w:r>
      <w:r w:rsidR="006D44D1" w:rsidRPr="00C72017">
        <w:t xml:space="preserve">, </w:t>
      </w:r>
      <w:r w:rsidR="00294526" w:rsidRPr="00C72017">
        <w:t>(</w:t>
      </w:r>
      <w:proofErr w:type="spellStart"/>
      <w:r w:rsidR="00294526" w:rsidRPr="00C72017">
        <w:t>Glecaprevir</w:t>
      </w:r>
      <w:proofErr w:type="spellEnd"/>
      <w:r w:rsidR="00294526" w:rsidRPr="00C72017">
        <w:t xml:space="preserve"> with </w:t>
      </w:r>
      <w:proofErr w:type="spellStart"/>
      <w:r w:rsidR="00294526" w:rsidRPr="00C72017">
        <w:t>pibrentasvir</w:t>
      </w:r>
      <w:proofErr w:type="spellEnd"/>
      <w:r w:rsidR="00294526" w:rsidRPr="00C72017">
        <w:t xml:space="preserve">, PBAC web outcome; November </w:t>
      </w:r>
      <w:r w:rsidR="00294526" w:rsidRPr="00C72017">
        <w:lastRenderedPageBreak/>
        <w:t>2017)</w:t>
      </w:r>
      <w:r w:rsidRPr="00C72017">
        <w:t>.</w:t>
      </w:r>
      <w:r w:rsidR="006D44D1" w:rsidRPr="00C72017">
        <w:t xml:space="preserve"> </w:t>
      </w:r>
      <w:r w:rsidR="00B051FE" w:rsidRPr="00C72017">
        <w:t>The ESC agreed that u</w:t>
      </w:r>
      <w:r w:rsidR="006D44D1" w:rsidRPr="00C72017">
        <w:t xml:space="preserve">pon </w:t>
      </w:r>
      <w:r w:rsidR="00BF76E4" w:rsidRPr="00C72017">
        <w:t xml:space="preserve">PBS listing of </w:t>
      </w:r>
      <w:proofErr w:type="spellStart"/>
      <w:r w:rsidR="006D44D1" w:rsidRPr="00C72017">
        <w:t>glecaprevir</w:t>
      </w:r>
      <w:proofErr w:type="spellEnd"/>
      <w:r w:rsidR="006D44D1" w:rsidRPr="00C72017">
        <w:t xml:space="preserve"> with </w:t>
      </w:r>
      <w:proofErr w:type="spellStart"/>
      <w:r w:rsidR="006D44D1" w:rsidRPr="00C72017">
        <w:t>pibrentasvir</w:t>
      </w:r>
      <w:proofErr w:type="spellEnd"/>
      <w:r w:rsidR="006D44D1" w:rsidRPr="00C72017">
        <w:t xml:space="preserve">, this treatment regimen would be the appropriate comparator for </w:t>
      </w:r>
      <w:proofErr w:type="spellStart"/>
      <w:r w:rsidR="006D44D1" w:rsidRPr="00C72017">
        <w:t>sofosbuvir</w:t>
      </w:r>
      <w:proofErr w:type="spellEnd"/>
      <w:r w:rsidR="006D44D1" w:rsidRPr="00C72017">
        <w:t xml:space="preserve"> </w:t>
      </w:r>
      <w:r w:rsidR="003303A6">
        <w:t>with</w:t>
      </w:r>
      <w:r w:rsidR="006D44D1" w:rsidRPr="00C72017">
        <w:t xml:space="preserve"> </w:t>
      </w:r>
      <w:proofErr w:type="spellStart"/>
      <w:r w:rsidR="006D44D1" w:rsidRPr="00C72017">
        <w:t>velpatas</w:t>
      </w:r>
      <w:r w:rsidR="003303A6">
        <w:t>vir</w:t>
      </w:r>
      <w:proofErr w:type="spellEnd"/>
      <w:r w:rsidR="003303A6">
        <w:t xml:space="preserve"> and</w:t>
      </w:r>
      <w:r w:rsidR="006D44D1" w:rsidRPr="00C72017">
        <w:t xml:space="preserve"> </w:t>
      </w:r>
      <w:proofErr w:type="spellStart"/>
      <w:r w:rsidR="006D44D1" w:rsidRPr="00C72017">
        <w:t>voxilaprevir</w:t>
      </w:r>
      <w:proofErr w:type="spellEnd"/>
      <w:r w:rsidR="006D44D1" w:rsidRPr="00C72017">
        <w:t>.</w:t>
      </w:r>
      <w:r w:rsidR="00AB1A32">
        <w:t xml:space="preserve"> </w:t>
      </w:r>
    </w:p>
    <w:p w:rsidR="00BF76E4" w:rsidRPr="00C72017" w:rsidRDefault="00BF76E4" w:rsidP="00F477B2">
      <w:pPr>
        <w:pStyle w:val="ListParagraph"/>
        <w:numPr>
          <w:ilvl w:val="1"/>
          <w:numId w:val="2"/>
        </w:numPr>
        <w:rPr>
          <w:rFonts w:cs="Calibri"/>
          <w:color w:val="000000" w:themeColor="text1"/>
          <w:lang w:eastAsia="en-AU"/>
        </w:rPr>
      </w:pPr>
      <w:r w:rsidRPr="00C72017">
        <w:rPr>
          <w:color w:val="000000" w:themeColor="text1"/>
        </w:rPr>
        <w:t>The Pre-S</w:t>
      </w:r>
      <w:r w:rsidR="008C4E84">
        <w:rPr>
          <w:color w:val="000000" w:themeColor="text1"/>
        </w:rPr>
        <w:t xml:space="preserve">ub-Committee Response (PSCR) </w:t>
      </w:r>
      <w:r w:rsidRPr="00C72017">
        <w:rPr>
          <w:color w:val="000000" w:themeColor="text1"/>
        </w:rPr>
        <w:t xml:space="preserve">agreed that upon PBS listing </w:t>
      </w:r>
      <w:proofErr w:type="spellStart"/>
      <w:r w:rsidRPr="00C72017">
        <w:rPr>
          <w:color w:val="000000" w:themeColor="text1"/>
        </w:rPr>
        <w:t>glecaprevir</w:t>
      </w:r>
      <w:proofErr w:type="spellEnd"/>
      <w:r w:rsidRPr="00C72017">
        <w:rPr>
          <w:color w:val="000000" w:themeColor="text1"/>
        </w:rPr>
        <w:t xml:space="preserve"> with </w:t>
      </w:r>
      <w:proofErr w:type="spellStart"/>
      <w:r w:rsidRPr="00C72017">
        <w:rPr>
          <w:color w:val="000000" w:themeColor="text1"/>
        </w:rPr>
        <w:t>pibrentasvir</w:t>
      </w:r>
      <w:proofErr w:type="spellEnd"/>
      <w:r w:rsidRPr="00C72017">
        <w:rPr>
          <w:color w:val="000000" w:themeColor="text1"/>
        </w:rPr>
        <w:t xml:space="preserve"> would become the appropriate comparator for patients with genotype 1 HCV – in line with its approved TGA indication. However, the sponsor considered that until details of the </w:t>
      </w:r>
      <w:proofErr w:type="spellStart"/>
      <w:r w:rsidRPr="00C72017">
        <w:rPr>
          <w:color w:val="000000" w:themeColor="text1"/>
        </w:rPr>
        <w:t>glecaprevir</w:t>
      </w:r>
      <w:proofErr w:type="spellEnd"/>
      <w:r w:rsidRPr="00C72017">
        <w:rPr>
          <w:color w:val="000000" w:themeColor="text1"/>
        </w:rPr>
        <w:t xml:space="preserve"> with </w:t>
      </w:r>
      <w:proofErr w:type="spellStart"/>
      <w:r w:rsidRPr="00C72017">
        <w:rPr>
          <w:color w:val="000000" w:themeColor="text1"/>
        </w:rPr>
        <w:t>pibrentasvir</w:t>
      </w:r>
      <w:proofErr w:type="spellEnd"/>
      <w:r w:rsidRPr="00C72017">
        <w:rPr>
          <w:color w:val="000000" w:themeColor="text1"/>
        </w:rPr>
        <w:t xml:space="preserve"> recommendation and proposed listing are known, that standard medical management may remain the appropriate comparator for genotypes 2-6. </w:t>
      </w:r>
      <w:r w:rsidR="00AB1A32">
        <w:rPr>
          <w:color w:val="000000" w:themeColor="text1"/>
        </w:rPr>
        <w:t>The pre-PBAC response</w:t>
      </w:r>
      <w:r w:rsidR="00274B11">
        <w:rPr>
          <w:color w:val="000000" w:themeColor="text1"/>
        </w:rPr>
        <w:t xml:space="preserve"> </w:t>
      </w:r>
      <w:r w:rsidR="00AB1A32">
        <w:rPr>
          <w:color w:val="000000" w:themeColor="text1"/>
        </w:rPr>
        <w:t xml:space="preserve">maintained that </w:t>
      </w:r>
      <w:proofErr w:type="spellStart"/>
      <w:r w:rsidR="00AB1A32">
        <w:rPr>
          <w:color w:val="000000" w:themeColor="text1"/>
        </w:rPr>
        <w:t>glecaprevir</w:t>
      </w:r>
      <w:proofErr w:type="spellEnd"/>
      <w:r w:rsidR="00AB1A32">
        <w:rPr>
          <w:color w:val="000000" w:themeColor="text1"/>
        </w:rPr>
        <w:t xml:space="preserve"> with </w:t>
      </w:r>
      <w:proofErr w:type="spellStart"/>
      <w:r w:rsidR="00AB1A32">
        <w:rPr>
          <w:color w:val="000000" w:themeColor="text1"/>
        </w:rPr>
        <w:t>pibrentasvir</w:t>
      </w:r>
      <w:proofErr w:type="spellEnd"/>
      <w:r w:rsidR="00AB1A32">
        <w:rPr>
          <w:color w:val="000000" w:themeColor="text1"/>
        </w:rPr>
        <w:t xml:space="preserve"> is only an appropriate comparator in NS5A failures with GT1 CHC, who have not previously been treated with an NS5A + </w:t>
      </w:r>
      <w:r w:rsidR="004F7925">
        <w:rPr>
          <w:color w:val="000000" w:themeColor="text1"/>
        </w:rPr>
        <w:t xml:space="preserve">Protease Inhibitor </w:t>
      </w:r>
      <w:r w:rsidR="0063794A">
        <w:rPr>
          <w:color w:val="000000" w:themeColor="text1"/>
        </w:rPr>
        <w:t>(PI)</w:t>
      </w:r>
      <w:r w:rsidR="00AB1A32">
        <w:rPr>
          <w:color w:val="000000" w:themeColor="text1"/>
        </w:rPr>
        <w:t xml:space="preserve"> regimen, given that the TGA has only approved its use in patients with GT1 CHC who were previously treated with either a regimen of an NS5A inhibitor or with an NS3/4A protease inhibitor, but not both classes of inhibitors</w:t>
      </w:r>
      <w:r w:rsidR="00802C5D">
        <w:rPr>
          <w:color w:val="000000" w:themeColor="text1"/>
        </w:rPr>
        <w:t>.</w:t>
      </w:r>
    </w:p>
    <w:p w:rsidR="006D44D1" w:rsidRPr="00AD15E2" w:rsidRDefault="004A217B" w:rsidP="00F477B2">
      <w:pPr>
        <w:pStyle w:val="ListParagraph"/>
        <w:numPr>
          <w:ilvl w:val="1"/>
          <w:numId w:val="2"/>
        </w:numPr>
        <w:spacing w:after="0"/>
        <w:rPr>
          <w:rFonts w:cs="Calibri"/>
          <w:color w:val="000000" w:themeColor="text1"/>
          <w:lang w:eastAsia="en-AU"/>
        </w:rPr>
      </w:pPr>
      <w:r w:rsidRPr="00C72017">
        <w:t>Although the submission nominated no treatment as the comparator, citing the lack of currently available treatments for patients who have failed treatment with an</w:t>
      </w:r>
      <w:r w:rsidRPr="00AD15E2">
        <w:t xml:space="preserve"> NS5A inhibitor</w:t>
      </w:r>
      <w:r w:rsidR="006D44D1" w:rsidRPr="00AD15E2">
        <w:t>; it should be noted that retreatment of patients that have failed prior treatment with the use of an NS5A inhibitor with currently PBS-listed regimens is possible and likely as:</w:t>
      </w:r>
    </w:p>
    <w:p w:rsidR="006D44D1" w:rsidRPr="00AD15E2" w:rsidRDefault="006D44D1" w:rsidP="00F477B2">
      <w:pPr>
        <w:pStyle w:val="ListParagraph"/>
        <w:numPr>
          <w:ilvl w:val="0"/>
          <w:numId w:val="5"/>
        </w:numPr>
        <w:spacing w:after="0"/>
        <w:ind w:left="993" w:hanging="284"/>
        <w:rPr>
          <w:rFonts w:cs="Calibri"/>
          <w:color w:val="000000" w:themeColor="text1"/>
          <w:lang w:eastAsia="en-AU"/>
        </w:rPr>
      </w:pPr>
      <w:r w:rsidRPr="00AD15E2">
        <w:t xml:space="preserve">the General Statement for Drugs for the Treatment of Hepatitis C does not preclude </w:t>
      </w:r>
      <w:r w:rsidR="00993FA4" w:rsidRPr="00AD15E2">
        <w:t>such use</w:t>
      </w:r>
      <w:r w:rsidR="007818C2" w:rsidRPr="00AD15E2">
        <w:t xml:space="preserve">. </w:t>
      </w:r>
      <w:r w:rsidR="00E04E48" w:rsidRPr="00AD15E2">
        <w:t>A</w:t>
      </w:r>
      <w:r w:rsidR="007818C2" w:rsidRPr="00AD15E2">
        <w:t>mendments to the General Statement may be warranted</w:t>
      </w:r>
      <w:r w:rsidRPr="00AD15E2">
        <w:t xml:space="preserve">; </w:t>
      </w:r>
    </w:p>
    <w:p w:rsidR="006D44D1" w:rsidRPr="00AD15E2" w:rsidRDefault="006D44D1" w:rsidP="00F477B2">
      <w:pPr>
        <w:pStyle w:val="ListParagraph"/>
        <w:numPr>
          <w:ilvl w:val="0"/>
          <w:numId w:val="5"/>
        </w:numPr>
        <w:spacing w:after="0"/>
        <w:ind w:left="993" w:hanging="284"/>
        <w:rPr>
          <w:rFonts w:cs="Calibri"/>
          <w:color w:val="000000" w:themeColor="text1"/>
          <w:lang w:eastAsia="en-AU"/>
        </w:rPr>
      </w:pPr>
      <w:r w:rsidRPr="00AD15E2">
        <w:t>although the Australian recommendations for the management of hepatitis C virus infection: a consensus statement (August 2017) state that “Retreatment with the same treatment regimen is not recommended”, there are numerous regimens to choose from; and</w:t>
      </w:r>
    </w:p>
    <w:p w:rsidR="00F729CA" w:rsidRPr="00F729CA" w:rsidRDefault="00993FA4" w:rsidP="00F477B2">
      <w:pPr>
        <w:pStyle w:val="ListParagraph"/>
        <w:numPr>
          <w:ilvl w:val="0"/>
          <w:numId w:val="5"/>
        </w:numPr>
        <w:ind w:left="993" w:hanging="284"/>
        <w:rPr>
          <w:rFonts w:cs="Calibri"/>
          <w:i/>
          <w:color w:val="000000" w:themeColor="text1"/>
          <w:lang w:eastAsia="en-AU"/>
        </w:rPr>
      </w:pPr>
      <w:r w:rsidRPr="00993FA4">
        <w:t xml:space="preserve">a survey of 14 </w:t>
      </w:r>
      <w:r w:rsidR="006D44D1" w:rsidRPr="00993FA4">
        <w:t>physicians</w:t>
      </w:r>
      <w:r w:rsidR="00C926BE">
        <w:t>, conducted on behalf of the sponsor,</w:t>
      </w:r>
      <w:r w:rsidR="006D44D1" w:rsidRPr="00993FA4">
        <w:t xml:space="preserve"> </w:t>
      </w:r>
      <w:r w:rsidRPr="00993FA4">
        <w:t xml:space="preserve">indicated that </w:t>
      </w:r>
      <w:r w:rsidR="006D44D1" w:rsidRPr="00993FA4">
        <w:t xml:space="preserve">a significant proportion of patients are </w:t>
      </w:r>
      <w:r w:rsidRPr="00993FA4">
        <w:t xml:space="preserve">currently </w:t>
      </w:r>
      <w:r w:rsidR="006D44D1" w:rsidRPr="00993FA4">
        <w:t>being retreated.</w:t>
      </w:r>
      <w:r w:rsidR="006D44D1" w:rsidRPr="006D44D1">
        <w:rPr>
          <w:i/>
        </w:rPr>
        <w:t xml:space="preserve"> </w:t>
      </w:r>
    </w:p>
    <w:p w:rsidR="00C72017" w:rsidRPr="00D43DF8" w:rsidRDefault="00F729CA" w:rsidP="00D43DF8">
      <w:pPr>
        <w:ind w:left="709"/>
        <w:jc w:val="left"/>
      </w:pPr>
      <w:r w:rsidRPr="00F729CA">
        <w:t>The pre-PBAC response</w:t>
      </w:r>
      <w:r w:rsidR="00274B11">
        <w:t xml:space="preserve"> </w:t>
      </w:r>
      <w:r w:rsidRPr="00F729CA">
        <w:t xml:space="preserve"> maintained that the General Statement be amended to clearly distinguish between regimens approved for use in patients who have failed treatment with an NS5A inhibitor and those who have failed treatment with non-NS5A therapy. </w:t>
      </w:r>
      <w:r w:rsidR="0063794A">
        <w:t>The sponsor argued that t</w:t>
      </w:r>
      <w:r w:rsidRPr="00F729CA">
        <w:t>his would align current treatment guidel</w:t>
      </w:r>
      <w:r w:rsidR="00CD0E2B">
        <w:t xml:space="preserve">ines with </w:t>
      </w:r>
      <w:r w:rsidR="007A4FE7">
        <w:t xml:space="preserve">international guidelines </w:t>
      </w:r>
      <w:r w:rsidRPr="00F729CA">
        <w:t xml:space="preserve">and prevent the use of </w:t>
      </w:r>
      <w:proofErr w:type="spellStart"/>
      <w:r w:rsidRPr="00F729CA">
        <w:t>sofosbuvir</w:t>
      </w:r>
      <w:proofErr w:type="spellEnd"/>
      <w:r w:rsidRPr="00F729CA">
        <w:t xml:space="preserve"> </w:t>
      </w:r>
      <w:r w:rsidR="003303A6">
        <w:t xml:space="preserve">with </w:t>
      </w:r>
      <w:proofErr w:type="spellStart"/>
      <w:r w:rsidR="003303A6">
        <w:t>velpatasvir</w:t>
      </w:r>
      <w:proofErr w:type="spellEnd"/>
      <w:r w:rsidR="003303A6">
        <w:t xml:space="preserve"> and</w:t>
      </w:r>
      <w:r w:rsidRPr="00F729CA">
        <w:t xml:space="preserve"> </w:t>
      </w:r>
      <w:proofErr w:type="spellStart"/>
      <w:r w:rsidRPr="00F729CA">
        <w:t>voxilaprevir</w:t>
      </w:r>
      <w:proofErr w:type="spellEnd"/>
      <w:r w:rsidRPr="00F729CA">
        <w:t xml:space="preserve"> as a first-line</w:t>
      </w:r>
      <w:r>
        <w:t xml:space="preserve"> treatment. </w:t>
      </w:r>
      <w:r w:rsidR="00D43DF8">
        <w:br w:type="page"/>
      </w:r>
    </w:p>
    <w:p w:rsidR="00B50DB8" w:rsidRDefault="00BD6CF3" w:rsidP="00025C10">
      <w:pPr>
        <w:pStyle w:val="PBACHeading1"/>
        <w:spacing w:before="240" w:after="120"/>
      </w:pPr>
      <w:bookmarkStart w:id="5" w:name="_Toc500605960"/>
      <w:r>
        <w:lastRenderedPageBreak/>
        <w:t>C</w:t>
      </w:r>
      <w:r w:rsidR="00B50DB8" w:rsidRPr="00407F2D">
        <w:t>onsideration of the evidence</w:t>
      </w:r>
      <w:bookmarkEnd w:id="5"/>
    </w:p>
    <w:p w:rsidR="004D6856" w:rsidRPr="008D6E2B" w:rsidRDefault="004D6856" w:rsidP="00025C10">
      <w:pPr>
        <w:widowControl w:val="0"/>
        <w:spacing w:before="120" w:after="120" w:line="276" w:lineRule="auto"/>
        <w:rPr>
          <w:rFonts w:cs="Arial"/>
          <w:b/>
          <w:bCs/>
          <w:i/>
          <w:snapToGrid w:val="0"/>
          <w:sz w:val="28"/>
          <w:szCs w:val="28"/>
        </w:rPr>
      </w:pPr>
      <w:r w:rsidRPr="008D6E2B">
        <w:rPr>
          <w:rFonts w:cs="Arial"/>
          <w:b/>
          <w:bCs/>
          <w:i/>
          <w:snapToGrid w:val="0"/>
          <w:sz w:val="28"/>
          <w:szCs w:val="28"/>
        </w:rPr>
        <w:t>Sponsor hearing</w:t>
      </w:r>
    </w:p>
    <w:p w:rsidR="004D6856" w:rsidRPr="008D6E2B" w:rsidRDefault="004D6856" w:rsidP="00F477B2">
      <w:pPr>
        <w:widowControl w:val="0"/>
        <w:numPr>
          <w:ilvl w:val="1"/>
          <w:numId w:val="2"/>
        </w:numPr>
        <w:spacing w:after="120"/>
        <w:rPr>
          <w:rFonts w:cs="Arial"/>
          <w:bCs/>
          <w:snapToGrid w:val="0"/>
        </w:rPr>
      </w:pPr>
      <w:r w:rsidRPr="008D6E2B">
        <w:rPr>
          <w:rFonts w:cs="Arial"/>
          <w:bCs/>
          <w:snapToGrid w:val="0"/>
        </w:rPr>
        <w:t>Ther</w:t>
      </w:r>
      <w:r w:rsidR="0002304B" w:rsidRPr="008D6E2B">
        <w:rPr>
          <w:rFonts w:cs="Arial"/>
          <w:bCs/>
          <w:snapToGrid w:val="0"/>
        </w:rPr>
        <w:t>e was no hearing for this item.</w:t>
      </w:r>
    </w:p>
    <w:p w:rsidR="004D6856" w:rsidRPr="002B5F80" w:rsidRDefault="004D6856" w:rsidP="00025C10">
      <w:pPr>
        <w:widowControl w:val="0"/>
        <w:spacing w:before="120" w:after="120"/>
        <w:rPr>
          <w:rFonts w:cs="Arial"/>
          <w:b/>
          <w:bCs/>
          <w:i/>
          <w:snapToGrid w:val="0"/>
          <w:sz w:val="28"/>
          <w:szCs w:val="28"/>
        </w:rPr>
      </w:pPr>
      <w:r w:rsidRPr="002B5F80">
        <w:rPr>
          <w:rFonts w:cs="Arial"/>
          <w:b/>
          <w:bCs/>
          <w:i/>
          <w:snapToGrid w:val="0"/>
          <w:sz w:val="28"/>
          <w:szCs w:val="28"/>
        </w:rPr>
        <w:t>Consumer comments</w:t>
      </w:r>
    </w:p>
    <w:p w:rsidR="002B5F80" w:rsidRDefault="002B5F80" w:rsidP="00F477B2">
      <w:pPr>
        <w:widowControl w:val="0"/>
        <w:numPr>
          <w:ilvl w:val="1"/>
          <w:numId w:val="2"/>
        </w:numPr>
        <w:spacing w:after="120"/>
        <w:rPr>
          <w:rFonts w:cs="Arial"/>
          <w:bCs/>
          <w:snapToGrid w:val="0"/>
        </w:rPr>
      </w:pPr>
      <w:bookmarkStart w:id="6" w:name="_Toc500605961"/>
      <w:r>
        <w:rPr>
          <w:rFonts w:cs="Arial"/>
          <w:bCs/>
          <w:snapToGrid w:val="0"/>
        </w:rPr>
        <w:t>The PBAC noted and welcome</w:t>
      </w:r>
      <w:r w:rsidR="0063794A">
        <w:rPr>
          <w:rFonts w:cs="Arial"/>
          <w:bCs/>
          <w:snapToGrid w:val="0"/>
        </w:rPr>
        <w:t>d</w:t>
      </w:r>
      <w:r>
        <w:rPr>
          <w:rFonts w:cs="Arial"/>
          <w:bCs/>
          <w:snapToGrid w:val="0"/>
        </w:rPr>
        <w:t xml:space="preserve"> the input from organisations (1) via the Consumer Comments facility on the PBS website. The comments described a range of benefits of treatment wit</w:t>
      </w:r>
      <w:r w:rsidR="0023322B">
        <w:rPr>
          <w:rFonts w:cs="Arial"/>
          <w:bCs/>
          <w:snapToGrid w:val="0"/>
        </w:rPr>
        <w:t xml:space="preserve">h </w:t>
      </w:r>
      <w:proofErr w:type="spellStart"/>
      <w:r w:rsidR="0023322B">
        <w:rPr>
          <w:rFonts w:cs="Arial"/>
          <w:bCs/>
          <w:snapToGrid w:val="0"/>
        </w:rPr>
        <w:t>sofosbuvir</w:t>
      </w:r>
      <w:proofErr w:type="spellEnd"/>
      <w:r w:rsidR="0023322B">
        <w:rPr>
          <w:rFonts w:cs="Arial"/>
          <w:bCs/>
          <w:snapToGrid w:val="0"/>
        </w:rPr>
        <w:t xml:space="preserve"> </w:t>
      </w:r>
      <w:r w:rsidR="003303A6">
        <w:rPr>
          <w:rFonts w:cs="Arial"/>
          <w:bCs/>
          <w:snapToGrid w:val="0"/>
        </w:rPr>
        <w:t>with</w:t>
      </w:r>
      <w:r w:rsidR="0023322B">
        <w:rPr>
          <w:rFonts w:cs="Arial"/>
          <w:bCs/>
          <w:snapToGrid w:val="0"/>
        </w:rPr>
        <w:t xml:space="preserve"> </w:t>
      </w:r>
      <w:proofErr w:type="spellStart"/>
      <w:r w:rsidR="0023322B">
        <w:rPr>
          <w:rFonts w:cs="Arial"/>
          <w:bCs/>
          <w:snapToGrid w:val="0"/>
        </w:rPr>
        <w:t>velpatasvir</w:t>
      </w:r>
      <w:proofErr w:type="spellEnd"/>
      <w:r w:rsidR="0023322B">
        <w:rPr>
          <w:rFonts w:cs="Arial"/>
          <w:bCs/>
          <w:snapToGrid w:val="0"/>
        </w:rPr>
        <w:t xml:space="preserve"> </w:t>
      </w:r>
      <w:r w:rsidR="003303A6">
        <w:rPr>
          <w:rFonts w:cs="Arial"/>
          <w:bCs/>
          <w:snapToGrid w:val="0"/>
        </w:rPr>
        <w:t>and</w:t>
      </w:r>
      <w:r w:rsidR="0023322B">
        <w:rPr>
          <w:rFonts w:cs="Arial"/>
          <w:bCs/>
          <w:snapToGrid w:val="0"/>
        </w:rPr>
        <w:t xml:space="preserve"> </w:t>
      </w:r>
      <w:proofErr w:type="spellStart"/>
      <w:r w:rsidR="0023322B">
        <w:rPr>
          <w:rFonts w:cs="Arial"/>
          <w:bCs/>
          <w:snapToGrid w:val="0"/>
        </w:rPr>
        <w:t>vox</w:t>
      </w:r>
      <w:r>
        <w:rPr>
          <w:rFonts w:cs="Arial"/>
          <w:bCs/>
          <w:snapToGrid w:val="0"/>
        </w:rPr>
        <w:t>ilaprevir</w:t>
      </w:r>
      <w:proofErr w:type="spellEnd"/>
      <w:r w:rsidR="00853A61">
        <w:rPr>
          <w:rFonts w:cs="Arial"/>
          <w:bCs/>
          <w:snapToGrid w:val="0"/>
        </w:rPr>
        <w:t xml:space="preserve"> including the addition of a pan-genotypic treatment option for patients with HCV, particularly in patients who have previously </w:t>
      </w:r>
      <w:r w:rsidR="0075567D">
        <w:rPr>
          <w:rFonts w:cs="Arial"/>
          <w:bCs/>
          <w:snapToGrid w:val="0"/>
        </w:rPr>
        <w:t>failed treatment with NS5A</w:t>
      </w:r>
      <w:r w:rsidR="0075567D" w:rsidRPr="00630CE0">
        <w:rPr>
          <w:rFonts w:cs="Arial"/>
          <w:bCs/>
          <w:snapToGrid w:val="0"/>
        </w:rPr>
        <w:t xml:space="preserve">–based </w:t>
      </w:r>
      <w:r w:rsidR="0075567D" w:rsidRPr="00630CE0">
        <w:t>direct acting antiviral treatment regimen,</w:t>
      </w:r>
      <w:r w:rsidR="0075567D" w:rsidRPr="00630CE0">
        <w:rPr>
          <w:rFonts w:cs="Arial"/>
          <w:bCs/>
          <w:snapToGrid w:val="0"/>
        </w:rPr>
        <w:t xml:space="preserve"> </w:t>
      </w:r>
      <w:r w:rsidR="000D770F">
        <w:rPr>
          <w:rFonts w:cs="Arial"/>
          <w:bCs/>
          <w:snapToGrid w:val="0"/>
        </w:rPr>
        <w:t>as well as the high SVR rates achieved in patients without cirrhosis or with compensated cirrhosis.</w:t>
      </w:r>
      <w:r w:rsidR="0063794A">
        <w:rPr>
          <w:rFonts w:cs="Arial"/>
          <w:bCs/>
          <w:snapToGrid w:val="0"/>
        </w:rPr>
        <w:t xml:space="preserve"> The input from Hepatitis Australia also</w:t>
      </w:r>
      <w:r w:rsidR="0023322B">
        <w:rPr>
          <w:rFonts w:cs="Arial"/>
          <w:bCs/>
          <w:snapToGrid w:val="0"/>
        </w:rPr>
        <w:t xml:space="preserve"> noted </w:t>
      </w:r>
      <w:r w:rsidR="003303A6">
        <w:rPr>
          <w:rFonts w:cs="Arial"/>
          <w:bCs/>
          <w:snapToGrid w:val="0"/>
        </w:rPr>
        <w:t xml:space="preserve">that </w:t>
      </w:r>
      <w:r w:rsidR="00026496">
        <w:rPr>
          <w:rFonts w:cs="Arial"/>
          <w:bCs/>
          <w:snapToGrid w:val="0"/>
        </w:rPr>
        <w:t xml:space="preserve">allowing </w:t>
      </w:r>
      <w:r w:rsidR="00687ED0">
        <w:rPr>
          <w:rFonts w:cs="Arial"/>
          <w:bCs/>
          <w:snapToGrid w:val="0"/>
        </w:rPr>
        <w:t>streamlin</w:t>
      </w:r>
      <w:r w:rsidR="00026496">
        <w:rPr>
          <w:rFonts w:cs="Arial"/>
          <w:bCs/>
          <w:snapToGrid w:val="0"/>
        </w:rPr>
        <w:t>ed access to</w:t>
      </w:r>
      <w:r w:rsidR="00687ED0">
        <w:rPr>
          <w:rFonts w:cs="Arial"/>
          <w:bCs/>
          <w:snapToGrid w:val="0"/>
        </w:rPr>
        <w:t xml:space="preserve"> </w:t>
      </w:r>
      <w:proofErr w:type="spellStart"/>
      <w:r w:rsidR="00687ED0">
        <w:rPr>
          <w:rFonts w:cs="Arial"/>
          <w:bCs/>
          <w:snapToGrid w:val="0"/>
        </w:rPr>
        <w:t>sofosbuvir</w:t>
      </w:r>
      <w:proofErr w:type="spellEnd"/>
      <w:r w:rsidR="00687ED0">
        <w:rPr>
          <w:rFonts w:cs="Arial"/>
          <w:bCs/>
          <w:snapToGrid w:val="0"/>
        </w:rPr>
        <w:t xml:space="preserve"> </w:t>
      </w:r>
      <w:r w:rsidR="003303A6">
        <w:rPr>
          <w:rFonts w:cs="Arial"/>
          <w:bCs/>
          <w:snapToGrid w:val="0"/>
        </w:rPr>
        <w:t>with</w:t>
      </w:r>
      <w:r w:rsidR="00687ED0">
        <w:rPr>
          <w:rFonts w:cs="Arial"/>
          <w:bCs/>
          <w:snapToGrid w:val="0"/>
        </w:rPr>
        <w:t xml:space="preserve"> </w:t>
      </w:r>
      <w:proofErr w:type="spellStart"/>
      <w:r w:rsidR="00687ED0">
        <w:rPr>
          <w:rFonts w:cs="Arial"/>
          <w:bCs/>
          <w:snapToGrid w:val="0"/>
        </w:rPr>
        <w:t>velpatasvir</w:t>
      </w:r>
      <w:proofErr w:type="spellEnd"/>
      <w:r w:rsidR="00687ED0">
        <w:rPr>
          <w:rFonts w:cs="Arial"/>
          <w:bCs/>
          <w:snapToGrid w:val="0"/>
        </w:rPr>
        <w:t xml:space="preserve"> </w:t>
      </w:r>
      <w:r w:rsidR="003303A6">
        <w:rPr>
          <w:rFonts w:cs="Arial"/>
          <w:bCs/>
          <w:snapToGrid w:val="0"/>
        </w:rPr>
        <w:t>and</w:t>
      </w:r>
      <w:r w:rsidR="00687ED0">
        <w:rPr>
          <w:rFonts w:cs="Arial"/>
          <w:bCs/>
          <w:snapToGrid w:val="0"/>
        </w:rPr>
        <w:t xml:space="preserve"> </w:t>
      </w:r>
      <w:proofErr w:type="spellStart"/>
      <w:r w:rsidR="00687ED0">
        <w:rPr>
          <w:rFonts w:cs="Arial"/>
          <w:bCs/>
          <w:snapToGrid w:val="0"/>
        </w:rPr>
        <w:t>voxilaprevir</w:t>
      </w:r>
      <w:proofErr w:type="spellEnd"/>
      <w:r w:rsidR="00687ED0">
        <w:rPr>
          <w:rFonts w:cs="Arial"/>
          <w:bCs/>
          <w:snapToGrid w:val="0"/>
        </w:rPr>
        <w:t xml:space="preserve"> and</w:t>
      </w:r>
      <w:r w:rsidR="00026496">
        <w:rPr>
          <w:rFonts w:cs="Arial"/>
          <w:bCs/>
          <w:snapToGrid w:val="0"/>
        </w:rPr>
        <w:t xml:space="preserve"> ensuring</w:t>
      </w:r>
      <w:r w:rsidR="00687ED0">
        <w:rPr>
          <w:rFonts w:cs="Arial"/>
          <w:bCs/>
          <w:snapToGrid w:val="0"/>
        </w:rPr>
        <w:t xml:space="preserve"> its inclusion</w:t>
      </w:r>
      <w:r w:rsidR="0023322B">
        <w:rPr>
          <w:rFonts w:cs="Arial"/>
          <w:bCs/>
          <w:snapToGrid w:val="0"/>
        </w:rPr>
        <w:t xml:space="preserve"> on both the General Schedule (S85) and S100 Schedule would </w:t>
      </w:r>
      <w:r w:rsidR="003303A6">
        <w:rPr>
          <w:rFonts w:cs="Arial"/>
          <w:bCs/>
          <w:snapToGrid w:val="0"/>
        </w:rPr>
        <w:t>ensure</w:t>
      </w:r>
      <w:r w:rsidR="0023322B">
        <w:rPr>
          <w:rFonts w:cs="Arial"/>
          <w:bCs/>
          <w:snapToGrid w:val="0"/>
        </w:rPr>
        <w:t xml:space="preserve"> patients who wish to access the medication outside of the hospital setting, </w:t>
      </w:r>
      <w:r w:rsidR="003303A6">
        <w:rPr>
          <w:rFonts w:cs="Arial"/>
          <w:bCs/>
          <w:snapToGrid w:val="0"/>
        </w:rPr>
        <w:t xml:space="preserve">would be </w:t>
      </w:r>
      <w:r w:rsidR="0023322B">
        <w:rPr>
          <w:rFonts w:cs="Arial"/>
          <w:bCs/>
          <w:snapToGrid w:val="0"/>
        </w:rPr>
        <w:t>able to do so via their general pr</w:t>
      </w:r>
      <w:r w:rsidR="00687ED0">
        <w:rPr>
          <w:rFonts w:cs="Arial"/>
          <w:bCs/>
          <w:snapToGrid w:val="0"/>
        </w:rPr>
        <w:t>actitioner or nurse practitione</w:t>
      </w:r>
      <w:r w:rsidR="004C52A8">
        <w:rPr>
          <w:rFonts w:cs="Arial"/>
          <w:bCs/>
          <w:snapToGrid w:val="0"/>
        </w:rPr>
        <w:t>r</w:t>
      </w:r>
      <w:r w:rsidR="0023322B">
        <w:rPr>
          <w:rFonts w:cs="Arial"/>
          <w:bCs/>
          <w:snapToGrid w:val="0"/>
        </w:rPr>
        <w:t xml:space="preserve">. </w:t>
      </w:r>
    </w:p>
    <w:p w:rsidR="0025652C" w:rsidRPr="00025C10" w:rsidRDefault="00B60939" w:rsidP="00025C10">
      <w:pPr>
        <w:widowControl w:val="0"/>
        <w:spacing w:before="120" w:after="120"/>
        <w:rPr>
          <w:rFonts w:cs="Arial"/>
          <w:b/>
          <w:bCs/>
          <w:i/>
          <w:snapToGrid w:val="0"/>
          <w:sz w:val="28"/>
          <w:szCs w:val="28"/>
        </w:rPr>
      </w:pPr>
      <w:r w:rsidRPr="00025C10">
        <w:rPr>
          <w:rFonts w:cs="Arial"/>
          <w:b/>
          <w:bCs/>
          <w:i/>
          <w:snapToGrid w:val="0"/>
          <w:sz w:val="28"/>
          <w:szCs w:val="28"/>
        </w:rPr>
        <w:t>Clinical trials</w:t>
      </w:r>
      <w:bookmarkEnd w:id="6"/>
    </w:p>
    <w:p w:rsidR="007F1017" w:rsidRDefault="00A73134" w:rsidP="00F477B2">
      <w:pPr>
        <w:pStyle w:val="ListParagraph"/>
        <w:numPr>
          <w:ilvl w:val="1"/>
          <w:numId w:val="2"/>
        </w:numPr>
      </w:pPr>
      <w:r>
        <w:rPr>
          <w:rFonts w:cs="Calibri"/>
          <w:lang w:val="en-US" w:eastAsia="en-AU"/>
        </w:rPr>
        <w:t xml:space="preserve">The </w:t>
      </w:r>
      <w:r w:rsidR="00CB7086">
        <w:t>submission was based on one</w:t>
      </w:r>
      <w:r w:rsidR="00DF79D9">
        <w:t xml:space="preserve"> head-to-head randomised trial comparing </w:t>
      </w:r>
      <w:proofErr w:type="spellStart"/>
      <w:r w:rsidR="002457C6" w:rsidRPr="002457C6">
        <w:t>sofosbuvir</w:t>
      </w:r>
      <w:proofErr w:type="spellEnd"/>
      <w:r w:rsidR="002457C6" w:rsidRPr="002457C6">
        <w:t xml:space="preserve"> </w:t>
      </w:r>
      <w:r w:rsidR="003303A6">
        <w:t>with</w:t>
      </w:r>
      <w:r w:rsidR="002457C6" w:rsidRPr="002457C6">
        <w:t xml:space="preserve"> </w:t>
      </w:r>
      <w:proofErr w:type="spellStart"/>
      <w:r w:rsidR="002457C6" w:rsidRPr="002457C6">
        <w:t>velpatasvir</w:t>
      </w:r>
      <w:proofErr w:type="spellEnd"/>
      <w:r w:rsidR="002457C6" w:rsidRPr="002457C6">
        <w:t xml:space="preserve"> </w:t>
      </w:r>
      <w:r w:rsidR="003303A6">
        <w:t>and</w:t>
      </w:r>
      <w:r w:rsidR="002457C6" w:rsidRPr="002457C6">
        <w:t xml:space="preserve"> </w:t>
      </w:r>
      <w:proofErr w:type="spellStart"/>
      <w:r w:rsidR="002457C6" w:rsidRPr="002457C6">
        <w:t>voxilaprevir</w:t>
      </w:r>
      <w:proofErr w:type="spellEnd"/>
      <w:r w:rsidR="002457C6" w:rsidRPr="002457C6">
        <w:t xml:space="preserve"> </w:t>
      </w:r>
      <w:r w:rsidR="00DF79D9">
        <w:t xml:space="preserve">to placebo </w:t>
      </w:r>
      <w:bookmarkStart w:id="7" w:name="_GoBack"/>
      <w:r w:rsidR="00DF79D9">
        <w:t>(P</w:t>
      </w:r>
      <w:bookmarkEnd w:id="7"/>
      <w:r w:rsidR="00DF79D9">
        <w:t>OLARIS-1; n</w:t>
      </w:r>
      <w:r w:rsidR="007818C2">
        <w:t>=</w:t>
      </w:r>
      <w:r w:rsidR="00233C61">
        <w:t>416</w:t>
      </w:r>
      <w:r w:rsidR="00DF79D9">
        <w:t>). T</w:t>
      </w:r>
      <w:r w:rsidR="00DF79D9" w:rsidRPr="00195799">
        <w:t>wo Phase 2 open-label studie</w:t>
      </w:r>
      <w:r w:rsidR="00DF79D9">
        <w:t>s, (GS-US-367-1168 and TRILOGY-3)</w:t>
      </w:r>
      <w:r w:rsidR="00DF79D9" w:rsidRPr="00195799">
        <w:t xml:space="preserve"> were identified in the Sponsor</w:t>
      </w:r>
      <w:r w:rsidR="00DF79D9">
        <w:t>’s database and the TGA dossier, and were</w:t>
      </w:r>
      <w:r w:rsidR="00DF79D9" w:rsidRPr="00195799">
        <w:t xml:space="preserve"> included in </w:t>
      </w:r>
      <w:r w:rsidR="00DF79D9">
        <w:t xml:space="preserve">a </w:t>
      </w:r>
      <w:r w:rsidR="00DF79D9" w:rsidRPr="00195799">
        <w:t>supplementary appendix</w:t>
      </w:r>
      <w:r w:rsidR="00DF79D9">
        <w:t xml:space="preserve"> to the submission. </w:t>
      </w:r>
    </w:p>
    <w:p w:rsidR="00F325DE" w:rsidRPr="00862502" w:rsidRDefault="00DF79D9" w:rsidP="00F477B2">
      <w:pPr>
        <w:pStyle w:val="ListParagraph"/>
        <w:numPr>
          <w:ilvl w:val="1"/>
          <w:numId w:val="2"/>
        </w:numPr>
      </w:pPr>
      <w:r>
        <w:t xml:space="preserve">The submission also included discussion of the </w:t>
      </w:r>
      <w:proofErr w:type="spellStart"/>
      <w:r>
        <w:t>glecaprevir</w:t>
      </w:r>
      <w:proofErr w:type="spellEnd"/>
      <w:r>
        <w:t xml:space="preserve"> </w:t>
      </w:r>
      <w:r w:rsidR="002457C6">
        <w:t xml:space="preserve">with </w:t>
      </w:r>
      <w:proofErr w:type="spellStart"/>
      <w:r>
        <w:t>pibrentasvir</w:t>
      </w:r>
      <w:proofErr w:type="spellEnd"/>
      <w:r>
        <w:t xml:space="preserve"> trial MAGELLAN-1 in reference to a na</w:t>
      </w:r>
      <w:r w:rsidR="00CB7086">
        <w:t>ïve comparison presented in an A</w:t>
      </w:r>
      <w:r>
        <w:t>ppendix. MAGELLAN-1 (Part 2)</w:t>
      </w:r>
      <w:r w:rsidR="00233C61">
        <w:t xml:space="preserve"> (n=91)</w:t>
      </w:r>
      <w:r>
        <w:t xml:space="preserve"> was a randomised open label trial comparing </w:t>
      </w:r>
      <w:proofErr w:type="spellStart"/>
      <w:r w:rsidR="00411646">
        <w:t>glecaprevir</w:t>
      </w:r>
      <w:proofErr w:type="spellEnd"/>
      <w:r w:rsidR="00411646">
        <w:t xml:space="preserve"> with </w:t>
      </w:r>
      <w:proofErr w:type="spellStart"/>
      <w:r w:rsidR="00411646">
        <w:t>pibrentasvir</w:t>
      </w:r>
      <w:proofErr w:type="spellEnd"/>
      <w:r w:rsidR="00411646">
        <w:t xml:space="preserve"> </w:t>
      </w:r>
      <w:r>
        <w:t xml:space="preserve">for 12 weeks to </w:t>
      </w:r>
      <w:proofErr w:type="spellStart"/>
      <w:r w:rsidR="00CB7086">
        <w:t>glecaprevir</w:t>
      </w:r>
      <w:proofErr w:type="spellEnd"/>
      <w:r w:rsidR="00CB7086">
        <w:t xml:space="preserve"> with </w:t>
      </w:r>
      <w:proofErr w:type="spellStart"/>
      <w:r w:rsidR="00CB7086">
        <w:t>pibrentasvi</w:t>
      </w:r>
      <w:r w:rsidR="00411646">
        <w:t>r</w:t>
      </w:r>
      <w:proofErr w:type="spellEnd"/>
      <w:r w:rsidR="00411646">
        <w:t xml:space="preserve"> </w:t>
      </w:r>
      <w:r>
        <w:t>for 16</w:t>
      </w:r>
      <w:r w:rsidR="00233C61">
        <w:t xml:space="preserve"> weeks in patients with CHC g</w:t>
      </w:r>
      <w:r w:rsidR="00233C61" w:rsidRPr="00233C61">
        <w:t>enotype 1 or 4 wi</w:t>
      </w:r>
      <w:r w:rsidR="00D24896">
        <w:t>th prior NS5A treatment failure.</w:t>
      </w:r>
    </w:p>
    <w:p w:rsidR="00766216" w:rsidRPr="004F54A8" w:rsidRDefault="00A73134" w:rsidP="00F477B2">
      <w:pPr>
        <w:pStyle w:val="ListParagraph"/>
        <w:numPr>
          <w:ilvl w:val="1"/>
          <w:numId w:val="2"/>
        </w:numPr>
        <w:rPr>
          <w:rStyle w:val="CommentReference"/>
          <w:rFonts w:asciiTheme="minorHAnsi" w:hAnsiTheme="minorHAnsi"/>
          <w:b w:val="0"/>
          <w:sz w:val="24"/>
          <w:szCs w:val="24"/>
        </w:rPr>
      </w:pPr>
      <w:r>
        <w:rPr>
          <w:rFonts w:cs="Calibri"/>
          <w:lang w:val="en-US" w:eastAsia="en-AU"/>
        </w:rPr>
        <w:t xml:space="preserve">Details of the trials presented in the submission are provided in </w:t>
      </w:r>
      <w:r w:rsidR="00116E7D">
        <w:rPr>
          <w:rFonts w:cs="Calibri"/>
          <w:lang w:val="en-US" w:eastAsia="en-AU"/>
        </w:rPr>
        <w:t>Table 3</w:t>
      </w:r>
      <w:r>
        <w:rPr>
          <w:rFonts w:cs="Calibri"/>
          <w:lang w:val="en-US" w:eastAsia="en-AU"/>
        </w:rPr>
        <w:t xml:space="preserve">.  </w:t>
      </w:r>
    </w:p>
    <w:p w:rsidR="003B202E" w:rsidRDefault="003B202E">
      <w:pPr>
        <w:jc w:val="left"/>
        <w:rPr>
          <w:rStyle w:val="CommentReference"/>
        </w:rPr>
      </w:pPr>
      <w:r>
        <w:rPr>
          <w:rStyle w:val="CommentReference"/>
        </w:rPr>
        <w:br w:type="page"/>
      </w:r>
    </w:p>
    <w:p w:rsidR="008E0D3C" w:rsidRDefault="008E0D3C" w:rsidP="008E0D3C">
      <w:pPr>
        <w:rPr>
          <w:rStyle w:val="CommentReference"/>
        </w:rPr>
      </w:pPr>
      <w:r w:rsidRPr="008E0D3C">
        <w:rPr>
          <w:rStyle w:val="CommentReference"/>
        </w:rPr>
        <w:lastRenderedPageBreak/>
        <w:t xml:space="preserve">Table </w:t>
      </w:r>
      <w:r w:rsidR="00116E7D">
        <w:rPr>
          <w:rStyle w:val="CommentReference"/>
        </w:rPr>
        <w:t>3</w:t>
      </w:r>
      <w:r w:rsidRPr="008E0D3C">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6407"/>
        <w:gridCol w:w="1664"/>
      </w:tblGrid>
      <w:tr w:rsidR="006D44D1" w:rsidRPr="00B41614" w:rsidTr="00CB7086">
        <w:trPr>
          <w:tblHeader/>
        </w:trPr>
        <w:tc>
          <w:tcPr>
            <w:tcW w:w="557" w:type="pct"/>
            <w:tcBorders>
              <w:top w:val="single" w:sz="4" w:space="0" w:color="auto"/>
              <w:left w:val="single" w:sz="4" w:space="0" w:color="auto"/>
              <w:bottom w:val="single" w:sz="4" w:space="0" w:color="auto"/>
              <w:right w:val="single" w:sz="4" w:space="0" w:color="auto"/>
            </w:tcBorders>
            <w:vAlign w:val="center"/>
          </w:tcPr>
          <w:p w:rsidR="006D44D1" w:rsidRPr="006D44D1" w:rsidRDefault="006D44D1" w:rsidP="006D44D1">
            <w:pPr>
              <w:rPr>
                <w:rFonts w:ascii="Arial Narrow" w:hAnsi="Arial Narrow"/>
                <w:b/>
                <w:sz w:val="20"/>
                <w:szCs w:val="20"/>
              </w:rPr>
            </w:pPr>
            <w:r w:rsidRPr="006D44D1">
              <w:rPr>
                <w:rFonts w:ascii="Arial Narrow" w:hAnsi="Arial Narrow"/>
                <w:b/>
                <w:sz w:val="20"/>
                <w:szCs w:val="20"/>
              </w:rPr>
              <w:t>Trial ID</w:t>
            </w:r>
          </w:p>
        </w:tc>
        <w:tc>
          <w:tcPr>
            <w:tcW w:w="3527" w:type="pct"/>
            <w:tcBorders>
              <w:top w:val="single" w:sz="4" w:space="0" w:color="auto"/>
              <w:left w:val="single" w:sz="4" w:space="0" w:color="auto"/>
              <w:bottom w:val="single" w:sz="4" w:space="0" w:color="auto"/>
              <w:right w:val="single" w:sz="4" w:space="0" w:color="auto"/>
            </w:tcBorders>
            <w:vAlign w:val="center"/>
          </w:tcPr>
          <w:p w:rsidR="006D44D1" w:rsidRPr="006D44D1" w:rsidRDefault="006D44D1" w:rsidP="006D44D1">
            <w:pPr>
              <w:rPr>
                <w:rFonts w:ascii="Arial Narrow" w:hAnsi="Arial Narrow"/>
                <w:b/>
                <w:sz w:val="20"/>
                <w:szCs w:val="20"/>
              </w:rPr>
            </w:pPr>
            <w:r w:rsidRPr="006D44D1">
              <w:rPr>
                <w:rFonts w:ascii="Arial Narrow" w:hAnsi="Arial Narrow"/>
                <w:b/>
                <w:sz w:val="20"/>
                <w:szCs w:val="20"/>
              </w:rPr>
              <w:t>Protocol title/ Publication title</w:t>
            </w:r>
          </w:p>
        </w:tc>
        <w:tc>
          <w:tcPr>
            <w:tcW w:w="916" w:type="pct"/>
            <w:tcBorders>
              <w:top w:val="single" w:sz="4" w:space="0" w:color="auto"/>
              <w:left w:val="single" w:sz="4" w:space="0" w:color="auto"/>
              <w:bottom w:val="single" w:sz="4" w:space="0" w:color="auto"/>
              <w:right w:val="single" w:sz="4" w:space="0" w:color="auto"/>
            </w:tcBorders>
            <w:vAlign w:val="center"/>
          </w:tcPr>
          <w:p w:rsidR="006D44D1" w:rsidRPr="006D44D1" w:rsidRDefault="006D44D1" w:rsidP="006D44D1">
            <w:pPr>
              <w:rPr>
                <w:rFonts w:ascii="Arial Narrow" w:hAnsi="Arial Narrow"/>
                <w:b/>
                <w:sz w:val="20"/>
                <w:szCs w:val="20"/>
              </w:rPr>
            </w:pPr>
            <w:r w:rsidRPr="006D44D1">
              <w:rPr>
                <w:rFonts w:ascii="Arial Narrow" w:hAnsi="Arial Narrow"/>
                <w:b/>
                <w:sz w:val="20"/>
                <w:szCs w:val="20"/>
              </w:rPr>
              <w:t>Publication citation</w:t>
            </w:r>
          </w:p>
        </w:tc>
      </w:tr>
      <w:tr w:rsidR="006D44D1" w:rsidRPr="003A630F" w:rsidTr="00B30EB6">
        <w:tc>
          <w:tcPr>
            <w:tcW w:w="5000" w:type="pct"/>
            <w:gridSpan w:val="3"/>
            <w:vAlign w:val="center"/>
          </w:tcPr>
          <w:p w:rsidR="006D44D1" w:rsidRPr="003A630F" w:rsidRDefault="006D44D1" w:rsidP="00B2315F">
            <w:pPr>
              <w:pStyle w:val="Tabletext"/>
              <w:rPr>
                <w:b/>
              </w:rPr>
            </w:pPr>
            <w:r>
              <w:rPr>
                <w:b/>
              </w:rPr>
              <w:t xml:space="preserve">Included trials - </w:t>
            </w:r>
            <w:proofErr w:type="spellStart"/>
            <w:r w:rsidRPr="00CD5D90">
              <w:rPr>
                <w:b/>
              </w:rPr>
              <w:t>sofosbuvir</w:t>
            </w:r>
            <w:proofErr w:type="spellEnd"/>
            <w:r w:rsidRPr="00CD5D90">
              <w:rPr>
                <w:b/>
              </w:rPr>
              <w:t xml:space="preserve"> + </w:t>
            </w:r>
            <w:proofErr w:type="spellStart"/>
            <w:r w:rsidRPr="00CD5D90">
              <w:rPr>
                <w:b/>
              </w:rPr>
              <w:t>velpatasvir</w:t>
            </w:r>
            <w:proofErr w:type="spellEnd"/>
            <w:r w:rsidRPr="00CD5D90">
              <w:rPr>
                <w:b/>
              </w:rPr>
              <w:t xml:space="preserve"> + </w:t>
            </w:r>
            <w:proofErr w:type="spellStart"/>
            <w:r w:rsidRPr="00CD5D90">
              <w:rPr>
                <w:b/>
              </w:rPr>
              <w:t>voxilaprevir</w:t>
            </w:r>
            <w:proofErr w:type="spellEnd"/>
          </w:p>
        </w:tc>
      </w:tr>
      <w:tr w:rsidR="006D44D1" w:rsidRPr="00CB38A8" w:rsidTr="00CB7086">
        <w:trPr>
          <w:trHeight w:val="643"/>
        </w:trPr>
        <w:tc>
          <w:tcPr>
            <w:tcW w:w="557" w:type="pct"/>
            <w:vMerge w:val="restart"/>
            <w:vAlign w:val="center"/>
          </w:tcPr>
          <w:p w:rsidR="006D44D1" w:rsidRPr="00CB38A8" w:rsidRDefault="006D44D1" w:rsidP="00B2315F">
            <w:pPr>
              <w:pStyle w:val="Tabletext"/>
              <w:rPr>
                <w:rFonts w:ascii="Times" w:hAnsi="Times"/>
              </w:rPr>
            </w:pPr>
            <w:r>
              <w:t xml:space="preserve">POLARIS-1 </w:t>
            </w:r>
            <w:r>
              <w:br/>
              <w:t>GS-US-367-1171</w:t>
            </w:r>
          </w:p>
        </w:tc>
        <w:tc>
          <w:tcPr>
            <w:tcW w:w="3527" w:type="pct"/>
            <w:tcBorders>
              <w:bottom w:val="nil"/>
            </w:tcBorders>
          </w:tcPr>
          <w:p w:rsidR="006D44D1" w:rsidRPr="00AB6248" w:rsidRDefault="006D44D1" w:rsidP="00CB7086">
            <w:pPr>
              <w:pStyle w:val="Tabletext"/>
              <w:spacing w:after="40"/>
              <w:jc w:val="left"/>
              <w:rPr>
                <w:szCs w:val="18"/>
              </w:rPr>
            </w:pPr>
            <w:r>
              <w:rPr>
                <w:szCs w:val="18"/>
              </w:rPr>
              <w:t xml:space="preserve">(POLARIS 1 CSR) A Phase 3, Global Multicenter, Randomised Double-Blind, Placebo-Controlled Study to Investigate the Safety and Efficacy of </w:t>
            </w:r>
            <w:proofErr w:type="spellStart"/>
            <w:r>
              <w:rPr>
                <w:szCs w:val="18"/>
              </w:rPr>
              <w:t>Sofosbuvir</w:t>
            </w:r>
            <w:proofErr w:type="spellEnd"/>
            <w:r>
              <w:rPr>
                <w:szCs w:val="18"/>
              </w:rPr>
              <w:t>/</w:t>
            </w:r>
            <w:proofErr w:type="spellStart"/>
            <w:r>
              <w:rPr>
                <w:szCs w:val="18"/>
              </w:rPr>
              <w:t>Velpatasvir</w:t>
            </w:r>
            <w:proofErr w:type="spellEnd"/>
            <w:r>
              <w:rPr>
                <w:szCs w:val="18"/>
              </w:rPr>
              <w:t>/GS-9857 Fixed-Dose Combination for 12 Weeks in Direct-Acting Antiviral-Experienced Subjects with Chronic HCV Infection.</w:t>
            </w:r>
          </w:p>
        </w:tc>
        <w:tc>
          <w:tcPr>
            <w:tcW w:w="916" w:type="pct"/>
            <w:tcBorders>
              <w:bottom w:val="nil"/>
            </w:tcBorders>
          </w:tcPr>
          <w:p w:rsidR="006D44D1" w:rsidRPr="00CB38A8" w:rsidRDefault="006D44D1" w:rsidP="00CB7086">
            <w:pPr>
              <w:pStyle w:val="Tabletext"/>
              <w:jc w:val="left"/>
              <w:rPr>
                <w:rFonts w:ascii="Times" w:hAnsi="Times"/>
              </w:rPr>
            </w:pPr>
            <w:r>
              <w:t>2016.</w:t>
            </w:r>
          </w:p>
        </w:tc>
      </w:tr>
      <w:tr w:rsidR="006D44D1" w:rsidRPr="00E34A35" w:rsidTr="00CB7086">
        <w:tc>
          <w:tcPr>
            <w:tcW w:w="557" w:type="pct"/>
            <w:vMerge/>
            <w:vAlign w:val="center"/>
          </w:tcPr>
          <w:p w:rsidR="006D44D1" w:rsidRPr="00CB38A8" w:rsidRDefault="006D44D1" w:rsidP="00B2315F">
            <w:pPr>
              <w:pStyle w:val="Tabletext"/>
            </w:pPr>
          </w:p>
        </w:tc>
        <w:tc>
          <w:tcPr>
            <w:tcW w:w="3527" w:type="pct"/>
            <w:tcBorders>
              <w:top w:val="nil"/>
              <w:bottom w:val="nil"/>
            </w:tcBorders>
          </w:tcPr>
          <w:p w:rsidR="006D44D1" w:rsidRPr="00E34A35" w:rsidRDefault="006D44D1" w:rsidP="00CB7086">
            <w:pPr>
              <w:pStyle w:val="Tabletext"/>
              <w:spacing w:after="40"/>
              <w:jc w:val="left"/>
              <w:rPr>
                <w:szCs w:val="18"/>
                <w:lang w:eastAsia="en-AU"/>
              </w:rPr>
            </w:pPr>
            <w:proofErr w:type="spellStart"/>
            <w:r>
              <w:rPr>
                <w:szCs w:val="18"/>
                <w:lang w:eastAsia="en-AU"/>
              </w:rPr>
              <w:t>Bourlière</w:t>
            </w:r>
            <w:proofErr w:type="spellEnd"/>
            <w:r>
              <w:rPr>
                <w:szCs w:val="18"/>
                <w:lang w:eastAsia="en-AU"/>
              </w:rPr>
              <w:t xml:space="preserve"> M, Gordon SC, </w:t>
            </w:r>
            <w:proofErr w:type="spellStart"/>
            <w:r>
              <w:rPr>
                <w:szCs w:val="18"/>
                <w:lang w:eastAsia="en-AU"/>
              </w:rPr>
              <w:t>Flamm</w:t>
            </w:r>
            <w:proofErr w:type="spellEnd"/>
            <w:r>
              <w:rPr>
                <w:szCs w:val="18"/>
                <w:lang w:eastAsia="en-AU"/>
              </w:rPr>
              <w:t xml:space="preserve"> SL, Cooper CL, Ramji A, Tong M, </w:t>
            </w:r>
            <w:proofErr w:type="spellStart"/>
            <w:r>
              <w:rPr>
                <w:szCs w:val="18"/>
                <w:lang w:eastAsia="en-AU"/>
              </w:rPr>
              <w:t>Ravendhran</w:t>
            </w:r>
            <w:proofErr w:type="spellEnd"/>
            <w:r>
              <w:rPr>
                <w:szCs w:val="18"/>
                <w:lang w:eastAsia="en-AU"/>
              </w:rPr>
              <w:t xml:space="preserve"> N, </w:t>
            </w:r>
            <w:proofErr w:type="spellStart"/>
            <w:r>
              <w:rPr>
                <w:szCs w:val="18"/>
                <w:lang w:eastAsia="en-AU"/>
              </w:rPr>
              <w:t>Vierling</w:t>
            </w:r>
            <w:proofErr w:type="spellEnd"/>
            <w:r>
              <w:rPr>
                <w:szCs w:val="18"/>
                <w:lang w:eastAsia="en-AU"/>
              </w:rPr>
              <w:t xml:space="preserve"> JM, et al. </w:t>
            </w:r>
            <w:proofErr w:type="spellStart"/>
            <w:r>
              <w:rPr>
                <w:szCs w:val="18"/>
                <w:lang w:eastAsia="en-AU"/>
              </w:rPr>
              <w:t>Sofosbuvir</w:t>
            </w:r>
            <w:proofErr w:type="spellEnd"/>
            <w:r>
              <w:rPr>
                <w:szCs w:val="18"/>
                <w:lang w:eastAsia="en-AU"/>
              </w:rPr>
              <w:t xml:space="preserve">, </w:t>
            </w:r>
            <w:proofErr w:type="spellStart"/>
            <w:r>
              <w:rPr>
                <w:szCs w:val="18"/>
                <w:lang w:eastAsia="en-AU"/>
              </w:rPr>
              <w:t>velpatasvir</w:t>
            </w:r>
            <w:proofErr w:type="spellEnd"/>
            <w:r>
              <w:rPr>
                <w:szCs w:val="18"/>
                <w:lang w:eastAsia="en-AU"/>
              </w:rPr>
              <w:t xml:space="preserve">, and </w:t>
            </w:r>
            <w:proofErr w:type="spellStart"/>
            <w:r>
              <w:rPr>
                <w:szCs w:val="18"/>
                <w:lang w:eastAsia="en-AU"/>
              </w:rPr>
              <w:t>voxilaprevir</w:t>
            </w:r>
            <w:proofErr w:type="spellEnd"/>
            <w:r>
              <w:rPr>
                <w:szCs w:val="18"/>
                <w:lang w:eastAsia="en-AU"/>
              </w:rPr>
              <w:t xml:space="preserve"> for previously treated HCV infection. </w:t>
            </w:r>
          </w:p>
        </w:tc>
        <w:tc>
          <w:tcPr>
            <w:tcW w:w="916" w:type="pct"/>
            <w:tcBorders>
              <w:top w:val="nil"/>
              <w:bottom w:val="nil"/>
            </w:tcBorders>
          </w:tcPr>
          <w:p w:rsidR="006D44D1" w:rsidRPr="00E34A35" w:rsidRDefault="006D44D1" w:rsidP="00CB7086">
            <w:pPr>
              <w:pStyle w:val="Tabletext"/>
              <w:jc w:val="left"/>
              <w:rPr>
                <w:szCs w:val="18"/>
                <w:lang w:eastAsia="en-AU"/>
              </w:rPr>
            </w:pPr>
            <w:r>
              <w:rPr>
                <w:i/>
                <w:szCs w:val="18"/>
                <w:lang w:eastAsia="en-AU"/>
              </w:rPr>
              <w:t>NEJM</w:t>
            </w:r>
            <w:r>
              <w:rPr>
                <w:szCs w:val="18"/>
                <w:lang w:eastAsia="en-AU"/>
              </w:rPr>
              <w:t xml:space="preserve">  2017; 376(22): 2134-2136</w:t>
            </w:r>
          </w:p>
        </w:tc>
      </w:tr>
      <w:tr w:rsidR="006D44D1" w:rsidRPr="00AB6248" w:rsidTr="00CB7086">
        <w:tc>
          <w:tcPr>
            <w:tcW w:w="557" w:type="pct"/>
            <w:vMerge/>
            <w:tcBorders>
              <w:bottom w:val="nil"/>
            </w:tcBorders>
            <w:vAlign w:val="center"/>
          </w:tcPr>
          <w:p w:rsidR="006D44D1" w:rsidRPr="00CB38A8" w:rsidRDefault="006D44D1" w:rsidP="00B2315F">
            <w:pPr>
              <w:pStyle w:val="Tabletext"/>
            </w:pPr>
          </w:p>
        </w:tc>
        <w:tc>
          <w:tcPr>
            <w:tcW w:w="3527" w:type="pct"/>
            <w:tcBorders>
              <w:top w:val="nil"/>
              <w:bottom w:val="nil"/>
            </w:tcBorders>
          </w:tcPr>
          <w:p w:rsidR="006D44D1" w:rsidRPr="00922911" w:rsidRDefault="006D44D1" w:rsidP="00CB7086">
            <w:pPr>
              <w:pStyle w:val="Tabletext"/>
              <w:spacing w:after="40"/>
              <w:jc w:val="left"/>
              <w:rPr>
                <w:szCs w:val="18"/>
                <w:lang w:eastAsia="en-AU"/>
              </w:rPr>
            </w:pPr>
            <w:proofErr w:type="spellStart"/>
            <w:r>
              <w:rPr>
                <w:szCs w:val="18"/>
                <w:lang w:eastAsia="en-AU"/>
              </w:rPr>
              <w:t>Bourlière</w:t>
            </w:r>
            <w:proofErr w:type="spellEnd"/>
            <w:r>
              <w:rPr>
                <w:szCs w:val="18"/>
                <w:lang w:eastAsia="en-AU"/>
              </w:rPr>
              <w:t xml:space="preserve"> M, Gordon SC, Ramji A, </w:t>
            </w:r>
            <w:proofErr w:type="spellStart"/>
            <w:r>
              <w:rPr>
                <w:szCs w:val="18"/>
                <w:lang w:eastAsia="en-AU"/>
              </w:rPr>
              <w:t>Ravendhran</w:t>
            </w:r>
            <w:proofErr w:type="spellEnd"/>
            <w:r>
              <w:rPr>
                <w:szCs w:val="18"/>
                <w:lang w:eastAsia="en-AU"/>
              </w:rPr>
              <w:t xml:space="preserve"> N, Tran TT, </w:t>
            </w:r>
            <w:proofErr w:type="spellStart"/>
            <w:r>
              <w:rPr>
                <w:szCs w:val="18"/>
                <w:lang w:eastAsia="en-AU"/>
              </w:rPr>
              <w:t>Hylnad</w:t>
            </w:r>
            <w:proofErr w:type="spellEnd"/>
            <w:r>
              <w:rPr>
                <w:szCs w:val="18"/>
                <w:lang w:eastAsia="en-AU"/>
              </w:rPr>
              <w:t xml:space="preserve"> RH, et al. </w:t>
            </w:r>
            <w:proofErr w:type="spellStart"/>
            <w:r>
              <w:rPr>
                <w:szCs w:val="18"/>
                <w:lang w:eastAsia="en-AU"/>
              </w:rPr>
              <w:t>Sofosbuvir</w:t>
            </w:r>
            <w:proofErr w:type="spellEnd"/>
            <w:r>
              <w:rPr>
                <w:szCs w:val="18"/>
                <w:lang w:eastAsia="en-AU"/>
              </w:rPr>
              <w:t xml:space="preserve">/ </w:t>
            </w:r>
            <w:proofErr w:type="spellStart"/>
            <w:r>
              <w:rPr>
                <w:szCs w:val="18"/>
                <w:lang w:eastAsia="en-AU"/>
              </w:rPr>
              <w:t>Velpatasvir</w:t>
            </w:r>
            <w:proofErr w:type="spellEnd"/>
            <w:r>
              <w:rPr>
                <w:szCs w:val="18"/>
                <w:lang w:eastAsia="en-AU"/>
              </w:rPr>
              <w:t xml:space="preserve">/ </w:t>
            </w:r>
            <w:proofErr w:type="spellStart"/>
            <w:r>
              <w:rPr>
                <w:szCs w:val="18"/>
                <w:lang w:eastAsia="en-AU"/>
              </w:rPr>
              <w:t>Voxilaprevir</w:t>
            </w:r>
            <w:proofErr w:type="spellEnd"/>
            <w:r>
              <w:rPr>
                <w:szCs w:val="18"/>
                <w:lang w:eastAsia="en-AU"/>
              </w:rPr>
              <w:t xml:space="preserve"> for 12 Weeks as a Salvage Regimen in NS5A inhibitor-Experienced Patients with Genotype 1-6 Infection: The Phase 3 Polaris 1 Study </w:t>
            </w:r>
          </w:p>
        </w:tc>
        <w:tc>
          <w:tcPr>
            <w:tcW w:w="916" w:type="pct"/>
            <w:tcBorders>
              <w:top w:val="nil"/>
              <w:bottom w:val="nil"/>
            </w:tcBorders>
          </w:tcPr>
          <w:p w:rsidR="006D44D1" w:rsidRPr="00AB6248" w:rsidRDefault="006D44D1" w:rsidP="00CB7086">
            <w:pPr>
              <w:pStyle w:val="Tabletext"/>
              <w:jc w:val="left"/>
              <w:rPr>
                <w:i/>
                <w:szCs w:val="18"/>
                <w:lang w:val="en-US" w:eastAsia="en-AU"/>
              </w:rPr>
            </w:pPr>
            <w:r>
              <w:rPr>
                <w:i/>
                <w:szCs w:val="18"/>
                <w:lang w:val="en-US" w:eastAsia="en-AU"/>
              </w:rPr>
              <w:t xml:space="preserve">Hepatology 2016; 63 (1S: 102A </w:t>
            </w:r>
            <w:r>
              <w:rPr>
                <w:szCs w:val="18"/>
                <w:lang w:eastAsia="en-AU"/>
              </w:rPr>
              <w:t>[Abstract]</w:t>
            </w:r>
          </w:p>
        </w:tc>
      </w:tr>
      <w:tr w:rsidR="006D44D1" w:rsidRPr="004A2558" w:rsidTr="00CB7086">
        <w:trPr>
          <w:trHeight w:val="666"/>
        </w:trPr>
        <w:tc>
          <w:tcPr>
            <w:tcW w:w="557" w:type="pct"/>
            <w:vMerge w:val="restart"/>
            <w:vAlign w:val="center"/>
          </w:tcPr>
          <w:p w:rsidR="006D44D1" w:rsidRPr="00922911" w:rsidRDefault="006D44D1" w:rsidP="00B2315F">
            <w:pPr>
              <w:pStyle w:val="Tabletext"/>
            </w:pPr>
            <w:r>
              <w:t xml:space="preserve">TRILOGY-3 </w:t>
            </w:r>
            <w:r>
              <w:br/>
              <w:t>GS-US-367-1871</w:t>
            </w:r>
          </w:p>
        </w:tc>
        <w:tc>
          <w:tcPr>
            <w:tcW w:w="3527" w:type="pct"/>
            <w:tcBorders>
              <w:bottom w:val="nil"/>
            </w:tcBorders>
          </w:tcPr>
          <w:p w:rsidR="006D44D1" w:rsidRPr="00CB38A8" w:rsidRDefault="006D44D1" w:rsidP="00CB7086">
            <w:pPr>
              <w:pStyle w:val="Tabletext"/>
              <w:spacing w:after="40"/>
              <w:jc w:val="left"/>
              <w:rPr>
                <w:rFonts w:ascii="Times" w:hAnsi="Times"/>
              </w:rPr>
            </w:pPr>
            <w:r>
              <w:t xml:space="preserve">A Phase 2, Open Label Study to investigate the Safety and Efficacy of </w:t>
            </w:r>
            <w:proofErr w:type="spellStart"/>
            <w:r>
              <w:t>Sofosbuvir</w:t>
            </w:r>
            <w:proofErr w:type="spellEnd"/>
            <w:r>
              <w:t xml:space="preserve">/GS5816/GS9857 Fixed-Dose Combination with or without Ribavirin in Subjects with Chronic Genotype 1 HCV. Infection Previously Treated with a Direct Acting Antiviral Regimen. </w:t>
            </w:r>
          </w:p>
        </w:tc>
        <w:tc>
          <w:tcPr>
            <w:tcW w:w="916" w:type="pct"/>
            <w:tcBorders>
              <w:bottom w:val="nil"/>
            </w:tcBorders>
          </w:tcPr>
          <w:p w:rsidR="006D44D1" w:rsidRPr="004A2558" w:rsidRDefault="006D44D1" w:rsidP="00CB7086">
            <w:pPr>
              <w:pStyle w:val="Tabletext"/>
              <w:jc w:val="left"/>
            </w:pPr>
            <w:r>
              <w:t>August 2016</w:t>
            </w:r>
          </w:p>
        </w:tc>
      </w:tr>
      <w:tr w:rsidR="006D44D1" w:rsidRPr="00CB38A8" w:rsidTr="00CB7086">
        <w:tc>
          <w:tcPr>
            <w:tcW w:w="557" w:type="pct"/>
            <w:vMerge/>
            <w:vAlign w:val="center"/>
          </w:tcPr>
          <w:p w:rsidR="006D44D1" w:rsidRPr="00CB38A8" w:rsidRDefault="006D44D1" w:rsidP="00B2315F">
            <w:pPr>
              <w:pStyle w:val="Tabletext"/>
            </w:pPr>
          </w:p>
        </w:tc>
        <w:tc>
          <w:tcPr>
            <w:tcW w:w="3527" w:type="pct"/>
            <w:tcBorders>
              <w:top w:val="nil"/>
              <w:bottom w:val="nil"/>
            </w:tcBorders>
          </w:tcPr>
          <w:p w:rsidR="006D44D1" w:rsidRPr="00E34A35" w:rsidRDefault="002E5D58" w:rsidP="00CB7086">
            <w:pPr>
              <w:pStyle w:val="Tabletext"/>
              <w:spacing w:after="40"/>
              <w:jc w:val="left"/>
              <w:rPr>
                <w:szCs w:val="18"/>
              </w:rPr>
            </w:pPr>
            <w:proofErr w:type="spellStart"/>
            <w:r>
              <w:rPr>
                <w:szCs w:val="18"/>
              </w:rPr>
              <w:t>Lawitz</w:t>
            </w:r>
            <w:proofErr w:type="spellEnd"/>
            <w:r>
              <w:rPr>
                <w:szCs w:val="18"/>
              </w:rPr>
              <w:t xml:space="preserve"> E, </w:t>
            </w:r>
            <w:proofErr w:type="spellStart"/>
            <w:r>
              <w:rPr>
                <w:szCs w:val="18"/>
              </w:rPr>
              <w:t>Poordad</w:t>
            </w:r>
            <w:proofErr w:type="spellEnd"/>
            <w:r>
              <w:rPr>
                <w:szCs w:val="18"/>
              </w:rPr>
              <w:t xml:space="preserve"> F, Wells J, Hyland RH, Yang Y, </w:t>
            </w:r>
            <w:proofErr w:type="spellStart"/>
            <w:r>
              <w:rPr>
                <w:szCs w:val="18"/>
              </w:rPr>
              <w:t>Dvory-Sobol</w:t>
            </w:r>
            <w:proofErr w:type="spellEnd"/>
            <w:r>
              <w:rPr>
                <w:szCs w:val="18"/>
              </w:rPr>
              <w:t xml:space="preserve"> H. </w:t>
            </w:r>
            <w:proofErr w:type="spellStart"/>
            <w:r>
              <w:rPr>
                <w:szCs w:val="18"/>
              </w:rPr>
              <w:t>Sofosbuvir-velpatasvir-voxilaprevir</w:t>
            </w:r>
            <w:proofErr w:type="spellEnd"/>
            <w:r>
              <w:rPr>
                <w:szCs w:val="18"/>
              </w:rPr>
              <w:t xml:space="preserve"> with or without ribavirin in direct-acting antiviral-experienced patients with genotype 1 hepatitis C virus</w:t>
            </w:r>
          </w:p>
        </w:tc>
        <w:tc>
          <w:tcPr>
            <w:tcW w:w="916" w:type="pct"/>
            <w:tcBorders>
              <w:top w:val="nil"/>
              <w:bottom w:val="nil"/>
            </w:tcBorders>
          </w:tcPr>
          <w:p w:rsidR="006D44D1" w:rsidRPr="00CB38A8" w:rsidRDefault="006D44D1" w:rsidP="00CB7086">
            <w:pPr>
              <w:pStyle w:val="Tabletext"/>
              <w:jc w:val="left"/>
              <w:rPr>
                <w:i/>
              </w:rPr>
            </w:pPr>
            <w:r>
              <w:rPr>
                <w:i/>
                <w:szCs w:val="18"/>
              </w:rPr>
              <w:t>Hepatology 2017</w:t>
            </w:r>
            <w:r>
              <w:rPr>
                <w:szCs w:val="18"/>
              </w:rPr>
              <w:t>; 65 (6): 1803-1809</w:t>
            </w:r>
          </w:p>
        </w:tc>
      </w:tr>
      <w:tr w:rsidR="006D44D1" w:rsidRPr="005C3BD2" w:rsidTr="00CB7086">
        <w:tc>
          <w:tcPr>
            <w:tcW w:w="557" w:type="pct"/>
            <w:vMerge/>
            <w:vAlign w:val="center"/>
          </w:tcPr>
          <w:p w:rsidR="006D44D1" w:rsidRPr="00CB38A8" w:rsidRDefault="006D44D1" w:rsidP="00B2315F">
            <w:pPr>
              <w:pStyle w:val="Tabletext"/>
            </w:pPr>
          </w:p>
        </w:tc>
        <w:tc>
          <w:tcPr>
            <w:tcW w:w="3527" w:type="pct"/>
            <w:tcBorders>
              <w:top w:val="nil"/>
              <w:bottom w:val="nil"/>
            </w:tcBorders>
          </w:tcPr>
          <w:p w:rsidR="006D44D1" w:rsidRPr="00804917" w:rsidRDefault="006D44D1" w:rsidP="00CB7086">
            <w:pPr>
              <w:pStyle w:val="Tabletext"/>
              <w:spacing w:after="40"/>
              <w:jc w:val="left"/>
              <w:rPr>
                <w:szCs w:val="18"/>
              </w:rPr>
            </w:pPr>
            <w:proofErr w:type="spellStart"/>
            <w:r>
              <w:rPr>
                <w:szCs w:val="18"/>
              </w:rPr>
              <w:t>Lawitz</w:t>
            </w:r>
            <w:proofErr w:type="spellEnd"/>
            <w:r>
              <w:rPr>
                <w:szCs w:val="18"/>
              </w:rPr>
              <w:t xml:space="preserve"> E, </w:t>
            </w:r>
            <w:proofErr w:type="spellStart"/>
            <w:r>
              <w:rPr>
                <w:szCs w:val="18"/>
              </w:rPr>
              <w:t>Kowdley</w:t>
            </w:r>
            <w:proofErr w:type="spellEnd"/>
            <w:r>
              <w:rPr>
                <w:szCs w:val="18"/>
              </w:rPr>
              <w:t xml:space="preserve"> K, Curry M, </w:t>
            </w:r>
            <w:proofErr w:type="spellStart"/>
            <w:r>
              <w:rPr>
                <w:szCs w:val="18"/>
              </w:rPr>
              <w:t>Reau</w:t>
            </w:r>
            <w:proofErr w:type="spellEnd"/>
            <w:r>
              <w:rPr>
                <w:szCs w:val="18"/>
              </w:rPr>
              <w:t xml:space="preserve"> N, Nguyen M, </w:t>
            </w:r>
            <w:proofErr w:type="spellStart"/>
            <w:r>
              <w:rPr>
                <w:szCs w:val="18"/>
              </w:rPr>
              <w:t>Kwo</w:t>
            </w:r>
            <w:proofErr w:type="spellEnd"/>
            <w:r>
              <w:rPr>
                <w:szCs w:val="18"/>
              </w:rPr>
              <w:t xml:space="preserve"> P. High efficacy of </w:t>
            </w:r>
            <w:proofErr w:type="spellStart"/>
            <w:r>
              <w:rPr>
                <w:szCs w:val="18"/>
              </w:rPr>
              <w:t>sofosbuvir</w:t>
            </w:r>
            <w:proofErr w:type="spellEnd"/>
            <w:r>
              <w:rPr>
                <w:szCs w:val="18"/>
              </w:rPr>
              <w:t>/</w:t>
            </w:r>
            <w:proofErr w:type="spellStart"/>
            <w:r>
              <w:rPr>
                <w:szCs w:val="18"/>
              </w:rPr>
              <w:t>velpatasvir</w:t>
            </w:r>
            <w:proofErr w:type="spellEnd"/>
            <w:r>
              <w:rPr>
                <w:szCs w:val="18"/>
              </w:rPr>
              <w:t xml:space="preserve"> plus GS-9857 for 12 weeks in treatment-experienced genotype 1-6 HCV-infected patients, including those previously treated with direct-acting antivirals.</w:t>
            </w:r>
          </w:p>
        </w:tc>
        <w:tc>
          <w:tcPr>
            <w:tcW w:w="916" w:type="pct"/>
            <w:tcBorders>
              <w:top w:val="nil"/>
              <w:bottom w:val="nil"/>
            </w:tcBorders>
          </w:tcPr>
          <w:p w:rsidR="006D44D1" w:rsidRPr="005C3BD2" w:rsidRDefault="006D44D1" w:rsidP="00CB7086">
            <w:pPr>
              <w:pStyle w:val="Tabletext"/>
              <w:jc w:val="left"/>
              <w:rPr>
                <w:rFonts w:ascii="Times" w:hAnsi="Times"/>
              </w:rPr>
            </w:pPr>
            <w:r>
              <w:rPr>
                <w:i/>
                <w:szCs w:val="18"/>
              </w:rPr>
              <w:t xml:space="preserve">Am </w:t>
            </w:r>
            <w:proofErr w:type="spellStart"/>
            <w:r>
              <w:rPr>
                <w:i/>
                <w:szCs w:val="18"/>
              </w:rPr>
              <w:t>Jrnl</w:t>
            </w:r>
            <w:proofErr w:type="spellEnd"/>
            <w:r w:rsidRPr="00F74CD9">
              <w:rPr>
                <w:i/>
                <w:szCs w:val="18"/>
              </w:rPr>
              <w:t xml:space="preserve"> </w:t>
            </w:r>
            <w:proofErr w:type="spellStart"/>
            <w:r>
              <w:rPr>
                <w:i/>
                <w:szCs w:val="18"/>
              </w:rPr>
              <w:t>Gastr</w:t>
            </w:r>
            <w:proofErr w:type="spellEnd"/>
            <w:r>
              <w:rPr>
                <w:szCs w:val="18"/>
              </w:rPr>
              <w:t xml:space="preserve"> </w:t>
            </w:r>
            <w:proofErr w:type="spellStart"/>
            <w:r>
              <w:rPr>
                <w:szCs w:val="18"/>
              </w:rPr>
              <w:t>Conf</w:t>
            </w:r>
            <w:proofErr w:type="spellEnd"/>
            <w:r>
              <w:rPr>
                <w:szCs w:val="18"/>
              </w:rPr>
              <w:t>: 2016; 111: S380</w:t>
            </w:r>
          </w:p>
        </w:tc>
      </w:tr>
      <w:tr w:rsidR="006D44D1" w:rsidRPr="00F74CD9" w:rsidTr="00CB7086">
        <w:trPr>
          <w:trHeight w:val="936"/>
        </w:trPr>
        <w:tc>
          <w:tcPr>
            <w:tcW w:w="557" w:type="pct"/>
            <w:vMerge/>
            <w:tcBorders>
              <w:bottom w:val="nil"/>
            </w:tcBorders>
            <w:vAlign w:val="center"/>
          </w:tcPr>
          <w:p w:rsidR="006D44D1" w:rsidRPr="00CB38A8" w:rsidRDefault="006D44D1" w:rsidP="00B2315F">
            <w:pPr>
              <w:pStyle w:val="Tabletext"/>
            </w:pPr>
          </w:p>
        </w:tc>
        <w:tc>
          <w:tcPr>
            <w:tcW w:w="3527" w:type="pct"/>
            <w:tcBorders>
              <w:top w:val="nil"/>
              <w:bottom w:val="nil"/>
            </w:tcBorders>
          </w:tcPr>
          <w:p w:rsidR="006D44D1" w:rsidRDefault="006D44D1" w:rsidP="00CB7086">
            <w:pPr>
              <w:pStyle w:val="Tabletext"/>
              <w:jc w:val="left"/>
              <w:rPr>
                <w:szCs w:val="18"/>
              </w:rPr>
            </w:pPr>
            <w:proofErr w:type="spellStart"/>
            <w:r>
              <w:rPr>
                <w:szCs w:val="18"/>
              </w:rPr>
              <w:t>Lawitz</w:t>
            </w:r>
            <w:proofErr w:type="spellEnd"/>
            <w:r>
              <w:rPr>
                <w:szCs w:val="18"/>
              </w:rPr>
              <w:t xml:space="preserve"> E, </w:t>
            </w:r>
            <w:proofErr w:type="spellStart"/>
            <w:r>
              <w:rPr>
                <w:szCs w:val="18"/>
              </w:rPr>
              <w:t>Poordad</w:t>
            </w:r>
            <w:proofErr w:type="spellEnd"/>
            <w:r>
              <w:rPr>
                <w:szCs w:val="18"/>
              </w:rPr>
              <w:t xml:space="preserve"> F, Wells J, Hyland RH, </w:t>
            </w:r>
            <w:proofErr w:type="spellStart"/>
            <w:r>
              <w:rPr>
                <w:szCs w:val="18"/>
              </w:rPr>
              <w:t>Yany</w:t>
            </w:r>
            <w:proofErr w:type="spellEnd"/>
            <w:r>
              <w:rPr>
                <w:szCs w:val="18"/>
              </w:rPr>
              <w:t xml:space="preserve"> Y, </w:t>
            </w:r>
            <w:proofErr w:type="spellStart"/>
            <w:r>
              <w:rPr>
                <w:szCs w:val="18"/>
              </w:rPr>
              <w:t>Dvory-SObol</w:t>
            </w:r>
            <w:proofErr w:type="spellEnd"/>
            <w:r>
              <w:rPr>
                <w:szCs w:val="18"/>
              </w:rPr>
              <w:t xml:space="preserve"> H, </w:t>
            </w:r>
            <w:proofErr w:type="spellStart"/>
            <w:r>
              <w:rPr>
                <w:szCs w:val="18"/>
              </w:rPr>
              <w:t>Stamm</w:t>
            </w:r>
            <w:proofErr w:type="spellEnd"/>
            <w:r>
              <w:rPr>
                <w:szCs w:val="18"/>
              </w:rPr>
              <w:t xml:space="preserve"> LM, </w:t>
            </w:r>
            <w:proofErr w:type="spellStart"/>
            <w:r>
              <w:rPr>
                <w:szCs w:val="18"/>
              </w:rPr>
              <w:t>Brainard</w:t>
            </w:r>
            <w:proofErr w:type="spellEnd"/>
            <w:r>
              <w:rPr>
                <w:szCs w:val="18"/>
              </w:rPr>
              <w:t xml:space="preserve"> DM, </w:t>
            </w:r>
            <w:proofErr w:type="spellStart"/>
            <w:r>
              <w:rPr>
                <w:szCs w:val="18"/>
              </w:rPr>
              <w:t>McHutchinson</w:t>
            </w:r>
            <w:proofErr w:type="spellEnd"/>
            <w:r>
              <w:rPr>
                <w:szCs w:val="18"/>
              </w:rPr>
              <w:t xml:space="preserve">, JG, </w:t>
            </w:r>
            <w:proofErr w:type="spellStart"/>
            <w:r>
              <w:rPr>
                <w:szCs w:val="18"/>
              </w:rPr>
              <w:t>Landaverde</w:t>
            </w:r>
            <w:proofErr w:type="spellEnd"/>
            <w:r>
              <w:rPr>
                <w:szCs w:val="18"/>
              </w:rPr>
              <w:t xml:space="preserve"> C, Gutierrez J. High Efficacy of </w:t>
            </w:r>
            <w:proofErr w:type="spellStart"/>
            <w:r>
              <w:rPr>
                <w:szCs w:val="18"/>
              </w:rPr>
              <w:t>Sofosbuvir</w:t>
            </w:r>
            <w:proofErr w:type="spellEnd"/>
            <w:r>
              <w:rPr>
                <w:szCs w:val="18"/>
              </w:rPr>
              <w:t>/</w:t>
            </w:r>
            <w:proofErr w:type="spellStart"/>
            <w:r>
              <w:rPr>
                <w:szCs w:val="18"/>
              </w:rPr>
              <w:t>Velpatasvir</w:t>
            </w:r>
            <w:proofErr w:type="spellEnd"/>
            <w:r>
              <w:rPr>
                <w:szCs w:val="18"/>
              </w:rPr>
              <w:t xml:space="preserve">/GS9857 With or Without Ribavirin for 12 Weeks in Direct Acting Antiviral-Experienced </w:t>
            </w:r>
          </w:p>
        </w:tc>
        <w:tc>
          <w:tcPr>
            <w:tcW w:w="916" w:type="pct"/>
            <w:tcBorders>
              <w:top w:val="nil"/>
              <w:bottom w:val="nil"/>
            </w:tcBorders>
          </w:tcPr>
          <w:p w:rsidR="006D44D1" w:rsidRPr="00F74CD9" w:rsidRDefault="006D44D1" w:rsidP="00CB7086">
            <w:pPr>
              <w:pStyle w:val="Tabletext"/>
              <w:jc w:val="left"/>
              <w:rPr>
                <w:i/>
                <w:szCs w:val="18"/>
              </w:rPr>
            </w:pPr>
            <w:r>
              <w:rPr>
                <w:i/>
                <w:szCs w:val="18"/>
              </w:rPr>
              <w:t xml:space="preserve">J </w:t>
            </w:r>
            <w:proofErr w:type="spellStart"/>
            <w:r>
              <w:rPr>
                <w:i/>
                <w:szCs w:val="18"/>
              </w:rPr>
              <w:t>Hepatol</w:t>
            </w:r>
            <w:proofErr w:type="spellEnd"/>
            <w:r>
              <w:rPr>
                <w:i/>
                <w:szCs w:val="18"/>
              </w:rPr>
              <w:t xml:space="preserve"> 2016; 64: S146 [presentation]</w:t>
            </w:r>
          </w:p>
        </w:tc>
      </w:tr>
      <w:tr w:rsidR="006D44D1" w:rsidRPr="00CB38A8" w:rsidTr="00CB7086">
        <w:tc>
          <w:tcPr>
            <w:tcW w:w="557" w:type="pct"/>
            <w:vMerge w:val="restart"/>
            <w:vAlign w:val="center"/>
          </w:tcPr>
          <w:p w:rsidR="006D44D1" w:rsidRPr="00CB38A8" w:rsidRDefault="006D44D1" w:rsidP="00B2315F">
            <w:pPr>
              <w:pStyle w:val="Tabletext"/>
            </w:pPr>
            <w:r>
              <w:t>GS-US-367-1168</w:t>
            </w:r>
          </w:p>
        </w:tc>
        <w:tc>
          <w:tcPr>
            <w:tcW w:w="3527" w:type="pct"/>
            <w:tcBorders>
              <w:bottom w:val="nil"/>
            </w:tcBorders>
          </w:tcPr>
          <w:p w:rsidR="006D44D1" w:rsidRPr="00CB38A8" w:rsidRDefault="006D44D1" w:rsidP="00CB7086">
            <w:pPr>
              <w:pStyle w:val="Tabletext"/>
              <w:spacing w:after="40"/>
              <w:jc w:val="left"/>
              <w:rPr>
                <w:rFonts w:ascii="Times" w:hAnsi="Times"/>
              </w:rPr>
            </w:pPr>
            <w:r>
              <w:rPr>
                <w:szCs w:val="18"/>
              </w:rPr>
              <w:t xml:space="preserve">A Phase 2, Global Multicenter, Open-Label Study to Investigate the Safety and Efficacy of GS-9857 plus </w:t>
            </w:r>
            <w:proofErr w:type="spellStart"/>
            <w:r>
              <w:rPr>
                <w:szCs w:val="18"/>
              </w:rPr>
              <w:t>Sofosbuvir</w:t>
            </w:r>
            <w:proofErr w:type="spellEnd"/>
            <w:r>
              <w:rPr>
                <w:szCs w:val="18"/>
              </w:rPr>
              <w:t xml:space="preserve">/GS-5816 Fixed Dose Combination in Subjects with Chronic Genotype 1 HCV Infection. </w:t>
            </w:r>
          </w:p>
        </w:tc>
        <w:tc>
          <w:tcPr>
            <w:tcW w:w="916" w:type="pct"/>
            <w:tcBorders>
              <w:bottom w:val="nil"/>
            </w:tcBorders>
          </w:tcPr>
          <w:p w:rsidR="006D44D1" w:rsidRPr="00CB38A8" w:rsidRDefault="006D44D1" w:rsidP="00CB7086">
            <w:pPr>
              <w:pStyle w:val="Tabletext"/>
              <w:jc w:val="left"/>
              <w:rPr>
                <w:rFonts w:ascii="Times" w:hAnsi="Times"/>
              </w:rPr>
            </w:pPr>
            <w:r>
              <w:t>No date Provided</w:t>
            </w:r>
          </w:p>
        </w:tc>
      </w:tr>
      <w:tr w:rsidR="006D44D1" w:rsidRPr="00AC45E8" w:rsidTr="00CB7086">
        <w:tc>
          <w:tcPr>
            <w:tcW w:w="557" w:type="pct"/>
            <w:vMerge/>
            <w:tcBorders>
              <w:bottom w:val="single" w:sz="4" w:space="0" w:color="auto"/>
            </w:tcBorders>
            <w:vAlign w:val="center"/>
          </w:tcPr>
          <w:p w:rsidR="006D44D1" w:rsidRPr="00CB38A8" w:rsidRDefault="006D44D1" w:rsidP="00B2315F">
            <w:pPr>
              <w:pStyle w:val="Tabletext"/>
            </w:pPr>
          </w:p>
        </w:tc>
        <w:tc>
          <w:tcPr>
            <w:tcW w:w="3527" w:type="pct"/>
            <w:tcBorders>
              <w:top w:val="nil"/>
              <w:bottom w:val="single" w:sz="4" w:space="0" w:color="auto"/>
            </w:tcBorders>
          </w:tcPr>
          <w:p w:rsidR="006D44D1" w:rsidRPr="00AC45E8" w:rsidRDefault="006D44D1" w:rsidP="00CB7086">
            <w:pPr>
              <w:pStyle w:val="Tabletext"/>
              <w:jc w:val="left"/>
              <w:rPr>
                <w:szCs w:val="18"/>
              </w:rPr>
            </w:pPr>
            <w:proofErr w:type="spellStart"/>
            <w:r>
              <w:rPr>
                <w:szCs w:val="18"/>
              </w:rPr>
              <w:t>Lawitz</w:t>
            </w:r>
            <w:proofErr w:type="spellEnd"/>
            <w:r>
              <w:rPr>
                <w:szCs w:val="18"/>
              </w:rPr>
              <w:t xml:space="preserve"> E, </w:t>
            </w:r>
            <w:proofErr w:type="spellStart"/>
            <w:r>
              <w:rPr>
                <w:szCs w:val="18"/>
              </w:rPr>
              <w:t>Kowdley</w:t>
            </w:r>
            <w:proofErr w:type="spellEnd"/>
            <w:r>
              <w:rPr>
                <w:szCs w:val="18"/>
              </w:rPr>
              <w:t xml:space="preserve"> K, Curry M, </w:t>
            </w:r>
            <w:proofErr w:type="spellStart"/>
            <w:r>
              <w:rPr>
                <w:szCs w:val="18"/>
              </w:rPr>
              <w:t>Reau</w:t>
            </w:r>
            <w:proofErr w:type="spellEnd"/>
            <w:r>
              <w:rPr>
                <w:szCs w:val="18"/>
              </w:rPr>
              <w:t xml:space="preserve"> N, Nguyen M, </w:t>
            </w:r>
            <w:proofErr w:type="spellStart"/>
            <w:r>
              <w:rPr>
                <w:szCs w:val="18"/>
              </w:rPr>
              <w:t>Kwo</w:t>
            </w:r>
            <w:proofErr w:type="spellEnd"/>
            <w:r>
              <w:rPr>
                <w:szCs w:val="18"/>
              </w:rPr>
              <w:t xml:space="preserve"> P, et al. High Efficacy of </w:t>
            </w:r>
            <w:proofErr w:type="spellStart"/>
            <w:r>
              <w:rPr>
                <w:szCs w:val="18"/>
              </w:rPr>
              <w:t>Sofosbuvir</w:t>
            </w:r>
            <w:proofErr w:type="spellEnd"/>
            <w:r>
              <w:rPr>
                <w:szCs w:val="18"/>
              </w:rPr>
              <w:t>/</w:t>
            </w:r>
            <w:proofErr w:type="spellStart"/>
            <w:r>
              <w:rPr>
                <w:szCs w:val="18"/>
              </w:rPr>
              <w:t>Velpatasvir</w:t>
            </w:r>
            <w:proofErr w:type="spellEnd"/>
            <w:r>
              <w:rPr>
                <w:szCs w:val="18"/>
              </w:rPr>
              <w:t xml:space="preserve"> Plus GS-9857 for 12 Weeks in Treatment-Experienced Genotype 1-6 HCV-Infected Patients, Including Those Previously Treated With Direct-Acting Antivirals.</w:t>
            </w:r>
          </w:p>
        </w:tc>
        <w:tc>
          <w:tcPr>
            <w:tcW w:w="916" w:type="pct"/>
            <w:tcBorders>
              <w:top w:val="nil"/>
              <w:bottom w:val="single" w:sz="4" w:space="0" w:color="auto"/>
            </w:tcBorders>
          </w:tcPr>
          <w:p w:rsidR="006D44D1" w:rsidRPr="00AC45E8" w:rsidRDefault="006D44D1" w:rsidP="00CB7086">
            <w:pPr>
              <w:pStyle w:val="Tabletext"/>
              <w:jc w:val="left"/>
            </w:pPr>
            <w:r>
              <w:rPr>
                <w:i/>
                <w:szCs w:val="18"/>
              </w:rPr>
              <w:t>EASL 2016 [Presentation]</w:t>
            </w:r>
          </w:p>
        </w:tc>
      </w:tr>
      <w:tr w:rsidR="006D44D1" w:rsidRPr="00CD5D90" w:rsidTr="00CB7086">
        <w:tc>
          <w:tcPr>
            <w:tcW w:w="5000" w:type="pct"/>
            <w:gridSpan w:val="3"/>
            <w:tcBorders>
              <w:bottom w:val="single" w:sz="4" w:space="0" w:color="auto"/>
            </w:tcBorders>
          </w:tcPr>
          <w:p w:rsidR="006D44D1" w:rsidRPr="00CD5D90" w:rsidRDefault="006D44D1" w:rsidP="00CB7086">
            <w:pPr>
              <w:pStyle w:val="Tabletext"/>
              <w:jc w:val="left"/>
              <w:rPr>
                <w:b/>
                <w:szCs w:val="18"/>
              </w:rPr>
            </w:pPr>
            <w:r>
              <w:rPr>
                <w:b/>
                <w:szCs w:val="18"/>
              </w:rPr>
              <w:t xml:space="preserve">Included trials - </w:t>
            </w:r>
            <w:proofErr w:type="spellStart"/>
            <w:r w:rsidRPr="00F475E9">
              <w:rPr>
                <w:b/>
                <w:szCs w:val="18"/>
              </w:rPr>
              <w:t>glecaprevir</w:t>
            </w:r>
            <w:proofErr w:type="spellEnd"/>
            <w:r w:rsidRPr="00F475E9">
              <w:rPr>
                <w:b/>
                <w:szCs w:val="18"/>
              </w:rPr>
              <w:t xml:space="preserve"> with </w:t>
            </w:r>
            <w:proofErr w:type="spellStart"/>
            <w:r w:rsidRPr="00F475E9">
              <w:rPr>
                <w:b/>
                <w:szCs w:val="18"/>
              </w:rPr>
              <w:t>pibrentasvir</w:t>
            </w:r>
            <w:proofErr w:type="spellEnd"/>
          </w:p>
        </w:tc>
      </w:tr>
      <w:tr w:rsidR="00CB7086" w:rsidTr="00CB7086">
        <w:trPr>
          <w:trHeight w:val="93"/>
        </w:trPr>
        <w:tc>
          <w:tcPr>
            <w:tcW w:w="557" w:type="pct"/>
            <w:vMerge w:val="restart"/>
            <w:vAlign w:val="center"/>
          </w:tcPr>
          <w:p w:rsidR="00CB7086" w:rsidRPr="00CB38A8" w:rsidRDefault="00CB7086" w:rsidP="00B2315F">
            <w:pPr>
              <w:pStyle w:val="Tabletext"/>
            </w:pPr>
            <w:r>
              <w:t>MAGELLAN-1 (Part 2)</w:t>
            </w:r>
          </w:p>
        </w:tc>
        <w:tc>
          <w:tcPr>
            <w:tcW w:w="3527" w:type="pct"/>
            <w:tcBorders>
              <w:top w:val="nil"/>
              <w:bottom w:val="nil"/>
            </w:tcBorders>
          </w:tcPr>
          <w:p w:rsidR="00CB7086" w:rsidRPr="00B50F8B" w:rsidRDefault="00CB7086" w:rsidP="00CB7086">
            <w:pPr>
              <w:spacing w:after="40"/>
              <w:jc w:val="left"/>
              <w:rPr>
                <w:rFonts w:ascii="Arial Narrow" w:hAnsi="Arial Narrow"/>
                <w:sz w:val="20"/>
                <w:szCs w:val="20"/>
              </w:rPr>
            </w:pPr>
            <w:proofErr w:type="spellStart"/>
            <w:r w:rsidRPr="00B50F8B">
              <w:rPr>
                <w:rFonts w:ascii="Arial Narrow" w:hAnsi="Arial Narrow"/>
                <w:sz w:val="20"/>
                <w:szCs w:val="20"/>
                <w:lang w:val="en-US"/>
              </w:rPr>
              <w:t>Poordad</w:t>
            </w:r>
            <w:proofErr w:type="spellEnd"/>
            <w:r w:rsidRPr="00B50F8B">
              <w:rPr>
                <w:rFonts w:ascii="Arial Narrow" w:hAnsi="Arial Narrow"/>
                <w:sz w:val="20"/>
                <w:szCs w:val="20"/>
                <w:lang w:val="en-US"/>
              </w:rPr>
              <w:t xml:space="preserve"> F., Pol S, Asatryan A, </w:t>
            </w:r>
            <w:proofErr w:type="spellStart"/>
            <w:r w:rsidRPr="00B50F8B">
              <w:rPr>
                <w:rFonts w:ascii="Arial Narrow" w:hAnsi="Arial Narrow"/>
                <w:sz w:val="20"/>
                <w:szCs w:val="20"/>
                <w:lang w:val="en-US"/>
              </w:rPr>
              <w:t>Buti</w:t>
            </w:r>
            <w:proofErr w:type="spellEnd"/>
            <w:r w:rsidRPr="00B50F8B">
              <w:rPr>
                <w:rFonts w:ascii="Arial Narrow" w:hAnsi="Arial Narrow"/>
                <w:sz w:val="20"/>
                <w:szCs w:val="20"/>
                <w:lang w:val="en-US"/>
              </w:rPr>
              <w:t xml:space="preserve"> M, Shaw D, </w:t>
            </w:r>
            <w:proofErr w:type="spellStart"/>
            <w:r w:rsidRPr="00B50F8B">
              <w:rPr>
                <w:rFonts w:ascii="Arial Narrow" w:hAnsi="Arial Narrow"/>
                <w:sz w:val="20"/>
                <w:szCs w:val="20"/>
                <w:lang w:val="en-US"/>
              </w:rPr>
              <w:t>Hézode</w:t>
            </w:r>
            <w:proofErr w:type="spellEnd"/>
            <w:r w:rsidRPr="00B50F8B">
              <w:rPr>
                <w:rFonts w:ascii="Arial Narrow" w:hAnsi="Arial Narrow"/>
                <w:sz w:val="20"/>
                <w:szCs w:val="20"/>
                <w:lang w:val="en-US"/>
              </w:rPr>
              <w:t xml:space="preserve"> C, et al., MAGELLAN-1, Part 2: </w:t>
            </w:r>
            <w:proofErr w:type="spellStart"/>
            <w:r w:rsidRPr="00B50F8B">
              <w:rPr>
                <w:rFonts w:ascii="Arial Narrow" w:hAnsi="Arial Narrow"/>
                <w:sz w:val="20"/>
                <w:szCs w:val="20"/>
                <w:lang w:val="en-US"/>
              </w:rPr>
              <w:t>glecaprevir</w:t>
            </w:r>
            <w:proofErr w:type="spellEnd"/>
            <w:r w:rsidRPr="00B50F8B">
              <w:rPr>
                <w:rFonts w:ascii="Arial Narrow" w:hAnsi="Arial Narrow"/>
                <w:sz w:val="20"/>
                <w:szCs w:val="20"/>
                <w:lang w:val="en-US"/>
              </w:rPr>
              <w:t xml:space="preserve"> and </w:t>
            </w:r>
            <w:proofErr w:type="spellStart"/>
            <w:r w:rsidRPr="00B50F8B">
              <w:rPr>
                <w:rFonts w:ascii="Arial Narrow" w:hAnsi="Arial Narrow"/>
                <w:sz w:val="20"/>
                <w:szCs w:val="20"/>
                <w:lang w:val="en-US"/>
              </w:rPr>
              <w:t>pibrentasvir</w:t>
            </w:r>
            <w:proofErr w:type="spellEnd"/>
            <w:r w:rsidRPr="00B50F8B">
              <w:rPr>
                <w:rFonts w:ascii="Arial Narrow" w:hAnsi="Arial Narrow"/>
                <w:sz w:val="20"/>
                <w:szCs w:val="20"/>
                <w:lang w:val="en-US"/>
              </w:rPr>
              <w:t xml:space="preserve"> for 12 or 16 weeks in patients with chronic hepatitis C virus genotype 1 or 4 and prior direct-acting antiviral treatment failure</w:t>
            </w:r>
          </w:p>
        </w:tc>
        <w:tc>
          <w:tcPr>
            <w:tcW w:w="916" w:type="pct"/>
            <w:tcBorders>
              <w:top w:val="nil"/>
              <w:bottom w:val="nil"/>
            </w:tcBorders>
          </w:tcPr>
          <w:p w:rsidR="00CB7086" w:rsidRDefault="00CB7086" w:rsidP="00CB7086">
            <w:pPr>
              <w:pStyle w:val="Tabletext"/>
              <w:jc w:val="left"/>
              <w:rPr>
                <w:i/>
                <w:szCs w:val="18"/>
              </w:rPr>
            </w:pPr>
            <w:r>
              <w:rPr>
                <w:szCs w:val="20"/>
                <w:lang w:val="en-US"/>
              </w:rPr>
              <w:t xml:space="preserve">J </w:t>
            </w:r>
            <w:proofErr w:type="spellStart"/>
            <w:r>
              <w:rPr>
                <w:szCs w:val="20"/>
                <w:lang w:val="en-US"/>
              </w:rPr>
              <w:t>Hepatol</w:t>
            </w:r>
            <w:proofErr w:type="spellEnd"/>
            <w:r>
              <w:rPr>
                <w:szCs w:val="20"/>
                <w:lang w:val="en-US"/>
              </w:rPr>
              <w:t xml:space="preserve"> </w:t>
            </w:r>
            <w:r w:rsidRPr="00B50F8B">
              <w:rPr>
                <w:snapToGrid/>
                <w:szCs w:val="20"/>
                <w:lang w:val="en-US"/>
              </w:rPr>
              <w:t xml:space="preserve">2017; 66 (1 </w:t>
            </w:r>
            <w:proofErr w:type="spellStart"/>
            <w:r w:rsidRPr="00B50F8B">
              <w:rPr>
                <w:snapToGrid/>
                <w:szCs w:val="20"/>
                <w:lang w:val="en-US"/>
              </w:rPr>
              <w:t>suppl</w:t>
            </w:r>
            <w:proofErr w:type="spellEnd"/>
            <w:r w:rsidRPr="00B50F8B">
              <w:rPr>
                <w:snapToGrid/>
                <w:szCs w:val="20"/>
                <w:lang w:val="en-US"/>
              </w:rPr>
              <w:t>) S83-84 </w:t>
            </w:r>
          </w:p>
        </w:tc>
      </w:tr>
      <w:tr w:rsidR="00CB7086" w:rsidTr="00CB7086">
        <w:tc>
          <w:tcPr>
            <w:tcW w:w="557" w:type="pct"/>
            <w:vMerge/>
            <w:vAlign w:val="center"/>
          </w:tcPr>
          <w:p w:rsidR="00CB7086" w:rsidRDefault="00CB7086" w:rsidP="00B2315F">
            <w:pPr>
              <w:pStyle w:val="Tabletext"/>
            </w:pPr>
          </w:p>
        </w:tc>
        <w:tc>
          <w:tcPr>
            <w:tcW w:w="3527" w:type="pct"/>
            <w:tcBorders>
              <w:top w:val="nil"/>
              <w:bottom w:val="nil"/>
            </w:tcBorders>
          </w:tcPr>
          <w:p w:rsidR="00CB7086" w:rsidRPr="00B50F8B" w:rsidRDefault="00CB7086" w:rsidP="00CB7086">
            <w:pPr>
              <w:pStyle w:val="p1"/>
              <w:spacing w:after="40"/>
              <w:jc w:val="left"/>
              <w:rPr>
                <w:rFonts w:ascii="Arial Narrow" w:hAnsi="Arial Narrow"/>
                <w:sz w:val="20"/>
                <w:szCs w:val="20"/>
              </w:rPr>
            </w:pPr>
            <w:proofErr w:type="spellStart"/>
            <w:r w:rsidRPr="00B50F8B">
              <w:rPr>
                <w:rFonts w:ascii="Arial Narrow" w:hAnsi="Arial Narrow"/>
                <w:sz w:val="20"/>
                <w:szCs w:val="20"/>
              </w:rPr>
              <w:t>Poordad</w:t>
            </w:r>
            <w:proofErr w:type="spellEnd"/>
            <w:r w:rsidRPr="00B50F8B">
              <w:rPr>
                <w:rFonts w:ascii="Arial Narrow" w:hAnsi="Arial Narrow"/>
                <w:sz w:val="20"/>
                <w:szCs w:val="20"/>
              </w:rPr>
              <w:t xml:space="preserve"> F., Pol S, Asatryan A, </w:t>
            </w:r>
            <w:proofErr w:type="spellStart"/>
            <w:r w:rsidRPr="00B50F8B">
              <w:rPr>
                <w:rFonts w:ascii="Arial Narrow" w:hAnsi="Arial Narrow"/>
                <w:sz w:val="20"/>
                <w:szCs w:val="20"/>
              </w:rPr>
              <w:t>Buti</w:t>
            </w:r>
            <w:proofErr w:type="spellEnd"/>
            <w:r w:rsidRPr="00B50F8B">
              <w:rPr>
                <w:rFonts w:ascii="Arial Narrow" w:hAnsi="Arial Narrow"/>
                <w:sz w:val="20"/>
                <w:szCs w:val="20"/>
              </w:rPr>
              <w:t xml:space="preserve"> M, Shaw D, </w:t>
            </w:r>
            <w:proofErr w:type="spellStart"/>
            <w:r w:rsidRPr="00B50F8B">
              <w:rPr>
                <w:rFonts w:ascii="Arial Narrow" w:hAnsi="Arial Narrow"/>
                <w:sz w:val="20"/>
                <w:szCs w:val="20"/>
              </w:rPr>
              <w:t>Hézode</w:t>
            </w:r>
            <w:proofErr w:type="spellEnd"/>
            <w:r w:rsidRPr="00B50F8B">
              <w:rPr>
                <w:rFonts w:ascii="Arial Narrow" w:hAnsi="Arial Narrow"/>
                <w:sz w:val="20"/>
                <w:szCs w:val="20"/>
              </w:rPr>
              <w:t xml:space="preserve"> C, et al., MAGELLAN-1, Part 2: </w:t>
            </w:r>
            <w:proofErr w:type="spellStart"/>
            <w:r w:rsidRPr="00B50F8B">
              <w:rPr>
                <w:rFonts w:ascii="Arial Narrow" w:hAnsi="Arial Narrow"/>
                <w:sz w:val="20"/>
                <w:szCs w:val="20"/>
              </w:rPr>
              <w:t>glecaprevir</w:t>
            </w:r>
            <w:proofErr w:type="spellEnd"/>
            <w:r w:rsidRPr="00B50F8B">
              <w:rPr>
                <w:rFonts w:ascii="Arial Narrow" w:hAnsi="Arial Narrow"/>
                <w:sz w:val="20"/>
                <w:szCs w:val="20"/>
              </w:rPr>
              <w:t xml:space="preserve"> and </w:t>
            </w:r>
            <w:proofErr w:type="spellStart"/>
            <w:r w:rsidRPr="00B50F8B">
              <w:rPr>
                <w:rFonts w:ascii="Arial Narrow" w:hAnsi="Arial Narrow"/>
                <w:sz w:val="20"/>
                <w:szCs w:val="20"/>
              </w:rPr>
              <w:t>pibrentasvir</w:t>
            </w:r>
            <w:proofErr w:type="spellEnd"/>
            <w:r w:rsidRPr="00B50F8B">
              <w:rPr>
                <w:rFonts w:ascii="Arial Narrow" w:hAnsi="Arial Narrow"/>
                <w:sz w:val="20"/>
                <w:szCs w:val="20"/>
              </w:rPr>
              <w:t xml:space="preserve"> for 12 or 16 weeks in patients with chronic hepatitis C virus genotype 1 or 4 and prior direct-acting antiviral treatment failure. </w:t>
            </w:r>
          </w:p>
        </w:tc>
        <w:tc>
          <w:tcPr>
            <w:tcW w:w="916" w:type="pct"/>
            <w:tcBorders>
              <w:top w:val="nil"/>
              <w:bottom w:val="nil"/>
            </w:tcBorders>
          </w:tcPr>
          <w:p w:rsidR="00CB7086" w:rsidRDefault="00CB7086" w:rsidP="00CB7086">
            <w:pPr>
              <w:pStyle w:val="p1"/>
              <w:jc w:val="left"/>
              <w:rPr>
                <w:szCs w:val="20"/>
                <w:lang w:val="en-US"/>
              </w:rPr>
            </w:pPr>
            <w:r w:rsidRPr="00B50F8B">
              <w:rPr>
                <w:rFonts w:ascii="Arial Narrow" w:hAnsi="Arial Narrow"/>
                <w:sz w:val="20"/>
                <w:szCs w:val="20"/>
              </w:rPr>
              <w:t>Gastroenter</w:t>
            </w:r>
            <w:r>
              <w:rPr>
                <w:rFonts w:ascii="Arial Narrow" w:hAnsi="Arial Narrow"/>
                <w:sz w:val="20"/>
                <w:szCs w:val="20"/>
              </w:rPr>
              <w:t>ology,</w:t>
            </w:r>
            <w:r w:rsidRPr="00B50F8B">
              <w:rPr>
                <w:rFonts w:ascii="Arial Narrow" w:hAnsi="Arial Narrow"/>
                <w:sz w:val="20"/>
                <w:szCs w:val="20"/>
              </w:rPr>
              <w:t xml:space="preserve">2017; 152 (5) </w:t>
            </w:r>
            <w:proofErr w:type="spellStart"/>
            <w:r w:rsidRPr="00B50F8B">
              <w:rPr>
                <w:rFonts w:ascii="Arial Narrow" w:hAnsi="Arial Narrow"/>
                <w:sz w:val="20"/>
                <w:szCs w:val="20"/>
              </w:rPr>
              <w:t>suppl</w:t>
            </w:r>
            <w:proofErr w:type="spellEnd"/>
            <w:r w:rsidRPr="00B50F8B">
              <w:rPr>
                <w:rFonts w:ascii="Arial Narrow" w:hAnsi="Arial Narrow"/>
                <w:sz w:val="20"/>
                <w:szCs w:val="20"/>
              </w:rPr>
              <w:t xml:space="preserve"> 1 pS1057.</w:t>
            </w:r>
            <w:r w:rsidRPr="00B50F8B">
              <w:rPr>
                <w:rStyle w:val="apple-converted-space"/>
                <w:rFonts w:ascii="Arial Narrow" w:hAnsi="Arial Narrow"/>
                <w:sz w:val="20"/>
                <w:szCs w:val="20"/>
              </w:rPr>
              <w:t> </w:t>
            </w:r>
          </w:p>
        </w:tc>
      </w:tr>
      <w:tr w:rsidR="00CB7086" w:rsidRPr="00B50F8B" w:rsidTr="00CB7086">
        <w:tc>
          <w:tcPr>
            <w:tcW w:w="557" w:type="pct"/>
            <w:vMerge/>
            <w:tcBorders>
              <w:bottom w:val="single" w:sz="4" w:space="0" w:color="auto"/>
            </w:tcBorders>
            <w:vAlign w:val="center"/>
          </w:tcPr>
          <w:p w:rsidR="00CB7086" w:rsidRDefault="00CB7086" w:rsidP="00B2315F">
            <w:pPr>
              <w:pStyle w:val="Tabletext"/>
            </w:pPr>
          </w:p>
        </w:tc>
        <w:tc>
          <w:tcPr>
            <w:tcW w:w="3527" w:type="pct"/>
            <w:tcBorders>
              <w:top w:val="nil"/>
              <w:bottom w:val="single" w:sz="4" w:space="0" w:color="auto"/>
            </w:tcBorders>
          </w:tcPr>
          <w:p w:rsidR="00CB7086" w:rsidRPr="00B50F8B" w:rsidRDefault="00CB7086" w:rsidP="00CB7086">
            <w:pPr>
              <w:jc w:val="left"/>
              <w:rPr>
                <w:rFonts w:ascii="Arial Narrow" w:hAnsi="Arial Narrow"/>
                <w:sz w:val="20"/>
                <w:szCs w:val="20"/>
              </w:rPr>
            </w:pPr>
            <w:proofErr w:type="spellStart"/>
            <w:r w:rsidRPr="00B50F8B">
              <w:rPr>
                <w:rFonts w:ascii="Arial Narrow" w:hAnsi="Arial Narrow"/>
                <w:sz w:val="20"/>
                <w:szCs w:val="20"/>
              </w:rPr>
              <w:t>Poordad</w:t>
            </w:r>
            <w:proofErr w:type="spellEnd"/>
            <w:r w:rsidRPr="00B50F8B">
              <w:rPr>
                <w:rFonts w:ascii="Arial Narrow" w:hAnsi="Arial Narrow"/>
                <w:sz w:val="20"/>
                <w:szCs w:val="20"/>
              </w:rPr>
              <w:t xml:space="preserve"> F, </w:t>
            </w:r>
            <w:proofErr w:type="spellStart"/>
            <w:r w:rsidRPr="00B50F8B">
              <w:rPr>
                <w:rFonts w:ascii="Arial Narrow" w:hAnsi="Arial Narrow"/>
                <w:sz w:val="20"/>
                <w:szCs w:val="20"/>
              </w:rPr>
              <w:t>Felizarta</w:t>
            </w:r>
            <w:proofErr w:type="spellEnd"/>
            <w:r w:rsidRPr="00B50F8B">
              <w:rPr>
                <w:rFonts w:ascii="Arial Narrow" w:hAnsi="Arial Narrow"/>
                <w:sz w:val="20"/>
                <w:szCs w:val="20"/>
              </w:rPr>
              <w:t xml:space="preserve"> F, Asatryan A, </w:t>
            </w:r>
            <w:proofErr w:type="spellStart"/>
            <w:r w:rsidRPr="00B50F8B">
              <w:rPr>
                <w:rFonts w:ascii="Arial Narrow" w:hAnsi="Arial Narrow"/>
                <w:sz w:val="20"/>
                <w:szCs w:val="20"/>
              </w:rPr>
              <w:t>Sulkowski</w:t>
            </w:r>
            <w:proofErr w:type="spellEnd"/>
            <w:r w:rsidRPr="00B50F8B">
              <w:rPr>
                <w:rFonts w:ascii="Arial Narrow" w:hAnsi="Arial Narrow"/>
                <w:sz w:val="20"/>
                <w:szCs w:val="20"/>
              </w:rPr>
              <w:t xml:space="preserve"> MS, </w:t>
            </w:r>
            <w:proofErr w:type="spellStart"/>
            <w:r w:rsidRPr="00B50F8B">
              <w:rPr>
                <w:rFonts w:ascii="Arial Narrow" w:hAnsi="Arial Narrow"/>
                <w:sz w:val="20"/>
                <w:szCs w:val="20"/>
              </w:rPr>
              <w:t>Reindollar</w:t>
            </w:r>
            <w:proofErr w:type="spellEnd"/>
            <w:r w:rsidRPr="00B50F8B">
              <w:rPr>
                <w:rFonts w:ascii="Arial Narrow" w:hAnsi="Arial Narrow"/>
                <w:sz w:val="20"/>
                <w:szCs w:val="20"/>
              </w:rPr>
              <w:t xml:space="preserve"> RW, Landis CS, et al.,</w:t>
            </w:r>
            <w:proofErr w:type="spellStart"/>
            <w:r w:rsidRPr="00B50F8B">
              <w:rPr>
                <w:rFonts w:ascii="Arial Narrow" w:hAnsi="Arial Narrow"/>
                <w:sz w:val="20"/>
                <w:szCs w:val="20"/>
              </w:rPr>
              <w:t>Glecaprevir</w:t>
            </w:r>
            <w:proofErr w:type="spellEnd"/>
            <w:r w:rsidRPr="00B50F8B">
              <w:rPr>
                <w:rFonts w:ascii="Arial Narrow" w:hAnsi="Arial Narrow"/>
                <w:sz w:val="20"/>
                <w:szCs w:val="20"/>
              </w:rPr>
              <w:t xml:space="preserve"> and </w:t>
            </w:r>
            <w:proofErr w:type="spellStart"/>
            <w:r w:rsidRPr="00B50F8B">
              <w:rPr>
                <w:rFonts w:ascii="Arial Narrow" w:hAnsi="Arial Narrow"/>
                <w:sz w:val="20"/>
                <w:szCs w:val="20"/>
              </w:rPr>
              <w:t>pibrentasvir</w:t>
            </w:r>
            <w:proofErr w:type="spellEnd"/>
            <w:r w:rsidRPr="00B50F8B">
              <w:rPr>
                <w:rFonts w:ascii="Arial Narrow" w:hAnsi="Arial Narrow"/>
                <w:sz w:val="20"/>
                <w:szCs w:val="20"/>
              </w:rPr>
              <w:t xml:space="preserve"> for 12 weeks for hepatitis C virus genotype 1 infection and prior direct-acting antiviral treatment. </w:t>
            </w:r>
          </w:p>
        </w:tc>
        <w:tc>
          <w:tcPr>
            <w:tcW w:w="916" w:type="pct"/>
            <w:tcBorders>
              <w:top w:val="nil"/>
              <w:bottom w:val="single" w:sz="4" w:space="0" w:color="auto"/>
            </w:tcBorders>
          </w:tcPr>
          <w:p w:rsidR="00CB7086" w:rsidRPr="00B50F8B" w:rsidRDefault="00CB7086" w:rsidP="00CB7086">
            <w:pPr>
              <w:pStyle w:val="p1"/>
              <w:jc w:val="left"/>
              <w:rPr>
                <w:rFonts w:ascii="Arial Narrow" w:hAnsi="Arial Narrow"/>
                <w:sz w:val="20"/>
                <w:szCs w:val="20"/>
              </w:rPr>
            </w:pPr>
            <w:r>
              <w:rPr>
                <w:rFonts w:ascii="Arial Narrow" w:hAnsi="Arial Narrow"/>
                <w:sz w:val="20"/>
                <w:szCs w:val="20"/>
              </w:rPr>
              <w:t xml:space="preserve">Hepatology </w:t>
            </w:r>
            <w:r w:rsidRPr="00B50F8B">
              <w:rPr>
                <w:rFonts w:ascii="Arial Narrow" w:hAnsi="Arial Narrow"/>
                <w:sz w:val="20"/>
                <w:szCs w:val="20"/>
              </w:rPr>
              <w:t>2017;</w:t>
            </w:r>
            <w:r>
              <w:rPr>
                <w:rFonts w:ascii="Arial Narrow" w:hAnsi="Arial Narrow"/>
                <w:sz w:val="20"/>
                <w:szCs w:val="20"/>
              </w:rPr>
              <w:t xml:space="preserve"> </w:t>
            </w:r>
            <w:r w:rsidRPr="00B50F8B">
              <w:rPr>
                <w:rFonts w:ascii="Arial Narrow" w:hAnsi="Arial Narrow"/>
                <w:sz w:val="20"/>
                <w:szCs w:val="20"/>
              </w:rPr>
              <w:t>66(2):389-397. </w:t>
            </w:r>
          </w:p>
        </w:tc>
      </w:tr>
    </w:tbl>
    <w:p w:rsidR="00766216" w:rsidRPr="00D24896" w:rsidRDefault="00233C61" w:rsidP="008F120A">
      <w:pPr>
        <w:rPr>
          <w:rFonts w:ascii="Arial Narrow" w:hAnsi="Arial Narrow"/>
          <w:sz w:val="18"/>
        </w:rPr>
      </w:pPr>
      <w:r w:rsidRPr="00233C61">
        <w:rPr>
          <w:rFonts w:ascii="Arial Narrow" w:hAnsi="Arial Narrow"/>
          <w:sz w:val="18"/>
        </w:rPr>
        <w:t xml:space="preserve">Source: </w:t>
      </w:r>
      <w:r w:rsidR="00CB7086">
        <w:rPr>
          <w:rFonts w:ascii="Arial Narrow" w:hAnsi="Arial Narrow"/>
          <w:sz w:val="18"/>
        </w:rPr>
        <w:t xml:space="preserve">Table </w:t>
      </w:r>
      <w:r w:rsidRPr="00233C61">
        <w:rPr>
          <w:rFonts w:ascii="Arial Narrow" w:hAnsi="Arial Narrow"/>
          <w:sz w:val="18"/>
        </w:rPr>
        <w:t>2.4, p37 of the submission</w:t>
      </w:r>
      <w:r w:rsidR="006D44D1">
        <w:rPr>
          <w:rFonts w:ascii="Arial Narrow" w:hAnsi="Arial Narrow"/>
          <w:sz w:val="18"/>
        </w:rPr>
        <w:t xml:space="preserve">, Table 1, p3 of Appendix 3 to the submission </w:t>
      </w:r>
      <w:r w:rsidRPr="00233C61">
        <w:rPr>
          <w:rFonts w:ascii="Arial Narrow" w:hAnsi="Arial Narrow"/>
          <w:sz w:val="18"/>
        </w:rPr>
        <w:t xml:space="preserve">and the Section 2 annotated literature search </w:t>
      </w:r>
      <w:r w:rsidR="00D24896">
        <w:rPr>
          <w:rFonts w:ascii="Arial Narrow" w:hAnsi="Arial Narrow"/>
          <w:sz w:val="18"/>
        </w:rPr>
        <w:t>in Attachment to the submission</w:t>
      </w:r>
    </w:p>
    <w:p w:rsidR="004F54A8" w:rsidRPr="008F120A" w:rsidRDefault="00D43DF8" w:rsidP="008F120A">
      <w:r>
        <w:br w:type="page"/>
      </w:r>
    </w:p>
    <w:p w:rsidR="00471E28" w:rsidRPr="004F54A8" w:rsidRDefault="008F120A" w:rsidP="00F477B2">
      <w:pPr>
        <w:pStyle w:val="ListParagraph"/>
        <w:numPr>
          <w:ilvl w:val="1"/>
          <w:numId w:val="2"/>
        </w:numPr>
        <w:rPr>
          <w:rStyle w:val="CommentReference"/>
          <w:rFonts w:asciiTheme="minorHAnsi" w:hAnsiTheme="minorHAnsi"/>
          <w:b w:val="0"/>
          <w:sz w:val="24"/>
          <w:szCs w:val="24"/>
        </w:rPr>
      </w:pPr>
      <w:r w:rsidRPr="00B50DB8">
        <w:lastRenderedPageBreak/>
        <w:t>The key features</w:t>
      </w:r>
      <w:r w:rsidR="007617D1">
        <w:t xml:space="preserve"> of the direct randomised trials</w:t>
      </w:r>
      <w:r w:rsidRPr="00B50DB8">
        <w:t xml:space="preserve"> are summarised in </w:t>
      </w:r>
      <w:r w:rsidR="00116E7D">
        <w:t>Table 4</w:t>
      </w:r>
      <w:r w:rsidRPr="00B50DB8">
        <w:t xml:space="preserve">.  </w:t>
      </w:r>
    </w:p>
    <w:p w:rsidR="007F1017" w:rsidRPr="00E2771E" w:rsidRDefault="00116E7D" w:rsidP="00045017">
      <w:pPr>
        <w:rPr>
          <w:rStyle w:val="CommentReference"/>
        </w:rPr>
      </w:pPr>
      <w:r>
        <w:rPr>
          <w:rStyle w:val="CommentReference"/>
        </w:rPr>
        <w:t>Table 4</w:t>
      </w:r>
      <w:r w:rsidR="007F1017" w:rsidRPr="00E2771E">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8"/>
        <w:gridCol w:w="400"/>
        <w:gridCol w:w="1421"/>
        <w:gridCol w:w="1128"/>
        <w:gridCol w:w="1557"/>
        <w:gridCol w:w="1130"/>
        <w:gridCol w:w="1709"/>
      </w:tblGrid>
      <w:tr w:rsidR="00233C61" w:rsidRPr="00B41614" w:rsidTr="00233C61">
        <w:tc>
          <w:tcPr>
            <w:tcW w:w="957" w:type="pct"/>
            <w:shd w:val="clear" w:color="auto" w:fill="auto"/>
            <w:vAlign w:val="center"/>
          </w:tcPr>
          <w:p w:rsidR="007F1017" w:rsidRPr="00B41614" w:rsidRDefault="007F1017" w:rsidP="00E96697">
            <w:pPr>
              <w:pStyle w:val="Tabletext"/>
              <w:rPr>
                <w:b/>
                <w:lang w:val="en-US"/>
              </w:rPr>
            </w:pPr>
            <w:r w:rsidRPr="00B41614">
              <w:rPr>
                <w:b/>
                <w:lang w:val="en-US"/>
              </w:rPr>
              <w:t>Trial</w:t>
            </w:r>
          </w:p>
        </w:tc>
        <w:tc>
          <w:tcPr>
            <w:tcW w:w="220" w:type="pct"/>
            <w:shd w:val="clear" w:color="auto" w:fill="auto"/>
            <w:vAlign w:val="center"/>
          </w:tcPr>
          <w:p w:rsidR="007F1017" w:rsidRPr="00B41614" w:rsidRDefault="007F1017" w:rsidP="00E96697">
            <w:pPr>
              <w:pStyle w:val="Tabletext"/>
              <w:jc w:val="center"/>
              <w:rPr>
                <w:b/>
                <w:lang w:val="en-US"/>
              </w:rPr>
            </w:pPr>
            <w:r w:rsidRPr="00B41614">
              <w:rPr>
                <w:b/>
                <w:lang w:val="en-US"/>
              </w:rPr>
              <w:t>N</w:t>
            </w:r>
          </w:p>
        </w:tc>
        <w:tc>
          <w:tcPr>
            <w:tcW w:w="782" w:type="pct"/>
            <w:shd w:val="clear" w:color="auto" w:fill="auto"/>
            <w:vAlign w:val="center"/>
          </w:tcPr>
          <w:p w:rsidR="007F1017" w:rsidRPr="00B41614" w:rsidRDefault="007F1017" w:rsidP="00E96697">
            <w:pPr>
              <w:pStyle w:val="Tabletext"/>
              <w:jc w:val="center"/>
              <w:rPr>
                <w:b/>
                <w:lang w:val="en-US"/>
              </w:rPr>
            </w:pPr>
            <w:r w:rsidRPr="00B41614">
              <w:rPr>
                <w:b/>
                <w:lang w:val="en-US"/>
              </w:rPr>
              <w:t>Design/ duration</w:t>
            </w:r>
          </w:p>
        </w:tc>
        <w:tc>
          <w:tcPr>
            <w:tcW w:w="621" w:type="pct"/>
            <w:shd w:val="clear" w:color="auto" w:fill="auto"/>
            <w:vAlign w:val="center"/>
          </w:tcPr>
          <w:p w:rsidR="007F1017" w:rsidRPr="00B41614" w:rsidRDefault="007F1017" w:rsidP="00E96697">
            <w:pPr>
              <w:pStyle w:val="Tabletext"/>
              <w:jc w:val="center"/>
              <w:rPr>
                <w:b/>
                <w:lang w:val="en-US"/>
              </w:rPr>
            </w:pPr>
            <w:r w:rsidRPr="00B41614">
              <w:rPr>
                <w:b/>
                <w:lang w:val="en-US"/>
              </w:rPr>
              <w:t>Risk of bias</w:t>
            </w:r>
          </w:p>
        </w:tc>
        <w:tc>
          <w:tcPr>
            <w:tcW w:w="857" w:type="pct"/>
            <w:shd w:val="clear" w:color="auto" w:fill="auto"/>
            <w:vAlign w:val="center"/>
          </w:tcPr>
          <w:p w:rsidR="007F1017" w:rsidRPr="00B41614" w:rsidRDefault="007F1017" w:rsidP="00B41614">
            <w:pPr>
              <w:pStyle w:val="Tabletext"/>
              <w:jc w:val="center"/>
              <w:rPr>
                <w:b/>
                <w:lang w:val="en-US"/>
              </w:rPr>
            </w:pPr>
            <w:r w:rsidRPr="00B41614">
              <w:rPr>
                <w:b/>
                <w:lang w:val="en-US"/>
              </w:rPr>
              <w:t>Patient population</w:t>
            </w:r>
          </w:p>
        </w:tc>
        <w:tc>
          <w:tcPr>
            <w:tcW w:w="622" w:type="pct"/>
            <w:shd w:val="clear" w:color="auto" w:fill="auto"/>
            <w:vAlign w:val="center"/>
          </w:tcPr>
          <w:p w:rsidR="007F1017" w:rsidRPr="00B41614" w:rsidRDefault="007F1017" w:rsidP="00B41614">
            <w:pPr>
              <w:pStyle w:val="Tabletext"/>
              <w:jc w:val="center"/>
              <w:rPr>
                <w:b/>
                <w:lang w:val="en-US"/>
              </w:rPr>
            </w:pPr>
            <w:r w:rsidRPr="00B41614">
              <w:rPr>
                <w:b/>
                <w:lang w:val="en-US"/>
              </w:rPr>
              <w:t>Outcome(s)</w:t>
            </w:r>
          </w:p>
        </w:tc>
        <w:tc>
          <w:tcPr>
            <w:tcW w:w="941" w:type="pct"/>
            <w:shd w:val="clear" w:color="auto" w:fill="auto"/>
            <w:vAlign w:val="center"/>
          </w:tcPr>
          <w:p w:rsidR="007F1017" w:rsidRPr="00B41614" w:rsidRDefault="007F1017" w:rsidP="00B41614">
            <w:pPr>
              <w:pStyle w:val="Tabletext"/>
              <w:jc w:val="center"/>
              <w:rPr>
                <w:b/>
                <w:lang w:val="en-US"/>
              </w:rPr>
            </w:pPr>
            <w:r w:rsidRPr="00B41614">
              <w:rPr>
                <w:b/>
                <w:lang w:val="en-US"/>
              </w:rPr>
              <w:t>Use in modelled evaluation</w:t>
            </w:r>
          </w:p>
        </w:tc>
      </w:tr>
      <w:tr w:rsidR="007F1017" w:rsidRPr="00E2771E" w:rsidTr="00B41614">
        <w:tc>
          <w:tcPr>
            <w:tcW w:w="5000" w:type="pct"/>
            <w:gridSpan w:val="7"/>
            <w:shd w:val="clear" w:color="auto" w:fill="auto"/>
            <w:vAlign w:val="center"/>
          </w:tcPr>
          <w:p w:rsidR="007F1017" w:rsidRPr="00B41614" w:rsidRDefault="00233C61" w:rsidP="00B41614">
            <w:pPr>
              <w:pStyle w:val="Tabletext"/>
              <w:rPr>
                <w:b/>
                <w:lang w:val="en-US"/>
              </w:rPr>
            </w:pPr>
            <w:proofErr w:type="spellStart"/>
            <w:r>
              <w:rPr>
                <w:b/>
                <w:lang w:val="en-US"/>
              </w:rPr>
              <w:t>Sof+vel+vox</w:t>
            </w:r>
            <w:proofErr w:type="spellEnd"/>
            <w:r>
              <w:rPr>
                <w:b/>
                <w:lang w:val="en-US"/>
              </w:rPr>
              <w:t xml:space="preserve"> vs placebo</w:t>
            </w:r>
          </w:p>
        </w:tc>
      </w:tr>
      <w:tr w:rsidR="00233C61" w:rsidRPr="00E2771E" w:rsidTr="00233C61">
        <w:tc>
          <w:tcPr>
            <w:tcW w:w="957" w:type="pct"/>
            <w:shd w:val="clear" w:color="auto" w:fill="auto"/>
            <w:vAlign w:val="center"/>
          </w:tcPr>
          <w:p w:rsidR="007F1017" w:rsidRPr="00E2771E" w:rsidRDefault="00233C61" w:rsidP="00B41614">
            <w:pPr>
              <w:pStyle w:val="Tabletext"/>
              <w:rPr>
                <w:lang w:val="en-US"/>
              </w:rPr>
            </w:pPr>
            <w:r>
              <w:rPr>
                <w:lang w:val="en-US"/>
              </w:rPr>
              <w:t>POLARIS-1</w:t>
            </w:r>
          </w:p>
        </w:tc>
        <w:tc>
          <w:tcPr>
            <w:tcW w:w="220" w:type="pct"/>
            <w:shd w:val="clear" w:color="auto" w:fill="auto"/>
            <w:vAlign w:val="center"/>
          </w:tcPr>
          <w:p w:rsidR="007F1017" w:rsidRPr="00E2771E" w:rsidRDefault="00233C61" w:rsidP="00B41614">
            <w:pPr>
              <w:pStyle w:val="Tabletext"/>
              <w:jc w:val="center"/>
              <w:rPr>
                <w:lang w:val="en-US"/>
              </w:rPr>
            </w:pPr>
            <w:r>
              <w:rPr>
                <w:lang w:val="en-US"/>
              </w:rPr>
              <w:t>416</w:t>
            </w:r>
          </w:p>
        </w:tc>
        <w:tc>
          <w:tcPr>
            <w:tcW w:w="782" w:type="pct"/>
            <w:shd w:val="clear" w:color="auto" w:fill="auto"/>
            <w:vAlign w:val="center"/>
          </w:tcPr>
          <w:p w:rsidR="007F1017" w:rsidRPr="00E2771E" w:rsidRDefault="007F1017" w:rsidP="00C7151A">
            <w:pPr>
              <w:pStyle w:val="Tabletext"/>
              <w:jc w:val="center"/>
              <w:rPr>
                <w:lang w:val="en-US"/>
              </w:rPr>
            </w:pPr>
            <w:r w:rsidRPr="00E2771E">
              <w:rPr>
                <w:lang w:val="en-US"/>
              </w:rPr>
              <w:t>R, DB</w:t>
            </w:r>
          </w:p>
          <w:p w:rsidR="007F1017" w:rsidRPr="00E2771E" w:rsidRDefault="007F1017" w:rsidP="00C7151A">
            <w:pPr>
              <w:pStyle w:val="Tabletext"/>
              <w:jc w:val="center"/>
              <w:rPr>
                <w:lang w:val="en-US"/>
              </w:rPr>
            </w:pPr>
          </w:p>
        </w:tc>
        <w:tc>
          <w:tcPr>
            <w:tcW w:w="621" w:type="pct"/>
            <w:shd w:val="clear" w:color="auto" w:fill="auto"/>
            <w:vAlign w:val="center"/>
          </w:tcPr>
          <w:p w:rsidR="007F1017" w:rsidRPr="00E2771E" w:rsidRDefault="007F1017" w:rsidP="00B41614">
            <w:pPr>
              <w:pStyle w:val="Tabletext"/>
              <w:jc w:val="center"/>
              <w:rPr>
                <w:lang w:val="en-US"/>
              </w:rPr>
            </w:pPr>
            <w:r w:rsidRPr="00E2771E">
              <w:rPr>
                <w:lang w:val="en-US"/>
              </w:rPr>
              <w:t>Low</w:t>
            </w:r>
          </w:p>
        </w:tc>
        <w:tc>
          <w:tcPr>
            <w:tcW w:w="857" w:type="pct"/>
            <w:shd w:val="clear" w:color="auto" w:fill="auto"/>
            <w:vAlign w:val="center"/>
          </w:tcPr>
          <w:p w:rsidR="007F1017" w:rsidRPr="00E2771E" w:rsidRDefault="00233C61" w:rsidP="006D5D64">
            <w:pPr>
              <w:pStyle w:val="Tabletext"/>
              <w:jc w:val="center"/>
              <w:rPr>
                <w:lang w:val="en-US"/>
              </w:rPr>
            </w:pPr>
            <w:r>
              <w:rPr>
                <w:lang w:val="en-US"/>
              </w:rPr>
              <w:t xml:space="preserve">NS5A treated </w:t>
            </w:r>
          </w:p>
        </w:tc>
        <w:tc>
          <w:tcPr>
            <w:tcW w:w="622" w:type="pct"/>
            <w:shd w:val="clear" w:color="auto" w:fill="auto"/>
            <w:vAlign w:val="center"/>
          </w:tcPr>
          <w:p w:rsidR="007F1017" w:rsidRPr="00E2771E" w:rsidRDefault="00233C61" w:rsidP="00B41614">
            <w:pPr>
              <w:pStyle w:val="Tabletext"/>
              <w:jc w:val="center"/>
              <w:rPr>
                <w:lang w:val="en-US"/>
              </w:rPr>
            </w:pPr>
            <w:r>
              <w:rPr>
                <w:lang w:val="en-US"/>
              </w:rPr>
              <w:t>SVR12</w:t>
            </w:r>
          </w:p>
        </w:tc>
        <w:tc>
          <w:tcPr>
            <w:tcW w:w="941" w:type="pct"/>
            <w:shd w:val="clear" w:color="auto" w:fill="auto"/>
            <w:vAlign w:val="center"/>
          </w:tcPr>
          <w:p w:rsidR="007F1017" w:rsidRPr="00E2771E" w:rsidRDefault="00233C61" w:rsidP="00B41614">
            <w:pPr>
              <w:pStyle w:val="Tabletext"/>
              <w:jc w:val="center"/>
              <w:rPr>
                <w:lang w:val="en-US"/>
              </w:rPr>
            </w:pPr>
            <w:r>
              <w:rPr>
                <w:lang w:val="en-US"/>
              </w:rPr>
              <w:t>SVR12</w:t>
            </w:r>
          </w:p>
        </w:tc>
      </w:tr>
      <w:tr w:rsidR="00233C61" w:rsidRPr="00E2771E" w:rsidTr="00233C61">
        <w:tc>
          <w:tcPr>
            <w:tcW w:w="5000" w:type="pct"/>
            <w:gridSpan w:val="7"/>
            <w:shd w:val="clear" w:color="auto" w:fill="auto"/>
            <w:vAlign w:val="center"/>
          </w:tcPr>
          <w:p w:rsidR="00233C61" w:rsidRPr="00233C61" w:rsidRDefault="00233C61" w:rsidP="00233C61">
            <w:pPr>
              <w:pStyle w:val="Tabletext"/>
              <w:rPr>
                <w:b/>
                <w:lang w:val="en-US"/>
              </w:rPr>
            </w:pPr>
            <w:r>
              <w:rPr>
                <w:b/>
                <w:lang w:val="en-US"/>
              </w:rPr>
              <w:t xml:space="preserve">GP 12 weeks versus GP 16 weeks </w:t>
            </w:r>
          </w:p>
        </w:tc>
      </w:tr>
      <w:tr w:rsidR="00233C61" w:rsidRPr="00E2771E" w:rsidTr="00233C61">
        <w:trPr>
          <w:trHeight w:val="170"/>
        </w:trPr>
        <w:tc>
          <w:tcPr>
            <w:tcW w:w="957" w:type="pct"/>
            <w:shd w:val="clear" w:color="auto" w:fill="auto"/>
            <w:vAlign w:val="center"/>
          </w:tcPr>
          <w:p w:rsidR="007F1017" w:rsidRPr="00E2771E" w:rsidRDefault="00233C61" w:rsidP="00B41614">
            <w:pPr>
              <w:pStyle w:val="Tabletext"/>
              <w:rPr>
                <w:lang w:val="en-US"/>
              </w:rPr>
            </w:pPr>
            <w:r>
              <w:rPr>
                <w:lang w:val="en-US"/>
              </w:rPr>
              <w:t>MAGELLAN-1 (Part 2)</w:t>
            </w:r>
          </w:p>
        </w:tc>
        <w:tc>
          <w:tcPr>
            <w:tcW w:w="220" w:type="pct"/>
            <w:shd w:val="clear" w:color="auto" w:fill="auto"/>
            <w:vAlign w:val="center"/>
          </w:tcPr>
          <w:p w:rsidR="007F1017" w:rsidRPr="00E2771E" w:rsidRDefault="00233C61" w:rsidP="00B41614">
            <w:pPr>
              <w:pStyle w:val="Tabletext"/>
              <w:jc w:val="center"/>
              <w:rPr>
                <w:lang w:val="en-US"/>
              </w:rPr>
            </w:pPr>
            <w:r>
              <w:rPr>
                <w:lang w:val="en-US"/>
              </w:rPr>
              <w:t>91</w:t>
            </w:r>
          </w:p>
        </w:tc>
        <w:tc>
          <w:tcPr>
            <w:tcW w:w="782" w:type="pct"/>
            <w:shd w:val="clear" w:color="auto" w:fill="auto"/>
            <w:vAlign w:val="center"/>
          </w:tcPr>
          <w:p w:rsidR="007F1017" w:rsidRPr="00E2771E" w:rsidRDefault="00233C61" w:rsidP="00B41614">
            <w:pPr>
              <w:pStyle w:val="Tabletext"/>
              <w:jc w:val="center"/>
              <w:rPr>
                <w:lang w:val="en-US"/>
              </w:rPr>
            </w:pPr>
            <w:r>
              <w:rPr>
                <w:lang w:val="en-US"/>
              </w:rPr>
              <w:t>R, OL</w:t>
            </w:r>
          </w:p>
        </w:tc>
        <w:tc>
          <w:tcPr>
            <w:tcW w:w="621" w:type="pct"/>
            <w:shd w:val="clear" w:color="auto" w:fill="auto"/>
            <w:vAlign w:val="center"/>
          </w:tcPr>
          <w:p w:rsidR="007F1017" w:rsidRPr="00E2771E" w:rsidRDefault="00233C61" w:rsidP="00B41614">
            <w:pPr>
              <w:pStyle w:val="Tabletext"/>
              <w:jc w:val="center"/>
              <w:rPr>
                <w:lang w:val="en-US"/>
              </w:rPr>
            </w:pPr>
            <w:r>
              <w:rPr>
                <w:lang w:val="en-US"/>
              </w:rPr>
              <w:t>Unclear</w:t>
            </w:r>
          </w:p>
        </w:tc>
        <w:tc>
          <w:tcPr>
            <w:tcW w:w="857" w:type="pct"/>
            <w:shd w:val="clear" w:color="auto" w:fill="auto"/>
            <w:vAlign w:val="center"/>
          </w:tcPr>
          <w:p w:rsidR="007F1017" w:rsidRPr="00E2771E" w:rsidRDefault="00233C61" w:rsidP="00B41614">
            <w:pPr>
              <w:pStyle w:val="Tabletext"/>
              <w:jc w:val="center"/>
              <w:rPr>
                <w:lang w:val="en-US"/>
              </w:rPr>
            </w:pPr>
            <w:r>
              <w:rPr>
                <w:lang w:val="en-US"/>
              </w:rPr>
              <w:t>DAA treated patients, GT 1, 4</w:t>
            </w:r>
          </w:p>
        </w:tc>
        <w:tc>
          <w:tcPr>
            <w:tcW w:w="622" w:type="pct"/>
            <w:shd w:val="clear" w:color="auto" w:fill="auto"/>
            <w:vAlign w:val="center"/>
          </w:tcPr>
          <w:p w:rsidR="007F1017" w:rsidRPr="00E2771E" w:rsidRDefault="00233C61" w:rsidP="00B41614">
            <w:pPr>
              <w:pStyle w:val="Tabletext"/>
              <w:jc w:val="center"/>
              <w:rPr>
                <w:lang w:val="en-US"/>
              </w:rPr>
            </w:pPr>
            <w:r>
              <w:rPr>
                <w:lang w:val="en-US"/>
              </w:rPr>
              <w:t>SVR</w:t>
            </w:r>
          </w:p>
        </w:tc>
        <w:tc>
          <w:tcPr>
            <w:tcW w:w="941" w:type="pct"/>
            <w:shd w:val="clear" w:color="auto" w:fill="auto"/>
            <w:vAlign w:val="center"/>
          </w:tcPr>
          <w:p w:rsidR="007F1017" w:rsidRPr="00E2771E" w:rsidRDefault="00233C61" w:rsidP="00B41614">
            <w:pPr>
              <w:pStyle w:val="Tabletext"/>
              <w:jc w:val="center"/>
              <w:rPr>
                <w:lang w:val="en-US"/>
              </w:rPr>
            </w:pPr>
            <w:r>
              <w:rPr>
                <w:lang w:val="en-US"/>
              </w:rPr>
              <w:t>Not applicable</w:t>
            </w:r>
          </w:p>
        </w:tc>
      </w:tr>
    </w:tbl>
    <w:p w:rsidR="007F1017" w:rsidRPr="0072416F" w:rsidRDefault="007F1017" w:rsidP="00045017">
      <w:pPr>
        <w:pStyle w:val="TableFooter"/>
      </w:pPr>
      <w:r w:rsidRPr="0072416F">
        <w:t xml:space="preserve">DB=double blind; </w:t>
      </w:r>
      <w:r w:rsidR="00233C61">
        <w:t xml:space="preserve">GP = </w:t>
      </w:r>
      <w:proofErr w:type="spellStart"/>
      <w:r w:rsidR="00233C61">
        <w:t>glecaprevir</w:t>
      </w:r>
      <w:proofErr w:type="spellEnd"/>
      <w:r w:rsidR="00233C61">
        <w:t xml:space="preserve"> </w:t>
      </w:r>
      <w:r w:rsidR="00DA49D8">
        <w:t xml:space="preserve">with </w:t>
      </w:r>
      <w:proofErr w:type="spellStart"/>
      <w:r w:rsidR="00233C61">
        <w:t>pibrentasvir</w:t>
      </w:r>
      <w:proofErr w:type="spellEnd"/>
      <w:r w:rsidR="00233C61">
        <w:t xml:space="preserve">;  Gt = genotype; </w:t>
      </w:r>
      <w:r w:rsidRPr="0072416F">
        <w:t xml:space="preserve">OL=open label;; </w:t>
      </w:r>
      <w:r w:rsidR="00233C61">
        <w:t xml:space="preserve">R=randomised; </w:t>
      </w:r>
      <w:proofErr w:type="spellStart"/>
      <w:r w:rsidR="00233C61">
        <w:t>sof+vel+vox</w:t>
      </w:r>
      <w:proofErr w:type="spellEnd"/>
      <w:r w:rsidR="00233C61">
        <w:t xml:space="preserve"> = </w:t>
      </w:r>
      <w:proofErr w:type="spellStart"/>
      <w:r w:rsidR="00233C61">
        <w:t>sofosbuvir</w:t>
      </w:r>
      <w:proofErr w:type="spellEnd"/>
      <w:r w:rsidR="00233C61">
        <w:t xml:space="preserve">, </w:t>
      </w:r>
      <w:proofErr w:type="spellStart"/>
      <w:r w:rsidR="002E5D58">
        <w:t>velpatasvir</w:t>
      </w:r>
      <w:proofErr w:type="spellEnd"/>
      <w:r w:rsidR="00233C61">
        <w:t xml:space="preserve"> and </w:t>
      </w:r>
      <w:proofErr w:type="spellStart"/>
      <w:r w:rsidR="00233C61">
        <w:t>voxilaprevir</w:t>
      </w:r>
      <w:proofErr w:type="spellEnd"/>
    </w:p>
    <w:p w:rsidR="00045017" w:rsidRPr="00B1011F" w:rsidRDefault="00045017" w:rsidP="00045017">
      <w:pPr>
        <w:pStyle w:val="TableFooter"/>
        <w:rPr>
          <w:sz w:val="20"/>
        </w:rPr>
      </w:pPr>
      <w:r>
        <w:t xml:space="preserve">Source: </w:t>
      </w:r>
      <w:r w:rsidR="00CB7086">
        <w:t>S</w:t>
      </w:r>
      <w:r w:rsidR="00233C61">
        <w:t>ection 2.3 p39-42 of the submission, and appendix 3 to the submission.</w:t>
      </w:r>
    </w:p>
    <w:p w:rsidR="007F1017" w:rsidRPr="006A2BCD" w:rsidRDefault="007F1017" w:rsidP="007F1017">
      <w:pPr>
        <w:rPr>
          <w:color w:val="000000" w:themeColor="text1"/>
        </w:rPr>
      </w:pPr>
    </w:p>
    <w:p w:rsidR="00045017" w:rsidRPr="00C72017" w:rsidRDefault="006A2BCD" w:rsidP="00F477B2">
      <w:pPr>
        <w:pStyle w:val="ListParagraph"/>
        <w:numPr>
          <w:ilvl w:val="1"/>
          <w:numId w:val="2"/>
        </w:numPr>
        <w:rPr>
          <w:color w:val="000000" w:themeColor="text1"/>
        </w:rPr>
      </w:pPr>
      <w:r w:rsidRPr="00C72017">
        <w:rPr>
          <w:color w:val="000000" w:themeColor="text1"/>
        </w:rPr>
        <w:t>Little publically available information was found on the MAGELLAN-1 (Part 2) trial. Due to this lack of information, it was difficult to describe the risk of bias.</w:t>
      </w:r>
    </w:p>
    <w:p w:rsidR="006D5D64" w:rsidRPr="00C72017" w:rsidRDefault="006D5D64" w:rsidP="00F477B2">
      <w:pPr>
        <w:pStyle w:val="ListParagraph"/>
        <w:numPr>
          <w:ilvl w:val="1"/>
          <w:numId w:val="2"/>
        </w:numPr>
        <w:rPr>
          <w:color w:val="000000" w:themeColor="text1"/>
        </w:rPr>
      </w:pPr>
      <w:r w:rsidRPr="00C72017">
        <w:rPr>
          <w:color w:val="000000" w:themeColor="text1"/>
        </w:rPr>
        <w:t>MAGELLAN-1 (</w:t>
      </w:r>
      <w:r w:rsidR="007C299C" w:rsidRPr="00C72017">
        <w:rPr>
          <w:color w:val="000000" w:themeColor="text1"/>
        </w:rPr>
        <w:t>P</w:t>
      </w:r>
      <w:r w:rsidRPr="00C72017">
        <w:rPr>
          <w:color w:val="000000" w:themeColor="text1"/>
        </w:rPr>
        <w:t xml:space="preserve">art 2) only included SVR data for genotypes 1 and 4, while POLARIS 1 </w:t>
      </w:r>
      <w:r w:rsidR="007617D1" w:rsidRPr="00C72017">
        <w:rPr>
          <w:color w:val="000000" w:themeColor="text1"/>
        </w:rPr>
        <w:t>included</w:t>
      </w:r>
      <w:r w:rsidRPr="00C72017">
        <w:rPr>
          <w:color w:val="000000" w:themeColor="text1"/>
        </w:rPr>
        <w:t xml:space="preserve"> data for all genotypes.</w:t>
      </w:r>
      <w:r w:rsidR="001414E6" w:rsidRPr="00C72017">
        <w:rPr>
          <w:color w:val="000000" w:themeColor="text1"/>
        </w:rPr>
        <w:t xml:space="preserve"> The ESC noted that of the 416 patients in POLAR</w:t>
      </w:r>
      <w:r w:rsidR="00630167" w:rsidRPr="00C72017">
        <w:rPr>
          <w:color w:val="000000" w:themeColor="text1"/>
        </w:rPr>
        <w:t>IS 1 only 300, all of which had</w:t>
      </w:r>
      <w:r w:rsidR="001414E6" w:rsidRPr="00C72017">
        <w:rPr>
          <w:color w:val="000000" w:themeColor="text1"/>
        </w:rPr>
        <w:t xml:space="preserve"> genotype 1, were included in the </w:t>
      </w:r>
      <w:r w:rsidR="00630167" w:rsidRPr="00C72017">
        <w:rPr>
          <w:color w:val="000000" w:themeColor="text1"/>
        </w:rPr>
        <w:t>RCT population</w:t>
      </w:r>
      <w:r w:rsidR="00444CCB" w:rsidRPr="00C72017">
        <w:rPr>
          <w:color w:val="000000" w:themeColor="text1"/>
        </w:rPr>
        <w:t xml:space="preserve"> (150 in each arm)</w:t>
      </w:r>
      <w:r w:rsidR="00630167" w:rsidRPr="00C72017">
        <w:rPr>
          <w:color w:val="000000" w:themeColor="text1"/>
        </w:rPr>
        <w:t>. The remaining 116 patients, mostly those with genotype 3, were not randomised</w:t>
      </w:r>
      <w:r w:rsidR="0080096E" w:rsidRPr="00C72017">
        <w:rPr>
          <w:color w:val="000000" w:themeColor="text1"/>
        </w:rPr>
        <w:t xml:space="preserve"> with all patients receiving </w:t>
      </w:r>
      <w:proofErr w:type="spellStart"/>
      <w:r w:rsidR="0080096E" w:rsidRPr="00C72017">
        <w:t>sofosbuvir</w:t>
      </w:r>
      <w:proofErr w:type="spellEnd"/>
      <w:r w:rsidR="0080096E" w:rsidRPr="00C72017">
        <w:t xml:space="preserve"> </w:t>
      </w:r>
      <w:r w:rsidR="003303A6">
        <w:t>with</w:t>
      </w:r>
      <w:r w:rsidR="0080096E" w:rsidRPr="00C72017">
        <w:t xml:space="preserve"> </w:t>
      </w:r>
      <w:proofErr w:type="spellStart"/>
      <w:r w:rsidR="0080096E" w:rsidRPr="00C72017">
        <w:t>velpatasvir</w:t>
      </w:r>
      <w:proofErr w:type="spellEnd"/>
      <w:r w:rsidR="0080096E" w:rsidRPr="00C72017">
        <w:t xml:space="preserve"> </w:t>
      </w:r>
      <w:r w:rsidR="003303A6">
        <w:t>and</w:t>
      </w:r>
      <w:r w:rsidR="0080096E" w:rsidRPr="00C72017">
        <w:t xml:space="preserve"> </w:t>
      </w:r>
      <w:proofErr w:type="spellStart"/>
      <w:r w:rsidR="0080096E" w:rsidRPr="00C72017">
        <w:t>voxilaprevir</w:t>
      </w:r>
      <w:proofErr w:type="spellEnd"/>
      <w:r w:rsidR="00630167" w:rsidRPr="00C72017">
        <w:rPr>
          <w:color w:val="000000" w:themeColor="text1"/>
        </w:rPr>
        <w:t xml:space="preserve">. </w:t>
      </w:r>
    </w:p>
    <w:p w:rsidR="00B60939" w:rsidRPr="00C72017" w:rsidRDefault="006D5D64" w:rsidP="00F477B2">
      <w:pPr>
        <w:pStyle w:val="ListParagraph"/>
        <w:numPr>
          <w:ilvl w:val="1"/>
          <w:numId w:val="2"/>
        </w:numPr>
        <w:rPr>
          <w:color w:val="000000" w:themeColor="text1"/>
        </w:rPr>
      </w:pPr>
      <w:r w:rsidRPr="00C72017">
        <w:rPr>
          <w:color w:val="000000" w:themeColor="text1"/>
        </w:rPr>
        <w:t>POLARIS-1 had a more narrowly defined population of NS5A</w:t>
      </w:r>
      <w:r w:rsidR="00470F41" w:rsidRPr="00C72017">
        <w:rPr>
          <w:color w:val="000000" w:themeColor="text1"/>
        </w:rPr>
        <w:t>-</w:t>
      </w:r>
      <w:r w:rsidRPr="00C72017">
        <w:rPr>
          <w:color w:val="000000" w:themeColor="text1"/>
        </w:rPr>
        <w:t>experienced patients rather than DAA</w:t>
      </w:r>
      <w:r w:rsidR="00470F41" w:rsidRPr="00C72017">
        <w:rPr>
          <w:color w:val="000000" w:themeColor="text1"/>
        </w:rPr>
        <w:t>-</w:t>
      </w:r>
      <w:r w:rsidRPr="00C72017">
        <w:rPr>
          <w:color w:val="000000" w:themeColor="text1"/>
        </w:rPr>
        <w:t>experienced patients.</w:t>
      </w:r>
    </w:p>
    <w:p w:rsidR="00B60939" w:rsidRPr="00025C10" w:rsidRDefault="00B60939" w:rsidP="00025C10">
      <w:pPr>
        <w:widowControl w:val="0"/>
        <w:spacing w:before="120" w:after="120"/>
        <w:rPr>
          <w:rFonts w:cs="Arial"/>
          <w:b/>
          <w:bCs/>
          <w:i/>
          <w:snapToGrid w:val="0"/>
          <w:sz w:val="28"/>
          <w:szCs w:val="28"/>
        </w:rPr>
      </w:pPr>
      <w:bookmarkStart w:id="8" w:name="_Toc500605962"/>
      <w:r w:rsidRPr="00025C10">
        <w:rPr>
          <w:rFonts w:cs="Arial"/>
          <w:b/>
          <w:bCs/>
          <w:i/>
          <w:snapToGrid w:val="0"/>
          <w:sz w:val="28"/>
          <w:szCs w:val="28"/>
        </w:rPr>
        <w:t>Comparative effectiveness</w:t>
      </w:r>
      <w:bookmarkEnd w:id="8"/>
    </w:p>
    <w:p w:rsidR="00DA3167" w:rsidRPr="00C72017" w:rsidRDefault="00E22F57" w:rsidP="00F477B2">
      <w:pPr>
        <w:pStyle w:val="ListParagraph"/>
        <w:numPr>
          <w:ilvl w:val="1"/>
          <w:numId w:val="2"/>
        </w:numPr>
        <w:rPr>
          <w:color w:val="000000" w:themeColor="text1"/>
        </w:rPr>
      </w:pPr>
      <w:r w:rsidRPr="00C72017">
        <w:rPr>
          <w:rFonts w:cs="Calibri"/>
          <w:color w:val="000000" w:themeColor="text1"/>
          <w:lang w:val="en-US" w:eastAsia="en-AU"/>
        </w:rPr>
        <w:t xml:space="preserve">The </w:t>
      </w:r>
      <w:r w:rsidR="002B2F71" w:rsidRPr="00C72017">
        <w:rPr>
          <w:rFonts w:cs="Calibri"/>
          <w:color w:val="000000" w:themeColor="text1"/>
          <w:lang w:val="en-US" w:eastAsia="en-AU"/>
        </w:rPr>
        <w:t>k</w:t>
      </w:r>
      <w:r w:rsidRPr="00C72017">
        <w:rPr>
          <w:rFonts w:cs="Calibri"/>
          <w:color w:val="000000" w:themeColor="text1"/>
          <w:lang w:val="en-US" w:eastAsia="en-AU"/>
        </w:rPr>
        <w:t xml:space="preserve">ey results of sustained </w:t>
      </w:r>
      <w:proofErr w:type="spellStart"/>
      <w:r w:rsidRPr="00C72017">
        <w:rPr>
          <w:rFonts w:cs="Calibri"/>
          <w:color w:val="000000" w:themeColor="text1"/>
          <w:lang w:val="en-US" w:eastAsia="en-AU"/>
        </w:rPr>
        <w:t>virological</w:t>
      </w:r>
      <w:proofErr w:type="spellEnd"/>
      <w:r w:rsidRPr="00C72017">
        <w:rPr>
          <w:rFonts w:cs="Calibri"/>
          <w:color w:val="000000" w:themeColor="text1"/>
          <w:lang w:val="en-US" w:eastAsia="en-AU"/>
        </w:rPr>
        <w:t xml:space="preserve"> response for POLARIS-1 are presented in Table </w:t>
      </w:r>
      <w:r w:rsidR="00116E7D" w:rsidRPr="00C72017">
        <w:rPr>
          <w:rFonts w:cs="Calibri"/>
          <w:color w:val="000000" w:themeColor="text1"/>
          <w:lang w:val="en-US" w:eastAsia="en-AU"/>
        </w:rPr>
        <w:t>5</w:t>
      </w:r>
      <w:r w:rsidRPr="00C72017">
        <w:rPr>
          <w:rFonts w:cs="Calibri"/>
          <w:color w:val="000000" w:themeColor="text1"/>
          <w:lang w:val="en-US" w:eastAsia="en-AU"/>
        </w:rPr>
        <w:t>.</w:t>
      </w:r>
    </w:p>
    <w:p w:rsidR="00760C4E" w:rsidRPr="00C72017" w:rsidRDefault="002D2D08" w:rsidP="00F477B2">
      <w:pPr>
        <w:pStyle w:val="ListParagraph"/>
        <w:numPr>
          <w:ilvl w:val="1"/>
          <w:numId w:val="2"/>
        </w:numPr>
      </w:pPr>
      <w:r w:rsidRPr="00C72017">
        <w:rPr>
          <w:rFonts w:cs="Calibri"/>
          <w:color w:val="000000" w:themeColor="text1"/>
          <w:lang w:val="en-US" w:eastAsia="en-AU"/>
        </w:rPr>
        <w:t>The TGA evaluator stated that there was ‘overwhelming evidence for efficacy of proposed FDC of SOF/VEL/VOX… in patients with prior exposure to NS5A inhibitor DAA treatment with consistent efficacy observed across all genotypes of HCV and irrespective of cirr</w:t>
      </w:r>
      <w:r w:rsidR="005C08FA">
        <w:rPr>
          <w:rFonts w:cs="Calibri"/>
          <w:color w:val="000000" w:themeColor="text1"/>
          <w:lang w:val="en-US" w:eastAsia="en-AU"/>
        </w:rPr>
        <w:t>hotic status of patients’</w:t>
      </w:r>
      <w:r w:rsidR="007818C2" w:rsidRPr="00C72017">
        <w:rPr>
          <w:rFonts w:cs="Calibri"/>
          <w:lang w:val="en-US" w:eastAsia="en-AU"/>
        </w:rPr>
        <w:t>.</w:t>
      </w:r>
    </w:p>
    <w:p w:rsidR="00E22F57" w:rsidRPr="00C72017" w:rsidRDefault="00E22F57" w:rsidP="00F477B2">
      <w:pPr>
        <w:pStyle w:val="ListParagraph"/>
        <w:numPr>
          <w:ilvl w:val="1"/>
          <w:numId w:val="2"/>
        </w:numPr>
      </w:pPr>
      <w:r w:rsidRPr="00C72017">
        <w:rPr>
          <w:rFonts w:cs="Calibri"/>
          <w:color w:val="000000" w:themeColor="text1"/>
          <w:lang w:val="en-US" w:eastAsia="en-AU"/>
        </w:rPr>
        <w:t>The TGA evaluator also noted that results presented in the CSR were only interim results and the 24 weeks post treatment data was still pending. TGA-adopted CHMP guidelines state that the recommended primary endpoint for confirmatory studies is SVR defined as undetectable HCV RNA 6 months after completion of therapy, regardless of scheduled duration of treatment. Consequently, the evaluator considered that in order to confirm the evidence of efficacy in this patient population, “it is imperative that the SVR24 results should be submit</w:t>
      </w:r>
      <w:r w:rsidR="005C08FA">
        <w:rPr>
          <w:rFonts w:cs="Calibri"/>
          <w:color w:val="000000" w:themeColor="text1"/>
          <w:lang w:val="en-US" w:eastAsia="en-AU"/>
        </w:rPr>
        <w:t>ted when available</w:t>
      </w:r>
      <w:proofErr w:type="gramStart"/>
      <w:r w:rsidR="005C08FA">
        <w:rPr>
          <w:rFonts w:cs="Calibri"/>
          <w:color w:val="000000" w:themeColor="text1"/>
          <w:lang w:val="en-US" w:eastAsia="en-AU"/>
        </w:rPr>
        <w:t xml:space="preserve">” </w:t>
      </w:r>
      <w:r w:rsidR="007818C2" w:rsidRPr="00C72017">
        <w:rPr>
          <w:rFonts w:cs="Calibri"/>
          <w:color w:val="000000" w:themeColor="text1"/>
          <w:lang w:val="en-US" w:eastAsia="en-AU"/>
        </w:rPr>
        <w:t>.</w:t>
      </w:r>
      <w:proofErr w:type="gramEnd"/>
      <w:r w:rsidR="007818C2" w:rsidRPr="00C72017">
        <w:rPr>
          <w:rFonts w:cs="Calibri"/>
          <w:color w:val="000000" w:themeColor="text1"/>
          <w:lang w:val="en-US" w:eastAsia="en-AU"/>
        </w:rPr>
        <w:t xml:space="preserve"> T</w:t>
      </w:r>
      <w:r w:rsidRPr="00C72017">
        <w:rPr>
          <w:rFonts w:cs="Calibri"/>
          <w:color w:val="000000" w:themeColor="text1"/>
          <w:lang w:val="en-US" w:eastAsia="en-AU"/>
        </w:rPr>
        <w:t>he same interim results were presented in the submission.</w:t>
      </w:r>
    </w:p>
    <w:p w:rsidR="00D43DF8" w:rsidRDefault="00D43DF8" w:rsidP="00116E7D">
      <w:pPr>
        <w:jc w:val="left"/>
        <w:rPr>
          <w:rStyle w:val="CommentReference"/>
        </w:rPr>
      </w:pPr>
      <w:r>
        <w:rPr>
          <w:rStyle w:val="CommentReference"/>
        </w:rPr>
        <w:br w:type="page"/>
      </w:r>
    </w:p>
    <w:p w:rsidR="002D2D08" w:rsidRPr="00892A36" w:rsidRDefault="002D2D08" w:rsidP="00116E7D">
      <w:pPr>
        <w:jc w:val="left"/>
        <w:rPr>
          <w:rStyle w:val="CommentReference"/>
        </w:rPr>
      </w:pPr>
      <w:r w:rsidRPr="00E2771E">
        <w:rPr>
          <w:rStyle w:val="CommentReference"/>
        </w:rPr>
        <w:lastRenderedPageBreak/>
        <w:t xml:space="preserve">Table </w:t>
      </w:r>
      <w:r w:rsidR="00116E7D">
        <w:rPr>
          <w:rStyle w:val="CommentReference"/>
        </w:rPr>
        <w:t>5</w:t>
      </w:r>
      <w:r w:rsidRPr="00E2771E">
        <w:rPr>
          <w:rStyle w:val="CommentReference"/>
        </w:rPr>
        <w:t xml:space="preserve">: </w:t>
      </w:r>
      <w:r w:rsidRPr="00892A36">
        <w:rPr>
          <w:rStyle w:val="CommentReference"/>
        </w:rPr>
        <w:t xml:space="preserve">Results of </w:t>
      </w:r>
      <w:r>
        <w:rPr>
          <w:rStyle w:val="CommentReference"/>
        </w:rPr>
        <w:t>SVR12 outcomes in the POLARIS-1 trial</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3025"/>
        <w:gridCol w:w="2434"/>
        <w:gridCol w:w="2436"/>
        <w:gridCol w:w="1146"/>
      </w:tblGrid>
      <w:tr w:rsidR="002D2D08" w:rsidRPr="00552492" w:rsidTr="009101A0">
        <w:trPr>
          <w:tblHeader/>
        </w:trPr>
        <w:tc>
          <w:tcPr>
            <w:tcW w:w="1673" w:type="pct"/>
          </w:tcPr>
          <w:p w:rsidR="002D2D08" w:rsidRPr="00552492" w:rsidRDefault="002D2D08" w:rsidP="00674657">
            <w:pPr>
              <w:pStyle w:val="Tabletext"/>
              <w:rPr>
                <w:b/>
                <w:szCs w:val="20"/>
              </w:rPr>
            </w:pPr>
            <w:r w:rsidRPr="00552492">
              <w:rPr>
                <w:b/>
                <w:szCs w:val="20"/>
              </w:rPr>
              <w:t>Trial ID</w:t>
            </w:r>
          </w:p>
        </w:tc>
        <w:tc>
          <w:tcPr>
            <w:tcW w:w="1346" w:type="pct"/>
          </w:tcPr>
          <w:p w:rsidR="002D2D08" w:rsidRPr="00552492" w:rsidRDefault="002D2D08" w:rsidP="00674657">
            <w:pPr>
              <w:pStyle w:val="Tabletext"/>
              <w:jc w:val="center"/>
              <w:rPr>
                <w:b/>
                <w:szCs w:val="20"/>
              </w:rPr>
            </w:pPr>
            <w:proofErr w:type="spellStart"/>
            <w:r w:rsidRPr="00552492">
              <w:rPr>
                <w:b/>
                <w:szCs w:val="20"/>
              </w:rPr>
              <w:t>Sof+vel+vox</w:t>
            </w:r>
            <w:proofErr w:type="spellEnd"/>
          </w:p>
          <w:p w:rsidR="002D2D08" w:rsidRPr="00552492" w:rsidRDefault="002D2D08" w:rsidP="00674657">
            <w:pPr>
              <w:pStyle w:val="Tabletext"/>
              <w:jc w:val="center"/>
              <w:rPr>
                <w:b/>
                <w:szCs w:val="20"/>
              </w:rPr>
            </w:pPr>
            <w:r w:rsidRPr="00552492">
              <w:rPr>
                <w:b/>
                <w:szCs w:val="20"/>
              </w:rPr>
              <w:t>n/N (%)</w:t>
            </w:r>
          </w:p>
        </w:tc>
        <w:tc>
          <w:tcPr>
            <w:tcW w:w="1347" w:type="pct"/>
          </w:tcPr>
          <w:p w:rsidR="002D2D08" w:rsidRPr="00552492" w:rsidRDefault="002D2D08" w:rsidP="00674657">
            <w:pPr>
              <w:pStyle w:val="Tabletext"/>
              <w:jc w:val="center"/>
              <w:rPr>
                <w:b/>
                <w:szCs w:val="20"/>
              </w:rPr>
            </w:pPr>
            <w:r w:rsidRPr="00552492">
              <w:rPr>
                <w:b/>
                <w:szCs w:val="20"/>
              </w:rPr>
              <w:t>CI</w:t>
            </w:r>
          </w:p>
        </w:tc>
        <w:tc>
          <w:tcPr>
            <w:tcW w:w="634" w:type="pct"/>
          </w:tcPr>
          <w:p w:rsidR="002D2D08" w:rsidRPr="00552492" w:rsidRDefault="002D2D08" w:rsidP="00674657">
            <w:pPr>
              <w:pStyle w:val="Tabletext"/>
              <w:jc w:val="center"/>
              <w:rPr>
                <w:b/>
                <w:szCs w:val="20"/>
              </w:rPr>
            </w:pPr>
            <w:r w:rsidRPr="00552492">
              <w:rPr>
                <w:b/>
                <w:szCs w:val="20"/>
              </w:rPr>
              <w:t>Placebo</w:t>
            </w:r>
          </w:p>
        </w:tc>
      </w:tr>
      <w:tr w:rsidR="002D2D08" w:rsidRPr="00552492" w:rsidTr="009101A0">
        <w:tc>
          <w:tcPr>
            <w:tcW w:w="5000" w:type="pct"/>
            <w:gridSpan w:val="4"/>
          </w:tcPr>
          <w:p w:rsidR="002D2D08" w:rsidRPr="00552492" w:rsidRDefault="002D2D08" w:rsidP="00674657">
            <w:pPr>
              <w:pStyle w:val="Tabletext"/>
              <w:rPr>
                <w:szCs w:val="20"/>
              </w:rPr>
            </w:pPr>
            <w:r w:rsidRPr="00552492">
              <w:rPr>
                <w:szCs w:val="20"/>
              </w:rPr>
              <w:t>SVR12</w:t>
            </w:r>
          </w:p>
        </w:tc>
      </w:tr>
      <w:tr w:rsidR="002D2D08" w:rsidRPr="00552492" w:rsidTr="009101A0">
        <w:tc>
          <w:tcPr>
            <w:tcW w:w="1673" w:type="pct"/>
          </w:tcPr>
          <w:p w:rsidR="002D2D08" w:rsidRPr="00552492" w:rsidRDefault="002D2D08" w:rsidP="00674657">
            <w:pPr>
              <w:pStyle w:val="Tabletext"/>
              <w:rPr>
                <w:szCs w:val="20"/>
              </w:rPr>
            </w:pPr>
            <w:r>
              <w:rPr>
                <w:szCs w:val="20"/>
              </w:rPr>
              <w:t xml:space="preserve">All </w:t>
            </w:r>
            <w:r w:rsidRPr="00552492">
              <w:rPr>
                <w:szCs w:val="20"/>
              </w:rPr>
              <w:t>Genotypes</w:t>
            </w:r>
          </w:p>
        </w:tc>
        <w:tc>
          <w:tcPr>
            <w:tcW w:w="1346" w:type="pct"/>
          </w:tcPr>
          <w:p w:rsidR="002D2D08" w:rsidRPr="00552492" w:rsidRDefault="002D2D08" w:rsidP="00674657">
            <w:pPr>
              <w:pStyle w:val="Tabletext"/>
              <w:jc w:val="center"/>
              <w:rPr>
                <w:szCs w:val="20"/>
              </w:rPr>
            </w:pPr>
            <w:r w:rsidRPr="00552492">
              <w:rPr>
                <w:szCs w:val="20"/>
              </w:rPr>
              <w:t>253/263 (96.2)</w:t>
            </w:r>
          </w:p>
        </w:tc>
        <w:tc>
          <w:tcPr>
            <w:tcW w:w="1347" w:type="pct"/>
          </w:tcPr>
          <w:p w:rsidR="002D2D08" w:rsidRPr="00552492" w:rsidRDefault="002D2D08" w:rsidP="00674657">
            <w:pPr>
              <w:pStyle w:val="Tabletext"/>
              <w:jc w:val="center"/>
              <w:rPr>
                <w:szCs w:val="20"/>
              </w:rPr>
            </w:pPr>
            <w:r w:rsidRPr="00552492">
              <w:rPr>
                <w:szCs w:val="20"/>
              </w:rPr>
              <w:t>93.1, 98.2</w:t>
            </w:r>
          </w:p>
        </w:tc>
        <w:tc>
          <w:tcPr>
            <w:tcW w:w="634" w:type="pct"/>
          </w:tcPr>
          <w:p w:rsidR="002D2D08" w:rsidRPr="00552492" w:rsidRDefault="002D2D08" w:rsidP="00674657">
            <w:pPr>
              <w:pStyle w:val="Tabletext"/>
              <w:jc w:val="center"/>
              <w:rPr>
                <w:szCs w:val="20"/>
              </w:rPr>
            </w:pPr>
            <w:r w:rsidRPr="00552492">
              <w:rPr>
                <w:szCs w:val="20"/>
              </w:rPr>
              <w:t>0</w:t>
            </w:r>
          </w:p>
        </w:tc>
      </w:tr>
      <w:tr w:rsidR="002D2D08" w:rsidRPr="00552492" w:rsidTr="009101A0">
        <w:tc>
          <w:tcPr>
            <w:tcW w:w="1673" w:type="pct"/>
          </w:tcPr>
          <w:p w:rsidR="002D2D08" w:rsidRPr="00552492" w:rsidRDefault="002D2D08" w:rsidP="00674657">
            <w:pPr>
              <w:pStyle w:val="Tabletext"/>
              <w:rPr>
                <w:szCs w:val="20"/>
              </w:rPr>
            </w:pPr>
            <w:r w:rsidRPr="00552492">
              <w:rPr>
                <w:szCs w:val="20"/>
              </w:rPr>
              <w:t>Genotype 1</w:t>
            </w:r>
          </w:p>
        </w:tc>
        <w:tc>
          <w:tcPr>
            <w:tcW w:w="1346" w:type="pct"/>
          </w:tcPr>
          <w:p w:rsidR="002D2D08" w:rsidRPr="00552492" w:rsidRDefault="002D2D08" w:rsidP="00674657">
            <w:pPr>
              <w:pStyle w:val="Tabletext"/>
              <w:jc w:val="center"/>
              <w:rPr>
                <w:szCs w:val="20"/>
              </w:rPr>
            </w:pPr>
            <w:r w:rsidRPr="00552492">
              <w:rPr>
                <w:szCs w:val="20"/>
              </w:rPr>
              <w:t>146/150 (97.3)</w:t>
            </w:r>
          </w:p>
        </w:tc>
        <w:tc>
          <w:tcPr>
            <w:tcW w:w="1347" w:type="pct"/>
          </w:tcPr>
          <w:p w:rsidR="002D2D08" w:rsidRPr="00552492" w:rsidRDefault="002D2D08" w:rsidP="00674657">
            <w:pPr>
              <w:pStyle w:val="Tabletext"/>
              <w:jc w:val="center"/>
              <w:rPr>
                <w:szCs w:val="20"/>
              </w:rPr>
            </w:pPr>
            <w:r w:rsidRPr="00552492">
              <w:rPr>
                <w:szCs w:val="20"/>
              </w:rPr>
              <w:t>93.3, 99.3</w:t>
            </w:r>
          </w:p>
        </w:tc>
        <w:tc>
          <w:tcPr>
            <w:tcW w:w="634" w:type="pct"/>
          </w:tcPr>
          <w:p w:rsidR="002D2D08" w:rsidRPr="00552492" w:rsidRDefault="002D2D08" w:rsidP="00674657">
            <w:pPr>
              <w:pStyle w:val="Tabletext"/>
              <w:jc w:val="center"/>
              <w:rPr>
                <w:szCs w:val="20"/>
              </w:rPr>
            </w:pPr>
            <w:r w:rsidRPr="00552492">
              <w:rPr>
                <w:szCs w:val="20"/>
              </w:rPr>
              <w:t>0</w:t>
            </w:r>
          </w:p>
        </w:tc>
      </w:tr>
      <w:tr w:rsidR="002D2D08" w:rsidRPr="00552492" w:rsidTr="009101A0">
        <w:tc>
          <w:tcPr>
            <w:tcW w:w="1673" w:type="pct"/>
          </w:tcPr>
          <w:p w:rsidR="002D2D08" w:rsidRPr="00552492" w:rsidRDefault="002D2D08" w:rsidP="00674657">
            <w:pPr>
              <w:pStyle w:val="Tabletext"/>
              <w:rPr>
                <w:szCs w:val="20"/>
              </w:rPr>
            </w:pPr>
            <w:r w:rsidRPr="00552492">
              <w:rPr>
                <w:szCs w:val="20"/>
              </w:rPr>
              <w:t>1a</w:t>
            </w:r>
          </w:p>
        </w:tc>
        <w:tc>
          <w:tcPr>
            <w:tcW w:w="1346" w:type="pct"/>
          </w:tcPr>
          <w:p w:rsidR="002D2D08" w:rsidRPr="00552492" w:rsidRDefault="002D2D08" w:rsidP="00674657">
            <w:pPr>
              <w:pStyle w:val="Tabletext"/>
              <w:jc w:val="center"/>
              <w:rPr>
                <w:szCs w:val="20"/>
              </w:rPr>
            </w:pPr>
            <w:r w:rsidRPr="00552492">
              <w:rPr>
                <w:szCs w:val="20"/>
              </w:rPr>
              <w:t>97/101 (96.0)</w:t>
            </w:r>
          </w:p>
        </w:tc>
        <w:tc>
          <w:tcPr>
            <w:tcW w:w="1347" w:type="pct"/>
          </w:tcPr>
          <w:p w:rsidR="002D2D08" w:rsidRPr="00552492" w:rsidRDefault="002D2D08" w:rsidP="00674657">
            <w:pPr>
              <w:pStyle w:val="Tabletext"/>
              <w:jc w:val="center"/>
              <w:rPr>
                <w:szCs w:val="20"/>
              </w:rPr>
            </w:pPr>
            <w:r w:rsidRPr="00552492">
              <w:rPr>
                <w:szCs w:val="20"/>
              </w:rPr>
              <w:t>90.2, 98.9</w:t>
            </w:r>
          </w:p>
        </w:tc>
        <w:tc>
          <w:tcPr>
            <w:tcW w:w="634" w:type="pct"/>
            <w:vMerge w:val="restart"/>
          </w:tcPr>
          <w:p w:rsidR="002D2D08" w:rsidRPr="00552492" w:rsidRDefault="002D2D08" w:rsidP="00674657">
            <w:pPr>
              <w:pStyle w:val="Tabletext"/>
              <w:jc w:val="center"/>
              <w:rPr>
                <w:szCs w:val="20"/>
              </w:rPr>
            </w:pPr>
            <w:r w:rsidRPr="00552492">
              <w:rPr>
                <w:szCs w:val="20"/>
              </w:rPr>
              <w:t>NA</w:t>
            </w:r>
          </w:p>
        </w:tc>
      </w:tr>
      <w:tr w:rsidR="002D2D08" w:rsidRPr="00552492" w:rsidTr="009101A0">
        <w:tc>
          <w:tcPr>
            <w:tcW w:w="1673" w:type="pct"/>
          </w:tcPr>
          <w:p w:rsidR="002D2D08" w:rsidRPr="00552492" w:rsidRDefault="002D2D08" w:rsidP="00674657">
            <w:pPr>
              <w:pStyle w:val="Tabletext"/>
              <w:rPr>
                <w:szCs w:val="20"/>
              </w:rPr>
            </w:pPr>
            <w:r w:rsidRPr="00552492">
              <w:rPr>
                <w:szCs w:val="20"/>
              </w:rPr>
              <w:t>1b</w:t>
            </w:r>
          </w:p>
        </w:tc>
        <w:tc>
          <w:tcPr>
            <w:tcW w:w="1346" w:type="pct"/>
          </w:tcPr>
          <w:p w:rsidR="002D2D08" w:rsidRPr="00552492" w:rsidRDefault="002D2D08" w:rsidP="00674657">
            <w:pPr>
              <w:pStyle w:val="Tabletext"/>
              <w:jc w:val="center"/>
              <w:rPr>
                <w:szCs w:val="20"/>
              </w:rPr>
            </w:pPr>
            <w:r w:rsidRPr="00552492">
              <w:rPr>
                <w:szCs w:val="20"/>
              </w:rPr>
              <w:t>45/45 (100.0)</w:t>
            </w:r>
          </w:p>
        </w:tc>
        <w:tc>
          <w:tcPr>
            <w:tcW w:w="1347" w:type="pct"/>
          </w:tcPr>
          <w:p w:rsidR="002D2D08" w:rsidRPr="00552492" w:rsidRDefault="002D2D08" w:rsidP="00674657">
            <w:pPr>
              <w:pStyle w:val="Tabletext"/>
              <w:jc w:val="center"/>
              <w:rPr>
                <w:szCs w:val="20"/>
              </w:rPr>
            </w:pPr>
            <w:r w:rsidRPr="00552492">
              <w:rPr>
                <w:szCs w:val="20"/>
              </w:rPr>
              <w:t>92.1, 100.0</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1 other</w:t>
            </w:r>
          </w:p>
        </w:tc>
        <w:tc>
          <w:tcPr>
            <w:tcW w:w="1346" w:type="pct"/>
          </w:tcPr>
          <w:p w:rsidR="002D2D08" w:rsidRPr="00552492" w:rsidRDefault="002D2D08" w:rsidP="00674657">
            <w:pPr>
              <w:pStyle w:val="Tabletext"/>
              <w:jc w:val="center"/>
              <w:rPr>
                <w:szCs w:val="20"/>
              </w:rPr>
            </w:pPr>
            <w:r w:rsidRPr="00552492">
              <w:rPr>
                <w:szCs w:val="20"/>
              </w:rPr>
              <w:t>4/4 (100.0)</w:t>
            </w:r>
          </w:p>
        </w:tc>
        <w:tc>
          <w:tcPr>
            <w:tcW w:w="1347" w:type="pct"/>
          </w:tcPr>
          <w:p w:rsidR="002D2D08" w:rsidRPr="00552492" w:rsidRDefault="002D2D08" w:rsidP="00674657">
            <w:pPr>
              <w:pStyle w:val="Tabletext"/>
              <w:jc w:val="center"/>
              <w:rPr>
                <w:szCs w:val="20"/>
              </w:rPr>
            </w:pPr>
            <w:r w:rsidRPr="00552492">
              <w:rPr>
                <w:szCs w:val="20"/>
              </w:rPr>
              <w:t>39.8, 100.0</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2</w:t>
            </w:r>
          </w:p>
        </w:tc>
        <w:tc>
          <w:tcPr>
            <w:tcW w:w="1346" w:type="pct"/>
          </w:tcPr>
          <w:p w:rsidR="002D2D08" w:rsidRPr="00552492" w:rsidRDefault="002D2D08" w:rsidP="00674657">
            <w:pPr>
              <w:pStyle w:val="Tabletext"/>
              <w:jc w:val="center"/>
              <w:rPr>
                <w:szCs w:val="20"/>
              </w:rPr>
            </w:pPr>
            <w:r w:rsidRPr="00552492">
              <w:rPr>
                <w:szCs w:val="20"/>
              </w:rPr>
              <w:t>5/5 (100.0)</w:t>
            </w:r>
          </w:p>
        </w:tc>
        <w:tc>
          <w:tcPr>
            <w:tcW w:w="1347" w:type="pct"/>
          </w:tcPr>
          <w:p w:rsidR="002D2D08" w:rsidRPr="00552492" w:rsidRDefault="002D2D08" w:rsidP="00674657">
            <w:pPr>
              <w:pStyle w:val="Tabletext"/>
              <w:jc w:val="center"/>
              <w:rPr>
                <w:szCs w:val="20"/>
              </w:rPr>
            </w:pPr>
            <w:r w:rsidRPr="00552492">
              <w:rPr>
                <w:szCs w:val="20"/>
              </w:rPr>
              <w:t>47.8, 100.0</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3</w:t>
            </w:r>
          </w:p>
        </w:tc>
        <w:tc>
          <w:tcPr>
            <w:tcW w:w="1346" w:type="pct"/>
          </w:tcPr>
          <w:p w:rsidR="002D2D08" w:rsidRPr="00552492" w:rsidRDefault="002D2D08" w:rsidP="00674657">
            <w:pPr>
              <w:pStyle w:val="Tabletext"/>
              <w:jc w:val="center"/>
              <w:rPr>
                <w:szCs w:val="20"/>
              </w:rPr>
            </w:pPr>
            <w:r w:rsidRPr="00552492">
              <w:rPr>
                <w:szCs w:val="20"/>
              </w:rPr>
              <w:t>74/78 (94.9)</w:t>
            </w:r>
          </w:p>
        </w:tc>
        <w:tc>
          <w:tcPr>
            <w:tcW w:w="1347" w:type="pct"/>
          </w:tcPr>
          <w:p w:rsidR="002D2D08" w:rsidRPr="00552492" w:rsidRDefault="002D2D08" w:rsidP="00674657">
            <w:pPr>
              <w:pStyle w:val="Tabletext"/>
              <w:jc w:val="center"/>
              <w:rPr>
                <w:szCs w:val="20"/>
              </w:rPr>
            </w:pPr>
            <w:r w:rsidRPr="00552492">
              <w:rPr>
                <w:szCs w:val="20"/>
              </w:rPr>
              <w:t>87.4, 98.6</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4</w:t>
            </w:r>
          </w:p>
        </w:tc>
        <w:tc>
          <w:tcPr>
            <w:tcW w:w="1346" w:type="pct"/>
          </w:tcPr>
          <w:p w:rsidR="002D2D08" w:rsidRPr="00552492" w:rsidRDefault="002D2D08" w:rsidP="00674657">
            <w:pPr>
              <w:pStyle w:val="Tabletext"/>
              <w:jc w:val="center"/>
              <w:rPr>
                <w:szCs w:val="20"/>
              </w:rPr>
            </w:pPr>
            <w:r w:rsidRPr="00552492">
              <w:rPr>
                <w:szCs w:val="20"/>
              </w:rPr>
              <w:t>20/22 (90.9)</w:t>
            </w:r>
          </w:p>
        </w:tc>
        <w:tc>
          <w:tcPr>
            <w:tcW w:w="1347" w:type="pct"/>
          </w:tcPr>
          <w:p w:rsidR="002D2D08" w:rsidRPr="00552492" w:rsidRDefault="002D2D08" w:rsidP="00674657">
            <w:pPr>
              <w:pStyle w:val="Tabletext"/>
              <w:jc w:val="center"/>
              <w:rPr>
                <w:szCs w:val="20"/>
              </w:rPr>
            </w:pPr>
            <w:r w:rsidRPr="00552492">
              <w:rPr>
                <w:szCs w:val="20"/>
              </w:rPr>
              <w:t>70.8, 98.9</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5</w:t>
            </w:r>
          </w:p>
        </w:tc>
        <w:tc>
          <w:tcPr>
            <w:tcW w:w="1346" w:type="pct"/>
          </w:tcPr>
          <w:p w:rsidR="002D2D08" w:rsidRPr="00552492" w:rsidRDefault="002D2D08" w:rsidP="00674657">
            <w:pPr>
              <w:pStyle w:val="Tabletext"/>
              <w:jc w:val="center"/>
              <w:rPr>
                <w:szCs w:val="20"/>
              </w:rPr>
            </w:pPr>
            <w:r w:rsidRPr="00552492">
              <w:rPr>
                <w:szCs w:val="20"/>
              </w:rPr>
              <w:t>1/1 (100.0)</w:t>
            </w:r>
          </w:p>
        </w:tc>
        <w:tc>
          <w:tcPr>
            <w:tcW w:w="1347" w:type="pct"/>
          </w:tcPr>
          <w:p w:rsidR="002D2D08" w:rsidRPr="00552492" w:rsidRDefault="002D2D08" w:rsidP="00674657">
            <w:pPr>
              <w:pStyle w:val="Tabletext"/>
              <w:jc w:val="center"/>
              <w:rPr>
                <w:szCs w:val="20"/>
              </w:rPr>
            </w:pPr>
            <w:r w:rsidRPr="00552492">
              <w:rPr>
                <w:szCs w:val="20"/>
              </w:rPr>
              <w:t>2.5, 100.0</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6</w:t>
            </w:r>
          </w:p>
        </w:tc>
        <w:tc>
          <w:tcPr>
            <w:tcW w:w="1346" w:type="pct"/>
          </w:tcPr>
          <w:p w:rsidR="002D2D08" w:rsidRPr="00552492" w:rsidRDefault="002D2D08" w:rsidP="00674657">
            <w:pPr>
              <w:pStyle w:val="Tabletext"/>
              <w:jc w:val="center"/>
              <w:rPr>
                <w:szCs w:val="20"/>
              </w:rPr>
            </w:pPr>
            <w:r w:rsidRPr="00552492">
              <w:rPr>
                <w:szCs w:val="20"/>
              </w:rPr>
              <w:t>6/6 (100.0)</w:t>
            </w:r>
          </w:p>
        </w:tc>
        <w:tc>
          <w:tcPr>
            <w:tcW w:w="1347" w:type="pct"/>
          </w:tcPr>
          <w:p w:rsidR="002D2D08" w:rsidRPr="00552492" w:rsidRDefault="002D2D08" w:rsidP="00674657">
            <w:pPr>
              <w:pStyle w:val="Tabletext"/>
              <w:jc w:val="center"/>
              <w:rPr>
                <w:szCs w:val="20"/>
              </w:rPr>
            </w:pPr>
            <w:r w:rsidRPr="00552492">
              <w:rPr>
                <w:szCs w:val="20"/>
              </w:rPr>
              <w:t>54.1, 100.0</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unknown</w:t>
            </w:r>
          </w:p>
        </w:tc>
        <w:tc>
          <w:tcPr>
            <w:tcW w:w="1346" w:type="pct"/>
          </w:tcPr>
          <w:p w:rsidR="002D2D08" w:rsidRPr="00552492" w:rsidRDefault="002D2D08" w:rsidP="00674657">
            <w:pPr>
              <w:pStyle w:val="Tabletext"/>
              <w:jc w:val="center"/>
              <w:rPr>
                <w:szCs w:val="20"/>
              </w:rPr>
            </w:pPr>
            <w:r w:rsidRPr="00552492">
              <w:rPr>
                <w:szCs w:val="20"/>
              </w:rPr>
              <w:t>1/1 (100.0)</w:t>
            </w:r>
          </w:p>
        </w:tc>
        <w:tc>
          <w:tcPr>
            <w:tcW w:w="1347" w:type="pct"/>
          </w:tcPr>
          <w:p w:rsidR="002D2D08" w:rsidRPr="00552492" w:rsidRDefault="002D2D08" w:rsidP="00674657">
            <w:pPr>
              <w:pStyle w:val="Tabletext"/>
              <w:jc w:val="center"/>
              <w:rPr>
                <w:szCs w:val="20"/>
              </w:rPr>
            </w:pPr>
            <w:r w:rsidRPr="00552492">
              <w:rPr>
                <w:szCs w:val="20"/>
              </w:rPr>
              <w:t>2.5, 100.0</w:t>
            </w:r>
          </w:p>
        </w:tc>
        <w:tc>
          <w:tcPr>
            <w:tcW w:w="634" w:type="pct"/>
            <w:vMerge/>
          </w:tcPr>
          <w:p w:rsidR="002D2D08" w:rsidRPr="00552492" w:rsidRDefault="002D2D08" w:rsidP="00674657">
            <w:pPr>
              <w:pStyle w:val="Tabletext"/>
              <w:jc w:val="center"/>
              <w:rPr>
                <w:szCs w:val="20"/>
              </w:rPr>
            </w:pPr>
          </w:p>
        </w:tc>
      </w:tr>
      <w:tr w:rsidR="002D2D08" w:rsidRPr="00552492" w:rsidTr="009101A0">
        <w:tc>
          <w:tcPr>
            <w:tcW w:w="1673" w:type="pct"/>
          </w:tcPr>
          <w:p w:rsidR="002D2D08" w:rsidRPr="00552492" w:rsidRDefault="002D2D08" w:rsidP="00674657">
            <w:pPr>
              <w:pStyle w:val="Tabletext"/>
              <w:rPr>
                <w:szCs w:val="20"/>
              </w:rPr>
            </w:pPr>
            <w:r w:rsidRPr="00552492">
              <w:rPr>
                <w:szCs w:val="20"/>
              </w:rPr>
              <w:t>Cirrhosis</w:t>
            </w:r>
          </w:p>
        </w:tc>
        <w:tc>
          <w:tcPr>
            <w:tcW w:w="1346" w:type="pct"/>
          </w:tcPr>
          <w:p w:rsidR="002D2D08" w:rsidRPr="00552492" w:rsidRDefault="002D2D08" w:rsidP="00674657">
            <w:pPr>
              <w:pStyle w:val="Tabletext"/>
              <w:jc w:val="center"/>
              <w:rPr>
                <w:szCs w:val="20"/>
              </w:rPr>
            </w:pPr>
            <w:r w:rsidRPr="00552492">
              <w:rPr>
                <w:szCs w:val="20"/>
              </w:rPr>
              <w:t>113/121 (93.4)</w:t>
            </w:r>
          </w:p>
        </w:tc>
        <w:tc>
          <w:tcPr>
            <w:tcW w:w="1347" w:type="pct"/>
          </w:tcPr>
          <w:p w:rsidR="002D2D08" w:rsidRPr="00552492" w:rsidRDefault="002D2D08" w:rsidP="00674657">
            <w:pPr>
              <w:pStyle w:val="Tabletext"/>
              <w:jc w:val="center"/>
              <w:rPr>
                <w:szCs w:val="20"/>
              </w:rPr>
            </w:pPr>
            <w:r w:rsidRPr="00552492">
              <w:rPr>
                <w:szCs w:val="20"/>
              </w:rPr>
              <w:t>87.4, 97.1</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rPr>
                <w:szCs w:val="20"/>
              </w:rPr>
            </w:pPr>
            <w:r w:rsidRPr="00552492">
              <w:rPr>
                <w:szCs w:val="20"/>
              </w:rPr>
              <w:t>No Cirrhosis</w:t>
            </w:r>
          </w:p>
        </w:tc>
        <w:tc>
          <w:tcPr>
            <w:tcW w:w="1346" w:type="pct"/>
          </w:tcPr>
          <w:p w:rsidR="002D2D08" w:rsidRPr="00552492" w:rsidRDefault="002D2D08" w:rsidP="00674657">
            <w:pPr>
              <w:pStyle w:val="Tabletext"/>
              <w:jc w:val="center"/>
              <w:rPr>
                <w:szCs w:val="20"/>
              </w:rPr>
            </w:pPr>
            <w:r w:rsidRPr="00552492">
              <w:rPr>
                <w:szCs w:val="20"/>
              </w:rPr>
              <w:t>140/142 (98.6)</w:t>
            </w:r>
          </w:p>
        </w:tc>
        <w:tc>
          <w:tcPr>
            <w:tcW w:w="1347" w:type="pct"/>
          </w:tcPr>
          <w:p w:rsidR="002D2D08" w:rsidRPr="00552492" w:rsidRDefault="002D2D08" w:rsidP="00674657">
            <w:pPr>
              <w:pStyle w:val="Tabletext"/>
              <w:jc w:val="center"/>
              <w:rPr>
                <w:szCs w:val="20"/>
              </w:rPr>
            </w:pPr>
            <w:r w:rsidRPr="00552492">
              <w:rPr>
                <w:szCs w:val="20"/>
              </w:rPr>
              <w:t>95.0, 99.8</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rPr>
          <w:trHeight w:val="269"/>
        </w:trPr>
        <w:tc>
          <w:tcPr>
            <w:tcW w:w="1673" w:type="pct"/>
          </w:tcPr>
          <w:p w:rsidR="002D2D08" w:rsidRPr="00552492" w:rsidRDefault="002D2D08" w:rsidP="00674657">
            <w:pPr>
              <w:pStyle w:val="Tabletext"/>
              <w:rPr>
                <w:szCs w:val="20"/>
              </w:rPr>
            </w:pPr>
            <w:r w:rsidRPr="00552492">
              <w:rPr>
                <w:szCs w:val="20"/>
              </w:rPr>
              <w:t>Treatment experienced</w:t>
            </w:r>
          </w:p>
        </w:tc>
        <w:tc>
          <w:tcPr>
            <w:tcW w:w="1346" w:type="pct"/>
          </w:tcPr>
          <w:p w:rsidR="002D2D08" w:rsidRPr="00552492" w:rsidRDefault="002D2D08" w:rsidP="00674657">
            <w:pPr>
              <w:pStyle w:val="Tabletext"/>
              <w:jc w:val="center"/>
              <w:rPr>
                <w:szCs w:val="20"/>
              </w:rPr>
            </w:pPr>
            <w:r w:rsidRPr="00552492">
              <w:rPr>
                <w:szCs w:val="20"/>
              </w:rPr>
              <w:t>253/263 (96.2%)</w:t>
            </w:r>
          </w:p>
        </w:tc>
        <w:tc>
          <w:tcPr>
            <w:tcW w:w="1347" w:type="pct"/>
          </w:tcPr>
          <w:p w:rsidR="002D2D08" w:rsidRPr="00552492" w:rsidRDefault="002D2D08" w:rsidP="00674657">
            <w:pPr>
              <w:pStyle w:val="Tabletext"/>
              <w:jc w:val="center"/>
              <w:rPr>
                <w:szCs w:val="20"/>
              </w:rPr>
            </w:pPr>
            <w:r w:rsidRPr="00552492">
              <w:rPr>
                <w:szCs w:val="20"/>
              </w:rPr>
              <w:t>93.1, 98.2</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ind w:firstLine="144"/>
              <w:rPr>
                <w:szCs w:val="20"/>
              </w:rPr>
            </w:pPr>
            <w:r w:rsidRPr="00552492">
              <w:rPr>
                <w:szCs w:val="20"/>
              </w:rPr>
              <w:t>DAA-Experienced</w:t>
            </w:r>
          </w:p>
        </w:tc>
        <w:tc>
          <w:tcPr>
            <w:tcW w:w="1346" w:type="pct"/>
          </w:tcPr>
          <w:p w:rsidR="002D2D08" w:rsidRPr="00552492" w:rsidRDefault="002D2D08" w:rsidP="00674657">
            <w:pPr>
              <w:pStyle w:val="Tabletext"/>
              <w:jc w:val="center"/>
              <w:rPr>
                <w:szCs w:val="20"/>
              </w:rPr>
            </w:pPr>
            <w:r w:rsidRPr="00552492">
              <w:rPr>
                <w:szCs w:val="20"/>
              </w:rPr>
              <w:t>253/263 (96.2%)</w:t>
            </w:r>
          </w:p>
        </w:tc>
        <w:tc>
          <w:tcPr>
            <w:tcW w:w="1347" w:type="pct"/>
          </w:tcPr>
          <w:p w:rsidR="002D2D08" w:rsidRPr="00552492" w:rsidRDefault="002D2D08" w:rsidP="00674657">
            <w:pPr>
              <w:pStyle w:val="Tabletext"/>
              <w:jc w:val="center"/>
              <w:rPr>
                <w:szCs w:val="20"/>
              </w:rPr>
            </w:pPr>
            <w:r w:rsidRPr="00552492">
              <w:rPr>
                <w:szCs w:val="20"/>
              </w:rPr>
              <w:t>93.1, 98.2</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ind w:firstLine="450"/>
              <w:rPr>
                <w:szCs w:val="20"/>
              </w:rPr>
            </w:pPr>
            <w:r w:rsidRPr="00552492">
              <w:rPr>
                <w:szCs w:val="20"/>
              </w:rPr>
              <w:t>NS5A±DAA</w:t>
            </w:r>
          </w:p>
        </w:tc>
        <w:tc>
          <w:tcPr>
            <w:tcW w:w="1346" w:type="pct"/>
          </w:tcPr>
          <w:p w:rsidR="002D2D08" w:rsidRPr="00552492" w:rsidRDefault="002D2D08" w:rsidP="00674657">
            <w:pPr>
              <w:pStyle w:val="Tabletext"/>
              <w:jc w:val="center"/>
              <w:rPr>
                <w:szCs w:val="20"/>
              </w:rPr>
            </w:pPr>
            <w:r w:rsidRPr="00552492">
              <w:rPr>
                <w:szCs w:val="20"/>
              </w:rPr>
              <w:t>252/262 (96.2%)</w:t>
            </w:r>
          </w:p>
        </w:tc>
        <w:tc>
          <w:tcPr>
            <w:tcW w:w="1347" w:type="pct"/>
          </w:tcPr>
          <w:p w:rsidR="002D2D08" w:rsidRPr="00552492" w:rsidRDefault="002D2D08" w:rsidP="00674657">
            <w:pPr>
              <w:pStyle w:val="Tabletext"/>
              <w:jc w:val="center"/>
              <w:rPr>
                <w:szCs w:val="20"/>
              </w:rPr>
            </w:pPr>
            <w:r w:rsidRPr="00552492">
              <w:rPr>
                <w:szCs w:val="20"/>
              </w:rPr>
              <w:t>93.1, 98.2</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ind w:firstLine="450"/>
              <w:rPr>
                <w:szCs w:val="20"/>
              </w:rPr>
            </w:pPr>
            <w:r w:rsidRPr="00552492">
              <w:rPr>
                <w:szCs w:val="20"/>
              </w:rPr>
              <w:t>NS5A+NS5B</w:t>
            </w:r>
          </w:p>
        </w:tc>
        <w:tc>
          <w:tcPr>
            <w:tcW w:w="1346" w:type="pct"/>
          </w:tcPr>
          <w:p w:rsidR="002D2D08" w:rsidRPr="00552492" w:rsidRDefault="002D2D08" w:rsidP="00674657">
            <w:pPr>
              <w:pStyle w:val="Tabletext"/>
              <w:jc w:val="center"/>
              <w:rPr>
                <w:szCs w:val="20"/>
              </w:rPr>
            </w:pPr>
            <w:r w:rsidRPr="00552492">
              <w:rPr>
                <w:szCs w:val="20"/>
              </w:rPr>
              <w:t>151/161 (93.8%)</w:t>
            </w:r>
          </w:p>
        </w:tc>
        <w:tc>
          <w:tcPr>
            <w:tcW w:w="1347" w:type="pct"/>
          </w:tcPr>
          <w:p w:rsidR="002D2D08" w:rsidRPr="00552492" w:rsidRDefault="002D2D08" w:rsidP="00674657">
            <w:pPr>
              <w:pStyle w:val="Tabletext"/>
              <w:jc w:val="center"/>
              <w:rPr>
                <w:szCs w:val="20"/>
              </w:rPr>
            </w:pPr>
            <w:r w:rsidRPr="00552492">
              <w:rPr>
                <w:szCs w:val="20"/>
              </w:rPr>
              <w:t>88.9, 97.0</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ind w:firstLine="450"/>
              <w:rPr>
                <w:szCs w:val="20"/>
              </w:rPr>
            </w:pPr>
            <w:r w:rsidRPr="00552492">
              <w:rPr>
                <w:szCs w:val="20"/>
              </w:rPr>
              <w:t>NS5A+NS3±NS5B</w:t>
            </w:r>
          </w:p>
        </w:tc>
        <w:tc>
          <w:tcPr>
            <w:tcW w:w="1346" w:type="pct"/>
          </w:tcPr>
          <w:p w:rsidR="002D2D08" w:rsidRPr="00552492" w:rsidRDefault="002D2D08" w:rsidP="00674657">
            <w:pPr>
              <w:pStyle w:val="Tabletext"/>
              <w:jc w:val="center"/>
              <w:rPr>
                <w:szCs w:val="20"/>
              </w:rPr>
            </w:pPr>
            <w:r w:rsidRPr="00552492">
              <w:rPr>
                <w:szCs w:val="20"/>
              </w:rPr>
              <w:t>83/83 (100.0%)</w:t>
            </w:r>
          </w:p>
        </w:tc>
        <w:tc>
          <w:tcPr>
            <w:tcW w:w="1347" w:type="pct"/>
          </w:tcPr>
          <w:p w:rsidR="002D2D08" w:rsidRPr="00552492" w:rsidRDefault="002D2D08" w:rsidP="00674657">
            <w:pPr>
              <w:pStyle w:val="Tabletext"/>
              <w:jc w:val="center"/>
              <w:rPr>
                <w:szCs w:val="20"/>
              </w:rPr>
            </w:pPr>
            <w:r w:rsidRPr="00552492">
              <w:rPr>
                <w:szCs w:val="20"/>
              </w:rPr>
              <w:t>95.7, 100.0</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ind w:firstLine="450"/>
              <w:rPr>
                <w:szCs w:val="20"/>
              </w:rPr>
            </w:pPr>
            <w:r w:rsidRPr="00552492">
              <w:rPr>
                <w:szCs w:val="20"/>
              </w:rPr>
              <w:t>NS5A±Other(s)</w:t>
            </w:r>
          </w:p>
        </w:tc>
        <w:tc>
          <w:tcPr>
            <w:tcW w:w="1346" w:type="pct"/>
          </w:tcPr>
          <w:p w:rsidR="002D2D08" w:rsidRPr="00552492" w:rsidRDefault="002D2D08" w:rsidP="00674657">
            <w:pPr>
              <w:pStyle w:val="Tabletext"/>
              <w:jc w:val="center"/>
              <w:rPr>
                <w:szCs w:val="20"/>
              </w:rPr>
            </w:pPr>
            <w:r w:rsidRPr="00552492">
              <w:rPr>
                <w:szCs w:val="20"/>
              </w:rPr>
              <w:t>18/18 (100.0%)</w:t>
            </w:r>
          </w:p>
        </w:tc>
        <w:tc>
          <w:tcPr>
            <w:tcW w:w="1347" w:type="pct"/>
          </w:tcPr>
          <w:p w:rsidR="002D2D08" w:rsidRPr="00552492" w:rsidRDefault="002D2D08" w:rsidP="00674657">
            <w:pPr>
              <w:pStyle w:val="Tabletext"/>
              <w:jc w:val="center"/>
              <w:rPr>
                <w:szCs w:val="20"/>
              </w:rPr>
            </w:pPr>
            <w:r w:rsidRPr="00552492">
              <w:rPr>
                <w:szCs w:val="20"/>
              </w:rPr>
              <w:t>81.5, 100.0</w:t>
            </w:r>
          </w:p>
        </w:tc>
        <w:tc>
          <w:tcPr>
            <w:tcW w:w="634" w:type="pct"/>
          </w:tcPr>
          <w:p w:rsidR="002D2D08" w:rsidRPr="00552492" w:rsidRDefault="002D2D08" w:rsidP="00674657">
            <w:pPr>
              <w:pStyle w:val="Tabletext"/>
              <w:jc w:val="center"/>
              <w:rPr>
                <w:szCs w:val="20"/>
              </w:rPr>
            </w:pPr>
            <w:r>
              <w:rPr>
                <w:szCs w:val="20"/>
              </w:rPr>
              <w:t>0</w:t>
            </w:r>
          </w:p>
        </w:tc>
      </w:tr>
      <w:tr w:rsidR="002D2D08" w:rsidRPr="00552492" w:rsidTr="009101A0">
        <w:tc>
          <w:tcPr>
            <w:tcW w:w="1673" w:type="pct"/>
          </w:tcPr>
          <w:p w:rsidR="002D2D08" w:rsidRPr="00552492" w:rsidRDefault="002D2D08" w:rsidP="00674657">
            <w:pPr>
              <w:pStyle w:val="Tabletext"/>
              <w:ind w:firstLine="180"/>
              <w:rPr>
                <w:szCs w:val="20"/>
              </w:rPr>
            </w:pPr>
            <w:r w:rsidRPr="00552492">
              <w:rPr>
                <w:szCs w:val="20"/>
              </w:rPr>
              <w:t>Other(s)</w:t>
            </w:r>
          </w:p>
        </w:tc>
        <w:tc>
          <w:tcPr>
            <w:tcW w:w="1346" w:type="pct"/>
          </w:tcPr>
          <w:p w:rsidR="002D2D08" w:rsidRPr="00552492" w:rsidRDefault="002D2D08" w:rsidP="00674657">
            <w:pPr>
              <w:pStyle w:val="Tabletext"/>
              <w:jc w:val="center"/>
              <w:rPr>
                <w:szCs w:val="20"/>
              </w:rPr>
            </w:pPr>
            <w:r w:rsidRPr="00552492">
              <w:rPr>
                <w:szCs w:val="20"/>
              </w:rPr>
              <w:t>1/1 (100.0%)</w:t>
            </w:r>
          </w:p>
        </w:tc>
        <w:tc>
          <w:tcPr>
            <w:tcW w:w="1347" w:type="pct"/>
          </w:tcPr>
          <w:p w:rsidR="002D2D08" w:rsidRPr="00552492" w:rsidRDefault="002D2D08" w:rsidP="00674657">
            <w:pPr>
              <w:pStyle w:val="Tabletext"/>
              <w:jc w:val="center"/>
              <w:rPr>
                <w:szCs w:val="20"/>
              </w:rPr>
            </w:pPr>
            <w:r w:rsidRPr="00552492">
              <w:rPr>
                <w:szCs w:val="20"/>
              </w:rPr>
              <w:t>2.5, 100.0</w:t>
            </w:r>
          </w:p>
        </w:tc>
        <w:tc>
          <w:tcPr>
            <w:tcW w:w="634" w:type="pct"/>
          </w:tcPr>
          <w:p w:rsidR="002D2D08" w:rsidRPr="00552492" w:rsidRDefault="002D2D08" w:rsidP="00674657">
            <w:pPr>
              <w:pStyle w:val="Tabletext"/>
              <w:jc w:val="center"/>
              <w:rPr>
                <w:szCs w:val="20"/>
              </w:rPr>
            </w:pPr>
            <w:r>
              <w:rPr>
                <w:szCs w:val="20"/>
              </w:rPr>
              <w:t>0</w:t>
            </w:r>
          </w:p>
        </w:tc>
      </w:tr>
    </w:tbl>
    <w:p w:rsidR="002D2D08" w:rsidRDefault="002D2D08" w:rsidP="002D2D08">
      <w:pPr>
        <w:pStyle w:val="TableFooter"/>
        <w:rPr>
          <w:rFonts w:eastAsia="Calibri"/>
        </w:rPr>
      </w:pPr>
      <w:r w:rsidRPr="00B40358">
        <w:rPr>
          <w:rFonts w:eastAsia="Calibri"/>
        </w:rPr>
        <w:t xml:space="preserve">CI = confidence interval; </w:t>
      </w:r>
      <w:r>
        <w:rPr>
          <w:rFonts w:eastAsia="Calibri"/>
        </w:rPr>
        <w:t xml:space="preserve">DAA = direct acting anti-viral; </w:t>
      </w:r>
      <w:r w:rsidRPr="00B40358">
        <w:rPr>
          <w:rFonts w:eastAsia="Calibri"/>
        </w:rPr>
        <w:t>n = number of participants with event; N = total participants in group</w:t>
      </w:r>
      <w:r>
        <w:rPr>
          <w:rFonts w:eastAsia="Calibri"/>
        </w:rPr>
        <w:t xml:space="preserve">; NA = not applicable; NS4 = non-structural protein; SVR = sustained </w:t>
      </w:r>
      <w:proofErr w:type="spellStart"/>
      <w:r>
        <w:rPr>
          <w:rFonts w:eastAsia="Calibri"/>
        </w:rPr>
        <w:t>virologic</w:t>
      </w:r>
      <w:proofErr w:type="spellEnd"/>
      <w:r>
        <w:rPr>
          <w:rFonts w:eastAsia="Calibri"/>
        </w:rPr>
        <w:t xml:space="preserve"> response</w:t>
      </w:r>
    </w:p>
    <w:p w:rsidR="007C299C" w:rsidRPr="002D2D08" w:rsidRDefault="007C299C" w:rsidP="002D2D08">
      <w:pPr>
        <w:pStyle w:val="TableFooter"/>
        <w:rPr>
          <w:rFonts w:eastAsia="Calibri"/>
        </w:rPr>
      </w:pPr>
      <w:r>
        <w:t>Source: Table 2.15, p 56-57 of the submission.</w:t>
      </w:r>
    </w:p>
    <w:p w:rsidR="002D2D08" w:rsidRPr="002D2D08" w:rsidRDefault="002D2D08" w:rsidP="002D2D08">
      <w:pPr>
        <w:rPr>
          <w:color w:val="000000" w:themeColor="text1"/>
        </w:rPr>
      </w:pPr>
    </w:p>
    <w:p w:rsidR="007617D1" w:rsidRPr="007617D1" w:rsidRDefault="007617D1" w:rsidP="00F477B2">
      <w:pPr>
        <w:pStyle w:val="ListParagraph"/>
        <w:numPr>
          <w:ilvl w:val="1"/>
          <w:numId w:val="2"/>
        </w:numPr>
        <w:rPr>
          <w:color w:val="000000" w:themeColor="text1"/>
        </w:rPr>
      </w:pPr>
      <w:r>
        <w:t xml:space="preserve">The submission also included results of Quality of Life data instruments recorded in the POLARIS-1 trial. </w:t>
      </w:r>
    </w:p>
    <w:p w:rsidR="007617D1" w:rsidRPr="00AD15E2" w:rsidRDefault="007617D1" w:rsidP="00F477B2">
      <w:pPr>
        <w:pStyle w:val="ListParagraph"/>
        <w:numPr>
          <w:ilvl w:val="1"/>
          <w:numId w:val="2"/>
        </w:numPr>
        <w:rPr>
          <w:color w:val="000000" w:themeColor="text1"/>
        </w:rPr>
      </w:pPr>
      <w:r w:rsidRPr="00AD15E2">
        <w:rPr>
          <w:color w:val="000000" w:themeColor="text1"/>
        </w:rPr>
        <w:t xml:space="preserve">Overall, there was no meaningful difference in quality of life between placebo and </w:t>
      </w:r>
      <w:proofErr w:type="spellStart"/>
      <w:r w:rsidR="002457C6" w:rsidRPr="00AD15E2">
        <w:t>sofosbuvir</w:t>
      </w:r>
      <w:proofErr w:type="spellEnd"/>
      <w:r w:rsidR="002457C6" w:rsidRPr="00AD15E2">
        <w:t xml:space="preserve"> </w:t>
      </w:r>
      <w:r w:rsidR="0083072B">
        <w:t xml:space="preserve">with </w:t>
      </w:r>
      <w:proofErr w:type="spellStart"/>
      <w:r w:rsidR="0083072B">
        <w:t>velpatasvir</w:t>
      </w:r>
      <w:proofErr w:type="spellEnd"/>
      <w:r w:rsidR="0083072B">
        <w:t xml:space="preserve"> and</w:t>
      </w:r>
      <w:r w:rsidR="002457C6" w:rsidRPr="00AD15E2">
        <w:t xml:space="preserve"> </w:t>
      </w:r>
      <w:proofErr w:type="spellStart"/>
      <w:r w:rsidR="002457C6" w:rsidRPr="00AD15E2">
        <w:t>voxilaprevir</w:t>
      </w:r>
      <w:proofErr w:type="spellEnd"/>
      <w:r w:rsidR="002457C6" w:rsidRPr="00AD15E2">
        <w:t xml:space="preserve"> </w:t>
      </w:r>
      <w:r w:rsidR="007818C2" w:rsidRPr="00AD15E2">
        <w:rPr>
          <w:color w:val="000000" w:themeColor="text1"/>
        </w:rPr>
        <w:t>over</w:t>
      </w:r>
      <w:r w:rsidR="009101A0" w:rsidRPr="00AD15E2">
        <w:rPr>
          <w:color w:val="000000" w:themeColor="text1"/>
        </w:rPr>
        <w:t xml:space="preserve"> </w:t>
      </w:r>
      <w:r w:rsidRPr="00AD15E2">
        <w:rPr>
          <w:color w:val="000000" w:themeColor="text1"/>
        </w:rPr>
        <w:t>the 12 week treatment duration.</w:t>
      </w:r>
    </w:p>
    <w:p w:rsidR="00E22F57" w:rsidRPr="00E22F57" w:rsidRDefault="00E22F57" w:rsidP="00F477B2">
      <w:pPr>
        <w:pStyle w:val="ListParagraph"/>
        <w:numPr>
          <w:ilvl w:val="1"/>
          <w:numId w:val="2"/>
        </w:numPr>
        <w:rPr>
          <w:color w:val="000000" w:themeColor="text1"/>
        </w:rPr>
      </w:pPr>
      <w:r w:rsidRPr="00E22F57">
        <w:rPr>
          <w:color w:val="000000" w:themeColor="text1"/>
        </w:rPr>
        <w:t xml:space="preserve">Table </w:t>
      </w:r>
      <w:r w:rsidR="00116E7D">
        <w:rPr>
          <w:color w:val="000000" w:themeColor="text1"/>
        </w:rPr>
        <w:t>6</w:t>
      </w:r>
      <w:r w:rsidRPr="00E22F57">
        <w:rPr>
          <w:color w:val="000000" w:themeColor="text1"/>
        </w:rPr>
        <w:t xml:space="preserve"> presents the naïve comparison of </w:t>
      </w:r>
      <w:proofErr w:type="spellStart"/>
      <w:r w:rsidR="002457C6" w:rsidRPr="002457C6">
        <w:rPr>
          <w:color w:val="000000" w:themeColor="text1"/>
        </w:rPr>
        <w:t>sofosbuvir</w:t>
      </w:r>
      <w:proofErr w:type="spellEnd"/>
      <w:r w:rsidR="002457C6" w:rsidRPr="002457C6">
        <w:rPr>
          <w:color w:val="000000" w:themeColor="text1"/>
        </w:rPr>
        <w:t xml:space="preserve"> </w:t>
      </w:r>
      <w:r w:rsidR="0083072B">
        <w:rPr>
          <w:color w:val="000000" w:themeColor="text1"/>
        </w:rPr>
        <w:t>with</w:t>
      </w:r>
      <w:r w:rsidR="002457C6" w:rsidRPr="002457C6">
        <w:rPr>
          <w:color w:val="000000" w:themeColor="text1"/>
        </w:rPr>
        <w:t xml:space="preserve"> </w:t>
      </w:r>
      <w:proofErr w:type="spellStart"/>
      <w:r w:rsidR="002457C6" w:rsidRPr="002457C6">
        <w:rPr>
          <w:color w:val="000000" w:themeColor="text1"/>
        </w:rPr>
        <w:t>velpatasvir</w:t>
      </w:r>
      <w:proofErr w:type="spellEnd"/>
      <w:r w:rsidR="002457C6" w:rsidRPr="002457C6">
        <w:rPr>
          <w:color w:val="000000" w:themeColor="text1"/>
        </w:rPr>
        <w:t xml:space="preserve"> </w:t>
      </w:r>
      <w:r w:rsidR="0083072B">
        <w:rPr>
          <w:color w:val="000000" w:themeColor="text1"/>
        </w:rPr>
        <w:t>and</w:t>
      </w:r>
      <w:r w:rsidR="002457C6" w:rsidRPr="002457C6">
        <w:rPr>
          <w:color w:val="000000" w:themeColor="text1"/>
        </w:rPr>
        <w:t xml:space="preserve"> </w:t>
      </w:r>
      <w:proofErr w:type="spellStart"/>
      <w:r w:rsidR="002457C6" w:rsidRPr="002457C6">
        <w:rPr>
          <w:color w:val="000000" w:themeColor="text1"/>
        </w:rPr>
        <w:t>voxilaprevir</w:t>
      </w:r>
      <w:proofErr w:type="spellEnd"/>
      <w:r w:rsidR="002457C6" w:rsidRPr="002457C6">
        <w:rPr>
          <w:color w:val="000000" w:themeColor="text1"/>
        </w:rPr>
        <w:t xml:space="preserve"> </w:t>
      </w:r>
      <w:r w:rsidRPr="00E22F57">
        <w:rPr>
          <w:color w:val="000000" w:themeColor="text1"/>
        </w:rPr>
        <w:t xml:space="preserve">and </w:t>
      </w:r>
      <w:proofErr w:type="spellStart"/>
      <w:r w:rsidR="002457C6">
        <w:rPr>
          <w:color w:val="000000" w:themeColor="text1"/>
        </w:rPr>
        <w:t>glecaprevir</w:t>
      </w:r>
      <w:proofErr w:type="spellEnd"/>
      <w:r w:rsidR="002457C6">
        <w:rPr>
          <w:color w:val="000000" w:themeColor="text1"/>
        </w:rPr>
        <w:t xml:space="preserve"> </w:t>
      </w:r>
      <w:r w:rsidR="00411646">
        <w:rPr>
          <w:color w:val="000000" w:themeColor="text1"/>
        </w:rPr>
        <w:t>with</w:t>
      </w:r>
      <w:r w:rsidR="002457C6">
        <w:rPr>
          <w:color w:val="000000" w:themeColor="text1"/>
        </w:rPr>
        <w:t xml:space="preserve"> </w:t>
      </w:r>
      <w:proofErr w:type="spellStart"/>
      <w:r w:rsidR="002457C6">
        <w:rPr>
          <w:color w:val="000000" w:themeColor="text1"/>
        </w:rPr>
        <w:t>pibrentasvir</w:t>
      </w:r>
      <w:proofErr w:type="spellEnd"/>
      <w:r w:rsidR="002457C6" w:rsidRPr="00E22F57">
        <w:rPr>
          <w:color w:val="000000" w:themeColor="text1"/>
        </w:rPr>
        <w:t xml:space="preserve"> </w:t>
      </w:r>
      <w:r w:rsidR="007818C2">
        <w:rPr>
          <w:color w:val="000000" w:themeColor="text1"/>
        </w:rPr>
        <w:t>presented in the A</w:t>
      </w:r>
      <w:r w:rsidRPr="00E22F57">
        <w:rPr>
          <w:color w:val="000000" w:themeColor="text1"/>
        </w:rPr>
        <w:t>ppendix to the submission.</w:t>
      </w:r>
    </w:p>
    <w:p w:rsidR="004F54A8" w:rsidRPr="00D24896" w:rsidRDefault="002D2D08" w:rsidP="00F477B2">
      <w:pPr>
        <w:pStyle w:val="ListParagraph"/>
        <w:numPr>
          <w:ilvl w:val="1"/>
          <w:numId w:val="2"/>
        </w:numPr>
        <w:rPr>
          <w:rStyle w:val="CommentReference"/>
          <w:rFonts w:asciiTheme="minorHAnsi" w:hAnsiTheme="minorHAnsi"/>
          <w:b w:val="0"/>
          <w:sz w:val="24"/>
          <w:szCs w:val="24"/>
        </w:rPr>
      </w:pPr>
      <w:r w:rsidRPr="002D2D08">
        <w:rPr>
          <w:rFonts w:cs="Calibri"/>
          <w:color w:val="000000" w:themeColor="text1"/>
          <w:lang w:val="en-US" w:eastAsia="en-AU"/>
        </w:rPr>
        <w:t xml:space="preserve">The submission stated the data showed </w:t>
      </w:r>
      <w:proofErr w:type="spellStart"/>
      <w:r w:rsidR="002457C6">
        <w:rPr>
          <w:rFonts w:cs="Calibri"/>
          <w:color w:val="000000" w:themeColor="text1"/>
          <w:lang w:val="en-US" w:eastAsia="en-AU"/>
        </w:rPr>
        <w:t>glecaprevir</w:t>
      </w:r>
      <w:proofErr w:type="spellEnd"/>
      <w:r w:rsidR="002457C6">
        <w:rPr>
          <w:rFonts w:cs="Calibri"/>
          <w:color w:val="000000" w:themeColor="text1"/>
          <w:lang w:val="en-US" w:eastAsia="en-AU"/>
        </w:rPr>
        <w:t xml:space="preserve"> </w:t>
      </w:r>
      <w:r w:rsidR="00411646">
        <w:rPr>
          <w:rFonts w:cs="Calibri"/>
          <w:color w:val="000000" w:themeColor="text1"/>
          <w:lang w:val="en-US" w:eastAsia="en-AU"/>
        </w:rPr>
        <w:t>with</w:t>
      </w:r>
      <w:r w:rsidR="002457C6">
        <w:rPr>
          <w:rFonts w:cs="Calibri"/>
          <w:color w:val="000000" w:themeColor="text1"/>
          <w:lang w:val="en-US" w:eastAsia="en-AU"/>
        </w:rPr>
        <w:t xml:space="preserve"> </w:t>
      </w:r>
      <w:proofErr w:type="spellStart"/>
      <w:r w:rsidR="002457C6">
        <w:rPr>
          <w:rFonts w:cs="Calibri"/>
          <w:color w:val="000000" w:themeColor="text1"/>
          <w:lang w:val="en-US" w:eastAsia="en-AU"/>
        </w:rPr>
        <w:t>pibrentasvir</w:t>
      </w:r>
      <w:proofErr w:type="spellEnd"/>
      <w:r w:rsidR="002457C6" w:rsidRPr="002D2D08">
        <w:rPr>
          <w:rFonts w:cs="Calibri"/>
          <w:color w:val="000000" w:themeColor="text1"/>
          <w:lang w:val="en-US" w:eastAsia="en-AU"/>
        </w:rPr>
        <w:t xml:space="preserve"> </w:t>
      </w:r>
      <w:r w:rsidRPr="002D2D08">
        <w:rPr>
          <w:rFonts w:cs="Calibri"/>
          <w:color w:val="000000" w:themeColor="text1"/>
          <w:lang w:val="en-US" w:eastAsia="en-AU"/>
        </w:rPr>
        <w:t xml:space="preserve">was effective in achieving an ‘acceptable SVR rate’ in patients previously treated with an NS5A inhibitor (excluding subjects with </w:t>
      </w:r>
      <w:r w:rsidR="007818C2">
        <w:rPr>
          <w:rFonts w:cs="Calibri"/>
          <w:color w:val="000000" w:themeColor="text1"/>
          <w:lang w:val="en-US" w:eastAsia="en-AU"/>
        </w:rPr>
        <w:t>genotype</w:t>
      </w:r>
      <w:r w:rsidRPr="002D2D08">
        <w:rPr>
          <w:rFonts w:cs="Calibri"/>
          <w:color w:val="000000" w:themeColor="text1"/>
          <w:lang w:val="en-US" w:eastAsia="en-AU"/>
        </w:rPr>
        <w:t xml:space="preserve"> 3), but that SVR rates achieved with </w:t>
      </w:r>
      <w:proofErr w:type="spellStart"/>
      <w:r w:rsidR="0083072B">
        <w:rPr>
          <w:rFonts w:cs="Calibri"/>
          <w:color w:val="000000" w:themeColor="text1"/>
          <w:lang w:val="en-US" w:eastAsia="en-AU"/>
        </w:rPr>
        <w:t>sofosbuvir</w:t>
      </w:r>
      <w:proofErr w:type="spellEnd"/>
      <w:r w:rsidR="0083072B">
        <w:rPr>
          <w:rFonts w:cs="Calibri"/>
          <w:color w:val="000000" w:themeColor="text1"/>
          <w:lang w:val="en-US" w:eastAsia="en-AU"/>
        </w:rPr>
        <w:t xml:space="preserve"> with </w:t>
      </w:r>
      <w:proofErr w:type="spellStart"/>
      <w:r w:rsidR="0083072B">
        <w:rPr>
          <w:rFonts w:cs="Calibri"/>
          <w:color w:val="000000" w:themeColor="text1"/>
          <w:lang w:val="en-US" w:eastAsia="en-AU"/>
        </w:rPr>
        <w:t>velpatasvir</w:t>
      </w:r>
      <w:proofErr w:type="spellEnd"/>
      <w:r w:rsidR="0083072B">
        <w:rPr>
          <w:rFonts w:cs="Calibri"/>
          <w:color w:val="000000" w:themeColor="text1"/>
          <w:lang w:val="en-US" w:eastAsia="en-AU"/>
        </w:rPr>
        <w:t xml:space="preserve"> and</w:t>
      </w:r>
      <w:r w:rsidR="002457C6" w:rsidRPr="002457C6">
        <w:rPr>
          <w:rFonts w:cs="Calibri"/>
          <w:color w:val="000000" w:themeColor="text1"/>
          <w:lang w:val="en-US" w:eastAsia="en-AU"/>
        </w:rPr>
        <w:t xml:space="preserve"> </w:t>
      </w:r>
      <w:proofErr w:type="spellStart"/>
      <w:r w:rsidR="002457C6" w:rsidRPr="002457C6">
        <w:rPr>
          <w:rFonts w:cs="Calibri"/>
          <w:color w:val="000000" w:themeColor="text1"/>
          <w:lang w:val="en-US" w:eastAsia="en-AU"/>
        </w:rPr>
        <w:t>voxilaprevir</w:t>
      </w:r>
      <w:proofErr w:type="spellEnd"/>
      <w:r w:rsidR="002457C6" w:rsidRPr="002457C6">
        <w:rPr>
          <w:rFonts w:cs="Calibri"/>
          <w:color w:val="000000" w:themeColor="text1"/>
          <w:lang w:val="en-US" w:eastAsia="en-AU"/>
        </w:rPr>
        <w:t xml:space="preserve"> </w:t>
      </w:r>
      <w:r w:rsidRPr="002D2D08">
        <w:rPr>
          <w:rFonts w:cs="Calibri"/>
          <w:color w:val="000000" w:themeColor="text1"/>
          <w:lang w:val="en-US" w:eastAsia="en-AU"/>
        </w:rPr>
        <w:t xml:space="preserve">in NS5A patients were numerically higher or the same as those achieved with </w:t>
      </w:r>
      <w:proofErr w:type="spellStart"/>
      <w:r w:rsidR="002457C6">
        <w:rPr>
          <w:rFonts w:cs="Calibri"/>
          <w:color w:val="000000" w:themeColor="text1"/>
          <w:lang w:val="en-US" w:eastAsia="en-AU"/>
        </w:rPr>
        <w:t>glecaprevir</w:t>
      </w:r>
      <w:proofErr w:type="spellEnd"/>
      <w:r w:rsidR="002457C6">
        <w:rPr>
          <w:rFonts w:cs="Calibri"/>
          <w:color w:val="000000" w:themeColor="text1"/>
          <w:lang w:val="en-US" w:eastAsia="en-AU"/>
        </w:rPr>
        <w:t xml:space="preserve"> </w:t>
      </w:r>
      <w:r w:rsidR="00411646">
        <w:rPr>
          <w:rFonts w:cs="Calibri"/>
          <w:color w:val="000000" w:themeColor="text1"/>
          <w:lang w:val="en-US" w:eastAsia="en-AU"/>
        </w:rPr>
        <w:t>with</w:t>
      </w:r>
      <w:r w:rsidR="002457C6">
        <w:rPr>
          <w:rFonts w:cs="Calibri"/>
          <w:color w:val="000000" w:themeColor="text1"/>
          <w:lang w:val="en-US" w:eastAsia="en-AU"/>
        </w:rPr>
        <w:t xml:space="preserve"> </w:t>
      </w:r>
      <w:proofErr w:type="spellStart"/>
      <w:r w:rsidR="002457C6">
        <w:rPr>
          <w:rFonts w:cs="Calibri"/>
          <w:color w:val="000000" w:themeColor="text1"/>
          <w:lang w:val="en-US" w:eastAsia="en-AU"/>
        </w:rPr>
        <w:t>pibrentasvir</w:t>
      </w:r>
      <w:proofErr w:type="spellEnd"/>
      <w:r w:rsidR="002457C6" w:rsidRPr="002D2D08">
        <w:rPr>
          <w:rFonts w:cs="Calibri"/>
          <w:color w:val="000000" w:themeColor="text1"/>
          <w:lang w:val="en-US" w:eastAsia="en-AU"/>
        </w:rPr>
        <w:t xml:space="preserve"> </w:t>
      </w:r>
      <w:r w:rsidRPr="002D2D08">
        <w:rPr>
          <w:rFonts w:cs="Calibri"/>
          <w:color w:val="000000" w:themeColor="text1"/>
          <w:lang w:val="en-US" w:eastAsia="en-AU"/>
        </w:rPr>
        <w:t xml:space="preserve">in both the overall </w:t>
      </w:r>
      <w:r w:rsidR="002457C6">
        <w:rPr>
          <w:rFonts w:cs="Calibri"/>
          <w:color w:val="000000" w:themeColor="text1"/>
          <w:lang w:val="en-US" w:eastAsia="en-AU"/>
        </w:rPr>
        <w:t xml:space="preserve">DAA-failed </w:t>
      </w:r>
      <w:r w:rsidRPr="002D2D08">
        <w:rPr>
          <w:rFonts w:cs="Calibri"/>
          <w:color w:val="000000" w:themeColor="text1"/>
          <w:lang w:val="en-US" w:eastAsia="en-AU"/>
        </w:rPr>
        <w:t xml:space="preserve">population and the specific NS5A failed population. </w:t>
      </w:r>
      <w:r>
        <w:rPr>
          <w:rFonts w:cs="Calibri"/>
          <w:color w:val="000000" w:themeColor="text1"/>
          <w:lang w:val="en-US" w:eastAsia="en-AU"/>
        </w:rPr>
        <w:t>T</w:t>
      </w:r>
      <w:r w:rsidRPr="002D2D08">
        <w:rPr>
          <w:rFonts w:cs="Calibri"/>
          <w:color w:val="000000" w:themeColor="text1"/>
          <w:lang w:val="en-US" w:eastAsia="en-AU"/>
        </w:rPr>
        <w:t xml:space="preserve">his applied to the limited subgroups of prior DAA exposure and prevalence of baseline </w:t>
      </w:r>
      <w:r w:rsidR="00CC5B43">
        <w:t>resistance associated variants (RAVs</w:t>
      </w:r>
      <w:r w:rsidR="00CC5B43" w:rsidRPr="002B2F71">
        <w:t>)</w:t>
      </w:r>
      <w:r w:rsidR="00D24896">
        <w:rPr>
          <w:rFonts w:cs="Calibri"/>
          <w:lang w:val="en-US" w:eastAsia="en-AU"/>
        </w:rPr>
        <w:t>.</w:t>
      </w:r>
    </w:p>
    <w:p w:rsidR="00D43DF8" w:rsidRDefault="00D43DF8" w:rsidP="00116E7D">
      <w:pPr>
        <w:jc w:val="left"/>
        <w:rPr>
          <w:rStyle w:val="CommentReference"/>
        </w:rPr>
      </w:pPr>
      <w:r>
        <w:rPr>
          <w:rStyle w:val="CommentReference"/>
        </w:rPr>
        <w:br w:type="page"/>
      </w:r>
    </w:p>
    <w:p w:rsidR="002D2D08" w:rsidRPr="006D5C0B" w:rsidRDefault="002D2D08" w:rsidP="00116E7D">
      <w:pPr>
        <w:jc w:val="left"/>
        <w:rPr>
          <w:rStyle w:val="CommentReference"/>
        </w:rPr>
      </w:pPr>
      <w:r w:rsidRPr="00E2771E">
        <w:rPr>
          <w:rStyle w:val="CommentReference"/>
        </w:rPr>
        <w:lastRenderedPageBreak/>
        <w:t xml:space="preserve">Table </w:t>
      </w:r>
      <w:r w:rsidR="00116E7D">
        <w:rPr>
          <w:rStyle w:val="CommentReference"/>
        </w:rPr>
        <w:t>6</w:t>
      </w:r>
      <w:r w:rsidRPr="00E2771E">
        <w:rPr>
          <w:rStyle w:val="CommentReference"/>
        </w:rPr>
        <w:t xml:space="preserve">: </w:t>
      </w:r>
      <w:r>
        <w:rPr>
          <w:rStyle w:val="CommentReference"/>
        </w:rPr>
        <w:t>S</w:t>
      </w:r>
      <w:r w:rsidRPr="006D5C0B">
        <w:rPr>
          <w:rStyle w:val="CommentReference"/>
        </w:rPr>
        <w:t>ide-by-side comparison of efficacy results in MAGELLAN</w:t>
      </w:r>
      <w:r>
        <w:rPr>
          <w:rStyle w:val="CommentReference"/>
        </w:rPr>
        <w:t>-</w:t>
      </w:r>
      <w:r w:rsidRPr="006D5C0B">
        <w:rPr>
          <w:rStyle w:val="CommentReference"/>
        </w:rPr>
        <w:t>1 and POLARIS-1.</w:t>
      </w:r>
    </w:p>
    <w:tbl>
      <w:tblPr>
        <w:tblStyle w:val="TableGrid"/>
        <w:tblW w:w="9243" w:type="dxa"/>
        <w:tblLayout w:type="fixed"/>
        <w:tblCellMar>
          <w:left w:w="29" w:type="dxa"/>
          <w:right w:w="29" w:type="dxa"/>
        </w:tblCellMar>
        <w:tblLook w:val="04A0" w:firstRow="1" w:lastRow="0" w:firstColumn="1" w:lastColumn="0" w:noHBand="0" w:noVBand="1"/>
        <w:tblCaption w:val="Table 6: Side-by-side comparison of efficacy results in MAGELLAN-1 and POLARIS-1"/>
      </w:tblPr>
      <w:tblGrid>
        <w:gridCol w:w="2231"/>
        <w:gridCol w:w="1863"/>
        <w:gridCol w:w="1864"/>
        <w:gridCol w:w="3285"/>
      </w:tblGrid>
      <w:tr w:rsidR="002D2D08" w:rsidRPr="003A31DE" w:rsidTr="00082271">
        <w:trPr>
          <w:tblHeader/>
        </w:trPr>
        <w:tc>
          <w:tcPr>
            <w:tcW w:w="2231" w:type="dxa"/>
            <w:vMerge w:val="restart"/>
            <w:noWrap/>
            <w:hideMark/>
          </w:tcPr>
          <w:p w:rsidR="002D2D08" w:rsidRPr="006D5C0B" w:rsidRDefault="002D2D08" w:rsidP="00674657">
            <w:pPr>
              <w:pStyle w:val="BodyText"/>
              <w:rPr>
                <w:rFonts w:ascii="Arial Narrow" w:hAnsi="Arial Narrow"/>
                <w:b/>
                <w:sz w:val="20"/>
                <w:szCs w:val="20"/>
                <w:lang w:val="en-US"/>
              </w:rPr>
            </w:pPr>
            <w:r w:rsidRPr="006D5C0B">
              <w:rPr>
                <w:rFonts w:ascii="Arial Narrow" w:hAnsi="Arial Narrow"/>
                <w:b/>
                <w:sz w:val="20"/>
                <w:szCs w:val="20"/>
                <w:lang w:val="en-US"/>
              </w:rPr>
              <w:t>Outcome</w:t>
            </w:r>
          </w:p>
        </w:tc>
        <w:tc>
          <w:tcPr>
            <w:tcW w:w="3727" w:type="dxa"/>
            <w:gridSpan w:val="2"/>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MAGELLAN 1 - GP</w:t>
            </w:r>
          </w:p>
        </w:tc>
        <w:tc>
          <w:tcPr>
            <w:tcW w:w="3285"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POLARIS 1-sof+vel+ox</w:t>
            </w:r>
          </w:p>
        </w:tc>
      </w:tr>
      <w:tr w:rsidR="002D2D08" w:rsidRPr="003A31DE" w:rsidTr="00082271">
        <w:trPr>
          <w:tblHeader/>
        </w:trPr>
        <w:tc>
          <w:tcPr>
            <w:tcW w:w="2231" w:type="dxa"/>
            <w:vMerge/>
            <w:noWrap/>
            <w:hideMark/>
          </w:tcPr>
          <w:p w:rsidR="002D2D08" w:rsidRPr="006D5C0B" w:rsidRDefault="002D2D08" w:rsidP="00674657">
            <w:pPr>
              <w:pStyle w:val="BodyText"/>
              <w:rPr>
                <w:rFonts w:ascii="Arial Narrow" w:hAnsi="Arial Narrow"/>
                <w:b/>
                <w:sz w:val="20"/>
                <w:szCs w:val="20"/>
              </w:rPr>
            </w:pPr>
          </w:p>
        </w:tc>
        <w:tc>
          <w:tcPr>
            <w:tcW w:w="1863"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12 weeks</w:t>
            </w:r>
          </w:p>
        </w:tc>
        <w:tc>
          <w:tcPr>
            <w:tcW w:w="1864"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16 weeks</w:t>
            </w:r>
          </w:p>
        </w:tc>
        <w:tc>
          <w:tcPr>
            <w:tcW w:w="3285"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12 weeks</w:t>
            </w:r>
          </w:p>
        </w:tc>
      </w:tr>
      <w:tr w:rsidR="002D2D08" w:rsidRPr="003A31DE" w:rsidTr="00082271">
        <w:trPr>
          <w:tblHeader/>
        </w:trPr>
        <w:tc>
          <w:tcPr>
            <w:tcW w:w="2231" w:type="dxa"/>
            <w:vMerge/>
            <w:noWrap/>
            <w:hideMark/>
          </w:tcPr>
          <w:p w:rsidR="002D2D08" w:rsidRPr="006D5C0B" w:rsidRDefault="002D2D08" w:rsidP="00674657">
            <w:pPr>
              <w:pStyle w:val="BodyText"/>
              <w:rPr>
                <w:rFonts w:ascii="Arial Narrow" w:hAnsi="Arial Narrow"/>
                <w:b/>
                <w:sz w:val="20"/>
                <w:szCs w:val="20"/>
              </w:rPr>
            </w:pPr>
          </w:p>
        </w:tc>
        <w:tc>
          <w:tcPr>
            <w:tcW w:w="1863"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(n=44)</w:t>
            </w:r>
          </w:p>
        </w:tc>
        <w:tc>
          <w:tcPr>
            <w:tcW w:w="1864"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(n=47)</w:t>
            </w:r>
          </w:p>
        </w:tc>
        <w:tc>
          <w:tcPr>
            <w:tcW w:w="3285" w:type="dxa"/>
            <w:noWrap/>
            <w:hideMark/>
          </w:tcPr>
          <w:p w:rsidR="002D2D08" w:rsidRPr="006D5C0B" w:rsidRDefault="002D2D08" w:rsidP="00674657">
            <w:pPr>
              <w:pStyle w:val="BodyText"/>
              <w:jc w:val="center"/>
              <w:rPr>
                <w:rFonts w:ascii="Arial Narrow" w:hAnsi="Arial Narrow"/>
                <w:b/>
                <w:sz w:val="20"/>
                <w:szCs w:val="20"/>
              </w:rPr>
            </w:pPr>
            <w:r w:rsidRPr="006D5C0B">
              <w:rPr>
                <w:rFonts w:ascii="Arial Narrow" w:hAnsi="Arial Narrow"/>
                <w:b/>
                <w:sz w:val="20"/>
                <w:szCs w:val="20"/>
              </w:rPr>
              <w:t>(n=263)</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SVR12</w:t>
            </w:r>
          </w:p>
        </w:tc>
        <w:tc>
          <w:tcPr>
            <w:tcW w:w="1863" w:type="dxa"/>
            <w:noWrap/>
            <w:hideMark/>
          </w:tcPr>
          <w:p w:rsidR="002D2D08" w:rsidRPr="003A31DE" w:rsidRDefault="00470F41" w:rsidP="00674657">
            <w:pPr>
              <w:pStyle w:val="BodyText"/>
              <w:jc w:val="center"/>
              <w:rPr>
                <w:rFonts w:ascii="Arial Narrow" w:hAnsi="Arial Narrow"/>
                <w:sz w:val="20"/>
                <w:szCs w:val="20"/>
              </w:rPr>
            </w:pPr>
            <w:r>
              <w:rPr>
                <w:rFonts w:ascii="Arial Narrow" w:hAnsi="Arial Narrow"/>
                <w:sz w:val="20"/>
                <w:szCs w:val="20"/>
              </w:rPr>
              <w:t xml:space="preserve">39/44 </w:t>
            </w:r>
            <w:r w:rsidR="002B2F71">
              <w:rPr>
                <w:rFonts w:ascii="Arial Narrow" w:hAnsi="Arial Narrow"/>
                <w:sz w:val="20"/>
                <w:szCs w:val="20"/>
              </w:rPr>
              <w:t>(</w:t>
            </w:r>
            <w:r>
              <w:rPr>
                <w:rFonts w:ascii="Arial Narrow" w:hAnsi="Arial Narrow"/>
                <w:sz w:val="20"/>
                <w:szCs w:val="20"/>
              </w:rPr>
              <w:t>89%</w:t>
            </w:r>
            <w:r w:rsidR="002B2F71">
              <w:rPr>
                <w:rFonts w:ascii="Arial Narrow" w:hAnsi="Arial Narrow"/>
                <w:sz w:val="20"/>
                <w:szCs w:val="20"/>
              </w:rPr>
              <w:t>)</w:t>
            </w:r>
          </w:p>
        </w:tc>
        <w:tc>
          <w:tcPr>
            <w:tcW w:w="1864" w:type="dxa"/>
            <w:noWrap/>
            <w:hideMark/>
          </w:tcPr>
          <w:p w:rsidR="002D2D08" w:rsidRPr="003A31DE" w:rsidRDefault="00470F41" w:rsidP="00674657">
            <w:pPr>
              <w:pStyle w:val="BodyText"/>
              <w:jc w:val="center"/>
              <w:rPr>
                <w:rFonts w:ascii="Arial Narrow" w:hAnsi="Arial Narrow"/>
                <w:sz w:val="20"/>
                <w:szCs w:val="20"/>
              </w:rPr>
            </w:pPr>
            <w:r>
              <w:rPr>
                <w:rFonts w:ascii="Arial Narrow" w:hAnsi="Arial Narrow"/>
                <w:sz w:val="20"/>
                <w:szCs w:val="20"/>
              </w:rPr>
              <w:t>43/47 (91%)</w:t>
            </w:r>
          </w:p>
        </w:tc>
        <w:tc>
          <w:tcPr>
            <w:tcW w:w="3285" w:type="dxa"/>
            <w:noWrap/>
            <w:hideMark/>
          </w:tcPr>
          <w:p w:rsidR="002D2D08" w:rsidRPr="003A31DE" w:rsidRDefault="00470F41" w:rsidP="00674657">
            <w:pPr>
              <w:pStyle w:val="BodyText"/>
              <w:jc w:val="center"/>
              <w:rPr>
                <w:rFonts w:ascii="Arial Narrow" w:hAnsi="Arial Narrow"/>
                <w:sz w:val="20"/>
                <w:szCs w:val="20"/>
              </w:rPr>
            </w:pPr>
            <w:r>
              <w:rPr>
                <w:rFonts w:ascii="Arial Narrow" w:hAnsi="Arial Narrow"/>
                <w:sz w:val="20"/>
                <w:szCs w:val="20"/>
              </w:rPr>
              <w:t>253/263 (96.2%)</w:t>
            </w:r>
          </w:p>
        </w:tc>
      </w:tr>
      <w:tr w:rsidR="002D2D08" w:rsidRPr="003A31DE" w:rsidTr="00DA49D8">
        <w:tc>
          <w:tcPr>
            <w:tcW w:w="9243" w:type="dxa"/>
            <w:gridSpan w:val="4"/>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SVR12 rates in NS5A-experienced patients</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Ns5A only (PI naïve)</w:t>
            </w:r>
          </w:p>
        </w:tc>
        <w:tc>
          <w:tcPr>
            <w:tcW w:w="1863"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14/16 (88%)</w:t>
            </w:r>
          </w:p>
        </w:tc>
        <w:tc>
          <w:tcPr>
            <w:tcW w:w="1864"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17/18 (94%)</w:t>
            </w:r>
          </w:p>
        </w:tc>
        <w:tc>
          <w:tcPr>
            <w:tcW w:w="3285"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151/161 (93.8%)</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PI plus NS5A</w:t>
            </w:r>
          </w:p>
        </w:tc>
        <w:tc>
          <w:tcPr>
            <w:tcW w:w="1863"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11/14 (79%)</w:t>
            </w:r>
          </w:p>
        </w:tc>
        <w:tc>
          <w:tcPr>
            <w:tcW w:w="1864"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13/16 (81%)</w:t>
            </w:r>
          </w:p>
        </w:tc>
        <w:tc>
          <w:tcPr>
            <w:tcW w:w="3285"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83/83 (100.0%)</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PI only (NS5A naïve)</w:t>
            </w:r>
          </w:p>
        </w:tc>
        <w:tc>
          <w:tcPr>
            <w:tcW w:w="1863"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14/14 (100%)</w:t>
            </w:r>
          </w:p>
        </w:tc>
        <w:tc>
          <w:tcPr>
            <w:tcW w:w="1864"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13/13 (100%)</w:t>
            </w:r>
          </w:p>
        </w:tc>
        <w:tc>
          <w:tcPr>
            <w:tcW w:w="3285" w:type="dxa"/>
            <w:noWrap/>
            <w:hideMark/>
          </w:tcPr>
          <w:p w:rsidR="002D2D08" w:rsidRPr="003A31DE" w:rsidRDefault="002D2D08" w:rsidP="00674657">
            <w:pPr>
              <w:pStyle w:val="BodyText"/>
              <w:jc w:val="center"/>
              <w:rPr>
                <w:rFonts w:ascii="Arial Narrow" w:hAnsi="Arial Narrow"/>
                <w:sz w:val="20"/>
                <w:szCs w:val="20"/>
              </w:rPr>
            </w:pPr>
            <w:r>
              <w:rPr>
                <w:rFonts w:ascii="Arial Narrow" w:hAnsi="Arial Narrow"/>
                <w:sz w:val="20"/>
                <w:szCs w:val="20"/>
              </w:rPr>
              <w:t>A</w:t>
            </w:r>
            <w:r w:rsidRPr="003A31DE">
              <w:rPr>
                <w:rFonts w:ascii="Arial Narrow" w:hAnsi="Arial Narrow"/>
                <w:sz w:val="20"/>
                <w:szCs w:val="20"/>
              </w:rPr>
              <w:t>ll patients NS5A experienced</w:t>
            </w:r>
          </w:p>
        </w:tc>
      </w:tr>
      <w:tr w:rsidR="002D2D08" w:rsidRPr="003A31DE" w:rsidTr="00DA49D8">
        <w:tc>
          <w:tcPr>
            <w:tcW w:w="9243" w:type="dxa"/>
            <w:gridSpan w:val="4"/>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SVR12 rates based on presence of baseline RAV’s.</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No RAVs</w:t>
            </w:r>
          </w:p>
        </w:tc>
        <w:tc>
          <w:tcPr>
            <w:tcW w:w="1863"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13/13 (100%)</w:t>
            </w:r>
          </w:p>
        </w:tc>
        <w:tc>
          <w:tcPr>
            <w:tcW w:w="1864"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13/13 (100%)</w:t>
            </w:r>
          </w:p>
        </w:tc>
        <w:tc>
          <w:tcPr>
            <w:tcW w:w="3285"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42/43 (97.7%)</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NS3 Only</w:t>
            </w:r>
          </w:p>
        </w:tc>
        <w:tc>
          <w:tcPr>
            <w:tcW w:w="1863"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2/2 (100%)</w:t>
            </w:r>
          </w:p>
        </w:tc>
        <w:tc>
          <w:tcPr>
            <w:tcW w:w="1864"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4/4 (100%)</w:t>
            </w:r>
          </w:p>
        </w:tc>
        <w:tc>
          <w:tcPr>
            <w:tcW w:w="3285"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9/9 (100%)</w:t>
            </w:r>
          </w:p>
        </w:tc>
      </w:tr>
      <w:tr w:rsidR="002D2D08" w:rsidRPr="003A31DE" w:rsidTr="00DA49D8">
        <w:tc>
          <w:tcPr>
            <w:tcW w:w="2231" w:type="dxa"/>
            <w:noWrap/>
            <w:hideMark/>
          </w:tcPr>
          <w:p w:rsidR="002D2D08" w:rsidRPr="003A31DE" w:rsidRDefault="002D2D08" w:rsidP="00674657">
            <w:pPr>
              <w:pStyle w:val="BodyText"/>
              <w:rPr>
                <w:rFonts w:ascii="Arial Narrow" w:hAnsi="Arial Narrow"/>
                <w:sz w:val="20"/>
                <w:szCs w:val="20"/>
              </w:rPr>
            </w:pPr>
            <w:r w:rsidRPr="003A31DE">
              <w:rPr>
                <w:rFonts w:ascii="Arial Narrow" w:hAnsi="Arial Narrow"/>
                <w:sz w:val="20"/>
                <w:szCs w:val="20"/>
              </w:rPr>
              <w:t>NS5A Only</w:t>
            </w:r>
          </w:p>
        </w:tc>
        <w:tc>
          <w:tcPr>
            <w:tcW w:w="1863"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20/24 (83 %)</w:t>
            </w:r>
          </w:p>
        </w:tc>
        <w:tc>
          <w:tcPr>
            <w:tcW w:w="1864"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22/23 (96%)</w:t>
            </w:r>
          </w:p>
        </w:tc>
        <w:tc>
          <w:tcPr>
            <w:tcW w:w="3285" w:type="dxa"/>
            <w:noWrap/>
            <w:hideMark/>
          </w:tcPr>
          <w:p w:rsidR="002D2D08" w:rsidRPr="003A31DE" w:rsidRDefault="002D2D08" w:rsidP="00674657">
            <w:pPr>
              <w:pStyle w:val="BodyText"/>
              <w:jc w:val="center"/>
              <w:rPr>
                <w:rFonts w:ascii="Arial Narrow" w:hAnsi="Arial Narrow"/>
                <w:sz w:val="20"/>
                <w:szCs w:val="20"/>
              </w:rPr>
            </w:pPr>
            <w:r w:rsidRPr="003A31DE">
              <w:rPr>
                <w:rFonts w:ascii="Arial Narrow" w:hAnsi="Arial Narrow"/>
                <w:sz w:val="20"/>
                <w:szCs w:val="20"/>
              </w:rPr>
              <w:t>120/124 (96.8%)</w:t>
            </w:r>
          </w:p>
        </w:tc>
      </w:tr>
    </w:tbl>
    <w:p w:rsidR="002D2D08" w:rsidRDefault="002D2D08" w:rsidP="002D2D08">
      <w:pPr>
        <w:pStyle w:val="TableFooter"/>
      </w:pPr>
      <w:r>
        <w:t xml:space="preserve">GP = </w:t>
      </w:r>
      <w:proofErr w:type="spellStart"/>
      <w:r>
        <w:t>glecaprevir</w:t>
      </w:r>
      <w:proofErr w:type="spellEnd"/>
      <w:r>
        <w:t xml:space="preserve"> </w:t>
      </w:r>
      <w:r w:rsidR="00411646">
        <w:t xml:space="preserve">with </w:t>
      </w:r>
      <w:proofErr w:type="spellStart"/>
      <w:r>
        <w:t>pibrentasvir</w:t>
      </w:r>
      <w:proofErr w:type="spellEnd"/>
      <w:r>
        <w:t xml:space="preserve">; NS5A = non-structural protein 5A; RAV = resistance associated variant; </w:t>
      </w:r>
      <w:proofErr w:type="spellStart"/>
      <w:proofErr w:type="gramStart"/>
      <w:r>
        <w:t>sof+</w:t>
      </w:r>
      <w:proofErr w:type="gramEnd"/>
      <w:r>
        <w:t>vel+vox</w:t>
      </w:r>
      <w:proofErr w:type="spellEnd"/>
      <w:r>
        <w:t xml:space="preserve"> = </w:t>
      </w:r>
      <w:proofErr w:type="spellStart"/>
      <w:r>
        <w:t>sofosbuvir</w:t>
      </w:r>
      <w:proofErr w:type="spellEnd"/>
      <w:r>
        <w:t xml:space="preserve"> plus </w:t>
      </w:r>
      <w:proofErr w:type="spellStart"/>
      <w:r>
        <w:t>velpatasvir</w:t>
      </w:r>
      <w:proofErr w:type="spellEnd"/>
      <w:r>
        <w:t xml:space="preserve"> plus </w:t>
      </w:r>
      <w:proofErr w:type="spellStart"/>
      <w:r>
        <w:t>voxilaprevir</w:t>
      </w:r>
      <w:proofErr w:type="spellEnd"/>
      <w:r>
        <w:t>; SVR12 = sustained virological response</w:t>
      </w:r>
    </w:p>
    <w:p w:rsidR="007C299C" w:rsidRPr="00FC5F0B" w:rsidRDefault="007C299C" w:rsidP="002D2D08">
      <w:pPr>
        <w:pStyle w:val="TableFooter"/>
      </w:pPr>
      <w:r>
        <w:t>Source: Tables 6-8, p7-8 of Appendix 3 to the submission.</w:t>
      </w:r>
    </w:p>
    <w:p w:rsidR="002D2D08" w:rsidRPr="00471E28" w:rsidRDefault="002D2D08" w:rsidP="00D26B29"/>
    <w:p w:rsidR="008F67E0" w:rsidRDefault="00470F41" w:rsidP="00F477B2">
      <w:pPr>
        <w:pStyle w:val="ListParagraph"/>
        <w:numPr>
          <w:ilvl w:val="1"/>
          <w:numId w:val="2"/>
        </w:numPr>
        <w:rPr>
          <w:color w:val="000000" w:themeColor="text1"/>
        </w:rPr>
      </w:pPr>
      <w:r w:rsidRPr="00AD15E2">
        <w:rPr>
          <w:color w:val="000000" w:themeColor="text1"/>
        </w:rPr>
        <w:t>The difference in point estimates</w:t>
      </w:r>
      <w:r w:rsidR="00A45BD2" w:rsidRPr="00AD15E2">
        <w:rPr>
          <w:color w:val="000000" w:themeColor="text1"/>
        </w:rPr>
        <w:t xml:space="preserve"> for overall SVR12</w:t>
      </w:r>
      <w:r w:rsidRPr="00AD15E2">
        <w:rPr>
          <w:color w:val="000000" w:themeColor="text1"/>
        </w:rPr>
        <w:t xml:space="preserve"> between the </w:t>
      </w:r>
      <w:proofErr w:type="spellStart"/>
      <w:r w:rsidR="002457C6" w:rsidRPr="00AD15E2">
        <w:t>sofosbuvir</w:t>
      </w:r>
      <w:proofErr w:type="spellEnd"/>
      <w:r w:rsidR="002457C6" w:rsidRPr="00AD15E2">
        <w:t xml:space="preserve"> </w:t>
      </w:r>
      <w:r w:rsidR="0083072B">
        <w:t>with</w:t>
      </w:r>
      <w:r w:rsidR="002457C6" w:rsidRPr="00AD15E2">
        <w:t xml:space="preserve"> </w:t>
      </w:r>
      <w:proofErr w:type="spellStart"/>
      <w:r w:rsidR="002457C6" w:rsidRPr="00AD15E2">
        <w:t>velpatasvir</w:t>
      </w:r>
      <w:proofErr w:type="spellEnd"/>
      <w:r w:rsidR="002457C6" w:rsidRPr="00AD15E2">
        <w:t xml:space="preserve"> </w:t>
      </w:r>
      <w:r w:rsidR="0083072B">
        <w:t>and</w:t>
      </w:r>
      <w:r w:rsidR="002457C6" w:rsidRPr="00AD15E2">
        <w:t xml:space="preserve"> </w:t>
      </w:r>
      <w:proofErr w:type="spellStart"/>
      <w:r w:rsidR="002457C6" w:rsidRPr="00AD15E2">
        <w:t>voxilaprevir</w:t>
      </w:r>
      <w:proofErr w:type="spellEnd"/>
      <w:r w:rsidR="002457C6" w:rsidRPr="00AD15E2">
        <w:t xml:space="preserve"> </w:t>
      </w:r>
      <w:r w:rsidR="00493836" w:rsidRPr="00AD15E2">
        <w:rPr>
          <w:color w:val="000000" w:themeColor="text1"/>
        </w:rPr>
        <w:t>(96%)</w:t>
      </w:r>
      <w:r w:rsidR="00A45BD2" w:rsidRPr="00AD15E2">
        <w:rPr>
          <w:color w:val="000000" w:themeColor="text1"/>
        </w:rPr>
        <w:t xml:space="preserve"> and </w:t>
      </w:r>
      <w:r w:rsidRPr="00AD15E2">
        <w:rPr>
          <w:color w:val="000000" w:themeColor="text1"/>
        </w:rPr>
        <w:t xml:space="preserve">16 week </w:t>
      </w:r>
      <w:proofErr w:type="spellStart"/>
      <w:r w:rsidR="002457C6" w:rsidRPr="00AD15E2">
        <w:rPr>
          <w:color w:val="000000" w:themeColor="text1"/>
        </w:rPr>
        <w:t>glecaprevir</w:t>
      </w:r>
      <w:proofErr w:type="spellEnd"/>
      <w:r w:rsidR="002457C6" w:rsidRPr="00AD15E2">
        <w:rPr>
          <w:color w:val="000000" w:themeColor="text1"/>
        </w:rPr>
        <w:t xml:space="preserve"> </w:t>
      </w:r>
      <w:r w:rsidR="009E1F56" w:rsidRPr="00AD15E2">
        <w:rPr>
          <w:color w:val="000000" w:themeColor="text1"/>
        </w:rPr>
        <w:t>with</w:t>
      </w:r>
      <w:r w:rsidR="002457C6" w:rsidRPr="00AD15E2">
        <w:rPr>
          <w:color w:val="000000" w:themeColor="text1"/>
        </w:rPr>
        <w:t xml:space="preserve"> </w:t>
      </w:r>
      <w:proofErr w:type="spellStart"/>
      <w:r w:rsidR="002457C6" w:rsidRPr="00AD15E2">
        <w:rPr>
          <w:color w:val="000000" w:themeColor="text1"/>
        </w:rPr>
        <w:t>pibrentasvir</w:t>
      </w:r>
      <w:proofErr w:type="spellEnd"/>
      <w:r w:rsidR="002457C6" w:rsidRPr="00AD15E2">
        <w:rPr>
          <w:color w:val="000000" w:themeColor="text1"/>
        </w:rPr>
        <w:t xml:space="preserve"> </w:t>
      </w:r>
      <w:r w:rsidRPr="00AD15E2">
        <w:rPr>
          <w:color w:val="000000" w:themeColor="text1"/>
        </w:rPr>
        <w:t>arm</w:t>
      </w:r>
      <w:r w:rsidR="00A45BD2" w:rsidRPr="00AD15E2">
        <w:rPr>
          <w:color w:val="000000" w:themeColor="text1"/>
        </w:rPr>
        <w:t xml:space="preserve"> (91%)</w:t>
      </w:r>
      <w:r w:rsidRPr="00AD15E2">
        <w:rPr>
          <w:color w:val="000000" w:themeColor="text1"/>
        </w:rPr>
        <w:t xml:space="preserve"> was approximately 5%. </w:t>
      </w:r>
      <w:r w:rsidR="00A45BD2" w:rsidRPr="00AD15E2">
        <w:rPr>
          <w:color w:val="000000" w:themeColor="text1"/>
        </w:rPr>
        <w:t>Though no non-inferiority threshold was presented in</w:t>
      </w:r>
      <w:r w:rsidR="00B30EB6" w:rsidRPr="00AD15E2">
        <w:rPr>
          <w:color w:val="000000" w:themeColor="text1"/>
        </w:rPr>
        <w:t xml:space="preserve"> t</w:t>
      </w:r>
      <w:r w:rsidR="00A45BD2" w:rsidRPr="00AD15E2">
        <w:rPr>
          <w:color w:val="000000" w:themeColor="text1"/>
        </w:rPr>
        <w:t>h</w:t>
      </w:r>
      <w:r w:rsidR="00B30EB6" w:rsidRPr="00AD15E2">
        <w:rPr>
          <w:color w:val="000000" w:themeColor="text1"/>
        </w:rPr>
        <w:t>e</w:t>
      </w:r>
      <w:r w:rsidR="00A45BD2" w:rsidRPr="00AD15E2">
        <w:rPr>
          <w:color w:val="000000" w:themeColor="text1"/>
        </w:rPr>
        <w:t xml:space="preserve"> submission, </w:t>
      </w:r>
      <w:r w:rsidRPr="00AD15E2">
        <w:rPr>
          <w:color w:val="000000" w:themeColor="text1"/>
        </w:rPr>
        <w:t xml:space="preserve">5% was used as a non-inferiority threshold in the POLARIS-2 non-inferiority trial. </w:t>
      </w:r>
      <w:r w:rsidR="00493836" w:rsidRPr="00AD15E2">
        <w:rPr>
          <w:color w:val="000000" w:themeColor="text1"/>
        </w:rPr>
        <w:t>W</w:t>
      </w:r>
      <w:r w:rsidR="00A45BD2" w:rsidRPr="00AD15E2">
        <w:rPr>
          <w:color w:val="000000" w:themeColor="text1"/>
        </w:rPr>
        <w:t xml:space="preserve">ith the exception of </w:t>
      </w:r>
      <w:r w:rsidR="007617D1" w:rsidRPr="00AD15E2">
        <w:rPr>
          <w:color w:val="000000" w:themeColor="text1"/>
        </w:rPr>
        <w:t>patients</w:t>
      </w:r>
      <w:r w:rsidRPr="00AD15E2">
        <w:rPr>
          <w:color w:val="000000" w:themeColor="text1"/>
        </w:rPr>
        <w:t xml:space="preserve"> who had been treated with both NS5A </w:t>
      </w:r>
      <w:r w:rsidRPr="00C72017">
        <w:rPr>
          <w:color w:val="000000" w:themeColor="text1"/>
        </w:rPr>
        <w:t xml:space="preserve">and protease inhibitors (PI), the point estimates of SVR 12 for </w:t>
      </w:r>
      <w:proofErr w:type="spellStart"/>
      <w:r w:rsidR="00114517" w:rsidRPr="00C72017">
        <w:rPr>
          <w:color w:val="000000" w:themeColor="text1"/>
        </w:rPr>
        <w:t>glecaprevir</w:t>
      </w:r>
      <w:proofErr w:type="spellEnd"/>
      <w:r w:rsidR="00114517" w:rsidRPr="00C72017">
        <w:rPr>
          <w:color w:val="000000" w:themeColor="text1"/>
        </w:rPr>
        <w:t xml:space="preserve"> </w:t>
      </w:r>
      <w:r w:rsidR="009E1F56" w:rsidRPr="00C72017">
        <w:rPr>
          <w:color w:val="000000" w:themeColor="text1"/>
        </w:rPr>
        <w:t>with</w:t>
      </w:r>
      <w:r w:rsidR="00114517" w:rsidRPr="00C72017">
        <w:rPr>
          <w:color w:val="000000" w:themeColor="text1"/>
        </w:rPr>
        <w:t xml:space="preserve"> </w:t>
      </w:r>
      <w:proofErr w:type="spellStart"/>
      <w:r w:rsidR="00114517" w:rsidRPr="00C72017">
        <w:rPr>
          <w:color w:val="000000" w:themeColor="text1"/>
        </w:rPr>
        <w:t>pibrentasvir</w:t>
      </w:r>
      <w:proofErr w:type="spellEnd"/>
      <w:r w:rsidR="00114517" w:rsidRPr="00C72017">
        <w:rPr>
          <w:color w:val="000000" w:themeColor="text1"/>
        </w:rPr>
        <w:t xml:space="preserve"> </w:t>
      </w:r>
      <w:r w:rsidRPr="00C72017">
        <w:rPr>
          <w:color w:val="000000" w:themeColor="text1"/>
        </w:rPr>
        <w:t xml:space="preserve">16 weeks tended to be the same or slightly greater than </w:t>
      </w:r>
      <w:r w:rsidR="00A45BD2" w:rsidRPr="00C72017">
        <w:rPr>
          <w:color w:val="000000" w:themeColor="text1"/>
        </w:rPr>
        <w:t xml:space="preserve">those of </w:t>
      </w:r>
      <w:proofErr w:type="spellStart"/>
      <w:r w:rsidR="00114517" w:rsidRPr="00C72017">
        <w:rPr>
          <w:color w:val="000000" w:themeColor="text1"/>
        </w:rPr>
        <w:t>sofosbuvir</w:t>
      </w:r>
      <w:proofErr w:type="spellEnd"/>
      <w:r w:rsidR="00114517" w:rsidRPr="00C72017">
        <w:rPr>
          <w:color w:val="000000" w:themeColor="text1"/>
        </w:rPr>
        <w:t xml:space="preserve"> </w:t>
      </w:r>
      <w:r w:rsidR="0083072B">
        <w:rPr>
          <w:color w:val="000000" w:themeColor="text1"/>
        </w:rPr>
        <w:t>with</w:t>
      </w:r>
      <w:r w:rsidR="00114517" w:rsidRPr="00C72017">
        <w:rPr>
          <w:color w:val="000000" w:themeColor="text1"/>
        </w:rPr>
        <w:t xml:space="preserve"> </w:t>
      </w:r>
      <w:proofErr w:type="spellStart"/>
      <w:r w:rsidR="00114517" w:rsidRPr="00C72017">
        <w:rPr>
          <w:color w:val="000000" w:themeColor="text1"/>
        </w:rPr>
        <w:t>velpatasvir</w:t>
      </w:r>
      <w:proofErr w:type="spellEnd"/>
      <w:r w:rsidR="00114517" w:rsidRPr="00C72017">
        <w:rPr>
          <w:color w:val="000000" w:themeColor="text1"/>
        </w:rPr>
        <w:t xml:space="preserve"> </w:t>
      </w:r>
      <w:r w:rsidR="0083072B">
        <w:rPr>
          <w:color w:val="000000" w:themeColor="text1"/>
        </w:rPr>
        <w:t>and</w:t>
      </w:r>
      <w:r w:rsidR="00114517" w:rsidRPr="00C72017">
        <w:rPr>
          <w:color w:val="000000" w:themeColor="text1"/>
        </w:rPr>
        <w:t xml:space="preserve"> </w:t>
      </w:r>
      <w:proofErr w:type="spellStart"/>
      <w:r w:rsidR="00114517" w:rsidRPr="00C72017">
        <w:rPr>
          <w:color w:val="000000" w:themeColor="text1"/>
        </w:rPr>
        <w:t>voxilaprevir</w:t>
      </w:r>
      <w:proofErr w:type="spellEnd"/>
      <w:r w:rsidRPr="00C72017">
        <w:rPr>
          <w:color w:val="000000" w:themeColor="text1"/>
        </w:rPr>
        <w:t xml:space="preserve">. </w:t>
      </w:r>
      <w:r w:rsidR="00F140C7" w:rsidRPr="00C72017">
        <w:rPr>
          <w:color w:val="000000" w:themeColor="text1"/>
        </w:rPr>
        <w:t>It was acknowledged that MAGELLAN-1 (</w:t>
      </w:r>
      <w:r w:rsidR="007C299C" w:rsidRPr="00C72017">
        <w:rPr>
          <w:color w:val="000000" w:themeColor="text1"/>
        </w:rPr>
        <w:t>P</w:t>
      </w:r>
      <w:r w:rsidR="00F140C7" w:rsidRPr="00C72017">
        <w:rPr>
          <w:color w:val="000000" w:themeColor="text1"/>
        </w:rPr>
        <w:t>art 2)</w:t>
      </w:r>
      <w:r w:rsidRPr="00C72017">
        <w:rPr>
          <w:color w:val="000000" w:themeColor="text1"/>
        </w:rPr>
        <w:t xml:space="preserve"> only included patients with genotypes 1</w:t>
      </w:r>
      <w:r w:rsidR="008F67E0">
        <w:rPr>
          <w:color w:val="000000" w:themeColor="text1"/>
        </w:rPr>
        <w:t xml:space="preserve"> and 4. The pre-PBAC response</w:t>
      </w:r>
      <w:r w:rsidR="00274B11">
        <w:rPr>
          <w:color w:val="000000" w:themeColor="text1"/>
        </w:rPr>
        <w:t xml:space="preserve"> </w:t>
      </w:r>
      <w:r w:rsidR="008F67E0">
        <w:rPr>
          <w:color w:val="000000" w:themeColor="text1"/>
        </w:rPr>
        <w:t>argued that the</w:t>
      </w:r>
      <w:r w:rsidR="00140CE8">
        <w:rPr>
          <w:color w:val="000000" w:themeColor="text1"/>
        </w:rPr>
        <w:t xml:space="preserve"> inclusion </w:t>
      </w:r>
      <w:r w:rsidR="008F67E0">
        <w:rPr>
          <w:color w:val="000000" w:themeColor="text1"/>
        </w:rPr>
        <w:t xml:space="preserve"> of</w:t>
      </w:r>
      <w:r w:rsidR="00140CE8">
        <w:rPr>
          <w:color w:val="000000" w:themeColor="text1"/>
        </w:rPr>
        <w:t xml:space="preserve"> only these</w:t>
      </w:r>
      <w:r w:rsidR="008F67E0">
        <w:rPr>
          <w:color w:val="000000" w:themeColor="text1"/>
        </w:rPr>
        <w:t xml:space="preserve"> 2 genotyp</w:t>
      </w:r>
      <w:r w:rsidR="00137AD9">
        <w:rPr>
          <w:color w:val="000000" w:themeColor="text1"/>
        </w:rPr>
        <w:t xml:space="preserve">es in the MAGELLAN-1 trial meant it </w:t>
      </w:r>
      <w:r w:rsidR="008F67E0">
        <w:rPr>
          <w:color w:val="000000" w:themeColor="text1"/>
        </w:rPr>
        <w:t xml:space="preserve">would be inappropriate to declare non-inferiority of </w:t>
      </w:r>
      <w:proofErr w:type="spellStart"/>
      <w:r w:rsidR="008F67E0">
        <w:rPr>
          <w:color w:val="000000" w:themeColor="text1"/>
        </w:rPr>
        <w:t>glecaprevir</w:t>
      </w:r>
      <w:proofErr w:type="spellEnd"/>
      <w:r w:rsidR="008F67E0">
        <w:rPr>
          <w:color w:val="000000" w:themeColor="text1"/>
        </w:rPr>
        <w:t xml:space="preserve"> with </w:t>
      </w:r>
      <w:proofErr w:type="spellStart"/>
      <w:r w:rsidR="008F67E0">
        <w:rPr>
          <w:color w:val="000000" w:themeColor="text1"/>
        </w:rPr>
        <w:t>pibrentasvir</w:t>
      </w:r>
      <w:proofErr w:type="spellEnd"/>
      <w:r w:rsidR="008F67E0">
        <w:rPr>
          <w:color w:val="000000" w:themeColor="text1"/>
        </w:rPr>
        <w:t xml:space="preserve"> to </w:t>
      </w:r>
      <w:proofErr w:type="spellStart"/>
      <w:r w:rsidR="008F67E0">
        <w:rPr>
          <w:color w:val="000000" w:themeColor="text1"/>
        </w:rPr>
        <w:t>sofosbuvir</w:t>
      </w:r>
      <w:proofErr w:type="spellEnd"/>
      <w:r w:rsidR="008F67E0">
        <w:rPr>
          <w:color w:val="000000" w:themeColor="text1"/>
        </w:rPr>
        <w:t xml:space="preserve"> </w:t>
      </w:r>
      <w:r w:rsidR="0083072B">
        <w:rPr>
          <w:color w:val="000000" w:themeColor="text1"/>
        </w:rPr>
        <w:t>with</w:t>
      </w:r>
      <w:r w:rsidR="008F67E0">
        <w:rPr>
          <w:color w:val="000000" w:themeColor="text1"/>
        </w:rPr>
        <w:t xml:space="preserve"> </w:t>
      </w:r>
      <w:proofErr w:type="spellStart"/>
      <w:r w:rsidR="008F67E0">
        <w:rPr>
          <w:color w:val="000000" w:themeColor="text1"/>
        </w:rPr>
        <w:t>velpatasvir</w:t>
      </w:r>
      <w:proofErr w:type="spellEnd"/>
      <w:r w:rsidR="008F67E0">
        <w:rPr>
          <w:color w:val="000000" w:themeColor="text1"/>
        </w:rPr>
        <w:t xml:space="preserve"> </w:t>
      </w:r>
      <w:r w:rsidR="0083072B">
        <w:rPr>
          <w:color w:val="000000" w:themeColor="text1"/>
        </w:rPr>
        <w:t>and</w:t>
      </w:r>
      <w:r w:rsidR="008F67E0">
        <w:rPr>
          <w:color w:val="000000" w:themeColor="text1"/>
        </w:rPr>
        <w:t xml:space="preserve"> </w:t>
      </w:r>
      <w:proofErr w:type="spellStart"/>
      <w:r w:rsidR="008F67E0">
        <w:rPr>
          <w:color w:val="000000" w:themeColor="text1"/>
        </w:rPr>
        <w:t>voxilprevir</w:t>
      </w:r>
      <w:proofErr w:type="spellEnd"/>
      <w:r w:rsidR="008F67E0">
        <w:rPr>
          <w:color w:val="000000" w:themeColor="text1"/>
        </w:rPr>
        <w:t xml:space="preserve">, and that the results </w:t>
      </w:r>
      <w:r w:rsidR="00057874">
        <w:rPr>
          <w:color w:val="000000" w:themeColor="text1"/>
        </w:rPr>
        <w:t xml:space="preserve">should not be transferrable to patients outside of the </w:t>
      </w:r>
      <w:r w:rsidR="00F05FFA">
        <w:rPr>
          <w:color w:val="000000" w:themeColor="text1"/>
        </w:rPr>
        <w:t>GT1 and GT4 population.</w:t>
      </w:r>
    </w:p>
    <w:p w:rsidR="00B60939" w:rsidRPr="00025C10" w:rsidRDefault="00B60939" w:rsidP="00025C10">
      <w:pPr>
        <w:widowControl w:val="0"/>
        <w:spacing w:before="120" w:after="120"/>
        <w:rPr>
          <w:rFonts w:cs="Arial"/>
          <w:b/>
          <w:bCs/>
          <w:i/>
          <w:snapToGrid w:val="0"/>
          <w:sz w:val="28"/>
          <w:szCs w:val="28"/>
        </w:rPr>
      </w:pPr>
      <w:bookmarkStart w:id="9" w:name="_Toc500605963"/>
      <w:r w:rsidRPr="00025C10">
        <w:rPr>
          <w:rFonts w:cs="Arial"/>
          <w:b/>
          <w:bCs/>
          <w:i/>
          <w:snapToGrid w:val="0"/>
          <w:sz w:val="28"/>
          <w:szCs w:val="28"/>
        </w:rPr>
        <w:t>Comparative harms</w:t>
      </w:r>
      <w:bookmarkEnd w:id="9"/>
    </w:p>
    <w:p w:rsidR="00766216" w:rsidRPr="00D24896" w:rsidRDefault="00E644B8" w:rsidP="00F477B2">
      <w:pPr>
        <w:pStyle w:val="ListParagraph"/>
        <w:numPr>
          <w:ilvl w:val="1"/>
          <w:numId w:val="2"/>
        </w:numPr>
        <w:rPr>
          <w:rStyle w:val="CommentReference"/>
          <w:rFonts w:asciiTheme="minorHAnsi" w:hAnsiTheme="minorHAnsi"/>
          <w:b w:val="0"/>
          <w:color w:val="000000" w:themeColor="text1"/>
          <w:sz w:val="24"/>
          <w:szCs w:val="24"/>
        </w:rPr>
      </w:pPr>
      <w:r w:rsidRPr="00C72017">
        <w:rPr>
          <w:color w:val="000000" w:themeColor="text1"/>
        </w:rPr>
        <w:t xml:space="preserve">There was a statistically significant difference in treatment related adverse events, with </w:t>
      </w:r>
      <w:proofErr w:type="spellStart"/>
      <w:r w:rsidR="00114517" w:rsidRPr="00C72017">
        <w:rPr>
          <w:color w:val="000000" w:themeColor="text1"/>
        </w:rPr>
        <w:t>sofosbuvir</w:t>
      </w:r>
      <w:proofErr w:type="spellEnd"/>
      <w:r w:rsidR="00114517" w:rsidRPr="00C72017">
        <w:rPr>
          <w:color w:val="000000" w:themeColor="text1"/>
        </w:rPr>
        <w:t xml:space="preserve"> </w:t>
      </w:r>
      <w:r w:rsidR="0083072B">
        <w:rPr>
          <w:color w:val="000000" w:themeColor="text1"/>
        </w:rPr>
        <w:t>with</w:t>
      </w:r>
      <w:r w:rsidR="00114517" w:rsidRPr="00C72017">
        <w:rPr>
          <w:color w:val="000000" w:themeColor="text1"/>
        </w:rPr>
        <w:t xml:space="preserve"> </w:t>
      </w:r>
      <w:proofErr w:type="spellStart"/>
      <w:r w:rsidR="00114517" w:rsidRPr="00C72017">
        <w:rPr>
          <w:color w:val="000000" w:themeColor="text1"/>
        </w:rPr>
        <w:t>velpatasvir</w:t>
      </w:r>
      <w:proofErr w:type="spellEnd"/>
      <w:r w:rsidR="00114517" w:rsidRPr="00C72017">
        <w:rPr>
          <w:color w:val="000000" w:themeColor="text1"/>
        </w:rPr>
        <w:t xml:space="preserve"> </w:t>
      </w:r>
      <w:r w:rsidR="0083072B">
        <w:rPr>
          <w:color w:val="000000" w:themeColor="text1"/>
        </w:rPr>
        <w:t>and</w:t>
      </w:r>
      <w:r w:rsidR="00114517" w:rsidRPr="00C72017">
        <w:rPr>
          <w:color w:val="000000" w:themeColor="text1"/>
        </w:rPr>
        <w:t xml:space="preserve"> </w:t>
      </w:r>
      <w:proofErr w:type="spellStart"/>
      <w:r w:rsidR="00114517" w:rsidRPr="00C72017">
        <w:rPr>
          <w:color w:val="000000" w:themeColor="text1"/>
        </w:rPr>
        <w:t>voxilaprevir</w:t>
      </w:r>
      <w:proofErr w:type="spellEnd"/>
      <w:r w:rsidR="00114517" w:rsidRPr="00C72017">
        <w:rPr>
          <w:color w:val="000000" w:themeColor="text1"/>
        </w:rPr>
        <w:t xml:space="preserve"> </w:t>
      </w:r>
      <w:r w:rsidRPr="00C72017">
        <w:rPr>
          <w:color w:val="000000" w:themeColor="text1"/>
        </w:rPr>
        <w:t>associated with a 14% increase</w:t>
      </w:r>
      <w:r w:rsidR="009101A0" w:rsidRPr="00C72017">
        <w:rPr>
          <w:color w:val="000000" w:themeColor="text1"/>
        </w:rPr>
        <w:t xml:space="preserve"> compared with placebo</w:t>
      </w:r>
      <w:r w:rsidRPr="00C72017">
        <w:rPr>
          <w:color w:val="000000" w:themeColor="text1"/>
        </w:rPr>
        <w:t>, but, overall, the submission’s claim of tolerable safety was supported by the POLARIS-1 trial</w:t>
      </w:r>
      <w:r w:rsidR="00553813" w:rsidRPr="00C72017">
        <w:rPr>
          <w:color w:val="000000" w:themeColor="text1"/>
        </w:rPr>
        <w:t xml:space="preserve"> (see Table 7</w:t>
      </w:r>
      <w:r w:rsidR="00493836" w:rsidRPr="00C72017">
        <w:rPr>
          <w:color w:val="000000" w:themeColor="text1"/>
        </w:rPr>
        <w:t>)</w:t>
      </w:r>
      <w:r w:rsidRPr="00C72017">
        <w:rPr>
          <w:color w:val="000000" w:themeColor="text1"/>
        </w:rPr>
        <w:t>.</w:t>
      </w:r>
      <w:r w:rsidR="00B45082" w:rsidRPr="00C72017">
        <w:rPr>
          <w:color w:val="000000" w:themeColor="text1"/>
        </w:rPr>
        <w:t xml:space="preserve"> The ESC noted that the adverse events reported were for all patients treated with </w:t>
      </w:r>
      <w:proofErr w:type="spellStart"/>
      <w:r w:rsidR="00B45082" w:rsidRPr="00C72017">
        <w:rPr>
          <w:color w:val="000000" w:themeColor="text1"/>
        </w:rPr>
        <w:t>sofosbuvir</w:t>
      </w:r>
      <w:proofErr w:type="spellEnd"/>
      <w:r w:rsidR="00B45082" w:rsidRPr="00C72017">
        <w:rPr>
          <w:color w:val="000000" w:themeColor="text1"/>
        </w:rPr>
        <w:t xml:space="preserve"> </w:t>
      </w:r>
      <w:r w:rsidR="0083072B">
        <w:rPr>
          <w:color w:val="000000" w:themeColor="text1"/>
        </w:rPr>
        <w:t>with</w:t>
      </w:r>
      <w:r w:rsidR="00B45082" w:rsidRPr="00C72017">
        <w:rPr>
          <w:color w:val="000000" w:themeColor="text1"/>
        </w:rPr>
        <w:t xml:space="preserve"> </w:t>
      </w:r>
      <w:proofErr w:type="spellStart"/>
      <w:r w:rsidR="00B45082" w:rsidRPr="00C72017">
        <w:rPr>
          <w:color w:val="000000" w:themeColor="text1"/>
        </w:rPr>
        <w:t>velpatasvir</w:t>
      </w:r>
      <w:proofErr w:type="spellEnd"/>
      <w:r w:rsidR="00B45082" w:rsidRPr="00C72017">
        <w:rPr>
          <w:color w:val="000000" w:themeColor="text1"/>
        </w:rPr>
        <w:t xml:space="preserve"> </w:t>
      </w:r>
      <w:r w:rsidR="0083072B">
        <w:rPr>
          <w:color w:val="000000" w:themeColor="text1"/>
        </w:rPr>
        <w:t>and</w:t>
      </w:r>
      <w:r w:rsidR="00B45082" w:rsidRPr="00C72017">
        <w:rPr>
          <w:color w:val="000000" w:themeColor="text1"/>
        </w:rPr>
        <w:t xml:space="preserve"> </w:t>
      </w:r>
      <w:proofErr w:type="spellStart"/>
      <w:r w:rsidR="00B45082" w:rsidRPr="00C72017">
        <w:rPr>
          <w:color w:val="000000" w:themeColor="text1"/>
        </w:rPr>
        <w:t>voxilaprevir</w:t>
      </w:r>
      <w:proofErr w:type="spellEnd"/>
      <w:r w:rsidR="00B45082" w:rsidRPr="00C72017">
        <w:rPr>
          <w:color w:val="000000" w:themeColor="text1"/>
        </w:rPr>
        <w:t xml:space="preserve">, not only those with genotype 1 to which the placebo data apply. </w:t>
      </w:r>
    </w:p>
    <w:p w:rsidR="00783F4B" w:rsidRPr="00080909" w:rsidRDefault="00783F4B" w:rsidP="0083072B">
      <w:pPr>
        <w:pStyle w:val="Tabletext"/>
        <w:keepNext/>
        <w:rPr>
          <w:b/>
        </w:rPr>
      </w:pPr>
      <w:r>
        <w:rPr>
          <w:rStyle w:val="CommentReference"/>
        </w:rPr>
        <w:lastRenderedPageBreak/>
        <w:t xml:space="preserve">Table </w:t>
      </w:r>
      <w:r w:rsidR="00116E7D">
        <w:rPr>
          <w:rStyle w:val="CommentReference"/>
        </w:rPr>
        <w:t>7</w:t>
      </w:r>
      <w:r w:rsidR="007617D1">
        <w:rPr>
          <w:rStyle w:val="CommentReference"/>
        </w:rPr>
        <w:t>:</w:t>
      </w:r>
      <w:r w:rsidR="00493836">
        <w:rPr>
          <w:rStyle w:val="CommentReference"/>
        </w:rPr>
        <w:t xml:space="preserve"> </w:t>
      </w:r>
      <w:r w:rsidRPr="00080909">
        <w:rPr>
          <w:b/>
        </w:rPr>
        <w:t xml:space="preserve">Summary of key adverse events in </w:t>
      </w:r>
      <w:r>
        <w:rPr>
          <w:b/>
        </w:rPr>
        <w:t>POLARIS-1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4287"/>
        <w:gridCol w:w="1787"/>
        <w:gridCol w:w="1339"/>
        <w:gridCol w:w="1672"/>
      </w:tblGrid>
      <w:tr w:rsidR="00783F4B" w:rsidRPr="00080909" w:rsidTr="00674657">
        <w:trPr>
          <w:tblHeader/>
        </w:trPr>
        <w:tc>
          <w:tcPr>
            <w:tcW w:w="4338" w:type="dxa"/>
          </w:tcPr>
          <w:p w:rsidR="00783F4B" w:rsidRPr="00080909" w:rsidRDefault="00783F4B" w:rsidP="0083072B">
            <w:pPr>
              <w:pStyle w:val="Tabletext"/>
              <w:keepNext/>
              <w:rPr>
                <w:b/>
              </w:rPr>
            </w:pPr>
            <w:r>
              <w:rPr>
                <w:b/>
              </w:rPr>
              <w:t>Trial ID</w:t>
            </w:r>
          </w:p>
        </w:tc>
        <w:tc>
          <w:tcPr>
            <w:tcW w:w="1800" w:type="dxa"/>
          </w:tcPr>
          <w:p w:rsidR="00783F4B" w:rsidRDefault="00783F4B" w:rsidP="0083072B">
            <w:pPr>
              <w:pStyle w:val="Tabletext"/>
              <w:keepNext/>
              <w:jc w:val="center"/>
              <w:rPr>
                <w:b/>
              </w:rPr>
            </w:pPr>
            <w:proofErr w:type="spellStart"/>
            <w:r>
              <w:rPr>
                <w:b/>
              </w:rPr>
              <w:t>Sof+vel+vox</w:t>
            </w:r>
            <w:proofErr w:type="spellEnd"/>
          </w:p>
          <w:p w:rsidR="00783F4B" w:rsidRDefault="00783F4B" w:rsidP="0083072B">
            <w:pPr>
              <w:pStyle w:val="Tabletext"/>
              <w:keepNext/>
              <w:jc w:val="center"/>
              <w:rPr>
                <w:b/>
              </w:rPr>
            </w:pPr>
            <w:r>
              <w:rPr>
                <w:b/>
              </w:rPr>
              <w:t>N=263</w:t>
            </w:r>
          </w:p>
          <w:p w:rsidR="00783F4B" w:rsidRPr="00080909" w:rsidRDefault="00783F4B" w:rsidP="0083072B">
            <w:pPr>
              <w:pStyle w:val="Tabletext"/>
              <w:keepNext/>
              <w:jc w:val="center"/>
              <w:rPr>
                <w:b/>
              </w:rPr>
            </w:pPr>
            <w:r>
              <w:rPr>
                <w:b/>
              </w:rPr>
              <w:t>n (%)</w:t>
            </w:r>
          </w:p>
        </w:tc>
        <w:tc>
          <w:tcPr>
            <w:tcW w:w="1350" w:type="dxa"/>
          </w:tcPr>
          <w:p w:rsidR="00783F4B" w:rsidRDefault="00783F4B" w:rsidP="0083072B">
            <w:pPr>
              <w:pStyle w:val="Tabletext"/>
              <w:keepNext/>
              <w:jc w:val="center"/>
              <w:rPr>
                <w:b/>
              </w:rPr>
            </w:pPr>
            <w:r>
              <w:rPr>
                <w:b/>
              </w:rPr>
              <w:t>Placebo</w:t>
            </w:r>
          </w:p>
          <w:p w:rsidR="00783F4B" w:rsidRDefault="00783F4B" w:rsidP="0083072B">
            <w:pPr>
              <w:pStyle w:val="Tabletext"/>
              <w:keepNext/>
              <w:jc w:val="center"/>
              <w:rPr>
                <w:b/>
              </w:rPr>
            </w:pPr>
            <w:r>
              <w:rPr>
                <w:b/>
              </w:rPr>
              <w:t>N=152</w:t>
            </w:r>
          </w:p>
          <w:p w:rsidR="00783F4B" w:rsidRPr="00080909" w:rsidRDefault="00783F4B" w:rsidP="0083072B">
            <w:pPr>
              <w:pStyle w:val="Tabletext"/>
              <w:keepNext/>
              <w:jc w:val="center"/>
              <w:rPr>
                <w:b/>
              </w:rPr>
            </w:pPr>
            <w:r>
              <w:rPr>
                <w:b/>
              </w:rPr>
              <w:t>n (%)</w:t>
            </w:r>
          </w:p>
        </w:tc>
        <w:tc>
          <w:tcPr>
            <w:tcW w:w="1692" w:type="dxa"/>
          </w:tcPr>
          <w:p w:rsidR="00783F4B" w:rsidRPr="00045BB7" w:rsidRDefault="00783F4B" w:rsidP="0083072B">
            <w:pPr>
              <w:pStyle w:val="Tabletext"/>
              <w:keepNext/>
              <w:jc w:val="center"/>
              <w:rPr>
                <w:b/>
                <w:i/>
              </w:rPr>
            </w:pPr>
            <w:r w:rsidRPr="00045BB7">
              <w:rPr>
                <w:b/>
                <w:i/>
              </w:rPr>
              <w:t>RD (95% CI)</w:t>
            </w:r>
          </w:p>
        </w:tc>
      </w:tr>
      <w:tr w:rsidR="00783F4B" w:rsidTr="00674657">
        <w:tc>
          <w:tcPr>
            <w:tcW w:w="4338" w:type="dxa"/>
          </w:tcPr>
          <w:p w:rsidR="00783F4B" w:rsidRDefault="00783F4B" w:rsidP="0083072B">
            <w:pPr>
              <w:pStyle w:val="Tabletext"/>
              <w:keepNext/>
            </w:pPr>
            <w:r>
              <w:t>Adverse e</w:t>
            </w:r>
            <w:r w:rsidRPr="00811D54">
              <w:t>vent</w:t>
            </w:r>
          </w:p>
        </w:tc>
        <w:tc>
          <w:tcPr>
            <w:tcW w:w="1800" w:type="dxa"/>
          </w:tcPr>
          <w:p w:rsidR="00783F4B" w:rsidRDefault="00783F4B" w:rsidP="0083072B">
            <w:pPr>
              <w:pStyle w:val="Tabletext"/>
              <w:keepNext/>
              <w:jc w:val="center"/>
            </w:pPr>
            <w:r>
              <w:t>206 (78.3</w:t>
            </w:r>
            <w:r w:rsidRPr="00811D54">
              <w:t>)</w:t>
            </w:r>
          </w:p>
        </w:tc>
        <w:tc>
          <w:tcPr>
            <w:tcW w:w="1350" w:type="dxa"/>
          </w:tcPr>
          <w:p w:rsidR="00783F4B" w:rsidRDefault="00783F4B" w:rsidP="0083072B">
            <w:pPr>
              <w:pStyle w:val="Tabletext"/>
              <w:keepNext/>
              <w:jc w:val="center"/>
            </w:pPr>
            <w:r>
              <w:t>107 (70.4</w:t>
            </w:r>
            <w:r w:rsidRPr="00811D54">
              <w:t>)</w:t>
            </w:r>
          </w:p>
        </w:tc>
        <w:tc>
          <w:tcPr>
            <w:tcW w:w="1692" w:type="dxa"/>
          </w:tcPr>
          <w:p w:rsidR="00783F4B" w:rsidRPr="00045BB7" w:rsidRDefault="00783F4B" w:rsidP="0083072B">
            <w:pPr>
              <w:pStyle w:val="Tabletext"/>
              <w:keepNext/>
              <w:jc w:val="center"/>
              <w:rPr>
                <w:i/>
              </w:rPr>
            </w:pPr>
            <w:r w:rsidRPr="00045BB7">
              <w:rPr>
                <w:i/>
                <w:color w:val="000000"/>
              </w:rPr>
              <w:t>0.08 (-0.01, 0.17)</w:t>
            </w:r>
          </w:p>
        </w:tc>
      </w:tr>
      <w:tr w:rsidR="00783F4B" w:rsidTr="00674657">
        <w:tc>
          <w:tcPr>
            <w:tcW w:w="4338" w:type="dxa"/>
          </w:tcPr>
          <w:p w:rsidR="00783F4B" w:rsidRDefault="00783F4B" w:rsidP="0083072B">
            <w:pPr>
              <w:pStyle w:val="Tabletext"/>
              <w:keepNext/>
            </w:pPr>
            <w:r>
              <w:t>Treatment-related a</w:t>
            </w:r>
            <w:r w:rsidRPr="00811D54">
              <w:t>dverse Event</w:t>
            </w:r>
          </w:p>
        </w:tc>
        <w:tc>
          <w:tcPr>
            <w:tcW w:w="1800" w:type="dxa"/>
          </w:tcPr>
          <w:p w:rsidR="00783F4B" w:rsidRDefault="00783F4B" w:rsidP="0083072B">
            <w:pPr>
              <w:pStyle w:val="Tabletext"/>
              <w:keepNext/>
              <w:jc w:val="center"/>
            </w:pPr>
            <w:r>
              <w:t>145 (55.1</w:t>
            </w:r>
            <w:r w:rsidRPr="00811D54">
              <w:t>)</w:t>
            </w:r>
          </w:p>
        </w:tc>
        <w:tc>
          <w:tcPr>
            <w:tcW w:w="1350" w:type="dxa"/>
          </w:tcPr>
          <w:p w:rsidR="00783F4B" w:rsidRDefault="00783F4B" w:rsidP="0083072B">
            <w:pPr>
              <w:pStyle w:val="Tabletext"/>
              <w:keepNext/>
              <w:jc w:val="center"/>
            </w:pPr>
            <w:r>
              <w:t>63 (41.4</w:t>
            </w:r>
            <w:r w:rsidRPr="00811D54">
              <w:t>)</w:t>
            </w:r>
          </w:p>
        </w:tc>
        <w:tc>
          <w:tcPr>
            <w:tcW w:w="1692" w:type="dxa"/>
          </w:tcPr>
          <w:p w:rsidR="00783F4B" w:rsidRPr="00045BB7" w:rsidRDefault="00783F4B" w:rsidP="0083072B">
            <w:pPr>
              <w:pStyle w:val="Tabletext"/>
              <w:keepNext/>
              <w:jc w:val="center"/>
              <w:rPr>
                <w:i/>
              </w:rPr>
            </w:pPr>
            <w:r w:rsidRPr="00045BB7">
              <w:rPr>
                <w:i/>
                <w:color w:val="000000"/>
              </w:rPr>
              <w:t>0.14 (0.04, 0.24)</w:t>
            </w:r>
          </w:p>
        </w:tc>
      </w:tr>
      <w:tr w:rsidR="00783F4B" w:rsidTr="00674657">
        <w:tc>
          <w:tcPr>
            <w:tcW w:w="4338" w:type="dxa"/>
          </w:tcPr>
          <w:p w:rsidR="00783F4B" w:rsidRDefault="00783F4B" w:rsidP="0083072B">
            <w:pPr>
              <w:pStyle w:val="Tabletext"/>
              <w:keepNext/>
            </w:pPr>
            <w:r>
              <w:t>Grade 3 or above adverse e</w:t>
            </w:r>
            <w:r w:rsidRPr="00811D54">
              <w:t>vent</w:t>
            </w:r>
          </w:p>
        </w:tc>
        <w:tc>
          <w:tcPr>
            <w:tcW w:w="1800" w:type="dxa"/>
          </w:tcPr>
          <w:p w:rsidR="00783F4B" w:rsidRDefault="00783F4B" w:rsidP="0083072B">
            <w:pPr>
              <w:pStyle w:val="Tabletext"/>
              <w:keepNext/>
              <w:jc w:val="center"/>
            </w:pPr>
            <w:r>
              <w:t>5 (1.9</w:t>
            </w:r>
            <w:r w:rsidRPr="00811D54">
              <w:t>)</w:t>
            </w:r>
          </w:p>
        </w:tc>
        <w:tc>
          <w:tcPr>
            <w:tcW w:w="1350" w:type="dxa"/>
          </w:tcPr>
          <w:p w:rsidR="00783F4B" w:rsidRDefault="00783F4B" w:rsidP="0083072B">
            <w:pPr>
              <w:pStyle w:val="Tabletext"/>
              <w:keepNext/>
              <w:jc w:val="center"/>
            </w:pPr>
            <w:r>
              <w:t>4 (2.6</w:t>
            </w:r>
            <w:r w:rsidRPr="00811D54">
              <w:t>)</w:t>
            </w:r>
          </w:p>
        </w:tc>
        <w:tc>
          <w:tcPr>
            <w:tcW w:w="1692" w:type="dxa"/>
          </w:tcPr>
          <w:p w:rsidR="00783F4B" w:rsidRPr="00045BB7" w:rsidRDefault="00783F4B" w:rsidP="0083072B">
            <w:pPr>
              <w:pStyle w:val="Tabletext"/>
              <w:keepNext/>
              <w:jc w:val="center"/>
              <w:rPr>
                <w:i/>
              </w:rPr>
            </w:pPr>
            <w:r w:rsidRPr="00045BB7">
              <w:rPr>
                <w:i/>
                <w:color w:val="000000"/>
              </w:rPr>
              <w:t>-0.01 (-0.04, 0.02)</w:t>
            </w:r>
          </w:p>
        </w:tc>
      </w:tr>
      <w:tr w:rsidR="00783F4B" w:rsidTr="00674657">
        <w:tc>
          <w:tcPr>
            <w:tcW w:w="4338" w:type="dxa"/>
          </w:tcPr>
          <w:p w:rsidR="00783F4B" w:rsidRDefault="00783F4B" w:rsidP="0083072B">
            <w:pPr>
              <w:pStyle w:val="Tabletext"/>
              <w:keepNext/>
            </w:pPr>
            <w:r>
              <w:t>Grade 3 or above treatment-related a</w:t>
            </w:r>
            <w:r w:rsidRPr="00811D54">
              <w:t>dver</w:t>
            </w:r>
            <w:r>
              <w:t>se e</w:t>
            </w:r>
            <w:r w:rsidRPr="00811D54">
              <w:t>vent</w:t>
            </w:r>
          </w:p>
        </w:tc>
        <w:tc>
          <w:tcPr>
            <w:tcW w:w="1800" w:type="dxa"/>
          </w:tcPr>
          <w:p w:rsidR="00783F4B" w:rsidRDefault="00783F4B" w:rsidP="0083072B">
            <w:pPr>
              <w:pStyle w:val="Tabletext"/>
              <w:keepNext/>
              <w:jc w:val="center"/>
            </w:pPr>
            <w:r>
              <w:t>1 (0.4</w:t>
            </w:r>
            <w:r w:rsidRPr="00811D54">
              <w:t>)</w:t>
            </w:r>
          </w:p>
        </w:tc>
        <w:tc>
          <w:tcPr>
            <w:tcW w:w="1350" w:type="dxa"/>
          </w:tcPr>
          <w:p w:rsidR="00783F4B" w:rsidRDefault="00783F4B" w:rsidP="0083072B">
            <w:pPr>
              <w:pStyle w:val="Tabletext"/>
              <w:keepNext/>
              <w:jc w:val="center"/>
            </w:pPr>
            <w:r w:rsidRPr="00811D54">
              <w:t>0</w:t>
            </w:r>
          </w:p>
        </w:tc>
        <w:tc>
          <w:tcPr>
            <w:tcW w:w="1692" w:type="dxa"/>
          </w:tcPr>
          <w:p w:rsidR="00783F4B" w:rsidRPr="00045BB7" w:rsidRDefault="00783F4B" w:rsidP="0083072B">
            <w:pPr>
              <w:pStyle w:val="Tabletext"/>
              <w:keepNext/>
              <w:jc w:val="center"/>
              <w:rPr>
                <w:i/>
              </w:rPr>
            </w:pPr>
            <w:r w:rsidRPr="00045BB7">
              <w:rPr>
                <w:i/>
                <w:color w:val="000000"/>
              </w:rPr>
              <w:t>0 (0, 0.01)</w:t>
            </w:r>
          </w:p>
        </w:tc>
      </w:tr>
      <w:tr w:rsidR="00783F4B" w:rsidTr="00674657">
        <w:tc>
          <w:tcPr>
            <w:tcW w:w="4338" w:type="dxa"/>
          </w:tcPr>
          <w:p w:rsidR="00783F4B" w:rsidRDefault="00783F4B" w:rsidP="0083072B">
            <w:pPr>
              <w:pStyle w:val="Tabletext"/>
              <w:keepNext/>
            </w:pPr>
            <w:r>
              <w:t>Serious adverse e</w:t>
            </w:r>
            <w:r w:rsidRPr="00811D54">
              <w:t>vent</w:t>
            </w:r>
          </w:p>
        </w:tc>
        <w:tc>
          <w:tcPr>
            <w:tcW w:w="1800" w:type="dxa"/>
          </w:tcPr>
          <w:p w:rsidR="00783F4B" w:rsidRDefault="00783F4B" w:rsidP="0083072B">
            <w:pPr>
              <w:pStyle w:val="Tabletext"/>
              <w:keepNext/>
              <w:jc w:val="center"/>
            </w:pPr>
            <w:r>
              <w:t>5 (1.9</w:t>
            </w:r>
            <w:r w:rsidRPr="00811D54">
              <w:t>)</w:t>
            </w:r>
          </w:p>
        </w:tc>
        <w:tc>
          <w:tcPr>
            <w:tcW w:w="1350" w:type="dxa"/>
          </w:tcPr>
          <w:p w:rsidR="00783F4B" w:rsidRDefault="00783F4B" w:rsidP="0083072B">
            <w:pPr>
              <w:pStyle w:val="Tabletext"/>
              <w:keepNext/>
              <w:jc w:val="center"/>
            </w:pPr>
            <w:r>
              <w:t>7 (4.6</w:t>
            </w:r>
            <w:r w:rsidRPr="00811D54">
              <w:t>)</w:t>
            </w:r>
          </w:p>
        </w:tc>
        <w:tc>
          <w:tcPr>
            <w:tcW w:w="1692" w:type="dxa"/>
          </w:tcPr>
          <w:p w:rsidR="00783F4B" w:rsidRPr="00045BB7" w:rsidRDefault="00783F4B" w:rsidP="0083072B">
            <w:pPr>
              <w:pStyle w:val="Tabletext"/>
              <w:keepNext/>
              <w:jc w:val="center"/>
              <w:rPr>
                <w:i/>
              </w:rPr>
            </w:pPr>
            <w:r w:rsidRPr="00045BB7">
              <w:rPr>
                <w:i/>
                <w:color w:val="000000"/>
              </w:rPr>
              <w:t>-0.03 (-0.06, 0.01)</w:t>
            </w:r>
          </w:p>
        </w:tc>
      </w:tr>
      <w:tr w:rsidR="00783F4B" w:rsidTr="00674657">
        <w:tc>
          <w:tcPr>
            <w:tcW w:w="4338" w:type="dxa"/>
          </w:tcPr>
          <w:p w:rsidR="00783F4B" w:rsidRDefault="00783F4B" w:rsidP="0083072B">
            <w:pPr>
              <w:pStyle w:val="Tabletext"/>
              <w:keepNext/>
            </w:pPr>
            <w:r>
              <w:t>Treatment-related serious adverse e</w:t>
            </w:r>
            <w:r w:rsidRPr="00811D54">
              <w:t>vent</w:t>
            </w:r>
          </w:p>
        </w:tc>
        <w:tc>
          <w:tcPr>
            <w:tcW w:w="1800" w:type="dxa"/>
          </w:tcPr>
          <w:p w:rsidR="00783F4B" w:rsidRDefault="00783F4B" w:rsidP="0083072B">
            <w:pPr>
              <w:pStyle w:val="Tabletext"/>
              <w:keepNext/>
              <w:jc w:val="center"/>
            </w:pPr>
            <w:r w:rsidRPr="00811D54">
              <w:t>0</w:t>
            </w:r>
          </w:p>
        </w:tc>
        <w:tc>
          <w:tcPr>
            <w:tcW w:w="1350" w:type="dxa"/>
          </w:tcPr>
          <w:p w:rsidR="00783F4B" w:rsidRDefault="00783F4B" w:rsidP="0083072B">
            <w:pPr>
              <w:pStyle w:val="Tabletext"/>
              <w:keepNext/>
              <w:jc w:val="center"/>
            </w:pPr>
            <w:r w:rsidRPr="00811D54">
              <w:t>0</w:t>
            </w:r>
          </w:p>
        </w:tc>
        <w:tc>
          <w:tcPr>
            <w:tcW w:w="1692" w:type="dxa"/>
          </w:tcPr>
          <w:p w:rsidR="00783F4B" w:rsidRPr="00045BB7" w:rsidRDefault="00783F4B" w:rsidP="0083072B">
            <w:pPr>
              <w:pStyle w:val="Tabletext"/>
              <w:keepNext/>
              <w:jc w:val="center"/>
              <w:rPr>
                <w:i/>
              </w:rPr>
            </w:pPr>
            <w:r w:rsidRPr="00045BB7">
              <w:rPr>
                <w:i/>
                <w:color w:val="000000"/>
              </w:rPr>
              <w:t>0 (0, 0)</w:t>
            </w:r>
          </w:p>
        </w:tc>
      </w:tr>
      <w:tr w:rsidR="00783F4B" w:rsidTr="00674657">
        <w:tc>
          <w:tcPr>
            <w:tcW w:w="4338" w:type="dxa"/>
          </w:tcPr>
          <w:p w:rsidR="00783F4B" w:rsidRDefault="00783F4B" w:rsidP="0083072B">
            <w:pPr>
              <w:pStyle w:val="Tabletext"/>
              <w:keepNext/>
            </w:pPr>
            <w:r>
              <w:t>Adverse event l</w:t>
            </w:r>
            <w:r w:rsidRPr="00811D54">
              <w:t xml:space="preserve">eading to </w:t>
            </w:r>
            <w:r>
              <w:t>premature d</w:t>
            </w:r>
            <w:r w:rsidRPr="00811D54">
              <w:t xml:space="preserve">iscontinuation </w:t>
            </w:r>
          </w:p>
        </w:tc>
        <w:tc>
          <w:tcPr>
            <w:tcW w:w="1800" w:type="dxa"/>
          </w:tcPr>
          <w:p w:rsidR="00783F4B" w:rsidRDefault="00783F4B" w:rsidP="0083072B">
            <w:pPr>
              <w:pStyle w:val="Tabletext"/>
              <w:keepNext/>
              <w:jc w:val="center"/>
            </w:pPr>
            <w:r>
              <w:t>1 (0.4</w:t>
            </w:r>
            <w:r w:rsidRPr="00811D54">
              <w:t>)</w:t>
            </w:r>
          </w:p>
        </w:tc>
        <w:tc>
          <w:tcPr>
            <w:tcW w:w="1350" w:type="dxa"/>
          </w:tcPr>
          <w:p w:rsidR="00783F4B" w:rsidRDefault="00783F4B" w:rsidP="0083072B">
            <w:pPr>
              <w:pStyle w:val="Tabletext"/>
              <w:keepNext/>
              <w:jc w:val="center"/>
            </w:pPr>
            <w:r>
              <w:t>3 (2.0</w:t>
            </w:r>
            <w:r w:rsidRPr="00811D54">
              <w:t>)</w:t>
            </w:r>
          </w:p>
        </w:tc>
        <w:tc>
          <w:tcPr>
            <w:tcW w:w="1692" w:type="dxa"/>
          </w:tcPr>
          <w:p w:rsidR="00783F4B" w:rsidRPr="00045BB7" w:rsidRDefault="00783F4B" w:rsidP="0083072B">
            <w:pPr>
              <w:pStyle w:val="Tabletext"/>
              <w:keepNext/>
              <w:jc w:val="center"/>
              <w:rPr>
                <w:i/>
              </w:rPr>
            </w:pPr>
            <w:r w:rsidRPr="00045BB7">
              <w:rPr>
                <w:i/>
                <w:color w:val="000000"/>
              </w:rPr>
              <w:t>-0.02 (-0.04, 0.01)</w:t>
            </w:r>
          </w:p>
        </w:tc>
      </w:tr>
      <w:tr w:rsidR="00783F4B" w:rsidTr="00674657">
        <w:tc>
          <w:tcPr>
            <w:tcW w:w="4338" w:type="dxa"/>
          </w:tcPr>
          <w:p w:rsidR="00783F4B" w:rsidRDefault="00783F4B" w:rsidP="0083072B">
            <w:pPr>
              <w:pStyle w:val="Tabletext"/>
              <w:keepNext/>
            </w:pPr>
            <w:r>
              <w:t>Adverse e</w:t>
            </w:r>
            <w:r w:rsidRPr="00811D54">
              <w:t xml:space="preserve">vent </w:t>
            </w:r>
            <w:r>
              <w:t>Leading to Interruption of the study d</w:t>
            </w:r>
            <w:r w:rsidRPr="00811D54">
              <w:t>rug</w:t>
            </w:r>
          </w:p>
        </w:tc>
        <w:tc>
          <w:tcPr>
            <w:tcW w:w="1800" w:type="dxa"/>
          </w:tcPr>
          <w:p w:rsidR="00783F4B" w:rsidRDefault="00783F4B" w:rsidP="0083072B">
            <w:pPr>
              <w:pStyle w:val="Tabletext"/>
              <w:keepNext/>
              <w:jc w:val="center"/>
            </w:pPr>
            <w:r w:rsidRPr="00811D54">
              <w:t>0</w:t>
            </w:r>
          </w:p>
        </w:tc>
        <w:tc>
          <w:tcPr>
            <w:tcW w:w="1350" w:type="dxa"/>
          </w:tcPr>
          <w:p w:rsidR="00783F4B" w:rsidRDefault="00783F4B" w:rsidP="0083072B">
            <w:pPr>
              <w:pStyle w:val="Tabletext"/>
              <w:keepNext/>
              <w:jc w:val="center"/>
            </w:pPr>
            <w:r>
              <w:t>1 (0.7</w:t>
            </w:r>
            <w:r w:rsidRPr="00811D54">
              <w:t>)</w:t>
            </w:r>
          </w:p>
        </w:tc>
        <w:tc>
          <w:tcPr>
            <w:tcW w:w="1692" w:type="dxa"/>
          </w:tcPr>
          <w:p w:rsidR="00783F4B" w:rsidRPr="00045BB7" w:rsidRDefault="00783F4B" w:rsidP="0083072B">
            <w:pPr>
              <w:pStyle w:val="Tabletext"/>
              <w:keepNext/>
              <w:jc w:val="center"/>
              <w:rPr>
                <w:i/>
              </w:rPr>
            </w:pPr>
            <w:r w:rsidRPr="00045BB7">
              <w:rPr>
                <w:i/>
                <w:color w:val="000000"/>
              </w:rPr>
              <w:t>-0.01 (-0.02, 0.01)</w:t>
            </w:r>
          </w:p>
        </w:tc>
      </w:tr>
      <w:tr w:rsidR="00783F4B" w:rsidTr="00674657">
        <w:tc>
          <w:tcPr>
            <w:tcW w:w="4338" w:type="dxa"/>
          </w:tcPr>
          <w:p w:rsidR="00783F4B" w:rsidRDefault="00783F4B" w:rsidP="0083072B">
            <w:pPr>
              <w:pStyle w:val="Tabletext"/>
              <w:keepNext/>
            </w:pPr>
            <w:r>
              <w:t>All d</w:t>
            </w:r>
            <w:r w:rsidRPr="00811D54">
              <w:t>eath</w:t>
            </w:r>
          </w:p>
        </w:tc>
        <w:tc>
          <w:tcPr>
            <w:tcW w:w="1800" w:type="dxa"/>
          </w:tcPr>
          <w:p w:rsidR="00783F4B" w:rsidRDefault="00783F4B" w:rsidP="0083072B">
            <w:pPr>
              <w:pStyle w:val="Tabletext"/>
              <w:keepNext/>
              <w:jc w:val="center"/>
            </w:pPr>
            <w:r w:rsidRPr="00811D54">
              <w:t>0</w:t>
            </w:r>
          </w:p>
        </w:tc>
        <w:tc>
          <w:tcPr>
            <w:tcW w:w="1350" w:type="dxa"/>
          </w:tcPr>
          <w:p w:rsidR="00783F4B" w:rsidRDefault="00783F4B" w:rsidP="0083072B">
            <w:pPr>
              <w:pStyle w:val="Tabletext"/>
              <w:keepNext/>
              <w:jc w:val="center"/>
            </w:pPr>
            <w:r w:rsidRPr="00811D54">
              <w:t>0</w:t>
            </w:r>
          </w:p>
        </w:tc>
        <w:tc>
          <w:tcPr>
            <w:tcW w:w="1692" w:type="dxa"/>
          </w:tcPr>
          <w:p w:rsidR="00783F4B" w:rsidRPr="00045BB7" w:rsidRDefault="00783F4B" w:rsidP="0083072B">
            <w:pPr>
              <w:pStyle w:val="Tabletext"/>
              <w:keepNext/>
              <w:jc w:val="center"/>
              <w:rPr>
                <w:i/>
              </w:rPr>
            </w:pPr>
            <w:r w:rsidRPr="00045BB7">
              <w:rPr>
                <w:i/>
                <w:color w:val="000000"/>
              </w:rPr>
              <w:t>0 (0, 0)</w:t>
            </w:r>
          </w:p>
        </w:tc>
      </w:tr>
    </w:tbl>
    <w:p w:rsidR="00783F4B" w:rsidRDefault="00783F4B" w:rsidP="0083072B">
      <w:pPr>
        <w:pStyle w:val="TableFooter"/>
        <w:keepNext/>
        <w:rPr>
          <w:rFonts w:eastAsia="Calibri"/>
        </w:rPr>
      </w:pPr>
      <w:r w:rsidRPr="00B40358">
        <w:rPr>
          <w:rFonts w:eastAsia="Calibri"/>
        </w:rPr>
        <w:t>CI = confidence interval; n = number of participants reporting data; N = total participants in group</w:t>
      </w:r>
      <w:r>
        <w:rPr>
          <w:rFonts w:eastAsia="Calibri"/>
        </w:rPr>
        <w:t>; RD = risk difference; RR = relative risk</w:t>
      </w:r>
    </w:p>
    <w:p w:rsidR="00783F4B" w:rsidRDefault="00783F4B" w:rsidP="0083072B">
      <w:pPr>
        <w:pStyle w:val="TableFooter"/>
        <w:keepNext/>
        <w:rPr>
          <w:rFonts w:eastAsia="Calibri"/>
        </w:rPr>
      </w:pPr>
      <w:r>
        <w:rPr>
          <w:rFonts w:eastAsia="Calibri"/>
        </w:rPr>
        <w:t>Note: risk differences were calculated during the evaluation</w:t>
      </w:r>
      <w:r w:rsidR="007C299C">
        <w:rPr>
          <w:rFonts w:eastAsia="Calibri"/>
        </w:rPr>
        <w:t>.</w:t>
      </w:r>
    </w:p>
    <w:p w:rsidR="007C299C" w:rsidRDefault="007C299C" w:rsidP="0083072B">
      <w:pPr>
        <w:pStyle w:val="TableFooter"/>
        <w:keepNext/>
      </w:pPr>
      <w:r>
        <w:t>Source: Table 2.22, p63 of the submission.</w:t>
      </w:r>
    </w:p>
    <w:p w:rsidR="00116E7D" w:rsidRDefault="00116E7D" w:rsidP="00783F4B">
      <w:pPr>
        <w:pStyle w:val="TableFooter"/>
      </w:pPr>
    </w:p>
    <w:p w:rsidR="00783F4B" w:rsidRDefault="00783F4B" w:rsidP="00F477B2">
      <w:pPr>
        <w:pStyle w:val="ListParagraph"/>
        <w:numPr>
          <w:ilvl w:val="1"/>
          <w:numId w:val="2"/>
        </w:numPr>
        <w:rPr>
          <w:color w:val="000000" w:themeColor="text1"/>
        </w:rPr>
      </w:pPr>
      <w:r>
        <w:rPr>
          <w:color w:val="000000" w:themeColor="text1"/>
        </w:rPr>
        <w:t xml:space="preserve">Table </w:t>
      </w:r>
      <w:r w:rsidR="00116E7D">
        <w:rPr>
          <w:color w:val="000000" w:themeColor="text1"/>
        </w:rPr>
        <w:t>8</w:t>
      </w:r>
      <w:r>
        <w:rPr>
          <w:color w:val="000000" w:themeColor="text1"/>
        </w:rPr>
        <w:t xml:space="preserve"> presents a summary of key adverse events presented in the naïve comparison of </w:t>
      </w:r>
      <w:proofErr w:type="spellStart"/>
      <w:r w:rsidR="00411646">
        <w:rPr>
          <w:color w:val="000000" w:themeColor="text1"/>
        </w:rPr>
        <w:t>glecaprevir</w:t>
      </w:r>
      <w:proofErr w:type="spellEnd"/>
      <w:r w:rsidR="00411646">
        <w:rPr>
          <w:color w:val="000000" w:themeColor="text1"/>
        </w:rPr>
        <w:t xml:space="preserve"> with </w:t>
      </w:r>
      <w:proofErr w:type="spellStart"/>
      <w:r w:rsidR="00411646">
        <w:rPr>
          <w:color w:val="000000" w:themeColor="text1"/>
        </w:rPr>
        <w:t>pibrentasvir</w:t>
      </w:r>
      <w:proofErr w:type="spellEnd"/>
      <w:r w:rsidR="00411646">
        <w:rPr>
          <w:color w:val="000000" w:themeColor="text1"/>
        </w:rPr>
        <w:t xml:space="preserve"> </w:t>
      </w:r>
      <w:r>
        <w:rPr>
          <w:color w:val="000000" w:themeColor="text1"/>
        </w:rPr>
        <w:t xml:space="preserve">and </w:t>
      </w:r>
      <w:proofErr w:type="spellStart"/>
      <w:r>
        <w:rPr>
          <w:color w:val="000000" w:themeColor="text1"/>
        </w:rPr>
        <w:t>sof</w:t>
      </w:r>
      <w:r w:rsidR="00411646">
        <w:rPr>
          <w:color w:val="000000" w:themeColor="text1"/>
        </w:rPr>
        <w:t>osbuvir</w:t>
      </w:r>
      <w:proofErr w:type="spellEnd"/>
      <w:r w:rsidR="00411646">
        <w:rPr>
          <w:color w:val="000000" w:themeColor="text1"/>
        </w:rPr>
        <w:t xml:space="preserve"> </w:t>
      </w:r>
      <w:r w:rsidR="0083072B">
        <w:rPr>
          <w:color w:val="000000" w:themeColor="text1"/>
        </w:rPr>
        <w:t>with</w:t>
      </w:r>
      <w:r w:rsidR="00411646">
        <w:rPr>
          <w:color w:val="000000" w:themeColor="text1"/>
        </w:rPr>
        <w:t xml:space="preserve"> </w:t>
      </w:r>
      <w:proofErr w:type="spellStart"/>
      <w:r w:rsidR="00411646">
        <w:rPr>
          <w:color w:val="000000" w:themeColor="text1"/>
        </w:rPr>
        <w:t>velpatasvir</w:t>
      </w:r>
      <w:proofErr w:type="spellEnd"/>
      <w:r w:rsidR="00411646">
        <w:rPr>
          <w:color w:val="000000" w:themeColor="text1"/>
        </w:rPr>
        <w:t xml:space="preserve"> </w:t>
      </w:r>
      <w:r w:rsidR="0083072B">
        <w:rPr>
          <w:color w:val="000000" w:themeColor="text1"/>
        </w:rPr>
        <w:t>and</w:t>
      </w:r>
      <w:r w:rsidR="00411646">
        <w:rPr>
          <w:color w:val="000000" w:themeColor="text1"/>
        </w:rPr>
        <w:t xml:space="preserve"> </w:t>
      </w:r>
      <w:proofErr w:type="spellStart"/>
      <w:r w:rsidR="00411646">
        <w:rPr>
          <w:color w:val="000000" w:themeColor="text1"/>
        </w:rPr>
        <w:t>voxilaprevir</w:t>
      </w:r>
      <w:proofErr w:type="spellEnd"/>
      <w:r w:rsidR="00411646">
        <w:rPr>
          <w:color w:val="000000" w:themeColor="text1"/>
        </w:rPr>
        <w:t>.</w:t>
      </w:r>
    </w:p>
    <w:p w:rsidR="00783F4B" w:rsidRPr="005D5F67" w:rsidRDefault="00783F4B" w:rsidP="00783F4B">
      <w:pPr>
        <w:pStyle w:val="ListParagraph"/>
        <w:spacing w:after="0"/>
        <w:ind w:left="0"/>
        <w:rPr>
          <w:rFonts w:ascii="Arial Narrow" w:hAnsi="Arial Narrow"/>
          <w:sz w:val="20"/>
          <w:szCs w:val="20"/>
        </w:rPr>
      </w:pPr>
      <w:r w:rsidRPr="005D5F67">
        <w:rPr>
          <w:rFonts w:ascii="Arial Narrow" w:hAnsi="Arial Narrow"/>
          <w:b/>
          <w:sz w:val="20"/>
          <w:szCs w:val="20"/>
        </w:rPr>
        <w:t xml:space="preserve">Table </w:t>
      </w:r>
      <w:r w:rsidR="00116E7D">
        <w:rPr>
          <w:rFonts w:ascii="Arial Narrow" w:hAnsi="Arial Narrow"/>
          <w:b/>
          <w:sz w:val="20"/>
          <w:szCs w:val="20"/>
        </w:rPr>
        <w:t>8</w:t>
      </w:r>
      <w:r w:rsidRPr="005D5F67">
        <w:rPr>
          <w:rFonts w:ascii="Arial Narrow" w:hAnsi="Arial Narrow"/>
          <w:b/>
          <w:sz w:val="20"/>
          <w:szCs w:val="20"/>
        </w:rPr>
        <w:t>: Summary of key adverse events</w:t>
      </w:r>
      <w:r>
        <w:rPr>
          <w:rFonts w:ascii="Arial Narrow" w:hAnsi="Arial Narrow"/>
          <w:b/>
          <w:sz w:val="20"/>
          <w:szCs w:val="20"/>
        </w:rPr>
        <w:t xml:space="preserve"> for GP and </w:t>
      </w:r>
      <w:proofErr w:type="spellStart"/>
      <w:r w:rsidR="00411646" w:rsidRPr="00411646">
        <w:rPr>
          <w:rFonts w:ascii="Arial Narrow" w:hAnsi="Arial Narrow"/>
          <w:b/>
          <w:sz w:val="20"/>
          <w:szCs w:val="20"/>
        </w:rPr>
        <w:t>sofosbuvir</w:t>
      </w:r>
      <w:proofErr w:type="spellEnd"/>
      <w:r w:rsidR="00411646" w:rsidRPr="00411646">
        <w:rPr>
          <w:rFonts w:ascii="Arial Narrow" w:hAnsi="Arial Narrow"/>
          <w:b/>
          <w:sz w:val="20"/>
          <w:szCs w:val="20"/>
        </w:rPr>
        <w:t xml:space="preserve"> + </w:t>
      </w:r>
      <w:proofErr w:type="spellStart"/>
      <w:r w:rsidR="00411646" w:rsidRPr="00411646">
        <w:rPr>
          <w:rFonts w:ascii="Arial Narrow" w:hAnsi="Arial Narrow"/>
          <w:b/>
          <w:sz w:val="20"/>
          <w:szCs w:val="20"/>
        </w:rPr>
        <w:t>velpatasvir</w:t>
      </w:r>
      <w:proofErr w:type="spellEnd"/>
      <w:r w:rsidR="00411646" w:rsidRPr="00411646">
        <w:rPr>
          <w:rFonts w:ascii="Arial Narrow" w:hAnsi="Arial Narrow"/>
          <w:b/>
          <w:sz w:val="20"/>
          <w:szCs w:val="20"/>
        </w:rPr>
        <w:t xml:space="preserve"> + </w:t>
      </w:r>
      <w:proofErr w:type="spellStart"/>
      <w:r w:rsidR="00411646" w:rsidRPr="00411646">
        <w:rPr>
          <w:rFonts w:ascii="Arial Narrow" w:hAnsi="Arial Narrow"/>
          <w:b/>
          <w:sz w:val="20"/>
          <w:szCs w:val="20"/>
        </w:rPr>
        <w:t>voxilaprevir</w:t>
      </w:r>
      <w:proofErr w:type="spellEnd"/>
    </w:p>
    <w:tbl>
      <w:tblPr>
        <w:tblStyle w:val="TableGrid"/>
        <w:tblW w:w="5000" w:type="pct"/>
        <w:tblCellMar>
          <w:left w:w="29" w:type="dxa"/>
          <w:right w:w="29" w:type="dxa"/>
        </w:tblCellMar>
        <w:tblLook w:val="04A0" w:firstRow="1" w:lastRow="0" w:firstColumn="1" w:lastColumn="0" w:noHBand="0" w:noVBand="1"/>
        <w:tblCaption w:val="Table 8: Summary of key adverse events for GP and sofosbuvir + velpatasvir + voxilaprevir"/>
      </w:tblPr>
      <w:tblGrid>
        <w:gridCol w:w="2348"/>
        <w:gridCol w:w="1833"/>
        <w:gridCol w:w="1833"/>
        <w:gridCol w:w="3071"/>
      </w:tblGrid>
      <w:tr w:rsidR="00783F4B" w:rsidRPr="00E3781F" w:rsidTr="00082271">
        <w:trPr>
          <w:trHeight w:val="278"/>
          <w:tblHeader/>
        </w:trPr>
        <w:tc>
          <w:tcPr>
            <w:tcW w:w="1292" w:type="pct"/>
            <w:noWrap/>
            <w:hideMark/>
          </w:tcPr>
          <w:p w:rsidR="00783F4B" w:rsidRPr="00E3781F" w:rsidRDefault="00783F4B" w:rsidP="00674657">
            <w:pPr>
              <w:rPr>
                <w:rFonts w:ascii="Arial Narrow" w:hAnsi="Arial Narrow"/>
                <w:b/>
                <w:bCs/>
                <w:color w:val="000000"/>
                <w:sz w:val="20"/>
                <w:szCs w:val="20"/>
                <w:lang w:val="en-US"/>
              </w:rPr>
            </w:pPr>
            <w:r w:rsidRPr="00E3781F">
              <w:rPr>
                <w:rFonts w:ascii="Arial Narrow" w:hAnsi="Arial Narrow"/>
                <w:b/>
                <w:bCs/>
                <w:color w:val="000000"/>
                <w:sz w:val="20"/>
                <w:szCs w:val="20"/>
                <w:lang w:val="en-US"/>
              </w:rPr>
              <w:t>Patients with events, n (%) </w:t>
            </w:r>
          </w:p>
        </w:tc>
        <w:tc>
          <w:tcPr>
            <w:tcW w:w="2018" w:type="pct"/>
            <w:gridSpan w:val="2"/>
            <w:noWrap/>
            <w:hideMark/>
          </w:tcPr>
          <w:p w:rsidR="00783F4B" w:rsidRPr="00E3781F" w:rsidRDefault="00783F4B" w:rsidP="00674657">
            <w:pPr>
              <w:jc w:val="center"/>
              <w:rPr>
                <w:rFonts w:ascii="Arial Narrow" w:hAnsi="Arial Narrow"/>
                <w:b/>
                <w:bCs/>
                <w:color w:val="000000"/>
                <w:sz w:val="20"/>
                <w:szCs w:val="20"/>
                <w:lang w:val="en-US"/>
              </w:rPr>
            </w:pPr>
            <w:r w:rsidRPr="00E3781F">
              <w:rPr>
                <w:rFonts w:ascii="Arial Narrow" w:hAnsi="Arial Narrow"/>
                <w:b/>
                <w:bCs/>
                <w:color w:val="000000"/>
                <w:sz w:val="20"/>
                <w:szCs w:val="20"/>
                <w:lang w:val="en-US"/>
              </w:rPr>
              <w:t>Phase 2, Part 2 (all DAA experienced)</w:t>
            </w:r>
          </w:p>
        </w:tc>
        <w:tc>
          <w:tcPr>
            <w:tcW w:w="1690" w:type="pct"/>
          </w:tcPr>
          <w:p w:rsidR="00783F4B" w:rsidRPr="00E3781F" w:rsidRDefault="00783F4B" w:rsidP="00674657">
            <w:pPr>
              <w:jc w:val="center"/>
              <w:rPr>
                <w:rFonts w:ascii="Arial Narrow" w:hAnsi="Arial Narrow"/>
                <w:b/>
                <w:bCs/>
                <w:color w:val="000000"/>
                <w:sz w:val="20"/>
                <w:szCs w:val="20"/>
                <w:lang w:val="en-US"/>
              </w:rPr>
            </w:pPr>
            <w:r w:rsidRPr="00E3781F">
              <w:rPr>
                <w:rFonts w:ascii="Arial Narrow" w:hAnsi="Arial Narrow"/>
                <w:b/>
                <w:bCs/>
                <w:color w:val="000000"/>
                <w:sz w:val="20"/>
                <w:szCs w:val="20"/>
                <w:lang w:val="en-US"/>
              </w:rPr>
              <w:t>POLARIS-1 (all NS5A experienced)</w:t>
            </w:r>
          </w:p>
        </w:tc>
      </w:tr>
      <w:tr w:rsidR="00783F4B" w:rsidRPr="00E3781F" w:rsidTr="00082271">
        <w:trPr>
          <w:trHeight w:val="109"/>
          <w:tblHeader/>
        </w:trPr>
        <w:tc>
          <w:tcPr>
            <w:tcW w:w="1292" w:type="pct"/>
            <w:noWrap/>
          </w:tcPr>
          <w:p w:rsidR="00783F4B" w:rsidRPr="00E3781F" w:rsidRDefault="00783F4B" w:rsidP="00674657">
            <w:pPr>
              <w:rPr>
                <w:rFonts w:ascii="Arial Narrow" w:hAnsi="Arial Narrow"/>
                <w:b/>
                <w:bCs/>
                <w:color w:val="000000"/>
                <w:sz w:val="20"/>
                <w:szCs w:val="20"/>
                <w:lang w:val="en-US"/>
              </w:rPr>
            </w:pPr>
          </w:p>
        </w:tc>
        <w:tc>
          <w:tcPr>
            <w:tcW w:w="1009" w:type="pct"/>
            <w:noWrap/>
          </w:tcPr>
          <w:p w:rsidR="00783F4B" w:rsidRPr="00E3781F" w:rsidRDefault="00783F4B" w:rsidP="00674657">
            <w:pPr>
              <w:jc w:val="center"/>
              <w:rPr>
                <w:rFonts w:ascii="Arial Narrow" w:hAnsi="Arial Narrow"/>
                <w:b/>
                <w:bCs/>
                <w:color w:val="000000"/>
                <w:sz w:val="20"/>
                <w:szCs w:val="20"/>
                <w:lang w:val="en-US"/>
              </w:rPr>
            </w:pPr>
            <w:r>
              <w:rPr>
                <w:rFonts w:ascii="Arial Narrow" w:hAnsi="Arial Narrow"/>
                <w:b/>
                <w:bCs/>
                <w:color w:val="000000"/>
                <w:sz w:val="20"/>
                <w:szCs w:val="20"/>
                <w:lang w:val="en-US"/>
              </w:rPr>
              <w:t>GP</w:t>
            </w:r>
            <w:r w:rsidRPr="00E3781F">
              <w:rPr>
                <w:rFonts w:ascii="Arial Narrow" w:hAnsi="Arial Narrow"/>
                <w:b/>
                <w:bCs/>
                <w:color w:val="000000"/>
                <w:sz w:val="20"/>
                <w:szCs w:val="20"/>
                <w:lang w:val="en-US"/>
              </w:rPr>
              <w:t xml:space="preserve"> 12 weeks </w:t>
            </w:r>
            <w:r>
              <w:rPr>
                <w:rFonts w:ascii="Arial Narrow" w:hAnsi="Arial Narrow"/>
                <w:b/>
                <w:bCs/>
                <w:color w:val="000000"/>
                <w:sz w:val="20"/>
                <w:szCs w:val="20"/>
                <w:lang w:val="en-US"/>
              </w:rPr>
              <w:t xml:space="preserve"> (</w:t>
            </w:r>
            <w:r w:rsidRPr="00E3781F">
              <w:rPr>
                <w:rFonts w:ascii="Arial Narrow" w:hAnsi="Arial Narrow"/>
                <w:b/>
                <w:bCs/>
                <w:color w:val="000000"/>
                <w:sz w:val="20"/>
                <w:szCs w:val="20"/>
                <w:lang w:val="en-US"/>
              </w:rPr>
              <w:t>N=44 </w:t>
            </w:r>
            <w:r>
              <w:rPr>
                <w:rFonts w:ascii="Arial Narrow" w:hAnsi="Arial Narrow"/>
                <w:b/>
                <w:bCs/>
                <w:color w:val="000000"/>
                <w:sz w:val="20"/>
                <w:szCs w:val="20"/>
                <w:lang w:val="en-US"/>
              </w:rPr>
              <w:t>)</w:t>
            </w:r>
          </w:p>
        </w:tc>
        <w:tc>
          <w:tcPr>
            <w:tcW w:w="1009" w:type="pct"/>
            <w:noWrap/>
          </w:tcPr>
          <w:p w:rsidR="00783F4B" w:rsidRPr="00E3781F" w:rsidRDefault="00783F4B" w:rsidP="00674657">
            <w:pPr>
              <w:jc w:val="center"/>
              <w:rPr>
                <w:rFonts w:ascii="Arial Narrow" w:hAnsi="Arial Narrow"/>
                <w:b/>
                <w:bCs/>
                <w:color w:val="000000"/>
                <w:sz w:val="20"/>
                <w:szCs w:val="20"/>
                <w:lang w:val="en-US"/>
              </w:rPr>
            </w:pPr>
            <w:r>
              <w:rPr>
                <w:rFonts w:ascii="Arial Narrow" w:hAnsi="Arial Narrow"/>
                <w:b/>
                <w:bCs/>
                <w:color w:val="000000"/>
                <w:sz w:val="20"/>
                <w:szCs w:val="20"/>
                <w:lang w:val="en-US"/>
              </w:rPr>
              <w:t>GP</w:t>
            </w:r>
            <w:r w:rsidRPr="00E3781F">
              <w:rPr>
                <w:rFonts w:ascii="Arial Narrow" w:hAnsi="Arial Narrow"/>
                <w:b/>
                <w:bCs/>
                <w:color w:val="000000"/>
                <w:sz w:val="20"/>
                <w:szCs w:val="20"/>
                <w:lang w:val="en-US"/>
              </w:rPr>
              <w:t xml:space="preserve"> 16 weeks </w:t>
            </w:r>
            <w:r>
              <w:rPr>
                <w:rFonts w:ascii="Arial Narrow" w:hAnsi="Arial Narrow"/>
                <w:b/>
                <w:bCs/>
                <w:color w:val="000000"/>
                <w:sz w:val="20"/>
                <w:szCs w:val="20"/>
                <w:lang w:val="en-US"/>
              </w:rPr>
              <w:t>(</w:t>
            </w:r>
            <w:r w:rsidRPr="00E3781F">
              <w:rPr>
                <w:rFonts w:ascii="Arial Narrow" w:hAnsi="Arial Narrow"/>
                <w:b/>
                <w:bCs/>
                <w:color w:val="000000"/>
                <w:sz w:val="20"/>
                <w:szCs w:val="20"/>
                <w:lang w:val="en-US"/>
              </w:rPr>
              <w:t>N=47 </w:t>
            </w:r>
            <w:r>
              <w:rPr>
                <w:rFonts w:ascii="Arial Narrow" w:hAnsi="Arial Narrow"/>
                <w:b/>
                <w:bCs/>
                <w:color w:val="000000"/>
                <w:sz w:val="20"/>
                <w:szCs w:val="20"/>
                <w:lang w:val="en-US"/>
              </w:rPr>
              <w:t>)</w:t>
            </w:r>
          </w:p>
        </w:tc>
        <w:tc>
          <w:tcPr>
            <w:tcW w:w="1690" w:type="pct"/>
            <w:noWrap/>
            <w:hideMark/>
          </w:tcPr>
          <w:p w:rsidR="00783F4B" w:rsidRPr="00E3781F" w:rsidRDefault="00783F4B" w:rsidP="00674657">
            <w:pPr>
              <w:jc w:val="center"/>
              <w:rPr>
                <w:rFonts w:ascii="Arial Narrow" w:hAnsi="Arial Narrow"/>
                <w:b/>
                <w:bCs/>
                <w:color w:val="000000"/>
                <w:sz w:val="20"/>
                <w:szCs w:val="20"/>
                <w:lang w:val="en-US"/>
              </w:rPr>
            </w:pPr>
            <w:proofErr w:type="spellStart"/>
            <w:r>
              <w:rPr>
                <w:rFonts w:ascii="Arial Narrow" w:hAnsi="Arial Narrow"/>
                <w:b/>
                <w:bCs/>
                <w:color w:val="000000"/>
                <w:sz w:val="20"/>
                <w:szCs w:val="20"/>
                <w:lang w:val="en-US"/>
              </w:rPr>
              <w:t>Sof+vel+vox</w:t>
            </w:r>
            <w:proofErr w:type="spellEnd"/>
            <w:r>
              <w:rPr>
                <w:rFonts w:ascii="Arial Narrow" w:hAnsi="Arial Narrow"/>
                <w:b/>
                <w:bCs/>
                <w:color w:val="000000"/>
                <w:sz w:val="20"/>
                <w:szCs w:val="20"/>
                <w:lang w:val="en-US"/>
              </w:rPr>
              <w:t xml:space="preserve"> </w:t>
            </w:r>
            <w:r w:rsidRPr="00E3781F">
              <w:rPr>
                <w:rFonts w:ascii="Arial Narrow" w:hAnsi="Arial Narrow"/>
                <w:b/>
                <w:bCs/>
                <w:color w:val="000000"/>
                <w:sz w:val="20"/>
                <w:szCs w:val="20"/>
                <w:lang w:val="en-US"/>
              </w:rPr>
              <w:t>12 weeks</w:t>
            </w:r>
            <w:r>
              <w:rPr>
                <w:rFonts w:ascii="Arial Narrow" w:hAnsi="Arial Narrow"/>
                <w:b/>
                <w:bCs/>
                <w:color w:val="000000"/>
                <w:sz w:val="20"/>
                <w:szCs w:val="20"/>
                <w:lang w:val="en-US"/>
              </w:rPr>
              <w:t xml:space="preserve"> (N=</w:t>
            </w:r>
            <w:r w:rsidRPr="00E3781F">
              <w:rPr>
                <w:rFonts w:ascii="Arial Narrow" w:hAnsi="Arial Narrow"/>
                <w:b/>
                <w:bCs/>
                <w:color w:val="000000"/>
                <w:sz w:val="20"/>
                <w:szCs w:val="20"/>
                <w:lang w:val="en-US"/>
              </w:rPr>
              <w:t>263)</w:t>
            </w:r>
          </w:p>
        </w:tc>
      </w:tr>
      <w:tr w:rsidR="00783F4B" w:rsidRPr="00E3781F" w:rsidTr="00EB4348">
        <w:tc>
          <w:tcPr>
            <w:tcW w:w="1292" w:type="pct"/>
            <w:noWrap/>
            <w:hideMark/>
          </w:tcPr>
          <w:p w:rsidR="00783F4B" w:rsidRPr="00E3781F" w:rsidRDefault="00783F4B" w:rsidP="00674657">
            <w:pPr>
              <w:rPr>
                <w:rFonts w:ascii="Arial Narrow" w:hAnsi="Arial Narrow"/>
                <w:color w:val="000000"/>
                <w:sz w:val="20"/>
                <w:szCs w:val="20"/>
                <w:lang w:val="en-US"/>
              </w:rPr>
            </w:pPr>
            <w:r w:rsidRPr="00E3781F">
              <w:rPr>
                <w:rFonts w:ascii="Arial Narrow" w:hAnsi="Arial Narrow"/>
                <w:color w:val="000000"/>
                <w:sz w:val="20"/>
                <w:szCs w:val="20"/>
                <w:lang w:val="en-US"/>
              </w:rPr>
              <w:t>Any AE </w:t>
            </w:r>
          </w:p>
        </w:tc>
        <w:tc>
          <w:tcPr>
            <w:tcW w:w="1009" w:type="pc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33 (75%)</w:t>
            </w:r>
          </w:p>
        </w:tc>
        <w:tc>
          <w:tcPr>
            <w:tcW w:w="1009" w:type="pc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32 (68%)</w:t>
            </w:r>
          </w:p>
        </w:tc>
        <w:tc>
          <w:tcPr>
            <w:tcW w:w="1690" w:type="pc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206 (78.3%)</w:t>
            </w:r>
          </w:p>
        </w:tc>
      </w:tr>
      <w:tr w:rsidR="00783F4B" w:rsidRPr="00E3781F" w:rsidTr="00EB4348">
        <w:tc>
          <w:tcPr>
            <w:tcW w:w="1292" w:type="pct"/>
            <w:noWrap/>
            <w:hideMark/>
          </w:tcPr>
          <w:p w:rsidR="00783F4B" w:rsidRPr="00E3781F" w:rsidRDefault="00783F4B" w:rsidP="00674657">
            <w:pPr>
              <w:rPr>
                <w:rFonts w:ascii="Arial Narrow" w:hAnsi="Arial Narrow"/>
                <w:color w:val="000000"/>
                <w:sz w:val="20"/>
                <w:szCs w:val="20"/>
                <w:lang w:val="en-US"/>
              </w:rPr>
            </w:pPr>
            <w:r w:rsidRPr="00E3781F">
              <w:rPr>
                <w:rFonts w:ascii="Arial Narrow" w:hAnsi="Arial Narrow"/>
                <w:color w:val="000000"/>
                <w:sz w:val="20"/>
                <w:szCs w:val="20"/>
                <w:lang w:val="en-US"/>
              </w:rPr>
              <w:t>Serious AE </w:t>
            </w:r>
          </w:p>
        </w:tc>
        <w:tc>
          <w:tcPr>
            <w:tcW w:w="1009" w:type="pc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1 (2</w:t>
            </w:r>
            <w:r w:rsidR="00470F41">
              <w:rPr>
                <w:rFonts w:ascii="Arial Narrow" w:hAnsi="Arial Narrow"/>
                <w:color w:val="000000"/>
                <w:sz w:val="20"/>
                <w:szCs w:val="20"/>
                <w:lang w:val="en-US"/>
              </w:rPr>
              <w:t>%</w:t>
            </w:r>
            <w:r w:rsidRPr="00E3781F">
              <w:rPr>
                <w:rFonts w:ascii="Arial Narrow" w:hAnsi="Arial Narrow"/>
                <w:color w:val="000000"/>
                <w:sz w:val="20"/>
                <w:szCs w:val="20"/>
                <w:lang w:val="en-US"/>
              </w:rPr>
              <w:t>)</w:t>
            </w:r>
          </w:p>
        </w:tc>
        <w:tc>
          <w:tcPr>
            <w:tcW w:w="1009" w:type="pc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2 (4</w:t>
            </w:r>
            <w:r w:rsidR="00470F41">
              <w:rPr>
                <w:rFonts w:ascii="Arial Narrow" w:hAnsi="Arial Narrow"/>
                <w:color w:val="000000"/>
                <w:sz w:val="20"/>
                <w:szCs w:val="20"/>
                <w:lang w:val="en-US"/>
              </w:rPr>
              <w:t>%</w:t>
            </w:r>
            <w:r w:rsidRPr="00E3781F">
              <w:rPr>
                <w:rFonts w:ascii="Arial Narrow" w:hAnsi="Arial Narrow"/>
                <w:color w:val="000000"/>
                <w:sz w:val="20"/>
                <w:szCs w:val="20"/>
                <w:lang w:val="en-US"/>
              </w:rPr>
              <w:t>)</w:t>
            </w:r>
          </w:p>
        </w:tc>
        <w:tc>
          <w:tcPr>
            <w:tcW w:w="1690" w:type="pc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5 (1.9%)</w:t>
            </w:r>
          </w:p>
        </w:tc>
      </w:tr>
      <w:tr w:rsidR="00783F4B" w:rsidRPr="00E3781F" w:rsidTr="00EB4348">
        <w:tc>
          <w:tcPr>
            <w:tcW w:w="1292" w:type="pct"/>
            <w:noWrap/>
            <w:hideMark/>
          </w:tcPr>
          <w:p w:rsidR="00783F4B" w:rsidRPr="00E3781F" w:rsidRDefault="00783F4B" w:rsidP="00674657">
            <w:pPr>
              <w:rPr>
                <w:rFonts w:ascii="Arial Narrow" w:hAnsi="Arial Narrow"/>
                <w:color w:val="000000"/>
                <w:sz w:val="20"/>
                <w:szCs w:val="20"/>
                <w:lang w:val="en-US"/>
              </w:rPr>
            </w:pPr>
            <w:r w:rsidRPr="00E3781F">
              <w:rPr>
                <w:rFonts w:ascii="Arial Narrow" w:hAnsi="Arial Narrow"/>
                <w:color w:val="000000"/>
                <w:sz w:val="20"/>
                <w:szCs w:val="20"/>
                <w:lang w:val="en-US"/>
              </w:rPr>
              <w:t>Serious AEs </w:t>
            </w:r>
          </w:p>
        </w:tc>
        <w:tc>
          <w:tcPr>
            <w:tcW w:w="1009" w:type="pct"/>
            <w:vMerge w:val="restar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0</w:t>
            </w:r>
          </w:p>
        </w:tc>
        <w:tc>
          <w:tcPr>
            <w:tcW w:w="1009" w:type="pct"/>
            <w:vMerge w:val="restar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0</w:t>
            </w:r>
          </w:p>
        </w:tc>
        <w:tc>
          <w:tcPr>
            <w:tcW w:w="1690" w:type="pct"/>
            <w:vMerge w:val="restar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0</w:t>
            </w:r>
          </w:p>
        </w:tc>
      </w:tr>
      <w:tr w:rsidR="00783F4B" w:rsidRPr="00E3781F" w:rsidTr="00EB4348">
        <w:trPr>
          <w:trHeight w:val="152"/>
        </w:trPr>
        <w:tc>
          <w:tcPr>
            <w:tcW w:w="1292" w:type="pct"/>
            <w:noWrap/>
            <w:hideMark/>
          </w:tcPr>
          <w:p w:rsidR="00783F4B" w:rsidRPr="00E3781F" w:rsidRDefault="00783F4B" w:rsidP="00674657">
            <w:pPr>
              <w:rPr>
                <w:rFonts w:ascii="Arial Narrow" w:hAnsi="Arial Narrow"/>
                <w:color w:val="000000"/>
                <w:sz w:val="20"/>
                <w:szCs w:val="20"/>
                <w:lang w:val="en-US"/>
              </w:rPr>
            </w:pPr>
            <w:r w:rsidRPr="00E3781F">
              <w:rPr>
                <w:rFonts w:ascii="Arial Narrow" w:hAnsi="Arial Narrow"/>
                <w:color w:val="000000"/>
                <w:sz w:val="20"/>
                <w:szCs w:val="20"/>
                <w:lang w:val="en-US"/>
              </w:rPr>
              <w:t>Suspected drug-related </w:t>
            </w:r>
          </w:p>
        </w:tc>
        <w:tc>
          <w:tcPr>
            <w:tcW w:w="1009" w:type="pct"/>
            <w:vMerge/>
            <w:vAlign w:val="center"/>
            <w:hideMark/>
          </w:tcPr>
          <w:p w:rsidR="00783F4B" w:rsidRPr="00E3781F" w:rsidRDefault="00783F4B" w:rsidP="00EB4348">
            <w:pPr>
              <w:jc w:val="center"/>
              <w:rPr>
                <w:rFonts w:ascii="Arial Narrow" w:hAnsi="Arial Narrow"/>
                <w:color w:val="000000"/>
                <w:sz w:val="20"/>
                <w:szCs w:val="20"/>
                <w:lang w:val="en-US"/>
              </w:rPr>
            </w:pPr>
          </w:p>
        </w:tc>
        <w:tc>
          <w:tcPr>
            <w:tcW w:w="1009" w:type="pct"/>
            <w:vMerge/>
            <w:vAlign w:val="center"/>
            <w:hideMark/>
          </w:tcPr>
          <w:p w:rsidR="00783F4B" w:rsidRPr="00E3781F" w:rsidRDefault="00783F4B" w:rsidP="00EB4348">
            <w:pPr>
              <w:jc w:val="center"/>
              <w:rPr>
                <w:rFonts w:ascii="Arial Narrow" w:hAnsi="Arial Narrow"/>
                <w:color w:val="000000"/>
                <w:sz w:val="20"/>
                <w:szCs w:val="20"/>
                <w:lang w:val="en-US"/>
              </w:rPr>
            </w:pPr>
          </w:p>
        </w:tc>
        <w:tc>
          <w:tcPr>
            <w:tcW w:w="1690" w:type="pct"/>
            <w:vMerge/>
            <w:vAlign w:val="center"/>
            <w:hideMark/>
          </w:tcPr>
          <w:p w:rsidR="00783F4B" w:rsidRPr="00E3781F" w:rsidRDefault="00783F4B" w:rsidP="00EB4348">
            <w:pPr>
              <w:jc w:val="center"/>
              <w:rPr>
                <w:rFonts w:ascii="Arial Narrow" w:hAnsi="Arial Narrow"/>
                <w:color w:val="000000"/>
                <w:sz w:val="20"/>
                <w:szCs w:val="20"/>
                <w:lang w:val="en-US"/>
              </w:rPr>
            </w:pPr>
          </w:p>
        </w:tc>
      </w:tr>
      <w:tr w:rsidR="00783F4B" w:rsidRPr="00E3781F" w:rsidTr="00EB4348">
        <w:tc>
          <w:tcPr>
            <w:tcW w:w="1292" w:type="pct"/>
            <w:noWrap/>
            <w:hideMark/>
          </w:tcPr>
          <w:p w:rsidR="00783F4B" w:rsidRPr="00E3781F" w:rsidRDefault="00783F4B" w:rsidP="00674657">
            <w:pPr>
              <w:rPr>
                <w:rFonts w:ascii="Arial Narrow" w:hAnsi="Arial Narrow"/>
                <w:color w:val="000000"/>
                <w:sz w:val="20"/>
                <w:szCs w:val="20"/>
                <w:lang w:val="en-US"/>
              </w:rPr>
            </w:pPr>
            <w:r w:rsidRPr="00E3781F">
              <w:rPr>
                <w:rFonts w:ascii="Arial Narrow" w:hAnsi="Arial Narrow"/>
                <w:color w:val="000000"/>
                <w:sz w:val="20"/>
                <w:szCs w:val="20"/>
                <w:lang w:val="en-US"/>
              </w:rPr>
              <w:t>AEs leading to discontinuation </w:t>
            </w:r>
          </w:p>
        </w:tc>
        <w:tc>
          <w:tcPr>
            <w:tcW w:w="1009" w:type="pct"/>
            <w:vMerge w:val="restar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0</w:t>
            </w:r>
          </w:p>
        </w:tc>
        <w:tc>
          <w:tcPr>
            <w:tcW w:w="1009" w:type="pct"/>
            <w:vMerge w:val="restar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0</w:t>
            </w:r>
          </w:p>
        </w:tc>
        <w:tc>
          <w:tcPr>
            <w:tcW w:w="1690" w:type="pct"/>
            <w:vMerge w:val="restart"/>
            <w:noWrap/>
            <w:vAlign w:val="center"/>
            <w:hideMark/>
          </w:tcPr>
          <w:p w:rsidR="00783F4B" w:rsidRPr="00E3781F" w:rsidRDefault="00783F4B" w:rsidP="00EB4348">
            <w:pPr>
              <w:jc w:val="center"/>
              <w:rPr>
                <w:rFonts w:ascii="Arial Narrow" w:hAnsi="Arial Narrow"/>
                <w:color w:val="000000"/>
                <w:sz w:val="20"/>
                <w:szCs w:val="20"/>
                <w:lang w:val="en-US"/>
              </w:rPr>
            </w:pPr>
            <w:r w:rsidRPr="00E3781F">
              <w:rPr>
                <w:rFonts w:ascii="Arial Narrow" w:hAnsi="Arial Narrow"/>
                <w:color w:val="000000"/>
                <w:sz w:val="20"/>
                <w:szCs w:val="20"/>
                <w:lang w:val="en-US"/>
              </w:rPr>
              <w:t>1 (0.4%)</w:t>
            </w:r>
          </w:p>
        </w:tc>
      </w:tr>
      <w:tr w:rsidR="00783F4B" w:rsidRPr="00E3781F" w:rsidTr="00674657">
        <w:tc>
          <w:tcPr>
            <w:tcW w:w="1292" w:type="pct"/>
            <w:noWrap/>
            <w:hideMark/>
          </w:tcPr>
          <w:p w:rsidR="00783F4B" w:rsidRPr="00E3781F" w:rsidRDefault="00783F4B" w:rsidP="00674657">
            <w:pPr>
              <w:rPr>
                <w:rFonts w:ascii="Arial Narrow" w:hAnsi="Arial Narrow"/>
                <w:color w:val="000000"/>
                <w:sz w:val="20"/>
                <w:szCs w:val="20"/>
                <w:lang w:val="en-US"/>
              </w:rPr>
            </w:pPr>
            <w:r w:rsidRPr="00E3781F">
              <w:rPr>
                <w:rFonts w:ascii="Arial Narrow" w:hAnsi="Arial Narrow"/>
                <w:color w:val="000000"/>
                <w:sz w:val="20"/>
                <w:szCs w:val="20"/>
                <w:lang w:val="en-US"/>
              </w:rPr>
              <w:t>Suspected drug-related </w:t>
            </w:r>
          </w:p>
        </w:tc>
        <w:tc>
          <w:tcPr>
            <w:tcW w:w="1009" w:type="pct"/>
            <w:vMerge/>
            <w:hideMark/>
          </w:tcPr>
          <w:p w:rsidR="00783F4B" w:rsidRPr="00E3781F" w:rsidRDefault="00783F4B" w:rsidP="00674657">
            <w:pPr>
              <w:rPr>
                <w:rFonts w:ascii="Arial Narrow" w:hAnsi="Arial Narrow"/>
                <w:color w:val="000000"/>
                <w:sz w:val="20"/>
                <w:szCs w:val="20"/>
                <w:lang w:val="en-US"/>
              </w:rPr>
            </w:pPr>
          </w:p>
        </w:tc>
        <w:tc>
          <w:tcPr>
            <w:tcW w:w="1009" w:type="pct"/>
            <w:vMerge/>
            <w:hideMark/>
          </w:tcPr>
          <w:p w:rsidR="00783F4B" w:rsidRPr="00E3781F" w:rsidRDefault="00783F4B" w:rsidP="00674657">
            <w:pPr>
              <w:rPr>
                <w:rFonts w:ascii="Arial Narrow" w:hAnsi="Arial Narrow"/>
                <w:color w:val="000000"/>
                <w:sz w:val="20"/>
                <w:szCs w:val="20"/>
                <w:lang w:val="en-US"/>
              </w:rPr>
            </w:pPr>
          </w:p>
        </w:tc>
        <w:tc>
          <w:tcPr>
            <w:tcW w:w="1690" w:type="pct"/>
            <w:vMerge/>
            <w:hideMark/>
          </w:tcPr>
          <w:p w:rsidR="00783F4B" w:rsidRPr="00E3781F" w:rsidRDefault="00783F4B" w:rsidP="00674657">
            <w:pPr>
              <w:rPr>
                <w:rFonts w:ascii="Arial Narrow" w:hAnsi="Arial Narrow"/>
                <w:color w:val="000000"/>
                <w:sz w:val="20"/>
                <w:szCs w:val="20"/>
                <w:lang w:val="en-US"/>
              </w:rPr>
            </w:pPr>
          </w:p>
        </w:tc>
      </w:tr>
    </w:tbl>
    <w:p w:rsidR="00783F4B" w:rsidRDefault="00783F4B" w:rsidP="00783F4B">
      <w:pPr>
        <w:pStyle w:val="TableFooter"/>
      </w:pPr>
      <w:r>
        <w:t xml:space="preserve">AE = adverse event; DAA = direct acting antiviral; GP = </w:t>
      </w:r>
      <w:proofErr w:type="spellStart"/>
      <w:r>
        <w:t>glecaprevir</w:t>
      </w:r>
      <w:proofErr w:type="spellEnd"/>
      <w:r>
        <w:t xml:space="preserve"> </w:t>
      </w:r>
      <w:r w:rsidR="00411646">
        <w:t xml:space="preserve">with </w:t>
      </w:r>
      <w:proofErr w:type="spellStart"/>
      <w:r>
        <w:t>pibrentasvir</w:t>
      </w:r>
      <w:proofErr w:type="spellEnd"/>
      <w:r>
        <w:t>; NS5A = non</w:t>
      </w:r>
      <w:r w:rsidR="002B2F71">
        <w:t>-</w:t>
      </w:r>
      <w:r>
        <w:t xml:space="preserve">structural protein 5A; </w:t>
      </w:r>
      <w:proofErr w:type="spellStart"/>
      <w:r>
        <w:t>sof+vel+vox</w:t>
      </w:r>
      <w:proofErr w:type="spellEnd"/>
      <w:r>
        <w:t xml:space="preserve"> = </w:t>
      </w:r>
      <w:proofErr w:type="spellStart"/>
      <w:r>
        <w:t>sofosbuvir</w:t>
      </w:r>
      <w:proofErr w:type="spellEnd"/>
      <w:r>
        <w:t xml:space="preserve"> plus </w:t>
      </w:r>
      <w:proofErr w:type="spellStart"/>
      <w:r>
        <w:t>velpatasvir</w:t>
      </w:r>
      <w:proofErr w:type="spellEnd"/>
      <w:r>
        <w:t xml:space="preserve"> plus </w:t>
      </w:r>
      <w:proofErr w:type="spellStart"/>
      <w:r>
        <w:t>voxilaprevir</w:t>
      </w:r>
      <w:proofErr w:type="spellEnd"/>
      <w:r>
        <w:t>.</w:t>
      </w:r>
    </w:p>
    <w:p w:rsidR="007C299C" w:rsidRDefault="007C299C" w:rsidP="00783F4B">
      <w:pPr>
        <w:pStyle w:val="TableFooter"/>
      </w:pPr>
      <w:r>
        <w:t>Source: Table 9, p8 of Appendix 3 to the submission.</w:t>
      </w:r>
    </w:p>
    <w:p w:rsidR="00783F4B" w:rsidRPr="00783F4B" w:rsidRDefault="00783F4B" w:rsidP="00783F4B">
      <w:pPr>
        <w:rPr>
          <w:color w:val="000000" w:themeColor="text1"/>
        </w:rPr>
      </w:pPr>
    </w:p>
    <w:p w:rsidR="007617D1" w:rsidRPr="00C72017" w:rsidRDefault="00783F4B" w:rsidP="00F477B2">
      <w:pPr>
        <w:pStyle w:val="ListParagraph"/>
        <w:numPr>
          <w:ilvl w:val="1"/>
          <w:numId w:val="2"/>
        </w:numPr>
        <w:rPr>
          <w:color w:val="000000" w:themeColor="text1"/>
        </w:rPr>
      </w:pPr>
      <w:r>
        <w:t xml:space="preserve">The submission also considered that the safety and tolerability of </w:t>
      </w:r>
      <w:proofErr w:type="spellStart"/>
      <w:r w:rsidR="00114517" w:rsidRPr="00114517">
        <w:t>sofosbuvir</w:t>
      </w:r>
      <w:proofErr w:type="spellEnd"/>
      <w:r w:rsidR="00114517" w:rsidRPr="00114517">
        <w:t xml:space="preserve"> </w:t>
      </w:r>
      <w:r w:rsidR="0083072B">
        <w:t>with</w:t>
      </w:r>
      <w:r w:rsidR="00114517" w:rsidRPr="00114517">
        <w:t xml:space="preserve"> </w:t>
      </w:r>
      <w:proofErr w:type="spellStart"/>
      <w:r w:rsidR="00114517" w:rsidRPr="00114517">
        <w:t>velpatasvir</w:t>
      </w:r>
      <w:proofErr w:type="spellEnd"/>
      <w:r w:rsidR="00114517" w:rsidRPr="00114517">
        <w:t xml:space="preserve"> </w:t>
      </w:r>
      <w:r w:rsidR="0083072B">
        <w:t>and</w:t>
      </w:r>
      <w:r w:rsidR="00114517" w:rsidRPr="00114517">
        <w:t xml:space="preserve"> </w:t>
      </w:r>
      <w:proofErr w:type="spellStart"/>
      <w:r w:rsidR="00114517" w:rsidRPr="00114517">
        <w:t>voxilaprevir</w:t>
      </w:r>
      <w:proofErr w:type="spellEnd"/>
      <w:r w:rsidR="00114517" w:rsidRPr="00114517">
        <w:t xml:space="preserve"> </w:t>
      </w:r>
      <w:r>
        <w:t xml:space="preserve">appeared to be comparable based on the available </w:t>
      </w:r>
      <w:proofErr w:type="spellStart"/>
      <w:r w:rsidR="009F5ABA" w:rsidRPr="00C72017">
        <w:t>glecaprevir</w:t>
      </w:r>
      <w:proofErr w:type="spellEnd"/>
      <w:r w:rsidR="009F5ABA" w:rsidRPr="00C72017">
        <w:t xml:space="preserve"> </w:t>
      </w:r>
      <w:r w:rsidR="009E1F56" w:rsidRPr="00C72017">
        <w:t>with</w:t>
      </w:r>
      <w:r w:rsidR="009F5ABA" w:rsidRPr="00C72017">
        <w:t xml:space="preserve"> </w:t>
      </w:r>
      <w:proofErr w:type="spellStart"/>
      <w:r w:rsidR="009F5ABA" w:rsidRPr="00C72017">
        <w:t>pibrentasvir</w:t>
      </w:r>
      <w:proofErr w:type="spellEnd"/>
      <w:r w:rsidR="009F5ABA" w:rsidRPr="00C72017">
        <w:t xml:space="preserve"> </w:t>
      </w:r>
      <w:r w:rsidRPr="00C72017">
        <w:t xml:space="preserve">data. </w:t>
      </w:r>
    </w:p>
    <w:p w:rsidR="003D4A30" w:rsidRPr="00025C10" w:rsidRDefault="007F1017" w:rsidP="00025C10">
      <w:pPr>
        <w:widowControl w:val="0"/>
        <w:spacing w:before="120" w:after="120"/>
        <w:rPr>
          <w:rFonts w:cs="Arial"/>
          <w:b/>
          <w:bCs/>
          <w:i/>
          <w:snapToGrid w:val="0"/>
          <w:sz w:val="28"/>
          <w:szCs w:val="28"/>
        </w:rPr>
      </w:pPr>
      <w:bookmarkStart w:id="10" w:name="_Toc500605964"/>
      <w:r w:rsidRPr="00025C10">
        <w:rPr>
          <w:rFonts w:cs="Arial"/>
          <w:b/>
          <w:bCs/>
          <w:i/>
          <w:snapToGrid w:val="0"/>
          <w:sz w:val="28"/>
          <w:szCs w:val="28"/>
        </w:rPr>
        <w:t>Benefits/harms</w:t>
      </w:r>
      <w:bookmarkEnd w:id="10"/>
    </w:p>
    <w:p w:rsidR="00FC1884" w:rsidRPr="00C72017" w:rsidRDefault="00EC00C9" w:rsidP="00F477B2">
      <w:pPr>
        <w:pStyle w:val="ListParagraph"/>
        <w:numPr>
          <w:ilvl w:val="1"/>
          <w:numId w:val="2"/>
        </w:numPr>
        <w:spacing w:after="0"/>
      </w:pPr>
      <w:r w:rsidRPr="00C72017">
        <w:t xml:space="preserve">On the basis of </w:t>
      </w:r>
      <w:r w:rsidR="001D4533" w:rsidRPr="00C72017">
        <w:t>POLARIS-1 trial</w:t>
      </w:r>
      <w:r w:rsidRPr="00C72017">
        <w:t xml:space="preserve"> presented by the submission, for every 100 patients treated with </w:t>
      </w:r>
      <w:proofErr w:type="spellStart"/>
      <w:r w:rsidR="009F5ABA" w:rsidRPr="00C72017">
        <w:t>sofosbuvir</w:t>
      </w:r>
      <w:proofErr w:type="spellEnd"/>
      <w:r w:rsidR="009F5ABA" w:rsidRPr="00C72017">
        <w:t xml:space="preserve"> </w:t>
      </w:r>
      <w:r w:rsidR="0083072B">
        <w:t>with</w:t>
      </w:r>
      <w:r w:rsidR="009F5ABA" w:rsidRPr="00C72017">
        <w:t xml:space="preserve"> </w:t>
      </w:r>
      <w:proofErr w:type="spellStart"/>
      <w:r w:rsidR="009F5ABA" w:rsidRPr="00C72017">
        <w:t>velpatasvir</w:t>
      </w:r>
      <w:proofErr w:type="spellEnd"/>
      <w:r w:rsidR="009F5ABA" w:rsidRPr="00C72017">
        <w:t xml:space="preserve"> </w:t>
      </w:r>
      <w:r w:rsidR="0083072B">
        <w:t>and</w:t>
      </w:r>
      <w:r w:rsidR="009F5ABA" w:rsidRPr="00C72017">
        <w:t xml:space="preserve"> </w:t>
      </w:r>
      <w:proofErr w:type="spellStart"/>
      <w:r w:rsidR="009F5ABA" w:rsidRPr="00C72017">
        <w:t>voxilaprevir</w:t>
      </w:r>
      <w:proofErr w:type="spellEnd"/>
      <w:r w:rsidR="009F5ABA" w:rsidRPr="00C72017">
        <w:t xml:space="preserve"> </w:t>
      </w:r>
      <w:r w:rsidR="001D4533" w:rsidRPr="00C72017">
        <w:t>in comparison to placebo</w:t>
      </w:r>
      <w:r w:rsidR="00BF447F" w:rsidRPr="00C72017">
        <w:t xml:space="preserve"> and over a </w:t>
      </w:r>
      <w:r w:rsidR="001D4533" w:rsidRPr="00C72017">
        <w:t>treatment duration of 12 weeks</w:t>
      </w:r>
      <w:r w:rsidR="00250BCD" w:rsidRPr="00C72017">
        <w:t>:</w:t>
      </w:r>
    </w:p>
    <w:p w:rsidR="00E644B8" w:rsidRPr="00C72017" w:rsidRDefault="00E644B8" w:rsidP="00F477B2">
      <w:pPr>
        <w:pStyle w:val="ListParagraph"/>
        <w:numPr>
          <w:ilvl w:val="0"/>
          <w:numId w:val="1"/>
        </w:numPr>
        <w:spacing w:after="0"/>
        <w:ind w:left="994" w:hanging="288"/>
      </w:pPr>
      <w:r w:rsidRPr="00C72017">
        <w:t>Approximately 96 additional patients would achieve sustained virological response at 12 weeks.</w:t>
      </w:r>
    </w:p>
    <w:p w:rsidR="00BF447F" w:rsidRPr="00C72017" w:rsidRDefault="00ED5AC8" w:rsidP="00F477B2">
      <w:pPr>
        <w:pStyle w:val="ListParagraph"/>
        <w:numPr>
          <w:ilvl w:val="0"/>
          <w:numId w:val="1"/>
        </w:numPr>
        <w:ind w:left="993" w:hanging="284"/>
      </w:pPr>
      <w:r w:rsidRPr="00C72017">
        <w:t>Approximately</w:t>
      </w:r>
      <w:r w:rsidR="00BF447F" w:rsidRPr="00C72017">
        <w:t xml:space="preserve"> 14 additional </w:t>
      </w:r>
      <w:r w:rsidRPr="00C72017">
        <w:t>patients</w:t>
      </w:r>
      <w:r w:rsidR="00BF447F" w:rsidRPr="00C72017">
        <w:t xml:space="preserve"> would have any treatment emergent adverse event.</w:t>
      </w:r>
    </w:p>
    <w:p w:rsidR="003270E4" w:rsidRPr="00523C28" w:rsidRDefault="00250BCD" w:rsidP="00F477B2">
      <w:pPr>
        <w:pStyle w:val="ListParagraph"/>
        <w:numPr>
          <w:ilvl w:val="1"/>
          <w:numId w:val="2"/>
        </w:numPr>
      </w:pPr>
      <w:r>
        <w:t xml:space="preserve">On the basis of the naïve comparison of single arms of the POLARIS-1 trial and MAGELLAN-1 trial </w:t>
      </w:r>
      <w:r w:rsidR="00C733B4">
        <w:t>(</w:t>
      </w:r>
      <w:r w:rsidR="007C299C">
        <w:t>P</w:t>
      </w:r>
      <w:r>
        <w:t>art 2)</w:t>
      </w:r>
      <w:r w:rsidR="00FC1884" w:rsidRPr="00CF6EE4">
        <w:t xml:space="preserve"> presented by the submission, the comparison of </w:t>
      </w:r>
      <w:proofErr w:type="spellStart"/>
      <w:r w:rsidR="009F5ABA" w:rsidRPr="009F5ABA">
        <w:lastRenderedPageBreak/>
        <w:t>sofosbuvir</w:t>
      </w:r>
      <w:proofErr w:type="spellEnd"/>
      <w:r w:rsidR="009F5ABA" w:rsidRPr="009F5ABA">
        <w:t xml:space="preserve"> </w:t>
      </w:r>
      <w:r w:rsidR="0083072B">
        <w:t>with</w:t>
      </w:r>
      <w:r w:rsidR="009F5ABA" w:rsidRPr="009F5ABA">
        <w:t xml:space="preserve"> </w:t>
      </w:r>
      <w:proofErr w:type="spellStart"/>
      <w:r w:rsidR="009F5ABA" w:rsidRPr="009F5ABA">
        <w:t>velpatasvir</w:t>
      </w:r>
      <w:proofErr w:type="spellEnd"/>
      <w:r w:rsidR="009F5ABA" w:rsidRPr="009F5ABA">
        <w:t xml:space="preserve"> </w:t>
      </w:r>
      <w:r w:rsidR="0083072B">
        <w:t>and</w:t>
      </w:r>
      <w:r w:rsidR="009F5ABA" w:rsidRPr="009F5ABA">
        <w:t xml:space="preserve"> </w:t>
      </w:r>
      <w:proofErr w:type="spellStart"/>
      <w:r w:rsidR="009F5ABA" w:rsidRPr="009F5ABA">
        <w:t>voxilaprevir</w:t>
      </w:r>
      <w:proofErr w:type="spellEnd"/>
      <w:r w:rsidR="009F5ABA" w:rsidRPr="009F5ABA">
        <w:t xml:space="preserve"> </w:t>
      </w:r>
      <w:r w:rsidR="00BF447F">
        <w:t xml:space="preserve">for 12 weeks </w:t>
      </w:r>
      <w:r>
        <w:t xml:space="preserve">and </w:t>
      </w:r>
      <w:proofErr w:type="spellStart"/>
      <w:r w:rsidR="009F5ABA">
        <w:t>glecaprevir</w:t>
      </w:r>
      <w:proofErr w:type="spellEnd"/>
      <w:r w:rsidR="009F5ABA">
        <w:t xml:space="preserve"> </w:t>
      </w:r>
      <w:r w:rsidR="009E1F56">
        <w:t>with</w:t>
      </w:r>
      <w:r w:rsidR="009F5ABA">
        <w:t xml:space="preserve"> </w:t>
      </w:r>
      <w:proofErr w:type="spellStart"/>
      <w:r w:rsidR="009F5ABA">
        <w:t>pibrentasvir</w:t>
      </w:r>
      <w:proofErr w:type="spellEnd"/>
      <w:r w:rsidR="009F5ABA">
        <w:t xml:space="preserve"> </w:t>
      </w:r>
      <w:r w:rsidR="00BF447F">
        <w:t>for 16 weeks</w:t>
      </w:r>
      <w:r>
        <w:t xml:space="preserve"> resulted in similar </w:t>
      </w:r>
      <w:r w:rsidR="00493836">
        <w:t xml:space="preserve">a </w:t>
      </w:r>
      <w:r>
        <w:t xml:space="preserve">proportion of </w:t>
      </w:r>
      <w:r w:rsidR="00C733B4">
        <w:t>patients</w:t>
      </w:r>
      <w:r>
        <w:t xml:space="preserve"> achievin</w:t>
      </w:r>
      <w:r w:rsidR="00E644B8">
        <w:t xml:space="preserve">g SVR 12 and similar </w:t>
      </w:r>
      <w:r w:rsidR="00BF447F">
        <w:t>overall tolerability.</w:t>
      </w:r>
    </w:p>
    <w:p w:rsidR="00B60939" w:rsidRPr="00025C10" w:rsidRDefault="00B60939" w:rsidP="00025C10">
      <w:pPr>
        <w:widowControl w:val="0"/>
        <w:spacing w:before="120" w:after="120"/>
        <w:rPr>
          <w:rFonts w:cs="Arial"/>
          <w:b/>
          <w:bCs/>
          <w:i/>
          <w:snapToGrid w:val="0"/>
          <w:sz w:val="28"/>
          <w:szCs w:val="28"/>
        </w:rPr>
      </w:pPr>
      <w:bookmarkStart w:id="11" w:name="_Toc500605965"/>
      <w:r w:rsidRPr="00025C10">
        <w:rPr>
          <w:rFonts w:cs="Arial"/>
          <w:b/>
          <w:bCs/>
          <w:i/>
          <w:snapToGrid w:val="0"/>
          <w:sz w:val="28"/>
          <w:szCs w:val="28"/>
        </w:rPr>
        <w:t>Clinical claim</w:t>
      </w:r>
      <w:bookmarkEnd w:id="11"/>
    </w:p>
    <w:p w:rsidR="00022331" w:rsidRPr="00C72017" w:rsidRDefault="00022331" w:rsidP="00F477B2">
      <w:pPr>
        <w:pStyle w:val="ListParagraph"/>
        <w:numPr>
          <w:ilvl w:val="1"/>
          <w:numId w:val="2"/>
        </w:numPr>
      </w:pPr>
      <w:r w:rsidRPr="00C72017">
        <w:t xml:space="preserve">The submission described </w:t>
      </w:r>
      <w:proofErr w:type="spellStart"/>
      <w:r w:rsidRPr="00C72017">
        <w:t>sofosbuvir</w:t>
      </w:r>
      <w:proofErr w:type="spellEnd"/>
      <w:r w:rsidRPr="00C72017">
        <w:t xml:space="preserve"> </w:t>
      </w:r>
      <w:r w:rsidR="00D85A5E">
        <w:t>with</w:t>
      </w:r>
      <w:r w:rsidRPr="00C72017">
        <w:t xml:space="preserve"> </w:t>
      </w:r>
      <w:proofErr w:type="spellStart"/>
      <w:r w:rsidRPr="00C72017">
        <w:t>velpatasvir</w:t>
      </w:r>
      <w:proofErr w:type="spellEnd"/>
      <w:r w:rsidRPr="00C72017">
        <w:t xml:space="preserve"> </w:t>
      </w:r>
      <w:r w:rsidR="00D85A5E">
        <w:t>and</w:t>
      </w:r>
      <w:r w:rsidRPr="00C72017">
        <w:t xml:space="preserve"> </w:t>
      </w:r>
      <w:proofErr w:type="spellStart"/>
      <w:r w:rsidRPr="00C72017">
        <w:t>voxilaprevir</w:t>
      </w:r>
      <w:proofErr w:type="spellEnd"/>
      <w:r w:rsidRPr="00C72017" w:rsidDel="00B84154">
        <w:t xml:space="preserve"> </w:t>
      </w:r>
      <w:r w:rsidRPr="00C72017">
        <w:t xml:space="preserve">as superior in terms of effectiveness compared with standard medical management and having an acceptable safety profile compared with standard medical management. This claim was reasonable. </w:t>
      </w:r>
    </w:p>
    <w:p w:rsidR="00022331" w:rsidRPr="00C72017" w:rsidRDefault="00022331" w:rsidP="00F477B2">
      <w:pPr>
        <w:pStyle w:val="ListParagraph"/>
        <w:numPr>
          <w:ilvl w:val="1"/>
          <w:numId w:val="2"/>
        </w:numPr>
      </w:pPr>
      <w:r w:rsidRPr="00C72017">
        <w:t xml:space="preserve">However, given the positive PBAC recommendation for </w:t>
      </w:r>
      <w:proofErr w:type="spellStart"/>
      <w:r w:rsidRPr="00C72017">
        <w:t>glecaprevir</w:t>
      </w:r>
      <w:proofErr w:type="spellEnd"/>
      <w:r w:rsidRPr="00C72017">
        <w:t xml:space="preserve"> with </w:t>
      </w:r>
      <w:proofErr w:type="spellStart"/>
      <w:r w:rsidRPr="00C72017">
        <w:t>pibrentasvir</w:t>
      </w:r>
      <w:proofErr w:type="spellEnd"/>
      <w:r w:rsidRPr="00C72017">
        <w:t xml:space="preserve"> in patients with chronic hepatitis C (CHC) that have failed prior treatment with the use of an NS5A inhibitor (</w:t>
      </w:r>
      <w:proofErr w:type="spellStart"/>
      <w:r w:rsidRPr="00C72017">
        <w:t>Glecaprevir</w:t>
      </w:r>
      <w:proofErr w:type="spellEnd"/>
      <w:r w:rsidRPr="00C72017">
        <w:t xml:space="preserve"> with </w:t>
      </w:r>
      <w:proofErr w:type="spellStart"/>
      <w:r w:rsidRPr="00C72017">
        <w:t>pibrentasvir</w:t>
      </w:r>
      <w:proofErr w:type="spellEnd"/>
      <w:r w:rsidR="00294526" w:rsidRPr="00C72017">
        <w:t>, PBAC</w:t>
      </w:r>
      <w:r w:rsidRPr="00C72017">
        <w:t xml:space="preserve"> </w:t>
      </w:r>
      <w:r w:rsidR="009D0304" w:rsidRPr="00C72017">
        <w:t>web outcome</w:t>
      </w:r>
      <w:r w:rsidRPr="00C72017">
        <w:t xml:space="preserve">; November 2017), upon PBS-listing, </w:t>
      </w:r>
      <w:proofErr w:type="spellStart"/>
      <w:r w:rsidRPr="00C72017">
        <w:t>glecaprevir</w:t>
      </w:r>
      <w:proofErr w:type="spellEnd"/>
      <w:r w:rsidRPr="00C72017">
        <w:t xml:space="preserve"> with </w:t>
      </w:r>
      <w:proofErr w:type="spellStart"/>
      <w:r w:rsidRPr="00C72017">
        <w:t>pibrentasvir</w:t>
      </w:r>
      <w:proofErr w:type="spellEnd"/>
      <w:r w:rsidRPr="00C72017">
        <w:t xml:space="preserve"> would be the appropriate comparator and an explicit clinical claim in comparison to </w:t>
      </w:r>
      <w:proofErr w:type="spellStart"/>
      <w:r w:rsidRPr="00C72017">
        <w:t>glecaprevir</w:t>
      </w:r>
      <w:proofErr w:type="spellEnd"/>
      <w:r w:rsidRPr="00C72017">
        <w:t xml:space="preserve"> with </w:t>
      </w:r>
      <w:proofErr w:type="spellStart"/>
      <w:r w:rsidRPr="00C72017">
        <w:t>pibrentasvir</w:t>
      </w:r>
      <w:proofErr w:type="spellEnd"/>
      <w:r w:rsidRPr="00C72017">
        <w:t xml:space="preserve"> was warranted. Acknowledging the submission’s concerns regarding the publically available evidence for </w:t>
      </w:r>
      <w:proofErr w:type="spellStart"/>
      <w:r w:rsidRPr="00C72017">
        <w:t>glecaprevir</w:t>
      </w:r>
      <w:proofErr w:type="spellEnd"/>
      <w:r w:rsidRPr="00C72017">
        <w:t xml:space="preserve"> with </w:t>
      </w:r>
      <w:proofErr w:type="spellStart"/>
      <w:r w:rsidRPr="00C72017">
        <w:t>pibrentasvir</w:t>
      </w:r>
      <w:proofErr w:type="spellEnd"/>
      <w:r w:rsidRPr="00C72017">
        <w:t xml:space="preserve">, </w:t>
      </w:r>
      <w:r w:rsidR="003935A4" w:rsidRPr="00C72017">
        <w:t>the ESC considered that</w:t>
      </w:r>
      <w:r w:rsidR="00B45082" w:rsidRPr="00C72017">
        <w:t xml:space="preserve"> based on the evidence provided there was a trend towards greater efficacy with </w:t>
      </w:r>
      <w:proofErr w:type="spellStart"/>
      <w:r w:rsidR="00B45082" w:rsidRPr="00C72017">
        <w:t>sofosbuvir</w:t>
      </w:r>
      <w:proofErr w:type="spellEnd"/>
      <w:r w:rsidR="00B45082" w:rsidRPr="00C72017">
        <w:t xml:space="preserve"> </w:t>
      </w:r>
      <w:r w:rsidR="008C4E84">
        <w:t xml:space="preserve">with </w:t>
      </w:r>
      <w:proofErr w:type="spellStart"/>
      <w:r w:rsidR="008C4E84">
        <w:t>velpatasvir</w:t>
      </w:r>
      <w:proofErr w:type="spellEnd"/>
      <w:r w:rsidR="008C4E84">
        <w:t xml:space="preserve"> and</w:t>
      </w:r>
      <w:r w:rsidR="00B45082" w:rsidRPr="00C72017">
        <w:t xml:space="preserve"> </w:t>
      </w:r>
      <w:proofErr w:type="spellStart"/>
      <w:r w:rsidR="00B45082" w:rsidRPr="00C72017">
        <w:t>voxilaprevir</w:t>
      </w:r>
      <w:proofErr w:type="spellEnd"/>
      <w:r w:rsidR="00B45082" w:rsidRPr="00C72017">
        <w:t xml:space="preserve"> and that </w:t>
      </w:r>
      <w:r w:rsidRPr="00C72017">
        <w:t xml:space="preserve">a </w:t>
      </w:r>
      <w:r w:rsidR="00B45082" w:rsidRPr="00C72017">
        <w:t xml:space="preserve">strong </w:t>
      </w:r>
      <w:r w:rsidRPr="00C72017">
        <w:t xml:space="preserve">claim of non-inferior efficacy and comparable safety to </w:t>
      </w:r>
      <w:proofErr w:type="spellStart"/>
      <w:r w:rsidRPr="00C72017">
        <w:t>glecaprevir</w:t>
      </w:r>
      <w:proofErr w:type="spellEnd"/>
      <w:r w:rsidRPr="00C72017">
        <w:t xml:space="preserve"> with </w:t>
      </w:r>
      <w:proofErr w:type="spellStart"/>
      <w:r w:rsidRPr="00C72017">
        <w:t>pibrentasvir</w:t>
      </w:r>
      <w:proofErr w:type="spellEnd"/>
      <w:r w:rsidRPr="00C72017">
        <w:t xml:space="preserve"> </w:t>
      </w:r>
      <w:r w:rsidR="003935A4" w:rsidRPr="00C72017">
        <w:t xml:space="preserve">was </w:t>
      </w:r>
      <w:r w:rsidRPr="00C72017">
        <w:t xml:space="preserve">supported by the comparison. </w:t>
      </w:r>
    </w:p>
    <w:p w:rsidR="00AD60D7" w:rsidRPr="00025C10" w:rsidRDefault="00B60939" w:rsidP="00025C10">
      <w:pPr>
        <w:widowControl w:val="0"/>
        <w:spacing w:before="120" w:after="120"/>
        <w:rPr>
          <w:rFonts w:cs="Arial"/>
          <w:b/>
          <w:bCs/>
          <w:i/>
          <w:snapToGrid w:val="0"/>
          <w:sz w:val="28"/>
          <w:szCs w:val="28"/>
        </w:rPr>
      </w:pPr>
      <w:bookmarkStart w:id="12" w:name="_Toc500605966"/>
      <w:r w:rsidRPr="00025C10">
        <w:rPr>
          <w:rFonts w:cs="Arial"/>
          <w:b/>
          <w:bCs/>
          <w:i/>
          <w:snapToGrid w:val="0"/>
          <w:sz w:val="28"/>
          <w:szCs w:val="28"/>
        </w:rPr>
        <w:t>Economic analysis</w:t>
      </w:r>
      <w:bookmarkEnd w:id="12"/>
      <w:r w:rsidR="00491B3A" w:rsidRPr="00025C10">
        <w:rPr>
          <w:rFonts w:cs="Arial"/>
          <w:b/>
          <w:bCs/>
          <w:i/>
          <w:snapToGrid w:val="0"/>
          <w:sz w:val="28"/>
          <w:szCs w:val="28"/>
        </w:rPr>
        <w:t xml:space="preserve"> </w:t>
      </w:r>
    </w:p>
    <w:p w:rsidR="00F175BB" w:rsidRDefault="00BF447F" w:rsidP="00F477B2">
      <w:pPr>
        <w:pStyle w:val="ListParagraph"/>
        <w:numPr>
          <w:ilvl w:val="1"/>
          <w:numId w:val="2"/>
        </w:numPr>
      </w:pPr>
      <w:r w:rsidRPr="00C72017">
        <w:t xml:space="preserve">The </w:t>
      </w:r>
      <w:r w:rsidR="00F175BB" w:rsidRPr="00C72017">
        <w:t xml:space="preserve">submission presented a cost-utility model based on the claim of superior efficacy and tolerable safety in comparison to standard management (no active treatment). Given that </w:t>
      </w:r>
      <w:r w:rsidR="0072001F" w:rsidRPr="00C72017">
        <w:t xml:space="preserve">ESC considered </w:t>
      </w:r>
      <w:proofErr w:type="spellStart"/>
      <w:r w:rsidR="00F175BB" w:rsidRPr="00C72017">
        <w:t>glecaprevir</w:t>
      </w:r>
      <w:proofErr w:type="spellEnd"/>
      <w:r w:rsidR="00F175BB" w:rsidRPr="00C72017">
        <w:t xml:space="preserve"> with </w:t>
      </w:r>
      <w:proofErr w:type="spellStart"/>
      <w:r w:rsidR="00F175BB" w:rsidRPr="00C72017">
        <w:t>pibrentasvir</w:t>
      </w:r>
      <w:proofErr w:type="spellEnd"/>
      <w:r w:rsidR="00F175BB" w:rsidRPr="00C72017">
        <w:t xml:space="preserve"> is likely to be a more appropriate comparator than standard management should it be PBS-listed according to the recommendations of the PBAC, a cost-utility model against standard management may no longer be relevant. Should a claim of non-inferiority to </w:t>
      </w:r>
      <w:proofErr w:type="spellStart"/>
      <w:r w:rsidR="00F175BB" w:rsidRPr="00C72017">
        <w:t>glecaprevir</w:t>
      </w:r>
      <w:proofErr w:type="spellEnd"/>
      <w:r w:rsidR="00F175BB" w:rsidRPr="00C72017">
        <w:t xml:space="preserve"> with </w:t>
      </w:r>
      <w:proofErr w:type="spellStart"/>
      <w:r w:rsidR="00F175BB" w:rsidRPr="00C72017">
        <w:t>pibrentasvir</w:t>
      </w:r>
      <w:proofErr w:type="spellEnd"/>
      <w:r w:rsidR="00F175BB" w:rsidRPr="00C72017">
        <w:t xml:space="preserve"> be accepted, a cost-minimisation analysis would be appropriate.</w:t>
      </w:r>
      <w:r w:rsidR="0072001F" w:rsidRPr="00C72017">
        <w:t xml:space="preserve"> The ESC considered that on the basis of the</w:t>
      </w:r>
      <w:r w:rsidR="008C4E84">
        <w:t xml:space="preserve"> evidence provided, </w:t>
      </w:r>
      <w:proofErr w:type="spellStart"/>
      <w:r w:rsidR="008C4E84">
        <w:t>sofosbuvir</w:t>
      </w:r>
      <w:proofErr w:type="spellEnd"/>
      <w:r w:rsidR="008C4E84">
        <w:t xml:space="preserve"> with</w:t>
      </w:r>
      <w:r w:rsidR="0072001F" w:rsidRPr="00C72017">
        <w:t xml:space="preserve"> </w:t>
      </w:r>
      <w:proofErr w:type="spellStart"/>
      <w:r w:rsidR="0072001F" w:rsidRPr="00C72017">
        <w:t>velpatasvir</w:t>
      </w:r>
      <w:proofErr w:type="spellEnd"/>
      <w:r w:rsidR="0072001F" w:rsidRPr="00C72017">
        <w:t xml:space="preserve"> </w:t>
      </w:r>
      <w:r w:rsidR="008C4E84">
        <w:t>and</w:t>
      </w:r>
      <w:r w:rsidR="0072001F" w:rsidRPr="00C72017">
        <w:t xml:space="preserve"> </w:t>
      </w:r>
      <w:proofErr w:type="spellStart"/>
      <w:r w:rsidR="0072001F" w:rsidRPr="00C72017">
        <w:t>voxilaprevir</w:t>
      </w:r>
      <w:proofErr w:type="spellEnd"/>
      <w:r w:rsidR="0072001F" w:rsidRPr="00C72017">
        <w:t xml:space="preserve"> is non-inferior to </w:t>
      </w:r>
      <w:proofErr w:type="spellStart"/>
      <w:r w:rsidR="0072001F" w:rsidRPr="00C72017">
        <w:t>glecaprevir</w:t>
      </w:r>
      <w:proofErr w:type="spellEnd"/>
      <w:r w:rsidR="0072001F" w:rsidRPr="00C72017">
        <w:t xml:space="preserve"> with </w:t>
      </w:r>
      <w:proofErr w:type="spellStart"/>
      <w:r w:rsidR="00766216" w:rsidRPr="00C72017">
        <w:t>pibrentasvir</w:t>
      </w:r>
      <w:proofErr w:type="spellEnd"/>
      <w:r w:rsidR="00766216" w:rsidRPr="00C72017">
        <w:t xml:space="preserve"> and</w:t>
      </w:r>
      <w:r w:rsidR="0072001F" w:rsidRPr="00C72017">
        <w:t xml:space="preserve"> that </w:t>
      </w:r>
      <w:r w:rsidR="008C4E84">
        <w:t xml:space="preserve">a </w:t>
      </w:r>
      <w:r w:rsidR="0072001F" w:rsidRPr="00C72017">
        <w:t xml:space="preserve">cost-minimisation approach is appropriate. </w:t>
      </w:r>
      <w:r w:rsidR="006A06AF">
        <w:t>The pre-PBAC response</w:t>
      </w:r>
      <w:r w:rsidR="005C08FA">
        <w:t xml:space="preserve"> </w:t>
      </w:r>
      <w:r w:rsidR="00026496">
        <w:t xml:space="preserve">strongly disagreed that </w:t>
      </w:r>
      <w:proofErr w:type="spellStart"/>
      <w:r w:rsidR="00026496" w:rsidRPr="00C72017">
        <w:t>glecaprevir</w:t>
      </w:r>
      <w:proofErr w:type="spellEnd"/>
      <w:r w:rsidR="00026496" w:rsidRPr="00C72017">
        <w:t xml:space="preserve"> with </w:t>
      </w:r>
      <w:proofErr w:type="spellStart"/>
      <w:r w:rsidR="00026496" w:rsidRPr="00C72017">
        <w:t>pibrentasvir</w:t>
      </w:r>
      <w:proofErr w:type="spellEnd"/>
      <w:r w:rsidR="00026496" w:rsidRPr="00C72017">
        <w:t xml:space="preserve"> </w:t>
      </w:r>
      <w:r w:rsidR="00026496">
        <w:t xml:space="preserve">can be considered the most relevant comparator in all NS5A failures and </w:t>
      </w:r>
      <w:r w:rsidR="006A06AF">
        <w:t xml:space="preserve">argued that </w:t>
      </w:r>
      <w:r w:rsidR="00026496">
        <w:t xml:space="preserve">a cost-minimisation </w:t>
      </w:r>
      <w:r w:rsidR="006A06AF">
        <w:t xml:space="preserve">approach is only valid where the patient population is the same in both treatments. </w:t>
      </w:r>
      <w:r w:rsidR="00026496">
        <w:t>The pre-PBAC response further stated that as</w:t>
      </w:r>
      <w:r w:rsidR="006A06AF">
        <w:t xml:space="preserve"> </w:t>
      </w:r>
      <w:proofErr w:type="spellStart"/>
      <w:r w:rsidR="006A06AF">
        <w:t>glecaprevir</w:t>
      </w:r>
      <w:proofErr w:type="spellEnd"/>
      <w:r w:rsidR="006A06AF">
        <w:t xml:space="preserve"> with </w:t>
      </w:r>
      <w:proofErr w:type="spellStart"/>
      <w:r w:rsidR="006A06AF">
        <w:t>pibrentasvir</w:t>
      </w:r>
      <w:proofErr w:type="spellEnd"/>
      <w:r w:rsidR="006A06AF">
        <w:t xml:space="preserve"> is only TGA-approved in GT1  patients who have failed treatment with an NS5A-containing regimen, </w:t>
      </w:r>
      <w:r w:rsidR="00026496">
        <w:t xml:space="preserve">that </w:t>
      </w:r>
      <w:r w:rsidR="006A06AF">
        <w:t>a cost-utility analysis</w:t>
      </w:r>
      <w:r w:rsidR="00026496">
        <w:t xml:space="preserve"> vs ‘no active treatment’</w:t>
      </w:r>
      <w:r w:rsidR="006A06AF">
        <w:t xml:space="preserve"> is the most appropriate economic evaluation</w:t>
      </w:r>
      <w:r w:rsidR="00026496">
        <w:t xml:space="preserve"> patients with genotypes 2-6.</w:t>
      </w:r>
    </w:p>
    <w:p w:rsidR="003B202E" w:rsidRPr="00C72017" w:rsidRDefault="003B202E" w:rsidP="003B202E">
      <w:pPr>
        <w:pStyle w:val="ListParagraph"/>
      </w:pPr>
    </w:p>
    <w:p w:rsidR="00022331" w:rsidRPr="00C72017" w:rsidRDefault="00022331" w:rsidP="00F477B2">
      <w:pPr>
        <w:pStyle w:val="ListParagraph"/>
        <w:numPr>
          <w:ilvl w:val="1"/>
          <w:numId w:val="2"/>
        </w:numPr>
      </w:pPr>
      <w:r w:rsidRPr="00C72017">
        <w:lastRenderedPageBreak/>
        <w:t>The basis of that cost-minimisation analysis may be that the equi-effective doses are:</w:t>
      </w:r>
    </w:p>
    <w:p w:rsidR="00022331" w:rsidRPr="00C72017" w:rsidRDefault="00022331" w:rsidP="00070015">
      <w:pPr>
        <w:spacing w:after="160"/>
        <w:ind w:left="851"/>
      </w:pPr>
      <w:proofErr w:type="gramStart"/>
      <w:r w:rsidRPr="00C72017">
        <w:t>one</w:t>
      </w:r>
      <w:proofErr w:type="gramEnd"/>
      <w:r w:rsidRPr="00C72017">
        <w:t xml:space="preserve"> </w:t>
      </w:r>
      <w:proofErr w:type="spellStart"/>
      <w:r w:rsidRPr="00C72017">
        <w:t>sofosbuvir</w:t>
      </w:r>
      <w:proofErr w:type="spellEnd"/>
      <w:r w:rsidRPr="00C72017">
        <w:t xml:space="preserve"> </w:t>
      </w:r>
      <w:r w:rsidR="008C4E84">
        <w:t>with</w:t>
      </w:r>
      <w:r w:rsidRPr="00C72017">
        <w:t xml:space="preserve"> </w:t>
      </w:r>
      <w:proofErr w:type="spellStart"/>
      <w:r w:rsidRPr="00C72017">
        <w:t>velpatasvir</w:t>
      </w:r>
      <w:proofErr w:type="spellEnd"/>
      <w:r w:rsidRPr="00C72017">
        <w:t xml:space="preserve"> </w:t>
      </w:r>
      <w:r w:rsidR="008C4E84">
        <w:t>and</w:t>
      </w:r>
      <w:r w:rsidRPr="00C72017">
        <w:t xml:space="preserve"> </w:t>
      </w:r>
      <w:proofErr w:type="spellStart"/>
      <w:r w:rsidRPr="00C72017">
        <w:t>voxilaprevir</w:t>
      </w:r>
      <w:proofErr w:type="spellEnd"/>
      <w:r w:rsidRPr="00C72017">
        <w:t xml:space="preserve"> (400/100/100mg) tablet once daily for 12 weeks is equivalent to </w:t>
      </w:r>
      <w:proofErr w:type="spellStart"/>
      <w:r w:rsidRPr="00C72017">
        <w:t>glecaprevir</w:t>
      </w:r>
      <w:proofErr w:type="spellEnd"/>
      <w:r w:rsidRPr="00C72017">
        <w:t xml:space="preserve"> with </w:t>
      </w:r>
      <w:proofErr w:type="spellStart"/>
      <w:r w:rsidRPr="00C72017">
        <w:t>pibrentasvir</w:t>
      </w:r>
      <w:proofErr w:type="spellEnd"/>
      <w:r w:rsidRPr="00C72017">
        <w:t xml:space="preserve"> (100mg/40mg) three tablets daily (total daily dose of 300mg/120mg) for 16 weeks.</w:t>
      </w:r>
    </w:p>
    <w:p w:rsidR="008C4E84" w:rsidRPr="00C72017" w:rsidRDefault="00022331" w:rsidP="00F477B2">
      <w:pPr>
        <w:pStyle w:val="ListParagraph"/>
        <w:keepNext/>
        <w:numPr>
          <w:ilvl w:val="1"/>
          <w:numId w:val="2"/>
        </w:numPr>
      </w:pPr>
      <w:r w:rsidRPr="008C4E84">
        <w:rPr>
          <w:color w:val="000000" w:themeColor="text1"/>
        </w:rPr>
        <w:t>Consideration of any differences in monitoring costs may also be relevant</w:t>
      </w:r>
      <w:r w:rsidR="008C4E84">
        <w:rPr>
          <w:color w:val="000000" w:themeColor="text1"/>
        </w:rPr>
        <w:t xml:space="preserve"> within the </w:t>
      </w:r>
      <w:r w:rsidR="00D13750">
        <w:rPr>
          <w:color w:val="000000" w:themeColor="text1"/>
        </w:rPr>
        <w:t>cost-minimisation analysis</w:t>
      </w:r>
      <w:r w:rsidRPr="008C4E84">
        <w:rPr>
          <w:color w:val="000000" w:themeColor="text1"/>
        </w:rPr>
        <w:t xml:space="preserve">. The submission’s cost-utility analysis included specific monitoring costs based on the </w:t>
      </w:r>
      <w:proofErr w:type="spellStart"/>
      <w:r w:rsidRPr="008C4E84">
        <w:rPr>
          <w:color w:val="000000" w:themeColor="text1"/>
        </w:rPr>
        <w:t>sofosbuvir</w:t>
      </w:r>
      <w:proofErr w:type="spellEnd"/>
      <w:r w:rsidR="00D13750">
        <w:rPr>
          <w:color w:val="000000" w:themeColor="text1"/>
        </w:rPr>
        <w:t xml:space="preserve"> with </w:t>
      </w:r>
      <w:proofErr w:type="spellStart"/>
      <w:r w:rsidR="00D13750">
        <w:rPr>
          <w:color w:val="000000" w:themeColor="text1"/>
        </w:rPr>
        <w:t>velpatasvir</w:t>
      </w:r>
      <w:proofErr w:type="spellEnd"/>
      <w:r w:rsidR="00D13750">
        <w:rPr>
          <w:color w:val="000000" w:themeColor="text1"/>
        </w:rPr>
        <w:t xml:space="preserve"> and</w:t>
      </w:r>
      <w:r w:rsidRPr="008C4E84">
        <w:rPr>
          <w:color w:val="000000" w:themeColor="text1"/>
        </w:rPr>
        <w:t xml:space="preserve"> </w:t>
      </w:r>
      <w:proofErr w:type="spellStart"/>
      <w:r w:rsidRPr="008C4E84">
        <w:rPr>
          <w:color w:val="000000" w:themeColor="text1"/>
        </w:rPr>
        <w:t>voxilaprevir</w:t>
      </w:r>
      <w:proofErr w:type="spellEnd"/>
      <w:r w:rsidRPr="008C4E84">
        <w:rPr>
          <w:color w:val="000000" w:themeColor="text1"/>
        </w:rPr>
        <w:t xml:space="preserve"> PI, the Australian HCV Consensus statement and the Kirby report, totalling $324. Ultimately, </w:t>
      </w:r>
      <w:r w:rsidR="00070015" w:rsidRPr="008C4E84">
        <w:rPr>
          <w:color w:val="000000" w:themeColor="text1"/>
        </w:rPr>
        <w:t>any</w:t>
      </w:r>
      <w:r w:rsidR="00EB4348" w:rsidRPr="008C4E84">
        <w:rPr>
          <w:color w:val="000000" w:themeColor="text1"/>
        </w:rPr>
        <w:t xml:space="preserve"> cost-minimisation</w:t>
      </w:r>
      <w:r w:rsidRPr="008C4E84">
        <w:rPr>
          <w:color w:val="000000" w:themeColor="text1"/>
        </w:rPr>
        <w:t xml:space="preserve"> approach should ensure that the cost of a 12</w:t>
      </w:r>
      <w:r w:rsidR="00070015" w:rsidRPr="008C4E84">
        <w:rPr>
          <w:color w:val="000000" w:themeColor="text1"/>
        </w:rPr>
        <w:softHyphen/>
      </w:r>
      <w:r w:rsidR="00D13750">
        <w:rPr>
          <w:color w:val="000000" w:themeColor="text1"/>
        </w:rPr>
        <w:t xml:space="preserve">week course of </w:t>
      </w:r>
      <w:proofErr w:type="spellStart"/>
      <w:r w:rsidR="00D13750">
        <w:rPr>
          <w:color w:val="000000" w:themeColor="text1"/>
        </w:rPr>
        <w:t>sofosbuvir</w:t>
      </w:r>
      <w:proofErr w:type="spellEnd"/>
      <w:r w:rsidR="00D13750">
        <w:rPr>
          <w:color w:val="000000" w:themeColor="text1"/>
        </w:rPr>
        <w:t xml:space="preserve"> with</w:t>
      </w:r>
      <w:r w:rsidRPr="008C4E84">
        <w:rPr>
          <w:color w:val="000000" w:themeColor="text1"/>
        </w:rPr>
        <w:t xml:space="preserve"> </w:t>
      </w:r>
      <w:proofErr w:type="spellStart"/>
      <w:r w:rsidRPr="008C4E84">
        <w:rPr>
          <w:color w:val="000000" w:themeColor="text1"/>
        </w:rPr>
        <w:t>velpatasvir</w:t>
      </w:r>
      <w:proofErr w:type="spellEnd"/>
      <w:r w:rsidRPr="008C4E84">
        <w:rPr>
          <w:color w:val="000000" w:themeColor="text1"/>
        </w:rPr>
        <w:t xml:space="preserve"> </w:t>
      </w:r>
      <w:r w:rsidR="00D13750">
        <w:rPr>
          <w:color w:val="000000" w:themeColor="text1"/>
        </w:rPr>
        <w:t>and</w:t>
      </w:r>
      <w:r w:rsidRPr="008C4E84">
        <w:rPr>
          <w:color w:val="000000" w:themeColor="text1"/>
        </w:rPr>
        <w:t xml:space="preserve"> </w:t>
      </w:r>
      <w:proofErr w:type="spellStart"/>
      <w:r w:rsidRPr="008C4E84">
        <w:rPr>
          <w:color w:val="000000" w:themeColor="text1"/>
        </w:rPr>
        <w:t>voxilaprevir</w:t>
      </w:r>
      <w:proofErr w:type="spellEnd"/>
      <w:r w:rsidRPr="008C4E84">
        <w:rPr>
          <w:color w:val="000000" w:themeColor="text1"/>
        </w:rPr>
        <w:t xml:space="preserve"> would be no greater than the effective price of a 16-week course of </w:t>
      </w:r>
      <w:proofErr w:type="spellStart"/>
      <w:r w:rsidRPr="008C4E84">
        <w:rPr>
          <w:color w:val="000000" w:themeColor="text1"/>
        </w:rPr>
        <w:t>glecaprevir</w:t>
      </w:r>
      <w:proofErr w:type="spellEnd"/>
      <w:r w:rsidRPr="008C4E84">
        <w:rPr>
          <w:color w:val="000000" w:themeColor="text1"/>
        </w:rPr>
        <w:t xml:space="preserve"> with </w:t>
      </w:r>
      <w:proofErr w:type="spellStart"/>
      <w:r w:rsidRPr="008C4E84">
        <w:rPr>
          <w:color w:val="000000" w:themeColor="text1"/>
        </w:rPr>
        <w:t>pibrentasvir</w:t>
      </w:r>
      <w:proofErr w:type="spellEnd"/>
      <w:r w:rsidRPr="008C4E84">
        <w:rPr>
          <w:color w:val="000000" w:themeColor="text1"/>
        </w:rPr>
        <w:t>.</w:t>
      </w:r>
      <w:r w:rsidR="005C08FA">
        <w:rPr>
          <w:color w:val="000000" w:themeColor="text1"/>
        </w:rPr>
        <w:t xml:space="preserve"> In the PSCR </w:t>
      </w:r>
      <w:r w:rsidR="007F6A22" w:rsidRPr="008C4E84">
        <w:rPr>
          <w:color w:val="000000" w:themeColor="text1"/>
        </w:rPr>
        <w:t xml:space="preserve">and pre-PBAC </w:t>
      </w:r>
      <w:proofErr w:type="gramStart"/>
      <w:r w:rsidR="007F6A22" w:rsidRPr="008C4E84">
        <w:rPr>
          <w:color w:val="000000" w:themeColor="text1"/>
        </w:rPr>
        <w:t>response</w:t>
      </w:r>
      <w:r w:rsidR="00274B11" w:rsidRPr="008C4E84">
        <w:rPr>
          <w:color w:val="000000" w:themeColor="text1"/>
        </w:rPr>
        <w:t xml:space="preserve"> </w:t>
      </w:r>
      <w:r w:rsidR="007F24BB" w:rsidRPr="008C4E84">
        <w:rPr>
          <w:color w:val="000000" w:themeColor="text1"/>
        </w:rPr>
        <w:t>,</w:t>
      </w:r>
      <w:proofErr w:type="gramEnd"/>
      <w:r w:rsidR="007F24BB" w:rsidRPr="008C4E84">
        <w:rPr>
          <w:color w:val="000000" w:themeColor="text1"/>
        </w:rPr>
        <w:t xml:space="preserve"> the sponsor argues that monitoring costs would not be relevant in a cost-minimisation analysis, noting the monitoring costs presented in the submission were from the cost-utility analysis and are in addition to standard medical management.  </w:t>
      </w:r>
    </w:p>
    <w:p w:rsidR="00133EE9" w:rsidRPr="00025C10" w:rsidRDefault="00E375F5" w:rsidP="00025C10">
      <w:pPr>
        <w:widowControl w:val="0"/>
        <w:spacing w:before="120" w:after="120"/>
        <w:rPr>
          <w:rFonts w:cs="Arial"/>
          <w:b/>
          <w:bCs/>
          <w:i/>
          <w:snapToGrid w:val="0"/>
          <w:sz w:val="28"/>
          <w:szCs w:val="28"/>
        </w:rPr>
      </w:pPr>
      <w:bookmarkStart w:id="13" w:name="_Toc500605967"/>
      <w:r w:rsidRPr="00025C10">
        <w:rPr>
          <w:rFonts w:cs="Arial"/>
          <w:b/>
          <w:bCs/>
          <w:i/>
          <w:snapToGrid w:val="0"/>
          <w:sz w:val="28"/>
          <w:szCs w:val="28"/>
        </w:rPr>
        <w:t>Drug cost/patient/</w:t>
      </w:r>
      <w:r w:rsidR="00C25D9C" w:rsidRPr="00025C10">
        <w:rPr>
          <w:rFonts w:cs="Arial"/>
          <w:b/>
          <w:bCs/>
          <w:i/>
          <w:snapToGrid w:val="0"/>
          <w:sz w:val="28"/>
          <w:szCs w:val="28"/>
        </w:rPr>
        <w:t>course</w:t>
      </w:r>
      <w:r w:rsidR="00E5614F" w:rsidRPr="00025C10">
        <w:rPr>
          <w:rFonts w:cs="Arial"/>
          <w:b/>
          <w:bCs/>
          <w:i/>
          <w:snapToGrid w:val="0"/>
          <w:sz w:val="28"/>
          <w:szCs w:val="28"/>
        </w:rPr>
        <w:t>: $</w:t>
      </w:r>
      <w:r w:rsidR="00B17F15">
        <w:rPr>
          <w:rFonts w:cs="Arial"/>
          <w:b/>
          <w:bCs/>
          <w:i/>
          <w:noProof/>
          <w:snapToGrid w:val="0"/>
          <w:color w:val="000000"/>
          <w:sz w:val="28"/>
          <w:szCs w:val="28"/>
          <w:highlight w:val="black"/>
        </w:rPr>
        <w:t>''''''''''''</w:t>
      </w:r>
      <w:r w:rsidR="00E5614F" w:rsidRPr="00025C10">
        <w:rPr>
          <w:rFonts w:cs="Arial"/>
          <w:b/>
          <w:bCs/>
          <w:i/>
          <w:snapToGrid w:val="0"/>
          <w:sz w:val="28"/>
          <w:szCs w:val="28"/>
        </w:rPr>
        <w:t xml:space="preserve"> (effective price)</w:t>
      </w:r>
      <w:bookmarkEnd w:id="13"/>
    </w:p>
    <w:p w:rsidR="00B60939" w:rsidRPr="00C72017" w:rsidRDefault="00E375F5" w:rsidP="00F477B2">
      <w:pPr>
        <w:pStyle w:val="ListParagraph"/>
        <w:keepNext/>
        <w:numPr>
          <w:ilvl w:val="1"/>
          <w:numId w:val="2"/>
        </w:numPr>
        <w:rPr>
          <w:color w:val="000000" w:themeColor="text1"/>
        </w:rPr>
      </w:pPr>
      <w:r w:rsidRPr="00C72017">
        <w:rPr>
          <w:color w:val="000000" w:themeColor="text1"/>
        </w:rPr>
        <w:t xml:space="preserve">The cost of </w:t>
      </w:r>
      <w:proofErr w:type="spellStart"/>
      <w:r w:rsidR="00022331" w:rsidRPr="00C72017">
        <w:rPr>
          <w:color w:val="000000" w:themeColor="text1"/>
        </w:rPr>
        <w:t>sofosbuvir</w:t>
      </w:r>
      <w:proofErr w:type="spellEnd"/>
      <w:r w:rsidR="00022331" w:rsidRPr="00C72017">
        <w:rPr>
          <w:color w:val="000000" w:themeColor="text1"/>
        </w:rPr>
        <w:t xml:space="preserve"> </w:t>
      </w:r>
      <w:r w:rsidR="00D13750">
        <w:rPr>
          <w:color w:val="000000" w:themeColor="text1"/>
        </w:rPr>
        <w:t xml:space="preserve">with </w:t>
      </w:r>
      <w:proofErr w:type="spellStart"/>
      <w:r w:rsidR="00D13750">
        <w:rPr>
          <w:color w:val="000000" w:themeColor="text1"/>
        </w:rPr>
        <w:t>velpatasvir</w:t>
      </w:r>
      <w:proofErr w:type="spellEnd"/>
      <w:r w:rsidR="00D13750">
        <w:rPr>
          <w:color w:val="000000" w:themeColor="text1"/>
        </w:rPr>
        <w:t xml:space="preserve"> and</w:t>
      </w:r>
      <w:r w:rsidR="00022331" w:rsidRPr="00C72017">
        <w:rPr>
          <w:color w:val="000000" w:themeColor="text1"/>
        </w:rPr>
        <w:t xml:space="preserve"> </w:t>
      </w:r>
      <w:proofErr w:type="spellStart"/>
      <w:r w:rsidR="00022331" w:rsidRPr="00C72017">
        <w:rPr>
          <w:color w:val="000000" w:themeColor="text1"/>
        </w:rPr>
        <w:t>voxilaprevir</w:t>
      </w:r>
      <w:proofErr w:type="spellEnd"/>
      <w:r w:rsidR="00022331" w:rsidRPr="00C72017">
        <w:rPr>
          <w:color w:val="000000" w:themeColor="text1"/>
        </w:rPr>
        <w:t xml:space="preserve"> </w:t>
      </w:r>
      <w:r w:rsidRPr="00C72017">
        <w:rPr>
          <w:color w:val="000000" w:themeColor="text1"/>
        </w:rPr>
        <w:t xml:space="preserve">per course per patient </w:t>
      </w:r>
      <w:r w:rsidR="00070015" w:rsidRPr="00C72017">
        <w:rPr>
          <w:color w:val="000000" w:themeColor="text1"/>
        </w:rPr>
        <w:t>is</w:t>
      </w:r>
      <w:r w:rsidRPr="00C72017">
        <w:rPr>
          <w:color w:val="000000" w:themeColor="text1"/>
        </w:rPr>
        <w:t xml:space="preserve"> $</w:t>
      </w:r>
      <w:r w:rsidR="00B17F15">
        <w:rPr>
          <w:noProof/>
          <w:color w:val="000000"/>
          <w:highlight w:val="black"/>
        </w:rPr>
        <w:t>''''''''''''</w:t>
      </w:r>
      <w:r w:rsidRPr="00C72017">
        <w:rPr>
          <w:color w:val="000000" w:themeColor="text1"/>
        </w:rPr>
        <w:t>, based on a weighted DPMQ of $</w:t>
      </w:r>
      <w:r w:rsidR="00B17F15">
        <w:rPr>
          <w:noProof/>
          <w:color w:val="000000"/>
          <w:highlight w:val="black"/>
        </w:rPr>
        <w:t>''''''''''</w:t>
      </w:r>
      <w:r w:rsidRPr="00C72017">
        <w:rPr>
          <w:color w:val="000000" w:themeColor="text1"/>
        </w:rPr>
        <w:t xml:space="preserve"> per 4 weeks for a 12-week course.</w:t>
      </w:r>
    </w:p>
    <w:p w:rsidR="00B60939" w:rsidRPr="00025C10" w:rsidRDefault="00B60939" w:rsidP="00025C10">
      <w:pPr>
        <w:widowControl w:val="0"/>
        <w:spacing w:before="120" w:after="120"/>
        <w:rPr>
          <w:rFonts w:cs="Arial"/>
          <w:b/>
          <w:bCs/>
          <w:i/>
          <w:snapToGrid w:val="0"/>
          <w:sz w:val="28"/>
          <w:szCs w:val="28"/>
        </w:rPr>
      </w:pPr>
      <w:bookmarkStart w:id="14" w:name="_Toc500605968"/>
      <w:r w:rsidRPr="00025C10">
        <w:rPr>
          <w:rFonts w:cs="Arial"/>
          <w:b/>
          <w:bCs/>
          <w:i/>
          <w:snapToGrid w:val="0"/>
          <w:sz w:val="28"/>
          <w:szCs w:val="28"/>
        </w:rPr>
        <w:t>Estimated PBS usage &amp; financial implications</w:t>
      </w:r>
      <w:bookmarkEnd w:id="14"/>
    </w:p>
    <w:p w:rsidR="0072416F" w:rsidRPr="00C72017" w:rsidRDefault="00C25D9C" w:rsidP="00F477B2">
      <w:pPr>
        <w:pStyle w:val="ListParagraph"/>
        <w:numPr>
          <w:ilvl w:val="1"/>
          <w:numId w:val="2"/>
        </w:numPr>
      </w:pPr>
      <w:r w:rsidRPr="00C72017">
        <w:t xml:space="preserve">This submission </w:t>
      </w:r>
      <w:r w:rsidR="00B201A4" w:rsidRPr="00C72017">
        <w:t>wa</w:t>
      </w:r>
      <w:r w:rsidRPr="00C72017">
        <w:t>s not considered by DUSC</w:t>
      </w:r>
      <w:r w:rsidR="00133EE9" w:rsidRPr="00C72017">
        <w:rPr>
          <w:color w:val="0070C0"/>
        </w:rPr>
        <w:t xml:space="preserve">. </w:t>
      </w:r>
      <w:r w:rsidR="00BA397E" w:rsidRPr="00C72017">
        <w:rPr>
          <w:color w:val="000000" w:themeColor="text1"/>
        </w:rPr>
        <w:t>The submission took a market share approach to estimate financial impact.</w:t>
      </w:r>
    </w:p>
    <w:p w:rsidR="00B201A4" w:rsidRPr="00C72017" w:rsidRDefault="00C12508" w:rsidP="00F477B2">
      <w:pPr>
        <w:pStyle w:val="ListParagraph"/>
        <w:numPr>
          <w:ilvl w:val="1"/>
          <w:numId w:val="2"/>
        </w:numPr>
      </w:pPr>
      <w:r w:rsidRPr="00C72017">
        <w:t xml:space="preserve">Table </w:t>
      </w:r>
      <w:r w:rsidR="004D1A92" w:rsidRPr="00C72017">
        <w:t>9</w:t>
      </w:r>
      <w:r w:rsidRPr="00C72017">
        <w:t xml:space="preserve"> presents the estimated use and financial implications associated with listing</w:t>
      </w:r>
      <w:r w:rsidR="00D13750">
        <w:t xml:space="preserve"> </w:t>
      </w:r>
      <w:proofErr w:type="spellStart"/>
      <w:r w:rsidR="00D13750">
        <w:t>sofosbuvir</w:t>
      </w:r>
      <w:proofErr w:type="spellEnd"/>
      <w:r w:rsidR="00D13750">
        <w:t xml:space="preserve"> with</w:t>
      </w:r>
      <w:r w:rsidR="00070015" w:rsidRPr="00C72017">
        <w:t xml:space="preserve"> </w:t>
      </w:r>
      <w:proofErr w:type="spellStart"/>
      <w:r w:rsidR="00070015" w:rsidRPr="00C72017">
        <w:t>velpatasvir</w:t>
      </w:r>
      <w:proofErr w:type="spellEnd"/>
      <w:r w:rsidR="00070015" w:rsidRPr="00C72017">
        <w:t xml:space="preserve"> </w:t>
      </w:r>
      <w:r w:rsidR="00D13750">
        <w:t>and</w:t>
      </w:r>
      <w:r w:rsidR="00070015" w:rsidRPr="00C72017">
        <w:t xml:space="preserve"> </w:t>
      </w:r>
      <w:proofErr w:type="spellStart"/>
      <w:r w:rsidR="00070015" w:rsidRPr="00C72017">
        <w:t>voxilaprevir</w:t>
      </w:r>
      <w:proofErr w:type="spellEnd"/>
      <w:r w:rsidR="00070015" w:rsidRPr="00C72017">
        <w:t>.</w:t>
      </w:r>
    </w:p>
    <w:p w:rsidR="00C25D9C" w:rsidRPr="00C25D9C" w:rsidRDefault="002A2F50" w:rsidP="002A2F50">
      <w:r w:rsidRPr="001222FC">
        <w:rPr>
          <w:rStyle w:val="CommentReference"/>
        </w:rPr>
        <w:t xml:space="preserve">Table </w:t>
      </w:r>
      <w:r w:rsidR="004D1A92">
        <w:rPr>
          <w:rStyle w:val="CommentReference"/>
        </w:rPr>
        <w:t>9</w:t>
      </w:r>
      <w:r w:rsidRPr="001222FC">
        <w:rPr>
          <w:rStyle w:val="CommentReference"/>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6"/>
        <w:gridCol w:w="1166"/>
        <w:gridCol w:w="1165"/>
        <w:gridCol w:w="1165"/>
        <w:gridCol w:w="1165"/>
        <w:gridCol w:w="1165"/>
        <w:gridCol w:w="1163"/>
      </w:tblGrid>
      <w:tr w:rsidR="001F58C9" w:rsidRPr="00D1078F" w:rsidTr="00BA4E49">
        <w:trPr>
          <w:tblHeader/>
        </w:trPr>
        <w:tc>
          <w:tcPr>
            <w:tcW w:w="1119" w:type="pct"/>
            <w:shd w:val="clear" w:color="auto" w:fill="auto"/>
            <w:vAlign w:val="center"/>
          </w:tcPr>
          <w:p w:rsidR="001F58C9" w:rsidRPr="003639A6" w:rsidRDefault="001F58C9" w:rsidP="00BA4E49">
            <w:pPr>
              <w:pStyle w:val="Tabletext"/>
            </w:pPr>
          </w:p>
        </w:tc>
        <w:tc>
          <w:tcPr>
            <w:tcW w:w="647" w:type="pct"/>
            <w:shd w:val="clear" w:color="auto" w:fill="auto"/>
            <w:vAlign w:val="center"/>
          </w:tcPr>
          <w:p w:rsidR="001F58C9" w:rsidRPr="00D1078F" w:rsidRDefault="001F58C9" w:rsidP="00BA4E49">
            <w:pPr>
              <w:pStyle w:val="Tabletext"/>
              <w:jc w:val="center"/>
              <w:rPr>
                <w:b/>
              </w:rPr>
            </w:pPr>
            <w:r w:rsidRPr="00D1078F">
              <w:rPr>
                <w:b/>
              </w:rPr>
              <w:t>Year 1</w:t>
            </w:r>
          </w:p>
        </w:tc>
        <w:tc>
          <w:tcPr>
            <w:tcW w:w="647" w:type="pct"/>
            <w:shd w:val="clear" w:color="auto" w:fill="auto"/>
            <w:vAlign w:val="center"/>
          </w:tcPr>
          <w:p w:rsidR="001F58C9" w:rsidRPr="00D1078F" w:rsidRDefault="001F58C9" w:rsidP="00BA4E49">
            <w:pPr>
              <w:pStyle w:val="Tabletext"/>
              <w:jc w:val="center"/>
              <w:rPr>
                <w:b/>
              </w:rPr>
            </w:pPr>
            <w:r w:rsidRPr="00D1078F">
              <w:rPr>
                <w:b/>
              </w:rPr>
              <w:t>Year 2</w:t>
            </w:r>
          </w:p>
        </w:tc>
        <w:tc>
          <w:tcPr>
            <w:tcW w:w="647" w:type="pct"/>
            <w:shd w:val="clear" w:color="auto" w:fill="auto"/>
            <w:vAlign w:val="center"/>
          </w:tcPr>
          <w:p w:rsidR="001F58C9" w:rsidRPr="00D1078F" w:rsidRDefault="001F58C9" w:rsidP="00BA4E49">
            <w:pPr>
              <w:pStyle w:val="Tabletext"/>
              <w:jc w:val="center"/>
              <w:rPr>
                <w:b/>
              </w:rPr>
            </w:pPr>
            <w:r w:rsidRPr="00D1078F">
              <w:rPr>
                <w:b/>
              </w:rPr>
              <w:t>Year 3</w:t>
            </w:r>
          </w:p>
        </w:tc>
        <w:tc>
          <w:tcPr>
            <w:tcW w:w="647" w:type="pct"/>
            <w:shd w:val="clear" w:color="auto" w:fill="auto"/>
            <w:vAlign w:val="center"/>
          </w:tcPr>
          <w:p w:rsidR="001F58C9" w:rsidRPr="00D1078F" w:rsidRDefault="001F58C9" w:rsidP="00BA4E49">
            <w:pPr>
              <w:pStyle w:val="Tabletext"/>
              <w:jc w:val="center"/>
              <w:rPr>
                <w:b/>
              </w:rPr>
            </w:pPr>
            <w:r w:rsidRPr="00D1078F">
              <w:rPr>
                <w:b/>
              </w:rPr>
              <w:t>Year 4</w:t>
            </w:r>
          </w:p>
        </w:tc>
        <w:tc>
          <w:tcPr>
            <w:tcW w:w="647" w:type="pct"/>
            <w:shd w:val="clear" w:color="auto" w:fill="auto"/>
            <w:vAlign w:val="center"/>
          </w:tcPr>
          <w:p w:rsidR="001F58C9" w:rsidRPr="00D1078F" w:rsidRDefault="001F58C9" w:rsidP="00BA4E49">
            <w:pPr>
              <w:pStyle w:val="Tabletext"/>
              <w:jc w:val="center"/>
              <w:rPr>
                <w:b/>
              </w:rPr>
            </w:pPr>
            <w:r w:rsidRPr="00D1078F">
              <w:rPr>
                <w:b/>
              </w:rPr>
              <w:t>Year 5</w:t>
            </w:r>
          </w:p>
        </w:tc>
        <w:tc>
          <w:tcPr>
            <w:tcW w:w="646" w:type="pct"/>
          </w:tcPr>
          <w:p w:rsidR="001F58C9" w:rsidRPr="00D1078F" w:rsidRDefault="001F58C9" w:rsidP="00BA4E49">
            <w:pPr>
              <w:pStyle w:val="Tabletext"/>
              <w:jc w:val="center"/>
              <w:rPr>
                <w:b/>
              </w:rPr>
            </w:pPr>
            <w:r w:rsidRPr="00D1078F">
              <w:rPr>
                <w:b/>
              </w:rPr>
              <w:t>Year 6</w:t>
            </w:r>
          </w:p>
        </w:tc>
      </w:tr>
      <w:tr w:rsidR="001F58C9" w:rsidRPr="00D1078F" w:rsidTr="00BA4E49">
        <w:tc>
          <w:tcPr>
            <w:tcW w:w="5000" w:type="pct"/>
            <w:gridSpan w:val="7"/>
            <w:shd w:val="clear" w:color="auto" w:fill="auto"/>
            <w:vAlign w:val="center"/>
          </w:tcPr>
          <w:p w:rsidR="001F58C9" w:rsidRPr="00D1078F" w:rsidRDefault="001F58C9" w:rsidP="00BA4E49">
            <w:pPr>
              <w:pStyle w:val="Tabletext"/>
              <w:rPr>
                <w:b/>
                <w:bCs/>
                <w:color w:val="000000"/>
              </w:rPr>
            </w:pPr>
            <w:r w:rsidRPr="00D1078F">
              <w:rPr>
                <w:b/>
                <w:bCs/>
                <w:color w:val="000000"/>
              </w:rPr>
              <w:t>Estimated extent of use</w:t>
            </w:r>
          </w:p>
        </w:tc>
      </w:tr>
      <w:tr w:rsidR="001F58C9" w:rsidRPr="003639A6" w:rsidTr="00BA4E49">
        <w:tc>
          <w:tcPr>
            <w:tcW w:w="1119" w:type="pct"/>
            <w:shd w:val="clear" w:color="auto" w:fill="auto"/>
            <w:vAlign w:val="center"/>
          </w:tcPr>
          <w:p w:rsidR="001F58C9" w:rsidRPr="003639A6" w:rsidRDefault="001F58C9" w:rsidP="00BA4E49">
            <w:pPr>
              <w:pStyle w:val="Tabletext"/>
              <w:rPr>
                <w:rFonts w:ascii="Times" w:hAnsi="Times"/>
              </w:rPr>
            </w:pPr>
            <w:r w:rsidRPr="003639A6">
              <w:t>Number of patients treated</w:t>
            </w:r>
          </w:p>
        </w:tc>
        <w:tc>
          <w:tcPr>
            <w:tcW w:w="647" w:type="pct"/>
            <w:shd w:val="clear" w:color="auto" w:fill="auto"/>
          </w:tcPr>
          <w:p w:rsidR="001F58C9" w:rsidRPr="00B17F15" w:rsidRDefault="00B17F15" w:rsidP="00BA4E49">
            <w:pPr>
              <w:pStyle w:val="Tabletext"/>
              <w:jc w:val="center"/>
              <w:rPr>
                <w:bCs/>
                <w:color w:val="000000"/>
                <w:highlight w:val="black"/>
              </w:rPr>
            </w:pPr>
            <w:r>
              <w:rPr>
                <w:noProof/>
                <w:color w:val="000000"/>
                <w:szCs w:val="20"/>
                <w:highlight w:val="black"/>
              </w:rPr>
              <w:t>'''''''''''''''</w:t>
            </w:r>
          </w:p>
        </w:tc>
        <w:tc>
          <w:tcPr>
            <w:tcW w:w="647" w:type="pct"/>
            <w:shd w:val="clear" w:color="auto" w:fill="auto"/>
          </w:tcPr>
          <w:p w:rsidR="001F58C9" w:rsidRPr="00B17F15" w:rsidRDefault="00B17F15" w:rsidP="00BA4E49">
            <w:pPr>
              <w:pStyle w:val="Tabletext"/>
              <w:jc w:val="center"/>
              <w:rPr>
                <w:bCs/>
                <w:color w:val="000000"/>
                <w:highlight w:val="black"/>
              </w:rPr>
            </w:pPr>
            <w:r>
              <w:rPr>
                <w:noProof/>
                <w:color w:val="000000"/>
                <w:szCs w:val="20"/>
                <w:highlight w:val="black"/>
              </w:rPr>
              <w:t>''''''''</w:t>
            </w:r>
          </w:p>
        </w:tc>
        <w:tc>
          <w:tcPr>
            <w:tcW w:w="647" w:type="pct"/>
            <w:shd w:val="clear" w:color="auto" w:fill="auto"/>
          </w:tcPr>
          <w:p w:rsidR="001F58C9" w:rsidRPr="00B17F15" w:rsidRDefault="00B17F15" w:rsidP="00BA4E49">
            <w:pPr>
              <w:pStyle w:val="Tabletext"/>
              <w:jc w:val="center"/>
              <w:rPr>
                <w:bCs/>
                <w:color w:val="000000"/>
                <w:highlight w:val="black"/>
              </w:rPr>
            </w:pPr>
            <w:r>
              <w:rPr>
                <w:noProof/>
                <w:color w:val="000000"/>
                <w:szCs w:val="20"/>
                <w:highlight w:val="black"/>
              </w:rPr>
              <w:t>''''''''''</w:t>
            </w:r>
          </w:p>
        </w:tc>
        <w:tc>
          <w:tcPr>
            <w:tcW w:w="647" w:type="pct"/>
            <w:shd w:val="clear" w:color="auto" w:fill="auto"/>
          </w:tcPr>
          <w:p w:rsidR="001F58C9" w:rsidRPr="00B17F15" w:rsidRDefault="00B17F15" w:rsidP="00BA4E49">
            <w:pPr>
              <w:pStyle w:val="Tabletext"/>
              <w:jc w:val="center"/>
              <w:rPr>
                <w:bCs/>
                <w:color w:val="000000"/>
                <w:highlight w:val="black"/>
              </w:rPr>
            </w:pPr>
            <w:r>
              <w:rPr>
                <w:noProof/>
                <w:color w:val="000000"/>
                <w:szCs w:val="20"/>
                <w:highlight w:val="black"/>
              </w:rPr>
              <w:t>''''''''''</w:t>
            </w:r>
          </w:p>
        </w:tc>
        <w:tc>
          <w:tcPr>
            <w:tcW w:w="647" w:type="pct"/>
            <w:shd w:val="clear" w:color="auto" w:fill="auto"/>
          </w:tcPr>
          <w:p w:rsidR="001F58C9" w:rsidRPr="00B17F15" w:rsidRDefault="00B17F15" w:rsidP="00BA4E49">
            <w:pPr>
              <w:pStyle w:val="Tabletext"/>
              <w:jc w:val="center"/>
              <w:rPr>
                <w:bCs/>
                <w:color w:val="000000"/>
                <w:highlight w:val="black"/>
              </w:rPr>
            </w:pPr>
            <w:r>
              <w:rPr>
                <w:noProof/>
                <w:color w:val="000000"/>
                <w:szCs w:val="20"/>
                <w:highlight w:val="black"/>
              </w:rPr>
              <w:t>'''''''''</w:t>
            </w:r>
          </w:p>
        </w:tc>
        <w:tc>
          <w:tcPr>
            <w:tcW w:w="646" w:type="pct"/>
          </w:tcPr>
          <w:p w:rsidR="001F58C9" w:rsidRPr="00B17F15" w:rsidRDefault="00B17F15" w:rsidP="00BA4E49">
            <w:pPr>
              <w:pStyle w:val="Tabletext"/>
              <w:jc w:val="center"/>
              <w:rPr>
                <w:bCs/>
                <w:color w:val="000000"/>
                <w:highlight w:val="black"/>
              </w:rPr>
            </w:pPr>
            <w:r>
              <w:rPr>
                <w:noProof/>
                <w:color w:val="000000"/>
                <w:szCs w:val="20"/>
                <w:highlight w:val="black"/>
              </w:rPr>
              <w:t>'''''''''</w:t>
            </w:r>
          </w:p>
        </w:tc>
      </w:tr>
      <w:tr w:rsidR="001F58C9" w:rsidRPr="00D1078F" w:rsidTr="00BA4E49">
        <w:tc>
          <w:tcPr>
            <w:tcW w:w="5000" w:type="pct"/>
            <w:gridSpan w:val="7"/>
            <w:shd w:val="clear" w:color="auto" w:fill="auto"/>
            <w:vAlign w:val="center"/>
          </w:tcPr>
          <w:p w:rsidR="001F58C9" w:rsidRPr="00D1078F" w:rsidRDefault="001F58C9" w:rsidP="00BA4E49">
            <w:pPr>
              <w:pStyle w:val="Tabletext"/>
              <w:rPr>
                <w:b/>
                <w:bCs/>
                <w:color w:val="000000"/>
              </w:rPr>
            </w:pPr>
            <w:r w:rsidRPr="00D1078F">
              <w:rPr>
                <w:b/>
                <w:bCs/>
                <w:color w:val="000000"/>
              </w:rPr>
              <w:t xml:space="preserve">Estimated </w:t>
            </w:r>
            <w:r>
              <w:rPr>
                <w:b/>
                <w:bCs/>
                <w:color w:val="000000"/>
              </w:rPr>
              <w:t xml:space="preserve">financial implications of </w:t>
            </w:r>
            <w:proofErr w:type="spellStart"/>
            <w:r>
              <w:rPr>
                <w:b/>
                <w:bCs/>
                <w:color w:val="000000"/>
              </w:rPr>
              <w:t>sof+vel+vox</w:t>
            </w:r>
            <w:proofErr w:type="spellEnd"/>
          </w:p>
        </w:tc>
      </w:tr>
      <w:tr w:rsidR="001F58C9" w:rsidRPr="003639A6" w:rsidTr="00BA4E49">
        <w:tc>
          <w:tcPr>
            <w:tcW w:w="1119" w:type="pct"/>
            <w:shd w:val="clear" w:color="auto" w:fill="auto"/>
            <w:vAlign w:val="center"/>
          </w:tcPr>
          <w:p w:rsidR="001F58C9" w:rsidRPr="003639A6" w:rsidRDefault="001F58C9" w:rsidP="00BA4E49">
            <w:pPr>
              <w:pStyle w:val="Tabletext"/>
              <w:rPr>
                <w:rFonts w:ascii="Times" w:hAnsi="Times"/>
              </w:rPr>
            </w:pPr>
            <w:r>
              <w:rPr>
                <w:sz w:val="19"/>
                <w:szCs w:val="19"/>
              </w:rPr>
              <w:t>C</w:t>
            </w:r>
            <w:r w:rsidRPr="003639A6">
              <w:rPr>
                <w:sz w:val="19"/>
                <w:szCs w:val="19"/>
              </w:rPr>
              <w:t>ost to PBS/RPBS</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6" w:type="pct"/>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r>
      <w:tr w:rsidR="001F58C9" w:rsidRPr="003639A6" w:rsidTr="00BA4E49">
        <w:tc>
          <w:tcPr>
            <w:tcW w:w="1119" w:type="pct"/>
            <w:shd w:val="clear" w:color="auto" w:fill="auto"/>
            <w:vAlign w:val="center"/>
          </w:tcPr>
          <w:p w:rsidR="001F58C9" w:rsidRDefault="001F58C9" w:rsidP="00BA4E49">
            <w:pPr>
              <w:pStyle w:val="Tabletext"/>
              <w:rPr>
                <w:sz w:val="19"/>
                <w:szCs w:val="19"/>
              </w:rPr>
            </w:pPr>
            <w:proofErr w:type="spellStart"/>
            <w:r>
              <w:rPr>
                <w:sz w:val="19"/>
                <w:szCs w:val="19"/>
              </w:rPr>
              <w:t>Copayments</w:t>
            </w:r>
            <w:proofErr w:type="spellEnd"/>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c>
          <w:tcPr>
            <w:tcW w:w="646" w:type="pct"/>
            <w:vAlign w:val="center"/>
          </w:tcPr>
          <w:p w:rsidR="001F58C9" w:rsidRPr="003639A6" w:rsidRDefault="001F58C9" w:rsidP="00BA4E49">
            <w:pPr>
              <w:pStyle w:val="Tabletext"/>
              <w:jc w:val="center"/>
              <w:rPr>
                <w:bCs/>
                <w:color w:val="000000"/>
              </w:rPr>
            </w:pPr>
            <w:r>
              <w:rPr>
                <w:i/>
                <w:iCs/>
                <w:color w:val="000000"/>
                <w:szCs w:val="20"/>
              </w:rPr>
              <w:t>$</w:t>
            </w:r>
            <w:r w:rsidR="00B17F15">
              <w:rPr>
                <w:i/>
                <w:iCs/>
                <w:noProof/>
                <w:color w:val="000000"/>
                <w:szCs w:val="20"/>
                <w:highlight w:val="black"/>
              </w:rPr>
              <w:t>''''''''''''''''''</w:t>
            </w:r>
            <w:r>
              <w:rPr>
                <w:i/>
                <w:iCs/>
                <w:color w:val="000000"/>
                <w:szCs w:val="20"/>
              </w:rPr>
              <w:t xml:space="preserve"> </w:t>
            </w:r>
          </w:p>
        </w:tc>
      </w:tr>
      <w:tr w:rsidR="001F58C9" w:rsidRPr="003639A6" w:rsidTr="00BA4E49">
        <w:tc>
          <w:tcPr>
            <w:tcW w:w="1119" w:type="pct"/>
            <w:shd w:val="clear" w:color="auto" w:fill="auto"/>
            <w:vAlign w:val="center"/>
          </w:tcPr>
          <w:p w:rsidR="001F58C9" w:rsidRDefault="001F58C9" w:rsidP="00BA4E49">
            <w:pPr>
              <w:pStyle w:val="Tabletext"/>
              <w:rPr>
                <w:sz w:val="19"/>
                <w:szCs w:val="19"/>
              </w:rPr>
            </w:pPr>
            <w:r>
              <w:rPr>
                <w:sz w:val="19"/>
                <w:szCs w:val="19"/>
              </w:rPr>
              <w:t xml:space="preserve">Cost to PBS/RPBS less </w:t>
            </w:r>
            <w:proofErr w:type="spellStart"/>
            <w:r>
              <w:rPr>
                <w:sz w:val="19"/>
                <w:szCs w:val="19"/>
              </w:rPr>
              <w:t>copayments</w:t>
            </w:r>
            <w:proofErr w:type="spellEnd"/>
          </w:p>
        </w:tc>
        <w:tc>
          <w:tcPr>
            <w:tcW w:w="647" w:type="pct"/>
            <w:shd w:val="clear" w:color="auto" w:fill="auto"/>
            <w:vAlign w:val="center"/>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vAlign w:val="center"/>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6" w:type="pct"/>
            <w:vAlign w:val="center"/>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r>
      <w:tr w:rsidR="001F58C9" w:rsidRPr="00FC22AB" w:rsidTr="00BA4E49">
        <w:tc>
          <w:tcPr>
            <w:tcW w:w="5000" w:type="pct"/>
            <w:gridSpan w:val="7"/>
            <w:shd w:val="clear" w:color="auto" w:fill="auto"/>
            <w:vAlign w:val="center"/>
          </w:tcPr>
          <w:p w:rsidR="001F58C9" w:rsidRPr="00FC22AB" w:rsidRDefault="001F58C9" w:rsidP="00BA4E49">
            <w:pPr>
              <w:pStyle w:val="Tabletext"/>
              <w:rPr>
                <w:b/>
                <w:bCs/>
                <w:color w:val="000000"/>
              </w:rPr>
            </w:pPr>
            <w:r w:rsidRPr="00FC22AB">
              <w:rPr>
                <w:b/>
                <w:bCs/>
                <w:color w:val="000000"/>
              </w:rPr>
              <w:t>Net financial implications</w:t>
            </w:r>
            <w:r w:rsidRPr="00FC22AB">
              <w:rPr>
                <w:b/>
                <w:bCs/>
                <w:color w:val="4BACC6" w:themeColor="accent5"/>
              </w:rPr>
              <w:t xml:space="preserve"> </w:t>
            </w:r>
          </w:p>
        </w:tc>
      </w:tr>
      <w:tr w:rsidR="001F58C9" w:rsidRPr="003639A6" w:rsidTr="00BA4E49">
        <w:tc>
          <w:tcPr>
            <w:tcW w:w="1119" w:type="pct"/>
            <w:shd w:val="clear" w:color="auto" w:fill="auto"/>
            <w:vAlign w:val="center"/>
          </w:tcPr>
          <w:p w:rsidR="001F58C9" w:rsidRDefault="001F58C9" w:rsidP="00BA4E49">
            <w:pPr>
              <w:pStyle w:val="Tabletext"/>
              <w:rPr>
                <w:sz w:val="19"/>
                <w:szCs w:val="19"/>
              </w:rPr>
            </w:pPr>
            <w:r>
              <w:rPr>
                <w:sz w:val="19"/>
                <w:szCs w:val="19"/>
              </w:rPr>
              <w:t>Net cost to PBS/RPBS</w:t>
            </w:r>
          </w:p>
        </w:tc>
        <w:tc>
          <w:tcPr>
            <w:tcW w:w="647" w:type="pct"/>
            <w:shd w:val="clear" w:color="auto" w:fill="auto"/>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7" w:type="pct"/>
            <w:shd w:val="clear" w:color="auto" w:fill="auto"/>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c>
          <w:tcPr>
            <w:tcW w:w="646" w:type="pct"/>
          </w:tcPr>
          <w:p w:rsidR="001F58C9" w:rsidRPr="003639A6" w:rsidRDefault="001F58C9" w:rsidP="00BA4E49">
            <w:pPr>
              <w:pStyle w:val="Tabletext"/>
              <w:jc w:val="center"/>
              <w:rPr>
                <w:bCs/>
                <w:color w:val="000000"/>
              </w:rPr>
            </w:pPr>
            <w:r>
              <w:rPr>
                <w:color w:val="000000"/>
                <w:szCs w:val="20"/>
              </w:rPr>
              <w:t>$</w:t>
            </w:r>
            <w:r w:rsidR="00B17F15">
              <w:rPr>
                <w:noProof/>
                <w:color w:val="000000"/>
                <w:szCs w:val="20"/>
                <w:highlight w:val="black"/>
              </w:rPr>
              <w:t>'''''''''''''''''''''</w:t>
            </w:r>
            <w:r>
              <w:rPr>
                <w:color w:val="000000"/>
                <w:szCs w:val="20"/>
              </w:rPr>
              <w:t xml:space="preserve"> </w:t>
            </w:r>
          </w:p>
        </w:tc>
      </w:tr>
      <w:tr w:rsidR="001F58C9" w:rsidRPr="003639A6" w:rsidTr="00BA4E49">
        <w:tc>
          <w:tcPr>
            <w:tcW w:w="1119" w:type="pct"/>
            <w:shd w:val="clear" w:color="auto" w:fill="auto"/>
            <w:vAlign w:val="center"/>
          </w:tcPr>
          <w:p w:rsidR="001F58C9" w:rsidRPr="003639A6" w:rsidRDefault="001F58C9" w:rsidP="00BA4E49">
            <w:pPr>
              <w:pStyle w:val="Tabletext"/>
              <w:rPr>
                <w:rFonts w:ascii="Times" w:hAnsi="Times"/>
              </w:rPr>
            </w:pPr>
            <w:r>
              <w:rPr>
                <w:sz w:val="19"/>
                <w:szCs w:val="19"/>
              </w:rPr>
              <w:t>Net cost to</w:t>
            </w:r>
            <w:r w:rsidRPr="003639A6">
              <w:rPr>
                <w:sz w:val="19"/>
                <w:szCs w:val="19"/>
              </w:rPr>
              <w:t xml:space="preserve"> MBS</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6" w:type="pct"/>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r>
      <w:tr w:rsidR="001F58C9" w:rsidRPr="003639A6" w:rsidTr="00BA4E49">
        <w:tc>
          <w:tcPr>
            <w:tcW w:w="1119" w:type="pct"/>
            <w:shd w:val="clear" w:color="auto" w:fill="auto"/>
            <w:vAlign w:val="center"/>
          </w:tcPr>
          <w:p w:rsidR="001F58C9" w:rsidRPr="003639A6" w:rsidRDefault="001F58C9" w:rsidP="00BA4E49">
            <w:pPr>
              <w:pStyle w:val="Tabletext"/>
              <w:rPr>
                <w:sz w:val="19"/>
                <w:szCs w:val="19"/>
              </w:rPr>
            </w:pPr>
            <w:r>
              <w:rPr>
                <w:sz w:val="19"/>
                <w:szCs w:val="19"/>
              </w:rPr>
              <w:t>Net cost to PBS/RPBS/MBS</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7" w:type="pct"/>
            <w:shd w:val="clear" w:color="auto" w:fill="auto"/>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c>
          <w:tcPr>
            <w:tcW w:w="646" w:type="pct"/>
          </w:tcPr>
          <w:p w:rsidR="001F58C9" w:rsidRPr="003639A6" w:rsidRDefault="001F58C9" w:rsidP="00BA4E49">
            <w:pPr>
              <w:pStyle w:val="Tabletext"/>
              <w:jc w:val="center"/>
              <w:rPr>
                <w:bCs/>
                <w:color w:val="000000"/>
              </w:rPr>
            </w:pPr>
            <w:r w:rsidRPr="0070305F">
              <w:rPr>
                <w:szCs w:val="20"/>
              </w:rPr>
              <w:t>$</w:t>
            </w:r>
            <w:r w:rsidR="00B17F15">
              <w:rPr>
                <w:noProof/>
                <w:color w:val="000000"/>
                <w:szCs w:val="20"/>
                <w:highlight w:val="black"/>
              </w:rPr>
              <w:t>''''''''''''''''''''''''</w:t>
            </w:r>
          </w:p>
        </w:tc>
      </w:tr>
    </w:tbl>
    <w:p w:rsidR="00385A9D" w:rsidRDefault="002E2899" w:rsidP="00385A9D">
      <w:pPr>
        <w:pStyle w:val="TableFooter"/>
      </w:pPr>
      <w:r>
        <w:t>MBS = Medicare Benefits Schedule;</w:t>
      </w:r>
      <w:r w:rsidRPr="002E2899">
        <w:t xml:space="preserve"> PBS = Pharmaceutical Benefits Scheme; RPBS = Repatriation Pharmaceutical Benefits Scheme</w:t>
      </w:r>
      <w:r w:rsidR="002B78AD">
        <w:t>.</w:t>
      </w:r>
    </w:p>
    <w:p w:rsidR="006F1FAB" w:rsidRDefault="006F1FAB" w:rsidP="006F1FAB">
      <w:pPr>
        <w:pStyle w:val="TableFooter"/>
        <w:rPr>
          <w:i/>
        </w:rPr>
      </w:pPr>
      <w:r w:rsidRPr="00863D2A">
        <w:t>Costs to PBS/RPBS and co-payments were back-calculated during the evaluation</w:t>
      </w:r>
      <w:r>
        <w:rPr>
          <w:i/>
        </w:rPr>
        <w:t xml:space="preserve">. </w:t>
      </w:r>
    </w:p>
    <w:p w:rsidR="001F58C9" w:rsidRDefault="007C299C" w:rsidP="004F54A8">
      <w:pPr>
        <w:pStyle w:val="TableFooter"/>
      </w:pPr>
      <w:r>
        <w:t xml:space="preserve">Source: </w:t>
      </w:r>
      <w:r w:rsidRPr="00093A69">
        <w:t>Table 4.7 p123</w:t>
      </w:r>
      <w:r>
        <w:t>,</w:t>
      </w:r>
      <w:r w:rsidRPr="00093A69">
        <w:t xml:space="preserve"> </w:t>
      </w:r>
      <w:r>
        <w:t xml:space="preserve">Table 4.9, p124, and </w:t>
      </w:r>
      <w:r w:rsidRPr="002E2899">
        <w:t>Table 4.10, p126 of the submission.</w:t>
      </w:r>
    </w:p>
    <w:p w:rsidR="001F58C9" w:rsidRDefault="001F58C9" w:rsidP="004F54A8">
      <w:pPr>
        <w:pStyle w:val="TableFooter"/>
      </w:pPr>
    </w:p>
    <w:p w:rsidR="001F58C9" w:rsidRPr="00207EE8" w:rsidRDefault="001F58C9" w:rsidP="001F58C9">
      <w:pPr>
        <w:spacing w:after="200" w:line="276" w:lineRule="auto"/>
        <w:ind w:left="360"/>
        <w:rPr>
          <w:rFonts w:eastAsiaTheme="minorHAnsi" w:cs="Arial"/>
        </w:rPr>
      </w:pPr>
      <w:r w:rsidRPr="00207EE8">
        <w:rPr>
          <w:rFonts w:eastAsiaTheme="minorHAnsi" w:cs="Arial"/>
        </w:rPr>
        <w:t>The red</w:t>
      </w:r>
      <w:r>
        <w:rPr>
          <w:rFonts w:eastAsiaTheme="minorHAnsi" w:cs="Arial"/>
        </w:rPr>
        <w:t>acted table shows that at year 6</w:t>
      </w:r>
      <w:r w:rsidRPr="00207EE8">
        <w:rPr>
          <w:rFonts w:eastAsiaTheme="minorHAnsi" w:cs="Arial"/>
        </w:rPr>
        <w:t xml:space="preserve">, the estimated number of patients was </w:t>
      </w:r>
      <w:r>
        <w:rPr>
          <w:rFonts w:eastAsiaTheme="minorHAnsi" w:cs="Arial"/>
        </w:rPr>
        <w:t>less than 10,000 per year</w:t>
      </w:r>
      <w:r w:rsidRPr="00207EE8">
        <w:rPr>
          <w:rFonts w:eastAsiaTheme="minorHAnsi" w:cs="Arial"/>
        </w:rPr>
        <w:t xml:space="preserve"> and the net cost to the PBS would be less than $10 million per year</w:t>
      </w:r>
      <w:r>
        <w:rPr>
          <w:rFonts w:eastAsiaTheme="minorHAnsi" w:cs="Arial"/>
        </w:rPr>
        <w:t>.</w:t>
      </w:r>
    </w:p>
    <w:p w:rsidR="0099736D" w:rsidRPr="004F54A8" w:rsidRDefault="0099736D" w:rsidP="004F54A8">
      <w:pPr>
        <w:pStyle w:val="TableFooter"/>
        <w:rPr>
          <w:i/>
          <w:sz w:val="20"/>
        </w:rPr>
      </w:pPr>
    </w:p>
    <w:p w:rsidR="00C12508" w:rsidRPr="00C72017" w:rsidRDefault="00C12508" w:rsidP="00F477B2">
      <w:pPr>
        <w:pStyle w:val="ListParagraph"/>
        <w:numPr>
          <w:ilvl w:val="1"/>
          <w:numId w:val="2"/>
        </w:numPr>
        <w:rPr>
          <w:color w:val="000000" w:themeColor="text1"/>
        </w:rPr>
      </w:pPr>
      <w:r w:rsidRPr="00A433A8">
        <w:rPr>
          <w:color w:val="000000" w:themeColor="text1"/>
        </w:rPr>
        <w:t xml:space="preserve">The financial estimates were unlikely to be accurate </w:t>
      </w:r>
      <w:r w:rsidR="00070015" w:rsidRPr="00A433A8">
        <w:rPr>
          <w:color w:val="000000" w:themeColor="text1"/>
        </w:rPr>
        <w:t xml:space="preserve">for </w:t>
      </w:r>
      <w:r w:rsidRPr="00A433A8">
        <w:rPr>
          <w:color w:val="000000" w:themeColor="text1"/>
        </w:rPr>
        <w:t xml:space="preserve">multiple reasons. First, the </w:t>
      </w:r>
      <w:r w:rsidRPr="00C72017">
        <w:rPr>
          <w:color w:val="000000" w:themeColor="text1"/>
        </w:rPr>
        <w:t xml:space="preserve">submission’s forecasting of the total NS5A market was not adequately justified and appeared to be extremely low, leading to significantly underestimated use. </w:t>
      </w:r>
      <w:r w:rsidR="00D13750">
        <w:rPr>
          <w:color w:val="000000" w:themeColor="text1"/>
        </w:rPr>
        <w:t>In the PSCR</w:t>
      </w:r>
      <w:r w:rsidR="0074653F" w:rsidRPr="00C72017">
        <w:rPr>
          <w:color w:val="000000" w:themeColor="text1"/>
        </w:rPr>
        <w:t xml:space="preserve"> the sponsor stated that they were confident in the uptake estimates provided and are willing to work with the Department to ensure the potential cost of listing </w:t>
      </w:r>
      <w:proofErr w:type="spellStart"/>
      <w:r w:rsidR="0074653F" w:rsidRPr="00C72017">
        <w:t>sofosbuvir</w:t>
      </w:r>
      <w:proofErr w:type="spellEnd"/>
      <w:r w:rsidR="0074653F" w:rsidRPr="00C72017">
        <w:t xml:space="preserve"> </w:t>
      </w:r>
      <w:r w:rsidR="00D13750">
        <w:t xml:space="preserve">with </w:t>
      </w:r>
      <w:proofErr w:type="spellStart"/>
      <w:r w:rsidR="00D13750">
        <w:t>velpatasvir</w:t>
      </w:r>
      <w:proofErr w:type="spellEnd"/>
      <w:r w:rsidR="00D13750">
        <w:t xml:space="preserve"> and</w:t>
      </w:r>
      <w:r w:rsidR="0074653F" w:rsidRPr="00C72017">
        <w:t xml:space="preserve"> </w:t>
      </w:r>
      <w:proofErr w:type="spellStart"/>
      <w:r w:rsidR="0074653F" w:rsidRPr="00C72017">
        <w:t>voxilaprevir</w:t>
      </w:r>
      <w:proofErr w:type="spellEnd"/>
      <w:r w:rsidR="0074653F" w:rsidRPr="00C72017">
        <w:rPr>
          <w:color w:val="000000" w:themeColor="text1"/>
        </w:rPr>
        <w:t xml:space="preserve"> is appropriately quantified. </w:t>
      </w:r>
      <w:r w:rsidRPr="00C72017">
        <w:rPr>
          <w:color w:val="000000" w:themeColor="text1"/>
        </w:rPr>
        <w:t>Second, there was substantial uncertainty around the real-world evidence for SVR in patients treated with NS5A containing regimens due to missing data in the REACH C observational study SVR results. This had a high impact on financial estimates, and the submission’s base case included the lowest possible value.</w:t>
      </w:r>
      <w:r w:rsidR="00133EE9" w:rsidRPr="00C72017">
        <w:rPr>
          <w:color w:val="000000" w:themeColor="text1"/>
        </w:rPr>
        <w:t xml:space="preserve"> </w:t>
      </w:r>
      <w:r w:rsidRPr="00C72017">
        <w:rPr>
          <w:color w:val="000000" w:themeColor="text1"/>
        </w:rPr>
        <w:t xml:space="preserve">Lastly, the submission’s estimates assumed that no therapies would be replaced in the listing of </w:t>
      </w:r>
      <w:proofErr w:type="spellStart"/>
      <w:r w:rsidR="00D13750">
        <w:t>sofosbuvir</w:t>
      </w:r>
      <w:proofErr w:type="spellEnd"/>
      <w:r w:rsidR="00D13750">
        <w:t xml:space="preserve"> with </w:t>
      </w:r>
      <w:proofErr w:type="spellStart"/>
      <w:r w:rsidR="00D13750">
        <w:t>velpatasvir</w:t>
      </w:r>
      <w:proofErr w:type="spellEnd"/>
      <w:r w:rsidR="00D13750">
        <w:t xml:space="preserve"> and</w:t>
      </w:r>
      <w:r w:rsidR="00022331" w:rsidRPr="00C72017">
        <w:t xml:space="preserve"> </w:t>
      </w:r>
      <w:proofErr w:type="spellStart"/>
      <w:r w:rsidR="00022331" w:rsidRPr="00C72017">
        <w:t>voxilaprevir</w:t>
      </w:r>
      <w:proofErr w:type="spellEnd"/>
      <w:r w:rsidRPr="00C72017">
        <w:rPr>
          <w:color w:val="000000" w:themeColor="text1"/>
        </w:rPr>
        <w:t xml:space="preserve">. This was unrealistic as other DAAs </w:t>
      </w:r>
      <w:r w:rsidR="00070015" w:rsidRPr="00C72017">
        <w:rPr>
          <w:color w:val="000000" w:themeColor="text1"/>
        </w:rPr>
        <w:t xml:space="preserve">are </w:t>
      </w:r>
      <w:r w:rsidRPr="00C72017">
        <w:rPr>
          <w:color w:val="000000" w:themeColor="text1"/>
        </w:rPr>
        <w:t xml:space="preserve">currently being used in some NS5A experienced patients and </w:t>
      </w:r>
      <w:proofErr w:type="spellStart"/>
      <w:r w:rsidR="00022331" w:rsidRPr="00C72017">
        <w:rPr>
          <w:color w:val="000000" w:themeColor="text1"/>
        </w:rPr>
        <w:t>glecaprevir</w:t>
      </w:r>
      <w:proofErr w:type="spellEnd"/>
      <w:r w:rsidR="00022331" w:rsidRPr="00C72017">
        <w:rPr>
          <w:color w:val="000000" w:themeColor="text1"/>
        </w:rPr>
        <w:t xml:space="preserve"> with </w:t>
      </w:r>
      <w:proofErr w:type="spellStart"/>
      <w:r w:rsidR="00022331" w:rsidRPr="00C72017">
        <w:rPr>
          <w:color w:val="000000" w:themeColor="text1"/>
        </w:rPr>
        <w:t>pibrentasvir</w:t>
      </w:r>
      <w:proofErr w:type="spellEnd"/>
      <w:r w:rsidR="00022331" w:rsidRPr="00C72017">
        <w:rPr>
          <w:color w:val="000000" w:themeColor="text1"/>
        </w:rPr>
        <w:t xml:space="preserve"> </w:t>
      </w:r>
      <w:r w:rsidRPr="00C72017">
        <w:rPr>
          <w:color w:val="000000" w:themeColor="text1"/>
        </w:rPr>
        <w:t>was</w:t>
      </w:r>
      <w:r w:rsidR="00070015" w:rsidRPr="00C72017">
        <w:rPr>
          <w:color w:val="000000" w:themeColor="text1"/>
        </w:rPr>
        <w:t xml:space="preserve"> recently</w:t>
      </w:r>
      <w:r w:rsidRPr="00C72017">
        <w:rPr>
          <w:color w:val="000000" w:themeColor="text1"/>
        </w:rPr>
        <w:t xml:space="preserve"> </w:t>
      </w:r>
      <w:r w:rsidR="00D94E6A" w:rsidRPr="00C72017">
        <w:rPr>
          <w:color w:val="000000" w:themeColor="text1"/>
        </w:rPr>
        <w:t xml:space="preserve">recommended </w:t>
      </w:r>
      <w:r w:rsidRPr="00C72017">
        <w:rPr>
          <w:color w:val="000000" w:themeColor="text1"/>
        </w:rPr>
        <w:t xml:space="preserve">by the PBAC for NS5A experienced patients. </w:t>
      </w:r>
      <w:r w:rsidR="005C08FA">
        <w:rPr>
          <w:color w:val="000000" w:themeColor="text1"/>
        </w:rPr>
        <w:t xml:space="preserve">The PSCR </w:t>
      </w:r>
      <w:r w:rsidR="0074653F" w:rsidRPr="00C72017">
        <w:rPr>
          <w:color w:val="000000" w:themeColor="text1"/>
        </w:rPr>
        <w:t xml:space="preserve">noted that if recommended for listing, </w:t>
      </w:r>
      <w:proofErr w:type="spellStart"/>
      <w:r w:rsidR="00D13750">
        <w:t>sofosbuvir</w:t>
      </w:r>
      <w:proofErr w:type="spellEnd"/>
      <w:r w:rsidR="00D13750">
        <w:t xml:space="preserve"> with </w:t>
      </w:r>
      <w:proofErr w:type="spellStart"/>
      <w:r w:rsidR="00D13750">
        <w:t>velpatasvir</w:t>
      </w:r>
      <w:proofErr w:type="spellEnd"/>
      <w:r w:rsidR="00D13750">
        <w:t xml:space="preserve"> and</w:t>
      </w:r>
      <w:r w:rsidR="0074653F" w:rsidRPr="00C72017">
        <w:t xml:space="preserve"> </w:t>
      </w:r>
      <w:proofErr w:type="spellStart"/>
      <w:r w:rsidR="0074653F" w:rsidRPr="00C72017">
        <w:t>voxilaprevir</w:t>
      </w:r>
      <w:proofErr w:type="spellEnd"/>
      <w:r w:rsidR="0074653F" w:rsidRPr="00C72017">
        <w:t xml:space="preserve"> would likely join the existing Risk Sharing Arrangement (RSA) for other drugs for the treatment of HCV – as per the November 2017 recommendation for </w:t>
      </w:r>
      <w:proofErr w:type="spellStart"/>
      <w:r w:rsidR="0074653F" w:rsidRPr="00C72017">
        <w:t>glecaprevir</w:t>
      </w:r>
      <w:proofErr w:type="spellEnd"/>
      <w:r w:rsidR="0074653F" w:rsidRPr="00C72017">
        <w:t xml:space="preserve"> with </w:t>
      </w:r>
      <w:proofErr w:type="spellStart"/>
      <w:r w:rsidR="0074653F" w:rsidRPr="00C72017">
        <w:t>pibrentasvir</w:t>
      </w:r>
      <w:proofErr w:type="spellEnd"/>
      <w:r w:rsidR="0074653F" w:rsidRPr="00C72017">
        <w:t xml:space="preserve">. As such, the sponsor argued that the issues identified with the financial estimates may result in only small changes to the forecast impact to PBS budgets. </w:t>
      </w:r>
    </w:p>
    <w:p w:rsidR="0013046E" w:rsidRPr="0002304B" w:rsidRDefault="00C12508" w:rsidP="00F477B2">
      <w:pPr>
        <w:pStyle w:val="ListParagraph"/>
        <w:numPr>
          <w:ilvl w:val="1"/>
          <w:numId w:val="2"/>
        </w:numPr>
        <w:jc w:val="left"/>
        <w:rPr>
          <w:color w:val="000000" w:themeColor="text1"/>
        </w:rPr>
      </w:pPr>
      <w:r w:rsidRPr="00C72017">
        <w:rPr>
          <w:color w:val="000000" w:themeColor="text1"/>
        </w:rPr>
        <w:t xml:space="preserve">There </w:t>
      </w:r>
      <w:r w:rsidR="00070015" w:rsidRPr="00C72017">
        <w:rPr>
          <w:color w:val="000000" w:themeColor="text1"/>
        </w:rPr>
        <w:t>is</w:t>
      </w:r>
      <w:r w:rsidRPr="00C72017">
        <w:rPr>
          <w:color w:val="000000" w:themeColor="text1"/>
        </w:rPr>
        <w:t xml:space="preserve"> also potential for </w:t>
      </w:r>
      <w:proofErr w:type="spellStart"/>
      <w:r w:rsidR="00022331" w:rsidRPr="00C72017">
        <w:t>sofosbuvir</w:t>
      </w:r>
      <w:proofErr w:type="spellEnd"/>
      <w:r w:rsidR="00022331" w:rsidRPr="00C72017">
        <w:t xml:space="preserve"> </w:t>
      </w:r>
      <w:r w:rsidR="00D13750">
        <w:t>with</w:t>
      </w:r>
      <w:r w:rsidR="00022331" w:rsidRPr="00C72017">
        <w:t xml:space="preserve"> </w:t>
      </w:r>
      <w:proofErr w:type="spellStart"/>
      <w:r w:rsidR="00022331" w:rsidRPr="00C72017">
        <w:t>velpatasvir</w:t>
      </w:r>
      <w:proofErr w:type="spellEnd"/>
      <w:r w:rsidR="00022331" w:rsidRPr="00C72017">
        <w:t xml:space="preserve"> </w:t>
      </w:r>
      <w:r w:rsidR="00D13750">
        <w:t>and</w:t>
      </w:r>
      <w:r w:rsidR="00022331" w:rsidRPr="00C72017">
        <w:t xml:space="preserve"> </w:t>
      </w:r>
      <w:proofErr w:type="spellStart"/>
      <w:r w:rsidR="00022331" w:rsidRPr="00C72017">
        <w:t>voxilaprevir</w:t>
      </w:r>
      <w:proofErr w:type="spellEnd"/>
      <w:r w:rsidR="00022331" w:rsidRPr="00C72017">
        <w:t xml:space="preserve"> </w:t>
      </w:r>
      <w:r w:rsidRPr="00C72017">
        <w:rPr>
          <w:color w:val="000000" w:themeColor="text1"/>
        </w:rPr>
        <w:t xml:space="preserve">to be used </w:t>
      </w:r>
      <w:r w:rsidR="00EB4348" w:rsidRPr="00C72017">
        <w:rPr>
          <w:color w:val="000000" w:themeColor="text1"/>
        </w:rPr>
        <w:t xml:space="preserve">beyond </w:t>
      </w:r>
      <w:r w:rsidRPr="00C72017">
        <w:rPr>
          <w:color w:val="000000" w:themeColor="text1"/>
        </w:rPr>
        <w:t>the requested restriction, specif</w:t>
      </w:r>
      <w:r w:rsidR="00EB4348" w:rsidRPr="00C72017">
        <w:rPr>
          <w:color w:val="000000" w:themeColor="text1"/>
        </w:rPr>
        <w:t>ically in patients who are NS5A-</w:t>
      </w:r>
      <w:r w:rsidRPr="00C72017">
        <w:rPr>
          <w:color w:val="000000" w:themeColor="text1"/>
        </w:rPr>
        <w:t>naïve</w:t>
      </w:r>
      <w:r w:rsidR="00133EE9" w:rsidRPr="00C72017">
        <w:rPr>
          <w:color w:val="000000" w:themeColor="text1"/>
        </w:rPr>
        <w:t>.</w:t>
      </w:r>
    </w:p>
    <w:p w:rsidR="0013046E" w:rsidRPr="003A5F1C" w:rsidRDefault="0013046E" w:rsidP="00025C10">
      <w:pPr>
        <w:pStyle w:val="PBACHeading1"/>
        <w:spacing w:before="240" w:after="120"/>
        <w:rPr>
          <w:rFonts w:cs="Times New Roman"/>
          <w:snapToGrid/>
          <w:color w:val="000000" w:themeColor="text1"/>
          <w:sz w:val="24"/>
        </w:rPr>
      </w:pPr>
      <w:r w:rsidRPr="003A5F1C">
        <w:t>PBAC Outcome</w:t>
      </w:r>
    </w:p>
    <w:p w:rsidR="00B44DB6" w:rsidRPr="00B44DB6" w:rsidRDefault="00B44DB6" w:rsidP="00F477B2">
      <w:pPr>
        <w:widowControl w:val="0"/>
        <w:numPr>
          <w:ilvl w:val="1"/>
          <w:numId w:val="2"/>
        </w:numPr>
        <w:spacing w:after="120"/>
        <w:rPr>
          <w:rFonts w:cs="Arial"/>
          <w:bCs/>
          <w:snapToGrid w:val="0"/>
          <w:lang w:val="en-GB"/>
        </w:rPr>
      </w:pPr>
      <w:r w:rsidRPr="00B44DB6">
        <w:rPr>
          <w:rFonts w:cs="Arial"/>
          <w:bCs/>
          <w:snapToGrid w:val="0"/>
          <w:lang w:val="en-GB"/>
        </w:rPr>
        <w:t xml:space="preserve">The PBAC deferred making a recommendation on the listing of </w:t>
      </w:r>
      <w:proofErr w:type="spellStart"/>
      <w:r w:rsidRPr="00B44DB6">
        <w:rPr>
          <w:rFonts w:cs="Arial"/>
          <w:bCs/>
          <w:snapToGrid w:val="0"/>
          <w:lang w:val="en-GB"/>
        </w:rPr>
        <w:t>sofo</w:t>
      </w:r>
      <w:r w:rsidR="00D13750">
        <w:rPr>
          <w:rFonts w:cs="Arial"/>
          <w:bCs/>
          <w:snapToGrid w:val="0"/>
          <w:lang w:val="en-GB"/>
        </w:rPr>
        <w:t>sbuvir</w:t>
      </w:r>
      <w:proofErr w:type="spellEnd"/>
      <w:r w:rsidR="00D13750">
        <w:rPr>
          <w:rFonts w:cs="Arial"/>
          <w:bCs/>
          <w:snapToGrid w:val="0"/>
          <w:lang w:val="en-GB"/>
        </w:rPr>
        <w:t xml:space="preserve"> with </w:t>
      </w:r>
      <w:proofErr w:type="spellStart"/>
      <w:r w:rsidR="00035522">
        <w:rPr>
          <w:rFonts w:cs="Arial"/>
          <w:bCs/>
          <w:snapToGrid w:val="0"/>
          <w:lang w:val="en-GB"/>
        </w:rPr>
        <w:t>velpatasvir</w:t>
      </w:r>
      <w:proofErr w:type="spellEnd"/>
      <w:r w:rsidR="00D13750">
        <w:rPr>
          <w:rFonts w:cs="Arial"/>
          <w:bCs/>
          <w:snapToGrid w:val="0"/>
          <w:lang w:val="en-GB"/>
        </w:rPr>
        <w:t xml:space="preserve"> and </w:t>
      </w:r>
      <w:proofErr w:type="spellStart"/>
      <w:r w:rsidR="00035522">
        <w:rPr>
          <w:rFonts w:cs="Arial"/>
          <w:bCs/>
          <w:snapToGrid w:val="0"/>
          <w:lang w:val="en-GB"/>
        </w:rPr>
        <w:t>voxilaprevir</w:t>
      </w:r>
      <w:proofErr w:type="spellEnd"/>
      <w:r w:rsidR="00035522">
        <w:rPr>
          <w:rFonts w:cs="Arial"/>
          <w:bCs/>
          <w:snapToGrid w:val="0"/>
          <w:lang w:val="en-GB"/>
        </w:rPr>
        <w:t xml:space="preserve"> </w:t>
      </w:r>
      <w:r w:rsidRPr="00B44DB6">
        <w:rPr>
          <w:rFonts w:cs="Arial"/>
          <w:bCs/>
          <w:snapToGrid w:val="0"/>
          <w:lang w:val="en-GB"/>
        </w:rPr>
        <w:t>without discussion</w:t>
      </w:r>
      <w:r w:rsidR="00035522">
        <w:rPr>
          <w:rFonts w:cs="Arial"/>
          <w:bCs/>
          <w:snapToGrid w:val="0"/>
          <w:lang w:val="en-GB"/>
        </w:rPr>
        <w:t xml:space="preserve">, to allow further consideration of the issues raised within the sponsor’s pre-PBAC response. The PBAC also considered that further consultation was required on the proposed changes to the HCV treatment matrix given the introduction </w:t>
      </w:r>
      <w:r w:rsidR="00ED6D28">
        <w:rPr>
          <w:rFonts w:cs="Arial"/>
          <w:bCs/>
          <w:snapToGrid w:val="0"/>
          <w:lang w:val="en-GB"/>
        </w:rPr>
        <w:t xml:space="preserve">of </w:t>
      </w:r>
      <w:r w:rsidR="00035522">
        <w:rPr>
          <w:rFonts w:cs="Arial"/>
          <w:bCs/>
          <w:snapToGrid w:val="0"/>
          <w:lang w:val="en-GB"/>
        </w:rPr>
        <w:t>new DAA treatments since the general statement was developed.</w:t>
      </w:r>
    </w:p>
    <w:p w:rsidR="0026209F" w:rsidRPr="0026209F" w:rsidRDefault="0026209F" w:rsidP="00F477B2">
      <w:pPr>
        <w:widowControl w:val="0"/>
        <w:numPr>
          <w:ilvl w:val="1"/>
          <w:numId w:val="2"/>
        </w:numPr>
        <w:spacing w:after="120"/>
        <w:ind w:left="709"/>
        <w:rPr>
          <w:rFonts w:cs="Arial"/>
          <w:bCs/>
          <w:snapToGrid w:val="0"/>
          <w:lang w:val="en-GB"/>
        </w:rPr>
      </w:pPr>
      <w:r w:rsidRPr="00F45DA2">
        <w:rPr>
          <w:rFonts w:cs="Arial"/>
          <w:bCs/>
          <w:snapToGrid w:val="0"/>
          <w:lang w:val="en-GB"/>
        </w:rPr>
        <w:t>The PBAC noted that this submission is not eligible for an Independent Review as it was deferred</w:t>
      </w:r>
      <w:r>
        <w:rPr>
          <w:rFonts w:cs="Arial"/>
          <w:bCs/>
          <w:snapToGrid w:val="0"/>
          <w:lang w:val="en-GB"/>
        </w:rPr>
        <w:t xml:space="preserve">. </w:t>
      </w:r>
    </w:p>
    <w:p w:rsidR="0013046E" w:rsidRPr="0026209F" w:rsidRDefault="0013046E" w:rsidP="00522F9E">
      <w:pPr>
        <w:widowControl w:val="0"/>
        <w:spacing w:before="120" w:after="120"/>
        <w:rPr>
          <w:rFonts w:cs="Arial"/>
          <w:b/>
          <w:bCs/>
          <w:snapToGrid w:val="0"/>
          <w:lang w:val="en-GB"/>
        </w:rPr>
      </w:pPr>
      <w:r w:rsidRPr="0026209F">
        <w:rPr>
          <w:rFonts w:cs="Arial"/>
          <w:b/>
          <w:bCs/>
          <w:snapToGrid w:val="0"/>
          <w:lang w:val="en-GB"/>
        </w:rPr>
        <w:t>Outcome:</w:t>
      </w:r>
    </w:p>
    <w:p w:rsidR="0013046E" w:rsidRPr="0026209F" w:rsidRDefault="0002304B" w:rsidP="0013046E">
      <w:pPr>
        <w:rPr>
          <w:rFonts w:cs="Arial"/>
          <w:bCs/>
          <w:snapToGrid w:val="0"/>
          <w:lang w:val="en-GB"/>
        </w:rPr>
      </w:pPr>
      <w:r w:rsidRPr="0026209F">
        <w:rPr>
          <w:rFonts w:cs="Arial"/>
          <w:bCs/>
          <w:snapToGrid w:val="0"/>
          <w:lang w:val="en-GB"/>
        </w:rPr>
        <w:t>Deferred</w:t>
      </w:r>
    </w:p>
    <w:p w:rsidR="00FA711E" w:rsidRDefault="00FA711E" w:rsidP="0013046E">
      <w:pPr>
        <w:widowControl w:val="0"/>
        <w:rPr>
          <w:rFonts w:cs="Arial"/>
          <w:b/>
          <w:bCs/>
          <w:snapToGrid w:val="0"/>
        </w:rPr>
      </w:pPr>
    </w:p>
    <w:p w:rsidR="00FB1913" w:rsidRPr="00594B46" w:rsidRDefault="00FB1913" w:rsidP="00522F9E">
      <w:pPr>
        <w:pStyle w:val="PBACHeading1"/>
        <w:spacing w:before="240" w:after="120"/>
        <w:rPr>
          <w:rFonts w:eastAsiaTheme="minorHAnsi" w:cstheme="minorBidi"/>
        </w:rPr>
      </w:pPr>
      <w:r w:rsidRPr="00594B46">
        <w:rPr>
          <w:rFonts w:eastAsiaTheme="minorHAnsi" w:cstheme="minorBidi"/>
        </w:rPr>
        <w:t>Context for Decision</w:t>
      </w:r>
    </w:p>
    <w:p w:rsidR="00FB1913" w:rsidRPr="00594B46" w:rsidRDefault="00FB1913" w:rsidP="00522F9E">
      <w:pPr>
        <w:rPr>
          <w:rFonts w:eastAsiaTheme="minorHAnsi" w:cs="Arial"/>
          <w:szCs w:val="22"/>
        </w:rPr>
      </w:pPr>
      <w:r w:rsidRPr="00594B46">
        <w:rPr>
          <w:rFonts w:eastAsiaTheme="minorHAnsi" w:cs="Arial"/>
          <w:szCs w:val="22"/>
        </w:rPr>
        <w:t xml:space="preserve">The PBAC helps decide whether and, if so, how medicines should be subsidised in Australia. It considers submissions in this context. A PBAC decision not to recommend listing or not to </w:t>
      </w:r>
      <w:r w:rsidRPr="00594B46">
        <w:rPr>
          <w:rFonts w:eastAsiaTheme="minorHAnsi" w:cs="Arial"/>
          <w:szCs w:val="22"/>
        </w:rPr>
        <w:lastRenderedPageBreak/>
        <w:t>recommend changing a listing does not represent a final PBAC view about the merits of the medicine. A company can resubmit to the PBAC or seek independent review of the PBAC decision.</w:t>
      </w:r>
    </w:p>
    <w:p w:rsidR="00FB1913" w:rsidRPr="00594B46" w:rsidRDefault="00FB1913" w:rsidP="00FB1913">
      <w:pPr>
        <w:pStyle w:val="PBACHeading1"/>
        <w:spacing w:before="240" w:after="120"/>
        <w:rPr>
          <w:rFonts w:eastAsiaTheme="minorHAnsi" w:cstheme="minorBidi"/>
        </w:rPr>
      </w:pPr>
      <w:r w:rsidRPr="00594B46">
        <w:rPr>
          <w:rFonts w:eastAsiaTheme="minorHAnsi" w:cstheme="minorBidi"/>
        </w:rPr>
        <w:t xml:space="preserve"> Sponsor’s Comment</w:t>
      </w:r>
    </w:p>
    <w:p w:rsidR="00F477B2" w:rsidRDefault="00FB1913" w:rsidP="002B521A">
      <w:pPr>
        <w:pStyle w:val="xmsonormal"/>
        <w:jc w:val="both"/>
        <w:rPr>
          <w:rFonts w:asciiTheme="minorHAnsi" w:hAnsiTheme="minorHAnsi"/>
        </w:rPr>
      </w:pPr>
      <w:r w:rsidRPr="006F35D0">
        <w:rPr>
          <w:rFonts w:asciiTheme="minorHAnsi" w:hAnsiTheme="minorHAnsi"/>
        </w:rPr>
        <w:t xml:space="preserve">Gilead Sciences was disappointed to learn that the Committee had deferred making a recommendation without discussion at the PBAC meeting. It is unclear why the efficacy, safety or cost effectiveness of </w:t>
      </w:r>
      <w:proofErr w:type="spellStart"/>
      <w:r w:rsidRPr="006F35D0">
        <w:rPr>
          <w:rFonts w:asciiTheme="minorHAnsi" w:hAnsiTheme="minorHAnsi"/>
        </w:rPr>
        <w:t>sofosbuvir</w:t>
      </w:r>
      <w:proofErr w:type="spellEnd"/>
      <w:r w:rsidRPr="006F35D0">
        <w:rPr>
          <w:rFonts w:asciiTheme="minorHAnsi" w:hAnsiTheme="minorHAnsi"/>
        </w:rPr>
        <w:t xml:space="preserve"> with </w:t>
      </w:r>
      <w:proofErr w:type="spellStart"/>
      <w:r w:rsidRPr="006F35D0">
        <w:rPr>
          <w:rFonts w:asciiTheme="minorHAnsi" w:hAnsiTheme="minorHAnsi"/>
        </w:rPr>
        <w:t>velpatasvir</w:t>
      </w:r>
      <w:proofErr w:type="spellEnd"/>
      <w:r w:rsidRPr="006F35D0">
        <w:rPr>
          <w:rFonts w:asciiTheme="minorHAnsi" w:hAnsiTheme="minorHAnsi"/>
        </w:rPr>
        <w:t xml:space="preserve"> and </w:t>
      </w:r>
      <w:proofErr w:type="spellStart"/>
      <w:proofErr w:type="gramStart"/>
      <w:r w:rsidRPr="006F35D0">
        <w:rPr>
          <w:rFonts w:asciiTheme="minorHAnsi" w:hAnsiTheme="minorHAnsi"/>
        </w:rPr>
        <w:t>voxilaprevir</w:t>
      </w:r>
      <w:proofErr w:type="spellEnd"/>
      <w:r w:rsidRPr="006F35D0">
        <w:rPr>
          <w:rFonts w:asciiTheme="minorHAnsi" w:hAnsiTheme="minorHAnsi"/>
        </w:rPr>
        <w:t xml:space="preserve">  in</w:t>
      </w:r>
      <w:proofErr w:type="gramEnd"/>
      <w:r w:rsidRPr="006F35D0">
        <w:rPr>
          <w:rFonts w:asciiTheme="minorHAnsi" w:hAnsiTheme="minorHAnsi"/>
        </w:rPr>
        <w:t xml:space="preserve"> the requested patient population was not considered at the March meeting, The proposed use of  </w:t>
      </w:r>
      <w:proofErr w:type="spellStart"/>
      <w:r w:rsidRPr="006F35D0">
        <w:rPr>
          <w:rFonts w:asciiTheme="minorHAnsi" w:hAnsiTheme="minorHAnsi"/>
        </w:rPr>
        <w:t>sofosbuvir</w:t>
      </w:r>
      <w:proofErr w:type="spellEnd"/>
      <w:r w:rsidRPr="006F35D0">
        <w:rPr>
          <w:rFonts w:asciiTheme="minorHAnsi" w:hAnsiTheme="minorHAnsi"/>
        </w:rPr>
        <w:t xml:space="preserve"> with </w:t>
      </w:r>
      <w:proofErr w:type="spellStart"/>
      <w:r w:rsidRPr="006F35D0">
        <w:rPr>
          <w:rFonts w:asciiTheme="minorHAnsi" w:hAnsiTheme="minorHAnsi"/>
        </w:rPr>
        <w:t>velpatasvir</w:t>
      </w:r>
      <w:proofErr w:type="spellEnd"/>
      <w:r w:rsidRPr="006F35D0">
        <w:rPr>
          <w:rFonts w:asciiTheme="minorHAnsi" w:hAnsiTheme="minorHAnsi"/>
        </w:rPr>
        <w:t xml:space="preserve"> and </w:t>
      </w:r>
      <w:proofErr w:type="spellStart"/>
      <w:r w:rsidRPr="006F35D0">
        <w:rPr>
          <w:rFonts w:asciiTheme="minorHAnsi" w:hAnsiTheme="minorHAnsi"/>
        </w:rPr>
        <w:t>voxilaprevir</w:t>
      </w:r>
      <w:proofErr w:type="spellEnd"/>
      <w:r w:rsidRPr="006F35D0">
        <w:rPr>
          <w:rFonts w:asciiTheme="minorHAnsi" w:hAnsiTheme="minorHAnsi"/>
        </w:rPr>
        <w:t xml:space="preserve">  is straightforward and clear to proposed prescribers. The PBS listing of </w:t>
      </w:r>
      <w:proofErr w:type="spellStart"/>
      <w:r w:rsidRPr="006F35D0">
        <w:rPr>
          <w:rFonts w:asciiTheme="minorHAnsi" w:hAnsiTheme="minorHAnsi"/>
        </w:rPr>
        <w:t>sofosbuvir</w:t>
      </w:r>
      <w:proofErr w:type="spellEnd"/>
      <w:r w:rsidRPr="006F35D0">
        <w:rPr>
          <w:rFonts w:asciiTheme="minorHAnsi" w:hAnsiTheme="minorHAnsi"/>
        </w:rPr>
        <w:t xml:space="preserve"> with </w:t>
      </w:r>
      <w:proofErr w:type="spellStart"/>
      <w:r w:rsidRPr="006F35D0">
        <w:rPr>
          <w:rFonts w:asciiTheme="minorHAnsi" w:hAnsiTheme="minorHAnsi"/>
        </w:rPr>
        <w:t>velpatasvir</w:t>
      </w:r>
      <w:proofErr w:type="spellEnd"/>
      <w:r w:rsidRPr="006F35D0">
        <w:rPr>
          <w:rFonts w:asciiTheme="minorHAnsi" w:hAnsiTheme="minorHAnsi"/>
        </w:rPr>
        <w:t xml:space="preserve"> and </w:t>
      </w:r>
      <w:proofErr w:type="spellStart"/>
      <w:proofErr w:type="gramStart"/>
      <w:r w:rsidRPr="006F35D0">
        <w:rPr>
          <w:rFonts w:asciiTheme="minorHAnsi" w:hAnsiTheme="minorHAnsi"/>
        </w:rPr>
        <w:t>voxilaprevir</w:t>
      </w:r>
      <w:proofErr w:type="spellEnd"/>
      <w:r w:rsidRPr="006F35D0">
        <w:rPr>
          <w:rFonts w:asciiTheme="minorHAnsi" w:hAnsiTheme="minorHAnsi"/>
        </w:rPr>
        <w:t xml:space="preserve">  can</w:t>
      </w:r>
      <w:proofErr w:type="gramEnd"/>
      <w:r w:rsidRPr="006F35D0">
        <w:rPr>
          <w:rFonts w:asciiTheme="minorHAnsi" w:hAnsiTheme="minorHAnsi"/>
        </w:rPr>
        <w:t xml:space="preserve"> be readily implemented prior to any revision of the treatment matrix and/or General Statement.   Access to an effective, evidence-based treatment for patients who have failed a prior NS5A containing regimen is critical in ensuring the Australian Government meet its commitment to eradicate HCV. </w:t>
      </w:r>
      <w:proofErr w:type="gramStart"/>
      <w:r w:rsidRPr="006F35D0">
        <w:rPr>
          <w:rFonts w:asciiTheme="minorHAnsi" w:hAnsiTheme="minorHAnsi"/>
        </w:rPr>
        <w:t>Providing a timely, effective and safe treatment for all HCV patients who are NS5A experienced, regardless of genotype and the presence or absence of compensated cirrhosis, is the remaining unmet medical need in HCV.</w:t>
      </w:r>
      <w:proofErr w:type="gramEnd"/>
      <w:r w:rsidRPr="006F35D0">
        <w:rPr>
          <w:rFonts w:asciiTheme="minorHAnsi" w:hAnsiTheme="minorHAnsi"/>
        </w:rPr>
        <w:t xml:space="preserve"> The deferral of </w:t>
      </w:r>
      <w:proofErr w:type="spellStart"/>
      <w:r w:rsidRPr="006F35D0">
        <w:rPr>
          <w:rFonts w:asciiTheme="minorHAnsi" w:hAnsiTheme="minorHAnsi"/>
        </w:rPr>
        <w:t>sofosbuvir</w:t>
      </w:r>
      <w:proofErr w:type="spellEnd"/>
      <w:r w:rsidRPr="006F35D0">
        <w:rPr>
          <w:rFonts w:asciiTheme="minorHAnsi" w:hAnsiTheme="minorHAnsi"/>
        </w:rPr>
        <w:t xml:space="preserve"> with </w:t>
      </w:r>
      <w:proofErr w:type="spellStart"/>
      <w:r w:rsidRPr="006F35D0">
        <w:rPr>
          <w:rFonts w:asciiTheme="minorHAnsi" w:hAnsiTheme="minorHAnsi"/>
        </w:rPr>
        <w:t>velpatasvir</w:t>
      </w:r>
      <w:proofErr w:type="spellEnd"/>
      <w:r w:rsidRPr="006F35D0">
        <w:rPr>
          <w:rFonts w:asciiTheme="minorHAnsi" w:hAnsiTheme="minorHAnsi"/>
        </w:rPr>
        <w:t xml:space="preserve"> and </w:t>
      </w:r>
      <w:proofErr w:type="spellStart"/>
      <w:proofErr w:type="gramStart"/>
      <w:r w:rsidRPr="006F35D0">
        <w:rPr>
          <w:rFonts w:asciiTheme="minorHAnsi" w:hAnsiTheme="minorHAnsi"/>
        </w:rPr>
        <w:t>voxilaprevir</w:t>
      </w:r>
      <w:proofErr w:type="spellEnd"/>
      <w:r w:rsidRPr="006F35D0">
        <w:rPr>
          <w:rFonts w:asciiTheme="minorHAnsi" w:hAnsiTheme="minorHAnsi"/>
        </w:rPr>
        <w:t xml:space="preserve">  delays</w:t>
      </w:r>
      <w:proofErr w:type="gramEnd"/>
      <w:r w:rsidRPr="006F35D0">
        <w:rPr>
          <w:rFonts w:asciiTheme="minorHAnsi" w:hAnsiTheme="minorHAnsi"/>
        </w:rPr>
        <w:t xml:space="preserve"> access to the last option to cure their HCV for this small but important patient population.  Gilead will continue to work to progress a PBS listing of </w:t>
      </w:r>
      <w:proofErr w:type="spellStart"/>
      <w:r w:rsidRPr="006F35D0">
        <w:rPr>
          <w:rFonts w:asciiTheme="minorHAnsi" w:hAnsiTheme="minorHAnsi"/>
        </w:rPr>
        <w:t>sofosbuvir</w:t>
      </w:r>
      <w:proofErr w:type="spellEnd"/>
      <w:r w:rsidRPr="006F35D0">
        <w:rPr>
          <w:rFonts w:asciiTheme="minorHAnsi" w:hAnsiTheme="minorHAnsi"/>
        </w:rPr>
        <w:t xml:space="preserve"> with </w:t>
      </w:r>
      <w:proofErr w:type="spellStart"/>
      <w:r w:rsidRPr="006F35D0">
        <w:rPr>
          <w:rFonts w:asciiTheme="minorHAnsi" w:hAnsiTheme="minorHAnsi"/>
        </w:rPr>
        <w:t>velpatasvir</w:t>
      </w:r>
      <w:proofErr w:type="spellEnd"/>
      <w:r w:rsidRPr="006F35D0">
        <w:rPr>
          <w:rFonts w:asciiTheme="minorHAnsi" w:hAnsiTheme="minorHAnsi"/>
        </w:rPr>
        <w:t xml:space="preserve"> and </w:t>
      </w:r>
      <w:proofErr w:type="spellStart"/>
      <w:r w:rsidRPr="006F35D0">
        <w:rPr>
          <w:rFonts w:asciiTheme="minorHAnsi" w:hAnsiTheme="minorHAnsi"/>
        </w:rPr>
        <w:t>voxilaprevir</w:t>
      </w:r>
      <w:proofErr w:type="spellEnd"/>
      <w:r w:rsidRPr="006F35D0">
        <w:rPr>
          <w:rFonts w:asciiTheme="minorHAnsi" w:hAnsiTheme="minorHAnsi"/>
        </w:rPr>
        <w:t xml:space="preserve"> at the earliest opportunity.</w:t>
      </w:r>
    </w:p>
    <w:p w:rsidR="00F477B2" w:rsidRPr="00082271" w:rsidRDefault="00F477B2" w:rsidP="00082271">
      <w:pPr>
        <w:pStyle w:val="PBACHeading1"/>
        <w:numPr>
          <w:ilvl w:val="0"/>
          <w:numId w:val="0"/>
        </w:numPr>
        <w:ind w:left="720" w:hanging="720"/>
        <w:rPr>
          <w:rFonts w:eastAsiaTheme="minorHAnsi"/>
          <w:lang w:eastAsia="en-AU"/>
        </w:rPr>
      </w:pPr>
      <w:r>
        <w:br w:type="page"/>
      </w:r>
      <w:r w:rsidRPr="00082271">
        <w:rPr>
          <w:rFonts w:eastAsia="Calibri"/>
          <w:color w:val="FF0000"/>
          <w:sz w:val="28"/>
        </w:rPr>
        <w:lastRenderedPageBreak/>
        <w:t>Addendum to the March 2018 PBAC Minutes:</w:t>
      </w:r>
    </w:p>
    <w:p w:rsidR="00F477B2" w:rsidRDefault="00F477B2" w:rsidP="00F477B2">
      <w:pPr>
        <w:widowControl w:val="0"/>
        <w:rPr>
          <w:rFonts w:ascii="Calibri" w:eastAsia="Calibri" w:hAnsi="Calibri" w:cs="Arial"/>
          <w:b/>
          <w:color w:val="FF0000"/>
          <w:sz w:val="28"/>
          <w:szCs w:val="28"/>
        </w:rPr>
      </w:pPr>
    </w:p>
    <w:p w:rsidR="00F477B2" w:rsidRPr="00C72017" w:rsidRDefault="00F477B2" w:rsidP="00F477B2">
      <w:pPr>
        <w:ind w:left="709" w:hanging="709"/>
        <w:jc w:val="left"/>
        <w:outlineLvl w:val="0"/>
        <w:rPr>
          <w:b/>
          <w:sz w:val="36"/>
          <w:szCs w:val="36"/>
        </w:rPr>
      </w:pPr>
      <w:r>
        <w:rPr>
          <w:b/>
          <w:sz w:val="36"/>
          <w:szCs w:val="36"/>
        </w:rPr>
        <w:t>5.11</w:t>
      </w:r>
      <w:r w:rsidRPr="00C12C14">
        <w:rPr>
          <w:b/>
          <w:sz w:val="36"/>
          <w:szCs w:val="36"/>
        </w:rPr>
        <w:tab/>
      </w:r>
      <w:r>
        <w:rPr>
          <w:b/>
          <w:sz w:val="36"/>
          <w:szCs w:val="36"/>
        </w:rPr>
        <w:t>SOFOSBUVIR with VELPATASVIR and VOXILAPREVIR</w:t>
      </w:r>
      <w:r w:rsidRPr="00C12C14">
        <w:rPr>
          <w:b/>
          <w:sz w:val="36"/>
          <w:szCs w:val="36"/>
        </w:rPr>
        <w:t xml:space="preserve">, </w:t>
      </w:r>
      <w:r>
        <w:rPr>
          <w:b/>
          <w:sz w:val="36"/>
          <w:szCs w:val="36"/>
        </w:rPr>
        <w:t>400mg/100mg/100mg tablets</w:t>
      </w:r>
      <w:r w:rsidRPr="00C12C14">
        <w:rPr>
          <w:b/>
          <w:sz w:val="36"/>
          <w:szCs w:val="36"/>
        </w:rPr>
        <w:t xml:space="preserve">, </w:t>
      </w:r>
      <w:r>
        <w:rPr>
          <w:b/>
          <w:sz w:val="36"/>
          <w:szCs w:val="36"/>
        </w:rPr>
        <w:br/>
        <w:t>VOSEVI</w:t>
      </w:r>
      <w:r w:rsidRPr="00C12C14">
        <w:rPr>
          <w:b/>
          <w:sz w:val="36"/>
          <w:szCs w:val="36"/>
          <w:vertAlign w:val="superscript"/>
        </w:rPr>
        <w:t>®</w:t>
      </w:r>
      <w:r w:rsidRPr="00C12C14">
        <w:rPr>
          <w:b/>
          <w:sz w:val="36"/>
          <w:szCs w:val="36"/>
        </w:rPr>
        <w:t xml:space="preserve">, </w:t>
      </w:r>
      <w:r>
        <w:rPr>
          <w:b/>
          <w:sz w:val="36"/>
          <w:szCs w:val="36"/>
        </w:rPr>
        <w:br/>
        <w:t>Gilead Sciences Pty Limited</w:t>
      </w:r>
      <w:r w:rsidRPr="00C12C14">
        <w:rPr>
          <w:b/>
          <w:sz w:val="36"/>
          <w:szCs w:val="36"/>
        </w:rPr>
        <w:t>.</w:t>
      </w:r>
    </w:p>
    <w:p w:rsidR="00F477B2" w:rsidRDefault="00F477B2" w:rsidP="00F477B2">
      <w:pPr>
        <w:widowControl w:val="0"/>
        <w:rPr>
          <w:rFonts w:cs="Arial"/>
          <w:bCs/>
          <w:snapToGrid w:val="0"/>
          <w:lang w:val="en-GB"/>
        </w:rPr>
      </w:pPr>
    </w:p>
    <w:p w:rsidR="00F477B2" w:rsidRPr="004D56D5" w:rsidRDefault="00F477B2" w:rsidP="00F477B2">
      <w:pPr>
        <w:pStyle w:val="PBACHeading1"/>
        <w:spacing w:before="240" w:after="120"/>
      </w:pPr>
      <w:r w:rsidRPr="004D56D5">
        <w:t>Background</w:t>
      </w:r>
    </w:p>
    <w:p w:rsidR="00F477B2" w:rsidRPr="004D56D5" w:rsidRDefault="00F477B2" w:rsidP="00F477B2">
      <w:pPr>
        <w:widowControl w:val="0"/>
        <w:numPr>
          <w:ilvl w:val="1"/>
          <w:numId w:val="2"/>
        </w:numPr>
        <w:spacing w:after="120"/>
        <w:rPr>
          <w:rFonts w:cs="Arial"/>
          <w:bCs/>
          <w:snapToGrid w:val="0"/>
          <w:lang w:val="en-GB"/>
        </w:rPr>
      </w:pPr>
      <w:r>
        <w:rPr>
          <w:rFonts w:cs="Arial"/>
          <w:bCs/>
          <w:snapToGrid w:val="0"/>
          <w:lang w:val="en-GB"/>
        </w:rPr>
        <w:t xml:space="preserve">Subsequent to the March 2018 PBAC meeting, the PBAC considered matters relating to the treatment matrix in the General Statement for Drugs for the Treatment of Hepatitis C at its April 2018 Special meeting. The PBAC noted the </w:t>
      </w:r>
      <w:proofErr w:type="spellStart"/>
      <w:r>
        <w:rPr>
          <w:rFonts w:cs="Arial"/>
          <w:bCs/>
          <w:snapToGrid w:val="0"/>
          <w:lang w:val="en-GB"/>
        </w:rPr>
        <w:t>sofosbuvir</w:t>
      </w:r>
      <w:proofErr w:type="spellEnd"/>
      <w:r>
        <w:rPr>
          <w:rFonts w:cs="Arial"/>
          <w:bCs/>
          <w:snapToGrid w:val="0"/>
          <w:lang w:val="en-GB"/>
        </w:rPr>
        <w:t xml:space="preserve"> with </w:t>
      </w:r>
      <w:proofErr w:type="spellStart"/>
      <w:r>
        <w:rPr>
          <w:rFonts w:cs="Arial"/>
          <w:bCs/>
          <w:snapToGrid w:val="0"/>
          <w:lang w:val="en-GB"/>
        </w:rPr>
        <w:t>velpatasvir</w:t>
      </w:r>
      <w:proofErr w:type="spellEnd"/>
      <w:r>
        <w:rPr>
          <w:rFonts w:cs="Arial"/>
          <w:bCs/>
          <w:snapToGrid w:val="0"/>
          <w:lang w:val="en-GB"/>
        </w:rPr>
        <w:t xml:space="preserve"> with </w:t>
      </w:r>
      <w:proofErr w:type="spellStart"/>
      <w:r>
        <w:rPr>
          <w:rFonts w:cs="Arial"/>
          <w:bCs/>
          <w:snapToGrid w:val="0"/>
          <w:lang w:val="en-GB"/>
        </w:rPr>
        <w:t>voxilaprevir</w:t>
      </w:r>
      <w:proofErr w:type="spellEnd"/>
      <w:r>
        <w:rPr>
          <w:rFonts w:cs="Arial"/>
          <w:bCs/>
          <w:snapToGrid w:val="0"/>
          <w:lang w:val="en-GB"/>
        </w:rPr>
        <w:t xml:space="preserve"> (SOF/VEL/VOX) submission had requested an additional treatment category be added to the existing treatment matrix for patients who had previously failed treatment with an NS5A-based treatment regimen. The PBAC considered </w:t>
      </w:r>
      <w:r>
        <w:t>that while there was some benefit in this approach, it would add additional complexity to the existing treatment matrix</w:t>
      </w:r>
      <w:r>
        <w:rPr>
          <w:rFonts w:cs="Arial"/>
          <w:bCs/>
          <w:snapToGrid w:val="0"/>
          <w:lang w:val="en-GB"/>
        </w:rPr>
        <w:t xml:space="preserve">. </w:t>
      </w:r>
      <w:r>
        <w:t>Noting changes in treatment patterns and the introduction of new DAA treatment regimens since the development of the general statement,</w:t>
      </w:r>
      <w:r w:rsidRPr="00206475">
        <w:t xml:space="preserve"> </w:t>
      </w:r>
      <w:r>
        <w:t>the PBAC considered that</w:t>
      </w:r>
      <w:r>
        <w:rPr>
          <w:rFonts w:cs="Arial"/>
          <w:bCs/>
          <w:snapToGrid w:val="0"/>
          <w:lang w:val="en-GB"/>
        </w:rPr>
        <w:t xml:space="preserve"> there may be an opportunity to simplify the existing treatment matrix and general statement going forward. </w:t>
      </w:r>
    </w:p>
    <w:p w:rsidR="00F477B2" w:rsidRPr="006B411F" w:rsidRDefault="00F477B2" w:rsidP="00F477B2">
      <w:pPr>
        <w:widowControl w:val="0"/>
        <w:numPr>
          <w:ilvl w:val="1"/>
          <w:numId w:val="2"/>
        </w:numPr>
        <w:spacing w:after="120"/>
        <w:rPr>
          <w:rFonts w:cs="Arial"/>
          <w:bCs/>
          <w:snapToGrid w:val="0"/>
          <w:lang w:val="en-GB"/>
        </w:rPr>
      </w:pPr>
      <w:r>
        <w:rPr>
          <w:rFonts w:cs="Arial"/>
          <w:bCs/>
          <w:snapToGrid w:val="0"/>
          <w:lang w:val="en-GB"/>
        </w:rPr>
        <w:t xml:space="preserve">The PBAC recalled it had deferred the SOF/VEL/VOX submission without discussion to further consider matters relating to the General Statement and treatment matrix. As further consideration of the General Statement occurred at its April 2018 Special Meeting, the PBAC considered it may be appropriate to consider recommending SOF/VEL/VOX for PBS listing out of session, under the same conditions as </w:t>
      </w:r>
      <w:proofErr w:type="spellStart"/>
      <w:r>
        <w:rPr>
          <w:rFonts w:cs="Arial"/>
          <w:bCs/>
          <w:snapToGrid w:val="0"/>
          <w:lang w:val="en-GB"/>
        </w:rPr>
        <w:t>glecaprevir</w:t>
      </w:r>
      <w:proofErr w:type="spellEnd"/>
      <w:r>
        <w:rPr>
          <w:rFonts w:cs="Arial"/>
          <w:bCs/>
          <w:snapToGrid w:val="0"/>
          <w:lang w:val="en-GB"/>
        </w:rPr>
        <w:t xml:space="preserve"> with </w:t>
      </w:r>
      <w:proofErr w:type="spellStart"/>
      <w:r>
        <w:rPr>
          <w:rFonts w:cs="Arial"/>
          <w:bCs/>
          <w:snapToGrid w:val="0"/>
          <w:lang w:val="en-GB"/>
        </w:rPr>
        <w:t>pibrentasvir</w:t>
      </w:r>
      <w:proofErr w:type="spellEnd"/>
      <w:r>
        <w:rPr>
          <w:rFonts w:cs="Arial"/>
          <w:bCs/>
          <w:snapToGrid w:val="0"/>
          <w:lang w:val="en-GB"/>
        </w:rPr>
        <w:t xml:space="preserve"> (GLE/PIB), which was recommended by the PBAC at its November 2017 meeting.</w:t>
      </w:r>
      <w:r>
        <w:rPr>
          <w:rFonts w:cs="Arial"/>
          <w:bCs/>
          <w:snapToGrid w:val="0"/>
          <w:lang w:val="en-GB"/>
        </w:rPr>
        <w:br w:type="page"/>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lastRenderedPageBreak/>
        <w:t>SOF/VEL/VOX was listed on the ARTG on 25 May 2018 with the following indications:</w:t>
      </w:r>
    </w:p>
    <w:p w:rsidR="00F477B2" w:rsidRPr="005645A3" w:rsidRDefault="00F477B2" w:rsidP="00F477B2">
      <w:pPr>
        <w:pStyle w:val="ListParagraph"/>
        <w:widowControl w:val="0"/>
        <w:numPr>
          <w:ilvl w:val="0"/>
          <w:numId w:val="12"/>
        </w:numPr>
        <w:spacing w:after="120"/>
        <w:rPr>
          <w:rFonts w:cs="Arial"/>
          <w:bCs/>
          <w:snapToGrid w:val="0"/>
          <w:lang w:val="en-GB"/>
        </w:rPr>
      </w:pPr>
      <w:r>
        <w:t>VOSEVI (</w:t>
      </w:r>
      <w:proofErr w:type="spellStart"/>
      <w:r>
        <w:t>sofosbuvir</w:t>
      </w:r>
      <w:proofErr w:type="spellEnd"/>
      <w:r>
        <w:t>/</w:t>
      </w:r>
      <w:proofErr w:type="spellStart"/>
      <w:r>
        <w:t>velpatasvir</w:t>
      </w:r>
      <w:proofErr w:type="spellEnd"/>
      <w:r>
        <w:t>/</w:t>
      </w:r>
      <w:proofErr w:type="spellStart"/>
      <w:r>
        <w:t>voxilaprevir</w:t>
      </w:r>
      <w:proofErr w:type="spellEnd"/>
      <w:r>
        <w:t xml:space="preserve"> fixed-dose combination) is indicated for the treatment of chronic hepatitis C virus (HCV) infection in adult patients, without cirrhosis or with compensated cirrhosis, who have: </w:t>
      </w:r>
    </w:p>
    <w:p w:rsidR="00F477B2" w:rsidRDefault="00F477B2" w:rsidP="00F477B2">
      <w:pPr>
        <w:pStyle w:val="ListParagraph"/>
        <w:widowControl w:val="0"/>
        <w:spacing w:after="120"/>
        <w:ind w:left="2160"/>
      </w:pPr>
      <w:r>
        <w:t xml:space="preserve">- </w:t>
      </w:r>
      <w:proofErr w:type="gramStart"/>
      <w:r>
        <w:t>genotype</w:t>
      </w:r>
      <w:proofErr w:type="gramEnd"/>
      <w:r>
        <w:t xml:space="preserve"> 1, 2, 3, 4, 5, or 6 infection and have previously been treated with an HCV regimen containing an NS5A inhibitor; </w:t>
      </w:r>
    </w:p>
    <w:p w:rsidR="00F477B2" w:rsidRPr="005645A3" w:rsidRDefault="00F477B2" w:rsidP="00F477B2">
      <w:pPr>
        <w:pStyle w:val="ListParagraph"/>
        <w:widowControl w:val="0"/>
        <w:spacing w:after="120"/>
        <w:ind w:left="2160"/>
        <w:rPr>
          <w:rFonts w:cs="Arial"/>
          <w:bCs/>
          <w:snapToGrid w:val="0"/>
          <w:lang w:val="en-GB"/>
        </w:rPr>
      </w:pPr>
      <w:r>
        <w:t xml:space="preserve">- </w:t>
      </w:r>
      <w:proofErr w:type="gramStart"/>
      <w:r>
        <w:t>genotype</w:t>
      </w:r>
      <w:proofErr w:type="gramEnd"/>
      <w:r>
        <w:t xml:space="preserve"> 1a or 3 infection and have previously been treated with an HCV regimen containing </w:t>
      </w:r>
      <w:proofErr w:type="spellStart"/>
      <w:r>
        <w:t>sofosbuvir</w:t>
      </w:r>
      <w:proofErr w:type="spellEnd"/>
      <w:r>
        <w:t xml:space="preserve"> without an NS5A inhibitor. </w:t>
      </w:r>
    </w:p>
    <w:p w:rsidR="00F477B2" w:rsidRDefault="00F477B2" w:rsidP="00F477B2">
      <w:pPr>
        <w:widowControl w:val="0"/>
        <w:spacing w:after="120"/>
        <w:ind w:left="720"/>
        <w:rPr>
          <w:rFonts w:cs="Arial"/>
          <w:bCs/>
          <w:snapToGrid w:val="0"/>
          <w:lang w:val="en-GB"/>
        </w:rPr>
      </w:pPr>
    </w:p>
    <w:p w:rsidR="00F477B2" w:rsidRPr="003A5F1C" w:rsidRDefault="00F477B2" w:rsidP="00F477B2">
      <w:pPr>
        <w:pStyle w:val="PBACHeading1"/>
        <w:spacing w:before="240" w:after="120"/>
        <w:rPr>
          <w:rFonts w:cs="Times New Roman"/>
          <w:snapToGrid/>
          <w:color w:val="000000" w:themeColor="text1"/>
          <w:sz w:val="24"/>
        </w:rPr>
      </w:pPr>
      <w:r w:rsidRPr="003A5F1C">
        <w:t>PBAC Outcome</w:t>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t xml:space="preserve">The PBAC recommended, out of session, the listing of </w:t>
      </w:r>
      <w:proofErr w:type="spellStart"/>
      <w:r>
        <w:rPr>
          <w:rFonts w:cs="Arial"/>
          <w:bCs/>
          <w:snapToGrid w:val="0"/>
          <w:lang w:val="en-GB"/>
        </w:rPr>
        <w:t>sofosbuvir</w:t>
      </w:r>
      <w:proofErr w:type="spellEnd"/>
      <w:r>
        <w:rPr>
          <w:rFonts w:cs="Arial"/>
          <w:bCs/>
          <w:snapToGrid w:val="0"/>
          <w:lang w:val="en-GB"/>
        </w:rPr>
        <w:t xml:space="preserve"> with </w:t>
      </w:r>
      <w:proofErr w:type="spellStart"/>
      <w:r>
        <w:rPr>
          <w:rFonts w:cs="Arial"/>
          <w:bCs/>
          <w:snapToGrid w:val="0"/>
          <w:lang w:val="en-GB"/>
        </w:rPr>
        <w:t>velpatasvir</w:t>
      </w:r>
      <w:proofErr w:type="spellEnd"/>
      <w:r>
        <w:rPr>
          <w:rFonts w:cs="Arial"/>
          <w:bCs/>
          <w:snapToGrid w:val="0"/>
          <w:lang w:val="en-GB"/>
        </w:rPr>
        <w:t xml:space="preserve"> with </w:t>
      </w:r>
      <w:proofErr w:type="spellStart"/>
      <w:r>
        <w:rPr>
          <w:rFonts w:cs="Arial"/>
          <w:bCs/>
          <w:snapToGrid w:val="0"/>
          <w:lang w:val="en-GB"/>
        </w:rPr>
        <w:t>voxilaprevir</w:t>
      </w:r>
      <w:proofErr w:type="spellEnd"/>
      <w:r>
        <w:rPr>
          <w:rFonts w:cs="Arial"/>
          <w:bCs/>
          <w:snapToGrid w:val="0"/>
          <w:lang w:val="en-GB"/>
        </w:rPr>
        <w:t xml:space="preserve"> (SOF/VEL/VOX) for the treatment patients with chronic hepatitis C virus (HCV) infection, regardless of genotype, who have failed treatment with an </w:t>
      </w:r>
      <w:r>
        <w:t>NS5A-based treatment regimen</w:t>
      </w:r>
      <w:r>
        <w:rPr>
          <w:rFonts w:cs="Arial"/>
          <w:bCs/>
          <w:snapToGrid w:val="0"/>
          <w:lang w:val="en-GB"/>
        </w:rPr>
        <w:t xml:space="preserve"> on a cost minimisation basis with </w:t>
      </w:r>
      <w:proofErr w:type="spellStart"/>
      <w:r>
        <w:rPr>
          <w:rFonts w:cs="Arial"/>
          <w:bCs/>
          <w:snapToGrid w:val="0"/>
          <w:lang w:val="en-GB"/>
        </w:rPr>
        <w:t>glecaprevir</w:t>
      </w:r>
      <w:proofErr w:type="spellEnd"/>
      <w:r>
        <w:rPr>
          <w:rFonts w:cs="Arial"/>
          <w:bCs/>
          <w:snapToGrid w:val="0"/>
          <w:lang w:val="en-GB"/>
        </w:rPr>
        <w:t xml:space="preserve"> with </w:t>
      </w:r>
      <w:proofErr w:type="spellStart"/>
      <w:r>
        <w:rPr>
          <w:rFonts w:cs="Arial"/>
          <w:bCs/>
          <w:snapToGrid w:val="0"/>
          <w:lang w:val="en-GB"/>
        </w:rPr>
        <w:t>pibrentasvir</w:t>
      </w:r>
      <w:proofErr w:type="spellEnd"/>
      <w:r>
        <w:rPr>
          <w:rFonts w:cs="Arial"/>
          <w:bCs/>
          <w:snapToGrid w:val="0"/>
          <w:lang w:val="en-GB"/>
        </w:rPr>
        <w:t xml:space="preserve"> (GLE/PIB), under the same listing conditions as GLE/PIB.</w:t>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t>The PBAC considered that no treatment was not the appropriate comparator for genotypes 2 - 6, and considered that in the context of the recent recommendation for GLE/PIB, (which included those patients with prior NS5A treatment) for HCV genotypes 1-6, with or without cirrhosis</w:t>
      </w:r>
      <w:r>
        <w:rPr>
          <w:rStyle w:val="FootnoteReference"/>
          <w:rFonts w:cs="Arial"/>
          <w:bCs/>
          <w:snapToGrid w:val="0"/>
          <w:lang w:val="en-GB"/>
        </w:rPr>
        <w:footnoteReference w:id="1"/>
      </w:r>
      <w:r>
        <w:rPr>
          <w:rFonts w:cs="Arial"/>
          <w:bCs/>
          <w:snapToGrid w:val="0"/>
          <w:lang w:val="en-GB"/>
        </w:rPr>
        <w:t>, that GLE/PIB was a more appropriate comparator for all treatment-experienced patients in the Australian context.</w:t>
      </w:r>
    </w:p>
    <w:p w:rsidR="00F477B2" w:rsidRPr="00E17B67" w:rsidRDefault="00F477B2" w:rsidP="00F477B2">
      <w:pPr>
        <w:widowControl w:val="0"/>
        <w:numPr>
          <w:ilvl w:val="1"/>
          <w:numId w:val="2"/>
        </w:numPr>
        <w:spacing w:after="120"/>
        <w:rPr>
          <w:rFonts w:cs="Arial"/>
          <w:bCs/>
          <w:snapToGrid w:val="0"/>
          <w:lang w:val="en-GB"/>
        </w:rPr>
      </w:pPr>
      <w:r>
        <w:rPr>
          <w:rFonts w:cs="Arial"/>
          <w:bCs/>
          <w:snapToGrid w:val="0"/>
          <w:lang w:val="en-GB"/>
        </w:rPr>
        <w:t xml:space="preserve">The PBAC acknowledged there was a place for SOF/VEL/VOX in the treatment of treatment-experienced genotype 3 patients (for whom other treatments have not proven to be effective), but considered there was a significant risk of leakage to treatment-naïve patients and to treatment-experienced patients of other genotypes, for whom effective alternative treatments exist. </w:t>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t xml:space="preserve">The PBAC noted the outcomes of the MAGELLAN-1 (GLE/PIB) and POLARIS-1 (SOF/VEL/VOX) trials presented in the submission (Table 6 refers) which demonstrated similar sustained </w:t>
      </w:r>
      <w:proofErr w:type="spellStart"/>
      <w:r>
        <w:rPr>
          <w:rFonts w:cs="Arial"/>
          <w:bCs/>
          <w:snapToGrid w:val="0"/>
          <w:lang w:val="en-GB"/>
        </w:rPr>
        <w:t>virologic</w:t>
      </w:r>
      <w:proofErr w:type="spellEnd"/>
      <w:r>
        <w:rPr>
          <w:rFonts w:cs="Arial"/>
          <w:bCs/>
          <w:snapToGrid w:val="0"/>
          <w:lang w:val="en-GB"/>
        </w:rPr>
        <w:t xml:space="preserve"> response rates (SVR12) between the two treatments, particularly in NS5A-experienced patients. The PBAC considered that a claim of non</w:t>
      </w:r>
      <w:r>
        <w:rPr>
          <w:rFonts w:cs="Arial"/>
          <w:bCs/>
          <w:snapToGrid w:val="0"/>
          <w:lang w:val="en-GB"/>
        </w:rPr>
        <w:noBreakHyphen/>
        <w:t>inferior comparative effectiveness between the two treatments was supported by the clinical evidence.</w:t>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t>The PBAC noted the safety comparison of the GLE/PIB and SOF/VEL/VOX trials in the NS5A-experienced population (Table 8 refers), and considered that a claim of non-inferior comparative safety was supported by the clinical evidence.</w:t>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lastRenderedPageBreak/>
        <w:t>The PBAC considered that listing SOF/VEL/VOX on a cost minimisation basis with the other pan</w:t>
      </w:r>
      <w:r>
        <w:rPr>
          <w:rFonts w:cs="Arial"/>
          <w:bCs/>
          <w:snapToGrid w:val="0"/>
          <w:lang w:val="en-GB"/>
        </w:rPr>
        <w:noBreakHyphen/>
        <w:t>genotypic treatments, under the same risk sharing arrangements as existing drugs used for the treatment of hepatitis C, was appropriate and consistent with its previous recommendations.</w:t>
      </w:r>
    </w:p>
    <w:p w:rsidR="00F477B2" w:rsidRDefault="00F477B2" w:rsidP="00F477B2">
      <w:pPr>
        <w:widowControl w:val="0"/>
        <w:numPr>
          <w:ilvl w:val="1"/>
          <w:numId w:val="2"/>
        </w:numPr>
        <w:spacing w:after="120"/>
        <w:rPr>
          <w:rFonts w:cs="Arial"/>
          <w:bCs/>
          <w:snapToGrid w:val="0"/>
          <w:lang w:val="en-GB"/>
        </w:rPr>
      </w:pPr>
      <w:r>
        <w:rPr>
          <w:rFonts w:cs="Arial"/>
          <w:bCs/>
          <w:snapToGrid w:val="0"/>
          <w:lang w:val="en-GB"/>
        </w:rPr>
        <w:t>With regards to the General Statement for Drugs for the Treatment of Hepatitis C and the proposed additions in the submission, the PBAC reiterated its desire to simplify the existing treatment matrix in order to facilitate greater uptake of treatment in primary care, and felt that further complicating the existing treatment matrix as requested could negatively impact the overall objectives of Hepatitis C elimination initiatives. On this basis, the PBAC considered that SOF/VEL/VOX should be listed under the same listing conditions as GLE/PIB, without additional elements being added to the existing HCV treatment matrix. The PBAC noted, however, that it had recommended further consultation on the authority requirements and HCV treatment matrix going forward.</w:t>
      </w:r>
    </w:p>
    <w:p w:rsidR="00F477B2" w:rsidRPr="005C686C" w:rsidRDefault="00F477B2" w:rsidP="00F477B2">
      <w:pPr>
        <w:widowControl w:val="0"/>
        <w:numPr>
          <w:ilvl w:val="1"/>
          <w:numId w:val="2"/>
        </w:numPr>
        <w:spacing w:after="120"/>
        <w:rPr>
          <w:rFonts w:cs="Arial"/>
          <w:bCs/>
          <w:snapToGrid w:val="0"/>
          <w:lang w:val="en-GB"/>
        </w:rPr>
      </w:pPr>
      <w:r>
        <w:t>The PBAC recommended that SOF/VEL/VOX should have the same nurse practitioner prescribing arrangements as other HCV treatments listed under the General Statement. Currently HCV treatments under the General Statement are listed for prescribing by authorised nurse practitioners under the General Schedule only. Medicines for the treatment of hepatitis C are not listed for prescribing by authorised nurse practitioners under the S100 Highly Specialised Drugs Program.</w:t>
      </w:r>
    </w:p>
    <w:p w:rsidR="00F477B2" w:rsidRDefault="00F477B2" w:rsidP="00F477B2">
      <w:pPr>
        <w:widowControl w:val="0"/>
        <w:numPr>
          <w:ilvl w:val="1"/>
          <w:numId w:val="2"/>
        </w:numPr>
        <w:spacing w:after="120"/>
        <w:rPr>
          <w:rFonts w:cs="Arial"/>
          <w:bCs/>
          <w:snapToGrid w:val="0"/>
          <w:lang w:val="en-GB"/>
        </w:rPr>
      </w:pPr>
      <w:r>
        <w:t>The PBAC recommended that the Early Supply Rule should apply.</w:t>
      </w:r>
    </w:p>
    <w:p w:rsidR="00F477B2" w:rsidRDefault="00F477B2" w:rsidP="00F477B2">
      <w:pPr>
        <w:widowControl w:val="0"/>
        <w:spacing w:after="120"/>
        <w:rPr>
          <w:rFonts w:cs="Arial"/>
          <w:bCs/>
          <w:snapToGrid w:val="0"/>
          <w:lang w:val="en-GB"/>
        </w:rPr>
      </w:pPr>
    </w:p>
    <w:p w:rsidR="00F477B2" w:rsidRPr="00C46368" w:rsidRDefault="00F477B2" w:rsidP="00F477B2">
      <w:pPr>
        <w:pStyle w:val="PBACHeading1"/>
        <w:spacing w:before="240" w:after="120"/>
        <w:rPr>
          <w:rFonts w:cs="Times New Roman"/>
          <w:snapToGrid/>
          <w:color w:val="000000" w:themeColor="text1"/>
          <w:sz w:val="24"/>
        </w:rPr>
      </w:pPr>
      <w:r>
        <w:t>Recommended listing</w:t>
      </w:r>
    </w:p>
    <w:p w:rsidR="00F477B2" w:rsidRDefault="00F477B2" w:rsidP="00F477B2">
      <w:r>
        <w:t>Add new item:</w:t>
      </w:r>
    </w:p>
    <w:p w:rsidR="00F477B2" w:rsidRDefault="00F477B2" w:rsidP="00F477B2"/>
    <w:p w:rsidR="00F477B2" w:rsidRPr="003A5F1C" w:rsidRDefault="00F477B2" w:rsidP="00F477B2"/>
    <w:p w:rsidR="00F477B2" w:rsidRDefault="00F477B2" w:rsidP="00F477B2">
      <w:r>
        <w:br w:type="page"/>
      </w:r>
    </w:p>
    <w:tbl>
      <w:tblPr>
        <w:tblW w:w="4909" w:type="pct"/>
        <w:tblInd w:w="170" w:type="dxa"/>
        <w:tblCellMar>
          <w:left w:w="28" w:type="dxa"/>
          <w:right w:w="28" w:type="dxa"/>
        </w:tblCellMar>
        <w:tblLook w:val="04A0" w:firstRow="1" w:lastRow="0" w:firstColumn="1" w:lastColumn="0" w:noHBand="0" w:noVBand="1"/>
      </w:tblPr>
      <w:tblGrid>
        <w:gridCol w:w="2154"/>
        <w:gridCol w:w="678"/>
        <w:gridCol w:w="851"/>
        <w:gridCol w:w="567"/>
        <w:gridCol w:w="1133"/>
        <w:gridCol w:w="139"/>
        <w:gridCol w:w="2064"/>
        <w:gridCol w:w="1332"/>
      </w:tblGrid>
      <w:tr w:rsidR="00F477B2" w:rsidRPr="004F5586" w:rsidTr="00364B3C">
        <w:trPr>
          <w:cantSplit/>
          <w:trHeight w:val="20"/>
        </w:trPr>
        <w:tc>
          <w:tcPr>
            <w:tcW w:w="1588" w:type="pct"/>
            <w:gridSpan w:val="2"/>
            <w:tcBorders>
              <w:bottom w:val="single" w:sz="4" w:space="0" w:color="auto"/>
            </w:tcBorders>
            <w:hideMark/>
          </w:tcPr>
          <w:p w:rsidR="00F477B2" w:rsidRPr="004F5586" w:rsidRDefault="00F477B2" w:rsidP="00364B3C">
            <w:pPr>
              <w:keepNext/>
              <w:rPr>
                <w:rFonts w:ascii="Arial Narrow" w:hAnsi="Arial Narrow"/>
                <w:b/>
                <w:sz w:val="20"/>
              </w:rPr>
            </w:pPr>
            <w:r w:rsidRPr="004F5586">
              <w:rPr>
                <w:rFonts w:ascii="Arial Narrow" w:hAnsi="Arial Narrow"/>
                <w:b/>
                <w:sz w:val="20"/>
              </w:rPr>
              <w:lastRenderedPageBreak/>
              <w:t>Name, Restriction,</w:t>
            </w:r>
          </w:p>
          <w:p w:rsidR="00F477B2" w:rsidRPr="004F5586" w:rsidRDefault="00F477B2" w:rsidP="00364B3C">
            <w:pPr>
              <w:keepNext/>
              <w:rPr>
                <w:rFonts w:ascii="Arial Narrow" w:hAnsi="Arial Narrow"/>
                <w:b/>
                <w:sz w:val="20"/>
              </w:rPr>
            </w:pPr>
            <w:r w:rsidRPr="004F5586">
              <w:rPr>
                <w:rFonts w:ascii="Arial Narrow" w:hAnsi="Arial Narrow"/>
                <w:b/>
                <w:sz w:val="20"/>
              </w:rPr>
              <w:t>Manner of administration and form</w:t>
            </w:r>
          </w:p>
        </w:tc>
        <w:tc>
          <w:tcPr>
            <w:tcW w:w="477" w:type="pct"/>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 xml:space="preserve">Max </w:t>
            </w:r>
            <w:proofErr w:type="spellStart"/>
            <w:r w:rsidRPr="004F5586">
              <w:rPr>
                <w:rFonts w:ascii="Arial Narrow" w:hAnsi="Arial Narrow"/>
                <w:b/>
                <w:sz w:val="20"/>
              </w:rPr>
              <w:t>qty</w:t>
            </w:r>
            <w:proofErr w:type="spellEnd"/>
            <w:r w:rsidRPr="004F5586">
              <w:rPr>
                <w:rFonts w:ascii="Arial Narrow" w:hAnsi="Arial Narrow"/>
                <w:b/>
                <w:sz w:val="20"/>
              </w:rPr>
              <w:t xml:space="preserve"> packs</w:t>
            </w:r>
          </w:p>
        </w:tc>
        <w:tc>
          <w:tcPr>
            <w:tcW w:w="318" w:type="pct"/>
            <w:tcBorders>
              <w:bottom w:val="single" w:sz="4" w:space="0" w:color="auto"/>
            </w:tcBorders>
          </w:tcPr>
          <w:p w:rsidR="00F477B2" w:rsidRPr="004F5586" w:rsidRDefault="00F477B2" w:rsidP="00364B3C">
            <w:pPr>
              <w:keepNext/>
              <w:jc w:val="center"/>
              <w:rPr>
                <w:rFonts w:ascii="Arial Narrow" w:hAnsi="Arial Narrow"/>
                <w:b/>
                <w:sz w:val="20"/>
              </w:rPr>
            </w:pPr>
            <w:r w:rsidRPr="004F5586">
              <w:rPr>
                <w:rFonts w:ascii="Arial Narrow" w:hAnsi="Arial Narrow"/>
                <w:b/>
                <w:sz w:val="20"/>
              </w:rPr>
              <w:t xml:space="preserve">Max </w:t>
            </w:r>
            <w:proofErr w:type="spellStart"/>
            <w:r w:rsidRPr="004F5586">
              <w:rPr>
                <w:rFonts w:ascii="Arial Narrow" w:hAnsi="Arial Narrow"/>
                <w:b/>
                <w:sz w:val="20"/>
              </w:rPr>
              <w:t>qty</w:t>
            </w:r>
            <w:proofErr w:type="spellEnd"/>
            <w:r w:rsidRPr="004F5586">
              <w:rPr>
                <w:rFonts w:ascii="Arial Narrow" w:hAnsi="Arial Narrow"/>
                <w:b/>
                <w:sz w:val="20"/>
              </w:rPr>
              <w:t xml:space="preserve"> units</w:t>
            </w:r>
          </w:p>
        </w:tc>
        <w:tc>
          <w:tcPr>
            <w:tcW w:w="635" w:type="pct"/>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№.of</w:t>
            </w:r>
          </w:p>
          <w:p w:rsidR="00F477B2" w:rsidRPr="004F5586" w:rsidRDefault="00F477B2" w:rsidP="00364B3C">
            <w:pPr>
              <w:keepNext/>
              <w:jc w:val="center"/>
              <w:rPr>
                <w:rFonts w:ascii="Arial Narrow" w:hAnsi="Arial Narrow"/>
                <w:b/>
                <w:sz w:val="20"/>
              </w:rPr>
            </w:pPr>
            <w:r w:rsidRPr="004F5586">
              <w:rPr>
                <w:rFonts w:ascii="Arial Narrow" w:hAnsi="Arial Narrow"/>
                <w:b/>
                <w:sz w:val="20"/>
              </w:rPr>
              <w:t>Rpts</w:t>
            </w:r>
          </w:p>
        </w:tc>
        <w:tc>
          <w:tcPr>
            <w:tcW w:w="78" w:type="pct"/>
            <w:tcBorders>
              <w:bottom w:val="single" w:sz="4" w:space="0" w:color="auto"/>
            </w:tcBorders>
            <w:hideMark/>
          </w:tcPr>
          <w:p w:rsidR="00F477B2" w:rsidRPr="004F5586" w:rsidRDefault="00F477B2" w:rsidP="00364B3C">
            <w:pPr>
              <w:keepNext/>
              <w:jc w:val="center"/>
              <w:rPr>
                <w:rFonts w:ascii="Arial Narrow" w:hAnsi="Arial Narrow"/>
                <w:b/>
                <w:sz w:val="20"/>
              </w:rPr>
            </w:pPr>
          </w:p>
        </w:tc>
        <w:tc>
          <w:tcPr>
            <w:tcW w:w="1903" w:type="pct"/>
            <w:gridSpan w:val="2"/>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Proprietary Name and Manufacturer</w:t>
            </w:r>
          </w:p>
        </w:tc>
      </w:tr>
      <w:tr w:rsidR="00F477B2" w:rsidRPr="004F5586" w:rsidTr="00364B3C">
        <w:trPr>
          <w:cantSplit/>
          <w:trHeight w:val="20"/>
        </w:trPr>
        <w:tc>
          <w:tcPr>
            <w:tcW w:w="1588" w:type="pct"/>
            <w:gridSpan w:val="2"/>
            <w:tcBorders>
              <w:top w:val="single" w:sz="4" w:space="0" w:color="auto"/>
              <w:bottom w:val="single" w:sz="4" w:space="0" w:color="auto"/>
            </w:tcBorders>
            <w:vAlign w:val="center"/>
            <w:hideMark/>
          </w:tcPr>
          <w:p w:rsidR="00F477B2" w:rsidRDefault="00F477B2" w:rsidP="00364B3C">
            <w:pPr>
              <w:keepNext/>
              <w:jc w:val="left"/>
              <w:rPr>
                <w:rFonts w:ascii="Arial Narrow" w:hAnsi="Arial Narrow"/>
                <w:smallCaps/>
                <w:sz w:val="20"/>
              </w:rPr>
            </w:pPr>
            <w:r w:rsidRPr="009B2196">
              <w:rPr>
                <w:rFonts w:ascii="Arial Narrow" w:hAnsi="Arial Narrow"/>
                <w:smallCaps/>
                <w:sz w:val="20"/>
              </w:rPr>
              <w:t>SOFOSBUVIR + VELPATASVIR &amp; VOXILAPREVIR</w:t>
            </w:r>
          </w:p>
          <w:p w:rsidR="00F477B2" w:rsidRDefault="00F477B2" w:rsidP="00364B3C">
            <w:pPr>
              <w:keepNext/>
              <w:jc w:val="left"/>
              <w:rPr>
                <w:rFonts w:ascii="Arial Narrow" w:hAnsi="Arial Narrow"/>
                <w:smallCaps/>
                <w:sz w:val="20"/>
              </w:rPr>
            </w:pPr>
          </w:p>
          <w:p w:rsidR="00F477B2" w:rsidRPr="004F5586" w:rsidRDefault="00F477B2" w:rsidP="00364B3C">
            <w:pPr>
              <w:keepNext/>
              <w:jc w:val="left"/>
              <w:rPr>
                <w:rFonts w:ascii="Arial Narrow" w:hAnsi="Arial Narrow"/>
                <w:sz w:val="20"/>
              </w:rPr>
            </w:pPr>
            <w:r w:rsidRPr="004F5586">
              <w:rPr>
                <w:rFonts w:ascii="Arial Narrow" w:hAnsi="Arial Narrow"/>
                <w:sz w:val="20"/>
              </w:rPr>
              <w:t xml:space="preserve">Tablet </w:t>
            </w:r>
            <w:r w:rsidRPr="009B2196">
              <w:rPr>
                <w:rFonts w:ascii="Arial Narrow" w:hAnsi="Arial Narrow"/>
                <w:sz w:val="20"/>
              </w:rPr>
              <w:t>400mg/100mg/100mg</w:t>
            </w:r>
            <w:r>
              <w:rPr>
                <w:rFonts w:ascii="Arial Narrow" w:hAnsi="Arial Narrow"/>
                <w:sz w:val="20"/>
              </w:rPr>
              <w:t xml:space="preserve">, 28 </w:t>
            </w:r>
            <w:r w:rsidRPr="009B2196">
              <w:rPr>
                <w:rFonts w:ascii="Arial Narrow" w:hAnsi="Arial Narrow"/>
                <w:sz w:val="20"/>
              </w:rPr>
              <w:t xml:space="preserve"> </w:t>
            </w:r>
          </w:p>
        </w:tc>
        <w:tc>
          <w:tcPr>
            <w:tcW w:w="477"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sidRPr="004F5586">
              <w:rPr>
                <w:rFonts w:ascii="Arial Narrow" w:hAnsi="Arial Narrow"/>
                <w:sz w:val="20"/>
              </w:rPr>
              <w:t>1</w:t>
            </w:r>
          </w:p>
        </w:tc>
        <w:tc>
          <w:tcPr>
            <w:tcW w:w="318"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Pr>
                <w:rFonts w:ascii="Arial Narrow" w:hAnsi="Arial Narrow"/>
                <w:sz w:val="20"/>
              </w:rPr>
              <w:t>1</w:t>
            </w:r>
          </w:p>
        </w:tc>
        <w:tc>
          <w:tcPr>
            <w:tcW w:w="635"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Pr>
                <w:rFonts w:ascii="Arial Narrow" w:hAnsi="Arial Narrow"/>
                <w:sz w:val="20"/>
              </w:rPr>
              <w:t>2</w:t>
            </w:r>
          </w:p>
        </w:tc>
        <w:tc>
          <w:tcPr>
            <w:tcW w:w="78" w:type="pct"/>
            <w:tcBorders>
              <w:top w:val="single" w:sz="4" w:space="0" w:color="auto"/>
              <w:bottom w:val="single" w:sz="4" w:space="0" w:color="auto"/>
            </w:tcBorders>
            <w:vAlign w:val="center"/>
          </w:tcPr>
          <w:p w:rsidR="00F477B2" w:rsidRPr="004F5586" w:rsidRDefault="00F477B2" w:rsidP="00364B3C">
            <w:pPr>
              <w:keepNext/>
              <w:jc w:val="center"/>
              <w:rPr>
                <w:rFonts w:ascii="Arial Narrow" w:hAnsi="Arial Narrow"/>
                <w:sz w:val="20"/>
              </w:rPr>
            </w:pPr>
          </w:p>
        </w:tc>
        <w:tc>
          <w:tcPr>
            <w:tcW w:w="1157" w:type="pct"/>
            <w:tcBorders>
              <w:top w:val="single" w:sz="4" w:space="0" w:color="auto"/>
              <w:bottom w:val="single" w:sz="4" w:space="0" w:color="auto"/>
            </w:tcBorders>
            <w:vAlign w:val="center"/>
            <w:hideMark/>
          </w:tcPr>
          <w:p w:rsidR="00F477B2" w:rsidRPr="0055625E" w:rsidRDefault="00F477B2" w:rsidP="00364B3C">
            <w:pPr>
              <w:keepNext/>
              <w:jc w:val="center"/>
              <w:rPr>
                <w:rFonts w:ascii="Arial Narrow" w:hAnsi="Arial Narrow"/>
                <w:sz w:val="20"/>
                <w:szCs w:val="20"/>
              </w:rPr>
            </w:pPr>
            <w:proofErr w:type="spellStart"/>
            <w:r>
              <w:rPr>
                <w:rFonts w:ascii="Arial Narrow" w:hAnsi="Arial Narrow"/>
                <w:sz w:val="20"/>
                <w:szCs w:val="20"/>
              </w:rPr>
              <w:t>Vosevi</w:t>
            </w:r>
            <w:proofErr w:type="spellEnd"/>
            <w:r w:rsidRPr="0055625E">
              <w:rPr>
                <w:rFonts w:ascii="Arial Narrow" w:hAnsi="Arial Narrow"/>
                <w:sz w:val="20"/>
                <w:szCs w:val="20"/>
                <w:vertAlign w:val="superscript"/>
              </w:rPr>
              <w:t>®</w:t>
            </w:r>
          </w:p>
        </w:tc>
        <w:tc>
          <w:tcPr>
            <w:tcW w:w="746" w:type="pct"/>
            <w:tcBorders>
              <w:top w:val="single" w:sz="4" w:space="0" w:color="auto"/>
              <w:bottom w:val="single" w:sz="4" w:space="0" w:color="auto"/>
            </w:tcBorders>
            <w:vAlign w:val="center"/>
            <w:hideMark/>
          </w:tcPr>
          <w:p w:rsidR="00F477B2" w:rsidRPr="004F5586" w:rsidRDefault="00F477B2" w:rsidP="00364B3C">
            <w:pPr>
              <w:keepNext/>
              <w:jc w:val="center"/>
              <w:rPr>
                <w:rFonts w:ascii="Arial Narrow" w:hAnsi="Arial Narrow"/>
                <w:sz w:val="20"/>
              </w:rPr>
            </w:pPr>
            <w:r w:rsidRPr="009B2196">
              <w:rPr>
                <w:rFonts w:ascii="Arial Narrow" w:hAnsi="Arial Narrow"/>
                <w:sz w:val="20"/>
              </w:rPr>
              <w:t>Gilead Sciences Pty Limited</w:t>
            </w:r>
          </w:p>
        </w:tc>
      </w:tr>
      <w:tr w:rsidR="00F477B2" w:rsidRPr="004F5586" w:rsidTr="00364B3C">
        <w:tblPrEx>
          <w:tblLook w:val="0000" w:firstRow="0" w:lastRow="0" w:firstColumn="0" w:lastColumn="0" w:noHBand="0" w:noVBand="0"/>
        </w:tblPrEx>
        <w:trPr>
          <w:cantSplit/>
          <w:trHeight w:val="345"/>
        </w:trPr>
        <w:tc>
          <w:tcPr>
            <w:tcW w:w="1208" w:type="pct"/>
            <w:tcBorders>
              <w:top w:val="single" w:sz="4" w:space="0" w:color="auto"/>
              <w:left w:val="single" w:sz="4" w:space="0" w:color="auto"/>
              <w:bottom w:val="single" w:sz="4" w:space="0" w:color="auto"/>
              <w:right w:val="single" w:sz="4" w:space="0" w:color="auto"/>
            </w:tcBorders>
          </w:tcPr>
          <w:p w:rsidR="00F477B2" w:rsidRPr="00E60BEE" w:rsidRDefault="00F477B2" w:rsidP="00364B3C">
            <w:pPr>
              <w:rPr>
                <w:rFonts w:ascii="Arial Narrow" w:hAnsi="Arial Narrow"/>
                <w:b/>
                <w:sz w:val="20"/>
              </w:rPr>
            </w:pPr>
            <w:r w:rsidRPr="004F5586">
              <w:rPr>
                <w:rFonts w:ascii="Arial Narrow" w:hAnsi="Arial Narrow"/>
                <w:b/>
                <w:sz w:val="20"/>
              </w:rPr>
              <w:t>Category/ Program</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E60BEE" w:rsidRDefault="00F477B2" w:rsidP="00364B3C">
            <w:pPr>
              <w:rPr>
                <w:rFonts w:ascii="Arial Narrow" w:hAnsi="Arial Narrow"/>
                <w:sz w:val="20"/>
              </w:rPr>
            </w:pPr>
            <w:r w:rsidRPr="00260CE3">
              <w:rPr>
                <w:rFonts w:ascii="Arial Narrow" w:hAnsi="Arial Narrow"/>
                <w:sz w:val="20"/>
              </w:rPr>
              <w:t>GENERAL – General Schedule (Code GE)</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Prescriber type</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Dental  </w:t>
            </w:r>
            <w:r w:rsidRPr="004F5586">
              <w:rPr>
                <w:rFonts w:ascii="Arial Narrow" w:hAnsi="Arial Narrow"/>
                <w:sz w:val="20"/>
              </w:rPr>
              <w:fldChar w:fldCharType="begin">
                <w:ffData>
                  <w:name w:val=""/>
                  <w:enabled/>
                  <w:calcOnExit w:val="0"/>
                  <w:checkBox>
                    <w:sizeAuto/>
                    <w:default w:val="1"/>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15" w:name="Check3"/>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bookmarkEnd w:id="15"/>
            <w:r w:rsidRPr="004F5586">
              <w:rPr>
                <w:rFonts w:ascii="Arial Narrow" w:hAnsi="Arial Narrow"/>
                <w:sz w:val="20"/>
              </w:rPr>
              <w:t xml:space="preserve">Nurse practitioners  </w:t>
            </w: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Optometrists </w:t>
            </w: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Midwives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Severity:</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t>Chronic</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Condition: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9B2196" w:rsidRDefault="00F477B2" w:rsidP="00364B3C">
            <w:pPr>
              <w:rPr>
                <w:rFonts w:ascii="Arial Narrow" w:hAnsi="Arial Narrow"/>
                <w:sz w:val="20"/>
              </w:rPr>
            </w:pPr>
            <w:r w:rsidRPr="009B2196">
              <w:rPr>
                <w:rFonts w:ascii="Arial Narrow" w:hAnsi="Arial Narrow"/>
                <w:sz w:val="20"/>
              </w:rPr>
              <w:t>Hepatitis C infection</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PBS Indication: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9B2196" w:rsidRDefault="00F477B2" w:rsidP="00364B3C">
            <w:pPr>
              <w:rPr>
                <w:rFonts w:ascii="Arial Narrow" w:hAnsi="Arial Narrow"/>
                <w:sz w:val="20"/>
              </w:rPr>
            </w:pPr>
            <w:r w:rsidRPr="009B2196">
              <w:rPr>
                <w:rFonts w:ascii="Arial Narrow" w:hAnsi="Arial Narrow"/>
                <w:sz w:val="20"/>
              </w:rPr>
              <w:t>Chronic Hepatitis C infection</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b/>
                <w:sz w:val="20"/>
              </w:rPr>
              <w:t>Restriction: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Restricted benefit</w:t>
            </w:r>
          </w:p>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In Writing</w:t>
            </w:r>
          </w:p>
          <w:p w:rsidR="00F477B2" w:rsidRPr="004F5586" w:rsidRDefault="00F477B2" w:rsidP="00364B3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Telephone</w:t>
            </w:r>
          </w:p>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Emergency</w:t>
            </w:r>
          </w:p>
          <w:p w:rsidR="00F477B2" w:rsidRPr="004F5586" w:rsidRDefault="00F477B2" w:rsidP="00364B3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Electronic</w:t>
            </w:r>
          </w:p>
          <w:p w:rsidR="00F477B2" w:rsidRPr="004F5586" w:rsidRDefault="00F477B2" w:rsidP="00364B3C">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16" w:name="Check5"/>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bookmarkEnd w:id="16"/>
            <w:r w:rsidRPr="004F5586">
              <w:rPr>
                <w:rFonts w:ascii="Arial Narrow" w:hAnsi="Arial Narrow"/>
                <w:sz w:val="20"/>
              </w:rPr>
              <w:t>Streamlined</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b/>
                <w:sz w:val="20"/>
              </w:rPr>
              <w:t>Clinical criteria:</w:t>
            </w:r>
          </w:p>
        </w:tc>
        <w:tc>
          <w:tcPr>
            <w:tcW w:w="3792" w:type="pct"/>
            <w:gridSpan w:val="7"/>
            <w:tcBorders>
              <w:top w:val="single" w:sz="4" w:space="0" w:color="auto"/>
              <w:left w:val="single" w:sz="4" w:space="0" w:color="auto"/>
              <w:bottom w:val="single" w:sz="4" w:space="0" w:color="auto"/>
              <w:right w:val="single" w:sz="4" w:space="0" w:color="auto"/>
            </w:tcBorders>
          </w:tcPr>
          <w:p w:rsidR="00F477B2" w:rsidRDefault="00F477B2" w:rsidP="00364B3C">
            <w:pPr>
              <w:rPr>
                <w:rFonts w:ascii="Arial Narrow" w:hAnsi="Arial Narrow"/>
                <w:sz w:val="20"/>
              </w:rPr>
            </w:pPr>
            <w:r w:rsidRPr="004F5586">
              <w:rPr>
                <w:rFonts w:ascii="Arial Narrow" w:hAnsi="Arial Narrow"/>
                <w:sz w:val="20"/>
              </w:rPr>
              <w:t>Patient must meet the criteria set out in the General Statement for Drugs for the Treatment of Hepatitis C;</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AND</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AND</w:t>
            </w:r>
          </w:p>
          <w:p w:rsidR="00F477B2" w:rsidRPr="004F5586" w:rsidRDefault="00F477B2" w:rsidP="00364B3C">
            <w:pPr>
              <w:rPr>
                <w:rFonts w:ascii="Arial Narrow" w:hAnsi="Arial Narrow"/>
                <w:sz w:val="20"/>
              </w:rPr>
            </w:pPr>
          </w:p>
          <w:p w:rsidR="00F477B2" w:rsidRPr="004F5586" w:rsidRDefault="00F477B2" w:rsidP="00364B3C">
            <w:pPr>
              <w:rPr>
                <w:rFonts w:ascii="Arial Narrow" w:hAnsi="Arial Narrow"/>
                <w:sz w:val="20"/>
              </w:rPr>
            </w:pPr>
            <w:r w:rsidRPr="004F5586">
              <w:rPr>
                <w:rFonts w:ascii="Arial Narrow" w:hAnsi="Arial Narrow"/>
                <w:sz w:val="20"/>
              </w:rPr>
              <w:t>The treatment must be limited to a maximum duratio</w:t>
            </w:r>
            <w:r>
              <w:rPr>
                <w:rFonts w:ascii="Arial Narrow" w:hAnsi="Arial Narrow"/>
                <w:sz w:val="20"/>
              </w:rPr>
              <w:t>n of 12</w:t>
            </w:r>
            <w:r w:rsidRPr="004F5586">
              <w:rPr>
                <w:rFonts w:ascii="Arial Narrow" w:hAnsi="Arial Narrow"/>
                <w:sz w:val="20"/>
              </w:rPr>
              <w:t xml:space="preserve"> weeks.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172C40" w:rsidRDefault="00F477B2" w:rsidP="00364B3C">
            <w:pPr>
              <w:rPr>
                <w:rFonts w:ascii="Arial Narrow" w:hAnsi="Arial Narrow"/>
                <w:b/>
                <w:sz w:val="20"/>
              </w:rPr>
            </w:pPr>
            <w:r w:rsidRPr="00172C40">
              <w:rPr>
                <w:rFonts w:ascii="Arial Narrow" w:hAnsi="Arial Narrow"/>
                <w:b/>
                <w:sz w:val="20"/>
              </w:rPr>
              <w:t>Administrative Advice</w:t>
            </w:r>
          </w:p>
          <w:p w:rsidR="00F477B2" w:rsidRPr="00172C40" w:rsidRDefault="00F477B2" w:rsidP="00364B3C">
            <w:pPr>
              <w:rPr>
                <w:rFonts w:ascii="Arial Narrow" w:hAnsi="Arial Narrow"/>
                <w:i/>
                <w:sz w:val="20"/>
              </w:rPr>
            </w:pPr>
          </w:p>
        </w:tc>
        <w:tc>
          <w:tcPr>
            <w:tcW w:w="3792" w:type="pct"/>
            <w:gridSpan w:val="7"/>
            <w:tcBorders>
              <w:top w:val="single" w:sz="4" w:space="0" w:color="auto"/>
              <w:left w:val="single" w:sz="4" w:space="0" w:color="auto"/>
              <w:bottom w:val="single" w:sz="4" w:space="0" w:color="auto"/>
              <w:right w:val="single" w:sz="4" w:space="0" w:color="auto"/>
            </w:tcBorders>
          </w:tcPr>
          <w:p w:rsidR="00F477B2" w:rsidRPr="00C5187B" w:rsidRDefault="00F477B2" w:rsidP="00364B3C">
            <w:pPr>
              <w:rPr>
                <w:rFonts w:ascii="Arial Narrow" w:hAnsi="Arial Narrow"/>
                <w:sz w:val="20"/>
              </w:rPr>
            </w:pPr>
            <w:r w:rsidRPr="00C5187B">
              <w:rPr>
                <w:rFonts w:ascii="Arial Narrow" w:hAnsi="Arial Narrow"/>
                <w:sz w:val="20"/>
              </w:rPr>
              <w:t>No increase in the maximum quantity or number of units may be authorised.</w:t>
            </w:r>
          </w:p>
          <w:p w:rsidR="00F477B2" w:rsidRPr="00C5187B" w:rsidRDefault="00F477B2" w:rsidP="00364B3C">
            <w:pPr>
              <w:rPr>
                <w:rFonts w:ascii="Arial Narrow" w:hAnsi="Arial Narrow"/>
                <w:sz w:val="20"/>
              </w:rPr>
            </w:pPr>
          </w:p>
          <w:p w:rsidR="00F477B2" w:rsidRPr="00C5187B" w:rsidRDefault="00F477B2" w:rsidP="00364B3C">
            <w:pPr>
              <w:tabs>
                <w:tab w:val="left" w:pos="571"/>
              </w:tabs>
              <w:rPr>
                <w:rFonts w:ascii="Arial Narrow" w:hAnsi="Arial Narrow"/>
                <w:sz w:val="20"/>
              </w:rPr>
            </w:pPr>
            <w:r w:rsidRPr="00C5187B">
              <w:rPr>
                <w:rFonts w:ascii="Arial Narrow" w:hAnsi="Arial Narrow"/>
                <w:sz w:val="20"/>
              </w:rPr>
              <w:t>No increase in the maximum number of repeats may be authorised.</w:t>
            </w:r>
          </w:p>
          <w:p w:rsidR="00F477B2" w:rsidRPr="00C5187B" w:rsidRDefault="00F477B2" w:rsidP="00364B3C">
            <w:pPr>
              <w:tabs>
                <w:tab w:val="left" w:pos="571"/>
              </w:tabs>
              <w:rPr>
                <w:rFonts w:ascii="Arial Narrow" w:hAnsi="Arial Narrow"/>
                <w:sz w:val="20"/>
              </w:rPr>
            </w:pPr>
          </w:p>
          <w:p w:rsidR="00F477B2" w:rsidRPr="00172C40" w:rsidRDefault="00F477B2" w:rsidP="00364B3C">
            <w:pPr>
              <w:tabs>
                <w:tab w:val="left" w:pos="571"/>
              </w:tabs>
              <w:rPr>
                <w:rFonts w:ascii="Arial Narrow" w:hAnsi="Arial Narrow"/>
                <w:sz w:val="20"/>
              </w:rPr>
            </w:pPr>
            <w:r w:rsidRPr="00C5187B">
              <w:rPr>
                <w:rFonts w:ascii="Arial Narrow" w:hAnsi="Arial Narrow"/>
                <w:sz w:val="20"/>
              </w:rPr>
              <w:t>Special Pricing Arrangements apply.</w:t>
            </w:r>
          </w:p>
        </w:tc>
      </w:tr>
    </w:tbl>
    <w:p w:rsidR="00F477B2" w:rsidRDefault="00F477B2" w:rsidP="00F477B2">
      <w:pPr>
        <w:rPr>
          <w:rFonts w:cs="Arial"/>
          <w:bCs/>
          <w:snapToGrid w:val="0"/>
          <w:lang w:val="en-GB"/>
        </w:rPr>
      </w:pPr>
    </w:p>
    <w:p w:rsidR="00F477B2" w:rsidRDefault="00F477B2" w:rsidP="00F477B2">
      <w:pPr>
        <w:rPr>
          <w:rFonts w:cs="Arial"/>
          <w:bCs/>
          <w:snapToGrid w:val="0"/>
          <w:lang w:val="en-GB"/>
        </w:rPr>
      </w:pPr>
    </w:p>
    <w:p w:rsidR="00F477B2" w:rsidRDefault="00F477B2" w:rsidP="00F477B2">
      <w:r>
        <w:br w:type="page"/>
      </w:r>
    </w:p>
    <w:tbl>
      <w:tblPr>
        <w:tblW w:w="4909" w:type="pct"/>
        <w:tblInd w:w="170" w:type="dxa"/>
        <w:tblCellMar>
          <w:left w:w="28" w:type="dxa"/>
          <w:right w:w="28" w:type="dxa"/>
        </w:tblCellMar>
        <w:tblLook w:val="04A0" w:firstRow="1" w:lastRow="0" w:firstColumn="1" w:lastColumn="0" w:noHBand="0" w:noVBand="1"/>
      </w:tblPr>
      <w:tblGrid>
        <w:gridCol w:w="2154"/>
        <w:gridCol w:w="678"/>
        <w:gridCol w:w="851"/>
        <w:gridCol w:w="567"/>
        <w:gridCol w:w="1133"/>
        <w:gridCol w:w="139"/>
        <w:gridCol w:w="2069"/>
        <w:gridCol w:w="1327"/>
      </w:tblGrid>
      <w:tr w:rsidR="00F477B2" w:rsidRPr="004F5586" w:rsidTr="00364B3C">
        <w:trPr>
          <w:cantSplit/>
          <w:trHeight w:val="20"/>
        </w:trPr>
        <w:tc>
          <w:tcPr>
            <w:tcW w:w="1588" w:type="pct"/>
            <w:gridSpan w:val="2"/>
            <w:tcBorders>
              <w:bottom w:val="single" w:sz="4" w:space="0" w:color="auto"/>
            </w:tcBorders>
            <w:hideMark/>
          </w:tcPr>
          <w:p w:rsidR="00F477B2" w:rsidRPr="004F5586" w:rsidRDefault="00F477B2" w:rsidP="00364B3C">
            <w:pPr>
              <w:keepNext/>
              <w:rPr>
                <w:rFonts w:ascii="Arial Narrow" w:hAnsi="Arial Narrow"/>
                <w:b/>
                <w:sz w:val="20"/>
              </w:rPr>
            </w:pPr>
            <w:r w:rsidRPr="004F5586">
              <w:rPr>
                <w:rFonts w:ascii="Arial Narrow" w:hAnsi="Arial Narrow"/>
                <w:b/>
                <w:sz w:val="20"/>
              </w:rPr>
              <w:lastRenderedPageBreak/>
              <w:t>Name, Restriction,</w:t>
            </w:r>
          </w:p>
          <w:p w:rsidR="00F477B2" w:rsidRPr="004F5586" w:rsidRDefault="00F477B2" w:rsidP="00364B3C">
            <w:pPr>
              <w:keepNext/>
              <w:rPr>
                <w:rFonts w:ascii="Arial Narrow" w:hAnsi="Arial Narrow"/>
                <w:b/>
                <w:sz w:val="20"/>
              </w:rPr>
            </w:pPr>
            <w:r w:rsidRPr="004F5586">
              <w:rPr>
                <w:rFonts w:ascii="Arial Narrow" w:hAnsi="Arial Narrow"/>
                <w:b/>
                <w:sz w:val="20"/>
              </w:rPr>
              <w:t>Manner of administration and form</w:t>
            </w:r>
          </w:p>
        </w:tc>
        <w:tc>
          <w:tcPr>
            <w:tcW w:w="477" w:type="pct"/>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 xml:space="preserve">Max </w:t>
            </w:r>
            <w:proofErr w:type="spellStart"/>
            <w:r w:rsidRPr="004F5586">
              <w:rPr>
                <w:rFonts w:ascii="Arial Narrow" w:hAnsi="Arial Narrow"/>
                <w:b/>
                <w:sz w:val="20"/>
              </w:rPr>
              <w:t>qty</w:t>
            </w:r>
            <w:proofErr w:type="spellEnd"/>
            <w:r w:rsidRPr="004F5586">
              <w:rPr>
                <w:rFonts w:ascii="Arial Narrow" w:hAnsi="Arial Narrow"/>
                <w:b/>
                <w:sz w:val="20"/>
              </w:rPr>
              <w:t xml:space="preserve"> packs</w:t>
            </w:r>
          </w:p>
        </w:tc>
        <w:tc>
          <w:tcPr>
            <w:tcW w:w="318" w:type="pct"/>
            <w:tcBorders>
              <w:bottom w:val="single" w:sz="4" w:space="0" w:color="auto"/>
            </w:tcBorders>
          </w:tcPr>
          <w:p w:rsidR="00F477B2" w:rsidRPr="004F5586" w:rsidRDefault="00F477B2" w:rsidP="00364B3C">
            <w:pPr>
              <w:keepNext/>
              <w:jc w:val="center"/>
              <w:rPr>
                <w:rFonts w:ascii="Arial Narrow" w:hAnsi="Arial Narrow"/>
                <w:b/>
                <w:sz w:val="20"/>
              </w:rPr>
            </w:pPr>
            <w:r w:rsidRPr="004F5586">
              <w:rPr>
                <w:rFonts w:ascii="Arial Narrow" w:hAnsi="Arial Narrow"/>
                <w:b/>
                <w:sz w:val="20"/>
              </w:rPr>
              <w:t xml:space="preserve">Max </w:t>
            </w:r>
            <w:proofErr w:type="spellStart"/>
            <w:r w:rsidRPr="004F5586">
              <w:rPr>
                <w:rFonts w:ascii="Arial Narrow" w:hAnsi="Arial Narrow"/>
                <w:b/>
                <w:sz w:val="20"/>
              </w:rPr>
              <w:t>qty</w:t>
            </w:r>
            <w:proofErr w:type="spellEnd"/>
            <w:r w:rsidRPr="004F5586">
              <w:rPr>
                <w:rFonts w:ascii="Arial Narrow" w:hAnsi="Arial Narrow"/>
                <w:b/>
                <w:sz w:val="20"/>
              </w:rPr>
              <w:t xml:space="preserve"> units</w:t>
            </w:r>
          </w:p>
        </w:tc>
        <w:tc>
          <w:tcPr>
            <w:tcW w:w="635" w:type="pct"/>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№.of</w:t>
            </w:r>
          </w:p>
          <w:p w:rsidR="00F477B2" w:rsidRPr="004F5586" w:rsidRDefault="00F477B2" w:rsidP="00364B3C">
            <w:pPr>
              <w:keepNext/>
              <w:jc w:val="center"/>
              <w:rPr>
                <w:rFonts w:ascii="Arial Narrow" w:hAnsi="Arial Narrow"/>
                <w:b/>
                <w:sz w:val="20"/>
              </w:rPr>
            </w:pPr>
            <w:r w:rsidRPr="004F5586">
              <w:rPr>
                <w:rFonts w:ascii="Arial Narrow" w:hAnsi="Arial Narrow"/>
                <w:b/>
                <w:sz w:val="20"/>
              </w:rPr>
              <w:t>Rpts</w:t>
            </w:r>
          </w:p>
        </w:tc>
        <w:tc>
          <w:tcPr>
            <w:tcW w:w="78" w:type="pct"/>
            <w:tcBorders>
              <w:bottom w:val="single" w:sz="4" w:space="0" w:color="auto"/>
            </w:tcBorders>
            <w:hideMark/>
          </w:tcPr>
          <w:p w:rsidR="00F477B2" w:rsidRPr="004F5586" w:rsidRDefault="00F477B2" w:rsidP="00364B3C">
            <w:pPr>
              <w:keepNext/>
              <w:jc w:val="center"/>
              <w:rPr>
                <w:rFonts w:ascii="Arial Narrow" w:hAnsi="Arial Narrow"/>
                <w:b/>
                <w:sz w:val="20"/>
              </w:rPr>
            </w:pPr>
          </w:p>
        </w:tc>
        <w:tc>
          <w:tcPr>
            <w:tcW w:w="1904" w:type="pct"/>
            <w:gridSpan w:val="2"/>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Proprietary Name and Manufacturer</w:t>
            </w:r>
          </w:p>
        </w:tc>
      </w:tr>
      <w:tr w:rsidR="00F477B2" w:rsidRPr="004F5586" w:rsidTr="00364B3C">
        <w:trPr>
          <w:cantSplit/>
          <w:trHeight w:val="20"/>
        </w:trPr>
        <w:tc>
          <w:tcPr>
            <w:tcW w:w="1588" w:type="pct"/>
            <w:gridSpan w:val="2"/>
            <w:tcBorders>
              <w:top w:val="single" w:sz="4" w:space="0" w:color="auto"/>
              <w:bottom w:val="single" w:sz="4" w:space="0" w:color="auto"/>
            </w:tcBorders>
            <w:vAlign w:val="center"/>
            <w:hideMark/>
          </w:tcPr>
          <w:p w:rsidR="00F477B2" w:rsidRDefault="00F477B2" w:rsidP="00364B3C">
            <w:pPr>
              <w:keepNext/>
              <w:jc w:val="left"/>
              <w:rPr>
                <w:rFonts w:ascii="Arial Narrow" w:hAnsi="Arial Narrow"/>
                <w:smallCaps/>
                <w:sz w:val="20"/>
              </w:rPr>
            </w:pPr>
            <w:r w:rsidRPr="009B2196">
              <w:rPr>
                <w:rFonts w:ascii="Arial Narrow" w:hAnsi="Arial Narrow"/>
                <w:smallCaps/>
                <w:sz w:val="20"/>
              </w:rPr>
              <w:t>SOFOSBUVIR + VELPATASVIR &amp; VOXILAPREVIR</w:t>
            </w:r>
          </w:p>
          <w:p w:rsidR="00F477B2" w:rsidRDefault="00F477B2" w:rsidP="00364B3C">
            <w:pPr>
              <w:keepNext/>
              <w:jc w:val="left"/>
              <w:rPr>
                <w:rFonts w:ascii="Arial Narrow" w:hAnsi="Arial Narrow"/>
                <w:smallCaps/>
                <w:sz w:val="20"/>
              </w:rPr>
            </w:pPr>
          </w:p>
          <w:p w:rsidR="00F477B2" w:rsidRPr="004F5586" w:rsidRDefault="00F477B2" w:rsidP="00364B3C">
            <w:pPr>
              <w:keepNext/>
              <w:jc w:val="left"/>
              <w:rPr>
                <w:rFonts w:ascii="Arial Narrow" w:hAnsi="Arial Narrow"/>
                <w:sz w:val="20"/>
              </w:rPr>
            </w:pPr>
            <w:r w:rsidRPr="004F5586">
              <w:rPr>
                <w:rFonts w:ascii="Arial Narrow" w:hAnsi="Arial Narrow"/>
                <w:sz w:val="20"/>
              </w:rPr>
              <w:t xml:space="preserve">Tablet </w:t>
            </w:r>
            <w:r w:rsidRPr="009B2196">
              <w:rPr>
                <w:rFonts w:ascii="Arial Narrow" w:hAnsi="Arial Narrow"/>
                <w:sz w:val="20"/>
              </w:rPr>
              <w:t>400mg/100mg/100mg</w:t>
            </w:r>
            <w:r>
              <w:rPr>
                <w:rFonts w:ascii="Arial Narrow" w:hAnsi="Arial Narrow"/>
                <w:sz w:val="20"/>
              </w:rPr>
              <w:t xml:space="preserve">, 28 </w:t>
            </w:r>
            <w:r w:rsidRPr="009B2196">
              <w:rPr>
                <w:rFonts w:ascii="Arial Narrow" w:hAnsi="Arial Narrow"/>
                <w:sz w:val="20"/>
              </w:rPr>
              <w:t xml:space="preserve"> </w:t>
            </w:r>
          </w:p>
        </w:tc>
        <w:tc>
          <w:tcPr>
            <w:tcW w:w="477"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sidRPr="004F5586">
              <w:rPr>
                <w:rFonts w:ascii="Arial Narrow" w:hAnsi="Arial Narrow"/>
                <w:sz w:val="20"/>
              </w:rPr>
              <w:t>1</w:t>
            </w:r>
          </w:p>
        </w:tc>
        <w:tc>
          <w:tcPr>
            <w:tcW w:w="318"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Pr>
                <w:rFonts w:ascii="Arial Narrow" w:hAnsi="Arial Narrow"/>
                <w:sz w:val="20"/>
              </w:rPr>
              <w:t>1</w:t>
            </w:r>
          </w:p>
        </w:tc>
        <w:tc>
          <w:tcPr>
            <w:tcW w:w="635"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Pr>
                <w:rFonts w:ascii="Arial Narrow" w:hAnsi="Arial Narrow"/>
                <w:sz w:val="20"/>
              </w:rPr>
              <w:t>2</w:t>
            </w:r>
          </w:p>
        </w:tc>
        <w:tc>
          <w:tcPr>
            <w:tcW w:w="78" w:type="pct"/>
            <w:tcBorders>
              <w:top w:val="single" w:sz="4" w:space="0" w:color="auto"/>
              <w:bottom w:val="single" w:sz="4" w:space="0" w:color="auto"/>
            </w:tcBorders>
            <w:vAlign w:val="center"/>
          </w:tcPr>
          <w:p w:rsidR="00F477B2" w:rsidRPr="004F5586" w:rsidRDefault="00F477B2" w:rsidP="00364B3C">
            <w:pPr>
              <w:keepNext/>
              <w:jc w:val="center"/>
              <w:rPr>
                <w:rFonts w:ascii="Arial Narrow" w:hAnsi="Arial Narrow"/>
                <w:sz w:val="20"/>
              </w:rPr>
            </w:pPr>
          </w:p>
        </w:tc>
        <w:tc>
          <w:tcPr>
            <w:tcW w:w="1160" w:type="pct"/>
            <w:tcBorders>
              <w:top w:val="single" w:sz="4" w:space="0" w:color="auto"/>
              <w:bottom w:val="single" w:sz="4" w:space="0" w:color="auto"/>
            </w:tcBorders>
            <w:vAlign w:val="center"/>
            <w:hideMark/>
          </w:tcPr>
          <w:p w:rsidR="00F477B2" w:rsidRPr="0055625E" w:rsidRDefault="00F477B2" w:rsidP="00364B3C">
            <w:pPr>
              <w:keepNext/>
              <w:jc w:val="center"/>
              <w:rPr>
                <w:rFonts w:ascii="Arial Narrow" w:hAnsi="Arial Narrow"/>
                <w:sz w:val="20"/>
                <w:szCs w:val="20"/>
              </w:rPr>
            </w:pPr>
            <w:proofErr w:type="spellStart"/>
            <w:r>
              <w:rPr>
                <w:rFonts w:ascii="Arial Narrow" w:hAnsi="Arial Narrow"/>
                <w:sz w:val="20"/>
                <w:szCs w:val="20"/>
              </w:rPr>
              <w:t>Vosevi</w:t>
            </w:r>
            <w:proofErr w:type="spellEnd"/>
            <w:r w:rsidRPr="0055625E">
              <w:rPr>
                <w:rFonts w:ascii="Arial Narrow" w:hAnsi="Arial Narrow"/>
                <w:sz w:val="20"/>
                <w:szCs w:val="20"/>
                <w:vertAlign w:val="superscript"/>
              </w:rPr>
              <w:t>®</w:t>
            </w:r>
          </w:p>
        </w:tc>
        <w:tc>
          <w:tcPr>
            <w:tcW w:w="744" w:type="pct"/>
            <w:tcBorders>
              <w:top w:val="single" w:sz="4" w:space="0" w:color="auto"/>
              <w:bottom w:val="single" w:sz="4" w:space="0" w:color="auto"/>
            </w:tcBorders>
            <w:vAlign w:val="center"/>
            <w:hideMark/>
          </w:tcPr>
          <w:p w:rsidR="00F477B2" w:rsidRPr="004F5586" w:rsidRDefault="00F477B2" w:rsidP="00364B3C">
            <w:pPr>
              <w:keepNext/>
              <w:jc w:val="center"/>
              <w:rPr>
                <w:rFonts w:ascii="Arial Narrow" w:hAnsi="Arial Narrow"/>
                <w:sz w:val="20"/>
              </w:rPr>
            </w:pPr>
            <w:r w:rsidRPr="009B2196">
              <w:rPr>
                <w:rFonts w:ascii="Arial Narrow" w:hAnsi="Arial Narrow"/>
                <w:sz w:val="20"/>
              </w:rPr>
              <w:t>Gilead Sciences Pty Limited</w:t>
            </w:r>
          </w:p>
        </w:tc>
      </w:tr>
      <w:tr w:rsidR="00F477B2" w:rsidRPr="004F5586" w:rsidTr="00364B3C">
        <w:tblPrEx>
          <w:tblLook w:val="0000" w:firstRow="0" w:lastRow="0" w:firstColumn="0" w:lastColumn="0" w:noHBand="0" w:noVBand="0"/>
        </w:tblPrEx>
        <w:trPr>
          <w:cantSplit/>
          <w:trHeight w:val="345"/>
        </w:trPr>
        <w:tc>
          <w:tcPr>
            <w:tcW w:w="1208" w:type="pct"/>
            <w:tcBorders>
              <w:top w:val="single" w:sz="4" w:space="0" w:color="auto"/>
              <w:left w:val="single" w:sz="4" w:space="0" w:color="auto"/>
              <w:bottom w:val="single" w:sz="4" w:space="0" w:color="auto"/>
              <w:right w:val="single" w:sz="4" w:space="0" w:color="auto"/>
            </w:tcBorders>
          </w:tcPr>
          <w:p w:rsidR="00F477B2" w:rsidRPr="00E60BEE" w:rsidRDefault="00F477B2" w:rsidP="00364B3C">
            <w:pPr>
              <w:rPr>
                <w:rFonts w:ascii="Arial Narrow" w:hAnsi="Arial Narrow"/>
                <w:b/>
                <w:sz w:val="20"/>
              </w:rPr>
            </w:pPr>
            <w:r w:rsidRPr="004F5586">
              <w:rPr>
                <w:rFonts w:ascii="Arial Narrow" w:hAnsi="Arial Narrow"/>
                <w:b/>
                <w:sz w:val="20"/>
              </w:rPr>
              <w:t>Category/ Program</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E60BEE" w:rsidRDefault="00F477B2" w:rsidP="00364B3C">
            <w:pPr>
              <w:rPr>
                <w:rFonts w:ascii="Arial Narrow" w:hAnsi="Arial Narrow"/>
                <w:sz w:val="20"/>
              </w:rPr>
            </w:pPr>
            <w:r>
              <w:rPr>
                <w:rFonts w:ascii="Arial Narrow" w:hAnsi="Arial Narrow"/>
                <w:sz w:val="20"/>
              </w:rPr>
              <w:t>Section 100 – Highly Specialised Drugs Program – Private Hospitals (Code HS)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Prescriber type</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Dental  </w:t>
            </w:r>
            <w:r w:rsidRPr="004F5586">
              <w:rPr>
                <w:rFonts w:ascii="Arial Narrow" w:hAnsi="Arial Narrow"/>
                <w:sz w:val="20"/>
              </w:rPr>
              <w:fldChar w:fldCharType="begin">
                <w:ffData>
                  <w:name w:val=""/>
                  <w:enabled/>
                  <w:calcOnExit w:val="0"/>
                  <w:checkBox>
                    <w:sizeAuto/>
                    <w:default w:val="1"/>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 xml:space="preserve">Nurse practitioners  </w:t>
            </w: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Optometrists </w:t>
            </w: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Midwives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Severity:</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t>Chronic</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Condition: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9B2196" w:rsidRDefault="00F477B2" w:rsidP="00364B3C">
            <w:pPr>
              <w:rPr>
                <w:rFonts w:ascii="Arial Narrow" w:hAnsi="Arial Narrow"/>
                <w:sz w:val="20"/>
              </w:rPr>
            </w:pPr>
            <w:r w:rsidRPr="009B2196">
              <w:rPr>
                <w:rFonts w:ascii="Arial Narrow" w:hAnsi="Arial Narrow"/>
                <w:sz w:val="20"/>
              </w:rPr>
              <w:t>Hepatitis C infection</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PBS Indication: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9B2196" w:rsidRDefault="00F477B2" w:rsidP="00364B3C">
            <w:pPr>
              <w:rPr>
                <w:rFonts w:ascii="Arial Narrow" w:hAnsi="Arial Narrow"/>
                <w:sz w:val="20"/>
              </w:rPr>
            </w:pPr>
            <w:r w:rsidRPr="009B2196">
              <w:rPr>
                <w:rFonts w:ascii="Arial Narrow" w:hAnsi="Arial Narrow"/>
                <w:sz w:val="20"/>
              </w:rPr>
              <w:t>Chronic Hepatitis C infection</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b/>
                <w:sz w:val="20"/>
              </w:rPr>
              <w:t>Restriction: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Restricted benefit</w:t>
            </w:r>
          </w:p>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In Writing</w:t>
            </w:r>
          </w:p>
          <w:p w:rsidR="00F477B2" w:rsidRPr="004F5586" w:rsidRDefault="00F477B2" w:rsidP="00364B3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Telephone</w:t>
            </w:r>
          </w:p>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Emergency</w:t>
            </w:r>
          </w:p>
          <w:p w:rsidR="00F477B2" w:rsidRPr="004F5586" w:rsidRDefault="00F477B2" w:rsidP="00364B3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Electronic</w:t>
            </w:r>
          </w:p>
          <w:p w:rsidR="00F477B2" w:rsidRPr="004F5586" w:rsidRDefault="00F477B2" w:rsidP="00364B3C">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Streamlined</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b/>
                <w:sz w:val="20"/>
              </w:rPr>
              <w:t>Clinical criteria:</w:t>
            </w:r>
          </w:p>
        </w:tc>
        <w:tc>
          <w:tcPr>
            <w:tcW w:w="3792" w:type="pct"/>
            <w:gridSpan w:val="7"/>
            <w:tcBorders>
              <w:top w:val="single" w:sz="4" w:space="0" w:color="auto"/>
              <w:left w:val="single" w:sz="4" w:space="0" w:color="auto"/>
              <w:bottom w:val="single" w:sz="4" w:space="0" w:color="auto"/>
              <w:right w:val="single" w:sz="4" w:space="0" w:color="auto"/>
            </w:tcBorders>
          </w:tcPr>
          <w:p w:rsidR="00F477B2" w:rsidRDefault="00F477B2" w:rsidP="00364B3C">
            <w:pPr>
              <w:rPr>
                <w:rFonts w:ascii="Arial Narrow" w:hAnsi="Arial Narrow"/>
                <w:sz w:val="20"/>
              </w:rPr>
            </w:pPr>
            <w:r w:rsidRPr="004F5586">
              <w:rPr>
                <w:rFonts w:ascii="Arial Narrow" w:hAnsi="Arial Narrow"/>
                <w:sz w:val="20"/>
              </w:rPr>
              <w:t>Patient must meet the criteria set out in the General Statement for Drugs for the Treatment of Hepatitis C;</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AND</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AND</w:t>
            </w:r>
          </w:p>
          <w:p w:rsidR="00F477B2" w:rsidRPr="004F5586" w:rsidRDefault="00F477B2" w:rsidP="00364B3C">
            <w:pPr>
              <w:rPr>
                <w:rFonts w:ascii="Arial Narrow" w:hAnsi="Arial Narrow"/>
                <w:sz w:val="20"/>
              </w:rPr>
            </w:pPr>
          </w:p>
          <w:p w:rsidR="00F477B2" w:rsidRPr="004F5586" w:rsidRDefault="00F477B2" w:rsidP="00364B3C">
            <w:pPr>
              <w:rPr>
                <w:rFonts w:ascii="Arial Narrow" w:hAnsi="Arial Narrow"/>
                <w:sz w:val="20"/>
              </w:rPr>
            </w:pPr>
            <w:r w:rsidRPr="004F5586">
              <w:rPr>
                <w:rFonts w:ascii="Arial Narrow" w:hAnsi="Arial Narrow"/>
                <w:sz w:val="20"/>
              </w:rPr>
              <w:t>The treatment must be limited to a maximum duratio</w:t>
            </w:r>
            <w:r>
              <w:rPr>
                <w:rFonts w:ascii="Arial Narrow" w:hAnsi="Arial Narrow"/>
                <w:sz w:val="20"/>
              </w:rPr>
              <w:t>n of 12</w:t>
            </w:r>
            <w:r w:rsidRPr="004F5586">
              <w:rPr>
                <w:rFonts w:ascii="Arial Narrow" w:hAnsi="Arial Narrow"/>
                <w:sz w:val="20"/>
              </w:rPr>
              <w:t xml:space="preserve"> weeks.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172C40" w:rsidRDefault="00F477B2" w:rsidP="00364B3C">
            <w:pPr>
              <w:rPr>
                <w:rFonts w:ascii="Arial Narrow" w:hAnsi="Arial Narrow"/>
                <w:b/>
                <w:sz w:val="20"/>
              </w:rPr>
            </w:pPr>
            <w:r w:rsidRPr="00172C40">
              <w:rPr>
                <w:rFonts w:ascii="Arial Narrow" w:hAnsi="Arial Narrow"/>
                <w:b/>
                <w:sz w:val="20"/>
              </w:rPr>
              <w:t>Administrative Advice</w:t>
            </w:r>
          </w:p>
          <w:p w:rsidR="00F477B2" w:rsidRPr="00172C40" w:rsidRDefault="00F477B2" w:rsidP="00364B3C">
            <w:pPr>
              <w:rPr>
                <w:rFonts w:ascii="Arial Narrow" w:hAnsi="Arial Narrow"/>
                <w:i/>
                <w:sz w:val="20"/>
              </w:rPr>
            </w:pPr>
          </w:p>
        </w:tc>
        <w:tc>
          <w:tcPr>
            <w:tcW w:w="3792" w:type="pct"/>
            <w:gridSpan w:val="7"/>
            <w:tcBorders>
              <w:top w:val="single" w:sz="4" w:space="0" w:color="auto"/>
              <w:left w:val="single" w:sz="4" w:space="0" w:color="auto"/>
              <w:bottom w:val="single" w:sz="4" w:space="0" w:color="auto"/>
              <w:right w:val="single" w:sz="4" w:space="0" w:color="auto"/>
            </w:tcBorders>
          </w:tcPr>
          <w:p w:rsidR="00F477B2" w:rsidRPr="00C5187B" w:rsidRDefault="00F477B2" w:rsidP="00364B3C">
            <w:pPr>
              <w:rPr>
                <w:rFonts w:ascii="Arial Narrow" w:hAnsi="Arial Narrow"/>
                <w:sz w:val="20"/>
              </w:rPr>
            </w:pPr>
            <w:r w:rsidRPr="00C5187B">
              <w:rPr>
                <w:rFonts w:ascii="Arial Narrow" w:hAnsi="Arial Narrow"/>
                <w:sz w:val="20"/>
              </w:rPr>
              <w:t>No increase in the maximum quantity or number of units may be authorised.</w:t>
            </w:r>
          </w:p>
          <w:p w:rsidR="00F477B2" w:rsidRPr="00C5187B" w:rsidRDefault="00F477B2" w:rsidP="00364B3C">
            <w:pPr>
              <w:rPr>
                <w:rFonts w:ascii="Arial Narrow" w:hAnsi="Arial Narrow"/>
                <w:sz w:val="20"/>
              </w:rPr>
            </w:pPr>
          </w:p>
          <w:p w:rsidR="00F477B2" w:rsidRPr="00C5187B" w:rsidRDefault="00F477B2" w:rsidP="00364B3C">
            <w:pPr>
              <w:tabs>
                <w:tab w:val="left" w:pos="571"/>
              </w:tabs>
              <w:rPr>
                <w:rFonts w:ascii="Arial Narrow" w:hAnsi="Arial Narrow"/>
                <w:sz w:val="20"/>
              </w:rPr>
            </w:pPr>
            <w:r w:rsidRPr="00C5187B">
              <w:rPr>
                <w:rFonts w:ascii="Arial Narrow" w:hAnsi="Arial Narrow"/>
                <w:sz w:val="20"/>
              </w:rPr>
              <w:t>No increase in the maximum number of repeats may be authorised.</w:t>
            </w:r>
          </w:p>
          <w:p w:rsidR="00F477B2" w:rsidRPr="00C5187B" w:rsidRDefault="00F477B2" w:rsidP="00364B3C">
            <w:pPr>
              <w:tabs>
                <w:tab w:val="left" w:pos="571"/>
              </w:tabs>
              <w:rPr>
                <w:rFonts w:ascii="Arial Narrow" w:hAnsi="Arial Narrow"/>
                <w:sz w:val="20"/>
              </w:rPr>
            </w:pPr>
          </w:p>
          <w:p w:rsidR="00F477B2" w:rsidRPr="00172C40" w:rsidRDefault="00F477B2" w:rsidP="00364B3C">
            <w:pPr>
              <w:tabs>
                <w:tab w:val="left" w:pos="571"/>
              </w:tabs>
              <w:rPr>
                <w:rFonts w:ascii="Arial Narrow" w:hAnsi="Arial Narrow"/>
                <w:sz w:val="20"/>
              </w:rPr>
            </w:pPr>
            <w:r w:rsidRPr="00C5187B">
              <w:rPr>
                <w:rFonts w:ascii="Arial Narrow" w:hAnsi="Arial Narrow"/>
                <w:sz w:val="20"/>
              </w:rPr>
              <w:t>Special Pricing Arrangements apply.</w:t>
            </w:r>
          </w:p>
        </w:tc>
      </w:tr>
    </w:tbl>
    <w:p w:rsidR="00F477B2" w:rsidRDefault="00F477B2" w:rsidP="00F477B2">
      <w:pPr>
        <w:rPr>
          <w:rFonts w:cs="Arial"/>
          <w:bCs/>
          <w:snapToGrid w:val="0"/>
          <w:lang w:val="en-GB"/>
        </w:rPr>
      </w:pPr>
    </w:p>
    <w:p w:rsidR="00F477B2" w:rsidRDefault="00F477B2" w:rsidP="00F477B2">
      <w:pPr>
        <w:jc w:val="left"/>
        <w:rPr>
          <w:rFonts w:cs="Arial"/>
          <w:bCs/>
          <w:snapToGrid w:val="0"/>
          <w:lang w:val="en-GB"/>
        </w:rPr>
      </w:pPr>
      <w:r>
        <w:rPr>
          <w:rFonts w:cs="Arial"/>
          <w:bCs/>
          <w:snapToGrid w:val="0"/>
          <w:lang w:val="en-GB"/>
        </w:rPr>
        <w:br w:type="page"/>
      </w:r>
    </w:p>
    <w:tbl>
      <w:tblPr>
        <w:tblW w:w="4909" w:type="pct"/>
        <w:tblInd w:w="170" w:type="dxa"/>
        <w:tblCellMar>
          <w:left w:w="28" w:type="dxa"/>
          <w:right w:w="28" w:type="dxa"/>
        </w:tblCellMar>
        <w:tblLook w:val="04A0" w:firstRow="1" w:lastRow="0" w:firstColumn="1" w:lastColumn="0" w:noHBand="0" w:noVBand="1"/>
      </w:tblPr>
      <w:tblGrid>
        <w:gridCol w:w="2154"/>
        <w:gridCol w:w="678"/>
        <w:gridCol w:w="851"/>
        <w:gridCol w:w="567"/>
        <w:gridCol w:w="1133"/>
        <w:gridCol w:w="139"/>
        <w:gridCol w:w="2069"/>
        <w:gridCol w:w="1327"/>
      </w:tblGrid>
      <w:tr w:rsidR="00F477B2" w:rsidRPr="004F5586" w:rsidTr="00364B3C">
        <w:trPr>
          <w:cantSplit/>
          <w:trHeight w:val="20"/>
        </w:trPr>
        <w:tc>
          <w:tcPr>
            <w:tcW w:w="1588" w:type="pct"/>
            <w:gridSpan w:val="2"/>
            <w:tcBorders>
              <w:bottom w:val="single" w:sz="4" w:space="0" w:color="auto"/>
            </w:tcBorders>
            <w:hideMark/>
          </w:tcPr>
          <w:p w:rsidR="00F477B2" w:rsidRPr="004F5586" w:rsidRDefault="00F477B2" w:rsidP="00364B3C">
            <w:pPr>
              <w:keepNext/>
              <w:rPr>
                <w:rFonts w:ascii="Arial Narrow" w:hAnsi="Arial Narrow"/>
                <w:b/>
                <w:sz w:val="20"/>
              </w:rPr>
            </w:pPr>
            <w:r w:rsidRPr="004F5586">
              <w:rPr>
                <w:rFonts w:ascii="Arial Narrow" w:hAnsi="Arial Narrow"/>
                <w:b/>
                <w:sz w:val="20"/>
              </w:rPr>
              <w:lastRenderedPageBreak/>
              <w:t>Name, Restriction,</w:t>
            </w:r>
          </w:p>
          <w:p w:rsidR="00F477B2" w:rsidRPr="004F5586" w:rsidRDefault="00F477B2" w:rsidP="00364B3C">
            <w:pPr>
              <w:keepNext/>
              <w:rPr>
                <w:rFonts w:ascii="Arial Narrow" w:hAnsi="Arial Narrow"/>
                <w:b/>
                <w:sz w:val="20"/>
              </w:rPr>
            </w:pPr>
            <w:r w:rsidRPr="004F5586">
              <w:rPr>
                <w:rFonts w:ascii="Arial Narrow" w:hAnsi="Arial Narrow"/>
                <w:b/>
                <w:sz w:val="20"/>
              </w:rPr>
              <w:t>Manner of administration and form</w:t>
            </w:r>
          </w:p>
        </w:tc>
        <w:tc>
          <w:tcPr>
            <w:tcW w:w="477" w:type="pct"/>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 xml:space="preserve">Max </w:t>
            </w:r>
            <w:proofErr w:type="spellStart"/>
            <w:r w:rsidRPr="004F5586">
              <w:rPr>
                <w:rFonts w:ascii="Arial Narrow" w:hAnsi="Arial Narrow"/>
                <w:b/>
                <w:sz w:val="20"/>
              </w:rPr>
              <w:t>qty</w:t>
            </w:r>
            <w:proofErr w:type="spellEnd"/>
            <w:r w:rsidRPr="004F5586">
              <w:rPr>
                <w:rFonts w:ascii="Arial Narrow" w:hAnsi="Arial Narrow"/>
                <w:b/>
                <w:sz w:val="20"/>
              </w:rPr>
              <w:t xml:space="preserve"> packs</w:t>
            </w:r>
          </w:p>
        </w:tc>
        <w:tc>
          <w:tcPr>
            <w:tcW w:w="318" w:type="pct"/>
            <w:tcBorders>
              <w:bottom w:val="single" w:sz="4" w:space="0" w:color="auto"/>
            </w:tcBorders>
          </w:tcPr>
          <w:p w:rsidR="00F477B2" w:rsidRPr="004F5586" w:rsidRDefault="00F477B2" w:rsidP="00364B3C">
            <w:pPr>
              <w:keepNext/>
              <w:jc w:val="center"/>
              <w:rPr>
                <w:rFonts w:ascii="Arial Narrow" w:hAnsi="Arial Narrow"/>
                <w:b/>
                <w:sz w:val="20"/>
              </w:rPr>
            </w:pPr>
            <w:r w:rsidRPr="004F5586">
              <w:rPr>
                <w:rFonts w:ascii="Arial Narrow" w:hAnsi="Arial Narrow"/>
                <w:b/>
                <w:sz w:val="20"/>
              </w:rPr>
              <w:t xml:space="preserve">Max </w:t>
            </w:r>
            <w:proofErr w:type="spellStart"/>
            <w:r w:rsidRPr="004F5586">
              <w:rPr>
                <w:rFonts w:ascii="Arial Narrow" w:hAnsi="Arial Narrow"/>
                <w:b/>
                <w:sz w:val="20"/>
              </w:rPr>
              <w:t>qty</w:t>
            </w:r>
            <w:proofErr w:type="spellEnd"/>
            <w:r w:rsidRPr="004F5586">
              <w:rPr>
                <w:rFonts w:ascii="Arial Narrow" w:hAnsi="Arial Narrow"/>
                <w:b/>
                <w:sz w:val="20"/>
              </w:rPr>
              <w:t xml:space="preserve"> units</w:t>
            </w:r>
          </w:p>
        </w:tc>
        <w:tc>
          <w:tcPr>
            <w:tcW w:w="635" w:type="pct"/>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№.of</w:t>
            </w:r>
          </w:p>
          <w:p w:rsidR="00F477B2" w:rsidRPr="004F5586" w:rsidRDefault="00F477B2" w:rsidP="00364B3C">
            <w:pPr>
              <w:keepNext/>
              <w:jc w:val="center"/>
              <w:rPr>
                <w:rFonts w:ascii="Arial Narrow" w:hAnsi="Arial Narrow"/>
                <w:b/>
                <w:sz w:val="20"/>
              </w:rPr>
            </w:pPr>
            <w:r w:rsidRPr="004F5586">
              <w:rPr>
                <w:rFonts w:ascii="Arial Narrow" w:hAnsi="Arial Narrow"/>
                <w:b/>
                <w:sz w:val="20"/>
              </w:rPr>
              <w:t>Rpts</w:t>
            </w:r>
          </w:p>
        </w:tc>
        <w:tc>
          <w:tcPr>
            <w:tcW w:w="78" w:type="pct"/>
            <w:tcBorders>
              <w:bottom w:val="single" w:sz="4" w:space="0" w:color="auto"/>
            </w:tcBorders>
            <w:hideMark/>
          </w:tcPr>
          <w:p w:rsidR="00F477B2" w:rsidRPr="004F5586" w:rsidRDefault="00F477B2" w:rsidP="00364B3C">
            <w:pPr>
              <w:keepNext/>
              <w:jc w:val="center"/>
              <w:rPr>
                <w:rFonts w:ascii="Arial Narrow" w:hAnsi="Arial Narrow"/>
                <w:b/>
                <w:sz w:val="20"/>
              </w:rPr>
            </w:pPr>
          </w:p>
        </w:tc>
        <w:tc>
          <w:tcPr>
            <w:tcW w:w="1904" w:type="pct"/>
            <w:gridSpan w:val="2"/>
            <w:tcBorders>
              <w:bottom w:val="single" w:sz="4" w:space="0" w:color="auto"/>
            </w:tcBorders>
            <w:hideMark/>
          </w:tcPr>
          <w:p w:rsidR="00F477B2" w:rsidRPr="004F5586" w:rsidRDefault="00F477B2" w:rsidP="00364B3C">
            <w:pPr>
              <w:keepNext/>
              <w:jc w:val="center"/>
              <w:rPr>
                <w:rFonts w:ascii="Arial Narrow" w:hAnsi="Arial Narrow"/>
                <w:b/>
                <w:sz w:val="20"/>
              </w:rPr>
            </w:pPr>
            <w:r w:rsidRPr="004F5586">
              <w:rPr>
                <w:rFonts w:ascii="Arial Narrow" w:hAnsi="Arial Narrow"/>
                <w:b/>
                <w:sz w:val="20"/>
              </w:rPr>
              <w:t>Proprietary Name and Manufacturer</w:t>
            </w:r>
          </w:p>
        </w:tc>
      </w:tr>
      <w:tr w:rsidR="00F477B2" w:rsidRPr="004F5586" w:rsidTr="00364B3C">
        <w:trPr>
          <w:cantSplit/>
          <w:trHeight w:val="20"/>
        </w:trPr>
        <w:tc>
          <w:tcPr>
            <w:tcW w:w="1588" w:type="pct"/>
            <w:gridSpan w:val="2"/>
            <w:tcBorders>
              <w:top w:val="single" w:sz="4" w:space="0" w:color="auto"/>
              <w:bottom w:val="single" w:sz="4" w:space="0" w:color="auto"/>
            </w:tcBorders>
            <w:vAlign w:val="center"/>
            <w:hideMark/>
          </w:tcPr>
          <w:p w:rsidR="00F477B2" w:rsidRDefault="00F477B2" w:rsidP="00364B3C">
            <w:pPr>
              <w:keepNext/>
              <w:jc w:val="left"/>
              <w:rPr>
                <w:rFonts w:ascii="Arial Narrow" w:hAnsi="Arial Narrow"/>
                <w:smallCaps/>
                <w:sz w:val="20"/>
              </w:rPr>
            </w:pPr>
            <w:r w:rsidRPr="009B2196">
              <w:rPr>
                <w:rFonts w:ascii="Arial Narrow" w:hAnsi="Arial Narrow"/>
                <w:smallCaps/>
                <w:sz w:val="20"/>
              </w:rPr>
              <w:t>SOFOSBUVIR + VELPATASVIR &amp; VOXILAPREVIR</w:t>
            </w:r>
          </w:p>
          <w:p w:rsidR="00F477B2" w:rsidRDefault="00F477B2" w:rsidP="00364B3C">
            <w:pPr>
              <w:keepNext/>
              <w:jc w:val="left"/>
              <w:rPr>
                <w:rFonts w:ascii="Arial Narrow" w:hAnsi="Arial Narrow"/>
                <w:smallCaps/>
                <w:sz w:val="20"/>
              </w:rPr>
            </w:pPr>
          </w:p>
          <w:p w:rsidR="00F477B2" w:rsidRPr="004F5586" w:rsidRDefault="00F477B2" w:rsidP="00364B3C">
            <w:pPr>
              <w:keepNext/>
              <w:jc w:val="left"/>
              <w:rPr>
                <w:rFonts w:ascii="Arial Narrow" w:hAnsi="Arial Narrow"/>
                <w:sz w:val="20"/>
              </w:rPr>
            </w:pPr>
            <w:r w:rsidRPr="004F5586">
              <w:rPr>
                <w:rFonts w:ascii="Arial Narrow" w:hAnsi="Arial Narrow"/>
                <w:sz w:val="20"/>
              </w:rPr>
              <w:t xml:space="preserve">Tablet </w:t>
            </w:r>
            <w:r w:rsidRPr="009B2196">
              <w:rPr>
                <w:rFonts w:ascii="Arial Narrow" w:hAnsi="Arial Narrow"/>
                <w:sz w:val="20"/>
              </w:rPr>
              <w:t>400mg/100mg/100mg</w:t>
            </w:r>
            <w:r>
              <w:rPr>
                <w:rFonts w:ascii="Arial Narrow" w:hAnsi="Arial Narrow"/>
                <w:sz w:val="20"/>
              </w:rPr>
              <w:t xml:space="preserve">, 28 </w:t>
            </w:r>
            <w:r w:rsidRPr="009B2196">
              <w:rPr>
                <w:rFonts w:ascii="Arial Narrow" w:hAnsi="Arial Narrow"/>
                <w:sz w:val="20"/>
              </w:rPr>
              <w:t xml:space="preserve"> </w:t>
            </w:r>
          </w:p>
        </w:tc>
        <w:tc>
          <w:tcPr>
            <w:tcW w:w="477"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sidRPr="004F5586">
              <w:rPr>
                <w:rFonts w:ascii="Arial Narrow" w:hAnsi="Arial Narrow"/>
                <w:sz w:val="20"/>
              </w:rPr>
              <w:t>1</w:t>
            </w:r>
          </w:p>
        </w:tc>
        <w:tc>
          <w:tcPr>
            <w:tcW w:w="318"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Pr>
                <w:rFonts w:ascii="Arial Narrow" w:hAnsi="Arial Narrow"/>
                <w:sz w:val="20"/>
              </w:rPr>
              <w:t>1</w:t>
            </w:r>
          </w:p>
        </w:tc>
        <w:tc>
          <w:tcPr>
            <w:tcW w:w="635" w:type="pct"/>
            <w:tcBorders>
              <w:top w:val="single" w:sz="4" w:space="0" w:color="auto"/>
              <w:bottom w:val="single" w:sz="4" w:space="0" w:color="auto"/>
            </w:tcBorders>
            <w:vAlign w:val="center"/>
          </w:tcPr>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Default="00F477B2" w:rsidP="00364B3C">
            <w:pPr>
              <w:keepNext/>
              <w:jc w:val="center"/>
              <w:rPr>
                <w:rFonts w:ascii="Arial Narrow" w:hAnsi="Arial Narrow"/>
                <w:sz w:val="20"/>
              </w:rPr>
            </w:pPr>
          </w:p>
          <w:p w:rsidR="00F477B2" w:rsidRPr="004F5586" w:rsidRDefault="00F477B2" w:rsidP="00364B3C">
            <w:pPr>
              <w:keepNext/>
              <w:jc w:val="center"/>
              <w:rPr>
                <w:rFonts w:ascii="Arial Narrow" w:hAnsi="Arial Narrow"/>
                <w:sz w:val="20"/>
              </w:rPr>
            </w:pPr>
            <w:r>
              <w:rPr>
                <w:rFonts w:ascii="Arial Narrow" w:hAnsi="Arial Narrow"/>
                <w:sz w:val="20"/>
              </w:rPr>
              <w:t>2</w:t>
            </w:r>
          </w:p>
        </w:tc>
        <w:tc>
          <w:tcPr>
            <w:tcW w:w="78" w:type="pct"/>
            <w:tcBorders>
              <w:top w:val="single" w:sz="4" w:space="0" w:color="auto"/>
              <w:bottom w:val="single" w:sz="4" w:space="0" w:color="auto"/>
            </w:tcBorders>
            <w:vAlign w:val="center"/>
          </w:tcPr>
          <w:p w:rsidR="00F477B2" w:rsidRPr="004F5586" w:rsidRDefault="00F477B2" w:rsidP="00364B3C">
            <w:pPr>
              <w:keepNext/>
              <w:jc w:val="center"/>
              <w:rPr>
                <w:rFonts w:ascii="Arial Narrow" w:hAnsi="Arial Narrow"/>
                <w:sz w:val="20"/>
              </w:rPr>
            </w:pPr>
          </w:p>
        </w:tc>
        <w:tc>
          <w:tcPr>
            <w:tcW w:w="1160" w:type="pct"/>
            <w:tcBorders>
              <w:top w:val="single" w:sz="4" w:space="0" w:color="auto"/>
              <w:bottom w:val="single" w:sz="4" w:space="0" w:color="auto"/>
            </w:tcBorders>
            <w:vAlign w:val="center"/>
            <w:hideMark/>
          </w:tcPr>
          <w:p w:rsidR="00F477B2" w:rsidRPr="0055625E" w:rsidRDefault="00F477B2" w:rsidP="00364B3C">
            <w:pPr>
              <w:keepNext/>
              <w:jc w:val="center"/>
              <w:rPr>
                <w:rFonts w:ascii="Arial Narrow" w:hAnsi="Arial Narrow"/>
                <w:sz w:val="20"/>
                <w:szCs w:val="20"/>
              </w:rPr>
            </w:pPr>
            <w:proofErr w:type="spellStart"/>
            <w:r>
              <w:rPr>
                <w:rFonts w:ascii="Arial Narrow" w:hAnsi="Arial Narrow"/>
                <w:sz w:val="20"/>
                <w:szCs w:val="20"/>
              </w:rPr>
              <w:t>Vosevi</w:t>
            </w:r>
            <w:proofErr w:type="spellEnd"/>
            <w:r w:rsidRPr="0055625E">
              <w:rPr>
                <w:rFonts w:ascii="Arial Narrow" w:hAnsi="Arial Narrow"/>
                <w:sz w:val="20"/>
                <w:szCs w:val="20"/>
                <w:vertAlign w:val="superscript"/>
              </w:rPr>
              <w:t>®</w:t>
            </w:r>
          </w:p>
        </w:tc>
        <w:tc>
          <w:tcPr>
            <w:tcW w:w="744" w:type="pct"/>
            <w:tcBorders>
              <w:top w:val="single" w:sz="4" w:space="0" w:color="auto"/>
              <w:bottom w:val="single" w:sz="4" w:space="0" w:color="auto"/>
            </w:tcBorders>
            <w:vAlign w:val="center"/>
            <w:hideMark/>
          </w:tcPr>
          <w:p w:rsidR="00F477B2" w:rsidRPr="004F5586" w:rsidRDefault="00F477B2" w:rsidP="00364B3C">
            <w:pPr>
              <w:keepNext/>
              <w:jc w:val="center"/>
              <w:rPr>
                <w:rFonts w:ascii="Arial Narrow" w:hAnsi="Arial Narrow"/>
                <w:sz w:val="20"/>
              </w:rPr>
            </w:pPr>
            <w:r w:rsidRPr="009B2196">
              <w:rPr>
                <w:rFonts w:ascii="Arial Narrow" w:hAnsi="Arial Narrow"/>
                <w:sz w:val="20"/>
              </w:rPr>
              <w:t>Gilead Sciences Pty Limited</w:t>
            </w:r>
          </w:p>
        </w:tc>
      </w:tr>
      <w:tr w:rsidR="00F477B2" w:rsidRPr="004F5586" w:rsidTr="00364B3C">
        <w:tblPrEx>
          <w:tblLook w:val="0000" w:firstRow="0" w:lastRow="0" w:firstColumn="0" w:lastColumn="0" w:noHBand="0" w:noVBand="0"/>
        </w:tblPrEx>
        <w:trPr>
          <w:cantSplit/>
          <w:trHeight w:val="345"/>
        </w:trPr>
        <w:tc>
          <w:tcPr>
            <w:tcW w:w="1208" w:type="pct"/>
            <w:tcBorders>
              <w:top w:val="single" w:sz="4" w:space="0" w:color="auto"/>
              <w:left w:val="single" w:sz="4" w:space="0" w:color="auto"/>
              <w:bottom w:val="single" w:sz="4" w:space="0" w:color="auto"/>
              <w:right w:val="single" w:sz="4" w:space="0" w:color="auto"/>
            </w:tcBorders>
          </w:tcPr>
          <w:p w:rsidR="00F477B2" w:rsidRPr="00E60BEE" w:rsidRDefault="00F477B2" w:rsidP="00364B3C">
            <w:pPr>
              <w:rPr>
                <w:rFonts w:ascii="Arial Narrow" w:hAnsi="Arial Narrow"/>
                <w:b/>
                <w:sz w:val="20"/>
              </w:rPr>
            </w:pPr>
            <w:r w:rsidRPr="004F5586">
              <w:rPr>
                <w:rFonts w:ascii="Arial Narrow" w:hAnsi="Arial Narrow"/>
                <w:b/>
                <w:sz w:val="20"/>
              </w:rPr>
              <w:t>Category/ Program</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E60BEE" w:rsidRDefault="00F477B2" w:rsidP="00364B3C">
            <w:pPr>
              <w:rPr>
                <w:rFonts w:ascii="Arial Narrow" w:hAnsi="Arial Narrow"/>
                <w:sz w:val="20"/>
              </w:rPr>
            </w:pPr>
            <w:r>
              <w:rPr>
                <w:rFonts w:ascii="Arial Narrow" w:hAnsi="Arial Narrow"/>
                <w:sz w:val="20"/>
              </w:rPr>
              <w:t>Section 100 – Highly Specialised Drugs Program – Public Hospitals (Code HB)</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Prescriber type</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Dental  </w:t>
            </w:r>
            <w:r w:rsidRPr="004F5586">
              <w:rPr>
                <w:rFonts w:ascii="Arial Narrow" w:hAnsi="Arial Narrow"/>
                <w:sz w:val="20"/>
              </w:rPr>
              <w:fldChar w:fldCharType="begin">
                <w:ffData>
                  <w:name w:val=""/>
                  <w:enabled/>
                  <w:calcOnExit w:val="0"/>
                  <w:checkBox>
                    <w:sizeAuto/>
                    <w:default w:val="1"/>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 xml:space="preserve">Nurse practitioners  </w:t>
            </w: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 xml:space="preserve">Optometrists </w:t>
            </w:r>
            <w:r w:rsidRPr="004F5586">
              <w:rPr>
                <w:rFonts w:ascii="Arial Narrow" w:hAnsi="Arial Narrow"/>
                <w:sz w:val="20"/>
              </w:rPr>
              <w:fldChar w:fldCharType="begin">
                <w:ffData>
                  <w:name w:val="Check5"/>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Midwives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Severity:</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t>Chronic</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Condition: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9B2196" w:rsidRDefault="00F477B2" w:rsidP="00364B3C">
            <w:pPr>
              <w:rPr>
                <w:rFonts w:ascii="Arial Narrow" w:hAnsi="Arial Narrow"/>
                <w:sz w:val="20"/>
              </w:rPr>
            </w:pPr>
            <w:r w:rsidRPr="009B2196">
              <w:rPr>
                <w:rFonts w:ascii="Arial Narrow" w:hAnsi="Arial Narrow"/>
                <w:sz w:val="20"/>
              </w:rPr>
              <w:t>Hepatitis C infection</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b/>
                <w:sz w:val="20"/>
              </w:rPr>
            </w:pPr>
            <w:r w:rsidRPr="004F5586">
              <w:rPr>
                <w:rFonts w:ascii="Arial Narrow" w:hAnsi="Arial Narrow"/>
                <w:b/>
                <w:sz w:val="20"/>
              </w:rPr>
              <w:t>PBS Indication: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9B2196" w:rsidRDefault="00F477B2" w:rsidP="00364B3C">
            <w:pPr>
              <w:rPr>
                <w:rFonts w:ascii="Arial Narrow" w:hAnsi="Arial Narrow"/>
                <w:sz w:val="20"/>
              </w:rPr>
            </w:pPr>
            <w:r w:rsidRPr="009B2196">
              <w:rPr>
                <w:rFonts w:ascii="Arial Narrow" w:hAnsi="Arial Narrow"/>
                <w:sz w:val="20"/>
              </w:rPr>
              <w:t>Chronic Hepatitis C infection</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b/>
                <w:sz w:val="20"/>
              </w:rPr>
              <w:t>Restriction:</w:t>
            </w:r>
          </w:p>
        </w:tc>
        <w:tc>
          <w:tcPr>
            <w:tcW w:w="3792" w:type="pct"/>
            <w:gridSpan w:val="7"/>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Check1"/>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Restricted benefit</w:t>
            </w:r>
          </w:p>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In Writing</w:t>
            </w:r>
          </w:p>
          <w:p w:rsidR="00F477B2" w:rsidRPr="004F5586" w:rsidRDefault="00F477B2" w:rsidP="00364B3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Telephone</w:t>
            </w:r>
          </w:p>
          <w:p w:rsidR="00F477B2" w:rsidRPr="004F5586" w:rsidRDefault="00F477B2" w:rsidP="00364B3C">
            <w:pPr>
              <w:rPr>
                <w:rFonts w:ascii="Arial Narrow" w:hAnsi="Arial Narrow"/>
                <w:sz w:val="20"/>
              </w:rPr>
            </w:pPr>
            <w:r w:rsidRPr="004F5586">
              <w:rPr>
                <w:rFonts w:ascii="Arial Narrow" w:hAnsi="Arial Narrow"/>
                <w:sz w:val="20"/>
              </w:rPr>
              <w:fldChar w:fldCharType="begin">
                <w:ffData>
                  <w:name w:val=""/>
                  <w:enabled/>
                  <w:calcOnExit w:val="0"/>
                  <w:checkBox>
                    <w:sizeAuto/>
                    <w:default w:val="0"/>
                  </w:checkBox>
                </w:ffData>
              </w:fldChar>
            </w:r>
            <w:r w:rsidRPr="004F5586">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sidRPr="004F5586">
              <w:rPr>
                <w:rFonts w:ascii="Arial Narrow" w:hAnsi="Arial Narrow"/>
                <w:sz w:val="20"/>
              </w:rPr>
              <w:fldChar w:fldCharType="end"/>
            </w:r>
            <w:r w:rsidRPr="004F5586">
              <w:rPr>
                <w:rFonts w:ascii="Arial Narrow" w:hAnsi="Arial Narrow"/>
                <w:sz w:val="20"/>
              </w:rPr>
              <w:t>Authority Required – Emergency</w:t>
            </w:r>
          </w:p>
          <w:p w:rsidR="00F477B2" w:rsidRPr="004F5586" w:rsidRDefault="00F477B2" w:rsidP="00364B3C">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Authority Required - Electronic</w:t>
            </w:r>
          </w:p>
          <w:p w:rsidR="00F477B2" w:rsidRPr="004F5586" w:rsidRDefault="00F477B2" w:rsidP="00364B3C">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5C08FA">
              <w:rPr>
                <w:rFonts w:ascii="Arial Narrow" w:hAnsi="Arial Narrow"/>
                <w:sz w:val="20"/>
              </w:rPr>
            </w:r>
            <w:r w:rsidR="005C08FA">
              <w:rPr>
                <w:rFonts w:ascii="Arial Narrow" w:hAnsi="Arial Narrow"/>
                <w:sz w:val="20"/>
              </w:rPr>
              <w:fldChar w:fldCharType="separate"/>
            </w:r>
            <w:r>
              <w:rPr>
                <w:rFonts w:ascii="Arial Narrow" w:hAnsi="Arial Narrow"/>
                <w:sz w:val="20"/>
              </w:rPr>
              <w:fldChar w:fldCharType="end"/>
            </w:r>
            <w:r w:rsidRPr="004F5586">
              <w:rPr>
                <w:rFonts w:ascii="Arial Narrow" w:hAnsi="Arial Narrow"/>
                <w:sz w:val="20"/>
              </w:rPr>
              <w:t>Streamlined</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4F5586" w:rsidRDefault="00F477B2" w:rsidP="00364B3C">
            <w:pPr>
              <w:rPr>
                <w:rFonts w:ascii="Arial Narrow" w:hAnsi="Arial Narrow"/>
                <w:sz w:val="20"/>
              </w:rPr>
            </w:pPr>
            <w:r w:rsidRPr="004F5586">
              <w:rPr>
                <w:rFonts w:ascii="Arial Narrow" w:hAnsi="Arial Narrow"/>
                <w:b/>
                <w:sz w:val="20"/>
              </w:rPr>
              <w:t>Clinical criteria:</w:t>
            </w:r>
          </w:p>
        </w:tc>
        <w:tc>
          <w:tcPr>
            <w:tcW w:w="3792" w:type="pct"/>
            <w:gridSpan w:val="7"/>
            <w:tcBorders>
              <w:top w:val="single" w:sz="4" w:space="0" w:color="auto"/>
              <w:left w:val="single" w:sz="4" w:space="0" w:color="auto"/>
              <w:bottom w:val="single" w:sz="4" w:space="0" w:color="auto"/>
              <w:right w:val="single" w:sz="4" w:space="0" w:color="auto"/>
            </w:tcBorders>
          </w:tcPr>
          <w:p w:rsidR="00F477B2" w:rsidRDefault="00F477B2" w:rsidP="00364B3C">
            <w:pPr>
              <w:rPr>
                <w:rFonts w:ascii="Arial Narrow" w:hAnsi="Arial Narrow"/>
                <w:sz w:val="20"/>
              </w:rPr>
            </w:pPr>
            <w:r w:rsidRPr="004F5586">
              <w:rPr>
                <w:rFonts w:ascii="Arial Narrow" w:hAnsi="Arial Narrow"/>
                <w:sz w:val="20"/>
              </w:rPr>
              <w:t>Patient must meet the criteria set out in the General Statement for Drugs for the Treatment of Hepatitis C;</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AND</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Patient must be taking this drug as part of a regimen set out in the matrix in the General Statement for Drugs for the Treatment of Hepatitis C, based on the hepatitis C virus genotype, patient treatment history and cirrhotic status;</w:t>
            </w:r>
          </w:p>
          <w:p w:rsidR="00F477B2" w:rsidRPr="004F5586" w:rsidRDefault="00F477B2" w:rsidP="00364B3C">
            <w:pPr>
              <w:rPr>
                <w:rFonts w:ascii="Arial Narrow" w:hAnsi="Arial Narrow"/>
                <w:sz w:val="20"/>
              </w:rPr>
            </w:pPr>
          </w:p>
          <w:p w:rsidR="00F477B2" w:rsidRDefault="00F477B2" w:rsidP="00364B3C">
            <w:pPr>
              <w:rPr>
                <w:rFonts w:ascii="Arial Narrow" w:hAnsi="Arial Narrow"/>
                <w:sz w:val="20"/>
              </w:rPr>
            </w:pPr>
            <w:r w:rsidRPr="004F5586">
              <w:rPr>
                <w:rFonts w:ascii="Arial Narrow" w:hAnsi="Arial Narrow"/>
                <w:sz w:val="20"/>
              </w:rPr>
              <w:t>AND</w:t>
            </w:r>
          </w:p>
          <w:p w:rsidR="00F477B2" w:rsidRPr="004F5586" w:rsidRDefault="00F477B2" w:rsidP="00364B3C">
            <w:pPr>
              <w:rPr>
                <w:rFonts w:ascii="Arial Narrow" w:hAnsi="Arial Narrow"/>
                <w:sz w:val="20"/>
              </w:rPr>
            </w:pPr>
          </w:p>
          <w:p w:rsidR="00F477B2" w:rsidRPr="004F5586" w:rsidRDefault="00F477B2" w:rsidP="00364B3C">
            <w:pPr>
              <w:rPr>
                <w:rFonts w:ascii="Arial Narrow" w:hAnsi="Arial Narrow"/>
                <w:sz w:val="20"/>
              </w:rPr>
            </w:pPr>
            <w:r w:rsidRPr="004F5586">
              <w:rPr>
                <w:rFonts w:ascii="Arial Narrow" w:hAnsi="Arial Narrow"/>
                <w:sz w:val="20"/>
              </w:rPr>
              <w:t>The treatment must be limited to a maximum duratio</w:t>
            </w:r>
            <w:r>
              <w:rPr>
                <w:rFonts w:ascii="Arial Narrow" w:hAnsi="Arial Narrow"/>
                <w:sz w:val="20"/>
              </w:rPr>
              <w:t>n of 12</w:t>
            </w:r>
            <w:r w:rsidRPr="004F5586">
              <w:rPr>
                <w:rFonts w:ascii="Arial Narrow" w:hAnsi="Arial Narrow"/>
                <w:sz w:val="20"/>
              </w:rPr>
              <w:t xml:space="preserve"> weeks.</w:t>
            </w:r>
          </w:p>
        </w:tc>
      </w:tr>
      <w:tr w:rsidR="00F477B2" w:rsidRPr="004F5586" w:rsidTr="00364B3C">
        <w:tblPrEx>
          <w:tblLook w:val="0000" w:firstRow="0" w:lastRow="0" w:firstColumn="0" w:lastColumn="0" w:noHBand="0" w:noVBand="0"/>
        </w:tblPrEx>
        <w:trPr>
          <w:cantSplit/>
          <w:trHeight w:val="20"/>
        </w:trPr>
        <w:tc>
          <w:tcPr>
            <w:tcW w:w="1208" w:type="pct"/>
            <w:tcBorders>
              <w:top w:val="single" w:sz="4" w:space="0" w:color="auto"/>
              <w:left w:val="single" w:sz="4" w:space="0" w:color="auto"/>
              <w:bottom w:val="single" w:sz="4" w:space="0" w:color="auto"/>
              <w:right w:val="single" w:sz="4" w:space="0" w:color="auto"/>
            </w:tcBorders>
          </w:tcPr>
          <w:p w:rsidR="00F477B2" w:rsidRPr="00172C40" w:rsidRDefault="00F477B2" w:rsidP="00364B3C">
            <w:pPr>
              <w:rPr>
                <w:rFonts w:ascii="Arial Narrow" w:hAnsi="Arial Narrow"/>
                <w:b/>
                <w:sz w:val="20"/>
              </w:rPr>
            </w:pPr>
            <w:r w:rsidRPr="00172C40">
              <w:rPr>
                <w:rFonts w:ascii="Arial Narrow" w:hAnsi="Arial Narrow"/>
                <w:b/>
                <w:sz w:val="20"/>
              </w:rPr>
              <w:t>Administrative Advice</w:t>
            </w:r>
          </w:p>
          <w:p w:rsidR="00F477B2" w:rsidRPr="00172C40" w:rsidRDefault="00F477B2" w:rsidP="00364B3C">
            <w:pPr>
              <w:rPr>
                <w:rFonts w:ascii="Arial Narrow" w:hAnsi="Arial Narrow"/>
                <w:i/>
                <w:sz w:val="20"/>
              </w:rPr>
            </w:pPr>
          </w:p>
        </w:tc>
        <w:tc>
          <w:tcPr>
            <w:tcW w:w="3792" w:type="pct"/>
            <w:gridSpan w:val="7"/>
            <w:tcBorders>
              <w:top w:val="single" w:sz="4" w:space="0" w:color="auto"/>
              <w:left w:val="single" w:sz="4" w:space="0" w:color="auto"/>
              <w:bottom w:val="single" w:sz="4" w:space="0" w:color="auto"/>
              <w:right w:val="single" w:sz="4" w:space="0" w:color="auto"/>
            </w:tcBorders>
          </w:tcPr>
          <w:p w:rsidR="00F477B2" w:rsidRPr="00C5187B" w:rsidRDefault="00F477B2" w:rsidP="00364B3C">
            <w:pPr>
              <w:rPr>
                <w:rFonts w:ascii="Arial Narrow" w:hAnsi="Arial Narrow"/>
                <w:sz w:val="20"/>
              </w:rPr>
            </w:pPr>
            <w:r w:rsidRPr="00C5187B">
              <w:rPr>
                <w:rFonts w:ascii="Arial Narrow" w:hAnsi="Arial Narrow"/>
                <w:sz w:val="20"/>
              </w:rPr>
              <w:t>No increase in the maximum quantity or number of units may be authorised.</w:t>
            </w:r>
          </w:p>
          <w:p w:rsidR="00F477B2" w:rsidRPr="00C5187B" w:rsidRDefault="00F477B2" w:rsidP="00364B3C">
            <w:pPr>
              <w:rPr>
                <w:rFonts w:ascii="Arial Narrow" w:hAnsi="Arial Narrow"/>
                <w:sz w:val="20"/>
              </w:rPr>
            </w:pPr>
          </w:p>
          <w:p w:rsidR="00F477B2" w:rsidRPr="00C5187B" w:rsidRDefault="00F477B2" w:rsidP="00364B3C">
            <w:pPr>
              <w:tabs>
                <w:tab w:val="left" w:pos="571"/>
              </w:tabs>
              <w:rPr>
                <w:rFonts w:ascii="Arial Narrow" w:hAnsi="Arial Narrow"/>
                <w:sz w:val="20"/>
              </w:rPr>
            </w:pPr>
            <w:r w:rsidRPr="00C5187B">
              <w:rPr>
                <w:rFonts w:ascii="Arial Narrow" w:hAnsi="Arial Narrow"/>
                <w:sz w:val="20"/>
              </w:rPr>
              <w:t>No increase in the maximum number of repeats may be authorised.</w:t>
            </w:r>
          </w:p>
          <w:p w:rsidR="00F477B2" w:rsidRPr="00C5187B" w:rsidRDefault="00F477B2" w:rsidP="00364B3C">
            <w:pPr>
              <w:tabs>
                <w:tab w:val="left" w:pos="571"/>
              </w:tabs>
              <w:rPr>
                <w:rFonts w:ascii="Arial Narrow" w:hAnsi="Arial Narrow"/>
                <w:sz w:val="20"/>
              </w:rPr>
            </w:pPr>
          </w:p>
          <w:p w:rsidR="00F477B2" w:rsidRPr="00172C40" w:rsidRDefault="00F477B2" w:rsidP="00364B3C">
            <w:pPr>
              <w:tabs>
                <w:tab w:val="left" w:pos="571"/>
              </w:tabs>
              <w:rPr>
                <w:rFonts w:ascii="Arial Narrow" w:hAnsi="Arial Narrow"/>
                <w:sz w:val="20"/>
              </w:rPr>
            </w:pPr>
            <w:r w:rsidRPr="00C5187B">
              <w:rPr>
                <w:rFonts w:ascii="Arial Narrow" w:hAnsi="Arial Narrow"/>
                <w:sz w:val="20"/>
              </w:rPr>
              <w:t>Special Pricing Arrangements apply.</w:t>
            </w:r>
          </w:p>
        </w:tc>
      </w:tr>
    </w:tbl>
    <w:p w:rsidR="00F477B2" w:rsidRDefault="00F477B2" w:rsidP="00F477B2">
      <w:pPr>
        <w:rPr>
          <w:rFonts w:cs="Arial"/>
          <w:bCs/>
          <w:snapToGrid w:val="0"/>
          <w:lang w:val="en-GB"/>
        </w:rPr>
      </w:pPr>
    </w:p>
    <w:p w:rsidR="00F477B2" w:rsidRDefault="00F477B2" w:rsidP="00F477B2">
      <w:pPr>
        <w:rPr>
          <w:rFonts w:cs="Arial"/>
          <w:bCs/>
          <w:snapToGrid w:val="0"/>
          <w:lang w:val="en-GB"/>
        </w:rPr>
      </w:pPr>
    </w:p>
    <w:p w:rsidR="00F477B2" w:rsidRPr="00357BF9" w:rsidRDefault="00F477B2" w:rsidP="00F477B2">
      <w:pPr>
        <w:spacing w:before="120" w:after="120"/>
        <w:outlineLvl w:val="1"/>
        <w:rPr>
          <w:rFonts w:cs="Arial"/>
          <w:b/>
          <w:color w:val="000000"/>
          <w:kern w:val="36"/>
          <w:sz w:val="28"/>
          <w:szCs w:val="28"/>
        </w:rPr>
      </w:pPr>
      <w:r w:rsidRPr="00357BF9">
        <w:rPr>
          <w:rFonts w:cs="Arial"/>
          <w:b/>
          <w:color w:val="000000"/>
          <w:kern w:val="36"/>
          <w:sz w:val="28"/>
          <w:szCs w:val="28"/>
        </w:rPr>
        <w:t>General Statement for Drugs for the Treatment of Hepatitis C</w:t>
      </w:r>
    </w:p>
    <w:p w:rsidR="00F477B2" w:rsidRPr="00357BF9" w:rsidRDefault="00F477B2" w:rsidP="00F477B2">
      <w:pPr>
        <w:spacing w:before="120" w:after="120" w:line="300" w:lineRule="atLeast"/>
        <w:rPr>
          <w:color w:val="222222"/>
        </w:rPr>
      </w:pPr>
      <w:r w:rsidRPr="00357BF9">
        <w:rPr>
          <w:color w:val="222222"/>
        </w:rPr>
        <w:t>Use the following criteria to determine patient eligibility for subsidisation under the PBS for hepatitis C treating agents.</w:t>
      </w:r>
    </w:p>
    <w:p w:rsidR="00F477B2" w:rsidRPr="00357BF9" w:rsidRDefault="00F477B2" w:rsidP="00F477B2">
      <w:pPr>
        <w:spacing w:before="120" w:after="120" w:line="300" w:lineRule="atLeast"/>
        <w:rPr>
          <w:color w:val="222222"/>
        </w:rPr>
      </w:pPr>
      <w:r w:rsidRPr="00357BF9">
        <w:rPr>
          <w:color w:val="222222"/>
        </w:rPr>
        <w:t>By writing a PBS prescription, the prescriber is certifying the patient satisfies the qualifying criteria set out below and the use in accordance with the registered indications which differ between agents in this class – refer to the current Product Information for details.</w:t>
      </w:r>
    </w:p>
    <w:p w:rsidR="00F477B2" w:rsidRDefault="00F477B2" w:rsidP="00F477B2">
      <w:pPr>
        <w:rPr>
          <w:rFonts w:cs="Arial"/>
          <w:bCs/>
          <w:snapToGrid w:val="0"/>
          <w:lang w:val="en-GB"/>
        </w:rPr>
      </w:pPr>
    </w:p>
    <w:p w:rsidR="00F477B2" w:rsidRDefault="00F477B2" w:rsidP="00F477B2">
      <w:r>
        <w:br w:type="page"/>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7"/>
      </w:tblGrid>
      <w:tr w:rsidR="00F477B2" w:rsidRPr="00357BF9" w:rsidTr="00364B3C">
        <w:trPr>
          <w:trHeight w:val="683"/>
        </w:trPr>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357BF9" w:rsidRDefault="00F477B2" w:rsidP="00364B3C">
            <w:pPr>
              <w:tabs>
                <w:tab w:val="left" w:pos="5633"/>
              </w:tabs>
              <w:spacing w:after="120"/>
              <w:rPr>
                <w:rFonts w:ascii="Arial Narrow" w:hAnsi="Arial Narrow" w:cs="Arial"/>
                <w:color w:val="222222"/>
                <w:sz w:val="20"/>
                <w:szCs w:val="20"/>
              </w:rPr>
            </w:pPr>
            <w:r w:rsidRPr="00357BF9">
              <w:rPr>
                <w:rFonts w:ascii="Arial Narrow" w:hAnsi="Arial Narrow" w:cs="Arial"/>
                <w:b/>
                <w:bCs/>
                <w:color w:val="222222"/>
                <w:sz w:val="20"/>
                <w:szCs w:val="20"/>
                <w:bdr w:val="none" w:sz="0" w:space="0" w:color="auto" w:frame="1"/>
              </w:rPr>
              <w:lastRenderedPageBreak/>
              <w:t>Population criteria:</w:t>
            </w:r>
            <w:r w:rsidRPr="00357BF9">
              <w:rPr>
                <w:rFonts w:ascii="Arial Narrow" w:hAnsi="Arial Narrow" w:cs="Arial"/>
                <w:b/>
                <w:bCs/>
                <w:color w:val="222222"/>
                <w:sz w:val="20"/>
                <w:szCs w:val="20"/>
                <w:bdr w:val="none" w:sz="0" w:space="0" w:color="auto" w:frame="1"/>
              </w:rPr>
              <w:tab/>
            </w:r>
          </w:p>
          <w:p w:rsidR="00F477B2" w:rsidRPr="00357BF9" w:rsidRDefault="00F477B2" w:rsidP="00364B3C">
            <w:pPr>
              <w:spacing w:after="120"/>
              <w:rPr>
                <w:rFonts w:ascii="Arial Narrow" w:hAnsi="Arial Narrow" w:cs="Arial"/>
                <w:color w:val="222222"/>
                <w:sz w:val="20"/>
                <w:szCs w:val="20"/>
              </w:rPr>
            </w:pPr>
            <w:r w:rsidRPr="00357BF9">
              <w:rPr>
                <w:rFonts w:ascii="Arial Narrow" w:hAnsi="Arial Narrow" w:cs="Arial"/>
                <w:color w:val="222222"/>
                <w:sz w:val="20"/>
                <w:szCs w:val="20"/>
              </w:rPr>
              <w:t>Patient must be aged 18 years or older.</w:t>
            </w:r>
          </w:p>
        </w:tc>
      </w:tr>
      <w:tr w:rsidR="00F477B2" w:rsidRPr="00357BF9" w:rsidTr="00364B3C">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357BF9" w:rsidRDefault="00F477B2" w:rsidP="00364B3C">
            <w:pPr>
              <w:spacing w:after="120"/>
              <w:rPr>
                <w:rFonts w:ascii="Arial Narrow" w:hAnsi="Arial Narrow" w:cs="Arial"/>
                <w:color w:val="222222"/>
                <w:sz w:val="20"/>
                <w:szCs w:val="20"/>
              </w:rPr>
            </w:pPr>
            <w:r w:rsidRPr="00357BF9">
              <w:rPr>
                <w:rFonts w:ascii="Arial Narrow" w:hAnsi="Arial Narrow" w:cs="Arial"/>
                <w:b/>
                <w:bCs/>
                <w:color w:val="222222"/>
                <w:sz w:val="20"/>
                <w:szCs w:val="20"/>
                <w:bdr w:val="none" w:sz="0" w:space="0" w:color="auto" w:frame="1"/>
              </w:rPr>
              <w:t>Treatment criteria:</w:t>
            </w:r>
          </w:p>
          <w:p w:rsidR="00F477B2" w:rsidRPr="00357BF9" w:rsidRDefault="00F477B2" w:rsidP="00364B3C">
            <w:pPr>
              <w:spacing w:after="120"/>
              <w:rPr>
                <w:rFonts w:ascii="Arial Narrow" w:hAnsi="Arial Narrow" w:cs="Arial"/>
                <w:color w:val="222222"/>
                <w:sz w:val="20"/>
                <w:szCs w:val="20"/>
              </w:rPr>
            </w:pPr>
            <w:r w:rsidRPr="00357BF9">
              <w:rPr>
                <w:rFonts w:ascii="Arial Narrow" w:hAnsi="Arial Narrow" w:cs="Arial"/>
                <w:color w:val="222222"/>
                <w:sz w:val="20"/>
                <w:szCs w:val="20"/>
              </w:rPr>
              <w:t xml:space="preserve">Must be treated by a medical practitioner or an authorised nurse </w:t>
            </w:r>
            <w:proofErr w:type="gramStart"/>
            <w:r w:rsidRPr="00357BF9">
              <w:rPr>
                <w:rFonts w:ascii="Arial Narrow" w:hAnsi="Arial Narrow" w:cs="Arial"/>
                <w:color w:val="222222"/>
                <w:sz w:val="20"/>
                <w:szCs w:val="20"/>
              </w:rPr>
              <w:t>practitioner</w:t>
            </w:r>
            <w:proofErr w:type="gramEnd"/>
            <w:r>
              <w:fldChar w:fldCharType="begin"/>
            </w:r>
            <w:r>
              <w:instrText xml:space="preserve"> HYPERLINK "http://www.pbs.gov.au/info/healthpro/explanatory-notes/general-statement-hep-c" \l "ft1" \o "[1]" </w:instrText>
            </w:r>
            <w:r>
              <w:fldChar w:fldCharType="separate"/>
            </w:r>
            <w:r w:rsidRPr="00357BF9">
              <w:rPr>
                <w:rFonts w:ascii="Arial Narrow" w:hAnsi="Arial Narrow" w:cs="Arial"/>
                <w:color w:val="1157AD"/>
                <w:sz w:val="20"/>
                <w:szCs w:val="20"/>
                <w:u w:val="single"/>
                <w:bdr w:val="none" w:sz="0" w:space="0" w:color="auto" w:frame="1"/>
              </w:rPr>
              <w:t>[</w:t>
            </w:r>
            <w:r>
              <w:rPr>
                <w:rFonts w:ascii="Arial Narrow" w:hAnsi="Arial Narrow" w:cs="Arial"/>
                <w:color w:val="1157AD"/>
                <w:sz w:val="20"/>
                <w:szCs w:val="20"/>
                <w:u w:val="single"/>
                <w:bdr w:val="none" w:sz="0" w:space="0" w:color="auto" w:frame="1"/>
              </w:rPr>
              <w:t>1</w:t>
            </w:r>
            <w:r w:rsidRPr="00357BF9">
              <w:rPr>
                <w:rFonts w:ascii="Arial Narrow" w:hAnsi="Arial Narrow" w:cs="Arial"/>
                <w:color w:val="1157AD"/>
                <w:sz w:val="20"/>
                <w:szCs w:val="20"/>
                <w:u w:val="single"/>
                <w:bdr w:val="none" w:sz="0" w:space="0" w:color="auto" w:frame="1"/>
              </w:rPr>
              <w:t>]</w:t>
            </w:r>
            <w:r>
              <w:rPr>
                <w:rFonts w:ascii="Arial Narrow" w:hAnsi="Arial Narrow" w:cs="Arial"/>
                <w:color w:val="1157AD"/>
                <w:sz w:val="20"/>
                <w:szCs w:val="20"/>
                <w:u w:val="single"/>
                <w:bdr w:val="none" w:sz="0" w:space="0" w:color="auto" w:frame="1"/>
              </w:rPr>
              <w:fldChar w:fldCharType="end"/>
            </w:r>
            <w:r w:rsidRPr="00357BF9">
              <w:rPr>
                <w:rFonts w:ascii="Arial Narrow" w:hAnsi="Arial Narrow" w:cs="Arial"/>
                <w:color w:val="222222"/>
                <w:sz w:val="20"/>
                <w:szCs w:val="20"/>
              </w:rPr>
              <w:t xml:space="preserve"> experienced in the treatment of chronic hepatitis C infection; or in consultation with a gastroenterologist, </w:t>
            </w:r>
            <w:proofErr w:type="spellStart"/>
            <w:r w:rsidRPr="00357BF9">
              <w:rPr>
                <w:rFonts w:ascii="Arial Narrow" w:hAnsi="Arial Narrow" w:cs="Arial"/>
                <w:color w:val="222222"/>
                <w:sz w:val="20"/>
                <w:szCs w:val="20"/>
              </w:rPr>
              <w:t>hepatologist</w:t>
            </w:r>
            <w:proofErr w:type="spellEnd"/>
            <w:r w:rsidRPr="00357BF9">
              <w:rPr>
                <w:rFonts w:ascii="Arial Narrow" w:hAnsi="Arial Narrow" w:cs="Arial"/>
                <w:color w:val="222222"/>
                <w:sz w:val="20"/>
                <w:szCs w:val="20"/>
              </w:rPr>
              <w:t xml:space="preserve"> or infectious diseases physician experienced in the treatment of chronic hepatitis C infection.</w:t>
            </w:r>
          </w:p>
        </w:tc>
      </w:tr>
      <w:tr w:rsidR="00F477B2" w:rsidRPr="00357BF9" w:rsidTr="00364B3C">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357BF9" w:rsidRDefault="00F477B2" w:rsidP="00364B3C">
            <w:pPr>
              <w:spacing w:after="120"/>
              <w:jc w:val="left"/>
              <w:rPr>
                <w:rFonts w:ascii="Arial Narrow" w:hAnsi="Arial Narrow" w:cs="Arial"/>
                <w:color w:val="222222"/>
                <w:sz w:val="20"/>
                <w:szCs w:val="20"/>
              </w:rPr>
            </w:pPr>
            <w:r w:rsidRPr="00357BF9">
              <w:rPr>
                <w:rFonts w:ascii="Arial Narrow" w:hAnsi="Arial Narrow" w:cs="Arial"/>
                <w:color w:val="222222"/>
                <w:sz w:val="20"/>
                <w:szCs w:val="20"/>
              </w:rPr>
              <w:t>The following information must be provided at the time of application:</w:t>
            </w:r>
            <w:r w:rsidRPr="00357BF9">
              <w:rPr>
                <w:rFonts w:ascii="Arial Narrow" w:hAnsi="Arial Narrow" w:cs="Arial"/>
                <w:color w:val="222222"/>
                <w:sz w:val="20"/>
                <w:szCs w:val="20"/>
              </w:rPr>
              <w:br/>
              <w:t>a) the hepatitis C virus genotype; and</w:t>
            </w:r>
            <w:r w:rsidRPr="00357BF9">
              <w:rPr>
                <w:rFonts w:ascii="Arial Narrow" w:hAnsi="Arial Narrow" w:cs="Arial"/>
                <w:color w:val="222222"/>
                <w:sz w:val="20"/>
                <w:szCs w:val="20"/>
              </w:rPr>
              <w:br/>
              <w:t>b) the patient’s cirrhotic status (non-cirrhotic or cirrhotic)</w:t>
            </w:r>
          </w:p>
          <w:p w:rsidR="00F477B2" w:rsidRPr="00357BF9" w:rsidRDefault="00F477B2" w:rsidP="00364B3C">
            <w:pPr>
              <w:spacing w:after="120"/>
              <w:jc w:val="left"/>
              <w:rPr>
                <w:rFonts w:ascii="Arial Narrow" w:hAnsi="Arial Narrow" w:cs="Arial"/>
                <w:color w:val="222222"/>
                <w:sz w:val="20"/>
                <w:szCs w:val="20"/>
              </w:rPr>
            </w:pPr>
            <w:r w:rsidRPr="00357BF9">
              <w:rPr>
                <w:rFonts w:ascii="Arial Narrow" w:hAnsi="Arial Narrow" w:cs="Arial"/>
                <w:color w:val="222222"/>
                <w:sz w:val="20"/>
                <w:szCs w:val="20"/>
              </w:rPr>
              <w:t>The following information must be documented in the patient’s medical records:</w:t>
            </w:r>
            <w:r w:rsidRPr="00357BF9">
              <w:rPr>
                <w:rFonts w:ascii="Arial Narrow" w:hAnsi="Arial Narrow" w:cs="Arial"/>
                <w:color w:val="222222"/>
                <w:sz w:val="20"/>
                <w:szCs w:val="20"/>
              </w:rPr>
              <w:br/>
              <w:t>a) evidence of chronic hepatitis C infection (repeatedly antibody to hepatitis C virus (anti-HCV) positive and hepatitis C virus ribonucleic acid (HCV RNA) positive); and</w:t>
            </w:r>
            <w:r w:rsidRPr="00357BF9">
              <w:rPr>
                <w:rFonts w:ascii="Arial Narrow" w:hAnsi="Arial Narrow" w:cs="Arial"/>
                <w:color w:val="222222"/>
                <w:sz w:val="20"/>
                <w:szCs w:val="20"/>
              </w:rPr>
              <w:br/>
              <w:t>b) evidence of the hepatitis C virus genotype</w:t>
            </w:r>
          </w:p>
        </w:tc>
      </w:tr>
    </w:tbl>
    <w:p w:rsidR="00F477B2" w:rsidRDefault="00F477B2" w:rsidP="00F477B2">
      <w:pPr>
        <w:rPr>
          <w:rFonts w:cs="Arial"/>
          <w:bCs/>
          <w:snapToGrid w:val="0"/>
          <w:lang w:val="en-GB"/>
        </w:rPr>
      </w:pPr>
    </w:p>
    <w:p w:rsidR="00F477B2" w:rsidRPr="00357BF9" w:rsidRDefault="00F477B2" w:rsidP="00F477B2">
      <w:pPr>
        <w:spacing w:before="240" w:after="240" w:line="300" w:lineRule="atLeast"/>
        <w:rPr>
          <w:color w:val="222222"/>
        </w:rPr>
      </w:pPr>
      <w:r w:rsidRPr="00357BF9">
        <w:rPr>
          <w:color w:val="222222"/>
        </w:rPr>
        <w:t>The following matrices identify the regimens which are available for PBS prescription for eligible patients, based on the hepatitis C virus genotype and treatment history.</w:t>
      </w:r>
    </w:p>
    <w:p w:rsidR="00F477B2" w:rsidRPr="00357BF9" w:rsidRDefault="00F477B2" w:rsidP="00F477B2">
      <w:pPr>
        <w:spacing w:after="120"/>
        <w:outlineLvl w:val="1"/>
        <w:rPr>
          <w:rFonts w:cs="Arial"/>
          <w:b/>
          <w:color w:val="000000"/>
          <w:sz w:val="28"/>
          <w:szCs w:val="28"/>
        </w:rPr>
      </w:pPr>
      <w:r w:rsidRPr="00357BF9">
        <w:rPr>
          <w:rFonts w:cs="Arial"/>
          <w:b/>
          <w:color w:val="000000"/>
          <w:sz w:val="28"/>
          <w:szCs w:val="28"/>
        </w:rPr>
        <w:t>Hepatitis C - Non-cirrhotic patients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7"/>
        <w:gridCol w:w="4136"/>
        <w:gridCol w:w="4134"/>
      </w:tblGrid>
      <w:tr w:rsidR="00F477B2" w:rsidRPr="00357BF9" w:rsidTr="00364B3C">
        <w:trPr>
          <w:tblHeader/>
        </w:trPr>
        <w:tc>
          <w:tcPr>
            <w:tcW w:w="56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F477B2" w:rsidRPr="00357BF9" w:rsidRDefault="00F477B2" w:rsidP="00364B3C">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 </w:t>
            </w:r>
          </w:p>
        </w:tc>
        <w:tc>
          <w:tcPr>
            <w:tcW w:w="221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F477B2" w:rsidRPr="00357BF9" w:rsidRDefault="00F477B2" w:rsidP="00364B3C">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Treatment naïve</w:t>
            </w:r>
          </w:p>
        </w:tc>
        <w:tc>
          <w:tcPr>
            <w:tcW w:w="2217"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F477B2" w:rsidRPr="00357BF9" w:rsidRDefault="00F477B2" w:rsidP="00364B3C">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Treatment experienced</w:t>
            </w:r>
          </w:p>
        </w:tc>
      </w:tr>
      <w:tr w:rsidR="00F477B2" w:rsidRPr="00357BF9" w:rsidTr="00364B3C">
        <w:tc>
          <w:tcPr>
            <w:tcW w:w="567"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21384A" w:rsidRDefault="00F477B2" w:rsidP="00364B3C">
            <w:pPr>
              <w:spacing w:before="240" w:after="240" w:line="300" w:lineRule="atLeast"/>
              <w:jc w:val="center"/>
              <w:rPr>
                <w:rFonts w:ascii="Arial Narrow" w:hAnsi="Arial Narrow"/>
                <w:b/>
                <w:bCs/>
                <w:color w:val="000000" w:themeColor="text1"/>
                <w:sz w:val="20"/>
                <w:szCs w:val="20"/>
              </w:rPr>
            </w:pPr>
            <w:r w:rsidRPr="0021384A">
              <w:rPr>
                <w:rFonts w:ascii="Arial Narrow" w:hAnsi="Arial Narrow"/>
                <w:b/>
                <w:bCs/>
                <w:color w:val="000000" w:themeColor="text1"/>
                <w:sz w:val="20"/>
                <w:szCs w:val="20"/>
                <w:bdr w:val="none" w:sz="0" w:space="0" w:color="auto" w:frame="1"/>
              </w:rPr>
              <w:t>Genotype 1</w:t>
            </w: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LEDIPASVIR + SOFOSBUVIR</w:t>
            </w:r>
            <w:r w:rsidRPr="0021384A">
              <w:rPr>
                <w:rFonts w:ascii="Arial Narrow" w:hAnsi="Arial Narrow"/>
                <w:color w:val="000000" w:themeColor="text1"/>
                <w:sz w:val="20"/>
                <w:szCs w:val="20"/>
              </w:rPr>
              <w:br/>
              <w:t>[8 or 12 weeks] </w:t>
            </w:r>
            <w:hyperlink r:id="rId9" w:anchor="ft2" w:tooltip="[2]" w:history="1">
              <w:r w:rsidRPr="0021384A">
                <w:rPr>
                  <w:rFonts w:ascii="Arial Narrow" w:hAnsi="Arial Narrow"/>
                  <w:color w:val="000000" w:themeColor="text1"/>
                  <w:sz w:val="20"/>
                  <w:szCs w:val="20"/>
                  <w:u w:val="single"/>
                  <w:bdr w:val="none" w:sz="0" w:space="0" w:color="auto" w:frame="1"/>
                </w:rPr>
                <w:t>[2]</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PARITAPREVIR + RITONAVIR + OMBITASVIR (&amp;) DASABUVIR</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 </w:t>
            </w:r>
            <w:hyperlink r:id="rId10" w:anchor="ft3" w:tooltip="[3]" w:history="1">
              <w:r w:rsidRPr="0021384A">
                <w:rPr>
                  <w:rFonts w:ascii="Arial Narrow" w:hAnsi="Arial Narrow"/>
                  <w:color w:val="000000" w:themeColor="text1"/>
                  <w:sz w:val="20"/>
                  <w:szCs w:val="20"/>
                  <w:u w:val="single"/>
                  <w:bdr w:val="none" w:sz="0" w:space="0" w:color="auto" w:frame="1"/>
                </w:rPr>
                <w:t>[3]</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PARITAPREVIR + RITONAVIR + OMBITASVIR (&amp;) DASABUVIR (&amp;) RBV</w:t>
            </w:r>
            <w:r w:rsidRPr="0021384A">
              <w:rPr>
                <w:rFonts w:ascii="Arial Narrow" w:hAnsi="Arial Narrow"/>
                <w:color w:val="000000" w:themeColor="text1"/>
                <w:sz w:val="20"/>
                <w:szCs w:val="20"/>
              </w:rPr>
              <w:br/>
              <w:t>[12 weeks] </w:t>
            </w:r>
            <w:hyperlink r:id="rId11" w:anchor="ft4" w:tooltip="[4]" w:history="1">
              <w:r w:rsidRPr="0021384A">
                <w:rPr>
                  <w:rFonts w:ascii="Arial Narrow" w:hAnsi="Arial Narrow"/>
                  <w:color w:val="000000" w:themeColor="text1"/>
                  <w:sz w:val="20"/>
                  <w:szCs w:val="20"/>
                  <w:u w:val="single"/>
                  <w:bdr w:val="none" w:sz="0" w:space="0" w:color="auto" w:frame="1"/>
                </w:rPr>
                <w:t>[4]</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weeks]</w:t>
            </w:r>
          </w:p>
          <w:p w:rsidR="00F477B2" w:rsidRPr="00EE607B" w:rsidRDefault="00F477B2" w:rsidP="00364B3C">
            <w:pPr>
              <w:spacing w:after="240" w:line="300" w:lineRule="atLeast"/>
              <w:rPr>
                <w:rFonts w:ascii="Arial Narrow" w:hAnsi="Arial Narrow"/>
                <w:color w:val="000000" w:themeColor="text1"/>
                <w:sz w:val="20"/>
                <w:szCs w:val="20"/>
              </w:rPr>
            </w:pP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LEDIPASVIR + SOFOSBUVIR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[12 or 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PARITAPREVIR + RITONAVIR + OMBITASVIR (&amp;) DASABUVIR</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 </w:t>
            </w:r>
            <w:hyperlink r:id="rId12" w:anchor="ft3" w:tooltip="[3]" w:history="1">
              <w:r w:rsidRPr="0021384A">
                <w:rPr>
                  <w:rFonts w:ascii="Arial Narrow" w:hAnsi="Arial Narrow"/>
                  <w:color w:val="000000" w:themeColor="text1"/>
                  <w:sz w:val="20"/>
                  <w:szCs w:val="20"/>
                  <w:u w:val="single"/>
                  <w:bdr w:val="none" w:sz="0" w:space="0" w:color="auto" w:frame="1"/>
                </w:rPr>
                <w:t>[3]</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PARITAPREVIR + RITONAVIR + OMBITASVIR (&amp;) DASABUVIR (&amp;) RBV</w:t>
            </w:r>
            <w:r w:rsidRPr="0021384A">
              <w:rPr>
                <w:rFonts w:ascii="Arial Narrow" w:hAnsi="Arial Narrow"/>
                <w:color w:val="000000" w:themeColor="text1"/>
                <w:sz w:val="20"/>
                <w:szCs w:val="20"/>
              </w:rPr>
              <w:br/>
              <w:t>[12 weeks] </w:t>
            </w:r>
            <w:hyperlink r:id="rId13" w:anchor="ft4" w:tooltip="[4]" w:history="1">
              <w:r w:rsidRPr="0021384A">
                <w:rPr>
                  <w:rFonts w:ascii="Arial Narrow" w:hAnsi="Arial Narrow"/>
                  <w:color w:val="000000" w:themeColor="text1"/>
                  <w:sz w:val="20"/>
                  <w:szCs w:val="20"/>
                  <w:u w:val="single"/>
                  <w:bdr w:val="none" w:sz="0" w:space="0" w:color="auto" w:frame="1"/>
                </w:rPr>
                <w:t>[4]</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[16 weeks] </w:t>
            </w:r>
            <w:hyperlink r:id="rId14" w:anchor="ft5" w:tooltip="[5]" w:history="1">
              <w:r w:rsidRPr="0021384A">
                <w:rPr>
                  <w:rFonts w:ascii="Arial Narrow" w:hAnsi="Arial Narrow"/>
                  <w:color w:val="000000" w:themeColor="text1"/>
                  <w:sz w:val="20"/>
                  <w:szCs w:val="20"/>
                  <w:u w:val="single"/>
                  <w:bdr w:val="none" w:sz="0" w:space="0" w:color="auto" w:frame="1"/>
                </w:rPr>
                <w:t>[5]</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or 16 weeks][6]</w:t>
            </w: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21384A" w:rsidRDefault="00F477B2" w:rsidP="00364B3C">
            <w:pPr>
              <w:spacing w:after="240" w:line="300" w:lineRule="atLeast"/>
              <w:rPr>
                <w:rFonts w:ascii="Arial Narrow" w:hAnsi="Arial Narrow"/>
                <w:color w:val="000000" w:themeColor="text1"/>
                <w:sz w:val="20"/>
                <w:szCs w:val="20"/>
              </w:rPr>
            </w:pPr>
            <w:r w:rsidRPr="00EE607B">
              <w:rPr>
                <w:rFonts w:ascii="Arial Narrow" w:hAnsi="Arial Narrow"/>
                <w:i/>
                <w:color w:val="FF0000"/>
                <w:sz w:val="20"/>
                <w:szCs w:val="20"/>
              </w:rPr>
              <w:t>[12 weeks]</w:t>
            </w:r>
            <w:r>
              <w:rPr>
                <w:rFonts w:ascii="Arial Narrow" w:hAnsi="Arial Narrow"/>
                <w:i/>
                <w:color w:val="FF0000"/>
                <w:sz w:val="20"/>
                <w:szCs w:val="20"/>
              </w:rPr>
              <w:t>[11]</w:t>
            </w:r>
          </w:p>
        </w:tc>
      </w:tr>
      <w:tr w:rsidR="00F477B2" w:rsidRPr="00357BF9" w:rsidTr="00364B3C">
        <w:tc>
          <w:tcPr>
            <w:tcW w:w="567"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21384A" w:rsidRDefault="00F477B2" w:rsidP="00364B3C">
            <w:pPr>
              <w:spacing w:before="240" w:after="240" w:line="300" w:lineRule="atLeast"/>
              <w:jc w:val="center"/>
              <w:rPr>
                <w:rFonts w:ascii="Arial Narrow" w:hAnsi="Arial Narrow"/>
                <w:b/>
                <w:bCs/>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Genotype 2</w:t>
            </w: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or 16 weeks][6]</w:t>
            </w: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21384A" w:rsidRDefault="00F477B2" w:rsidP="00364B3C">
            <w:pPr>
              <w:spacing w:after="240" w:line="300" w:lineRule="atLeast"/>
              <w:rPr>
                <w:rFonts w:ascii="Arial Narrow" w:hAnsi="Arial Narrow"/>
                <w:color w:val="000000" w:themeColor="text1"/>
                <w:sz w:val="20"/>
                <w:szCs w:val="20"/>
              </w:rPr>
            </w:pPr>
            <w:r w:rsidRPr="00EE607B">
              <w:rPr>
                <w:rFonts w:ascii="Arial Narrow" w:hAnsi="Arial Narrow"/>
                <w:i/>
                <w:color w:val="FF0000"/>
                <w:sz w:val="20"/>
                <w:szCs w:val="20"/>
              </w:rPr>
              <w:t xml:space="preserve"> [12 weeks]</w:t>
            </w:r>
            <w:r>
              <w:rPr>
                <w:rFonts w:ascii="Arial Narrow" w:hAnsi="Arial Narrow"/>
                <w:i/>
                <w:color w:val="FF0000"/>
                <w:sz w:val="20"/>
                <w:szCs w:val="20"/>
              </w:rPr>
              <w:t>[11]</w:t>
            </w:r>
          </w:p>
        </w:tc>
      </w:tr>
      <w:tr w:rsidR="00F477B2" w:rsidRPr="00357BF9" w:rsidTr="00364B3C">
        <w:tc>
          <w:tcPr>
            <w:tcW w:w="567"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21384A" w:rsidRDefault="00F477B2" w:rsidP="00364B3C">
            <w:pPr>
              <w:spacing w:before="240" w:after="240" w:line="300" w:lineRule="atLeast"/>
              <w:jc w:val="center"/>
              <w:rPr>
                <w:rFonts w:ascii="Arial Narrow" w:hAnsi="Arial Narrow"/>
                <w:b/>
                <w:bCs/>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Genotype 3</w:t>
            </w: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Pr="0021384A"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or 16 weeks]</w:t>
            </w:r>
            <w:hyperlink r:id="rId15" w:anchor="ft9" w:tooltip="[9]" w:history="1">
              <w:r w:rsidRPr="0021384A">
                <w:rPr>
                  <w:rFonts w:ascii="Arial Narrow" w:hAnsi="Arial Narrow"/>
                  <w:color w:val="000000" w:themeColor="text1"/>
                  <w:sz w:val="20"/>
                  <w:szCs w:val="20"/>
                  <w:u w:val="single"/>
                  <w:bdr w:val="none" w:sz="0" w:space="0" w:color="auto" w:frame="1"/>
                </w:rPr>
                <w:t>[6]</w:t>
              </w:r>
            </w:hyperlink>
          </w:p>
          <w:p w:rsidR="00F477B2"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EE607B" w:rsidRDefault="00F477B2" w:rsidP="00364B3C">
            <w:pPr>
              <w:keepNext/>
              <w:widowControl w:val="0"/>
              <w:spacing w:before="40"/>
              <w:rPr>
                <w:rFonts w:ascii="Arial Narrow" w:eastAsia="Calibri" w:hAnsi="Arial Narrow" w:cs="Arial"/>
                <w:iCs/>
                <w:color w:val="000000" w:themeColor="text1"/>
                <w:sz w:val="20"/>
                <w:szCs w:val="20"/>
              </w:rPr>
            </w:pPr>
            <w:r w:rsidRPr="00EE607B">
              <w:rPr>
                <w:rFonts w:ascii="Arial Narrow" w:hAnsi="Arial Narrow"/>
                <w:i/>
                <w:color w:val="FF0000"/>
                <w:sz w:val="20"/>
                <w:szCs w:val="20"/>
              </w:rPr>
              <w:t xml:space="preserve"> [12 weeks]</w:t>
            </w:r>
            <w:r>
              <w:rPr>
                <w:rFonts w:ascii="Arial Narrow" w:hAnsi="Arial Narrow"/>
                <w:i/>
                <w:color w:val="FF0000"/>
                <w:sz w:val="20"/>
                <w:szCs w:val="20"/>
              </w:rPr>
              <w:t>[11]</w:t>
            </w:r>
          </w:p>
        </w:tc>
      </w:tr>
      <w:tr w:rsidR="00F477B2" w:rsidRPr="00357BF9" w:rsidTr="00364B3C">
        <w:tc>
          <w:tcPr>
            <w:tcW w:w="567"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21384A" w:rsidRDefault="00F477B2" w:rsidP="00364B3C">
            <w:pPr>
              <w:spacing w:before="240" w:after="240" w:line="300" w:lineRule="atLeast"/>
              <w:jc w:val="center"/>
              <w:rPr>
                <w:rFonts w:ascii="Arial Narrow" w:hAnsi="Arial Narrow"/>
                <w:b/>
                <w:bCs/>
                <w:color w:val="000000" w:themeColor="text1"/>
                <w:sz w:val="20"/>
                <w:szCs w:val="20"/>
              </w:rPr>
            </w:pPr>
            <w:r w:rsidRPr="0021384A">
              <w:rPr>
                <w:rFonts w:ascii="Arial Narrow" w:hAnsi="Arial Narrow"/>
                <w:b/>
                <w:bCs/>
                <w:color w:val="000000" w:themeColor="text1"/>
                <w:sz w:val="20"/>
                <w:szCs w:val="20"/>
                <w:bdr w:val="none" w:sz="0" w:space="0" w:color="auto" w:frame="1"/>
              </w:rPr>
              <w:t xml:space="preserve">Genotype </w:t>
            </w:r>
            <w:r w:rsidRPr="0021384A">
              <w:rPr>
                <w:rFonts w:ascii="Arial Narrow" w:hAnsi="Arial Narrow"/>
                <w:b/>
                <w:bCs/>
                <w:color w:val="000000" w:themeColor="text1"/>
                <w:sz w:val="20"/>
                <w:szCs w:val="20"/>
                <w:bdr w:val="none" w:sz="0" w:space="0" w:color="auto" w:frame="1"/>
              </w:rPr>
              <w:lastRenderedPageBreak/>
              <w:t>4</w:t>
            </w: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[16 weeks] </w:t>
            </w:r>
            <w:hyperlink r:id="rId16" w:anchor="ft5" w:tooltip="[5]" w:history="1">
              <w:r w:rsidRPr="0021384A">
                <w:rPr>
                  <w:rFonts w:ascii="Arial Narrow" w:hAnsi="Arial Narrow"/>
                  <w:color w:val="000000" w:themeColor="text1"/>
                  <w:sz w:val="20"/>
                  <w:szCs w:val="20"/>
                  <w:u w:val="single"/>
                  <w:bdr w:val="none" w:sz="0" w:space="0" w:color="auto" w:frame="1"/>
                </w:rPr>
                <w:t>[5]</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keepNext/>
              <w:widowControl w:val="0"/>
              <w:spacing w:before="40"/>
              <w:rPr>
                <w:rFonts w:ascii="Arial Narrow" w:hAnsi="Arial Narrow"/>
                <w:color w:val="000000" w:themeColor="text1"/>
                <w:sz w:val="20"/>
                <w:szCs w:val="20"/>
                <w:u w:val="single"/>
                <w:bdr w:val="none" w:sz="0" w:space="0" w:color="auto" w:frame="1"/>
              </w:rPr>
            </w:pPr>
            <w:r w:rsidRPr="0021384A">
              <w:rPr>
                <w:rFonts w:ascii="Arial Narrow" w:eastAsia="Calibri" w:hAnsi="Arial Narrow" w:cs="Arial"/>
                <w:iCs/>
                <w:color w:val="000000" w:themeColor="text1"/>
                <w:sz w:val="20"/>
                <w:szCs w:val="20"/>
              </w:rPr>
              <w:t>[8 or 16 weeks]</w:t>
            </w:r>
            <w:hyperlink r:id="rId17" w:anchor="ft9" w:tooltip="[9]" w:history="1">
              <w:r w:rsidRPr="0021384A">
                <w:rPr>
                  <w:rFonts w:ascii="Arial Narrow" w:hAnsi="Arial Narrow"/>
                  <w:color w:val="000000" w:themeColor="text1"/>
                  <w:sz w:val="20"/>
                  <w:szCs w:val="20"/>
                  <w:u w:val="single"/>
                  <w:bdr w:val="none" w:sz="0" w:space="0" w:color="auto" w:frame="1"/>
                </w:rPr>
                <w:t>[6]</w:t>
              </w:r>
            </w:hyperlink>
          </w:p>
          <w:p w:rsidR="00F477B2" w:rsidRDefault="00F477B2" w:rsidP="00364B3C">
            <w:pPr>
              <w:keepNext/>
              <w:widowControl w:val="0"/>
              <w:spacing w:before="40"/>
              <w:rPr>
                <w:rFonts w:ascii="Arial Narrow" w:hAnsi="Arial Narrow"/>
                <w:color w:val="000000" w:themeColor="text1"/>
                <w:sz w:val="20"/>
                <w:szCs w:val="20"/>
                <w:u w:val="single"/>
                <w:bdr w:val="none" w:sz="0" w:space="0" w:color="auto" w:frame="1"/>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EE607B" w:rsidRDefault="00F477B2" w:rsidP="00364B3C">
            <w:pPr>
              <w:keepNext/>
              <w:widowControl w:val="0"/>
              <w:spacing w:before="40"/>
              <w:rPr>
                <w:rFonts w:ascii="Arial Narrow" w:eastAsia="Calibri" w:hAnsi="Arial Narrow" w:cs="Arial"/>
                <w:iCs/>
                <w:color w:val="000000" w:themeColor="text1"/>
                <w:sz w:val="20"/>
                <w:szCs w:val="20"/>
              </w:rPr>
            </w:pPr>
            <w:r w:rsidRPr="00EE607B">
              <w:rPr>
                <w:rFonts w:ascii="Arial Narrow" w:hAnsi="Arial Narrow"/>
                <w:i/>
                <w:color w:val="FF0000"/>
                <w:sz w:val="20"/>
                <w:szCs w:val="20"/>
              </w:rPr>
              <w:t xml:space="preserve"> [12 weeks]</w:t>
            </w:r>
            <w:r>
              <w:rPr>
                <w:rFonts w:ascii="Arial Narrow" w:hAnsi="Arial Narrow"/>
                <w:i/>
                <w:color w:val="FF0000"/>
                <w:sz w:val="20"/>
                <w:szCs w:val="20"/>
              </w:rPr>
              <w:t>[11]</w:t>
            </w:r>
          </w:p>
        </w:tc>
      </w:tr>
      <w:tr w:rsidR="00F477B2" w:rsidRPr="00357BF9" w:rsidTr="00364B3C">
        <w:tc>
          <w:tcPr>
            <w:tcW w:w="567"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21384A" w:rsidRDefault="00F477B2" w:rsidP="00364B3C">
            <w:pPr>
              <w:spacing w:before="240" w:after="240" w:line="300" w:lineRule="atLeast"/>
              <w:jc w:val="center"/>
              <w:rPr>
                <w:rFonts w:ascii="Arial Narrow" w:hAnsi="Arial Narrow"/>
                <w:b/>
                <w:bCs/>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Genotype 5 &amp; 6</w:t>
            </w: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17"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Pr="0021384A"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[8 or 16 weeks]</w:t>
            </w:r>
            <w:hyperlink r:id="rId18" w:anchor="ft9" w:tooltip="[9]" w:history="1">
              <w:r w:rsidRPr="0021384A">
                <w:rPr>
                  <w:rFonts w:ascii="Arial Narrow" w:hAnsi="Arial Narrow"/>
                  <w:color w:val="000000" w:themeColor="text1"/>
                  <w:sz w:val="20"/>
                  <w:szCs w:val="20"/>
                  <w:u w:val="single"/>
                  <w:bdr w:val="none" w:sz="0" w:space="0" w:color="auto" w:frame="1"/>
                </w:rPr>
                <w:t>[6]</w:t>
              </w:r>
            </w:hyperlink>
          </w:p>
          <w:p w:rsidR="00F477B2" w:rsidRPr="0021384A"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21384A" w:rsidRDefault="00F477B2" w:rsidP="00364B3C">
            <w:pPr>
              <w:spacing w:after="240" w:line="300" w:lineRule="atLeast"/>
              <w:rPr>
                <w:rFonts w:ascii="Arial Narrow" w:hAnsi="Arial Narrow"/>
                <w:color w:val="000000" w:themeColor="text1"/>
                <w:sz w:val="20"/>
                <w:szCs w:val="20"/>
              </w:rPr>
            </w:pPr>
            <w:r w:rsidRPr="00EE607B">
              <w:rPr>
                <w:rFonts w:ascii="Arial Narrow" w:hAnsi="Arial Narrow"/>
                <w:i/>
                <w:color w:val="FF0000"/>
                <w:sz w:val="20"/>
                <w:szCs w:val="20"/>
              </w:rPr>
              <w:lastRenderedPageBreak/>
              <w:t xml:space="preserve"> [12 weeks]</w:t>
            </w:r>
            <w:r>
              <w:rPr>
                <w:rFonts w:ascii="Arial Narrow" w:hAnsi="Arial Narrow"/>
                <w:i/>
                <w:color w:val="FF0000"/>
                <w:sz w:val="20"/>
                <w:szCs w:val="20"/>
              </w:rPr>
              <w:t>[11]</w:t>
            </w:r>
          </w:p>
        </w:tc>
      </w:tr>
    </w:tbl>
    <w:p w:rsidR="00F477B2" w:rsidRDefault="00F477B2" w:rsidP="00F477B2">
      <w:pPr>
        <w:spacing w:after="120"/>
        <w:rPr>
          <w:rFonts w:ascii="Arial Narrow" w:hAnsi="Arial Narrow" w:cs="Arial"/>
          <w:color w:val="000000"/>
          <w:sz w:val="18"/>
          <w:szCs w:val="18"/>
        </w:rPr>
      </w:pPr>
    </w:p>
    <w:p w:rsidR="00F477B2" w:rsidRPr="00357BF9" w:rsidRDefault="00F477B2" w:rsidP="00F477B2">
      <w:pPr>
        <w:spacing w:after="120"/>
        <w:rPr>
          <w:rFonts w:ascii="Arial Narrow" w:hAnsi="Arial Narrow" w:cs="Arial"/>
          <w:color w:val="000000"/>
          <w:sz w:val="18"/>
          <w:szCs w:val="18"/>
        </w:rPr>
      </w:pPr>
      <w:r w:rsidRPr="00357BF9">
        <w:rPr>
          <w:rFonts w:ascii="Arial Narrow" w:hAnsi="Arial Narrow" w:cs="Arial"/>
          <w:color w:val="000000"/>
          <w:sz w:val="18"/>
          <w:szCs w:val="18"/>
        </w:rPr>
        <w:t>KEY</w:t>
      </w:r>
    </w:p>
    <w:p w:rsidR="00F477B2" w:rsidRPr="00357BF9" w:rsidRDefault="00F477B2" w:rsidP="00F477B2">
      <w:pPr>
        <w:numPr>
          <w:ilvl w:val="0"/>
          <w:numId w:val="6"/>
        </w:numPr>
        <w:spacing w:after="120"/>
        <w:ind w:left="600" w:right="150"/>
        <w:jc w:val="left"/>
        <w:rPr>
          <w:rFonts w:ascii="Arial Narrow" w:hAnsi="Arial Narrow"/>
          <w:sz w:val="18"/>
          <w:szCs w:val="18"/>
        </w:rPr>
      </w:pPr>
      <w:r w:rsidRPr="00357BF9">
        <w:rPr>
          <w:rFonts w:ascii="Arial Narrow" w:hAnsi="Arial Narrow"/>
          <w:sz w:val="18"/>
          <w:szCs w:val="18"/>
        </w:rPr>
        <w:t xml:space="preserve">PEG-IFN- </w:t>
      </w:r>
      <w:proofErr w:type="spellStart"/>
      <w:r w:rsidRPr="00357BF9">
        <w:rPr>
          <w:rFonts w:ascii="Arial Narrow" w:hAnsi="Arial Narrow"/>
          <w:sz w:val="18"/>
          <w:szCs w:val="18"/>
        </w:rPr>
        <w:t>peginterferon</w:t>
      </w:r>
      <w:proofErr w:type="spellEnd"/>
      <w:r w:rsidRPr="00357BF9">
        <w:rPr>
          <w:rFonts w:ascii="Arial Narrow" w:hAnsi="Arial Narrow"/>
          <w:sz w:val="18"/>
          <w:szCs w:val="18"/>
        </w:rPr>
        <w:t xml:space="preserve"> alfa-2a</w:t>
      </w:r>
    </w:p>
    <w:p w:rsidR="00F477B2" w:rsidRPr="00EE607B" w:rsidRDefault="00F477B2" w:rsidP="00F477B2">
      <w:pPr>
        <w:numPr>
          <w:ilvl w:val="0"/>
          <w:numId w:val="6"/>
        </w:numPr>
        <w:spacing w:after="120"/>
        <w:ind w:left="600" w:right="150"/>
        <w:jc w:val="left"/>
        <w:rPr>
          <w:rFonts w:ascii="Arial Narrow" w:hAnsi="Arial Narrow"/>
          <w:sz w:val="18"/>
          <w:szCs w:val="18"/>
        </w:rPr>
      </w:pPr>
      <w:r w:rsidRPr="00357BF9">
        <w:rPr>
          <w:rFonts w:ascii="Arial Narrow" w:hAnsi="Arial Narrow"/>
          <w:sz w:val="18"/>
          <w:szCs w:val="18"/>
        </w:rPr>
        <w:t xml:space="preserve">RBV </w:t>
      </w:r>
      <w:r>
        <w:rPr>
          <w:rFonts w:ascii="Arial Narrow" w:hAnsi="Arial Narrow"/>
          <w:sz w:val="18"/>
          <w:szCs w:val="18"/>
        </w:rPr>
        <w:t>–</w:t>
      </w:r>
      <w:r w:rsidRPr="00357BF9">
        <w:rPr>
          <w:rFonts w:ascii="Arial Narrow" w:hAnsi="Arial Narrow"/>
          <w:sz w:val="18"/>
          <w:szCs w:val="18"/>
        </w:rPr>
        <w:t xml:space="preserve"> ribavirin</w:t>
      </w:r>
    </w:p>
    <w:p w:rsidR="00F477B2" w:rsidRPr="00EE607B" w:rsidRDefault="00F477B2" w:rsidP="00F477B2">
      <w:pPr>
        <w:spacing w:after="120"/>
        <w:ind w:right="150"/>
        <w:jc w:val="left"/>
        <w:rPr>
          <w:rFonts w:ascii="Arial Narrow" w:hAnsi="Arial Narrow"/>
          <w:sz w:val="18"/>
          <w:szCs w:val="18"/>
        </w:rPr>
      </w:pPr>
    </w:p>
    <w:p w:rsidR="00F477B2" w:rsidRPr="00357BF9" w:rsidRDefault="00F477B2" w:rsidP="00F477B2">
      <w:pPr>
        <w:spacing w:after="120"/>
        <w:outlineLvl w:val="1"/>
        <w:rPr>
          <w:rFonts w:cs="Arial"/>
          <w:b/>
          <w:color w:val="000000"/>
          <w:sz w:val="28"/>
          <w:szCs w:val="28"/>
        </w:rPr>
      </w:pPr>
      <w:r w:rsidRPr="00357BF9">
        <w:rPr>
          <w:rFonts w:cs="Arial"/>
          <w:b/>
          <w:color w:val="000000"/>
          <w:sz w:val="28"/>
          <w:szCs w:val="28"/>
        </w:rPr>
        <w:t>Hepatitis C – Cirrhotic patients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57"/>
        <w:gridCol w:w="4135"/>
        <w:gridCol w:w="4135"/>
      </w:tblGrid>
      <w:tr w:rsidR="00F477B2" w:rsidRPr="00357BF9" w:rsidTr="00364B3C">
        <w:trPr>
          <w:tblHeader/>
        </w:trPr>
        <w:tc>
          <w:tcPr>
            <w:tcW w:w="518"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F477B2" w:rsidRPr="00357BF9" w:rsidRDefault="00F477B2" w:rsidP="00364B3C">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 </w:t>
            </w:r>
          </w:p>
        </w:tc>
        <w:tc>
          <w:tcPr>
            <w:tcW w:w="2241"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F477B2" w:rsidRPr="00357BF9" w:rsidRDefault="00F477B2" w:rsidP="00364B3C">
            <w:pPr>
              <w:spacing w:before="240" w:after="240" w:line="300" w:lineRule="atLeast"/>
              <w:rPr>
                <w:rFonts w:ascii="Arial Narrow" w:hAnsi="Arial Narrow"/>
                <w:b/>
                <w:bCs/>
                <w:color w:val="222222"/>
                <w:sz w:val="20"/>
                <w:szCs w:val="20"/>
              </w:rPr>
            </w:pPr>
            <w:r w:rsidRPr="00357BF9">
              <w:rPr>
                <w:rFonts w:ascii="Arial Narrow" w:hAnsi="Arial Narrow"/>
                <w:b/>
                <w:bCs/>
                <w:color w:val="222222"/>
                <w:sz w:val="20"/>
                <w:szCs w:val="20"/>
              </w:rPr>
              <w:t>Treatment naïve</w:t>
            </w:r>
          </w:p>
        </w:tc>
        <w:tc>
          <w:tcPr>
            <w:tcW w:w="2241" w:type="pct"/>
            <w:tcBorders>
              <w:top w:val="single" w:sz="6" w:space="0" w:color="C4DEEE"/>
              <w:left w:val="single" w:sz="6" w:space="0" w:color="C4DEEE"/>
              <w:bottom w:val="single" w:sz="6" w:space="0" w:color="C4DEEE"/>
              <w:right w:val="single" w:sz="6" w:space="0" w:color="C4DEEE"/>
            </w:tcBorders>
            <w:shd w:val="clear" w:color="auto" w:fill="E8F3FA"/>
            <w:tcMar>
              <w:top w:w="150" w:type="dxa"/>
              <w:left w:w="150" w:type="dxa"/>
              <w:bottom w:w="150" w:type="dxa"/>
              <w:right w:w="150" w:type="dxa"/>
            </w:tcMar>
            <w:hideMark/>
          </w:tcPr>
          <w:p w:rsidR="00F477B2" w:rsidRPr="00357BF9" w:rsidRDefault="00F477B2" w:rsidP="00364B3C">
            <w:pPr>
              <w:spacing w:line="300" w:lineRule="atLeast"/>
              <w:rPr>
                <w:rFonts w:ascii="Arial Narrow" w:hAnsi="Arial Narrow"/>
                <w:b/>
                <w:bCs/>
                <w:color w:val="222222"/>
                <w:sz w:val="20"/>
                <w:szCs w:val="20"/>
              </w:rPr>
            </w:pPr>
            <w:r w:rsidRPr="00357BF9">
              <w:rPr>
                <w:rFonts w:ascii="Arial Narrow" w:hAnsi="Arial Narrow"/>
                <w:b/>
                <w:bCs/>
                <w:color w:val="222222"/>
                <w:sz w:val="20"/>
                <w:szCs w:val="20"/>
              </w:rPr>
              <w:t>Treatment experienced</w:t>
            </w:r>
          </w:p>
        </w:tc>
      </w:tr>
      <w:tr w:rsidR="00F477B2" w:rsidRPr="00357BF9" w:rsidTr="00364B3C">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357BF9" w:rsidRDefault="00F477B2" w:rsidP="00364B3C">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1</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LEDIPASVIR + SOFOSBUVIR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PARITAPREVIR + RITONAVIR + OMBITASVIR (&amp;) DASABUVIR (&amp;) 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lastRenderedPageBreak/>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19"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LEDIPASVIR + SOFOSBUVIR</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PARITAPREVIR + RITONAVIR + OMBITASVIR (&amp;) DASABUVIR (&amp;) RBV</w:t>
            </w:r>
            <w:r w:rsidRPr="0021384A">
              <w:rPr>
                <w:rFonts w:ascii="Arial Narrow" w:hAnsi="Arial Narrow"/>
                <w:color w:val="000000" w:themeColor="text1"/>
                <w:sz w:val="20"/>
                <w:szCs w:val="20"/>
              </w:rPr>
              <w:br/>
              <w:t>[12 or 24 weeks] </w:t>
            </w:r>
            <w:hyperlink r:id="rId20" w:anchor="ft7" w:tooltip="[7]" w:history="1">
              <w:r w:rsidRPr="0021384A">
                <w:rPr>
                  <w:rFonts w:ascii="Arial Narrow" w:hAnsi="Arial Narrow"/>
                  <w:color w:val="000000" w:themeColor="text1"/>
                  <w:sz w:val="20"/>
                  <w:szCs w:val="20"/>
                  <w:u w:val="single"/>
                  <w:bdr w:val="none" w:sz="0" w:space="0" w:color="auto" w:frame="1"/>
                </w:rPr>
                <w:t>[8]</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lastRenderedPageBreak/>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[16 weeks] </w:t>
            </w:r>
            <w:hyperlink r:id="rId21" w:anchor="ft5" w:tooltip="[5]" w:history="1">
              <w:r w:rsidRPr="0021384A">
                <w:rPr>
                  <w:rFonts w:ascii="Arial Narrow" w:hAnsi="Arial Narrow"/>
                  <w:color w:val="000000" w:themeColor="text1"/>
                  <w:sz w:val="20"/>
                  <w:szCs w:val="20"/>
                  <w:u w:val="single"/>
                  <w:bdr w:val="none" w:sz="0" w:space="0" w:color="auto" w:frame="1"/>
                </w:rPr>
                <w:t>[5]</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22"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or 16 weeks][6]</w:t>
            </w:r>
          </w:p>
          <w:p w:rsidR="00F477B2"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EE607B" w:rsidRDefault="00F477B2" w:rsidP="00364B3C">
            <w:pPr>
              <w:keepNext/>
              <w:widowControl w:val="0"/>
              <w:spacing w:before="40"/>
              <w:rPr>
                <w:rFonts w:ascii="Arial Narrow" w:eastAsia="Calibri" w:hAnsi="Arial Narrow" w:cs="Arial"/>
                <w:iCs/>
                <w:color w:val="000000" w:themeColor="text1"/>
                <w:sz w:val="20"/>
                <w:szCs w:val="20"/>
              </w:rPr>
            </w:pPr>
            <w:r w:rsidRPr="00EE607B">
              <w:rPr>
                <w:rFonts w:ascii="Arial Narrow" w:hAnsi="Arial Narrow"/>
                <w:i/>
                <w:color w:val="FF0000"/>
                <w:sz w:val="20"/>
                <w:szCs w:val="20"/>
              </w:rPr>
              <w:t>[12 weeks]</w:t>
            </w:r>
            <w:r>
              <w:rPr>
                <w:rFonts w:ascii="Arial Narrow" w:hAnsi="Arial Narrow"/>
                <w:i/>
                <w:color w:val="FF0000"/>
                <w:sz w:val="20"/>
                <w:szCs w:val="20"/>
              </w:rPr>
              <w:t>[11]</w:t>
            </w:r>
          </w:p>
        </w:tc>
      </w:tr>
      <w:tr w:rsidR="00F477B2" w:rsidRPr="00357BF9" w:rsidTr="00364B3C">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357BF9" w:rsidRDefault="00F477B2" w:rsidP="00364B3C">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lastRenderedPageBreak/>
              <w:t>Genotype 2</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23"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24"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or 16 weeks][6]</w:t>
            </w:r>
          </w:p>
          <w:p w:rsidR="00F477B2"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EE607B" w:rsidRDefault="00F477B2" w:rsidP="00364B3C">
            <w:pPr>
              <w:keepNext/>
              <w:widowControl w:val="0"/>
              <w:spacing w:before="40"/>
              <w:rPr>
                <w:rFonts w:ascii="Arial Narrow" w:eastAsia="Calibri" w:hAnsi="Arial Narrow" w:cs="Arial"/>
                <w:iCs/>
                <w:color w:val="000000" w:themeColor="text1"/>
                <w:sz w:val="20"/>
                <w:szCs w:val="20"/>
              </w:rPr>
            </w:pPr>
            <w:r w:rsidRPr="00EE607B">
              <w:rPr>
                <w:rFonts w:ascii="Arial Narrow" w:hAnsi="Arial Narrow"/>
                <w:i/>
                <w:color w:val="FF0000"/>
                <w:sz w:val="20"/>
                <w:szCs w:val="20"/>
              </w:rPr>
              <w:t>[12 weeks]</w:t>
            </w:r>
            <w:r>
              <w:rPr>
                <w:rFonts w:ascii="Arial Narrow" w:hAnsi="Arial Narrow"/>
                <w:i/>
                <w:color w:val="FF0000"/>
                <w:sz w:val="20"/>
                <w:szCs w:val="20"/>
              </w:rPr>
              <w:t>[11]</w:t>
            </w:r>
          </w:p>
        </w:tc>
      </w:tr>
      <w:tr w:rsidR="00F477B2" w:rsidRPr="00357BF9" w:rsidTr="00364B3C">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357BF9" w:rsidRDefault="00F477B2" w:rsidP="00364B3C">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lastRenderedPageBreak/>
              <w:t>Genotype 3</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or 24 weeks] </w:t>
            </w:r>
            <w:hyperlink r:id="rId25" w:anchor="ft8" w:tooltip="[8]" w:history="1">
              <w:r w:rsidRPr="0021384A">
                <w:rPr>
                  <w:rFonts w:ascii="Arial Narrow" w:hAnsi="Arial Narrow"/>
                  <w:color w:val="000000" w:themeColor="text1"/>
                  <w:sz w:val="20"/>
                  <w:szCs w:val="20"/>
                  <w:u w:val="single"/>
                  <w:bdr w:val="none" w:sz="0" w:space="0" w:color="auto" w:frame="1"/>
                </w:rPr>
                <w:t>[9]</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26" w:anchor="ft6" w:tooltip="[6]" w:history="1">
              <w:r w:rsidRPr="0021384A">
                <w:rPr>
                  <w:rFonts w:ascii="Arial Narrow" w:hAnsi="Arial Narrow"/>
                  <w:color w:val="000000" w:themeColor="text1"/>
                  <w:sz w:val="20"/>
                  <w:szCs w:val="20"/>
                  <w:u w:val="single"/>
                  <w:bdr w:val="none" w:sz="0" w:space="0" w:color="auto" w:frame="1"/>
                </w:rPr>
                <w:t>[7]</w:t>
              </w:r>
            </w:hyperlink>
            <w:hyperlink r:id="rId27" w:anchor="ft9" w:tooltip="[9]" w:history="1">
              <w:r w:rsidRPr="0021384A">
                <w:rPr>
                  <w:rFonts w:ascii="Arial Narrow" w:hAnsi="Arial Narrow"/>
                  <w:color w:val="000000" w:themeColor="text1"/>
                  <w:sz w:val="20"/>
                  <w:szCs w:val="20"/>
                  <w:u w:val="single"/>
                  <w:bdr w:val="none" w:sz="0" w:space="0" w:color="auto" w:frame="1"/>
                </w:rPr>
                <w:t>[10]</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[24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DACLATASVIR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or 24 weeks] </w:t>
            </w:r>
            <w:hyperlink r:id="rId28" w:anchor="ft8" w:tooltip="[8]" w:history="1">
              <w:r w:rsidRPr="0021384A">
                <w:rPr>
                  <w:rFonts w:ascii="Arial Narrow" w:hAnsi="Arial Narrow"/>
                  <w:color w:val="000000" w:themeColor="text1"/>
                  <w:sz w:val="20"/>
                  <w:szCs w:val="20"/>
                  <w:u w:val="single"/>
                  <w:bdr w:val="none" w:sz="0" w:space="0" w:color="auto" w:frame="1"/>
                </w:rPr>
                <w:t>[9]</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29" w:anchor="ft6" w:tooltip="[6]" w:history="1">
              <w:r w:rsidRPr="0021384A">
                <w:rPr>
                  <w:rFonts w:ascii="Arial Narrow" w:hAnsi="Arial Narrow"/>
                  <w:color w:val="000000" w:themeColor="text1"/>
                  <w:sz w:val="20"/>
                  <w:szCs w:val="20"/>
                  <w:u w:val="single"/>
                  <w:bdr w:val="none" w:sz="0" w:space="0" w:color="auto" w:frame="1"/>
                </w:rPr>
                <w:t>[7]</w:t>
              </w:r>
            </w:hyperlink>
            <w:hyperlink r:id="rId30" w:anchor="ft9" w:tooltip="[9]" w:history="1">
              <w:r w:rsidRPr="0021384A">
                <w:rPr>
                  <w:rFonts w:ascii="Arial Narrow" w:hAnsi="Arial Narrow"/>
                  <w:color w:val="000000" w:themeColor="text1"/>
                  <w:sz w:val="20"/>
                  <w:szCs w:val="20"/>
                  <w:u w:val="single"/>
                  <w:bdr w:val="none" w:sz="0" w:space="0" w:color="auto" w:frame="1"/>
                </w:rPr>
                <w:t>[10]</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or 16 weeks][6]</w:t>
            </w:r>
          </w:p>
          <w:p w:rsidR="00F477B2"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EE607B" w:rsidRDefault="00F477B2" w:rsidP="00364B3C">
            <w:pPr>
              <w:keepNext/>
              <w:widowControl w:val="0"/>
              <w:spacing w:before="40"/>
              <w:rPr>
                <w:rFonts w:ascii="Arial Narrow" w:eastAsia="Calibri" w:hAnsi="Arial Narrow" w:cs="Arial"/>
                <w:iCs/>
                <w:color w:val="000000" w:themeColor="text1"/>
                <w:sz w:val="20"/>
                <w:szCs w:val="20"/>
              </w:rPr>
            </w:pPr>
            <w:r w:rsidRPr="00EE607B">
              <w:rPr>
                <w:rFonts w:ascii="Arial Narrow" w:hAnsi="Arial Narrow"/>
                <w:i/>
                <w:color w:val="FF0000"/>
                <w:sz w:val="20"/>
                <w:szCs w:val="20"/>
              </w:rPr>
              <w:t>[12 weeks]</w:t>
            </w:r>
            <w:r>
              <w:rPr>
                <w:rFonts w:ascii="Arial Narrow" w:hAnsi="Arial Narrow"/>
                <w:i/>
                <w:color w:val="FF0000"/>
                <w:sz w:val="20"/>
                <w:szCs w:val="20"/>
              </w:rPr>
              <w:t>[11]</w:t>
            </w:r>
          </w:p>
        </w:tc>
      </w:tr>
      <w:tr w:rsidR="00F477B2" w:rsidRPr="00357BF9" w:rsidTr="00364B3C">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357BF9" w:rsidRDefault="00F477B2" w:rsidP="00364B3C">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t>Genotype 4</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31"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lastRenderedPageBreak/>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br/>
            </w:r>
            <w:r w:rsidRPr="0021384A">
              <w:rPr>
                <w:rFonts w:ascii="Arial Narrow" w:hAnsi="Arial Narrow"/>
                <w:color w:val="000000" w:themeColor="text1"/>
                <w:sz w:val="20"/>
                <w:szCs w:val="20"/>
              </w:rPr>
              <w:lastRenderedPageBreak/>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GRAZOPREVIR + ELBASVIR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[16 weeks] </w:t>
            </w:r>
            <w:hyperlink r:id="rId32" w:anchor="ft5" w:tooltip="[5]" w:history="1">
              <w:r w:rsidRPr="0021384A">
                <w:rPr>
                  <w:rFonts w:ascii="Arial Narrow" w:hAnsi="Arial Narrow"/>
                  <w:color w:val="000000" w:themeColor="text1"/>
                  <w:sz w:val="20"/>
                  <w:szCs w:val="20"/>
                  <w:u w:val="single"/>
                  <w:bdr w:val="none" w:sz="0" w:space="0" w:color="auto" w:frame="1"/>
                </w:rPr>
                <w:t>[5]</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33"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or 16 weeks][6]</w:t>
            </w:r>
          </w:p>
          <w:p w:rsidR="00F477B2"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EE607B" w:rsidRDefault="00F477B2" w:rsidP="00364B3C">
            <w:pPr>
              <w:keepNext/>
              <w:widowControl w:val="0"/>
              <w:spacing w:before="40"/>
              <w:rPr>
                <w:rFonts w:ascii="Arial Narrow" w:eastAsia="Calibri" w:hAnsi="Arial Narrow" w:cs="Arial"/>
                <w:iCs/>
                <w:color w:val="000000" w:themeColor="text1"/>
                <w:sz w:val="20"/>
                <w:szCs w:val="20"/>
              </w:rPr>
            </w:pPr>
            <w:r w:rsidRPr="00EE607B">
              <w:rPr>
                <w:rFonts w:ascii="Arial Narrow" w:hAnsi="Arial Narrow"/>
                <w:i/>
                <w:color w:val="FF0000"/>
                <w:sz w:val="20"/>
                <w:szCs w:val="20"/>
              </w:rPr>
              <w:t>[12 weeks]</w:t>
            </w:r>
            <w:r>
              <w:rPr>
                <w:rFonts w:ascii="Arial Narrow" w:hAnsi="Arial Narrow"/>
                <w:i/>
                <w:color w:val="FF0000"/>
                <w:sz w:val="20"/>
                <w:szCs w:val="20"/>
              </w:rPr>
              <w:t>[11]</w:t>
            </w:r>
          </w:p>
        </w:tc>
      </w:tr>
      <w:tr w:rsidR="00F477B2" w:rsidRPr="00357BF9" w:rsidTr="00364B3C">
        <w:tc>
          <w:tcPr>
            <w:tcW w:w="518" w:type="pct"/>
            <w:tcBorders>
              <w:top w:val="outset" w:sz="6" w:space="0" w:color="auto"/>
              <w:left w:val="outset" w:sz="6" w:space="0" w:color="auto"/>
              <w:bottom w:val="outset" w:sz="6" w:space="0" w:color="auto"/>
              <w:right w:val="outset" w:sz="6" w:space="0" w:color="auto"/>
            </w:tcBorders>
            <w:shd w:val="clear" w:color="auto" w:fill="E8F3FA"/>
            <w:tcMar>
              <w:top w:w="150" w:type="dxa"/>
              <w:left w:w="150" w:type="dxa"/>
              <w:bottom w:w="150" w:type="dxa"/>
              <w:right w:w="150" w:type="dxa"/>
            </w:tcMar>
            <w:vAlign w:val="center"/>
            <w:hideMark/>
          </w:tcPr>
          <w:p w:rsidR="00F477B2" w:rsidRPr="00357BF9" w:rsidRDefault="00F477B2" w:rsidP="00364B3C">
            <w:pPr>
              <w:spacing w:before="240" w:after="240" w:line="300" w:lineRule="atLeast"/>
              <w:jc w:val="center"/>
              <w:rPr>
                <w:rFonts w:ascii="Arial Narrow" w:hAnsi="Arial Narrow"/>
                <w:b/>
                <w:bCs/>
                <w:color w:val="222222"/>
                <w:sz w:val="20"/>
                <w:szCs w:val="20"/>
              </w:rPr>
            </w:pPr>
            <w:r w:rsidRPr="00357BF9">
              <w:rPr>
                <w:rFonts w:ascii="Arial Narrow" w:hAnsi="Arial Narrow"/>
                <w:b/>
                <w:bCs/>
                <w:color w:val="222222"/>
                <w:sz w:val="20"/>
                <w:szCs w:val="20"/>
                <w:bdr w:val="none" w:sz="0" w:space="0" w:color="auto" w:frame="1"/>
              </w:rPr>
              <w:lastRenderedPageBreak/>
              <w:t>Genotype 5 &amp; 6</w:t>
            </w: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34"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Default="00F477B2" w:rsidP="00364B3C">
            <w:pPr>
              <w:spacing w:after="240" w:line="300" w:lineRule="atLeast"/>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weeks]</w:t>
            </w:r>
          </w:p>
          <w:p w:rsidR="00F477B2" w:rsidRPr="0021384A" w:rsidRDefault="00F477B2" w:rsidP="00364B3C">
            <w:pPr>
              <w:spacing w:after="240" w:line="300" w:lineRule="atLeast"/>
              <w:rPr>
                <w:rFonts w:ascii="Arial Narrow" w:hAnsi="Arial Narrow"/>
                <w:color w:val="000000" w:themeColor="text1"/>
                <w:sz w:val="20"/>
                <w:szCs w:val="20"/>
              </w:rPr>
            </w:pPr>
          </w:p>
        </w:tc>
        <w:tc>
          <w:tcPr>
            <w:tcW w:w="224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F477B2" w:rsidRPr="0021384A" w:rsidRDefault="00F477B2" w:rsidP="00364B3C">
            <w:pPr>
              <w:spacing w:before="240"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PEG-IFN</w:t>
            </w:r>
            <w:r w:rsidRPr="0021384A">
              <w:rPr>
                <w:rFonts w:ascii="Arial Narrow" w:hAnsi="Arial Narrow"/>
                <w:color w:val="000000" w:themeColor="text1"/>
                <w:sz w:val="20"/>
                <w:szCs w:val="20"/>
              </w:rPr>
              <w:t> and </w:t>
            </w:r>
            <w:r w:rsidRPr="0021384A">
              <w:rPr>
                <w:rFonts w:ascii="Arial Narrow" w:hAnsi="Arial Narrow"/>
                <w:b/>
                <w:bCs/>
                <w:color w:val="000000" w:themeColor="text1"/>
                <w:sz w:val="20"/>
                <w:szCs w:val="20"/>
                <w:bdr w:val="none" w:sz="0" w:space="0" w:color="auto" w:frame="1"/>
              </w:rPr>
              <w:t>RBV</w:t>
            </w:r>
            <w:r w:rsidRPr="0021384A">
              <w:rPr>
                <w:rFonts w:ascii="Arial Narrow" w:hAnsi="Arial Narrow"/>
                <w:color w:val="000000" w:themeColor="text1"/>
                <w:sz w:val="20"/>
                <w:szCs w:val="20"/>
              </w:rPr>
              <w:br/>
              <w:t>[12 weeks]</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b/>
                <w:bCs/>
                <w:color w:val="000000" w:themeColor="text1"/>
                <w:sz w:val="20"/>
                <w:szCs w:val="20"/>
                <w:bdr w:val="none" w:sz="0" w:space="0" w:color="auto" w:frame="1"/>
              </w:rPr>
              <w:t>SOFOSBUVIR + VELPATASVIR</w:t>
            </w:r>
            <w:r w:rsidRPr="0021384A">
              <w:rPr>
                <w:rFonts w:ascii="Arial Narrow" w:hAnsi="Arial Narrow"/>
                <w:color w:val="000000" w:themeColor="text1"/>
                <w:sz w:val="20"/>
                <w:szCs w:val="20"/>
              </w:rPr>
              <w:br/>
              <w:t>[12 weeks]</w:t>
            </w:r>
            <w:hyperlink r:id="rId35" w:anchor="ft6" w:tooltip="[6]" w:history="1">
              <w:r w:rsidRPr="0021384A">
                <w:rPr>
                  <w:rFonts w:ascii="Arial Narrow" w:hAnsi="Arial Narrow"/>
                  <w:color w:val="000000" w:themeColor="text1"/>
                  <w:sz w:val="20"/>
                  <w:szCs w:val="20"/>
                  <w:u w:val="single"/>
                  <w:bdr w:val="none" w:sz="0" w:space="0" w:color="auto" w:frame="1"/>
                </w:rPr>
                <w:t>[7]</w:t>
              </w:r>
            </w:hyperlink>
          </w:p>
          <w:p w:rsidR="00F477B2" w:rsidRPr="0021384A" w:rsidRDefault="00F477B2" w:rsidP="00364B3C">
            <w:pPr>
              <w:spacing w:after="240" w:line="300" w:lineRule="atLeast"/>
              <w:rPr>
                <w:rFonts w:ascii="Arial Narrow" w:hAnsi="Arial Narrow"/>
                <w:color w:val="000000" w:themeColor="text1"/>
                <w:sz w:val="20"/>
                <w:szCs w:val="20"/>
              </w:rPr>
            </w:pPr>
            <w:r w:rsidRPr="0021384A">
              <w:rPr>
                <w:rFonts w:ascii="Arial Narrow" w:hAnsi="Arial Narrow"/>
                <w:color w:val="000000" w:themeColor="text1"/>
                <w:sz w:val="20"/>
                <w:szCs w:val="20"/>
              </w:rPr>
              <w:t>OR</w:t>
            </w:r>
          </w:p>
          <w:p w:rsidR="00F477B2" w:rsidRPr="0021384A" w:rsidRDefault="00F477B2" w:rsidP="00364B3C">
            <w:pPr>
              <w:keepNext/>
              <w:widowControl w:val="0"/>
              <w:spacing w:before="40"/>
              <w:rPr>
                <w:rFonts w:ascii="Arial Narrow" w:eastAsia="Calibri" w:hAnsi="Arial Narrow" w:cs="Arial"/>
                <w:b/>
                <w:iCs/>
                <w:color w:val="000000" w:themeColor="text1"/>
                <w:sz w:val="20"/>
                <w:szCs w:val="20"/>
              </w:rPr>
            </w:pPr>
            <w:r w:rsidRPr="0021384A">
              <w:rPr>
                <w:rFonts w:ascii="Arial Narrow" w:eastAsia="Calibri" w:hAnsi="Arial Narrow" w:cs="Arial"/>
                <w:b/>
                <w:iCs/>
                <w:color w:val="000000" w:themeColor="text1"/>
                <w:sz w:val="20"/>
                <w:szCs w:val="20"/>
              </w:rPr>
              <w:t>GLECAPREVIR + PIBRENTASVIR</w:t>
            </w:r>
          </w:p>
          <w:p w:rsidR="00F477B2" w:rsidRPr="0021384A" w:rsidRDefault="00F477B2" w:rsidP="00364B3C">
            <w:pPr>
              <w:keepNext/>
              <w:widowControl w:val="0"/>
              <w:spacing w:before="40"/>
              <w:rPr>
                <w:rFonts w:ascii="Arial Narrow" w:eastAsia="Calibri" w:hAnsi="Arial Narrow" w:cs="Arial"/>
                <w:iCs/>
                <w:color w:val="000000" w:themeColor="text1"/>
                <w:sz w:val="20"/>
                <w:szCs w:val="20"/>
              </w:rPr>
            </w:pPr>
            <w:r w:rsidRPr="0021384A">
              <w:rPr>
                <w:rFonts w:ascii="Arial Narrow" w:eastAsia="Calibri" w:hAnsi="Arial Narrow" w:cs="Arial"/>
                <w:iCs/>
                <w:color w:val="000000" w:themeColor="text1"/>
                <w:sz w:val="20"/>
                <w:szCs w:val="20"/>
              </w:rPr>
              <w:t>[12 or 16 weeks][6]</w:t>
            </w:r>
          </w:p>
          <w:p w:rsidR="00F477B2" w:rsidRPr="0021384A" w:rsidRDefault="00F477B2" w:rsidP="00364B3C">
            <w:pPr>
              <w:keepNext/>
              <w:widowControl w:val="0"/>
              <w:spacing w:before="40"/>
              <w:rPr>
                <w:rFonts w:ascii="Arial Narrow" w:eastAsia="Calibri" w:hAnsi="Arial Narrow" w:cs="Arial"/>
                <w:iCs/>
                <w:color w:val="000000" w:themeColor="text1"/>
                <w:sz w:val="20"/>
                <w:szCs w:val="20"/>
              </w:rPr>
            </w:pPr>
          </w:p>
          <w:p w:rsidR="00F477B2" w:rsidRPr="00EE607B" w:rsidRDefault="00F477B2" w:rsidP="00364B3C">
            <w:pPr>
              <w:keepNext/>
              <w:widowControl w:val="0"/>
              <w:spacing w:before="40"/>
              <w:rPr>
                <w:rFonts w:ascii="Arial Narrow" w:eastAsia="Calibri" w:hAnsi="Arial Narrow" w:cs="Arial"/>
                <w:b/>
                <w:i/>
                <w:iCs/>
                <w:color w:val="FF0000"/>
                <w:sz w:val="20"/>
                <w:szCs w:val="20"/>
              </w:rPr>
            </w:pPr>
            <w:r w:rsidRPr="00EE607B">
              <w:rPr>
                <w:rFonts w:ascii="Arial Narrow" w:eastAsia="Calibri" w:hAnsi="Arial Narrow" w:cs="Arial"/>
                <w:b/>
                <w:i/>
                <w:iCs/>
                <w:color w:val="FF0000"/>
                <w:sz w:val="20"/>
                <w:szCs w:val="20"/>
              </w:rPr>
              <w:t xml:space="preserve">SOFOSBUVIR + VELPATASVIR + </w:t>
            </w:r>
            <w:r>
              <w:rPr>
                <w:rFonts w:ascii="Arial Narrow" w:eastAsia="Calibri" w:hAnsi="Arial Narrow" w:cs="Arial"/>
                <w:b/>
                <w:i/>
                <w:iCs/>
                <w:color w:val="FF0000"/>
                <w:sz w:val="20"/>
                <w:szCs w:val="20"/>
              </w:rPr>
              <w:t>VOXILAPREVIR</w:t>
            </w:r>
          </w:p>
          <w:p w:rsidR="00F477B2" w:rsidRPr="0021384A" w:rsidRDefault="00F477B2" w:rsidP="00364B3C">
            <w:pPr>
              <w:spacing w:after="240" w:line="300" w:lineRule="atLeast"/>
              <w:rPr>
                <w:rFonts w:ascii="Arial Narrow" w:hAnsi="Arial Narrow"/>
                <w:color w:val="000000" w:themeColor="text1"/>
                <w:sz w:val="20"/>
                <w:szCs w:val="20"/>
              </w:rPr>
            </w:pPr>
            <w:r w:rsidRPr="00EE607B">
              <w:rPr>
                <w:rFonts w:ascii="Arial Narrow" w:hAnsi="Arial Narrow"/>
                <w:i/>
                <w:color w:val="FF0000"/>
                <w:sz w:val="20"/>
                <w:szCs w:val="20"/>
              </w:rPr>
              <w:t>[12 weeks]</w:t>
            </w:r>
            <w:r>
              <w:rPr>
                <w:rFonts w:ascii="Arial Narrow" w:hAnsi="Arial Narrow"/>
                <w:i/>
                <w:color w:val="FF0000"/>
                <w:sz w:val="20"/>
                <w:szCs w:val="20"/>
              </w:rPr>
              <w:t>[11]</w:t>
            </w:r>
          </w:p>
        </w:tc>
      </w:tr>
    </w:tbl>
    <w:p w:rsidR="00F477B2" w:rsidRPr="00357BF9" w:rsidRDefault="00F477B2" w:rsidP="00F477B2">
      <w:pPr>
        <w:spacing w:after="120"/>
        <w:rPr>
          <w:rFonts w:ascii="Arial Narrow" w:hAnsi="Arial Narrow" w:cs="Arial"/>
          <w:color w:val="000000"/>
          <w:sz w:val="18"/>
          <w:szCs w:val="18"/>
        </w:rPr>
      </w:pPr>
      <w:r w:rsidRPr="00357BF9">
        <w:rPr>
          <w:rFonts w:ascii="Arial Narrow" w:hAnsi="Arial Narrow" w:cs="Arial"/>
          <w:color w:val="000000"/>
          <w:sz w:val="18"/>
          <w:szCs w:val="18"/>
        </w:rPr>
        <w:t>KEY</w:t>
      </w:r>
    </w:p>
    <w:p w:rsidR="00F477B2" w:rsidRPr="00357BF9" w:rsidRDefault="00F477B2" w:rsidP="00F477B2">
      <w:pPr>
        <w:numPr>
          <w:ilvl w:val="0"/>
          <w:numId w:val="7"/>
        </w:numPr>
        <w:spacing w:after="120"/>
        <w:ind w:left="600" w:right="150"/>
        <w:jc w:val="left"/>
        <w:rPr>
          <w:rFonts w:ascii="Arial Narrow" w:hAnsi="Arial Narrow"/>
          <w:sz w:val="18"/>
          <w:szCs w:val="18"/>
        </w:rPr>
      </w:pPr>
      <w:r w:rsidRPr="00357BF9">
        <w:rPr>
          <w:rFonts w:ascii="Arial Narrow" w:hAnsi="Arial Narrow"/>
          <w:sz w:val="18"/>
          <w:szCs w:val="18"/>
        </w:rPr>
        <w:t xml:space="preserve">PEG-IFN - </w:t>
      </w:r>
      <w:proofErr w:type="spellStart"/>
      <w:r w:rsidRPr="00357BF9">
        <w:rPr>
          <w:rFonts w:ascii="Arial Narrow" w:hAnsi="Arial Narrow"/>
          <w:sz w:val="18"/>
          <w:szCs w:val="18"/>
        </w:rPr>
        <w:t>peginterferon</w:t>
      </w:r>
      <w:proofErr w:type="spellEnd"/>
      <w:r w:rsidRPr="00357BF9">
        <w:rPr>
          <w:rFonts w:ascii="Arial Narrow" w:hAnsi="Arial Narrow"/>
          <w:sz w:val="18"/>
          <w:szCs w:val="18"/>
        </w:rPr>
        <w:t xml:space="preserve"> alfa-2a</w:t>
      </w:r>
    </w:p>
    <w:p w:rsidR="00F477B2" w:rsidRPr="00357BF9" w:rsidRDefault="00F477B2" w:rsidP="00F477B2">
      <w:pPr>
        <w:numPr>
          <w:ilvl w:val="0"/>
          <w:numId w:val="7"/>
        </w:numPr>
        <w:spacing w:after="120"/>
        <w:ind w:left="600" w:right="150"/>
        <w:jc w:val="left"/>
        <w:rPr>
          <w:rFonts w:ascii="Arial Narrow" w:hAnsi="Arial Narrow"/>
          <w:sz w:val="18"/>
          <w:szCs w:val="18"/>
        </w:rPr>
      </w:pPr>
      <w:r w:rsidRPr="00357BF9">
        <w:rPr>
          <w:rFonts w:ascii="Arial Narrow" w:hAnsi="Arial Narrow"/>
          <w:sz w:val="18"/>
          <w:szCs w:val="18"/>
        </w:rPr>
        <w:t>RBV – ribavirin</w:t>
      </w:r>
    </w:p>
    <w:p w:rsidR="00F477B2" w:rsidRPr="00357BF9" w:rsidRDefault="00F477B2" w:rsidP="00F477B2">
      <w:pPr>
        <w:spacing w:after="120"/>
        <w:rPr>
          <w:rFonts w:ascii="Arial Narrow" w:hAnsi="Arial Narrow"/>
          <w:color w:val="222222"/>
          <w:sz w:val="18"/>
          <w:szCs w:val="18"/>
        </w:rPr>
      </w:pPr>
      <w:bookmarkStart w:id="17" w:name="ft1"/>
      <w:r w:rsidRPr="00357BF9">
        <w:rPr>
          <w:rFonts w:ascii="Arial Narrow" w:hAnsi="Arial Narrow"/>
          <w:color w:val="1157AD"/>
          <w:sz w:val="18"/>
          <w:szCs w:val="18"/>
          <w:u w:val="single"/>
        </w:rPr>
        <w:lastRenderedPageBreak/>
        <w:t>[1]</w:t>
      </w:r>
      <w:bookmarkEnd w:id="17"/>
      <w:r w:rsidRPr="00357BF9">
        <w:rPr>
          <w:rFonts w:ascii="Arial Narrow" w:hAnsi="Arial Narrow"/>
          <w:color w:val="222222"/>
          <w:sz w:val="18"/>
          <w:szCs w:val="18"/>
        </w:rPr>
        <w:t> Medicines for the treatment of hepatitis C are listed for prescribing by authorised nurse practitioners under the General Schedule only. Medicines for the treatment of hepatitis C are not listed for prescribing by authorised nurse practitioners under the S100 Highly Specialised Drugs Program.</w:t>
      </w:r>
    </w:p>
    <w:p w:rsidR="00F477B2" w:rsidRPr="00357BF9" w:rsidRDefault="00F477B2" w:rsidP="00F477B2">
      <w:pPr>
        <w:spacing w:after="120"/>
        <w:rPr>
          <w:rFonts w:ascii="Arial Narrow" w:hAnsi="Arial Narrow"/>
          <w:color w:val="222222"/>
          <w:sz w:val="18"/>
          <w:szCs w:val="18"/>
        </w:rPr>
      </w:pPr>
      <w:bookmarkStart w:id="18" w:name="ft2"/>
      <w:r w:rsidRPr="00357BF9">
        <w:rPr>
          <w:rFonts w:ascii="Arial Narrow" w:hAnsi="Arial Narrow"/>
          <w:color w:val="1157AD"/>
          <w:sz w:val="18"/>
          <w:szCs w:val="18"/>
          <w:u w:val="single"/>
        </w:rPr>
        <w:t>[2]</w:t>
      </w:r>
      <w:bookmarkEnd w:id="18"/>
      <w:r w:rsidRPr="00357BF9">
        <w:rPr>
          <w:rFonts w:ascii="Arial Narrow" w:hAnsi="Arial Narrow"/>
          <w:color w:val="222222"/>
          <w:sz w:val="18"/>
          <w:szCs w:val="18"/>
        </w:rPr>
        <w:t>[LEDIPASVIR + SOFOSBUVIR] for treatment-naïve, non-cirrhotic patients:</w:t>
      </w:r>
    </w:p>
    <w:p w:rsidR="00F477B2" w:rsidRPr="00357BF9" w:rsidRDefault="00F477B2" w:rsidP="00F477B2">
      <w:pPr>
        <w:numPr>
          <w:ilvl w:val="0"/>
          <w:numId w:val="8"/>
        </w:numPr>
        <w:spacing w:after="120"/>
        <w:ind w:left="600" w:right="150"/>
        <w:jc w:val="left"/>
        <w:rPr>
          <w:rFonts w:ascii="Arial Narrow" w:hAnsi="Arial Narrow"/>
          <w:sz w:val="18"/>
          <w:szCs w:val="18"/>
        </w:rPr>
      </w:pPr>
      <w:r w:rsidRPr="00357BF9">
        <w:rPr>
          <w:rFonts w:ascii="Arial Narrow" w:hAnsi="Arial Narrow"/>
          <w:sz w:val="18"/>
          <w:szCs w:val="18"/>
        </w:rPr>
        <w:t>consider treatment for 8 weeks where pre-treatment HCV RNA is less than 6 million IU/mL;</w:t>
      </w:r>
    </w:p>
    <w:p w:rsidR="00F477B2" w:rsidRPr="00357BF9" w:rsidRDefault="00F477B2" w:rsidP="00F477B2">
      <w:pPr>
        <w:numPr>
          <w:ilvl w:val="0"/>
          <w:numId w:val="8"/>
        </w:numPr>
        <w:spacing w:after="120"/>
        <w:ind w:left="600" w:right="150"/>
        <w:jc w:val="left"/>
        <w:rPr>
          <w:rFonts w:ascii="Arial Narrow" w:hAnsi="Arial Narrow"/>
          <w:sz w:val="18"/>
          <w:szCs w:val="18"/>
        </w:rPr>
      </w:pPr>
      <w:proofErr w:type="gramStart"/>
      <w:r w:rsidRPr="00357BF9">
        <w:rPr>
          <w:rFonts w:ascii="Arial Narrow" w:hAnsi="Arial Narrow"/>
          <w:sz w:val="18"/>
          <w:szCs w:val="18"/>
        </w:rPr>
        <w:t>otherwise</w:t>
      </w:r>
      <w:proofErr w:type="gramEnd"/>
      <w:r w:rsidRPr="00357BF9">
        <w:rPr>
          <w:rFonts w:ascii="Arial Narrow" w:hAnsi="Arial Narrow"/>
          <w:sz w:val="18"/>
          <w:szCs w:val="18"/>
        </w:rPr>
        <w:t xml:space="preserve"> treatment for 12 weeks where pre-treatment HCV RNA is 6 million IU/mL or greater.</w:t>
      </w:r>
    </w:p>
    <w:p w:rsidR="00F477B2" w:rsidRPr="00357BF9" w:rsidRDefault="00F477B2" w:rsidP="00F477B2">
      <w:pPr>
        <w:spacing w:after="120"/>
        <w:rPr>
          <w:rFonts w:ascii="Arial Narrow" w:hAnsi="Arial Narrow"/>
          <w:color w:val="222222"/>
          <w:sz w:val="18"/>
          <w:szCs w:val="18"/>
        </w:rPr>
      </w:pPr>
      <w:bookmarkStart w:id="19" w:name="ft3"/>
      <w:r w:rsidRPr="00357BF9">
        <w:rPr>
          <w:rFonts w:ascii="Arial Narrow" w:hAnsi="Arial Narrow"/>
          <w:color w:val="1157AD"/>
          <w:sz w:val="18"/>
          <w:szCs w:val="18"/>
          <w:u w:val="single"/>
        </w:rPr>
        <w:t>[3]</w:t>
      </w:r>
      <w:bookmarkEnd w:id="19"/>
      <w:proofErr w:type="gramStart"/>
      <w:r w:rsidRPr="00357BF9">
        <w:rPr>
          <w:rFonts w:ascii="Arial Narrow" w:hAnsi="Arial Narrow"/>
          <w:color w:val="222222"/>
          <w:sz w:val="18"/>
          <w:szCs w:val="18"/>
        </w:rPr>
        <w:t>[PARITAPREVIR + RITONAVIR + OMBITASVIR (&amp;) DASABUVIR] for treatment-naïve and treatment experienced, non-cirrhotic patients, treatment for 12 weeks in patients with genotype 1b HCV.</w:t>
      </w:r>
      <w:proofErr w:type="gramEnd"/>
    </w:p>
    <w:p w:rsidR="00F477B2" w:rsidRPr="00357BF9" w:rsidRDefault="00F477B2" w:rsidP="00F477B2">
      <w:pPr>
        <w:spacing w:after="120"/>
        <w:rPr>
          <w:rFonts w:ascii="Arial Narrow" w:hAnsi="Arial Narrow"/>
          <w:color w:val="222222"/>
          <w:sz w:val="18"/>
          <w:szCs w:val="18"/>
        </w:rPr>
      </w:pPr>
      <w:bookmarkStart w:id="20" w:name="ft4"/>
      <w:r w:rsidRPr="00357BF9">
        <w:rPr>
          <w:rFonts w:ascii="Arial Narrow" w:hAnsi="Arial Narrow"/>
          <w:color w:val="1157AD"/>
          <w:sz w:val="18"/>
          <w:szCs w:val="18"/>
          <w:u w:val="single"/>
        </w:rPr>
        <w:t>[4]</w:t>
      </w:r>
      <w:bookmarkEnd w:id="20"/>
      <w:proofErr w:type="gramStart"/>
      <w:r w:rsidRPr="00357BF9">
        <w:rPr>
          <w:rFonts w:ascii="Arial Narrow" w:hAnsi="Arial Narrow"/>
          <w:color w:val="222222"/>
          <w:sz w:val="18"/>
          <w:szCs w:val="18"/>
        </w:rPr>
        <w:t>  [</w:t>
      </w:r>
      <w:proofErr w:type="gramEnd"/>
      <w:r w:rsidRPr="00357BF9">
        <w:rPr>
          <w:rFonts w:ascii="Arial Narrow" w:hAnsi="Arial Narrow"/>
          <w:color w:val="222222"/>
          <w:sz w:val="18"/>
          <w:szCs w:val="18"/>
        </w:rPr>
        <w:t>PARITAPREVIR + RITONAVIR + OMBITASVIR (&amp;) DASABUVIR (&amp;) RBV] for treatment-naïve and treatment experienced, non-cirrhotic patients, treatment for 12 weeks in patients with genotype 1a HCV. </w:t>
      </w:r>
    </w:p>
    <w:p w:rsidR="00F477B2" w:rsidRDefault="00F477B2" w:rsidP="00F477B2">
      <w:pPr>
        <w:spacing w:after="120"/>
        <w:rPr>
          <w:rFonts w:ascii="Arial Narrow" w:hAnsi="Arial Narrow"/>
          <w:color w:val="222222"/>
          <w:sz w:val="18"/>
          <w:szCs w:val="18"/>
        </w:rPr>
      </w:pPr>
      <w:bookmarkStart w:id="21" w:name="ft5"/>
      <w:r w:rsidRPr="00357BF9">
        <w:rPr>
          <w:rFonts w:ascii="Arial Narrow" w:hAnsi="Arial Narrow"/>
          <w:color w:val="1157AD"/>
          <w:sz w:val="18"/>
          <w:szCs w:val="18"/>
          <w:u w:val="single"/>
        </w:rPr>
        <w:t>[5]</w:t>
      </w:r>
      <w:bookmarkEnd w:id="21"/>
      <w:r w:rsidRPr="00357BF9">
        <w:rPr>
          <w:rFonts w:ascii="Arial Narrow" w:hAnsi="Arial Narrow"/>
          <w:color w:val="222222"/>
          <w:sz w:val="18"/>
          <w:szCs w:val="18"/>
        </w:rPr>
        <w:t xml:space="preserve"> [GRAZOPREVIR + ELBASVIR and RBV] for treatment-experienced, non-cirrhotic and cirrhotic patients, treatment for 16 weeks in patients with genotype 1a or 4 HCV who have experienced on-treatment </w:t>
      </w:r>
      <w:proofErr w:type="spellStart"/>
      <w:r w:rsidRPr="00357BF9">
        <w:rPr>
          <w:rFonts w:ascii="Arial Narrow" w:hAnsi="Arial Narrow"/>
          <w:color w:val="222222"/>
          <w:sz w:val="18"/>
          <w:szCs w:val="18"/>
        </w:rPr>
        <w:t>virologic</w:t>
      </w:r>
      <w:proofErr w:type="spellEnd"/>
      <w:r w:rsidRPr="00357BF9">
        <w:rPr>
          <w:rFonts w:ascii="Arial Narrow" w:hAnsi="Arial Narrow"/>
          <w:color w:val="222222"/>
          <w:sz w:val="18"/>
          <w:szCs w:val="18"/>
        </w:rPr>
        <w:t xml:space="preserve"> failure to prior treatment. </w:t>
      </w:r>
    </w:p>
    <w:p w:rsidR="00F477B2" w:rsidRPr="0021384A" w:rsidRDefault="005C08FA" w:rsidP="00F477B2">
      <w:pPr>
        <w:spacing w:after="120"/>
        <w:rPr>
          <w:rFonts w:ascii="Arial Narrow" w:hAnsi="Arial Narrow"/>
          <w:color w:val="000000" w:themeColor="text1"/>
          <w:sz w:val="18"/>
          <w:szCs w:val="18"/>
        </w:rPr>
      </w:pPr>
      <w:hyperlink r:id="rId36" w:anchor="ft9" w:tooltip="[9]" w:history="1">
        <w:r w:rsidR="00F477B2" w:rsidRPr="0021384A">
          <w:rPr>
            <w:rFonts w:ascii="Arial Narrow" w:hAnsi="Arial Narrow"/>
            <w:color w:val="1F497D" w:themeColor="text2"/>
            <w:sz w:val="18"/>
            <w:szCs w:val="18"/>
            <w:u w:val="single"/>
            <w:bdr w:val="none" w:sz="0" w:space="0" w:color="auto" w:frame="1"/>
          </w:rPr>
          <w:t>[6]</w:t>
        </w:r>
      </w:hyperlink>
      <w:r w:rsidR="00F477B2" w:rsidRPr="0021384A">
        <w:rPr>
          <w:rFonts w:ascii="Arial Narrow" w:hAnsi="Arial Narrow"/>
          <w:color w:val="000000" w:themeColor="text1"/>
          <w:sz w:val="18"/>
          <w:szCs w:val="18"/>
        </w:rPr>
        <w:t xml:space="preserve"> </w:t>
      </w:r>
      <w:r w:rsidR="00F477B2" w:rsidRPr="0021384A">
        <w:rPr>
          <w:rFonts w:ascii="Arial Narrow" w:hAnsi="Arial Narrow"/>
          <w:b/>
          <w:bCs/>
          <w:color w:val="000000" w:themeColor="text1"/>
          <w:sz w:val="18"/>
          <w:szCs w:val="18"/>
          <w:vertAlign w:val="superscript"/>
        </w:rPr>
        <w:t xml:space="preserve"> </w:t>
      </w:r>
      <w:r w:rsidR="00F477B2" w:rsidRPr="0021384A">
        <w:rPr>
          <w:rFonts w:ascii="Arial Narrow" w:hAnsi="Arial Narrow"/>
          <w:bCs/>
          <w:color w:val="000000" w:themeColor="text1"/>
          <w:sz w:val="18"/>
          <w:szCs w:val="18"/>
        </w:rPr>
        <w:t>[</w:t>
      </w:r>
      <w:r w:rsidR="00F477B2" w:rsidRPr="0021384A">
        <w:rPr>
          <w:rFonts w:ascii="Arial Narrow" w:eastAsia="Calibri" w:hAnsi="Arial Narrow" w:cs="Arial"/>
          <w:iCs/>
          <w:color w:val="000000" w:themeColor="text1"/>
          <w:sz w:val="18"/>
          <w:szCs w:val="18"/>
        </w:rPr>
        <w:t xml:space="preserve">GLECAPREVIR + PIBRENTASVIR] </w:t>
      </w:r>
      <w:r w:rsidR="00F477B2" w:rsidRPr="0021384A">
        <w:rPr>
          <w:rFonts w:ascii="Arial Narrow" w:hAnsi="Arial Narrow"/>
          <w:bCs/>
          <w:color w:val="000000" w:themeColor="text1"/>
          <w:sz w:val="18"/>
          <w:szCs w:val="18"/>
        </w:rPr>
        <w:t>for treatment experienced patients with genotype 3 HCV and patients who have failed an NS5A inhibitor, treatment is for 16 weeks.</w:t>
      </w:r>
    </w:p>
    <w:p w:rsidR="00F477B2" w:rsidRPr="00357BF9" w:rsidRDefault="00F477B2" w:rsidP="00F477B2">
      <w:pPr>
        <w:spacing w:after="120"/>
        <w:rPr>
          <w:rFonts w:ascii="Arial Narrow" w:hAnsi="Arial Narrow"/>
          <w:color w:val="222222"/>
          <w:sz w:val="18"/>
          <w:szCs w:val="18"/>
        </w:rPr>
      </w:pPr>
      <w:r>
        <w:rPr>
          <w:rFonts w:ascii="Arial Narrow" w:hAnsi="Arial Narrow"/>
          <w:color w:val="1157AD"/>
          <w:sz w:val="18"/>
          <w:szCs w:val="18"/>
          <w:u w:val="single"/>
        </w:rPr>
        <w:t>[7]</w:t>
      </w:r>
      <w:r w:rsidRPr="00357BF9">
        <w:rPr>
          <w:rFonts w:ascii="Arial Narrow" w:hAnsi="Arial Narrow"/>
          <w:color w:val="222222"/>
          <w:sz w:val="18"/>
          <w:szCs w:val="18"/>
        </w:rPr>
        <w:t>[SOFOSBUVIR + VELPATASVIR] for patients with decompensated cirrhosis:</w:t>
      </w:r>
    </w:p>
    <w:p w:rsidR="00F477B2" w:rsidRPr="00357BF9" w:rsidRDefault="00F477B2" w:rsidP="00F477B2">
      <w:pPr>
        <w:numPr>
          <w:ilvl w:val="0"/>
          <w:numId w:val="9"/>
        </w:numPr>
        <w:spacing w:after="120"/>
        <w:ind w:left="600" w:right="150"/>
        <w:jc w:val="left"/>
        <w:rPr>
          <w:rFonts w:ascii="Arial Narrow" w:hAnsi="Arial Narrow"/>
          <w:sz w:val="18"/>
          <w:szCs w:val="18"/>
        </w:rPr>
      </w:pPr>
      <w:r w:rsidRPr="00357BF9">
        <w:rPr>
          <w:rFonts w:ascii="Arial Narrow" w:hAnsi="Arial Narrow"/>
          <w:sz w:val="18"/>
          <w:szCs w:val="18"/>
        </w:rPr>
        <w:t>Use in combination with ribavirin.</w:t>
      </w:r>
    </w:p>
    <w:p w:rsidR="00F477B2" w:rsidRPr="00357BF9" w:rsidRDefault="00F477B2" w:rsidP="00F477B2">
      <w:pPr>
        <w:spacing w:after="120"/>
        <w:rPr>
          <w:rFonts w:ascii="Arial Narrow" w:hAnsi="Arial Narrow"/>
          <w:color w:val="222222"/>
          <w:sz w:val="18"/>
          <w:szCs w:val="18"/>
        </w:rPr>
      </w:pPr>
      <w:r>
        <w:rPr>
          <w:rFonts w:ascii="Arial Narrow" w:hAnsi="Arial Narrow"/>
          <w:color w:val="1157AD"/>
          <w:sz w:val="18"/>
          <w:szCs w:val="18"/>
          <w:u w:val="single"/>
        </w:rPr>
        <w:t>[8]</w:t>
      </w:r>
      <w:r w:rsidRPr="00357BF9">
        <w:rPr>
          <w:rFonts w:ascii="Arial Narrow" w:hAnsi="Arial Narrow"/>
          <w:color w:val="222222"/>
          <w:sz w:val="18"/>
          <w:szCs w:val="18"/>
        </w:rPr>
        <w:t> [PARITAPREVIR + RITONAVIR + OMBITASVIR (&amp;) DASABUVIR (&amp;) RBV] for treatment-experienced, cirrhotic patients:</w:t>
      </w:r>
    </w:p>
    <w:p w:rsidR="00F477B2" w:rsidRPr="00357BF9" w:rsidRDefault="00F477B2" w:rsidP="00F477B2">
      <w:pPr>
        <w:numPr>
          <w:ilvl w:val="0"/>
          <w:numId w:val="10"/>
        </w:numPr>
        <w:spacing w:after="120"/>
        <w:ind w:left="600" w:right="150"/>
        <w:jc w:val="left"/>
        <w:rPr>
          <w:rFonts w:ascii="Arial Narrow" w:hAnsi="Arial Narrow"/>
          <w:sz w:val="18"/>
          <w:szCs w:val="18"/>
        </w:rPr>
      </w:pPr>
      <w:r w:rsidRPr="00357BF9">
        <w:rPr>
          <w:rFonts w:ascii="Arial Narrow" w:hAnsi="Arial Narrow"/>
          <w:sz w:val="18"/>
          <w:szCs w:val="18"/>
        </w:rPr>
        <w:t>consider treatment for 12 weeks in patients with genotype 1a HCV (except prior null responders to PEG-IFN and RBV) and genotype 1b HCV; or</w:t>
      </w:r>
    </w:p>
    <w:p w:rsidR="00F477B2" w:rsidRPr="00357BF9" w:rsidRDefault="00F477B2" w:rsidP="00F477B2">
      <w:pPr>
        <w:numPr>
          <w:ilvl w:val="0"/>
          <w:numId w:val="10"/>
        </w:numPr>
        <w:spacing w:after="120"/>
        <w:ind w:left="600" w:right="150"/>
        <w:jc w:val="left"/>
        <w:rPr>
          <w:rFonts w:ascii="Arial Narrow" w:hAnsi="Arial Narrow"/>
          <w:sz w:val="18"/>
          <w:szCs w:val="18"/>
        </w:rPr>
      </w:pPr>
      <w:proofErr w:type="gramStart"/>
      <w:r w:rsidRPr="00357BF9">
        <w:rPr>
          <w:rFonts w:ascii="Arial Narrow" w:hAnsi="Arial Narrow"/>
          <w:sz w:val="18"/>
          <w:szCs w:val="18"/>
        </w:rPr>
        <w:t>consider</w:t>
      </w:r>
      <w:proofErr w:type="gramEnd"/>
      <w:r w:rsidRPr="00357BF9">
        <w:rPr>
          <w:rFonts w:ascii="Arial Narrow" w:hAnsi="Arial Narrow"/>
          <w:sz w:val="18"/>
          <w:szCs w:val="18"/>
        </w:rPr>
        <w:t xml:space="preserve"> treatment for 24 weeks in patients with genotype 1a HCV who have had a previous null response to PEG-IFN and RBV.</w:t>
      </w:r>
    </w:p>
    <w:p w:rsidR="00F477B2" w:rsidRPr="00357BF9" w:rsidRDefault="00F477B2" w:rsidP="00F477B2">
      <w:pPr>
        <w:spacing w:after="120"/>
        <w:rPr>
          <w:rFonts w:ascii="Arial Narrow" w:hAnsi="Arial Narrow"/>
          <w:color w:val="222222"/>
          <w:sz w:val="18"/>
          <w:szCs w:val="18"/>
        </w:rPr>
      </w:pPr>
      <w:r>
        <w:rPr>
          <w:rFonts w:ascii="Arial Narrow" w:hAnsi="Arial Narrow"/>
          <w:color w:val="1157AD"/>
          <w:sz w:val="18"/>
          <w:szCs w:val="18"/>
          <w:u w:val="single"/>
        </w:rPr>
        <w:t>[9]</w:t>
      </w:r>
      <w:r w:rsidRPr="00357BF9">
        <w:rPr>
          <w:rFonts w:ascii="Arial Narrow" w:hAnsi="Arial Narrow"/>
          <w:color w:val="222222"/>
          <w:sz w:val="18"/>
          <w:szCs w:val="18"/>
        </w:rPr>
        <w:t> </w:t>
      </w:r>
      <w:proofErr w:type="gramStart"/>
      <w:r w:rsidRPr="00357BF9">
        <w:rPr>
          <w:rFonts w:ascii="Arial Narrow" w:hAnsi="Arial Narrow"/>
          <w:color w:val="222222"/>
          <w:sz w:val="18"/>
          <w:szCs w:val="18"/>
        </w:rPr>
        <w:t>Consider</w:t>
      </w:r>
      <w:proofErr w:type="gramEnd"/>
      <w:r w:rsidRPr="00357BF9">
        <w:rPr>
          <w:rFonts w:ascii="Arial Narrow" w:hAnsi="Arial Narrow"/>
          <w:color w:val="222222"/>
          <w:sz w:val="18"/>
          <w:szCs w:val="18"/>
        </w:rPr>
        <w:t xml:space="preserve"> a 24 week regimen of [DACLATASVIR and SOFOSBUVIR and RBV] for cirrhotic patients where clinically appropriate.</w:t>
      </w:r>
    </w:p>
    <w:p w:rsidR="00F477B2" w:rsidRPr="00357BF9" w:rsidRDefault="00F477B2" w:rsidP="00F477B2">
      <w:pPr>
        <w:spacing w:after="120"/>
        <w:rPr>
          <w:rFonts w:ascii="Arial Narrow" w:hAnsi="Arial Narrow"/>
          <w:color w:val="222222"/>
          <w:sz w:val="18"/>
          <w:szCs w:val="18"/>
        </w:rPr>
      </w:pPr>
      <w:r>
        <w:rPr>
          <w:rFonts w:ascii="Arial Narrow" w:hAnsi="Arial Narrow"/>
          <w:color w:val="1157AD"/>
          <w:sz w:val="18"/>
          <w:szCs w:val="18"/>
          <w:u w:val="single"/>
        </w:rPr>
        <w:t>[10]</w:t>
      </w:r>
      <w:r w:rsidRPr="00357BF9">
        <w:rPr>
          <w:rFonts w:ascii="Arial Narrow" w:hAnsi="Arial Narrow"/>
          <w:color w:val="222222"/>
          <w:sz w:val="18"/>
          <w:szCs w:val="18"/>
        </w:rPr>
        <w:t>[SOFOSBUVIR + VELPATASVIR] for patients with genotype 3 infection with compensated cirrhosis:</w:t>
      </w:r>
    </w:p>
    <w:p w:rsidR="00F477B2" w:rsidRPr="00357BF9" w:rsidRDefault="00F477B2" w:rsidP="00F477B2">
      <w:pPr>
        <w:numPr>
          <w:ilvl w:val="0"/>
          <w:numId w:val="11"/>
        </w:numPr>
        <w:spacing w:after="120"/>
        <w:ind w:left="600" w:right="150"/>
        <w:jc w:val="left"/>
        <w:rPr>
          <w:rFonts w:ascii="Arial Narrow" w:hAnsi="Arial Narrow"/>
          <w:sz w:val="18"/>
          <w:szCs w:val="18"/>
        </w:rPr>
      </w:pPr>
      <w:r w:rsidRPr="00357BF9">
        <w:rPr>
          <w:rFonts w:ascii="Arial Narrow" w:hAnsi="Arial Narrow"/>
          <w:sz w:val="18"/>
          <w:szCs w:val="18"/>
        </w:rPr>
        <w:t>Consider addition of ribavirin.</w:t>
      </w:r>
    </w:p>
    <w:p w:rsidR="00F477B2" w:rsidRPr="00F477B2" w:rsidRDefault="00F477B2" w:rsidP="00F477B2">
      <w:pPr>
        <w:rPr>
          <w:rFonts w:ascii="Arial Narrow" w:hAnsi="Arial Narrow"/>
          <w:color w:val="222222"/>
          <w:sz w:val="18"/>
          <w:szCs w:val="18"/>
        </w:rPr>
      </w:pPr>
      <w:r>
        <w:rPr>
          <w:rFonts w:ascii="Arial Narrow" w:hAnsi="Arial Narrow"/>
          <w:color w:val="1157AD"/>
          <w:sz w:val="18"/>
          <w:szCs w:val="18"/>
          <w:u w:val="single"/>
        </w:rPr>
        <w:t>[11]</w:t>
      </w:r>
      <w:proofErr w:type="gramStart"/>
      <w:r w:rsidRPr="00357BF9">
        <w:rPr>
          <w:rFonts w:ascii="Arial Narrow" w:hAnsi="Arial Narrow"/>
          <w:color w:val="222222"/>
          <w:sz w:val="18"/>
          <w:szCs w:val="18"/>
        </w:rPr>
        <w:t>[</w:t>
      </w:r>
      <w:r w:rsidRPr="00EE607B">
        <w:rPr>
          <w:rFonts w:ascii="Arial Narrow" w:hAnsi="Arial Narrow"/>
          <w:color w:val="222222"/>
          <w:sz w:val="18"/>
          <w:szCs w:val="18"/>
        </w:rPr>
        <w:t xml:space="preserve"> </w:t>
      </w:r>
      <w:r w:rsidRPr="00357BF9">
        <w:rPr>
          <w:rFonts w:ascii="Arial Narrow" w:hAnsi="Arial Narrow"/>
          <w:color w:val="222222"/>
          <w:sz w:val="18"/>
          <w:szCs w:val="18"/>
        </w:rPr>
        <w:t>SOFOSBUVIR</w:t>
      </w:r>
      <w:proofErr w:type="gramEnd"/>
      <w:r w:rsidRPr="00357BF9">
        <w:rPr>
          <w:rFonts w:ascii="Arial Narrow" w:hAnsi="Arial Narrow"/>
          <w:color w:val="222222"/>
          <w:sz w:val="18"/>
          <w:szCs w:val="18"/>
        </w:rPr>
        <w:t xml:space="preserve"> + VELPATASVIR</w:t>
      </w:r>
      <w:r>
        <w:rPr>
          <w:rFonts w:ascii="Arial Narrow" w:hAnsi="Arial Narrow"/>
          <w:color w:val="222222"/>
          <w:sz w:val="18"/>
          <w:szCs w:val="18"/>
        </w:rPr>
        <w:t xml:space="preserve"> + VOXILAPREVIR</w:t>
      </w:r>
      <w:r w:rsidRPr="00357BF9">
        <w:rPr>
          <w:rFonts w:ascii="Arial Narrow" w:hAnsi="Arial Narrow"/>
          <w:color w:val="222222"/>
          <w:sz w:val="18"/>
          <w:szCs w:val="18"/>
        </w:rPr>
        <w:t>]</w:t>
      </w:r>
      <w:r>
        <w:rPr>
          <w:rFonts w:ascii="Arial Narrow" w:hAnsi="Arial Narrow"/>
          <w:color w:val="222222"/>
          <w:sz w:val="18"/>
          <w:szCs w:val="18"/>
        </w:rPr>
        <w:t xml:space="preserve"> only for patients who have failed an NS5A inhibitor.</w:t>
      </w:r>
    </w:p>
    <w:p w:rsidR="00F477B2" w:rsidRPr="00594B46" w:rsidRDefault="00F477B2" w:rsidP="00F477B2">
      <w:pPr>
        <w:pStyle w:val="PBACHeading1"/>
        <w:spacing w:before="240" w:after="120"/>
        <w:rPr>
          <w:rFonts w:eastAsiaTheme="minorHAnsi"/>
        </w:rPr>
      </w:pPr>
      <w:r w:rsidRPr="00594B46">
        <w:rPr>
          <w:rFonts w:eastAsiaTheme="minorHAnsi"/>
        </w:rPr>
        <w:t>Context for Decision</w:t>
      </w:r>
    </w:p>
    <w:p w:rsidR="00F477B2" w:rsidRPr="00EA1BCD" w:rsidRDefault="00F477B2" w:rsidP="00F477B2">
      <w:pPr>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477B2" w:rsidRPr="00594B46" w:rsidRDefault="00F477B2" w:rsidP="00F477B2">
      <w:pPr>
        <w:pStyle w:val="PBACHeading1"/>
        <w:spacing w:before="240" w:after="120"/>
        <w:rPr>
          <w:rFonts w:eastAsiaTheme="minorHAnsi"/>
        </w:rPr>
      </w:pPr>
      <w:r>
        <w:rPr>
          <w:rFonts w:eastAsiaTheme="minorHAnsi"/>
        </w:rPr>
        <w:t xml:space="preserve">Sponsor’s Comment </w:t>
      </w:r>
    </w:p>
    <w:p w:rsidR="00F477B2" w:rsidRPr="00C07617" w:rsidRDefault="00F477B2" w:rsidP="00F477B2">
      <w:pPr>
        <w:spacing w:after="120"/>
        <w:rPr>
          <w:rFonts w:cs="Arial"/>
          <w:bCs/>
        </w:rPr>
      </w:pPr>
      <w:r w:rsidRPr="00C07617">
        <w:rPr>
          <w:rFonts w:cs="Arial"/>
          <w:bCs/>
        </w:rPr>
        <w:t>The sponsor had no comment.</w:t>
      </w:r>
    </w:p>
    <w:p w:rsidR="00FB1913" w:rsidRPr="00F477B2" w:rsidRDefault="00FB1913" w:rsidP="00F477B2">
      <w:pPr>
        <w:rPr>
          <w:lang w:eastAsia="en-AU"/>
        </w:rPr>
      </w:pPr>
    </w:p>
    <w:sectPr w:rsidR="00FB1913" w:rsidRPr="00F477B2" w:rsidSect="00E21358">
      <w:headerReference w:type="even" r:id="rId37"/>
      <w:headerReference w:type="default" r:id="rId38"/>
      <w:footerReference w:type="even" r:id="rId39"/>
      <w:footerReference w:type="default" r:id="rId40"/>
      <w:headerReference w:type="first" r:id="rId41"/>
      <w:footerReference w:type="first" r:id="rId42"/>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11DC59" w15:done="0"/>
  <w15:commentEx w15:paraId="489D2391" w15:paraIdParent="5811DC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15" w:rsidRDefault="00B17F15" w:rsidP="00124A51">
      <w:r>
        <w:separator/>
      </w:r>
    </w:p>
    <w:p w:rsidR="00B17F15" w:rsidRDefault="00B17F15"/>
  </w:endnote>
  <w:endnote w:type="continuationSeparator" w:id="0">
    <w:p w:rsidR="00B17F15" w:rsidRDefault="00B17F15" w:rsidP="00124A51">
      <w:r>
        <w:continuationSeparator/>
      </w:r>
    </w:p>
    <w:p w:rsidR="00B17F15" w:rsidRDefault="00B17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15" w:rsidRDefault="00B17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629699495"/>
      <w:docPartObj>
        <w:docPartGallery w:val="Page Numbers (Bottom of Page)"/>
        <w:docPartUnique/>
      </w:docPartObj>
    </w:sdtPr>
    <w:sdtEndPr>
      <w:rPr>
        <w:noProof/>
      </w:rPr>
    </w:sdtEndPr>
    <w:sdtContent>
      <w:p w:rsidR="00BA4E49" w:rsidRPr="00C72017" w:rsidRDefault="00BA4E49">
        <w:pPr>
          <w:pStyle w:val="Footer"/>
          <w:jc w:val="center"/>
          <w:rPr>
            <w:b/>
          </w:rPr>
        </w:pPr>
        <w:r w:rsidRPr="00C72017">
          <w:rPr>
            <w:b/>
          </w:rPr>
          <w:fldChar w:fldCharType="begin"/>
        </w:r>
        <w:r w:rsidRPr="00C72017">
          <w:rPr>
            <w:b/>
          </w:rPr>
          <w:instrText xml:space="preserve"> PAGE   \* MERGEFORMAT </w:instrText>
        </w:r>
        <w:r w:rsidRPr="00C72017">
          <w:rPr>
            <w:b/>
          </w:rPr>
          <w:fldChar w:fldCharType="separate"/>
        </w:r>
        <w:r w:rsidR="005C08FA">
          <w:rPr>
            <w:b/>
            <w:noProof/>
          </w:rPr>
          <w:t>8</w:t>
        </w:r>
        <w:r w:rsidRPr="00C72017">
          <w:rPr>
            <w:b/>
            <w:noProof/>
          </w:rPr>
          <w:fldChar w:fldCharType="end"/>
        </w:r>
      </w:p>
    </w:sdtContent>
  </w:sdt>
  <w:p w:rsidR="00BA4E49" w:rsidRDefault="00BA4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15" w:rsidRDefault="00B17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15" w:rsidRDefault="00B17F15" w:rsidP="00124A51">
      <w:r>
        <w:separator/>
      </w:r>
    </w:p>
    <w:p w:rsidR="00B17F15" w:rsidRDefault="00B17F15"/>
  </w:footnote>
  <w:footnote w:type="continuationSeparator" w:id="0">
    <w:p w:rsidR="00B17F15" w:rsidRDefault="00B17F15" w:rsidP="00124A51">
      <w:r>
        <w:continuationSeparator/>
      </w:r>
    </w:p>
    <w:p w:rsidR="00B17F15" w:rsidRDefault="00B17F15"/>
  </w:footnote>
  <w:footnote w:id="1">
    <w:p w:rsidR="00F477B2" w:rsidRDefault="00F477B2" w:rsidP="00F477B2">
      <w:pPr>
        <w:pStyle w:val="FootnoteText"/>
      </w:pPr>
      <w:r>
        <w:rPr>
          <w:rStyle w:val="FootnoteReference"/>
        </w:rPr>
        <w:footnoteRef/>
      </w:r>
      <w:r>
        <w:t xml:space="preserve"> </w:t>
      </w:r>
      <w:proofErr w:type="spellStart"/>
      <w:r>
        <w:t>Glecaprevir</w:t>
      </w:r>
      <w:proofErr w:type="spellEnd"/>
      <w:r>
        <w:t xml:space="preserve"> with </w:t>
      </w:r>
      <w:proofErr w:type="spellStart"/>
      <w:r>
        <w:t>pibrentasvir</w:t>
      </w:r>
      <w:proofErr w:type="spellEnd"/>
      <w:r>
        <w:t xml:space="preserve"> public summary document, PBAC November 2017 meeting, paragraph 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15" w:rsidRDefault="00B17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E49" w:rsidRDefault="00BA4E49" w:rsidP="001F58C9">
    <w:pPr>
      <w:pStyle w:val="Header"/>
      <w:jc w:val="center"/>
      <w:rPr>
        <w:rFonts w:cs="Arial"/>
        <w:i/>
        <w:color w:val="808080"/>
        <w:sz w:val="22"/>
      </w:rPr>
    </w:pPr>
    <w:r>
      <w:rPr>
        <w:rFonts w:cs="Arial"/>
        <w:i/>
        <w:color w:val="808080"/>
        <w:sz w:val="22"/>
      </w:rPr>
      <w:t xml:space="preserve">Public Summary Document </w:t>
    </w:r>
    <w:r w:rsidRPr="00F90A91">
      <w:rPr>
        <w:rFonts w:cs="Arial"/>
        <w:i/>
        <w:color w:val="808080"/>
        <w:sz w:val="22"/>
      </w:rPr>
      <w:t xml:space="preserve">– </w:t>
    </w:r>
    <w:r>
      <w:rPr>
        <w:rFonts w:cs="Arial"/>
        <w:i/>
        <w:color w:val="808080"/>
        <w:sz w:val="22"/>
      </w:rPr>
      <w:t>March 2018</w:t>
    </w:r>
    <w:r w:rsidRPr="00F90A91">
      <w:rPr>
        <w:rFonts w:cs="Arial"/>
        <w:i/>
        <w:color w:val="808080"/>
        <w:sz w:val="22"/>
      </w:rPr>
      <w:t xml:space="preserve"> PBAC Meeting</w:t>
    </w:r>
  </w:p>
  <w:p w:rsidR="00BA4E49" w:rsidRPr="00F90A91" w:rsidRDefault="00BA4E49" w:rsidP="00C72017">
    <w:pPr>
      <w:pStyle w:val="Header"/>
      <w:ind w:left="360"/>
      <w:jc w:val="center"/>
      <w:rPr>
        <w:rFonts w:cs="Arial"/>
        <w:i/>
        <w:color w:val="808080"/>
        <w:sz w:val="22"/>
      </w:rPr>
    </w:pPr>
  </w:p>
  <w:p w:rsidR="00BA4E49" w:rsidRPr="00C72017" w:rsidRDefault="00BA4E49" w:rsidP="00C72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F15" w:rsidRDefault="00B17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890E7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762AD"/>
    <w:multiLevelType w:val="multilevel"/>
    <w:tmpl w:val="C5E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784B19"/>
    <w:multiLevelType w:val="multilevel"/>
    <w:tmpl w:val="7A8A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9A4396"/>
    <w:multiLevelType w:val="hybridMultilevel"/>
    <w:tmpl w:val="01DA6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F5424C"/>
    <w:multiLevelType w:val="multilevel"/>
    <w:tmpl w:val="5A06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AF1FDF"/>
    <w:multiLevelType w:val="hybridMultilevel"/>
    <w:tmpl w:val="4600BB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515C7797"/>
    <w:multiLevelType w:val="multilevel"/>
    <w:tmpl w:val="7918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5D2904"/>
    <w:multiLevelType w:val="multilevel"/>
    <w:tmpl w:val="6CDA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232645C"/>
    <w:multiLevelType w:val="multilevel"/>
    <w:tmpl w:val="DF32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14A613C"/>
    <w:multiLevelType w:val="hybridMultilevel"/>
    <w:tmpl w:val="F7F89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84D033C"/>
    <w:multiLevelType w:val="multilevel"/>
    <w:tmpl w:val="269ED62C"/>
    <w:lvl w:ilvl="0">
      <w:start w:val="1"/>
      <w:numFmt w:val="decimal"/>
      <w:pStyle w:val="PBACHeading1"/>
      <w:lvlText w:val="%1"/>
      <w:lvlJc w:val="left"/>
      <w:pPr>
        <w:ind w:left="720" w:hanging="720"/>
      </w:pPr>
      <w:rPr>
        <w:rFonts w:hint="default"/>
        <w:b/>
        <w:i w:val="0"/>
        <w:sz w:val="32"/>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1"/>
  </w:num>
  <w:num w:numId="3">
    <w:abstractNumId w:val="5"/>
  </w:num>
  <w:num w:numId="4">
    <w:abstractNumId w:val="10"/>
  </w:num>
  <w:num w:numId="5">
    <w:abstractNumId w:val="3"/>
  </w:num>
  <w:num w:numId="6">
    <w:abstractNumId w:val="8"/>
  </w:num>
  <w:num w:numId="7">
    <w:abstractNumId w:val="2"/>
  </w:num>
  <w:num w:numId="8">
    <w:abstractNumId w:val="9"/>
  </w:num>
  <w:num w:numId="9">
    <w:abstractNumId w:val="4"/>
  </w:num>
  <w:num w:numId="10">
    <w:abstractNumId w:val="7"/>
  </w:num>
  <w:num w:numId="11">
    <w:abstractNumId w:val="1"/>
  </w:num>
  <w:num w:numId="12">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3499"/>
    <w:rsid w:val="000039B7"/>
    <w:rsid w:val="00013247"/>
    <w:rsid w:val="00014D04"/>
    <w:rsid w:val="00014EB3"/>
    <w:rsid w:val="00015886"/>
    <w:rsid w:val="000162EF"/>
    <w:rsid w:val="000179CB"/>
    <w:rsid w:val="0002225F"/>
    <w:rsid w:val="00022331"/>
    <w:rsid w:val="0002304B"/>
    <w:rsid w:val="00023337"/>
    <w:rsid w:val="000236AA"/>
    <w:rsid w:val="00023705"/>
    <w:rsid w:val="00023763"/>
    <w:rsid w:val="000238F0"/>
    <w:rsid w:val="00025C10"/>
    <w:rsid w:val="00025E6B"/>
    <w:rsid w:val="00026496"/>
    <w:rsid w:val="00033863"/>
    <w:rsid w:val="00035522"/>
    <w:rsid w:val="00035DC0"/>
    <w:rsid w:val="00036829"/>
    <w:rsid w:val="000373C0"/>
    <w:rsid w:val="00040895"/>
    <w:rsid w:val="00043108"/>
    <w:rsid w:val="000436BF"/>
    <w:rsid w:val="00043C37"/>
    <w:rsid w:val="00045017"/>
    <w:rsid w:val="00045A2B"/>
    <w:rsid w:val="00045BB7"/>
    <w:rsid w:val="0004698F"/>
    <w:rsid w:val="00050BFE"/>
    <w:rsid w:val="000539D0"/>
    <w:rsid w:val="00054621"/>
    <w:rsid w:val="000546D7"/>
    <w:rsid w:val="00055206"/>
    <w:rsid w:val="00057874"/>
    <w:rsid w:val="00060322"/>
    <w:rsid w:val="00062168"/>
    <w:rsid w:val="0006337F"/>
    <w:rsid w:val="000645CA"/>
    <w:rsid w:val="00066360"/>
    <w:rsid w:val="00070015"/>
    <w:rsid w:val="00071248"/>
    <w:rsid w:val="000720B9"/>
    <w:rsid w:val="000737F7"/>
    <w:rsid w:val="00074E13"/>
    <w:rsid w:val="0007672F"/>
    <w:rsid w:val="000774F0"/>
    <w:rsid w:val="00080909"/>
    <w:rsid w:val="000812CA"/>
    <w:rsid w:val="00082271"/>
    <w:rsid w:val="00082278"/>
    <w:rsid w:val="0008258D"/>
    <w:rsid w:val="00083E99"/>
    <w:rsid w:val="000856C5"/>
    <w:rsid w:val="00090C7E"/>
    <w:rsid w:val="00090D93"/>
    <w:rsid w:val="00092600"/>
    <w:rsid w:val="0009262B"/>
    <w:rsid w:val="00093310"/>
    <w:rsid w:val="00093A69"/>
    <w:rsid w:val="0009445C"/>
    <w:rsid w:val="00095FE5"/>
    <w:rsid w:val="00096284"/>
    <w:rsid w:val="000A2672"/>
    <w:rsid w:val="000A6FA2"/>
    <w:rsid w:val="000A712B"/>
    <w:rsid w:val="000A7D08"/>
    <w:rsid w:val="000B0670"/>
    <w:rsid w:val="000B0E75"/>
    <w:rsid w:val="000B6CAC"/>
    <w:rsid w:val="000B7612"/>
    <w:rsid w:val="000C2954"/>
    <w:rsid w:val="000C3DF9"/>
    <w:rsid w:val="000C3E2B"/>
    <w:rsid w:val="000C4F9C"/>
    <w:rsid w:val="000C5E11"/>
    <w:rsid w:val="000C6713"/>
    <w:rsid w:val="000C7A91"/>
    <w:rsid w:val="000D1BFC"/>
    <w:rsid w:val="000D281A"/>
    <w:rsid w:val="000D326A"/>
    <w:rsid w:val="000D51FB"/>
    <w:rsid w:val="000D52B4"/>
    <w:rsid w:val="000D6D78"/>
    <w:rsid w:val="000D6DA7"/>
    <w:rsid w:val="000D770F"/>
    <w:rsid w:val="000E135D"/>
    <w:rsid w:val="000E7F4C"/>
    <w:rsid w:val="000F00BA"/>
    <w:rsid w:val="000F316A"/>
    <w:rsid w:val="000F3C74"/>
    <w:rsid w:val="000F4BB8"/>
    <w:rsid w:val="000F7127"/>
    <w:rsid w:val="000F7E14"/>
    <w:rsid w:val="00100F8A"/>
    <w:rsid w:val="001055C4"/>
    <w:rsid w:val="001057DF"/>
    <w:rsid w:val="00105AE2"/>
    <w:rsid w:val="00106B80"/>
    <w:rsid w:val="0011032E"/>
    <w:rsid w:val="0011348B"/>
    <w:rsid w:val="00114517"/>
    <w:rsid w:val="001146E8"/>
    <w:rsid w:val="00115982"/>
    <w:rsid w:val="00116C53"/>
    <w:rsid w:val="00116E7D"/>
    <w:rsid w:val="0012152D"/>
    <w:rsid w:val="001216A4"/>
    <w:rsid w:val="00121799"/>
    <w:rsid w:val="001222FC"/>
    <w:rsid w:val="00124A51"/>
    <w:rsid w:val="00126621"/>
    <w:rsid w:val="001301E9"/>
    <w:rsid w:val="0013046E"/>
    <w:rsid w:val="00131D82"/>
    <w:rsid w:val="001332F6"/>
    <w:rsid w:val="00133D36"/>
    <w:rsid w:val="00133EE9"/>
    <w:rsid w:val="00137645"/>
    <w:rsid w:val="00137AD9"/>
    <w:rsid w:val="0014015A"/>
    <w:rsid w:val="00140CE8"/>
    <w:rsid w:val="00140E99"/>
    <w:rsid w:val="001414E6"/>
    <w:rsid w:val="0014203C"/>
    <w:rsid w:val="0014534E"/>
    <w:rsid w:val="00145540"/>
    <w:rsid w:val="001456B0"/>
    <w:rsid w:val="001468E4"/>
    <w:rsid w:val="00157130"/>
    <w:rsid w:val="00157156"/>
    <w:rsid w:val="001576B1"/>
    <w:rsid w:val="00160313"/>
    <w:rsid w:val="00160A4C"/>
    <w:rsid w:val="00161263"/>
    <w:rsid w:val="00162913"/>
    <w:rsid w:val="00163EFF"/>
    <w:rsid w:val="001661FB"/>
    <w:rsid w:val="001707D2"/>
    <w:rsid w:val="00170977"/>
    <w:rsid w:val="00172DA0"/>
    <w:rsid w:val="00173565"/>
    <w:rsid w:val="00173B07"/>
    <w:rsid w:val="001757C8"/>
    <w:rsid w:val="00176692"/>
    <w:rsid w:val="00181D9C"/>
    <w:rsid w:val="00182EC4"/>
    <w:rsid w:val="001832FD"/>
    <w:rsid w:val="0018752F"/>
    <w:rsid w:val="00192E9C"/>
    <w:rsid w:val="00195222"/>
    <w:rsid w:val="00195799"/>
    <w:rsid w:val="001975D8"/>
    <w:rsid w:val="001A0CD7"/>
    <w:rsid w:val="001A0D65"/>
    <w:rsid w:val="001A43FA"/>
    <w:rsid w:val="001A5015"/>
    <w:rsid w:val="001A59FB"/>
    <w:rsid w:val="001A6354"/>
    <w:rsid w:val="001A7AE8"/>
    <w:rsid w:val="001B204E"/>
    <w:rsid w:val="001B3443"/>
    <w:rsid w:val="001B4D20"/>
    <w:rsid w:val="001B6FC7"/>
    <w:rsid w:val="001C22FB"/>
    <w:rsid w:val="001C2A9B"/>
    <w:rsid w:val="001C4299"/>
    <w:rsid w:val="001C5F94"/>
    <w:rsid w:val="001C6E66"/>
    <w:rsid w:val="001C7BBF"/>
    <w:rsid w:val="001D2ED7"/>
    <w:rsid w:val="001D4533"/>
    <w:rsid w:val="001D4C48"/>
    <w:rsid w:val="001D6C23"/>
    <w:rsid w:val="001E0C71"/>
    <w:rsid w:val="001E238E"/>
    <w:rsid w:val="001E2483"/>
    <w:rsid w:val="001E296E"/>
    <w:rsid w:val="001E2B1E"/>
    <w:rsid w:val="001E30D4"/>
    <w:rsid w:val="001E52EB"/>
    <w:rsid w:val="001E61D2"/>
    <w:rsid w:val="001E700E"/>
    <w:rsid w:val="001E740C"/>
    <w:rsid w:val="001E7C41"/>
    <w:rsid w:val="001F1235"/>
    <w:rsid w:val="001F1CB3"/>
    <w:rsid w:val="001F38B5"/>
    <w:rsid w:val="001F58C9"/>
    <w:rsid w:val="001F7361"/>
    <w:rsid w:val="002011B0"/>
    <w:rsid w:val="00203181"/>
    <w:rsid w:val="00203783"/>
    <w:rsid w:val="0020385F"/>
    <w:rsid w:val="002045BF"/>
    <w:rsid w:val="00204F0B"/>
    <w:rsid w:val="0020595F"/>
    <w:rsid w:val="00207021"/>
    <w:rsid w:val="0020732F"/>
    <w:rsid w:val="00207D00"/>
    <w:rsid w:val="002105C1"/>
    <w:rsid w:val="00211EE3"/>
    <w:rsid w:val="00213DD5"/>
    <w:rsid w:val="002143CC"/>
    <w:rsid w:val="00215558"/>
    <w:rsid w:val="00215EE8"/>
    <w:rsid w:val="00223B49"/>
    <w:rsid w:val="00224DD4"/>
    <w:rsid w:val="00227811"/>
    <w:rsid w:val="002309CC"/>
    <w:rsid w:val="0023209F"/>
    <w:rsid w:val="0023322B"/>
    <w:rsid w:val="00233C61"/>
    <w:rsid w:val="002341A0"/>
    <w:rsid w:val="0023629D"/>
    <w:rsid w:val="00237255"/>
    <w:rsid w:val="00242247"/>
    <w:rsid w:val="002424AF"/>
    <w:rsid w:val="002439DC"/>
    <w:rsid w:val="00244356"/>
    <w:rsid w:val="00244DC8"/>
    <w:rsid w:val="00245468"/>
    <w:rsid w:val="002457C6"/>
    <w:rsid w:val="002458BA"/>
    <w:rsid w:val="0024636C"/>
    <w:rsid w:val="00247925"/>
    <w:rsid w:val="00250BCD"/>
    <w:rsid w:val="00252725"/>
    <w:rsid w:val="00254400"/>
    <w:rsid w:val="00254964"/>
    <w:rsid w:val="00254DCF"/>
    <w:rsid w:val="0025534B"/>
    <w:rsid w:val="00255BB7"/>
    <w:rsid w:val="00256434"/>
    <w:rsid w:val="0025652C"/>
    <w:rsid w:val="00257541"/>
    <w:rsid w:val="0026209F"/>
    <w:rsid w:val="00262A1A"/>
    <w:rsid w:val="00262A87"/>
    <w:rsid w:val="0026370F"/>
    <w:rsid w:val="00263B1F"/>
    <w:rsid w:val="002646D8"/>
    <w:rsid w:val="00264D26"/>
    <w:rsid w:val="00267642"/>
    <w:rsid w:val="00267AEA"/>
    <w:rsid w:val="002700E6"/>
    <w:rsid w:val="0027294B"/>
    <w:rsid w:val="00274B11"/>
    <w:rsid w:val="00275C5A"/>
    <w:rsid w:val="00281014"/>
    <w:rsid w:val="00285803"/>
    <w:rsid w:val="00286E4C"/>
    <w:rsid w:val="002935DF"/>
    <w:rsid w:val="00294526"/>
    <w:rsid w:val="00295B7B"/>
    <w:rsid w:val="002960B8"/>
    <w:rsid w:val="002A101E"/>
    <w:rsid w:val="002A14AB"/>
    <w:rsid w:val="002A25E6"/>
    <w:rsid w:val="002A2D3F"/>
    <w:rsid w:val="002A2F50"/>
    <w:rsid w:val="002A50A6"/>
    <w:rsid w:val="002A7C15"/>
    <w:rsid w:val="002B09A4"/>
    <w:rsid w:val="002B1C1F"/>
    <w:rsid w:val="002B2D09"/>
    <w:rsid w:val="002B2F71"/>
    <w:rsid w:val="002B42A4"/>
    <w:rsid w:val="002B432F"/>
    <w:rsid w:val="002B521A"/>
    <w:rsid w:val="002B5F80"/>
    <w:rsid w:val="002B62B3"/>
    <w:rsid w:val="002B6754"/>
    <w:rsid w:val="002B6A79"/>
    <w:rsid w:val="002B6CCE"/>
    <w:rsid w:val="002B78AD"/>
    <w:rsid w:val="002C06B6"/>
    <w:rsid w:val="002C2510"/>
    <w:rsid w:val="002C2775"/>
    <w:rsid w:val="002C27C1"/>
    <w:rsid w:val="002C42F2"/>
    <w:rsid w:val="002C5099"/>
    <w:rsid w:val="002C578F"/>
    <w:rsid w:val="002C5889"/>
    <w:rsid w:val="002C71CE"/>
    <w:rsid w:val="002D0844"/>
    <w:rsid w:val="002D2D08"/>
    <w:rsid w:val="002D577C"/>
    <w:rsid w:val="002D5C5F"/>
    <w:rsid w:val="002D7F79"/>
    <w:rsid w:val="002E04AB"/>
    <w:rsid w:val="002E15B9"/>
    <w:rsid w:val="002E1DA7"/>
    <w:rsid w:val="002E2158"/>
    <w:rsid w:val="002E2899"/>
    <w:rsid w:val="002E2D0A"/>
    <w:rsid w:val="002E555F"/>
    <w:rsid w:val="002E5D58"/>
    <w:rsid w:val="002E7722"/>
    <w:rsid w:val="002F07BA"/>
    <w:rsid w:val="002F0DA9"/>
    <w:rsid w:val="002F435A"/>
    <w:rsid w:val="002F63B4"/>
    <w:rsid w:val="002F643C"/>
    <w:rsid w:val="002F71C0"/>
    <w:rsid w:val="002F74B2"/>
    <w:rsid w:val="00301017"/>
    <w:rsid w:val="0030155F"/>
    <w:rsid w:val="00301A21"/>
    <w:rsid w:val="0030587B"/>
    <w:rsid w:val="00306D98"/>
    <w:rsid w:val="00306EB2"/>
    <w:rsid w:val="0030778B"/>
    <w:rsid w:val="0030786C"/>
    <w:rsid w:val="0031031A"/>
    <w:rsid w:val="00310378"/>
    <w:rsid w:val="00310477"/>
    <w:rsid w:val="00310981"/>
    <w:rsid w:val="00315498"/>
    <w:rsid w:val="003164EB"/>
    <w:rsid w:val="00316958"/>
    <w:rsid w:val="00317E59"/>
    <w:rsid w:val="00322107"/>
    <w:rsid w:val="00322846"/>
    <w:rsid w:val="00322B0F"/>
    <w:rsid w:val="00322C98"/>
    <w:rsid w:val="003231D9"/>
    <w:rsid w:val="00326DA7"/>
    <w:rsid w:val="003270E4"/>
    <w:rsid w:val="003303A6"/>
    <w:rsid w:val="00330F5C"/>
    <w:rsid w:val="003325D9"/>
    <w:rsid w:val="003366C9"/>
    <w:rsid w:val="003371B0"/>
    <w:rsid w:val="00337990"/>
    <w:rsid w:val="00340672"/>
    <w:rsid w:val="00340DF1"/>
    <w:rsid w:val="00341BF7"/>
    <w:rsid w:val="00342189"/>
    <w:rsid w:val="00347D6A"/>
    <w:rsid w:val="00350410"/>
    <w:rsid w:val="003517F9"/>
    <w:rsid w:val="00351ED0"/>
    <w:rsid w:val="00353D86"/>
    <w:rsid w:val="00354AAC"/>
    <w:rsid w:val="0035620E"/>
    <w:rsid w:val="00357633"/>
    <w:rsid w:val="003624C4"/>
    <w:rsid w:val="003654AC"/>
    <w:rsid w:val="003710CF"/>
    <w:rsid w:val="0037179E"/>
    <w:rsid w:val="0037358A"/>
    <w:rsid w:val="003750F6"/>
    <w:rsid w:val="003760FC"/>
    <w:rsid w:val="0038365C"/>
    <w:rsid w:val="0038369B"/>
    <w:rsid w:val="00383B78"/>
    <w:rsid w:val="00384FAD"/>
    <w:rsid w:val="00385A9D"/>
    <w:rsid w:val="003902B1"/>
    <w:rsid w:val="003935A4"/>
    <w:rsid w:val="00396896"/>
    <w:rsid w:val="00396D36"/>
    <w:rsid w:val="00396FD0"/>
    <w:rsid w:val="003A1A7A"/>
    <w:rsid w:val="003A2392"/>
    <w:rsid w:val="003A2831"/>
    <w:rsid w:val="003A31DE"/>
    <w:rsid w:val="003A3264"/>
    <w:rsid w:val="003A3ED1"/>
    <w:rsid w:val="003A5F1C"/>
    <w:rsid w:val="003A630F"/>
    <w:rsid w:val="003B202E"/>
    <w:rsid w:val="003B2BD6"/>
    <w:rsid w:val="003B38DF"/>
    <w:rsid w:val="003B5B61"/>
    <w:rsid w:val="003B5C17"/>
    <w:rsid w:val="003C1654"/>
    <w:rsid w:val="003C3CEE"/>
    <w:rsid w:val="003C3F38"/>
    <w:rsid w:val="003C4D37"/>
    <w:rsid w:val="003C60CF"/>
    <w:rsid w:val="003C6B9E"/>
    <w:rsid w:val="003C7D19"/>
    <w:rsid w:val="003D1828"/>
    <w:rsid w:val="003D1DE4"/>
    <w:rsid w:val="003D2422"/>
    <w:rsid w:val="003D2658"/>
    <w:rsid w:val="003D39A1"/>
    <w:rsid w:val="003D3CBB"/>
    <w:rsid w:val="003D3FBF"/>
    <w:rsid w:val="003D4A30"/>
    <w:rsid w:val="003D577E"/>
    <w:rsid w:val="003D685B"/>
    <w:rsid w:val="003D79BB"/>
    <w:rsid w:val="003D7C98"/>
    <w:rsid w:val="003E0543"/>
    <w:rsid w:val="003E05C0"/>
    <w:rsid w:val="003E1E04"/>
    <w:rsid w:val="003E2C63"/>
    <w:rsid w:val="003F0017"/>
    <w:rsid w:val="003F4156"/>
    <w:rsid w:val="00400B29"/>
    <w:rsid w:val="00401907"/>
    <w:rsid w:val="004021C2"/>
    <w:rsid w:val="004024FB"/>
    <w:rsid w:val="00402A73"/>
    <w:rsid w:val="0040504B"/>
    <w:rsid w:val="00407CCD"/>
    <w:rsid w:val="00410708"/>
    <w:rsid w:val="00410EC7"/>
    <w:rsid w:val="00411646"/>
    <w:rsid w:val="00411B39"/>
    <w:rsid w:val="00413246"/>
    <w:rsid w:val="00413A1E"/>
    <w:rsid w:val="00414476"/>
    <w:rsid w:val="00414C2E"/>
    <w:rsid w:val="004151CF"/>
    <w:rsid w:val="00416364"/>
    <w:rsid w:val="00420AA6"/>
    <w:rsid w:val="00420B9F"/>
    <w:rsid w:val="00422260"/>
    <w:rsid w:val="004233D0"/>
    <w:rsid w:val="00423E3A"/>
    <w:rsid w:val="0042413F"/>
    <w:rsid w:val="004319F8"/>
    <w:rsid w:val="00431E55"/>
    <w:rsid w:val="004321F6"/>
    <w:rsid w:val="00433044"/>
    <w:rsid w:val="004375B9"/>
    <w:rsid w:val="00437E5E"/>
    <w:rsid w:val="00440C17"/>
    <w:rsid w:val="0044118E"/>
    <w:rsid w:val="0044176A"/>
    <w:rsid w:val="004428D0"/>
    <w:rsid w:val="004443A7"/>
    <w:rsid w:val="0044442C"/>
    <w:rsid w:val="00444CCB"/>
    <w:rsid w:val="00445941"/>
    <w:rsid w:val="004464EB"/>
    <w:rsid w:val="00447D26"/>
    <w:rsid w:val="0045248C"/>
    <w:rsid w:val="0045324D"/>
    <w:rsid w:val="0045367E"/>
    <w:rsid w:val="00455D45"/>
    <w:rsid w:val="0045745C"/>
    <w:rsid w:val="00463E7C"/>
    <w:rsid w:val="00464595"/>
    <w:rsid w:val="004647F2"/>
    <w:rsid w:val="00465B1B"/>
    <w:rsid w:val="00470F41"/>
    <w:rsid w:val="00471E28"/>
    <w:rsid w:val="00472A79"/>
    <w:rsid w:val="00473241"/>
    <w:rsid w:val="00473F19"/>
    <w:rsid w:val="00475E22"/>
    <w:rsid w:val="0048088E"/>
    <w:rsid w:val="00482720"/>
    <w:rsid w:val="004835E7"/>
    <w:rsid w:val="004867E2"/>
    <w:rsid w:val="00491B3A"/>
    <w:rsid w:val="00492CFD"/>
    <w:rsid w:val="00493836"/>
    <w:rsid w:val="00494DD5"/>
    <w:rsid w:val="0049605E"/>
    <w:rsid w:val="004962D2"/>
    <w:rsid w:val="0049649F"/>
    <w:rsid w:val="00497FC6"/>
    <w:rsid w:val="004A0DA1"/>
    <w:rsid w:val="004A217B"/>
    <w:rsid w:val="004A52E9"/>
    <w:rsid w:val="004A5451"/>
    <w:rsid w:val="004A6597"/>
    <w:rsid w:val="004A7848"/>
    <w:rsid w:val="004B1CB4"/>
    <w:rsid w:val="004B2F18"/>
    <w:rsid w:val="004B3DDB"/>
    <w:rsid w:val="004B44FD"/>
    <w:rsid w:val="004B5ADA"/>
    <w:rsid w:val="004B5CFC"/>
    <w:rsid w:val="004B774D"/>
    <w:rsid w:val="004B7EB9"/>
    <w:rsid w:val="004C4AED"/>
    <w:rsid w:val="004C52A8"/>
    <w:rsid w:val="004C6DC8"/>
    <w:rsid w:val="004C6FC7"/>
    <w:rsid w:val="004C7505"/>
    <w:rsid w:val="004D1906"/>
    <w:rsid w:val="004D1A92"/>
    <w:rsid w:val="004D2C2D"/>
    <w:rsid w:val="004D53C8"/>
    <w:rsid w:val="004D6856"/>
    <w:rsid w:val="004D69EF"/>
    <w:rsid w:val="004D7227"/>
    <w:rsid w:val="004E0E7F"/>
    <w:rsid w:val="004E0EB8"/>
    <w:rsid w:val="004E2ADC"/>
    <w:rsid w:val="004E43B2"/>
    <w:rsid w:val="004E559F"/>
    <w:rsid w:val="004E583D"/>
    <w:rsid w:val="004F1D02"/>
    <w:rsid w:val="004F2679"/>
    <w:rsid w:val="004F2F21"/>
    <w:rsid w:val="004F54A8"/>
    <w:rsid w:val="004F6155"/>
    <w:rsid w:val="004F6913"/>
    <w:rsid w:val="004F705C"/>
    <w:rsid w:val="004F7865"/>
    <w:rsid w:val="004F7925"/>
    <w:rsid w:val="0050219B"/>
    <w:rsid w:val="00503F17"/>
    <w:rsid w:val="00506928"/>
    <w:rsid w:val="00512405"/>
    <w:rsid w:val="005151AF"/>
    <w:rsid w:val="005152B5"/>
    <w:rsid w:val="00521319"/>
    <w:rsid w:val="00522BC8"/>
    <w:rsid w:val="00522F9E"/>
    <w:rsid w:val="00523C28"/>
    <w:rsid w:val="0052512C"/>
    <w:rsid w:val="00536F42"/>
    <w:rsid w:val="00537182"/>
    <w:rsid w:val="00542743"/>
    <w:rsid w:val="00542C2D"/>
    <w:rsid w:val="005442DA"/>
    <w:rsid w:val="00545B48"/>
    <w:rsid w:val="00551985"/>
    <w:rsid w:val="00552492"/>
    <w:rsid w:val="00552BD3"/>
    <w:rsid w:val="00553813"/>
    <w:rsid w:val="00555109"/>
    <w:rsid w:val="00564E16"/>
    <w:rsid w:val="0056696F"/>
    <w:rsid w:val="00571FC2"/>
    <w:rsid w:val="00572269"/>
    <w:rsid w:val="0057244A"/>
    <w:rsid w:val="00572D77"/>
    <w:rsid w:val="00575D8D"/>
    <w:rsid w:val="00576972"/>
    <w:rsid w:val="00583699"/>
    <w:rsid w:val="00585CDD"/>
    <w:rsid w:val="00587058"/>
    <w:rsid w:val="00591957"/>
    <w:rsid w:val="00597BF9"/>
    <w:rsid w:val="005A06EC"/>
    <w:rsid w:val="005A373D"/>
    <w:rsid w:val="005B0A0C"/>
    <w:rsid w:val="005B0AE3"/>
    <w:rsid w:val="005B5857"/>
    <w:rsid w:val="005C08FA"/>
    <w:rsid w:val="005C1B83"/>
    <w:rsid w:val="005C2D55"/>
    <w:rsid w:val="005C31B3"/>
    <w:rsid w:val="005C346B"/>
    <w:rsid w:val="005C38AC"/>
    <w:rsid w:val="005D044D"/>
    <w:rsid w:val="005D0ABD"/>
    <w:rsid w:val="005D1843"/>
    <w:rsid w:val="005D18AD"/>
    <w:rsid w:val="005D1AB4"/>
    <w:rsid w:val="005D26B4"/>
    <w:rsid w:val="005D3C26"/>
    <w:rsid w:val="005D4308"/>
    <w:rsid w:val="005D5769"/>
    <w:rsid w:val="005D5F67"/>
    <w:rsid w:val="005E39D3"/>
    <w:rsid w:val="005E6CBC"/>
    <w:rsid w:val="005E73C0"/>
    <w:rsid w:val="005F02B8"/>
    <w:rsid w:val="005F2706"/>
    <w:rsid w:val="005F6A8F"/>
    <w:rsid w:val="005F772B"/>
    <w:rsid w:val="005F7F01"/>
    <w:rsid w:val="00603DB9"/>
    <w:rsid w:val="00603EA2"/>
    <w:rsid w:val="00605708"/>
    <w:rsid w:val="00607669"/>
    <w:rsid w:val="0060774B"/>
    <w:rsid w:val="00607AFD"/>
    <w:rsid w:val="00612F97"/>
    <w:rsid w:val="0061345D"/>
    <w:rsid w:val="00616802"/>
    <w:rsid w:val="00617E12"/>
    <w:rsid w:val="00621477"/>
    <w:rsid w:val="00630167"/>
    <w:rsid w:val="0063158F"/>
    <w:rsid w:val="00631D6B"/>
    <w:rsid w:val="00632C47"/>
    <w:rsid w:val="006330A1"/>
    <w:rsid w:val="0063479F"/>
    <w:rsid w:val="006353F0"/>
    <w:rsid w:val="006364A1"/>
    <w:rsid w:val="006366B5"/>
    <w:rsid w:val="0063794A"/>
    <w:rsid w:val="00637BFD"/>
    <w:rsid w:val="00641C4E"/>
    <w:rsid w:val="006439AD"/>
    <w:rsid w:val="00645AB6"/>
    <w:rsid w:val="006471CC"/>
    <w:rsid w:val="0065079F"/>
    <w:rsid w:val="0065379F"/>
    <w:rsid w:val="006541C6"/>
    <w:rsid w:val="00660558"/>
    <w:rsid w:val="00661C6B"/>
    <w:rsid w:val="00664762"/>
    <w:rsid w:val="00665B36"/>
    <w:rsid w:val="00674657"/>
    <w:rsid w:val="00674E42"/>
    <w:rsid w:val="00675C5C"/>
    <w:rsid w:val="006803B3"/>
    <w:rsid w:val="006808C9"/>
    <w:rsid w:val="00682112"/>
    <w:rsid w:val="00683063"/>
    <w:rsid w:val="00686957"/>
    <w:rsid w:val="006872BA"/>
    <w:rsid w:val="00687CB2"/>
    <w:rsid w:val="00687ED0"/>
    <w:rsid w:val="00691648"/>
    <w:rsid w:val="006917D7"/>
    <w:rsid w:val="00694F44"/>
    <w:rsid w:val="00697B65"/>
    <w:rsid w:val="006A06AF"/>
    <w:rsid w:val="006A1C70"/>
    <w:rsid w:val="006A2BCD"/>
    <w:rsid w:val="006A7E5F"/>
    <w:rsid w:val="006B261B"/>
    <w:rsid w:val="006B2C90"/>
    <w:rsid w:val="006B4E00"/>
    <w:rsid w:val="006B545F"/>
    <w:rsid w:val="006B6DD0"/>
    <w:rsid w:val="006C2A8E"/>
    <w:rsid w:val="006C5351"/>
    <w:rsid w:val="006D2CBD"/>
    <w:rsid w:val="006D330B"/>
    <w:rsid w:val="006D3C7D"/>
    <w:rsid w:val="006D437F"/>
    <w:rsid w:val="006D44D1"/>
    <w:rsid w:val="006D593C"/>
    <w:rsid w:val="006D5C0B"/>
    <w:rsid w:val="006D5D5F"/>
    <w:rsid w:val="006D5D64"/>
    <w:rsid w:val="006F0226"/>
    <w:rsid w:val="006F13B9"/>
    <w:rsid w:val="006F1FAB"/>
    <w:rsid w:val="006F306C"/>
    <w:rsid w:val="006F35D0"/>
    <w:rsid w:val="006F63A5"/>
    <w:rsid w:val="0070142B"/>
    <w:rsid w:val="0070276E"/>
    <w:rsid w:val="00702F8F"/>
    <w:rsid w:val="007058D3"/>
    <w:rsid w:val="00705A36"/>
    <w:rsid w:val="00711A36"/>
    <w:rsid w:val="0071529C"/>
    <w:rsid w:val="007172AD"/>
    <w:rsid w:val="0072001F"/>
    <w:rsid w:val="00721142"/>
    <w:rsid w:val="00722B1B"/>
    <w:rsid w:val="0072416F"/>
    <w:rsid w:val="00724A6C"/>
    <w:rsid w:val="00725894"/>
    <w:rsid w:val="00727C94"/>
    <w:rsid w:val="00727ED3"/>
    <w:rsid w:val="00731AC3"/>
    <w:rsid w:val="00731EAE"/>
    <w:rsid w:val="007321A3"/>
    <w:rsid w:val="0073282E"/>
    <w:rsid w:val="00735033"/>
    <w:rsid w:val="00735328"/>
    <w:rsid w:val="00736001"/>
    <w:rsid w:val="0073685B"/>
    <w:rsid w:val="00742287"/>
    <w:rsid w:val="007427ED"/>
    <w:rsid w:val="0074653F"/>
    <w:rsid w:val="00747926"/>
    <w:rsid w:val="007509EC"/>
    <w:rsid w:val="00752142"/>
    <w:rsid w:val="007523F9"/>
    <w:rsid w:val="00753E43"/>
    <w:rsid w:val="0075567D"/>
    <w:rsid w:val="007573E8"/>
    <w:rsid w:val="00757CC0"/>
    <w:rsid w:val="0076025D"/>
    <w:rsid w:val="00760C4E"/>
    <w:rsid w:val="007617D1"/>
    <w:rsid w:val="00762792"/>
    <w:rsid w:val="00763542"/>
    <w:rsid w:val="00765B1A"/>
    <w:rsid w:val="00766216"/>
    <w:rsid w:val="00775340"/>
    <w:rsid w:val="007770D3"/>
    <w:rsid w:val="007779DF"/>
    <w:rsid w:val="007818C2"/>
    <w:rsid w:val="00783F4B"/>
    <w:rsid w:val="007843F2"/>
    <w:rsid w:val="00790AF7"/>
    <w:rsid w:val="00793D6D"/>
    <w:rsid w:val="0079597C"/>
    <w:rsid w:val="00796124"/>
    <w:rsid w:val="007A0A12"/>
    <w:rsid w:val="007A132D"/>
    <w:rsid w:val="007A2E66"/>
    <w:rsid w:val="007A3978"/>
    <w:rsid w:val="007A40B9"/>
    <w:rsid w:val="007A4FE7"/>
    <w:rsid w:val="007A5799"/>
    <w:rsid w:val="007A6F31"/>
    <w:rsid w:val="007A7BC1"/>
    <w:rsid w:val="007B0D68"/>
    <w:rsid w:val="007B251D"/>
    <w:rsid w:val="007B4554"/>
    <w:rsid w:val="007B4F58"/>
    <w:rsid w:val="007B528D"/>
    <w:rsid w:val="007B6883"/>
    <w:rsid w:val="007B77D1"/>
    <w:rsid w:val="007C1CD9"/>
    <w:rsid w:val="007C299C"/>
    <w:rsid w:val="007C361D"/>
    <w:rsid w:val="007C4B84"/>
    <w:rsid w:val="007C6D81"/>
    <w:rsid w:val="007D004F"/>
    <w:rsid w:val="007D0B38"/>
    <w:rsid w:val="007D1879"/>
    <w:rsid w:val="007D5440"/>
    <w:rsid w:val="007E45A8"/>
    <w:rsid w:val="007E6CAF"/>
    <w:rsid w:val="007E7F9B"/>
    <w:rsid w:val="007F1017"/>
    <w:rsid w:val="007F24BB"/>
    <w:rsid w:val="007F4A3F"/>
    <w:rsid w:val="007F4A61"/>
    <w:rsid w:val="007F4B9B"/>
    <w:rsid w:val="007F61C2"/>
    <w:rsid w:val="007F6A22"/>
    <w:rsid w:val="0080096E"/>
    <w:rsid w:val="00802C5D"/>
    <w:rsid w:val="00805142"/>
    <w:rsid w:val="00805BDE"/>
    <w:rsid w:val="00807A8B"/>
    <w:rsid w:val="00810EBE"/>
    <w:rsid w:val="00811383"/>
    <w:rsid w:val="008115FC"/>
    <w:rsid w:val="00812149"/>
    <w:rsid w:val="00812CAC"/>
    <w:rsid w:val="0081421B"/>
    <w:rsid w:val="00815386"/>
    <w:rsid w:val="008166EF"/>
    <w:rsid w:val="0081686B"/>
    <w:rsid w:val="00820BE4"/>
    <w:rsid w:val="00821FD4"/>
    <w:rsid w:val="00825751"/>
    <w:rsid w:val="008264EB"/>
    <w:rsid w:val="0083072B"/>
    <w:rsid w:val="00830D1F"/>
    <w:rsid w:val="00831B50"/>
    <w:rsid w:val="00831C8B"/>
    <w:rsid w:val="00833886"/>
    <w:rsid w:val="00833B05"/>
    <w:rsid w:val="008362B4"/>
    <w:rsid w:val="00840CA2"/>
    <w:rsid w:val="0084374F"/>
    <w:rsid w:val="0084410A"/>
    <w:rsid w:val="00847DF5"/>
    <w:rsid w:val="0085309D"/>
    <w:rsid w:val="00853A61"/>
    <w:rsid w:val="00856897"/>
    <w:rsid w:val="00856E9A"/>
    <w:rsid w:val="0086075D"/>
    <w:rsid w:val="008616B8"/>
    <w:rsid w:val="00862502"/>
    <w:rsid w:val="00862AD5"/>
    <w:rsid w:val="008632D0"/>
    <w:rsid w:val="00863D2A"/>
    <w:rsid w:val="008660D4"/>
    <w:rsid w:val="00866407"/>
    <w:rsid w:val="00871FA9"/>
    <w:rsid w:val="008728E9"/>
    <w:rsid w:val="008737C6"/>
    <w:rsid w:val="00881C24"/>
    <w:rsid w:val="00882874"/>
    <w:rsid w:val="00883787"/>
    <w:rsid w:val="008840C5"/>
    <w:rsid w:val="00886CD2"/>
    <w:rsid w:val="00892A36"/>
    <w:rsid w:val="00893158"/>
    <w:rsid w:val="00893239"/>
    <w:rsid w:val="00894489"/>
    <w:rsid w:val="00895CFF"/>
    <w:rsid w:val="008963A5"/>
    <w:rsid w:val="008A1BC9"/>
    <w:rsid w:val="008A3363"/>
    <w:rsid w:val="008A3371"/>
    <w:rsid w:val="008A3C3E"/>
    <w:rsid w:val="008A6D51"/>
    <w:rsid w:val="008A79DE"/>
    <w:rsid w:val="008B1757"/>
    <w:rsid w:val="008B29C7"/>
    <w:rsid w:val="008B7D7E"/>
    <w:rsid w:val="008C0D17"/>
    <w:rsid w:val="008C4E84"/>
    <w:rsid w:val="008C7ECB"/>
    <w:rsid w:val="008D4755"/>
    <w:rsid w:val="008D4C3D"/>
    <w:rsid w:val="008D6A8A"/>
    <w:rsid w:val="008D6E2B"/>
    <w:rsid w:val="008E0C7B"/>
    <w:rsid w:val="008E0D3C"/>
    <w:rsid w:val="008E1B9E"/>
    <w:rsid w:val="008E2A7A"/>
    <w:rsid w:val="008E55AB"/>
    <w:rsid w:val="008F120A"/>
    <w:rsid w:val="008F27E0"/>
    <w:rsid w:val="008F35F5"/>
    <w:rsid w:val="008F4037"/>
    <w:rsid w:val="008F48EB"/>
    <w:rsid w:val="008F4F0B"/>
    <w:rsid w:val="008F67E0"/>
    <w:rsid w:val="008F76AB"/>
    <w:rsid w:val="00902FD4"/>
    <w:rsid w:val="009046C4"/>
    <w:rsid w:val="0090527C"/>
    <w:rsid w:val="009062A5"/>
    <w:rsid w:val="009101A0"/>
    <w:rsid w:val="00911272"/>
    <w:rsid w:val="009135D6"/>
    <w:rsid w:val="009139C9"/>
    <w:rsid w:val="00914C77"/>
    <w:rsid w:val="00915FA5"/>
    <w:rsid w:val="00922911"/>
    <w:rsid w:val="0092369B"/>
    <w:rsid w:val="009251D9"/>
    <w:rsid w:val="00926A9D"/>
    <w:rsid w:val="0092728C"/>
    <w:rsid w:val="0092769E"/>
    <w:rsid w:val="0093477A"/>
    <w:rsid w:val="00935E98"/>
    <w:rsid w:val="00936870"/>
    <w:rsid w:val="0094727A"/>
    <w:rsid w:val="009510A2"/>
    <w:rsid w:val="00952417"/>
    <w:rsid w:val="00953257"/>
    <w:rsid w:val="00962CB9"/>
    <w:rsid w:val="0096314F"/>
    <w:rsid w:val="00964312"/>
    <w:rsid w:val="00965B8A"/>
    <w:rsid w:val="00967ED5"/>
    <w:rsid w:val="009717AC"/>
    <w:rsid w:val="009729A4"/>
    <w:rsid w:val="00974416"/>
    <w:rsid w:val="00980F31"/>
    <w:rsid w:val="00983E57"/>
    <w:rsid w:val="00986288"/>
    <w:rsid w:val="0098675D"/>
    <w:rsid w:val="00986AA8"/>
    <w:rsid w:val="009870E8"/>
    <w:rsid w:val="00993FA4"/>
    <w:rsid w:val="00996B1A"/>
    <w:rsid w:val="00997073"/>
    <w:rsid w:val="0099736D"/>
    <w:rsid w:val="009979BC"/>
    <w:rsid w:val="009A1594"/>
    <w:rsid w:val="009A1C66"/>
    <w:rsid w:val="009A3B3C"/>
    <w:rsid w:val="009A7E36"/>
    <w:rsid w:val="009A7F10"/>
    <w:rsid w:val="009B1547"/>
    <w:rsid w:val="009B3E26"/>
    <w:rsid w:val="009C01E6"/>
    <w:rsid w:val="009C4360"/>
    <w:rsid w:val="009C437B"/>
    <w:rsid w:val="009C6CEA"/>
    <w:rsid w:val="009C7B85"/>
    <w:rsid w:val="009C7CB9"/>
    <w:rsid w:val="009D0304"/>
    <w:rsid w:val="009D17AD"/>
    <w:rsid w:val="009D4B10"/>
    <w:rsid w:val="009D5B91"/>
    <w:rsid w:val="009D792E"/>
    <w:rsid w:val="009E03AE"/>
    <w:rsid w:val="009E0DFE"/>
    <w:rsid w:val="009E1F56"/>
    <w:rsid w:val="009E21CF"/>
    <w:rsid w:val="009E4C07"/>
    <w:rsid w:val="009E73BE"/>
    <w:rsid w:val="009F2A56"/>
    <w:rsid w:val="009F44C2"/>
    <w:rsid w:val="009F5ABA"/>
    <w:rsid w:val="009F6456"/>
    <w:rsid w:val="00A01184"/>
    <w:rsid w:val="00A02E37"/>
    <w:rsid w:val="00A03D43"/>
    <w:rsid w:val="00A04380"/>
    <w:rsid w:val="00A04FDE"/>
    <w:rsid w:val="00A11CD0"/>
    <w:rsid w:val="00A13948"/>
    <w:rsid w:val="00A1555B"/>
    <w:rsid w:val="00A155C5"/>
    <w:rsid w:val="00A16AD8"/>
    <w:rsid w:val="00A17C7F"/>
    <w:rsid w:val="00A20DF5"/>
    <w:rsid w:val="00A21CF3"/>
    <w:rsid w:val="00A27AEC"/>
    <w:rsid w:val="00A30021"/>
    <w:rsid w:val="00A3129F"/>
    <w:rsid w:val="00A320DB"/>
    <w:rsid w:val="00A35D16"/>
    <w:rsid w:val="00A37BCD"/>
    <w:rsid w:val="00A42486"/>
    <w:rsid w:val="00A433A8"/>
    <w:rsid w:val="00A43C59"/>
    <w:rsid w:val="00A45BD2"/>
    <w:rsid w:val="00A50ECD"/>
    <w:rsid w:val="00A518F3"/>
    <w:rsid w:val="00A52729"/>
    <w:rsid w:val="00A53675"/>
    <w:rsid w:val="00A550EF"/>
    <w:rsid w:val="00A564D7"/>
    <w:rsid w:val="00A56B6A"/>
    <w:rsid w:val="00A578DC"/>
    <w:rsid w:val="00A633CD"/>
    <w:rsid w:val="00A65046"/>
    <w:rsid w:val="00A65258"/>
    <w:rsid w:val="00A6725B"/>
    <w:rsid w:val="00A70605"/>
    <w:rsid w:val="00A71299"/>
    <w:rsid w:val="00A73134"/>
    <w:rsid w:val="00A772E3"/>
    <w:rsid w:val="00A777B2"/>
    <w:rsid w:val="00A867CD"/>
    <w:rsid w:val="00A86E8B"/>
    <w:rsid w:val="00A87164"/>
    <w:rsid w:val="00A907FA"/>
    <w:rsid w:val="00A92DD8"/>
    <w:rsid w:val="00A93072"/>
    <w:rsid w:val="00A93953"/>
    <w:rsid w:val="00A959D8"/>
    <w:rsid w:val="00AA113D"/>
    <w:rsid w:val="00AA1FCE"/>
    <w:rsid w:val="00AA3660"/>
    <w:rsid w:val="00AA6C7D"/>
    <w:rsid w:val="00AA7FD6"/>
    <w:rsid w:val="00AB042A"/>
    <w:rsid w:val="00AB1A32"/>
    <w:rsid w:val="00AB1E33"/>
    <w:rsid w:val="00AB2D34"/>
    <w:rsid w:val="00AB3430"/>
    <w:rsid w:val="00AB4AD1"/>
    <w:rsid w:val="00AB7CFA"/>
    <w:rsid w:val="00AC35B4"/>
    <w:rsid w:val="00AC3BC5"/>
    <w:rsid w:val="00AC5807"/>
    <w:rsid w:val="00AC5B48"/>
    <w:rsid w:val="00AC761A"/>
    <w:rsid w:val="00AD12A2"/>
    <w:rsid w:val="00AD15E2"/>
    <w:rsid w:val="00AD48C9"/>
    <w:rsid w:val="00AD60D7"/>
    <w:rsid w:val="00AD6502"/>
    <w:rsid w:val="00AE2E5F"/>
    <w:rsid w:val="00AF0297"/>
    <w:rsid w:val="00AF0BA6"/>
    <w:rsid w:val="00AF1315"/>
    <w:rsid w:val="00AF19BF"/>
    <w:rsid w:val="00AF2DC3"/>
    <w:rsid w:val="00AF3A8B"/>
    <w:rsid w:val="00AF45D7"/>
    <w:rsid w:val="00B01236"/>
    <w:rsid w:val="00B02D0C"/>
    <w:rsid w:val="00B03078"/>
    <w:rsid w:val="00B033E5"/>
    <w:rsid w:val="00B03A63"/>
    <w:rsid w:val="00B051FE"/>
    <w:rsid w:val="00B05C1F"/>
    <w:rsid w:val="00B14C8A"/>
    <w:rsid w:val="00B15B66"/>
    <w:rsid w:val="00B15ED7"/>
    <w:rsid w:val="00B16675"/>
    <w:rsid w:val="00B17F15"/>
    <w:rsid w:val="00B201A4"/>
    <w:rsid w:val="00B213A6"/>
    <w:rsid w:val="00B2315F"/>
    <w:rsid w:val="00B24DF6"/>
    <w:rsid w:val="00B25F20"/>
    <w:rsid w:val="00B304EE"/>
    <w:rsid w:val="00B30EB6"/>
    <w:rsid w:val="00B34FE2"/>
    <w:rsid w:val="00B357D8"/>
    <w:rsid w:val="00B36096"/>
    <w:rsid w:val="00B37BFC"/>
    <w:rsid w:val="00B40358"/>
    <w:rsid w:val="00B4086C"/>
    <w:rsid w:val="00B41614"/>
    <w:rsid w:val="00B41A9E"/>
    <w:rsid w:val="00B41BF6"/>
    <w:rsid w:val="00B42851"/>
    <w:rsid w:val="00B42F80"/>
    <w:rsid w:val="00B435CB"/>
    <w:rsid w:val="00B44DB6"/>
    <w:rsid w:val="00B45082"/>
    <w:rsid w:val="00B50DB8"/>
    <w:rsid w:val="00B50F8B"/>
    <w:rsid w:val="00B53654"/>
    <w:rsid w:val="00B53905"/>
    <w:rsid w:val="00B53EBE"/>
    <w:rsid w:val="00B54B5B"/>
    <w:rsid w:val="00B5562E"/>
    <w:rsid w:val="00B55645"/>
    <w:rsid w:val="00B57000"/>
    <w:rsid w:val="00B60939"/>
    <w:rsid w:val="00B60AFD"/>
    <w:rsid w:val="00B612AC"/>
    <w:rsid w:val="00B61DB1"/>
    <w:rsid w:val="00B62715"/>
    <w:rsid w:val="00B63797"/>
    <w:rsid w:val="00B71C48"/>
    <w:rsid w:val="00B75B34"/>
    <w:rsid w:val="00B76FF8"/>
    <w:rsid w:val="00B818A4"/>
    <w:rsid w:val="00B84117"/>
    <w:rsid w:val="00B84154"/>
    <w:rsid w:val="00B85AA2"/>
    <w:rsid w:val="00B8649C"/>
    <w:rsid w:val="00B87F0A"/>
    <w:rsid w:val="00B91B73"/>
    <w:rsid w:val="00B92D0B"/>
    <w:rsid w:val="00B94945"/>
    <w:rsid w:val="00B9495C"/>
    <w:rsid w:val="00B95EAD"/>
    <w:rsid w:val="00B962BA"/>
    <w:rsid w:val="00B97953"/>
    <w:rsid w:val="00B97F38"/>
    <w:rsid w:val="00BA2994"/>
    <w:rsid w:val="00BA322D"/>
    <w:rsid w:val="00BA397E"/>
    <w:rsid w:val="00BA4E49"/>
    <w:rsid w:val="00BA53F9"/>
    <w:rsid w:val="00BA7077"/>
    <w:rsid w:val="00BB0BDD"/>
    <w:rsid w:val="00BB2A73"/>
    <w:rsid w:val="00BB4ACC"/>
    <w:rsid w:val="00BB703E"/>
    <w:rsid w:val="00BB7405"/>
    <w:rsid w:val="00BB7634"/>
    <w:rsid w:val="00BC1CF8"/>
    <w:rsid w:val="00BC22B3"/>
    <w:rsid w:val="00BC3631"/>
    <w:rsid w:val="00BC3A71"/>
    <w:rsid w:val="00BD24F2"/>
    <w:rsid w:val="00BD68A3"/>
    <w:rsid w:val="00BD6938"/>
    <w:rsid w:val="00BD6CF3"/>
    <w:rsid w:val="00BE2180"/>
    <w:rsid w:val="00BE21F2"/>
    <w:rsid w:val="00BE28BB"/>
    <w:rsid w:val="00BE2948"/>
    <w:rsid w:val="00BE4275"/>
    <w:rsid w:val="00BF0F95"/>
    <w:rsid w:val="00BF2433"/>
    <w:rsid w:val="00BF447F"/>
    <w:rsid w:val="00BF61C9"/>
    <w:rsid w:val="00BF6C94"/>
    <w:rsid w:val="00BF76E4"/>
    <w:rsid w:val="00C00424"/>
    <w:rsid w:val="00C107DC"/>
    <w:rsid w:val="00C12508"/>
    <w:rsid w:val="00C12C14"/>
    <w:rsid w:val="00C1615B"/>
    <w:rsid w:val="00C163D2"/>
    <w:rsid w:val="00C17CF8"/>
    <w:rsid w:val="00C200AA"/>
    <w:rsid w:val="00C237ED"/>
    <w:rsid w:val="00C24632"/>
    <w:rsid w:val="00C25418"/>
    <w:rsid w:val="00C25780"/>
    <w:rsid w:val="00C25D9C"/>
    <w:rsid w:val="00C2778B"/>
    <w:rsid w:val="00C31649"/>
    <w:rsid w:val="00C3198E"/>
    <w:rsid w:val="00C35E4B"/>
    <w:rsid w:val="00C40385"/>
    <w:rsid w:val="00C42375"/>
    <w:rsid w:val="00C45AD4"/>
    <w:rsid w:val="00C460DD"/>
    <w:rsid w:val="00C475AA"/>
    <w:rsid w:val="00C65576"/>
    <w:rsid w:val="00C66165"/>
    <w:rsid w:val="00C674B0"/>
    <w:rsid w:val="00C67742"/>
    <w:rsid w:val="00C7151A"/>
    <w:rsid w:val="00C715FF"/>
    <w:rsid w:val="00C71F60"/>
    <w:rsid w:val="00C72017"/>
    <w:rsid w:val="00C72241"/>
    <w:rsid w:val="00C733B4"/>
    <w:rsid w:val="00C74A4F"/>
    <w:rsid w:val="00C750C8"/>
    <w:rsid w:val="00C7560F"/>
    <w:rsid w:val="00C75B9C"/>
    <w:rsid w:val="00C80A0E"/>
    <w:rsid w:val="00C8213F"/>
    <w:rsid w:val="00C8341A"/>
    <w:rsid w:val="00C84C12"/>
    <w:rsid w:val="00C8797A"/>
    <w:rsid w:val="00C900B8"/>
    <w:rsid w:val="00C9088C"/>
    <w:rsid w:val="00C90C71"/>
    <w:rsid w:val="00C926BE"/>
    <w:rsid w:val="00C931CF"/>
    <w:rsid w:val="00C938CF"/>
    <w:rsid w:val="00C93EAA"/>
    <w:rsid w:val="00C94798"/>
    <w:rsid w:val="00C9615F"/>
    <w:rsid w:val="00C9624D"/>
    <w:rsid w:val="00C969DA"/>
    <w:rsid w:val="00CA2C77"/>
    <w:rsid w:val="00CA2F79"/>
    <w:rsid w:val="00CA444F"/>
    <w:rsid w:val="00CA4A78"/>
    <w:rsid w:val="00CA5245"/>
    <w:rsid w:val="00CA59FB"/>
    <w:rsid w:val="00CA71F4"/>
    <w:rsid w:val="00CA7B09"/>
    <w:rsid w:val="00CB01CE"/>
    <w:rsid w:val="00CB1C5A"/>
    <w:rsid w:val="00CB2F2A"/>
    <w:rsid w:val="00CB50DC"/>
    <w:rsid w:val="00CB5B1A"/>
    <w:rsid w:val="00CB6781"/>
    <w:rsid w:val="00CB6B22"/>
    <w:rsid w:val="00CB7086"/>
    <w:rsid w:val="00CB7F5F"/>
    <w:rsid w:val="00CC1B39"/>
    <w:rsid w:val="00CC2B78"/>
    <w:rsid w:val="00CC4378"/>
    <w:rsid w:val="00CC5B43"/>
    <w:rsid w:val="00CC711A"/>
    <w:rsid w:val="00CD0E2B"/>
    <w:rsid w:val="00CD3F5C"/>
    <w:rsid w:val="00CD5D90"/>
    <w:rsid w:val="00CD6ADC"/>
    <w:rsid w:val="00CE0DEC"/>
    <w:rsid w:val="00CE6274"/>
    <w:rsid w:val="00CE69FB"/>
    <w:rsid w:val="00CE76B1"/>
    <w:rsid w:val="00CF2B8D"/>
    <w:rsid w:val="00CF37E3"/>
    <w:rsid w:val="00CF440E"/>
    <w:rsid w:val="00CF456B"/>
    <w:rsid w:val="00CF5A22"/>
    <w:rsid w:val="00D0174B"/>
    <w:rsid w:val="00D0262E"/>
    <w:rsid w:val="00D061CC"/>
    <w:rsid w:val="00D110BD"/>
    <w:rsid w:val="00D13675"/>
    <w:rsid w:val="00D13750"/>
    <w:rsid w:val="00D13F52"/>
    <w:rsid w:val="00D141E1"/>
    <w:rsid w:val="00D1734D"/>
    <w:rsid w:val="00D17D6C"/>
    <w:rsid w:val="00D24896"/>
    <w:rsid w:val="00D26B29"/>
    <w:rsid w:val="00D26C02"/>
    <w:rsid w:val="00D2754D"/>
    <w:rsid w:val="00D27B27"/>
    <w:rsid w:val="00D33BE9"/>
    <w:rsid w:val="00D357FF"/>
    <w:rsid w:val="00D37B9A"/>
    <w:rsid w:val="00D424C7"/>
    <w:rsid w:val="00D43B2A"/>
    <w:rsid w:val="00D43DF8"/>
    <w:rsid w:val="00D4658F"/>
    <w:rsid w:val="00D47575"/>
    <w:rsid w:val="00D5185F"/>
    <w:rsid w:val="00D51F27"/>
    <w:rsid w:val="00D54F0B"/>
    <w:rsid w:val="00D55598"/>
    <w:rsid w:val="00D55FB9"/>
    <w:rsid w:val="00D56579"/>
    <w:rsid w:val="00D57FAA"/>
    <w:rsid w:val="00D64087"/>
    <w:rsid w:val="00D6714F"/>
    <w:rsid w:val="00D70F16"/>
    <w:rsid w:val="00D76790"/>
    <w:rsid w:val="00D76A44"/>
    <w:rsid w:val="00D815EF"/>
    <w:rsid w:val="00D82742"/>
    <w:rsid w:val="00D82802"/>
    <w:rsid w:val="00D8411F"/>
    <w:rsid w:val="00D85A5E"/>
    <w:rsid w:val="00D91923"/>
    <w:rsid w:val="00D92BE6"/>
    <w:rsid w:val="00D93753"/>
    <w:rsid w:val="00D942E3"/>
    <w:rsid w:val="00D948A7"/>
    <w:rsid w:val="00D94E6A"/>
    <w:rsid w:val="00D960A2"/>
    <w:rsid w:val="00DA00C6"/>
    <w:rsid w:val="00DA0C82"/>
    <w:rsid w:val="00DA14B2"/>
    <w:rsid w:val="00DA21D4"/>
    <w:rsid w:val="00DA3167"/>
    <w:rsid w:val="00DA49D8"/>
    <w:rsid w:val="00DA4DC3"/>
    <w:rsid w:val="00DA77A5"/>
    <w:rsid w:val="00DB484F"/>
    <w:rsid w:val="00DB5C40"/>
    <w:rsid w:val="00DC04F6"/>
    <w:rsid w:val="00DC1147"/>
    <w:rsid w:val="00DC3C57"/>
    <w:rsid w:val="00DC4402"/>
    <w:rsid w:val="00DC5501"/>
    <w:rsid w:val="00DC6697"/>
    <w:rsid w:val="00DD0197"/>
    <w:rsid w:val="00DD0A62"/>
    <w:rsid w:val="00DD273C"/>
    <w:rsid w:val="00DD3F28"/>
    <w:rsid w:val="00DD4537"/>
    <w:rsid w:val="00DD4E15"/>
    <w:rsid w:val="00DD628A"/>
    <w:rsid w:val="00DD663C"/>
    <w:rsid w:val="00DE30DA"/>
    <w:rsid w:val="00DE3138"/>
    <w:rsid w:val="00DE37F8"/>
    <w:rsid w:val="00DE4FCB"/>
    <w:rsid w:val="00DE7832"/>
    <w:rsid w:val="00DF18FC"/>
    <w:rsid w:val="00DF5D2B"/>
    <w:rsid w:val="00DF79D9"/>
    <w:rsid w:val="00DF7B6B"/>
    <w:rsid w:val="00E00E8E"/>
    <w:rsid w:val="00E0273C"/>
    <w:rsid w:val="00E02CFF"/>
    <w:rsid w:val="00E04E48"/>
    <w:rsid w:val="00E05630"/>
    <w:rsid w:val="00E05DAD"/>
    <w:rsid w:val="00E06DBB"/>
    <w:rsid w:val="00E10149"/>
    <w:rsid w:val="00E13B13"/>
    <w:rsid w:val="00E14675"/>
    <w:rsid w:val="00E15AA8"/>
    <w:rsid w:val="00E16372"/>
    <w:rsid w:val="00E20E4D"/>
    <w:rsid w:val="00E20ED6"/>
    <w:rsid w:val="00E21358"/>
    <w:rsid w:val="00E2249B"/>
    <w:rsid w:val="00E22A0D"/>
    <w:rsid w:val="00E22F57"/>
    <w:rsid w:val="00E273F8"/>
    <w:rsid w:val="00E2771E"/>
    <w:rsid w:val="00E3016A"/>
    <w:rsid w:val="00E32625"/>
    <w:rsid w:val="00E34948"/>
    <w:rsid w:val="00E34E50"/>
    <w:rsid w:val="00E37569"/>
    <w:rsid w:val="00E375F5"/>
    <w:rsid w:val="00E3781F"/>
    <w:rsid w:val="00E41E30"/>
    <w:rsid w:val="00E4375C"/>
    <w:rsid w:val="00E43D70"/>
    <w:rsid w:val="00E466F3"/>
    <w:rsid w:val="00E47B2C"/>
    <w:rsid w:val="00E51560"/>
    <w:rsid w:val="00E54347"/>
    <w:rsid w:val="00E55424"/>
    <w:rsid w:val="00E55BB5"/>
    <w:rsid w:val="00E5614F"/>
    <w:rsid w:val="00E644B8"/>
    <w:rsid w:val="00E64583"/>
    <w:rsid w:val="00E65E79"/>
    <w:rsid w:val="00E66BA2"/>
    <w:rsid w:val="00E67416"/>
    <w:rsid w:val="00E67B64"/>
    <w:rsid w:val="00E718B6"/>
    <w:rsid w:val="00E723BA"/>
    <w:rsid w:val="00E73581"/>
    <w:rsid w:val="00E73AEF"/>
    <w:rsid w:val="00E81AC7"/>
    <w:rsid w:val="00E833F7"/>
    <w:rsid w:val="00E83BDF"/>
    <w:rsid w:val="00E83F94"/>
    <w:rsid w:val="00E87A1D"/>
    <w:rsid w:val="00E91C64"/>
    <w:rsid w:val="00E926A5"/>
    <w:rsid w:val="00E9386D"/>
    <w:rsid w:val="00E96697"/>
    <w:rsid w:val="00E9742B"/>
    <w:rsid w:val="00EA031A"/>
    <w:rsid w:val="00EA17C3"/>
    <w:rsid w:val="00EA1BCD"/>
    <w:rsid w:val="00EA2CAA"/>
    <w:rsid w:val="00EA3864"/>
    <w:rsid w:val="00EA5B63"/>
    <w:rsid w:val="00EA618C"/>
    <w:rsid w:val="00EB0935"/>
    <w:rsid w:val="00EB15B6"/>
    <w:rsid w:val="00EB324F"/>
    <w:rsid w:val="00EB4348"/>
    <w:rsid w:val="00EB4916"/>
    <w:rsid w:val="00EB58B0"/>
    <w:rsid w:val="00EB77D4"/>
    <w:rsid w:val="00EB7DED"/>
    <w:rsid w:val="00EC00C9"/>
    <w:rsid w:val="00EC2649"/>
    <w:rsid w:val="00EC5D6E"/>
    <w:rsid w:val="00ED1202"/>
    <w:rsid w:val="00ED37C0"/>
    <w:rsid w:val="00ED53DB"/>
    <w:rsid w:val="00ED57EA"/>
    <w:rsid w:val="00ED5AC8"/>
    <w:rsid w:val="00ED6D28"/>
    <w:rsid w:val="00EE07D3"/>
    <w:rsid w:val="00EE22AF"/>
    <w:rsid w:val="00EE66DC"/>
    <w:rsid w:val="00EE6BEC"/>
    <w:rsid w:val="00EE7B5B"/>
    <w:rsid w:val="00EF0171"/>
    <w:rsid w:val="00EF1B25"/>
    <w:rsid w:val="00EF4747"/>
    <w:rsid w:val="00EF4BF8"/>
    <w:rsid w:val="00EF5AEA"/>
    <w:rsid w:val="00EF75F8"/>
    <w:rsid w:val="00F02253"/>
    <w:rsid w:val="00F03C2E"/>
    <w:rsid w:val="00F048B6"/>
    <w:rsid w:val="00F04A66"/>
    <w:rsid w:val="00F0516C"/>
    <w:rsid w:val="00F05FFA"/>
    <w:rsid w:val="00F067A2"/>
    <w:rsid w:val="00F06B0D"/>
    <w:rsid w:val="00F10D75"/>
    <w:rsid w:val="00F1263A"/>
    <w:rsid w:val="00F13C27"/>
    <w:rsid w:val="00F140C7"/>
    <w:rsid w:val="00F175BB"/>
    <w:rsid w:val="00F217DB"/>
    <w:rsid w:val="00F2365B"/>
    <w:rsid w:val="00F24837"/>
    <w:rsid w:val="00F2575F"/>
    <w:rsid w:val="00F27565"/>
    <w:rsid w:val="00F27906"/>
    <w:rsid w:val="00F303F5"/>
    <w:rsid w:val="00F310D4"/>
    <w:rsid w:val="00F31D5A"/>
    <w:rsid w:val="00F325DE"/>
    <w:rsid w:val="00F32870"/>
    <w:rsid w:val="00F33DE9"/>
    <w:rsid w:val="00F3619A"/>
    <w:rsid w:val="00F40AAA"/>
    <w:rsid w:val="00F40BA7"/>
    <w:rsid w:val="00F46CB6"/>
    <w:rsid w:val="00F475E9"/>
    <w:rsid w:val="00F477B2"/>
    <w:rsid w:val="00F47DE8"/>
    <w:rsid w:val="00F52FCE"/>
    <w:rsid w:val="00F542C1"/>
    <w:rsid w:val="00F54CE0"/>
    <w:rsid w:val="00F55E73"/>
    <w:rsid w:val="00F55EDA"/>
    <w:rsid w:val="00F5667D"/>
    <w:rsid w:val="00F60092"/>
    <w:rsid w:val="00F60AEE"/>
    <w:rsid w:val="00F63857"/>
    <w:rsid w:val="00F65F4B"/>
    <w:rsid w:val="00F70251"/>
    <w:rsid w:val="00F70C9D"/>
    <w:rsid w:val="00F729CA"/>
    <w:rsid w:val="00F74CD9"/>
    <w:rsid w:val="00F76C9D"/>
    <w:rsid w:val="00F77033"/>
    <w:rsid w:val="00F80A7B"/>
    <w:rsid w:val="00F80E5D"/>
    <w:rsid w:val="00F818D6"/>
    <w:rsid w:val="00F851CE"/>
    <w:rsid w:val="00F87ECB"/>
    <w:rsid w:val="00F91219"/>
    <w:rsid w:val="00F941C0"/>
    <w:rsid w:val="00F96B4D"/>
    <w:rsid w:val="00F97000"/>
    <w:rsid w:val="00F97A78"/>
    <w:rsid w:val="00FA06F2"/>
    <w:rsid w:val="00FA0B20"/>
    <w:rsid w:val="00FA24E7"/>
    <w:rsid w:val="00FA4054"/>
    <w:rsid w:val="00FA601E"/>
    <w:rsid w:val="00FA6361"/>
    <w:rsid w:val="00FA711E"/>
    <w:rsid w:val="00FA7D56"/>
    <w:rsid w:val="00FB1913"/>
    <w:rsid w:val="00FB2FCB"/>
    <w:rsid w:val="00FB6281"/>
    <w:rsid w:val="00FC1074"/>
    <w:rsid w:val="00FC1884"/>
    <w:rsid w:val="00FC371D"/>
    <w:rsid w:val="00FC5F0B"/>
    <w:rsid w:val="00FD16B6"/>
    <w:rsid w:val="00FD2100"/>
    <w:rsid w:val="00FD2F27"/>
    <w:rsid w:val="00FD436C"/>
    <w:rsid w:val="00FD446D"/>
    <w:rsid w:val="00FD4612"/>
    <w:rsid w:val="00FD5209"/>
    <w:rsid w:val="00FD6394"/>
    <w:rsid w:val="00FE0376"/>
    <w:rsid w:val="00FE0E6C"/>
    <w:rsid w:val="00FE70C3"/>
    <w:rsid w:val="00FF0950"/>
    <w:rsid w:val="00FF3DCF"/>
    <w:rsid w:val="00FF492C"/>
    <w:rsid w:val="00FF4A21"/>
    <w:rsid w:val="00FF52F5"/>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01A21"/>
    <w:pPr>
      <w:jc w:val="both"/>
    </w:pPr>
    <w:rPr>
      <w:rFonts w:asciiTheme="minorHAnsi" w:hAnsiTheme="minorHAnsi"/>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3A3264"/>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basedOn w:val="Normal"/>
    <w:link w:val="CommentTextChar"/>
    <w:uiPriority w:val="99"/>
    <w:rsid w:val="00FD2100"/>
    <w:rPr>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26B29"/>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DocumentMap">
    <w:name w:val="Document Map"/>
    <w:basedOn w:val="Normal"/>
    <w:link w:val="DocumentMapChar"/>
    <w:semiHidden/>
    <w:unhideWhenUsed/>
    <w:rsid w:val="00571FC2"/>
    <w:rPr>
      <w:rFonts w:ascii="Lucida Grande" w:hAnsi="Lucida Grande" w:cs="Lucida Grande"/>
    </w:rPr>
  </w:style>
  <w:style w:type="character" w:customStyle="1" w:styleId="DocumentMapChar">
    <w:name w:val="Document Map Char"/>
    <w:basedOn w:val="DefaultParagraphFont"/>
    <w:link w:val="DocumentMap"/>
    <w:semiHidden/>
    <w:rsid w:val="00571FC2"/>
    <w:rPr>
      <w:rFonts w:ascii="Lucida Grande" w:hAnsi="Lucida Grande" w:cs="Lucida Grande"/>
      <w:snapToGrid w:val="0"/>
      <w:sz w:val="24"/>
      <w:szCs w:val="24"/>
      <w:lang w:eastAsia="en-US"/>
    </w:rPr>
  </w:style>
  <w:style w:type="character" w:styleId="IntenseEmphasis">
    <w:name w:val="Intense Emphasis"/>
    <w:uiPriority w:val="21"/>
    <w:qFormat/>
    <w:rsid w:val="00C163D2"/>
    <w:rPr>
      <w:b/>
      <w:bCs/>
      <w:i/>
      <w:iCs/>
    </w:rPr>
  </w:style>
  <w:style w:type="paragraph" w:customStyle="1" w:styleId="TableCentre">
    <w:name w:val="Table Centre"/>
    <w:basedOn w:val="Normal"/>
    <w:qFormat/>
    <w:rsid w:val="00C163D2"/>
    <w:pPr>
      <w:jc w:val="center"/>
    </w:pPr>
    <w:rPr>
      <w:rFonts w:eastAsiaTheme="majorEastAsia" w:cstheme="majorBidi"/>
      <w:snapToGrid w:val="0"/>
      <w:sz w:val="20"/>
      <w:lang w:bidi="en-US"/>
    </w:rPr>
  </w:style>
  <w:style w:type="character" w:customStyle="1" w:styleId="SmallItalics">
    <w:name w:val="Small Italics"/>
    <w:basedOn w:val="DefaultParagraphFont"/>
    <w:uiPriority w:val="4"/>
    <w:qFormat/>
    <w:rsid w:val="001707D2"/>
    <w:rPr>
      <w:rFonts w:ascii="Calibri" w:hAnsi="Calibri"/>
      <w:i/>
      <w:sz w:val="20"/>
    </w:rPr>
  </w:style>
  <w:style w:type="paragraph" w:customStyle="1" w:styleId="p1">
    <w:name w:val="p1"/>
    <w:basedOn w:val="Normal"/>
    <w:rsid w:val="00B50F8B"/>
    <w:rPr>
      <w:rFonts w:ascii="Calibri" w:hAnsi="Calibri"/>
      <w:sz w:val="15"/>
      <w:szCs w:val="15"/>
    </w:rPr>
  </w:style>
  <w:style w:type="character" w:customStyle="1" w:styleId="apple-converted-space">
    <w:name w:val="apple-converted-space"/>
    <w:basedOn w:val="DefaultParagraphFont"/>
    <w:rsid w:val="00B50F8B"/>
  </w:style>
  <w:style w:type="paragraph" w:customStyle="1" w:styleId="Table">
    <w:name w:val="Table"/>
    <w:basedOn w:val="Normal"/>
    <w:link w:val="TableChar"/>
    <w:qFormat/>
    <w:rsid w:val="00AA1FCE"/>
    <w:pPr>
      <w:tabs>
        <w:tab w:val="left" w:pos="653"/>
      </w:tabs>
    </w:pPr>
    <w:rPr>
      <w:sz w:val="20"/>
      <w:szCs w:val="22"/>
      <w:lang w:bidi="en-US"/>
    </w:rPr>
  </w:style>
  <w:style w:type="character" w:customStyle="1" w:styleId="TableChar">
    <w:name w:val="Table Char"/>
    <w:basedOn w:val="DefaultParagraphFont"/>
    <w:link w:val="Table"/>
    <w:locked/>
    <w:rsid w:val="00AA1FCE"/>
    <w:rPr>
      <w:rFonts w:asciiTheme="minorHAnsi" w:hAnsiTheme="minorHAnsi"/>
      <w:sz w:val="20"/>
      <w:szCs w:val="22"/>
      <w:lang w:eastAsia="en-US" w:bidi="en-US"/>
    </w:rPr>
  </w:style>
  <w:style w:type="paragraph" w:customStyle="1" w:styleId="xmsonormal">
    <w:name w:val="x_msonormal"/>
    <w:basedOn w:val="Normal"/>
    <w:rsid w:val="00FB1913"/>
    <w:pPr>
      <w:jc w:val="left"/>
    </w:pPr>
    <w:rPr>
      <w:rFonts w:ascii="Times New Roman" w:eastAsiaTheme="minorHAnsi" w:hAnsi="Times New Roman"/>
      <w:lang w:eastAsia="en-AU"/>
    </w:rPr>
  </w:style>
  <w:style w:type="paragraph" w:styleId="FootnoteText">
    <w:name w:val="footnote text"/>
    <w:basedOn w:val="Normal"/>
    <w:link w:val="FootnoteTextChar"/>
    <w:semiHidden/>
    <w:unhideWhenUsed/>
    <w:rsid w:val="00F477B2"/>
    <w:rPr>
      <w:sz w:val="20"/>
      <w:szCs w:val="20"/>
    </w:rPr>
  </w:style>
  <w:style w:type="character" w:customStyle="1" w:styleId="FootnoteTextChar">
    <w:name w:val="Footnote Text Char"/>
    <w:basedOn w:val="DefaultParagraphFont"/>
    <w:link w:val="FootnoteText"/>
    <w:semiHidden/>
    <w:rsid w:val="00F477B2"/>
    <w:rPr>
      <w:rFonts w:asciiTheme="minorHAnsi" w:hAnsiTheme="minorHAnsi"/>
      <w:sz w:val="20"/>
      <w:szCs w:val="20"/>
      <w:lang w:eastAsia="en-US"/>
    </w:rPr>
  </w:style>
  <w:style w:type="character" w:styleId="FootnoteReference">
    <w:name w:val="footnote reference"/>
    <w:basedOn w:val="DefaultParagraphFont"/>
    <w:semiHidden/>
    <w:unhideWhenUsed/>
    <w:rsid w:val="00F477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01A21"/>
    <w:pPr>
      <w:jc w:val="both"/>
    </w:pPr>
    <w:rPr>
      <w:rFonts w:asciiTheme="minorHAnsi" w:hAnsiTheme="minorHAnsi"/>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CSR Caption,CAPTION,Char,Caption2,Caption Char1 Char,Caption Char Char Char,Caption Char1 Char Char Char,Caption Char Char Char Char Char,Caption Char Char1 Char,Caption Char1 Char1,- H17"/>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CSR Caption Char,CAPTION Char,Char Char,Caption2 Char,Caption Char1 Char Char,Caption Char Char Char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rPr>
      <w:rFonts w:ascii="Arial Narrow" w:hAnsi="Arial Narrow"/>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3A3264"/>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basedOn w:val="Normal"/>
    <w:link w:val="CommentTextChar"/>
    <w:uiPriority w:val="99"/>
    <w:rsid w:val="00FD2100"/>
    <w:rPr>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26B29"/>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DocumentMap">
    <w:name w:val="Document Map"/>
    <w:basedOn w:val="Normal"/>
    <w:link w:val="DocumentMapChar"/>
    <w:semiHidden/>
    <w:unhideWhenUsed/>
    <w:rsid w:val="00571FC2"/>
    <w:rPr>
      <w:rFonts w:ascii="Lucida Grande" w:hAnsi="Lucida Grande" w:cs="Lucida Grande"/>
    </w:rPr>
  </w:style>
  <w:style w:type="character" w:customStyle="1" w:styleId="DocumentMapChar">
    <w:name w:val="Document Map Char"/>
    <w:basedOn w:val="DefaultParagraphFont"/>
    <w:link w:val="DocumentMap"/>
    <w:semiHidden/>
    <w:rsid w:val="00571FC2"/>
    <w:rPr>
      <w:rFonts w:ascii="Lucida Grande" w:hAnsi="Lucida Grande" w:cs="Lucida Grande"/>
      <w:snapToGrid w:val="0"/>
      <w:sz w:val="24"/>
      <w:szCs w:val="24"/>
      <w:lang w:eastAsia="en-US"/>
    </w:rPr>
  </w:style>
  <w:style w:type="character" w:styleId="IntenseEmphasis">
    <w:name w:val="Intense Emphasis"/>
    <w:uiPriority w:val="21"/>
    <w:qFormat/>
    <w:rsid w:val="00C163D2"/>
    <w:rPr>
      <w:b/>
      <w:bCs/>
      <w:i/>
      <w:iCs/>
    </w:rPr>
  </w:style>
  <w:style w:type="paragraph" w:customStyle="1" w:styleId="TableCentre">
    <w:name w:val="Table Centre"/>
    <w:basedOn w:val="Normal"/>
    <w:qFormat/>
    <w:rsid w:val="00C163D2"/>
    <w:pPr>
      <w:jc w:val="center"/>
    </w:pPr>
    <w:rPr>
      <w:rFonts w:eastAsiaTheme="majorEastAsia" w:cstheme="majorBidi"/>
      <w:snapToGrid w:val="0"/>
      <w:sz w:val="20"/>
      <w:lang w:bidi="en-US"/>
    </w:rPr>
  </w:style>
  <w:style w:type="character" w:customStyle="1" w:styleId="SmallItalics">
    <w:name w:val="Small Italics"/>
    <w:basedOn w:val="DefaultParagraphFont"/>
    <w:uiPriority w:val="4"/>
    <w:qFormat/>
    <w:rsid w:val="001707D2"/>
    <w:rPr>
      <w:rFonts w:ascii="Calibri" w:hAnsi="Calibri"/>
      <w:i/>
      <w:sz w:val="20"/>
    </w:rPr>
  </w:style>
  <w:style w:type="paragraph" w:customStyle="1" w:styleId="p1">
    <w:name w:val="p1"/>
    <w:basedOn w:val="Normal"/>
    <w:rsid w:val="00B50F8B"/>
    <w:rPr>
      <w:rFonts w:ascii="Calibri" w:hAnsi="Calibri"/>
      <w:sz w:val="15"/>
      <w:szCs w:val="15"/>
    </w:rPr>
  </w:style>
  <w:style w:type="character" w:customStyle="1" w:styleId="apple-converted-space">
    <w:name w:val="apple-converted-space"/>
    <w:basedOn w:val="DefaultParagraphFont"/>
    <w:rsid w:val="00B50F8B"/>
  </w:style>
  <w:style w:type="paragraph" w:customStyle="1" w:styleId="Table">
    <w:name w:val="Table"/>
    <w:basedOn w:val="Normal"/>
    <w:link w:val="TableChar"/>
    <w:qFormat/>
    <w:rsid w:val="00AA1FCE"/>
    <w:pPr>
      <w:tabs>
        <w:tab w:val="left" w:pos="653"/>
      </w:tabs>
    </w:pPr>
    <w:rPr>
      <w:sz w:val="20"/>
      <w:szCs w:val="22"/>
      <w:lang w:bidi="en-US"/>
    </w:rPr>
  </w:style>
  <w:style w:type="character" w:customStyle="1" w:styleId="TableChar">
    <w:name w:val="Table Char"/>
    <w:basedOn w:val="DefaultParagraphFont"/>
    <w:link w:val="Table"/>
    <w:locked/>
    <w:rsid w:val="00AA1FCE"/>
    <w:rPr>
      <w:rFonts w:asciiTheme="minorHAnsi" w:hAnsiTheme="minorHAnsi"/>
      <w:sz w:val="20"/>
      <w:szCs w:val="22"/>
      <w:lang w:eastAsia="en-US" w:bidi="en-US"/>
    </w:rPr>
  </w:style>
  <w:style w:type="paragraph" w:customStyle="1" w:styleId="xmsonormal">
    <w:name w:val="x_msonormal"/>
    <w:basedOn w:val="Normal"/>
    <w:rsid w:val="00FB1913"/>
    <w:pPr>
      <w:jc w:val="left"/>
    </w:pPr>
    <w:rPr>
      <w:rFonts w:ascii="Times New Roman" w:eastAsiaTheme="minorHAnsi" w:hAnsi="Times New Roman"/>
      <w:lang w:eastAsia="en-AU"/>
    </w:rPr>
  </w:style>
  <w:style w:type="paragraph" w:styleId="FootnoteText">
    <w:name w:val="footnote text"/>
    <w:basedOn w:val="Normal"/>
    <w:link w:val="FootnoteTextChar"/>
    <w:semiHidden/>
    <w:unhideWhenUsed/>
    <w:rsid w:val="00F477B2"/>
    <w:rPr>
      <w:sz w:val="20"/>
      <w:szCs w:val="20"/>
    </w:rPr>
  </w:style>
  <w:style w:type="character" w:customStyle="1" w:styleId="FootnoteTextChar">
    <w:name w:val="Footnote Text Char"/>
    <w:basedOn w:val="DefaultParagraphFont"/>
    <w:link w:val="FootnoteText"/>
    <w:semiHidden/>
    <w:rsid w:val="00F477B2"/>
    <w:rPr>
      <w:rFonts w:asciiTheme="minorHAnsi" w:hAnsiTheme="minorHAnsi"/>
      <w:sz w:val="20"/>
      <w:szCs w:val="20"/>
      <w:lang w:eastAsia="en-US"/>
    </w:rPr>
  </w:style>
  <w:style w:type="character" w:styleId="FootnoteReference">
    <w:name w:val="footnote reference"/>
    <w:basedOn w:val="DefaultParagraphFont"/>
    <w:semiHidden/>
    <w:unhideWhenUsed/>
    <w:rsid w:val="00F47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4203">
      <w:bodyDiv w:val="1"/>
      <w:marLeft w:val="0"/>
      <w:marRight w:val="0"/>
      <w:marTop w:val="0"/>
      <w:marBottom w:val="0"/>
      <w:divBdr>
        <w:top w:val="none" w:sz="0" w:space="0" w:color="auto"/>
        <w:left w:val="none" w:sz="0" w:space="0" w:color="auto"/>
        <w:bottom w:val="none" w:sz="0" w:space="0" w:color="auto"/>
        <w:right w:val="none" w:sz="0" w:space="0" w:color="auto"/>
      </w:divBdr>
    </w:div>
    <w:div w:id="122776709">
      <w:bodyDiv w:val="1"/>
      <w:marLeft w:val="0"/>
      <w:marRight w:val="0"/>
      <w:marTop w:val="0"/>
      <w:marBottom w:val="0"/>
      <w:divBdr>
        <w:top w:val="none" w:sz="0" w:space="0" w:color="auto"/>
        <w:left w:val="none" w:sz="0" w:space="0" w:color="auto"/>
        <w:bottom w:val="none" w:sz="0" w:space="0" w:color="auto"/>
        <w:right w:val="none" w:sz="0" w:space="0" w:color="auto"/>
      </w:divBdr>
    </w:div>
    <w:div w:id="194125000">
      <w:bodyDiv w:val="1"/>
      <w:marLeft w:val="0"/>
      <w:marRight w:val="0"/>
      <w:marTop w:val="0"/>
      <w:marBottom w:val="0"/>
      <w:divBdr>
        <w:top w:val="none" w:sz="0" w:space="0" w:color="auto"/>
        <w:left w:val="none" w:sz="0" w:space="0" w:color="auto"/>
        <w:bottom w:val="none" w:sz="0" w:space="0" w:color="auto"/>
        <w:right w:val="none" w:sz="0" w:space="0" w:color="auto"/>
      </w:divBdr>
    </w:div>
    <w:div w:id="261378816">
      <w:bodyDiv w:val="1"/>
      <w:marLeft w:val="0"/>
      <w:marRight w:val="0"/>
      <w:marTop w:val="0"/>
      <w:marBottom w:val="0"/>
      <w:divBdr>
        <w:top w:val="none" w:sz="0" w:space="0" w:color="auto"/>
        <w:left w:val="none" w:sz="0" w:space="0" w:color="auto"/>
        <w:bottom w:val="none" w:sz="0" w:space="0" w:color="auto"/>
        <w:right w:val="none" w:sz="0" w:space="0" w:color="auto"/>
      </w:divBdr>
    </w:div>
    <w:div w:id="339621498">
      <w:bodyDiv w:val="1"/>
      <w:marLeft w:val="0"/>
      <w:marRight w:val="0"/>
      <w:marTop w:val="0"/>
      <w:marBottom w:val="0"/>
      <w:divBdr>
        <w:top w:val="none" w:sz="0" w:space="0" w:color="auto"/>
        <w:left w:val="none" w:sz="0" w:space="0" w:color="auto"/>
        <w:bottom w:val="none" w:sz="0" w:space="0" w:color="auto"/>
        <w:right w:val="none" w:sz="0" w:space="0" w:color="auto"/>
      </w:divBdr>
    </w:div>
    <w:div w:id="370230202">
      <w:bodyDiv w:val="1"/>
      <w:marLeft w:val="0"/>
      <w:marRight w:val="0"/>
      <w:marTop w:val="0"/>
      <w:marBottom w:val="0"/>
      <w:divBdr>
        <w:top w:val="none" w:sz="0" w:space="0" w:color="auto"/>
        <w:left w:val="none" w:sz="0" w:space="0" w:color="auto"/>
        <w:bottom w:val="none" w:sz="0" w:space="0" w:color="auto"/>
        <w:right w:val="none" w:sz="0" w:space="0" w:color="auto"/>
      </w:divBdr>
    </w:div>
    <w:div w:id="387146735">
      <w:bodyDiv w:val="1"/>
      <w:marLeft w:val="0"/>
      <w:marRight w:val="0"/>
      <w:marTop w:val="0"/>
      <w:marBottom w:val="0"/>
      <w:divBdr>
        <w:top w:val="none" w:sz="0" w:space="0" w:color="auto"/>
        <w:left w:val="none" w:sz="0" w:space="0" w:color="auto"/>
        <w:bottom w:val="none" w:sz="0" w:space="0" w:color="auto"/>
        <w:right w:val="none" w:sz="0" w:space="0" w:color="auto"/>
      </w:divBdr>
    </w:div>
    <w:div w:id="536940095">
      <w:bodyDiv w:val="1"/>
      <w:marLeft w:val="0"/>
      <w:marRight w:val="0"/>
      <w:marTop w:val="0"/>
      <w:marBottom w:val="0"/>
      <w:divBdr>
        <w:top w:val="none" w:sz="0" w:space="0" w:color="auto"/>
        <w:left w:val="none" w:sz="0" w:space="0" w:color="auto"/>
        <w:bottom w:val="none" w:sz="0" w:space="0" w:color="auto"/>
        <w:right w:val="none" w:sz="0" w:space="0" w:color="auto"/>
      </w:divBdr>
    </w:div>
    <w:div w:id="634261018">
      <w:bodyDiv w:val="1"/>
      <w:marLeft w:val="0"/>
      <w:marRight w:val="0"/>
      <w:marTop w:val="0"/>
      <w:marBottom w:val="0"/>
      <w:divBdr>
        <w:top w:val="none" w:sz="0" w:space="0" w:color="auto"/>
        <w:left w:val="none" w:sz="0" w:space="0" w:color="auto"/>
        <w:bottom w:val="none" w:sz="0" w:space="0" w:color="auto"/>
        <w:right w:val="none" w:sz="0" w:space="0" w:color="auto"/>
      </w:divBdr>
    </w:div>
    <w:div w:id="659192943">
      <w:bodyDiv w:val="1"/>
      <w:marLeft w:val="0"/>
      <w:marRight w:val="0"/>
      <w:marTop w:val="0"/>
      <w:marBottom w:val="0"/>
      <w:divBdr>
        <w:top w:val="none" w:sz="0" w:space="0" w:color="auto"/>
        <w:left w:val="none" w:sz="0" w:space="0" w:color="auto"/>
        <w:bottom w:val="none" w:sz="0" w:space="0" w:color="auto"/>
        <w:right w:val="none" w:sz="0" w:space="0" w:color="auto"/>
      </w:divBdr>
    </w:div>
    <w:div w:id="670186534">
      <w:bodyDiv w:val="1"/>
      <w:marLeft w:val="0"/>
      <w:marRight w:val="0"/>
      <w:marTop w:val="0"/>
      <w:marBottom w:val="0"/>
      <w:divBdr>
        <w:top w:val="none" w:sz="0" w:space="0" w:color="auto"/>
        <w:left w:val="none" w:sz="0" w:space="0" w:color="auto"/>
        <w:bottom w:val="none" w:sz="0" w:space="0" w:color="auto"/>
        <w:right w:val="none" w:sz="0" w:space="0" w:color="auto"/>
      </w:divBdr>
    </w:div>
    <w:div w:id="705256410">
      <w:bodyDiv w:val="1"/>
      <w:marLeft w:val="0"/>
      <w:marRight w:val="0"/>
      <w:marTop w:val="0"/>
      <w:marBottom w:val="0"/>
      <w:divBdr>
        <w:top w:val="none" w:sz="0" w:space="0" w:color="auto"/>
        <w:left w:val="none" w:sz="0" w:space="0" w:color="auto"/>
        <w:bottom w:val="none" w:sz="0" w:space="0" w:color="auto"/>
        <w:right w:val="none" w:sz="0" w:space="0" w:color="auto"/>
      </w:divBdr>
    </w:div>
    <w:div w:id="707029731">
      <w:bodyDiv w:val="1"/>
      <w:marLeft w:val="0"/>
      <w:marRight w:val="0"/>
      <w:marTop w:val="0"/>
      <w:marBottom w:val="0"/>
      <w:divBdr>
        <w:top w:val="none" w:sz="0" w:space="0" w:color="auto"/>
        <w:left w:val="none" w:sz="0" w:space="0" w:color="auto"/>
        <w:bottom w:val="none" w:sz="0" w:space="0" w:color="auto"/>
        <w:right w:val="none" w:sz="0" w:space="0" w:color="auto"/>
      </w:divBdr>
    </w:div>
    <w:div w:id="729694146">
      <w:bodyDiv w:val="1"/>
      <w:marLeft w:val="0"/>
      <w:marRight w:val="0"/>
      <w:marTop w:val="0"/>
      <w:marBottom w:val="0"/>
      <w:divBdr>
        <w:top w:val="none" w:sz="0" w:space="0" w:color="auto"/>
        <w:left w:val="none" w:sz="0" w:space="0" w:color="auto"/>
        <w:bottom w:val="none" w:sz="0" w:space="0" w:color="auto"/>
        <w:right w:val="none" w:sz="0" w:space="0" w:color="auto"/>
      </w:divBdr>
    </w:div>
    <w:div w:id="857892445">
      <w:bodyDiv w:val="1"/>
      <w:marLeft w:val="0"/>
      <w:marRight w:val="0"/>
      <w:marTop w:val="0"/>
      <w:marBottom w:val="0"/>
      <w:divBdr>
        <w:top w:val="none" w:sz="0" w:space="0" w:color="auto"/>
        <w:left w:val="none" w:sz="0" w:space="0" w:color="auto"/>
        <w:bottom w:val="none" w:sz="0" w:space="0" w:color="auto"/>
        <w:right w:val="none" w:sz="0" w:space="0" w:color="auto"/>
      </w:divBdr>
    </w:div>
    <w:div w:id="982848919">
      <w:bodyDiv w:val="1"/>
      <w:marLeft w:val="0"/>
      <w:marRight w:val="0"/>
      <w:marTop w:val="0"/>
      <w:marBottom w:val="0"/>
      <w:divBdr>
        <w:top w:val="none" w:sz="0" w:space="0" w:color="auto"/>
        <w:left w:val="none" w:sz="0" w:space="0" w:color="auto"/>
        <w:bottom w:val="none" w:sz="0" w:space="0" w:color="auto"/>
        <w:right w:val="none" w:sz="0" w:space="0" w:color="auto"/>
      </w:divBdr>
    </w:div>
    <w:div w:id="983856277">
      <w:bodyDiv w:val="1"/>
      <w:marLeft w:val="0"/>
      <w:marRight w:val="0"/>
      <w:marTop w:val="0"/>
      <w:marBottom w:val="0"/>
      <w:divBdr>
        <w:top w:val="none" w:sz="0" w:space="0" w:color="auto"/>
        <w:left w:val="none" w:sz="0" w:space="0" w:color="auto"/>
        <w:bottom w:val="none" w:sz="0" w:space="0" w:color="auto"/>
        <w:right w:val="none" w:sz="0" w:space="0" w:color="auto"/>
      </w:divBdr>
    </w:div>
    <w:div w:id="1118993031">
      <w:bodyDiv w:val="1"/>
      <w:marLeft w:val="0"/>
      <w:marRight w:val="0"/>
      <w:marTop w:val="0"/>
      <w:marBottom w:val="0"/>
      <w:divBdr>
        <w:top w:val="none" w:sz="0" w:space="0" w:color="auto"/>
        <w:left w:val="none" w:sz="0" w:space="0" w:color="auto"/>
        <w:bottom w:val="none" w:sz="0" w:space="0" w:color="auto"/>
        <w:right w:val="none" w:sz="0" w:space="0" w:color="auto"/>
      </w:divBdr>
    </w:div>
    <w:div w:id="1162890241">
      <w:bodyDiv w:val="1"/>
      <w:marLeft w:val="0"/>
      <w:marRight w:val="0"/>
      <w:marTop w:val="0"/>
      <w:marBottom w:val="0"/>
      <w:divBdr>
        <w:top w:val="none" w:sz="0" w:space="0" w:color="auto"/>
        <w:left w:val="none" w:sz="0" w:space="0" w:color="auto"/>
        <w:bottom w:val="none" w:sz="0" w:space="0" w:color="auto"/>
        <w:right w:val="none" w:sz="0" w:space="0" w:color="auto"/>
      </w:divBdr>
    </w:div>
    <w:div w:id="1194997109">
      <w:bodyDiv w:val="1"/>
      <w:marLeft w:val="0"/>
      <w:marRight w:val="0"/>
      <w:marTop w:val="0"/>
      <w:marBottom w:val="0"/>
      <w:divBdr>
        <w:top w:val="none" w:sz="0" w:space="0" w:color="auto"/>
        <w:left w:val="none" w:sz="0" w:space="0" w:color="auto"/>
        <w:bottom w:val="none" w:sz="0" w:space="0" w:color="auto"/>
        <w:right w:val="none" w:sz="0" w:space="0" w:color="auto"/>
      </w:divBdr>
    </w:div>
    <w:div w:id="1250768395">
      <w:bodyDiv w:val="1"/>
      <w:marLeft w:val="0"/>
      <w:marRight w:val="0"/>
      <w:marTop w:val="0"/>
      <w:marBottom w:val="0"/>
      <w:divBdr>
        <w:top w:val="none" w:sz="0" w:space="0" w:color="auto"/>
        <w:left w:val="none" w:sz="0" w:space="0" w:color="auto"/>
        <w:bottom w:val="none" w:sz="0" w:space="0" w:color="auto"/>
        <w:right w:val="none" w:sz="0" w:space="0" w:color="auto"/>
      </w:divBdr>
    </w:div>
    <w:div w:id="1251889544">
      <w:bodyDiv w:val="1"/>
      <w:marLeft w:val="0"/>
      <w:marRight w:val="0"/>
      <w:marTop w:val="0"/>
      <w:marBottom w:val="0"/>
      <w:divBdr>
        <w:top w:val="none" w:sz="0" w:space="0" w:color="auto"/>
        <w:left w:val="none" w:sz="0" w:space="0" w:color="auto"/>
        <w:bottom w:val="none" w:sz="0" w:space="0" w:color="auto"/>
        <w:right w:val="none" w:sz="0" w:space="0" w:color="auto"/>
      </w:divBdr>
    </w:div>
    <w:div w:id="1291743136">
      <w:bodyDiv w:val="1"/>
      <w:marLeft w:val="0"/>
      <w:marRight w:val="0"/>
      <w:marTop w:val="0"/>
      <w:marBottom w:val="0"/>
      <w:divBdr>
        <w:top w:val="none" w:sz="0" w:space="0" w:color="auto"/>
        <w:left w:val="none" w:sz="0" w:space="0" w:color="auto"/>
        <w:bottom w:val="none" w:sz="0" w:space="0" w:color="auto"/>
        <w:right w:val="none" w:sz="0" w:space="0" w:color="auto"/>
      </w:divBdr>
    </w:div>
    <w:div w:id="1336179736">
      <w:bodyDiv w:val="1"/>
      <w:marLeft w:val="0"/>
      <w:marRight w:val="0"/>
      <w:marTop w:val="0"/>
      <w:marBottom w:val="0"/>
      <w:divBdr>
        <w:top w:val="none" w:sz="0" w:space="0" w:color="auto"/>
        <w:left w:val="none" w:sz="0" w:space="0" w:color="auto"/>
        <w:bottom w:val="none" w:sz="0" w:space="0" w:color="auto"/>
        <w:right w:val="none" w:sz="0" w:space="0" w:color="auto"/>
      </w:divBdr>
    </w:div>
    <w:div w:id="1360742720">
      <w:bodyDiv w:val="1"/>
      <w:marLeft w:val="0"/>
      <w:marRight w:val="0"/>
      <w:marTop w:val="0"/>
      <w:marBottom w:val="0"/>
      <w:divBdr>
        <w:top w:val="none" w:sz="0" w:space="0" w:color="auto"/>
        <w:left w:val="none" w:sz="0" w:space="0" w:color="auto"/>
        <w:bottom w:val="none" w:sz="0" w:space="0" w:color="auto"/>
        <w:right w:val="none" w:sz="0" w:space="0" w:color="auto"/>
      </w:divBdr>
    </w:div>
    <w:div w:id="1453591518">
      <w:bodyDiv w:val="1"/>
      <w:marLeft w:val="0"/>
      <w:marRight w:val="0"/>
      <w:marTop w:val="0"/>
      <w:marBottom w:val="0"/>
      <w:divBdr>
        <w:top w:val="none" w:sz="0" w:space="0" w:color="auto"/>
        <w:left w:val="none" w:sz="0" w:space="0" w:color="auto"/>
        <w:bottom w:val="none" w:sz="0" w:space="0" w:color="auto"/>
        <w:right w:val="none" w:sz="0" w:space="0" w:color="auto"/>
      </w:divBdr>
    </w:div>
    <w:div w:id="1473980391">
      <w:bodyDiv w:val="1"/>
      <w:marLeft w:val="0"/>
      <w:marRight w:val="0"/>
      <w:marTop w:val="0"/>
      <w:marBottom w:val="0"/>
      <w:divBdr>
        <w:top w:val="none" w:sz="0" w:space="0" w:color="auto"/>
        <w:left w:val="none" w:sz="0" w:space="0" w:color="auto"/>
        <w:bottom w:val="none" w:sz="0" w:space="0" w:color="auto"/>
        <w:right w:val="none" w:sz="0" w:space="0" w:color="auto"/>
      </w:divBdr>
    </w:div>
    <w:div w:id="1561214025">
      <w:bodyDiv w:val="1"/>
      <w:marLeft w:val="0"/>
      <w:marRight w:val="0"/>
      <w:marTop w:val="0"/>
      <w:marBottom w:val="0"/>
      <w:divBdr>
        <w:top w:val="none" w:sz="0" w:space="0" w:color="auto"/>
        <w:left w:val="none" w:sz="0" w:space="0" w:color="auto"/>
        <w:bottom w:val="none" w:sz="0" w:space="0" w:color="auto"/>
        <w:right w:val="none" w:sz="0" w:space="0" w:color="auto"/>
      </w:divBdr>
    </w:div>
    <w:div w:id="1625229291">
      <w:bodyDiv w:val="1"/>
      <w:marLeft w:val="0"/>
      <w:marRight w:val="0"/>
      <w:marTop w:val="0"/>
      <w:marBottom w:val="0"/>
      <w:divBdr>
        <w:top w:val="none" w:sz="0" w:space="0" w:color="auto"/>
        <w:left w:val="none" w:sz="0" w:space="0" w:color="auto"/>
        <w:bottom w:val="none" w:sz="0" w:space="0" w:color="auto"/>
        <w:right w:val="none" w:sz="0" w:space="0" w:color="auto"/>
      </w:divBdr>
    </w:div>
    <w:div w:id="1626424202">
      <w:bodyDiv w:val="1"/>
      <w:marLeft w:val="0"/>
      <w:marRight w:val="0"/>
      <w:marTop w:val="0"/>
      <w:marBottom w:val="0"/>
      <w:divBdr>
        <w:top w:val="none" w:sz="0" w:space="0" w:color="auto"/>
        <w:left w:val="none" w:sz="0" w:space="0" w:color="auto"/>
        <w:bottom w:val="none" w:sz="0" w:space="0" w:color="auto"/>
        <w:right w:val="none" w:sz="0" w:space="0" w:color="auto"/>
      </w:divBdr>
    </w:div>
    <w:div w:id="1647664359">
      <w:bodyDiv w:val="1"/>
      <w:marLeft w:val="0"/>
      <w:marRight w:val="0"/>
      <w:marTop w:val="0"/>
      <w:marBottom w:val="0"/>
      <w:divBdr>
        <w:top w:val="none" w:sz="0" w:space="0" w:color="auto"/>
        <w:left w:val="none" w:sz="0" w:space="0" w:color="auto"/>
        <w:bottom w:val="none" w:sz="0" w:space="0" w:color="auto"/>
        <w:right w:val="none" w:sz="0" w:space="0" w:color="auto"/>
      </w:divBdr>
    </w:div>
    <w:div w:id="1698702346">
      <w:bodyDiv w:val="1"/>
      <w:marLeft w:val="0"/>
      <w:marRight w:val="0"/>
      <w:marTop w:val="0"/>
      <w:marBottom w:val="0"/>
      <w:divBdr>
        <w:top w:val="none" w:sz="0" w:space="0" w:color="auto"/>
        <w:left w:val="none" w:sz="0" w:space="0" w:color="auto"/>
        <w:bottom w:val="none" w:sz="0" w:space="0" w:color="auto"/>
        <w:right w:val="none" w:sz="0" w:space="0" w:color="auto"/>
      </w:divBdr>
    </w:div>
    <w:div w:id="1722746276">
      <w:bodyDiv w:val="1"/>
      <w:marLeft w:val="0"/>
      <w:marRight w:val="0"/>
      <w:marTop w:val="0"/>
      <w:marBottom w:val="0"/>
      <w:divBdr>
        <w:top w:val="none" w:sz="0" w:space="0" w:color="auto"/>
        <w:left w:val="none" w:sz="0" w:space="0" w:color="auto"/>
        <w:bottom w:val="none" w:sz="0" w:space="0" w:color="auto"/>
        <w:right w:val="none" w:sz="0" w:space="0" w:color="auto"/>
      </w:divBdr>
    </w:div>
    <w:div w:id="1738624823">
      <w:bodyDiv w:val="1"/>
      <w:marLeft w:val="0"/>
      <w:marRight w:val="0"/>
      <w:marTop w:val="0"/>
      <w:marBottom w:val="0"/>
      <w:divBdr>
        <w:top w:val="none" w:sz="0" w:space="0" w:color="auto"/>
        <w:left w:val="none" w:sz="0" w:space="0" w:color="auto"/>
        <w:bottom w:val="none" w:sz="0" w:space="0" w:color="auto"/>
        <w:right w:val="none" w:sz="0" w:space="0" w:color="auto"/>
      </w:divBdr>
    </w:div>
    <w:div w:id="1753241119">
      <w:bodyDiv w:val="1"/>
      <w:marLeft w:val="0"/>
      <w:marRight w:val="0"/>
      <w:marTop w:val="0"/>
      <w:marBottom w:val="0"/>
      <w:divBdr>
        <w:top w:val="none" w:sz="0" w:space="0" w:color="auto"/>
        <w:left w:val="none" w:sz="0" w:space="0" w:color="auto"/>
        <w:bottom w:val="none" w:sz="0" w:space="0" w:color="auto"/>
        <w:right w:val="none" w:sz="0" w:space="0" w:color="auto"/>
      </w:divBdr>
    </w:div>
    <w:div w:id="1767188154">
      <w:bodyDiv w:val="1"/>
      <w:marLeft w:val="0"/>
      <w:marRight w:val="0"/>
      <w:marTop w:val="0"/>
      <w:marBottom w:val="0"/>
      <w:divBdr>
        <w:top w:val="none" w:sz="0" w:space="0" w:color="auto"/>
        <w:left w:val="none" w:sz="0" w:space="0" w:color="auto"/>
        <w:bottom w:val="none" w:sz="0" w:space="0" w:color="auto"/>
        <w:right w:val="none" w:sz="0" w:space="0" w:color="auto"/>
      </w:divBdr>
    </w:div>
    <w:div w:id="1769424444">
      <w:bodyDiv w:val="1"/>
      <w:marLeft w:val="0"/>
      <w:marRight w:val="0"/>
      <w:marTop w:val="0"/>
      <w:marBottom w:val="0"/>
      <w:divBdr>
        <w:top w:val="none" w:sz="0" w:space="0" w:color="auto"/>
        <w:left w:val="none" w:sz="0" w:space="0" w:color="auto"/>
        <w:bottom w:val="none" w:sz="0" w:space="0" w:color="auto"/>
        <w:right w:val="none" w:sz="0" w:space="0" w:color="auto"/>
      </w:divBdr>
    </w:div>
    <w:div w:id="1795829348">
      <w:bodyDiv w:val="1"/>
      <w:marLeft w:val="0"/>
      <w:marRight w:val="0"/>
      <w:marTop w:val="0"/>
      <w:marBottom w:val="0"/>
      <w:divBdr>
        <w:top w:val="none" w:sz="0" w:space="0" w:color="auto"/>
        <w:left w:val="none" w:sz="0" w:space="0" w:color="auto"/>
        <w:bottom w:val="none" w:sz="0" w:space="0" w:color="auto"/>
        <w:right w:val="none" w:sz="0" w:space="0" w:color="auto"/>
      </w:divBdr>
    </w:div>
    <w:div w:id="1828521375">
      <w:bodyDiv w:val="1"/>
      <w:marLeft w:val="0"/>
      <w:marRight w:val="0"/>
      <w:marTop w:val="0"/>
      <w:marBottom w:val="0"/>
      <w:divBdr>
        <w:top w:val="none" w:sz="0" w:space="0" w:color="auto"/>
        <w:left w:val="none" w:sz="0" w:space="0" w:color="auto"/>
        <w:bottom w:val="none" w:sz="0" w:space="0" w:color="auto"/>
        <w:right w:val="none" w:sz="0" w:space="0" w:color="auto"/>
      </w:divBdr>
    </w:div>
    <w:div w:id="1833712986">
      <w:bodyDiv w:val="1"/>
      <w:marLeft w:val="0"/>
      <w:marRight w:val="0"/>
      <w:marTop w:val="0"/>
      <w:marBottom w:val="0"/>
      <w:divBdr>
        <w:top w:val="none" w:sz="0" w:space="0" w:color="auto"/>
        <w:left w:val="none" w:sz="0" w:space="0" w:color="auto"/>
        <w:bottom w:val="none" w:sz="0" w:space="0" w:color="auto"/>
        <w:right w:val="none" w:sz="0" w:space="0" w:color="auto"/>
      </w:divBdr>
    </w:div>
    <w:div w:id="1866166852">
      <w:bodyDiv w:val="1"/>
      <w:marLeft w:val="0"/>
      <w:marRight w:val="0"/>
      <w:marTop w:val="0"/>
      <w:marBottom w:val="0"/>
      <w:divBdr>
        <w:top w:val="none" w:sz="0" w:space="0" w:color="auto"/>
        <w:left w:val="none" w:sz="0" w:space="0" w:color="auto"/>
        <w:bottom w:val="none" w:sz="0" w:space="0" w:color="auto"/>
        <w:right w:val="none" w:sz="0" w:space="0" w:color="auto"/>
      </w:divBdr>
    </w:div>
    <w:div w:id="1873492169">
      <w:bodyDiv w:val="1"/>
      <w:marLeft w:val="0"/>
      <w:marRight w:val="0"/>
      <w:marTop w:val="0"/>
      <w:marBottom w:val="0"/>
      <w:divBdr>
        <w:top w:val="none" w:sz="0" w:space="0" w:color="auto"/>
        <w:left w:val="none" w:sz="0" w:space="0" w:color="auto"/>
        <w:bottom w:val="none" w:sz="0" w:space="0" w:color="auto"/>
        <w:right w:val="none" w:sz="0" w:space="0" w:color="auto"/>
      </w:divBdr>
    </w:div>
    <w:div w:id="1948000202">
      <w:bodyDiv w:val="1"/>
      <w:marLeft w:val="0"/>
      <w:marRight w:val="0"/>
      <w:marTop w:val="0"/>
      <w:marBottom w:val="0"/>
      <w:divBdr>
        <w:top w:val="none" w:sz="0" w:space="0" w:color="auto"/>
        <w:left w:val="none" w:sz="0" w:space="0" w:color="auto"/>
        <w:bottom w:val="none" w:sz="0" w:space="0" w:color="auto"/>
        <w:right w:val="none" w:sz="0" w:space="0" w:color="auto"/>
      </w:divBdr>
    </w:div>
    <w:div w:id="1984968387">
      <w:bodyDiv w:val="1"/>
      <w:marLeft w:val="0"/>
      <w:marRight w:val="0"/>
      <w:marTop w:val="0"/>
      <w:marBottom w:val="0"/>
      <w:divBdr>
        <w:top w:val="none" w:sz="0" w:space="0" w:color="auto"/>
        <w:left w:val="none" w:sz="0" w:space="0" w:color="auto"/>
        <w:bottom w:val="none" w:sz="0" w:space="0" w:color="auto"/>
        <w:right w:val="none" w:sz="0" w:space="0" w:color="auto"/>
      </w:divBdr>
    </w:div>
    <w:div w:id="2017149590">
      <w:bodyDiv w:val="1"/>
      <w:marLeft w:val="0"/>
      <w:marRight w:val="0"/>
      <w:marTop w:val="0"/>
      <w:marBottom w:val="0"/>
      <w:divBdr>
        <w:top w:val="none" w:sz="0" w:space="0" w:color="auto"/>
        <w:left w:val="none" w:sz="0" w:space="0" w:color="auto"/>
        <w:bottom w:val="none" w:sz="0" w:space="0" w:color="auto"/>
        <w:right w:val="none" w:sz="0" w:space="0" w:color="auto"/>
      </w:divBdr>
    </w:div>
    <w:div w:id="20259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healthpro/explanatory-notes/general-statement-hep-c" TargetMode="External"/><Relationship Id="rId18" Type="http://schemas.openxmlformats.org/officeDocument/2006/relationships/hyperlink" Target="http://www.pbs.gov.au/info/healthpro/explanatory-notes/general-statement-hep-c" TargetMode="External"/><Relationship Id="rId26" Type="http://schemas.openxmlformats.org/officeDocument/2006/relationships/hyperlink" Target="http://www.pbs.gov.au/info/healthpro/explanatory-notes/general-statement-hep-c"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bs.gov.au/info/healthpro/explanatory-notes/general-statement-hep-c" TargetMode="External"/><Relationship Id="rId34" Type="http://schemas.openxmlformats.org/officeDocument/2006/relationships/hyperlink" Target="http://www.pbs.gov.au/info/healthpro/explanatory-notes/general-statement-hep-c" TargetMode="External"/><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bs.gov.au/info/healthpro/explanatory-notes/general-statement-hep-c" TargetMode="External"/><Relationship Id="rId17" Type="http://schemas.openxmlformats.org/officeDocument/2006/relationships/hyperlink" Target="http://www.pbs.gov.au/info/healthpro/explanatory-notes/general-statement-hep-c" TargetMode="External"/><Relationship Id="rId25" Type="http://schemas.openxmlformats.org/officeDocument/2006/relationships/hyperlink" Target="http://www.pbs.gov.au/info/healthpro/explanatory-notes/general-statement-hep-c" TargetMode="External"/><Relationship Id="rId33" Type="http://schemas.openxmlformats.org/officeDocument/2006/relationships/hyperlink" Target="http://www.pbs.gov.au/info/healthpro/explanatory-notes/general-statement-hep-c" TargetMode="External"/><Relationship Id="rId38" Type="http://schemas.openxmlformats.org/officeDocument/2006/relationships/header" Target="header2.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pbs.gov.au/info/healthpro/explanatory-notes/general-statement-hep-c" TargetMode="External"/><Relationship Id="rId20" Type="http://schemas.openxmlformats.org/officeDocument/2006/relationships/hyperlink" Target="http://www.pbs.gov.au/info/healthpro/explanatory-notes/general-statement-hep-c" TargetMode="External"/><Relationship Id="rId29" Type="http://schemas.openxmlformats.org/officeDocument/2006/relationships/hyperlink" Target="http://www.pbs.gov.au/info/healthpro/explanatory-notes/general-statement-hep-c"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healthpro/explanatory-notes/general-statement-hep-c" TargetMode="External"/><Relationship Id="rId24" Type="http://schemas.openxmlformats.org/officeDocument/2006/relationships/hyperlink" Target="http://www.pbs.gov.au/info/healthpro/explanatory-notes/general-statement-hep-c" TargetMode="External"/><Relationship Id="rId32" Type="http://schemas.openxmlformats.org/officeDocument/2006/relationships/hyperlink" Target="http://www.pbs.gov.au/info/healthpro/explanatory-notes/general-statement-hep-c" TargetMode="External"/><Relationship Id="rId37" Type="http://schemas.openxmlformats.org/officeDocument/2006/relationships/header" Target="header1.xml"/><Relationship Id="rId40" Type="http://schemas.openxmlformats.org/officeDocument/2006/relationships/footer" Target="footer2.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pbs.gov.au/info/healthpro/explanatory-notes/general-statement-hep-c" TargetMode="External"/><Relationship Id="rId23" Type="http://schemas.openxmlformats.org/officeDocument/2006/relationships/hyperlink" Target="http://www.pbs.gov.au/info/healthpro/explanatory-notes/general-statement-hep-c" TargetMode="External"/><Relationship Id="rId28" Type="http://schemas.openxmlformats.org/officeDocument/2006/relationships/hyperlink" Target="http://www.pbs.gov.au/info/healthpro/explanatory-notes/general-statement-hep-c" TargetMode="External"/><Relationship Id="rId36" Type="http://schemas.openxmlformats.org/officeDocument/2006/relationships/hyperlink" Target="http://www.pbs.gov.au/info/healthpro/explanatory-notes/general-statement-hep-c" TargetMode="External"/><Relationship Id="rId10" Type="http://schemas.openxmlformats.org/officeDocument/2006/relationships/hyperlink" Target="http://www.pbs.gov.au/info/healthpro/explanatory-notes/general-statement-hep-c" TargetMode="External"/><Relationship Id="rId19" Type="http://schemas.openxmlformats.org/officeDocument/2006/relationships/hyperlink" Target="http://www.pbs.gov.au/info/healthpro/explanatory-notes/general-statement-hep-c" TargetMode="External"/><Relationship Id="rId31" Type="http://schemas.openxmlformats.org/officeDocument/2006/relationships/hyperlink" Target="http://www.pbs.gov.au/info/healthpro/explanatory-notes/general-statement-hep-c"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bs.gov.au/info/healthpro/explanatory-notes/general-statement-hep-c" TargetMode="External"/><Relationship Id="rId14" Type="http://schemas.openxmlformats.org/officeDocument/2006/relationships/hyperlink" Target="http://www.pbs.gov.au/info/healthpro/explanatory-notes/general-statement-hep-c" TargetMode="External"/><Relationship Id="rId22" Type="http://schemas.openxmlformats.org/officeDocument/2006/relationships/hyperlink" Target="http://www.pbs.gov.au/info/healthpro/explanatory-notes/general-statement-hep-c" TargetMode="External"/><Relationship Id="rId27" Type="http://schemas.openxmlformats.org/officeDocument/2006/relationships/hyperlink" Target="http://www.pbs.gov.au/info/healthpro/explanatory-notes/general-statement-hep-c" TargetMode="External"/><Relationship Id="rId30" Type="http://schemas.openxmlformats.org/officeDocument/2006/relationships/hyperlink" Target="http://www.pbs.gov.au/info/healthpro/explanatory-notes/general-statement-hep-c" TargetMode="External"/><Relationship Id="rId35" Type="http://schemas.openxmlformats.org/officeDocument/2006/relationships/hyperlink" Target="http://www.pbs.gov.au/info/healthpro/explanatory-notes/general-statement-hep-c"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F7FC7-A803-427D-AA99-1517B9D3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8225</Words>
  <Characters>52108</Characters>
  <Application>Microsoft Office Word</Application>
  <DocSecurity>0</DocSecurity>
  <Lines>434</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2018-09-03T01:43:00Z</dcterms:created>
  <dcterms:modified xsi:type="dcterms:W3CDTF">2018-10-18T02:33:00Z</dcterms:modified>
</cp:coreProperties>
</file>