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27" w:rsidRPr="00027784" w:rsidRDefault="00875527" w:rsidP="00875527">
      <w:pPr>
        <w:pStyle w:val="Title"/>
        <w:spacing w:before="120" w:after="160"/>
        <w:ind w:left="720" w:hanging="720"/>
        <w:rPr>
          <w:rFonts w:asciiTheme="minorHAnsi" w:hAnsiTheme="minorHAnsi"/>
          <w:sz w:val="36"/>
          <w:szCs w:val="36"/>
        </w:rPr>
      </w:pPr>
      <w:bookmarkStart w:id="0" w:name="_GoBack"/>
      <w:bookmarkEnd w:id="0"/>
      <w:r w:rsidRPr="00027784">
        <w:rPr>
          <w:rFonts w:asciiTheme="minorHAnsi" w:hAnsiTheme="minorHAnsi"/>
          <w:sz w:val="36"/>
          <w:szCs w:val="36"/>
        </w:rPr>
        <w:t>7.20</w:t>
      </w:r>
      <w:r w:rsidR="006D6493" w:rsidRPr="00027784">
        <w:rPr>
          <w:rFonts w:asciiTheme="minorHAnsi" w:hAnsiTheme="minorHAnsi"/>
          <w:sz w:val="36"/>
          <w:szCs w:val="36"/>
        </w:rPr>
        <w:tab/>
      </w:r>
      <w:r w:rsidRPr="00027784">
        <w:rPr>
          <w:rFonts w:asciiTheme="minorHAnsi" w:hAnsiTheme="minorHAnsi"/>
          <w:sz w:val="36"/>
          <w:szCs w:val="36"/>
        </w:rPr>
        <w:t>SODIUM PHENYLBUTYRATE</w:t>
      </w:r>
      <w:r w:rsidR="006D6493" w:rsidRPr="00027784">
        <w:rPr>
          <w:rFonts w:asciiTheme="minorHAnsi" w:hAnsiTheme="minorHAnsi"/>
          <w:sz w:val="36"/>
          <w:szCs w:val="36"/>
        </w:rPr>
        <w:t xml:space="preserve"> </w:t>
      </w:r>
      <w:r w:rsidR="006D6493" w:rsidRPr="00027784">
        <w:rPr>
          <w:rFonts w:asciiTheme="minorHAnsi" w:hAnsiTheme="minorHAnsi"/>
          <w:sz w:val="36"/>
          <w:szCs w:val="36"/>
        </w:rPr>
        <w:br/>
      </w:r>
      <w:r w:rsidRPr="00027784">
        <w:rPr>
          <w:rFonts w:asciiTheme="minorHAnsi" w:hAnsiTheme="minorHAnsi"/>
          <w:sz w:val="36"/>
          <w:szCs w:val="36"/>
        </w:rPr>
        <w:t>Sugar-coated spheres, 483 mg sodium phenylbutyrate per gram,</w:t>
      </w:r>
    </w:p>
    <w:p w:rsidR="006D6493" w:rsidRPr="00027784" w:rsidRDefault="00875527" w:rsidP="00875527">
      <w:pPr>
        <w:pStyle w:val="Title"/>
        <w:spacing w:before="120" w:after="160"/>
        <w:ind w:left="720" w:hanging="11"/>
        <w:rPr>
          <w:rFonts w:asciiTheme="minorHAnsi" w:hAnsiTheme="minorHAnsi"/>
          <w:sz w:val="36"/>
          <w:szCs w:val="36"/>
        </w:rPr>
      </w:pPr>
      <w:r w:rsidRPr="00027784">
        <w:rPr>
          <w:rFonts w:asciiTheme="minorHAnsi" w:hAnsiTheme="minorHAnsi"/>
          <w:sz w:val="36"/>
          <w:szCs w:val="36"/>
        </w:rPr>
        <w:t>Pheburane®, Orpharma Pty Ltd</w:t>
      </w:r>
    </w:p>
    <w:p w:rsidR="008A50F1" w:rsidRPr="00027784" w:rsidRDefault="00CE10C4" w:rsidP="00EB0B63">
      <w:pPr>
        <w:pStyle w:val="PBACHeading1"/>
        <w:spacing w:before="240" w:after="120"/>
        <w:ind w:left="709" w:hanging="709"/>
        <w:rPr>
          <w:rFonts w:asciiTheme="minorHAnsi" w:hAnsiTheme="minorHAnsi"/>
          <w:sz w:val="32"/>
          <w:szCs w:val="32"/>
        </w:rPr>
      </w:pPr>
      <w:r w:rsidRPr="00027784">
        <w:rPr>
          <w:rFonts w:asciiTheme="minorHAnsi" w:hAnsiTheme="minorHAnsi"/>
          <w:sz w:val="32"/>
          <w:szCs w:val="32"/>
        </w:rPr>
        <w:t xml:space="preserve">Purpose of </w:t>
      </w:r>
      <w:r w:rsidR="0004240E" w:rsidRPr="00027784">
        <w:rPr>
          <w:rFonts w:asciiTheme="minorHAnsi" w:hAnsiTheme="minorHAnsi"/>
          <w:sz w:val="32"/>
          <w:szCs w:val="32"/>
        </w:rPr>
        <w:t>Application</w:t>
      </w:r>
    </w:p>
    <w:p w:rsidR="00D71318" w:rsidRPr="00027784" w:rsidRDefault="00EF44A0"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The mi</w:t>
      </w:r>
      <w:r w:rsidR="00FF2801" w:rsidRPr="00027784">
        <w:rPr>
          <w:rFonts w:asciiTheme="minorHAnsi" w:eastAsiaTheme="minorHAnsi" w:hAnsiTheme="minorHAnsi" w:cstheme="minorBidi"/>
          <w:snapToGrid/>
          <w:sz w:val="24"/>
          <w:szCs w:val="22"/>
        </w:rPr>
        <w:t>nor</w:t>
      </w:r>
      <w:r w:rsidR="00875527" w:rsidRPr="00027784">
        <w:rPr>
          <w:rFonts w:asciiTheme="minorHAnsi" w:eastAsiaTheme="minorHAnsi" w:hAnsiTheme="minorHAnsi" w:cstheme="minorBidi"/>
          <w:snapToGrid/>
          <w:sz w:val="24"/>
          <w:szCs w:val="22"/>
        </w:rPr>
        <w:t xml:space="preserve"> re-</w:t>
      </w:r>
      <w:r w:rsidR="00FF2801" w:rsidRPr="00027784">
        <w:rPr>
          <w:rFonts w:asciiTheme="minorHAnsi" w:eastAsiaTheme="minorHAnsi" w:hAnsiTheme="minorHAnsi" w:cstheme="minorBidi"/>
          <w:snapToGrid/>
          <w:sz w:val="24"/>
          <w:szCs w:val="22"/>
        </w:rPr>
        <w:t xml:space="preserve">submission </w:t>
      </w:r>
      <w:r w:rsidR="00365ABB" w:rsidRPr="00027784">
        <w:rPr>
          <w:rFonts w:asciiTheme="minorHAnsi" w:eastAsiaTheme="minorHAnsi" w:hAnsiTheme="minorHAnsi" w:cstheme="minorBidi"/>
          <w:snapToGrid/>
          <w:sz w:val="24"/>
          <w:szCs w:val="22"/>
        </w:rPr>
        <w:t xml:space="preserve">requested an Authority Required listing for a sugar-coated granule formulation of sodium phenylbutyrate (NaPb) for the treatment of patients with urea cycle disorders (UCD). </w:t>
      </w:r>
    </w:p>
    <w:p w:rsidR="00D71318" w:rsidRPr="00027784" w:rsidRDefault="000919D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This was the second submission </w:t>
      </w:r>
      <w:r w:rsidR="00960D31" w:rsidRPr="00027784">
        <w:rPr>
          <w:rFonts w:asciiTheme="minorHAnsi" w:eastAsiaTheme="minorHAnsi" w:hAnsiTheme="minorHAnsi" w:cstheme="minorBidi"/>
          <w:snapToGrid/>
          <w:sz w:val="24"/>
          <w:szCs w:val="22"/>
        </w:rPr>
        <w:t>for the sugar-coated granule formulation (‘coated NaPb’)</w:t>
      </w:r>
      <w:r w:rsidRPr="00027784">
        <w:rPr>
          <w:rFonts w:asciiTheme="minorHAnsi" w:eastAsiaTheme="minorHAnsi" w:hAnsiTheme="minorHAnsi" w:cstheme="minorBidi"/>
          <w:snapToGrid/>
          <w:sz w:val="24"/>
          <w:szCs w:val="22"/>
        </w:rPr>
        <w:t>. The first submission was considered by the PBAC in November 2017.</w:t>
      </w:r>
      <w:r w:rsidR="00D71318" w:rsidRPr="00027784">
        <w:rPr>
          <w:rFonts w:asciiTheme="minorHAnsi" w:eastAsiaTheme="minorHAnsi" w:hAnsiTheme="minorHAnsi" w:cstheme="minorBidi"/>
          <w:snapToGrid/>
          <w:sz w:val="24"/>
          <w:szCs w:val="22"/>
        </w:rPr>
        <w:t xml:space="preserve"> </w:t>
      </w:r>
    </w:p>
    <w:p w:rsidR="00D71318" w:rsidRPr="00027784" w:rsidRDefault="00D71318"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w:t>
      </w:r>
      <w:r w:rsidR="00954EF7" w:rsidRPr="00027784">
        <w:rPr>
          <w:rFonts w:asciiTheme="minorHAnsi" w:eastAsiaTheme="minorHAnsi" w:hAnsiTheme="minorHAnsi" w:cstheme="minorBidi"/>
          <w:snapToGrid/>
          <w:sz w:val="24"/>
          <w:szCs w:val="22"/>
        </w:rPr>
        <w:t xml:space="preserve">key changes </w:t>
      </w:r>
      <w:r w:rsidR="00BD6D2C">
        <w:rPr>
          <w:rFonts w:asciiTheme="minorHAnsi" w:eastAsiaTheme="minorHAnsi" w:hAnsiTheme="minorHAnsi" w:cstheme="minorBidi"/>
          <w:snapToGrid/>
          <w:sz w:val="24"/>
          <w:szCs w:val="22"/>
        </w:rPr>
        <w:t xml:space="preserve">since the previous submission </w:t>
      </w:r>
      <w:r w:rsidR="00954EF7" w:rsidRPr="00027784">
        <w:rPr>
          <w:rFonts w:asciiTheme="minorHAnsi" w:eastAsiaTheme="minorHAnsi" w:hAnsiTheme="minorHAnsi" w:cstheme="minorBidi"/>
          <w:snapToGrid/>
          <w:sz w:val="24"/>
          <w:szCs w:val="22"/>
        </w:rPr>
        <w:t>were that the</w:t>
      </w:r>
      <w:r w:rsidRPr="00027784">
        <w:rPr>
          <w:rFonts w:asciiTheme="minorHAnsi" w:eastAsiaTheme="minorHAnsi" w:hAnsiTheme="minorHAnsi" w:cstheme="minorBidi"/>
          <w:snapToGrid/>
          <w:sz w:val="24"/>
          <w:szCs w:val="22"/>
        </w:rPr>
        <w:t xml:space="preserve"> economic analysis</w:t>
      </w:r>
      <w:r w:rsidR="00954EF7" w:rsidRPr="00027784">
        <w:rPr>
          <w:rFonts w:asciiTheme="minorHAnsi" w:eastAsiaTheme="minorHAnsi" w:hAnsiTheme="minorHAnsi" w:cstheme="minorBidi"/>
          <w:snapToGrid/>
          <w:sz w:val="24"/>
          <w:szCs w:val="22"/>
        </w:rPr>
        <w:t xml:space="preserve"> was </w:t>
      </w:r>
      <w:r w:rsidR="003F58DA" w:rsidRPr="00027784">
        <w:rPr>
          <w:rFonts w:asciiTheme="minorHAnsi" w:eastAsiaTheme="minorHAnsi" w:hAnsiTheme="minorHAnsi" w:cstheme="minorBidi"/>
          <w:snapToGrid/>
          <w:sz w:val="24"/>
          <w:szCs w:val="22"/>
        </w:rPr>
        <w:t>revised</w:t>
      </w:r>
      <w:r w:rsidR="00954EF7" w:rsidRPr="00027784">
        <w:rPr>
          <w:rFonts w:asciiTheme="minorHAnsi" w:eastAsiaTheme="minorHAnsi" w:hAnsiTheme="minorHAnsi" w:cstheme="minorBidi"/>
          <w:snapToGrid/>
          <w:sz w:val="24"/>
          <w:szCs w:val="22"/>
        </w:rPr>
        <w:t xml:space="preserve"> to a </w:t>
      </w:r>
      <w:r w:rsidRPr="00027784">
        <w:rPr>
          <w:rFonts w:asciiTheme="minorHAnsi" w:eastAsiaTheme="minorHAnsi" w:hAnsiTheme="minorHAnsi" w:cstheme="minorBidi"/>
          <w:snapToGrid/>
          <w:sz w:val="24"/>
          <w:szCs w:val="22"/>
        </w:rPr>
        <w:t xml:space="preserve">cost-minimisation analysis against </w:t>
      </w:r>
      <w:r w:rsidR="00954EF7" w:rsidRPr="00027784">
        <w:rPr>
          <w:rFonts w:asciiTheme="minorHAnsi" w:eastAsiaTheme="minorHAnsi" w:hAnsiTheme="minorHAnsi" w:cstheme="minorBidi"/>
          <w:snapToGrid/>
          <w:sz w:val="24"/>
          <w:szCs w:val="22"/>
        </w:rPr>
        <w:t>NaPb oral suspension or capsules (compounded from the uncoated powder</w:t>
      </w:r>
      <w:r w:rsidR="002E3127" w:rsidRPr="00027784">
        <w:rPr>
          <w:rFonts w:asciiTheme="minorHAnsi" w:eastAsiaTheme="minorHAnsi" w:hAnsiTheme="minorHAnsi" w:cstheme="minorBidi"/>
          <w:snapToGrid/>
          <w:sz w:val="24"/>
          <w:szCs w:val="22"/>
        </w:rPr>
        <w:t xml:space="preserve"> by a pharmacy</w:t>
      </w:r>
      <w:r w:rsidR="00954EF7" w:rsidRPr="00027784">
        <w:rPr>
          <w:rFonts w:asciiTheme="minorHAnsi" w:eastAsiaTheme="minorHAnsi" w:hAnsiTheme="minorHAnsi" w:cstheme="minorBidi"/>
          <w:snapToGrid/>
          <w:sz w:val="24"/>
          <w:szCs w:val="22"/>
        </w:rPr>
        <w:t>) and the financial estimates were updated.</w:t>
      </w:r>
    </w:p>
    <w:p w:rsidR="006A12A5" w:rsidRPr="00027784" w:rsidRDefault="006A12A5" w:rsidP="00EB0B63">
      <w:pPr>
        <w:pStyle w:val="PBACHeading1"/>
        <w:spacing w:before="240" w:after="120"/>
        <w:ind w:left="709" w:hanging="709"/>
        <w:rPr>
          <w:rFonts w:asciiTheme="minorHAnsi" w:hAnsiTheme="minorHAnsi"/>
          <w:sz w:val="32"/>
          <w:szCs w:val="32"/>
        </w:rPr>
      </w:pPr>
      <w:r w:rsidRPr="00027784">
        <w:rPr>
          <w:rFonts w:asciiTheme="minorHAnsi" w:hAnsiTheme="minorHAnsi"/>
          <w:sz w:val="32"/>
          <w:szCs w:val="32"/>
        </w:rPr>
        <w:t>Requested listing</w:t>
      </w:r>
    </w:p>
    <w:p w:rsidR="00651A2E" w:rsidRPr="00027784" w:rsidRDefault="00EF44A0"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w:t>
      </w:r>
      <w:r w:rsidR="00365ABB" w:rsidRPr="00027784">
        <w:rPr>
          <w:rFonts w:asciiTheme="minorHAnsi" w:eastAsiaTheme="minorHAnsi" w:hAnsiTheme="minorHAnsi" w:cstheme="minorBidi"/>
          <w:snapToGrid/>
          <w:sz w:val="24"/>
          <w:szCs w:val="22"/>
        </w:rPr>
        <w:t xml:space="preserve">requested listing was unchanged from the previous submission. </w:t>
      </w:r>
    </w:p>
    <w:p w:rsidR="0067747D" w:rsidRDefault="0067747D" w:rsidP="00F0583B">
      <w:pPr>
        <w:pStyle w:val="ListParagraph"/>
        <w:widowControl/>
        <w:numPr>
          <w:ilvl w:val="1"/>
          <w:numId w:val="5"/>
        </w:numPr>
        <w:spacing w:after="24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5000" w:type="pct"/>
        <w:tblLook w:val="0000" w:firstRow="0" w:lastRow="0" w:firstColumn="0" w:lastColumn="0" w:noHBand="0" w:noVBand="0"/>
      </w:tblPr>
      <w:tblGrid>
        <w:gridCol w:w="2380"/>
        <w:gridCol w:w="420"/>
        <w:gridCol w:w="982"/>
        <w:gridCol w:w="839"/>
        <w:gridCol w:w="1680"/>
        <w:gridCol w:w="1540"/>
        <w:gridCol w:w="1261"/>
        <w:gridCol w:w="140"/>
      </w:tblGrid>
      <w:tr w:rsidR="00875527" w:rsidRPr="00027784" w:rsidTr="006757CA">
        <w:trPr>
          <w:gridAfter w:val="1"/>
          <w:wAfter w:w="76" w:type="pct"/>
          <w:cantSplit/>
          <w:trHeight w:val="471"/>
        </w:trPr>
        <w:tc>
          <w:tcPr>
            <w:tcW w:w="1515" w:type="pct"/>
            <w:gridSpan w:val="2"/>
            <w:tcBorders>
              <w:bottom w:val="single" w:sz="4" w:space="0" w:color="auto"/>
            </w:tcBorders>
          </w:tcPr>
          <w:p w:rsidR="00875527" w:rsidRPr="00027784" w:rsidRDefault="00875527" w:rsidP="00F0583B">
            <w:pPr>
              <w:ind w:left="-108"/>
              <w:jc w:val="both"/>
              <w:rPr>
                <w:rFonts w:ascii="Arial Narrow" w:hAnsi="Arial Narrow" w:cs="Arial"/>
                <w:sz w:val="20"/>
                <w:szCs w:val="20"/>
              </w:rPr>
            </w:pPr>
            <w:r w:rsidRPr="00027784">
              <w:rPr>
                <w:rFonts w:ascii="Arial Narrow" w:hAnsi="Arial Narrow" w:cs="Arial"/>
                <w:sz w:val="20"/>
                <w:szCs w:val="20"/>
              </w:rPr>
              <w:t>Name, Restriction,</w:t>
            </w:r>
          </w:p>
          <w:p w:rsidR="00875527" w:rsidRPr="00027784" w:rsidRDefault="00875527" w:rsidP="00F0583B">
            <w:pPr>
              <w:ind w:left="-108"/>
              <w:jc w:val="both"/>
              <w:rPr>
                <w:rFonts w:ascii="Arial Narrow" w:hAnsi="Arial Narrow" w:cs="Arial"/>
                <w:sz w:val="20"/>
                <w:szCs w:val="20"/>
              </w:rPr>
            </w:pPr>
            <w:r w:rsidRPr="00027784">
              <w:rPr>
                <w:rFonts w:ascii="Arial Narrow" w:hAnsi="Arial Narrow" w:cs="Arial"/>
                <w:sz w:val="20"/>
                <w:szCs w:val="20"/>
              </w:rPr>
              <w:t>Manner of administration and form</w:t>
            </w:r>
          </w:p>
        </w:tc>
        <w:tc>
          <w:tcPr>
            <w:tcW w:w="531" w:type="pct"/>
            <w:tcBorders>
              <w:bottom w:val="single" w:sz="4" w:space="0" w:color="auto"/>
            </w:tcBorders>
          </w:tcPr>
          <w:p w:rsidR="00875527" w:rsidRPr="00027784" w:rsidRDefault="00875527" w:rsidP="00F0583B">
            <w:pPr>
              <w:ind w:left="-108"/>
              <w:rPr>
                <w:rFonts w:ascii="Arial Narrow" w:hAnsi="Arial Narrow" w:cs="Arial"/>
                <w:sz w:val="20"/>
                <w:szCs w:val="20"/>
              </w:rPr>
            </w:pPr>
            <w:r w:rsidRPr="00027784">
              <w:rPr>
                <w:rFonts w:ascii="Arial Narrow" w:hAnsi="Arial Narrow" w:cs="Arial"/>
                <w:sz w:val="20"/>
                <w:szCs w:val="20"/>
              </w:rPr>
              <w:t>Max.</w:t>
            </w:r>
            <w:r w:rsidR="006E4D5A" w:rsidRPr="00027784">
              <w:rPr>
                <w:rFonts w:ascii="Arial Narrow" w:hAnsi="Arial Narrow" w:cs="Arial"/>
                <w:sz w:val="20"/>
                <w:szCs w:val="20"/>
              </w:rPr>
              <w:t xml:space="preserve"> </w:t>
            </w:r>
            <w:r w:rsidRPr="00027784">
              <w:rPr>
                <w:rFonts w:ascii="Arial Narrow" w:hAnsi="Arial Narrow" w:cs="Arial"/>
                <w:sz w:val="20"/>
                <w:szCs w:val="20"/>
              </w:rPr>
              <w:t>Qty (pack)</w:t>
            </w:r>
          </w:p>
        </w:tc>
        <w:tc>
          <w:tcPr>
            <w:tcW w:w="454" w:type="pct"/>
            <w:tcBorders>
              <w:bottom w:val="single" w:sz="4" w:space="0" w:color="auto"/>
            </w:tcBorders>
          </w:tcPr>
          <w:p w:rsidR="006E4D5A" w:rsidRPr="00027784" w:rsidRDefault="00875527" w:rsidP="00F0583B">
            <w:pPr>
              <w:ind w:left="-108"/>
              <w:rPr>
                <w:rFonts w:ascii="Arial Narrow" w:hAnsi="Arial Narrow" w:cs="Arial"/>
                <w:sz w:val="20"/>
                <w:szCs w:val="20"/>
              </w:rPr>
            </w:pPr>
            <w:r w:rsidRPr="00027784">
              <w:rPr>
                <w:rFonts w:ascii="Arial Narrow" w:hAnsi="Arial Narrow" w:cs="Arial"/>
                <w:sz w:val="20"/>
                <w:szCs w:val="20"/>
              </w:rPr>
              <w:t>№.of</w:t>
            </w:r>
            <w:r w:rsidR="006E4D5A" w:rsidRPr="00027784">
              <w:rPr>
                <w:rFonts w:ascii="Arial Narrow" w:hAnsi="Arial Narrow" w:cs="Arial"/>
                <w:sz w:val="20"/>
                <w:szCs w:val="20"/>
              </w:rPr>
              <w:t xml:space="preserve"> </w:t>
            </w:r>
          </w:p>
          <w:p w:rsidR="00875527" w:rsidRPr="00027784" w:rsidRDefault="00875527" w:rsidP="00F0583B">
            <w:pPr>
              <w:ind w:left="-108"/>
              <w:rPr>
                <w:rFonts w:ascii="Arial Narrow" w:hAnsi="Arial Narrow" w:cs="Arial"/>
                <w:sz w:val="20"/>
                <w:szCs w:val="20"/>
              </w:rPr>
            </w:pPr>
            <w:r w:rsidRPr="00027784">
              <w:rPr>
                <w:rFonts w:ascii="Arial Narrow" w:hAnsi="Arial Narrow" w:cs="Arial"/>
                <w:sz w:val="20"/>
                <w:szCs w:val="20"/>
              </w:rPr>
              <w:t>Rpts</w:t>
            </w:r>
          </w:p>
        </w:tc>
        <w:tc>
          <w:tcPr>
            <w:tcW w:w="909" w:type="pct"/>
            <w:tcBorders>
              <w:bottom w:val="single" w:sz="4" w:space="0" w:color="auto"/>
            </w:tcBorders>
          </w:tcPr>
          <w:p w:rsidR="00875527" w:rsidRPr="00027784" w:rsidRDefault="006E4D5A" w:rsidP="00F0583B">
            <w:pPr>
              <w:ind w:left="-108"/>
              <w:rPr>
                <w:rFonts w:ascii="Arial Narrow" w:hAnsi="Arial Narrow" w:cs="Arial"/>
                <w:sz w:val="20"/>
                <w:szCs w:val="20"/>
              </w:rPr>
            </w:pPr>
            <w:r w:rsidRPr="00027784">
              <w:rPr>
                <w:rFonts w:ascii="Arial Narrow" w:hAnsi="Arial Narrow" w:cs="Arial"/>
                <w:sz w:val="20"/>
                <w:szCs w:val="20"/>
              </w:rPr>
              <w:t>Dispensed Price for Max. Qty</w:t>
            </w:r>
          </w:p>
        </w:tc>
        <w:tc>
          <w:tcPr>
            <w:tcW w:w="1515" w:type="pct"/>
            <w:gridSpan w:val="2"/>
            <w:tcBorders>
              <w:bottom w:val="single" w:sz="4" w:space="0" w:color="auto"/>
            </w:tcBorders>
          </w:tcPr>
          <w:p w:rsidR="00875527" w:rsidRPr="00027784" w:rsidRDefault="00875527" w:rsidP="00F0583B">
            <w:pPr>
              <w:jc w:val="both"/>
              <w:rPr>
                <w:rFonts w:ascii="Arial Narrow" w:hAnsi="Arial Narrow" w:cs="Arial"/>
                <w:sz w:val="20"/>
                <w:szCs w:val="20"/>
                <w:lang w:val="fr-FR"/>
              </w:rPr>
            </w:pPr>
            <w:r w:rsidRPr="00027784">
              <w:rPr>
                <w:rFonts w:ascii="Arial Narrow" w:hAnsi="Arial Narrow" w:cs="Arial"/>
                <w:sz w:val="20"/>
                <w:szCs w:val="20"/>
              </w:rPr>
              <w:t>Proprietary Name and Manufacturer</w:t>
            </w:r>
          </w:p>
        </w:tc>
      </w:tr>
      <w:tr w:rsidR="00875527" w:rsidRPr="00027784" w:rsidTr="006757CA">
        <w:trPr>
          <w:gridAfter w:val="1"/>
          <w:wAfter w:w="76" w:type="pct"/>
          <w:cantSplit/>
          <w:trHeight w:val="440"/>
        </w:trPr>
        <w:tc>
          <w:tcPr>
            <w:tcW w:w="1515" w:type="pct"/>
            <w:gridSpan w:val="2"/>
          </w:tcPr>
          <w:p w:rsidR="00875527" w:rsidRPr="00027784" w:rsidRDefault="00875527" w:rsidP="00F0583B">
            <w:pPr>
              <w:pStyle w:val="KMC16-Tablecontent"/>
              <w:spacing w:before="0" w:after="0" w:line="252" w:lineRule="auto"/>
              <w:ind w:hanging="108"/>
            </w:pPr>
            <w:r w:rsidRPr="00027784">
              <w:t>SODIUM PHENYLBUTYRATE</w:t>
            </w:r>
          </w:p>
          <w:p w:rsidR="00875527" w:rsidRPr="00027784" w:rsidRDefault="00875527" w:rsidP="00F0583B">
            <w:pPr>
              <w:ind w:left="-108"/>
              <w:jc w:val="both"/>
              <w:rPr>
                <w:rFonts w:ascii="Arial Narrow" w:hAnsi="Arial Narrow" w:cs="Arial"/>
                <w:sz w:val="20"/>
                <w:szCs w:val="20"/>
              </w:rPr>
            </w:pPr>
            <w:r w:rsidRPr="00027784">
              <w:rPr>
                <w:rFonts w:ascii="Arial Narrow" w:hAnsi="Arial Narrow" w:cs="Arial"/>
                <w:sz w:val="20"/>
                <w:szCs w:val="20"/>
              </w:rPr>
              <w:t xml:space="preserve">483 mg/g granules, 174g, </w:t>
            </w:r>
            <w:r w:rsidRPr="00027784">
              <w:rPr>
                <w:rFonts w:ascii="Arial Narrow" w:hAnsi="Arial Narrow" w:cs="Arial"/>
                <w:strike/>
                <w:sz w:val="20"/>
                <w:szCs w:val="20"/>
              </w:rPr>
              <w:t xml:space="preserve">1 </w:t>
            </w:r>
            <w:r w:rsidRPr="00027784">
              <w:rPr>
                <w:rFonts w:ascii="Arial Narrow" w:hAnsi="Arial Narrow" w:cs="Arial"/>
                <w:sz w:val="20"/>
                <w:szCs w:val="20"/>
              </w:rPr>
              <w:t>2</w:t>
            </w:r>
          </w:p>
        </w:tc>
        <w:tc>
          <w:tcPr>
            <w:tcW w:w="531" w:type="pct"/>
          </w:tcPr>
          <w:p w:rsidR="00875527" w:rsidRPr="00027784" w:rsidRDefault="00875527" w:rsidP="00F0583B">
            <w:pPr>
              <w:ind w:left="-108"/>
              <w:jc w:val="both"/>
              <w:rPr>
                <w:rFonts w:ascii="Arial Narrow" w:hAnsi="Arial Narrow" w:cs="Arial"/>
                <w:sz w:val="20"/>
                <w:szCs w:val="20"/>
              </w:rPr>
            </w:pPr>
          </w:p>
          <w:p w:rsidR="00875527" w:rsidRPr="00027784" w:rsidRDefault="00875527" w:rsidP="00F0583B">
            <w:pPr>
              <w:ind w:left="-108"/>
              <w:jc w:val="both"/>
              <w:rPr>
                <w:rFonts w:ascii="Arial Narrow" w:hAnsi="Arial Narrow" w:cs="Arial"/>
                <w:sz w:val="20"/>
                <w:szCs w:val="20"/>
              </w:rPr>
            </w:pPr>
            <w:r w:rsidRPr="00027784">
              <w:rPr>
                <w:rFonts w:ascii="Arial Narrow" w:hAnsi="Arial Narrow" w:cs="Arial"/>
                <w:strike/>
                <w:sz w:val="20"/>
                <w:szCs w:val="20"/>
              </w:rPr>
              <w:t>2</w:t>
            </w:r>
            <w:r w:rsidRPr="00027784">
              <w:rPr>
                <w:rFonts w:ascii="Arial Narrow" w:hAnsi="Arial Narrow" w:cs="Arial"/>
                <w:sz w:val="20"/>
                <w:szCs w:val="20"/>
              </w:rPr>
              <w:t>1</w:t>
            </w:r>
          </w:p>
        </w:tc>
        <w:tc>
          <w:tcPr>
            <w:tcW w:w="454" w:type="pct"/>
          </w:tcPr>
          <w:p w:rsidR="00875527" w:rsidRPr="00027784" w:rsidRDefault="00875527" w:rsidP="00F0583B">
            <w:pPr>
              <w:ind w:left="-108"/>
              <w:jc w:val="both"/>
              <w:rPr>
                <w:rFonts w:ascii="Arial Narrow" w:hAnsi="Arial Narrow" w:cs="Arial"/>
                <w:sz w:val="20"/>
                <w:szCs w:val="20"/>
              </w:rPr>
            </w:pPr>
          </w:p>
          <w:p w:rsidR="00875527" w:rsidRPr="00027784" w:rsidRDefault="00875527" w:rsidP="00F0583B">
            <w:pPr>
              <w:ind w:left="-108"/>
              <w:jc w:val="both"/>
              <w:rPr>
                <w:rFonts w:ascii="Arial Narrow" w:hAnsi="Arial Narrow" w:cs="Arial"/>
                <w:sz w:val="20"/>
                <w:szCs w:val="20"/>
              </w:rPr>
            </w:pPr>
            <w:r w:rsidRPr="00027784">
              <w:rPr>
                <w:rFonts w:ascii="Arial Narrow" w:hAnsi="Arial Narrow" w:cs="Arial"/>
                <w:sz w:val="20"/>
                <w:szCs w:val="20"/>
              </w:rPr>
              <w:t>5</w:t>
            </w:r>
          </w:p>
        </w:tc>
        <w:tc>
          <w:tcPr>
            <w:tcW w:w="909" w:type="pct"/>
          </w:tcPr>
          <w:p w:rsidR="006E4D5A" w:rsidRPr="00027784" w:rsidRDefault="006E4D5A" w:rsidP="00F0583B">
            <w:pPr>
              <w:ind w:left="-108"/>
              <w:jc w:val="both"/>
              <w:rPr>
                <w:rFonts w:ascii="Arial Narrow" w:hAnsi="Arial Narrow" w:cs="Arial"/>
                <w:sz w:val="20"/>
                <w:szCs w:val="20"/>
              </w:rPr>
            </w:pPr>
          </w:p>
          <w:p w:rsidR="00875527" w:rsidRPr="00027784" w:rsidRDefault="006E4D5A" w:rsidP="00F0583B">
            <w:pPr>
              <w:ind w:left="-108"/>
              <w:jc w:val="both"/>
              <w:rPr>
                <w:rFonts w:ascii="Arial Narrow" w:hAnsi="Arial Narrow" w:cs="Arial"/>
                <w:sz w:val="20"/>
                <w:szCs w:val="20"/>
                <w:vertAlign w:val="superscript"/>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r w:rsidR="00954EF7" w:rsidRPr="00027784">
              <w:rPr>
                <w:rFonts w:ascii="Arial Narrow" w:hAnsi="Arial Narrow" w:cs="Arial"/>
                <w:sz w:val="20"/>
                <w:szCs w:val="20"/>
              </w:rPr>
              <w:t xml:space="preserve"> </w:t>
            </w:r>
            <w:r w:rsidR="00954EF7" w:rsidRPr="00027784">
              <w:rPr>
                <w:rFonts w:ascii="Arial Narrow" w:hAnsi="Arial Narrow" w:cs="Arial"/>
                <w:sz w:val="20"/>
                <w:szCs w:val="20"/>
                <w:vertAlign w:val="superscript"/>
              </w:rPr>
              <w:t>a</w:t>
            </w:r>
          </w:p>
        </w:tc>
        <w:tc>
          <w:tcPr>
            <w:tcW w:w="833" w:type="pct"/>
          </w:tcPr>
          <w:p w:rsidR="00875527" w:rsidRPr="00027784" w:rsidRDefault="00875527" w:rsidP="00F0583B">
            <w:pPr>
              <w:jc w:val="both"/>
              <w:rPr>
                <w:rFonts w:ascii="Arial Narrow" w:hAnsi="Arial Narrow" w:cs="Arial"/>
                <w:sz w:val="20"/>
                <w:szCs w:val="20"/>
              </w:rPr>
            </w:pPr>
            <w:r w:rsidRPr="00027784">
              <w:rPr>
                <w:rFonts w:ascii="Arial Narrow" w:hAnsi="Arial Narrow" w:cs="Arial"/>
                <w:sz w:val="20"/>
                <w:szCs w:val="20"/>
              </w:rPr>
              <w:t>Pheburane</w:t>
            </w:r>
          </w:p>
        </w:tc>
        <w:tc>
          <w:tcPr>
            <w:tcW w:w="682" w:type="pct"/>
          </w:tcPr>
          <w:p w:rsidR="00875527" w:rsidRPr="00027784" w:rsidRDefault="00875527" w:rsidP="00F0583B">
            <w:pPr>
              <w:jc w:val="both"/>
              <w:rPr>
                <w:rFonts w:ascii="Arial Narrow" w:hAnsi="Arial Narrow" w:cs="Arial"/>
                <w:sz w:val="20"/>
                <w:szCs w:val="20"/>
              </w:rPr>
            </w:pPr>
            <w:r w:rsidRPr="00027784">
              <w:rPr>
                <w:rFonts w:ascii="Arial Narrow" w:hAnsi="Arial Narrow" w:cs="Arial"/>
                <w:sz w:val="20"/>
                <w:szCs w:val="20"/>
              </w:rPr>
              <w:t>Orpharma</w:t>
            </w:r>
          </w:p>
        </w:tc>
      </w:tr>
      <w:tr w:rsidR="00875527" w:rsidRPr="00027784" w:rsidTr="006757CA">
        <w:trPr>
          <w:cantSplit/>
          <w:trHeight w:val="20"/>
        </w:trPr>
        <w:tc>
          <w:tcPr>
            <w:tcW w:w="5000" w:type="pct"/>
            <w:gridSpan w:val="8"/>
            <w:tcBorders>
              <w:bottom w:val="single" w:sz="4" w:space="0" w:color="auto"/>
            </w:tcBorders>
          </w:tcPr>
          <w:p w:rsidR="00875527" w:rsidRPr="00027784" w:rsidRDefault="00875527" w:rsidP="000919DA">
            <w:pPr>
              <w:keepNext/>
              <w:jc w:val="both"/>
              <w:rPr>
                <w:rFonts w:ascii="Arial Narrow" w:hAnsi="Arial Narrow" w:cs="Arial"/>
                <w:sz w:val="20"/>
                <w:szCs w:val="20"/>
              </w:rPr>
            </w:pPr>
          </w:p>
        </w:tc>
      </w:tr>
      <w:tr w:rsidR="00875527" w:rsidRPr="00027784" w:rsidTr="006757CA">
        <w:trPr>
          <w:cantSplit/>
          <w:trHeight w:val="360"/>
        </w:trPr>
        <w:tc>
          <w:tcPr>
            <w:tcW w:w="1288" w:type="pct"/>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jc w:val="both"/>
              <w:rPr>
                <w:rFonts w:ascii="Arial Narrow" w:hAnsi="Arial Narrow" w:cs="Arial"/>
                <w:b/>
                <w:sz w:val="20"/>
                <w:szCs w:val="20"/>
              </w:rPr>
            </w:pPr>
            <w:r w:rsidRPr="00027784">
              <w:rPr>
                <w:rFonts w:ascii="Arial Narrow" w:hAnsi="Arial Narrow" w:cs="Arial"/>
                <w:b/>
                <w:sz w:val="20"/>
                <w:szCs w:val="20"/>
              </w:rPr>
              <w:t>Category / Program</w:t>
            </w:r>
          </w:p>
        </w:tc>
        <w:tc>
          <w:tcPr>
            <w:tcW w:w="3712" w:type="pct"/>
            <w:gridSpan w:val="7"/>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rPr>
                <w:rFonts w:ascii="Arial Narrow" w:hAnsi="Arial Narrow" w:cs="Arial"/>
                <w:sz w:val="20"/>
                <w:szCs w:val="20"/>
              </w:rPr>
            </w:pPr>
            <w:r w:rsidRPr="00027784">
              <w:rPr>
                <w:rFonts w:ascii="Arial Narrow" w:hAnsi="Arial Narrow" w:cs="Arial"/>
                <w:sz w:val="20"/>
                <w:szCs w:val="20"/>
              </w:rPr>
              <w:t>GENERAL – General Schedule (Code GE)</w:t>
            </w:r>
          </w:p>
        </w:tc>
      </w:tr>
      <w:tr w:rsidR="00875527" w:rsidRPr="00027784" w:rsidTr="006757CA">
        <w:trPr>
          <w:cantSplit/>
          <w:trHeight w:val="360"/>
        </w:trPr>
        <w:tc>
          <w:tcPr>
            <w:tcW w:w="1288" w:type="pct"/>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jc w:val="both"/>
              <w:rPr>
                <w:rFonts w:ascii="Arial Narrow" w:hAnsi="Arial Narrow" w:cs="Arial"/>
                <w:b/>
                <w:sz w:val="20"/>
                <w:szCs w:val="20"/>
              </w:rPr>
            </w:pPr>
            <w:r w:rsidRPr="00027784">
              <w:rPr>
                <w:rFonts w:ascii="Arial Narrow" w:hAnsi="Arial Narrow" w:cs="Arial"/>
                <w:b/>
                <w:sz w:val="20"/>
                <w:szCs w:val="20"/>
              </w:rPr>
              <w:t>Prescriber type:</w:t>
            </w:r>
          </w:p>
        </w:tc>
        <w:tc>
          <w:tcPr>
            <w:tcW w:w="3712" w:type="pct"/>
            <w:gridSpan w:val="7"/>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rPr>
                <w:rFonts w:ascii="Arial Narrow" w:hAnsi="Arial Narrow" w:cs="Arial"/>
                <w:sz w:val="20"/>
                <w:szCs w:val="20"/>
              </w:rPr>
            </w:pPr>
            <w:r w:rsidRPr="00027784">
              <w:rPr>
                <w:rFonts w:ascii="Arial Narrow" w:hAnsi="Arial Narrow" w:cs="Arial"/>
                <w:sz w:val="20"/>
                <w:szCs w:val="20"/>
              </w:rPr>
              <w:fldChar w:fldCharType="begin">
                <w:ffData>
                  <w:name w:val="Check1"/>
                  <w:enabled/>
                  <w:calcOnExit w:val="0"/>
                  <w:checkBox>
                    <w:sizeAuto/>
                    <w:default w:val="0"/>
                  </w:checkBox>
                </w:ffData>
              </w:fldChar>
            </w:r>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r w:rsidRPr="00027784">
              <w:rPr>
                <w:rFonts w:ascii="Arial Narrow" w:hAnsi="Arial Narrow" w:cs="Arial"/>
                <w:sz w:val="20"/>
                <w:szCs w:val="20"/>
              </w:rPr>
              <w:t xml:space="preserve">Dental  </w:t>
            </w:r>
            <w:r w:rsidRPr="00027784">
              <w:rPr>
                <w:rFonts w:ascii="Arial Narrow" w:hAnsi="Arial Narrow" w:cs="Arial"/>
                <w:sz w:val="20"/>
                <w:szCs w:val="20"/>
              </w:rPr>
              <w:fldChar w:fldCharType="begin">
                <w:ffData>
                  <w:name w:val=""/>
                  <w:enabled/>
                  <w:calcOnExit w:val="0"/>
                  <w:checkBox>
                    <w:sizeAuto/>
                    <w:default w:val="1"/>
                  </w:checkBox>
                </w:ffData>
              </w:fldChar>
            </w:r>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r w:rsidRPr="00027784">
              <w:rPr>
                <w:rFonts w:ascii="Arial Narrow" w:hAnsi="Arial Narrow" w:cs="Arial"/>
                <w:sz w:val="20"/>
                <w:szCs w:val="20"/>
              </w:rPr>
              <w:t xml:space="preserve">Medical Practitioners  </w:t>
            </w:r>
            <w:r w:rsidRPr="00027784">
              <w:rPr>
                <w:rFonts w:ascii="Arial Narrow" w:hAnsi="Arial Narrow" w:cs="Arial"/>
                <w:sz w:val="20"/>
                <w:szCs w:val="20"/>
              </w:rPr>
              <w:fldChar w:fldCharType="begin">
                <w:ffData>
                  <w:name w:val="Check3"/>
                  <w:enabled/>
                  <w:calcOnExit w:val="0"/>
                  <w:checkBox>
                    <w:sizeAuto/>
                    <w:default w:val="0"/>
                  </w:checkBox>
                </w:ffData>
              </w:fldChar>
            </w:r>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r w:rsidRPr="00027784">
              <w:rPr>
                <w:rFonts w:ascii="Arial Narrow" w:hAnsi="Arial Narrow" w:cs="Arial"/>
                <w:sz w:val="20"/>
                <w:szCs w:val="20"/>
              </w:rPr>
              <w:t xml:space="preserve">Nurse practitioners  </w:t>
            </w:r>
            <w:r w:rsidRPr="00027784">
              <w:rPr>
                <w:rFonts w:ascii="Arial Narrow" w:hAnsi="Arial Narrow" w:cs="Arial"/>
                <w:sz w:val="20"/>
                <w:szCs w:val="20"/>
              </w:rPr>
              <w:fldChar w:fldCharType="begin">
                <w:ffData>
                  <w:name w:val=""/>
                  <w:enabled/>
                  <w:calcOnExit w:val="0"/>
                  <w:checkBox>
                    <w:sizeAuto/>
                    <w:default w:val="0"/>
                  </w:checkBox>
                </w:ffData>
              </w:fldChar>
            </w:r>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r w:rsidRPr="00027784">
              <w:rPr>
                <w:rFonts w:ascii="Arial Narrow" w:hAnsi="Arial Narrow" w:cs="Arial"/>
                <w:sz w:val="20"/>
                <w:szCs w:val="20"/>
              </w:rPr>
              <w:t>Optometrists</w:t>
            </w:r>
          </w:p>
          <w:p w:rsidR="00875527" w:rsidRPr="00027784" w:rsidRDefault="00875527" w:rsidP="000919DA">
            <w:pPr>
              <w:keepNext/>
              <w:rPr>
                <w:rFonts w:ascii="Arial Narrow" w:hAnsi="Arial Narrow" w:cs="Arial"/>
                <w:sz w:val="20"/>
                <w:szCs w:val="20"/>
              </w:rPr>
            </w:pPr>
            <w:r w:rsidRPr="00027784">
              <w:rPr>
                <w:rFonts w:ascii="Arial Narrow" w:hAnsi="Arial Narrow" w:cs="Arial"/>
                <w:sz w:val="20"/>
                <w:szCs w:val="20"/>
              </w:rPr>
              <w:fldChar w:fldCharType="begin">
                <w:ffData>
                  <w:name w:val="Check5"/>
                  <w:enabled/>
                  <w:calcOnExit w:val="0"/>
                  <w:checkBox>
                    <w:sizeAuto/>
                    <w:default w:val="0"/>
                  </w:checkBox>
                </w:ffData>
              </w:fldChar>
            </w:r>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r w:rsidRPr="00027784">
              <w:rPr>
                <w:rFonts w:ascii="Arial Narrow" w:hAnsi="Arial Narrow" w:cs="Arial"/>
                <w:sz w:val="20"/>
                <w:szCs w:val="20"/>
              </w:rPr>
              <w:t>Midwives</w:t>
            </w:r>
          </w:p>
        </w:tc>
      </w:tr>
      <w:tr w:rsidR="00875527" w:rsidRPr="00027784" w:rsidTr="006757CA">
        <w:trPr>
          <w:cantSplit/>
          <w:trHeight w:val="360"/>
        </w:trPr>
        <w:tc>
          <w:tcPr>
            <w:tcW w:w="1288" w:type="pct"/>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jc w:val="both"/>
              <w:rPr>
                <w:rFonts w:ascii="Arial Narrow" w:hAnsi="Arial Narrow" w:cs="Arial"/>
                <w:b/>
                <w:sz w:val="20"/>
                <w:szCs w:val="20"/>
              </w:rPr>
            </w:pPr>
            <w:r w:rsidRPr="00027784">
              <w:rPr>
                <w:rFonts w:ascii="Arial Narrow" w:hAnsi="Arial Narrow" w:cs="Arial"/>
                <w:b/>
                <w:sz w:val="20"/>
                <w:szCs w:val="20"/>
              </w:rPr>
              <w:t>Condition:</w:t>
            </w:r>
          </w:p>
        </w:tc>
        <w:tc>
          <w:tcPr>
            <w:tcW w:w="3712" w:type="pct"/>
            <w:gridSpan w:val="7"/>
            <w:tcBorders>
              <w:top w:val="single" w:sz="4" w:space="0" w:color="auto"/>
              <w:left w:val="single" w:sz="4" w:space="0" w:color="auto"/>
              <w:bottom w:val="single" w:sz="4" w:space="0" w:color="auto"/>
              <w:right w:val="single" w:sz="4" w:space="0" w:color="auto"/>
            </w:tcBorders>
          </w:tcPr>
          <w:p w:rsidR="00875527" w:rsidRPr="00027784" w:rsidRDefault="00875527" w:rsidP="000919DA">
            <w:pPr>
              <w:pStyle w:val="KMC16-Tablecontent"/>
              <w:keepNext/>
              <w:spacing w:before="0" w:after="0"/>
            </w:pPr>
            <w:r w:rsidRPr="00027784">
              <w:t>Urea cycle disorders</w:t>
            </w:r>
          </w:p>
        </w:tc>
      </w:tr>
      <w:tr w:rsidR="00875527" w:rsidRPr="00027784" w:rsidTr="006757CA">
        <w:trPr>
          <w:cantSplit/>
          <w:trHeight w:val="360"/>
        </w:trPr>
        <w:tc>
          <w:tcPr>
            <w:tcW w:w="1288" w:type="pct"/>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jc w:val="both"/>
              <w:rPr>
                <w:rFonts w:ascii="Arial Narrow" w:hAnsi="Arial Narrow" w:cs="Arial"/>
                <w:b/>
                <w:sz w:val="20"/>
                <w:szCs w:val="20"/>
              </w:rPr>
            </w:pPr>
            <w:r w:rsidRPr="00027784">
              <w:rPr>
                <w:rFonts w:ascii="Arial Narrow" w:hAnsi="Arial Narrow" w:cs="Arial"/>
                <w:b/>
                <w:sz w:val="20"/>
                <w:szCs w:val="20"/>
              </w:rPr>
              <w:t>PBS Indication:</w:t>
            </w:r>
          </w:p>
        </w:tc>
        <w:tc>
          <w:tcPr>
            <w:tcW w:w="3712" w:type="pct"/>
            <w:gridSpan w:val="7"/>
            <w:tcBorders>
              <w:top w:val="single" w:sz="4" w:space="0" w:color="auto"/>
              <w:left w:val="single" w:sz="4" w:space="0" w:color="auto"/>
              <w:bottom w:val="single" w:sz="4" w:space="0" w:color="auto"/>
              <w:right w:val="single" w:sz="4" w:space="0" w:color="auto"/>
            </w:tcBorders>
          </w:tcPr>
          <w:p w:rsidR="00875527" w:rsidRPr="00027784" w:rsidRDefault="00875527" w:rsidP="000919DA">
            <w:pPr>
              <w:pStyle w:val="KMC16-Tablecontent"/>
              <w:keepNext/>
              <w:spacing w:before="0" w:after="0"/>
            </w:pPr>
            <w:r w:rsidRPr="00027784">
              <w:rPr>
                <w:strike/>
              </w:rPr>
              <w:t>Patients who have been diagnosed with</w:t>
            </w:r>
            <w:r w:rsidRPr="00027784">
              <w:t xml:space="preserve"> Urea cycle disorders</w:t>
            </w:r>
          </w:p>
        </w:tc>
      </w:tr>
      <w:tr w:rsidR="00875527" w:rsidRPr="00027784" w:rsidTr="006757CA">
        <w:trPr>
          <w:cantSplit/>
          <w:trHeight w:val="360"/>
        </w:trPr>
        <w:tc>
          <w:tcPr>
            <w:tcW w:w="1288" w:type="pct"/>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jc w:val="both"/>
              <w:rPr>
                <w:rFonts w:ascii="Arial Narrow" w:hAnsi="Arial Narrow" w:cs="Arial"/>
                <w:b/>
                <w:sz w:val="20"/>
                <w:szCs w:val="20"/>
              </w:rPr>
            </w:pPr>
            <w:r w:rsidRPr="00027784">
              <w:rPr>
                <w:rFonts w:ascii="Arial Narrow" w:hAnsi="Arial Narrow" w:cs="Arial"/>
                <w:b/>
                <w:sz w:val="20"/>
                <w:szCs w:val="20"/>
              </w:rPr>
              <w:t>Treatment phase:</w:t>
            </w:r>
          </w:p>
        </w:tc>
        <w:tc>
          <w:tcPr>
            <w:tcW w:w="3712" w:type="pct"/>
            <w:gridSpan w:val="7"/>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rPr>
                <w:rFonts w:ascii="Arial Narrow" w:hAnsi="Arial Narrow" w:cs="Arial"/>
                <w:strike/>
                <w:sz w:val="20"/>
                <w:szCs w:val="20"/>
              </w:rPr>
            </w:pPr>
            <w:r w:rsidRPr="00027784">
              <w:rPr>
                <w:rFonts w:ascii="Arial Narrow" w:hAnsi="Arial Narrow" w:cs="Arial"/>
                <w:strike/>
                <w:sz w:val="20"/>
                <w:szCs w:val="20"/>
              </w:rPr>
              <w:t>Initial and Continuing</w:t>
            </w:r>
          </w:p>
        </w:tc>
      </w:tr>
      <w:tr w:rsidR="00875527" w:rsidRPr="00027784" w:rsidTr="006757CA">
        <w:trPr>
          <w:cantSplit/>
          <w:trHeight w:val="360"/>
        </w:trPr>
        <w:tc>
          <w:tcPr>
            <w:tcW w:w="1288" w:type="pct"/>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jc w:val="both"/>
              <w:rPr>
                <w:rFonts w:ascii="Arial Narrow" w:hAnsi="Arial Narrow" w:cs="Arial"/>
                <w:b/>
                <w:sz w:val="20"/>
                <w:szCs w:val="20"/>
              </w:rPr>
            </w:pPr>
            <w:r w:rsidRPr="00027784">
              <w:rPr>
                <w:rFonts w:ascii="Arial Narrow" w:hAnsi="Arial Narrow" w:cs="Arial"/>
                <w:b/>
                <w:sz w:val="20"/>
                <w:szCs w:val="20"/>
              </w:rPr>
              <w:t>Restriction Level / Method:</w:t>
            </w:r>
          </w:p>
          <w:p w:rsidR="00875527" w:rsidRPr="00027784" w:rsidRDefault="00875527" w:rsidP="000919DA">
            <w:pPr>
              <w:keepNext/>
              <w:rPr>
                <w:rFonts w:ascii="Arial Narrow" w:hAnsi="Arial Narrow" w:cs="Arial"/>
                <w:sz w:val="20"/>
                <w:szCs w:val="20"/>
              </w:rPr>
            </w:pPr>
          </w:p>
        </w:tc>
        <w:tc>
          <w:tcPr>
            <w:tcW w:w="3712" w:type="pct"/>
            <w:gridSpan w:val="7"/>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rPr>
                <w:rFonts w:ascii="Arial Narrow" w:hAnsi="Arial Narrow" w:cs="Arial"/>
                <w:sz w:val="20"/>
                <w:szCs w:val="20"/>
              </w:rPr>
            </w:pPr>
            <w:r w:rsidRPr="00027784">
              <w:rPr>
                <w:rFonts w:ascii="Arial Narrow" w:hAnsi="Arial Narrow" w:cs="Arial"/>
                <w:sz w:val="20"/>
                <w:szCs w:val="20"/>
              </w:rPr>
              <w:fldChar w:fldCharType="begin">
                <w:ffData>
                  <w:name w:val="Check1"/>
                  <w:enabled/>
                  <w:calcOnExit w:val="0"/>
                  <w:checkBox>
                    <w:sizeAuto/>
                    <w:default w:val="0"/>
                  </w:checkBox>
                </w:ffData>
              </w:fldChar>
            </w:r>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r w:rsidRPr="00027784">
              <w:rPr>
                <w:rFonts w:ascii="Arial Narrow" w:hAnsi="Arial Narrow" w:cs="Arial"/>
                <w:sz w:val="20"/>
                <w:szCs w:val="20"/>
              </w:rPr>
              <w:t>Restricted benefit</w:t>
            </w:r>
          </w:p>
          <w:p w:rsidR="00875527" w:rsidRPr="00027784" w:rsidRDefault="00875527" w:rsidP="000919DA">
            <w:pPr>
              <w:keepNext/>
              <w:rPr>
                <w:rFonts w:ascii="Arial Narrow" w:hAnsi="Arial Narrow" w:cs="Arial"/>
                <w:sz w:val="20"/>
                <w:szCs w:val="20"/>
              </w:rPr>
            </w:pPr>
            <w:r w:rsidRPr="00027784">
              <w:rPr>
                <w:rFonts w:ascii="Arial Narrow" w:hAnsi="Arial Narrow" w:cs="Arial"/>
                <w:sz w:val="20"/>
                <w:szCs w:val="20"/>
              </w:rPr>
              <w:fldChar w:fldCharType="begin">
                <w:ffData>
                  <w:name w:val=""/>
                  <w:enabled/>
                  <w:calcOnExit w:val="0"/>
                  <w:checkBox>
                    <w:sizeAuto/>
                    <w:default w:val="0"/>
                  </w:checkBox>
                </w:ffData>
              </w:fldChar>
            </w:r>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r w:rsidRPr="00027784">
              <w:rPr>
                <w:rFonts w:ascii="Arial Narrow" w:hAnsi="Arial Narrow" w:cs="Arial"/>
                <w:sz w:val="20"/>
                <w:szCs w:val="20"/>
              </w:rPr>
              <w:t>Authority Required - In Writing</w:t>
            </w:r>
          </w:p>
          <w:p w:rsidR="00875527" w:rsidRPr="00027784" w:rsidRDefault="00875527" w:rsidP="000919DA">
            <w:pPr>
              <w:keepNext/>
              <w:rPr>
                <w:rFonts w:ascii="Arial Narrow" w:hAnsi="Arial Narrow" w:cs="Arial"/>
                <w:sz w:val="20"/>
                <w:szCs w:val="20"/>
              </w:rPr>
            </w:pPr>
            <w:r w:rsidRPr="00027784">
              <w:rPr>
                <w:rFonts w:ascii="Arial Narrow" w:hAnsi="Arial Narrow" w:cs="Arial"/>
                <w:sz w:val="20"/>
                <w:szCs w:val="20"/>
              </w:rPr>
              <w:fldChar w:fldCharType="begin">
                <w:ffData>
                  <w:name w:val="Check3"/>
                  <w:enabled/>
                  <w:calcOnExit w:val="0"/>
                  <w:checkBox>
                    <w:sizeAuto/>
                    <w:default w:val="1"/>
                  </w:checkBox>
                </w:ffData>
              </w:fldChar>
            </w:r>
            <w:bookmarkStart w:id="1" w:name="Check3"/>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bookmarkEnd w:id="1"/>
            <w:r w:rsidRPr="00027784">
              <w:rPr>
                <w:rFonts w:ascii="Arial Narrow" w:hAnsi="Arial Narrow" w:cs="Arial"/>
                <w:sz w:val="20"/>
                <w:szCs w:val="20"/>
              </w:rPr>
              <w:t>Authority Required - Telephone</w:t>
            </w:r>
          </w:p>
          <w:p w:rsidR="00875527" w:rsidRPr="00027784" w:rsidRDefault="00875527" w:rsidP="000919DA">
            <w:pPr>
              <w:keepNext/>
              <w:rPr>
                <w:rFonts w:ascii="Arial Narrow" w:hAnsi="Arial Narrow" w:cs="Arial"/>
                <w:sz w:val="20"/>
                <w:szCs w:val="20"/>
              </w:rPr>
            </w:pPr>
            <w:r w:rsidRPr="00027784">
              <w:rPr>
                <w:rFonts w:ascii="Arial Narrow" w:hAnsi="Arial Narrow" w:cs="Arial"/>
                <w:sz w:val="20"/>
                <w:szCs w:val="20"/>
              </w:rPr>
              <w:fldChar w:fldCharType="begin">
                <w:ffData>
                  <w:name w:val=""/>
                  <w:enabled/>
                  <w:calcOnExit w:val="0"/>
                  <w:checkBox>
                    <w:sizeAuto/>
                    <w:default w:val="0"/>
                  </w:checkBox>
                </w:ffData>
              </w:fldChar>
            </w:r>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r w:rsidRPr="00027784">
              <w:rPr>
                <w:rFonts w:ascii="Arial Narrow" w:hAnsi="Arial Narrow" w:cs="Arial"/>
                <w:sz w:val="20"/>
                <w:szCs w:val="20"/>
              </w:rPr>
              <w:t>Authority Required - Emergency</w:t>
            </w:r>
          </w:p>
          <w:p w:rsidR="00875527" w:rsidRPr="00027784" w:rsidRDefault="00875527" w:rsidP="000919DA">
            <w:pPr>
              <w:keepNext/>
              <w:rPr>
                <w:rFonts w:ascii="Arial Narrow" w:hAnsi="Arial Narrow" w:cs="Arial"/>
                <w:sz w:val="20"/>
                <w:szCs w:val="20"/>
              </w:rPr>
            </w:pPr>
            <w:r w:rsidRPr="00027784">
              <w:rPr>
                <w:rFonts w:ascii="Arial Narrow" w:hAnsi="Arial Narrow" w:cs="Arial"/>
                <w:sz w:val="20"/>
                <w:szCs w:val="20"/>
              </w:rPr>
              <w:fldChar w:fldCharType="begin">
                <w:ffData>
                  <w:name w:val="Check5"/>
                  <w:enabled/>
                  <w:calcOnExit w:val="0"/>
                  <w:checkBox>
                    <w:sizeAuto/>
                    <w:default w:val="1"/>
                  </w:checkBox>
                </w:ffData>
              </w:fldChar>
            </w:r>
            <w:bookmarkStart w:id="2" w:name="Check5"/>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bookmarkEnd w:id="2"/>
            <w:r w:rsidRPr="00027784">
              <w:rPr>
                <w:rFonts w:ascii="Arial Narrow" w:hAnsi="Arial Narrow" w:cs="Arial"/>
                <w:sz w:val="20"/>
                <w:szCs w:val="20"/>
              </w:rPr>
              <w:t>Authority Required - Electronic</w:t>
            </w:r>
          </w:p>
          <w:p w:rsidR="00875527" w:rsidRPr="00027784" w:rsidRDefault="00875527" w:rsidP="000919DA">
            <w:pPr>
              <w:keepNext/>
              <w:rPr>
                <w:rFonts w:ascii="Arial Narrow" w:hAnsi="Arial Narrow" w:cs="Arial"/>
                <w:sz w:val="20"/>
                <w:szCs w:val="20"/>
              </w:rPr>
            </w:pPr>
            <w:r w:rsidRPr="00027784">
              <w:rPr>
                <w:rFonts w:ascii="Arial Narrow" w:hAnsi="Arial Narrow" w:cs="Arial"/>
                <w:sz w:val="20"/>
                <w:szCs w:val="20"/>
              </w:rPr>
              <w:fldChar w:fldCharType="begin">
                <w:ffData>
                  <w:name w:val="Check5"/>
                  <w:enabled/>
                  <w:calcOnExit w:val="0"/>
                  <w:checkBox>
                    <w:sizeAuto/>
                    <w:default w:val="0"/>
                  </w:checkBox>
                </w:ffData>
              </w:fldChar>
            </w:r>
            <w:r w:rsidRPr="00027784">
              <w:rPr>
                <w:rFonts w:ascii="Arial Narrow" w:hAnsi="Arial Narrow" w:cs="Arial"/>
                <w:sz w:val="20"/>
                <w:szCs w:val="20"/>
              </w:rPr>
              <w:instrText xml:space="preserve"> FORMCHECKBOX </w:instrText>
            </w:r>
            <w:r w:rsidR="00D03411">
              <w:rPr>
                <w:rFonts w:ascii="Arial Narrow" w:hAnsi="Arial Narrow" w:cs="Arial"/>
                <w:sz w:val="20"/>
                <w:szCs w:val="20"/>
              </w:rPr>
            </w:r>
            <w:r w:rsidR="00D03411">
              <w:rPr>
                <w:rFonts w:ascii="Arial Narrow" w:hAnsi="Arial Narrow" w:cs="Arial"/>
                <w:sz w:val="20"/>
                <w:szCs w:val="20"/>
              </w:rPr>
              <w:fldChar w:fldCharType="separate"/>
            </w:r>
            <w:r w:rsidRPr="00027784">
              <w:rPr>
                <w:rFonts w:ascii="Arial Narrow" w:hAnsi="Arial Narrow" w:cs="Arial"/>
                <w:sz w:val="20"/>
                <w:szCs w:val="20"/>
              </w:rPr>
              <w:fldChar w:fldCharType="end"/>
            </w:r>
            <w:r w:rsidRPr="00027784">
              <w:rPr>
                <w:rFonts w:ascii="Arial Narrow" w:hAnsi="Arial Narrow" w:cs="Arial"/>
                <w:sz w:val="20"/>
                <w:szCs w:val="20"/>
              </w:rPr>
              <w:t>Streamlined</w:t>
            </w:r>
          </w:p>
        </w:tc>
      </w:tr>
      <w:tr w:rsidR="00875527" w:rsidRPr="00027784" w:rsidTr="006757CA">
        <w:trPr>
          <w:cantSplit/>
          <w:trHeight w:val="360"/>
        </w:trPr>
        <w:tc>
          <w:tcPr>
            <w:tcW w:w="1288" w:type="pct"/>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rPr>
                <w:rFonts w:ascii="Arial Narrow" w:hAnsi="Arial Narrow" w:cs="Arial"/>
                <w:b/>
                <w:sz w:val="20"/>
                <w:szCs w:val="20"/>
              </w:rPr>
            </w:pPr>
            <w:r w:rsidRPr="00027784">
              <w:rPr>
                <w:rFonts w:ascii="Arial Narrow" w:hAnsi="Arial Narrow" w:cs="Arial"/>
                <w:b/>
                <w:sz w:val="20"/>
                <w:szCs w:val="20"/>
              </w:rPr>
              <w:t>Treatment criteria:</w:t>
            </w:r>
          </w:p>
        </w:tc>
        <w:tc>
          <w:tcPr>
            <w:tcW w:w="3712" w:type="pct"/>
            <w:gridSpan w:val="7"/>
            <w:tcBorders>
              <w:top w:val="single" w:sz="4" w:space="0" w:color="auto"/>
              <w:left w:val="single" w:sz="4" w:space="0" w:color="auto"/>
              <w:bottom w:val="single" w:sz="4" w:space="0" w:color="auto"/>
              <w:right w:val="single" w:sz="4" w:space="0" w:color="auto"/>
            </w:tcBorders>
          </w:tcPr>
          <w:p w:rsidR="00875527" w:rsidRPr="00027784" w:rsidRDefault="00875527" w:rsidP="000919DA">
            <w:pPr>
              <w:pStyle w:val="KMC16-Tablecontent"/>
              <w:keepNext/>
              <w:spacing w:before="0" w:after="0"/>
              <w:rPr>
                <w:strike/>
              </w:rPr>
            </w:pPr>
            <w:r w:rsidRPr="00027784">
              <w:rPr>
                <w:strike/>
              </w:rPr>
              <w:t>Patient must be diagnosed as having urea cycle disorder.</w:t>
            </w:r>
          </w:p>
        </w:tc>
      </w:tr>
      <w:tr w:rsidR="00875527" w:rsidRPr="00027784" w:rsidTr="006757CA">
        <w:trPr>
          <w:cantSplit/>
          <w:trHeight w:val="360"/>
        </w:trPr>
        <w:tc>
          <w:tcPr>
            <w:tcW w:w="1288" w:type="pct"/>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jc w:val="both"/>
              <w:rPr>
                <w:rFonts w:ascii="Arial Narrow" w:hAnsi="Arial Narrow" w:cs="Arial"/>
                <w:b/>
                <w:sz w:val="20"/>
                <w:szCs w:val="20"/>
              </w:rPr>
            </w:pPr>
            <w:r w:rsidRPr="00027784">
              <w:rPr>
                <w:rFonts w:ascii="Arial Narrow" w:hAnsi="Arial Narrow" w:cs="Arial"/>
                <w:b/>
                <w:sz w:val="20"/>
                <w:szCs w:val="20"/>
              </w:rPr>
              <w:t>Clinical criteria:</w:t>
            </w:r>
          </w:p>
        </w:tc>
        <w:tc>
          <w:tcPr>
            <w:tcW w:w="3712" w:type="pct"/>
            <w:gridSpan w:val="7"/>
            <w:tcBorders>
              <w:top w:val="single" w:sz="4" w:space="0" w:color="auto"/>
              <w:left w:val="single" w:sz="4" w:space="0" w:color="auto"/>
              <w:bottom w:val="single" w:sz="4" w:space="0" w:color="auto"/>
              <w:right w:val="single" w:sz="4" w:space="0" w:color="auto"/>
            </w:tcBorders>
          </w:tcPr>
          <w:p w:rsidR="00875527" w:rsidRPr="00027784" w:rsidRDefault="00875527" w:rsidP="000919DA">
            <w:pPr>
              <w:pStyle w:val="KMC16-Tablecontent"/>
              <w:keepNext/>
              <w:spacing w:before="0" w:after="0"/>
            </w:pPr>
            <w:r w:rsidRPr="00027784">
              <w:t>Patient must have elevated ammonia levels that are not controlled with diet alone and other adjunct care alone</w:t>
            </w:r>
          </w:p>
          <w:p w:rsidR="00875527" w:rsidRPr="00027784" w:rsidRDefault="00875527" w:rsidP="000919DA">
            <w:pPr>
              <w:pStyle w:val="KMC16-Tablecontent"/>
              <w:keepNext/>
              <w:spacing w:before="0" w:after="0"/>
              <w:rPr>
                <w:strike/>
              </w:rPr>
            </w:pPr>
            <w:r w:rsidRPr="00027784">
              <w:rPr>
                <w:strike/>
              </w:rPr>
              <w:t>AND</w:t>
            </w:r>
          </w:p>
          <w:p w:rsidR="00875527" w:rsidRPr="00027784" w:rsidRDefault="00875527" w:rsidP="000919DA">
            <w:pPr>
              <w:pStyle w:val="KMC16-Tablecontent"/>
              <w:keepNext/>
              <w:spacing w:before="0" w:after="0"/>
            </w:pPr>
            <w:r w:rsidRPr="00027784">
              <w:rPr>
                <w:strike/>
              </w:rPr>
              <w:t>Is administered as chronic therapy.</w:t>
            </w:r>
          </w:p>
        </w:tc>
      </w:tr>
      <w:tr w:rsidR="00875527" w:rsidRPr="00027784" w:rsidTr="006757CA">
        <w:trPr>
          <w:cantSplit/>
          <w:trHeight w:val="360"/>
        </w:trPr>
        <w:tc>
          <w:tcPr>
            <w:tcW w:w="1288" w:type="pct"/>
            <w:tcBorders>
              <w:top w:val="single" w:sz="4" w:space="0" w:color="auto"/>
              <w:left w:val="single" w:sz="4" w:space="0" w:color="auto"/>
              <w:bottom w:val="single" w:sz="4" w:space="0" w:color="auto"/>
              <w:right w:val="single" w:sz="4" w:space="0" w:color="auto"/>
            </w:tcBorders>
          </w:tcPr>
          <w:p w:rsidR="00875527" w:rsidRPr="00027784" w:rsidRDefault="00875527" w:rsidP="000919DA">
            <w:pPr>
              <w:keepNext/>
              <w:jc w:val="both"/>
              <w:rPr>
                <w:rFonts w:ascii="Arial Narrow" w:hAnsi="Arial Narrow" w:cs="Arial"/>
                <w:b/>
                <w:sz w:val="20"/>
                <w:szCs w:val="20"/>
              </w:rPr>
            </w:pPr>
            <w:r w:rsidRPr="00027784">
              <w:rPr>
                <w:rFonts w:ascii="Arial Narrow" w:hAnsi="Arial Narrow" w:cs="Arial"/>
                <w:b/>
                <w:sz w:val="20"/>
                <w:szCs w:val="20"/>
              </w:rPr>
              <w:t>Prescriber Instructions</w:t>
            </w:r>
          </w:p>
        </w:tc>
        <w:tc>
          <w:tcPr>
            <w:tcW w:w="3712" w:type="pct"/>
            <w:gridSpan w:val="7"/>
            <w:tcBorders>
              <w:top w:val="single" w:sz="4" w:space="0" w:color="auto"/>
              <w:left w:val="single" w:sz="4" w:space="0" w:color="auto"/>
              <w:bottom w:val="single" w:sz="4" w:space="0" w:color="auto"/>
              <w:right w:val="single" w:sz="4" w:space="0" w:color="auto"/>
            </w:tcBorders>
          </w:tcPr>
          <w:p w:rsidR="00875527" w:rsidRPr="00027784" w:rsidRDefault="00875527" w:rsidP="000919DA">
            <w:pPr>
              <w:pStyle w:val="KMC16-Tablecontent"/>
              <w:keepNext/>
              <w:spacing w:before="0" w:after="0"/>
            </w:pPr>
            <w:r w:rsidRPr="00027784">
              <w:t>An increase in the maximum quantity will be authorised to provide for up to one month’s supply at a dose of up to 600 mg/kg/day in patients weighing less than 20 kg and up to 13 g/m</w:t>
            </w:r>
            <w:r w:rsidRPr="00027784">
              <w:rPr>
                <w:vertAlign w:val="superscript"/>
              </w:rPr>
              <w:t>2</w:t>
            </w:r>
            <w:r w:rsidRPr="00027784">
              <w:t>/day in patients weighing more than 20 kg.</w:t>
            </w:r>
          </w:p>
        </w:tc>
      </w:tr>
    </w:tbl>
    <w:p w:rsidR="00826F6D" w:rsidRPr="00027784" w:rsidRDefault="00954EF7" w:rsidP="00954EF7">
      <w:pPr>
        <w:pStyle w:val="TableFooter"/>
      </w:pPr>
      <w:r w:rsidRPr="00027784">
        <w:rPr>
          <w:vertAlign w:val="superscript"/>
        </w:rPr>
        <w:t>a</w:t>
      </w:r>
      <w:r w:rsidRPr="00027784">
        <w:t xml:space="preserve"> Updated based on dispensing fees and mark-ups as at February 2018.</w:t>
      </w:r>
    </w:p>
    <w:p w:rsidR="006E4D5A" w:rsidRPr="00027784" w:rsidRDefault="006E4D5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The proposed price was unchanged from the previous submission (November 2017 Pre-PBAC response)</w:t>
      </w:r>
      <w:r w:rsidR="00954EF7" w:rsidRPr="00027784">
        <w:rPr>
          <w:rFonts w:asciiTheme="minorHAnsi" w:eastAsiaTheme="minorHAnsi" w:hAnsiTheme="minorHAnsi" w:cstheme="minorBidi"/>
          <w:snapToGrid/>
          <w:sz w:val="24"/>
          <w:szCs w:val="22"/>
        </w:rPr>
        <w:t>, which had proposed an</w:t>
      </w:r>
      <w:r w:rsidRPr="00027784">
        <w:rPr>
          <w:rFonts w:asciiTheme="minorHAnsi" w:eastAsiaTheme="minorHAnsi" w:hAnsiTheme="minorHAnsi" w:cstheme="minorBidi"/>
          <w:snapToGrid/>
          <w:sz w:val="24"/>
          <w:szCs w:val="22"/>
        </w:rPr>
        <w:t xml:space="preserve"> approved ex-manufacturer price</w:t>
      </w:r>
      <w:r w:rsidR="00954EF7" w:rsidRPr="00027784">
        <w:rPr>
          <w:rFonts w:asciiTheme="minorHAnsi" w:eastAsiaTheme="minorHAnsi" w:hAnsiTheme="minorHAnsi" w:cstheme="minorBidi"/>
          <w:snapToGrid/>
          <w:sz w:val="24"/>
          <w:szCs w:val="22"/>
        </w:rPr>
        <w:t xml:space="preserve"> (AEMP) of $</w:t>
      </w:r>
      <w:r w:rsidR="00D03411">
        <w:rPr>
          <w:rFonts w:asciiTheme="minorHAnsi" w:eastAsiaTheme="minorHAnsi" w:hAnsiTheme="minorHAnsi" w:cstheme="minorBidi"/>
          <w:noProof/>
          <w:snapToGrid/>
          <w:color w:val="000000"/>
          <w:sz w:val="24"/>
          <w:szCs w:val="22"/>
          <w:highlight w:val="black"/>
        </w:rPr>
        <w:t>'''''''''''''''''</w:t>
      </w:r>
      <w:r w:rsidR="00954EF7" w:rsidRPr="00027784">
        <w:rPr>
          <w:rFonts w:asciiTheme="minorHAnsi" w:eastAsiaTheme="minorHAnsi" w:hAnsiTheme="minorHAnsi" w:cstheme="minorBidi"/>
          <w:snapToGrid/>
          <w:sz w:val="24"/>
          <w:szCs w:val="22"/>
        </w:rPr>
        <w:t xml:space="preserve"> per bottle, which equated to </w:t>
      </w:r>
      <w:r w:rsidRPr="00027784">
        <w:rPr>
          <w:rFonts w:asciiTheme="minorHAnsi" w:eastAsiaTheme="minorHAnsi" w:hAnsiTheme="minorHAnsi" w:cstheme="minorBidi"/>
          <w:snapToGrid/>
          <w:sz w:val="24"/>
          <w:szCs w:val="22"/>
        </w:rPr>
        <w:t>a dispensed price for maximum quantity (DPMQ) of $</w:t>
      </w:r>
      <w:r w:rsidR="00D03411">
        <w:rPr>
          <w:rFonts w:asciiTheme="minorHAnsi" w:eastAsiaTheme="minorHAnsi" w:hAnsiTheme="minorHAnsi" w:cstheme="minorBidi"/>
          <w:noProof/>
          <w:snapToGrid/>
          <w:color w:val="000000"/>
          <w:sz w:val="24"/>
          <w:szCs w:val="22"/>
          <w:highlight w:val="black"/>
        </w:rPr>
        <w:t>'''''''''''''''</w:t>
      </w:r>
      <w:r w:rsidR="00954EF7" w:rsidRPr="00027784">
        <w:rPr>
          <w:rFonts w:asciiTheme="minorHAnsi" w:eastAsiaTheme="minorHAnsi" w:hAnsiTheme="minorHAnsi" w:cstheme="minorBidi"/>
          <w:snapToGrid/>
          <w:sz w:val="24"/>
          <w:szCs w:val="22"/>
        </w:rPr>
        <w:t xml:space="preserve"> for two bottles</w:t>
      </w:r>
      <w:r w:rsidRPr="00027784">
        <w:rPr>
          <w:rFonts w:asciiTheme="minorHAnsi" w:eastAsiaTheme="minorHAnsi" w:hAnsiTheme="minorHAnsi" w:cstheme="minorBidi"/>
          <w:snapToGrid/>
          <w:sz w:val="24"/>
          <w:szCs w:val="22"/>
        </w:rPr>
        <w:t>. The re</w:t>
      </w:r>
      <w:r w:rsidRPr="00027784">
        <w:rPr>
          <w:rFonts w:asciiTheme="minorHAnsi" w:eastAsiaTheme="minorHAnsi" w:hAnsiTheme="minorHAnsi" w:cstheme="minorBidi"/>
          <w:snapToGrid/>
          <w:sz w:val="24"/>
          <w:szCs w:val="22"/>
        </w:rPr>
        <w:noBreakHyphen/>
        <w:t xml:space="preserve">submission did not request a special pricing arrangement. </w:t>
      </w:r>
    </w:p>
    <w:p w:rsidR="00C603D4" w:rsidRPr="00027784" w:rsidRDefault="00CE10C4" w:rsidP="00696129">
      <w:pPr>
        <w:pStyle w:val="PBACHeading1"/>
        <w:spacing w:before="240" w:after="120"/>
        <w:ind w:left="709" w:hanging="709"/>
        <w:rPr>
          <w:rFonts w:asciiTheme="minorHAnsi" w:hAnsiTheme="minorHAnsi"/>
          <w:sz w:val="32"/>
          <w:szCs w:val="32"/>
        </w:rPr>
      </w:pPr>
      <w:r w:rsidRPr="00027784">
        <w:rPr>
          <w:rFonts w:asciiTheme="minorHAnsi" w:hAnsiTheme="minorHAnsi"/>
          <w:sz w:val="32"/>
          <w:szCs w:val="32"/>
        </w:rPr>
        <w:t>Background</w:t>
      </w:r>
    </w:p>
    <w:p w:rsidR="006B0D94" w:rsidRPr="00027784" w:rsidRDefault="003F58D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C</w:t>
      </w:r>
      <w:r w:rsidR="00C51DCC" w:rsidRPr="00027784">
        <w:rPr>
          <w:rFonts w:asciiTheme="minorHAnsi" w:eastAsiaTheme="minorHAnsi" w:hAnsiTheme="minorHAnsi" w:cstheme="minorBidi"/>
          <w:snapToGrid/>
          <w:sz w:val="24"/>
          <w:szCs w:val="22"/>
        </w:rPr>
        <w:t>oated NaPb</w:t>
      </w:r>
      <w:r w:rsidR="0035535B" w:rsidRPr="00027784">
        <w:rPr>
          <w:rFonts w:asciiTheme="minorHAnsi" w:eastAsiaTheme="minorHAnsi" w:hAnsiTheme="minorHAnsi" w:cstheme="minorBidi"/>
          <w:snapToGrid/>
          <w:sz w:val="24"/>
          <w:szCs w:val="22"/>
        </w:rPr>
        <w:t xml:space="preserve"> was</w:t>
      </w:r>
      <w:r w:rsidR="00AA41EB" w:rsidRPr="00027784">
        <w:rPr>
          <w:rFonts w:asciiTheme="minorHAnsi" w:eastAsiaTheme="minorHAnsi" w:hAnsiTheme="minorHAnsi" w:cstheme="minorBidi"/>
          <w:snapToGrid/>
          <w:sz w:val="24"/>
          <w:szCs w:val="22"/>
        </w:rPr>
        <w:t xml:space="preserve"> TGA-</w:t>
      </w:r>
      <w:r w:rsidR="00286544" w:rsidRPr="00027784">
        <w:rPr>
          <w:rFonts w:asciiTheme="minorHAnsi" w:eastAsiaTheme="minorHAnsi" w:hAnsiTheme="minorHAnsi" w:cstheme="minorBidi"/>
          <w:snapToGrid/>
          <w:sz w:val="24"/>
          <w:szCs w:val="22"/>
        </w:rPr>
        <w:t>registered on 30 May 2017 for “the management of hyperammonaemia associated with UCDs. It should be used with dietary protein restriction and, in some cases, dietary supplements (e.g. essential amino acids, arginine, citrulline, and protein-free calorie supplements)”.</w:t>
      </w:r>
    </w:p>
    <w:p w:rsidR="000919DA" w:rsidRPr="00027784" w:rsidRDefault="000919D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This is the second submission for coated NaPb. The first submission was considered at t</w:t>
      </w:r>
      <w:r w:rsidR="00286544" w:rsidRPr="00027784">
        <w:rPr>
          <w:rFonts w:asciiTheme="minorHAnsi" w:eastAsiaTheme="minorHAnsi" w:hAnsiTheme="minorHAnsi" w:cstheme="minorBidi"/>
          <w:snapToGrid/>
          <w:sz w:val="24"/>
          <w:szCs w:val="22"/>
        </w:rPr>
        <w:t xml:space="preserve">he </w:t>
      </w:r>
      <w:r w:rsidRPr="00027784">
        <w:rPr>
          <w:rFonts w:asciiTheme="minorHAnsi" w:eastAsiaTheme="minorHAnsi" w:hAnsiTheme="minorHAnsi" w:cstheme="minorBidi"/>
          <w:snapToGrid/>
          <w:sz w:val="24"/>
          <w:szCs w:val="22"/>
        </w:rPr>
        <w:t xml:space="preserve">November 2017 </w:t>
      </w:r>
      <w:r w:rsidR="00286544" w:rsidRPr="00027784">
        <w:rPr>
          <w:rFonts w:asciiTheme="minorHAnsi" w:eastAsiaTheme="minorHAnsi" w:hAnsiTheme="minorHAnsi" w:cstheme="minorBidi"/>
          <w:snapToGrid/>
          <w:sz w:val="24"/>
          <w:szCs w:val="22"/>
        </w:rPr>
        <w:t xml:space="preserve">PBAC </w:t>
      </w:r>
      <w:r w:rsidRPr="00027784">
        <w:rPr>
          <w:rFonts w:asciiTheme="minorHAnsi" w:eastAsiaTheme="minorHAnsi" w:hAnsiTheme="minorHAnsi" w:cstheme="minorBidi"/>
          <w:snapToGrid/>
          <w:sz w:val="24"/>
          <w:szCs w:val="22"/>
        </w:rPr>
        <w:t xml:space="preserve">meeting. The PBAC rejected coated NaPb for PBS listing due to unclear incremental clinical benefit and high incremental cost compared with other ammonia scavenger formulations. In particular, the PBAC considered that the clinical evidence was insufficient to support a claim of superior efficacy versus other ammonia scavenger formulations (November 2017 PBAC </w:t>
      </w:r>
      <w:r w:rsidR="00951F32">
        <w:rPr>
          <w:rFonts w:asciiTheme="minorHAnsi" w:eastAsiaTheme="minorHAnsi" w:hAnsiTheme="minorHAnsi" w:cstheme="minorBidi"/>
          <w:snapToGrid/>
          <w:sz w:val="24"/>
          <w:szCs w:val="22"/>
        </w:rPr>
        <w:t xml:space="preserve">Meeting </w:t>
      </w:r>
      <w:r w:rsidR="00AA1BEA">
        <w:rPr>
          <w:rFonts w:asciiTheme="minorHAnsi" w:eastAsiaTheme="minorHAnsi" w:hAnsiTheme="minorHAnsi" w:cstheme="minorBidi"/>
          <w:snapToGrid/>
          <w:sz w:val="24"/>
          <w:szCs w:val="22"/>
        </w:rPr>
        <w:t>Public Summary Document (</w:t>
      </w:r>
      <w:r w:rsidR="00951F32">
        <w:rPr>
          <w:rFonts w:asciiTheme="minorHAnsi" w:eastAsiaTheme="minorHAnsi" w:hAnsiTheme="minorHAnsi" w:cstheme="minorBidi"/>
          <w:snapToGrid/>
          <w:sz w:val="24"/>
          <w:szCs w:val="22"/>
        </w:rPr>
        <w:t>PSD</w:t>
      </w:r>
      <w:r w:rsidR="00AA1BEA">
        <w:rPr>
          <w:rFonts w:asciiTheme="minorHAnsi" w:eastAsiaTheme="minorHAnsi" w:hAnsiTheme="minorHAnsi" w:cstheme="minorBidi"/>
          <w:snapToGrid/>
          <w:sz w:val="24"/>
          <w:szCs w:val="22"/>
        </w:rPr>
        <w:t>)</w:t>
      </w:r>
      <w:r w:rsidRPr="00027784">
        <w:rPr>
          <w:rFonts w:asciiTheme="minorHAnsi" w:eastAsiaTheme="minorHAnsi" w:hAnsiTheme="minorHAnsi" w:cstheme="minorBidi"/>
          <w:snapToGrid/>
          <w:sz w:val="24"/>
          <w:szCs w:val="22"/>
        </w:rPr>
        <w:t xml:space="preserve">, para 7.1). </w:t>
      </w:r>
    </w:p>
    <w:p w:rsidR="00647DE7" w:rsidRPr="00027784" w:rsidRDefault="00647DE7"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w:t>
      </w:r>
      <w:r w:rsidR="0066064D" w:rsidRPr="00027784">
        <w:rPr>
          <w:rFonts w:asciiTheme="minorHAnsi" w:eastAsiaTheme="minorHAnsi" w:hAnsiTheme="minorHAnsi" w:cstheme="minorBidi"/>
          <w:snapToGrid/>
          <w:sz w:val="24"/>
          <w:szCs w:val="22"/>
        </w:rPr>
        <w:t xml:space="preserve">November 2017 </w:t>
      </w:r>
      <w:r w:rsidRPr="00027784">
        <w:rPr>
          <w:rFonts w:asciiTheme="minorHAnsi" w:eastAsiaTheme="minorHAnsi" w:hAnsiTheme="minorHAnsi" w:cstheme="minorBidi"/>
          <w:snapToGrid/>
          <w:sz w:val="24"/>
          <w:szCs w:val="22"/>
        </w:rPr>
        <w:t>PBAC considered that any re</w:t>
      </w:r>
      <w:r w:rsidR="00BD0A72">
        <w:rPr>
          <w:rFonts w:asciiTheme="minorHAnsi" w:eastAsiaTheme="minorHAnsi" w:hAnsiTheme="minorHAnsi" w:cstheme="minorBidi"/>
          <w:snapToGrid/>
          <w:sz w:val="24"/>
          <w:szCs w:val="22"/>
        </w:rPr>
        <w:t>-</w:t>
      </w:r>
      <w:r w:rsidRPr="00027784">
        <w:rPr>
          <w:rFonts w:asciiTheme="minorHAnsi" w:eastAsiaTheme="minorHAnsi" w:hAnsiTheme="minorHAnsi" w:cstheme="minorBidi"/>
          <w:snapToGrid/>
          <w:sz w:val="24"/>
          <w:szCs w:val="22"/>
        </w:rPr>
        <w:t>submission should be a major submission made on a cost-minimisation basis against other ammonia scavengers</w:t>
      </w:r>
      <w:r w:rsidR="003F58DA" w:rsidRPr="00027784">
        <w:rPr>
          <w:rFonts w:asciiTheme="minorHAnsi" w:eastAsiaTheme="minorHAnsi" w:hAnsiTheme="minorHAnsi" w:cstheme="minorBidi"/>
          <w:snapToGrid/>
          <w:sz w:val="24"/>
          <w:szCs w:val="22"/>
        </w:rPr>
        <w:t xml:space="preserve">, </w:t>
      </w:r>
      <w:r w:rsidR="003F58DA" w:rsidRPr="00027784">
        <w:rPr>
          <w:rFonts w:asciiTheme="minorHAnsi" w:eastAsiaTheme="minorHAnsi" w:hAnsiTheme="minorHAnsi" w:cstheme="minorBidi"/>
          <w:snapToGrid/>
          <w:sz w:val="24"/>
          <w:szCs w:val="22"/>
        </w:rPr>
        <w:lastRenderedPageBreak/>
        <w:t>and that r</w:t>
      </w:r>
      <w:r w:rsidRPr="00027784">
        <w:rPr>
          <w:rFonts w:asciiTheme="minorHAnsi" w:eastAsiaTheme="minorHAnsi" w:hAnsiTheme="minorHAnsi" w:cstheme="minorBidi"/>
          <w:snapToGrid/>
          <w:sz w:val="24"/>
          <w:szCs w:val="22"/>
        </w:rPr>
        <w:t>evised financial estimates would also need to be provided (November 2017 PBAC</w:t>
      </w:r>
      <w:r w:rsidR="00AA1BEA">
        <w:rPr>
          <w:rFonts w:asciiTheme="minorHAnsi" w:eastAsiaTheme="minorHAnsi" w:hAnsiTheme="minorHAnsi" w:cstheme="minorBidi"/>
          <w:snapToGrid/>
          <w:sz w:val="24"/>
          <w:szCs w:val="22"/>
        </w:rPr>
        <w:t xml:space="preserve"> PSD</w:t>
      </w:r>
      <w:r w:rsidRPr="00027784">
        <w:rPr>
          <w:rFonts w:asciiTheme="minorHAnsi" w:eastAsiaTheme="minorHAnsi" w:hAnsiTheme="minorHAnsi" w:cstheme="minorBidi"/>
          <w:snapToGrid/>
          <w:sz w:val="24"/>
          <w:szCs w:val="22"/>
        </w:rPr>
        <w:t xml:space="preserve">, para 7.11). </w:t>
      </w:r>
    </w:p>
    <w:p w:rsidR="000919DA" w:rsidRPr="00027784" w:rsidRDefault="000919D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A summary of the outstanding matters of concern to the PBAC are presented in Table 1.</w:t>
      </w:r>
    </w:p>
    <w:p w:rsidR="000919DA" w:rsidRPr="00027784" w:rsidRDefault="00D71318" w:rsidP="00B053B7">
      <w:pPr>
        <w:pStyle w:val="TableHeading0"/>
        <w:keepLines/>
      </w:pPr>
      <w:r w:rsidRPr="00027784">
        <w:t>Table 1</w:t>
      </w:r>
      <w:r w:rsidR="000919DA" w:rsidRPr="00027784">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4"/>
        <w:gridCol w:w="4752"/>
        <w:gridCol w:w="3026"/>
      </w:tblGrid>
      <w:tr w:rsidR="000919DA" w:rsidRPr="00027784" w:rsidTr="00B053B7">
        <w:trPr>
          <w:cantSplit/>
          <w:tblHeader/>
        </w:trPr>
        <w:tc>
          <w:tcPr>
            <w:tcW w:w="718" w:type="pct"/>
          </w:tcPr>
          <w:p w:rsidR="000919DA" w:rsidRPr="00027784" w:rsidRDefault="000919DA" w:rsidP="00B053B7">
            <w:pPr>
              <w:pStyle w:val="TableText0"/>
              <w:keepLines/>
              <w:rPr>
                <w:b/>
                <w:szCs w:val="20"/>
              </w:rPr>
            </w:pPr>
            <w:r w:rsidRPr="00027784">
              <w:rPr>
                <w:b/>
                <w:szCs w:val="20"/>
              </w:rPr>
              <w:t>Component</w:t>
            </w:r>
          </w:p>
        </w:tc>
        <w:tc>
          <w:tcPr>
            <w:tcW w:w="2616" w:type="pct"/>
            <w:shd w:val="clear" w:color="auto" w:fill="auto"/>
          </w:tcPr>
          <w:p w:rsidR="000919DA" w:rsidRPr="00027784" w:rsidRDefault="000919DA" w:rsidP="00B053B7">
            <w:pPr>
              <w:pStyle w:val="TableText0"/>
              <w:keepLines/>
              <w:rPr>
                <w:b/>
                <w:szCs w:val="20"/>
              </w:rPr>
            </w:pPr>
            <w:r w:rsidRPr="00027784">
              <w:rPr>
                <w:b/>
                <w:szCs w:val="20"/>
              </w:rPr>
              <w:t>Matter of concern</w:t>
            </w:r>
            <w:r w:rsidR="00D71318" w:rsidRPr="00027784">
              <w:rPr>
                <w:b/>
                <w:szCs w:val="20"/>
              </w:rPr>
              <w:t>: November 2017</w:t>
            </w:r>
          </w:p>
        </w:tc>
        <w:tc>
          <w:tcPr>
            <w:tcW w:w="1666" w:type="pct"/>
            <w:shd w:val="clear" w:color="auto" w:fill="auto"/>
          </w:tcPr>
          <w:p w:rsidR="000919DA" w:rsidRPr="00027784" w:rsidRDefault="000919DA" w:rsidP="00B053B7">
            <w:pPr>
              <w:pStyle w:val="TableText0"/>
              <w:keepLines/>
              <w:rPr>
                <w:b/>
                <w:szCs w:val="20"/>
              </w:rPr>
            </w:pPr>
            <w:r w:rsidRPr="00027784">
              <w:rPr>
                <w:b/>
                <w:szCs w:val="20"/>
              </w:rPr>
              <w:t>How the re</w:t>
            </w:r>
            <w:r w:rsidR="00BD0A72">
              <w:rPr>
                <w:b/>
                <w:szCs w:val="20"/>
              </w:rPr>
              <w:t>-</w:t>
            </w:r>
            <w:r w:rsidRPr="00027784">
              <w:rPr>
                <w:b/>
                <w:szCs w:val="20"/>
              </w:rPr>
              <w:t>submission addressed it</w:t>
            </w:r>
          </w:p>
        </w:tc>
      </w:tr>
      <w:tr w:rsidR="001F5C0B" w:rsidRPr="00027784" w:rsidTr="00B053B7">
        <w:trPr>
          <w:cantSplit/>
        </w:trPr>
        <w:tc>
          <w:tcPr>
            <w:tcW w:w="718" w:type="pct"/>
          </w:tcPr>
          <w:p w:rsidR="001F5C0B" w:rsidRPr="00027784" w:rsidRDefault="001F5C0B" w:rsidP="000C7F62">
            <w:pPr>
              <w:pStyle w:val="TableText0"/>
              <w:keepLines/>
              <w:rPr>
                <w:szCs w:val="20"/>
              </w:rPr>
            </w:pPr>
            <w:r w:rsidRPr="00027784">
              <w:rPr>
                <w:szCs w:val="20"/>
              </w:rPr>
              <w:t xml:space="preserve">Price </w:t>
            </w:r>
            <w:r w:rsidR="000C7F62" w:rsidRPr="00027784">
              <w:rPr>
                <w:szCs w:val="20"/>
              </w:rPr>
              <w:t>proposed</w:t>
            </w:r>
          </w:p>
        </w:tc>
        <w:tc>
          <w:tcPr>
            <w:tcW w:w="2616" w:type="pct"/>
            <w:shd w:val="clear" w:color="auto" w:fill="auto"/>
          </w:tcPr>
          <w:p w:rsidR="001F5C0B" w:rsidRPr="00027784" w:rsidRDefault="001F5C0B" w:rsidP="00B053B7">
            <w:pPr>
              <w:pStyle w:val="TableText0"/>
              <w:keepLines/>
              <w:rPr>
                <w:szCs w:val="20"/>
              </w:rPr>
            </w:pPr>
            <w:r w:rsidRPr="00027784">
              <w:rPr>
                <w:szCs w:val="20"/>
              </w:rPr>
              <w:t>$</w:t>
            </w:r>
            <w:r w:rsidR="00D03411">
              <w:rPr>
                <w:noProof/>
                <w:color w:val="000000"/>
                <w:szCs w:val="20"/>
                <w:highlight w:val="black"/>
              </w:rPr>
              <w:t>''''''''''''''''''''''</w:t>
            </w:r>
            <w:r w:rsidRPr="00027784">
              <w:rPr>
                <w:szCs w:val="20"/>
              </w:rPr>
              <w:t xml:space="preserve"> per bottle</w:t>
            </w:r>
            <w:r w:rsidR="000C7F62" w:rsidRPr="00027784">
              <w:rPr>
                <w:szCs w:val="20"/>
              </w:rPr>
              <w:t xml:space="preserve"> (AEMP)</w:t>
            </w:r>
          </w:p>
          <w:p w:rsidR="001F5C0B" w:rsidRPr="00027784" w:rsidRDefault="001F5C0B" w:rsidP="00B053B7">
            <w:pPr>
              <w:pStyle w:val="TableText0"/>
              <w:keepLines/>
              <w:rPr>
                <w:szCs w:val="20"/>
              </w:rPr>
            </w:pPr>
            <w:r w:rsidRPr="00027784">
              <w:rPr>
                <w:szCs w:val="20"/>
              </w:rPr>
              <w:t>$</w:t>
            </w:r>
            <w:r w:rsidR="00D03411">
              <w:rPr>
                <w:noProof/>
                <w:color w:val="000000"/>
                <w:szCs w:val="20"/>
                <w:highlight w:val="black"/>
              </w:rPr>
              <w:t>'''''''''''''</w:t>
            </w:r>
            <w:r w:rsidRPr="00027784">
              <w:rPr>
                <w:szCs w:val="20"/>
              </w:rPr>
              <w:t xml:space="preserve"> per gram of NaPb</w:t>
            </w:r>
            <w:r w:rsidR="000C7F62" w:rsidRPr="00027784">
              <w:rPr>
                <w:szCs w:val="20"/>
              </w:rPr>
              <w:t xml:space="preserve"> (at DPMQ level)</w:t>
            </w:r>
          </w:p>
        </w:tc>
        <w:tc>
          <w:tcPr>
            <w:tcW w:w="1666" w:type="pct"/>
            <w:shd w:val="clear" w:color="auto" w:fill="auto"/>
          </w:tcPr>
          <w:p w:rsidR="001F5C0B" w:rsidRPr="00027784" w:rsidRDefault="001F5C0B" w:rsidP="00B053B7">
            <w:pPr>
              <w:pStyle w:val="TableText0"/>
              <w:keepLines/>
              <w:rPr>
                <w:szCs w:val="20"/>
              </w:rPr>
            </w:pPr>
            <w:r w:rsidRPr="00027784">
              <w:rPr>
                <w:szCs w:val="20"/>
              </w:rPr>
              <w:t>Unchanged</w:t>
            </w:r>
          </w:p>
        </w:tc>
      </w:tr>
      <w:tr w:rsidR="00B053B7" w:rsidRPr="00027784" w:rsidTr="00B053B7">
        <w:trPr>
          <w:cantSplit/>
        </w:trPr>
        <w:tc>
          <w:tcPr>
            <w:tcW w:w="718" w:type="pct"/>
          </w:tcPr>
          <w:p w:rsidR="00B053B7" w:rsidRPr="00027784" w:rsidRDefault="00B053B7" w:rsidP="00B053B7">
            <w:pPr>
              <w:pStyle w:val="TableText0"/>
              <w:keepLines/>
              <w:rPr>
                <w:szCs w:val="20"/>
              </w:rPr>
            </w:pPr>
            <w:r w:rsidRPr="00027784">
              <w:rPr>
                <w:szCs w:val="20"/>
              </w:rPr>
              <w:t>Availability of ammonia scavengers through the SAS</w:t>
            </w:r>
          </w:p>
        </w:tc>
        <w:tc>
          <w:tcPr>
            <w:tcW w:w="2616" w:type="pct"/>
            <w:shd w:val="clear" w:color="auto" w:fill="auto"/>
          </w:tcPr>
          <w:p w:rsidR="00B053B7" w:rsidRPr="00027784" w:rsidRDefault="00B053B7" w:rsidP="00B053B7">
            <w:pPr>
              <w:pStyle w:val="TableText0"/>
              <w:keepLines/>
              <w:rPr>
                <w:szCs w:val="20"/>
              </w:rPr>
            </w:pPr>
            <w:r w:rsidRPr="00027784">
              <w:rPr>
                <w:szCs w:val="20"/>
              </w:rPr>
              <w:t xml:space="preserve">[Para 7.2] The PBAC was of the view that there was a need to ensure the continuing availability of NaPb, which could be achieved through compounding of the raw material into capsules or syrup by compounding pharmacists. </w:t>
            </w:r>
          </w:p>
        </w:tc>
        <w:tc>
          <w:tcPr>
            <w:tcW w:w="1666" w:type="pct"/>
            <w:shd w:val="clear" w:color="auto" w:fill="auto"/>
          </w:tcPr>
          <w:p w:rsidR="00B053B7" w:rsidRPr="00027784" w:rsidRDefault="00B053B7" w:rsidP="00A0038C">
            <w:pPr>
              <w:pStyle w:val="TableText0"/>
              <w:keepLines/>
              <w:rPr>
                <w:szCs w:val="20"/>
              </w:rPr>
            </w:pPr>
            <w:r w:rsidRPr="00027784">
              <w:rPr>
                <w:szCs w:val="20"/>
              </w:rPr>
              <w:t xml:space="preserve">The re-submission stated that access </w:t>
            </w:r>
            <w:r w:rsidR="00A0038C" w:rsidRPr="00027784">
              <w:rPr>
                <w:szCs w:val="20"/>
              </w:rPr>
              <w:t>t</w:t>
            </w:r>
            <w:r w:rsidRPr="00027784">
              <w:rPr>
                <w:szCs w:val="20"/>
              </w:rPr>
              <w:t>o other ammonia scavengers via the TGA SAS program would be more limited now that a registered product (coated NaPb) is available.</w:t>
            </w:r>
          </w:p>
        </w:tc>
      </w:tr>
      <w:tr w:rsidR="000919DA" w:rsidRPr="00027784" w:rsidTr="00B053B7">
        <w:trPr>
          <w:cantSplit/>
        </w:trPr>
        <w:tc>
          <w:tcPr>
            <w:tcW w:w="718" w:type="pct"/>
          </w:tcPr>
          <w:p w:rsidR="000919DA" w:rsidRPr="00027784" w:rsidRDefault="00D71318" w:rsidP="00B053B7">
            <w:pPr>
              <w:pStyle w:val="TableText0"/>
              <w:keepLines/>
              <w:rPr>
                <w:szCs w:val="20"/>
              </w:rPr>
            </w:pPr>
            <w:r w:rsidRPr="00027784">
              <w:rPr>
                <w:szCs w:val="20"/>
              </w:rPr>
              <w:t>Comparator</w:t>
            </w:r>
          </w:p>
        </w:tc>
        <w:tc>
          <w:tcPr>
            <w:tcW w:w="2616" w:type="pct"/>
            <w:shd w:val="clear" w:color="auto" w:fill="auto"/>
          </w:tcPr>
          <w:p w:rsidR="000919DA" w:rsidRPr="00027784" w:rsidRDefault="00D71318" w:rsidP="00287C13">
            <w:pPr>
              <w:pStyle w:val="TableText0"/>
              <w:keepLines/>
              <w:rPr>
                <w:szCs w:val="20"/>
              </w:rPr>
            </w:pPr>
            <w:r w:rsidRPr="00027784">
              <w:rPr>
                <w:szCs w:val="20"/>
              </w:rPr>
              <w:t xml:space="preserve">[Para 7.3] </w:t>
            </w:r>
            <w:r w:rsidR="00287C13" w:rsidRPr="00027784">
              <w:rPr>
                <w:szCs w:val="20"/>
              </w:rPr>
              <w:t>O</w:t>
            </w:r>
            <w:r w:rsidRPr="00027784">
              <w:rPr>
                <w:szCs w:val="20"/>
              </w:rPr>
              <w:t>ther formulations of NaPb and/or NaBz were the appropriate comparators.</w:t>
            </w:r>
          </w:p>
        </w:tc>
        <w:tc>
          <w:tcPr>
            <w:tcW w:w="1666" w:type="pct"/>
            <w:shd w:val="clear" w:color="auto" w:fill="auto"/>
          </w:tcPr>
          <w:p w:rsidR="000919DA" w:rsidRPr="00027784" w:rsidRDefault="0066064D" w:rsidP="00B053B7">
            <w:pPr>
              <w:pStyle w:val="TableText0"/>
              <w:keepLines/>
              <w:rPr>
                <w:szCs w:val="20"/>
              </w:rPr>
            </w:pPr>
            <w:r w:rsidRPr="00027784">
              <w:rPr>
                <w:szCs w:val="20"/>
              </w:rPr>
              <w:t>NaPb powder compounded into oral suspension or capsules by a pharmacy.</w:t>
            </w:r>
          </w:p>
          <w:p w:rsidR="00287C13" w:rsidRPr="00027784" w:rsidRDefault="00287C13" w:rsidP="00B053B7">
            <w:pPr>
              <w:pStyle w:val="TableText0"/>
              <w:keepLines/>
              <w:rPr>
                <w:szCs w:val="20"/>
              </w:rPr>
            </w:pPr>
            <w:r w:rsidRPr="00027784">
              <w:rPr>
                <w:szCs w:val="20"/>
              </w:rPr>
              <w:t>NaBz was not considered in the CMA, which was not conservative.</w:t>
            </w:r>
          </w:p>
        </w:tc>
      </w:tr>
      <w:tr w:rsidR="0066064D" w:rsidRPr="00027784" w:rsidTr="00B053B7">
        <w:trPr>
          <w:cantSplit/>
          <w:trHeight w:val="1497"/>
        </w:trPr>
        <w:tc>
          <w:tcPr>
            <w:tcW w:w="718" w:type="pct"/>
          </w:tcPr>
          <w:p w:rsidR="0066064D" w:rsidRPr="00027784" w:rsidRDefault="0066064D" w:rsidP="00B053B7">
            <w:pPr>
              <w:pStyle w:val="TableText0"/>
              <w:keepLines/>
              <w:rPr>
                <w:szCs w:val="20"/>
              </w:rPr>
            </w:pPr>
            <w:r w:rsidRPr="00027784">
              <w:rPr>
                <w:szCs w:val="20"/>
              </w:rPr>
              <w:t xml:space="preserve">Clinical evidence and efficacy claim  </w:t>
            </w:r>
          </w:p>
        </w:tc>
        <w:tc>
          <w:tcPr>
            <w:tcW w:w="2616" w:type="pct"/>
            <w:shd w:val="clear" w:color="auto" w:fill="auto"/>
          </w:tcPr>
          <w:p w:rsidR="0066064D" w:rsidRPr="00027784" w:rsidRDefault="0066064D" w:rsidP="00B053B7">
            <w:pPr>
              <w:pStyle w:val="TableText0"/>
              <w:keepLines/>
              <w:rPr>
                <w:szCs w:val="20"/>
              </w:rPr>
            </w:pPr>
            <w:r w:rsidRPr="00027784">
              <w:rPr>
                <w:szCs w:val="20"/>
              </w:rPr>
              <w:t xml:space="preserve">[Para 7.5 &amp; 7.7] The PBAC considered the clinical evidence was of low quality and insufficient to support a claim of superior efficacy over other ammonia scavenger formulations.  The PBAC considered that a claim of non-inferior comparative efficacy and safety with other ammonia scavenger formulations would have been more appropriate. </w:t>
            </w:r>
          </w:p>
        </w:tc>
        <w:tc>
          <w:tcPr>
            <w:tcW w:w="1666" w:type="pct"/>
            <w:shd w:val="clear" w:color="auto" w:fill="auto"/>
          </w:tcPr>
          <w:p w:rsidR="0066064D" w:rsidRPr="00027784" w:rsidRDefault="0066064D" w:rsidP="00B053B7">
            <w:pPr>
              <w:pStyle w:val="TableText0"/>
              <w:keepLines/>
              <w:rPr>
                <w:szCs w:val="20"/>
              </w:rPr>
            </w:pPr>
            <w:r w:rsidRPr="00027784">
              <w:rPr>
                <w:szCs w:val="20"/>
              </w:rPr>
              <w:t>No new evidence was provided.</w:t>
            </w:r>
          </w:p>
          <w:p w:rsidR="0066064D" w:rsidRPr="00027784" w:rsidRDefault="0066064D" w:rsidP="00287C13">
            <w:pPr>
              <w:pStyle w:val="TableText0"/>
              <w:keepLines/>
              <w:rPr>
                <w:szCs w:val="20"/>
              </w:rPr>
            </w:pPr>
            <w:r w:rsidRPr="00027784">
              <w:rPr>
                <w:szCs w:val="20"/>
              </w:rPr>
              <w:t xml:space="preserve">The implicit claim was of non-inferior comparative efficacy and safety compared with compounded NaPb given that a </w:t>
            </w:r>
            <w:r w:rsidR="00287C13" w:rsidRPr="00027784">
              <w:rPr>
                <w:szCs w:val="20"/>
              </w:rPr>
              <w:t>CMA</w:t>
            </w:r>
            <w:r w:rsidRPr="00027784">
              <w:rPr>
                <w:szCs w:val="20"/>
              </w:rPr>
              <w:t xml:space="preserve"> was conducted.</w:t>
            </w:r>
          </w:p>
        </w:tc>
      </w:tr>
      <w:tr w:rsidR="000919DA" w:rsidRPr="00027784" w:rsidTr="00B053B7">
        <w:trPr>
          <w:cantSplit/>
        </w:trPr>
        <w:tc>
          <w:tcPr>
            <w:tcW w:w="718" w:type="pct"/>
          </w:tcPr>
          <w:p w:rsidR="000919DA" w:rsidRPr="00027784" w:rsidRDefault="0066064D" w:rsidP="00B053B7">
            <w:pPr>
              <w:pStyle w:val="TableText0"/>
              <w:keepLines/>
              <w:rPr>
                <w:szCs w:val="20"/>
              </w:rPr>
            </w:pPr>
            <w:r w:rsidRPr="00027784">
              <w:rPr>
                <w:szCs w:val="20"/>
              </w:rPr>
              <w:t>Economic analysis</w:t>
            </w:r>
          </w:p>
        </w:tc>
        <w:tc>
          <w:tcPr>
            <w:tcW w:w="2616" w:type="pct"/>
            <w:shd w:val="clear" w:color="auto" w:fill="auto"/>
          </w:tcPr>
          <w:p w:rsidR="000919DA" w:rsidRPr="00027784" w:rsidRDefault="0066064D" w:rsidP="00B053B7">
            <w:pPr>
              <w:pStyle w:val="TableText0"/>
              <w:keepLines/>
              <w:rPr>
                <w:szCs w:val="20"/>
              </w:rPr>
            </w:pPr>
            <w:r w:rsidRPr="00027784">
              <w:rPr>
                <w:szCs w:val="20"/>
              </w:rPr>
              <w:t>[Para 7.8] G</w:t>
            </w:r>
            <w:r w:rsidR="00647DE7" w:rsidRPr="00027784">
              <w:rPr>
                <w:szCs w:val="20"/>
              </w:rPr>
              <w:t xml:space="preserve">iven the lack of reliable clinical data to inform a </w:t>
            </w:r>
            <w:r w:rsidR="00B053B7" w:rsidRPr="00027784">
              <w:rPr>
                <w:szCs w:val="20"/>
              </w:rPr>
              <w:t>CUA</w:t>
            </w:r>
            <w:r w:rsidR="00647DE7" w:rsidRPr="00027784">
              <w:rPr>
                <w:szCs w:val="20"/>
              </w:rPr>
              <w:t xml:space="preserve">, a </w:t>
            </w:r>
            <w:r w:rsidR="00B053B7" w:rsidRPr="00027784">
              <w:rPr>
                <w:szCs w:val="20"/>
              </w:rPr>
              <w:t>CMA</w:t>
            </w:r>
            <w:r w:rsidR="00647DE7" w:rsidRPr="00027784">
              <w:rPr>
                <w:szCs w:val="20"/>
              </w:rPr>
              <w:t xml:space="preserve"> against other ammonia scavengers would have been more appropriate</w:t>
            </w:r>
            <w:r w:rsidRPr="00027784">
              <w:rPr>
                <w:szCs w:val="20"/>
              </w:rPr>
              <w:t>.</w:t>
            </w:r>
          </w:p>
        </w:tc>
        <w:tc>
          <w:tcPr>
            <w:tcW w:w="1666" w:type="pct"/>
            <w:shd w:val="clear" w:color="auto" w:fill="auto"/>
          </w:tcPr>
          <w:p w:rsidR="000919DA" w:rsidRPr="00027784" w:rsidRDefault="00B053B7" w:rsidP="00BD6D2C">
            <w:pPr>
              <w:pStyle w:val="TableText0"/>
              <w:keepLines/>
              <w:rPr>
                <w:szCs w:val="20"/>
              </w:rPr>
            </w:pPr>
            <w:r w:rsidRPr="00027784">
              <w:rPr>
                <w:szCs w:val="20"/>
              </w:rPr>
              <w:t>CMA</w:t>
            </w:r>
            <w:r w:rsidR="0066064D" w:rsidRPr="00027784">
              <w:rPr>
                <w:szCs w:val="20"/>
              </w:rPr>
              <w:t xml:space="preserve"> </w:t>
            </w:r>
            <w:r w:rsidRPr="00027784">
              <w:rPr>
                <w:szCs w:val="20"/>
              </w:rPr>
              <w:t>versus</w:t>
            </w:r>
            <w:r w:rsidR="0066064D" w:rsidRPr="00027784">
              <w:rPr>
                <w:szCs w:val="20"/>
              </w:rPr>
              <w:t xml:space="preserve"> NaPb powder compounded into oral suspension or capsules by a pharmacy.</w:t>
            </w:r>
            <w:r w:rsidR="000C7F62" w:rsidRPr="00027784">
              <w:rPr>
                <w:szCs w:val="20"/>
              </w:rPr>
              <w:t xml:space="preserve"> </w:t>
            </w:r>
            <w:r w:rsidR="00BD6D2C">
              <w:rPr>
                <w:szCs w:val="20"/>
              </w:rPr>
              <w:t>The PBAC considered that the c</w:t>
            </w:r>
            <w:r w:rsidR="000C7F62" w:rsidRPr="00027784">
              <w:rPr>
                <w:szCs w:val="20"/>
              </w:rPr>
              <w:t xml:space="preserve">ompounding costs </w:t>
            </w:r>
            <w:r w:rsidR="00BD6D2C">
              <w:rPr>
                <w:szCs w:val="20"/>
              </w:rPr>
              <w:t xml:space="preserve">and mark-ups applied </w:t>
            </w:r>
            <w:r w:rsidR="000C7F62" w:rsidRPr="00027784">
              <w:rPr>
                <w:szCs w:val="20"/>
              </w:rPr>
              <w:t>were not reasonable.</w:t>
            </w:r>
          </w:p>
        </w:tc>
      </w:tr>
      <w:tr w:rsidR="000919DA" w:rsidRPr="00027784" w:rsidTr="00B053B7">
        <w:trPr>
          <w:cantSplit/>
        </w:trPr>
        <w:tc>
          <w:tcPr>
            <w:tcW w:w="718" w:type="pct"/>
          </w:tcPr>
          <w:p w:rsidR="000919DA" w:rsidRPr="00027784" w:rsidRDefault="000C7F62" w:rsidP="00B053B7">
            <w:pPr>
              <w:pStyle w:val="TableText0"/>
              <w:keepLines/>
              <w:rPr>
                <w:szCs w:val="20"/>
              </w:rPr>
            </w:pPr>
            <w:r w:rsidRPr="00027784">
              <w:rPr>
                <w:szCs w:val="20"/>
              </w:rPr>
              <w:t>Financial estimates</w:t>
            </w:r>
          </w:p>
        </w:tc>
        <w:tc>
          <w:tcPr>
            <w:tcW w:w="2616" w:type="pct"/>
            <w:shd w:val="clear" w:color="auto" w:fill="auto"/>
          </w:tcPr>
          <w:p w:rsidR="000919DA" w:rsidRPr="00027784" w:rsidRDefault="000C7F62" w:rsidP="000C7F62">
            <w:pPr>
              <w:pStyle w:val="TableText0"/>
              <w:keepLines/>
              <w:rPr>
                <w:szCs w:val="20"/>
                <w:lang w:val="en-GB"/>
              </w:rPr>
            </w:pPr>
            <w:r w:rsidRPr="00027784">
              <w:rPr>
                <w:szCs w:val="20"/>
                <w:lang w:val="en-GB"/>
              </w:rPr>
              <w:t>[Para 7.10] M</w:t>
            </w:r>
            <w:r w:rsidR="00647DE7" w:rsidRPr="00027784">
              <w:rPr>
                <w:szCs w:val="20"/>
                <w:lang w:val="en-GB"/>
              </w:rPr>
              <w:t xml:space="preserve">arket uptake would be considerably higher than estimated as coated NaPb would likely replace the majority of use or current SAS supplied products. </w:t>
            </w:r>
            <w:r w:rsidRPr="00027784">
              <w:rPr>
                <w:szCs w:val="20"/>
                <w:lang w:val="en-GB"/>
              </w:rPr>
              <w:t>F</w:t>
            </w:r>
            <w:r w:rsidR="00647DE7" w:rsidRPr="00027784">
              <w:rPr>
                <w:szCs w:val="20"/>
                <w:lang w:val="en-GB"/>
              </w:rPr>
              <w:t xml:space="preserve">inancial estimates had underestimated the dose of </w:t>
            </w:r>
            <w:r w:rsidRPr="00027784">
              <w:rPr>
                <w:szCs w:val="20"/>
                <w:lang w:val="en-GB"/>
              </w:rPr>
              <w:t xml:space="preserve">coated </w:t>
            </w:r>
            <w:r w:rsidR="00647DE7" w:rsidRPr="00027784">
              <w:rPr>
                <w:szCs w:val="20"/>
                <w:lang w:val="en-GB"/>
              </w:rPr>
              <w:t>NaPb and overestimated cost offsets for hospitalisations.</w:t>
            </w:r>
          </w:p>
          <w:p w:rsidR="000C7F62" w:rsidRPr="00027784" w:rsidRDefault="000C7F62" w:rsidP="000C7F62">
            <w:pPr>
              <w:pStyle w:val="TableText0"/>
              <w:keepLines/>
              <w:rPr>
                <w:szCs w:val="20"/>
                <w:lang w:val="en-GB"/>
              </w:rPr>
            </w:pPr>
            <w:r w:rsidRPr="00027784">
              <w:rPr>
                <w:szCs w:val="20"/>
                <w:lang w:val="en-GB"/>
              </w:rPr>
              <w:t>(Refer to Table 5 for other concerns and how these were addressed)</w:t>
            </w:r>
          </w:p>
        </w:tc>
        <w:tc>
          <w:tcPr>
            <w:tcW w:w="1666" w:type="pct"/>
            <w:shd w:val="clear" w:color="auto" w:fill="auto"/>
          </w:tcPr>
          <w:p w:rsidR="000919DA" w:rsidRPr="00027784" w:rsidRDefault="000C7F62" w:rsidP="000C7F62">
            <w:pPr>
              <w:rPr>
                <w:highlight w:val="yellow"/>
                <w:lang w:eastAsia="en-US"/>
              </w:rPr>
            </w:pPr>
            <w:r w:rsidRPr="00027784">
              <w:rPr>
                <w:rFonts w:ascii="Arial Narrow" w:eastAsiaTheme="minorHAnsi" w:hAnsi="Arial Narrow" w:cstheme="minorBidi"/>
                <w:sz w:val="20"/>
                <w:szCs w:val="20"/>
                <w:lang w:eastAsia="en-US"/>
              </w:rPr>
              <w:t xml:space="preserve">Market uptake increased to </w:t>
            </w:r>
            <w:r w:rsidR="00D03411">
              <w:rPr>
                <w:rFonts w:ascii="Arial Narrow" w:eastAsiaTheme="minorHAnsi" w:hAnsi="Arial Narrow" w:cstheme="minorBidi"/>
                <w:noProof/>
                <w:color w:val="000000"/>
                <w:sz w:val="20"/>
                <w:szCs w:val="20"/>
                <w:highlight w:val="black"/>
                <w:lang w:eastAsia="en-US"/>
              </w:rPr>
              <w:t>''''''</w:t>
            </w:r>
            <w:r w:rsidRPr="00027784">
              <w:rPr>
                <w:rFonts w:ascii="Arial Narrow" w:eastAsiaTheme="minorHAnsi" w:hAnsi="Arial Narrow" w:cstheme="minorBidi"/>
                <w:sz w:val="20"/>
                <w:szCs w:val="20"/>
                <w:lang w:eastAsia="en-US"/>
              </w:rPr>
              <w:t xml:space="preserve">% in Yr 1 increasing to </w:t>
            </w:r>
            <w:r w:rsidR="00D03411">
              <w:rPr>
                <w:rFonts w:ascii="Arial Narrow" w:eastAsiaTheme="minorHAnsi" w:hAnsi="Arial Narrow" w:cstheme="minorBidi"/>
                <w:noProof/>
                <w:color w:val="000000"/>
                <w:sz w:val="20"/>
                <w:szCs w:val="20"/>
                <w:highlight w:val="black"/>
                <w:lang w:eastAsia="en-US"/>
              </w:rPr>
              <w:t>'''''''''</w:t>
            </w:r>
            <w:r w:rsidRPr="00027784">
              <w:rPr>
                <w:rFonts w:ascii="Arial Narrow" w:eastAsiaTheme="minorHAnsi" w:hAnsi="Arial Narrow" w:cstheme="minorBidi"/>
                <w:sz w:val="20"/>
                <w:szCs w:val="20"/>
                <w:lang w:eastAsia="en-US"/>
              </w:rPr>
              <w:t xml:space="preserve">% in Yr 5. Doses were increased by </w:t>
            </w:r>
            <w:r w:rsidR="00D03411">
              <w:rPr>
                <w:rFonts w:ascii="Arial Narrow" w:eastAsiaTheme="minorHAnsi" w:hAnsi="Arial Narrow" w:cstheme="minorBidi"/>
                <w:noProof/>
                <w:color w:val="000000"/>
                <w:sz w:val="20"/>
                <w:szCs w:val="20"/>
                <w:highlight w:val="black"/>
                <w:lang w:eastAsia="en-US"/>
              </w:rPr>
              <w:t>'''''''</w:t>
            </w:r>
            <w:r w:rsidRPr="00027784">
              <w:rPr>
                <w:rFonts w:ascii="Arial Narrow" w:eastAsiaTheme="minorHAnsi" w:hAnsi="Arial Narrow" w:cstheme="minorBidi"/>
                <w:sz w:val="20"/>
                <w:szCs w:val="20"/>
                <w:lang w:eastAsia="en-US"/>
              </w:rPr>
              <w:t xml:space="preserve">% (no basis provided). The cost of each hospitalisation was reduced (no change to the number of hospitalisations). </w:t>
            </w:r>
          </w:p>
        </w:tc>
      </w:tr>
    </w:tbl>
    <w:p w:rsidR="000919DA" w:rsidRPr="00027784" w:rsidRDefault="000919DA" w:rsidP="00B053B7">
      <w:pPr>
        <w:pStyle w:val="TableFooter"/>
        <w:keepNext/>
        <w:keepLines/>
        <w:jc w:val="left"/>
      </w:pPr>
      <w:r w:rsidRPr="00027784">
        <w:t>Source: November 201</w:t>
      </w:r>
      <w:r w:rsidR="00D71318" w:rsidRPr="00027784">
        <w:t>7</w:t>
      </w:r>
      <w:r w:rsidRPr="00027784">
        <w:t xml:space="preserve"> PBAC minutes and the re</w:t>
      </w:r>
      <w:r w:rsidR="00BD0A72">
        <w:t>-</w:t>
      </w:r>
      <w:r w:rsidRPr="00027784">
        <w:t>submission</w:t>
      </w:r>
    </w:p>
    <w:p w:rsidR="000919DA" w:rsidRPr="00027784" w:rsidRDefault="000C7F62" w:rsidP="00B41B05">
      <w:pPr>
        <w:pStyle w:val="TableFooter"/>
      </w:pPr>
      <w:r w:rsidRPr="00027784">
        <w:t xml:space="preserve">AEMP = approved ex-manufacturer price; </w:t>
      </w:r>
      <w:r w:rsidR="00B053B7" w:rsidRPr="00027784">
        <w:t>CMA = cost-minimisation analysis; CUA = cost-utility analysis</w:t>
      </w:r>
      <w:r w:rsidR="000919DA" w:rsidRPr="00027784">
        <w:t>;</w:t>
      </w:r>
      <w:r w:rsidRPr="00027784">
        <w:t xml:space="preserve"> DPMQ =</w:t>
      </w:r>
      <w:r w:rsidR="002E3127" w:rsidRPr="00027784">
        <w:t xml:space="preserve"> dispensed price for maximum quantity;</w:t>
      </w:r>
      <w:r w:rsidR="00B053B7" w:rsidRPr="00027784">
        <w:t xml:space="preserve"> NaBz = sodium benzoate; NaPb =</w:t>
      </w:r>
      <w:r w:rsidR="000919DA" w:rsidRPr="00027784">
        <w:t xml:space="preserve"> </w:t>
      </w:r>
      <w:r w:rsidR="00B053B7" w:rsidRPr="00027784">
        <w:t xml:space="preserve">sodium phenylbutyrate; </w:t>
      </w:r>
      <w:r w:rsidR="000919DA" w:rsidRPr="00027784">
        <w:t xml:space="preserve">PBAC = Pharmaceutical Benefits Advisory Committee </w:t>
      </w:r>
    </w:p>
    <w:p w:rsidR="00D92AEB" w:rsidRPr="00027784" w:rsidRDefault="00D92AEB" w:rsidP="00B41B05">
      <w:pPr>
        <w:keepNext/>
        <w:keepLines/>
        <w:spacing w:after="120"/>
        <w:rPr>
          <w:rFonts w:asciiTheme="minorHAnsi" w:eastAsiaTheme="minorHAnsi" w:hAnsiTheme="minorHAnsi" w:cstheme="minorBidi"/>
          <w:szCs w:val="22"/>
          <w:u w:val="single"/>
        </w:rPr>
      </w:pPr>
      <w:r w:rsidRPr="00027784">
        <w:rPr>
          <w:rFonts w:asciiTheme="minorHAnsi" w:eastAsiaTheme="minorHAnsi" w:hAnsiTheme="minorHAnsi" w:cstheme="minorBidi"/>
          <w:szCs w:val="22"/>
          <w:u w:val="single"/>
        </w:rPr>
        <w:t>Availability of ammonia scavengers vi</w:t>
      </w:r>
      <w:r w:rsidR="00AA41EB" w:rsidRPr="00027784">
        <w:rPr>
          <w:rFonts w:asciiTheme="minorHAnsi" w:eastAsiaTheme="minorHAnsi" w:hAnsiTheme="minorHAnsi" w:cstheme="minorBidi"/>
          <w:szCs w:val="22"/>
          <w:u w:val="single"/>
        </w:rPr>
        <w:t>a</w:t>
      </w:r>
      <w:r w:rsidRPr="00027784">
        <w:rPr>
          <w:rFonts w:asciiTheme="minorHAnsi" w:eastAsiaTheme="minorHAnsi" w:hAnsiTheme="minorHAnsi" w:cstheme="minorBidi"/>
          <w:szCs w:val="22"/>
          <w:u w:val="single"/>
        </w:rPr>
        <w:t xml:space="preserve"> the TGA Special Access Scheme</w:t>
      </w:r>
    </w:p>
    <w:p w:rsidR="00D92AEB" w:rsidRPr="00BD6D2C" w:rsidRDefault="00D92AEB" w:rsidP="00B41B05">
      <w:pPr>
        <w:pStyle w:val="ListParagraph"/>
        <w:keepNext/>
        <w:keepLines/>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As outlined in the November 2017 PBAC</w:t>
      </w:r>
      <w:r w:rsidR="00AA1BEA">
        <w:rPr>
          <w:rFonts w:asciiTheme="minorHAnsi" w:eastAsiaTheme="minorHAnsi" w:hAnsiTheme="minorHAnsi" w:cstheme="minorBidi"/>
          <w:snapToGrid/>
          <w:sz w:val="24"/>
          <w:szCs w:val="22"/>
        </w:rPr>
        <w:t xml:space="preserve"> PSD</w:t>
      </w:r>
      <w:r w:rsidRPr="00027784">
        <w:rPr>
          <w:rFonts w:asciiTheme="minorHAnsi" w:eastAsiaTheme="minorHAnsi" w:hAnsiTheme="minorHAnsi" w:cstheme="minorBidi"/>
          <w:snapToGrid/>
          <w:sz w:val="24"/>
          <w:szCs w:val="22"/>
        </w:rPr>
        <w:t xml:space="preserve">, the two </w:t>
      </w:r>
      <w:r w:rsidR="00E15831" w:rsidRPr="00027784">
        <w:rPr>
          <w:rFonts w:asciiTheme="minorHAnsi" w:eastAsiaTheme="minorHAnsi" w:hAnsiTheme="minorHAnsi" w:cstheme="minorBidi"/>
          <w:snapToGrid/>
          <w:sz w:val="24"/>
          <w:szCs w:val="22"/>
        </w:rPr>
        <w:t>currently</w:t>
      </w:r>
      <w:r w:rsidRPr="00027784">
        <w:rPr>
          <w:rFonts w:asciiTheme="minorHAnsi" w:eastAsiaTheme="minorHAnsi" w:hAnsiTheme="minorHAnsi" w:cstheme="minorBidi"/>
          <w:snapToGrid/>
          <w:sz w:val="24"/>
          <w:szCs w:val="22"/>
        </w:rPr>
        <w:t xml:space="preserve"> used ammonia scavengers are uncoated NaPb and</w:t>
      </w:r>
      <w:r w:rsidR="00AA41EB" w:rsidRPr="00027784">
        <w:t xml:space="preserve"> </w:t>
      </w:r>
      <w:r w:rsidR="00AA41EB" w:rsidRPr="00027784">
        <w:rPr>
          <w:rFonts w:asciiTheme="minorHAnsi" w:eastAsiaTheme="minorHAnsi" w:hAnsiTheme="minorHAnsi" w:cstheme="minorBidi"/>
          <w:snapToGrid/>
          <w:sz w:val="24"/>
          <w:szCs w:val="22"/>
        </w:rPr>
        <w:t xml:space="preserve">sodium benzoate (NaBz). </w:t>
      </w:r>
      <w:r w:rsidR="00BC2C7B" w:rsidRPr="00027784">
        <w:rPr>
          <w:rFonts w:asciiTheme="minorHAnsi" w:eastAsiaTheme="minorHAnsi" w:hAnsiTheme="minorHAnsi" w:cstheme="minorBidi"/>
          <w:snapToGrid/>
          <w:sz w:val="24"/>
          <w:szCs w:val="22"/>
        </w:rPr>
        <w:t>These</w:t>
      </w:r>
      <w:r w:rsidR="00AA41EB" w:rsidRPr="00027784">
        <w:rPr>
          <w:rFonts w:asciiTheme="minorHAnsi" w:eastAsiaTheme="minorHAnsi" w:hAnsiTheme="minorHAnsi" w:cstheme="minorBidi"/>
          <w:snapToGrid/>
          <w:sz w:val="24"/>
          <w:szCs w:val="22"/>
        </w:rPr>
        <w:t xml:space="preserve"> </w:t>
      </w:r>
      <w:r w:rsidRPr="00027784">
        <w:rPr>
          <w:rFonts w:asciiTheme="minorHAnsi" w:eastAsiaTheme="minorHAnsi" w:hAnsiTheme="minorHAnsi" w:cstheme="minorBidi"/>
          <w:snapToGrid/>
          <w:sz w:val="24"/>
          <w:szCs w:val="22"/>
        </w:rPr>
        <w:t xml:space="preserve">have been used to treat UCDs for decades. In Australia, they are not TGA-registered and </w:t>
      </w:r>
      <w:r w:rsidR="00BC2C7B" w:rsidRPr="00027784">
        <w:rPr>
          <w:rFonts w:asciiTheme="minorHAnsi" w:eastAsiaTheme="minorHAnsi" w:hAnsiTheme="minorHAnsi" w:cstheme="minorBidi"/>
          <w:snapToGrid/>
          <w:sz w:val="24"/>
          <w:szCs w:val="22"/>
        </w:rPr>
        <w:t>have been</w:t>
      </w:r>
      <w:r w:rsidRPr="00027784">
        <w:rPr>
          <w:rFonts w:asciiTheme="minorHAnsi" w:eastAsiaTheme="minorHAnsi" w:hAnsiTheme="minorHAnsi" w:cstheme="minorBidi"/>
          <w:snapToGrid/>
          <w:sz w:val="24"/>
          <w:szCs w:val="22"/>
        </w:rPr>
        <w:t xml:space="preserve"> accessed through the Special Access Scheme (SAS). The clinician survey provided in the November 2017 submission indicated that in Australia, </w:t>
      </w:r>
      <w:r w:rsidRPr="00BD6D2C">
        <w:rPr>
          <w:rFonts w:asciiTheme="minorHAnsi" w:eastAsiaTheme="minorHAnsi" w:hAnsiTheme="minorHAnsi" w:cstheme="minorBidi"/>
          <w:snapToGrid/>
          <w:sz w:val="24"/>
          <w:szCs w:val="22"/>
        </w:rPr>
        <w:t xml:space="preserve">public hospitals currently </w:t>
      </w:r>
      <w:r w:rsidR="000675E1" w:rsidRPr="00BD6D2C">
        <w:rPr>
          <w:rFonts w:asciiTheme="minorHAnsi" w:eastAsiaTheme="minorHAnsi" w:hAnsiTheme="minorHAnsi" w:cstheme="minorBidi"/>
          <w:snapToGrid/>
          <w:sz w:val="24"/>
          <w:szCs w:val="22"/>
        </w:rPr>
        <w:t xml:space="preserve">access and </w:t>
      </w:r>
      <w:r w:rsidRPr="00BD6D2C">
        <w:rPr>
          <w:rFonts w:asciiTheme="minorHAnsi" w:eastAsiaTheme="minorHAnsi" w:hAnsiTheme="minorHAnsi" w:cstheme="minorBidi"/>
          <w:snapToGrid/>
          <w:sz w:val="24"/>
          <w:szCs w:val="22"/>
        </w:rPr>
        <w:t>pay for ammonia scavengers</w:t>
      </w:r>
      <w:r w:rsidR="000675E1" w:rsidRPr="00BD6D2C">
        <w:rPr>
          <w:rFonts w:asciiTheme="minorHAnsi" w:eastAsiaTheme="minorHAnsi" w:hAnsiTheme="minorHAnsi" w:cstheme="minorBidi"/>
          <w:snapToGrid/>
          <w:sz w:val="24"/>
          <w:szCs w:val="22"/>
        </w:rPr>
        <w:t xml:space="preserve"> for patients</w:t>
      </w:r>
      <w:r w:rsidRPr="00BD6D2C">
        <w:rPr>
          <w:rFonts w:asciiTheme="minorHAnsi" w:eastAsiaTheme="minorHAnsi" w:hAnsiTheme="minorHAnsi" w:cstheme="minorBidi"/>
          <w:snapToGrid/>
          <w:sz w:val="24"/>
          <w:szCs w:val="22"/>
        </w:rPr>
        <w:t xml:space="preserve"> via the SAS</w:t>
      </w:r>
      <w:r w:rsidR="006E471E" w:rsidRPr="00BD6D2C">
        <w:rPr>
          <w:rFonts w:asciiTheme="minorHAnsi" w:eastAsiaTheme="minorHAnsi" w:hAnsiTheme="minorHAnsi" w:cstheme="minorBidi"/>
          <w:snapToGrid/>
          <w:sz w:val="24"/>
          <w:szCs w:val="22"/>
        </w:rPr>
        <w:t>.</w:t>
      </w:r>
    </w:p>
    <w:p w:rsidR="00D92AEB" w:rsidRPr="00027784" w:rsidRDefault="00D92AEB"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w:t>
      </w:r>
      <w:r w:rsidR="00B053B7" w:rsidRPr="00027784">
        <w:rPr>
          <w:rFonts w:asciiTheme="minorHAnsi" w:eastAsiaTheme="minorHAnsi" w:hAnsiTheme="minorHAnsi" w:cstheme="minorBidi"/>
          <w:snapToGrid/>
          <w:sz w:val="24"/>
          <w:szCs w:val="22"/>
        </w:rPr>
        <w:t>re-</w:t>
      </w:r>
      <w:r w:rsidRPr="00027784">
        <w:rPr>
          <w:rFonts w:asciiTheme="minorHAnsi" w:eastAsiaTheme="minorHAnsi" w:hAnsiTheme="minorHAnsi" w:cstheme="minorBidi"/>
          <w:snapToGrid/>
          <w:sz w:val="24"/>
          <w:szCs w:val="22"/>
        </w:rPr>
        <w:t xml:space="preserve">submission </w:t>
      </w:r>
      <w:r w:rsidR="00B053B7" w:rsidRPr="00027784">
        <w:rPr>
          <w:rFonts w:asciiTheme="minorHAnsi" w:eastAsiaTheme="minorHAnsi" w:hAnsiTheme="minorHAnsi" w:cstheme="minorBidi"/>
          <w:snapToGrid/>
          <w:sz w:val="24"/>
          <w:szCs w:val="22"/>
        </w:rPr>
        <w:t xml:space="preserve">referred to the TGA’s </w:t>
      </w:r>
      <w:r w:rsidR="00E15831" w:rsidRPr="00027784">
        <w:rPr>
          <w:rFonts w:asciiTheme="minorHAnsi" w:eastAsiaTheme="minorHAnsi" w:hAnsiTheme="minorHAnsi" w:cstheme="minorBidi"/>
          <w:snapToGrid/>
          <w:sz w:val="24"/>
          <w:szCs w:val="22"/>
        </w:rPr>
        <w:t>“</w:t>
      </w:r>
      <w:r w:rsidR="00B053B7" w:rsidRPr="00027784">
        <w:rPr>
          <w:rFonts w:asciiTheme="minorHAnsi" w:eastAsiaTheme="minorHAnsi" w:hAnsiTheme="minorHAnsi" w:cstheme="minorBidi"/>
          <w:snapToGrid/>
          <w:sz w:val="24"/>
          <w:szCs w:val="22"/>
        </w:rPr>
        <w:t>Special Access Scheme</w:t>
      </w:r>
      <w:r w:rsidR="00E15831" w:rsidRPr="00027784">
        <w:rPr>
          <w:rFonts w:asciiTheme="minorHAnsi" w:eastAsiaTheme="minorHAnsi" w:hAnsiTheme="minorHAnsi" w:cstheme="minorBidi"/>
          <w:snapToGrid/>
          <w:sz w:val="24"/>
          <w:szCs w:val="22"/>
        </w:rPr>
        <w:t>:</w:t>
      </w:r>
      <w:r w:rsidR="00B053B7" w:rsidRPr="00027784">
        <w:rPr>
          <w:rFonts w:asciiTheme="minorHAnsi" w:eastAsiaTheme="minorHAnsi" w:hAnsiTheme="minorHAnsi" w:cstheme="minorBidi"/>
          <w:snapToGrid/>
          <w:sz w:val="24"/>
          <w:szCs w:val="22"/>
        </w:rPr>
        <w:t xml:space="preserve"> Guidance for Healthcare Practitioners and Sponsors”</w:t>
      </w:r>
      <w:r w:rsidR="00E15831" w:rsidRPr="00027784">
        <w:rPr>
          <w:rFonts w:asciiTheme="minorHAnsi" w:eastAsiaTheme="minorHAnsi" w:hAnsiTheme="minorHAnsi" w:cstheme="minorBidi"/>
          <w:snapToGrid/>
          <w:sz w:val="24"/>
          <w:szCs w:val="22"/>
        </w:rPr>
        <w:t xml:space="preserve"> document</w:t>
      </w:r>
      <w:r w:rsidR="00B053B7" w:rsidRPr="00027784">
        <w:rPr>
          <w:rFonts w:asciiTheme="minorHAnsi" w:eastAsiaTheme="minorHAnsi" w:hAnsiTheme="minorHAnsi" w:cstheme="minorBidi"/>
          <w:snapToGrid/>
          <w:sz w:val="24"/>
          <w:szCs w:val="22"/>
        </w:rPr>
        <w:t>, which it stated enco</w:t>
      </w:r>
      <w:r w:rsidRPr="00027784">
        <w:rPr>
          <w:rFonts w:asciiTheme="minorHAnsi" w:eastAsiaTheme="minorHAnsi" w:hAnsiTheme="minorHAnsi" w:cstheme="minorBidi"/>
          <w:snapToGrid/>
          <w:sz w:val="24"/>
          <w:szCs w:val="22"/>
        </w:rPr>
        <w:t>urages the use of approved products over unregistered alternatives</w:t>
      </w:r>
      <w:r w:rsidR="00E15831" w:rsidRPr="00027784">
        <w:rPr>
          <w:rFonts w:asciiTheme="minorHAnsi" w:eastAsiaTheme="minorHAnsi" w:hAnsiTheme="minorHAnsi" w:cstheme="minorBidi"/>
          <w:snapToGrid/>
          <w:sz w:val="24"/>
          <w:szCs w:val="22"/>
        </w:rPr>
        <w:t>,</w:t>
      </w:r>
      <w:r w:rsidR="00B053B7" w:rsidRPr="00027784">
        <w:rPr>
          <w:rFonts w:asciiTheme="minorHAnsi" w:eastAsiaTheme="minorHAnsi" w:hAnsiTheme="minorHAnsi" w:cstheme="minorBidi"/>
          <w:snapToGrid/>
          <w:sz w:val="24"/>
          <w:szCs w:val="22"/>
        </w:rPr>
        <w:t xml:space="preserve"> referring to the following excerpts</w:t>
      </w:r>
      <w:r w:rsidRPr="00027784">
        <w:rPr>
          <w:rFonts w:asciiTheme="minorHAnsi" w:eastAsiaTheme="minorHAnsi" w:hAnsiTheme="minorHAnsi" w:cstheme="minorBidi"/>
          <w:snapToGrid/>
          <w:sz w:val="24"/>
          <w:szCs w:val="22"/>
        </w:rPr>
        <w:t xml:space="preserve">: </w:t>
      </w:r>
    </w:p>
    <w:p w:rsidR="00D92AEB" w:rsidRPr="00027784" w:rsidRDefault="00D92AEB" w:rsidP="00B053B7">
      <w:pPr>
        <w:pStyle w:val="ListParagraph"/>
        <w:numPr>
          <w:ilvl w:val="0"/>
          <w:numId w:val="25"/>
        </w:numPr>
        <w:spacing w:after="120"/>
        <w:ind w:left="1276" w:hanging="425"/>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“It is expected that the treating health practitioner will have considered all appropriate treatment options that are entered on the ARTG and are currently being supplied prior to considering accessing an unapproved good under the SAS for their patient(s).”</w:t>
      </w:r>
    </w:p>
    <w:p w:rsidR="00D92AEB" w:rsidRPr="00027784" w:rsidRDefault="00D92AEB" w:rsidP="00B053B7">
      <w:pPr>
        <w:pStyle w:val="ListParagraph"/>
        <w:numPr>
          <w:ilvl w:val="0"/>
          <w:numId w:val="25"/>
        </w:numPr>
        <w:spacing w:after="120"/>
        <w:ind w:left="1276" w:hanging="425"/>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“TGA will not consider applications which cite monetary reasons as justification for supply of the unapproved good. The applicant must provide a clinical justification for the use of the good, including why any product on the ARTG and available in Australia is not appropriate for their patient.”</w:t>
      </w:r>
    </w:p>
    <w:p w:rsidR="00E15831" w:rsidRPr="00027784" w:rsidRDefault="00D92AEB"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w:t>
      </w:r>
      <w:r w:rsidR="00E15831" w:rsidRPr="00027784">
        <w:rPr>
          <w:rFonts w:asciiTheme="minorHAnsi" w:eastAsiaTheme="minorHAnsi" w:hAnsiTheme="minorHAnsi" w:cstheme="minorBidi"/>
          <w:snapToGrid/>
          <w:sz w:val="24"/>
          <w:szCs w:val="22"/>
        </w:rPr>
        <w:t xml:space="preserve">re-submission </w:t>
      </w:r>
      <w:r w:rsidR="00B053B7" w:rsidRPr="00027784">
        <w:rPr>
          <w:rFonts w:asciiTheme="minorHAnsi" w:eastAsiaTheme="minorHAnsi" w:hAnsiTheme="minorHAnsi" w:cstheme="minorBidi"/>
          <w:snapToGrid/>
          <w:sz w:val="24"/>
          <w:szCs w:val="22"/>
        </w:rPr>
        <w:t xml:space="preserve">stated that </w:t>
      </w:r>
      <w:r w:rsidRPr="00027784">
        <w:rPr>
          <w:rFonts w:asciiTheme="minorHAnsi" w:eastAsiaTheme="minorHAnsi" w:hAnsiTheme="minorHAnsi" w:cstheme="minorBidi"/>
          <w:snapToGrid/>
          <w:sz w:val="24"/>
          <w:szCs w:val="22"/>
        </w:rPr>
        <w:t xml:space="preserve">the TGA </w:t>
      </w:r>
      <w:r w:rsidR="00E15831" w:rsidRPr="00027784">
        <w:rPr>
          <w:rFonts w:asciiTheme="minorHAnsi" w:eastAsiaTheme="minorHAnsi" w:hAnsiTheme="minorHAnsi" w:cstheme="minorBidi"/>
          <w:snapToGrid/>
          <w:sz w:val="24"/>
          <w:szCs w:val="22"/>
        </w:rPr>
        <w:t xml:space="preserve">was notified </w:t>
      </w:r>
      <w:r w:rsidRPr="00027784">
        <w:rPr>
          <w:rFonts w:asciiTheme="minorHAnsi" w:eastAsiaTheme="minorHAnsi" w:hAnsiTheme="minorHAnsi" w:cstheme="minorBidi"/>
          <w:snapToGrid/>
          <w:sz w:val="24"/>
          <w:szCs w:val="22"/>
        </w:rPr>
        <w:t xml:space="preserve">that </w:t>
      </w:r>
      <w:r w:rsidR="00D03411">
        <w:rPr>
          <w:rFonts w:asciiTheme="minorHAnsi" w:eastAsiaTheme="minorHAnsi" w:hAnsiTheme="minorHAnsi" w:cstheme="minorBidi"/>
          <w:noProof/>
          <w:snapToGrid/>
          <w:color w:val="000000"/>
          <w:sz w:val="24"/>
          <w:szCs w:val="22"/>
          <w:highlight w:val="black"/>
        </w:rPr>
        <w:t>''''''''''' '''' ''''''''''''' '''''''''' ''''''''''' '''''''''''''''''''''' '''''' '''''' ''''''''' ''''' '''''''''''''' ''''''''''</w:t>
      </w:r>
      <w:r w:rsidR="00E15831" w:rsidRPr="00027784">
        <w:rPr>
          <w:rFonts w:asciiTheme="minorHAnsi" w:eastAsiaTheme="minorHAnsi" w:hAnsiTheme="minorHAnsi" w:cstheme="minorBidi"/>
          <w:snapToGrid/>
          <w:sz w:val="24"/>
          <w:szCs w:val="22"/>
        </w:rPr>
        <w:t>. S</w:t>
      </w:r>
      <w:r w:rsidRPr="00027784">
        <w:rPr>
          <w:rFonts w:asciiTheme="minorHAnsi" w:eastAsiaTheme="minorHAnsi" w:hAnsiTheme="minorHAnsi" w:cstheme="minorBidi"/>
          <w:snapToGrid/>
          <w:sz w:val="24"/>
          <w:szCs w:val="22"/>
        </w:rPr>
        <w:t xml:space="preserve">ubsequently the TGA notified all prescribers of </w:t>
      </w:r>
      <w:r w:rsidR="00E15831" w:rsidRPr="00027784">
        <w:rPr>
          <w:rFonts w:asciiTheme="minorHAnsi" w:eastAsiaTheme="minorHAnsi" w:hAnsiTheme="minorHAnsi" w:cstheme="minorBidi"/>
          <w:snapToGrid/>
          <w:sz w:val="24"/>
          <w:szCs w:val="22"/>
        </w:rPr>
        <w:t>ammonia</w:t>
      </w:r>
      <w:r w:rsidRPr="00027784">
        <w:rPr>
          <w:rFonts w:asciiTheme="minorHAnsi" w:eastAsiaTheme="minorHAnsi" w:hAnsiTheme="minorHAnsi" w:cstheme="minorBidi"/>
          <w:snapToGrid/>
          <w:sz w:val="24"/>
          <w:szCs w:val="22"/>
        </w:rPr>
        <w:t xml:space="preserve"> scavengers to </w:t>
      </w:r>
      <w:r w:rsidR="00D03411">
        <w:rPr>
          <w:rFonts w:asciiTheme="minorHAnsi" w:eastAsiaTheme="minorHAnsi" w:hAnsiTheme="minorHAnsi" w:cstheme="minorBidi"/>
          <w:noProof/>
          <w:snapToGrid/>
          <w:color w:val="000000"/>
          <w:sz w:val="24"/>
          <w:szCs w:val="22"/>
          <w:highlight w:val="black"/>
        </w:rPr>
        <w:t>'''''''''''''''''' '''''''''''''' ''''''''''' ''''''''' ''''' '''''''''''''' '''''''''''''''''' '''''' ''''''''''''''''''''' ''''''''''' ''''''' '''''''</w:t>
      </w:r>
      <w:r w:rsidRPr="00027784">
        <w:rPr>
          <w:rFonts w:asciiTheme="minorHAnsi" w:eastAsiaTheme="minorHAnsi" w:hAnsiTheme="minorHAnsi" w:cstheme="minorBidi"/>
          <w:snapToGrid/>
          <w:sz w:val="24"/>
          <w:szCs w:val="22"/>
        </w:rPr>
        <w:t xml:space="preserve">. </w:t>
      </w:r>
    </w:p>
    <w:p w:rsidR="005A3173" w:rsidRPr="00232A67" w:rsidRDefault="005A3173" w:rsidP="00D31150">
      <w:pPr>
        <w:pStyle w:val="PBACHeading1"/>
        <w:spacing w:before="240" w:after="120"/>
        <w:ind w:left="709" w:hanging="709"/>
        <w:rPr>
          <w:rFonts w:asciiTheme="minorHAnsi" w:hAnsiTheme="minorHAnsi"/>
          <w:sz w:val="32"/>
          <w:szCs w:val="32"/>
        </w:rPr>
      </w:pPr>
      <w:r w:rsidRPr="00232A67">
        <w:rPr>
          <w:rFonts w:asciiTheme="minorHAnsi" w:hAnsiTheme="minorHAnsi"/>
          <w:sz w:val="32"/>
          <w:szCs w:val="32"/>
        </w:rPr>
        <w:t>Comparator</w:t>
      </w:r>
    </w:p>
    <w:p w:rsidR="00BC2C7B" w:rsidRPr="00027784" w:rsidRDefault="00BC2C7B"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w:t>
      </w:r>
      <w:r w:rsidR="00EE2A53" w:rsidRPr="00027784">
        <w:rPr>
          <w:rFonts w:asciiTheme="minorHAnsi" w:eastAsiaTheme="minorHAnsi" w:hAnsiTheme="minorHAnsi" w:cstheme="minorBidi"/>
          <w:snapToGrid/>
          <w:sz w:val="24"/>
          <w:szCs w:val="22"/>
        </w:rPr>
        <w:t xml:space="preserve">comparator nominated by the </w:t>
      </w:r>
      <w:r w:rsidR="00462757" w:rsidRPr="00027784">
        <w:rPr>
          <w:rFonts w:asciiTheme="minorHAnsi" w:eastAsiaTheme="minorHAnsi" w:hAnsiTheme="minorHAnsi" w:cstheme="minorBidi"/>
          <w:snapToGrid/>
          <w:sz w:val="24"/>
          <w:szCs w:val="22"/>
        </w:rPr>
        <w:t>re-</w:t>
      </w:r>
      <w:r w:rsidR="00FF2801" w:rsidRPr="00027784">
        <w:rPr>
          <w:rFonts w:asciiTheme="minorHAnsi" w:eastAsiaTheme="minorHAnsi" w:hAnsiTheme="minorHAnsi" w:cstheme="minorBidi"/>
          <w:snapToGrid/>
          <w:sz w:val="24"/>
          <w:szCs w:val="22"/>
        </w:rPr>
        <w:t xml:space="preserve">submission </w:t>
      </w:r>
      <w:r w:rsidR="00EE2A53" w:rsidRPr="00027784">
        <w:rPr>
          <w:rFonts w:asciiTheme="minorHAnsi" w:eastAsiaTheme="minorHAnsi" w:hAnsiTheme="minorHAnsi" w:cstheme="minorBidi"/>
          <w:snapToGrid/>
          <w:sz w:val="24"/>
          <w:szCs w:val="22"/>
        </w:rPr>
        <w:t xml:space="preserve">was </w:t>
      </w:r>
      <w:r w:rsidRPr="00027784">
        <w:rPr>
          <w:rFonts w:asciiTheme="minorHAnsi" w:eastAsiaTheme="minorHAnsi" w:hAnsiTheme="minorHAnsi" w:cstheme="minorBidi"/>
          <w:snapToGrid/>
          <w:sz w:val="24"/>
          <w:szCs w:val="22"/>
        </w:rPr>
        <w:t xml:space="preserve">uncoated NaPb powder </w:t>
      </w:r>
      <w:r w:rsidR="00462757" w:rsidRPr="00027784">
        <w:rPr>
          <w:rFonts w:asciiTheme="minorHAnsi" w:eastAsiaTheme="minorHAnsi" w:hAnsiTheme="minorHAnsi" w:cstheme="minorBidi"/>
          <w:snapToGrid/>
          <w:sz w:val="24"/>
          <w:szCs w:val="22"/>
        </w:rPr>
        <w:t xml:space="preserve">compounded </w:t>
      </w:r>
      <w:r w:rsidRPr="00027784">
        <w:rPr>
          <w:rFonts w:asciiTheme="minorHAnsi" w:eastAsiaTheme="minorHAnsi" w:hAnsiTheme="minorHAnsi" w:cstheme="minorBidi"/>
          <w:snapToGrid/>
          <w:sz w:val="24"/>
          <w:szCs w:val="22"/>
        </w:rPr>
        <w:t xml:space="preserve">into </w:t>
      </w:r>
      <w:r w:rsidR="00EE2A53" w:rsidRPr="00027784">
        <w:rPr>
          <w:rFonts w:asciiTheme="minorHAnsi" w:eastAsiaTheme="minorHAnsi" w:hAnsiTheme="minorHAnsi" w:cstheme="minorBidi"/>
          <w:snapToGrid/>
          <w:sz w:val="24"/>
          <w:szCs w:val="22"/>
        </w:rPr>
        <w:t>an oral suspension</w:t>
      </w:r>
      <w:r w:rsidRPr="00027784">
        <w:rPr>
          <w:rFonts w:asciiTheme="minorHAnsi" w:eastAsiaTheme="minorHAnsi" w:hAnsiTheme="minorHAnsi" w:cstheme="minorBidi"/>
          <w:snapToGrid/>
          <w:sz w:val="24"/>
          <w:szCs w:val="22"/>
        </w:rPr>
        <w:t xml:space="preserve"> or capsules </w:t>
      </w:r>
      <w:r w:rsidR="00EE2A53" w:rsidRPr="00027784">
        <w:rPr>
          <w:rFonts w:asciiTheme="minorHAnsi" w:eastAsiaTheme="minorHAnsi" w:hAnsiTheme="minorHAnsi" w:cstheme="minorBidi"/>
          <w:snapToGrid/>
          <w:sz w:val="24"/>
          <w:szCs w:val="22"/>
        </w:rPr>
        <w:t>by a compounding pharmacy</w:t>
      </w:r>
      <w:r w:rsidRPr="00027784">
        <w:rPr>
          <w:rFonts w:asciiTheme="minorHAnsi" w:eastAsiaTheme="minorHAnsi" w:hAnsiTheme="minorHAnsi" w:cstheme="minorBidi"/>
          <w:snapToGrid/>
          <w:sz w:val="24"/>
          <w:szCs w:val="22"/>
        </w:rPr>
        <w:t>. In its November 2017 consideration, the PBAC had considered that NaBz was also a relevant comparator</w:t>
      </w:r>
      <w:r w:rsidR="00027784">
        <w:rPr>
          <w:rFonts w:asciiTheme="minorHAnsi" w:eastAsiaTheme="minorHAnsi" w:hAnsiTheme="minorHAnsi" w:cstheme="minorBidi"/>
          <w:snapToGrid/>
          <w:sz w:val="24"/>
          <w:szCs w:val="22"/>
        </w:rPr>
        <w:t xml:space="preserve"> in the monotherapy setting</w:t>
      </w:r>
      <w:r w:rsidRPr="00027784">
        <w:rPr>
          <w:rFonts w:asciiTheme="minorHAnsi" w:eastAsiaTheme="minorHAnsi" w:hAnsiTheme="minorHAnsi" w:cstheme="minorBidi"/>
          <w:snapToGrid/>
          <w:sz w:val="24"/>
          <w:szCs w:val="22"/>
        </w:rPr>
        <w:t xml:space="preserve">. </w:t>
      </w:r>
    </w:p>
    <w:p w:rsidR="00BC2C7B" w:rsidRDefault="00BC2C7B"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Further, there </w:t>
      </w:r>
      <w:r w:rsidR="00BC5ED6" w:rsidRPr="00027784">
        <w:rPr>
          <w:rFonts w:asciiTheme="minorHAnsi" w:eastAsiaTheme="minorHAnsi" w:hAnsiTheme="minorHAnsi" w:cstheme="minorBidi"/>
          <w:snapToGrid/>
          <w:sz w:val="24"/>
          <w:szCs w:val="22"/>
        </w:rPr>
        <w:t xml:space="preserve">are uncoated tablet formulations of </w:t>
      </w:r>
      <w:r w:rsidRPr="00027784">
        <w:rPr>
          <w:rFonts w:asciiTheme="minorHAnsi" w:eastAsiaTheme="minorHAnsi" w:hAnsiTheme="minorHAnsi" w:cstheme="minorBidi"/>
          <w:snapToGrid/>
          <w:sz w:val="24"/>
          <w:szCs w:val="22"/>
        </w:rPr>
        <w:t xml:space="preserve">NaPb </w:t>
      </w:r>
      <w:r w:rsidR="00BC5ED6" w:rsidRPr="00027784">
        <w:rPr>
          <w:rFonts w:asciiTheme="minorHAnsi" w:eastAsiaTheme="minorHAnsi" w:hAnsiTheme="minorHAnsi" w:cstheme="minorBidi"/>
          <w:snapToGrid/>
          <w:sz w:val="24"/>
          <w:szCs w:val="22"/>
        </w:rPr>
        <w:t>(that have been accessed through the SAS)</w:t>
      </w:r>
      <w:r w:rsidRPr="00027784">
        <w:rPr>
          <w:rFonts w:asciiTheme="minorHAnsi" w:eastAsiaTheme="minorHAnsi" w:hAnsiTheme="minorHAnsi" w:cstheme="minorBidi"/>
          <w:snapToGrid/>
          <w:sz w:val="24"/>
          <w:szCs w:val="22"/>
        </w:rPr>
        <w:t xml:space="preserve"> which would be appropriate in some patients. </w:t>
      </w:r>
      <w:r w:rsidR="00BC5ED6" w:rsidRPr="00027784">
        <w:rPr>
          <w:rFonts w:asciiTheme="minorHAnsi" w:eastAsiaTheme="minorHAnsi" w:hAnsiTheme="minorHAnsi" w:cstheme="minorBidi"/>
          <w:snapToGrid/>
          <w:sz w:val="24"/>
          <w:szCs w:val="22"/>
        </w:rPr>
        <w:t>In its previous consideration, the PBAC noted that</w:t>
      </w:r>
      <w:r w:rsidR="00BC5ED6" w:rsidRPr="00B41B05">
        <w:rPr>
          <w:rFonts w:asciiTheme="minorHAnsi" w:eastAsiaTheme="minorHAnsi" w:hAnsiTheme="minorHAnsi" w:cstheme="minorBidi"/>
          <w:snapToGrid/>
          <w:sz w:val="24"/>
          <w:szCs w:val="22"/>
        </w:rPr>
        <w:t xml:space="preserve"> </w:t>
      </w:r>
      <w:r w:rsidR="00BC5ED6" w:rsidRPr="00027784">
        <w:rPr>
          <w:rFonts w:asciiTheme="minorHAnsi" w:eastAsiaTheme="minorHAnsi" w:hAnsiTheme="minorHAnsi" w:cstheme="minorBidi"/>
          <w:snapToGrid/>
          <w:sz w:val="24"/>
          <w:szCs w:val="22"/>
        </w:rPr>
        <w:t xml:space="preserve">the taste advantage of the coated formulation would not be realised in all patients. For example, the PBAC noted that in a bioequivalence study, </w:t>
      </w:r>
      <w:r w:rsidR="00D03411">
        <w:rPr>
          <w:rFonts w:asciiTheme="minorHAnsi" w:eastAsiaTheme="minorHAnsi" w:hAnsiTheme="minorHAnsi" w:cstheme="minorBidi"/>
          <w:noProof/>
          <w:snapToGrid/>
          <w:color w:val="000000"/>
          <w:sz w:val="24"/>
          <w:szCs w:val="22"/>
          <w:highlight w:val="black"/>
        </w:rPr>
        <w:t>'''''</w:t>
      </w:r>
      <w:r w:rsidR="00BC5ED6" w:rsidRPr="00027784">
        <w:rPr>
          <w:rFonts w:asciiTheme="minorHAnsi" w:eastAsiaTheme="minorHAnsi" w:hAnsiTheme="minorHAnsi" w:cstheme="minorBidi"/>
          <w:snapToGrid/>
          <w:sz w:val="24"/>
          <w:szCs w:val="22"/>
        </w:rPr>
        <w:t>% of the volunteers (</w:t>
      </w:r>
      <w:r w:rsidR="00D03411">
        <w:rPr>
          <w:rFonts w:asciiTheme="minorHAnsi" w:eastAsiaTheme="minorHAnsi" w:hAnsiTheme="minorHAnsi" w:cstheme="minorBidi"/>
          <w:noProof/>
          <w:snapToGrid/>
          <w:color w:val="000000"/>
          <w:sz w:val="24"/>
          <w:szCs w:val="22"/>
          <w:highlight w:val="black"/>
        </w:rPr>
        <w:t>'''''''''</w:t>
      </w:r>
      <w:r w:rsidR="00BC5ED6" w:rsidRPr="00027784">
        <w:rPr>
          <w:rFonts w:asciiTheme="minorHAnsi" w:eastAsiaTheme="minorHAnsi" w:hAnsiTheme="minorHAnsi" w:cstheme="minorBidi"/>
          <w:snapToGrid/>
          <w:sz w:val="24"/>
          <w:szCs w:val="22"/>
        </w:rPr>
        <w:t xml:space="preserve">) preferred the taste of the uncoated formulation (November 2017 PBAC </w:t>
      </w:r>
      <w:r w:rsidR="00AA1BEA">
        <w:rPr>
          <w:rFonts w:asciiTheme="minorHAnsi" w:eastAsiaTheme="minorHAnsi" w:hAnsiTheme="minorHAnsi" w:cstheme="minorBidi"/>
          <w:snapToGrid/>
          <w:sz w:val="24"/>
          <w:szCs w:val="22"/>
        </w:rPr>
        <w:t>PSD</w:t>
      </w:r>
      <w:r w:rsidR="00BC5ED6" w:rsidRPr="00027784">
        <w:rPr>
          <w:rFonts w:asciiTheme="minorHAnsi" w:eastAsiaTheme="minorHAnsi" w:hAnsiTheme="minorHAnsi" w:cstheme="minorBidi"/>
          <w:snapToGrid/>
          <w:sz w:val="24"/>
          <w:szCs w:val="22"/>
        </w:rPr>
        <w:t xml:space="preserve">, para 7.4). </w:t>
      </w:r>
    </w:p>
    <w:p w:rsidR="00B35E6A" w:rsidRDefault="00B35E6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pre-PBAC response claimed that NaBz was not an appropriate comparator in the monotherapy setting because it is not registered anywhere </w:t>
      </w:r>
      <w:r w:rsidRPr="00B35E6A">
        <w:rPr>
          <w:rFonts w:asciiTheme="minorHAnsi" w:eastAsiaTheme="minorHAnsi" w:hAnsiTheme="minorHAnsi" w:cstheme="minorBidi"/>
          <w:snapToGrid/>
          <w:sz w:val="24"/>
          <w:szCs w:val="22"/>
        </w:rPr>
        <w:t>in the world, is not produced to pharmaceutical grade standards and theoretically has a lower nitrogen scavenging capacity</w:t>
      </w:r>
      <w:r w:rsidR="00794765">
        <w:rPr>
          <w:rFonts w:asciiTheme="minorHAnsi" w:eastAsiaTheme="minorHAnsi" w:hAnsiTheme="minorHAnsi" w:cstheme="minorBidi"/>
          <w:snapToGrid/>
          <w:sz w:val="24"/>
          <w:szCs w:val="22"/>
        </w:rPr>
        <w:t xml:space="preserve"> that NaPb</w:t>
      </w:r>
      <w:r w:rsidRPr="00B35E6A">
        <w:rPr>
          <w:rFonts w:asciiTheme="minorHAnsi" w:eastAsiaTheme="minorHAnsi" w:hAnsiTheme="minorHAnsi" w:cstheme="minorBidi"/>
          <w:snapToGrid/>
          <w:sz w:val="24"/>
          <w:szCs w:val="22"/>
        </w:rPr>
        <w:t>. The pre-PBAC response also re-iterated that it is not a comparator in the combination therapy setting (</w:t>
      </w:r>
      <w:r w:rsidR="00794765">
        <w:rPr>
          <w:rFonts w:asciiTheme="minorHAnsi" w:eastAsiaTheme="minorHAnsi" w:hAnsiTheme="minorHAnsi" w:cstheme="minorBidi"/>
          <w:snapToGrid/>
          <w:sz w:val="24"/>
          <w:szCs w:val="22"/>
        </w:rPr>
        <w:t xml:space="preserve">i.e. where </w:t>
      </w:r>
      <w:r w:rsidRPr="00B35E6A">
        <w:rPr>
          <w:rFonts w:asciiTheme="minorHAnsi" w:eastAsiaTheme="minorHAnsi" w:hAnsiTheme="minorHAnsi" w:cstheme="minorBidi"/>
          <w:snapToGrid/>
          <w:sz w:val="24"/>
          <w:szCs w:val="22"/>
        </w:rPr>
        <w:t xml:space="preserve">NaPb and NaBz </w:t>
      </w:r>
      <w:r w:rsidR="00794765">
        <w:rPr>
          <w:rFonts w:asciiTheme="minorHAnsi" w:eastAsiaTheme="minorHAnsi" w:hAnsiTheme="minorHAnsi" w:cstheme="minorBidi"/>
          <w:snapToGrid/>
          <w:sz w:val="24"/>
          <w:szCs w:val="22"/>
        </w:rPr>
        <w:t xml:space="preserve">are </w:t>
      </w:r>
      <w:r w:rsidRPr="00B35E6A">
        <w:rPr>
          <w:rFonts w:asciiTheme="minorHAnsi" w:eastAsiaTheme="minorHAnsi" w:hAnsiTheme="minorHAnsi" w:cstheme="minorBidi"/>
          <w:snapToGrid/>
          <w:sz w:val="24"/>
          <w:szCs w:val="22"/>
        </w:rPr>
        <w:t xml:space="preserve">used concomitantly). </w:t>
      </w:r>
    </w:p>
    <w:p w:rsidR="00093F6D" w:rsidRPr="006A6B8B" w:rsidRDefault="00093F6D" w:rsidP="00653C6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4"/>
        </w:rPr>
      </w:pPr>
      <w:r w:rsidRPr="00653C65">
        <w:rPr>
          <w:rFonts w:asciiTheme="minorHAnsi" w:eastAsiaTheme="minorHAnsi" w:hAnsiTheme="minorHAnsi" w:cstheme="minorBidi"/>
          <w:snapToGrid/>
          <w:sz w:val="24"/>
          <w:szCs w:val="24"/>
        </w:rPr>
        <w:t>The PBAC noted that the</w:t>
      </w:r>
      <w:r w:rsidR="006A6B8B">
        <w:rPr>
          <w:rFonts w:asciiTheme="minorHAnsi" w:eastAsiaTheme="minorHAnsi" w:hAnsiTheme="minorHAnsi" w:cstheme="minorBidi"/>
          <w:snapToGrid/>
          <w:sz w:val="24"/>
          <w:szCs w:val="24"/>
        </w:rPr>
        <w:t xml:space="preserve"> TGA </w:t>
      </w:r>
      <w:r w:rsidR="00653C65">
        <w:rPr>
          <w:rFonts w:asciiTheme="minorHAnsi" w:eastAsiaTheme="minorHAnsi" w:hAnsiTheme="minorHAnsi" w:cstheme="minorBidi"/>
          <w:snapToGrid/>
          <w:sz w:val="24"/>
          <w:szCs w:val="24"/>
        </w:rPr>
        <w:t xml:space="preserve">had generally </w:t>
      </w:r>
      <w:r w:rsidR="006A6B8B">
        <w:rPr>
          <w:rFonts w:asciiTheme="minorHAnsi" w:eastAsiaTheme="minorHAnsi" w:hAnsiTheme="minorHAnsi" w:cstheme="minorBidi"/>
          <w:snapToGrid/>
          <w:sz w:val="24"/>
          <w:szCs w:val="24"/>
        </w:rPr>
        <w:t>received</w:t>
      </w:r>
      <w:r w:rsidRPr="00653C65">
        <w:rPr>
          <w:rFonts w:asciiTheme="minorHAnsi" w:eastAsiaTheme="minorHAnsi" w:hAnsiTheme="minorHAnsi" w:cstheme="minorBidi"/>
          <w:snapToGrid/>
          <w:sz w:val="24"/>
          <w:szCs w:val="24"/>
        </w:rPr>
        <w:t xml:space="preserve"> more SAS applications and notifications for NaBz then for NaPb. The PBAC noted the limitations of th</w:t>
      </w:r>
      <w:r w:rsidR="006A6B8B">
        <w:rPr>
          <w:rFonts w:asciiTheme="minorHAnsi" w:eastAsiaTheme="minorHAnsi" w:hAnsiTheme="minorHAnsi" w:cstheme="minorBidi"/>
          <w:snapToGrid/>
          <w:sz w:val="24"/>
          <w:szCs w:val="24"/>
        </w:rPr>
        <w:t>ese</w:t>
      </w:r>
      <w:r w:rsidRPr="00653C65">
        <w:rPr>
          <w:rFonts w:asciiTheme="minorHAnsi" w:eastAsiaTheme="minorHAnsi" w:hAnsiTheme="minorHAnsi" w:cstheme="minorBidi"/>
          <w:snapToGrid/>
          <w:sz w:val="24"/>
          <w:szCs w:val="24"/>
        </w:rPr>
        <w:t xml:space="preserve"> data (</w:t>
      </w:r>
      <w:r w:rsidR="006A6B8B">
        <w:rPr>
          <w:rFonts w:asciiTheme="minorHAnsi" w:eastAsiaTheme="minorHAnsi" w:hAnsiTheme="minorHAnsi" w:cstheme="minorBidi"/>
          <w:snapToGrid/>
          <w:sz w:val="24"/>
          <w:szCs w:val="24"/>
        </w:rPr>
        <w:t>e.g.</w:t>
      </w:r>
      <w:r w:rsidRPr="00653C65">
        <w:rPr>
          <w:rFonts w:asciiTheme="minorHAnsi" w:eastAsiaTheme="minorHAnsi" w:hAnsiTheme="minorHAnsi" w:cstheme="minorBidi"/>
          <w:snapToGrid/>
          <w:sz w:val="24"/>
          <w:szCs w:val="24"/>
        </w:rPr>
        <w:t xml:space="preserve"> it does not indicate that supply took place</w:t>
      </w:r>
      <w:r w:rsidR="006A6B8B" w:rsidRPr="00653C65">
        <w:rPr>
          <w:rFonts w:asciiTheme="minorHAnsi" w:eastAsiaTheme="minorHAnsi" w:hAnsiTheme="minorHAnsi" w:cstheme="minorBidi"/>
          <w:snapToGrid/>
          <w:sz w:val="24"/>
          <w:szCs w:val="24"/>
        </w:rPr>
        <w:t>)</w:t>
      </w:r>
      <w:r w:rsidR="006A6B8B">
        <w:rPr>
          <w:rFonts w:asciiTheme="minorHAnsi" w:eastAsiaTheme="minorHAnsi" w:hAnsiTheme="minorHAnsi" w:cstheme="minorBidi"/>
          <w:snapToGrid/>
          <w:sz w:val="24"/>
          <w:szCs w:val="24"/>
        </w:rPr>
        <w:t xml:space="preserve">, but overall considered it indicated that </w:t>
      </w:r>
      <w:r w:rsidR="006A6B8B" w:rsidRPr="006A6B8B">
        <w:rPr>
          <w:rFonts w:asciiTheme="minorHAnsi" w:eastAsiaTheme="minorHAnsi" w:hAnsiTheme="minorHAnsi" w:cstheme="minorBidi"/>
          <w:snapToGrid/>
          <w:sz w:val="24"/>
          <w:szCs w:val="24"/>
        </w:rPr>
        <w:t xml:space="preserve">NaBz </w:t>
      </w:r>
      <w:r w:rsidR="006A6B8B">
        <w:rPr>
          <w:rFonts w:asciiTheme="minorHAnsi" w:eastAsiaTheme="minorHAnsi" w:hAnsiTheme="minorHAnsi" w:cstheme="minorBidi"/>
          <w:snapToGrid/>
          <w:sz w:val="24"/>
          <w:szCs w:val="24"/>
        </w:rPr>
        <w:t>was</w:t>
      </w:r>
      <w:r w:rsidR="006A6B8B" w:rsidRPr="006A6B8B">
        <w:rPr>
          <w:rFonts w:asciiTheme="minorHAnsi" w:eastAsiaTheme="minorHAnsi" w:hAnsiTheme="minorHAnsi" w:cstheme="minorBidi"/>
          <w:snapToGrid/>
          <w:sz w:val="24"/>
          <w:szCs w:val="24"/>
        </w:rPr>
        <w:t xml:space="preserve"> more commonly used than NaPb.</w:t>
      </w:r>
      <w:r w:rsidR="006A6B8B">
        <w:rPr>
          <w:rFonts w:asciiTheme="minorHAnsi" w:eastAsiaTheme="minorHAnsi" w:hAnsiTheme="minorHAnsi" w:cstheme="minorBidi"/>
          <w:snapToGrid/>
          <w:sz w:val="24"/>
          <w:szCs w:val="24"/>
        </w:rPr>
        <w:t xml:space="preserve"> Further, the PBAC recalled that i</w:t>
      </w:r>
      <w:r w:rsidR="00653C65">
        <w:rPr>
          <w:rFonts w:asciiTheme="minorHAnsi" w:eastAsiaTheme="minorHAnsi" w:hAnsiTheme="minorHAnsi" w:cstheme="minorBidi"/>
          <w:snapToGrid/>
          <w:sz w:val="24"/>
          <w:szCs w:val="24"/>
        </w:rPr>
        <w:t>n</w:t>
      </w:r>
      <w:r w:rsidR="006A6B8B">
        <w:rPr>
          <w:rFonts w:asciiTheme="minorHAnsi" w:eastAsiaTheme="minorHAnsi" w:hAnsiTheme="minorHAnsi" w:cstheme="minorBidi"/>
          <w:snapToGrid/>
          <w:sz w:val="24"/>
          <w:szCs w:val="24"/>
        </w:rPr>
        <w:t xml:space="preserve"> the November 2017</w:t>
      </w:r>
      <w:r w:rsidR="006A6B8B" w:rsidRPr="006A6B8B">
        <w:rPr>
          <w:rFonts w:asciiTheme="minorHAnsi" w:eastAsiaTheme="minorHAnsi" w:hAnsiTheme="minorHAnsi" w:cstheme="minorBidi"/>
          <w:snapToGrid/>
          <w:sz w:val="24"/>
          <w:szCs w:val="24"/>
        </w:rPr>
        <w:t xml:space="preserve"> submission’s clinician survey, the majority of clinicians expressed no overall preference between the two ammonia scavengers. </w:t>
      </w:r>
    </w:p>
    <w:p w:rsidR="009A6EB6" w:rsidRPr="001D1E01" w:rsidRDefault="009A6EB6" w:rsidP="00CC5B17">
      <w:pPr>
        <w:pStyle w:val="PBACHeading1"/>
        <w:numPr>
          <w:ilvl w:val="0"/>
          <w:numId w:val="0"/>
        </w:numPr>
        <w:spacing w:before="240" w:after="120"/>
        <w:ind w:left="709"/>
        <w:outlineLvl w:val="9"/>
        <w:rPr>
          <w:rFonts w:asciiTheme="minorHAnsi" w:eastAsiaTheme="minorHAnsi" w:hAnsiTheme="minorHAnsi" w:cstheme="minorBidi"/>
          <w:b w:val="0"/>
          <w:i/>
          <w:snapToGrid/>
          <w:sz w:val="24"/>
        </w:rPr>
      </w:pPr>
      <w:r w:rsidRPr="001D1E01">
        <w:rPr>
          <w:rFonts w:asciiTheme="minorHAnsi" w:eastAsiaTheme="minorHAnsi" w:hAnsiTheme="minorHAnsi" w:cstheme="minorBidi"/>
          <w:b w:val="0"/>
          <w:i/>
          <w:snapToGrid/>
          <w:sz w:val="24"/>
        </w:rPr>
        <w:t>For more detail on PBAC’s view, see section 6 PBAC outcome</w:t>
      </w:r>
      <w:r w:rsidR="001D1E01" w:rsidRPr="001D1E01">
        <w:rPr>
          <w:rFonts w:asciiTheme="minorHAnsi" w:eastAsiaTheme="minorHAnsi" w:hAnsiTheme="minorHAnsi" w:cstheme="minorBidi"/>
          <w:b w:val="0"/>
          <w:i/>
          <w:snapToGrid/>
          <w:sz w:val="24"/>
        </w:rPr>
        <w:t>.</w:t>
      </w:r>
    </w:p>
    <w:p w:rsidR="000B558D" w:rsidRPr="00027784"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27784">
        <w:rPr>
          <w:rFonts w:asciiTheme="minorHAnsi" w:hAnsiTheme="minorHAnsi"/>
          <w:sz w:val="32"/>
          <w:szCs w:val="32"/>
        </w:rPr>
        <w:t>C</w:t>
      </w:r>
      <w:r w:rsidR="00D84934" w:rsidRPr="00027784">
        <w:rPr>
          <w:rFonts w:asciiTheme="minorHAnsi" w:hAnsiTheme="minorHAnsi"/>
          <w:sz w:val="32"/>
          <w:szCs w:val="32"/>
        </w:rPr>
        <w:t>onsideration of the evidence</w:t>
      </w:r>
    </w:p>
    <w:p w:rsidR="009A6EB6" w:rsidRPr="00AA1BEA" w:rsidRDefault="009A6EB6" w:rsidP="006B19E5">
      <w:pPr>
        <w:pStyle w:val="Heading2"/>
        <w:rPr>
          <w:snapToGrid w:val="0"/>
        </w:rPr>
      </w:pPr>
      <w:bookmarkStart w:id="3" w:name="_Toc493064831"/>
      <w:r w:rsidRPr="00AA1BEA">
        <w:rPr>
          <w:snapToGrid w:val="0"/>
        </w:rPr>
        <w:t>Sponsor hearing</w:t>
      </w:r>
    </w:p>
    <w:p w:rsidR="009A6EB6" w:rsidRPr="00CC5B17" w:rsidRDefault="009A6EB6" w:rsidP="00B41B05">
      <w:pPr>
        <w:pStyle w:val="ListParagraph"/>
        <w:widowControl/>
        <w:numPr>
          <w:ilvl w:val="1"/>
          <w:numId w:val="5"/>
        </w:numPr>
        <w:spacing w:after="120"/>
        <w:ind w:left="709" w:hanging="709"/>
        <w:contextualSpacing w:val="0"/>
        <w:rPr>
          <w:rFonts w:asciiTheme="minorHAnsi" w:hAnsiTheme="minorHAnsi"/>
          <w:bCs/>
        </w:rPr>
      </w:pPr>
      <w:r w:rsidRPr="00B41B05">
        <w:rPr>
          <w:rFonts w:asciiTheme="minorHAnsi" w:eastAsiaTheme="minorHAnsi" w:hAnsiTheme="minorHAnsi" w:cstheme="minorBidi"/>
          <w:snapToGrid/>
          <w:sz w:val="24"/>
          <w:szCs w:val="22"/>
        </w:rPr>
        <w:t>There was no hearing for this item as it was a minor submission</w:t>
      </w:r>
      <w:r w:rsidRPr="00CC5B17">
        <w:rPr>
          <w:rFonts w:asciiTheme="minorHAnsi" w:hAnsiTheme="minorHAnsi"/>
          <w:bCs/>
        </w:rPr>
        <w:t>.</w:t>
      </w:r>
    </w:p>
    <w:p w:rsidR="009A6EB6" w:rsidRPr="00AA1BEA" w:rsidRDefault="009A6EB6" w:rsidP="006B19E5">
      <w:pPr>
        <w:pStyle w:val="Heading2"/>
        <w:rPr>
          <w:snapToGrid w:val="0"/>
        </w:rPr>
      </w:pPr>
      <w:r w:rsidRPr="00AA1BEA">
        <w:rPr>
          <w:snapToGrid w:val="0"/>
        </w:rPr>
        <w:t>Consumer comments</w:t>
      </w:r>
    </w:p>
    <w:p w:rsidR="009A6EB6" w:rsidRPr="00B41B05" w:rsidRDefault="009A6EB6"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41B05">
        <w:rPr>
          <w:rFonts w:asciiTheme="minorHAnsi" w:eastAsiaTheme="minorHAnsi" w:hAnsiTheme="minorHAnsi" w:cstheme="minorBidi"/>
          <w:snapToGrid/>
          <w:sz w:val="24"/>
          <w:szCs w:val="22"/>
        </w:rPr>
        <w:t>The PBAC noted and welcomed the input from</w:t>
      </w:r>
      <w:r w:rsidR="001C4641" w:rsidRPr="00B41B05">
        <w:rPr>
          <w:rFonts w:asciiTheme="minorHAnsi" w:eastAsiaTheme="minorHAnsi" w:hAnsiTheme="minorHAnsi" w:cstheme="minorBidi"/>
          <w:snapToGrid/>
          <w:sz w:val="24"/>
          <w:szCs w:val="22"/>
        </w:rPr>
        <w:t xml:space="preserve"> two individuals </w:t>
      </w:r>
      <w:r w:rsidRPr="00B41B05">
        <w:rPr>
          <w:rFonts w:asciiTheme="minorHAnsi" w:eastAsiaTheme="minorHAnsi" w:hAnsiTheme="minorHAnsi" w:cstheme="minorBidi"/>
          <w:snapToGrid/>
          <w:sz w:val="24"/>
          <w:szCs w:val="22"/>
        </w:rPr>
        <w:t xml:space="preserve">via the Consumer Comments facility on the PBS website. The comments described </w:t>
      </w:r>
      <w:r w:rsidR="001C4641" w:rsidRPr="00B41B05">
        <w:rPr>
          <w:rFonts w:asciiTheme="minorHAnsi" w:eastAsiaTheme="minorHAnsi" w:hAnsiTheme="minorHAnsi" w:cstheme="minorBidi"/>
          <w:snapToGrid/>
          <w:sz w:val="24"/>
          <w:szCs w:val="22"/>
        </w:rPr>
        <w:t xml:space="preserve">the </w:t>
      </w:r>
      <w:r w:rsidR="00CC5B17" w:rsidRPr="00B41B05">
        <w:rPr>
          <w:rFonts w:asciiTheme="minorHAnsi" w:eastAsiaTheme="minorHAnsi" w:hAnsiTheme="minorHAnsi" w:cstheme="minorBidi"/>
          <w:snapToGrid/>
          <w:sz w:val="24"/>
          <w:szCs w:val="22"/>
        </w:rPr>
        <w:t>high cost</w:t>
      </w:r>
      <w:r w:rsidR="001C4641" w:rsidRPr="00B41B05">
        <w:rPr>
          <w:rFonts w:asciiTheme="minorHAnsi" w:eastAsiaTheme="minorHAnsi" w:hAnsiTheme="minorHAnsi" w:cstheme="minorBidi"/>
          <w:snapToGrid/>
          <w:sz w:val="24"/>
          <w:szCs w:val="22"/>
        </w:rPr>
        <w:t xml:space="preserve"> of coated NaPb and clinical need for treatment.</w:t>
      </w:r>
      <w:r w:rsidRPr="00B41B05">
        <w:rPr>
          <w:rFonts w:asciiTheme="minorHAnsi" w:eastAsiaTheme="minorHAnsi" w:hAnsiTheme="minorHAnsi" w:cstheme="minorBidi"/>
          <w:snapToGrid/>
          <w:sz w:val="24"/>
          <w:szCs w:val="22"/>
        </w:rPr>
        <w:t xml:space="preserve"> </w:t>
      </w:r>
    </w:p>
    <w:p w:rsidR="00A0633F" w:rsidRPr="006B19E5" w:rsidRDefault="00A0633F" w:rsidP="006B19E5">
      <w:pPr>
        <w:pStyle w:val="Heading2"/>
      </w:pPr>
      <w:r w:rsidRPr="006B19E5">
        <w:t>Interpretation of clinical evidence</w:t>
      </w:r>
      <w:bookmarkEnd w:id="3"/>
    </w:p>
    <w:p w:rsidR="0066064D" w:rsidRPr="00027784" w:rsidRDefault="00A0633F"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No new clinical evidence was provided in the re-submission. </w:t>
      </w:r>
      <w:r w:rsidR="0066064D" w:rsidRPr="00027784">
        <w:rPr>
          <w:rFonts w:asciiTheme="minorHAnsi" w:eastAsiaTheme="minorHAnsi" w:hAnsiTheme="minorHAnsi" w:cstheme="minorBidi"/>
          <w:snapToGrid/>
          <w:sz w:val="24"/>
          <w:szCs w:val="22"/>
        </w:rPr>
        <w:t xml:space="preserve">In its previous consideration, the PBAC considered that </w:t>
      </w:r>
      <w:r w:rsidR="002E3127" w:rsidRPr="00027784">
        <w:rPr>
          <w:rFonts w:asciiTheme="minorHAnsi" w:eastAsiaTheme="minorHAnsi" w:hAnsiTheme="minorHAnsi" w:cstheme="minorBidi"/>
          <w:snapToGrid/>
          <w:sz w:val="24"/>
          <w:szCs w:val="22"/>
        </w:rPr>
        <w:t xml:space="preserve">the </w:t>
      </w:r>
      <w:r w:rsidR="0066064D" w:rsidRPr="00027784">
        <w:rPr>
          <w:rFonts w:asciiTheme="minorHAnsi" w:eastAsiaTheme="minorHAnsi" w:hAnsiTheme="minorHAnsi" w:cstheme="minorBidi"/>
          <w:snapToGrid/>
          <w:sz w:val="24"/>
          <w:szCs w:val="22"/>
        </w:rPr>
        <w:t xml:space="preserve">evidence provided did not support a difference in health outcomes between the ammonia scavengers. The PBAC considered that a claim of non-inferior comparative efficacy and safety compared with other ammonia scavenger formulations would have been more appropriate given the clinical evidence available (November 2017 PBAC </w:t>
      </w:r>
      <w:r w:rsidR="00AA1BEA">
        <w:rPr>
          <w:rFonts w:asciiTheme="minorHAnsi" w:eastAsiaTheme="minorHAnsi" w:hAnsiTheme="minorHAnsi" w:cstheme="minorBidi"/>
          <w:snapToGrid/>
          <w:sz w:val="24"/>
          <w:szCs w:val="22"/>
        </w:rPr>
        <w:t>PSD</w:t>
      </w:r>
      <w:r w:rsidR="0066064D" w:rsidRPr="00027784">
        <w:rPr>
          <w:rFonts w:asciiTheme="minorHAnsi" w:eastAsiaTheme="minorHAnsi" w:hAnsiTheme="minorHAnsi" w:cstheme="minorBidi"/>
          <w:snapToGrid/>
          <w:sz w:val="24"/>
          <w:szCs w:val="22"/>
        </w:rPr>
        <w:t>, para 7.6 and 7.7)</w:t>
      </w:r>
      <w:r w:rsidR="000675E1" w:rsidRPr="00027784">
        <w:rPr>
          <w:rFonts w:asciiTheme="minorHAnsi" w:eastAsiaTheme="minorHAnsi" w:hAnsiTheme="minorHAnsi" w:cstheme="minorBidi"/>
          <w:snapToGrid/>
          <w:sz w:val="24"/>
          <w:szCs w:val="22"/>
        </w:rPr>
        <w:t>.</w:t>
      </w:r>
    </w:p>
    <w:p w:rsidR="00B35E6A" w:rsidRDefault="0066064D"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35E6A">
        <w:rPr>
          <w:rFonts w:asciiTheme="minorHAnsi" w:eastAsiaTheme="minorHAnsi" w:hAnsiTheme="minorHAnsi" w:cstheme="minorBidi"/>
          <w:snapToGrid/>
          <w:sz w:val="24"/>
          <w:szCs w:val="22"/>
        </w:rPr>
        <w:t xml:space="preserve">The re-submission did not make any claims regarding comparative efficacy and safety. However, given that a cost-minimisation analysis was conducted, the implicit claim was of non-inferior comparative efficacy and safety compared with compounded NaPb. </w:t>
      </w:r>
    </w:p>
    <w:p w:rsidR="00B35E6A" w:rsidRPr="00AF5A35" w:rsidRDefault="00B35E6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35E6A">
        <w:rPr>
          <w:rFonts w:asciiTheme="minorHAnsi" w:eastAsiaTheme="minorHAnsi" w:hAnsiTheme="minorHAnsi" w:cstheme="minorBidi"/>
          <w:snapToGrid/>
          <w:sz w:val="24"/>
          <w:szCs w:val="22"/>
        </w:rPr>
        <w:t>The PBAC re</w:t>
      </w:r>
      <w:r>
        <w:rPr>
          <w:rFonts w:asciiTheme="minorHAnsi" w:eastAsiaTheme="minorHAnsi" w:hAnsiTheme="minorHAnsi" w:cstheme="minorBidi"/>
          <w:snapToGrid/>
          <w:sz w:val="24"/>
          <w:szCs w:val="22"/>
        </w:rPr>
        <w:t>-</w:t>
      </w:r>
      <w:r w:rsidRPr="00B35E6A">
        <w:rPr>
          <w:rFonts w:asciiTheme="minorHAnsi" w:eastAsiaTheme="minorHAnsi" w:hAnsiTheme="minorHAnsi" w:cstheme="minorBidi"/>
          <w:snapToGrid/>
          <w:sz w:val="24"/>
          <w:szCs w:val="22"/>
        </w:rPr>
        <w:t xml:space="preserve">iterated its previous consideration that a claim of non-inferior comparative efficacy and safety compared with other ammonia scavenger formulations was appropriate given the clinical evidence </w:t>
      </w:r>
      <w:r w:rsidR="0085255B">
        <w:rPr>
          <w:rFonts w:asciiTheme="minorHAnsi" w:eastAsiaTheme="minorHAnsi" w:hAnsiTheme="minorHAnsi" w:cstheme="minorBidi"/>
          <w:snapToGrid/>
          <w:sz w:val="24"/>
          <w:szCs w:val="22"/>
        </w:rPr>
        <w:t>that had been presented</w:t>
      </w:r>
      <w:r w:rsidRPr="00B35E6A">
        <w:rPr>
          <w:rFonts w:asciiTheme="minorHAnsi" w:eastAsiaTheme="minorHAnsi" w:hAnsiTheme="minorHAnsi" w:cstheme="minorBidi"/>
          <w:snapToGrid/>
          <w:sz w:val="24"/>
          <w:szCs w:val="22"/>
        </w:rPr>
        <w:t xml:space="preserve">. </w:t>
      </w:r>
    </w:p>
    <w:p w:rsidR="005A3173" w:rsidRPr="00AA1BEA" w:rsidRDefault="005A3173" w:rsidP="006B19E5">
      <w:pPr>
        <w:pStyle w:val="Heading2"/>
      </w:pPr>
      <w:r w:rsidRPr="00AA1BEA">
        <w:t>Economic analysis</w:t>
      </w:r>
    </w:p>
    <w:p w:rsidR="00006FF6" w:rsidRPr="00027784" w:rsidRDefault="0035535B"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w:t>
      </w:r>
      <w:r w:rsidR="00006FF6" w:rsidRPr="00027784">
        <w:rPr>
          <w:rFonts w:asciiTheme="minorHAnsi" w:eastAsiaTheme="minorHAnsi" w:hAnsiTheme="minorHAnsi" w:cstheme="minorBidi"/>
          <w:snapToGrid/>
          <w:sz w:val="24"/>
          <w:szCs w:val="22"/>
        </w:rPr>
        <w:t>he re</w:t>
      </w:r>
      <w:r w:rsidRPr="00027784">
        <w:rPr>
          <w:rFonts w:asciiTheme="minorHAnsi" w:eastAsiaTheme="minorHAnsi" w:hAnsiTheme="minorHAnsi" w:cstheme="minorBidi"/>
          <w:snapToGrid/>
          <w:sz w:val="24"/>
          <w:szCs w:val="22"/>
        </w:rPr>
        <w:t>-</w:t>
      </w:r>
      <w:r w:rsidR="00006FF6" w:rsidRPr="00027784">
        <w:rPr>
          <w:rFonts w:asciiTheme="minorHAnsi" w:eastAsiaTheme="minorHAnsi" w:hAnsiTheme="minorHAnsi" w:cstheme="minorBidi"/>
          <w:snapToGrid/>
          <w:sz w:val="24"/>
          <w:szCs w:val="22"/>
        </w:rPr>
        <w:t xml:space="preserve">submission presented a cost-minimisation analysis versus </w:t>
      </w:r>
      <w:r w:rsidR="002E3127" w:rsidRPr="00027784">
        <w:rPr>
          <w:rFonts w:asciiTheme="minorHAnsi" w:eastAsiaTheme="minorHAnsi" w:hAnsiTheme="minorHAnsi" w:cstheme="minorBidi"/>
          <w:snapToGrid/>
          <w:sz w:val="24"/>
          <w:szCs w:val="22"/>
        </w:rPr>
        <w:t xml:space="preserve">compounded NaPb, </w:t>
      </w:r>
      <w:r w:rsidR="006E471E" w:rsidRPr="00027784">
        <w:rPr>
          <w:rFonts w:asciiTheme="minorHAnsi" w:eastAsiaTheme="minorHAnsi" w:hAnsiTheme="minorHAnsi" w:cstheme="minorBidi"/>
          <w:snapToGrid/>
          <w:sz w:val="24"/>
          <w:szCs w:val="22"/>
        </w:rPr>
        <w:t>i.e.</w:t>
      </w:r>
      <w:r w:rsidR="002E3127" w:rsidRPr="00027784">
        <w:rPr>
          <w:rFonts w:asciiTheme="minorHAnsi" w:eastAsiaTheme="minorHAnsi" w:hAnsiTheme="minorHAnsi" w:cstheme="minorBidi"/>
          <w:snapToGrid/>
          <w:sz w:val="24"/>
          <w:szCs w:val="22"/>
        </w:rPr>
        <w:t xml:space="preserve"> </w:t>
      </w:r>
      <w:r w:rsidR="00BC2C7B" w:rsidRPr="00027784">
        <w:rPr>
          <w:rFonts w:asciiTheme="minorHAnsi" w:eastAsiaTheme="minorHAnsi" w:hAnsiTheme="minorHAnsi" w:cstheme="minorBidi"/>
          <w:snapToGrid/>
          <w:sz w:val="24"/>
          <w:szCs w:val="22"/>
        </w:rPr>
        <w:t>uncoated NaPb powder</w:t>
      </w:r>
      <w:r w:rsidR="00C964D5" w:rsidRPr="00027784">
        <w:rPr>
          <w:rFonts w:asciiTheme="minorHAnsi" w:eastAsiaTheme="minorHAnsi" w:hAnsiTheme="minorHAnsi" w:cstheme="minorBidi"/>
          <w:snapToGrid/>
          <w:sz w:val="24"/>
          <w:szCs w:val="22"/>
        </w:rPr>
        <w:t xml:space="preserve"> that was</w:t>
      </w:r>
      <w:r w:rsidR="00BC2C7B" w:rsidRPr="00027784">
        <w:rPr>
          <w:rFonts w:asciiTheme="minorHAnsi" w:eastAsiaTheme="minorHAnsi" w:hAnsiTheme="minorHAnsi" w:cstheme="minorBidi"/>
          <w:snapToGrid/>
          <w:sz w:val="24"/>
          <w:szCs w:val="22"/>
        </w:rPr>
        <w:t xml:space="preserve"> </w:t>
      </w:r>
      <w:r w:rsidR="002E3127" w:rsidRPr="00027784">
        <w:rPr>
          <w:rFonts w:asciiTheme="minorHAnsi" w:eastAsiaTheme="minorHAnsi" w:hAnsiTheme="minorHAnsi" w:cstheme="minorBidi"/>
          <w:snapToGrid/>
          <w:sz w:val="24"/>
          <w:szCs w:val="22"/>
        </w:rPr>
        <w:t>compounded</w:t>
      </w:r>
      <w:r w:rsidR="00BC2C7B" w:rsidRPr="00027784">
        <w:rPr>
          <w:rFonts w:asciiTheme="minorHAnsi" w:eastAsiaTheme="minorHAnsi" w:hAnsiTheme="minorHAnsi" w:cstheme="minorBidi"/>
          <w:snapToGrid/>
          <w:sz w:val="24"/>
          <w:szCs w:val="22"/>
        </w:rPr>
        <w:t xml:space="preserve"> into </w:t>
      </w:r>
      <w:r w:rsidR="00EE2A53" w:rsidRPr="00027784">
        <w:rPr>
          <w:rFonts w:asciiTheme="minorHAnsi" w:eastAsiaTheme="minorHAnsi" w:hAnsiTheme="minorHAnsi" w:cstheme="minorBidi"/>
          <w:snapToGrid/>
          <w:sz w:val="24"/>
          <w:szCs w:val="22"/>
        </w:rPr>
        <w:t>oral suspension</w:t>
      </w:r>
      <w:r w:rsidR="00BC2C7B" w:rsidRPr="00027784">
        <w:rPr>
          <w:rFonts w:asciiTheme="minorHAnsi" w:eastAsiaTheme="minorHAnsi" w:hAnsiTheme="minorHAnsi" w:cstheme="minorBidi"/>
          <w:snapToGrid/>
          <w:sz w:val="24"/>
          <w:szCs w:val="22"/>
        </w:rPr>
        <w:t xml:space="preserve"> or capsules</w:t>
      </w:r>
      <w:r w:rsidR="00CC0F29" w:rsidRPr="00027784">
        <w:rPr>
          <w:rFonts w:asciiTheme="minorHAnsi" w:eastAsiaTheme="minorHAnsi" w:hAnsiTheme="minorHAnsi" w:cstheme="minorBidi"/>
          <w:snapToGrid/>
          <w:sz w:val="24"/>
          <w:szCs w:val="22"/>
        </w:rPr>
        <w:t xml:space="preserve"> by a pharmacy</w:t>
      </w:r>
      <w:r w:rsidR="00BC2C7B" w:rsidRPr="00027784">
        <w:rPr>
          <w:rFonts w:asciiTheme="minorHAnsi" w:eastAsiaTheme="minorHAnsi" w:hAnsiTheme="minorHAnsi" w:cstheme="minorBidi"/>
          <w:snapToGrid/>
          <w:sz w:val="24"/>
          <w:szCs w:val="22"/>
        </w:rPr>
        <w:t xml:space="preserve">. </w:t>
      </w:r>
    </w:p>
    <w:p w:rsidR="001F5C0B" w:rsidRPr="00027784" w:rsidRDefault="001F5C0B"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The implied equi-effective doses were:</w:t>
      </w:r>
      <w:r w:rsidR="00C964D5" w:rsidRPr="00027784">
        <w:rPr>
          <w:rFonts w:asciiTheme="minorHAnsi" w:eastAsiaTheme="minorHAnsi" w:hAnsiTheme="minorHAnsi" w:cstheme="minorBidi"/>
          <w:snapToGrid/>
          <w:sz w:val="24"/>
          <w:szCs w:val="22"/>
        </w:rPr>
        <w:t xml:space="preserve"> </w:t>
      </w:r>
      <w:r w:rsidRPr="00027784">
        <w:rPr>
          <w:rFonts w:asciiTheme="minorHAnsi" w:eastAsiaTheme="minorHAnsi" w:hAnsiTheme="minorHAnsi" w:cstheme="minorBidi"/>
          <w:snapToGrid/>
          <w:sz w:val="24"/>
          <w:szCs w:val="22"/>
        </w:rPr>
        <w:t xml:space="preserve">1 gram coated NaPb = 1 gram NaPb </w:t>
      </w:r>
      <w:r w:rsidR="002E3127" w:rsidRPr="00027784">
        <w:rPr>
          <w:rFonts w:asciiTheme="minorHAnsi" w:eastAsiaTheme="minorHAnsi" w:hAnsiTheme="minorHAnsi" w:cstheme="minorBidi"/>
          <w:snapToGrid/>
          <w:sz w:val="24"/>
          <w:szCs w:val="22"/>
        </w:rPr>
        <w:t>comp</w:t>
      </w:r>
      <w:r w:rsidR="006E471E" w:rsidRPr="00027784">
        <w:rPr>
          <w:rFonts w:asciiTheme="minorHAnsi" w:eastAsiaTheme="minorHAnsi" w:hAnsiTheme="minorHAnsi" w:cstheme="minorBidi"/>
          <w:snapToGrid/>
          <w:sz w:val="24"/>
          <w:szCs w:val="22"/>
        </w:rPr>
        <w:t>o</w:t>
      </w:r>
      <w:r w:rsidR="002E3127" w:rsidRPr="00027784">
        <w:rPr>
          <w:rFonts w:asciiTheme="minorHAnsi" w:eastAsiaTheme="minorHAnsi" w:hAnsiTheme="minorHAnsi" w:cstheme="minorBidi"/>
          <w:snapToGrid/>
          <w:sz w:val="24"/>
          <w:szCs w:val="22"/>
        </w:rPr>
        <w:t>unded</w:t>
      </w:r>
      <w:r w:rsidRPr="00027784">
        <w:rPr>
          <w:rFonts w:asciiTheme="minorHAnsi" w:eastAsiaTheme="minorHAnsi" w:hAnsiTheme="minorHAnsi" w:cstheme="minorBidi"/>
          <w:snapToGrid/>
          <w:sz w:val="24"/>
          <w:szCs w:val="22"/>
        </w:rPr>
        <w:t xml:space="preserve"> into an oral suspension or cap</w:t>
      </w:r>
      <w:r w:rsidR="006E471E" w:rsidRPr="00027784">
        <w:rPr>
          <w:rFonts w:asciiTheme="minorHAnsi" w:eastAsiaTheme="minorHAnsi" w:hAnsiTheme="minorHAnsi" w:cstheme="minorBidi"/>
          <w:snapToGrid/>
          <w:sz w:val="24"/>
          <w:szCs w:val="22"/>
        </w:rPr>
        <w:t>s</w:t>
      </w:r>
      <w:r w:rsidRPr="00027784">
        <w:rPr>
          <w:rFonts w:asciiTheme="minorHAnsi" w:eastAsiaTheme="minorHAnsi" w:hAnsiTheme="minorHAnsi" w:cstheme="minorBidi"/>
          <w:snapToGrid/>
          <w:sz w:val="24"/>
          <w:szCs w:val="22"/>
        </w:rPr>
        <w:t>ule</w:t>
      </w:r>
      <w:r w:rsidR="006E471E" w:rsidRPr="00027784">
        <w:rPr>
          <w:rFonts w:asciiTheme="minorHAnsi" w:eastAsiaTheme="minorHAnsi" w:hAnsiTheme="minorHAnsi" w:cstheme="minorBidi"/>
          <w:snapToGrid/>
          <w:sz w:val="24"/>
          <w:szCs w:val="22"/>
        </w:rPr>
        <w:t>.</w:t>
      </w:r>
      <w:r w:rsidRPr="00027784">
        <w:rPr>
          <w:rFonts w:asciiTheme="minorHAnsi" w:eastAsiaTheme="minorHAnsi" w:hAnsiTheme="minorHAnsi" w:cstheme="minorBidi"/>
          <w:snapToGrid/>
          <w:sz w:val="24"/>
          <w:szCs w:val="22"/>
        </w:rPr>
        <w:t xml:space="preserve"> </w:t>
      </w:r>
    </w:p>
    <w:p w:rsidR="00C96A01" w:rsidRPr="00027784" w:rsidRDefault="00C96A01"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The re-submission calculated the average cost per gram of NaPb</w:t>
      </w:r>
      <w:r w:rsidR="00C964D5" w:rsidRPr="00027784">
        <w:rPr>
          <w:rFonts w:asciiTheme="minorHAnsi" w:eastAsiaTheme="minorHAnsi" w:hAnsiTheme="minorHAnsi" w:cstheme="minorBidi"/>
          <w:snapToGrid/>
          <w:sz w:val="24"/>
          <w:szCs w:val="22"/>
        </w:rPr>
        <w:t xml:space="preserve"> oral suspension or capsules based on the cost of the raw powder plus compounding fees, with utilisation </w:t>
      </w:r>
      <w:r w:rsidRPr="00027784">
        <w:rPr>
          <w:rFonts w:asciiTheme="minorHAnsi" w:eastAsiaTheme="minorHAnsi" w:hAnsiTheme="minorHAnsi" w:cstheme="minorBidi"/>
          <w:snapToGrid/>
          <w:sz w:val="24"/>
          <w:szCs w:val="22"/>
        </w:rPr>
        <w:t>weighted between the two formulations</w:t>
      </w:r>
      <w:r w:rsidR="002E3127" w:rsidRPr="00027784">
        <w:rPr>
          <w:rFonts w:asciiTheme="minorHAnsi" w:eastAsiaTheme="minorHAnsi" w:hAnsiTheme="minorHAnsi" w:cstheme="minorBidi"/>
          <w:snapToGrid/>
          <w:sz w:val="24"/>
          <w:szCs w:val="22"/>
        </w:rPr>
        <w:t xml:space="preserve"> (suspension and capsules)</w:t>
      </w:r>
      <w:r w:rsidR="00C964D5" w:rsidRPr="00027784">
        <w:rPr>
          <w:rFonts w:asciiTheme="minorHAnsi" w:eastAsiaTheme="minorHAnsi" w:hAnsiTheme="minorHAnsi" w:cstheme="minorBidi"/>
          <w:snapToGrid/>
          <w:sz w:val="24"/>
          <w:szCs w:val="22"/>
        </w:rPr>
        <w:t xml:space="preserve">. </w:t>
      </w:r>
      <w:r w:rsidRPr="00027784">
        <w:rPr>
          <w:rFonts w:asciiTheme="minorHAnsi" w:eastAsiaTheme="minorHAnsi" w:hAnsiTheme="minorHAnsi" w:cstheme="minorBidi"/>
          <w:snapToGrid/>
          <w:sz w:val="24"/>
          <w:szCs w:val="22"/>
        </w:rPr>
        <w:t xml:space="preserve">The calculations are outlined in Table </w:t>
      </w:r>
      <w:r w:rsidR="003F58DA" w:rsidRPr="00027784">
        <w:rPr>
          <w:rFonts w:asciiTheme="minorHAnsi" w:eastAsiaTheme="minorHAnsi" w:hAnsiTheme="minorHAnsi" w:cstheme="minorBidi"/>
          <w:snapToGrid/>
          <w:sz w:val="24"/>
          <w:szCs w:val="22"/>
        </w:rPr>
        <w:t>2</w:t>
      </w:r>
      <w:r w:rsidRPr="00027784">
        <w:rPr>
          <w:rFonts w:asciiTheme="minorHAnsi" w:eastAsiaTheme="minorHAnsi" w:hAnsiTheme="minorHAnsi" w:cstheme="minorBidi"/>
          <w:snapToGrid/>
          <w:sz w:val="24"/>
          <w:szCs w:val="22"/>
        </w:rPr>
        <w:t xml:space="preserve">. </w:t>
      </w:r>
      <w:r w:rsidR="00C964D5" w:rsidRPr="00027784">
        <w:rPr>
          <w:rFonts w:asciiTheme="minorHAnsi" w:eastAsiaTheme="minorHAnsi" w:hAnsiTheme="minorHAnsi" w:cstheme="minorBidi"/>
          <w:snapToGrid/>
          <w:sz w:val="24"/>
          <w:szCs w:val="22"/>
        </w:rPr>
        <w:t>The costs were not verified during preparation of the minor overview.</w:t>
      </w:r>
    </w:p>
    <w:p w:rsidR="00006FF6" w:rsidRPr="00027784" w:rsidRDefault="00006FF6"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w:t>
      </w:r>
      <w:r w:rsidR="00CC0F29" w:rsidRPr="00027784">
        <w:rPr>
          <w:rFonts w:asciiTheme="minorHAnsi" w:eastAsiaTheme="minorHAnsi" w:hAnsiTheme="minorHAnsi" w:cstheme="minorBidi"/>
          <w:snapToGrid/>
          <w:sz w:val="24"/>
          <w:szCs w:val="22"/>
        </w:rPr>
        <w:t xml:space="preserve">re-submission stated that the costs were based on: compounding costs from a </w:t>
      </w:r>
      <w:r w:rsidR="00D71318" w:rsidRPr="00027784">
        <w:rPr>
          <w:rFonts w:asciiTheme="minorHAnsi" w:eastAsiaTheme="minorHAnsi" w:hAnsiTheme="minorHAnsi" w:cstheme="minorBidi"/>
          <w:snapToGrid/>
          <w:sz w:val="24"/>
          <w:szCs w:val="22"/>
        </w:rPr>
        <w:t xml:space="preserve">Sydney-based </w:t>
      </w:r>
      <w:r w:rsidR="00365ABB" w:rsidRPr="00027784">
        <w:rPr>
          <w:rFonts w:asciiTheme="minorHAnsi" w:eastAsiaTheme="minorHAnsi" w:hAnsiTheme="minorHAnsi" w:cstheme="minorBidi"/>
          <w:snapToGrid/>
          <w:sz w:val="24"/>
          <w:szCs w:val="22"/>
        </w:rPr>
        <w:t xml:space="preserve">compounding </w:t>
      </w:r>
      <w:r w:rsidR="00DF0F7B" w:rsidRPr="00027784">
        <w:rPr>
          <w:rFonts w:asciiTheme="minorHAnsi" w:eastAsiaTheme="minorHAnsi" w:hAnsiTheme="minorHAnsi" w:cstheme="minorBidi"/>
          <w:snapToGrid/>
          <w:sz w:val="24"/>
          <w:szCs w:val="22"/>
        </w:rPr>
        <w:t>pharmacy</w:t>
      </w:r>
      <w:r w:rsidR="00CC0F29" w:rsidRPr="00027784">
        <w:rPr>
          <w:rFonts w:asciiTheme="minorHAnsi" w:eastAsiaTheme="minorHAnsi" w:hAnsiTheme="minorHAnsi" w:cstheme="minorBidi"/>
          <w:snapToGrid/>
          <w:sz w:val="24"/>
          <w:szCs w:val="22"/>
        </w:rPr>
        <w:t>; and</w:t>
      </w:r>
      <w:r w:rsidR="00C96A01" w:rsidRPr="00027784">
        <w:rPr>
          <w:rFonts w:asciiTheme="minorHAnsi" w:eastAsiaTheme="minorHAnsi" w:hAnsiTheme="minorHAnsi" w:cstheme="minorBidi"/>
          <w:snapToGrid/>
          <w:sz w:val="24"/>
          <w:szCs w:val="22"/>
        </w:rPr>
        <w:t xml:space="preserve"> pricing of NaPb powder from</w:t>
      </w:r>
      <w:r w:rsidR="00CC0F29" w:rsidRPr="00027784">
        <w:rPr>
          <w:rFonts w:asciiTheme="minorHAnsi" w:eastAsiaTheme="minorHAnsi" w:hAnsiTheme="minorHAnsi" w:cstheme="minorBidi"/>
          <w:snapToGrid/>
          <w:sz w:val="24"/>
          <w:szCs w:val="22"/>
        </w:rPr>
        <w:t xml:space="preserve"> </w:t>
      </w:r>
      <w:r w:rsidR="00C96A01" w:rsidRPr="00027784">
        <w:rPr>
          <w:rFonts w:asciiTheme="minorHAnsi" w:eastAsiaTheme="minorHAnsi" w:hAnsiTheme="minorHAnsi" w:cstheme="minorBidi"/>
          <w:snapToGrid/>
          <w:sz w:val="24"/>
          <w:szCs w:val="22"/>
        </w:rPr>
        <w:t>medisca.com.au</w:t>
      </w:r>
      <w:r w:rsidR="00D92AEB" w:rsidRPr="00027784">
        <w:rPr>
          <w:rFonts w:asciiTheme="minorHAnsi" w:eastAsiaTheme="minorHAnsi" w:hAnsiTheme="minorHAnsi" w:cstheme="minorBidi"/>
          <w:snapToGrid/>
          <w:sz w:val="24"/>
          <w:szCs w:val="22"/>
        </w:rPr>
        <w:t>.</w:t>
      </w:r>
      <w:r w:rsidR="00C96A01" w:rsidRPr="00027784">
        <w:rPr>
          <w:rFonts w:asciiTheme="minorHAnsi" w:eastAsiaTheme="minorHAnsi" w:hAnsiTheme="minorHAnsi" w:cstheme="minorBidi"/>
          <w:snapToGrid/>
          <w:sz w:val="24"/>
          <w:szCs w:val="22"/>
        </w:rPr>
        <w:t xml:space="preserve"> </w:t>
      </w:r>
    </w:p>
    <w:p w:rsidR="00006FF6" w:rsidRPr="00027784" w:rsidRDefault="00CC0F29"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The quantities formulated for a one-month supply were based on</w:t>
      </w:r>
      <w:r w:rsidR="00006FF6" w:rsidRPr="00027784">
        <w:rPr>
          <w:rFonts w:asciiTheme="minorHAnsi" w:eastAsiaTheme="minorHAnsi" w:hAnsiTheme="minorHAnsi" w:cstheme="minorBidi"/>
          <w:snapToGrid/>
          <w:sz w:val="24"/>
          <w:szCs w:val="22"/>
        </w:rPr>
        <w:t>:</w:t>
      </w:r>
    </w:p>
    <w:p w:rsidR="00006FF6" w:rsidRPr="00027784" w:rsidRDefault="002D5F1B" w:rsidP="00D92AEB">
      <w:pPr>
        <w:pStyle w:val="ListParagraph"/>
        <w:numPr>
          <w:ilvl w:val="0"/>
          <w:numId w:val="21"/>
        </w:numPr>
        <w:spacing w:after="120"/>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O</w:t>
      </w:r>
      <w:r w:rsidR="00DF0F7B" w:rsidRPr="00027784">
        <w:rPr>
          <w:rFonts w:asciiTheme="minorHAnsi" w:eastAsiaTheme="minorHAnsi" w:hAnsiTheme="minorHAnsi" w:cstheme="minorBidi"/>
          <w:snapToGrid/>
          <w:sz w:val="24"/>
          <w:szCs w:val="22"/>
        </w:rPr>
        <w:t xml:space="preserve">ral suspension: </w:t>
      </w:r>
      <w:r w:rsidR="00006FF6" w:rsidRPr="00027784">
        <w:rPr>
          <w:rFonts w:asciiTheme="minorHAnsi" w:eastAsiaTheme="minorHAnsi" w:hAnsiTheme="minorHAnsi" w:cstheme="minorBidi"/>
          <w:snapToGrid/>
          <w:sz w:val="24"/>
          <w:szCs w:val="22"/>
        </w:rPr>
        <w:t xml:space="preserve">60g </w:t>
      </w:r>
      <w:r w:rsidR="00DF0F7B" w:rsidRPr="00027784">
        <w:rPr>
          <w:rFonts w:asciiTheme="minorHAnsi" w:eastAsiaTheme="minorHAnsi" w:hAnsiTheme="minorHAnsi" w:cstheme="minorBidi"/>
          <w:snapToGrid/>
          <w:sz w:val="24"/>
          <w:szCs w:val="22"/>
        </w:rPr>
        <w:t>of NaPb</w:t>
      </w:r>
      <w:r w:rsidR="00EE2A53" w:rsidRPr="00027784">
        <w:rPr>
          <w:rFonts w:asciiTheme="minorHAnsi" w:eastAsiaTheme="minorHAnsi" w:hAnsiTheme="minorHAnsi" w:cstheme="minorBidi"/>
          <w:snapToGrid/>
          <w:sz w:val="24"/>
          <w:szCs w:val="22"/>
        </w:rPr>
        <w:t xml:space="preserve"> per month (comprising six bottles) The re-submission stated this was a “common sized script” at </w:t>
      </w:r>
      <w:r w:rsidR="00006FF6" w:rsidRPr="00027784">
        <w:rPr>
          <w:rFonts w:asciiTheme="minorHAnsi" w:eastAsiaTheme="minorHAnsi" w:hAnsiTheme="minorHAnsi" w:cstheme="minorBidi"/>
          <w:snapToGrid/>
          <w:sz w:val="24"/>
          <w:szCs w:val="22"/>
        </w:rPr>
        <w:t xml:space="preserve">the </w:t>
      </w:r>
      <w:r w:rsidR="00D03411">
        <w:rPr>
          <w:rFonts w:asciiTheme="minorHAnsi" w:eastAsiaTheme="minorHAnsi" w:hAnsiTheme="minorHAnsi" w:cstheme="minorBidi"/>
          <w:noProof/>
          <w:snapToGrid/>
          <w:color w:val="000000"/>
          <w:sz w:val="24"/>
          <w:szCs w:val="22"/>
          <w:highlight w:val="black"/>
        </w:rPr>
        <w:t>'''''''' '''''''''''''' ''''''''''''''''''''' '''''''''''''''' '''''''''''''''''''</w:t>
      </w:r>
      <w:r w:rsidR="00EE2A53" w:rsidRPr="00027784">
        <w:rPr>
          <w:rFonts w:asciiTheme="minorHAnsi" w:eastAsiaTheme="minorHAnsi" w:hAnsiTheme="minorHAnsi" w:cstheme="minorBidi"/>
          <w:snapToGrid/>
          <w:sz w:val="24"/>
          <w:szCs w:val="22"/>
        </w:rPr>
        <w:t xml:space="preserve"> (once made, </w:t>
      </w:r>
      <w:r w:rsidR="00006FF6" w:rsidRPr="00027784">
        <w:rPr>
          <w:rFonts w:asciiTheme="minorHAnsi" w:eastAsiaTheme="minorHAnsi" w:hAnsiTheme="minorHAnsi" w:cstheme="minorBidi"/>
          <w:snapToGrid/>
          <w:sz w:val="24"/>
          <w:szCs w:val="22"/>
        </w:rPr>
        <w:t xml:space="preserve">NaPb </w:t>
      </w:r>
      <w:r w:rsidR="00EE2A53" w:rsidRPr="00027784">
        <w:rPr>
          <w:rFonts w:asciiTheme="minorHAnsi" w:eastAsiaTheme="minorHAnsi" w:hAnsiTheme="minorHAnsi" w:cstheme="minorBidi"/>
          <w:snapToGrid/>
          <w:sz w:val="24"/>
          <w:szCs w:val="22"/>
        </w:rPr>
        <w:t xml:space="preserve">suspension </w:t>
      </w:r>
      <w:r w:rsidR="00006FF6" w:rsidRPr="00027784">
        <w:rPr>
          <w:rFonts w:asciiTheme="minorHAnsi" w:eastAsiaTheme="minorHAnsi" w:hAnsiTheme="minorHAnsi" w:cstheme="minorBidi"/>
          <w:snapToGrid/>
          <w:sz w:val="24"/>
          <w:szCs w:val="22"/>
        </w:rPr>
        <w:t>has a shelf life of 1 month</w:t>
      </w:r>
      <w:r w:rsidR="00EE2A53" w:rsidRPr="00027784">
        <w:rPr>
          <w:rFonts w:asciiTheme="minorHAnsi" w:eastAsiaTheme="minorHAnsi" w:hAnsiTheme="minorHAnsi" w:cstheme="minorBidi"/>
          <w:snapToGrid/>
          <w:sz w:val="24"/>
          <w:szCs w:val="22"/>
        </w:rPr>
        <w:t>)</w:t>
      </w:r>
      <w:r w:rsidR="00006FF6" w:rsidRPr="00027784">
        <w:rPr>
          <w:rFonts w:asciiTheme="minorHAnsi" w:eastAsiaTheme="minorHAnsi" w:hAnsiTheme="minorHAnsi" w:cstheme="minorBidi"/>
          <w:snapToGrid/>
          <w:sz w:val="24"/>
          <w:szCs w:val="22"/>
        </w:rPr>
        <w:t>.</w:t>
      </w:r>
    </w:p>
    <w:p w:rsidR="00006FF6" w:rsidRPr="00027784" w:rsidRDefault="00DF0F7B" w:rsidP="00D92AEB">
      <w:pPr>
        <w:pStyle w:val="ListParagraph"/>
        <w:numPr>
          <w:ilvl w:val="0"/>
          <w:numId w:val="21"/>
        </w:numPr>
        <w:spacing w:after="120"/>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Capsules: </w:t>
      </w:r>
      <w:r w:rsidR="00EE2A53" w:rsidRPr="00027784">
        <w:rPr>
          <w:rFonts w:asciiTheme="minorHAnsi" w:eastAsiaTheme="minorHAnsi" w:hAnsiTheme="minorHAnsi" w:cstheme="minorBidi"/>
          <w:snapToGrid/>
          <w:sz w:val="24"/>
          <w:szCs w:val="22"/>
        </w:rPr>
        <w:t xml:space="preserve">150g of NaPb per month (comprising 300 capsules each containing </w:t>
      </w:r>
      <w:r w:rsidR="00006FF6" w:rsidRPr="00027784">
        <w:rPr>
          <w:rFonts w:asciiTheme="minorHAnsi" w:eastAsiaTheme="minorHAnsi" w:hAnsiTheme="minorHAnsi" w:cstheme="minorBidi"/>
          <w:snapToGrid/>
          <w:sz w:val="24"/>
          <w:szCs w:val="22"/>
        </w:rPr>
        <w:t xml:space="preserve">500mg </w:t>
      </w:r>
      <w:r w:rsidR="00EE2A53" w:rsidRPr="00027784">
        <w:rPr>
          <w:rFonts w:asciiTheme="minorHAnsi" w:eastAsiaTheme="minorHAnsi" w:hAnsiTheme="minorHAnsi" w:cstheme="minorBidi"/>
          <w:snapToGrid/>
          <w:sz w:val="24"/>
          <w:szCs w:val="22"/>
        </w:rPr>
        <w:t xml:space="preserve">NaPb). This was </w:t>
      </w:r>
      <w:r w:rsidR="00006FF6" w:rsidRPr="00027784">
        <w:rPr>
          <w:rFonts w:asciiTheme="minorHAnsi" w:eastAsiaTheme="minorHAnsi" w:hAnsiTheme="minorHAnsi" w:cstheme="minorBidi"/>
          <w:snapToGrid/>
          <w:sz w:val="24"/>
          <w:szCs w:val="22"/>
        </w:rPr>
        <w:t xml:space="preserve">based on the average daily dose </w:t>
      </w:r>
      <w:r w:rsidR="00EE2A53" w:rsidRPr="00027784">
        <w:rPr>
          <w:rFonts w:asciiTheme="minorHAnsi" w:eastAsiaTheme="minorHAnsi" w:hAnsiTheme="minorHAnsi" w:cstheme="minorBidi"/>
          <w:snapToGrid/>
          <w:sz w:val="24"/>
          <w:szCs w:val="22"/>
        </w:rPr>
        <w:t xml:space="preserve">of 5.26 gm per day </w:t>
      </w:r>
      <w:r w:rsidR="00006FF6" w:rsidRPr="00027784">
        <w:rPr>
          <w:rFonts w:asciiTheme="minorHAnsi" w:eastAsiaTheme="minorHAnsi" w:hAnsiTheme="minorHAnsi" w:cstheme="minorBidi"/>
          <w:snapToGrid/>
          <w:sz w:val="24"/>
          <w:szCs w:val="22"/>
        </w:rPr>
        <w:t xml:space="preserve">in Kibleur 2014 </w:t>
      </w:r>
      <w:r w:rsidR="00EE2A53" w:rsidRPr="00027784">
        <w:rPr>
          <w:rFonts w:asciiTheme="minorHAnsi" w:eastAsiaTheme="minorHAnsi" w:hAnsiTheme="minorHAnsi" w:cstheme="minorBidi"/>
          <w:snapToGrid/>
          <w:sz w:val="24"/>
          <w:szCs w:val="22"/>
        </w:rPr>
        <w:t xml:space="preserve">(the </w:t>
      </w:r>
      <w:r w:rsidR="000675E1" w:rsidRPr="00027784">
        <w:rPr>
          <w:rFonts w:asciiTheme="minorHAnsi" w:eastAsiaTheme="minorHAnsi" w:hAnsiTheme="minorHAnsi" w:cstheme="minorBidi"/>
          <w:snapToGrid/>
          <w:sz w:val="24"/>
          <w:szCs w:val="22"/>
        </w:rPr>
        <w:t xml:space="preserve">key </w:t>
      </w:r>
      <w:r w:rsidR="00EE2A53" w:rsidRPr="00027784">
        <w:rPr>
          <w:rFonts w:asciiTheme="minorHAnsi" w:eastAsiaTheme="minorHAnsi" w:hAnsiTheme="minorHAnsi" w:cstheme="minorBidi"/>
          <w:snapToGrid/>
          <w:sz w:val="24"/>
          <w:szCs w:val="22"/>
        </w:rPr>
        <w:t>study used in the previous submission)</w:t>
      </w:r>
      <w:r w:rsidR="00006FF6" w:rsidRPr="00027784">
        <w:rPr>
          <w:rFonts w:asciiTheme="minorHAnsi" w:eastAsiaTheme="minorHAnsi" w:hAnsiTheme="minorHAnsi" w:cstheme="minorBidi"/>
          <w:snapToGrid/>
          <w:sz w:val="24"/>
          <w:szCs w:val="22"/>
        </w:rPr>
        <w:t>.</w:t>
      </w:r>
    </w:p>
    <w:p w:rsidR="006B1A2A" w:rsidRPr="00027784" w:rsidRDefault="00EE2A53" w:rsidP="00B41B05">
      <w:pPr>
        <w:pStyle w:val="ListParagraph"/>
        <w:widowControl/>
        <w:numPr>
          <w:ilvl w:val="1"/>
          <w:numId w:val="5"/>
        </w:numPr>
        <w:spacing w:after="120"/>
        <w:ind w:left="709" w:hanging="709"/>
        <w:contextualSpacing w:val="0"/>
        <w:rPr>
          <w:rFonts w:asciiTheme="minorHAnsi" w:eastAsiaTheme="minorHAnsi" w:hAnsiTheme="minorHAnsi" w:cstheme="minorBidi"/>
          <w:sz w:val="24"/>
          <w:szCs w:val="22"/>
        </w:rPr>
      </w:pPr>
      <w:r w:rsidRPr="00027784">
        <w:rPr>
          <w:rFonts w:asciiTheme="minorHAnsi" w:eastAsiaTheme="minorHAnsi" w:hAnsiTheme="minorHAnsi" w:cstheme="minorBidi"/>
          <w:sz w:val="24"/>
          <w:szCs w:val="22"/>
        </w:rPr>
        <w:t>The</w:t>
      </w:r>
      <w:r w:rsidR="006B1A2A" w:rsidRPr="00027784">
        <w:rPr>
          <w:rFonts w:asciiTheme="minorHAnsi" w:eastAsiaTheme="minorHAnsi" w:hAnsiTheme="minorHAnsi" w:cstheme="minorBidi"/>
          <w:sz w:val="24"/>
          <w:szCs w:val="22"/>
        </w:rPr>
        <w:t xml:space="preserve"> re-submission stated that the</w:t>
      </w:r>
      <w:r w:rsidRPr="00027784">
        <w:rPr>
          <w:rFonts w:asciiTheme="minorHAnsi" w:eastAsiaTheme="minorHAnsi" w:hAnsiTheme="minorHAnsi" w:cstheme="minorBidi"/>
          <w:sz w:val="24"/>
          <w:szCs w:val="22"/>
        </w:rPr>
        <w:t xml:space="preserve"> weighting between the two </w:t>
      </w:r>
      <w:r w:rsidR="00826EEA" w:rsidRPr="00027784">
        <w:rPr>
          <w:rFonts w:asciiTheme="minorHAnsi" w:eastAsiaTheme="minorHAnsi" w:hAnsiTheme="minorHAnsi" w:cstheme="minorBidi"/>
          <w:sz w:val="24"/>
          <w:szCs w:val="22"/>
        </w:rPr>
        <w:t xml:space="preserve">formulations (oral suspension or capsules) </w:t>
      </w:r>
      <w:r w:rsidR="006B1A2A" w:rsidRPr="00027784">
        <w:rPr>
          <w:rFonts w:asciiTheme="minorHAnsi" w:eastAsiaTheme="minorHAnsi" w:hAnsiTheme="minorHAnsi" w:cstheme="minorBidi"/>
          <w:sz w:val="24"/>
          <w:szCs w:val="22"/>
        </w:rPr>
        <w:t xml:space="preserve">was </w:t>
      </w:r>
      <w:r w:rsidR="00826EEA" w:rsidRPr="00027784">
        <w:rPr>
          <w:rFonts w:asciiTheme="minorHAnsi" w:eastAsiaTheme="minorHAnsi" w:hAnsiTheme="minorHAnsi" w:cstheme="minorBidi"/>
          <w:sz w:val="24"/>
          <w:szCs w:val="22"/>
        </w:rPr>
        <w:t xml:space="preserve">based on </w:t>
      </w:r>
      <w:r w:rsidRPr="00027784">
        <w:rPr>
          <w:rFonts w:asciiTheme="minorHAnsi" w:eastAsiaTheme="minorHAnsi" w:hAnsiTheme="minorHAnsi" w:cstheme="minorBidi"/>
          <w:sz w:val="24"/>
          <w:szCs w:val="22"/>
        </w:rPr>
        <w:t>Kaplan-</w:t>
      </w:r>
      <w:r w:rsidR="00826EEA" w:rsidRPr="00027784">
        <w:rPr>
          <w:rFonts w:asciiTheme="minorHAnsi" w:eastAsiaTheme="minorHAnsi" w:hAnsiTheme="minorHAnsi" w:cstheme="minorBidi"/>
          <w:sz w:val="24"/>
          <w:szCs w:val="22"/>
        </w:rPr>
        <w:t>M</w:t>
      </w:r>
      <w:r w:rsidRPr="00027784">
        <w:rPr>
          <w:rFonts w:asciiTheme="minorHAnsi" w:eastAsiaTheme="minorHAnsi" w:hAnsiTheme="minorHAnsi" w:cstheme="minorBidi"/>
          <w:sz w:val="24"/>
          <w:szCs w:val="22"/>
        </w:rPr>
        <w:t xml:space="preserve">eier curves from Bachmann (2003). </w:t>
      </w:r>
      <w:r w:rsidR="006B1A2A" w:rsidRPr="00027784">
        <w:rPr>
          <w:rFonts w:asciiTheme="minorHAnsi" w:eastAsiaTheme="minorHAnsi" w:hAnsiTheme="minorHAnsi" w:cstheme="minorBidi"/>
          <w:sz w:val="24"/>
          <w:szCs w:val="22"/>
        </w:rPr>
        <w:t>The re-submission assumed that all patients under three years</w:t>
      </w:r>
      <w:r w:rsidR="002E3127" w:rsidRPr="00027784">
        <w:rPr>
          <w:rFonts w:asciiTheme="minorHAnsi" w:eastAsiaTheme="minorHAnsi" w:hAnsiTheme="minorHAnsi" w:cstheme="minorBidi"/>
          <w:sz w:val="24"/>
          <w:szCs w:val="22"/>
        </w:rPr>
        <w:t xml:space="preserve"> of age</w:t>
      </w:r>
      <w:r w:rsidR="006B1A2A" w:rsidRPr="00027784">
        <w:rPr>
          <w:rFonts w:asciiTheme="minorHAnsi" w:eastAsiaTheme="minorHAnsi" w:hAnsiTheme="minorHAnsi" w:cstheme="minorBidi"/>
          <w:sz w:val="24"/>
          <w:szCs w:val="22"/>
        </w:rPr>
        <w:t xml:space="preserve"> would require the oral suspension. </w:t>
      </w:r>
      <w:r w:rsidR="001F5C0B" w:rsidRPr="00027784">
        <w:rPr>
          <w:rFonts w:asciiTheme="minorHAnsi" w:eastAsiaTheme="minorHAnsi" w:hAnsiTheme="minorHAnsi" w:cstheme="minorBidi"/>
          <w:sz w:val="24"/>
          <w:szCs w:val="22"/>
        </w:rPr>
        <w:t>In essence, t</w:t>
      </w:r>
      <w:r w:rsidR="006B1A2A" w:rsidRPr="00027784">
        <w:rPr>
          <w:rFonts w:asciiTheme="minorHAnsi" w:eastAsiaTheme="minorHAnsi" w:hAnsiTheme="minorHAnsi" w:cstheme="minorBidi"/>
          <w:sz w:val="24"/>
          <w:szCs w:val="22"/>
        </w:rPr>
        <w:t>he re-submission assumed that:</w:t>
      </w:r>
    </w:p>
    <w:p w:rsidR="006B1A2A" w:rsidRPr="00027784" w:rsidRDefault="006B1A2A" w:rsidP="006B1A2A">
      <w:pPr>
        <w:pStyle w:val="ListParagraph"/>
        <w:numPr>
          <w:ilvl w:val="0"/>
          <w:numId w:val="21"/>
        </w:numPr>
        <w:spacing w:after="120"/>
        <w:contextualSpacing w:val="0"/>
        <w:rPr>
          <w:rFonts w:asciiTheme="minorHAnsi" w:eastAsiaTheme="minorHAnsi" w:hAnsiTheme="minorHAnsi" w:cstheme="minorBidi"/>
          <w:sz w:val="24"/>
          <w:szCs w:val="22"/>
        </w:rPr>
      </w:pPr>
      <w:r w:rsidRPr="00027784">
        <w:rPr>
          <w:rFonts w:asciiTheme="minorHAnsi" w:eastAsiaTheme="minorHAnsi" w:hAnsiTheme="minorHAnsi" w:cstheme="minorBidi"/>
          <w:sz w:val="24"/>
          <w:szCs w:val="22"/>
        </w:rPr>
        <w:t xml:space="preserve">38% of patients have early-onset UCD, </w:t>
      </w:r>
      <w:r w:rsidR="00D03411">
        <w:rPr>
          <w:rFonts w:asciiTheme="minorHAnsi" w:eastAsiaTheme="minorHAnsi" w:hAnsiTheme="minorHAnsi" w:cstheme="minorBidi"/>
          <w:noProof/>
          <w:color w:val="000000"/>
          <w:sz w:val="24"/>
          <w:szCs w:val="22"/>
          <w:highlight w:val="black"/>
        </w:rPr>
        <w:t>''''' ''''' ''''''''''''</w:t>
      </w:r>
      <w:r w:rsidRPr="00027784">
        <w:rPr>
          <w:rFonts w:asciiTheme="minorHAnsi" w:eastAsiaTheme="minorHAnsi" w:hAnsiTheme="minorHAnsi" w:cstheme="minorBidi"/>
          <w:sz w:val="24"/>
          <w:szCs w:val="22"/>
        </w:rPr>
        <w:t xml:space="preserve"> would require the oral suspension; and </w:t>
      </w:r>
    </w:p>
    <w:p w:rsidR="006B1A2A" w:rsidRPr="00027784" w:rsidRDefault="006B1A2A" w:rsidP="006B1A2A">
      <w:pPr>
        <w:pStyle w:val="ListParagraph"/>
        <w:numPr>
          <w:ilvl w:val="0"/>
          <w:numId w:val="21"/>
        </w:numPr>
        <w:spacing w:after="120"/>
        <w:contextualSpacing w:val="0"/>
        <w:rPr>
          <w:rFonts w:asciiTheme="minorHAnsi" w:eastAsiaTheme="minorHAnsi" w:hAnsiTheme="minorHAnsi" w:cstheme="minorBidi"/>
          <w:sz w:val="24"/>
          <w:szCs w:val="22"/>
        </w:rPr>
      </w:pPr>
      <w:r w:rsidRPr="003954AF">
        <w:rPr>
          <w:rFonts w:asciiTheme="minorHAnsi" w:eastAsiaTheme="minorHAnsi" w:hAnsiTheme="minorHAnsi" w:cstheme="minorBidi"/>
          <w:sz w:val="24"/>
          <w:szCs w:val="22"/>
        </w:rPr>
        <w:t>62</w:t>
      </w:r>
      <w:r w:rsidRPr="00027784">
        <w:rPr>
          <w:rFonts w:asciiTheme="minorHAnsi" w:eastAsiaTheme="minorHAnsi" w:hAnsiTheme="minorHAnsi" w:cstheme="minorBidi"/>
          <w:sz w:val="24"/>
          <w:szCs w:val="22"/>
        </w:rPr>
        <w:t xml:space="preserve">% of patients have late-onset UCD, </w:t>
      </w:r>
      <w:r w:rsidR="00D03411">
        <w:rPr>
          <w:rFonts w:asciiTheme="minorHAnsi" w:eastAsiaTheme="minorHAnsi" w:hAnsiTheme="minorHAnsi" w:cstheme="minorBidi"/>
          <w:noProof/>
          <w:color w:val="000000"/>
          <w:sz w:val="24"/>
          <w:szCs w:val="22"/>
          <w:highlight w:val="black"/>
        </w:rPr>
        <w:t>''''''</w:t>
      </w:r>
      <w:r w:rsidRPr="00027784">
        <w:rPr>
          <w:rFonts w:asciiTheme="minorHAnsi" w:eastAsiaTheme="minorHAnsi" w:hAnsiTheme="minorHAnsi" w:cstheme="minorBidi"/>
          <w:sz w:val="24"/>
          <w:szCs w:val="22"/>
        </w:rPr>
        <w:t xml:space="preserve">% of whom would require the oral suspension and </w:t>
      </w:r>
      <w:r w:rsidR="00D03411">
        <w:rPr>
          <w:rFonts w:asciiTheme="minorHAnsi" w:eastAsiaTheme="minorHAnsi" w:hAnsiTheme="minorHAnsi" w:cstheme="minorBidi"/>
          <w:noProof/>
          <w:color w:val="000000"/>
          <w:sz w:val="24"/>
          <w:szCs w:val="22"/>
          <w:highlight w:val="black"/>
        </w:rPr>
        <w:t>'''''</w:t>
      </w:r>
      <w:r w:rsidRPr="00027784">
        <w:rPr>
          <w:rFonts w:asciiTheme="minorHAnsi" w:eastAsiaTheme="minorHAnsi" w:hAnsiTheme="minorHAnsi" w:cstheme="minorBidi"/>
          <w:sz w:val="24"/>
          <w:szCs w:val="22"/>
        </w:rPr>
        <w:t xml:space="preserve">% </w:t>
      </w:r>
      <w:r w:rsidR="0030389D" w:rsidRPr="00027784">
        <w:rPr>
          <w:rFonts w:asciiTheme="minorHAnsi" w:eastAsiaTheme="minorHAnsi" w:hAnsiTheme="minorHAnsi" w:cstheme="minorBidi"/>
          <w:sz w:val="24"/>
          <w:szCs w:val="22"/>
        </w:rPr>
        <w:t xml:space="preserve">of whom </w:t>
      </w:r>
      <w:r w:rsidRPr="00027784">
        <w:rPr>
          <w:rFonts w:asciiTheme="minorHAnsi" w:eastAsiaTheme="minorHAnsi" w:hAnsiTheme="minorHAnsi" w:cstheme="minorBidi"/>
          <w:sz w:val="24"/>
          <w:szCs w:val="22"/>
        </w:rPr>
        <w:t xml:space="preserve">would require the capsules.  </w:t>
      </w:r>
    </w:p>
    <w:p w:rsidR="001F5C0B" w:rsidRPr="00027784" w:rsidRDefault="00EE2A53" w:rsidP="00B41B05">
      <w:pPr>
        <w:pStyle w:val="ListParagraph"/>
        <w:widowControl/>
        <w:numPr>
          <w:ilvl w:val="1"/>
          <w:numId w:val="5"/>
        </w:numPr>
        <w:spacing w:after="120"/>
        <w:ind w:left="709" w:hanging="709"/>
        <w:contextualSpacing w:val="0"/>
        <w:rPr>
          <w:rFonts w:asciiTheme="minorHAnsi" w:eastAsiaTheme="minorHAnsi" w:hAnsiTheme="minorHAnsi" w:cstheme="minorBidi"/>
          <w:sz w:val="24"/>
          <w:szCs w:val="22"/>
        </w:rPr>
      </w:pPr>
      <w:r w:rsidRPr="00027784">
        <w:rPr>
          <w:rFonts w:asciiTheme="minorHAnsi" w:eastAsiaTheme="minorHAnsi" w:hAnsiTheme="minorHAnsi" w:cstheme="minorBidi"/>
          <w:sz w:val="24"/>
          <w:szCs w:val="22"/>
        </w:rPr>
        <w:t>Th</w:t>
      </w:r>
      <w:r w:rsidR="001F5C0B" w:rsidRPr="00027784">
        <w:rPr>
          <w:rFonts w:asciiTheme="minorHAnsi" w:eastAsiaTheme="minorHAnsi" w:hAnsiTheme="minorHAnsi" w:cstheme="minorBidi"/>
          <w:sz w:val="24"/>
          <w:szCs w:val="22"/>
        </w:rPr>
        <w:t xml:space="preserve">us, the re-submission assumed that </w:t>
      </w:r>
      <w:r w:rsidR="00D03411">
        <w:rPr>
          <w:rFonts w:asciiTheme="minorHAnsi" w:eastAsiaTheme="minorHAnsi" w:hAnsiTheme="minorHAnsi" w:cstheme="minorBidi"/>
          <w:noProof/>
          <w:color w:val="000000"/>
          <w:sz w:val="24"/>
          <w:szCs w:val="22"/>
          <w:highlight w:val="black"/>
        </w:rPr>
        <w:t>''''''''</w:t>
      </w:r>
      <w:r w:rsidRPr="00027784">
        <w:rPr>
          <w:rFonts w:asciiTheme="minorHAnsi" w:eastAsiaTheme="minorHAnsi" w:hAnsiTheme="minorHAnsi" w:cstheme="minorBidi"/>
          <w:sz w:val="24"/>
          <w:szCs w:val="22"/>
        </w:rPr>
        <w:t xml:space="preserve">% </w:t>
      </w:r>
      <w:r w:rsidR="001F5C0B" w:rsidRPr="00027784">
        <w:rPr>
          <w:rFonts w:asciiTheme="minorHAnsi" w:eastAsiaTheme="minorHAnsi" w:hAnsiTheme="minorHAnsi" w:cstheme="minorBidi"/>
          <w:sz w:val="24"/>
          <w:szCs w:val="22"/>
        </w:rPr>
        <w:t xml:space="preserve">of patients would use the </w:t>
      </w:r>
      <w:r w:rsidRPr="00027784">
        <w:rPr>
          <w:rFonts w:asciiTheme="minorHAnsi" w:eastAsiaTheme="minorHAnsi" w:hAnsiTheme="minorHAnsi" w:cstheme="minorBidi"/>
          <w:sz w:val="24"/>
          <w:szCs w:val="22"/>
        </w:rPr>
        <w:t xml:space="preserve">oral suspension and </w:t>
      </w:r>
      <w:r w:rsidR="00D03411">
        <w:rPr>
          <w:rFonts w:asciiTheme="minorHAnsi" w:eastAsiaTheme="minorHAnsi" w:hAnsiTheme="minorHAnsi" w:cstheme="minorBidi"/>
          <w:noProof/>
          <w:color w:val="000000"/>
          <w:sz w:val="24"/>
          <w:szCs w:val="22"/>
          <w:highlight w:val="black"/>
        </w:rPr>
        <w:t>''''''''</w:t>
      </w:r>
      <w:r w:rsidRPr="00027784">
        <w:rPr>
          <w:rFonts w:asciiTheme="minorHAnsi" w:eastAsiaTheme="minorHAnsi" w:hAnsiTheme="minorHAnsi" w:cstheme="minorBidi"/>
          <w:sz w:val="24"/>
          <w:szCs w:val="22"/>
        </w:rPr>
        <w:t xml:space="preserve">% </w:t>
      </w:r>
      <w:r w:rsidR="001F5C0B" w:rsidRPr="00027784">
        <w:rPr>
          <w:rFonts w:asciiTheme="minorHAnsi" w:eastAsiaTheme="minorHAnsi" w:hAnsiTheme="minorHAnsi" w:cstheme="minorBidi"/>
          <w:sz w:val="24"/>
          <w:szCs w:val="22"/>
        </w:rPr>
        <w:t>would use the</w:t>
      </w:r>
      <w:r w:rsidRPr="00027784">
        <w:rPr>
          <w:rFonts w:asciiTheme="minorHAnsi" w:eastAsiaTheme="minorHAnsi" w:hAnsiTheme="minorHAnsi" w:cstheme="minorBidi"/>
          <w:sz w:val="24"/>
          <w:szCs w:val="22"/>
        </w:rPr>
        <w:t xml:space="preserve"> capsule presentation</w:t>
      </w:r>
      <w:r w:rsidR="001F5C0B" w:rsidRPr="00027784">
        <w:rPr>
          <w:rFonts w:asciiTheme="minorHAnsi" w:eastAsiaTheme="minorHAnsi" w:hAnsiTheme="minorHAnsi" w:cstheme="minorBidi"/>
          <w:sz w:val="24"/>
          <w:szCs w:val="22"/>
        </w:rPr>
        <w:t xml:space="preserve">. </w:t>
      </w:r>
    </w:p>
    <w:p w:rsidR="00006FF6" w:rsidRPr="00027784" w:rsidRDefault="00006FF6" w:rsidP="001F5C0B">
      <w:pPr>
        <w:keepNext/>
        <w:keepLines/>
        <w:rPr>
          <w:rFonts w:ascii="Arial Narrow" w:hAnsi="Arial Narrow"/>
          <w:b/>
          <w:color w:val="000000" w:themeColor="text1"/>
          <w:sz w:val="20"/>
        </w:rPr>
      </w:pPr>
      <w:r w:rsidRPr="00027784">
        <w:rPr>
          <w:rFonts w:ascii="Arial Narrow" w:hAnsi="Arial Narrow"/>
          <w:b/>
          <w:color w:val="000000" w:themeColor="text1"/>
          <w:sz w:val="20"/>
        </w:rPr>
        <w:t xml:space="preserve">Table </w:t>
      </w:r>
      <w:r w:rsidR="003F58DA" w:rsidRPr="00027784">
        <w:rPr>
          <w:rFonts w:ascii="Arial Narrow" w:hAnsi="Arial Narrow"/>
          <w:b/>
          <w:color w:val="000000" w:themeColor="text1"/>
          <w:sz w:val="20"/>
        </w:rPr>
        <w:t>2</w:t>
      </w:r>
      <w:r w:rsidRPr="00027784">
        <w:rPr>
          <w:rFonts w:ascii="Arial Narrow" w:hAnsi="Arial Narrow"/>
          <w:b/>
          <w:color w:val="000000" w:themeColor="text1"/>
          <w:sz w:val="20"/>
        </w:rPr>
        <w:t>:</w:t>
      </w:r>
      <w:r w:rsidR="0010238E" w:rsidRPr="00027784">
        <w:rPr>
          <w:rFonts w:ascii="Arial Narrow" w:hAnsi="Arial Narrow"/>
          <w:b/>
          <w:color w:val="000000" w:themeColor="text1"/>
          <w:sz w:val="20"/>
        </w:rPr>
        <w:t xml:space="preserve"> Sponsor derivation of typical one</w:t>
      </w:r>
      <w:r w:rsidRPr="00027784">
        <w:rPr>
          <w:rFonts w:ascii="Arial Narrow" w:hAnsi="Arial Narrow"/>
          <w:b/>
          <w:color w:val="000000" w:themeColor="text1"/>
          <w:sz w:val="20"/>
        </w:rPr>
        <w:t xml:space="preserve"> month supply of uncoated NaPb</w:t>
      </w:r>
    </w:p>
    <w:tbl>
      <w:tblPr>
        <w:tblW w:w="5000" w:type="pct"/>
        <w:tblLayout w:type="fixed"/>
        <w:tblLook w:val="04A0" w:firstRow="1" w:lastRow="0" w:firstColumn="1" w:lastColumn="0" w:noHBand="0" w:noVBand="1"/>
      </w:tblPr>
      <w:tblGrid>
        <w:gridCol w:w="2500"/>
        <w:gridCol w:w="1577"/>
        <w:gridCol w:w="1418"/>
        <w:gridCol w:w="3747"/>
      </w:tblGrid>
      <w:tr w:rsidR="00FE6525" w:rsidRPr="00027784" w:rsidTr="00FE6525">
        <w:trPr>
          <w:trHeight w:val="56"/>
        </w:trPr>
        <w:tc>
          <w:tcPr>
            <w:tcW w:w="1353" w:type="pct"/>
            <w:tcBorders>
              <w:top w:val="single" w:sz="4" w:space="0" w:color="auto"/>
              <w:left w:val="single" w:sz="4" w:space="0" w:color="auto"/>
              <w:bottom w:val="single" w:sz="4" w:space="0" w:color="auto"/>
              <w:right w:val="single" w:sz="4" w:space="0" w:color="000000"/>
            </w:tcBorders>
            <w:shd w:val="clear" w:color="auto" w:fill="auto"/>
            <w:noWrap/>
            <w:hideMark/>
          </w:tcPr>
          <w:p w:rsidR="00FE6525" w:rsidRPr="00027784" w:rsidRDefault="00FE6525" w:rsidP="00F1437F">
            <w:pPr>
              <w:pStyle w:val="KMC16-Tablecontent"/>
              <w:keepNext/>
              <w:keepLines/>
              <w:tabs>
                <w:tab w:val="left" w:pos="1486"/>
              </w:tabs>
              <w:rPr>
                <w:b/>
                <w:szCs w:val="20"/>
              </w:rPr>
            </w:pPr>
            <w:r w:rsidRPr="00027784">
              <w:rPr>
                <w:b/>
                <w:szCs w:val="20"/>
              </w:rPr>
              <w:t>Calculation</w:t>
            </w:r>
          </w:p>
        </w:tc>
        <w:tc>
          <w:tcPr>
            <w:tcW w:w="853" w:type="pct"/>
            <w:tcBorders>
              <w:top w:val="single" w:sz="4" w:space="0" w:color="auto"/>
              <w:left w:val="nil"/>
              <w:bottom w:val="single" w:sz="4" w:space="0" w:color="auto"/>
              <w:right w:val="single" w:sz="4" w:space="0" w:color="auto"/>
            </w:tcBorders>
            <w:shd w:val="clear" w:color="auto" w:fill="auto"/>
            <w:hideMark/>
          </w:tcPr>
          <w:p w:rsidR="00FE6525" w:rsidRPr="00027784" w:rsidRDefault="00FE6525" w:rsidP="00C96A01">
            <w:pPr>
              <w:pStyle w:val="KMC16-Tablecontent"/>
              <w:keepNext/>
              <w:keepLines/>
              <w:rPr>
                <w:b/>
                <w:szCs w:val="20"/>
              </w:rPr>
            </w:pPr>
            <w:r w:rsidRPr="00027784">
              <w:rPr>
                <w:b/>
                <w:szCs w:val="20"/>
              </w:rPr>
              <w:t xml:space="preserve">Suspension </w:t>
            </w:r>
          </w:p>
          <w:p w:rsidR="00FE6525" w:rsidRPr="00027784" w:rsidRDefault="00FE6525" w:rsidP="00C96A01">
            <w:pPr>
              <w:pStyle w:val="KMC16-Tablecontent"/>
              <w:keepNext/>
              <w:keepLines/>
              <w:rPr>
                <w:b/>
                <w:szCs w:val="20"/>
              </w:rPr>
            </w:pPr>
            <w:r w:rsidRPr="00027784">
              <w:rPr>
                <w:b/>
                <w:szCs w:val="20"/>
              </w:rPr>
              <w:t>100mg/mL</w:t>
            </w:r>
          </w:p>
        </w:tc>
        <w:tc>
          <w:tcPr>
            <w:tcW w:w="767" w:type="pct"/>
            <w:tcBorders>
              <w:top w:val="single" w:sz="4" w:space="0" w:color="auto"/>
              <w:left w:val="nil"/>
              <w:bottom w:val="single" w:sz="4" w:space="0" w:color="auto"/>
              <w:right w:val="single" w:sz="4" w:space="0" w:color="auto"/>
            </w:tcBorders>
            <w:shd w:val="clear" w:color="auto" w:fill="auto"/>
            <w:hideMark/>
          </w:tcPr>
          <w:p w:rsidR="00FE6525" w:rsidRPr="00027784" w:rsidRDefault="00FE6525" w:rsidP="00C96A01">
            <w:pPr>
              <w:pStyle w:val="KMC16-Tablecontent"/>
              <w:keepNext/>
              <w:keepLines/>
              <w:rPr>
                <w:b/>
                <w:szCs w:val="20"/>
              </w:rPr>
            </w:pPr>
            <w:r w:rsidRPr="00027784">
              <w:rPr>
                <w:b/>
                <w:szCs w:val="20"/>
              </w:rPr>
              <w:t>Capsule 500mg</w:t>
            </w:r>
          </w:p>
        </w:tc>
        <w:tc>
          <w:tcPr>
            <w:tcW w:w="2027" w:type="pct"/>
            <w:tcBorders>
              <w:top w:val="single" w:sz="4" w:space="0" w:color="auto"/>
              <w:left w:val="nil"/>
              <w:bottom w:val="single" w:sz="4" w:space="0" w:color="auto"/>
              <w:right w:val="single" w:sz="4" w:space="0" w:color="auto"/>
            </w:tcBorders>
            <w:shd w:val="clear" w:color="auto" w:fill="auto"/>
          </w:tcPr>
          <w:p w:rsidR="00FE6525" w:rsidRPr="00027784" w:rsidRDefault="00FE6525" w:rsidP="00C96A01">
            <w:pPr>
              <w:pStyle w:val="KMC16-Tablecontent"/>
              <w:keepNext/>
              <w:keepLines/>
              <w:rPr>
                <w:b/>
                <w:iCs/>
                <w:szCs w:val="20"/>
              </w:rPr>
            </w:pPr>
            <w:r w:rsidRPr="00027784">
              <w:rPr>
                <w:b/>
                <w:iCs/>
                <w:szCs w:val="20"/>
              </w:rPr>
              <w:t>Source/notes</w:t>
            </w:r>
            <w:r>
              <w:rPr>
                <w:b/>
                <w:iCs/>
                <w:szCs w:val="20"/>
              </w:rPr>
              <w:t xml:space="preserve"> for value used in re-submission</w:t>
            </w:r>
          </w:p>
        </w:tc>
      </w:tr>
      <w:tr w:rsidR="00FE6525" w:rsidRPr="00027784" w:rsidTr="00FE6525">
        <w:trPr>
          <w:trHeight w:val="335"/>
        </w:trPr>
        <w:tc>
          <w:tcPr>
            <w:tcW w:w="1353" w:type="pct"/>
            <w:tcBorders>
              <w:top w:val="single" w:sz="4" w:space="0" w:color="auto"/>
              <w:left w:val="single" w:sz="4" w:space="0" w:color="auto"/>
              <w:bottom w:val="single" w:sz="4" w:space="0" w:color="auto"/>
              <w:right w:val="single" w:sz="4" w:space="0" w:color="000000"/>
            </w:tcBorders>
            <w:shd w:val="clear" w:color="auto" w:fill="auto"/>
            <w:noWrap/>
          </w:tcPr>
          <w:p w:rsidR="00FE6525" w:rsidRPr="00027784" w:rsidRDefault="00FE6525" w:rsidP="00C96A01">
            <w:pPr>
              <w:pStyle w:val="KMC16-Tablecontent"/>
              <w:keepNext/>
              <w:keepLines/>
              <w:rPr>
                <w:szCs w:val="20"/>
              </w:rPr>
            </w:pPr>
            <w:r w:rsidRPr="00027784">
              <w:rPr>
                <w:szCs w:val="20"/>
              </w:rPr>
              <w:t>Quantity per month</w:t>
            </w:r>
          </w:p>
        </w:tc>
        <w:tc>
          <w:tcPr>
            <w:tcW w:w="853" w:type="pct"/>
            <w:tcBorders>
              <w:top w:val="single" w:sz="4" w:space="0" w:color="auto"/>
              <w:left w:val="nil"/>
              <w:bottom w:val="single" w:sz="4" w:space="0" w:color="auto"/>
              <w:right w:val="single" w:sz="4" w:space="0" w:color="auto"/>
            </w:tcBorders>
            <w:shd w:val="clear" w:color="auto" w:fill="auto"/>
          </w:tcPr>
          <w:p w:rsidR="00FE6525" w:rsidRPr="00027784" w:rsidRDefault="00FE6525" w:rsidP="00C96A01">
            <w:pPr>
              <w:pStyle w:val="KMC16-Tablecontent"/>
              <w:keepNext/>
              <w:keepLines/>
              <w:rPr>
                <w:szCs w:val="20"/>
              </w:rPr>
            </w:pPr>
            <w:r w:rsidRPr="00027784">
              <w:rPr>
                <w:szCs w:val="20"/>
              </w:rPr>
              <w:t>6 x 100mL bottles</w:t>
            </w:r>
          </w:p>
        </w:tc>
        <w:tc>
          <w:tcPr>
            <w:tcW w:w="767" w:type="pct"/>
            <w:tcBorders>
              <w:top w:val="single" w:sz="4" w:space="0" w:color="auto"/>
              <w:left w:val="nil"/>
              <w:bottom w:val="single" w:sz="4" w:space="0" w:color="auto"/>
              <w:right w:val="single" w:sz="4" w:space="0" w:color="auto"/>
            </w:tcBorders>
            <w:shd w:val="clear" w:color="auto" w:fill="auto"/>
          </w:tcPr>
          <w:p w:rsidR="00FE6525" w:rsidRPr="00027784" w:rsidRDefault="00FE6525" w:rsidP="00C96A01">
            <w:pPr>
              <w:pStyle w:val="KMC16-Tablecontent"/>
              <w:keepNext/>
              <w:keepLines/>
              <w:rPr>
                <w:szCs w:val="20"/>
              </w:rPr>
            </w:pPr>
            <w:r w:rsidRPr="00027784">
              <w:rPr>
                <w:szCs w:val="20"/>
              </w:rPr>
              <w:t>300 capsules</w:t>
            </w:r>
          </w:p>
        </w:tc>
        <w:tc>
          <w:tcPr>
            <w:tcW w:w="2027" w:type="pct"/>
            <w:tcBorders>
              <w:top w:val="single" w:sz="4" w:space="0" w:color="auto"/>
              <w:left w:val="nil"/>
              <w:bottom w:val="single" w:sz="4" w:space="0" w:color="auto"/>
              <w:right w:val="single" w:sz="4" w:space="0" w:color="auto"/>
            </w:tcBorders>
            <w:shd w:val="clear" w:color="auto" w:fill="auto"/>
          </w:tcPr>
          <w:p w:rsidR="00FE6525" w:rsidRPr="00027784" w:rsidRDefault="00FE6525" w:rsidP="00C96A01">
            <w:pPr>
              <w:pStyle w:val="KMC16-Tablecontent"/>
              <w:keepNext/>
              <w:keepLines/>
              <w:rPr>
                <w:iCs/>
                <w:szCs w:val="20"/>
              </w:rPr>
            </w:pPr>
          </w:p>
        </w:tc>
      </w:tr>
      <w:tr w:rsidR="00FE6525" w:rsidRPr="00027784" w:rsidTr="00FE6525">
        <w:trPr>
          <w:trHeight w:val="300"/>
        </w:trPr>
        <w:tc>
          <w:tcPr>
            <w:tcW w:w="135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6525" w:rsidRPr="00027784" w:rsidRDefault="00FE6525" w:rsidP="00C96A01">
            <w:pPr>
              <w:pStyle w:val="KMC16-Tablecontent"/>
              <w:keepNext/>
              <w:keepLines/>
              <w:rPr>
                <w:szCs w:val="20"/>
              </w:rPr>
            </w:pPr>
            <w:r w:rsidRPr="00027784">
              <w:rPr>
                <w:szCs w:val="20"/>
              </w:rPr>
              <w:t>Amount of active NaPb</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szCs w:val="20"/>
              </w:rPr>
            </w:pPr>
            <w:r w:rsidRPr="00027784">
              <w:rPr>
                <w:szCs w:val="20"/>
              </w:rPr>
              <w:t>60g</w:t>
            </w:r>
          </w:p>
        </w:tc>
        <w:tc>
          <w:tcPr>
            <w:tcW w:w="767"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szCs w:val="20"/>
              </w:rPr>
            </w:pPr>
            <w:r w:rsidRPr="00027784">
              <w:rPr>
                <w:szCs w:val="20"/>
              </w:rPr>
              <w:t>150g</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 </w:t>
            </w:r>
          </w:p>
        </w:tc>
      </w:tr>
      <w:tr w:rsidR="00FE6525" w:rsidRPr="00027784" w:rsidTr="00FE6525">
        <w:trPr>
          <w:trHeight w:val="373"/>
        </w:trPr>
        <w:tc>
          <w:tcPr>
            <w:tcW w:w="1353" w:type="pct"/>
            <w:tcBorders>
              <w:top w:val="nil"/>
              <w:left w:val="single" w:sz="4" w:space="0" w:color="auto"/>
              <w:bottom w:val="single" w:sz="4" w:space="0" w:color="000000"/>
              <w:right w:val="single" w:sz="4" w:space="0" w:color="auto"/>
            </w:tcBorders>
            <w:shd w:val="clear" w:color="auto" w:fill="auto"/>
            <w:vAlign w:val="center"/>
            <w:hideMark/>
          </w:tcPr>
          <w:p w:rsidR="00FE6525" w:rsidRPr="00027784" w:rsidRDefault="00FE6525" w:rsidP="00C96A01">
            <w:pPr>
              <w:pStyle w:val="KMC16-Tablecontent"/>
              <w:keepNext/>
              <w:keepLines/>
              <w:rPr>
                <w:szCs w:val="20"/>
              </w:rPr>
            </w:pPr>
            <w:r w:rsidRPr="00027784">
              <w:rPr>
                <w:szCs w:val="20"/>
              </w:rPr>
              <w:t xml:space="preserve">NaPb powder </w:t>
            </w:r>
          </w:p>
        </w:tc>
        <w:tc>
          <w:tcPr>
            <w:tcW w:w="853" w:type="pct"/>
            <w:tcBorders>
              <w:top w:val="nil"/>
              <w:left w:val="single" w:sz="4" w:space="0" w:color="auto"/>
              <w:bottom w:val="single" w:sz="4" w:space="0" w:color="000000"/>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Pr="00B76A75">
              <w:rPr>
                <w:szCs w:val="20"/>
              </w:rPr>
              <w:t>546</w:t>
            </w:r>
          </w:p>
        </w:tc>
        <w:tc>
          <w:tcPr>
            <w:tcW w:w="767" w:type="pct"/>
            <w:tcBorders>
              <w:top w:val="nil"/>
              <w:left w:val="single" w:sz="4" w:space="0" w:color="auto"/>
              <w:bottom w:val="single" w:sz="4" w:space="0" w:color="000000"/>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Pr="00B76A75">
              <w:rPr>
                <w:szCs w:val="20"/>
              </w:rPr>
              <w:t>1,092</w:t>
            </w:r>
          </w:p>
        </w:tc>
        <w:tc>
          <w:tcPr>
            <w:tcW w:w="2027" w:type="pct"/>
            <w:tcBorders>
              <w:top w:val="nil"/>
              <w:left w:val="single" w:sz="4" w:space="0" w:color="auto"/>
              <w:bottom w:val="single" w:sz="4" w:space="0" w:color="000000"/>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Medisca price list. Nearest quantity used.</w:t>
            </w:r>
          </w:p>
          <w:p w:rsidR="00FE6525" w:rsidRPr="00027784" w:rsidRDefault="00FE6525" w:rsidP="00C96A01">
            <w:pPr>
              <w:pStyle w:val="KMC16-Tablecontent"/>
              <w:keepNext/>
              <w:keepLines/>
              <w:rPr>
                <w:iCs/>
                <w:szCs w:val="20"/>
              </w:rPr>
            </w:pPr>
            <w:r w:rsidRPr="00027784">
              <w:rPr>
                <w:iCs/>
                <w:szCs w:val="20"/>
              </w:rPr>
              <w:t xml:space="preserve">The re-submission stated that the prices were: </w:t>
            </w:r>
            <w:r w:rsidRPr="00027784">
              <w:rPr>
                <w:szCs w:val="20"/>
              </w:rPr>
              <w:t>100g = $</w:t>
            </w:r>
            <w:r w:rsidRPr="00B76A75">
              <w:rPr>
                <w:szCs w:val="20"/>
              </w:rPr>
              <w:t>546</w:t>
            </w:r>
            <w:r w:rsidRPr="00027784">
              <w:rPr>
                <w:szCs w:val="20"/>
              </w:rPr>
              <w:t>; 500g = $</w:t>
            </w:r>
            <w:r w:rsidRPr="00B76A75">
              <w:rPr>
                <w:szCs w:val="20"/>
              </w:rPr>
              <w:t>1,640</w:t>
            </w:r>
            <w:r w:rsidRPr="00027784">
              <w:rPr>
                <w:szCs w:val="20"/>
              </w:rPr>
              <w:t>; 1kg = $</w:t>
            </w:r>
            <w:r w:rsidRPr="00B76A75">
              <w:rPr>
                <w:szCs w:val="20"/>
              </w:rPr>
              <w:t>2,785</w:t>
            </w:r>
            <w:r w:rsidRPr="00027784">
              <w:rPr>
                <w:szCs w:val="20"/>
              </w:rPr>
              <w:t>.</w:t>
            </w:r>
          </w:p>
        </w:tc>
      </w:tr>
      <w:tr w:rsidR="00FE6525" w:rsidRPr="00027784" w:rsidTr="00FE6525">
        <w:trPr>
          <w:trHeight w:val="300"/>
        </w:trPr>
        <w:tc>
          <w:tcPr>
            <w:tcW w:w="1353"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E6525" w:rsidRPr="00027784" w:rsidRDefault="00FE6525" w:rsidP="00C96A01">
            <w:pPr>
              <w:pStyle w:val="KMC16-Tablecontent"/>
              <w:keepNext/>
              <w:keepLines/>
              <w:rPr>
                <w:szCs w:val="20"/>
              </w:rPr>
            </w:pPr>
            <w:r w:rsidRPr="00027784">
              <w:rPr>
                <w:szCs w:val="20"/>
              </w:rPr>
              <w:t>Capsules</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D03411" w:rsidRDefault="00D03411" w:rsidP="00DF0F7B">
            <w:pPr>
              <w:pStyle w:val="KMC16-Tablecontent"/>
              <w:keepNext/>
              <w:keepLines/>
              <w:rPr>
                <w:szCs w:val="20"/>
                <w:highlight w:val="black"/>
              </w:rPr>
            </w:pPr>
            <w:r>
              <w:rPr>
                <w:noProof/>
                <w:szCs w:val="20"/>
                <w:highlight w:val="black"/>
              </w:rPr>
              <w:t>''</w:t>
            </w:r>
          </w:p>
        </w:tc>
        <w:tc>
          <w:tcPr>
            <w:tcW w:w="767" w:type="pct"/>
            <w:tcBorders>
              <w:top w:val="nil"/>
              <w:left w:val="nil"/>
              <w:bottom w:val="single" w:sz="4" w:space="0" w:color="auto"/>
              <w:right w:val="single" w:sz="4" w:space="0" w:color="auto"/>
            </w:tcBorders>
            <w:shd w:val="clear" w:color="auto" w:fill="auto"/>
            <w:vAlign w:val="center"/>
            <w:hideMark/>
          </w:tcPr>
          <w:p w:rsidR="00FE6525" w:rsidRPr="00027784" w:rsidRDefault="00FE6525" w:rsidP="00C96A01">
            <w:pPr>
              <w:pStyle w:val="KMC16-Tablecontent"/>
              <w:keepNext/>
              <w:keepLines/>
              <w:rPr>
                <w:szCs w:val="20"/>
              </w:rPr>
            </w:pPr>
            <w:r w:rsidRPr="00027784">
              <w:rPr>
                <w:szCs w:val="20"/>
              </w:rPr>
              <w:t>$</w:t>
            </w:r>
            <w:r w:rsidR="00D03411">
              <w:rPr>
                <w:noProof/>
                <w:szCs w:val="20"/>
                <w:highlight w:val="black"/>
              </w:rPr>
              <w:t>''''''''''''</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Medisca price list</w:t>
            </w:r>
          </w:p>
        </w:tc>
      </w:tr>
      <w:tr w:rsidR="00FE6525" w:rsidRPr="00027784" w:rsidTr="00FE6525">
        <w:trPr>
          <w:trHeight w:val="600"/>
        </w:trPr>
        <w:tc>
          <w:tcPr>
            <w:tcW w:w="1353"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E6525" w:rsidRPr="00027784" w:rsidRDefault="00FE6525" w:rsidP="00C96A01">
            <w:pPr>
              <w:pStyle w:val="KMC16-Tablecontent"/>
              <w:keepNext/>
              <w:keepLines/>
              <w:rPr>
                <w:szCs w:val="20"/>
              </w:rPr>
            </w:pPr>
            <w:r w:rsidRPr="00027784">
              <w:rPr>
                <w:szCs w:val="20"/>
              </w:rPr>
              <w:t>Pharmacist Mark-up</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767"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w:t>
            </w:r>
            <w:r w:rsidR="00D03411">
              <w:rPr>
                <w:iCs/>
                <w:noProof/>
                <w:szCs w:val="20"/>
                <w:highlight w:val="black"/>
              </w:rPr>
              <w:t>''''''</w:t>
            </w:r>
            <w:r w:rsidRPr="00027784">
              <w:rPr>
                <w:iCs/>
                <w:szCs w:val="20"/>
              </w:rPr>
              <w:t xml:space="preserve"> per bottle, $</w:t>
            </w:r>
            <w:r w:rsidR="00D03411">
              <w:rPr>
                <w:iCs/>
                <w:noProof/>
                <w:szCs w:val="20"/>
                <w:highlight w:val="black"/>
              </w:rPr>
              <w:t>''''''</w:t>
            </w:r>
            <w:r w:rsidRPr="00027784">
              <w:rPr>
                <w:iCs/>
                <w:szCs w:val="20"/>
              </w:rPr>
              <w:t xml:space="preserve"> per 100 capsules - compounding pharmacy</w:t>
            </w:r>
          </w:p>
        </w:tc>
      </w:tr>
      <w:tr w:rsidR="00FE6525" w:rsidRPr="00027784" w:rsidTr="00FE6525">
        <w:trPr>
          <w:trHeight w:val="600"/>
        </w:trPr>
        <w:tc>
          <w:tcPr>
            <w:tcW w:w="1353"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E6525" w:rsidRPr="00027784" w:rsidRDefault="00FE6525" w:rsidP="00C96A01">
            <w:pPr>
              <w:pStyle w:val="KMC16-Tablecontent"/>
              <w:keepNext/>
              <w:keepLines/>
              <w:rPr>
                <w:szCs w:val="20"/>
              </w:rPr>
            </w:pPr>
            <w:r w:rsidRPr="00027784">
              <w:rPr>
                <w:szCs w:val="20"/>
              </w:rPr>
              <w:t>Packaging and labelling</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2027" w:type="pct"/>
            <w:tcBorders>
              <w:top w:val="single" w:sz="4" w:space="0" w:color="auto"/>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w:t>
            </w:r>
            <w:r w:rsidR="00D03411">
              <w:rPr>
                <w:iCs/>
                <w:noProof/>
                <w:szCs w:val="20"/>
                <w:highlight w:val="black"/>
              </w:rPr>
              <w:t>''''</w:t>
            </w:r>
            <w:r w:rsidRPr="00027784">
              <w:rPr>
                <w:iCs/>
                <w:szCs w:val="20"/>
              </w:rPr>
              <w:t xml:space="preserve"> per bottle or 100 capsules - compounding pharmacy</w:t>
            </w:r>
          </w:p>
        </w:tc>
      </w:tr>
      <w:tr w:rsidR="00FE6525" w:rsidRPr="00027784" w:rsidTr="00FE6525">
        <w:trPr>
          <w:trHeight w:val="600"/>
        </w:trPr>
        <w:tc>
          <w:tcPr>
            <w:tcW w:w="1353"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E6525" w:rsidRPr="00027784" w:rsidRDefault="00FE6525" w:rsidP="00C96A01">
            <w:pPr>
              <w:pStyle w:val="KMC16-Tablecontent"/>
              <w:keepNext/>
              <w:keepLines/>
              <w:rPr>
                <w:szCs w:val="20"/>
              </w:rPr>
            </w:pPr>
            <w:r w:rsidRPr="00027784">
              <w:rPr>
                <w:szCs w:val="20"/>
              </w:rPr>
              <w:t>Labour</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767" w:type="pct"/>
            <w:tcBorders>
              <w:top w:val="single" w:sz="4" w:space="0" w:color="auto"/>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2027" w:type="pct"/>
            <w:tcBorders>
              <w:top w:val="single" w:sz="4" w:space="0" w:color="auto"/>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w:t>
            </w:r>
            <w:r w:rsidR="00D03411">
              <w:rPr>
                <w:iCs/>
                <w:noProof/>
                <w:szCs w:val="20"/>
                <w:highlight w:val="black"/>
              </w:rPr>
              <w:t>''''''</w:t>
            </w:r>
            <w:r w:rsidRPr="00027784">
              <w:rPr>
                <w:iCs/>
                <w:szCs w:val="20"/>
              </w:rPr>
              <w:t xml:space="preserve"> per bottle, $</w:t>
            </w:r>
            <w:r w:rsidR="00D03411">
              <w:rPr>
                <w:iCs/>
                <w:noProof/>
                <w:szCs w:val="20"/>
                <w:highlight w:val="black"/>
              </w:rPr>
              <w:t>''''''''''</w:t>
            </w:r>
            <w:r w:rsidRPr="00027784">
              <w:rPr>
                <w:iCs/>
                <w:szCs w:val="20"/>
              </w:rPr>
              <w:t xml:space="preserve"> for 300 capsules - compounding pharmacy</w:t>
            </w:r>
          </w:p>
        </w:tc>
      </w:tr>
      <w:tr w:rsidR="00FE6525" w:rsidRPr="00027784" w:rsidTr="00FE6525">
        <w:trPr>
          <w:trHeight w:val="600"/>
        </w:trPr>
        <w:tc>
          <w:tcPr>
            <w:tcW w:w="1353"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E6525" w:rsidRPr="00027784" w:rsidRDefault="00FE6525" w:rsidP="00C96A01">
            <w:pPr>
              <w:pStyle w:val="KMC16-Tablecontent"/>
              <w:keepNext/>
              <w:keepLines/>
              <w:rPr>
                <w:szCs w:val="20"/>
              </w:rPr>
            </w:pPr>
            <w:r w:rsidRPr="00027784">
              <w:rPr>
                <w:szCs w:val="20"/>
              </w:rPr>
              <w:t>Loading for Package Breakage</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767"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w:t>
            </w:r>
            <w:r w:rsidR="00D03411">
              <w:rPr>
                <w:iCs/>
                <w:noProof/>
                <w:szCs w:val="20"/>
                <w:highlight w:val="black"/>
              </w:rPr>
              <w:t xml:space="preserve">''' </w:t>
            </w:r>
            <w:r w:rsidRPr="00027784">
              <w:rPr>
                <w:iCs/>
                <w:szCs w:val="20"/>
              </w:rPr>
              <w:t>per bottle or per 100 capsules - compounding pharmacy</w:t>
            </w:r>
          </w:p>
        </w:tc>
      </w:tr>
      <w:tr w:rsidR="00FE6525" w:rsidRPr="00027784" w:rsidTr="00FE6525">
        <w:trPr>
          <w:trHeight w:val="300"/>
        </w:trPr>
        <w:tc>
          <w:tcPr>
            <w:tcW w:w="1353"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FE6525" w:rsidRPr="00027784" w:rsidRDefault="00FE6525" w:rsidP="00C96A01">
            <w:pPr>
              <w:pStyle w:val="KMC16-Tablecontent"/>
              <w:keepNext/>
              <w:keepLines/>
              <w:rPr>
                <w:szCs w:val="20"/>
              </w:rPr>
            </w:pPr>
            <w:r w:rsidRPr="00027784">
              <w:rPr>
                <w:szCs w:val="20"/>
              </w:rPr>
              <w:t>Capsublend or suspension syrup</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767"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DF0F7B">
            <w:pPr>
              <w:pStyle w:val="KMC16-Tablecontent"/>
              <w:keepNext/>
              <w:keepLines/>
              <w:rPr>
                <w:szCs w:val="20"/>
              </w:rPr>
            </w:pPr>
            <w:r w:rsidRPr="00027784">
              <w:rPr>
                <w:szCs w:val="20"/>
              </w:rPr>
              <w:t>$</w:t>
            </w:r>
            <w:r w:rsidR="00D03411">
              <w:rPr>
                <w:noProof/>
                <w:szCs w:val="20"/>
                <w:highlight w:val="black"/>
              </w:rPr>
              <w:t>''''''''''</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Medisca price list</w:t>
            </w:r>
          </w:p>
        </w:tc>
      </w:tr>
      <w:tr w:rsidR="00FE6525" w:rsidRPr="00027784" w:rsidTr="00FE6525">
        <w:trPr>
          <w:trHeight w:val="300"/>
        </w:trPr>
        <w:tc>
          <w:tcPr>
            <w:tcW w:w="135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6525" w:rsidRPr="00027784" w:rsidRDefault="00FE6525" w:rsidP="00C96A01">
            <w:pPr>
              <w:pStyle w:val="KMC16-Tablecontent"/>
              <w:keepNext/>
              <w:keepLines/>
              <w:rPr>
                <w:b/>
                <w:szCs w:val="20"/>
              </w:rPr>
            </w:pPr>
            <w:r w:rsidRPr="00027784">
              <w:rPr>
                <w:b/>
                <w:szCs w:val="20"/>
              </w:rPr>
              <w:t>Total Cost</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b/>
                <w:szCs w:val="20"/>
              </w:rPr>
            </w:pPr>
            <w:r w:rsidRPr="00027784">
              <w:rPr>
                <w:b/>
                <w:szCs w:val="20"/>
              </w:rPr>
              <w:t>$</w:t>
            </w:r>
            <w:r w:rsidR="00D03411">
              <w:rPr>
                <w:b/>
                <w:noProof/>
                <w:szCs w:val="20"/>
                <w:highlight w:val="black"/>
              </w:rPr>
              <w:t>''''''''''''''''''</w:t>
            </w:r>
          </w:p>
        </w:tc>
        <w:tc>
          <w:tcPr>
            <w:tcW w:w="767"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b/>
                <w:szCs w:val="20"/>
              </w:rPr>
            </w:pPr>
            <w:r w:rsidRPr="00027784">
              <w:rPr>
                <w:b/>
                <w:szCs w:val="20"/>
              </w:rPr>
              <w:t>$</w:t>
            </w:r>
            <w:r w:rsidR="00D03411">
              <w:rPr>
                <w:b/>
                <w:noProof/>
                <w:szCs w:val="20"/>
                <w:highlight w:val="black"/>
              </w:rPr>
              <w:t>'''''''''''''''''</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 </w:t>
            </w:r>
          </w:p>
        </w:tc>
      </w:tr>
      <w:tr w:rsidR="00FE6525" w:rsidRPr="00027784" w:rsidTr="00FE6525">
        <w:trPr>
          <w:trHeight w:val="300"/>
        </w:trPr>
        <w:tc>
          <w:tcPr>
            <w:tcW w:w="135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6525" w:rsidRPr="00027784" w:rsidRDefault="00D03411" w:rsidP="00DF0F7B">
            <w:pPr>
              <w:pStyle w:val="KMC16-Tablecontent"/>
              <w:keepNext/>
              <w:keepLines/>
              <w:rPr>
                <w:szCs w:val="20"/>
              </w:rPr>
            </w:pPr>
            <w:r>
              <w:rPr>
                <w:noProof/>
                <w:szCs w:val="20"/>
                <w:highlight w:val="black"/>
              </w:rPr>
              <w:t>''''''</w:t>
            </w:r>
            <w:r w:rsidR="00FE6525" w:rsidRPr="00027784">
              <w:rPr>
                <w:szCs w:val="20"/>
              </w:rPr>
              <w:t>% margin: overheads + profit</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szCs w:val="20"/>
              </w:rPr>
            </w:pPr>
            <w:r w:rsidRPr="00027784">
              <w:rPr>
                <w:szCs w:val="20"/>
              </w:rPr>
              <w:t>$</w:t>
            </w:r>
            <w:r w:rsidR="00D03411">
              <w:rPr>
                <w:noProof/>
                <w:szCs w:val="20"/>
                <w:highlight w:val="black"/>
              </w:rPr>
              <w:t>'''''''''''''''</w:t>
            </w:r>
          </w:p>
        </w:tc>
        <w:tc>
          <w:tcPr>
            <w:tcW w:w="767"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szCs w:val="20"/>
              </w:rPr>
            </w:pPr>
            <w:r w:rsidRPr="00027784">
              <w:rPr>
                <w:szCs w:val="20"/>
              </w:rPr>
              <w:t>$</w:t>
            </w:r>
            <w:r w:rsidR="00D03411">
              <w:rPr>
                <w:noProof/>
                <w:szCs w:val="20"/>
                <w:highlight w:val="black"/>
              </w:rPr>
              <w:t>'''''''''''''''</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Pr>
                <w:iCs/>
                <w:szCs w:val="20"/>
              </w:rPr>
              <w:t>C</w:t>
            </w:r>
            <w:r w:rsidRPr="00027784">
              <w:rPr>
                <w:iCs/>
                <w:szCs w:val="20"/>
              </w:rPr>
              <w:t>ompounding pharmacy</w:t>
            </w:r>
          </w:p>
        </w:tc>
      </w:tr>
      <w:tr w:rsidR="00FE6525" w:rsidRPr="00027784" w:rsidTr="00FE6525">
        <w:trPr>
          <w:trHeight w:val="300"/>
        </w:trPr>
        <w:tc>
          <w:tcPr>
            <w:tcW w:w="135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6525" w:rsidRPr="00027784" w:rsidRDefault="00FE6525" w:rsidP="00C96A01">
            <w:pPr>
              <w:pStyle w:val="KMC16-Tablecontent"/>
              <w:keepNext/>
              <w:keepLines/>
              <w:rPr>
                <w:b/>
                <w:szCs w:val="20"/>
              </w:rPr>
            </w:pPr>
            <w:r w:rsidRPr="00027784">
              <w:rPr>
                <w:b/>
                <w:szCs w:val="20"/>
              </w:rPr>
              <w:t>Net Price to Patient</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b/>
                <w:szCs w:val="20"/>
              </w:rPr>
            </w:pPr>
            <w:r w:rsidRPr="00027784">
              <w:rPr>
                <w:b/>
                <w:szCs w:val="20"/>
              </w:rPr>
              <w:t>$</w:t>
            </w:r>
            <w:r w:rsidR="00D03411">
              <w:rPr>
                <w:b/>
                <w:noProof/>
                <w:szCs w:val="20"/>
                <w:highlight w:val="black"/>
              </w:rPr>
              <w:t>''''''''''''''''''</w:t>
            </w:r>
          </w:p>
        </w:tc>
        <w:tc>
          <w:tcPr>
            <w:tcW w:w="767"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b/>
                <w:szCs w:val="20"/>
              </w:rPr>
            </w:pPr>
            <w:r w:rsidRPr="00027784">
              <w:rPr>
                <w:b/>
                <w:szCs w:val="20"/>
              </w:rPr>
              <w:t>$</w:t>
            </w:r>
            <w:r w:rsidR="00D03411">
              <w:rPr>
                <w:b/>
                <w:noProof/>
                <w:szCs w:val="20"/>
                <w:highlight w:val="black"/>
              </w:rPr>
              <w:t>''''''''''''''''''</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 </w:t>
            </w:r>
          </w:p>
        </w:tc>
      </w:tr>
      <w:tr w:rsidR="00FE6525" w:rsidRPr="00027784" w:rsidTr="00FE6525">
        <w:trPr>
          <w:trHeight w:val="300"/>
        </w:trPr>
        <w:tc>
          <w:tcPr>
            <w:tcW w:w="135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6525" w:rsidRPr="00027784" w:rsidRDefault="00FE6525" w:rsidP="00C96A01">
            <w:pPr>
              <w:pStyle w:val="KMC16-Tablecontent"/>
              <w:keepNext/>
              <w:keepLines/>
              <w:rPr>
                <w:szCs w:val="20"/>
              </w:rPr>
            </w:pPr>
            <w:r w:rsidRPr="00027784">
              <w:rPr>
                <w:szCs w:val="20"/>
              </w:rPr>
              <w:t xml:space="preserve">Cost per gram of NaPb </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szCs w:val="20"/>
              </w:rPr>
            </w:pPr>
            <w:r w:rsidRPr="00027784">
              <w:rPr>
                <w:szCs w:val="20"/>
              </w:rPr>
              <w:t>$</w:t>
            </w:r>
            <w:r w:rsidR="00D03411">
              <w:rPr>
                <w:noProof/>
                <w:szCs w:val="20"/>
                <w:highlight w:val="black"/>
              </w:rPr>
              <w:t>'''''''''''''</w:t>
            </w:r>
            <w:r w:rsidRPr="00027784">
              <w:rPr>
                <w:szCs w:val="20"/>
              </w:rPr>
              <w:t>/g</w:t>
            </w:r>
          </w:p>
        </w:tc>
        <w:tc>
          <w:tcPr>
            <w:tcW w:w="767" w:type="pct"/>
            <w:tcBorders>
              <w:top w:val="nil"/>
              <w:left w:val="nil"/>
              <w:bottom w:val="sing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szCs w:val="20"/>
              </w:rPr>
            </w:pPr>
            <w:r w:rsidRPr="00027784">
              <w:rPr>
                <w:szCs w:val="20"/>
              </w:rPr>
              <w:t>$</w:t>
            </w:r>
            <w:r w:rsidR="00D03411">
              <w:rPr>
                <w:noProof/>
                <w:szCs w:val="20"/>
                <w:highlight w:val="black"/>
              </w:rPr>
              <w:t>''''''''''''''</w:t>
            </w:r>
            <w:r w:rsidRPr="00027784">
              <w:rPr>
                <w:szCs w:val="20"/>
              </w:rPr>
              <w:t>/g</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 </w:t>
            </w:r>
          </w:p>
        </w:tc>
      </w:tr>
      <w:tr w:rsidR="00FE6525" w:rsidRPr="00027784" w:rsidTr="00FE6525">
        <w:trPr>
          <w:trHeight w:val="300"/>
        </w:trPr>
        <w:tc>
          <w:tcPr>
            <w:tcW w:w="135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6525" w:rsidRPr="00027784" w:rsidRDefault="00FE6525" w:rsidP="00C96A01">
            <w:pPr>
              <w:pStyle w:val="KMC16-Tablecontent"/>
              <w:keepNext/>
              <w:keepLines/>
              <w:rPr>
                <w:szCs w:val="20"/>
              </w:rPr>
            </w:pPr>
            <w:r w:rsidRPr="00027784">
              <w:rPr>
                <w:szCs w:val="20"/>
              </w:rPr>
              <w:t xml:space="preserve">Weighting </w:t>
            </w:r>
          </w:p>
        </w:tc>
        <w:tc>
          <w:tcPr>
            <w:tcW w:w="853" w:type="pct"/>
            <w:tcBorders>
              <w:top w:val="nil"/>
              <w:left w:val="nil"/>
              <w:bottom w:val="single" w:sz="4" w:space="0" w:color="auto"/>
              <w:right w:val="single" w:sz="4" w:space="0" w:color="auto"/>
            </w:tcBorders>
            <w:shd w:val="clear" w:color="auto" w:fill="auto"/>
            <w:noWrap/>
            <w:vAlign w:val="center"/>
            <w:hideMark/>
          </w:tcPr>
          <w:p w:rsidR="00FE6525" w:rsidRPr="00D03411" w:rsidRDefault="00D03411" w:rsidP="00C96A01">
            <w:pPr>
              <w:pStyle w:val="KMC16-Tablecontent"/>
              <w:keepNext/>
              <w:keepLines/>
              <w:rPr>
                <w:szCs w:val="20"/>
                <w:highlight w:val="black"/>
              </w:rPr>
            </w:pPr>
            <w:r>
              <w:rPr>
                <w:noProof/>
                <w:szCs w:val="20"/>
                <w:highlight w:val="black"/>
              </w:rPr>
              <w:t>''''''''''''''</w:t>
            </w:r>
          </w:p>
        </w:tc>
        <w:tc>
          <w:tcPr>
            <w:tcW w:w="767" w:type="pct"/>
            <w:tcBorders>
              <w:top w:val="nil"/>
              <w:left w:val="nil"/>
              <w:bottom w:val="single" w:sz="4" w:space="0" w:color="auto"/>
              <w:right w:val="single" w:sz="4" w:space="0" w:color="auto"/>
            </w:tcBorders>
            <w:shd w:val="clear" w:color="auto" w:fill="auto"/>
            <w:noWrap/>
            <w:vAlign w:val="center"/>
            <w:hideMark/>
          </w:tcPr>
          <w:p w:rsidR="00FE6525" w:rsidRPr="00D03411" w:rsidRDefault="00D03411" w:rsidP="00C96A01">
            <w:pPr>
              <w:pStyle w:val="KMC16-Tablecontent"/>
              <w:keepNext/>
              <w:keepLines/>
              <w:rPr>
                <w:szCs w:val="20"/>
                <w:highlight w:val="black"/>
              </w:rPr>
            </w:pPr>
            <w:r>
              <w:rPr>
                <w:noProof/>
                <w:szCs w:val="20"/>
                <w:highlight w:val="black"/>
              </w:rPr>
              <w:t>'''''''''''''''</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 xml:space="preserve">Literature based </w:t>
            </w:r>
          </w:p>
        </w:tc>
      </w:tr>
      <w:tr w:rsidR="00FE6525" w:rsidRPr="00027784" w:rsidTr="00FE6525">
        <w:trPr>
          <w:trHeight w:val="300"/>
        </w:trPr>
        <w:tc>
          <w:tcPr>
            <w:tcW w:w="1353" w:type="pct"/>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FE6525" w:rsidRPr="00027784" w:rsidRDefault="00FE6525" w:rsidP="00C96A01">
            <w:pPr>
              <w:pStyle w:val="KMC16-Tablecontent"/>
              <w:keepNext/>
              <w:keepLines/>
              <w:rPr>
                <w:b/>
                <w:szCs w:val="20"/>
              </w:rPr>
            </w:pPr>
            <w:r w:rsidRPr="00027784">
              <w:rPr>
                <w:b/>
                <w:szCs w:val="20"/>
              </w:rPr>
              <w:t>Weighted Average</w:t>
            </w:r>
          </w:p>
        </w:tc>
        <w:tc>
          <w:tcPr>
            <w:tcW w:w="1620" w:type="pct"/>
            <w:gridSpan w:val="2"/>
            <w:tcBorders>
              <w:top w:val="single" w:sz="4" w:space="0" w:color="auto"/>
              <w:left w:val="nil"/>
              <w:bottom w:val="double" w:sz="4" w:space="0" w:color="auto"/>
              <w:right w:val="single" w:sz="4" w:space="0" w:color="auto"/>
            </w:tcBorders>
            <w:shd w:val="clear" w:color="auto" w:fill="auto"/>
            <w:noWrap/>
            <w:vAlign w:val="center"/>
            <w:hideMark/>
          </w:tcPr>
          <w:p w:rsidR="00FE6525" w:rsidRPr="00027784" w:rsidRDefault="00FE6525" w:rsidP="00C96A01">
            <w:pPr>
              <w:pStyle w:val="KMC16-Tablecontent"/>
              <w:keepNext/>
              <w:keepLines/>
              <w:rPr>
                <w:b/>
                <w:szCs w:val="20"/>
              </w:rPr>
            </w:pPr>
            <w:r w:rsidRPr="00027784">
              <w:rPr>
                <w:b/>
                <w:szCs w:val="20"/>
              </w:rPr>
              <w:t>$</w:t>
            </w:r>
            <w:r w:rsidR="00D03411">
              <w:rPr>
                <w:b/>
                <w:noProof/>
                <w:szCs w:val="20"/>
                <w:highlight w:val="black"/>
              </w:rPr>
              <w:t>''''''''''''</w:t>
            </w:r>
            <w:r w:rsidRPr="00027784">
              <w:rPr>
                <w:b/>
                <w:szCs w:val="20"/>
              </w:rPr>
              <w:t>/g</w:t>
            </w:r>
          </w:p>
        </w:tc>
        <w:tc>
          <w:tcPr>
            <w:tcW w:w="2027" w:type="pct"/>
            <w:tcBorders>
              <w:top w:val="single" w:sz="4" w:space="0" w:color="auto"/>
              <w:left w:val="nil"/>
              <w:bottom w:val="doub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 </w:t>
            </w:r>
          </w:p>
        </w:tc>
      </w:tr>
      <w:tr w:rsidR="00FE6525" w:rsidRPr="00027784" w:rsidTr="00E024C8">
        <w:trPr>
          <w:trHeight w:val="300"/>
        </w:trPr>
        <w:tc>
          <w:tcPr>
            <w:tcW w:w="5000" w:type="pct"/>
            <w:gridSpan w:val="4"/>
            <w:tcBorders>
              <w:top w:val="double" w:sz="4" w:space="0" w:color="auto"/>
              <w:left w:val="single" w:sz="4" w:space="0" w:color="auto"/>
              <w:bottom w:val="single" w:sz="4" w:space="0" w:color="auto"/>
              <w:right w:val="single" w:sz="4" w:space="0" w:color="auto"/>
            </w:tcBorders>
            <w:shd w:val="clear" w:color="auto" w:fill="auto"/>
            <w:noWrap/>
            <w:vAlign w:val="center"/>
          </w:tcPr>
          <w:p w:rsidR="00FE6525" w:rsidRPr="00027784" w:rsidRDefault="00FE6525" w:rsidP="009F24A8">
            <w:pPr>
              <w:pStyle w:val="KMC16-Tablecontent"/>
              <w:keepNext/>
              <w:keepLines/>
              <w:rPr>
                <w:b/>
                <w:iCs/>
                <w:szCs w:val="20"/>
              </w:rPr>
            </w:pPr>
            <w:r w:rsidRPr="00027784">
              <w:rPr>
                <w:b/>
                <w:iCs/>
                <w:szCs w:val="20"/>
              </w:rPr>
              <w:t>Costs of ammonia scavengers not compounded by a community pharmacy</w:t>
            </w:r>
          </w:p>
        </w:tc>
      </w:tr>
      <w:tr w:rsidR="00FE6525" w:rsidRPr="00027784" w:rsidTr="00E024C8">
        <w:trPr>
          <w:trHeight w:val="300"/>
        </w:trPr>
        <w:tc>
          <w:tcPr>
            <w:tcW w:w="135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E6525" w:rsidRPr="00027784" w:rsidRDefault="00FE6525" w:rsidP="00C96A01">
            <w:pPr>
              <w:pStyle w:val="KMC16-Tablecontent"/>
              <w:keepNext/>
              <w:keepLines/>
              <w:rPr>
                <w:szCs w:val="20"/>
              </w:rPr>
            </w:pPr>
            <w:r w:rsidRPr="00027784">
              <w:rPr>
                <w:szCs w:val="20"/>
              </w:rPr>
              <w:t>NaPb powder</w:t>
            </w:r>
          </w:p>
        </w:tc>
        <w:tc>
          <w:tcPr>
            <w:tcW w:w="1620" w:type="pct"/>
            <w:gridSpan w:val="2"/>
            <w:tcBorders>
              <w:top w:val="single" w:sz="4" w:space="0" w:color="auto"/>
              <w:left w:val="nil"/>
              <w:bottom w:val="single" w:sz="4" w:space="0" w:color="auto"/>
              <w:right w:val="single" w:sz="4" w:space="0" w:color="auto"/>
            </w:tcBorders>
            <w:shd w:val="clear" w:color="auto" w:fill="auto"/>
            <w:noWrap/>
            <w:vAlign w:val="center"/>
          </w:tcPr>
          <w:p w:rsidR="00FE6525" w:rsidRPr="00027784" w:rsidRDefault="00FE6525" w:rsidP="00C96A01">
            <w:pPr>
              <w:pStyle w:val="KMC16-Tablecontent"/>
              <w:keepNext/>
              <w:keepLines/>
              <w:rPr>
                <w:szCs w:val="20"/>
              </w:rPr>
            </w:pPr>
            <w:r w:rsidRPr="00027784">
              <w:rPr>
                <w:szCs w:val="20"/>
              </w:rPr>
              <w:t>$</w:t>
            </w:r>
            <w:r w:rsidR="00D03411">
              <w:rPr>
                <w:noProof/>
                <w:szCs w:val="20"/>
                <w:highlight w:val="black"/>
              </w:rPr>
              <w:t>''''''''''</w:t>
            </w:r>
            <w:r w:rsidRPr="00E70A97">
              <w:rPr>
                <w:szCs w:val="20"/>
              </w:rPr>
              <w:t>/g</w:t>
            </w:r>
            <w:r w:rsidRPr="00027784">
              <w:rPr>
                <w:szCs w:val="20"/>
              </w:rPr>
              <w:t xml:space="preserve"> (uncompounded powder)</w:t>
            </w:r>
          </w:p>
        </w:tc>
        <w:tc>
          <w:tcPr>
            <w:tcW w:w="2027" w:type="pct"/>
            <w:tcBorders>
              <w:top w:val="nil"/>
              <w:left w:val="nil"/>
              <w:bottom w:val="single" w:sz="4" w:space="0" w:color="auto"/>
              <w:right w:val="single" w:sz="4" w:space="0" w:color="auto"/>
            </w:tcBorders>
            <w:shd w:val="clear" w:color="auto" w:fill="auto"/>
            <w:vAlign w:val="center"/>
          </w:tcPr>
          <w:p w:rsidR="00FE6525" w:rsidRPr="00027784" w:rsidRDefault="00FE6525" w:rsidP="00C96A01">
            <w:pPr>
              <w:pStyle w:val="KMC16-Tablecontent"/>
              <w:keepNext/>
              <w:keepLines/>
              <w:rPr>
                <w:iCs/>
                <w:szCs w:val="20"/>
              </w:rPr>
            </w:pPr>
            <w:r w:rsidRPr="00027784">
              <w:rPr>
                <w:iCs/>
                <w:szCs w:val="20"/>
              </w:rPr>
              <w:t>Price used in submission (100g = $</w:t>
            </w:r>
            <w:r w:rsidR="00D03411">
              <w:rPr>
                <w:iCs/>
                <w:noProof/>
                <w:szCs w:val="20"/>
                <w:highlight w:val="black"/>
              </w:rPr>
              <w:t>''''''''''</w:t>
            </w:r>
            <w:r w:rsidRPr="00027784">
              <w:rPr>
                <w:iCs/>
                <w:szCs w:val="20"/>
              </w:rPr>
              <w:t>)</w:t>
            </w:r>
          </w:p>
        </w:tc>
      </w:tr>
      <w:tr w:rsidR="00FE6525" w:rsidRPr="00027784" w:rsidTr="00E024C8">
        <w:trPr>
          <w:trHeight w:val="60"/>
        </w:trPr>
        <w:tc>
          <w:tcPr>
            <w:tcW w:w="135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E6525" w:rsidRPr="00027784" w:rsidRDefault="00FE6525" w:rsidP="00C96A01">
            <w:pPr>
              <w:pStyle w:val="KMC16-Tablecontent"/>
              <w:keepNext/>
              <w:keepLines/>
              <w:rPr>
                <w:szCs w:val="20"/>
              </w:rPr>
            </w:pPr>
            <w:r w:rsidRPr="00027784">
              <w:rPr>
                <w:szCs w:val="20"/>
              </w:rPr>
              <w:t>NaBz tablets</w:t>
            </w:r>
          </w:p>
        </w:tc>
        <w:tc>
          <w:tcPr>
            <w:tcW w:w="1620" w:type="pct"/>
            <w:gridSpan w:val="2"/>
            <w:tcBorders>
              <w:top w:val="single" w:sz="4" w:space="0" w:color="auto"/>
              <w:left w:val="nil"/>
              <w:bottom w:val="single" w:sz="4" w:space="0" w:color="auto"/>
              <w:right w:val="single" w:sz="4" w:space="0" w:color="auto"/>
            </w:tcBorders>
            <w:shd w:val="clear" w:color="auto" w:fill="auto"/>
            <w:noWrap/>
            <w:vAlign w:val="center"/>
          </w:tcPr>
          <w:p w:rsidR="00FE6525" w:rsidRPr="00027784" w:rsidRDefault="00FE6525" w:rsidP="00C96A01">
            <w:pPr>
              <w:pStyle w:val="KMC16-Tablecontent"/>
              <w:keepNext/>
              <w:keepLines/>
              <w:rPr>
                <w:szCs w:val="20"/>
              </w:rPr>
            </w:pPr>
            <w:r w:rsidRPr="00027784">
              <w:rPr>
                <w:szCs w:val="20"/>
              </w:rPr>
              <w:t>$</w:t>
            </w:r>
            <w:r w:rsidR="00D03411">
              <w:rPr>
                <w:noProof/>
                <w:szCs w:val="20"/>
                <w:highlight w:val="black"/>
              </w:rPr>
              <w:t>''''''''''</w:t>
            </w:r>
            <w:r w:rsidRPr="00027784">
              <w:rPr>
                <w:szCs w:val="20"/>
              </w:rPr>
              <w:t>/g</w:t>
            </w:r>
          </w:p>
        </w:tc>
        <w:tc>
          <w:tcPr>
            <w:tcW w:w="2027" w:type="pct"/>
            <w:tcBorders>
              <w:top w:val="single" w:sz="4" w:space="0" w:color="auto"/>
              <w:left w:val="nil"/>
              <w:bottom w:val="single" w:sz="4" w:space="0" w:color="auto"/>
              <w:right w:val="single" w:sz="4" w:space="0" w:color="auto"/>
            </w:tcBorders>
            <w:shd w:val="clear" w:color="auto" w:fill="auto"/>
            <w:vAlign w:val="center"/>
          </w:tcPr>
          <w:p w:rsidR="00FE6525" w:rsidRPr="00027784" w:rsidRDefault="00FE6525" w:rsidP="006E4D5A">
            <w:pPr>
              <w:pStyle w:val="KMC16-Tablecontent"/>
              <w:keepNext/>
              <w:keepLines/>
              <w:rPr>
                <w:iCs/>
                <w:szCs w:val="20"/>
              </w:rPr>
            </w:pPr>
            <w:r w:rsidRPr="00027784">
              <w:rPr>
                <w:iCs/>
                <w:szCs w:val="20"/>
              </w:rPr>
              <w:t xml:space="preserve">Source: November 2017 submission </w:t>
            </w:r>
          </w:p>
        </w:tc>
      </w:tr>
    </w:tbl>
    <w:p w:rsidR="00006FF6" w:rsidRPr="006B19E5" w:rsidRDefault="00006FF6" w:rsidP="00C96A01">
      <w:pPr>
        <w:keepNext/>
        <w:keepLines/>
        <w:rPr>
          <w:rFonts w:ascii="Arial Narrow" w:eastAsiaTheme="minorHAnsi" w:hAnsi="Arial Narrow" w:cstheme="minorBidi"/>
          <w:sz w:val="18"/>
          <w:szCs w:val="18"/>
        </w:rPr>
      </w:pPr>
      <w:r w:rsidRPr="006B19E5">
        <w:rPr>
          <w:rFonts w:ascii="Arial Narrow" w:eastAsiaTheme="minorHAnsi" w:hAnsi="Arial Narrow" w:cstheme="minorBidi"/>
          <w:sz w:val="18"/>
          <w:szCs w:val="18"/>
        </w:rPr>
        <w:t xml:space="preserve">Source: </w:t>
      </w:r>
      <w:r w:rsidR="006E4D5A" w:rsidRPr="006B19E5">
        <w:rPr>
          <w:rFonts w:ascii="Arial Narrow" w:eastAsiaTheme="minorHAnsi" w:hAnsi="Arial Narrow" w:cstheme="minorBidi"/>
          <w:sz w:val="18"/>
          <w:szCs w:val="18"/>
        </w:rPr>
        <w:t>Table 1 p3, M</w:t>
      </w:r>
      <w:r w:rsidRPr="006B19E5">
        <w:rPr>
          <w:rFonts w:ascii="Arial Narrow" w:eastAsiaTheme="minorHAnsi" w:hAnsi="Arial Narrow" w:cstheme="minorBidi"/>
          <w:sz w:val="18"/>
          <w:szCs w:val="18"/>
        </w:rPr>
        <w:t xml:space="preserve">inor </w:t>
      </w:r>
      <w:r w:rsidR="006E4D5A" w:rsidRPr="006B19E5">
        <w:rPr>
          <w:rFonts w:ascii="Arial Narrow" w:eastAsiaTheme="minorHAnsi" w:hAnsi="Arial Narrow" w:cstheme="minorBidi"/>
          <w:sz w:val="18"/>
          <w:szCs w:val="18"/>
        </w:rPr>
        <w:t>re</w:t>
      </w:r>
      <w:r w:rsidR="00BD0A72" w:rsidRPr="006B19E5">
        <w:rPr>
          <w:rFonts w:ascii="Arial Narrow" w:eastAsiaTheme="minorHAnsi" w:hAnsi="Arial Narrow" w:cstheme="minorBidi"/>
          <w:sz w:val="18"/>
          <w:szCs w:val="18"/>
        </w:rPr>
        <w:t>-</w:t>
      </w:r>
      <w:r w:rsidRPr="006B19E5">
        <w:rPr>
          <w:rFonts w:ascii="Arial Narrow" w:eastAsiaTheme="minorHAnsi" w:hAnsi="Arial Narrow" w:cstheme="minorBidi"/>
          <w:sz w:val="18"/>
          <w:szCs w:val="18"/>
        </w:rPr>
        <w:t>submission</w:t>
      </w:r>
      <w:r w:rsidR="006E4D5A" w:rsidRPr="006B19E5">
        <w:rPr>
          <w:rFonts w:ascii="Arial Narrow" w:eastAsiaTheme="minorHAnsi" w:hAnsi="Arial Narrow" w:cstheme="minorBidi"/>
          <w:sz w:val="18"/>
          <w:szCs w:val="18"/>
        </w:rPr>
        <w:t xml:space="preserve">; November 2017 PBAC Minutes, para 6.55 </w:t>
      </w:r>
    </w:p>
    <w:p w:rsidR="00086D46" w:rsidRPr="006B19E5" w:rsidRDefault="002E53BB" w:rsidP="006B19E5">
      <w:pPr>
        <w:spacing w:after="120"/>
        <w:rPr>
          <w:rFonts w:ascii="Arial Narrow" w:eastAsiaTheme="minorHAnsi" w:hAnsi="Arial Narrow" w:cstheme="minorBidi"/>
          <w:sz w:val="18"/>
          <w:szCs w:val="18"/>
        </w:rPr>
      </w:pPr>
      <w:r w:rsidRPr="006B19E5">
        <w:rPr>
          <w:rFonts w:ascii="Arial Narrow" w:eastAsiaTheme="minorHAnsi" w:hAnsi="Arial Narrow" w:cstheme="minorBidi"/>
          <w:sz w:val="18"/>
          <w:szCs w:val="18"/>
        </w:rPr>
        <w:t xml:space="preserve">AEMP = approved ex-manufacturer price; </w:t>
      </w:r>
      <w:r w:rsidR="000258E9" w:rsidRPr="006B19E5">
        <w:rPr>
          <w:rFonts w:ascii="Arial Narrow" w:eastAsiaTheme="minorHAnsi" w:hAnsi="Arial Narrow" w:cstheme="minorBidi"/>
          <w:sz w:val="18"/>
          <w:szCs w:val="18"/>
        </w:rPr>
        <w:t>AHI = Administration, Handling and Infrastructure</w:t>
      </w:r>
    </w:p>
    <w:p w:rsidR="001F5C0B" w:rsidRPr="00027784" w:rsidRDefault="00006FF6"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w:t>
      </w:r>
      <w:r w:rsidR="001F5C0B" w:rsidRPr="00027784">
        <w:rPr>
          <w:rFonts w:asciiTheme="minorHAnsi" w:eastAsiaTheme="minorHAnsi" w:hAnsiTheme="minorHAnsi" w:cstheme="minorBidi"/>
          <w:snapToGrid/>
          <w:sz w:val="24"/>
          <w:szCs w:val="22"/>
        </w:rPr>
        <w:t>re-submission estimated that the weighted average cost of NaPb</w:t>
      </w:r>
      <w:r w:rsidR="00047A2B" w:rsidRPr="00027784">
        <w:rPr>
          <w:rFonts w:asciiTheme="minorHAnsi" w:eastAsiaTheme="minorHAnsi" w:hAnsiTheme="minorHAnsi" w:cstheme="minorBidi"/>
          <w:snapToGrid/>
          <w:sz w:val="24"/>
          <w:szCs w:val="22"/>
        </w:rPr>
        <w:t>,</w:t>
      </w:r>
      <w:r w:rsidR="001F5C0B" w:rsidRPr="00027784">
        <w:rPr>
          <w:rFonts w:asciiTheme="minorHAnsi" w:eastAsiaTheme="minorHAnsi" w:hAnsiTheme="minorHAnsi" w:cstheme="minorBidi"/>
          <w:snapToGrid/>
          <w:sz w:val="24"/>
          <w:szCs w:val="22"/>
        </w:rPr>
        <w:t xml:space="preserve"> compounded into either an oral suspension o</w:t>
      </w:r>
      <w:r w:rsidR="00047A2B" w:rsidRPr="00027784">
        <w:rPr>
          <w:rFonts w:asciiTheme="minorHAnsi" w:eastAsiaTheme="minorHAnsi" w:hAnsiTheme="minorHAnsi" w:cstheme="minorBidi"/>
          <w:snapToGrid/>
          <w:sz w:val="24"/>
          <w:szCs w:val="22"/>
        </w:rPr>
        <w:t>r</w:t>
      </w:r>
      <w:r w:rsidR="001F5C0B" w:rsidRPr="00027784">
        <w:rPr>
          <w:rFonts w:asciiTheme="minorHAnsi" w:eastAsiaTheme="minorHAnsi" w:hAnsiTheme="minorHAnsi" w:cstheme="minorBidi"/>
          <w:snapToGrid/>
          <w:sz w:val="24"/>
          <w:szCs w:val="22"/>
        </w:rPr>
        <w:t xml:space="preserve"> capsule</w:t>
      </w:r>
      <w:r w:rsidR="00047A2B" w:rsidRPr="00027784">
        <w:rPr>
          <w:rFonts w:asciiTheme="minorHAnsi" w:eastAsiaTheme="minorHAnsi" w:hAnsiTheme="minorHAnsi" w:cstheme="minorBidi"/>
          <w:snapToGrid/>
          <w:sz w:val="24"/>
          <w:szCs w:val="22"/>
        </w:rPr>
        <w:t>,</w:t>
      </w:r>
      <w:r w:rsidR="001F5C0B" w:rsidRPr="00027784">
        <w:rPr>
          <w:rFonts w:asciiTheme="minorHAnsi" w:eastAsiaTheme="minorHAnsi" w:hAnsiTheme="minorHAnsi" w:cstheme="minorBidi"/>
          <w:snapToGrid/>
          <w:sz w:val="24"/>
          <w:szCs w:val="22"/>
        </w:rPr>
        <w:t xml:space="preserve"> </w:t>
      </w:r>
      <w:r w:rsidR="00047A2B" w:rsidRPr="00027784">
        <w:rPr>
          <w:rFonts w:asciiTheme="minorHAnsi" w:eastAsiaTheme="minorHAnsi" w:hAnsiTheme="minorHAnsi" w:cstheme="minorBidi"/>
          <w:snapToGrid/>
          <w:sz w:val="24"/>
          <w:szCs w:val="22"/>
        </w:rPr>
        <w:t>was</w:t>
      </w:r>
      <w:r w:rsidR="001F5C0B" w:rsidRPr="00027784">
        <w:rPr>
          <w:rFonts w:asciiTheme="minorHAnsi" w:eastAsiaTheme="minorHAnsi" w:hAnsiTheme="minorHAnsi" w:cstheme="minorBidi"/>
          <w:snapToGrid/>
          <w:sz w:val="24"/>
          <w:szCs w:val="22"/>
        </w:rPr>
        <w:t xml:space="preserve"> $</w:t>
      </w:r>
      <w:r w:rsidR="00D03411">
        <w:rPr>
          <w:rFonts w:asciiTheme="minorHAnsi" w:eastAsiaTheme="minorHAnsi" w:hAnsiTheme="minorHAnsi" w:cstheme="minorBidi"/>
          <w:noProof/>
          <w:snapToGrid/>
          <w:color w:val="000000"/>
          <w:sz w:val="24"/>
          <w:szCs w:val="22"/>
          <w:highlight w:val="black"/>
        </w:rPr>
        <w:t>''''''''''</w:t>
      </w:r>
      <w:r w:rsidR="001F5C0B" w:rsidRPr="00027784">
        <w:rPr>
          <w:rFonts w:asciiTheme="minorHAnsi" w:eastAsiaTheme="minorHAnsi" w:hAnsiTheme="minorHAnsi" w:cstheme="minorBidi"/>
          <w:snapToGrid/>
          <w:sz w:val="24"/>
          <w:szCs w:val="22"/>
        </w:rPr>
        <w:t xml:space="preserve"> per gram. </w:t>
      </w:r>
      <w:r w:rsidR="009F24A8" w:rsidRPr="00027784">
        <w:rPr>
          <w:rFonts w:asciiTheme="minorHAnsi" w:eastAsiaTheme="minorHAnsi" w:hAnsiTheme="minorHAnsi" w:cstheme="minorBidi"/>
          <w:snapToGrid/>
          <w:sz w:val="24"/>
          <w:szCs w:val="22"/>
        </w:rPr>
        <w:t>This was based on the cost of NaPb powder at $</w:t>
      </w:r>
      <w:r w:rsidR="00D03411">
        <w:rPr>
          <w:rFonts w:asciiTheme="minorHAnsi" w:eastAsiaTheme="minorHAnsi" w:hAnsiTheme="minorHAnsi" w:cstheme="minorBidi"/>
          <w:noProof/>
          <w:snapToGrid/>
          <w:color w:val="000000"/>
          <w:sz w:val="24"/>
          <w:szCs w:val="22"/>
          <w:highlight w:val="black"/>
        </w:rPr>
        <w:t>''''''''</w:t>
      </w:r>
      <w:r w:rsidR="009F24A8" w:rsidRPr="00027784">
        <w:rPr>
          <w:rFonts w:asciiTheme="minorHAnsi" w:eastAsiaTheme="minorHAnsi" w:hAnsiTheme="minorHAnsi" w:cstheme="minorBidi"/>
          <w:snapToGrid/>
          <w:sz w:val="24"/>
          <w:szCs w:val="22"/>
        </w:rPr>
        <w:t xml:space="preserve"> per gram plus compounding costs and mark-ups. </w:t>
      </w:r>
      <w:r w:rsidR="001F5C0B" w:rsidRPr="00027784">
        <w:rPr>
          <w:rFonts w:asciiTheme="minorHAnsi" w:eastAsiaTheme="minorHAnsi" w:hAnsiTheme="minorHAnsi" w:cstheme="minorBidi"/>
          <w:snapToGrid/>
          <w:sz w:val="24"/>
          <w:szCs w:val="22"/>
        </w:rPr>
        <w:t xml:space="preserve">The re-submission stated </w:t>
      </w:r>
      <w:r w:rsidR="009F24A8" w:rsidRPr="00027784">
        <w:rPr>
          <w:rFonts w:asciiTheme="minorHAnsi" w:eastAsiaTheme="minorHAnsi" w:hAnsiTheme="minorHAnsi" w:cstheme="minorBidi"/>
          <w:snapToGrid/>
          <w:sz w:val="24"/>
          <w:szCs w:val="22"/>
        </w:rPr>
        <w:t xml:space="preserve">the estimated cost per gram </w:t>
      </w:r>
      <w:r w:rsidR="001F5C0B" w:rsidRPr="00027784">
        <w:rPr>
          <w:rFonts w:asciiTheme="minorHAnsi" w:eastAsiaTheme="minorHAnsi" w:hAnsiTheme="minorHAnsi" w:cstheme="minorBidi"/>
          <w:snapToGrid/>
          <w:sz w:val="24"/>
          <w:szCs w:val="22"/>
        </w:rPr>
        <w:t>was higher than the price requested in the previous submission of $</w:t>
      </w:r>
      <w:r w:rsidR="00D03411">
        <w:rPr>
          <w:rFonts w:asciiTheme="minorHAnsi" w:eastAsiaTheme="minorHAnsi" w:hAnsiTheme="minorHAnsi" w:cstheme="minorBidi"/>
          <w:noProof/>
          <w:snapToGrid/>
          <w:color w:val="000000"/>
          <w:sz w:val="24"/>
          <w:szCs w:val="22"/>
          <w:highlight w:val="black"/>
        </w:rPr>
        <w:t>'''''</w:t>
      </w:r>
      <w:r w:rsidR="001F5C0B" w:rsidRPr="00027784">
        <w:rPr>
          <w:rFonts w:asciiTheme="minorHAnsi" w:eastAsiaTheme="minorHAnsi" w:hAnsiTheme="minorHAnsi" w:cstheme="minorBidi"/>
          <w:snapToGrid/>
          <w:sz w:val="24"/>
          <w:szCs w:val="22"/>
        </w:rPr>
        <w:t xml:space="preserve"> per gram</w:t>
      </w:r>
      <w:r w:rsidR="00047A2B" w:rsidRPr="00027784">
        <w:rPr>
          <w:rFonts w:asciiTheme="minorHAnsi" w:eastAsiaTheme="minorHAnsi" w:hAnsiTheme="minorHAnsi" w:cstheme="minorBidi"/>
          <w:snapToGrid/>
          <w:sz w:val="24"/>
          <w:szCs w:val="22"/>
        </w:rPr>
        <w:t xml:space="preserve"> (at the DPMQ level)</w:t>
      </w:r>
      <w:r w:rsidR="001F5C0B" w:rsidRPr="00027784">
        <w:rPr>
          <w:rFonts w:asciiTheme="minorHAnsi" w:eastAsiaTheme="minorHAnsi" w:hAnsiTheme="minorHAnsi" w:cstheme="minorBidi"/>
          <w:snapToGrid/>
          <w:sz w:val="24"/>
          <w:szCs w:val="22"/>
        </w:rPr>
        <w:t xml:space="preserve">. Thus the re-submission </w:t>
      </w:r>
      <w:r w:rsidR="00047A2B" w:rsidRPr="00027784">
        <w:rPr>
          <w:rFonts w:asciiTheme="minorHAnsi" w:eastAsiaTheme="minorHAnsi" w:hAnsiTheme="minorHAnsi" w:cstheme="minorBidi"/>
          <w:snapToGrid/>
          <w:sz w:val="24"/>
          <w:szCs w:val="22"/>
        </w:rPr>
        <w:t xml:space="preserve">maintained the </w:t>
      </w:r>
      <w:r w:rsidR="00CF113E" w:rsidRPr="00027784">
        <w:rPr>
          <w:rFonts w:asciiTheme="minorHAnsi" w:eastAsiaTheme="minorHAnsi" w:hAnsiTheme="minorHAnsi" w:cstheme="minorBidi"/>
          <w:snapToGrid/>
          <w:sz w:val="24"/>
          <w:szCs w:val="22"/>
        </w:rPr>
        <w:t xml:space="preserve">proposed </w:t>
      </w:r>
      <w:r w:rsidR="00047A2B" w:rsidRPr="00027784">
        <w:rPr>
          <w:rFonts w:asciiTheme="minorHAnsi" w:eastAsiaTheme="minorHAnsi" w:hAnsiTheme="minorHAnsi" w:cstheme="minorBidi"/>
          <w:snapToGrid/>
          <w:sz w:val="24"/>
          <w:szCs w:val="22"/>
        </w:rPr>
        <w:t>price from the previous submission (approved ex-manufacturer price (AEMP) of $</w:t>
      </w:r>
      <w:r w:rsidR="00D03411">
        <w:rPr>
          <w:rFonts w:asciiTheme="minorHAnsi" w:eastAsiaTheme="minorHAnsi" w:hAnsiTheme="minorHAnsi" w:cstheme="minorBidi"/>
          <w:noProof/>
          <w:snapToGrid/>
          <w:color w:val="000000"/>
          <w:sz w:val="24"/>
          <w:szCs w:val="22"/>
          <w:highlight w:val="black"/>
        </w:rPr>
        <w:t>'''''''''''''''''</w:t>
      </w:r>
      <w:r w:rsidR="00047A2B" w:rsidRPr="00027784">
        <w:rPr>
          <w:rFonts w:asciiTheme="minorHAnsi" w:eastAsiaTheme="minorHAnsi" w:hAnsiTheme="minorHAnsi" w:cstheme="minorBidi"/>
          <w:snapToGrid/>
          <w:sz w:val="24"/>
          <w:szCs w:val="22"/>
        </w:rPr>
        <w:t xml:space="preserve"> per 84g bottle).</w:t>
      </w:r>
    </w:p>
    <w:p w:rsidR="00826EEA" w:rsidRPr="00027784" w:rsidRDefault="00826EE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As a minor submission, the cost-minimisation analysis was not evaluated. However, </w:t>
      </w:r>
      <w:r w:rsidR="00B01F23">
        <w:rPr>
          <w:rFonts w:asciiTheme="minorHAnsi" w:eastAsiaTheme="minorHAnsi" w:hAnsiTheme="minorHAnsi" w:cstheme="minorBidi"/>
          <w:snapToGrid/>
          <w:sz w:val="24"/>
          <w:szCs w:val="22"/>
        </w:rPr>
        <w:t xml:space="preserve">the PBAC considered that the analysis was not appropriate because: </w:t>
      </w:r>
    </w:p>
    <w:p w:rsidR="00826EEA" w:rsidRPr="00027784" w:rsidRDefault="006B1A2A" w:rsidP="00086D46">
      <w:pPr>
        <w:pStyle w:val="ListParagraph"/>
        <w:numPr>
          <w:ilvl w:val="0"/>
          <w:numId w:val="21"/>
        </w:numPr>
        <w:ind w:left="1418" w:hanging="284"/>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NaBz </w:t>
      </w:r>
      <w:r w:rsidR="009F24A8" w:rsidRPr="00027784">
        <w:rPr>
          <w:rFonts w:asciiTheme="minorHAnsi" w:eastAsiaTheme="minorHAnsi" w:hAnsiTheme="minorHAnsi" w:cstheme="minorBidi"/>
          <w:snapToGrid/>
          <w:sz w:val="24"/>
          <w:szCs w:val="22"/>
        </w:rPr>
        <w:t xml:space="preserve">was </w:t>
      </w:r>
      <w:r w:rsidRPr="00027784">
        <w:rPr>
          <w:rFonts w:asciiTheme="minorHAnsi" w:eastAsiaTheme="minorHAnsi" w:hAnsiTheme="minorHAnsi" w:cstheme="minorBidi"/>
          <w:snapToGrid/>
          <w:sz w:val="24"/>
          <w:szCs w:val="22"/>
        </w:rPr>
        <w:t>not included</w:t>
      </w:r>
      <w:r w:rsidR="00047A2B" w:rsidRPr="00027784">
        <w:rPr>
          <w:rFonts w:asciiTheme="minorHAnsi" w:eastAsiaTheme="minorHAnsi" w:hAnsiTheme="minorHAnsi" w:cstheme="minorBidi"/>
          <w:snapToGrid/>
          <w:sz w:val="24"/>
          <w:szCs w:val="22"/>
        </w:rPr>
        <w:t xml:space="preserve"> in the </w:t>
      </w:r>
      <w:r w:rsidR="009F24A8" w:rsidRPr="00027784">
        <w:rPr>
          <w:rFonts w:asciiTheme="minorHAnsi" w:eastAsiaTheme="minorHAnsi" w:hAnsiTheme="minorHAnsi" w:cstheme="minorBidi"/>
          <w:snapToGrid/>
          <w:sz w:val="24"/>
          <w:szCs w:val="22"/>
        </w:rPr>
        <w:t>cost-minimisation analysis</w:t>
      </w:r>
      <w:r w:rsidR="00047A2B" w:rsidRPr="00027784">
        <w:rPr>
          <w:rFonts w:asciiTheme="minorHAnsi" w:eastAsiaTheme="minorHAnsi" w:hAnsiTheme="minorHAnsi" w:cstheme="minorBidi"/>
          <w:snapToGrid/>
          <w:sz w:val="24"/>
          <w:szCs w:val="22"/>
        </w:rPr>
        <w:t xml:space="preserve"> despite the PBAC previously considering that this would be an appropriate comparator</w:t>
      </w:r>
      <w:r w:rsidR="009F24A8" w:rsidRPr="00027784">
        <w:rPr>
          <w:rFonts w:asciiTheme="minorHAnsi" w:eastAsiaTheme="minorHAnsi" w:hAnsiTheme="minorHAnsi" w:cstheme="minorBidi"/>
          <w:snapToGrid/>
          <w:sz w:val="24"/>
          <w:szCs w:val="22"/>
        </w:rPr>
        <w:t xml:space="preserve">. </w:t>
      </w:r>
      <w:r w:rsidR="00CF113E" w:rsidRPr="00027784">
        <w:rPr>
          <w:rFonts w:asciiTheme="minorHAnsi" w:eastAsiaTheme="minorHAnsi" w:hAnsiTheme="minorHAnsi" w:cstheme="minorBidi"/>
          <w:snapToGrid/>
          <w:sz w:val="24"/>
          <w:szCs w:val="22"/>
        </w:rPr>
        <w:t xml:space="preserve">Further, the re-submission did not estimate the proportion of patients for whom NaBz would be a relevant comparator. </w:t>
      </w:r>
      <w:r w:rsidR="00B01F23">
        <w:rPr>
          <w:rFonts w:asciiTheme="minorHAnsi" w:eastAsiaTheme="minorHAnsi" w:hAnsiTheme="minorHAnsi" w:cstheme="minorBidi"/>
          <w:snapToGrid/>
          <w:sz w:val="24"/>
          <w:szCs w:val="22"/>
        </w:rPr>
        <w:t>The PBAC noted that e</w:t>
      </w:r>
      <w:r w:rsidR="00CF113E" w:rsidRPr="00027784">
        <w:rPr>
          <w:rFonts w:asciiTheme="minorHAnsi" w:eastAsiaTheme="minorHAnsi" w:hAnsiTheme="minorHAnsi" w:cstheme="minorBidi"/>
          <w:snapToGrid/>
          <w:sz w:val="24"/>
          <w:szCs w:val="22"/>
        </w:rPr>
        <w:t>xclusion of NaBz in the cost-minimisation analysis</w:t>
      </w:r>
      <w:r w:rsidR="005317BF" w:rsidRPr="00027784">
        <w:rPr>
          <w:rFonts w:asciiTheme="minorHAnsi" w:eastAsiaTheme="minorHAnsi" w:hAnsiTheme="minorHAnsi" w:cstheme="minorBidi"/>
          <w:snapToGrid/>
          <w:sz w:val="24"/>
          <w:szCs w:val="22"/>
        </w:rPr>
        <w:t xml:space="preserve"> was not conservative as t</w:t>
      </w:r>
      <w:r w:rsidR="009F24A8" w:rsidRPr="00027784">
        <w:rPr>
          <w:rFonts w:asciiTheme="minorHAnsi" w:eastAsiaTheme="minorHAnsi" w:hAnsiTheme="minorHAnsi" w:cstheme="minorBidi"/>
          <w:snapToGrid/>
          <w:sz w:val="24"/>
          <w:szCs w:val="22"/>
        </w:rPr>
        <w:t>he November 2017 submission indicated that the price of NaBz tablets was $</w:t>
      </w:r>
      <w:r w:rsidR="00D03411">
        <w:rPr>
          <w:rFonts w:asciiTheme="minorHAnsi" w:eastAsiaTheme="minorHAnsi" w:hAnsiTheme="minorHAnsi" w:cstheme="minorBidi"/>
          <w:noProof/>
          <w:snapToGrid/>
          <w:color w:val="000000"/>
          <w:sz w:val="24"/>
          <w:szCs w:val="22"/>
          <w:highlight w:val="black"/>
        </w:rPr>
        <w:t>''''''''</w:t>
      </w:r>
      <w:r w:rsidR="009F24A8" w:rsidRPr="00027784">
        <w:rPr>
          <w:rFonts w:asciiTheme="minorHAnsi" w:eastAsiaTheme="minorHAnsi" w:hAnsiTheme="minorHAnsi" w:cstheme="minorBidi"/>
          <w:snapToGrid/>
          <w:sz w:val="24"/>
          <w:szCs w:val="22"/>
        </w:rPr>
        <w:t xml:space="preserve"> per gram</w:t>
      </w:r>
      <w:r w:rsidR="006E4D5A" w:rsidRPr="00027784">
        <w:rPr>
          <w:rFonts w:asciiTheme="minorHAnsi" w:eastAsiaTheme="minorHAnsi" w:hAnsiTheme="minorHAnsi" w:cstheme="minorBidi"/>
          <w:snapToGrid/>
          <w:sz w:val="24"/>
          <w:szCs w:val="22"/>
        </w:rPr>
        <w:t>.</w:t>
      </w:r>
      <w:r w:rsidR="00CF113E" w:rsidRPr="00027784">
        <w:rPr>
          <w:rFonts w:asciiTheme="minorHAnsi" w:eastAsiaTheme="minorHAnsi" w:hAnsiTheme="minorHAnsi" w:cstheme="minorBidi"/>
          <w:snapToGrid/>
          <w:sz w:val="24"/>
          <w:szCs w:val="22"/>
        </w:rPr>
        <w:t xml:space="preserve"> </w:t>
      </w:r>
    </w:p>
    <w:p w:rsidR="00715D10" w:rsidRPr="00027784" w:rsidRDefault="00B01F23" w:rsidP="00086D46">
      <w:pPr>
        <w:pStyle w:val="ListParagraph"/>
        <w:numPr>
          <w:ilvl w:val="0"/>
          <w:numId w:val="21"/>
        </w:numPr>
        <w:ind w:left="1418" w:hanging="284"/>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w:t>
      </w:r>
      <w:r w:rsidR="00615E21" w:rsidRPr="00027784">
        <w:rPr>
          <w:rFonts w:asciiTheme="minorHAnsi" w:eastAsiaTheme="minorHAnsi" w:hAnsiTheme="minorHAnsi" w:cstheme="minorBidi"/>
          <w:snapToGrid/>
          <w:sz w:val="24"/>
          <w:szCs w:val="22"/>
        </w:rPr>
        <w:t xml:space="preserve"> noted that th</w:t>
      </w:r>
      <w:r w:rsidR="00C964D5" w:rsidRPr="00027784">
        <w:rPr>
          <w:rFonts w:asciiTheme="minorHAnsi" w:eastAsiaTheme="minorHAnsi" w:hAnsiTheme="minorHAnsi" w:cstheme="minorBidi"/>
          <w:snapToGrid/>
          <w:sz w:val="24"/>
          <w:szCs w:val="22"/>
        </w:rPr>
        <w:t>e mark-ups</w:t>
      </w:r>
      <w:r w:rsidR="009A0AA1" w:rsidRPr="00027784">
        <w:rPr>
          <w:rFonts w:asciiTheme="minorHAnsi" w:eastAsiaTheme="minorHAnsi" w:hAnsiTheme="minorHAnsi" w:cstheme="minorBidi"/>
          <w:snapToGrid/>
          <w:sz w:val="24"/>
          <w:szCs w:val="22"/>
        </w:rPr>
        <w:t>, margins</w:t>
      </w:r>
      <w:r w:rsidR="00C964D5" w:rsidRPr="00027784">
        <w:rPr>
          <w:rFonts w:asciiTheme="minorHAnsi" w:eastAsiaTheme="minorHAnsi" w:hAnsiTheme="minorHAnsi" w:cstheme="minorBidi"/>
          <w:snapToGrid/>
          <w:sz w:val="24"/>
          <w:szCs w:val="22"/>
        </w:rPr>
        <w:t xml:space="preserve"> and</w:t>
      </w:r>
      <w:r w:rsidR="00615E21" w:rsidRPr="00027784">
        <w:rPr>
          <w:rFonts w:asciiTheme="minorHAnsi" w:eastAsiaTheme="minorHAnsi" w:hAnsiTheme="minorHAnsi" w:cstheme="minorBidi"/>
          <w:snapToGrid/>
          <w:sz w:val="24"/>
          <w:szCs w:val="22"/>
        </w:rPr>
        <w:t xml:space="preserve"> c</w:t>
      </w:r>
      <w:r w:rsidR="006B1A2A" w:rsidRPr="00027784">
        <w:rPr>
          <w:rFonts w:asciiTheme="minorHAnsi" w:eastAsiaTheme="minorHAnsi" w:hAnsiTheme="minorHAnsi" w:cstheme="minorBidi"/>
          <w:snapToGrid/>
          <w:sz w:val="24"/>
          <w:szCs w:val="22"/>
        </w:rPr>
        <w:t xml:space="preserve">ompounding costs </w:t>
      </w:r>
      <w:r w:rsidR="00615E21" w:rsidRPr="00027784">
        <w:rPr>
          <w:rFonts w:asciiTheme="minorHAnsi" w:eastAsiaTheme="minorHAnsi" w:hAnsiTheme="minorHAnsi" w:cstheme="minorBidi"/>
          <w:snapToGrid/>
          <w:sz w:val="24"/>
          <w:szCs w:val="22"/>
        </w:rPr>
        <w:t>totalled over $</w:t>
      </w:r>
      <w:r w:rsidR="00D03411">
        <w:rPr>
          <w:rFonts w:asciiTheme="minorHAnsi" w:eastAsiaTheme="minorHAnsi" w:hAnsiTheme="minorHAnsi" w:cstheme="minorBidi"/>
          <w:noProof/>
          <w:snapToGrid/>
          <w:color w:val="000000"/>
          <w:sz w:val="24"/>
          <w:szCs w:val="22"/>
          <w:highlight w:val="black"/>
        </w:rPr>
        <w:t>'''''''''''</w:t>
      </w:r>
      <w:r w:rsidR="00615E21" w:rsidRPr="00027784">
        <w:rPr>
          <w:rFonts w:asciiTheme="minorHAnsi" w:eastAsiaTheme="minorHAnsi" w:hAnsiTheme="minorHAnsi" w:cstheme="minorBidi"/>
          <w:snapToGrid/>
          <w:sz w:val="24"/>
          <w:szCs w:val="22"/>
        </w:rPr>
        <w:t xml:space="preserve"> for a one-month supply</w:t>
      </w:r>
      <w:r w:rsidR="002C2D49" w:rsidRPr="00027784">
        <w:rPr>
          <w:rFonts w:asciiTheme="minorHAnsi" w:eastAsiaTheme="minorHAnsi" w:hAnsiTheme="minorHAnsi" w:cstheme="minorBidi"/>
          <w:snapToGrid/>
          <w:sz w:val="24"/>
          <w:szCs w:val="22"/>
        </w:rPr>
        <w:t xml:space="preserve">. </w:t>
      </w:r>
      <w:r w:rsidR="00A64551" w:rsidRPr="00027784">
        <w:rPr>
          <w:rFonts w:asciiTheme="minorHAnsi" w:eastAsiaTheme="minorHAnsi" w:hAnsiTheme="minorHAnsi" w:cstheme="minorBidi"/>
          <w:snapToGrid/>
          <w:sz w:val="24"/>
          <w:szCs w:val="22"/>
        </w:rPr>
        <w:t>The</w:t>
      </w:r>
      <w:r w:rsidR="00CD6625">
        <w:rPr>
          <w:rFonts w:asciiTheme="minorHAnsi" w:eastAsiaTheme="minorHAnsi" w:hAnsiTheme="minorHAnsi" w:cstheme="minorBidi"/>
          <w:snapToGrid/>
          <w:sz w:val="24"/>
          <w:szCs w:val="22"/>
        </w:rPr>
        <w:t xml:space="preserve"> PBAC considered that the</w:t>
      </w:r>
      <w:r w:rsidR="00A64551" w:rsidRPr="00027784">
        <w:rPr>
          <w:rFonts w:asciiTheme="minorHAnsi" w:eastAsiaTheme="minorHAnsi" w:hAnsiTheme="minorHAnsi" w:cstheme="minorBidi"/>
          <w:snapToGrid/>
          <w:sz w:val="24"/>
          <w:szCs w:val="22"/>
        </w:rPr>
        <w:t xml:space="preserve">se costs, particularly the </w:t>
      </w:r>
      <w:r w:rsidR="00D03411">
        <w:rPr>
          <w:rFonts w:asciiTheme="minorHAnsi" w:eastAsiaTheme="minorHAnsi" w:hAnsiTheme="minorHAnsi" w:cstheme="minorBidi"/>
          <w:noProof/>
          <w:snapToGrid/>
          <w:color w:val="000000"/>
          <w:sz w:val="24"/>
          <w:szCs w:val="22"/>
          <w:highlight w:val="black"/>
        </w:rPr>
        <w:t>'''''</w:t>
      </w:r>
      <w:r w:rsidR="00A64551" w:rsidRPr="00027784">
        <w:rPr>
          <w:rFonts w:asciiTheme="minorHAnsi" w:eastAsiaTheme="minorHAnsi" w:hAnsiTheme="minorHAnsi" w:cstheme="minorBidi"/>
          <w:snapToGrid/>
          <w:sz w:val="24"/>
          <w:szCs w:val="22"/>
        </w:rPr>
        <w:t xml:space="preserve">% margin for overheads and profits, were not justified and significantly overestimated the cost of compounded NaPb. </w:t>
      </w:r>
      <w:r w:rsidR="002C2D49" w:rsidRPr="00027784">
        <w:rPr>
          <w:rFonts w:asciiTheme="minorHAnsi" w:eastAsiaTheme="minorHAnsi" w:hAnsiTheme="minorHAnsi" w:cstheme="minorBidi"/>
          <w:snapToGrid/>
          <w:sz w:val="24"/>
          <w:szCs w:val="22"/>
        </w:rPr>
        <w:t>In comparison</w:t>
      </w:r>
      <w:r w:rsidR="00615E21" w:rsidRPr="00027784">
        <w:rPr>
          <w:rFonts w:asciiTheme="minorHAnsi" w:eastAsiaTheme="minorHAnsi" w:hAnsiTheme="minorHAnsi" w:cstheme="minorBidi"/>
          <w:snapToGrid/>
          <w:sz w:val="24"/>
          <w:szCs w:val="22"/>
        </w:rPr>
        <w:t xml:space="preserve">, the PBS compounding fee for extemporaneously prepared benefits </w:t>
      </w:r>
      <w:r w:rsidR="002C2D49" w:rsidRPr="00027784">
        <w:rPr>
          <w:rFonts w:asciiTheme="minorHAnsi" w:eastAsiaTheme="minorHAnsi" w:hAnsiTheme="minorHAnsi" w:cstheme="minorBidi"/>
          <w:snapToGrid/>
          <w:sz w:val="24"/>
          <w:szCs w:val="22"/>
        </w:rPr>
        <w:t>is</w:t>
      </w:r>
      <w:r w:rsidR="00615E21" w:rsidRPr="00027784">
        <w:rPr>
          <w:rFonts w:asciiTheme="minorHAnsi" w:eastAsiaTheme="minorHAnsi" w:hAnsiTheme="minorHAnsi" w:cstheme="minorBidi"/>
          <w:snapToGrid/>
          <w:sz w:val="24"/>
          <w:szCs w:val="22"/>
        </w:rPr>
        <w:t xml:space="preserve"> $9.19</w:t>
      </w:r>
      <w:r w:rsidR="002C2D49" w:rsidRPr="00027784">
        <w:rPr>
          <w:rFonts w:asciiTheme="minorHAnsi" w:eastAsiaTheme="minorHAnsi" w:hAnsiTheme="minorHAnsi" w:cstheme="minorBidi"/>
          <w:snapToGrid/>
          <w:sz w:val="24"/>
          <w:szCs w:val="22"/>
        </w:rPr>
        <w:t xml:space="preserve">. </w:t>
      </w:r>
      <w:r w:rsidR="009A0AA1" w:rsidRPr="00027784">
        <w:rPr>
          <w:rFonts w:asciiTheme="minorHAnsi" w:eastAsiaTheme="minorHAnsi" w:hAnsiTheme="minorHAnsi" w:cstheme="minorBidi"/>
          <w:snapToGrid/>
          <w:sz w:val="24"/>
          <w:szCs w:val="22"/>
        </w:rPr>
        <w:t>Further,</w:t>
      </w:r>
      <w:r w:rsidR="002C2D49" w:rsidRPr="00027784">
        <w:rPr>
          <w:rFonts w:asciiTheme="minorHAnsi" w:eastAsiaTheme="minorHAnsi" w:hAnsiTheme="minorHAnsi" w:cstheme="minorBidi"/>
          <w:snapToGrid/>
          <w:sz w:val="24"/>
          <w:szCs w:val="22"/>
        </w:rPr>
        <w:t xml:space="preserve"> </w:t>
      </w:r>
      <w:r w:rsidR="009A0AA1" w:rsidRPr="00027784">
        <w:rPr>
          <w:rFonts w:asciiTheme="minorHAnsi" w:eastAsiaTheme="minorHAnsi" w:hAnsiTheme="minorHAnsi" w:cstheme="minorBidi"/>
          <w:snapToGrid/>
          <w:sz w:val="24"/>
          <w:szCs w:val="22"/>
        </w:rPr>
        <w:t xml:space="preserve">the </w:t>
      </w:r>
      <w:r w:rsidR="00CD6625">
        <w:rPr>
          <w:rFonts w:asciiTheme="minorHAnsi" w:eastAsiaTheme="minorHAnsi" w:hAnsiTheme="minorHAnsi" w:cstheme="minorBidi"/>
          <w:snapToGrid/>
          <w:sz w:val="24"/>
          <w:szCs w:val="22"/>
        </w:rPr>
        <w:t xml:space="preserve">PBAC considered that the </w:t>
      </w:r>
      <w:r w:rsidR="009A0AA1" w:rsidRPr="00027784">
        <w:rPr>
          <w:rFonts w:asciiTheme="minorHAnsi" w:eastAsiaTheme="minorHAnsi" w:hAnsiTheme="minorHAnsi" w:cstheme="minorBidi"/>
          <w:snapToGrid/>
          <w:sz w:val="24"/>
          <w:szCs w:val="22"/>
        </w:rPr>
        <w:t xml:space="preserve">inclusion of mark-ups and margins was not reasonable, as </w:t>
      </w:r>
      <w:r w:rsidR="00333483" w:rsidRPr="00027784">
        <w:rPr>
          <w:rFonts w:asciiTheme="minorHAnsi" w:eastAsiaTheme="minorHAnsi" w:hAnsiTheme="minorHAnsi" w:cstheme="minorBidi"/>
          <w:snapToGrid/>
          <w:sz w:val="24"/>
          <w:szCs w:val="22"/>
        </w:rPr>
        <w:t xml:space="preserve">cost-minimisation analyses </w:t>
      </w:r>
      <w:r w:rsidR="009A0AA1" w:rsidRPr="00027784">
        <w:rPr>
          <w:rFonts w:asciiTheme="minorHAnsi" w:eastAsiaTheme="minorHAnsi" w:hAnsiTheme="minorHAnsi" w:cstheme="minorBidi"/>
          <w:snapToGrid/>
          <w:sz w:val="24"/>
          <w:szCs w:val="22"/>
        </w:rPr>
        <w:t xml:space="preserve">are </w:t>
      </w:r>
      <w:r w:rsidR="00B35E6A">
        <w:rPr>
          <w:rFonts w:asciiTheme="minorHAnsi" w:eastAsiaTheme="minorHAnsi" w:hAnsiTheme="minorHAnsi" w:cstheme="minorBidi"/>
          <w:snapToGrid/>
          <w:sz w:val="24"/>
          <w:szCs w:val="22"/>
        </w:rPr>
        <w:t xml:space="preserve">generally </w:t>
      </w:r>
      <w:r w:rsidR="009A0AA1" w:rsidRPr="00027784">
        <w:rPr>
          <w:rFonts w:asciiTheme="minorHAnsi" w:eastAsiaTheme="minorHAnsi" w:hAnsiTheme="minorHAnsi" w:cstheme="minorBidi"/>
          <w:snapToGrid/>
          <w:sz w:val="24"/>
          <w:szCs w:val="22"/>
        </w:rPr>
        <w:t xml:space="preserve">performed at the AEMP level. </w:t>
      </w:r>
      <w:r w:rsidR="00CD6625">
        <w:rPr>
          <w:rFonts w:asciiTheme="minorHAnsi" w:eastAsiaTheme="minorHAnsi" w:hAnsiTheme="minorHAnsi" w:cstheme="minorBidi"/>
          <w:snapToGrid/>
          <w:sz w:val="24"/>
          <w:szCs w:val="22"/>
        </w:rPr>
        <w:t>P</w:t>
      </w:r>
      <w:r w:rsidR="00CD6625" w:rsidRPr="00027784">
        <w:rPr>
          <w:rFonts w:asciiTheme="minorHAnsi" w:eastAsiaTheme="minorHAnsi" w:hAnsiTheme="minorHAnsi" w:cstheme="minorBidi"/>
          <w:snapToGrid/>
          <w:sz w:val="24"/>
          <w:szCs w:val="22"/>
        </w:rPr>
        <w:t xml:space="preserve">harmacy mark-ups, overheads and </w:t>
      </w:r>
      <w:r w:rsidR="00CD6625">
        <w:rPr>
          <w:rFonts w:asciiTheme="minorHAnsi" w:eastAsiaTheme="minorHAnsi" w:hAnsiTheme="minorHAnsi" w:cstheme="minorBidi"/>
          <w:snapToGrid/>
          <w:sz w:val="24"/>
          <w:szCs w:val="22"/>
        </w:rPr>
        <w:t>margins are</w:t>
      </w:r>
      <w:r w:rsidR="00CD6625" w:rsidRPr="00027784">
        <w:rPr>
          <w:rFonts w:asciiTheme="minorHAnsi" w:eastAsiaTheme="minorHAnsi" w:hAnsiTheme="minorHAnsi" w:cstheme="minorBidi"/>
          <w:snapToGrid/>
          <w:sz w:val="24"/>
          <w:szCs w:val="22"/>
        </w:rPr>
        <w:t xml:space="preserve"> subsequently added to the AEMP</w:t>
      </w:r>
      <w:r w:rsidR="00CD6625">
        <w:rPr>
          <w:rFonts w:asciiTheme="minorHAnsi" w:eastAsiaTheme="minorHAnsi" w:hAnsiTheme="minorHAnsi" w:cstheme="minorBidi"/>
          <w:snapToGrid/>
          <w:sz w:val="24"/>
          <w:szCs w:val="22"/>
        </w:rPr>
        <w:t xml:space="preserve"> using the </w:t>
      </w:r>
      <w:r w:rsidR="00615E21" w:rsidRPr="00027784">
        <w:rPr>
          <w:rFonts w:asciiTheme="minorHAnsi" w:eastAsiaTheme="minorHAnsi" w:hAnsiTheme="minorHAnsi" w:cstheme="minorBidi"/>
          <w:snapToGrid/>
          <w:sz w:val="24"/>
          <w:szCs w:val="22"/>
        </w:rPr>
        <w:t>Administration, Handling and Infrastructure Fee</w:t>
      </w:r>
      <w:r w:rsidR="00FD6679" w:rsidRPr="00027784">
        <w:rPr>
          <w:rFonts w:asciiTheme="minorHAnsi" w:eastAsiaTheme="minorHAnsi" w:hAnsiTheme="minorHAnsi" w:cstheme="minorBidi"/>
          <w:snapToGrid/>
          <w:sz w:val="24"/>
          <w:szCs w:val="22"/>
        </w:rPr>
        <w:t xml:space="preserve"> of $72.43.</w:t>
      </w:r>
    </w:p>
    <w:p w:rsidR="006B1A2A" w:rsidRPr="00027784" w:rsidRDefault="00715D10" w:rsidP="00086D46">
      <w:pPr>
        <w:pStyle w:val="ListParagraph"/>
        <w:numPr>
          <w:ilvl w:val="0"/>
          <w:numId w:val="21"/>
        </w:numPr>
        <w:ind w:left="1418" w:hanging="284"/>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w:t>
      </w:r>
      <w:r w:rsidR="00615E21" w:rsidRPr="00027784">
        <w:rPr>
          <w:rFonts w:asciiTheme="minorHAnsi" w:eastAsiaTheme="minorHAnsi" w:hAnsiTheme="minorHAnsi" w:cstheme="minorBidi"/>
          <w:snapToGrid/>
          <w:sz w:val="24"/>
          <w:szCs w:val="22"/>
        </w:rPr>
        <w:t>he costings included a significant amount of wastage of raw product</w:t>
      </w:r>
      <w:r w:rsidRPr="00027784">
        <w:rPr>
          <w:rFonts w:asciiTheme="minorHAnsi" w:eastAsiaTheme="minorHAnsi" w:hAnsiTheme="minorHAnsi" w:cstheme="minorBidi"/>
          <w:snapToGrid/>
          <w:sz w:val="24"/>
          <w:szCs w:val="22"/>
        </w:rPr>
        <w:t xml:space="preserve"> (</w:t>
      </w:r>
      <w:r w:rsidR="00D03411">
        <w:rPr>
          <w:rFonts w:asciiTheme="minorHAnsi" w:eastAsiaTheme="minorHAnsi" w:hAnsiTheme="minorHAnsi" w:cstheme="minorBidi"/>
          <w:noProof/>
          <w:snapToGrid/>
          <w:color w:val="000000"/>
          <w:sz w:val="24"/>
          <w:szCs w:val="22"/>
          <w:highlight w:val="black"/>
        </w:rPr>
        <w:t>''''''</w:t>
      </w:r>
      <w:r w:rsidRPr="00027784">
        <w:rPr>
          <w:rFonts w:asciiTheme="minorHAnsi" w:eastAsiaTheme="minorHAnsi" w:hAnsiTheme="minorHAnsi" w:cstheme="minorBidi"/>
          <w:snapToGrid/>
          <w:sz w:val="24"/>
          <w:szCs w:val="22"/>
        </w:rPr>
        <w:t xml:space="preserve">% wastage for the oral suspension and </w:t>
      </w:r>
      <w:r w:rsidR="00D03411">
        <w:rPr>
          <w:rFonts w:asciiTheme="minorHAnsi" w:eastAsiaTheme="minorHAnsi" w:hAnsiTheme="minorHAnsi" w:cstheme="minorBidi"/>
          <w:noProof/>
          <w:snapToGrid/>
          <w:color w:val="000000"/>
          <w:sz w:val="24"/>
          <w:szCs w:val="22"/>
          <w:highlight w:val="black"/>
        </w:rPr>
        <w:t>'''''</w:t>
      </w:r>
      <w:r w:rsidRPr="00027784">
        <w:rPr>
          <w:rFonts w:asciiTheme="minorHAnsi" w:eastAsiaTheme="minorHAnsi" w:hAnsiTheme="minorHAnsi" w:cstheme="minorBidi"/>
          <w:snapToGrid/>
          <w:sz w:val="24"/>
          <w:szCs w:val="22"/>
        </w:rPr>
        <w:t>% wastage for the capsules)</w:t>
      </w:r>
      <w:r w:rsidR="00EC08F7">
        <w:rPr>
          <w:rFonts w:asciiTheme="minorHAnsi" w:eastAsiaTheme="minorHAnsi" w:hAnsiTheme="minorHAnsi" w:cstheme="minorBidi"/>
          <w:snapToGrid/>
          <w:sz w:val="24"/>
          <w:szCs w:val="22"/>
        </w:rPr>
        <w:t>. The significant amount of wastage</w:t>
      </w:r>
      <w:r w:rsidRPr="00027784">
        <w:rPr>
          <w:rFonts w:asciiTheme="minorHAnsi" w:eastAsiaTheme="minorHAnsi" w:hAnsiTheme="minorHAnsi" w:cstheme="minorBidi"/>
          <w:snapToGrid/>
          <w:sz w:val="24"/>
          <w:szCs w:val="22"/>
        </w:rPr>
        <w:t xml:space="preserve"> was in part </w:t>
      </w:r>
      <w:r w:rsidR="00C964D5" w:rsidRPr="00027784">
        <w:rPr>
          <w:rFonts w:asciiTheme="minorHAnsi" w:eastAsiaTheme="minorHAnsi" w:hAnsiTheme="minorHAnsi" w:cstheme="minorBidi"/>
          <w:snapToGrid/>
          <w:sz w:val="24"/>
          <w:szCs w:val="22"/>
        </w:rPr>
        <w:t xml:space="preserve">due to the </w:t>
      </w:r>
      <w:r w:rsidR="002D5F1B" w:rsidRPr="00027784">
        <w:rPr>
          <w:rFonts w:asciiTheme="minorHAnsi" w:eastAsiaTheme="minorHAnsi" w:hAnsiTheme="minorHAnsi" w:cstheme="minorBidi"/>
          <w:snapToGrid/>
          <w:sz w:val="24"/>
          <w:szCs w:val="22"/>
        </w:rPr>
        <w:t xml:space="preserve">way the monthly quantities were </w:t>
      </w:r>
      <w:r w:rsidR="00C964D5" w:rsidRPr="00027784">
        <w:rPr>
          <w:rFonts w:asciiTheme="minorHAnsi" w:eastAsiaTheme="minorHAnsi" w:hAnsiTheme="minorHAnsi" w:cstheme="minorBidi"/>
          <w:snapToGrid/>
          <w:sz w:val="24"/>
          <w:szCs w:val="22"/>
        </w:rPr>
        <w:t>calculat</w:t>
      </w:r>
      <w:r w:rsidR="002D5F1B" w:rsidRPr="00027784">
        <w:rPr>
          <w:rFonts w:asciiTheme="minorHAnsi" w:eastAsiaTheme="minorHAnsi" w:hAnsiTheme="minorHAnsi" w:cstheme="minorBidi"/>
          <w:snapToGrid/>
          <w:sz w:val="24"/>
          <w:szCs w:val="22"/>
        </w:rPr>
        <w:t>ed</w:t>
      </w:r>
      <w:r w:rsidR="00EC08F7">
        <w:rPr>
          <w:rFonts w:asciiTheme="minorHAnsi" w:eastAsiaTheme="minorHAnsi" w:hAnsiTheme="minorHAnsi" w:cstheme="minorBidi"/>
          <w:snapToGrid/>
          <w:sz w:val="24"/>
          <w:szCs w:val="22"/>
        </w:rPr>
        <w:t>, and may not reflect the level of wastage that would occur in practice</w:t>
      </w:r>
      <w:r w:rsidR="00C964D5" w:rsidRPr="00027784">
        <w:rPr>
          <w:rFonts w:asciiTheme="minorHAnsi" w:eastAsiaTheme="minorHAnsi" w:hAnsiTheme="minorHAnsi" w:cstheme="minorBidi"/>
          <w:snapToGrid/>
          <w:sz w:val="24"/>
          <w:szCs w:val="22"/>
        </w:rPr>
        <w:t>.</w:t>
      </w:r>
      <w:r w:rsidR="005317BF" w:rsidRPr="00027784">
        <w:rPr>
          <w:rFonts w:asciiTheme="minorHAnsi" w:eastAsiaTheme="minorHAnsi" w:hAnsiTheme="minorHAnsi" w:cstheme="minorBidi"/>
          <w:snapToGrid/>
          <w:sz w:val="24"/>
          <w:szCs w:val="22"/>
        </w:rPr>
        <w:t xml:space="preserve"> Th</w:t>
      </w:r>
      <w:r w:rsidR="00B01F23">
        <w:rPr>
          <w:rFonts w:asciiTheme="minorHAnsi" w:eastAsiaTheme="minorHAnsi" w:hAnsiTheme="minorHAnsi" w:cstheme="minorBidi"/>
          <w:snapToGrid/>
          <w:sz w:val="24"/>
          <w:szCs w:val="22"/>
        </w:rPr>
        <w:t>e PBAC considered that th</w:t>
      </w:r>
      <w:r w:rsidR="005317BF" w:rsidRPr="00027784">
        <w:rPr>
          <w:rFonts w:asciiTheme="minorHAnsi" w:eastAsiaTheme="minorHAnsi" w:hAnsiTheme="minorHAnsi" w:cstheme="minorBidi"/>
          <w:snapToGrid/>
          <w:sz w:val="24"/>
          <w:szCs w:val="22"/>
        </w:rPr>
        <w:t xml:space="preserve">is </w:t>
      </w:r>
      <w:r w:rsidR="00EC08F7">
        <w:rPr>
          <w:rFonts w:asciiTheme="minorHAnsi" w:eastAsiaTheme="minorHAnsi" w:hAnsiTheme="minorHAnsi" w:cstheme="minorBidi"/>
          <w:snapToGrid/>
          <w:sz w:val="24"/>
          <w:szCs w:val="22"/>
        </w:rPr>
        <w:t xml:space="preserve">may have </w:t>
      </w:r>
      <w:r w:rsidR="005317BF" w:rsidRPr="00027784">
        <w:rPr>
          <w:rFonts w:asciiTheme="minorHAnsi" w:eastAsiaTheme="minorHAnsi" w:hAnsiTheme="minorHAnsi" w:cstheme="minorBidi"/>
          <w:snapToGrid/>
          <w:sz w:val="24"/>
          <w:szCs w:val="22"/>
        </w:rPr>
        <w:t>further overestimated the cost of compounded NaPb.</w:t>
      </w:r>
    </w:p>
    <w:p w:rsidR="00CF113E" w:rsidRPr="00027784" w:rsidRDefault="00CF113E" w:rsidP="00086D46">
      <w:pPr>
        <w:pStyle w:val="ListParagraph"/>
        <w:numPr>
          <w:ilvl w:val="0"/>
          <w:numId w:val="21"/>
        </w:numPr>
        <w:ind w:left="1418" w:hanging="284"/>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It was not clear whether the excipients and their associated costs were reasonable ($</w:t>
      </w:r>
      <w:r w:rsidR="00D03411">
        <w:rPr>
          <w:rFonts w:asciiTheme="minorHAnsi" w:eastAsiaTheme="minorHAnsi" w:hAnsiTheme="minorHAnsi" w:cstheme="minorBidi"/>
          <w:noProof/>
          <w:snapToGrid/>
          <w:color w:val="000000"/>
          <w:sz w:val="24"/>
          <w:szCs w:val="22"/>
          <w:highlight w:val="black"/>
        </w:rPr>
        <w:t>''''''''</w:t>
      </w:r>
      <w:r w:rsidRPr="00027784">
        <w:rPr>
          <w:rFonts w:asciiTheme="minorHAnsi" w:eastAsiaTheme="minorHAnsi" w:hAnsiTheme="minorHAnsi" w:cstheme="minorBidi"/>
          <w:snapToGrid/>
          <w:sz w:val="24"/>
          <w:szCs w:val="22"/>
        </w:rPr>
        <w:t xml:space="preserve"> for suspension syrup and $</w:t>
      </w:r>
      <w:r w:rsidR="00D03411">
        <w:rPr>
          <w:rFonts w:asciiTheme="minorHAnsi" w:eastAsiaTheme="minorHAnsi" w:hAnsiTheme="minorHAnsi" w:cstheme="minorBidi"/>
          <w:noProof/>
          <w:snapToGrid/>
          <w:color w:val="000000"/>
          <w:sz w:val="24"/>
          <w:szCs w:val="22"/>
          <w:highlight w:val="black"/>
        </w:rPr>
        <w:t>'''''''</w:t>
      </w:r>
      <w:r w:rsidRPr="00027784">
        <w:rPr>
          <w:rFonts w:asciiTheme="minorHAnsi" w:eastAsiaTheme="minorHAnsi" w:hAnsiTheme="minorHAnsi" w:cstheme="minorBidi"/>
          <w:snapToGrid/>
          <w:sz w:val="24"/>
          <w:szCs w:val="22"/>
        </w:rPr>
        <w:t xml:space="preserve"> for capsule excipients). </w:t>
      </w:r>
    </w:p>
    <w:p w:rsidR="00826EEA" w:rsidRDefault="00826EEA" w:rsidP="00086D46">
      <w:pPr>
        <w:pStyle w:val="ListParagraph"/>
        <w:numPr>
          <w:ilvl w:val="0"/>
          <w:numId w:val="21"/>
        </w:numPr>
        <w:spacing w:after="120"/>
        <w:ind w:left="1418" w:hanging="284"/>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w:t>
      </w:r>
      <w:r w:rsidR="006B1A2A" w:rsidRPr="00027784">
        <w:rPr>
          <w:rFonts w:asciiTheme="minorHAnsi" w:eastAsiaTheme="minorHAnsi" w:hAnsiTheme="minorHAnsi" w:cstheme="minorBidi"/>
          <w:snapToGrid/>
          <w:sz w:val="24"/>
          <w:szCs w:val="22"/>
        </w:rPr>
        <w:t>cost</w:t>
      </w:r>
      <w:r w:rsidR="00CF113E" w:rsidRPr="00027784">
        <w:rPr>
          <w:rFonts w:asciiTheme="minorHAnsi" w:eastAsiaTheme="minorHAnsi" w:hAnsiTheme="minorHAnsi" w:cstheme="minorBidi"/>
          <w:snapToGrid/>
          <w:sz w:val="24"/>
          <w:szCs w:val="22"/>
        </w:rPr>
        <w:t>-offset</w:t>
      </w:r>
      <w:r w:rsidR="006B1A2A" w:rsidRPr="00027784">
        <w:rPr>
          <w:rFonts w:asciiTheme="minorHAnsi" w:eastAsiaTheme="minorHAnsi" w:hAnsiTheme="minorHAnsi" w:cstheme="minorBidi"/>
          <w:snapToGrid/>
          <w:sz w:val="24"/>
          <w:szCs w:val="22"/>
        </w:rPr>
        <w:t xml:space="preserve"> of formulating coated NaPb into a liquid for patients with a naso-gastric tube was not included</w:t>
      </w:r>
      <w:r w:rsidR="006E4D5A" w:rsidRPr="00027784">
        <w:rPr>
          <w:rFonts w:asciiTheme="minorHAnsi" w:eastAsiaTheme="minorHAnsi" w:hAnsiTheme="minorHAnsi" w:cstheme="minorBidi"/>
          <w:snapToGrid/>
          <w:sz w:val="24"/>
          <w:szCs w:val="22"/>
        </w:rPr>
        <w:t>.</w:t>
      </w:r>
      <w:r w:rsidRPr="00027784">
        <w:rPr>
          <w:rFonts w:asciiTheme="minorHAnsi" w:eastAsiaTheme="minorHAnsi" w:hAnsiTheme="minorHAnsi" w:cstheme="minorBidi"/>
          <w:snapToGrid/>
          <w:sz w:val="24"/>
          <w:szCs w:val="22"/>
        </w:rPr>
        <w:t xml:space="preserve"> </w:t>
      </w:r>
    </w:p>
    <w:p w:rsidR="00027784" w:rsidRPr="0085255B" w:rsidRDefault="00027784" w:rsidP="00027784">
      <w:pPr>
        <w:pStyle w:val="ListParagraph"/>
        <w:widowControl/>
        <w:numPr>
          <w:ilvl w:val="1"/>
          <w:numId w:val="5"/>
        </w:numPr>
        <w:spacing w:after="120"/>
        <w:ind w:left="709" w:hanging="709"/>
        <w:contextualSpacing w:val="0"/>
        <w:rPr>
          <w:rFonts w:asciiTheme="minorHAnsi" w:eastAsiaTheme="minorHAnsi" w:hAnsiTheme="minorHAnsi" w:cstheme="minorBidi"/>
          <w:szCs w:val="22"/>
        </w:rPr>
      </w:pPr>
      <w:r w:rsidRPr="0085255B">
        <w:rPr>
          <w:rFonts w:asciiTheme="minorHAnsi" w:eastAsiaTheme="minorHAnsi" w:hAnsiTheme="minorHAnsi" w:cstheme="minorBidi"/>
          <w:snapToGrid/>
          <w:sz w:val="24"/>
          <w:szCs w:val="22"/>
        </w:rPr>
        <w:t>The</w:t>
      </w:r>
      <w:r w:rsidRPr="0085255B">
        <w:rPr>
          <w:rFonts w:asciiTheme="minorHAnsi" w:eastAsiaTheme="minorHAnsi" w:hAnsiTheme="minorHAnsi" w:cstheme="minorBidi"/>
          <w:sz w:val="24"/>
          <w:szCs w:val="24"/>
        </w:rPr>
        <w:t xml:space="preserve"> pre-PBAC response acknowledged that the cost</w:t>
      </w:r>
      <w:r w:rsidR="00EC776B" w:rsidRPr="0085255B">
        <w:rPr>
          <w:rFonts w:asciiTheme="minorHAnsi" w:eastAsiaTheme="minorHAnsi" w:hAnsiTheme="minorHAnsi" w:cstheme="minorBidi"/>
          <w:sz w:val="24"/>
          <w:szCs w:val="24"/>
        </w:rPr>
        <w:t xml:space="preserve">-minimisation analysis was conducted at what amounted to the DPMQ level, using </w:t>
      </w:r>
      <w:r w:rsidRPr="0085255B">
        <w:rPr>
          <w:rFonts w:asciiTheme="minorHAnsi" w:eastAsiaTheme="minorHAnsi" w:hAnsiTheme="minorHAnsi" w:cstheme="minorBidi"/>
          <w:sz w:val="24"/>
          <w:szCs w:val="24"/>
        </w:rPr>
        <w:t>mark-ups</w:t>
      </w:r>
      <w:r w:rsidR="00EC776B" w:rsidRPr="0085255B">
        <w:rPr>
          <w:rFonts w:asciiTheme="minorHAnsi" w:eastAsiaTheme="minorHAnsi" w:hAnsiTheme="minorHAnsi" w:cstheme="minorBidi"/>
          <w:sz w:val="24"/>
          <w:szCs w:val="24"/>
        </w:rPr>
        <w:t>,</w:t>
      </w:r>
      <w:r w:rsidRPr="0085255B">
        <w:rPr>
          <w:rFonts w:asciiTheme="minorHAnsi" w:eastAsiaTheme="minorHAnsi" w:hAnsiTheme="minorHAnsi" w:cstheme="minorBidi"/>
          <w:sz w:val="24"/>
          <w:szCs w:val="24"/>
        </w:rPr>
        <w:t xml:space="preserve"> </w:t>
      </w:r>
      <w:r w:rsidR="00EC776B" w:rsidRPr="0085255B">
        <w:rPr>
          <w:rFonts w:asciiTheme="minorHAnsi" w:eastAsiaTheme="minorHAnsi" w:hAnsiTheme="minorHAnsi" w:cstheme="minorBidi"/>
          <w:snapToGrid/>
          <w:sz w:val="24"/>
          <w:szCs w:val="24"/>
        </w:rPr>
        <w:t>margins and compounding costs</w:t>
      </w:r>
      <w:r w:rsidR="00EC776B" w:rsidRPr="0085255B">
        <w:rPr>
          <w:rFonts w:asciiTheme="minorHAnsi" w:eastAsiaTheme="minorHAnsi" w:hAnsiTheme="minorHAnsi" w:cstheme="minorBidi"/>
          <w:sz w:val="24"/>
          <w:szCs w:val="24"/>
        </w:rPr>
        <w:t xml:space="preserve"> </w:t>
      </w:r>
      <w:r w:rsidR="00CA779C" w:rsidRPr="0085255B">
        <w:rPr>
          <w:rFonts w:asciiTheme="minorHAnsi" w:eastAsiaTheme="minorHAnsi" w:hAnsiTheme="minorHAnsi" w:cstheme="minorBidi"/>
          <w:sz w:val="24"/>
          <w:szCs w:val="24"/>
        </w:rPr>
        <w:t xml:space="preserve">that were </w:t>
      </w:r>
      <w:r w:rsidR="00EC776B" w:rsidRPr="0085255B">
        <w:rPr>
          <w:rFonts w:asciiTheme="minorHAnsi" w:eastAsiaTheme="minorHAnsi" w:hAnsiTheme="minorHAnsi" w:cstheme="minorBidi"/>
          <w:sz w:val="24"/>
          <w:szCs w:val="24"/>
        </w:rPr>
        <w:t xml:space="preserve">based on potential </w:t>
      </w:r>
      <w:r w:rsidR="00BD6D2C" w:rsidRPr="0085255B">
        <w:rPr>
          <w:rFonts w:asciiTheme="minorHAnsi" w:eastAsiaTheme="minorHAnsi" w:hAnsiTheme="minorHAnsi" w:cstheme="minorBidi"/>
          <w:sz w:val="24"/>
          <w:szCs w:val="24"/>
        </w:rPr>
        <w:t>prices</w:t>
      </w:r>
      <w:r w:rsidR="00EC776B" w:rsidRPr="0085255B">
        <w:rPr>
          <w:rFonts w:asciiTheme="minorHAnsi" w:eastAsiaTheme="minorHAnsi" w:hAnsiTheme="minorHAnsi" w:cstheme="minorBidi"/>
          <w:sz w:val="24"/>
          <w:szCs w:val="24"/>
        </w:rPr>
        <w:t xml:space="preserve"> in the private market rather than those that would be relevant under the PBS. </w:t>
      </w:r>
    </w:p>
    <w:p w:rsidR="003C2FB5" w:rsidRPr="00461438" w:rsidRDefault="00A55FEE" w:rsidP="006B19E5">
      <w:pPr>
        <w:pStyle w:val="Heading2"/>
      </w:pPr>
      <w:r w:rsidRPr="00461438">
        <w:t>Drug cost/patient</w:t>
      </w:r>
      <w:r w:rsidR="00365ABB" w:rsidRPr="00461438" w:rsidDel="00365ABB">
        <w:t xml:space="preserve"> </w:t>
      </w:r>
      <w:r w:rsidRPr="00461438">
        <w:t>/year: $</w:t>
      </w:r>
      <w:r w:rsidR="00D03411">
        <w:rPr>
          <w:noProof/>
          <w:color w:val="000000"/>
          <w:highlight w:val="black"/>
        </w:rPr>
        <w:t>'''''''''''''</w:t>
      </w:r>
    </w:p>
    <w:p w:rsidR="00C964D5" w:rsidRPr="00027784" w:rsidRDefault="00C964D5"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The average cost of coated NaPb was based on: the average dose used in Kibleur 2014 of 5.26 g per day; and the dispensed price for maximum quantity of $</w:t>
      </w:r>
      <w:r w:rsidR="00D03411">
        <w:rPr>
          <w:rFonts w:asciiTheme="minorHAnsi" w:eastAsiaTheme="minorHAnsi" w:hAnsiTheme="minorHAnsi" w:cstheme="minorBidi"/>
          <w:noProof/>
          <w:snapToGrid/>
          <w:color w:val="000000"/>
          <w:sz w:val="24"/>
          <w:szCs w:val="22"/>
          <w:highlight w:val="black"/>
        </w:rPr>
        <w:t>'''''''''''''''</w:t>
      </w:r>
      <w:r w:rsidRPr="00027784">
        <w:rPr>
          <w:rFonts w:asciiTheme="minorHAnsi" w:eastAsiaTheme="minorHAnsi" w:hAnsiTheme="minorHAnsi" w:cstheme="minorBidi"/>
          <w:snapToGrid/>
          <w:sz w:val="24"/>
          <w:szCs w:val="22"/>
        </w:rPr>
        <w:t xml:space="preserve"> per pack with 168 g of active drug ($</w:t>
      </w:r>
      <w:r w:rsidR="00D03411">
        <w:rPr>
          <w:rFonts w:asciiTheme="minorHAnsi" w:eastAsiaTheme="minorHAnsi" w:hAnsiTheme="minorHAnsi" w:cstheme="minorBidi"/>
          <w:noProof/>
          <w:snapToGrid/>
          <w:color w:val="000000"/>
          <w:sz w:val="24"/>
          <w:szCs w:val="22"/>
          <w:highlight w:val="black"/>
        </w:rPr>
        <w:t>'''''''''''</w:t>
      </w:r>
      <w:r w:rsidRPr="00027784">
        <w:rPr>
          <w:rFonts w:asciiTheme="minorHAnsi" w:eastAsiaTheme="minorHAnsi" w:hAnsiTheme="minorHAnsi" w:cstheme="minorBidi"/>
          <w:snapToGrid/>
          <w:sz w:val="24"/>
          <w:szCs w:val="22"/>
        </w:rPr>
        <w:t xml:space="preserve">/g). This cost does not include compliance or wastage assumptions. Treatment is life-long. </w:t>
      </w:r>
    </w:p>
    <w:p w:rsidR="008A5060" w:rsidRPr="00027784" w:rsidRDefault="008A5060"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On the other hand, the cost of NaBz tablets (i.e. ready prepared) is $</w:t>
      </w:r>
      <w:r w:rsidR="00D03411">
        <w:rPr>
          <w:rFonts w:asciiTheme="minorHAnsi" w:eastAsiaTheme="minorHAnsi" w:hAnsiTheme="minorHAnsi" w:cstheme="minorBidi"/>
          <w:noProof/>
          <w:snapToGrid/>
          <w:color w:val="000000"/>
          <w:sz w:val="24"/>
          <w:szCs w:val="22"/>
          <w:highlight w:val="black"/>
        </w:rPr>
        <w:t>'''''''''</w:t>
      </w:r>
      <w:r w:rsidRPr="00027784">
        <w:rPr>
          <w:rFonts w:asciiTheme="minorHAnsi" w:eastAsiaTheme="minorHAnsi" w:hAnsiTheme="minorHAnsi" w:cstheme="minorBidi"/>
          <w:snapToGrid/>
          <w:sz w:val="24"/>
          <w:szCs w:val="22"/>
        </w:rPr>
        <w:t>/g. The equi</w:t>
      </w:r>
      <w:r w:rsidRPr="00027784">
        <w:rPr>
          <w:rFonts w:asciiTheme="minorHAnsi" w:eastAsiaTheme="minorHAnsi" w:hAnsiTheme="minorHAnsi" w:cstheme="minorBidi"/>
          <w:snapToGrid/>
          <w:sz w:val="24"/>
          <w:szCs w:val="22"/>
        </w:rPr>
        <w:noBreakHyphen/>
        <w:t xml:space="preserve">effective doses were not discussed in the submission so an average cost could not be determined. </w:t>
      </w:r>
    </w:p>
    <w:p w:rsidR="005A3173" w:rsidRPr="00461438" w:rsidRDefault="005A3173" w:rsidP="006B19E5">
      <w:pPr>
        <w:pStyle w:val="Heading2"/>
      </w:pPr>
      <w:r w:rsidRPr="00461438">
        <w:t>Estimated PBS usage &amp; financial implications</w:t>
      </w:r>
    </w:p>
    <w:p w:rsidR="002D5F1B" w:rsidRPr="00027784" w:rsidRDefault="002D5F1B"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In its previous consideration, the PBAC advised that a re-submission would need to include revised financial estimates. In particular, the PBAC had considered that the previous submission had underestimated market uptake, underestimated the average dose and overestimated cost offsets for hospitalisations (November 2017 PBAC </w:t>
      </w:r>
      <w:r w:rsidR="00AA1BEA">
        <w:rPr>
          <w:rFonts w:asciiTheme="minorHAnsi" w:eastAsiaTheme="minorHAnsi" w:hAnsiTheme="minorHAnsi" w:cstheme="minorBidi"/>
          <w:snapToGrid/>
          <w:sz w:val="24"/>
          <w:szCs w:val="22"/>
        </w:rPr>
        <w:t>PSD</w:t>
      </w:r>
      <w:r w:rsidRPr="00027784">
        <w:rPr>
          <w:rFonts w:asciiTheme="minorHAnsi" w:eastAsiaTheme="minorHAnsi" w:hAnsiTheme="minorHAnsi" w:cstheme="minorBidi"/>
          <w:snapToGrid/>
          <w:sz w:val="24"/>
          <w:szCs w:val="22"/>
        </w:rPr>
        <w:t>, para 7.9 and 7.11).</w:t>
      </w:r>
    </w:p>
    <w:p w:rsidR="00DE5B1D" w:rsidRPr="00027784" w:rsidRDefault="002D5F1B"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w:t>
      </w:r>
      <w:r w:rsidR="00DE5B1D" w:rsidRPr="00027784">
        <w:rPr>
          <w:rFonts w:asciiTheme="minorHAnsi" w:eastAsiaTheme="minorHAnsi" w:hAnsiTheme="minorHAnsi" w:cstheme="minorBidi"/>
          <w:snapToGrid/>
          <w:sz w:val="24"/>
          <w:szCs w:val="22"/>
        </w:rPr>
        <w:t>he minor submission</w:t>
      </w:r>
      <w:r w:rsidRPr="00027784">
        <w:rPr>
          <w:rFonts w:asciiTheme="minorHAnsi" w:eastAsiaTheme="minorHAnsi" w:hAnsiTheme="minorHAnsi" w:cstheme="minorBidi"/>
          <w:snapToGrid/>
          <w:sz w:val="24"/>
          <w:szCs w:val="22"/>
        </w:rPr>
        <w:t xml:space="preserve"> </w:t>
      </w:r>
      <w:r w:rsidR="00DE5B1D" w:rsidRPr="00027784">
        <w:rPr>
          <w:rFonts w:asciiTheme="minorHAnsi" w:eastAsiaTheme="minorHAnsi" w:hAnsiTheme="minorHAnsi" w:cstheme="minorBidi"/>
          <w:snapToGrid/>
          <w:sz w:val="24"/>
          <w:szCs w:val="22"/>
        </w:rPr>
        <w:t xml:space="preserve">revised </w:t>
      </w:r>
      <w:r w:rsidRPr="00027784">
        <w:rPr>
          <w:rFonts w:asciiTheme="minorHAnsi" w:eastAsiaTheme="minorHAnsi" w:hAnsiTheme="minorHAnsi" w:cstheme="minorBidi"/>
          <w:snapToGrid/>
          <w:sz w:val="24"/>
          <w:szCs w:val="22"/>
        </w:rPr>
        <w:t>the</w:t>
      </w:r>
      <w:r w:rsidR="00DE5B1D" w:rsidRPr="00027784">
        <w:rPr>
          <w:rFonts w:asciiTheme="minorHAnsi" w:eastAsiaTheme="minorHAnsi" w:hAnsiTheme="minorHAnsi" w:cstheme="minorBidi"/>
          <w:snapToGrid/>
          <w:sz w:val="24"/>
          <w:szCs w:val="22"/>
        </w:rPr>
        <w:t xml:space="preserve"> utilisation and financial estimates to reflect</w:t>
      </w:r>
      <w:r w:rsidRPr="00027784">
        <w:rPr>
          <w:rFonts w:asciiTheme="minorHAnsi" w:eastAsiaTheme="minorHAnsi" w:hAnsiTheme="minorHAnsi" w:cstheme="minorBidi"/>
          <w:snapToGrid/>
          <w:sz w:val="24"/>
          <w:szCs w:val="22"/>
        </w:rPr>
        <w:t xml:space="preserve"> these and other</w:t>
      </w:r>
      <w:r w:rsidR="00DE5B1D" w:rsidRPr="00027784">
        <w:rPr>
          <w:rFonts w:asciiTheme="minorHAnsi" w:eastAsiaTheme="minorHAnsi" w:hAnsiTheme="minorHAnsi" w:cstheme="minorBidi"/>
          <w:snapToGrid/>
          <w:sz w:val="24"/>
          <w:szCs w:val="22"/>
        </w:rPr>
        <w:t xml:space="preserve"> issues raised in the November 2017 PBAC </w:t>
      </w:r>
      <w:r w:rsidR="00AA1BEA">
        <w:rPr>
          <w:rFonts w:asciiTheme="minorHAnsi" w:eastAsiaTheme="minorHAnsi" w:hAnsiTheme="minorHAnsi" w:cstheme="minorBidi"/>
          <w:snapToGrid/>
          <w:sz w:val="24"/>
          <w:szCs w:val="22"/>
        </w:rPr>
        <w:t>PSD</w:t>
      </w:r>
      <w:r w:rsidRPr="00027784">
        <w:rPr>
          <w:rFonts w:asciiTheme="minorHAnsi" w:eastAsiaTheme="minorHAnsi" w:hAnsiTheme="minorHAnsi" w:cstheme="minorBidi"/>
          <w:snapToGrid/>
          <w:sz w:val="24"/>
          <w:szCs w:val="22"/>
        </w:rPr>
        <w:t>, as summarised</w:t>
      </w:r>
      <w:r w:rsidR="00DE5B1D" w:rsidRPr="00027784">
        <w:rPr>
          <w:rFonts w:asciiTheme="minorHAnsi" w:eastAsiaTheme="minorHAnsi" w:hAnsiTheme="minorHAnsi" w:cstheme="minorBidi"/>
          <w:snapToGrid/>
          <w:sz w:val="24"/>
          <w:szCs w:val="22"/>
        </w:rPr>
        <w:t xml:space="preserve"> in the table below.</w:t>
      </w:r>
    </w:p>
    <w:p w:rsidR="00DE5B1D" w:rsidRPr="00027784" w:rsidRDefault="00DE5B1D" w:rsidP="002D5F1B">
      <w:pPr>
        <w:pStyle w:val="PBACHeading1"/>
        <w:keepNext/>
        <w:keepLines/>
        <w:numPr>
          <w:ilvl w:val="0"/>
          <w:numId w:val="0"/>
        </w:numPr>
        <w:outlineLvl w:val="9"/>
        <w:rPr>
          <w:rFonts w:ascii="Arial Narrow" w:hAnsi="Arial Narrow"/>
          <w:sz w:val="20"/>
          <w:szCs w:val="20"/>
        </w:rPr>
      </w:pPr>
      <w:r w:rsidRPr="00027784">
        <w:rPr>
          <w:rFonts w:ascii="Arial Narrow" w:hAnsi="Arial Narrow"/>
          <w:sz w:val="20"/>
          <w:szCs w:val="20"/>
        </w:rPr>
        <w:t>Table</w:t>
      </w:r>
      <w:r w:rsidR="002D5F1B" w:rsidRPr="00027784">
        <w:rPr>
          <w:rFonts w:ascii="Arial Narrow" w:hAnsi="Arial Narrow"/>
          <w:sz w:val="20"/>
          <w:szCs w:val="20"/>
        </w:rPr>
        <w:t xml:space="preserve"> </w:t>
      </w:r>
      <w:r w:rsidR="003F58DA" w:rsidRPr="00027784">
        <w:rPr>
          <w:rFonts w:ascii="Arial Narrow" w:hAnsi="Arial Narrow"/>
          <w:sz w:val="20"/>
          <w:szCs w:val="20"/>
        </w:rPr>
        <w:t>3</w:t>
      </w:r>
      <w:r w:rsidRPr="00027784">
        <w:rPr>
          <w:rFonts w:ascii="Arial Narrow" w:hAnsi="Arial Narrow"/>
          <w:sz w:val="20"/>
          <w:szCs w:val="20"/>
        </w:rPr>
        <w:t xml:space="preserve">: </w:t>
      </w:r>
      <w:r w:rsidR="00887599" w:rsidRPr="00027784">
        <w:rPr>
          <w:rFonts w:ascii="Arial Narrow" w:hAnsi="Arial Narrow"/>
          <w:sz w:val="20"/>
          <w:szCs w:val="20"/>
        </w:rPr>
        <w:t>R</w:t>
      </w:r>
      <w:r w:rsidRPr="00027784">
        <w:rPr>
          <w:rFonts w:ascii="Arial Narrow" w:hAnsi="Arial Narrow"/>
          <w:sz w:val="20"/>
          <w:szCs w:val="20"/>
        </w:rPr>
        <w:t>evised inputs to the utilisation and financial estimates</w:t>
      </w:r>
    </w:p>
    <w:tbl>
      <w:tblPr>
        <w:tblStyle w:val="TableGrid"/>
        <w:tblW w:w="5000" w:type="pct"/>
        <w:tblLook w:val="04A0" w:firstRow="1" w:lastRow="0" w:firstColumn="1" w:lastColumn="0" w:noHBand="0" w:noVBand="1"/>
      </w:tblPr>
      <w:tblGrid>
        <w:gridCol w:w="4366"/>
        <w:gridCol w:w="4876"/>
      </w:tblGrid>
      <w:tr w:rsidR="006F2858" w:rsidRPr="00027784" w:rsidTr="00887599">
        <w:tc>
          <w:tcPr>
            <w:tcW w:w="2362" w:type="pct"/>
            <w:shd w:val="clear" w:color="auto" w:fill="auto"/>
          </w:tcPr>
          <w:p w:rsidR="006F2858" w:rsidRPr="00027784" w:rsidRDefault="006F2858" w:rsidP="00887599">
            <w:pPr>
              <w:pStyle w:val="KMC16-Tablecontent"/>
              <w:keepNext/>
              <w:keepLines/>
              <w:rPr>
                <w:b/>
              </w:rPr>
            </w:pPr>
            <w:r w:rsidRPr="00027784">
              <w:rPr>
                <w:b/>
              </w:rPr>
              <w:t>November 2017 PBAC Minutes</w:t>
            </w:r>
          </w:p>
        </w:tc>
        <w:tc>
          <w:tcPr>
            <w:tcW w:w="2638" w:type="pct"/>
            <w:shd w:val="clear" w:color="auto" w:fill="auto"/>
          </w:tcPr>
          <w:p w:rsidR="006F2858" w:rsidRPr="00027784" w:rsidRDefault="006F2858" w:rsidP="00C24FCC">
            <w:pPr>
              <w:pStyle w:val="TableText0"/>
              <w:keepLines/>
              <w:rPr>
                <w:b/>
                <w:szCs w:val="20"/>
              </w:rPr>
            </w:pPr>
            <w:r w:rsidRPr="00027784">
              <w:rPr>
                <w:b/>
                <w:szCs w:val="20"/>
              </w:rPr>
              <w:t>How the re</w:t>
            </w:r>
            <w:r w:rsidR="00BD0A72">
              <w:rPr>
                <w:b/>
                <w:szCs w:val="20"/>
              </w:rPr>
              <w:t>-</w:t>
            </w:r>
            <w:r w:rsidRPr="00027784">
              <w:rPr>
                <w:b/>
                <w:szCs w:val="20"/>
              </w:rPr>
              <w:t>submission addressed it</w:t>
            </w:r>
          </w:p>
        </w:tc>
      </w:tr>
      <w:tr w:rsidR="006F2858" w:rsidRPr="00027784" w:rsidTr="00887599">
        <w:tc>
          <w:tcPr>
            <w:tcW w:w="2362" w:type="pct"/>
            <w:shd w:val="clear" w:color="auto" w:fill="auto"/>
          </w:tcPr>
          <w:p w:rsidR="006F2858" w:rsidRPr="00027784" w:rsidRDefault="006F2858" w:rsidP="00887599">
            <w:pPr>
              <w:pStyle w:val="KMC16-Tablecontent"/>
              <w:keepNext/>
              <w:keepLines/>
              <w:rPr>
                <w:color w:val="auto"/>
              </w:rPr>
            </w:pPr>
            <w:r w:rsidRPr="00027784">
              <w:rPr>
                <w:color w:val="auto"/>
              </w:rPr>
              <w:t>The prevalent population was overestimated because prevalence rates in adults were assumed to be the same as patients aged under 18 (Para 6.62 a)</w:t>
            </w:r>
          </w:p>
        </w:tc>
        <w:tc>
          <w:tcPr>
            <w:tcW w:w="2638" w:type="pct"/>
            <w:shd w:val="clear" w:color="auto" w:fill="auto"/>
          </w:tcPr>
          <w:p w:rsidR="006F2858" w:rsidRPr="00027784" w:rsidRDefault="006F2858" w:rsidP="002D5F1B">
            <w:pPr>
              <w:pStyle w:val="KMC16-Tablecontent"/>
              <w:keepNext/>
              <w:keepLines/>
              <w:rPr>
                <w:color w:val="auto"/>
              </w:rPr>
            </w:pPr>
            <w:r w:rsidRPr="00027784">
              <w:rPr>
                <w:color w:val="auto"/>
              </w:rPr>
              <w:t xml:space="preserve">Reduced the prevalent population by </w:t>
            </w:r>
            <w:r w:rsidR="00D03411">
              <w:rPr>
                <w:noProof/>
                <w:highlight w:val="black"/>
              </w:rPr>
              <w:t>''''''</w:t>
            </w:r>
            <w:r w:rsidRPr="00027784">
              <w:rPr>
                <w:color w:val="auto"/>
              </w:rPr>
              <w:t xml:space="preserve">% (from the submission estimated </w:t>
            </w:r>
            <w:r w:rsidR="00D03411">
              <w:rPr>
                <w:noProof/>
                <w:highlight w:val="black"/>
              </w:rPr>
              <w:t>'''''''''</w:t>
            </w:r>
            <w:r w:rsidRPr="00027784">
              <w:rPr>
                <w:color w:val="auto"/>
              </w:rPr>
              <w:t xml:space="preserve"> – reduced to </w:t>
            </w:r>
            <w:r w:rsidR="00D03411">
              <w:rPr>
                <w:noProof/>
                <w:highlight w:val="black"/>
              </w:rPr>
              <w:t>''''''''''</w:t>
            </w:r>
            <w:r w:rsidRPr="00027784">
              <w:rPr>
                <w:color w:val="auto"/>
              </w:rPr>
              <w:t>).</w:t>
            </w:r>
          </w:p>
        </w:tc>
      </w:tr>
      <w:tr w:rsidR="006F2858" w:rsidRPr="00027784" w:rsidTr="00887599">
        <w:tc>
          <w:tcPr>
            <w:tcW w:w="2362" w:type="pct"/>
            <w:shd w:val="clear" w:color="auto" w:fill="auto"/>
          </w:tcPr>
          <w:p w:rsidR="006F2858" w:rsidRPr="00027784" w:rsidRDefault="006F2858" w:rsidP="002D5F1B">
            <w:pPr>
              <w:pStyle w:val="KMC16-Tablecontent"/>
              <w:keepNext/>
              <w:keepLines/>
              <w:rPr>
                <w:color w:val="auto"/>
              </w:rPr>
            </w:pPr>
            <w:r w:rsidRPr="00027784">
              <w:rPr>
                <w:color w:val="auto"/>
              </w:rPr>
              <w:t>The incident population was added to the prevalent population, despite no survival advantage being claimed against standard care and no rate of death was applied to the prevalent pool (overestimated cost). (Para 6.62 b)</w:t>
            </w:r>
          </w:p>
        </w:tc>
        <w:tc>
          <w:tcPr>
            <w:tcW w:w="2638" w:type="pct"/>
            <w:shd w:val="clear" w:color="auto" w:fill="auto"/>
          </w:tcPr>
          <w:p w:rsidR="006F2858" w:rsidRPr="00027784" w:rsidRDefault="006F2858" w:rsidP="00954EF7">
            <w:pPr>
              <w:pStyle w:val="KMC16-Tablecontent"/>
              <w:keepNext/>
              <w:keepLines/>
              <w:rPr>
                <w:color w:val="auto"/>
              </w:rPr>
            </w:pPr>
            <w:r w:rsidRPr="00027784">
              <w:rPr>
                <w:color w:val="auto"/>
              </w:rPr>
              <w:t xml:space="preserve">The identified prevalent pool was assumed to grow in the forward estimates as not all patients have been identified at this point in time. An additional 10% of the prevalent population is assumed to die annually (this in addition to the 30% of early onset patients who die) </w:t>
            </w:r>
          </w:p>
        </w:tc>
      </w:tr>
      <w:tr w:rsidR="006F2858" w:rsidRPr="00027784" w:rsidTr="00887599">
        <w:tc>
          <w:tcPr>
            <w:tcW w:w="2362" w:type="pct"/>
            <w:shd w:val="clear" w:color="auto" w:fill="auto"/>
          </w:tcPr>
          <w:p w:rsidR="006F2858" w:rsidRPr="00027784" w:rsidRDefault="006F2858" w:rsidP="00887599">
            <w:pPr>
              <w:pStyle w:val="KMC16-Tablecontent"/>
              <w:keepNext/>
              <w:keepLines/>
              <w:rPr>
                <w:color w:val="auto"/>
              </w:rPr>
            </w:pPr>
            <w:r w:rsidRPr="00027784">
              <w:rPr>
                <w:color w:val="auto"/>
              </w:rPr>
              <w:t>The overall share of the total ammonia scavenger market was underestimated (Para 6.62 c)</w:t>
            </w:r>
          </w:p>
        </w:tc>
        <w:tc>
          <w:tcPr>
            <w:tcW w:w="2638" w:type="pct"/>
            <w:shd w:val="clear" w:color="auto" w:fill="auto"/>
          </w:tcPr>
          <w:p w:rsidR="006F2858" w:rsidRPr="00027784" w:rsidRDefault="006F2858" w:rsidP="00C00F99">
            <w:pPr>
              <w:pStyle w:val="KMC16-Tablecontent"/>
              <w:keepNext/>
              <w:keepLines/>
              <w:rPr>
                <w:color w:val="auto"/>
              </w:rPr>
            </w:pPr>
            <w:r w:rsidRPr="00027784">
              <w:rPr>
                <w:color w:val="auto"/>
              </w:rPr>
              <w:t xml:space="preserve">Given that para. 6.60 suggested the uptake rate is expected to be </w:t>
            </w:r>
            <w:r w:rsidR="00D03411">
              <w:rPr>
                <w:noProof/>
                <w:highlight w:val="black"/>
              </w:rPr>
              <w:t>'''''</w:t>
            </w:r>
            <w:r w:rsidRPr="00027784">
              <w:rPr>
                <w:color w:val="auto"/>
              </w:rPr>
              <w:t xml:space="preserve">% this has been adopted in the first year, rising to </w:t>
            </w:r>
            <w:r w:rsidR="00D03411">
              <w:rPr>
                <w:noProof/>
                <w:highlight w:val="black"/>
              </w:rPr>
              <w:t>''''''''''</w:t>
            </w:r>
            <w:r w:rsidRPr="00027784">
              <w:rPr>
                <w:color w:val="auto"/>
              </w:rPr>
              <w:t>% by year 5.</w:t>
            </w:r>
          </w:p>
        </w:tc>
      </w:tr>
      <w:tr w:rsidR="006F2858" w:rsidRPr="00027784" w:rsidTr="00887599">
        <w:tc>
          <w:tcPr>
            <w:tcW w:w="2362" w:type="pct"/>
            <w:tcBorders>
              <w:bottom w:val="single" w:sz="4" w:space="0" w:color="auto"/>
            </w:tcBorders>
            <w:shd w:val="clear" w:color="auto" w:fill="auto"/>
          </w:tcPr>
          <w:p w:rsidR="006F2858" w:rsidRPr="00027784" w:rsidRDefault="006F2858" w:rsidP="00887599">
            <w:pPr>
              <w:pStyle w:val="KMC16-Tablecontent"/>
              <w:keepNext/>
              <w:keepLines/>
              <w:rPr>
                <w:color w:val="auto"/>
              </w:rPr>
            </w:pPr>
            <w:r w:rsidRPr="00027784">
              <w:rPr>
                <w:color w:val="auto"/>
              </w:rPr>
              <w:t>Doses were based on Kibleur 2014, while doses in the proposed PBS population would likely be higher. (Para 6.62 d)</w:t>
            </w:r>
          </w:p>
        </w:tc>
        <w:tc>
          <w:tcPr>
            <w:tcW w:w="2638" w:type="pct"/>
            <w:tcBorders>
              <w:bottom w:val="single" w:sz="4" w:space="0" w:color="auto"/>
            </w:tcBorders>
            <w:shd w:val="clear" w:color="auto" w:fill="auto"/>
          </w:tcPr>
          <w:p w:rsidR="006F2858" w:rsidRPr="00027784" w:rsidRDefault="006F2858" w:rsidP="00887599">
            <w:pPr>
              <w:pStyle w:val="KMC16-Tablecontent"/>
              <w:keepNext/>
              <w:keepLines/>
              <w:rPr>
                <w:color w:val="auto"/>
              </w:rPr>
            </w:pPr>
            <w:r w:rsidRPr="00027784">
              <w:rPr>
                <w:color w:val="auto"/>
              </w:rPr>
              <w:t xml:space="preserve">To make allowance for increased real-world doses, the doses/day was increased by </w:t>
            </w:r>
            <w:r w:rsidR="00D03411">
              <w:rPr>
                <w:noProof/>
                <w:highlight w:val="black"/>
              </w:rPr>
              <w:t>'''''</w:t>
            </w:r>
            <w:r w:rsidRPr="00027784">
              <w:rPr>
                <w:color w:val="auto"/>
              </w:rPr>
              <w:t>%.</w:t>
            </w:r>
          </w:p>
        </w:tc>
      </w:tr>
      <w:tr w:rsidR="006F2858" w:rsidRPr="00027784" w:rsidTr="00EF3CAA">
        <w:trPr>
          <w:trHeight w:val="1275"/>
        </w:trPr>
        <w:tc>
          <w:tcPr>
            <w:tcW w:w="2362" w:type="pct"/>
            <w:tcBorders>
              <w:bottom w:val="nil"/>
            </w:tcBorders>
            <w:shd w:val="clear" w:color="auto" w:fill="auto"/>
          </w:tcPr>
          <w:p w:rsidR="006F2858" w:rsidRPr="00027784" w:rsidRDefault="006F2858" w:rsidP="002D5F1B">
            <w:pPr>
              <w:pStyle w:val="KMC16-Tablecontent"/>
              <w:keepNext/>
              <w:keepLines/>
              <w:rPr>
                <w:color w:val="auto"/>
              </w:rPr>
            </w:pPr>
            <w:r w:rsidRPr="00027784">
              <w:rPr>
                <w:color w:val="auto"/>
              </w:rPr>
              <w:t>The estimated hospital cost offsets for displacement of NaPb and NaBz may be different as:</w:t>
            </w:r>
          </w:p>
          <w:p w:rsidR="006F2858" w:rsidRPr="00027784" w:rsidRDefault="006F2858" w:rsidP="00887599">
            <w:pPr>
              <w:pStyle w:val="KMC16-Tablecontent"/>
              <w:keepNext/>
              <w:keepLines/>
              <w:numPr>
                <w:ilvl w:val="0"/>
                <w:numId w:val="24"/>
              </w:numPr>
              <w:ind w:left="142" w:hanging="142"/>
              <w:rPr>
                <w:color w:val="auto"/>
              </w:rPr>
            </w:pPr>
            <w:r w:rsidRPr="00027784">
              <w:rPr>
                <w:color w:val="auto"/>
              </w:rPr>
              <w:t>The submission assumed all patients would transfer from uncoated NaPb and that all use of concomitant NaBz would cease (overestimated cost-offsets); and</w:t>
            </w:r>
          </w:p>
        </w:tc>
        <w:tc>
          <w:tcPr>
            <w:tcW w:w="2638" w:type="pct"/>
            <w:tcBorders>
              <w:bottom w:val="nil"/>
            </w:tcBorders>
            <w:shd w:val="clear" w:color="auto" w:fill="auto"/>
          </w:tcPr>
          <w:p w:rsidR="006F2858" w:rsidRPr="00027784" w:rsidRDefault="006F2858" w:rsidP="002D5F1B">
            <w:pPr>
              <w:pStyle w:val="KMC16-Tablecontent"/>
              <w:keepNext/>
              <w:keepLines/>
              <w:rPr>
                <w:color w:val="auto"/>
              </w:rPr>
            </w:pPr>
          </w:p>
          <w:p w:rsidR="006F2858" w:rsidRPr="00027784" w:rsidRDefault="006F2858" w:rsidP="00887599">
            <w:pPr>
              <w:pStyle w:val="KMC16-Tablecontent"/>
              <w:keepNext/>
              <w:keepLines/>
              <w:numPr>
                <w:ilvl w:val="0"/>
                <w:numId w:val="24"/>
              </w:numPr>
              <w:ind w:left="142" w:hanging="142"/>
              <w:rPr>
                <w:color w:val="auto"/>
              </w:rPr>
            </w:pPr>
            <w:r w:rsidRPr="00027784">
              <w:rPr>
                <w:color w:val="auto"/>
              </w:rPr>
              <w:t xml:space="preserve">The revised estimates assume that only </w:t>
            </w:r>
            <w:r w:rsidR="00D03411">
              <w:rPr>
                <w:noProof/>
                <w:highlight w:val="black"/>
              </w:rPr>
              <w:t>'''''</w:t>
            </w:r>
            <w:r w:rsidRPr="00027784">
              <w:rPr>
                <w:color w:val="auto"/>
              </w:rPr>
              <w:t>% of patients using NaBz cease using it as a result of the PBS listing of coated NaPb.</w:t>
            </w:r>
          </w:p>
        </w:tc>
      </w:tr>
      <w:tr w:rsidR="006F2858" w:rsidRPr="00027784" w:rsidTr="00887599">
        <w:tc>
          <w:tcPr>
            <w:tcW w:w="2362" w:type="pct"/>
            <w:tcBorders>
              <w:top w:val="nil"/>
              <w:bottom w:val="single" w:sz="4" w:space="0" w:color="auto"/>
            </w:tcBorders>
            <w:shd w:val="clear" w:color="auto" w:fill="auto"/>
          </w:tcPr>
          <w:p w:rsidR="006F2858" w:rsidRPr="00027784" w:rsidRDefault="006F2858" w:rsidP="00887599">
            <w:pPr>
              <w:pStyle w:val="KMC16-Tablecontent"/>
              <w:keepNext/>
              <w:keepLines/>
              <w:numPr>
                <w:ilvl w:val="0"/>
                <w:numId w:val="24"/>
              </w:numPr>
              <w:ind w:left="142" w:hanging="142"/>
              <w:rPr>
                <w:color w:val="auto"/>
              </w:rPr>
            </w:pPr>
            <w:r w:rsidRPr="00027784">
              <w:rPr>
                <w:color w:val="auto"/>
              </w:rPr>
              <w:t>The submission off-set the costs of the uncoated NaPb powder and not any of the uncoated NaPb tablets (underestimated cost-offsets). (Para 6.63)</w:t>
            </w:r>
          </w:p>
        </w:tc>
        <w:tc>
          <w:tcPr>
            <w:tcW w:w="2638" w:type="pct"/>
            <w:tcBorders>
              <w:top w:val="nil"/>
              <w:bottom w:val="single" w:sz="4" w:space="0" w:color="auto"/>
            </w:tcBorders>
            <w:shd w:val="clear" w:color="auto" w:fill="auto"/>
          </w:tcPr>
          <w:p w:rsidR="006F2858" w:rsidRPr="00027784" w:rsidRDefault="006F2858" w:rsidP="00887599">
            <w:pPr>
              <w:pStyle w:val="KMC16-Tablecontent"/>
              <w:keepNext/>
              <w:keepLines/>
              <w:numPr>
                <w:ilvl w:val="0"/>
                <w:numId w:val="24"/>
              </w:numPr>
              <w:ind w:left="142" w:hanging="142"/>
              <w:rPr>
                <w:color w:val="auto"/>
              </w:rPr>
            </w:pPr>
            <w:r w:rsidRPr="00027784">
              <w:rPr>
                <w:color w:val="auto"/>
              </w:rPr>
              <w:t>The uncoated tablets were not offset because it is the Sponsor’s understanding that these are not readily available.</w:t>
            </w:r>
          </w:p>
        </w:tc>
      </w:tr>
      <w:tr w:rsidR="006F2858" w:rsidRPr="00027784" w:rsidTr="00887599">
        <w:tc>
          <w:tcPr>
            <w:tcW w:w="2362" w:type="pct"/>
            <w:tcBorders>
              <w:top w:val="single" w:sz="4" w:space="0" w:color="auto"/>
              <w:bottom w:val="single" w:sz="4" w:space="0" w:color="auto"/>
            </w:tcBorders>
            <w:shd w:val="clear" w:color="auto" w:fill="auto"/>
          </w:tcPr>
          <w:p w:rsidR="006F2858" w:rsidRPr="00027784" w:rsidRDefault="006F2858" w:rsidP="002D5F1B">
            <w:pPr>
              <w:pStyle w:val="KMC16-Tablecontent"/>
              <w:keepNext/>
              <w:keepLines/>
              <w:rPr>
                <w:color w:val="auto"/>
              </w:rPr>
            </w:pPr>
            <w:r w:rsidRPr="00027784">
              <w:rPr>
                <w:color w:val="auto"/>
              </w:rPr>
              <w:t>Cost offsets for MBS and hospitalisations were significantly overestimated as the rate and costs of hospitalisation for HACs were overestimated. (Para 6.64)</w:t>
            </w:r>
          </w:p>
        </w:tc>
        <w:tc>
          <w:tcPr>
            <w:tcW w:w="2638" w:type="pct"/>
            <w:tcBorders>
              <w:top w:val="single" w:sz="4" w:space="0" w:color="auto"/>
              <w:bottom w:val="single" w:sz="4" w:space="0" w:color="auto"/>
            </w:tcBorders>
            <w:shd w:val="clear" w:color="auto" w:fill="auto"/>
          </w:tcPr>
          <w:p w:rsidR="006F2858" w:rsidRPr="00027784" w:rsidRDefault="006F2858" w:rsidP="00AA1BEA">
            <w:pPr>
              <w:pStyle w:val="KMC16-Tablecontent"/>
              <w:keepNext/>
              <w:keepLines/>
              <w:rPr>
                <w:color w:val="auto"/>
              </w:rPr>
            </w:pPr>
            <w:r w:rsidRPr="00027784">
              <w:rPr>
                <w:color w:val="auto"/>
              </w:rPr>
              <w:t>Updated to only include AR-DG P60A ($</w:t>
            </w:r>
            <w:r w:rsidR="00D03411">
              <w:rPr>
                <w:noProof/>
                <w:highlight w:val="black"/>
              </w:rPr>
              <w:t>''''''''''''''</w:t>
            </w:r>
            <w:r w:rsidRPr="00027784">
              <w:rPr>
                <w:color w:val="auto"/>
              </w:rPr>
              <w:t xml:space="preserve">) to cost HAC hospitalisations (PBAC </w:t>
            </w:r>
            <w:r w:rsidR="00AA1BEA">
              <w:rPr>
                <w:color w:val="auto"/>
              </w:rPr>
              <w:t>PSD</w:t>
            </w:r>
            <w:r w:rsidR="00AA1BEA" w:rsidRPr="00027784">
              <w:rPr>
                <w:color w:val="auto"/>
              </w:rPr>
              <w:t xml:space="preserve"> </w:t>
            </w:r>
            <w:r w:rsidRPr="00027784">
              <w:rPr>
                <w:color w:val="auto"/>
              </w:rPr>
              <w:t xml:space="preserve">Table 11). </w:t>
            </w:r>
          </w:p>
        </w:tc>
      </w:tr>
      <w:tr w:rsidR="006F2858" w:rsidRPr="00027784" w:rsidTr="00887599">
        <w:tc>
          <w:tcPr>
            <w:tcW w:w="2362" w:type="pct"/>
            <w:tcBorders>
              <w:top w:val="single" w:sz="4" w:space="0" w:color="auto"/>
            </w:tcBorders>
            <w:shd w:val="clear" w:color="auto" w:fill="auto"/>
          </w:tcPr>
          <w:p w:rsidR="006F2858" w:rsidRPr="00027784" w:rsidRDefault="006F2858" w:rsidP="00887599">
            <w:pPr>
              <w:pStyle w:val="KMC16-Tablecontent"/>
              <w:keepNext/>
              <w:keepLines/>
              <w:rPr>
                <w:color w:val="auto"/>
              </w:rPr>
            </w:pPr>
            <w:r w:rsidRPr="00027784">
              <w:rPr>
                <w:color w:val="auto"/>
              </w:rPr>
              <w:t xml:space="preserve">Updated price (the price in the financial estimates was based on the price proposed in November 2017 submission, while a lower price was proposed in the November 2017 Pre-PBAC response). </w:t>
            </w:r>
          </w:p>
        </w:tc>
        <w:tc>
          <w:tcPr>
            <w:tcW w:w="2638" w:type="pct"/>
            <w:tcBorders>
              <w:top w:val="single" w:sz="4" w:space="0" w:color="auto"/>
            </w:tcBorders>
            <w:shd w:val="clear" w:color="auto" w:fill="auto"/>
          </w:tcPr>
          <w:p w:rsidR="006F2858" w:rsidRPr="00027784" w:rsidRDefault="006F2858" w:rsidP="00887599">
            <w:pPr>
              <w:pStyle w:val="KMC16-Tablecontent"/>
              <w:keepNext/>
              <w:keepLines/>
              <w:rPr>
                <w:color w:val="auto"/>
              </w:rPr>
            </w:pPr>
            <w:r w:rsidRPr="00027784">
              <w:rPr>
                <w:color w:val="auto"/>
              </w:rPr>
              <w:t>The AEMP was updated to be $</w:t>
            </w:r>
            <w:r w:rsidR="00D03411">
              <w:rPr>
                <w:noProof/>
                <w:highlight w:val="black"/>
              </w:rPr>
              <w:t>''''''''''''''''''''</w:t>
            </w:r>
            <w:r w:rsidRPr="00027784">
              <w:rPr>
                <w:color w:val="auto"/>
              </w:rPr>
              <w:t>, which equates to $</w:t>
            </w:r>
            <w:r w:rsidR="00D03411">
              <w:rPr>
                <w:noProof/>
                <w:highlight w:val="black"/>
              </w:rPr>
              <w:t>''''''''''''''''''''''</w:t>
            </w:r>
            <w:r w:rsidRPr="00027784">
              <w:rPr>
                <w:color w:val="auto"/>
              </w:rPr>
              <w:t xml:space="preserve"> DPMQ for 2 bottles.</w:t>
            </w:r>
          </w:p>
        </w:tc>
      </w:tr>
    </w:tbl>
    <w:p w:rsidR="00DE5B1D" w:rsidRPr="00027784" w:rsidRDefault="00DE5B1D" w:rsidP="00954EF7">
      <w:pPr>
        <w:pStyle w:val="TableFooter"/>
        <w:rPr>
          <w:rFonts w:eastAsiaTheme="minorHAnsi" w:cstheme="minorBidi"/>
        </w:rPr>
      </w:pPr>
      <w:r w:rsidRPr="00027784">
        <w:t xml:space="preserve">Source: </w:t>
      </w:r>
      <w:r w:rsidR="002D5F1B" w:rsidRPr="00027784">
        <w:t xml:space="preserve">Table 2, p6 of the </w:t>
      </w:r>
      <w:r w:rsidRPr="00027784">
        <w:t xml:space="preserve">minor </w:t>
      </w:r>
      <w:r w:rsidR="002D5F1B" w:rsidRPr="00027784">
        <w:t>re-</w:t>
      </w:r>
      <w:r w:rsidRPr="00027784">
        <w:t xml:space="preserve">submission </w:t>
      </w:r>
    </w:p>
    <w:p w:rsidR="00DE5B1D" w:rsidRPr="00027784" w:rsidRDefault="00887599"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T</w:t>
      </w:r>
      <w:r w:rsidR="00DE5B1D" w:rsidRPr="00027784">
        <w:rPr>
          <w:rFonts w:asciiTheme="minorHAnsi" w:eastAsiaTheme="minorHAnsi" w:hAnsiTheme="minorHAnsi" w:cstheme="minorBidi"/>
          <w:snapToGrid/>
          <w:sz w:val="24"/>
          <w:szCs w:val="22"/>
        </w:rPr>
        <w:t xml:space="preserve">he revised utilisation and financial estimates presented in the </w:t>
      </w:r>
      <w:r w:rsidR="003B5F98" w:rsidRPr="00027784">
        <w:rPr>
          <w:rFonts w:asciiTheme="minorHAnsi" w:eastAsiaTheme="minorHAnsi" w:hAnsiTheme="minorHAnsi" w:cstheme="minorBidi"/>
          <w:snapToGrid/>
          <w:sz w:val="24"/>
          <w:szCs w:val="22"/>
        </w:rPr>
        <w:t xml:space="preserve">re-submission are outlined in the </w:t>
      </w:r>
      <w:r w:rsidR="00DE5B1D" w:rsidRPr="00027784">
        <w:rPr>
          <w:rFonts w:asciiTheme="minorHAnsi" w:eastAsiaTheme="minorHAnsi" w:hAnsiTheme="minorHAnsi" w:cstheme="minorBidi"/>
          <w:snapToGrid/>
          <w:sz w:val="24"/>
          <w:szCs w:val="22"/>
        </w:rPr>
        <w:t>table below.</w:t>
      </w:r>
    </w:p>
    <w:p w:rsidR="00DE5B1D" w:rsidRPr="00027784" w:rsidRDefault="00DE5B1D" w:rsidP="00887599">
      <w:pPr>
        <w:pStyle w:val="Caption"/>
        <w:keepNext/>
        <w:keepLines/>
        <w:spacing w:after="0"/>
        <w:rPr>
          <w:rFonts w:ascii="Arial Narrow" w:hAnsi="Arial Narrow"/>
          <w:color w:val="000000" w:themeColor="text1"/>
          <w:sz w:val="20"/>
          <w:szCs w:val="20"/>
        </w:rPr>
      </w:pPr>
      <w:r w:rsidRPr="00027784">
        <w:rPr>
          <w:rFonts w:ascii="Arial Narrow" w:hAnsi="Arial Narrow"/>
          <w:color w:val="000000" w:themeColor="text1"/>
          <w:sz w:val="20"/>
          <w:szCs w:val="20"/>
        </w:rPr>
        <w:t>Table</w:t>
      </w:r>
      <w:r w:rsidR="00887599" w:rsidRPr="00027784">
        <w:rPr>
          <w:rFonts w:ascii="Arial Narrow" w:hAnsi="Arial Narrow"/>
          <w:color w:val="000000" w:themeColor="text1"/>
          <w:sz w:val="20"/>
          <w:szCs w:val="20"/>
        </w:rPr>
        <w:t xml:space="preserve"> </w:t>
      </w:r>
      <w:r w:rsidR="003F58DA" w:rsidRPr="00027784">
        <w:rPr>
          <w:rFonts w:ascii="Arial Narrow" w:hAnsi="Arial Narrow"/>
          <w:color w:val="000000" w:themeColor="text1"/>
          <w:sz w:val="20"/>
          <w:szCs w:val="20"/>
        </w:rPr>
        <w:t>4</w:t>
      </w:r>
      <w:r w:rsidRPr="00027784">
        <w:rPr>
          <w:rFonts w:ascii="Arial Narrow" w:hAnsi="Arial Narrow"/>
          <w:color w:val="000000" w:themeColor="text1"/>
          <w:sz w:val="20"/>
          <w:szCs w:val="20"/>
        </w:rPr>
        <w:t>: Updated utilisation and financial estimates</w:t>
      </w:r>
    </w:p>
    <w:tbl>
      <w:tblPr>
        <w:tblW w:w="5000" w:type="pct"/>
        <w:tblLook w:val="04A0" w:firstRow="1" w:lastRow="0" w:firstColumn="1" w:lastColumn="0" w:noHBand="0" w:noVBand="1"/>
      </w:tblPr>
      <w:tblGrid>
        <w:gridCol w:w="2368"/>
        <w:gridCol w:w="1129"/>
        <w:gridCol w:w="1148"/>
        <w:gridCol w:w="1133"/>
        <w:gridCol w:w="1128"/>
        <w:gridCol w:w="1148"/>
        <w:gridCol w:w="1188"/>
      </w:tblGrid>
      <w:tr w:rsidR="00A7043D" w:rsidRPr="00027784" w:rsidTr="00DB7FE0">
        <w:trPr>
          <w:trHeight w:val="285"/>
        </w:trPr>
        <w:tc>
          <w:tcPr>
            <w:tcW w:w="1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043D" w:rsidRPr="00027784" w:rsidRDefault="00A7043D" w:rsidP="00887599">
            <w:pPr>
              <w:pStyle w:val="KMC16-Tablecontent"/>
              <w:keepNext/>
              <w:keepLines/>
              <w:rPr>
                <w:szCs w:val="20"/>
              </w:rPr>
            </w:pPr>
            <w:r w:rsidRPr="00027784">
              <w:rPr>
                <w:szCs w:val="20"/>
              </w:rPr>
              <w:t> </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7043D" w:rsidRPr="00027784" w:rsidRDefault="00A7043D" w:rsidP="00C24FCC">
            <w:pPr>
              <w:keepNext/>
              <w:spacing w:before="40" w:after="40"/>
              <w:jc w:val="center"/>
              <w:rPr>
                <w:rFonts w:ascii="Arial Narrow" w:eastAsia="Calibri" w:hAnsi="Arial Narrow" w:cs="Arial"/>
                <w:b/>
                <w:sz w:val="20"/>
              </w:rPr>
            </w:pPr>
            <w:r w:rsidRPr="00027784">
              <w:rPr>
                <w:rFonts w:ascii="Arial Narrow" w:eastAsia="Calibri" w:hAnsi="Arial Narrow" w:cs="Arial"/>
                <w:b/>
                <w:sz w:val="20"/>
              </w:rPr>
              <w:t>Year 1</w:t>
            </w:r>
          </w:p>
        </w:tc>
        <w:tc>
          <w:tcPr>
            <w:tcW w:w="61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7043D" w:rsidRPr="00027784" w:rsidRDefault="00A7043D" w:rsidP="00C24FCC">
            <w:pPr>
              <w:keepNext/>
              <w:spacing w:before="40" w:after="40"/>
              <w:jc w:val="center"/>
              <w:rPr>
                <w:rFonts w:ascii="Arial Narrow" w:eastAsia="Calibri" w:hAnsi="Arial Narrow" w:cs="Arial"/>
                <w:b/>
                <w:sz w:val="20"/>
              </w:rPr>
            </w:pPr>
            <w:r w:rsidRPr="00027784">
              <w:rPr>
                <w:rFonts w:ascii="Arial Narrow" w:eastAsia="Calibri" w:hAnsi="Arial Narrow" w:cs="Arial"/>
                <w:b/>
                <w:sz w:val="20"/>
              </w:rPr>
              <w:t>Year 2</w:t>
            </w:r>
          </w:p>
        </w:tc>
        <w:tc>
          <w:tcPr>
            <w:tcW w:w="61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7043D" w:rsidRPr="00027784" w:rsidRDefault="00A7043D" w:rsidP="00C24FCC">
            <w:pPr>
              <w:keepNext/>
              <w:spacing w:before="40" w:after="40"/>
              <w:jc w:val="center"/>
              <w:rPr>
                <w:rFonts w:ascii="Arial Narrow" w:eastAsia="Calibri" w:hAnsi="Arial Narrow" w:cs="Arial"/>
                <w:b/>
                <w:sz w:val="20"/>
              </w:rPr>
            </w:pPr>
            <w:r w:rsidRPr="00027784">
              <w:rPr>
                <w:rFonts w:ascii="Arial Narrow" w:eastAsia="Calibri" w:hAnsi="Arial Narrow" w:cs="Arial"/>
                <w:b/>
                <w:sz w:val="20"/>
              </w:rPr>
              <w:t>Year 3</w:t>
            </w:r>
          </w:p>
        </w:tc>
        <w:tc>
          <w:tcPr>
            <w:tcW w:w="61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7043D" w:rsidRPr="00027784" w:rsidRDefault="00A7043D" w:rsidP="00C24FCC">
            <w:pPr>
              <w:keepNext/>
              <w:spacing w:before="40" w:after="40"/>
              <w:jc w:val="center"/>
              <w:rPr>
                <w:rFonts w:ascii="Arial Narrow" w:eastAsia="Calibri" w:hAnsi="Arial Narrow" w:cs="Arial"/>
                <w:b/>
                <w:sz w:val="20"/>
              </w:rPr>
            </w:pPr>
            <w:r w:rsidRPr="00027784">
              <w:rPr>
                <w:rFonts w:ascii="Arial Narrow" w:eastAsia="Calibri" w:hAnsi="Arial Narrow" w:cs="Arial"/>
                <w:b/>
                <w:sz w:val="20"/>
              </w:rPr>
              <w:t>Year 4</w:t>
            </w:r>
          </w:p>
        </w:tc>
        <w:tc>
          <w:tcPr>
            <w:tcW w:w="61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7043D" w:rsidRPr="00027784" w:rsidRDefault="00A7043D" w:rsidP="00C24FCC">
            <w:pPr>
              <w:keepNext/>
              <w:spacing w:before="40" w:after="40"/>
              <w:jc w:val="center"/>
              <w:rPr>
                <w:rFonts w:ascii="Arial Narrow" w:eastAsia="Calibri" w:hAnsi="Arial Narrow" w:cs="Arial"/>
                <w:b/>
                <w:sz w:val="20"/>
              </w:rPr>
            </w:pPr>
            <w:r w:rsidRPr="00027784">
              <w:rPr>
                <w:rFonts w:ascii="Arial Narrow" w:eastAsia="Calibri" w:hAnsi="Arial Narrow" w:cs="Arial"/>
                <w:b/>
                <w:sz w:val="20"/>
              </w:rPr>
              <w:t>Year 5</w:t>
            </w:r>
          </w:p>
        </w:tc>
        <w:tc>
          <w:tcPr>
            <w:tcW w:w="645" w:type="pct"/>
            <w:tcBorders>
              <w:top w:val="single" w:sz="4" w:space="0" w:color="auto"/>
              <w:left w:val="nil"/>
              <w:bottom w:val="single" w:sz="4" w:space="0" w:color="auto"/>
              <w:right w:val="single" w:sz="4" w:space="0" w:color="auto"/>
            </w:tcBorders>
            <w:shd w:val="clear" w:color="auto" w:fill="FFFFFF" w:themeFill="background1"/>
            <w:noWrap/>
            <w:hideMark/>
          </w:tcPr>
          <w:p w:rsidR="00A7043D" w:rsidRPr="00027784" w:rsidRDefault="00A7043D" w:rsidP="00C24FCC">
            <w:pPr>
              <w:keepNext/>
              <w:spacing w:before="40" w:after="40"/>
              <w:jc w:val="center"/>
              <w:rPr>
                <w:rFonts w:ascii="Arial Narrow" w:eastAsia="Calibri" w:hAnsi="Arial Narrow" w:cs="Arial"/>
                <w:b/>
                <w:sz w:val="20"/>
              </w:rPr>
            </w:pPr>
            <w:r w:rsidRPr="00027784">
              <w:rPr>
                <w:rFonts w:ascii="Arial Narrow" w:eastAsia="Calibri" w:hAnsi="Arial Narrow" w:cs="Arial"/>
                <w:b/>
                <w:sz w:val="20"/>
              </w:rPr>
              <w:t>Year 6</w:t>
            </w:r>
          </w:p>
        </w:tc>
      </w:tr>
      <w:tr w:rsidR="00C00F99" w:rsidRPr="00027784" w:rsidTr="00DB7FE0">
        <w:trPr>
          <w:trHeight w:val="285"/>
        </w:trPr>
        <w:tc>
          <w:tcPr>
            <w:tcW w:w="1285" w:type="pct"/>
            <w:tcBorders>
              <w:top w:val="nil"/>
              <w:left w:val="single" w:sz="4" w:space="0" w:color="auto"/>
              <w:bottom w:val="single" w:sz="4" w:space="0" w:color="auto"/>
              <w:right w:val="single" w:sz="4" w:space="0" w:color="auto"/>
            </w:tcBorders>
            <w:shd w:val="clear" w:color="auto" w:fill="FFFFFF" w:themeFill="background1"/>
            <w:vAlign w:val="center"/>
            <w:hideMark/>
          </w:tcPr>
          <w:p w:rsidR="00DE5B1D" w:rsidRPr="00027784" w:rsidRDefault="00DE5B1D" w:rsidP="00887599">
            <w:pPr>
              <w:pStyle w:val="KMC16-Tablecontent"/>
              <w:keepNext/>
              <w:keepLines/>
              <w:rPr>
                <w:szCs w:val="20"/>
              </w:rPr>
            </w:pPr>
            <w:r w:rsidRPr="00027784">
              <w:rPr>
                <w:szCs w:val="20"/>
              </w:rPr>
              <w:t xml:space="preserve">Number of </w:t>
            </w:r>
            <w:r w:rsidR="004431C9" w:rsidRPr="00027784">
              <w:rPr>
                <w:szCs w:val="20"/>
              </w:rPr>
              <w:t>p</w:t>
            </w:r>
            <w:r w:rsidRPr="00027784">
              <w:rPr>
                <w:szCs w:val="20"/>
              </w:rPr>
              <w:t xml:space="preserve">atients treated </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 xml:space="preserve">''''''' </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 xml:space="preserve">'''''' </w:t>
            </w:r>
          </w:p>
        </w:tc>
        <w:tc>
          <w:tcPr>
            <w:tcW w:w="616"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 xml:space="preserve">''''''' </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 xml:space="preserve">''''''''' </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 xml:space="preserve">'''''''''' </w:t>
            </w:r>
          </w:p>
        </w:tc>
        <w:tc>
          <w:tcPr>
            <w:tcW w:w="645"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 xml:space="preserve">''''''''' </w:t>
            </w:r>
          </w:p>
        </w:tc>
      </w:tr>
      <w:tr w:rsidR="00C00F99" w:rsidRPr="00027784" w:rsidTr="00DB7FE0">
        <w:trPr>
          <w:trHeight w:val="319"/>
        </w:trPr>
        <w:tc>
          <w:tcPr>
            <w:tcW w:w="1285" w:type="pct"/>
            <w:tcBorders>
              <w:top w:val="nil"/>
              <w:left w:val="single" w:sz="4" w:space="0" w:color="auto"/>
              <w:bottom w:val="single" w:sz="4" w:space="0" w:color="auto"/>
              <w:right w:val="single" w:sz="4" w:space="0" w:color="auto"/>
            </w:tcBorders>
            <w:shd w:val="clear" w:color="auto" w:fill="FFFFFF" w:themeFill="background1"/>
            <w:vAlign w:val="center"/>
            <w:hideMark/>
          </w:tcPr>
          <w:p w:rsidR="00DE5B1D" w:rsidRPr="00027784" w:rsidRDefault="00DE5B1D" w:rsidP="00887599">
            <w:pPr>
              <w:pStyle w:val="KMC16-Tablecontent"/>
              <w:keepNext/>
              <w:keepLines/>
              <w:rPr>
                <w:szCs w:val="20"/>
              </w:rPr>
            </w:pPr>
            <w:r w:rsidRPr="00027784">
              <w:rPr>
                <w:szCs w:val="20"/>
              </w:rPr>
              <w:t>N</w:t>
            </w:r>
            <w:r w:rsidR="004431C9" w:rsidRPr="00027784">
              <w:rPr>
                <w:szCs w:val="20"/>
              </w:rPr>
              <w:t>umber</w:t>
            </w:r>
            <w:r w:rsidRPr="00027784">
              <w:rPr>
                <w:szCs w:val="20"/>
              </w:rPr>
              <w:t xml:space="preserve"> of </w:t>
            </w:r>
            <w:r w:rsidR="004431C9" w:rsidRPr="00027784">
              <w:rPr>
                <w:szCs w:val="20"/>
              </w:rPr>
              <w:t>scripts</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w:t>
            </w:r>
          </w:p>
        </w:tc>
        <w:tc>
          <w:tcPr>
            <w:tcW w:w="616"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w:t>
            </w:r>
          </w:p>
        </w:tc>
        <w:tc>
          <w:tcPr>
            <w:tcW w:w="645" w:type="pct"/>
            <w:tcBorders>
              <w:top w:val="nil"/>
              <w:left w:val="nil"/>
              <w:bottom w:val="single" w:sz="4" w:space="0" w:color="auto"/>
              <w:right w:val="single" w:sz="4" w:space="0" w:color="auto"/>
            </w:tcBorders>
            <w:shd w:val="clear" w:color="auto" w:fill="FFFFFF" w:themeFill="background1"/>
            <w:noWrap/>
            <w:vAlign w:val="center"/>
            <w:hideMark/>
          </w:tcPr>
          <w:p w:rsidR="00DE5B1D" w:rsidRPr="00D03411" w:rsidRDefault="00D03411" w:rsidP="00887599">
            <w:pPr>
              <w:pStyle w:val="KMC16-Tablecontent"/>
              <w:keepNext/>
              <w:keepLines/>
              <w:rPr>
                <w:szCs w:val="20"/>
                <w:highlight w:val="black"/>
              </w:rPr>
            </w:pPr>
            <w:r>
              <w:rPr>
                <w:noProof/>
                <w:szCs w:val="20"/>
                <w:highlight w:val="black"/>
              </w:rPr>
              <w:t>'''''''''''''</w:t>
            </w:r>
          </w:p>
        </w:tc>
      </w:tr>
      <w:tr w:rsidR="00C00F99" w:rsidRPr="00027784" w:rsidTr="00DB7FE0">
        <w:trPr>
          <w:trHeight w:val="335"/>
        </w:trPr>
        <w:tc>
          <w:tcPr>
            <w:tcW w:w="1285" w:type="pct"/>
            <w:tcBorders>
              <w:top w:val="nil"/>
              <w:left w:val="single" w:sz="4" w:space="0" w:color="auto"/>
              <w:bottom w:val="single" w:sz="4" w:space="0" w:color="auto"/>
              <w:right w:val="single" w:sz="4" w:space="0" w:color="auto"/>
            </w:tcBorders>
            <w:shd w:val="clear" w:color="auto" w:fill="FFFFFF" w:themeFill="background1"/>
            <w:vAlign w:val="center"/>
            <w:hideMark/>
          </w:tcPr>
          <w:p w:rsidR="00DE5B1D" w:rsidRPr="00027784" w:rsidRDefault="00DE5B1D" w:rsidP="00887599">
            <w:pPr>
              <w:pStyle w:val="KMC16-Tablecontent"/>
              <w:keepNext/>
              <w:keepLines/>
              <w:rPr>
                <w:b/>
                <w:bCs/>
                <w:szCs w:val="20"/>
              </w:rPr>
            </w:pPr>
            <w:r w:rsidRPr="00027784">
              <w:rPr>
                <w:b/>
                <w:bCs/>
                <w:szCs w:val="20"/>
              </w:rPr>
              <w:t>Net Cost to PBS/RPBS</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
                <w:bCs/>
                <w:color w:val="000000"/>
                <w:sz w:val="20"/>
                <w:szCs w:val="20"/>
              </w:rPr>
            </w:pPr>
            <w:r w:rsidRPr="00027784">
              <w:rPr>
                <w:rFonts w:ascii="Arial Narrow" w:hAnsi="Arial Narrow" w:cs="Arial"/>
                <w:b/>
                <w:bCs/>
                <w:color w:val="000000"/>
                <w:sz w:val="20"/>
                <w:szCs w:val="20"/>
              </w:rPr>
              <w:t>$</w:t>
            </w:r>
            <w:r w:rsidR="00D03411">
              <w:rPr>
                <w:rFonts w:ascii="Arial Narrow" w:hAnsi="Arial Narrow" w:cs="Arial"/>
                <w:b/>
                <w:bCs/>
                <w:noProof/>
                <w:color w:val="000000"/>
                <w:sz w:val="20"/>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
                <w:bCs/>
                <w:color w:val="000000"/>
                <w:sz w:val="20"/>
                <w:szCs w:val="20"/>
              </w:rPr>
            </w:pPr>
            <w:r w:rsidRPr="00027784">
              <w:rPr>
                <w:rFonts w:ascii="Arial Narrow" w:hAnsi="Arial Narrow" w:cs="Arial"/>
                <w:b/>
                <w:bCs/>
                <w:color w:val="000000"/>
                <w:sz w:val="20"/>
                <w:szCs w:val="20"/>
              </w:rPr>
              <w:t>$</w:t>
            </w:r>
            <w:r w:rsidR="00D03411">
              <w:rPr>
                <w:rFonts w:ascii="Arial Narrow" w:hAnsi="Arial Narrow" w:cs="Arial"/>
                <w:b/>
                <w:bCs/>
                <w:noProof/>
                <w:color w:val="000000"/>
                <w:sz w:val="20"/>
                <w:szCs w:val="20"/>
                <w:highlight w:val="black"/>
              </w:rPr>
              <w:t>'''''''''''''''''''</w:t>
            </w:r>
          </w:p>
        </w:tc>
        <w:tc>
          <w:tcPr>
            <w:tcW w:w="616"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
                <w:bCs/>
                <w:color w:val="000000"/>
                <w:sz w:val="20"/>
                <w:szCs w:val="20"/>
              </w:rPr>
            </w:pPr>
            <w:r w:rsidRPr="00027784">
              <w:rPr>
                <w:rFonts w:ascii="Arial Narrow" w:hAnsi="Arial Narrow" w:cs="Arial"/>
                <w:b/>
                <w:bCs/>
                <w:color w:val="000000"/>
                <w:sz w:val="20"/>
                <w:szCs w:val="20"/>
              </w:rPr>
              <w:t>$</w:t>
            </w:r>
            <w:r w:rsidR="00D03411">
              <w:rPr>
                <w:rFonts w:ascii="Arial Narrow" w:hAnsi="Arial Narrow" w:cs="Arial"/>
                <w:b/>
                <w:bCs/>
                <w:noProof/>
                <w:color w:val="000000"/>
                <w:sz w:val="20"/>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
                <w:bCs/>
                <w:color w:val="000000"/>
                <w:sz w:val="20"/>
                <w:szCs w:val="20"/>
              </w:rPr>
            </w:pPr>
            <w:r w:rsidRPr="00027784">
              <w:rPr>
                <w:rFonts w:ascii="Arial Narrow" w:hAnsi="Arial Narrow" w:cs="Arial"/>
                <w:b/>
                <w:bCs/>
                <w:color w:val="000000"/>
                <w:sz w:val="20"/>
                <w:szCs w:val="20"/>
              </w:rPr>
              <w:t>$</w:t>
            </w:r>
            <w:r w:rsidR="00D03411">
              <w:rPr>
                <w:rFonts w:ascii="Arial Narrow" w:hAnsi="Arial Narrow" w:cs="Arial"/>
                <w:b/>
                <w:bCs/>
                <w:noProof/>
                <w:color w:val="000000"/>
                <w:sz w:val="20"/>
                <w:szCs w:val="20"/>
                <w:highlight w:val="black"/>
              </w:rPr>
              <w:t>''''''''''''''''''''</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
                <w:bCs/>
                <w:color w:val="000000"/>
                <w:sz w:val="20"/>
                <w:szCs w:val="20"/>
              </w:rPr>
            </w:pPr>
            <w:r w:rsidRPr="00027784">
              <w:rPr>
                <w:rFonts w:ascii="Arial Narrow" w:hAnsi="Arial Narrow" w:cs="Arial"/>
                <w:b/>
                <w:bCs/>
                <w:color w:val="000000"/>
                <w:sz w:val="20"/>
                <w:szCs w:val="20"/>
              </w:rPr>
              <w:t>$</w:t>
            </w:r>
            <w:r w:rsidR="00D03411">
              <w:rPr>
                <w:rFonts w:ascii="Arial Narrow" w:hAnsi="Arial Narrow" w:cs="Arial"/>
                <w:b/>
                <w:bCs/>
                <w:noProof/>
                <w:color w:val="000000"/>
                <w:sz w:val="20"/>
                <w:szCs w:val="20"/>
                <w:highlight w:val="black"/>
              </w:rPr>
              <w:t>'''''''''''''''''''''</w:t>
            </w:r>
          </w:p>
        </w:tc>
        <w:tc>
          <w:tcPr>
            <w:tcW w:w="645"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
                <w:bCs/>
                <w:color w:val="000000"/>
                <w:sz w:val="20"/>
                <w:szCs w:val="20"/>
              </w:rPr>
            </w:pPr>
            <w:r w:rsidRPr="00027784">
              <w:rPr>
                <w:rFonts w:ascii="Arial Narrow" w:hAnsi="Arial Narrow" w:cs="Arial"/>
                <w:b/>
                <w:bCs/>
                <w:color w:val="000000"/>
                <w:sz w:val="20"/>
                <w:szCs w:val="20"/>
              </w:rPr>
              <w:t>$</w:t>
            </w:r>
            <w:r w:rsidR="00D03411">
              <w:rPr>
                <w:rFonts w:ascii="Arial Narrow" w:hAnsi="Arial Narrow" w:cs="Arial"/>
                <w:b/>
                <w:bCs/>
                <w:noProof/>
                <w:color w:val="000000"/>
                <w:sz w:val="20"/>
                <w:szCs w:val="20"/>
                <w:highlight w:val="black"/>
              </w:rPr>
              <w:t>'''''''''''''''''''</w:t>
            </w:r>
          </w:p>
        </w:tc>
      </w:tr>
      <w:tr w:rsidR="00C00F99" w:rsidRPr="00027784" w:rsidTr="00DB7FE0">
        <w:trPr>
          <w:trHeight w:val="300"/>
        </w:trPr>
        <w:tc>
          <w:tcPr>
            <w:tcW w:w="1285" w:type="pct"/>
            <w:tcBorders>
              <w:top w:val="nil"/>
              <w:left w:val="single" w:sz="4" w:space="0" w:color="auto"/>
              <w:bottom w:val="single" w:sz="4" w:space="0" w:color="auto"/>
              <w:right w:val="single" w:sz="4" w:space="0" w:color="auto"/>
            </w:tcBorders>
            <w:shd w:val="clear" w:color="auto" w:fill="FFFFFF" w:themeFill="background1"/>
            <w:vAlign w:val="center"/>
            <w:hideMark/>
          </w:tcPr>
          <w:p w:rsidR="00DE5B1D" w:rsidRPr="00027784" w:rsidRDefault="00DE5B1D" w:rsidP="00887599">
            <w:pPr>
              <w:pStyle w:val="KMC16-Tablecontent"/>
              <w:keepNext/>
              <w:keepLines/>
              <w:rPr>
                <w:szCs w:val="20"/>
              </w:rPr>
            </w:pPr>
            <w:r w:rsidRPr="00027784">
              <w:rPr>
                <w:szCs w:val="20"/>
              </w:rPr>
              <w:t>MBS savings</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6"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45"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r>
      <w:tr w:rsidR="003B5F98" w:rsidRPr="00027784" w:rsidTr="00DB7FE0">
        <w:trPr>
          <w:trHeight w:val="300"/>
        </w:trPr>
        <w:tc>
          <w:tcPr>
            <w:tcW w:w="1285" w:type="pct"/>
            <w:tcBorders>
              <w:top w:val="nil"/>
              <w:left w:val="single" w:sz="4" w:space="0" w:color="auto"/>
              <w:bottom w:val="single" w:sz="4" w:space="0" w:color="auto"/>
              <w:right w:val="single" w:sz="4" w:space="0" w:color="auto"/>
            </w:tcBorders>
            <w:shd w:val="clear" w:color="auto" w:fill="FFFFFF" w:themeFill="background1"/>
            <w:vAlign w:val="center"/>
          </w:tcPr>
          <w:p w:rsidR="003B5F98" w:rsidRPr="00027784" w:rsidRDefault="003B5F98" w:rsidP="00887599">
            <w:pPr>
              <w:pStyle w:val="KMC16-Tablecontent"/>
              <w:keepNext/>
              <w:keepLines/>
              <w:rPr>
                <w:szCs w:val="20"/>
              </w:rPr>
            </w:pPr>
            <w:r w:rsidRPr="00027784">
              <w:rPr>
                <w:b/>
                <w:bCs/>
                <w:szCs w:val="20"/>
              </w:rPr>
              <w:t>Net Cost to PBS/RBS/MBS</w:t>
            </w:r>
          </w:p>
        </w:tc>
        <w:tc>
          <w:tcPr>
            <w:tcW w:w="614" w:type="pct"/>
            <w:tcBorders>
              <w:top w:val="nil"/>
              <w:left w:val="nil"/>
              <w:bottom w:val="single" w:sz="4" w:space="0" w:color="auto"/>
              <w:right w:val="single" w:sz="4" w:space="0" w:color="auto"/>
            </w:tcBorders>
            <w:shd w:val="clear" w:color="auto" w:fill="FFFFFF" w:themeFill="background1"/>
            <w:noWrap/>
          </w:tcPr>
          <w:p w:rsidR="003B5F98" w:rsidRPr="00027784" w:rsidRDefault="003B5F98" w:rsidP="00A7043D">
            <w:pPr>
              <w:pStyle w:val="TableText0"/>
              <w:rPr>
                <w:b/>
              </w:rPr>
            </w:pPr>
            <w:r w:rsidRPr="00027784">
              <w:rPr>
                <w:b/>
              </w:rPr>
              <w:t>$</w:t>
            </w:r>
            <w:r w:rsidR="00D03411">
              <w:rPr>
                <w:b/>
                <w:noProof/>
                <w:color w:val="000000"/>
                <w:highlight w:val="black"/>
              </w:rPr>
              <w:t>''''''''''''''''''</w:t>
            </w:r>
          </w:p>
        </w:tc>
        <w:tc>
          <w:tcPr>
            <w:tcW w:w="613" w:type="pct"/>
            <w:tcBorders>
              <w:top w:val="nil"/>
              <w:left w:val="nil"/>
              <w:bottom w:val="single" w:sz="4" w:space="0" w:color="auto"/>
              <w:right w:val="single" w:sz="4" w:space="0" w:color="auto"/>
            </w:tcBorders>
            <w:shd w:val="clear" w:color="auto" w:fill="FFFFFF" w:themeFill="background1"/>
            <w:noWrap/>
          </w:tcPr>
          <w:p w:rsidR="003B5F98" w:rsidRPr="00027784" w:rsidRDefault="003B5F98" w:rsidP="00A7043D">
            <w:pPr>
              <w:pStyle w:val="TableText0"/>
              <w:rPr>
                <w:b/>
              </w:rPr>
            </w:pPr>
            <w:r w:rsidRPr="00027784">
              <w:rPr>
                <w:b/>
              </w:rPr>
              <w:t>$</w:t>
            </w:r>
            <w:r w:rsidR="00D03411">
              <w:rPr>
                <w:b/>
                <w:noProof/>
                <w:color w:val="000000"/>
                <w:highlight w:val="black"/>
              </w:rPr>
              <w:t>''''''''''''''''''</w:t>
            </w:r>
          </w:p>
        </w:tc>
        <w:tc>
          <w:tcPr>
            <w:tcW w:w="616" w:type="pct"/>
            <w:tcBorders>
              <w:top w:val="nil"/>
              <w:left w:val="nil"/>
              <w:bottom w:val="single" w:sz="4" w:space="0" w:color="auto"/>
              <w:right w:val="single" w:sz="4" w:space="0" w:color="auto"/>
            </w:tcBorders>
            <w:shd w:val="clear" w:color="auto" w:fill="FFFFFF" w:themeFill="background1"/>
            <w:noWrap/>
          </w:tcPr>
          <w:p w:rsidR="003B5F98" w:rsidRPr="00027784" w:rsidRDefault="003B5F98" w:rsidP="00A7043D">
            <w:pPr>
              <w:pStyle w:val="TableText0"/>
              <w:rPr>
                <w:b/>
              </w:rPr>
            </w:pPr>
            <w:r w:rsidRPr="00027784">
              <w:rPr>
                <w:b/>
              </w:rPr>
              <w:t>$</w:t>
            </w:r>
            <w:r w:rsidR="00D03411">
              <w:rPr>
                <w:b/>
                <w:noProof/>
                <w:color w:val="000000"/>
                <w:highlight w:val="black"/>
              </w:rPr>
              <w:t>'''''''''''''''''''</w:t>
            </w:r>
          </w:p>
        </w:tc>
        <w:tc>
          <w:tcPr>
            <w:tcW w:w="613" w:type="pct"/>
            <w:tcBorders>
              <w:top w:val="nil"/>
              <w:left w:val="nil"/>
              <w:bottom w:val="single" w:sz="4" w:space="0" w:color="auto"/>
              <w:right w:val="single" w:sz="4" w:space="0" w:color="auto"/>
            </w:tcBorders>
            <w:shd w:val="clear" w:color="auto" w:fill="FFFFFF" w:themeFill="background1"/>
            <w:noWrap/>
          </w:tcPr>
          <w:p w:rsidR="003B5F98" w:rsidRPr="00027784" w:rsidRDefault="003B5F98" w:rsidP="00A7043D">
            <w:pPr>
              <w:pStyle w:val="TableText0"/>
              <w:rPr>
                <w:b/>
              </w:rPr>
            </w:pPr>
            <w:r w:rsidRPr="00027784">
              <w:rPr>
                <w:b/>
              </w:rPr>
              <w:t>$</w:t>
            </w:r>
            <w:r w:rsidR="00D03411">
              <w:rPr>
                <w:b/>
                <w:noProof/>
                <w:color w:val="000000"/>
                <w:highlight w:val="black"/>
              </w:rPr>
              <w:t>''''''''''''''''''''</w:t>
            </w:r>
          </w:p>
        </w:tc>
        <w:tc>
          <w:tcPr>
            <w:tcW w:w="614" w:type="pct"/>
            <w:tcBorders>
              <w:top w:val="nil"/>
              <w:left w:val="nil"/>
              <w:bottom w:val="single" w:sz="4" w:space="0" w:color="auto"/>
              <w:right w:val="single" w:sz="4" w:space="0" w:color="auto"/>
            </w:tcBorders>
            <w:shd w:val="clear" w:color="auto" w:fill="FFFFFF" w:themeFill="background1"/>
            <w:noWrap/>
          </w:tcPr>
          <w:p w:rsidR="003B5F98" w:rsidRPr="00027784" w:rsidRDefault="003B5F98" w:rsidP="00A7043D">
            <w:pPr>
              <w:pStyle w:val="TableText0"/>
              <w:rPr>
                <w:b/>
              </w:rPr>
            </w:pPr>
            <w:r w:rsidRPr="00027784">
              <w:rPr>
                <w:b/>
              </w:rPr>
              <w:t>$</w:t>
            </w:r>
            <w:r w:rsidR="00D03411">
              <w:rPr>
                <w:b/>
                <w:noProof/>
                <w:color w:val="000000"/>
                <w:highlight w:val="black"/>
              </w:rPr>
              <w:t>''''''''''''''''''</w:t>
            </w:r>
          </w:p>
        </w:tc>
        <w:tc>
          <w:tcPr>
            <w:tcW w:w="645" w:type="pct"/>
            <w:tcBorders>
              <w:top w:val="nil"/>
              <w:left w:val="nil"/>
              <w:bottom w:val="single" w:sz="4" w:space="0" w:color="auto"/>
              <w:right w:val="single" w:sz="4" w:space="0" w:color="auto"/>
            </w:tcBorders>
            <w:shd w:val="clear" w:color="auto" w:fill="FFFFFF" w:themeFill="background1"/>
            <w:noWrap/>
          </w:tcPr>
          <w:p w:rsidR="003B5F98" w:rsidRPr="00027784" w:rsidRDefault="003B5F98" w:rsidP="00A7043D">
            <w:pPr>
              <w:pStyle w:val="TableText0"/>
              <w:rPr>
                <w:b/>
              </w:rPr>
            </w:pPr>
            <w:r w:rsidRPr="00027784">
              <w:rPr>
                <w:b/>
              </w:rPr>
              <w:t>$</w:t>
            </w:r>
            <w:r w:rsidR="00D03411">
              <w:rPr>
                <w:b/>
                <w:noProof/>
                <w:color w:val="000000"/>
                <w:highlight w:val="black"/>
              </w:rPr>
              <w:t>''''''''''''''''''</w:t>
            </w:r>
          </w:p>
        </w:tc>
      </w:tr>
      <w:tr w:rsidR="00C00F99" w:rsidRPr="00027784" w:rsidTr="00DB7FE0">
        <w:trPr>
          <w:trHeight w:val="300"/>
        </w:trPr>
        <w:tc>
          <w:tcPr>
            <w:tcW w:w="1285" w:type="pct"/>
            <w:tcBorders>
              <w:top w:val="nil"/>
              <w:left w:val="single" w:sz="4" w:space="0" w:color="auto"/>
              <w:bottom w:val="single" w:sz="4" w:space="0" w:color="auto"/>
              <w:right w:val="single" w:sz="4" w:space="0" w:color="auto"/>
            </w:tcBorders>
            <w:shd w:val="clear" w:color="auto" w:fill="FFFFFF" w:themeFill="background1"/>
            <w:vAlign w:val="center"/>
            <w:hideMark/>
          </w:tcPr>
          <w:p w:rsidR="00DE5B1D" w:rsidRPr="00027784" w:rsidRDefault="00DE5B1D" w:rsidP="00887599">
            <w:pPr>
              <w:pStyle w:val="KMC16-Tablecontent"/>
              <w:keepNext/>
              <w:keepLines/>
              <w:rPr>
                <w:szCs w:val="20"/>
              </w:rPr>
            </w:pPr>
            <w:r w:rsidRPr="00027784">
              <w:rPr>
                <w:szCs w:val="20"/>
              </w:rPr>
              <w:t>Hospital Cost Savings</w:t>
            </w:r>
          </w:p>
        </w:tc>
        <w:tc>
          <w:tcPr>
            <w:tcW w:w="614" w:type="pct"/>
            <w:tcBorders>
              <w:top w:val="nil"/>
              <w:left w:val="nil"/>
              <w:bottom w:val="single" w:sz="4" w:space="0" w:color="auto"/>
              <w:right w:val="single" w:sz="4" w:space="0" w:color="auto"/>
            </w:tcBorders>
            <w:shd w:val="clear" w:color="auto" w:fill="FFFFFF" w:themeFill="background1"/>
            <w:noWrap/>
            <w:vAlign w:val="bottom"/>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bottom"/>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6" w:type="pct"/>
            <w:tcBorders>
              <w:top w:val="nil"/>
              <w:left w:val="nil"/>
              <w:bottom w:val="single" w:sz="4" w:space="0" w:color="auto"/>
              <w:right w:val="single" w:sz="4" w:space="0" w:color="auto"/>
            </w:tcBorders>
            <w:shd w:val="clear" w:color="auto" w:fill="FFFFFF" w:themeFill="background1"/>
            <w:noWrap/>
            <w:vAlign w:val="bottom"/>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bottom"/>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4" w:type="pct"/>
            <w:tcBorders>
              <w:top w:val="nil"/>
              <w:left w:val="nil"/>
              <w:bottom w:val="single" w:sz="4" w:space="0" w:color="auto"/>
              <w:right w:val="single" w:sz="4" w:space="0" w:color="auto"/>
            </w:tcBorders>
            <w:shd w:val="clear" w:color="auto" w:fill="FFFFFF" w:themeFill="background1"/>
            <w:noWrap/>
            <w:vAlign w:val="bottom"/>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45" w:type="pct"/>
            <w:tcBorders>
              <w:top w:val="nil"/>
              <w:left w:val="nil"/>
              <w:bottom w:val="single" w:sz="4" w:space="0" w:color="auto"/>
              <w:right w:val="single" w:sz="4" w:space="0" w:color="auto"/>
            </w:tcBorders>
            <w:shd w:val="clear" w:color="auto" w:fill="FFFFFF" w:themeFill="background1"/>
            <w:noWrap/>
            <w:vAlign w:val="bottom"/>
            <w:hideMark/>
          </w:tcPr>
          <w:p w:rsidR="00DE5B1D" w:rsidRPr="00027784" w:rsidRDefault="00DE5B1D" w:rsidP="00A7043D">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r>
      <w:tr w:rsidR="00C00F99" w:rsidRPr="00027784" w:rsidTr="00DB7FE0">
        <w:trPr>
          <w:trHeight w:val="56"/>
        </w:trPr>
        <w:tc>
          <w:tcPr>
            <w:tcW w:w="1285" w:type="pct"/>
            <w:tcBorders>
              <w:top w:val="nil"/>
              <w:left w:val="single" w:sz="4" w:space="0" w:color="auto"/>
              <w:bottom w:val="single" w:sz="4" w:space="0" w:color="auto"/>
              <w:right w:val="single" w:sz="4" w:space="0" w:color="auto"/>
            </w:tcBorders>
            <w:shd w:val="clear" w:color="auto" w:fill="FFFFFF" w:themeFill="background1"/>
            <w:vAlign w:val="center"/>
            <w:hideMark/>
          </w:tcPr>
          <w:p w:rsidR="00DE5B1D" w:rsidRPr="00027784" w:rsidRDefault="00DE5B1D" w:rsidP="00887599">
            <w:pPr>
              <w:pStyle w:val="KMC16-Tablecontent"/>
              <w:keepNext/>
              <w:keepLines/>
              <w:rPr>
                <w:bCs/>
                <w:szCs w:val="20"/>
              </w:rPr>
            </w:pPr>
            <w:r w:rsidRPr="00027784">
              <w:rPr>
                <w:bCs/>
                <w:szCs w:val="20"/>
              </w:rPr>
              <w:t>Net Cost to Government</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Cs/>
                <w:color w:val="000000"/>
                <w:sz w:val="20"/>
                <w:szCs w:val="20"/>
              </w:rPr>
            </w:pPr>
            <w:r w:rsidRPr="00027784">
              <w:rPr>
                <w:rFonts w:ascii="Arial Narrow" w:hAnsi="Arial Narrow" w:cs="Arial"/>
                <w:bCs/>
                <w:color w:val="000000"/>
                <w:sz w:val="20"/>
                <w:szCs w:val="20"/>
              </w:rPr>
              <w:t>$</w:t>
            </w:r>
            <w:r w:rsidR="00D03411">
              <w:rPr>
                <w:rFonts w:ascii="Arial Narrow" w:hAnsi="Arial Narrow" w:cs="Arial"/>
                <w:bCs/>
                <w:noProof/>
                <w:color w:val="000000"/>
                <w:sz w:val="20"/>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Cs/>
                <w:color w:val="000000"/>
                <w:sz w:val="20"/>
                <w:szCs w:val="20"/>
              </w:rPr>
            </w:pPr>
            <w:r w:rsidRPr="00027784">
              <w:rPr>
                <w:rFonts w:ascii="Arial Narrow" w:hAnsi="Arial Narrow" w:cs="Arial"/>
                <w:bCs/>
                <w:color w:val="000000"/>
                <w:sz w:val="20"/>
                <w:szCs w:val="20"/>
              </w:rPr>
              <w:t>$</w:t>
            </w:r>
            <w:r w:rsidR="00D03411">
              <w:rPr>
                <w:rFonts w:ascii="Arial Narrow" w:hAnsi="Arial Narrow" w:cs="Arial"/>
                <w:bCs/>
                <w:noProof/>
                <w:color w:val="000000"/>
                <w:sz w:val="20"/>
                <w:szCs w:val="20"/>
                <w:highlight w:val="black"/>
              </w:rPr>
              <w:t>'''''''''''''''''''''''''</w:t>
            </w:r>
          </w:p>
        </w:tc>
        <w:tc>
          <w:tcPr>
            <w:tcW w:w="616"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Cs/>
                <w:color w:val="000000"/>
                <w:sz w:val="20"/>
                <w:szCs w:val="20"/>
              </w:rPr>
            </w:pPr>
            <w:r w:rsidRPr="00027784">
              <w:rPr>
                <w:rFonts w:ascii="Arial Narrow" w:hAnsi="Arial Narrow" w:cs="Arial"/>
                <w:bCs/>
                <w:color w:val="000000"/>
                <w:sz w:val="20"/>
                <w:szCs w:val="20"/>
              </w:rPr>
              <w:t>$</w:t>
            </w:r>
            <w:r w:rsidR="00D03411">
              <w:rPr>
                <w:rFonts w:ascii="Arial Narrow" w:hAnsi="Arial Narrow" w:cs="Arial"/>
                <w:bCs/>
                <w:noProof/>
                <w:color w:val="000000"/>
                <w:sz w:val="20"/>
                <w:szCs w:val="20"/>
                <w:highlight w:val="black"/>
              </w:rPr>
              <w:t>'''''''''''''''''''''''</w:t>
            </w:r>
          </w:p>
        </w:tc>
        <w:tc>
          <w:tcPr>
            <w:tcW w:w="613"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Cs/>
                <w:color w:val="000000"/>
                <w:sz w:val="20"/>
                <w:szCs w:val="20"/>
              </w:rPr>
            </w:pPr>
            <w:r w:rsidRPr="00027784">
              <w:rPr>
                <w:rFonts w:ascii="Arial Narrow" w:hAnsi="Arial Narrow" w:cs="Arial"/>
                <w:bCs/>
                <w:color w:val="000000"/>
                <w:sz w:val="20"/>
                <w:szCs w:val="20"/>
              </w:rPr>
              <w:t>$</w:t>
            </w:r>
            <w:r w:rsidR="00D03411">
              <w:rPr>
                <w:rFonts w:ascii="Arial Narrow" w:hAnsi="Arial Narrow" w:cs="Arial"/>
                <w:bCs/>
                <w:noProof/>
                <w:color w:val="000000"/>
                <w:sz w:val="20"/>
                <w:szCs w:val="20"/>
                <w:highlight w:val="black"/>
              </w:rPr>
              <w:t>'''''''''''''''''''''''</w:t>
            </w:r>
          </w:p>
        </w:tc>
        <w:tc>
          <w:tcPr>
            <w:tcW w:w="614"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Cs/>
                <w:color w:val="000000"/>
                <w:sz w:val="20"/>
                <w:szCs w:val="20"/>
              </w:rPr>
            </w:pPr>
            <w:r w:rsidRPr="00027784">
              <w:rPr>
                <w:rFonts w:ascii="Arial Narrow" w:hAnsi="Arial Narrow" w:cs="Arial"/>
                <w:bCs/>
                <w:color w:val="000000"/>
                <w:sz w:val="20"/>
                <w:szCs w:val="20"/>
              </w:rPr>
              <w:t>$</w:t>
            </w:r>
            <w:r w:rsidR="00D03411">
              <w:rPr>
                <w:rFonts w:ascii="Arial Narrow" w:hAnsi="Arial Narrow" w:cs="Arial"/>
                <w:bCs/>
                <w:noProof/>
                <w:color w:val="000000"/>
                <w:sz w:val="20"/>
                <w:szCs w:val="20"/>
                <w:highlight w:val="black"/>
              </w:rPr>
              <w:t>'''''''''''''''''''''''''</w:t>
            </w:r>
          </w:p>
        </w:tc>
        <w:tc>
          <w:tcPr>
            <w:tcW w:w="645" w:type="pct"/>
            <w:tcBorders>
              <w:top w:val="nil"/>
              <w:left w:val="nil"/>
              <w:bottom w:val="single" w:sz="4" w:space="0" w:color="auto"/>
              <w:right w:val="single" w:sz="4" w:space="0" w:color="auto"/>
            </w:tcBorders>
            <w:shd w:val="clear" w:color="auto" w:fill="FFFFFF" w:themeFill="background1"/>
            <w:noWrap/>
            <w:vAlign w:val="center"/>
            <w:hideMark/>
          </w:tcPr>
          <w:p w:rsidR="00DE5B1D" w:rsidRPr="00027784" w:rsidRDefault="00DE5B1D" w:rsidP="00A7043D">
            <w:pPr>
              <w:keepNext/>
              <w:keepLines/>
              <w:rPr>
                <w:rFonts w:ascii="Arial Narrow" w:hAnsi="Arial Narrow" w:cs="Arial"/>
                <w:bCs/>
                <w:color w:val="000000"/>
                <w:sz w:val="20"/>
                <w:szCs w:val="20"/>
              </w:rPr>
            </w:pPr>
            <w:r w:rsidRPr="00027784">
              <w:rPr>
                <w:rFonts w:ascii="Arial Narrow" w:hAnsi="Arial Narrow" w:cs="Arial"/>
                <w:bCs/>
                <w:color w:val="000000"/>
                <w:sz w:val="20"/>
                <w:szCs w:val="20"/>
              </w:rPr>
              <w:t>$</w:t>
            </w:r>
            <w:r w:rsidR="00D03411">
              <w:rPr>
                <w:rFonts w:ascii="Arial Narrow" w:hAnsi="Arial Narrow" w:cs="Arial"/>
                <w:bCs/>
                <w:noProof/>
                <w:color w:val="000000"/>
                <w:sz w:val="20"/>
                <w:szCs w:val="20"/>
                <w:highlight w:val="black"/>
              </w:rPr>
              <w:t>''''''''''''''''''''''</w:t>
            </w:r>
          </w:p>
        </w:tc>
      </w:tr>
      <w:tr w:rsidR="00C00F99" w:rsidRPr="00027784" w:rsidTr="00E024C8">
        <w:trPr>
          <w:trHeight w:val="5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C00F99" w:rsidRPr="00027784" w:rsidRDefault="00C00F99" w:rsidP="00887599">
            <w:pPr>
              <w:pStyle w:val="TableText0"/>
              <w:keepLines/>
              <w:rPr>
                <w:b/>
              </w:rPr>
            </w:pPr>
            <w:r w:rsidRPr="00027784">
              <w:rPr>
                <w:b/>
              </w:rPr>
              <w:t xml:space="preserve">Previous submission </w:t>
            </w:r>
          </w:p>
        </w:tc>
      </w:tr>
      <w:tr w:rsidR="00C00F99" w:rsidRPr="00027784" w:rsidTr="00E024C8">
        <w:trPr>
          <w:trHeight w:val="56"/>
        </w:trPr>
        <w:tc>
          <w:tcPr>
            <w:tcW w:w="1285" w:type="pct"/>
            <w:tcBorders>
              <w:top w:val="single" w:sz="4" w:space="0" w:color="auto"/>
              <w:left w:val="single" w:sz="4" w:space="0" w:color="auto"/>
              <w:bottom w:val="single" w:sz="4" w:space="0" w:color="auto"/>
              <w:right w:val="single" w:sz="4" w:space="0" w:color="auto"/>
            </w:tcBorders>
            <w:shd w:val="clear" w:color="auto" w:fill="auto"/>
          </w:tcPr>
          <w:p w:rsidR="00C00F99" w:rsidRPr="00027784" w:rsidRDefault="00C00F99" w:rsidP="00887599">
            <w:pPr>
              <w:keepNext/>
              <w:keepLines/>
              <w:rPr>
                <w:rFonts w:ascii="Arial Narrow" w:hAnsi="Arial Narrow" w:cs="Arial"/>
                <w:sz w:val="20"/>
                <w:szCs w:val="20"/>
              </w:rPr>
            </w:pPr>
            <w:r w:rsidRPr="00027784">
              <w:rPr>
                <w:rFonts w:ascii="Arial Narrow" w:hAnsi="Arial Narrow" w:cs="Arial"/>
                <w:sz w:val="20"/>
                <w:szCs w:val="20"/>
              </w:rPr>
              <w:t>Number of patients treated</w:t>
            </w:r>
          </w:p>
        </w:tc>
        <w:tc>
          <w:tcPr>
            <w:tcW w:w="614" w:type="pct"/>
            <w:tcBorders>
              <w:top w:val="single" w:sz="4" w:space="0" w:color="auto"/>
              <w:left w:val="nil"/>
              <w:bottom w:val="single" w:sz="4" w:space="0" w:color="auto"/>
              <w:right w:val="single" w:sz="4" w:space="0" w:color="auto"/>
            </w:tcBorders>
            <w:shd w:val="clear" w:color="auto" w:fill="auto"/>
            <w:noWrap/>
          </w:tcPr>
          <w:p w:rsidR="00C00F99" w:rsidRPr="00D03411" w:rsidRDefault="00D03411" w:rsidP="00887599">
            <w:pPr>
              <w:keepNext/>
              <w:keepLines/>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13" w:type="pct"/>
            <w:tcBorders>
              <w:top w:val="single" w:sz="4" w:space="0" w:color="auto"/>
              <w:left w:val="nil"/>
              <w:bottom w:val="single" w:sz="4" w:space="0" w:color="auto"/>
              <w:right w:val="single" w:sz="4" w:space="0" w:color="auto"/>
            </w:tcBorders>
            <w:shd w:val="clear" w:color="auto" w:fill="auto"/>
            <w:noWrap/>
          </w:tcPr>
          <w:p w:rsidR="00C00F99" w:rsidRPr="00D03411" w:rsidRDefault="00D03411" w:rsidP="00887599">
            <w:pPr>
              <w:keepNext/>
              <w:keepLines/>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16" w:type="pct"/>
            <w:tcBorders>
              <w:top w:val="single" w:sz="4" w:space="0" w:color="auto"/>
              <w:left w:val="nil"/>
              <w:bottom w:val="single" w:sz="4" w:space="0" w:color="auto"/>
              <w:right w:val="single" w:sz="4" w:space="0" w:color="auto"/>
            </w:tcBorders>
            <w:shd w:val="clear" w:color="auto" w:fill="auto"/>
            <w:noWrap/>
          </w:tcPr>
          <w:p w:rsidR="00C00F99" w:rsidRPr="00D03411" w:rsidRDefault="00D03411" w:rsidP="00887599">
            <w:pPr>
              <w:keepNext/>
              <w:keepLines/>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613" w:type="pct"/>
            <w:tcBorders>
              <w:top w:val="single" w:sz="4" w:space="0" w:color="auto"/>
              <w:left w:val="nil"/>
              <w:bottom w:val="single" w:sz="4" w:space="0" w:color="auto"/>
              <w:right w:val="single" w:sz="4" w:space="0" w:color="auto"/>
            </w:tcBorders>
            <w:shd w:val="clear" w:color="auto" w:fill="auto"/>
            <w:noWrap/>
          </w:tcPr>
          <w:p w:rsidR="00C00F99" w:rsidRPr="00D03411" w:rsidRDefault="00D03411" w:rsidP="00887599">
            <w:pPr>
              <w:keepNext/>
              <w:keepLines/>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614" w:type="pct"/>
            <w:tcBorders>
              <w:top w:val="single" w:sz="4" w:space="0" w:color="auto"/>
              <w:left w:val="nil"/>
              <w:bottom w:val="single" w:sz="4" w:space="0" w:color="auto"/>
              <w:right w:val="single" w:sz="4" w:space="0" w:color="auto"/>
            </w:tcBorders>
            <w:shd w:val="clear" w:color="auto" w:fill="auto"/>
            <w:noWrap/>
          </w:tcPr>
          <w:p w:rsidR="00C00F99" w:rsidRPr="00D03411" w:rsidRDefault="00D03411" w:rsidP="00887599">
            <w:pPr>
              <w:keepNext/>
              <w:keepLines/>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645" w:type="pct"/>
            <w:tcBorders>
              <w:top w:val="single" w:sz="4" w:space="0" w:color="auto"/>
              <w:left w:val="nil"/>
              <w:bottom w:val="single" w:sz="4" w:space="0" w:color="auto"/>
              <w:right w:val="single" w:sz="4" w:space="0" w:color="auto"/>
            </w:tcBorders>
            <w:shd w:val="clear" w:color="auto" w:fill="auto"/>
            <w:noWrap/>
          </w:tcPr>
          <w:p w:rsidR="00C00F99" w:rsidRPr="00D03411" w:rsidRDefault="00D03411" w:rsidP="00887599">
            <w:pPr>
              <w:keepNext/>
              <w:keepLines/>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r>
      <w:tr w:rsidR="00C00F99" w:rsidRPr="00027784" w:rsidTr="00E024C8">
        <w:trPr>
          <w:trHeight w:val="56"/>
        </w:trPr>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Net cost to PBS/RPBS</w:t>
            </w:r>
          </w:p>
        </w:tc>
        <w:tc>
          <w:tcPr>
            <w:tcW w:w="614"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6"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4"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45"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r>
      <w:tr w:rsidR="00C00F99" w:rsidRPr="00027784" w:rsidTr="00E024C8">
        <w:trPr>
          <w:trHeight w:val="56"/>
        </w:trPr>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Net cost to PBS/RPBS/MBS</w:t>
            </w:r>
          </w:p>
        </w:tc>
        <w:tc>
          <w:tcPr>
            <w:tcW w:w="614"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6"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4"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45" w:type="pct"/>
            <w:tcBorders>
              <w:top w:val="single" w:sz="4" w:space="0" w:color="auto"/>
              <w:left w:val="nil"/>
              <w:bottom w:val="single" w:sz="4" w:space="0" w:color="auto"/>
              <w:right w:val="single" w:sz="4" w:space="0" w:color="auto"/>
            </w:tcBorders>
            <w:shd w:val="clear" w:color="auto" w:fill="auto"/>
            <w:noWrap/>
            <w:vAlign w:val="bottom"/>
          </w:tcPr>
          <w:p w:rsidR="00C00F99" w:rsidRPr="00027784" w:rsidRDefault="00C00F99" w:rsidP="00887599">
            <w:pPr>
              <w:keepNext/>
              <w:keepLines/>
              <w:spacing w:before="40" w:after="40"/>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r>
      <w:tr w:rsidR="00C00F99" w:rsidRPr="00027784" w:rsidTr="00E024C8">
        <w:trPr>
          <w:trHeight w:val="56"/>
        </w:trPr>
        <w:tc>
          <w:tcPr>
            <w:tcW w:w="1285" w:type="pct"/>
            <w:tcBorders>
              <w:top w:val="single" w:sz="4" w:space="0" w:color="auto"/>
              <w:left w:val="single" w:sz="4" w:space="0" w:color="auto"/>
              <w:bottom w:val="single" w:sz="4" w:space="0" w:color="auto"/>
              <w:right w:val="single" w:sz="4" w:space="0" w:color="auto"/>
            </w:tcBorders>
            <w:shd w:val="clear" w:color="auto" w:fill="auto"/>
          </w:tcPr>
          <w:p w:rsidR="00C00F99" w:rsidRPr="00027784" w:rsidRDefault="00C00F99" w:rsidP="00887599">
            <w:pPr>
              <w:keepNext/>
              <w:keepLines/>
              <w:rPr>
                <w:rFonts w:ascii="Arial Narrow" w:hAnsi="Arial Narrow" w:cs="Arial"/>
                <w:sz w:val="20"/>
                <w:szCs w:val="20"/>
              </w:rPr>
            </w:pPr>
            <w:r w:rsidRPr="00027784">
              <w:rPr>
                <w:rFonts w:ascii="Arial Narrow" w:hAnsi="Arial Narrow" w:cs="Arial"/>
                <w:sz w:val="20"/>
                <w:szCs w:val="20"/>
              </w:rPr>
              <w:t>Net cost to government</w:t>
            </w:r>
          </w:p>
        </w:tc>
        <w:tc>
          <w:tcPr>
            <w:tcW w:w="614" w:type="pct"/>
            <w:tcBorders>
              <w:top w:val="single" w:sz="4" w:space="0" w:color="auto"/>
              <w:left w:val="nil"/>
              <w:bottom w:val="single" w:sz="4" w:space="0" w:color="auto"/>
              <w:right w:val="single" w:sz="4" w:space="0" w:color="auto"/>
            </w:tcBorders>
            <w:shd w:val="clear" w:color="auto" w:fill="auto"/>
            <w:noWrap/>
          </w:tcPr>
          <w:p w:rsidR="00C00F99" w:rsidRPr="00027784" w:rsidRDefault="00C00F99" w:rsidP="00887599">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single" w:sz="4" w:space="0" w:color="auto"/>
              <w:left w:val="nil"/>
              <w:bottom w:val="single" w:sz="4" w:space="0" w:color="auto"/>
              <w:right w:val="single" w:sz="4" w:space="0" w:color="auto"/>
            </w:tcBorders>
            <w:shd w:val="clear" w:color="auto" w:fill="auto"/>
            <w:noWrap/>
          </w:tcPr>
          <w:p w:rsidR="00C00F99" w:rsidRPr="00027784" w:rsidRDefault="00C00F99" w:rsidP="00887599">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6" w:type="pct"/>
            <w:tcBorders>
              <w:top w:val="single" w:sz="4" w:space="0" w:color="auto"/>
              <w:left w:val="nil"/>
              <w:bottom w:val="single" w:sz="4" w:space="0" w:color="auto"/>
              <w:right w:val="single" w:sz="4" w:space="0" w:color="auto"/>
            </w:tcBorders>
            <w:shd w:val="clear" w:color="auto" w:fill="auto"/>
            <w:noWrap/>
          </w:tcPr>
          <w:p w:rsidR="00C00F99" w:rsidRPr="00027784" w:rsidRDefault="00C00F99" w:rsidP="00887599">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3" w:type="pct"/>
            <w:tcBorders>
              <w:top w:val="single" w:sz="4" w:space="0" w:color="auto"/>
              <w:left w:val="nil"/>
              <w:bottom w:val="single" w:sz="4" w:space="0" w:color="auto"/>
              <w:right w:val="single" w:sz="4" w:space="0" w:color="auto"/>
            </w:tcBorders>
            <w:shd w:val="clear" w:color="auto" w:fill="auto"/>
            <w:noWrap/>
          </w:tcPr>
          <w:p w:rsidR="00C00F99" w:rsidRPr="00027784" w:rsidRDefault="00C00F99" w:rsidP="00887599">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14" w:type="pct"/>
            <w:tcBorders>
              <w:top w:val="single" w:sz="4" w:space="0" w:color="auto"/>
              <w:left w:val="nil"/>
              <w:bottom w:val="single" w:sz="4" w:space="0" w:color="auto"/>
              <w:right w:val="single" w:sz="4" w:space="0" w:color="auto"/>
            </w:tcBorders>
            <w:shd w:val="clear" w:color="auto" w:fill="auto"/>
            <w:noWrap/>
          </w:tcPr>
          <w:p w:rsidR="00C00F99" w:rsidRPr="00027784" w:rsidRDefault="00C00F99" w:rsidP="00887599">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c>
          <w:tcPr>
            <w:tcW w:w="645" w:type="pct"/>
            <w:tcBorders>
              <w:top w:val="single" w:sz="4" w:space="0" w:color="auto"/>
              <w:left w:val="nil"/>
              <w:bottom w:val="single" w:sz="4" w:space="0" w:color="auto"/>
              <w:right w:val="single" w:sz="4" w:space="0" w:color="auto"/>
            </w:tcBorders>
            <w:shd w:val="clear" w:color="auto" w:fill="auto"/>
            <w:noWrap/>
          </w:tcPr>
          <w:p w:rsidR="00C00F99" w:rsidRPr="00027784" w:rsidRDefault="00C00F99" w:rsidP="00887599">
            <w:pPr>
              <w:keepNext/>
              <w:keepLines/>
              <w:rPr>
                <w:rFonts w:ascii="Arial Narrow" w:hAnsi="Arial Narrow" w:cs="Arial"/>
                <w:sz w:val="20"/>
                <w:szCs w:val="20"/>
              </w:rPr>
            </w:pPr>
            <w:r w:rsidRPr="00027784">
              <w:rPr>
                <w:rFonts w:ascii="Arial Narrow" w:hAnsi="Arial Narrow" w:cs="Arial"/>
                <w:sz w:val="20"/>
                <w:szCs w:val="20"/>
              </w:rPr>
              <w:t>$</w:t>
            </w:r>
            <w:r w:rsidR="00D03411">
              <w:rPr>
                <w:rFonts w:ascii="Arial Narrow" w:hAnsi="Arial Narrow" w:cs="Arial"/>
                <w:noProof/>
                <w:color w:val="000000"/>
                <w:sz w:val="20"/>
                <w:szCs w:val="20"/>
                <w:highlight w:val="black"/>
              </w:rPr>
              <w:t>'''''''''''''''''''''''</w:t>
            </w:r>
          </w:p>
        </w:tc>
      </w:tr>
    </w:tbl>
    <w:p w:rsidR="00DE5B1D" w:rsidRPr="006B19E5" w:rsidRDefault="00DE5B1D" w:rsidP="00E024C8">
      <w:pPr>
        <w:keepNext/>
        <w:keepLines/>
        <w:spacing w:after="120"/>
        <w:rPr>
          <w:rFonts w:ascii="Arial Narrow" w:hAnsi="Arial Narrow"/>
          <w:sz w:val="18"/>
          <w:szCs w:val="18"/>
        </w:rPr>
      </w:pPr>
      <w:r w:rsidRPr="006B19E5">
        <w:rPr>
          <w:rFonts w:ascii="Arial Narrow" w:hAnsi="Arial Narrow"/>
          <w:sz w:val="18"/>
          <w:szCs w:val="18"/>
        </w:rPr>
        <w:t xml:space="preserve">Source: </w:t>
      </w:r>
      <w:r w:rsidR="004431C9" w:rsidRPr="006B19E5">
        <w:rPr>
          <w:rFonts w:ascii="Arial Narrow" w:hAnsi="Arial Narrow"/>
          <w:sz w:val="18"/>
          <w:szCs w:val="18"/>
        </w:rPr>
        <w:t>Table 3, p6 of the m</w:t>
      </w:r>
      <w:r w:rsidRPr="006B19E5">
        <w:rPr>
          <w:rFonts w:ascii="Arial Narrow" w:hAnsi="Arial Narrow"/>
          <w:sz w:val="18"/>
          <w:szCs w:val="18"/>
        </w:rPr>
        <w:t xml:space="preserve">inor </w:t>
      </w:r>
      <w:r w:rsidR="004431C9" w:rsidRPr="006B19E5">
        <w:rPr>
          <w:rFonts w:ascii="Arial Narrow" w:hAnsi="Arial Narrow"/>
          <w:sz w:val="18"/>
          <w:szCs w:val="18"/>
        </w:rPr>
        <w:t>re-</w:t>
      </w:r>
      <w:r w:rsidRPr="006B19E5">
        <w:rPr>
          <w:rFonts w:ascii="Arial Narrow" w:hAnsi="Arial Narrow"/>
          <w:sz w:val="18"/>
          <w:szCs w:val="18"/>
        </w:rPr>
        <w:t>submission</w:t>
      </w:r>
      <w:r w:rsidR="00C00F99" w:rsidRPr="006B19E5">
        <w:rPr>
          <w:rFonts w:ascii="Arial Narrow" w:hAnsi="Arial Narrow"/>
          <w:sz w:val="18"/>
          <w:szCs w:val="18"/>
        </w:rPr>
        <w:t>; Table 12 of the PBAC Minutes, November 2017</w:t>
      </w:r>
      <w:r w:rsidRPr="006B19E5">
        <w:rPr>
          <w:rFonts w:ascii="Arial Narrow" w:hAnsi="Arial Narrow"/>
          <w:sz w:val="18"/>
          <w:szCs w:val="18"/>
        </w:rPr>
        <w:t xml:space="preserve"> </w:t>
      </w:r>
    </w:p>
    <w:p w:rsidR="00DE5B1D" w:rsidRPr="00027784" w:rsidRDefault="00E024C8" w:rsidP="00E024C8">
      <w:pPr>
        <w:spacing w:after="120"/>
        <w:rPr>
          <w:rFonts w:eastAsiaTheme="minorHAnsi"/>
        </w:rPr>
      </w:pPr>
      <w:r>
        <w:rPr>
          <w:rFonts w:eastAsiaTheme="minorHAnsi"/>
        </w:rPr>
        <w:t>The redacted table shows that at Year 6, the estimated number of patients was less than 1</w:t>
      </w:r>
      <w:r w:rsidR="000D6E81">
        <w:rPr>
          <w:rFonts w:eastAsiaTheme="minorHAnsi"/>
        </w:rPr>
        <w:t>0,</w:t>
      </w:r>
      <w:r>
        <w:rPr>
          <w:rFonts w:eastAsiaTheme="minorHAnsi"/>
        </w:rPr>
        <w:t xml:space="preserve">000 per year, and the net cost to the PBS would be less than $10 million per year. </w:t>
      </w:r>
    </w:p>
    <w:p w:rsidR="003B5F98" w:rsidRPr="00027784" w:rsidRDefault="003B5F98"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027784">
        <w:rPr>
          <w:rFonts w:asciiTheme="minorHAnsi" w:eastAsiaTheme="minorHAnsi" w:hAnsiTheme="minorHAnsi" w:cstheme="minorBidi"/>
          <w:snapToGrid/>
          <w:sz w:val="24"/>
          <w:szCs w:val="22"/>
        </w:rPr>
        <w:t xml:space="preserve">The re-submission estimated that the net cost to the PBS/RPBS would be </w:t>
      </w:r>
      <w:r w:rsidR="00E024C8">
        <w:rPr>
          <w:rFonts w:asciiTheme="minorHAnsi" w:eastAsiaTheme="minorHAnsi" w:hAnsiTheme="minorHAnsi" w:cstheme="minorBidi"/>
          <w:snapToGrid/>
          <w:sz w:val="24"/>
          <w:szCs w:val="22"/>
        </w:rPr>
        <w:t xml:space="preserve">$30 - $60 </w:t>
      </w:r>
      <w:r w:rsidRPr="00027784">
        <w:rPr>
          <w:rFonts w:asciiTheme="minorHAnsi" w:eastAsiaTheme="minorHAnsi" w:hAnsiTheme="minorHAnsi" w:cstheme="minorBidi"/>
          <w:snapToGrid/>
          <w:sz w:val="24"/>
          <w:szCs w:val="22"/>
        </w:rPr>
        <w:t xml:space="preserve">million over six years, compared with </w:t>
      </w:r>
      <w:r w:rsidR="00E024C8">
        <w:rPr>
          <w:rFonts w:asciiTheme="minorHAnsi" w:eastAsiaTheme="minorHAnsi" w:hAnsiTheme="minorHAnsi" w:cstheme="minorBidi"/>
          <w:snapToGrid/>
          <w:sz w:val="24"/>
          <w:szCs w:val="22"/>
        </w:rPr>
        <w:t xml:space="preserve">$30 - $60 </w:t>
      </w:r>
      <w:r w:rsidRPr="00027784">
        <w:rPr>
          <w:rFonts w:asciiTheme="minorHAnsi" w:eastAsiaTheme="minorHAnsi" w:hAnsiTheme="minorHAnsi" w:cstheme="minorBidi"/>
          <w:snapToGrid/>
          <w:sz w:val="24"/>
          <w:szCs w:val="22"/>
        </w:rPr>
        <w:t xml:space="preserve">million in the previous submission. </w:t>
      </w:r>
    </w:p>
    <w:p w:rsidR="003F58DA" w:rsidRPr="00027784" w:rsidRDefault="003B5F98" w:rsidP="00B41B05">
      <w:pPr>
        <w:pStyle w:val="ListParagraph"/>
        <w:widowControl/>
        <w:numPr>
          <w:ilvl w:val="1"/>
          <w:numId w:val="5"/>
        </w:numPr>
        <w:spacing w:after="120"/>
        <w:ind w:left="709" w:hanging="709"/>
        <w:contextualSpacing w:val="0"/>
        <w:rPr>
          <w:rFonts w:asciiTheme="minorHAnsi" w:hAnsiTheme="minorHAnsi"/>
          <w:szCs w:val="22"/>
        </w:rPr>
      </w:pPr>
      <w:r w:rsidRPr="00027784">
        <w:rPr>
          <w:rFonts w:asciiTheme="minorHAnsi" w:eastAsiaTheme="minorHAnsi" w:hAnsiTheme="minorHAnsi" w:cstheme="minorBidi"/>
          <w:snapToGrid/>
          <w:sz w:val="24"/>
          <w:szCs w:val="22"/>
        </w:rPr>
        <w:t xml:space="preserve">As a minor submission, the changes to the financial estimates were not evaluated. However, the </w:t>
      </w:r>
      <w:r w:rsidR="00B01F23">
        <w:rPr>
          <w:rFonts w:asciiTheme="minorHAnsi" w:eastAsiaTheme="minorHAnsi" w:hAnsiTheme="minorHAnsi" w:cstheme="minorBidi"/>
          <w:snapToGrid/>
          <w:sz w:val="24"/>
          <w:szCs w:val="22"/>
        </w:rPr>
        <w:t xml:space="preserve">PBAC </w:t>
      </w:r>
      <w:r w:rsidRPr="00027784">
        <w:rPr>
          <w:rFonts w:asciiTheme="minorHAnsi" w:eastAsiaTheme="minorHAnsi" w:hAnsiTheme="minorHAnsi" w:cstheme="minorBidi"/>
          <w:snapToGrid/>
          <w:sz w:val="24"/>
          <w:szCs w:val="22"/>
        </w:rPr>
        <w:t>noted that for m</w:t>
      </w:r>
      <w:r w:rsidR="00887599" w:rsidRPr="00027784">
        <w:rPr>
          <w:rFonts w:asciiTheme="minorHAnsi" w:eastAsiaTheme="minorHAnsi" w:hAnsiTheme="minorHAnsi" w:cstheme="minorBidi"/>
          <w:sz w:val="24"/>
          <w:szCs w:val="22"/>
        </w:rPr>
        <w:t>any of the changes</w:t>
      </w:r>
      <w:r w:rsidRPr="00027784">
        <w:rPr>
          <w:rFonts w:asciiTheme="minorHAnsi" w:eastAsiaTheme="minorHAnsi" w:hAnsiTheme="minorHAnsi" w:cstheme="minorBidi"/>
          <w:sz w:val="24"/>
          <w:szCs w:val="22"/>
        </w:rPr>
        <w:t>, the magnitude of adjustment was not justified.</w:t>
      </w:r>
      <w:r w:rsidR="00887599" w:rsidRPr="00027784">
        <w:rPr>
          <w:rFonts w:asciiTheme="minorHAnsi" w:eastAsiaTheme="minorHAnsi" w:hAnsiTheme="minorHAnsi" w:cstheme="minorBidi"/>
          <w:sz w:val="24"/>
          <w:szCs w:val="22"/>
        </w:rPr>
        <w:t xml:space="preserve"> </w:t>
      </w:r>
      <w:r w:rsidRPr="00027784">
        <w:rPr>
          <w:rFonts w:asciiTheme="minorHAnsi" w:eastAsiaTheme="minorHAnsi" w:hAnsiTheme="minorHAnsi" w:cstheme="minorBidi"/>
          <w:sz w:val="24"/>
          <w:szCs w:val="22"/>
        </w:rPr>
        <w:t xml:space="preserve">For example, the prevalent population was reduced by </w:t>
      </w:r>
      <w:r w:rsidR="00D03411">
        <w:rPr>
          <w:rFonts w:asciiTheme="minorHAnsi" w:eastAsiaTheme="minorHAnsi" w:hAnsiTheme="minorHAnsi" w:cstheme="minorBidi"/>
          <w:noProof/>
          <w:color w:val="000000"/>
          <w:sz w:val="24"/>
          <w:szCs w:val="22"/>
          <w:highlight w:val="black"/>
        </w:rPr>
        <w:t>'''''</w:t>
      </w:r>
      <w:r w:rsidRPr="00027784">
        <w:rPr>
          <w:rFonts w:asciiTheme="minorHAnsi" w:eastAsiaTheme="minorHAnsi" w:hAnsiTheme="minorHAnsi" w:cstheme="minorBidi"/>
          <w:sz w:val="24"/>
          <w:szCs w:val="22"/>
        </w:rPr>
        <w:t xml:space="preserve">% and </w:t>
      </w:r>
      <w:r w:rsidR="00CF113E" w:rsidRPr="00027784">
        <w:rPr>
          <w:rFonts w:asciiTheme="minorHAnsi" w:eastAsiaTheme="minorHAnsi" w:hAnsiTheme="minorHAnsi" w:cstheme="minorBidi"/>
          <w:sz w:val="24"/>
          <w:szCs w:val="22"/>
        </w:rPr>
        <w:t xml:space="preserve">the </w:t>
      </w:r>
      <w:r w:rsidRPr="00027784">
        <w:rPr>
          <w:rFonts w:asciiTheme="minorHAnsi" w:eastAsiaTheme="minorHAnsi" w:hAnsiTheme="minorHAnsi" w:cstheme="minorBidi"/>
          <w:sz w:val="24"/>
          <w:szCs w:val="22"/>
        </w:rPr>
        <w:t>average dose w</w:t>
      </w:r>
      <w:r w:rsidR="00CF113E" w:rsidRPr="00027784">
        <w:rPr>
          <w:rFonts w:asciiTheme="minorHAnsi" w:eastAsiaTheme="minorHAnsi" w:hAnsiTheme="minorHAnsi" w:cstheme="minorBidi"/>
          <w:sz w:val="24"/>
          <w:szCs w:val="22"/>
        </w:rPr>
        <w:t>as</w:t>
      </w:r>
      <w:r w:rsidRPr="00027784">
        <w:rPr>
          <w:rFonts w:asciiTheme="minorHAnsi" w:eastAsiaTheme="minorHAnsi" w:hAnsiTheme="minorHAnsi" w:cstheme="minorBidi"/>
          <w:sz w:val="24"/>
          <w:szCs w:val="22"/>
        </w:rPr>
        <w:t xml:space="preserve"> increased by </w:t>
      </w:r>
      <w:r w:rsidR="00D03411">
        <w:rPr>
          <w:rFonts w:asciiTheme="minorHAnsi" w:eastAsiaTheme="minorHAnsi" w:hAnsiTheme="minorHAnsi" w:cstheme="minorBidi"/>
          <w:noProof/>
          <w:color w:val="000000"/>
          <w:sz w:val="24"/>
          <w:szCs w:val="22"/>
          <w:highlight w:val="black"/>
        </w:rPr>
        <w:t>''''''</w:t>
      </w:r>
      <w:r w:rsidRPr="00027784">
        <w:rPr>
          <w:rFonts w:asciiTheme="minorHAnsi" w:eastAsiaTheme="minorHAnsi" w:hAnsiTheme="minorHAnsi" w:cstheme="minorBidi"/>
          <w:sz w:val="24"/>
          <w:szCs w:val="22"/>
        </w:rPr>
        <w:t xml:space="preserve">%, but the re-submission did not provide a basis for the values used. </w:t>
      </w:r>
    </w:p>
    <w:p w:rsidR="003F58DA" w:rsidRPr="00A75476" w:rsidRDefault="009A6EB6" w:rsidP="00A75476">
      <w:pPr>
        <w:pStyle w:val="ListParagraph"/>
        <w:rPr>
          <w:rFonts w:asciiTheme="minorHAnsi" w:eastAsiaTheme="minorHAnsi" w:hAnsiTheme="minorHAnsi" w:cstheme="minorBidi"/>
          <w:i/>
          <w:sz w:val="24"/>
          <w:szCs w:val="22"/>
        </w:rPr>
      </w:pPr>
      <w:r w:rsidRPr="00B01F23">
        <w:rPr>
          <w:rFonts w:asciiTheme="minorHAnsi" w:eastAsiaTheme="minorHAnsi" w:hAnsiTheme="minorHAnsi" w:cstheme="minorBidi"/>
          <w:i/>
          <w:sz w:val="24"/>
          <w:szCs w:val="22"/>
        </w:rPr>
        <w:t>For more detail on PBAC’s view, see section 6 PBAC outcome</w:t>
      </w:r>
    </w:p>
    <w:p w:rsidR="009A6EB6" w:rsidRPr="00027784" w:rsidRDefault="009A6EB6" w:rsidP="009A6EB6">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27784">
        <w:rPr>
          <w:rFonts w:asciiTheme="minorHAnsi" w:hAnsiTheme="minorHAnsi"/>
          <w:sz w:val="32"/>
          <w:szCs w:val="32"/>
        </w:rPr>
        <w:t>PBAC Outcome</w:t>
      </w:r>
    </w:p>
    <w:p w:rsidR="00B01F23" w:rsidRPr="00CD06BC" w:rsidRDefault="00B01F23" w:rsidP="00B41B05">
      <w:pPr>
        <w:pStyle w:val="ListParagraph"/>
        <w:widowControl/>
        <w:numPr>
          <w:ilvl w:val="1"/>
          <w:numId w:val="5"/>
        </w:numPr>
        <w:spacing w:after="120"/>
        <w:ind w:left="709" w:hanging="709"/>
        <w:contextualSpacing w:val="0"/>
        <w:rPr>
          <w:rFonts w:asciiTheme="minorHAnsi" w:hAnsiTheme="minorHAnsi"/>
          <w:sz w:val="24"/>
          <w:szCs w:val="24"/>
          <w:lang w:val="en-GB"/>
        </w:rPr>
      </w:pPr>
      <w:r w:rsidRPr="00CD06BC">
        <w:rPr>
          <w:rFonts w:asciiTheme="minorHAnsi" w:hAnsiTheme="minorHAnsi"/>
          <w:sz w:val="24"/>
          <w:szCs w:val="24"/>
          <w:lang w:val="en-GB"/>
        </w:rPr>
        <w:t xml:space="preserve">The PBAC did not recommend the listing of a sugar-coated granule formulation of sodium phenylbutyrate (referred to as coated NaPb) on the basis </w:t>
      </w:r>
      <w:r w:rsidR="00B35E6A" w:rsidRPr="00CD06BC">
        <w:rPr>
          <w:rFonts w:asciiTheme="minorHAnsi" w:hAnsiTheme="minorHAnsi"/>
          <w:sz w:val="24"/>
          <w:szCs w:val="24"/>
          <w:lang w:val="en-GB"/>
        </w:rPr>
        <w:t xml:space="preserve">that cost-minimisation compared with other ammonia scavenger formulations </w:t>
      </w:r>
      <w:r w:rsidR="00794765" w:rsidRPr="00CD06BC">
        <w:rPr>
          <w:rFonts w:asciiTheme="minorHAnsi" w:hAnsiTheme="minorHAnsi"/>
          <w:sz w:val="24"/>
          <w:szCs w:val="24"/>
          <w:lang w:val="en-GB"/>
        </w:rPr>
        <w:t>was</w:t>
      </w:r>
      <w:r w:rsidR="00B35E6A" w:rsidRPr="00CD06BC">
        <w:rPr>
          <w:rFonts w:asciiTheme="minorHAnsi" w:hAnsiTheme="minorHAnsi"/>
          <w:sz w:val="24"/>
          <w:szCs w:val="24"/>
          <w:lang w:val="en-GB"/>
        </w:rPr>
        <w:t xml:space="preserve"> not adequately established. </w:t>
      </w:r>
    </w:p>
    <w:p w:rsidR="00B77AD0" w:rsidRPr="00CD06BC" w:rsidRDefault="00B77AD0" w:rsidP="00B41B05">
      <w:pPr>
        <w:pStyle w:val="ListParagraph"/>
        <w:widowControl/>
        <w:numPr>
          <w:ilvl w:val="1"/>
          <w:numId w:val="5"/>
        </w:numPr>
        <w:spacing w:after="120"/>
        <w:ind w:left="709" w:hanging="709"/>
        <w:contextualSpacing w:val="0"/>
        <w:rPr>
          <w:rFonts w:asciiTheme="minorHAnsi" w:hAnsiTheme="minorHAnsi"/>
          <w:sz w:val="24"/>
          <w:szCs w:val="24"/>
        </w:rPr>
      </w:pPr>
      <w:r w:rsidRPr="00CD06BC">
        <w:rPr>
          <w:rFonts w:asciiTheme="minorHAnsi" w:hAnsiTheme="minorHAnsi"/>
          <w:sz w:val="24"/>
          <w:szCs w:val="24"/>
        </w:rPr>
        <w:t xml:space="preserve">The PBAC re-iterated its previous consideration that ammonia scavengers have an important clinical place, and that there is a need to ensure the continuing availability of NaPb, which could be achieved through compounding of the raw material into capsules or syrup by compounding pharmacists. </w:t>
      </w:r>
    </w:p>
    <w:p w:rsidR="00B77AD0" w:rsidRPr="00AF5A35" w:rsidRDefault="00B77AD0" w:rsidP="00B41B05">
      <w:pPr>
        <w:pStyle w:val="ListParagraph"/>
        <w:widowControl/>
        <w:numPr>
          <w:ilvl w:val="1"/>
          <w:numId w:val="5"/>
        </w:numPr>
        <w:spacing w:after="120"/>
        <w:ind w:left="709" w:hanging="709"/>
        <w:contextualSpacing w:val="0"/>
        <w:rPr>
          <w:rFonts w:asciiTheme="minorHAnsi" w:hAnsiTheme="minorHAnsi"/>
          <w:bCs/>
          <w:sz w:val="24"/>
          <w:szCs w:val="24"/>
          <w:lang w:val="en-GB"/>
        </w:rPr>
      </w:pPr>
      <w:r w:rsidRPr="00B41B05">
        <w:rPr>
          <w:rFonts w:asciiTheme="minorHAnsi" w:eastAsiaTheme="minorHAnsi" w:hAnsiTheme="minorHAnsi" w:cstheme="minorBidi"/>
          <w:snapToGrid/>
          <w:sz w:val="24"/>
          <w:szCs w:val="22"/>
        </w:rPr>
        <w:t>The PBAC noted that the comparator nominated by the re-submission was uncoated NaPb powder compounded</w:t>
      </w:r>
      <w:r w:rsidRPr="00CD06BC">
        <w:rPr>
          <w:rFonts w:asciiTheme="minorHAnsi" w:hAnsiTheme="minorHAnsi"/>
          <w:bCs/>
          <w:sz w:val="24"/>
          <w:szCs w:val="24"/>
          <w:lang w:val="en-GB"/>
        </w:rPr>
        <w:t xml:space="preserve"> into</w:t>
      </w:r>
      <w:r w:rsidRPr="00AF5A35">
        <w:rPr>
          <w:rFonts w:asciiTheme="minorHAnsi" w:hAnsiTheme="minorHAnsi"/>
          <w:bCs/>
          <w:sz w:val="24"/>
          <w:szCs w:val="24"/>
          <w:lang w:val="en-GB"/>
        </w:rPr>
        <w:t xml:space="preserve"> an oral suspension or capsules by a compounding pharmacy. The PBAC recalled and re-iterated its November 2017 consideration, that NaBz</w:t>
      </w:r>
      <w:r w:rsidR="00B35E6A" w:rsidRPr="00AF5A35">
        <w:rPr>
          <w:rFonts w:asciiTheme="minorHAnsi" w:hAnsiTheme="minorHAnsi"/>
          <w:bCs/>
          <w:sz w:val="24"/>
          <w:szCs w:val="24"/>
          <w:lang w:val="en-GB"/>
        </w:rPr>
        <w:t xml:space="preserve"> was also a relevant comparator for a proportion of patient</w:t>
      </w:r>
      <w:r w:rsidR="00BD0A72">
        <w:rPr>
          <w:rFonts w:asciiTheme="minorHAnsi" w:hAnsiTheme="minorHAnsi"/>
          <w:bCs/>
          <w:sz w:val="24"/>
          <w:szCs w:val="24"/>
          <w:lang w:val="en-GB"/>
        </w:rPr>
        <w:t>s</w:t>
      </w:r>
      <w:r w:rsidR="00B35E6A" w:rsidRPr="00AF5A35">
        <w:rPr>
          <w:rFonts w:asciiTheme="minorHAnsi" w:hAnsiTheme="minorHAnsi"/>
          <w:bCs/>
          <w:sz w:val="24"/>
          <w:szCs w:val="24"/>
          <w:lang w:val="en-GB"/>
        </w:rPr>
        <w:t xml:space="preserve"> </w:t>
      </w:r>
      <w:r w:rsidRPr="00AF5A35">
        <w:rPr>
          <w:rFonts w:asciiTheme="minorHAnsi" w:hAnsiTheme="minorHAnsi"/>
          <w:bCs/>
          <w:sz w:val="24"/>
          <w:szCs w:val="24"/>
          <w:lang w:val="en-GB"/>
        </w:rPr>
        <w:t xml:space="preserve">in the monotherapy setting. </w:t>
      </w:r>
    </w:p>
    <w:p w:rsidR="00CD06BC" w:rsidRPr="00B41B05" w:rsidRDefault="00B77AD0"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41B05">
        <w:rPr>
          <w:rFonts w:asciiTheme="minorHAnsi" w:eastAsiaTheme="minorHAnsi" w:hAnsiTheme="minorHAnsi" w:cstheme="minorBidi"/>
          <w:snapToGrid/>
          <w:sz w:val="24"/>
          <w:szCs w:val="22"/>
        </w:rPr>
        <w:t xml:space="preserve">The PBAC noted that no new clinical data were provided and re-iterated its previous consideration that a claim of non-inferior comparative efficacy and safety compared with other ammonia scavenger formulations was appropriate given the clinical evidence </w:t>
      </w:r>
      <w:r w:rsidR="00BD0A72">
        <w:rPr>
          <w:rFonts w:asciiTheme="minorHAnsi" w:eastAsiaTheme="minorHAnsi" w:hAnsiTheme="minorHAnsi" w:cstheme="minorBidi"/>
          <w:snapToGrid/>
          <w:sz w:val="24"/>
          <w:szCs w:val="22"/>
        </w:rPr>
        <w:t>that had been provided</w:t>
      </w:r>
      <w:r w:rsidRPr="00B41B05">
        <w:rPr>
          <w:rFonts w:asciiTheme="minorHAnsi" w:eastAsiaTheme="minorHAnsi" w:hAnsiTheme="minorHAnsi" w:cstheme="minorBidi"/>
          <w:snapToGrid/>
          <w:sz w:val="24"/>
          <w:szCs w:val="22"/>
        </w:rPr>
        <w:t xml:space="preserve">. </w:t>
      </w:r>
      <w:r w:rsidR="00CD06BC" w:rsidRPr="00B41B05">
        <w:rPr>
          <w:rFonts w:asciiTheme="minorHAnsi" w:eastAsiaTheme="minorHAnsi" w:hAnsiTheme="minorHAnsi" w:cstheme="minorBidi"/>
          <w:snapToGrid/>
          <w:sz w:val="24"/>
          <w:szCs w:val="22"/>
        </w:rPr>
        <w:t xml:space="preserve"> </w:t>
      </w:r>
    </w:p>
    <w:p w:rsidR="00B77AD0" w:rsidRPr="00BD6D2C" w:rsidRDefault="00CD06BC" w:rsidP="00B41B05">
      <w:pPr>
        <w:pStyle w:val="ListParagraph"/>
        <w:widowControl/>
        <w:numPr>
          <w:ilvl w:val="1"/>
          <w:numId w:val="5"/>
        </w:numPr>
        <w:spacing w:after="120"/>
        <w:ind w:left="709" w:hanging="709"/>
        <w:contextualSpacing w:val="0"/>
        <w:rPr>
          <w:rFonts w:asciiTheme="minorHAnsi" w:hAnsiTheme="minorHAnsi"/>
          <w:bCs/>
          <w:sz w:val="24"/>
          <w:szCs w:val="24"/>
          <w:lang w:val="en-GB"/>
        </w:rPr>
      </w:pPr>
      <w:r w:rsidRPr="00B41B05">
        <w:rPr>
          <w:rFonts w:asciiTheme="minorHAnsi" w:eastAsiaTheme="minorHAnsi" w:hAnsiTheme="minorHAnsi" w:cstheme="minorBidi"/>
          <w:snapToGrid/>
          <w:sz w:val="24"/>
          <w:szCs w:val="22"/>
        </w:rPr>
        <w:t>Further, the PBAC recalled and re-iterated its November 2017 consideration that a cost-minimisation analysis against other ammonia scavengers would be appropriate</w:t>
      </w:r>
      <w:r w:rsidRPr="00CD06BC">
        <w:rPr>
          <w:rFonts w:asciiTheme="minorHAnsi" w:hAnsiTheme="minorHAnsi"/>
          <w:bCs/>
          <w:sz w:val="24"/>
          <w:szCs w:val="24"/>
          <w:lang w:val="en-GB"/>
        </w:rPr>
        <w:t>.</w:t>
      </w:r>
    </w:p>
    <w:p w:rsidR="005E1C43" w:rsidRPr="00B41B05" w:rsidRDefault="00FA07FB"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41B05">
        <w:rPr>
          <w:rFonts w:asciiTheme="minorHAnsi" w:eastAsiaTheme="minorHAnsi" w:hAnsiTheme="minorHAnsi" w:cstheme="minorBidi"/>
          <w:snapToGrid/>
          <w:sz w:val="24"/>
          <w:szCs w:val="22"/>
        </w:rPr>
        <w:t>The PBAC considered that the re</w:t>
      </w:r>
      <w:r w:rsidR="00BD0A72">
        <w:rPr>
          <w:rFonts w:asciiTheme="minorHAnsi" w:eastAsiaTheme="minorHAnsi" w:hAnsiTheme="minorHAnsi" w:cstheme="minorBidi"/>
          <w:snapToGrid/>
          <w:sz w:val="24"/>
          <w:szCs w:val="22"/>
        </w:rPr>
        <w:t>-</w:t>
      </w:r>
      <w:r w:rsidRPr="00B41B05">
        <w:rPr>
          <w:rFonts w:asciiTheme="minorHAnsi" w:eastAsiaTheme="minorHAnsi" w:hAnsiTheme="minorHAnsi" w:cstheme="minorBidi"/>
          <w:snapToGrid/>
          <w:sz w:val="24"/>
          <w:szCs w:val="22"/>
        </w:rPr>
        <w:t xml:space="preserve">submission’s cost-minimisation analysis </w:t>
      </w:r>
      <w:r w:rsidR="00794765" w:rsidRPr="00B41B05">
        <w:rPr>
          <w:rFonts w:asciiTheme="minorHAnsi" w:eastAsiaTheme="minorHAnsi" w:hAnsiTheme="minorHAnsi" w:cstheme="minorBidi"/>
          <w:snapToGrid/>
          <w:sz w:val="24"/>
          <w:szCs w:val="22"/>
        </w:rPr>
        <w:t xml:space="preserve">versus </w:t>
      </w:r>
      <w:r w:rsidR="00794765" w:rsidRPr="00027784">
        <w:rPr>
          <w:rFonts w:asciiTheme="minorHAnsi" w:eastAsiaTheme="minorHAnsi" w:hAnsiTheme="minorHAnsi" w:cstheme="minorBidi"/>
          <w:snapToGrid/>
          <w:sz w:val="24"/>
          <w:szCs w:val="22"/>
        </w:rPr>
        <w:t>compounded NaPb</w:t>
      </w:r>
      <w:r w:rsidR="00794765">
        <w:rPr>
          <w:rFonts w:asciiTheme="minorHAnsi" w:eastAsiaTheme="minorHAnsi" w:hAnsiTheme="minorHAnsi" w:cstheme="minorBidi"/>
          <w:snapToGrid/>
          <w:sz w:val="24"/>
          <w:szCs w:val="22"/>
        </w:rPr>
        <w:t xml:space="preserve"> </w:t>
      </w:r>
      <w:r w:rsidRPr="00B41B05">
        <w:rPr>
          <w:rFonts w:asciiTheme="minorHAnsi" w:eastAsiaTheme="minorHAnsi" w:hAnsiTheme="minorHAnsi" w:cstheme="minorBidi"/>
          <w:snapToGrid/>
          <w:sz w:val="24"/>
          <w:szCs w:val="22"/>
        </w:rPr>
        <w:t xml:space="preserve">had significantly overestimated the </w:t>
      </w:r>
      <w:r w:rsidR="00CD6625" w:rsidRPr="00B41B05">
        <w:rPr>
          <w:rFonts w:asciiTheme="minorHAnsi" w:eastAsiaTheme="minorHAnsi" w:hAnsiTheme="minorHAnsi" w:cstheme="minorBidi"/>
          <w:snapToGrid/>
          <w:sz w:val="24"/>
          <w:szCs w:val="22"/>
        </w:rPr>
        <w:t>cost</w:t>
      </w:r>
      <w:r w:rsidRPr="00B41B05">
        <w:rPr>
          <w:rFonts w:asciiTheme="minorHAnsi" w:eastAsiaTheme="minorHAnsi" w:hAnsiTheme="minorHAnsi" w:cstheme="minorBidi"/>
          <w:snapToGrid/>
          <w:sz w:val="24"/>
          <w:szCs w:val="22"/>
        </w:rPr>
        <w:t xml:space="preserve"> of </w:t>
      </w:r>
      <w:r w:rsidR="00B77AD0" w:rsidRPr="00B41B05">
        <w:rPr>
          <w:rFonts w:asciiTheme="minorHAnsi" w:eastAsiaTheme="minorHAnsi" w:hAnsiTheme="minorHAnsi" w:cstheme="minorBidi"/>
          <w:snapToGrid/>
          <w:sz w:val="24"/>
          <w:szCs w:val="22"/>
        </w:rPr>
        <w:t>the comparator</w:t>
      </w:r>
      <w:r w:rsidRPr="00B41B05">
        <w:rPr>
          <w:rFonts w:asciiTheme="minorHAnsi" w:eastAsiaTheme="minorHAnsi" w:hAnsiTheme="minorHAnsi" w:cstheme="minorBidi"/>
          <w:snapToGrid/>
          <w:sz w:val="24"/>
          <w:szCs w:val="22"/>
        </w:rPr>
        <w:t xml:space="preserve"> </w:t>
      </w:r>
      <w:r w:rsidR="00CD6625" w:rsidRPr="00B41B05">
        <w:rPr>
          <w:rFonts w:asciiTheme="minorHAnsi" w:eastAsiaTheme="minorHAnsi" w:hAnsiTheme="minorHAnsi" w:cstheme="minorBidi"/>
          <w:snapToGrid/>
          <w:sz w:val="24"/>
          <w:szCs w:val="22"/>
        </w:rPr>
        <w:t xml:space="preserve">because </w:t>
      </w:r>
      <w:r w:rsidR="00B77AD0" w:rsidRPr="00B41B05">
        <w:rPr>
          <w:rFonts w:asciiTheme="minorHAnsi" w:eastAsiaTheme="minorHAnsi" w:hAnsiTheme="minorHAnsi" w:cstheme="minorBidi"/>
          <w:snapToGrid/>
          <w:sz w:val="24"/>
          <w:szCs w:val="22"/>
        </w:rPr>
        <w:t>the analysis</w:t>
      </w:r>
      <w:r w:rsidR="00CD6625" w:rsidRPr="00B41B05">
        <w:rPr>
          <w:rFonts w:asciiTheme="minorHAnsi" w:eastAsiaTheme="minorHAnsi" w:hAnsiTheme="minorHAnsi" w:cstheme="minorBidi"/>
          <w:snapToGrid/>
          <w:sz w:val="24"/>
          <w:szCs w:val="22"/>
        </w:rPr>
        <w:t>:</w:t>
      </w:r>
      <w:r w:rsidRPr="00B41B05">
        <w:rPr>
          <w:rFonts w:asciiTheme="minorHAnsi" w:eastAsiaTheme="minorHAnsi" w:hAnsiTheme="minorHAnsi" w:cstheme="minorBidi"/>
          <w:snapToGrid/>
          <w:sz w:val="24"/>
          <w:szCs w:val="22"/>
        </w:rPr>
        <w:t xml:space="preserve"> </w:t>
      </w:r>
      <w:r w:rsidR="00CD6625" w:rsidRPr="00B41B05">
        <w:rPr>
          <w:rFonts w:asciiTheme="minorHAnsi" w:eastAsiaTheme="minorHAnsi" w:hAnsiTheme="minorHAnsi" w:cstheme="minorBidi"/>
          <w:snapToGrid/>
          <w:sz w:val="24"/>
          <w:szCs w:val="22"/>
        </w:rPr>
        <w:t>excluded NaBz as a comparator; included mark-ups, margins and compounding costs of over $</w:t>
      </w:r>
      <w:r w:rsidR="00D03411">
        <w:rPr>
          <w:rFonts w:asciiTheme="minorHAnsi" w:eastAsiaTheme="minorHAnsi" w:hAnsiTheme="minorHAnsi" w:cstheme="minorBidi"/>
          <w:noProof/>
          <w:snapToGrid/>
          <w:color w:val="000000"/>
          <w:sz w:val="24"/>
          <w:szCs w:val="22"/>
          <w:highlight w:val="black"/>
        </w:rPr>
        <w:t>'''''''''''</w:t>
      </w:r>
      <w:r w:rsidR="00CD6625" w:rsidRPr="00B41B05">
        <w:rPr>
          <w:rFonts w:asciiTheme="minorHAnsi" w:eastAsiaTheme="minorHAnsi" w:hAnsiTheme="minorHAnsi" w:cstheme="minorBidi"/>
          <w:snapToGrid/>
          <w:sz w:val="24"/>
          <w:szCs w:val="22"/>
        </w:rPr>
        <w:t xml:space="preserve"> for a one-month supply</w:t>
      </w:r>
      <w:r w:rsidR="00B35E6A" w:rsidRPr="00B41B05">
        <w:rPr>
          <w:rFonts w:asciiTheme="minorHAnsi" w:eastAsiaTheme="minorHAnsi" w:hAnsiTheme="minorHAnsi" w:cstheme="minorBidi"/>
          <w:snapToGrid/>
          <w:sz w:val="24"/>
          <w:szCs w:val="22"/>
        </w:rPr>
        <w:t xml:space="preserve"> (including a </w:t>
      </w:r>
      <w:r w:rsidR="00D03411">
        <w:rPr>
          <w:rFonts w:asciiTheme="minorHAnsi" w:eastAsiaTheme="minorHAnsi" w:hAnsiTheme="minorHAnsi" w:cstheme="minorBidi"/>
          <w:noProof/>
          <w:snapToGrid/>
          <w:color w:val="000000"/>
          <w:sz w:val="24"/>
          <w:szCs w:val="22"/>
          <w:highlight w:val="black"/>
        </w:rPr>
        <w:t>'''''</w:t>
      </w:r>
      <w:r w:rsidR="00B35E6A" w:rsidRPr="00B41B05">
        <w:rPr>
          <w:rFonts w:asciiTheme="minorHAnsi" w:eastAsiaTheme="minorHAnsi" w:hAnsiTheme="minorHAnsi" w:cstheme="minorBidi"/>
          <w:snapToGrid/>
          <w:sz w:val="24"/>
          <w:szCs w:val="22"/>
        </w:rPr>
        <w:t>% margin for overheads and profits)</w:t>
      </w:r>
      <w:r w:rsidR="00BD6D2C" w:rsidRPr="00B41B05">
        <w:rPr>
          <w:rFonts w:asciiTheme="minorHAnsi" w:eastAsiaTheme="minorHAnsi" w:hAnsiTheme="minorHAnsi" w:cstheme="minorBidi"/>
          <w:snapToGrid/>
          <w:sz w:val="24"/>
          <w:szCs w:val="22"/>
        </w:rPr>
        <w:t xml:space="preserve"> stating these were based on potential prices in the private market</w:t>
      </w:r>
      <w:r w:rsidR="00CD6625" w:rsidRPr="00B41B05">
        <w:rPr>
          <w:rFonts w:asciiTheme="minorHAnsi" w:eastAsiaTheme="minorHAnsi" w:hAnsiTheme="minorHAnsi" w:cstheme="minorBidi"/>
          <w:snapToGrid/>
          <w:sz w:val="24"/>
          <w:szCs w:val="22"/>
        </w:rPr>
        <w:t xml:space="preserve">; and did not adequately justify the high level of wastage included. </w:t>
      </w:r>
      <w:r w:rsidR="00AF5A35" w:rsidRPr="00B41B05">
        <w:rPr>
          <w:rFonts w:asciiTheme="minorHAnsi" w:eastAsiaTheme="minorHAnsi" w:hAnsiTheme="minorHAnsi" w:cstheme="minorBidi"/>
          <w:snapToGrid/>
          <w:sz w:val="24"/>
          <w:szCs w:val="22"/>
        </w:rPr>
        <w:t xml:space="preserve">Overall, the PBAC considered that the </w:t>
      </w:r>
      <w:r w:rsidR="00CD6625" w:rsidRPr="00B41B05">
        <w:rPr>
          <w:rFonts w:asciiTheme="minorHAnsi" w:eastAsiaTheme="minorHAnsi" w:hAnsiTheme="minorHAnsi" w:cstheme="minorBidi"/>
          <w:snapToGrid/>
          <w:sz w:val="24"/>
          <w:szCs w:val="22"/>
        </w:rPr>
        <w:t>cost-minimisation analys</w:t>
      </w:r>
      <w:r w:rsidR="00AF5A35" w:rsidRPr="00B41B05">
        <w:rPr>
          <w:rFonts w:asciiTheme="minorHAnsi" w:eastAsiaTheme="minorHAnsi" w:hAnsiTheme="minorHAnsi" w:cstheme="minorBidi"/>
          <w:snapToGrid/>
          <w:sz w:val="24"/>
          <w:szCs w:val="22"/>
        </w:rPr>
        <w:t>i</w:t>
      </w:r>
      <w:r w:rsidR="00CD6625" w:rsidRPr="00B41B05">
        <w:rPr>
          <w:rFonts w:asciiTheme="minorHAnsi" w:eastAsiaTheme="minorHAnsi" w:hAnsiTheme="minorHAnsi" w:cstheme="minorBidi"/>
          <w:snapToGrid/>
          <w:sz w:val="24"/>
          <w:szCs w:val="22"/>
        </w:rPr>
        <w:t xml:space="preserve">s </w:t>
      </w:r>
      <w:r w:rsidR="00AF5A35" w:rsidRPr="00B41B05">
        <w:rPr>
          <w:rFonts w:asciiTheme="minorHAnsi" w:eastAsiaTheme="minorHAnsi" w:hAnsiTheme="minorHAnsi" w:cstheme="minorBidi"/>
          <w:snapToGrid/>
          <w:sz w:val="24"/>
          <w:szCs w:val="22"/>
        </w:rPr>
        <w:t xml:space="preserve">did not reflect the cost </w:t>
      </w:r>
      <w:r w:rsidR="00B41B05">
        <w:rPr>
          <w:rFonts w:asciiTheme="minorHAnsi" w:eastAsiaTheme="minorHAnsi" w:hAnsiTheme="minorHAnsi" w:cstheme="minorBidi"/>
          <w:snapToGrid/>
          <w:sz w:val="24"/>
          <w:szCs w:val="22"/>
        </w:rPr>
        <w:t>of compound</w:t>
      </w:r>
      <w:r w:rsidR="00BD0A72">
        <w:rPr>
          <w:rFonts w:asciiTheme="minorHAnsi" w:eastAsiaTheme="minorHAnsi" w:hAnsiTheme="minorHAnsi" w:cstheme="minorBidi"/>
          <w:snapToGrid/>
          <w:sz w:val="24"/>
          <w:szCs w:val="22"/>
        </w:rPr>
        <w:t>ed</w:t>
      </w:r>
      <w:r w:rsidR="00B41B05">
        <w:rPr>
          <w:rFonts w:asciiTheme="minorHAnsi" w:eastAsiaTheme="minorHAnsi" w:hAnsiTheme="minorHAnsi" w:cstheme="minorBidi"/>
          <w:snapToGrid/>
          <w:sz w:val="24"/>
          <w:szCs w:val="22"/>
        </w:rPr>
        <w:t xml:space="preserve"> ammonia scavengers </w:t>
      </w:r>
      <w:r w:rsidR="00AF5A35" w:rsidRPr="00B41B05">
        <w:rPr>
          <w:rFonts w:asciiTheme="minorHAnsi" w:eastAsiaTheme="minorHAnsi" w:hAnsiTheme="minorHAnsi" w:cstheme="minorBidi"/>
          <w:snapToGrid/>
          <w:sz w:val="24"/>
          <w:szCs w:val="22"/>
        </w:rPr>
        <w:t xml:space="preserve">that would be applicable under the PBS. </w:t>
      </w:r>
    </w:p>
    <w:p w:rsidR="009A6EB6" w:rsidRPr="00B41B05" w:rsidRDefault="00FB5AD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41B05">
        <w:rPr>
          <w:rFonts w:asciiTheme="minorHAnsi" w:eastAsiaTheme="minorHAnsi" w:hAnsiTheme="minorHAnsi" w:cstheme="minorBidi"/>
          <w:snapToGrid/>
          <w:sz w:val="24"/>
          <w:szCs w:val="22"/>
        </w:rPr>
        <w:t>The PBAC noted that the re-submission had provided revised financial estimates, but considered that, for many of the changes</w:t>
      </w:r>
      <w:r w:rsidR="007F624B">
        <w:rPr>
          <w:rFonts w:asciiTheme="minorHAnsi" w:eastAsiaTheme="minorHAnsi" w:hAnsiTheme="minorHAnsi" w:cstheme="minorBidi"/>
          <w:snapToGrid/>
          <w:sz w:val="24"/>
          <w:szCs w:val="22"/>
        </w:rPr>
        <w:t>,</w:t>
      </w:r>
      <w:r w:rsidRPr="00B41B05">
        <w:rPr>
          <w:rFonts w:asciiTheme="minorHAnsi" w:eastAsiaTheme="minorHAnsi" w:hAnsiTheme="minorHAnsi" w:cstheme="minorBidi"/>
          <w:snapToGrid/>
          <w:sz w:val="24"/>
          <w:szCs w:val="22"/>
        </w:rPr>
        <w:t xml:space="preserve"> the magnitude of adjustment was not </w:t>
      </w:r>
      <w:r w:rsidR="004F68D6" w:rsidRPr="00B41B05">
        <w:rPr>
          <w:rFonts w:asciiTheme="minorHAnsi" w:eastAsiaTheme="minorHAnsi" w:hAnsiTheme="minorHAnsi" w:cstheme="minorBidi"/>
          <w:snapToGrid/>
          <w:sz w:val="24"/>
          <w:szCs w:val="22"/>
        </w:rPr>
        <w:t xml:space="preserve">adequately </w:t>
      </w:r>
      <w:r w:rsidRPr="00B41B05">
        <w:rPr>
          <w:rFonts w:asciiTheme="minorHAnsi" w:eastAsiaTheme="minorHAnsi" w:hAnsiTheme="minorHAnsi" w:cstheme="minorBidi"/>
          <w:snapToGrid/>
          <w:sz w:val="24"/>
          <w:szCs w:val="22"/>
        </w:rPr>
        <w:t>justified</w:t>
      </w:r>
      <w:r w:rsidR="009A6EB6" w:rsidRPr="00B41B05">
        <w:rPr>
          <w:rFonts w:asciiTheme="minorHAnsi" w:eastAsiaTheme="minorHAnsi" w:hAnsiTheme="minorHAnsi" w:cstheme="minorBidi"/>
          <w:snapToGrid/>
          <w:sz w:val="24"/>
          <w:szCs w:val="22"/>
        </w:rPr>
        <w:t>.</w:t>
      </w:r>
    </w:p>
    <w:p w:rsidR="00AA549A" w:rsidRPr="00B41B05" w:rsidRDefault="00AA549A" w:rsidP="00B41B05">
      <w:pPr>
        <w:pStyle w:val="ListParagraph"/>
        <w:widowControl/>
        <w:numPr>
          <w:ilvl w:val="1"/>
          <w:numId w:val="5"/>
        </w:numPr>
        <w:spacing w:after="120"/>
        <w:ind w:left="709" w:hanging="709"/>
        <w:contextualSpacing w:val="0"/>
        <w:rPr>
          <w:rFonts w:asciiTheme="minorHAnsi" w:eastAsiaTheme="minorHAnsi" w:hAnsiTheme="minorHAnsi" w:cstheme="minorBidi"/>
          <w:snapToGrid/>
          <w:sz w:val="24"/>
          <w:szCs w:val="22"/>
        </w:rPr>
      </w:pPr>
      <w:r w:rsidRPr="00B41B05">
        <w:rPr>
          <w:rFonts w:asciiTheme="minorHAnsi" w:eastAsiaTheme="minorHAnsi" w:hAnsiTheme="minorHAnsi" w:cstheme="minorBidi"/>
          <w:snapToGrid/>
          <w:sz w:val="24"/>
          <w:szCs w:val="22"/>
        </w:rPr>
        <w:t>The PBAC re-iterated its previous consideration that any re</w:t>
      </w:r>
      <w:r w:rsidR="00BD0A72">
        <w:rPr>
          <w:rFonts w:asciiTheme="minorHAnsi" w:eastAsiaTheme="minorHAnsi" w:hAnsiTheme="minorHAnsi" w:cstheme="minorBidi"/>
          <w:snapToGrid/>
          <w:sz w:val="24"/>
          <w:szCs w:val="22"/>
        </w:rPr>
        <w:t>-</w:t>
      </w:r>
      <w:r w:rsidRPr="00B41B05">
        <w:rPr>
          <w:rFonts w:asciiTheme="minorHAnsi" w:eastAsiaTheme="minorHAnsi" w:hAnsiTheme="minorHAnsi" w:cstheme="minorBidi"/>
          <w:snapToGrid/>
          <w:sz w:val="24"/>
          <w:szCs w:val="22"/>
        </w:rPr>
        <w:t>submission should be a major submission made on a cost-minimisation basis against other ammonia scavengers</w:t>
      </w:r>
      <w:r w:rsidR="007F624B">
        <w:rPr>
          <w:rFonts w:asciiTheme="minorHAnsi" w:eastAsiaTheme="minorHAnsi" w:hAnsiTheme="minorHAnsi" w:cstheme="minorBidi"/>
          <w:snapToGrid/>
          <w:sz w:val="24"/>
          <w:szCs w:val="22"/>
        </w:rPr>
        <w:t xml:space="preserve"> with revised cost parameters to address the issues raised in Paragraph 5.14. </w:t>
      </w:r>
      <w:r w:rsidRPr="00B41B05">
        <w:rPr>
          <w:rFonts w:asciiTheme="minorHAnsi" w:eastAsiaTheme="minorHAnsi" w:hAnsiTheme="minorHAnsi" w:cstheme="minorBidi"/>
          <w:snapToGrid/>
          <w:sz w:val="24"/>
          <w:szCs w:val="22"/>
        </w:rPr>
        <w:t>Revised financial estimates would also need to be provided</w:t>
      </w:r>
      <w:r w:rsidR="00FB5ADA" w:rsidRPr="00B41B05">
        <w:rPr>
          <w:rFonts w:asciiTheme="minorHAnsi" w:eastAsiaTheme="minorHAnsi" w:hAnsiTheme="minorHAnsi" w:cstheme="minorBidi"/>
          <w:snapToGrid/>
          <w:sz w:val="24"/>
          <w:szCs w:val="22"/>
        </w:rPr>
        <w:t xml:space="preserve">, as outlined in the November 2017 PBAC </w:t>
      </w:r>
      <w:r w:rsidR="00AA1BEA">
        <w:rPr>
          <w:rFonts w:asciiTheme="minorHAnsi" w:eastAsiaTheme="minorHAnsi" w:hAnsiTheme="minorHAnsi" w:cstheme="minorBidi"/>
          <w:snapToGrid/>
          <w:sz w:val="24"/>
          <w:szCs w:val="22"/>
        </w:rPr>
        <w:t>PSD</w:t>
      </w:r>
      <w:r w:rsidR="00AA1BEA" w:rsidRPr="00B41B05">
        <w:rPr>
          <w:rFonts w:asciiTheme="minorHAnsi" w:eastAsiaTheme="minorHAnsi" w:hAnsiTheme="minorHAnsi" w:cstheme="minorBidi"/>
          <w:snapToGrid/>
          <w:sz w:val="24"/>
          <w:szCs w:val="22"/>
        </w:rPr>
        <w:t xml:space="preserve"> </w:t>
      </w:r>
      <w:r w:rsidRPr="00B41B05">
        <w:rPr>
          <w:rFonts w:asciiTheme="minorHAnsi" w:eastAsiaTheme="minorHAnsi" w:hAnsiTheme="minorHAnsi" w:cstheme="minorBidi"/>
          <w:snapToGrid/>
          <w:sz w:val="24"/>
          <w:szCs w:val="22"/>
        </w:rPr>
        <w:t>(Paragraphs 6.62 to 6.64 and 7.9</w:t>
      </w:r>
      <w:r w:rsidR="00CD06BC" w:rsidRPr="00B41B05">
        <w:rPr>
          <w:rFonts w:asciiTheme="minorHAnsi" w:eastAsiaTheme="minorHAnsi" w:hAnsiTheme="minorHAnsi" w:cstheme="minorBidi"/>
          <w:snapToGrid/>
          <w:sz w:val="24"/>
          <w:szCs w:val="22"/>
        </w:rPr>
        <w:t xml:space="preserve"> of the sodium phenylbutyrate November 2017 PBAC </w:t>
      </w:r>
      <w:r w:rsidR="00AA1BEA">
        <w:rPr>
          <w:rFonts w:asciiTheme="minorHAnsi" w:eastAsiaTheme="minorHAnsi" w:hAnsiTheme="minorHAnsi" w:cstheme="minorBidi"/>
          <w:snapToGrid/>
          <w:sz w:val="24"/>
          <w:szCs w:val="22"/>
        </w:rPr>
        <w:t>PSD</w:t>
      </w:r>
      <w:r w:rsidRPr="00B41B05">
        <w:rPr>
          <w:rFonts w:asciiTheme="minorHAnsi" w:eastAsiaTheme="minorHAnsi" w:hAnsiTheme="minorHAnsi" w:cstheme="minorBidi"/>
          <w:snapToGrid/>
          <w:sz w:val="24"/>
          <w:szCs w:val="22"/>
        </w:rPr>
        <w:t xml:space="preserve">). </w:t>
      </w:r>
    </w:p>
    <w:p w:rsidR="00AA549A" w:rsidRPr="00AF5A35" w:rsidRDefault="00AA549A" w:rsidP="00B41B05">
      <w:pPr>
        <w:pStyle w:val="ListParagraph"/>
        <w:widowControl/>
        <w:numPr>
          <w:ilvl w:val="1"/>
          <w:numId w:val="5"/>
        </w:numPr>
        <w:spacing w:after="120"/>
        <w:ind w:left="709" w:hanging="709"/>
        <w:contextualSpacing w:val="0"/>
        <w:rPr>
          <w:rFonts w:asciiTheme="minorHAnsi" w:hAnsiTheme="minorHAnsi"/>
          <w:sz w:val="24"/>
          <w:szCs w:val="24"/>
          <w:lang w:val="en-GB"/>
        </w:rPr>
      </w:pPr>
      <w:r w:rsidRPr="00B41B05">
        <w:rPr>
          <w:rFonts w:asciiTheme="minorHAnsi" w:eastAsiaTheme="minorHAnsi" w:hAnsiTheme="minorHAnsi" w:cstheme="minorBidi"/>
          <w:snapToGrid/>
          <w:sz w:val="24"/>
          <w:szCs w:val="22"/>
        </w:rPr>
        <w:t>The PBAC noted that this submission</w:t>
      </w:r>
      <w:r w:rsidRPr="00AF5A35">
        <w:rPr>
          <w:rFonts w:asciiTheme="minorHAnsi" w:hAnsiTheme="minorHAnsi"/>
          <w:sz w:val="24"/>
          <w:szCs w:val="24"/>
          <w:lang w:val="en-GB"/>
        </w:rPr>
        <w:t xml:space="preserve"> is eligible for an Independent Review.</w:t>
      </w:r>
    </w:p>
    <w:p w:rsidR="009A6EB6" w:rsidRPr="00AF5A35" w:rsidRDefault="009A6EB6" w:rsidP="009A6EB6">
      <w:pPr>
        <w:spacing w:before="240" w:after="120"/>
        <w:jc w:val="both"/>
        <w:rPr>
          <w:rFonts w:asciiTheme="minorHAnsi" w:hAnsiTheme="minorHAnsi" w:cs="Arial"/>
          <w:b/>
          <w:bCs/>
          <w:snapToGrid w:val="0"/>
          <w:lang w:val="en-GB" w:eastAsia="en-US"/>
        </w:rPr>
      </w:pPr>
      <w:r w:rsidRPr="00AF5A35">
        <w:rPr>
          <w:rFonts w:asciiTheme="minorHAnsi" w:hAnsiTheme="minorHAnsi" w:cs="Arial"/>
          <w:b/>
          <w:bCs/>
          <w:snapToGrid w:val="0"/>
          <w:lang w:val="en-GB" w:eastAsia="en-US"/>
        </w:rPr>
        <w:t>Outcome:</w:t>
      </w:r>
    </w:p>
    <w:p w:rsidR="00B065C9" w:rsidRDefault="009A6EB6" w:rsidP="009700C4">
      <w:pPr>
        <w:spacing w:after="120"/>
        <w:jc w:val="both"/>
        <w:rPr>
          <w:rFonts w:asciiTheme="minorHAnsi" w:hAnsiTheme="minorHAnsi" w:cs="Arial"/>
          <w:bCs/>
          <w:snapToGrid w:val="0"/>
          <w:lang w:val="en-GB" w:eastAsia="en-US"/>
        </w:rPr>
      </w:pPr>
      <w:r w:rsidRPr="00AA549A">
        <w:rPr>
          <w:rFonts w:asciiTheme="minorHAnsi" w:hAnsiTheme="minorHAnsi" w:cs="Arial"/>
          <w:bCs/>
          <w:snapToGrid w:val="0"/>
          <w:lang w:val="en-GB" w:eastAsia="en-US"/>
        </w:rPr>
        <w:t xml:space="preserve">Rejected </w:t>
      </w:r>
    </w:p>
    <w:p w:rsidR="00B065C9" w:rsidRDefault="00B065C9" w:rsidP="00B065C9">
      <w:pPr>
        <w:widowControl w:val="0"/>
        <w:numPr>
          <w:ilvl w:val="0"/>
          <w:numId w:val="5"/>
        </w:numPr>
        <w:spacing w:before="240"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t>Context for Decision</w:t>
      </w:r>
    </w:p>
    <w:p w:rsidR="00B065C9" w:rsidRPr="006B19E5" w:rsidRDefault="00B065C9" w:rsidP="006B19E5">
      <w:pPr>
        <w:rPr>
          <w:rFonts w:asciiTheme="minorHAnsi" w:hAnsiTheme="minorHAnsi"/>
          <w:b/>
          <w:bCs/>
          <w:snapToGrid w:val="0"/>
          <w:sz w:val="32"/>
        </w:rPr>
      </w:pPr>
      <w:r w:rsidRPr="006B19E5">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065C9" w:rsidRPr="00A56D22" w:rsidRDefault="00B065C9" w:rsidP="00F0583B">
      <w:pPr>
        <w:keepNext/>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B065C9" w:rsidRPr="006B19E5" w:rsidRDefault="00B065C9" w:rsidP="006B19E5">
      <w:pPr>
        <w:spacing w:after="120"/>
        <w:jc w:val="both"/>
        <w:rPr>
          <w:rFonts w:asciiTheme="minorHAnsi" w:hAnsiTheme="minorHAnsi" w:cs="Arial"/>
          <w:bCs/>
        </w:rPr>
      </w:pPr>
      <w:r w:rsidRPr="00E65E69">
        <w:rPr>
          <w:rFonts w:asciiTheme="minorHAnsi" w:hAnsiTheme="minorHAnsi" w:cs="Arial"/>
          <w:bCs/>
        </w:rPr>
        <w:t>The sponsor had no comment.</w:t>
      </w:r>
    </w:p>
    <w:sectPr w:rsidR="00B065C9" w:rsidRPr="006B19E5"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411" w:rsidRDefault="00D03411">
      <w:r>
        <w:separator/>
      </w:r>
    </w:p>
    <w:p w:rsidR="00D03411" w:rsidRDefault="00D03411"/>
  </w:endnote>
  <w:endnote w:type="continuationSeparator" w:id="0">
    <w:p w:rsidR="00D03411" w:rsidRDefault="00D03411">
      <w:r>
        <w:continuationSeparator/>
      </w:r>
    </w:p>
    <w:p w:rsidR="00D03411" w:rsidRDefault="00D03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71F8A" w:rsidTr="005A3173">
      <w:trPr>
        <w:trHeight w:val="151"/>
      </w:trPr>
      <w:tc>
        <w:tcPr>
          <w:tcW w:w="2250" w:type="pct"/>
          <w:tcBorders>
            <w:top w:val="nil"/>
            <w:left w:val="nil"/>
            <w:bottom w:val="single" w:sz="4" w:space="0" w:color="4F81BD"/>
            <w:right w:val="nil"/>
          </w:tcBorders>
        </w:tcPr>
        <w:p w:rsidR="00E71F8A" w:rsidRPr="005A3173" w:rsidRDefault="00E71F8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71F8A" w:rsidRPr="005A3173" w:rsidRDefault="00E71F8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71F8A" w:rsidRPr="005A3173" w:rsidRDefault="00E71F8A" w:rsidP="005A3173">
          <w:pPr>
            <w:pStyle w:val="Header"/>
            <w:spacing w:line="276" w:lineRule="auto"/>
            <w:rPr>
              <w:rFonts w:ascii="Calibri" w:eastAsia="MS Gothic" w:hAnsi="Calibri"/>
              <w:b/>
              <w:bCs/>
              <w:color w:val="4F81BD"/>
            </w:rPr>
          </w:pPr>
        </w:p>
      </w:tc>
    </w:tr>
    <w:tr w:rsidR="00E71F8A" w:rsidTr="005A3173">
      <w:trPr>
        <w:trHeight w:val="150"/>
      </w:trPr>
      <w:tc>
        <w:tcPr>
          <w:tcW w:w="2250" w:type="pct"/>
          <w:tcBorders>
            <w:top w:val="single" w:sz="4" w:space="0" w:color="4F81BD"/>
            <w:left w:val="nil"/>
            <w:bottom w:val="nil"/>
            <w:right w:val="nil"/>
          </w:tcBorders>
        </w:tcPr>
        <w:p w:rsidR="00E71F8A" w:rsidRPr="005A3173" w:rsidRDefault="00E71F8A" w:rsidP="005A3173">
          <w:pPr>
            <w:pStyle w:val="Header"/>
            <w:spacing w:line="276" w:lineRule="auto"/>
            <w:rPr>
              <w:rFonts w:ascii="Calibri" w:eastAsia="MS Gothic" w:hAnsi="Calibri"/>
              <w:b/>
              <w:bCs/>
              <w:color w:val="4F81BD"/>
            </w:rPr>
          </w:pPr>
        </w:p>
      </w:tc>
      <w:tc>
        <w:tcPr>
          <w:tcW w:w="0" w:type="auto"/>
          <w:vMerge/>
          <w:vAlign w:val="center"/>
          <w:hideMark/>
        </w:tcPr>
        <w:p w:rsidR="00E71F8A" w:rsidRPr="005A3173" w:rsidRDefault="00E71F8A" w:rsidP="005A3173">
          <w:pPr>
            <w:rPr>
              <w:rFonts w:ascii="Calibri" w:hAnsi="Calibri"/>
              <w:color w:val="365F91"/>
              <w:sz w:val="22"/>
              <w:szCs w:val="22"/>
            </w:rPr>
          </w:pPr>
        </w:p>
      </w:tc>
      <w:tc>
        <w:tcPr>
          <w:tcW w:w="2250" w:type="pct"/>
          <w:tcBorders>
            <w:top w:val="single" w:sz="4" w:space="0" w:color="4F81BD"/>
            <w:left w:val="nil"/>
            <w:bottom w:val="nil"/>
            <w:right w:val="nil"/>
          </w:tcBorders>
        </w:tcPr>
        <w:p w:rsidR="00E71F8A" w:rsidRPr="005A3173" w:rsidRDefault="00E71F8A" w:rsidP="005A3173">
          <w:pPr>
            <w:pStyle w:val="Header"/>
            <w:spacing w:line="276" w:lineRule="auto"/>
            <w:rPr>
              <w:rFonts w:ascii="Calibri" w:eastAsia="MS Gothic" w:hAnsi="Calibri"/>
              <w:b/>
              <w:bCs/>
              <w:color w:val="4F81BD"/>
            </w:rPr>
          </w:pPr>
        </w:p>
      </w:tc>
    </w:tr>
  </w:tbl>
  <w:p w:rsidR="00E71F8A" w:rsidRDefault="00E71F8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1F8A" w:rsidRDefault="00E71F8A">
    <w:pPr>
      <w:pStyle w:val="Footer"/>
    </w:pPr>
  </w:p>
  <w:p w:rsidR="00E71F8A" w:rsidRDefault="00E71F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F8A" w:rsidRDefault="00E71F8A">
    <w:pPr>
      <w:pStyle w:val="Footer"/>
      <w:jc w:val="center"/>
      <w:rPr>
        <w:rFonts w:ascii="Calibri" w:hAnsi="Calibri"/>
        <w:b/>
      </w:rPr>
    </w:pPr>
  </w:p>
  <w:p w:rsidR="00E71F8A" w:rsidRPr="009A6EB6" w:rsidRDefault="00E71F8A">
    <w:pPr>
      <w:pStyle w:val="Footer"/>
      <w:jc w:val="center"/>
      <w:rPr>
        <w:rFonts w:ascii="Calibri" w:hAnsi="Calibri"/>
        <w:b/>
      </w:rPr>
    </w:pPr>
    <w:r w:rsidRPr="009A6EB6">
      <w:rPr>
        <w:rFonts w:ascii="Calibri" w:hAnsi="Calibri"/>
        <w:b/>
      </w:rPr>
      <w:fldChar w:fldCharType="begin"/>
    </w:r>
    <w:r w:rsidRPr="009A6EB6">
      <w:rPr>
        <w:rFonts w:ascii="Calibri" w:hAnsi="Calibri"/>
        <w:b/>
      </w:rPr>
      <w:instrText xml:space="preserve"> PAGE   \* MERGEFORMAT </w:instrText>
    </w:r>
    <w:r w:rsidRPr="009A6EB6">
      <w:rPr>
        <w:rFonts w:ascii="Calibri" w:hAnsi="Calibri"/>
        <w:b/>
      </w:rPr>
      <w:fldChar w:fldCharType="separate"/>
    </w:r>
    <w:r w:rsidR="00D03411">
      <w:rPr>
        <w:rFonts w:ascii="Calibri" w:hAnsi="Calibri"/>
        <w:b/>
        <w:noProof/>
      </w:rPr>
      <w:t>1</w:t>
    </w:r>
    <w:r w:rsidRPr="009A6EB6">
      <w:rPr>
        <w:rFonts w:ascii="Calibri" w:hAnsi="Calibri"/>
        <w:b/>
        <w:noProof/>
      </w:rPr>
      <w:fldChar w:fldCharType="end"/>
    </w:r>
  </w:p>
  <w:p w:rsidR="00E71F8A" w:rsidRPr="009A6EB6" w:rsidRDefault="00E71F8A" w:rsidP="009A6EB6">
    <w:pPr>
      <w:pStyle w:val="Footer"/>
      <w:rPr>
        <w:rFonts w:ascii="Calibri" w:hAnsi="Calibri"/>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71F8A" w:rsidTr="005A3173">
      <w:trPr>
        <w:trHeight w:val="151"/>
      </w:trPr>
      <w:tc>
        <w:tcPr>
          <w:tcW w:w="2250" w:type="pct"/>
          <w:tcBorders>
            <w:top w:val="nil"/>
            <w:left w:val="nil"/>
            <w:bottom w:val="single" w:sz="4" w:space="0" w:color="4F81BD"/>
            <w:right w:val="nil"/>
          </w:tcBorders>
        </w:tcPr>
        <w:p w:rsidR="00E71F8A" w:rsidRPr="005A3173" w:rsidRDefault="00E71F8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71F8A" w:rsidRPr="005A3173" w:rsidRDefault="00E71F8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71F8A" w:rsidRPr="005A3173" w:rsidRDefault="00E71F8A" w:rsidP="005A3173">
          <w:pPr>
            <w:pStyle w:val="Header"/>
            <w:spacing w:line="276" w:lineRule="auto"/>
            <w:rPr>
              <w:rFonts w:ascii="Calibri" w:eastAsia="MS Gothic" w:hAnsi="Calibri"/>
              <w:b/>
              <w:bCs/>
              <w:color w:val="4F81BD"/>
            </w:rPr>
          </w:pPr>
        </w:p>
      </w:tc>
    </w:tr>
    <w:tr w:rsidR="00E71F8A" w:rsidTr="005A3173">
      <w:trPr>
        <w:trHeight w:val="150"/>
      </w:trPr>
      <w:tc>
        <w:tcPr>
          <w:tcW w:w="2250" w:type="pct"/>
          <w:tcBorders>
            <w:top w:val="single" w:sz="4" w:space="0" w:color="4F81BD"/>
            <w:left w:val="nil"/>
            <w:bottom w:val="nil"/>
            <w:right w:val="nil"/>
          </w:tcBorders>
        </w:tcPr>
        <w:p w:rsidR="00E71F8A" w:rsidRPr="005A3173" w:rsidRDefault="00E71F8A" w:rsidP="005A3173">
          <w:pPr>
            <w:pStyle w:val="Header"/>
            <w:spacing w:line="276" w:lineRule="auto"/>
            <w:rPr>
              <w:rFonts w:ascii="Calibri" w:eastAsia="MS Gothic" w:hAnsi="Calibri"/>
              <w:b/>
              <w:bCs/>
              <w:color w:val="4F81BD"/>
            </w:rPr>
          </w:pPr>
        </w:p>
      </w:tc>
      <w:tc>
        <w:tcPr>
          <w:tcW w:w="0" w:type="auto"/>
          <w:vMerge/>
          <w:vAlign w:val="center"/>
          <w:hideMark/>
        </w:tcPr>
        <w:p w:rsidR="00E71F8A" w:rsidRPr="005A3173" w:rsidRDefault="00E71F8A" w:rsidP="005A3173">
          <w:pPr>
            <w:rPr>
              <w:rFonts w:ascii="Calibri" w:hAnsi="Calibri"/>
              <w:color w:val="365F91"/>
              <w:sz w:val="22"/>
              <w:szCs w:val="22"/>
            </w:rPr>
          </w:pPr>
        </w:p>
      </w:tc>
      <w:tc>
        <w:tcPr>
          <w:tcW w:w="2250" w:type="pct"/>
          <w:tcBorders>
            <w:top w:val="single" w:sz="4" w:space="0" w:color="4F81BD"/>
            <w:left w:val="nil"/>
            <w:bottom w:val="nil"/>
            <w:right w:val="nil"/>
          </w:tcBorders>
        </w:tcPr>
        <w:p w:rsidR="00E71F8A" w:rsidRPr="005A3173" w:rsidRDefault="00E71F8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71F8A" w:rsidTr="005A3173">
      <w:trPr>
        <w:trHeight w:val="151"/>
      </w:trPr>
      <w:tc>
        <w:tcPr>
          <w:tcW w:w="2250" w:type="pct"/>
          <w:tcBorders>
            <w:top w:val="nil"/>
            <w:left w:val="nil"/>
            <w:bottom w:val="single" w:sz="4" w:space="0" w:color="4F81BD"/>
            <w:right w:val="nil"/>
          </w:tcBorders>
        </w:tcPr>
        <w:p w:rsidR="00E71F8A" w:rsidRPr="005A3173" w:rsidRDefault="00E71F8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71F8A" w:rsidRPr="005A3173" w:rsidRDefault="00E71F8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71F8A" w:rsidRPr="005A3173" w:rsidRDefault="00E71F8A" w:rsidP="005A3173">
          <w:pPr>
            <w:pStyle w:val="Header"/>
            <w:spacing w:line="276" w:lineRule="auto"/>
            <w:rPr>
              <w:rFonts w:ascii="Calibri" w:eastAsia="MS Gothic" w:hAnsi="Calibri"/>
              <w:b/>
              <w:bCs/>
              <w:color w:val="4F81BD"/>
            </w:rPr>
          </w:pPr>
        </w:p>
      </w:tc>
    </w:tr>
    <w:tr w:rsidR="00E71F8A" w:rsidTr="005A3173">
      <w:trPr>
        <w:trHeight w:val="150"/>
      </w:trPr>
      <w:tc>
        <w:tcPr>
          <w:tcW w:w="2250" w:type="pct"/>
          <w:tcBorders>
            <w:top w:val="single" w:sz="4" w:space="0" w:color="4F81BD"/>
            <w:left w:val="nil"/>
            <w:bottom w:val="nil"/>
            <w:right w:val="nil"/>
          </w:tcBorders>
        </w:tcPr>
        <w:p w:rsidR="00E71F8A" w:rsidRPr="005A3173" w:rsidRDefault="00E71F8A" w:rsidP="005A3173">
          <w:pPr>
            <w:pStyle w:val="Header"/>
            <w:spacing w:line="276" w:lineRule="auto"/>
            <w:rPr>
              <w:rFonts w:ascii="Calibri" w:eastAsia="MS Gothic" w:hAnsi="Calibri"/>
              <w:b/>
              <w:bCs/>
              <w:color w:val="4F81BD"/>
            </w:rPr>
          </w:pPr>
        </w:p>
      </w:tc>
      <w:tc>
        <w:tcPr>
          <w:tcW w:w="0" w:type="auto"/>
          <w:vMerge/>
          <w:vAlign w:val="center"/>
          <w:hideMark/>
        </w:tcPr>
        <w:p w:rsidR="00E71F8A" w:rsidRPr="005A3173" w:rsidRDefault="00E71F8A" w:rsidP="005A3173">
          <w:pPr>
            <w:rPr>
              <w:rFonts w:ascii="Calibri" w:hAnsi="Calibri"/>
              <w:color w:val="365F91"/>
              <w:sz w:val="22"/>
              <w:szCs w:val="22"/>
            </w:rPr>
          </w:pPr>
        </w:p>
      </w:tc>
      <w:tc>
        <w:tcPr>
          <w:tcW w:w="2250" w:type="pct"/>
          <w:tcBorders>
            <w:top w:val="single" w:sz="4" w:space="0" w:color="4F81BD"/>
            <w:left w:val="nil"/>
            <w:bottom w:val="nil"/>
            <w:right w:val="nil"/>
          </w:tcBorders>
        </w:tcPr>
        <w:p w:rsidR="00E71F8A" w:rsidRPr="005A3173" w:rsidRDefault="00E71F8A" w:rsidP="005A3173">
          <w:pPr>
            <w:pStyle w:val="Header"/>
            <w:spacing w:line="276" w:lineRule="auto"/>
            <w:rPr>
              <w:rFonts w:ascii="Calibri" w:eastAsia="MS Gothic" w:hAnsi="Calibri"/>
              <w:b/>
              <w:bCs/>
              <w:color w:val="4F81BD"/>
            </w:rPr>
          </w:pPr>
        </w:p>
      </w:tc>
    </w:tr>
  </w:tbl>
  <w:p w:rsidR="00E71F8A" w:rsidRPr="007C0F57" w:rsidRDefault="00E71F8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71F8A" w:rsidRPr="007C0F57" w:rsidRDefault="00E71F8A" w:rsidP="007C0F57">
    <w:pPr>
      <w:pStyle w:val="Footer"/>
      <w:jc w:val="center"/>
      <w:rPr>
        <w:b/>
        <w:i/>
        <w:sz w:val="20"/>
        <w:szCs w:val="20"/>
      </w:rPr>
    </w:pPr>
    <w:r w:rsidRPr="007C0F57">
      <w:rPr>
        <w:b/>
        <w:i/>
        <w:sz w:val="20"/>
        <w:szCs w:val="20"/>
      </w:rPr>
      <w:t>Commercial-in-Confidence</w:t>
    </w:r>
  </w:p>
  <w:p w:rsidR="00E71F8A" w:rsidRDefault="00E71F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411" w:rsidRDefault="00D03411">
      <w:r>
        <w:separator/>
      </w:r>
    </w:p>
    <w:p w:rsidR="00D03411" w:rsidRDefault="00D03411"/>
  </w:footnote>
  <w:footnote w:type="continuationSeparator" w:id="0">
    <w:p w:rsidR="00D03411" w:rsidRDefault="00D03411">
      <w:r>
        <w:continuationSeparator/>
      </w:r>
    </w:p>
    <w:p w:rsidR="00D03411" w:rsidRDefault="00D034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71F8A" w:rsidRPr="008E0D90" w:rsidTr="00A06225">
      <w:trPr>
        <w:trHeight w:val="151"/>
      </w:trPr>
      <w:tc>
        <w:tcPr>
          <w:tcW w:w="2389" w:type="pct"/>
          <w:tcBorders>
            <w:top w:val="nil"/>
            <w:left w:val="nil"/>
            <w:bottom w:val="single" w:sz="4" w:space="0" w:color="4F81BD"/>
            <w:right w:val="nil"/>
          </w:tcBorders>
        </w:tcPr>
        <w:p w:rsidR="00E71F8A" w:rsidRPr="00A06225" w:rsidRDefault="00E71F8A">
          <w:pPr>
            <w:pStyle w:val="Header"/>
            <w:spacing w:line="276" w:lineRule="auto"/>
            <w:rPr>
              <w:rFonts w:ascii="Cambria" w:eastAsia="MS Gothic" w:hAnsi="Cambria"/>
              <w:b/>
              <w:bCs/>
              <w:color w:val="4F81BD"/>
            </w:rPr>
          </w:pPr>
        </w:p>
      </w:tc>
      <w:tc>
        <w:tcPr>
          <w:tcW w:w="333" w:type="pct"/>
          <w:vMerge w:val="restart"/>
          <w:noWrap/>
          <w:vAlign w:val="center"/>
          <w:hideMark/>
        </w:tcPr>
        <w:p w:rsidR="00E71F8A" w:rsidRPr="00A06225" w:rsidRDefault="00E71F8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71F8A" w:rsidRPr="00A06225" w:rsidRDefault="00E71F8A">
          <w:pPr>
            <w:pStyle w:val="Header"/>
            <w:spacing w:line="276" w:lineRule="auto"/>
            <w:rPr>
              <w:rFonts w:ascii="Cambria" w:eastAsia="MS Gothic" w:hAnsi="Cambria"/>
              <w:b/>
              <w:bCs/>
              <w:color w:val="4F81BD"/>
            </w:rPr>
          </w:pPr>
        </w:p>
      </w:tc>
    </w:tr>
    <w:tr w:rsidR="00E71F8A" w:rsidRPr="008E0D90" w:rsidTr="00A06225">
      <w:trPr>
        <w:trHeight w:val="150"/>
      </w:trPr>
      <w:tc>
        <w:tcPr>
          <w:tcW w:w="2389" w:type="pct"/>
          <w:tcBorders>
            <w:top w:val="single" w:sz="4" w:space="0" w:color="4F81BD"/>
            <w:left w:val="nil"/>
            <w:bottom w:val="nil"/>
            <w:right w:val="nil"/>
          </w:tcBorders>
        </w:tcPr>
        <w:p w:rsidR="00E71F8A" w:rsidRPr="00A06225" w:rsidRDefault="00E71F8A">
          <w:pPr>
            <w:pStyle w:val="Header"/>
            <w:spacing w:line="276" w:lineRule="auto"/>
            <w:rPr>
              <w:rFonts w:ascii="Cambria" w:eastAsia="MS Gothic" w:hAnsi="Cambria"/>
              <w:b/>
              <w:bCs/>
              <w:color w:val="4F81BD"/>
            </w:rPr>
          </w:pPr>
        </w:p>
      </w:tc>
      <w:tc>
        <w:tcPr>
          <w:tcW w:w="0" w:type="auto"/>
          <w:vMerge/>
          <w:vAlign w:val="center"/>
          <w:hideMark/>
        </w:tcPr>
        <w:p w:rsidR="00E71F8A" w:rsidRPr="00A06225" w:rsidRDefault="00E71F8A">
          <w:pPr>
            <w:rPr>
              <w:rFonts w:ascii="Cambria" w:hAnsi="Cambria"/>
              <w:color w:val="4F81BD"/>
              <w:sz w:val="22"/>
              <w:szCs w:val="22"/>
            </w:rPr>
          </w:pPr>
        </w:p>
      </w:tc>
      <w:tc>
        <w:tcPr>
          <w:tcW w:w="2278" w:type="pct"/>
          <w:tcBorders>
            <w:top w:val="single" w:sz="4" w:space="0" w:color="4F81BD"/>
            <w:left w:val="nil"/>
            <w:bottom w:val="nil"/>
            <w:right w:val="nil"/>
          </w:tcBorders>
        </w:tcPr>
        <w:p w:rsidR="00E71F8A" w:rsidRPr="00A06225" w:rsidRDefault="00E71F8A">
          <w:pPr>
            <w:pStyle w:val="Header"/>
            <w:spacing w:line="276" w:lineRule="auto"/>
            <w:rPr>
              <w:rFonts w:ascii="Cambria" w:eastAsia="MS Gothic" w:hAnsi="Cambria"/>
              <w:b/>
              <w:bCs/>
              <w:color w:val="4F81BD"/>
            </w:rPr>
          </w:pPr>
        </w:p>
      </w:tc>
    </w:tr>
  </w:tbl>
  <w:p w:rsidR="00E71F8A" w:rsidRDefault="00E71F8A">
    <w:pPr>
      <w:pStyle w:val="Header"/>
    </w:pPr>
  </w:p>
  <w:p w:rsidR="00E71F8A" w:rsidRDefault="00E71F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F8A" w:rsidRPr="000D2FAD" w:rsidRDefault="00E71F8A" w:rsidP="009A6EB6">
    <w:pPr>
      <w:pStyle w:val="Header"/>
      <w:spacing w:after="120"/>
      <w:jc w:val="center"/>
      <w:rPr>
        <w:rFonts w:ascii="Calibri" w:hAnsi="Calibri"/>
        <w:i/>
      </w:rPr>
    </w:pPr>
    <w:r>
      <w:rPr>
        <w:rFonts w:ascii="Calibri" w:hAnsi="Calibri"/>
        <w:i/>
      </w:rPr>
      <w:t>Public Summary Document</w:t>
    </w:r>
    <w:r w:rsidRPr="000D2FAD">
      <w:rPr>
        <w:rFonts w:ascii="Calibri" w:hAnsi="Calibri"/>
        <w:i/>
      </w:rPr>
      <w:t xml:space="preserve"> - March 2018 PBAC Meeting</w:t>
    </w:r>
  </w:p>
  <w:p w:rsidR="00E71F8A" w:rsidRPr="009A6EB6" w:rsidRDefault="00E71F8A" w:rsidP="009A6EB6">
    <w:pPr>
      <w:pStyle w:val="Header"/>
      <w:spacing w:after="120"/>
      <w:jc w:val="center"/>
      <w:rPr>
        <w:rFonts w:ascii="Calibri" w:hAnsi="Calibri"/>
        <w:i/>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F8A" w:rsidRDefault="00E71F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19A1F5C"/>
    <w:multiLevelType w:val="hybridMultilevel"/>
    <w:tmpl w:val="94EEF3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08240D4"/>
    <w:multiLevelType w:val="hybridMultilevel"/>
    <w:tmpl w:val="E1E83A0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C479AF"/>
    <w:multiLevelType w:val="hybridMultilevel"/>
    <w:tmpl w:val="C57A599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284E6825"/>
    <w:multiLevelType w:val="multilevel"/>
    <w:tmpl w:val="B3ECFC4E"/>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05F77EC"/>
    <w:multiLevelType w:val="multilevel"/>
    <w:tmpl w:val="BC8CD39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500AC5"/>
    <w:multiLevelType w:val="hybridMultilevel"/>
    <w:tmpl w:val="BE82F0D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FAE159F"/>
    <w:multiLevelType w:val="hybridMultilevel"/>
    <w:tmpl w:val="F3BC32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8D93B5A"/>
    <w:multiLevelType w:val="hybridMultilevel"/>
    <w:tmpl w:val="CD9EA872"/>
    <w:lvl w:ilvl="0" w:tplc="0C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D5D736D"/>
    <w:multiLevelType w:val="hybridMultilevel"/>
    <w:tmpl w:val="CA3ACB0E"/>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26">
    <w:nsid w:val="6BED2017"/>
    <w:multiLevelType w:val="hybridMultilevel"/>
    <w:tmpl w:val="70CCB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76F90139"/>
    <w:multiLevelType w:val="hybridMultilevel"/>
    <w:tmpl w:val="0FFA339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784D033C"/>
    <w:multiLevelType w:val="multilevel"/>
    <w:tmpl w:val="EEC0EA60"/>
    <w:lvl w:ilvl="0">
      <w:start w:val="1"/>
      <w:numFmt w:val="decimal"/>
      <w:pStyle w:val="PBACHeading1"/>
      <w:lvlText w:val="%1"/>
      <w:lvlJc w:val="left"/>
      <w:pPr>
        <w:ind w:left="720" w:hanging="720"/>
      </w:pPr>
      <w:rPr>
        <w:rFonts w:hint="default"/>
        <w:b/>
      </w:rPr>
    </w:lvl>
    <w:lvl w:ilvl="1">
      <w:start w:val="1"/>
      <w:numFmt w:val="decimal"/>
      <w:lvlText w:val="%1.%2"/>
      <w:lvlJc w:val="left"/>
      <w:pPr>
        <w:ind w:left="1004"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20"/>
  </w:num>
  <w:num w:numId="5">
    <w:abstractNumId w:val="28"/>
  </w:num>
  <w:num w:numId="6">
    <w:abstractNumId w:val="8"/>
  </w:num>
  <w:num w:numId="7">
    <w:abstractNumId w:val="18"/>
  </w:num>
  <w:num w:numId="8">
    <w:abstractNumId w:val="5"/>
  </w:num>
  <w:num w:numId="9">
    <w:abstractNumId w:val="17"/>
  </w:num>
  <w:num w:numId="10">
    <w:abstractNumId w:val="16"/>
  </w:num>
  <w:num w:numId="11">
    <w:abstractNumId w:val="14"/>
  </w:num>
  <w:num w:numId="12">
    <w:abstractNumId w:val="1"/>
  </w:num>
  <w:num w:numId="13">
    <w:abstractNumId w:val="0"/>
  </w:num>
  <w:num w:numId="14">
    <w:abstractNumId w:val="28"/>
  </w:num>
  <w:num w:numId="15">
    <w:abstractNumId w:val="4"/>
  </w:num>
  <w:num w:numId="16">
    <w:abstractNumId w:val="27"/>
  </w:num>
  <w:num w:numId="17">
    <w:abstractNumId w:val="13"/>
  </w:num>
  <w:num w:numId="18">
    <w:abstractNumId w:val="19"/>
  </w:num>
  <w:num w:numId="19">
    <w:abstractNumId w:val="25"/>
  </w:num>
  <w:num w:numId="20">
    <w:abstractNumId w:val="15"/>
  </w:num>
  <w:num w:numId="21">
    <w:abstractNumId w:val="12"/>
  </w:num>
  <w:num w:numId="22">
    <w:abstractNumId w:val="26"/>
  </w:num>
  <w:num w:numId="23">
    <w:abstractNumId w:val="24"/>
  </w:num>
  <w:num w:numId="24">
    <w:abstractNumId w:val="21"/>
  </w:num>
  <w:num w:numId="25">
    <w:abstractNumId w:val="10"/>
  </w:num>
  <w:num w:numId="26">
    <w:abstractNumId w:val="22"/>
  </w:num>
  <w:num w:numId="27">
    <w:abstractNumId w:val="23"/>
  </w:num>
  <w:num w:numId="28">
    <w:abstractNumId w:val="6"/>
  </w:num>
  <w:num w:numId="29">
    <w:abstractNumId w:val="2"/>
  </w:num>
  <w:num w:numId="30">
    <w:abstractNumId w:val="11"/>
  </w:num>
  <w:num w:numId="31">
    <w:abstractNumId w:val="28"/>
  </w:num>
  <w:num w:numId="32">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6FF6"/>
    <w:rsid w:val="0002464A"/>
    <w:rsid w:val="000258E9"/>
    <w:rsid w:val="00027784"/>
    <w:rsid w:val="0003106B"/>
    <w:rsid w:val="0003682D"/>
    <w:rsid w:val="000421A1"/>
    <w:rsid w:val="0004240E"/>
    <w:rsid w:val="00045E26"/>
    <w:rsid w:val="0004759D"/>
    <w:rsid w:val="00047A2B"/>
    <w:rsid w:val="000514B5"/>
    <w:rsid w:val="00060E64"/>
    <w:rsid w:val="00066755"/>
    <w:rsid w:val="000675E1"/>
    <w:rsid w:val="00077143"/>
    <w:rsid w:val="00080D20"/>
    <w:rsid w:val="00082169"/>
    <w:rsid w:val="00086D46"/>
    <w:rsid w:val="000919DA"/>
    <w:rsid w:val="00093F6D"/>
    <w:rsid w:val="000969AD"/>
    <w:rsid w:val="000A22D9"/>
    <w:rsid w:val="000B558D"/>
    <w:rsid w:val="000C6996"/>
    <w:rsid w:val="000C7F62"/>
    <w:rsid w:val="000D23BA"/>
    <w:rsid w:val="000D2FAD"/>
    <w:rsid w:val="000D6E81"/>
    <w:rsid w:val="000E681E"/>
    <w:rsid w:val="000F0003"/>
    <w:rsid w:val="000F4E6A"/>
    <w:rsid w:val="0010238E"/>
    <w:rsid w:val="00104227"/>
    <w:rsid w:val="001107BF"/>
    <w:rsid w:val="00113A63"/>
    <w:rsid w:val="0012417C"/>
    <w:rsid w:val="00142395"/>
    <w:rsid w:val="00142714"/>
    <w:rsid w:val="001452ED"/>
    <w:rsid w:val="00163329"/>
    <w:rsid w:val="00164623"/>
    <w:rsid w:val="00165B64"/>
    <w:rsid w:val="001729FD"/>
    <w:rsid w:val="001830CE"/>
    <w:rsid w:val="0018643B"/>
    <w:rsid w:val="00196307"/>
    <w:rsid w:val="00196EC4"/>
    <w:rsid w:val="001A33EA"/>
    <w:rsid w:val="001B017F"/>
    <w:rsid w:val="001B2BBC"/>
    <w:rsid w:val="001B5129"/>
    <w:rsid w:val="001C1195"/>
    <w:rsid w:val="001C4641"/>
    <w:rsid w:val="001D1E01"/>
    <w:rsid w:val="001F1850"/>
    <w:rsid w:val="001F5C0B"/>
    <w:rsid w:val="00203FAC"/>
    <w:rsid w:val="00213CFB"/>
    <w:rsid w:val="00217BE1"/>
    <w:rsid w:val="00232A67"/>
    <w:rsid w:val="002531B0"/>
    <w:rsid w:val="00271BA1"/>
    <w:rsid w:val="00275444"/>
    <w:rsid w:val="002762FA"/>
    <w:rsid w:val="00277505"/>
    <w:rsid w:val="00286544"/>
    <w:rsid w:val="00287C13"/>
    <w:rsid w:val="0029458F"/>
    <w:rsid w:val="002A104C"/>
    <w:rsid w:val="002A4960"/>
    <w:rsid w:val="002B1AE6"/>
    <w:rsid w:val="002B2DE8"/>
    <w:rsid w:val="002B30F8"/>
    <w:rsid w:val="002B5596"/>
    <w:rsid w:val="002C212F"/>
    <w:rsid w:val="002C2D49"/>
    <w:rsid w:val="002D4543"/>
    <w:rsid w:val="002D5F1B"/>
    <w:rsid w:val="002E3127"/>
    <w:rsid w:val="002E3153"/>
    <w:rsid w:val="002E53BB"/>
    <w:rsid w:val="002E72CA"/>
    <w:rsid w:val="00300AD6"/>
    <w:rsid w:val="0030389D"/>
    <w:rsid w:val="00317C6C"/>
    <w:rsid w:val="00322882"/>
    <w:rsid w:val="00326E79"/>
    <w:rsid w:val="00333483"/>
    <w:rsid w:val="0033518A"/>
    <w:rsid w:val="003367EF"/>
    <w:rsid w:val="00341AE4"/>
    <w:rsid w:val="0035535B"/>
    <w:rsid w:val="00365ABB"/>
    <w:rsid w:val="0037440C"/>
    <w:rsid w:val="003872CF"/>
    <w:rsid w:val="003954AF"/>
    <w:rsid w:val="0039782C"/>
    <w:rsid w:val="003A5B4A"/>
    <w:rsid w:val="003B23C5"/>
    <w:rsid w:val="003B2A75"/>
    <w:rsid w:val="003B5F98"/>
    <w:rsid w:val="003B6124"/>
    <w:rsid w:val="003C2FB5"/>
    <w:rsid w:val="003D4AC4"/>
    <w:rsid w:val="003D63B7"/>
    <w:rsid w:val="003E468B"/>
    <w:rsid w:val="003F3228"/>
    <w:rsid w:val="003F58DA"/>
    <w:rsid w:val="003F5C8C"/>
    <w:rsid w:val="004252EC"/>
    <w:rsid w:val="00436683"/>
    <w:rsid w:val="00440440"/>
    <w:rsid w:val="004431C9"/>
    <w:rsid w:val="004465BD"/>
    <w:rsid w:val="00447F09"/>
    <w:rsid w:val="00461438"/>
    <w:rsid w:val="00462757"/>
    <w:rsid w:val="00466ADA"/>
    <w:rsid w:val="00476245"/>
    <w:rsid w:val="00483035"/>
    <w:rsid w:val="00485940"/>
    <w:rsid w:val="004A2484"/>
    <w:rsid w:val="004A5A85"/>
    <w:rsid w:val="004A71D1"/>
    <w:rsid w:val="004B1CF2"/>
    <w:rsid w:val="004B5640"/>
    <w:rsid w:val="004C1BD7"/>
    <w:rsid w:val="004C31FE"/>
    <w:rsid w:val="004C691D"/>
    <w:rsid w:val="004C6C07"/>
    <w:rsid w:val="004E3BE1"/>
    <w:rsid w:val="004E6718"/>
    <w:rsid w:val="004E692D"/>
    <w:rsid w:val="004F68D6"/>
    <w:rsid w:val="00501554"/>
    <w:rsid w:val="00514CD7"/>
    <w:rsid w:val="00520C8C"/>
    <w:rsid w:val="005317BF"/>
    <w:rsid w:val="005319B2"/>
    <w:rsid w:val="00532402"/>
    <w:rsid w:val="00532C74"/>
    <w:rsid w:val="00534E2E"/>
    <w:rsid w:val="00544552"/>
    <w:rsid w:val="005603D9"/>
    <w:rsid w:val="00563A5A"/>
    <w:rsid w:val="0057115F"/>
    <w:rsid w:val="00577C4D"/>
    <w:rsid w:val="00581932"/>
    <w:rsid w:val="00586416"/>
    <w:rsid w:val="0059107A"/>
    <w:rsid w:val="005963BB"/>
    <w:rsid w:val="005A3173"/>
    <w:rsid w:val="005A3223"/>
    <w:rsid w:val="005A3DA3"/>
    <w:rsid w:val="005A52C4"/>
    <w:rsid w:val="005C3872"/>
    <w:rsid w:val="005D03AB"/>
    <w:rsid w:val="005D20DD"/>
    <w:rsid w:val="005D5017"/>
    <w:rsid w:val="005D5D73"/>
    <w:rsid w:val="005E1333"/>
    <w:rsid w:val="005E1C43"/>
    <w:rsid w:val="005E7954"/>
    <w:rsid w:val="00601A91"/>
    <w:rsid w:val="00602BA3"/>
    <w:rsid w:val="00612E34"/>
    <w:rsid w:val="00614159"/>
    <w:rsid w:val="00615E21"/>
    <w:rsid w:val="00617C00"/>
    <w:rsid w:val="006263BF"/>
    <w:rsid w:val="0062748A"/>
    <w:rsid w:val="00630A2C"/>
    <w:rsid w:val="00632708"/>
    <w:rsid w:val="0063682E"/>
    <w:rsid w:val="006436CD"/>
    <w:rsid w:val="00647DE7"/>
    <w:rsid w:val="00651169"/>
    <w:rsid w:val="00651A2E"/>
    <w:rsid w:val="00653C65"/>
    <w:rsid w:val="00653D69"/>
    <w:rsid w:val="0066064D"/>
    <w:rsid w:val="006670BE"/>
    <w:rsid w:val="00670A76"/>
    <w:rsid w:val="006711AA"/>
    <w:rsid w:val="00672B57"/>
    <w:rsid w:val="00675622"/>
    <w:rsid w:val="006757CA"/>
    <w:rsid w:val="0067747D"/>
    <w:rsid w:val="00686762"/>
    <w:rsid w:val="006871D1"/>
    <w:rsid w:val="006906DB"/>
    <w:rsid w:val="00691E6C"/>
    <w:rsid w:val="00696129"/>
    <w:rsid w:val="00697CF2"/>
    <w:rsid w:val="006A12A5"/>
    <w:rsid w:val="006A6B8B"/>
    <w:rsid w:val="006B0D94"/>
    <w:rsid w:val="006B19E5"/>
    <w:rsid w:val="006B1A2A"/>
    <w:rsid w:val="006B485D"/>
    <w:rsid w:val="006C708E"/>
    <w:rsid w:val="006D6493"/>
    <w:rsid w:val="006D6EC7"/>
    <w:rsid w:val="006E471E"/>
    <w:rsid w:val="006E4D5A"/>
    <w:rsid w:val="006F2858"/>
    <w:rsid w:val="006F2B2C"/>
    <w:rsid w:val="006F5125"/>
    <w:rsid w:val="00702B6F"/>
    <w:rsid w:val="0071340B"/>
    <w:rsid w:val="00715D10"/>
    <w:rsid w:val="007174BB"/>
    <w:rsid w:val="0072025D"/>
    <w:rsid w:val="0073156E"/>
    <w:rsid w:val="007324C3"/>
    <w:rsid w:val="007353D3"/>
    <w:rsid w:val="007432E8"/>
    <w:rsid w:val="0076420C"/>
    <w:rsid w:val="007753C2"/>
    <w:rsid w:val="007838B8"/>
    <w:rsid w:val="00794765"/>
    <w:rsid w:val="007971CD"/>
    <w:rsid w:val="007C0F57"/>
    <w:rsid w:val="007C40B6"/>
    <w:rsid w:val="007C40F6"/>
    <w:rsid w:val="007C729F"/>
    <w:rsid w:val="007E1D28"/>
    <w:rsid w:val="007F2641"/>
    <w:rsid w:val="007F624B"/>
    <w:rsid w:val="007F7C36"/>
    <w:rsid w:val="00806796"/>
    <w:rsid w:val="008151D6"/>
    <w:rsid w:val="00826EEA"/>
    <w:rsid w:val="00826F6D"/>
    <w:rsid w:val="008306F3"/>
    <w:rsid w:val="00832661"/>
    <w:rsid w:val="0085255B"/>
    <w:rsid w:val="00856DDD"/>
    <w:rsid w:val="00857DCF"/>
    <w:rsid w:val="00863E68"/>
    <w:rsid w:val="008733BF"/>
    <w:rsid w:val="0087393F"/>
    <w:rsid w:val="00875527"/>
    <w:rsid w:val="00882085"/>
    <w:rsid w:val="00883188"/>
    <w:rsid w:val="00884515"/>
    <w:rsid w:val="00887599"/>
    <w:rsid w:val="00897D58"/>
    <w:rsid w:val="00897F22"/>
    <w:rsid w:val="008A1956"/>
    <w:rsid w:val="008A1E30"/>
    <w:rsid w:val="008A4937"/>
    <w:rsid w:val="008A5060"/>
    <w:rsid w:val="008A50F1"/>
    <w:rsid w:val="008C7430"/>
    <w:rsid w:val="008D1B5C"/>
    <w:rsid w:val="008D3C82"/>
    <w:rsid w:val="008D447E"/>
    <w:rsid w:val="008D7A41"/>
    <w:rsid w:val="008E3680"/>
    <w:rsid w:val="008E5870"/>
    <w:rsid w:val="008F1434"/>
    <w:rsid w:val="008F7355"/>
    <w:rsid w:val="00904219"/>
    <w:rsid w:val="009067B7"/>
    <w:rsid w:val="00916BDD"/>
    <w:rsid w:val="00930937"/>
    <w:rsid w:val="00933E6C"/>
    <w:rsid w:val="00937958"/>
    <w:rsid w:val="00942160"/>
    <w:rsid w:val="00950449"/>
    <w:rsid w:val="0095146F"/>
    <w:rsid w:val="00951F32"/>
    <w:rsid w:val="00954EF7"/>
    <w:rsid w:val="009602C5"/>
    <w:rsid w:val="00960D31"/>
    <w:rsid w:val="00962223"/>
    <w:rsid w:val="00966D0D"/>
    <w:rsid w:val="009700C4"/>
    <w:rsid w:val="009715BD"/>
    <w:rsid w:val="00974C21"/>
    <w:rsid w:val="00986059"/>
    <w:rsid w:val="00990919"/>
    <w:rsid w:val="009A0AA1"/>
    <w:rsid w:val="009A6EB6"/>
    <w:rsid w:val="009B0F67"/>
    <w:rsid w:val="009C2B64"/>
    <w:rsid w:val="009C703C"/>
    <w:rsid w:val="009D3CAA"/>
    <w:rsid w:val="009F24A8"/>
    <w:rsid w:val="009F4E46"/>
    <w:rsid w:val="009F5B65"/>
    <w:rsid w:val="009F5F2E"/>
    <w:rsid w:val="00A0038C"/>
    <w:rsid w:val="00A038CE"/>
    <w:rsid w:val="00A06225"/>
    <w:rsid w:val="00A0633F"/>
    <w:rsid w:val="00A128E6"/>
    <w:rsid w:val="00A34E6C"/>
    <w:rsid w:val="00A37C8D"/>
    <w:rsid w:val="00A5273B"/>
    <w:rsid w:val="00A53A9D"/>
    <w:rsid w:val="00A55FEE"/>
    <w:rsid w:val="00A62C1A"/>
    <w:rsid w:val="00A6426D"/>
    <w:rsid w:val="00A64551"/>
    <w:rsid w:val="00A665C1"/>
    <w:rsid w:val="00A7043D"/>
    <w:rsid w:val="00A70622"/>
    <w:rsid w:val="00A70977"/>
    <w:rsid w:val="00A75476"/>
    <w:rsid w:val="00A77613"/>
    <w:rsid w:val="00A77F2E"/>
    <w:rsid w:val="00A8390C"/>
    <w:rsid w:val="00A928BD"/>
    <w:rsid w:val="00AA1BEA"/>
    <w:rsid w:val="00AA41EB"/>
    <w:rsid w:val="00AA4D1C"/>
    <w:rsid w:val="00AA549A"/>
    <w:rsid w:val="00AC193C"/>
    <w:rsid w:val="00AC5206"/>
    <w:rsid w:val="00AD308C"/>
    <w:rsid w:val="00AD5AC7"/>
    <w:rsid w:val="00AD6090"/>
    <w:rsid w:val="00AE11A5"/>
    <w:rsid w:val="00AE13E2"/>
    <w:rsid w:val="00AE22D3"/>
    <w:rsid w:val="00AF5A35"/>
    <w:rsid w:val="00AF62DF"/>
    <w:rsid w:val="00AF68CC"/>
    <w:rsid w:val="00B01F23"/>
    <w:rsid w:val="00B053B7"/>
    <w:rsid w:val="00B065C9"/>
    <w:rsid w:val="00B1059E"/>
    <w:rsid w:val="00B176C8"/>
    <w:rsid w:val="00B205AA"/>
    <w:rsid w:val="00B22E84"/>
    <w:rsid w:val="00B25F75"/>
    <w:rsid w:val="00B26B3F"/>
    <w:rsid w:val="00B35E6A"/>
    <w:rsid w:val="00B41B05"/>
    <w:rsid w:val="00B43E90"/>
    <w:rsid w:val="00B467DC"/>
    <w:rsid w:val="00B56118"/>
    <w:rsid w:val="00B6773F"/>
    <w:rsid w:val="00B7595F"/>
    <w:rsid w:val="00B76A75"/>
    <w:rsid w:val="00B77AD0"/>
    <w:rsid w:val="00B801BA"/>
    <w:rsid w:val="00B84D5C"/>
    <w:rsid w:val="00B90D53"/>
    <w:rsid w:val="00BB1E00"/>
    <w:rsid w:val="00BB69F5"/>
    <w:rsid w:val="00BB7EC3"/>
    <w:rsid w:val="00BC2C7B"/>
    <w:rsid w:val="00BC4B9A"/>
    <w:rsid w:val="00BC5ED6"/>
    <w:rsid w:val="00BC7965"/>
    <w:rsid w:val="00BD0A72"/>
    <w:rsid w:val="00BD50CB"/>
    <w:rsid w:val="00BD6D2C"/>
    <w:rsid w:val="00BD784C"/>
    <w:rsid w:val="00BF2D3E"/>
    <w:rsid w:val="00BF4CB6"/>
    <w:rsid w:val="00C00DA7"/>
    <w:rsid w:val="00C00F99"/>
    <w:rsid w:val="00C12768"/>
    <w:rsid w:val="00C24FCC"/>
    <w:rsid w:val="00C27B58"/>
    <w:rsid w:val="00C35996"/>
    <w:rsid w:val="00C4747E"/>
    <w:rsid w:val="00C51DCC"/>
    <w:rsid w:val="00C5342C"/>
    <w:rsid w:val="00C5709D"/>
    <w:rsid w:val="00C603D4"/>
    <w:rsid w:val="00C6256A"/>
    <w:rsid w:val="00C77891"/>
    <w:rsid w:val="00C83DF0"/>
    <w:rsid w:val="00C91449"/>
    <w:rsid w:val="00C92D10"/>
    <w:rsid w:val="00C943CF"/>
    <w:rsid w:val="00C964D5"/>
    <w:rsid w:val="00C96A01"/>
    <w:rsid w:val="00C9756C"/>
    <w:rsid w:val="00CA5D7F"/>
    <w:rsid w:val="00CA779C"/>
    <w:rsid w:val="00CC0F29"/>
    <w:rsid w:val="00CC5B17"/>
    <w:rsid w:val="00CD06BC"/>
    <w:rsid w:val="00CD0B25"/>
    <w:rsid w:val="00CD6625"/>
    <w:rsid w:val="00CE10C4"/>
    <w:rsid w:val="00CE27B5"/>
    <w:rsid w:val="00CE4CDB"/>
    <w:rsid w:val="00CF113E"/>
    <w:rsid w:val="00CF6957"/>
    <w:rsid w:val="00D0321E"/>
    <w:rsid w:val="00D03411"/>
    <w:rsid w:val="00D07159"/>
    <w:rsid w:val="00D1455A"/>
    <w:rsid w:val="00D16137"/>
    <w:rsid w:val="00D31150"/>
    <w:rsid w:val="00D3138B"/>
    <w:rsid w:val="00D3280C"/>
    <w:rsid w:val="00D3406A"/>
    <w:rsid w:val="00D4572C"/>
    <w:rsid w:val="00D469B2"/>
    <w:rsid w:val="00D71318"/>
    <w:rsid w:val="00D741EB"/>
    <w:rsid w:val="00D83605"/>
    <w:rsid w:val="00D84934"/>
    <w:rsid w:val="00D91271"/>
    <w:rsid w:val="00D92AEB"/>
    <w:rsid w:val="00DA2CB5"/>
    <w:rsid w:val="00DA4BAC"/>
    <w:rsid w:val="00DB1226"/>
    <w:rsid w:val="00DB7FE0"/>
    <w:rsid w:val="00DD61A5"/>
    <w:rsid w:val="00DE5B1D"/>
    <w:rsid w:val="00DE6D27"/>
    <w:rsid w:val="00DF0F7B"/>
    <w:rsid w:val="00DF217D"/>
    <w:rsid w:val="00DF26A7"/>
    <w:rsid w:val="00E024C8"/>
    <w:rsid w:val="00E03D11"/>
    <w:rsid w:val="00E0558B"/>
    <w:rsid w:val="00E15627"/>
    <w:rsid w:val="00E15831"/>
    <w:rsid w:val="00E164B3"/>
    <w:rsid w:val="00E16910"/>
    <w:rsid w:val="00E24C65"/>
    <w:rsid w:val="00E42BDB"/>
    <w:rsid w:val="00E57EEB"/>
    <w:rsid w:val="00E61BFF"/>
    <w:rsid w:val="00E62D94"/>
    <w:rsid w:val="00E65E54"/>
    <w:rsid w:val="00E65E69"/>
    <w:rsid w:val="00E70A97"/>
    <w:rsid w:val="00E71F8A"/>
    <w:rsid w:val="00E80155"/>
    <w:rsid w:val="00E81F28"/>
    <w:rsid w:val="00E848C0"/>
    <w:rsid w:val="00E91B96"/>
    <w:rsid w:val="00E941A1"/>
    <w:rsid w:val="00E95CE3"/>
    <w:rsid w:val="00EA2825"/>
    <w:rsid w:val="00EB0B63"/>
    <w:rsid w:val="00EB1936"/>
    <w:rsid w:val="00EB5088"/>
    <w:rsid w:val="00EC08F7"/>
    <w:rsid w:val="00EC776B"/>
    <w:rsid w:val="00ED1644"/>
    <w:rsid w:val="00ED2593"/>
    <w:rsid w:val="00ED7D9C"/>
    <w:rsid w:val="00EE2A53"/>
    <w:rsid w:val="00EE47D0"/>
    <w:rsid w:val="00EF3CAA"/>
    <w:rsid w:val="00EF44A0"/>
    <w:rsid w:val="00EF4FED"/>
    <w:rsid w:val="00F00F14"/>
    <w:rsid w:val="00F050BD"/>
    <w:rsid w:val="00F05657"/>
    <w:rsid w:val="00F0583B"/>
    <w:rsid w:val="00F11BD0"/>
    <w:rsid w:val="00F128A1"/>
    <w:rsid w:val="00F1437F"/>
    <w:rsid w:val="00F25578"/>
    <w:rsid w:val="00F258E5"/>
    <w:rsid w:val="00F300BC"/>
    <w:rsid w:val="00F3334E"/>
    <w:rsid w:val="00F36CCB"/>
    <w:rsid w:val="00F374E5"/>
    <w:rsid w:val="00F43AF2"/>
    <w:rsid w:val="00F50AF2"/>
    <w:rsid w:val="00F50EC4"/>
    <w:rsid w:val="00F550CF"/>
    <w:rsid w:val="00F5672D"/>
    <w:rsid w:val="00F57A6D"/>
    <w:rsid w:val="00F638CC"/>
    <w:rsid w:val="00F64CC1"/>
    <w:rsid w:val="00F72317"/>
    <w:rsid w:val="00F76E08"/>
    <w:rsid w:val="00F80475"/>
    <w:rsid w:val="00F8247A"/>
    <w:rsid w:val="00F9629A"/>
    <w:rsid w:val="00F97EFC"/>
    <w:rsid w:val="00FA07FB"/>
    <w:rsid w:val="00FA1578"/>
    <w:rsid w:val="00FA5883"/>
    <w:rsid w:val="00FA6055"/>
    <w:rsid w:val="00FB322F"/>
    <w:rsid w:val="00FB442F"/>
    <w:rsid w:val="00FB5ADA"/>
    <w:rsid w:val="00FC1929"/>
    <w:rsid w:val="00FC5B46"/>
    <w:rsid w:val="00FD6679"/>
    <w:rsid w:val="00FD6D8E"/>
    <w:rsid w:val="00FE0E94"/>
    <w:rsid w:val="00FE6525"/>
    <w:rsid w:val="00FF00BD"/>
    <w:rsid w:val="00FF1ED4"/>
    <w:rsid w:val="00FF2801"/>
    <w:rsid w:val="00FF72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6B19E5"/>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semiHidden/>
    <w:unhideWhenUsed/>
    <w:qFormat/>
    <w:rsid w:val="002865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7"/>
    <w:unhideWhenUsed/>
    <w:qFormat/>
    <w:rsid w:val="00647DE7"/>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6B19E5"/>
    <w:rPr>
      <w:rFonts w:asciiTheme="minorHAnsi" w:eastAsiaTheme="majorEastAsia" w:hAnsiTheme="minorHAnsi" w:cstheme="majorBidi"/>
      <w:b/>
      <w:i/>
      <w:sz w:val="28"/>
      <w:szCs w:val="28"/>
      <w:lang w:eastAsia="en-US"/>
    </w:rPr>
  </w:style>
  <w:style w:type="paragraph" w:customStyle="1" w:styleId="KMC16-Tablecontent">
    <w:name w:val="KMC16 - Table content"/>
    <w:basedOn w:val="Normal"/>
    <w:link w:val="KMC16-TablecontentChar"/>
    <w:qFormat/>
    <w:rsid w:val="00875527"/>
    <w:pPr>
      <w:spacing w:before="40" w:after="40"/>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875527"/>
    <w:rPr>
      <w:rFonts w:ascii="Arial Narrow" w:hAnsi="Arial Narrow" w:cs="Arial"/>
      <w:color w:val="000000"/>
      <w:szCs w:val="22"/>
      <w:lang w:val="en-GB" w:eastAsia="en-US"/>
    </w:rPr>
  </w:style>
  <w:style w:type="character" w:customStyle="1" w:styleId="Heading7Char">
    <w:name w:val="Heading 7 Char"/>
    <w:basedOn w:val="DefaultParagraphFont"/>
    <w:link w:val="Heading7"/>
    <w:semiHidden/>
    <w:rsid w:val="00286544"/>
    <w:rPr>
      <w:rFonts w:asciiTheme="majorHAnsi" w:eastAsiaTheme="majorEastAsia" w:hAnsiTheme="majorHAnsi" w:cstheme="majorBidi"/>
      <w:i/>
      <w:iCs/>
      <w:color w:val="404040" w:themeColor="text1" w:themeTint="BF"/>
      <w:sz w:val="24"/>
      <w:szCs w:val="24"/>
    </w:rPr>
  </w:style>
  <w:style w:type="paragraph" w:styleId="Caption">
    <w:name w:val="caption"/>
    <w:basedOn w:val="Normal"/>
    <w:next w:val="Normal"/>
    <w:unhideWhenUsed/>
    <w:qFormat/>
    <w:rsid w:val="00006FF6"/>
    <w:pPr>
      <w:spacing w:after="200"/>
    </w:pPr>
    <w:rPr>
      <w:rFonts w:asciiTheme="minorHAnsi" w:eastAsiaTheme="minorHAnsi" w:hAnsiTheme="minorHAnsi" w:cstheme="minorBidi"/>
      <w:b/>
      <w:bCs/>
      <w:color w:val="4F81BD" w:themeColor="accent1"/>
      <w:sz w:val="18"/>
      <w:szCs w:val="18"/>
      <w:lang w:eastAsia="en-US"/>
    </w:rPr>
  </w:style>
  <w:style w:type="paragraph" w:customStyle="1" w:styleId="TableText0">
    <w:name w:val="Table Text"/>
    <w:basedOn w:val="Normal"/>
    <w:qFormat/>
    <w:rsid w:val="000919DA"/>
    <w:pPr>
      <w:keepNext/>
      <w:spacing w:before="40" w:after="40"/>
    </w:pPr>
    <w:rPr>
      <w:rFonts w:ascii="Arial Narrow" w:eastAsiaTheme="minorHAnsi" w:hAnsi="Arial Narrow" w:cstheme="minorBidi"/>
      <w:sz w:val="20"/>
      <w:szCs w:val="22"/>
      <w:lang w:eastAsia="en-US"/>
    </w:rPr>
  </w:style>
  <w:style w:type="paragraph" w:customStyle="1" w:styleId="TableHeading0">
    <w:name w:val="Table Heading"/>
    <w:basedOn w:val="Normal"/>
    <w:qFormat/>
    <w:rsid w:val="000919DA"/>
    <w:pPr>
      <w:keepNext/>
      <w:spacing w:after="60"/>
    </w:pPr>
    <w:rPr>
      <w:rFonts w:ascii="Arial Narrow" w:eastAsiaTheme="minorHAnsi" w:hAnsi="Arial Narrow" w:cstheme="minorBidi"/>
      <w:b/>
      <w:sz w:val="20"/>
      <w:szCs w:val="22"/>
      <w:lang w:eastAsia="en-US"/>
    </w:rPr>
  </w:style>
  <w:style w:type="paragraph" w:customStyle="1" w:styleId="TableFooter">
    <w:name w:val="Table Footer"/>
    <w:basedOn w:val="Normal"/>
    <w:link w:val="TableFooterChar"/>
    <w:qFormat/>
    <w:rsid w:val="000919DA"/>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qFormat/>
    <w:rsid w:val="000919DA"/>
    <w:rPr>
      <w:rFonts w:ascii="Arial Narrow" w:hAnsi="Arial Narrow" w:cs="Arial"/>
      <w:snapToGrid w:val="0"/>
      <w:sz w:val="18"/>
      <w:lang w:eastAsia="en-US"/>
    </w:rPr>
  </w:style>
  <w:style w:type="character" w:customStyle="1" w:styleId="Heading8Char">
    <w:name w:val="Heading 8 Char"/>
    <w:basedOn w:val="DefaultParagraphFont"/>
    <w:link w:val="Heading8"/>
    <w:uiPriority w:val="7"/>
    <w:rsid w:val="00647DE7"/>
    <w:rPr>
      <w:rFonts w:asciiTheme="majorHAnsi" w:eastAsiaTheme="majorEastAsia" w:hAnsiTheme="majorHAnsi" w:cstheme="majorBidi"/>
      <w:color w:val="272727" w:themeColor="text1" w:themeTint="D8"/>
      <w:sz w:val="21"/>
      <w:szCs w:val="21"/>
      <w:lang w:eastAsia="en-US"/>
    </w:rPr>
  </w:style>
  <w:style w:type="paragraph" w:styleId="Revision">
    <w:name w:val="Revision"/>
    <w:hidden/>
    <w:uiPriority w:val="71"/>
    <w:rsid w:val="009A6E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6B19E5"/>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semiHidden/>
    <w:unhideWhenUsed/>
    <w:qFormat/>
    <w:rsid w:val="002865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7"/>
    <w:unhideWhenUsed/>
    <w:qFormat/>
    <w:rsid w:val="00647DE7"/>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6B19E5"/>
    <w:rPr>
      <w:rFonts w:asciiTheme="minorHAnsi" w:eastAsiaTheme="majorEastAsia" w:hAnsiTheme="minorHAnsi" w:cstheme="majorBidi"/>
      <w:b/>
      <w:i/>
      <w:sz w:val="28"/>
      <w:szCs w:val="28"/>
      <w:lang w:eastAsia="en-US"/>
    </w:rPr>
  </w:style>
  <w:style w:type="paragraph" w:customStyle="1" w:styleId="KMC16-Tablecontent">
    <w:name w:val="KMC16 - Table content"/>
    <w:basedOn w:val="Normal"/>
    <w:link w:val="KMC16-TablecontentChar"/>
    <w:qFormat/>
    <w:rsid w:val="00875527"/>
    <w:pPr>
      <w:spacing w:before="40" w:after="40"/>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875527"/>
    <w:rPr>
      <w:rFonts w:ascii="Arial Narrow" w:hAnsi="Arial Narrow" w:cs="Arial"/>
      <w:color w:val="000000"/>
      <w:szCs w:val="22"/>
      <w:lang w:val="en-GB" w:eastAsia="en-US"/>
    </w:rPr>
  </w:style>
  <w:style w:type="character" w:customStyle="1" w:styleId="Heading7Char">
    <w:name w:val="Heading 7 Char"/>
    <w:basedOn w:val="DefaultParagraphFont"/>
    <w:link w:val="Heading7"/>
    <w:semiHidden/>
    <w:rsid w:val="00286544"/>
    <w:rPr>
      <w:rFonts w:asciiTheme="majorHAnsi" w:eastAsiaTheme="majorEastAsia" w:hAnsiTheme="majorHAnsi" w:cstheme="majorBidi"/>
      <w:i/>
      <w:iCs/>
      <w:color w:val="404040" w:themeColor="text1" w:themeTint="BF"/>
      <w:sz w:val="24"/>
      <w:szCs w:val="24"/>
    </w:rPr>
  </w:style>
  <w:style w:type="paragraph" w:styleId="Caption">
    <w:name w:val="caption"/>
    <w:basedOn w:val="Normal"/>
    <w:next w:val="Normal"/>
    <w:unhideWhenUsed/>
    <w:qFormat/>
    <w:rsid w:val="00006FF6"/>
    <w:pPr>
      <w:spacing w:after="200"/>
    </w:pPr>
    <w:rPr>
      <w:rFonts w:asciiTheme="minorHAnsi" w:eastAsiaTheme="minorHAnsi" w:hAnsiTheme="minorHAnsi" w:cstheme="minorBidi"/>
      <w:b/>
      <w:bCs/>
      <w:color w:val="4F81BD" w:themeColor="accent1"/>
      <w:sz w:val="18"/>
      <w:szCs w:val="18"/>
      <w:lang w:eastAsia="en-US"/>
    </w:rPr>
  </w:style>
  <w:style w:type="paragraph" w:customStyle="1" w:styleId="TableText0">
    <w:name w:val="Table Text"/>
    <w:basedOn w:val="Normal"/>
    <w:qFormat/>
    <w:rsid w:val="000919DA"/>
    <w:pPr>
      <w:keepNext/>
      <w:spacing w:before="40" w:after="40"/>
    </w:pPr>
    <w:rPr>
      <w:rFonts w:ascii="Arial Narrow" w:eastAsiaTheme="minorHAnsi" w:hAnsi="Arial Narrow" w:cstheme="minorBidi"/>
      <w:sz w:val="20"/>
      <w:szCs w:val="22"/>
      <w:lang w:eastAsia="en-US"/>
    </w:rPr>
  </w:style>
  <w:style w:type="paragraph" w:customStyle="1" w:styleId="TableHeading0">
    <w:name w:val="Table Heading"/>
    <w:basedOn w:val="Normal"/>
    <w:qFormat/>
    <w:rsid w:val="000919DA"/>
    <w:pPr>
      <w:keepNext/>
      <w:spacing w:after="60"/>
    </w:pPr>
    <w:rPr>
      <w:rFonts w:ascii="Arial Narrow" w:eastAsiaTheme="minorHAnsi" w:hAnsi="Arial Narrow" w:cstheme="minorBidi"/>
      <w:b/>
      <w:sz w:val="20"/>
      <w:szCs w:val="22"/>
      <w:lang w:eastAsia="en-US"/>
    </w:rPr>
  </w:style>
  <w:style w:type="paragraph" w:customStyle="1" w:styleId="TableFooter">
    <w:name w:val="Table Footer"/>
    <w:basedOn w:val="Normal"/>
    <w:link w:val="TableFooterChar"/>
    <w:qFormat/>
    <w:rsid w:val="000919DA"/>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qFormat/>
    <w:rsid w:val="000919DA"/>
    <w:rPr>
      <w:rFonts w:ascii="Arial Narrow" w:hAnsi="Arial Narrow" w:cs="Arial"/>
      <w:snapToGrid w:val="0"/>
      <w:sz w:val="18"/>
      <w:lang w:eastAsia="en-US"/>
    </w:rPr>
  </w:style>
  <w:style w:type="character" w:customStyle="1" w:styleId="Heading8Char">
    <w:name w:val="Heading 8 Char"/>
    <w:basedOn w:val="DefaultParagraphFont"/>
    <w:link w:val="Heading8"/>
    <w:uiPriority w:val="7"/>
    <w:rsid w:val="00647DE7"/>
    <w:rPr>
      <w:rFonts w:asciiTheme="majorHAnsi" w:eastAsiaTheme="majorEastAsia" w:hAnsiTheme="majorHAnsi" w:cstheme="majorBidi"/>
      <w:color w:val="272727" w:themeColor="text1" w:themeTint="D8"/>
      <w:sz w:val="21"/>
      <w:szCs w:val="21"/>
      <w:lang w:eastAsia="en-US"/>
    </w:rPr>
  </w:style>
  <w:style w:type="paragraph" w:styleId="Revision">
    <w:name w:val="Revision"/>
    <w:hidden/>
    <w:uiPriority w:val="71"/>
    <w:rsid w:val="009A6E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0503773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C6CA-3252-4783-B6A0-E7652FD0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3995</Words>
  <Characters>23559</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2018-06-19T08:05:00Z</dcterms:created>
  <dcterms:modified xsi:type="dcterms:W3CDTF">2018-06-19T08:05:00Z</dcterms:modified>
</cp:coreProperties>
</file>