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DC" w:rsidRPr="0008526E" w:rsidRDefault="00FE66DC" w:rsidP="00A9649D">
      <w:pPr>
        <w:rPr>
          <w:b/>
          <w:sz w:val="36"/>
          <w:szCs w:val="36"/>
        </w:rPr>
      </w:pPr>
      <w:bookmarkStart w:id="0" w:name="_Toc380679747"/>
      <w:bookmarkStart w:id="1" w:name="_Toc380742604"/>
      <w:bookmarkStart w:id="2" w:name="_Toc380746171"/>
      <w:bookmarkStart w:id="3" w:name="_Toc380746294"/>
      <w:bookmarkStart w:id="4" w:name="_Toc380746578"/>
      <w:r w:rsidRPr="0008526E">
        <w:rPr>
          <w:b/>
          <w:sz w:val="36"/>
          <w:szCs w:val="36"/>
        </w:rPr>
        <w:t>5.10</w:t>
      </w:r>
      <w:r w:rsidR="00912D22" w:rsidRPr="0008526E">
        <w:rPr>
          <w:b/>
          <w:sz w:val="36"/>
          <w:szCs w:val="36"/>
        </w:rPr>
        <w:tab/>
        <w:t>REGORAFENIB</w:t>
      </w:r>
    </w:p>
    <w:p w:rsidR="00454EF0" w:rsidRDefault="00FE66DC" w:rsidP="00EF1188">
      <w:pPr>
        <w:rPr>
          <w:b/>
          <w:sz w:val="36"/>
          <w:szCs w:val="36"/>
        </w:rPr>
      </w:pPr>
      <w:r w:rsidRPr="0008526E">
        <w:rPr>
          <w:b/>
          <w:sz w:val="36"/>
          <w:szCs w:val="36"/>
        </w:rPr>
        <w:t>Tablet 40 mg (as monohydrate)</w:t>
      </w:r>
      <w:r w:rsidR="00912D22" w:rsidRPr="0008526E">
        <w:rPr>
          <w:b/>
          <w:sz w:val="36"/>
          <w:szCs w:val="36"/>
        </w:rPr>
        <w:t xml:space="preserve">, </w:t>
      </w:r>
    </w:p>
    <w:p w:rsidR="00912D22" w:rsidRPr="0008526E" w:rsidRDefault="00912D22" w:rsidP="00EF1188">
      <w:pPr>
        <w:rPr>
          <w:b/>
          <w:sz w:val="36"/>
          <w:szCs w:val="36"/>
        </w:rPr>
      </w:pPr>
      <w:r w:rsidRPr="0008526E">
        <w:rPr>
          <w:b/>
          <w:sz w:val="36"/>
          <w:szCs w:val="36"/>
        </w:rPr>
        <w:t>Stivarga</w:t>
      </w:r>
      <w:r w:rsidRPr="0008526E">
        <w:rPr>
          <w:b/>
          <w:sz w:val="36"/>
          <w:szCs w:val="36"/>
          <w:vertAlign w:val="superscript"/>
        </w:rPr>
        <w:t>®</w:t>
      </w:r>
      <w:r w:rsidRPr="0008526E">
        <w:rPr>
          <w:b/>
          <w:sz w:val="36"/>
          <w:szCs w:val="36"/>
        </w:rPr>
        <w:t>, Bayer Australia Limited.</w:t>
      </w:r>
    </w:p>
    <w:p w:rsidR="00CA42B3" w:rsidRPr="0008526E" w:rsidRDefault="00912D22" w:rsidP="009C362D">
      <w:pPr>
        <w:pStyle w:val="PBACHeading1"/>
      </w:pPr>
      <w:bookmarkStart w:id="5" w:name="_Toc503166739"/>
      <w:r w:rsidRPr="0008526E">
        <w:t>Purpose of Application</w:t>
      </w:r>
      <w:bookmarkEnd w:id="5"/>
    </w:p>
    <w:p w:rsidR="00912D22" w:rsidRPr="0008526E" w:rsidRDefault="00912D22" w:rsidP="00912D22">
      <w:pPr>
        <w:pStyle w:val="ListParagraph"/>
        <w:widowControl/>
        <w:numPr>
          <w:ilvl w:val="1"/>
          <w:numId w:val="3"/>
        </w:numPr>
      </w:pPr>
      <w:r w:rsidRPr="0008526E">
        <w:t>The submission requested a Section</w:t>
      </w:r>
      <w:r w:rsidR="00704947">
        <w:t xml:space="preserve"> </w:t>
      </w:r>
      <w:r w:rsidR="00704947" w:rsidRPr="00704947">
        <w:t xml:space="preserve">85 Authority Required (STREAMLINED) </w:t>
      </w:r>
      <w:r w:rsidR="00704947">
        <w:t>listing</w:t>
      </w:r>
      <w:r w:rsidR="00704947" w:rsidRPr="00704947">
        <w:t xml:space="preserve"> on the Pharmaceutical Benefits Schedule (PBS)</w:t>
      </w:r>
      <w:r w:rsidRPr="0008526E">
        <w:t xml:space="preserve">, for regorafenib for treatment of </w:t>
      </w:r>
      <w:r w:rsidR="00E53454" w:rsidRPr="0008526E">
        <w:t xml:space="preserve">patients with </w:t>
      </w:r>
      <w:r w:rsidRPr="0008526E">
        <w:t xml:space="preserve">unresectable </w:t>
      </w:r>
      <w:r w:rsidR="00E53454" w:rsidRPr="0008526E">
        <w:t>hepatocellular carcinoma (</w:t>
      </w:r>
      <w:r w:rsidRPr="0008526E">
        <w:t>HCC</w:t>
      </w:r>
      <w:r w:rsidR="00E53454" w:rsidRPr="0008526E">
        <w:t>)</w:t>
      </w:r>
      <w:r w:rsidRPr="0008526E">
        <w:t xml:space="preserve"> who progressed following treatment with sorafenib. Regorafenib </w:t>
      </w:r>
      <w:r w:rsidR="00E53454" w:rsidRPr="0008526E">
        <w:t xml:space="preserve">has not been </w:t>
      </w:r>
      <w:r w:rsidR="00FE66DC" w:rsidRPr="0008526E">
        <w:t xml:space="preserve">previously </w:t>
      </w:r>
      <w:r w:rsidR="00E53454" w:rsidRPr="0008526E">
        <w:t xml:space="preserve">considered by the PBAC </w:t>
      </w:r>
      <w:r w:rsidRPr="0008526E">
        <w:t xml:space="preserve">for this indication. </w:t>
      </w:r>
    </w:p>
    <w:p w:rsidR="00912D22" w:rsidRPr="0008526E" w:rsidRDefault="00912D22" w:rsidP="00912D22">
      <w:pPr>
        <w:pStyle w:val="ListParagraph"/>
        <w:widowControl/>
        <w:numPr>
          <w:ilvl w:val="1"/>
          <w:numId w:val="3"/>
        </w:numPr>
        <w:spacing w:after="120"/>
      </w:pPr>
      <w:r w:rsidRPr="0008526E">
        <w:t xml:space="preserve">The submission </w:t>
      </w:r>
      <w:r w:rsidR="00E53454" w:rsidRPr="0008526E">
        <w:t xml:space="preserve">presented one head to head clinical trial (RESORCE) which formed the basis of </w:t>
      </w:r>
      <w:r w:rsidRPr="0008526E">
        <w:t xml:space="preserve">a </w:t>
      </w:r>
      <w:r w:rsidR="00E53454" w:rsidRPr="0008526E">
        <w:t>cost-</w:t>
      </w:r>
      <w:r w:rsidRPr="0008526E">
        <w:t xml:space="preserve">effectiveness analysis against </w:t>
      </w:r>
      <w:r w:rsidR="00E53454" w:rsidRPr="0008526E">
        <w:t>best supportive care (</w:t>
      </w:r>
      <w:r w:rsidRPr="0008526E">
        <w:t>BSC</w:t>
      </w:r>
      <w:r w:rsidR="00E53454" w:rsidRPr="0008526E">
        <w:t>)</w:t>
      </w:r>
      <w:r w:rsidRPr="0008526E">
        <w:t>.</w:t>
      </w:r>
    </w:p>
    <w:p w:rsidR="00912D22" w:rsidRPr="0008526E" w:rsidRDefault="00912D22" w:rsidP="00912D22">
      <w:pPr>
        <w:rPr>
          <w:rStyle w:val="CommentReference"/>
          <w:rFonts w:ascii="Calibri" w:hAnsi="Calibri"/>
          <w:b w:val="0"/>
          <w:sz w:val="24"/>
          <w:szCs w:val="22"/>
        </w:rPr>
      </w:pPr>
      <w:r w:rsidRPr="0008526E">
        <w:rPr>
          <w:rStyle w:val="CommentReference"/>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912D22" w:rsidRPr="0008526E" w:rsidTr="00912D22">
        <w:tc>
          <w:tcPr>
            <w:tcW w:w="1668" w:type="dxa"/>
            <w:vAlign w:val="center"/>
          </w:tcPr>
          <w:p w:rsidR="00912D22" w:rsidRPr="0008526E" w:rsidRDefault="00912D22" w:rsidP="00912D22">
            <w:pPr>
              <w:pStyle w:val="Tabletext"/>
              <w:rPr>
                <w:b/>
              </w:rPr>
            </w:pPr>
            <w:r w:rsidRPr="0008526E">
              <w:rPr>
                <w:b/>
              </w:rPr>
              <w:t>Component</w:t>
            </w:r>
          </w:p>
        </w:tc>
        <w:tc>
          <w:tcPr>
            <w:tcW w:w="7488" w:type="dxa"/>
            <w:vAlign w:val="center"/>
          </w:tcPr>
          <w:p w:rsidR="00912D22" w:rsidRPr="0008526E" w:rsidRDefault="00912D22" w:rsidP="00912D22">
            <w:pPr>
              <w:pStyle w:val="Tabletext"/>
              <w:jc w:val="center"/>
              <w:rPr>
                <w:b/>
              </w:rPr>
            </w:pPr>
            <w:r w:rsidRPr="0008526E">
              <w:rPr>
                <w:b/>
              </w:rPr>
              <w:t>Description</w:t>
            </w:r>
          </w:p>
        </w:tc>
      </w:tr>
      <w:tr w:rsidR="00912D22" w:rsidRPr="0008526E" w:rsidTr="00912D22">
        <w:tc>
          <w:tcPr>
            <w:tcW w:w="1668" w:type="dxa"/>
            <w:vAlign w:val="center"/>
          </w:tcPr>
          <w:p w:rsidR="00912D22" w:rsidRPr="0008526E" w:rsidRDefault="00912D22" w:rsidP="00912D22">
            <w:pPr>
              <w:pStyle w:val="Tabletext"/>
            </w:pPr>
            <w:r w:rsidRPr="0008526E">
              <w:t>Population</w:t>
            </w:r>
          </w:p>
        </w:tc>
        <w:tc>
          <w:tcPr>
            <w:tcW w:w="7488" w:type="dxa"/>
            <w:vAlign w:val="center"/>
          </w:tcPr>
          <w:p w:rsidR="00912D22" w:rsidRPr="0008526E" w:rsidRDefault="00912D22" w:rsidP="00912D22">
            <w:pPr>
              <w:pStyle w:val="Tabletext"/>
            </w:pPr>
            <w:r w:rsidRPr="0008526E">
              <w:t xml:space="preserve">Patients with advanced HCC who have progressed after treatment with sorafenib. </w:t>
            </w:r>
          </w:p>
        </w:tc>
      </w:tr>
      <w:tr w:rsidR="00912D22" w:rsidRPr="0008526E" w:rsidTr="00912D22">
        <w:tc>
          <w:tcPr>
            <w:tcW w:w="1668" w:type="dxa"/>
            <w:vAlign w:val="center"/>
          </w:tcPr>
          <w:p w:rsidR="00912D22" w:rsidRPr="0008526E" w:rsidRDefault="00912D22" w:rsidP="00912D22">
            <w:pPr>
              <w:pStyle w:val="Tabletext"/>
            </w:pPr>
            <w:r w:rsidRPr="0008526E">
              <w:t>Intervention</w:t>
            </w:r>
          </w:p>
        </w:tc>
        <w:tc>
          <w:tcPr>
            <w:tcW w:w="7488" w:type="dxa"/>
            <w:vAlign w:val="center"/>
          </w:tcPr>
          <w:p w:rsidR="00912D22" w:rsidRPr="0008526E" w:rsidRDefault="00912D22" w:rsidP="00912D22">
            <w:pPr>
              <w:pStyle w:val="Tabletext"/>
            </w:pPr>
            <w:r w:rsidRPr="0008526E">
              <w:rPr>
                <w:szCs w:val="20"/>
              </w:rPr>
              <w:t>Regorafenib 40 mg oral tablet administered four times daily (total 160 mg) at the same time each day for three weeks (21 days) followed by one week off therapy (7 days) to comprise a cycle of four weeks.</w:t>
            </w:r>
          </w:p>
        </w:tc>
      </w:tr>
      <w:tr w:rsidR="00912D22" w:rsidRPr="0008526E" w:rsidTr="00912D22">
        <w:tc>
          <w:tcPr>
            <w:tcW w:w="1668" w:type="dxa"/>
            <w:vAlign w:val="center"/>
          </w:tcPr>
          <w:p w:rsidR="00912D22" w:rsidRPr="0008526E" w:rsidRDefault="00912D22" w:rsidP="00912D22">
            <w:pPr>
              <w:pStyle w:val="Tabletext"/>
            </w:pPr>
            <w:r w:rsidRPr="0008526E">
              <w:t>Comparator</w:t>
            </w:r>
          </w:p>
        </w:tc>
        <w:tc>
          <w:tcPr>
            <w:tcW w:w="7488" w:type="dxa"/>
            <w:vAlign w:val="center"/>
          </w:tcPr>
          <w:p w:rsidR="00912D22" w:rsidRPr="0008526E" w:rsidRDefault="00912D22" w:rsidP="00912D22">
            <w:pPr>
              <w:pStyle w:val="Tabletext"/>
            </w:pPr>
            <w:r w:rsidRPr="0008526E">
              <w:t>Best supportive care (BSC).</w:t>
            </w:r>
          </w:p>
        </w:tc>
      </w:tr>
      <w:tr w:rsidR="00912D22" w:rsidRPr="0008526E" w:rsidTr="00912D22">
        <w:tc>
          <w:tcPr>
            <w:tcW w:w="1668" w:type="dxa"/>
            <w:vAlign w:val="center"/>
          </w:tcPr>
          <w:p w:rsidR="00912D22" w:rsidRPr="0008526E" w:rsidRDefault="00912D22" w:rsidP="00912D22">
            <w:pPr>
              <w:pStyle w:val="Tabletext"/>
            </w:pPr>
            <w:r w:rsidRPr="0008526E">
              <w:t>Outcomes</w:t>
            </w:r>
          </w:p>
        </w:tc>
        <w:tc>
          <w:tcPr>
            <w:tcW w:w="7488" w:type="dxa"/>
            <w:vAlign w:val="center"/>
          </w:tcPr>
          <w:p w:rsidR="00912D22" w:rsidRPr="0008526E" w:rsidRDefault="00912D22" w:rsidP="00912D22">
            <w:pPr>
              <w:pStyle w:val="Tabletext"/>
            </w:pPr>
            <w:r w:rsidRPr="0008526E">
              <w:t>Primary: OS</w:t>
            </w:r>
          </w:p>
          <w:p w:rsidR="00912D22" w:rsidRPr="0008526E" w:rsidRDefault="00912D22" w:rsidP="00912D22">
            <w:pPr>
              <w:pStyle w:val="Tabletext"/>
            </w:pPr>
            <w:r w:rsidRPr="0008526E">
              <w:t>Secondary: PFS; TTP; ORR; disease control rate (CR + PR + SD); duration of response; duration of stable disease.</w:t>
            </w:r>
          </w:p>
          <w:p w:rsidR="00912D22" w:rsidRPr="0008526E" w:rsidRDefault="00912D22" w:rsidP="00912D22">
            <w:pPr>
              <w:pStyle w:val="Tabletext"/>
            </w:pPr>
            <w:r w:rsidRPr="0008526E">
              <w:t>Tertiary: HRQoL and utility values; pharmacokinetics (PK); biomarker evaluation.</w:t>
            </w:r>
          </w:p>
        </w:tc>
      </w:tr>
      <w:tr w:rsidR="00912D22" w:rsidRPr="0008526E" w:rsidTr="00912D22">
        <w:tc>
          <w:tcPr>
            <w:tcW w:w="1668" w:type="dxa"/>
            <w:vAlign w:val="center"/>
          </w:tcPr>
          <w:p w:rsidR="00912D22" w:rsidRPr="0008526E" w:rsidRDefault="00912D22" w:rsidP="00912D22">
            <w:pPr>
              <w:pStyle w:val="Tabletext"/>
            </w:pPr>
            <w:r w:rsidRPr="0008526E">
              <w:t>Clinical claim</w:t>
            </w:r>
          </w:p>
        </w:tc>
        <w:tc>
          <w:tcPr>
            <w:tcW w:w="7488" w:type="dxa"/>
            <w:vAlign w:val="center"/>
          </w:tcPr>
          <w:p w:rsidR="00094279" w:rsidRPr="0008526E" w:rsidRDefault="00912D22" w:rsidP="00216679">
            <w:pPr>
              <w:pStyle w:val="Tabletext"/>
            </w:pPr>
            <w:r w:rsidRPr="0008526E">
              <w:t>Regorafenib is superior to BSC for the treatment of advanced HCC, providing a statistically significant and clinically significant increase in OS but associated with a higher incidence of drug related adverse events which were well tolerated and did not significantly impact patient QoL. The clinical claim was supported by the data presented with respect to OS, but may not be supported with respect to the impact of adverse events on QoL.</w:t>
            </w:r>
          </w:p>
        </w:tc>
      </w:tr>
    </w:tbl>
    <w:p w:rsidR="00912D22" w:rsidRDefault="00912D22" w:rsidP="005C38A1">
      <w:pPr>
        <w:pStyle w:val="TableFooter"/>
      </w:pPr>
      <w:r w:rsidRPr="0008526E">
        <w:t>Abbreviations: BSC= Best supportive care; CR= complete response; HCC= Hepatocellular carcinoma; HRQoL= health related quality of life; ORR= objective tumour response rate; OS= overall survival; PFS= progression free survival; PR= partial response; QoL= quality of life; SD= stable disease; TTP= time to progression</w:t>
      </w:r>
    </w:p>
    <w:p w:rsidR="00973716" w:rsidRDefault="00912D22" w:rsidP="005C38A1">
      <w:pPr>
        <w:pStyle w:val="TableFooter"/>
      </w:pPr>
      <w:r w:rsidRPr="0008526E">
        <w:t xml:space="preserve">Source: Table 1-1 p. 15 of the submission, Executive summary p. vi of the submission. </w:t>
      </w:r>
    </w:p>
    <w:p w:rsidR="00912D22" w:rsidRPr="0008526E" w:rsidRDefault="00912D22" w:rsidP="009C362D">
      <w:pPr>
        <w:pStyle w:val="PBACHeading1"/>
      </w:pPr>
      <w:bookmarkStart w:id="6" w:name="_Toc503166740"/>
      <w:r w:rsidRPr="0008526E">
        <w:t>Requested listing</w:t>
      </w:r>
      <w:bookmarkEnd w:id="6"/>
    </w:p>
    <w:p w:rsidR="00912D22" w:rsidRPr="0008526E" w:rsidRDefault="00912D22" w:rsidP="00912D22">
      <w:pPr>
        <w:pStyle w:val="ListParagraph"/>
        <w:widowControl/>
        <w:numPr>
          <w:ilvl w:val="1"/>
          <w:numId w:val="3"/>
        </w:numPr>
      </w:pPr>
      <w:r w:rsidRPr="0008526E">
        <w:t xml:space="preserve">The requested restriction is </w:t>
      </w:r>
      <w:r w:rsidR="005548DB" w:rsidRPr="0008526E">
        <w:t xml:space="preserve">summarised </w:t>
      </w:r>
      <w:r w:rsidRPr="0008526E">
        <w:t xml:space="preserve">below and is </w:t>
      </w:r>
      <w:r w:rsidR="00CB4B18" w:rsidRPr="0008526E">
        <w:t xml:space="preserve">largely </w:t>
      </w:r>
      <w:r w:rsidRPr="0008526E">
        <w:t>consistent with the RESORCE trial.</w:t>
      </w:r>
    </w:p>
    <w:tbl>
      <w:tblPr>
        <w:tblW w:w="4977" w:type="pct"/>
        <w:tblInd w:w="28" w:type="dxa"/>
        <w:tblCellMar>
          <w:left w:w="28" w:type="dxa"/>
          <w:right w:w="28" w:type="dxa"/>
        </w:tblCellMar>
        <w:tblLook w:val="0000" w:firstRow="0" w:lastRow="0" w:firstColumn="0" w:lastColumn="0" w:noHBand="0" w:noVBand="0"/>
      </w:tblPr>
      <w:tblGrid>
        <w:gridCol w:w="2265"/>
        <w:gridCol w:w="1136"/>
        <w:gridCol w:w="1094"/>
        <w:gridCol w:w="852"/>
        <w:gridCol w:w="1528"/>
        <w:gridCol w:w="662"/>
        <w:gridCol w:w="1504"/>
      </w:tblGrid>
      <w:tr w:rsidR="00912D22" w:rsidRPr="0008526E" w:rsidTr="009C362D">
        <w:trPr>
          <w:cantSplit/>
          <w:trHeight w:val="463"/>
        </w:trPr>
        <w:tc>
          <w:tcPr>
            <w:tcW w:w="1881" w:type="pct"/>
            <w:gridSpan w:val="2"/>
            <w:tcBorders>
              <w:bottom w:val="single" w:sz="4" w:space="0" w:color="auto"/>
            </w:tcBorders>
            <w:vAlign w:val="center"/>
          </w:tcPr>
          <w:p w:rsidR="00912D22" w:rsidRPr="0008526E" w:rsidRDefault="00912D22" w:rsidP="00973716">
            <w:pPr>
              <w:keepNext/>
              <w:jc w:val="left"/>
              <w:rPr>
                <w:rFonts w:ascii="Arial Narrow" w:hAnsi="Arial Narrow"/>
                <w:b/>
                <w:sz w:val="20"/>
              </w:rPr>
            </w:pPr>
            <w:r w:rsidRPr="0008526E">
              <w:rPr>
                <w:rFonts w:ascii="Arial Narrow" w:hAnsi="Arial Narrow"/>
                <w:b/>
                <w:sz w:val="20"/>
              </w:rPr>
              <w:lastRenderedPageBreak/>
              <w:t>Name, Restriction,</w:t>
            </w:r>
          </w:p>
          <w:p w:rsidR="00912D22" w:rsidRPr="0008526E" w:rsidRDefault="00912D22" w:rsidP="00973716">
            <w:pPr>
              <w:keepNext/>
              <w:jc w:val="left"/>
              <w:rPr>
                <w:rFonts w:ascii="Arial Narrow" w:hAnsi="Arial Narrow"/>
                <w:b/>
                <w:sz w:val="20"/>
              </w:rPr>
            </w:pPr>
            <w:r w:rsidRPr="0008526E">
              <w:rPr>
                <w:rFonts w:ascii="Arial Narrow" w:hAnsi="Arial Narrow"/>
                <w:b/>
                <w:sz w:val="20"/>
              </w:rPr>
              <w:t>Manner of administration and form</w:t>
            </w:r>
          </w:p>
        </w:tc>
        <w:tc>
          <w:tcPr>
            <w:tcW w:w="605" w:type="pct"/>
            <w:tcBorders>
              <w:bottom w:val="single" w:sz="4" w:space="0" w:color="auto"/>
            </w:tcBorders>
            <w:vAlign w:val="center"/>
          </w:tcPr>
          <w:p w:rsidR="00912D22" w:rsidRPr="0008526E" w:rsidRDefault="00912D22" w:rsidP="00973716">
            <w:pPr>
              <w:keepNext/>
              <w:jc w:val="center"/>
              <w:rPr>
                <w:rFonts w:ascii="Arial Narrow" w:hAnsi="Arial Narrow"/>
                <w:b/>
                <w:sz w:val="20"/>
              </w:rPr>
            </w:pPr>
            <w:r w:rsidRPr="0008526E">
              <w:rPr>
                <w:rFonts w:ascii="Arial Narrow" w:hAnsi="Arial Narrow"/>
                <w:b/>
                <w:sz w:val="20"/>
              </w:rPr>
              <w:t>Max.</w:t>
            </w:r>
          </w:p>
          <w:p w:rsidR="00912D22" w:rsidRPr="0008526E" w:rsidRDefault="00912D22" w:rsidP="00973716">
            <w:pPr>
              <w:keepNext/>
              <w:jc w:val="center"/>
              <w:rPr>
                <w:rFonts w:ascii="Arial Narrow" w:hAnsi="Arial Narrow"/>
                <w:b/>
                <w:sz w:val="20"/>
              </w:rPr>
            </w:pPr>
            <w:r w:rsidRPr="0008526E">
              <w:rPr>
                <w:rFonts w:ascii="Arial Narrow" w:hAnsi="Arial Narrow"/>
                <w:b/>
                <w:sz w:val="20"/>
              </w:rPr>
              <w:t>Qty (packs)</w:t>
            </w:r>
          </w:p>
        </w:tc>
        <w:tc>
          <w:tcPr>
            <w:tcW w:w="471" w:type="pct"/>
            <w:tcBorders>
              <w:bottom w:val="single" w:sz="4" w:space="0" w:color="auto"/>
            </w:tcBorders>
            <w:vAlign w:val="center"/>
          </w:tcPr>
          <w:p w:rsidR="00912D22" w:rsidRPr="0008526E" w:rsidRDefault="00912D22" w:rsidP="00973716">
            <w:pPr>
              <w:keepNext/>
              <w:jc w:val="center"/>
              <w:rPr>
                <w:rFonts w:ascii="Arial Narrow" w:hAnsi="Arial Narrow"/>
                <w:b/>
                <w:sz w:val="20"/>
              </w:rPr>
            </w:pPr>
            <w:r w:rsidRPr="0008526E">
              <w:rPr>
                <w:rFonts w:ascii="Arial Narrow" w:hAnsi="Arial Narrow" w:cs="Times New Roman"/>
                <w:b/>
                <w:sz w:val="20"/>
              </w:rPr>
              <w:t>№</w:t>
            </w:r>
            <w:r w:rsidRPr="0008526E">
              <w:rPr>
                <w:rFonts w:ascii="Arial Narrow" w:hAnsi="Arial Narrow"/>
                <w:b/>
                <w:sz w:val="20"/>
              </w:rPr>
              <w:t>. of</w:t>
            </w:r>
          </w:p>
          <w:p w:rsidR="00912D22" w:rsidRPr="0008526E" w:rsidRDefault="00912D22" w:rsidP="00973716">
            <w:pPr>
              <w:keepNext/>
              <w:jc w:val="center"/>
              <w:rPr>
                <w:rFonts w:ascii="Arial Narrow" w:hAnsi="Arial Narrow"/>
                <w:b/>
                <w:sz w:val="20"/>
              </w:rPr>
            </w:pPr>
            <w:r w:rsidRPr="0008526E">
              <w:rPr>
                <w:rFonts w:ascii="Arial Narrow" w:hAnsi="Arial Narrow"/>
                <w:b/>
                <w:sz w:val="20"/>
              </w:rPr>
              <w:t>Rpts</w:t>
            </w:r>
          </w:p>
        </w:tc>
        <w:tc>
          <w:tcPr>
            <w:tcW w:w="845" w:type="pct"/>
            <w:tcBorders>
              <w:bottom w:val="single" w:sz="4" w:space="0" w:color="auto"/>
            </w:tcBorders>
            <w:vAlign w:val="center"/>
          </w:tcPr>
          <w:p w:rsidR="00912D22" w:rsidRPr="0008526E" w:rsidRDefault="00912D22" w:rsidP="00973716">
            <w:pPr>
              <w:keepNext/>
              <w:jc w:val="center"/>
              <w:rPr>
                <w:rFonts w:ascii="Arial Narrow" w:hAnsi="Arial Narrow"/>
                <w:b/>
                <w:sz w:val="20"/>
              </w:rPr>
            </w:pPr>
            <w:r w:rsidRPr="0008526E">
              <w:rPr>
                <w:rFonts w:ascii="Arial Narrow" w:hAnsi="Arial Narrow"/>
                <w:b/>
                <w:sz w:val="20"/>
              </w:rPr>
              <w:t>Dispensed Price for Max. Qty</w:t>
            </w:r>
          </w:p>
        </w:tc>
        <w:tc>
          <w:tcPr>
            <w:tcW w:w="1198" w:type="pct"/>
            <w:gridSpan w:val="2"/>
            <w:tcBorders>
              <w:bottom w:val="single" w:sz="4" w:space="0" w:color="auto"/>
            </w:tcBorders>
            <w:vAlign w:val="center"/>
          </w:tcPr>
          <w:p w:rsidR="00912D22" w:rsidRPr="0008526E" w:rsidRDefault="00912D22" w:rsidP="00973716">
            <w:pPr>
              <w:keepNext/>
              <w:jc w:val="center"/>
              <w:rPr>
                <w:rFonts w:ascii="Arial Narrow" w:hAnsi="Arial Narrow"/>
                <w:b/>
                <w:sz w:val="20"/>
                <w:lang w:val="fr-FR"/>
              </w:rPr>
            </w:pPr>
            <w:r w:rsidRPr="0008526E">
              <w:rPr>
                <w:rFonts w:ascii="Arial Narrow" w:hAnsi="Arial Narrow"/>
                <w:b/>
                <w:sz w:val="20"/>
              </w:rPr>
              <w:t>Proprietary Name and Manufacturer</w:t>
            </w:r>
          </w:p>
        </w:tc>
      </w:tr>
      <w:tr w:rsidR="00912D22" w:rsidRPr="0008526E" w:rsidTr="00912D22">
        <w:trPr>
          <w:cantSplit/>
          <w:trHeight w:val="567"/>
        </w:trPr>
        <w:tc>
          <w:tcPr>
            <w:tcW w:w="1881" w:type="pct"/>
            <w:gridSpan w:val="2"/>
            <w:vAlign w:val="center"/>
          </w:tcPr>
          <w:p w:rsidR="00912D22" w:rsidRPr="0008526E" w:rsidRDefault="00912D22" w:rsidP="00973716">
            <w:pPr>
              <w:keepNext/>
              <w:jc w:val="left"/>
              <w:rPr>
                <w:rFonts w:ascii="Arial Narrow" w:hAnsi="Arial Narrow"/>
                <w:sz w:val="20"/>
              </w:rPr>
            </w:pPr>
            <w:r w:rsidRPr="0008526E">
              <w:rPr>
                <w:rFonts w:ascii="Arial Narrow" w:hAnsi="Arial Narrow"/>
                <w:smallCaps/>
                <w:sz w:val="20"/>
              </w:rPr>
              <w:t xml:space="preserve">Regorafenib (Stivarga®) 40 </w:t>
            </w:r>
            <w:r w:rsidR="005548DB" w:rsidRPr="0008526E">
              <w:rPr>
                <w:rFonts w:ascii="Arial Narrow" w:hAnsi="Arial Narrow"/>
                <w:smallCaps/>
                <w:sz w:val="20"/>
              </w:rPr>
              <w:t xml:space="preserve">mg </w:t>
            </w:r>
            <w:r w:rsidRPr="0008526E">
              <w:rPr>
                <w:rFonts w:ascii="Arial Narrow" w:hAnsi="Arial Narrow"/>
                <w:smallCaps/>
                <w:sz w:val="20"/>
              </w:rPr>
              <w:t>oral tablet, 28</w:t>
            </w:r>
          </w:p>
        </w:tc>
        <w:tc>
          <w:tcPr>
            <w:tcW w:w="605" w:type="pct"/>
            <w:vAlign w:val="center"/>
          </w:tcPr>
          <w:p w:rsidR="00912D22" w:rsidRPr="0008526E" w:rsidRDefault="00912D22" w:rsidP="00973716">
            <w:pPr>
              <w:keepNext/>
              <w:jc w:val="center"/>
              <w:rPr>
                <w:rFonts w:ascii="Arial Narrow" w:hAnsi="Arial Narrow"/>
                <w:sz w:val="20"/>
              </w:rPr>
            </w:pPr>
            <w:r w:rsidRPr="0008526E">
              <w:rPr>
                <w:rFonts w:ascii="Arial Narrow" w:hAnsi="Arial Narrow"/>
                <w:sz w:val="20"/>
              </w:rPr>
              <w:t>3</w:t>
            </w:r>
          </w:p>
        </w:tc>
        <w:tc>
          <w:tcPr>
            <w:tcW w:w="471" w:type="pct"/>
            <w:vAlign w:val="center"/>
          </w:tcPr>
          <w:p w:rsidR="00912D22" w:rsidRPr="0008526E" w:rsidRDefault="00912D22" w:rsidP="00973716">
            <w:pPr>
              <w:keepNext/>
              <w:jc w:val="center"/>
              <w:rPr>
                <w:rFonts w:ascii="Arial Narrow" w:hAnsi="Arial Narrow"/>
                <w:sz w:val="20"/>
              </w:rPr>
            </w:pPr>
            <w:r w:rsidRPr="0008526E">
              <w:rPr>
                <w:rFonts w:ascii="Arial Narrow" w:hAnsi="Arial Narrow"/>
                <w:sz w:val="20"/>
              </w:rPr>
              <w:t>2</w:t>
            </w:r>
          </w:p>
        </w:tc>
        <w:tc>
          <w:tcPr>
            <w:tcW w:w="845" w:type="pct"/>
            <w:vAlign w:val="center"/>
          </w:tcPr>
          <w:p w:rsidR="00912D22" w:rsidRPr="0008526E" w:rsidRDefault="00912D22" w:rsidP="00973716">
            <w:pPr>
              <w:keepNext/>
              <w:jc w:val="center"/>
              <w:rPr>
                <w:rFonts w:ascii="Arial Narrow" w:hAnsi="Arial Narrow"/>
                <w:sz w:val="20"/>
              </w:rPr>
            </w:pPr>
            <w:r w:rsidRPr="0008526E">
              <w:rPr>
                <w:rFonts w:ascii="Arial Narrow" w:hAnsi="Arial Narrow"/>
                <w:sz w:val="20"/>
              </w:rPr>
              <w:t>$</w:t>
            </w:r>
            <w:r w:rsidR="006025B2">
              <w:rPr>
                <w:rFonts w:ascii="Arial Narrow" w:hAnsi="Arial Narrow"/>
                <w:noProof/>
                <w:color w:val="000000"/>
                <w:sz w:val="20"/>
                <w:highlight w:val="black"/>
              </w:rPr>
              <w:t>''''''''''''''''''''</w:t>
            </w:r>
            <w:r w:rsidRPr="0008526E">
              <w:rPr>
                <w:rFonts w:ascii="Arial Narrow" w:hAnsi="Arial Narrow"/>
                <w:sz w:val="20"/>
              </w:rPr>
              <w:t xml:space="preserve"> published</w:t>
            </w:r>
          </w:p>
          <w:p w:rsidR="00912D22" w:rsidRPr="0008526E" w:rsidRDefault="00912D22" w:rsidP="00973716">
            <w:pPr>
              <w:keepNext/>
              <w:jc w:val="center"/>
              <w:rPr>
                <w:rFonts w:ascii="Arial Narrow" w:hAnsi="Arial Narrow"/>
                <w:sz w:val="20"/>
              </w:rPr>
            </w:pPr>
            <w:r w:rsidRPr="0008526E">
              <w:rPr>
                <w:rFonts w:ascii="Arial Narrow" w:hAnsi="Arial Narrow"/>
                <w:sz w:val="20"/>
              </w:rPr>
              <w:t>$</w:t>
            </w:r>
            <w:r w:rsidR="006025B2">
              <w:rPr>
                <w:rFonts w:ascii="Arial Narrow" w:hAnsi="Arial Narrow"/>
                <w:noProof/>
                <w:color w:val="000000"/>
                <w:sz w:val="20"/>
                <w:highlight w:val="black"/>
              </w:rPr>
              <w:t>''''''''''''''''''''</w:t>
            </w:r>
          </w:p>
          <w:p w:rsidR="00912D22" w:rsidRPr="0008526E" w:rsidRDefault="00912D22" w:rsidP="00973716">
            <w:pPr>
              <w:keepNext/>
              <w:jc w:val="center"/>
              <w:rPr>
                <w:rFonts w:ascii="Arial Narrow" w:hAnsi="Arial Narrow"/>
                <w:sz w:val="20"/>
              </w:rPr>
            </w:pPr>
            <w:r w:rsidRPr="0008526E">
              <w:rPr>
                <w:rFonts w:ascii="Arial Narrow" w:hAnsi="Arial Narrow"/>
                <w:sz w:val="20"/>
              </w:rPr>
              <w:t>effective</w:t>
            </w:r>
          </w:p>
        </w:tc>
        <w:tc>
          <w:tcPr>
            <w:tcW w:w="366" w:type="pct"/>
            <w:vAlign w:val="center"/>
          </w:tcPr>
          <w:p w:rsidR="00912D22" w:rsidRPr="0008526E" w:rsidRDefault="00912D22" w:rsidP="00973716">
            <w:pPr>
              <w:keepNext/>
              <w:jc w:val="center"/>
              <w:rPr>
                <w:rFonts w:ascii="Arial Narrow" w:hAnsi="Arial Narrow"/>
                <w:sz w:val="20"/>
              </w:rPr>
            </w:pPr>
            <w:r w:rsidRPr="0008526E">
              <w:rPr>
                <w:rFonts w:ascii="Arial Narrow" w:hAnsi="Arial Narrow"/>
                <w:sz w:val="20"/>
              </w:rPr>
              <w:t>Stivarga</w:t>
            </w:r>
          </w:p>
        </w:tc>
        <w:tc>
          <w:tcPr>
            <w:tcW w:w="832" w:type="pct"/>
            <w:vAlign w:val="center"/>
          </w:tcPr>
          <w:p w:rsidR="00912D22" w:rsidRPr="0008526E" w:rsidRDefault="00912D22" w:rsidP="00973716">
            <w:pPr>
              <w:keepNext/>
              <w:jc w:val="center"/>
              <w:rPr>
                <w:rFonts w:ascii="Arial Narrow" w:hAnsi="Arial Narrow"/>
                <w:sz w:val="20"/>
              </w:rPr>
            </w:pPr>
            <w:r w:rsidRPr="0008526E">
              <w:rPr>
                <w:rFonts w:ascii="Arial Narrow" w:hAnsi="Arial Narrow"/>
                <w:sz w:val="20"/>
              </w:rPr>
              <w:t>Bayer</w:t>
            </w:r>
          </w:p>
        </w:tc>
      </w:tr>
      <w:tr w:rsidR="00912D22" w:rsidRPr="0008526E" w:rsidTr="0091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912D22" w:rsidRPr="0008526E" w:rsidRDefault="00912D22" w:rsidP="00973716">
            <w:pPr>
              <w:pStyle w:val="Tabletext"/>
              <w:keepNext/>
              <w:rPr>
                <w:lang w:eastAsia="en-AU"/>
              </w:rPr>
            </w:pPr>
            <w:r w:rsidRPr="0008526E">
              <w:rPr>
                <w:lang w:eastAsia="en-AU"/>
              </w:rPr>
              <w:t>Category/Program:</w:t>
            </w:r>
          </w:p>
        </w:tc>
        <w:tc>
          <w:tcPr>
            <w:tcW w:w="3747" w:type="pct"/>
            <w:gridSpan w:val="6"/>
            <w:tcBorders>
              <w:top w:val="single" w:sz="4" w:space="0" w:color="auto"/>
              <w:left w:val="single" w:sz="4" w:space="0" w:color="auto"/>
              <w:bottom w:val="single" w:sz="4" w:space="0" w:color="auto"/>
              <w:right w:val="single" w:sz="4" w:space="0" w:color="auto"/>
            </w:tcBorders>
          </w:tcPr>
          <w:p w:rsidR="00912D22" w:rsidRPr="0008526E" w:rsidRDefault="00704947" w:rsidP="00973716">
            <w:pPr>
              <w:pStyle w:val="Tabletext"/>
              <w:keepNext/>
              <w:rPr>
                <w:lang w:eastAsia="en-AU"/>
              </w:rPr>
            </w:pPr>
            <w:r>
              <w:rPr>
                <w:lang w:eastAsia="en-AU"/>
              </w:rPr>
              <w:t xml:space="preserve">Section 85 </w:t>
            </w:r>
            <w:r w:rsidR="00912D22" w:rsidRPr="0008526E">
              <w:rPr>
                <w:lang w:eastAsia="en-AU"/>
              </w:rPr>
              <w:t>– Authority required</w:t>
            </w:r>
          </w:p>
        </w:tc>
      </w:tr>
      <w:tr w:rsidR="00912D22" w:rsidRPr="0008526E" w:rsidTr="0091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912D22" w:rsidRPr="0008526E" w:rsidRDefault="00912D22" w:rsidP="00973716">
            <w:pPr>
              <w:pStyle w:val="Tabletext"/>
              <w:keepNext/>
              <w:rPr>
                <w:lang w:eastAsia="en-AU"/>
              </w:rPr>
            </w:pPr>
            <w:r w:rsidRPr="0008526E">
              <w:rPr>
                <w:lang w:eastAsia="en-AU"/>
              </w:rPr>
              <w:t>PBS indication:</w:t>
            </w:r>
          </w:p>
        </w:tc>
        <w:tc>
          <w:tcPr>
            <w:tcW w:w="3747" w:type="pct"/>
            <w:gridSpan w:val="6"/>
            <w:tcBorders>
              <w:top w:val="single" w:sz="4" w:space="0" w:color="auto"/>
              <w:left w:val="single" w:sz="4" w:space="0" w:color="auto"/>
              <w:bottom w:val="single" w:sz="4" w:space="0" w:color="auto"/>
              <w:right w:val="single" w:sz="4" w:space="0" w:color="auto"/>
            </w:tcBorders>
          </w:tcPr>
          <w:p w:rsidR="00912D22" w:rsidRPr="0008526E" w:rsidRDefault="00912D22" w:rsidP="00973716">
            <w:pPr>
              <w:pStyle w:val="Tabletext"/>
              <w:keepNext/>
              <w:rPr>
                <w:lang w:eastAsia="en-AU"/>
              </w:rPr>
            </w:pPr>
            <w:r w:rsidRPr="0008526E">
              <w:t>HCC in patients who have been previously treated with sorafenib.</w:t>
            </w:r>
          </w:p>
        </w:tc>
      </w:tr>
      <w:tr w:rsidR="00912D22" w:rsidRPr="0008526E" w:rsidTr="0091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912D22" w:rsidRPr="0008526E" w:rsidRDefault="00912D22" w:rsidP="00973716">
            <w:pPr>
              <w:pStyle w:val="Tabletext"/>
              <w:keepNext/>
              <w:rPr>
                <w:lang w:eastAsia="en-AU"/>
              </w:rPr>
            </w:pPr>
            <w:r w:rsidRPr="0008526E">
              <w:rPr>
                <w:lang w:eastAsia="en-AU"/>
              </w:rPr>
              <w:t>Treatment phase:</w:t>
            </w:r>
          </w:p>
        </w:tc>
        <w:tc>
          <w:tcPr>
            <w:tcW w:w="3747" w:type="pct"/>
            <w:gridSpan w:val="6"/>
            <w:tcBorders>
              <w:top w:val="single" w:sz="4" w:space="0" w:color="auto"/>
              <w:left w:val="single" w:sz="4" w:space="0" w:color="auto"/>
              <w:bottom w:val="single" w:sz="4" w:space="0" w:color="auto"/>
              <w:right w:val="single" w:sz="4" w:space="0" w:color="auto"/>
            </w:tcBorders>
          </w:tcPr>
          <w:p w:rsidR="00912D22" w:rsidRPr="0008526E" w:rsidRDefault="00912D22" w:rsidP="00973716">
            <w:pPr>
              <w:pStyle w:val="Tabletext"/>
              <w:keepNext/>
              <w:rPr>
                <w:lang w:eastAsia="en-AU"/>
              </w:rPr>
            </w:pPr>
            <w:r w:rsidRPr="0008526E">
              <w:rPr>
                <w:lang w:eastAsia="en-AU"/>
              </w:rPr>
              <w:t>Initial and continuing</w:t>
            </w:r>
          </w:p>
        </w:tc>
      </w:tr>
      <w:tr w:rsidR="00912D22" w:rsidRPr="0008526E" w:rsidTr="0091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912D22" w:rsidRPr="0008526E" w:rsidRDefault="00912D22" w:rsidP="00973716">
            <w:pPr>
              <w:pStyle w:val="Tabletext"/>
              <w:keepNext/>
              <w:rPr>
                <w:lang w:eastAsia="en-AU"/>
              </w:rPr>
            </w:pPr>
            <w:r w:rsidRPr="0008526E">
              <w:rPr>
                <w:lang w:eastAsia="en-AU"/>
              </w:rPr>
              <w:t>Restriction:</w:t>
            </w:r>
          </w:p>
        </w:tc>
        <w:tc>
          <w:tcPr>
            <w:tcW w:w="3747" w:type="pct"/>
            <w:gridSpan w:val="6"/>
            <w:tcBorders>
              <w:top w:val="single" w:sz="4" w:space="0" w:color="auto"/>
              <w:left w:val="single" w:sz="4" w:space="0" w:color="auto"/>
              <w:bottom w:val="single" w:sz="4" w:space="0" w:color="auto"/>
              <w:right w:val="single" w:sz="4" w:space="0" w:color="auto"/>
            </w:tcBorders>
          </w:tcPr>
          <w:p w:rsidR="00912D22" w:rsidRPr="0008526E" w:rsidRDefault="00912D22" w:rsidP="00973716">
            <w:pPr>
              <w:pStyle w:val="Tabletext"/>
              <w:keepNext/>
              <w:rPr>
                <w:lang w:eastAsia="en-AU"/>
              </w:rPr>
            </w:pPr>
            <w:r w:rsidRPr="0008526E">
              <w:t>Advanced HCC BCLC Stage C in patients who first received sorafenib treatment at a minimum dose of 400 mg once daily, for a minimum of 20 days</w:t>
            </w:r>
          </w:p>
        </w:tc>
      </w:tr>
      <w:tr w:rsidR="00912D22" w:rsidRPr="0008526E" w:rsidTr="0091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912D22" w:rsidRPr="0008526E" w:rsidRDefault="00912D22" w:rsidP="00973716">
            <w:pPr>
              <w:pStyle w:val="Tabletext"/>
              <w:keepNext/>
              <w:rPr>
                <w:lang w:eastAsia="en-AU"/>
              </w:rPr>
            </w:pPr>
            <w:r w:rsidRPr="0008526E">
              <w:rPr>
                <w:lang w:eastAsia="en-AU"/>
              </w:rPr>
              <w:t>Treatment criteria:</w:t>
            </w:r>
          </w:p>
        </w:tc>
        <w:tc>
          <w:tcPr>
            <w:tcW w:w="3747" w:type="pct"/>
            <w:gridSpan w:val="6"/>
            <w:tcBorders>
              <w:top w:val="single" w:sz="4" w:space="0" w:color="auto"/>
              <w:left w:val="single" w:sz="4" w:space="0" w:color="auto"/>
              <w:bottom w:val="single" w:sz="4" w:space="0" w:color="auto"/>
              <w:right w:val="single" w:sz="4" w:space="0" w:color="auto"/>
            </w:tcBorders>
          </w:tcPr>
          <w:p w:rsidR="00912D22" w:rsidRPr="0008526E" w:rsidRDefault="00E85AC3" w:rsidP="00973716">
            <w:pPr>
              <w:pStyle w:val="Tabletext"/>
              <w:keepNext/>
              <w:rPr>
                <w:lang w:eastAsia="en-AU"/>
              </w:rPr>
            </w:pPr>
            <w:r w:rsidRPr="00377673">
              <w:t>The treatment must be the sole PBS-subsidised therapy for this condition.</w:t>
            </w:r>
          </w:p>
        </w:tc>
      </w:tr>
      <w:tr w:rsidR="00912D22" w:rsidRPr="0008526E" w:rsidTr="00912D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3" w:type="pct"/>
            <w:tcBorders>
              <w:top w:val="single" w:sz="4" w:space="0" w:color="auto"/>
              <w:left w:val="single" w:sz="4" w:space="0" w:color="auto"/>
              <w:bottom w:val="single" w:sz="4" w:space="0" w:color="auto"/>
              <w:right w:val="single" w:sz="4" w:space="0" w:color="auto"/>
            </w:tcBorders>
            <w:hideMark/>
          </w:tcPr>
          <w:p w:rsidR="00912D22" w:rsidRPr="0008526E" w:rsidRDefault="00912D22" w:rsidP="00973716">
            <w:pPr>
              <w:pStyle w:val="Tabletext"/>
              <w:keepNext/>
              <w:rPr>
                <w:lang w:eastAsia="en-AU"/>
              </w:rPr>
            </w:pPr>
            <w:r w:rsidRPr="0008526E">
              <w:rPr>
                <w:lang w:eastAsia="en-AU"/>
              </w:rPr>
              <w:t>Clinical criteria:</w:t>
            </w:r>
          </w:p>
        </w:tc>
        <w:tc>
          <w:tcPr>
            <w:tcW w:w="3747" w:type="pct"/>
            <w:gridSpan w:val="6"/>
            <w:tcBorders>
              <w:top w:val="single" w:sz="4" w:space="0" w:color="auto"/>
              <w:left w:val="single" w:sz="4" w:space="0" w:color="auto"/>
              <w:bottom w:val="single" w:sz="4" w:space="0" w:color="auto"/>
              <w:right w:val="single" w:sz="4" w:space="0" w:color="auto"/>
            </w:tcBorders>
          </w:tcPr>
          <w:p w:rsidR="00912D22" w:rsidRPr="0008526E" w:rsidRDefault="00912D22" w:rsidP="00973716">
            <w:pPr>
              <w:pStyle w:val="Tabletext"/>
              <w:keepNext/>
              <w:rPr>
                <w:lang w:eastAsia="en-AU"/>
              </w:rPr>
            </w:pPr>
            <w:r w:rsidRPr="0008526E">
              <w:rPr>
                <w:rFonts w:cs="Arial"/>
              </w:rPr>
              <w:t>Patient must have a WHO PS of 1 or less, must have Child Pugh class A, must have received prior treatment with sorafenib for a minimum of 20 days at a minimum dose of 400 mg QD and patient must have progressed on sorafenib treatment</w:t>
            </w:r>
          </w:p>
        </w:tc>
      </w:tr>
    </w:tbl>
    <w:p w:rsidR="00912D22" w:rsidRPr="0008526E" w:rsidRDefault="00912D22" w:rsidP="009C362D">
      <w:pPr>
        <w:pStyle w:val="TableFooter"/>
        <w:spacing w:after="120"/>
      </w:pPr>
      <w:r w:rsidRPr="0008526E">
        <w:t>Abbreviations: HCC= hepatocellular carcinoma; Max= maximum; PS= performance status; QD= once daily; Qty= quantity; WHO= World Health Organization</w:t>
      </w:r>
    </w:p>
    <w:p w:rsidR="00912D22" w:rsidRPr="0008526E" w:rsidRDefault="00912D22" w:rsidP="00912D22">
      <w:pPr>
        <w:pStyle w:val="ListParagraph"/>
        <w:widowControl/>
        <w:numPr>
          <w:ilvl w:val="1"/>
          <w:numId w:val="3"/>
        </w:numPr>
      </w:pPr>
      <w:r w:rsidRPr="0008526E">
        <w:t>The submission proposed a special pricing arrangement (SPA)</w:t>
      </w:r>
      <w:r w:rsidR="001709BE" w:rsidRPr="0008526E">
        <w:t>.</w:t>
      </w:r>
      <w:r w:rsidRPr="0008526E">
        <w:t xml:space="preserve"> </w:t>
      </w:r>
    </w:p>
    <w:p w:rsidR="005548DB" w:rsidRPr="0008526E" w:rsidRDefault="00912D22" w:rsidP="00912D22">
      <w:pPr>
        <w:pStyle w:val="ListParagraph"/>
        <w:widowControl/>
        <w:numPr>
          <w:ilvl w:val="1"/>
          <w:numId w:val="3"/>
        </w:numPr>
      </w:pPr>
      <w:r w:rsidRPr="0008526E">
        <w:t xml:space="preserve">The restriction proposed in the submission may not reflect the eligible population in Australia </w:t>
      </w:r>
      <w:r w:rsidR="002B5CAB" w:rsidRPr="0008526E">
        <w:t xml:space="preserve">and may </w:t>
      </w:r>
      <w:r w:rsidR="00CB4B18" w:rsidRPr="0008526E">
        <w:t xml:space="preserve">represent differences in the circumstances of use </w:t>
      </w:r>
      <w:r w:rsidRPr="0008526E">
        <w:t xml:space="preserve">due </w:t>
      </w:r>
      <w:r w:rsidR="00AC1600" w:rsidRPr="0008526E">
        <w:t>to</w:t>
      </w:r>
      <w:r w:rsidR="00B15E56" w:rsidRPr="0008526E">
        <w:t xml:space="preserve">: </w:t>
      </w:r>
    </w:p>
    <w:p w:rsidR="005548DB" w:rsidRPr="0008526E" w:rsidRDefault="005548DB" w:rsidP="00FE66DC">
      <w:pPr>
        <w:pStyle w:val="ListParagraph"/>
        <w:widowControl/>
        <w:numPr>
          <w:ilvl w:val="3"/>
          <w:numId w:val="3"/>
        </w:numPr>
        <w:ind w:left="1134" w:hanging="371"/>
      </w:pPr>
      <w:r w:rsidRPr="0008526E">
        <w:t>D</w:t>
      </w:r>
      <w:r w:rsidR="00B15E56" w:rsidRPr="0008526E">
        <w:t>ifferences in</w:t>
      </w:r>
      <w:r w:rsidR="00912D22" w:rsidRPr="0008526E">
        <w:t xml:space="preserve"> the proposed performance status (PS) criterion. The RESORCE trial enrolled patients with an ECOG ≤ 1 while the current PBS listing for sorafenib is a WHO PS ≤ 2</w:t>
      </w:r>
      <w:r w:rsidR="00B15E56" w:rsidRPr="0008526E">
        <w:t xml:space="preserve">; </w:t>
      </w:r>
    </w:p>
    <w:p w:rsidR="003E101F" w:rsidRPr="00BB19CF" w:rsidRDefault="005548DB" w:rsidP="003E101F">
      <w:pPr>
        <w:pStyle w:val="ListParagraph"/>
        <w:widowControl/>
        <w:numPr>
          <w:ilvl w:val="3"/>
          <w:numId w:val="3"/>
        </w:numPr>
        <w:ind w:left="1134" w:hanging="371"/>
      </w:pPr>
      <w:r w:rsidRPr="0008526E">
        <w:t>T</w:t>
      </w:r>
      <w:r w:rsidR="00912D22" w:rsidRPr="0008526E">
        <w:t>he restriction stated patients should be treated only until progression</w:t>
      </w:r>
      <w:r w:rsidRPr="0008526E">
        <w:t xml:space="preserve">. Within RESORCE, </w:t>
      </w:r>
      <w:r w:rsidR="00912D22" w:rsidRPr="0008526E">
        <w:t>patients w</w:t>
      </w:r>
      <w:r w:rsidRPr="0008526E">
        <w:t>ere</w:t>
      </w:r>
      <w:r w:rsidR="00912D22" w:rsidRPr="0008526E">
        <w:t xml:space="preserve"> allowed to continue treatment after progression if the investigator identified a clinical </w:t>
      </w:r>
      <w:r w:rsidR="00912D22" w:rsidRPr="003606EB">
        <w:t xml:space="preserve">benefit. </w:t>
      </w:r>
      <w:r w:rsidR="0019637E" w:rsidRPr="003606EB">
        <w:t xml:space="preserve">The </w:t>
      </w:r>
      <w:r w:rsidR="007F6CB9" w:rsidRPr="003606EB">
        <w:t>Pre-Sub-committee Response (</w:t>
      </w:r>
      <w:r w:rsidR="0019637E" w:rsidRPr="003606EB">
        <w:t>PSCR</w:t>
      </w:r>
      <w:r w:rsidR="007F6CB9" w:rsidRPr="003606EB">
        <w:t>)</w:t>
      </w:r>
      <w:r w:rsidR="0019637E" w:rsidRPr="003606EB">
        <w:t xml:space="preserve"> </w:t>
      </w:r>
      <w:r w:rsidR="002324C7" w:rsidRPr="003606EB">
        <w:t>proposed</w:t>
      </w:r>
      <w:r w:rsidR="0019637E" w:rsidRPr="003606EB">
        <w:t xml:space="preserve"> the </w:t>
      </w:r>
      <w:r w:rsidR="00072535" w:rsidRPr="003606EB">
        <w:t xml:space="preserve">following </w:t>
      </w:r>
      <w:r w:rsidR="0019637E" w:rsidRPr="003606EB">
        <w:t xml:space="preserve">restriction wording to match the </w:t>
      </w:r>
      <w:r w:rsidR="006142E2" w:rsidRPr="003606EB">
        <w:t xml:space="preserve">inclusion criteria of the </w:t>
      </w:r>
      <w:r w:rsidR="0019637E" w:rsidRPr="003606EB">
        <w:t>RESORCE trial: ‘The patient must only be treated until disease progression OR until no further clinical benefit is observed.’ The</w:t>
      </w:r>
      <w:r w:rsidR="00893435" w:rsidRPr="003606EB">
        <w:t xml:space="preserve"> ESC advised that the more objective criterion ‘Patients must only be treated until disease progression’ be used in the proposed restriction due to the variation in interpretation of ‘clinical benefit’ in practice</w:t>
      </w:r>
      <w:r w:rsidR="002324C7" w:rsidRPr="003606EB">
        <w:t xml:space="preserve">. </w:t>
      </w:r>
      <w:r w:rsidR="003E101F" w:rsidRPr="003E101F">
        <w:rPr>
          <w:rFonts w:cs="Calibri"/>
          <w:snapToGrid/>
          <w:szCs w:val="24"/>
          <w:lang w:val="en-US" w:eastAsia="en-AU"/>
        </w:rPr>
        <w:t xml:space="preserve">In the pre-PBAC response the sponsor proposed </w:t>
      </w:r>
      <w:r w:rsidR="003E101F">
        <w:rPr>
          <w:rFonts w:cs="Calibri"/>
          <w:snapToGrid/>
          <w:szCs w:val="24"/>
          <w:lang w:val="en-US" w:eastAsia="en-AU"/>
        </w:rPr>
        <w:t xml:space="preserve">restriction </w:t>
      </w:r>
      <w:r w:rsidR="003E101F" w:rsidRPr="003E101F">
        <w:rPr>
          <w:rFonts w:cs="Calibri"/>
          <w:snapToGrid/>
          <w:szCs w:val="24"/>
          <w:lang w:val="en-US" w:eastAsia="en-AU"/>
        </w:rPr>
        <w:t xml:space="preserve">wording defining clinical benefit </w:t>
      </w:r>
      <w:r w:rsidR="003E101F">
        <w:rPr>
          <w:rFonts w:cs="Calibri"/>
          <w:snapToGrid/>
          <w:szCs w:val="24"/>
          <w:lang w:val="en-US" w:eastAsia="en-AU"/>
        </w:rPr>
        <w:t>based on the RESORCE trial pro</w:t>
      </w:r>
      <w:r w:rsidR="003E101F" w:rsidRPr="003E101F">
        <w:rPr>
          <w:rFonts w:cs="Calibri"/>
          <w:snapToGrid/>
          <w:szCs w:val="24"/>
          <w:lang w:val="en-US" w:eastAsia="en-AU"/>
        </w:rPr>
        <w:t>tocol, noting</w:t>
      </w:r>
      <w:r w:rsidR="003E101F">
        <w:rPr>
          <w:rFonts w:cs="Calibri"/>
          <w:snapToGrid/>
          <w:szCs w:val="24"/>
          <w:lang w:val="en-US" w:eastAsia="en-AU"/>
        </w:rPr>
        <w:t xml:space="preserve"> however,</w:t>
      </w:r>
      <w:r w:rsidR="003E101F" w:rsidRPr="003E101F">
        <w:rPr>
          <w:rFonts w:cs="Calibri"/>
          <w:snapToGrid/>
          <w:szCs w:val="24"/>
          <w:lang w:val="en-US" w:eastAsia="en-AU"/>
        </w:rPr>
        <w:t xml:space="preserve"> that the sponsor is amenable to the wording proposed by ESC. PBAC agreed with ESC that the most appropriate restriction is ‘Patients must only be treated until disease progression’ as regorafenib is unlikely to be cost effective beyond progression.</w:t>
      </w:r>
    </w:p>
    <w:p w:rsidR="00BB19CF" w:rsidRDefault="00BB19CF" w:rsidP="00BB19CF">
      <w:pPr>
        <w:pStyle w:val="ListParagraph"/>
        <w:widowControl/>
        <w:numPr>
          <w:ilvl w:val="3"/>
          <w:numId w:val="3"/>
        </w:numPr>
        <w:ind w:left="1134" w:hanging="371"/>
      </w:pPr>
      <w:r w:rsidRPr="008646AF">
        <w:t>Although the RESORCE trial excluded patients with a known history of HIV,</w:t>
      </w:r>
      <w:r w:rsidRPr="00EF2ED3">
        <w:t xml:space="preserve"> </w:t>
      </w:r>
      <w:r>
        <w:t>in the pre-PBAC response the sponsor proposed that the eligibility for treatment with regorafenib in this patient population should be managed on a case by case basis with the clinical decision to treat being made between the doctor and the patient. The sponsor noted, however, that it is amenable to include an additional eligibility criterion related to patients HIV status, for example, “</w:t>
      </w:r>
      <w:r w:rsidRPr="00EF2ED3">
        <w:t>Patients must not be HIV immunocompromised</w:t>
      </w:r>
      <w:r>
        <w:t>”.</w:t>
      </w:r>
    </w:p>
    <w:p w:rsidR="00B57E54" w:rsidRPr="00B57E54" w:rsidRDefault="00B57E54" w:rsidP="00B57E54">
      <w:pPr>
        <w:pStyle w:val="BodyText"/>
        <w:rPr>
          <w:i/>
        </w:rPr>
      </w:pPr>
      <w:r w:rsidRPr="006010E6">
        <w:rPr>
          <w:i/>
        </w:rPr>
        <w:lastRenderedPageBreak/>
        <w:t>For more detail on PBAC’s view, see section 7 PBAC outcome.</w:t>
      </w:r>
    </w:p>
    <w:p w:rsidR="00912D22" w:rsidRPr="0008526E" w:rsidRDefault="00912D22" w:rsidP="009C362D">
      <w:pPr>
        <w:pStyle w:val="PBACHeading1"/>
      </w:pPr>
      <w:bookmarkStart w:id="7" w:name="_Toc503166741"/>
      <w:r w:rsidRPr="0008526E">
        <w:t>Background</w:t>
      </w:r>
      <w:bookmarkEnd w:id="7"/>
    </w:p>
    <w:p w:rsidR="00912D22" w:rsidRPr="009C362D" w:rsidRDefault="00912D22" w:rsidP="009C362D">
      <w:pPr>
        <w:pStyle w:val="Heading2"/>
      </w:pPr>
      <w:r w:rsidRPr="009C362D">
        <w:t>Registration status</w:t>
      </w:r>
    </w:p>
    <w:p w:rsidR="00F96AD7" w:rsidRPr="00F96AD7" w:rsidRDefault="00F96AD7" w:rsidP="00F96AD7">
      <w:pPr>
        <w:pStyle w:val="ListParagraph"/>
        <w:widowControl/>
        <w:numPr>
          <w:ilvl w:val="1"/>
          <w:numId w:val="3"/>
        </w:numPr>
        <w:tabs>
          <w:tab w:val="left" w:pos="4111"/>
        </w:tabs>
      </w:pPr>
      <w:r w:rsidRPr="00F96AD7">
        <w:t xml:space="preserve">Regorafenib was </w:t>
      </w:r>
      <w:r w:rsidR="00BC69D5">
        <w:t xml:space="preserve">first TGA registered in 2013. The extension of the indication to include </w:t>
      </w:r>
      <w:r>
        <w:t xml:space="preserve">treatment of patients with HCC who have been previously treated with </w:t>
      </w:r>
      <w:r w:rsidR="00F61467">
        <w:t>sorafenib</w:t>
      </w:r>
      <w:r w:rsidR="00BC69D5">
        <w:t xml:space="preserve"> was effective from</w:t>
      </w:r>
      <w:r w:rsidR="00BC69D5" w:rsidRPr="00F96AD7">
        <w:t xml:space="preserve"> 21 December 2017</w:t>
      </w:r>
      <w:r w:rsidR="00BC69D5">
        <w:t>.</w:t>
      </w:r>
    </w:p>
    <w:p w:rsidR="00912D22" w:rsidRPr="00EE2364" w:rsidRDefault="00912D22" w:rsidP="009C362D">
      <w:pPr>
        <w:pStyle w:val="Heading2"/>
      </w:pPr>
      <w:r w:rsidRPr="00EE2364">
        <w:t>Previous PBAC consideration</w:t>
      </w:r>
    </w:p>
    <w:p w:rsidR="00E104FE" w:rsidRPr="0008526E" w:rsidRDefault="00912D22" w:rsidP="00E1385D">
      <w:pPr>
        <w:pStyle w:val="ListParagraph"/>
        <w:widowControl/>
        <w:numPr>
          <w:ilvl w:val="1"/>
          <w:numId w:val="3"/>
        </w:numPr>
        <w:tabs>
          <w:tab w:val="left" w:pos="4111"/>
        </w:tabs>
      </w:pPr>
      <w:r w:rsidRPr="0008526E">
        <w:t xml:space="preserve">This is the first major submission to the PBAC for regorafenib in the treatment of advanced HCC. </w:t>
      </w:r>
    </w:p>
    <w:p w:rsidR="00E104FE" w:rsidRPr="0008526E" w:rsidRDefault="00E104FE" w:rsidP="00E1385D">
      <w:pPr>
        <w:pStyle w:val="ListParagraph"/>
        <w:widowControl/>
        <w:numPr>
          <w:ilvl w:val="1"/>
          <w:numId w:val="3"/>
        </w:numPr>
        <w:tabs>
          <w:tab w:val="left" w:pos="4111"/>
        </w:tabs>
      </w:pPr>
      <w:r w:rsidRPr="0008526E">
        <w:t>At its July 2014 meeting, t</w:t>
      </w:r>
      <w:r w:rsidR="00FE66DC" w:rsidRPr="0008526E">
        <w:t xml:space="preserve">he PBAC did not recommend the PBS listing for regorafenib for the treatment of metastatic colorectal cancer </w:t>
      </w:r>
      <w:r w:rsidRPr="0008526E">
        <w:t>on the basis that the observed improvement in comparative effectiveness associated with regorafenib was small and of uncertain clinical significance</w:t>
      </w:r>
      <w:r w:rsidR="00773BD7">
        <w:t>,</w:t>
      </w:r>
      <w:r w:rsidRPr="0008526E">
        <w:t xml:space="preserve"> especially in the context of the increase in serious adverse effects associated with treatment. The PBAC had considered that </w:t>
      </w:r>
      <w:r w:rsidR="00CB6553">
        <w:t xml:space="preserve">the </w:t>
      </w:r>
      <w:r w:rsidRPr="0008526E">
        <w:t>most reliable estimate of the incremental cost-effectiveness ratio for regorafenib compared to best supportive care was</w:t>
      </w:r>
      <w:r w:rsidR="001C657B" w:rsidRPr="0008526E">
        <w:t xml:space="preserve"> </w:t>
      </w:r>
      <w:r w:rsidRPr="0008526E">
        <w:t>unacceptably high, particularly given the small incremental benefit (regorafenib Public Summary Document (PSD), July 2014 PBAC meeting).</w:t>
      </w:r>
    </w:p>
    <w:p w:rsidR="00E104FE" w:rsidRDefault="00E104FE" w:rsidP="00B538E5">
      <w:pPr>
        <w:pStyle w:val="ListParagraph"/>
        <w:widowControl/>
        <w:numPr>
          <w:ilvl w:val="1"/>
          <w:numId w:val="3"/>
        </w:numPr>
        <w:tabs>
          <w:tab w:val="left" w:pos="4111"/>
        </w:tabs>
      </w:pPr>
      <w:r w:rsidRPr="00587735">
        <w:t xml:space="preserve">At its March 2015 meeting, the PBAC did not recommend the PBS listing for regorafenib for the treatment of </w:t>
      </w:r>
      <w:r w:rsidR="00C33951" w:rsidRPr="00587735">
        <w:t>gastrointestinal stromal tumours (GIST)</w:t>
      </w:r>
      <w:r w:rsidR="00587735" w:rsidRPr="00587735">
        <w:t xml:space="preserve"> on the basis of uncertain efficacy and cost-effectiveness. The PBAC accepted that regorafenib provides a clinical benefit to patients in terms of PFS, but considered that the adjusted estimates of OS could not be relied upon and the adverse effect profile of regorafenib was not adequately reflected in the model. Given the small clinical benefit due to PFS and the unfavourable safety profile of regorafenib, the PBAC considered that the ICER per QA</w:t>
      </w:r>
      <w:r w:rsidR="00B538E5">
        <w:t xml:space="preserve">LY gained was highly uncertain </w:t>
      </w:r>
      <w:r w:rsidRPr="0008526E">
        <w:t>(regorafenib PSD, March 2015 meeting).</w:t>
      </w:r>
    </w:p>
    <w:p w:rsidR="00CE3210" w:rsidRPr="0008526E" w:rsidRDefault="00912D22" w:rsidP="009C362D">
      <w:pPr>
        <w:pStyle w:val="PBACHeading1"/>
      </w:pPr>
      <w:bookmarkStart w:id="8" w:name="_Toc503166742"/>
      <w:r w:rsidRPr="0008526E">
        <w:t>Population and disease</w:t>
      </w:r>
      <w:bookmarkEnd w:id="8"/>
    </w:p>
    <w:p w:rsidR="00912D22" w:rsidRPr="0008526E" w:rsidRDefault="00912D22" w:rsidP="00912D22">
      <w:pPr>
        <w:pStyle w:val="ListParagraph"/>
        <w:widowControl/>
        <w:numPr>
          <w:ilvl w:val="1"/>
          <w:numId w:val="3"/>
        </w:numPr>
      </w:pPr>
      <w:r w:rsidRPr="0008526E">
        <w:t>HCC is the second-commonest cause of cancer-related death worldwide. It is more common in males and approximately 90% of cases are associated with underlying chronic liv</w:t>
      </w:r>
      <w:r w:rsidR="003B57DA">
        <w:t xml:space="preserve">er disease and liver cirrhosis. </w:t>
      </w:r>
      <w:r w:rsidRPr="0008526E">
        <w:t xml:space="preserve">The most common aetiologies include chronic hepatitis B and C virus (HBV, HCV), alcohol abuse, and aflatoxin exposure. A reduction in the number of HCV cases progressing to cirrhosis (and potentially HCC) since new antiviral therapies became available </w:t>
      </w:r>
      <w:r w:rsidR="00682E10" w:rsidRPr="0008526E">
        <w:t>o</w:t>
      </w:r>
      <w:r w:rsidRPr="0008526E">
        <w:t xml:space="preserve">n the PBS could </w:t>
      </w:r>
      <w:r w:rsidR="00E120A1" w:rsidRPr="0008526E">
        <w:t xml:space="preserve">reduce </w:t>
      </w:r>
      <w:r w:rsidRPr="0008526E">
        <w:t xml:space="preserve">the future incidence of HCC. </w:t>
      </w:r>
      <w:r w:rsidR="00682E10" w:rsidRPr="0008526E">
        <w:t>The p</w:t>
      </w:r>
      <w:r w:rsidRPr="0008526E">
        <w:t xml:space="preserve">revalence of HCC closely mirrors </w:t>
      </w:r>
      <w:r w:rsidR="00682E10" w:rsidRPr="0008526E">
        <w:t xml:space="preserve">it </w:t>
      </w:r>
      <w:r w:rsidRPr="0008526E">
        <w:t>annual incidence, which is consistent with the presentation of patients with HCC typically at a late stage with poor survival prognosis.</w:t>
      </w:r>
      <w:r w:rsidR="003B57DA">
        <w:t xml:space="preserve"> The PBAC noted that liver cancer is the 6</w:t>
      </w:r>
      <w:r w:rsidR="003B57DA" w:rsidRPr="003B57DA">
        <w:rPr>
          <w:vertAlign w:val="superscript"/>
        </w:rPr>
        <w:t>th</w:t>
      </w:r>
      <w:r w:rsidR="003B57DA">
        <w:t xml:space="preserve"> most common cause of cancer death in males and the 9</w:t>
      </w:r>
      <w:r w:rsidR="003B57DA" w:rsidRPr="003B57DA">
        <w:rPr>
          <w:vertAlign w:val="superscript"/>
        </w:rPr>
        <w:t>th</w:t>
      </w:r>
      <w:r w:rsidR="003B57DA">
        <w:t xml:space="preserve"> most common cause of cancer death in females in Australia (AIHW 2017).</w:t>
      </w:r>
    </w:p>
    <w:p w:rsidR="00912D22" w:rsidRPr="0008526E" w:rsidRDefault="00912D22" w:rsidP="00912D22">
      <w:pPr>
        <w:pStyle w:val="ListParagraph"/>
        <w:widowControl/>
        <w:numPr>
          <w:ilvl w:val="1"/>
          <w:numId w:val="3"/>
        </w:numPr>
      </w:pPr>
      <w:r w:rsidRPr="0008526E">
        <w:t>Regorafenib is proposed as a second line treatment of patients who progress following treatment with sorafenib.</w:t>
      </w:r>
    </w:p>
    <w:p w:rsidR="00B57E54" w:rsidRPr="00055788" w:rsidRDefault="00B57E54" w:rsidP="00B57E54">
      <w:pPr>
        <w:pStyle w:val="BodyText"/>
        <w:rPr>
          <w:i/>
        </w:rPr>
      </w:pPr>
      <w:bookmarkStart w:id="9" w:name="_Toc503166743"/>
      <w:r w:rsidRPr="00055788">
        <w:rPr>
          <w:i/>
        </w:rPr>
        <w:t>For more detail on PBAC’s view, see section 7 PBAC outcome.</w:t>
      </w:r>
    </w:p>
    <w:p w:rsidR="00912D22" w:rsidRPr="0008526E" w:rsidRDefault="00912D22" w:rsidP="009C362D">
      <w:pPr>
        <w:pStyle w:val="PBACHeading1"/>
      </w:pPr>
      <w:r w:rsidRPr="0008526E">
        <w:t>Comparator</w:t>
      </w:r>
      <w:bookmarkEnd w:id="9"/>
    </w:p>
    <w:p w:rsidR="00912D22" w:rsidRDefault="00912D22" w:rsidP="00B54DB6">
      <w:pPr>
        <w:pStyle w:val="ListParagraph"/>
        <w:widowControl/>
        <w:numPr>
          <w:ilvl w:val="1"/>
          <w:numId w:val="3"/>
        </w:numPr>
        <w:rPr>
          <w:rFonts w:cs="Calibri"/>
          <w:snapToGrid/>
          <w:szCs w:val="24"/>
          <w:lang w:val="en-US" w:eastAsia="en-AU"/>
        </w:rPr>
      </w:pPr>
      <w:r w:rsidRPr="0008526E">
        <w:rPr>
          <w:rFonts w:cs="Calibri"/>
          <w:snapToGrid/>
          <w:szCs w:val="24"/>
          <w:lang w:val="en-US" w:eastAsia="en-AU"/>
        </w:rPr>
        <w:t xml:space="preserve">The submission nominated BSC as the main comparator. </w:t>
      </w:r>
      <w:r w:rsidR="00B54DB6" w:rsidRPr="0008526E">
        <w:rPr>
          <w:rFonts w:cs="Calibri"/>
          <w:snapToGrid/>
          <w:szCs w:val="24"/>
          <w:lang w:val="en-US" w:eastAsia="en-AU"/>
        </w:rPr>
        <w:t>The RESORCE trial defined BSC as any intervention including concomitant medication</w:t>
      </w:r>
      <w:r w:rsidR="00F74EE0" w:rsidRPr="0008526E">
        <w:rPr>
          <w:rFonts w:cs="Calibri"/>
          <w:snapToGrid/>
          <w:szCs w:val="24"/>
          <w:lang w:val="en-US" w:eastAsia="en-AU"/>
        </w:rPr>
        <w:t>s</w:t>
      </w:r>
      <w:r w:rsidR="00B54DB6" w:rsidRPr="0008526E">
        <w:rPr>
          <w:rFonts w:cs="Calibri"/>
          <w:snapToGrid/>
          <w:szCs w:val="24"/>
          <w:lang w:val="en-US" w:eastAsia="en-AU"/>
        </w:rPr>
        <w:t xml:space="preserve">, medical procedures, psychotherapy, growth factors, palliative surgery or any other symptomatic therapy </w:t>
      </w:r>
      <w:r w:rsidR="003A1542">
        <w:rPr>
          <w:rFonts w:cs="Calibri"/>
          <w:snapToGrid/>
          <w:szCs w:val="24"/>
          <w:lang w:val="en-US" w:eastAsia="en-AU"/>
        </w:rPr>
        <w:t xml:space="preserve">- </w:t>
      </w:r>
      <w:r w:rsidR="00B54DB6" w:rsidRPr="0008526E">
        <w:rPr>
          <w:rFonts w:cs="Calibri"/>
          <w:snapToGrid/>
          <w:szCs w:val="24"/>
          <w:lang w:val="en-US" w:eastAsia="en-AU"/>
        </w:rPr>
        <w:t>except for anti</w:t>
      </w:r>
      <w:r w:rsidR="00B54DB6" w:rsidRPr="0008526E">
        <w:rPr>
          <w:rFonts w:cs="Calibri"/>
          <w:snapToGrid/>
          <w:szCs w:val="24"/>
          <w:lang w:eastAsia="en-AU"/>
        </w:rPr>
        <w:t>-tumour</w:t>
      </w:r>
      <w:r w:rsidR="00B54DB6" w:rsidRPr="0008526E">
        <w:rPr>
          <w:rFonts w:cs="Calibri"/>
          <w:snapToGrid/>
          <w:szCs w:val="24"/>
          <w:lang w:val="en-US" w:eastAsia="en-AU"/>
        </w:rPr>
        <w:t xml:space="preserve"> agents</w:t>
      </w:r>
      <w:r w:rsidR="003A1542">
        <w:rPr>
          <w:rFonts w:cs="Calibri"/>
          <w:snapToGrid/>
          <w:szCs w:val="24"/>
          <w:lang w:val="en-US" w:eastAsia="en-AU"/>
        </w:rPr>
        <w:t>,</w:t>
      </w:r>
      <w:r w:rsidR="00B54DB6" w:rsidRPr="0008526E">
        <w:rPr>
          <w:rFonts w:cs="Calibri"/>
          <w:snapToGrid/>
          <w:szCs w:val="24"/>
          <w:lang w:val="en-US" w:eastAsia="en-AU"/>
        </w:rPr>
        <w:t xml:space="preserve"> anti</w:t>
      </w:r>
      <w:r w:rsidR="003A1542">
        <w:rPr>
          <w:rFonts w:cs="Calibri"/>
          <w:snapToGrid/>
          <w:szCs w:val="24"/>
          <w:lang w:val="en-US" w:eastAsia="en-AU"/>
        </w:rPr>
        <w:t>-</w:t>
      </w:r>
      <w:r w:rsidR="00B54DB6" w:rsidRPr="0008526E">
        <w:rPr>
          <w:rFonts w:cs="Calibri"/>
          <w:snapToGrid/>
          <w:szCs w:val="24"/>
          <w:lang w:val="en-US" w:eastAsia="en-AU"/>
        </w:rPr>
        <w:t>neoplastic chemotherapy, hormonal or immunotherapy</w:t>
      </w:r>
      <w:r w:rsidR="00B54DB6" w:rsidRPr="003606EB">
        <w:rPr>
          <w:rFonts w:cs="Calibri"/>
          <w:snapToGrid/>
          <w:szCs w:val="24"/>
          <w:lang w:val="en-US" w:eastAsia="en-AU"/>
        </w:rPr>
        <w:t xml:space="preserve">. </w:t>
      </w:r>
      <w:r w:rsidRPr="003606EB">
        <w:rPr>
          <w:rFonts w:cs="Calibri"/>
          <w:snapToGrid/>
          <w:szCs w:val="24"/>
          <w:lang w:val="en-US" w:eastAsia="en-AU"/>
        </w:rPr>
        <w:t>Th</w:t>
      </w:r>
      <w:r w:rsidR="003801CB" w:rsidRPr="003606EB">
        <w:rPr>
          <w:rFonts w:cs="Calibri"/>
          <w:snapToGrid/>
          <w:szCs w:val="24"/>
          <w:lang w:val="en-US" w:eastAsia="en-AU"/>
        </w:rPr>
        <w:t xml:space="preserve">e ESC </w:t>
      </w:r>
      <w:r w:rsidR="007056F4">
        <w:rPr>
          <w:rFonts w:cs="Calibri"/>
          <w:snapToGrid/>
          <w:szCs w:val="24"/>
          <w:lang w:val="en-US" w:eastAsia="en-AU"/>
        </w:rPr>
        <w:t xml:space="preserve">and </w:t>
      </w:r>
      <w:r w:rsidR="00AC200B">
        <w:rPr>
          <w:rFonts w:cs="Calibri"/>
          <w:snapToGrid/>
          <w:szCs w:val="24"/>
          <w:lang w:val="en-US" w:eastAsia="en-AU"/>
        </w:rPr>
        <w:t xml:space="preserve">the </w:t>
      </w:r>
      <w:r w:rsidR="007056F4">
        <w:rPr>
          <w:rFonts w:cs="Calibri"/>
          <w:snapToGrid/>
          <w:szCs w:val="24"/>
          <w:lang w:val="en-US" w:eastAsia="en-AU"/>
        </w:rPr>
        <w:t xml:space="preserve">PBAC </w:t>
      </w:r>
      <w:r w:rsidR="003801CB" w:rsidRPr="003606EB">
        <w:rPr>
          <w:rFonts w:cs="Calibri"/>
          <w:snapToGrid/>
          <w:szCs w:val="24"/>
          <w:lang w:val="en-US" w:eastAsia="en-AU"/>
        </w:rPr>
        <w:t xml:space="preserve">considered </w:t>
      </w:r>
      <w:r w:rsidR="00EE2364" w:rsidRPr="003606EB">
        <w:rPr>
          <w:rFonts w:cs="Calibri"/>
          <w:snapToGrid/>
          <w:szCs w:val="24"/>
          <w:lang w:val="en-US" w:eastAsia="en-AU"/>
        </w:rPr>
        <w:t xml:space="preserve">that </w:t>
      </w:r>
      <w:r w:rsidR="003801CB" w:rsidRPr="003606EB">
        <w:rPr>
          <w:rFonts w:cs="Calibri"/>
          <w:snapToGrid/>
          <w:szCs w:val="24"/>
          <w:lang w:val="en-US" w:eastAsia="en-AU"/>
        </w:rPr>
        <w:t>the comparator</w:t>
      </w:r>
      <w:r w:rsidRPr="003606EB">
        <w:rPr>
          <w:rFonts w:cs="Calibri"/>
          <w:snapToGrid/>
          <w:szCs w:val="24"/>
          <w:lang w:val="en-US" w:eastAsia="en-AU"/>
        </w:rPr>
        <w:t xml:space="preserve"> </w:t>
      </w:r>
      <w:r w:rsidR="00B54DB6" w:rsidRPr="003606EB">
        <w:rPr>
          <w:rFonts w:cs="Calibri"/>
          <w:snapToGrid/>
          <w:szCs w:val="24"/>
          <w:lang w:val="en-US" w:eastAsia="en-AU"/>
        </w:rPr>
        <w:t xml:space="preserve">was </w:t>
      </w:r>
      <w:r w:rsidRPr="003606EB">
        <w:rPr>
          <w:rFonts w:cs="Calibri"/>
          <w:snapToGrid/>
          <w:szCs w:val="24"/>
          <w:lang w:val="en-US" w:eastAsia="en-AU"/>
        </w:rPr>
        <w:t>appropriate.</w:t>
      </w:r>
      <w:r w:rsidRPr="00BB59B2">
        <w:rPr>
          <w:rFonts w:cs="Calibri"/>
          <w:snapToGrid/>
          <w:szCs w:val="24"/>
          <w:lang w:val="en-US" w:eastAsia="en-AU"/>
        </w:rPr>
        <w:t xml:space="preserve"> </w:t>
      </w:r>
    </w:p>
    <w:p w:rsidR="00B57E54" w:rsidRPr="00055788" w:rsidRDefault="00B57E54" w:rsidP="00B57E54">
      <w:pPr>
        <w:pStyle w:val="BodyText"/>
        <w:rPr>
          <w:i/>
        </w:rPr>
      </w:pPr>
      <w:r w:rsidRPr="00055788">
        <w:rPr>
          <w:i/>
        </w:rPr>
        <w:t>For more detail on PBAC’s view, see section 7 PBAC outcome.</w:t>
      </w:r>
    </w:p>
    <w:p w:rsidR="00912D22" w:rsidRPr="0008526E" w:rsidRDefault="00912D22" w:rsidP="009C362D">
      <w:pPr>
        <w:pStyle w:val="PBACHeading1"/>
      </w:pPr>
      <w:bookmarkStart w:id="10" w:name="_Toc503166744"/>
      <w:r w:rsidRPr="0008526E">
        <w:t>Consideration of the evidence</w:t>
      </w:r>
      <w:bookmarkEnd w:id="10"/>
    </w:p>
    <w:p w:rsidR="00B57E54" w:rsidRPr="00CE160F" w:rsidRDefault="00B57E54" w:rsidP="009C362D">
      <w:pPr>
        <w:pStyle w:val="Heading2"/>
      </w:pPr>
      <w:bookmarkStart w:id="11" w:name="_Toc503166745"/>
      <w:r w:rsidRPr="00CE160F">
        <w:t>Sponsor hearing</w:t>
      </w:r>
    </w:p>
    <w:p w:rsidR="00B57E54" w:rsidRPr="00CE160F" w:rsidRDefault="00CE160F" w:rsidP="00B57E54">
      <w:pPr>
        <w:numPr>
          <w:ilvl w:val="1"/>
          <w:numId w:val="3"/>
        </w:numPr>
        <w:spacing w:after="120"/>
        <w:rPr>
          <w:rFonts w:asciiTheme="minorHAnsi" w:hAnsiTheme="minorHAnsi"/>
          <w:bCs/>
        </w:rPr>
      </w:pPr>
      <w:r w:rsidRPr="00CE160F">
        <w:rPr>
          <w:rFonts w:asciiTheme="minorHAnsi" w:hAnsiTheme="minorHAnsi"/>
          <w:bCs/>
        </w:rPr>
        <w:t xml:space="preserve"> T</w:t>
      </w:r>
      <w:r w:rsidR="00B57E54" w:rsidRPr="00CE160F">
        <w:rPr>
          <w:rFonts w:asciiTheme="minorHAnsi" w:hAnsiTheme="minorHAnsi"/>
          <w:bCs/>
        </w:rPr>
        <w:t>he</w:t>
      </w:r>
      <w:r w:rsidRPr="00CE160F">
        <w:rPr>
          <w:rFonts w:asciiTheme="minorHAnsi" w:hAnsiTheme="minorHAnsi"/>
          <w:bCs/>
        </w:rPr>
        <w:t>re was no hearing for this item</w:t>
      </w:r>
      <w:r w:rsidR="00B57E54" w:rsidRPr="00CE160F">
        <w:rPr>
          <w:rFonts w:asciiTheme="minorHAnsi" w:hAnsiTheme="minorHAnsi"/>
          <w:bCs/>
        </w:rPr>
        <w:t>.</w:t>
      </w:r>
    </w:p>
    <w:p w:rsidR="00B57E54" w:rsidRPr="00CE160F" w:rsidRDefault="00B57E54" w:rsidP="009C362D">
      <w:pPr>
        <w:pStyle w:val="Heading2"/>
      </w:pPr>
      <w:r w:rsidRPr="00CE160F">
        <w:t>Consumer comments</w:t>
      </w:r>
    </w:p>
    <w:p w:rsidR="00CE160F" w:rsidRPr="00CE160F" w:rsidRDefault="00CE160F" w:rsidP="00CE160F">
      <w:pPr>
        <w:numPr>
          <w:ilvl w:val="1"/>
          <w:numId w:val="3"/>
        </w:numPr>
        <w:spacing w:after="120"/>
        <w:rPr>
          <w:rFonts w:asciiTheme="minorHAnsi" w:hAnsiTheme="minorHAnsi"/>
          <w:bCs/>
        </w:rPr>
      </w:pPr>
      <w:r w:rsidRPr="00CE160F">
        <w:rPr>
          <w:rFonts w:asciiTheme="minorHAnsi" w:hAnsiTheme="minorHAnsi"/>
          <w:bCs/>
        </w:rPr>
        <w:t>The PBAC noted that no consumer comments were received for this item.</w:t>
      </w:r>
    </w:p>
    <w:p w:rsidR="00B57E54" w:rsidRPr="00CE160F" w:rsidRDefault="00B57E54" w:rsidP="00B57E54">
      <w:pPr>
        <w:numPr>
          <w:ilvl w:val="1"/>
          <w:numId w:val="3"/>
        </w:numPr>
        <w:spacing w:after="120"/>
        <w:rPr>
          <w:rFonts w:asciiTheme="minorHAnsi" w:hAnsiTheme="minorHAnsi"/>
          <w:bCs/>
        </w:rPr>
      </w:pPr>
      <w:r w:rsidRPr="00CE160F">
        <w:rPr>
          <w:rFonts w:asciiTheme="minorHAnsi" w:hAnsiTheme="minorHAnsi"/>
          <w:bCs/>
        </w:rPr>
        <w:t xml:space="preserve">The Medical Oncology Group of Australia (MOGA) expressed its </w:t>
      </w:r>
      <w:r w:rsidR="00F723CE" w:rsidRPr="00CE160F">
        <w:rPr>
          <w:rFonts w:asciiTheme="minorHAnsi" w:hAnsiTheme="minorHAnsi"/>
          <w:bCs/>
        </w:rPr>
        <w:t xml:space="preserve">strong </w:t>
      </w:r>
      <w:r w:rsidRPr="00CE160F">
        <w:rPr>
          <w:rFonts w:asciiTheme="minorHAnsi" w:hAnsiTheme="minorHAnsi"/>
          <w:bCs/>
        </w:rPr>
        <w:t xml:space="preserve">support for the </w:t>
      </w:r>
      <w:r w:rsidR="00F723CE" w:rsidRPr="00CE160F">
        <w:rPr>
          <w:rFonts w:asciiTheme="minorHAnsi" w:hAnsiTheme="minorHAnsi"/>
          <w:bCs/>
        </w:rPr>
        <w:t>regorafenib</w:t>
      </w:r>
      <w:r w:rsidRPr="00CE160F">
        <w:rPr>
          <w:rFonts w:asciiTheme="minorHAnsi" w:hAnsiTheme="minorHAnsi"/>
          <w:bCs/>
        </w:rPr>
        <w:t xml:space="preserve"> submission. The PBAC noted that the MOGA presented the European Society for Medical Oncology Magnitude of Clinical Benefit Scale (ESMO-MCBS) for </w:t>
      </w:r>
      <w:r w:rsidR="00F723CE" w:rsidRPr="00CE160F">
        <w:rPr>
          <w:rFonts w:asciiTheme="minorHAnsi" w:hAnsiTheme="minorHAnsi"/>
          <w:bCs/>
        </w:rPr>
        <w:t>regorafenib</w:t>
      </w:r>
      <w:r w:rsidRPr="00CE160F">
        <w:rPr>
          <w:rFonts w:asciiTheme="minorHAnsi" w:hAnsiTheme="minorHAnsi"/>
          <w:bCs/>
        </w:rPr>
        <w:t xml:space="preserve">, which was limited to </w:t>
      </w:r>
      <w:r w:rsidR="00F723CE" w:rsidRPr="00CE160F">
        <w:rPr>
          <w:rFonts w:asciiTheme="minorHAnsi" w:hAnsiTheme="minorHAnsi"/>
          <w:bCs/>
        </w:rPr>
        <w:t>3</w:t>
      </w:r>
      <w:r w:rsidRPr="00CE160F">
        <w:rPr>
          <w:rFonts w:asciiTheme="minorHAnsi" w:hAnsiTheme="minorHAnsi"/>
          <w:bCs/>
        </w:rPr>
        <w:t xml:space="preserve"> (out of a maximum of 5, where 5 and 4 represent the grades with substantial improvement)</w:t>
      </w:r>
      <w:r w:rsidR="00F723CE" w:rsidRPr="00CE160F">
        <w:rPr>
          <w:rStyle w:val="FootnoteReference"/>
          <w:rFonts w:asciiTheme="minorHAnsi" w:hAnsiTheme="minorHAnsi"/>
          <w:bCs/>
        </w:rPr>
        <w:footnoteReference w:id="2"/>
      </w:r>
      <w:r w:rsidRPr="00CE160F">
        <w:rPr>
          <w:rFonts w:asciiTheme="minorHAnsi" w:hAnsiTheme="minorHAnsi"/>
          <w:bCs/>
        </w:rPr>
        <w:t xml:space="preserve">, based on a comparison with </w:t>
      </w:r>
      <w:r w:rsidR="008A4C13" w:rsidRPr="00CE160F">
        <w:rPr>
          <w:rFonts w:asciiTheme="minorHAnsi" w:hAnsiTheme="minorHAnsi"/>
          <w:bCs/>
        </w:rPr>
        <w:t>placebo</w:t>
      </w:r>
      <w:r w:rsidRPr="00CE160F">
        <w:rPr>
          <w:rFonts w:asciiTheme="minorHAnsi" w:hAnsiTheme="minorHAnsi"/>
          <w:bCs/>
        </w:rPr>
        <w:t xml:space="preserve">. </w:t>
      </w:r>
    </w:p>
    <w:p w:rsidR="00912D22" w:rsidRPr="00BB59B2" w:rsidRDefault="00912D22" w:rsidP="009C362D">
      <w:pPr>
        <w:pStyle w:val="Heading2"/>
      </w:pPr>
      <w:r w:rsidRPr="00BB59B2">
        <w:t>Clinical trials</w:t>
      </w:r>
      <w:bookmarkEnd w:id="11"/>
    </w:p>
    <w:p w:rsidR="00912D22" w:rsidRPr="003606EB" w:rsidRDefault="00912D22" w:rsidP="00E120A1">
      <w:pPr>
        <w:pStyle w:val="ListParagraph"/>
        <w:widowControl/>
        <w:numPr>
          <w:ilvl w:val="1"/>
          <w:numId w:val="3"/>
        </w:numPr>
      </w:pPr>
      <w:r w:rsidRPr="0008526E">
        <w:rPr>
          <w:rFonts w:cs="Calibri"/>
          <w:snapToGrid/>
          <w:szCs w:val="24"/>
          <w:lang w:val="en-US" w:eastAsia="en-AU"/>
        </w:rPr>
        <w:t xml:space="preserve">The submission </w:t>
      </w:r>
      <w:r w:rsidR="00682E10" w:rsidRPr="0008526E">
        <w:rPr>
          <w:rFonts w:cs="Calibri"/>
          <w:snapToGrid/>
          <w:szCs w:val="24"/>
          <w:lang w:val="en-US" w:eastAsia="en-AU"/>
        </w:rPr>
        <w:t>wa</w:t>
      </w:r>
      <w:r w:rsidRPr="0008526E">
        <w:rPr>
          <w:rFonts w:cs="Calibri"/>
          <w:snapToGrid/>
          <w:szCs w:val="24"/>
          <w:lang w:val="en-US" w:eastAsia="en-AU"/>
        </w:rPr>
        <w:t xml:space="preserve">s based on one head-to-head trial comparing regorafenib </w:t>
      </w:r>
      <w:r w:rsidR="00E120A1" w:rsidRPr="0008526E">
        <w:rPr>
          <w:rFonts w:cs="Calibri"/>
          <w:snapToGrid/>
          <w:szCs w:val="24"/>
          <w:lang w:val="en-US" w:eastAsia="en-AU"/>
        </w:rPr>
        <w:t xml:space="preserve">with </w:t>
      </w:r>
      <w:r w:rsidR="00682E10" w:rsidRPr="0008526E">
        <w:rPr>
          <w:rFonts w:cs="Calibri"/>
          <w:snapToGrid/>
          <w:szCs w:val="24"/>
          <w:lang w:val="en-US" w:eastAsia="en-AU"/>
        </w:rPr>
        <w:t>BSC</w:t>
      </w:r>
      <w:r w:rsidRPr="0008526E">
        <w:rPr>
          <w:rFonts w:cs="Calibri"/>
          <w:snapToGrid/>
          <w:szCs w:val="24"/>
          <w:lang w:val="en-US" w:eastAsia="en-AU"/>
        </w:rPr>
        <w:t>, RESORCE trial</w:t>
      </w:r>
      <w:r w:rsidR="00682E10" w:rsidRPr="0008526E">
        <w:rPr>
          <w:rFonts w:cs="Calibri"/>
          <w:snapToGrid/>
          <w:szCs w:val="24"/>
          <w:lang w:val="en-US" w:eastAsia="en-AU"/>
        </w:rPr>
        <w:t xml:space="preserve"> (n=573)</w:t>
      </w:r>
      <w:r w:rsidRPr="0008526E">
        <w:rPr>
          <w:rFonts w:cs="Calibri"/>
          <w:snapToGrid/>
          <w:szCs w:val="24"/>
          <w:lang w:val="en-US" w:eastAsia="en-AU"/>
        </w:rPr>
        <w:t xml:space="preserve">. Details of the trial presented in the submission are provided in the table below. </w:t>
      </w:r>
      <w:r w:rsidR="00FC24CB" w:rsidRPr="003606EB">
        <w:rPr>
          <w:rFonts w:cs="Calibri"/>
          <w:snapToGrid/>
          <w:szCs w:val="24"/>
          <w:lang w:val="en-US" w:eastAsia="en-AU"/>
        </w:rPr>
        <w:t xml:space="preserve">The </w:t>
      </w:r>
      <w:r w:rsidR="007F6CB9" w:rsidRPr="003606EB">
        <w:rPr>
          <w:rFonts w:cs="Calibri"/>
          <w:snapToGrid/>
          <w:szCs w:val="24"/>
          <w:lang w:val="en-US" w:eastAsia="en-AU"/>
        </w:rPr>
        <w:t xml:space="preserve">ESC noted that the </w:t>
      </w:r>
      <w:r w:rsidR="00FC24CB" w:rsidRPr="003606EB">
        <w:rPr>
          <w:rFonts w:cs="Calibri"/>
          <w:snapToGrid/>
          <w:szCs w:val="24"/>
          <w:lang w:val="en-US" w:eastAsia="en-AU"/>
        </w:rPr>
        <w:t>PSCR</w:t>
      </w:r>
      <w:r w:rsidR="00714779" w:rsidRPr="003606EB">
        <w:rPr>
          <w:rFonts w:cs="Calibri"/>
          <w:snapToGrid/>
          <w:szCs w:val="24"/>
          <w:lang w:val="en-US" w:eastAsia="en-AU"/>
        </w:rPr>
        <w:t xml:space="preserve"> presented the </w:t>
      </w:r>
      <w:r w:rsidR="00FC24CB" w:rsidRPr="003606EB">
        <w:rPr>
          <w:rFonts w:cs="Calibri"/>
          <w:snapToGrid/>
          <w:szCs w:val="24"/>
          <w:lang w:val="en-US" w:eastAsia="en-AU"/>
        </w:rPr>
        <w:t xml:space="preserve">updated </w:t>
      </w:r>
      <w:r w:rsidR="00AF6B8A" w:rsidRPr="003606EB">
        <w:rPr>
          <w:rFonts w:cs="Calibri"/>
          <w:snapToGrid/>
          <w:szCs w:val="24"/>
          <w:lang w:val="en-US" w:eastAsia="en-AU"/>
        </w:rPr>
        <w:t>overall survival (</w:t>
      </w:r>
      <w:r w:rsidR="00FC24CB" w:rsidRPr="003606EB">
        <w:rPr>
          <w:rFonts w:cs="Calibri"/>
          <w:snapToGrid/>
          <w:szCs w:val="24"/>
          <w:lang w:val="en-US" w:eastAsia="en-AU"/>
        </w:rPr>
        <w:t>OS</w:t>
      </w:r>
      <w:r w:rsidR="00AF6B8A" w:rsidRPr="003606EB">
        <w:rPr>
          <w:rFonts w:cs="Calibri"/>
          <w:snapToGrid/>
          <w:szCs w:val="24"/>
          <w:lang w:val="en-US" w:eastAsia="en-AU"/>
        </w:rPr>
        <w:t>)</w:t>
      </w:r>
      <w:r w:rsidR="00FC24CB" w:rsidRPr="003606EB">
        <w:rPr>
          <w:rFonts w:cs="Calibri"/>
          <w:snapToGrid/>
          <w:szCs w:val="24"/>
          <w:lang w:val="en-US" w:eastAsia="en-AU"/>
        </w:rPr>
        <w:t xml:space="preserve"> results (cut-off date Jan 23, 2017) from </w:t>
      </w:r>
      <w:r w:rsidR="00714779" w:rsidRPr="003606EB">
        <w:rPr>
          <w:rFonts w:cs="Calibri"/>
          <w:snapToGrid/>
          <w:szCs w:val="24"/>
          <w:lang w:val="en-US" w:eastAsia="en-AU"/>
        </w:rPr>
        <w:t xml:space="preserve">the </w:t>
      </w:r>
      <w:r w:rsidR="00FC24CB" w:rsidRPr="003606EB">
        <w:rPr>
          <w:rFonts w:cs="Calibri"/>
          <w:snapToGrid/>
          <w:szCs w:val="24"/>
          <w:lang w:val="en-US" w:eastAsia="en-AU"/>
        </w:rPr>
        <w:t>RESORCE trial, with longer follow-up</w:t>
      </w:r>
      <w:r w:rsidR="00AD596D" w:rsidRPr="003606EB">
        <w:rPr>
          <w:rFonts w:cs="Calibri"/>
          <w:snapToGrid/>
          <w:szCs w:val="24"/>
          <w:lang w:val="en-US" w:eastAsia="en-AU"/>
        </w:rPr>
        <w:t xml:space="preserve">. </w:t>
      </w:r>
      <w:r w:rsidR="009522BE" w:rsidRPr="003606EB">
        <w:rPr>
          <w:rFonts w:cs="Calibri"/>
          <w:snapToGrid/>
          <w:szCs w:val="24"/>
          <w:lang w:val="en-US" w:eastAsia="en-AU"/>
        </w:rPr>
        <w:t>The ESC noted that the data presented in the PSCR w</w:t>
      </w:r>
      <w:r w:rsidR="006142E2" w:rsidRPr="003606EB">
        <w:rPr>
          <w:rFonts w:cs="Calibri"/>
          <w:snapToGrid/>
          <w:szCs w:val="24"/>
          <w:lang w:val="en-US" w:eastAsia="en-AU"/>
        </w:rPr>
        <w:t>ere</w:t>
      </w:r>
      <w:r w:rsidR="009522BE" w:rsidRPr="003606EB">
        <w:rPr>
          <w:rFonts w:cs="Calibri"/>
          <w:snapToGrid/>
          <w:szCs w:val="24"/>
          <w:lang w:val="en-US" w:eastAsia="en-AU"/>
        </w:rPr>
        <w:t xml:space="preserve"> </w:t>
      </w:r>
      <w:r w:rsidR="00714779" w:rsidRPr="003606EB">
        <w:t>not independently evaluated.</w:t>
      </w:r>
    </w:p>
    <w:p w:rsidR="00912D22" w:rsidRPr="0008526E" w:rsidRDefault="00912D22" w:rsidP="005A6BC2">
      <w:pPr>
        <w:widowControl/>
        <w:jc w:val="left"/>
      </w:pPr>
      <w:r w:rsidRPr="0008526E">
        <w:rPr>
          <w:rStyle w:val="CommentReference"/>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7"/>
        <w:gridCol w:w="5808"/>
        <w:gridCol w:w="2138"/>
      </w:tblGrid>
      <w:tr w:rsidR="00912D22" w:rsidRPr="0008526E" w:rsidTr="00912D22">
        <w:trPr>
          <w:tblHeader/>
        </w:trPr>
        <w:tc>
          <w:tcPr>
            <w:tcW w:w="626" w:type="pct"/>
            <w:vAlign w:val="center"/>
          </w:tcPr>
          <w:p w:rsidR="00912D22" w:rsidRPr="0008526E" w:rsidRDefault="00912D22" w:rsidP="00912D22">
            <w:pPr>
              <w:pStyle w:val="Tabletext"/>
              <w:rPr>
                <w:b/>
              </w:rPr>
            </w:pPr>
            <w:r w:rsidRPr="0008526E">
              <w:rPr>
                <w:b/>
              </w:rPr>
              <w:t>Trial ID</w:t>
            </w:r>
          </w:p>
        </w:tc>
        <w:tc>
          <w:tcPr>
            <w:tcW w:w="3197" w:type="pct"/>
            <w:tcBorders>
              <w:bottom w:val="single" w:sz="4" w:space="0" w:color="auto"/>
            </w:tcBorders>
            <w:vAlign w:val="center"/>
          </w:tcPr>
          <w:p w:rsidR="00912D22" w:rsidRPr="0008526E" w:rsidRDefault="00912D22" w:rsidP="00912D22">
            <w:pPr>
              <w:pStyle w:val="Tabletext"/>
              <w:jc w:val="center"/>
              <w:rPr>
                <w:b/>
              </w:rPr>
            </w:pPr>
            <w:r w:rsidRPr="0008526E">
              <w:rPr>
                <w:b/>
              </w:rPr>
              <w:t>Protocol title/ Publication title</w:t>
            </w:r>
          </w:p>
        </w:tc>
        <w:tc>
          <w:tcPr>
            <w:tcW w:w="1177" w:type="pct"/>
            <w:tcBorders>
              <w:bottom w:val="single" w:sz="4" w:space="0" w:color="auto"/>
            </w:tcBorders>
            <w:vAlign w:val="center"/>
          </w:tcPr>
          <w:p w:rsidR="00912D22" w:rsidRPr="0008526E" w:rsidRDefault="00912D22" w:rsidP="00912D22">
            <w:pPr>
              <w:pStyle w:val="Tabletext"/>
              <w:jc w:val="center"/>
              <w:rPr>
                <w:b/>
              </w:rPr>
            </w:pPr>
            <w:r w:rsidRPr="0008526E">
              <w:rPr>
                <w:b/>
              </w:rPr>
              <w:t>Publication citation</w:t>
            </w:r>
          </w:p>
        </w:tc>
      </w:tr>
      <w:tr w:rsidR="00912D22" w:rsidRPr="0008526E" w:rsidTr="00912D22">
        <w:tc>
          <w:tcPr>
            <w:tcW w:w="626" w:type="pct"/>
            <w:tcBorders>
              <w:bottom w:val="nil"/>
            </w:tcBorders>
            <w:vAlign w:val="center"/>
          </w:tcPr>
          <w:p w:rsidR="00912D22" w:rsidRPr="0008526E" w:rsidRDefault="00912D22" w:rsidP="00912D22">
            <w:pPr>
              <w:pStyle w:val="Tabletext"/>
              <w:rPr>
                <w:rFonts w:ascii="Times" w:hAnsi="Times"/>
              </w:rPr>
            </w:pPr>
          </w:p>
        </w:tc>
        <w:tc>
          <w:tcPr>
            <w:tcW w:w="3197" w:type="pct"/>
            <w:tcBorders>
              <w:bottom w:val="nil"/>
            </w:tcBorders>
            <w:vAlign w:val="center"/>
          </w:tcPr>
          <w:p w:rsidR="00912D22" w:rsidRPr="0008526E" w:rsidRDefault="00912D22" w:rsidP="00912D22">
            <w:pPr>
              <w:pStyle w:val="Tabletext"/>
              <w:rPr>
                <w:szCs w:val="18"/>
              </w:rPr>
            </w:pPr>
            <w:r w:rsidRPr="0008526E">
              <w:rPr>
                <w:szCs w:val="18"/>
              </w:rPr>
              <w:t xml:space="preserve">A randomized, double blind, placebo-controlled, multicenter phase III study of regorafenib in patients with hepatocellular carcinoma (HCC) after sorafenib </w:t>
            </w:r>
          </w:p>
        </w:tc>
        <w:tc>
          <w:tcPr>
            <w:tcW w:w="1177" w:type="pct"/>
            <w:tcBorders>
              <w:bottom w:val="nil"/>
            </w:tcBorders>
            <w:vAlign w:val="center"/>
          </w:tcPr>
          <w:p w:rsidR="00912D22" w:rsidRPr="0008526E" w:rsidRDefault="00912D22" w:rsidP="00912D22">
            <w:pPr>
              <w:pStyle w:val="Tabletext"/>
              <w:rPr>
                <w:szCs w:val="18"/>
              </w:rPr>
            </w:pPr>
            <w:r w:rsidRPr="0008526E">
              <w:rPr>
                <w:szCs w:val="18"/>
              </w:rPr>
              <w:t>Bayer Healthcare AG: Clinical Study Report:</w:t>
            </w:r>
          </w:p>
          <w:p w:rsidR="00912D22" w:rsidRPr="0008526E" w:rsidRDefault="00912D22" w:rsidP="00912D22">
            <w:pPr>
              <w:pStyle w:val="Tabletext"/>
              <w:rPr>
                <w:szCs w:val="18"/>
              </w:rPr>
            </w:pPr>
            <w:r w:rsidRPr="0008526E">
              <w:rPr>
                <w:szCs w:val="18"/>
              </w:rPr>
              <w:t>23 September 2016</w:t>
            </w:r>
          </w:p>
          <w:p w:rsidR="00912D22" w:rsidRPr="0008526E" w:rsidRDefault="00912D22" w:rsidP="00912D22">
            <w:pPr>
              <w:jc w:val="left"/>
              <w:rPr>
                <w:rFonts w:ascii="Arial Narrow" w:hAnsi="Arial Narrow" w:cs="Times New Roman"/>
                <w:snapToGrid/>
                <w:sz w:val="20"/>
                <w:szCs w:val="18"/>
              </w:rPr>
            </w:pPr>
            <w:r w:rsidRPr="0008526E">
              <w:rPr>
                <w:rFonts w:ascii="Arial Narrow" w:hAnsi="Arial Narrow" w:cs="Times New Roman"/>
                <w:snapToGrid/>
                <w:sz w:val="20"/>
                <w:szCs w:val="18"/>
              </w:rPr>
              <w:t>ClinicalTrials.gov identifier: NCT01774344</w:t>
            </w:r>
          </w:p>
        </w:tc>
      </w:tr>
      <w:tr w:rsidR="00912D22" w:rsidRPr="0008526E" w:rsidTr="00912D22">
        <w:tc>
          <w:tcPr>
            <w:tcW w:w="626" w:type="pct"/>
            <w:tcBorders>
              <w:top w:val="nil"/>
              <w:bottom w:val="nil"/>
            </w:tcBorders>
            <w:vAlign w:val="center"/>
          </w:tcPr>
          <w:p w:rsidR="00912D22" w:rsidRPr="0008526E" w:rsidRDefault="00912D22" w:rsidP="00912D22">
            <w:pPr>
              <w:pStyle w:val="Tabletext"/>
              <w:jc w:val="center"/>
            </w:pPr>
            <w:r w:rsidRPr="0008526E">
              <w:t>RESORCE</w:t>
            </w:r>
          </w:p>
        </w:tc>
        <w:tc>
          <w:tcPr>
            <w:tcW w:w="3197" w:type="pct"/>
            <w:tcBorders>
              <w:top w:val="nil"/>
              <w:bottom w:val="nil"/>
            </w:tcBorders>
            <w:vAlign w:val="center"/>
          </w:tcPr>
          <w:p w:rsidR="00912D22" w:rsidRPr="0008526E" w:rsidRDefault="00912D22" w:rsidP="00912D22">
            <w:pPr>
              <w:pStyle w:val="Tabletext"/>
              <w:rPr>
                <w:szCs w:val="18"/>
                <w:lang w:eastAsia="en-AU"/>
              </w:rPr>
            </w:pPr>
            <w:r w:rsidRPr="0008526E">
              <w:rPr>
                <w:szCs w:val="18"/>
                <w:lang w:eastAsia="en-AU"/>
              </w:rPr>
              <w:t>Bruix J, Qin S, Merle P, et al. Regorafenib for patients with hepatocellular carcinoma who progressed on sorafenib treatment (RESORCE): a randomised, double-blind, placebo-controlled, phase 3 trial.</w:t>
            </w:r>
          </w:p>
        </w:tc>
        <w:tc>
          <w:tcPr>
            <w:tcW w:w="1177" w:type="pct"/>
            <w:tcBorders>
              <w:top w:val="nil"/>
              <w:bottom w:val="nil"/>
            </w:tcBorders>
            <w:vAlign w:val="center"/>
          </w:tcPr>
          <w:p w:rsidR="00912D22" w:rsidRPr="0008526E" w:rsidRDefault="00912D22" w:rsidP="00912D22">
            <w:pPr>
              <w:pStyle w:val="Tabletext"/>
              <w:rPr>
                <w:szCs w:val="18"/>
                <w:lang w:eastAsia="en-AU"/>
              </w:rPr>
            </w:pPr>
            <w:r w:rsidRPr="0008526E">
              <w:rPr>
                <w:szCs w:val="18"/>
                <w:lang w:eastAsia="en-AU"/>
              </w:rPr>
              <w:t>The Lancet 2017; 389 (10064):56-66.</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 xml:space="preserve">Erratum: Regorafenib for patients with hepatocellular carcinoma who progressed on sorafenib treatment (RESORCE): a randomised, double-blind, placebo-controlled, phase 3 trial.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The Lancet 2017; 389 (10064):36</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s-CL" w:eastAsia="en-AU"/>
              </w:rPr>
              <w:t xml:space="preserve">Bruix J, Finn RS, Kudo M, et al. </w:t>
            </w:r>
            <w:r w:rsidRPr="0008526E">
              <w:rPr>
                <w:szCs w:val="18"/>
                <w:lang w:val="en-US" w:eastAsia="en-AU"/>
              </w:rPr>
              <w:t xml:space="preserve">RESORCE: An ongoing randomized, double-blind, phase III trial of regorafenib (REG) in patients with hepatocellular carcinoma (HCC) progressing on sorafenib (SOR).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Journal of Clinical Oncology 2014; 32 (15).</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s-CL" w:eastAsia="en-AU"/>
              </w:rPr>
              <w:t xml:space="preserve">Bruix J, Merle P, Granito A, et al. </w:t>
            </w:r>
            <w:r w:rsidRPr="0008526E">
              <w:rPr>
                <w:szCs w:val="18"/>
                <w:lang w:val="en-US" w:eastAsia="en-AU"/>
              </w:rPr>
              <w:t xml:space="preserve">Efficacy and safety of regorafenib versus placebo in patients with hepatocellular carcinoma (HCC) progressing on sorafenib: Results of the international, randomized phase 3 RESORCE trial.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Annals of Oncology 2016; 27 ii140-ii141.</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s-CL" w:eastAsia="en-AU"/>
              </w:rPr>
              <w:t xml:space="preserve">Bruix J, Merle P, Granito A, et al. </w:t>
            </w:r>
            <w:r w:rsidRPr="0008526E">
              <w:rPr>
                <w:szCs w:val="18"/>
                <w:lang w:val="en-US" w:eastAsia="en-AU"/>
              </w:rPr>
              <w:t xml:space="preserve">Efficacy, safety, and health-related quality of life (HRQoL) of regorafenib in patients with hepatocellular carcinoma (HCC) progressing on sorafenib: Results of the international, double-blind phase 3 RESORCE trial.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Annals of Oncology 2016; 27</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s-CL" w:eastAsia="en-AU"/>
              </w:rPr>
              <w:t xml:space="preserve">Cheng AL, Finn RS, Kudo M, et al. </w:t>
            </w:r>
            <w:r w:rsidRPr="0008526E">
              <w:rPr>
                <w:szCs w:val="18"/>
                <w:lang w:val="en-US" w:eastAsia="en-AU"/>
              </w:rPr>
              <w:t xml:space="preserve">Regorafenib (REG) in patients with hepatocellular carcinoma (HCC) progressing following sorafenib: An ongoing randomized, double-blind, phase III trial.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Journal of Clinical Oncology 2013; 31 (15).</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s-CL" w:eastAsia="en-AU"/>
              </w:rPr>
              <w:t xml:space="preserve">J. Bruix, P. Merle, A. Granito, et al. </w:t>
            </w:r>
            <w:r w:rsidRPr="0008526E">
              <w:rPr>
                <w:szCs w:val="18"/>
                <w:lang w:val="en-US" w:eastAsia="en-AU"/>
              </w:rPr>
              <w:t xml:space="preserve">Survival by pattern of tumor progression during prior sorafenib (SOR) treatment in patients with hepatocellular carcinoma (HCC) in the phase III RESORCE trial comparing second-line treatment with regorafenib (REG) or placebo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Journal of Clinical Oncology 2017; 35 (4):</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s-CL" w:eastAsia="en-AU"/>
              </w:rPr>
              <w:t xml:space="preserve">R. S. Finn, P. Merle, A. Granito, et al. </w:t>
            </w:r>
            <w:r w:rsidRPr="0008526E">
              <w:rPr>
                <w:szCs w:val="18"/>
                <w:lang w:val="en-US" w:eastAsia="en-AU"/>
              </w:rPr>
              <w:t xml:space="preserve">Outcomes with sorafenib (SOR) followed by regorafenib (REG) or placebo (PBO) for hepatocellular carcinoma (HCC): Results of the international, randomized phase 3 RESORCE trial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Journal of Clinical Oncology 2017; 35 (4):</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s-CL" w:eastAsia="en-AU"/>
              </w:rPr>
              <w:t xml:space="preserve">G. Han, S. Qin, T. Song, et al. </w:t>
            </w:r>
            <w:r w:rsidRPr="0008526E">
              <w:rPr>
                <w:szCs w:val="18"/>
                <w:lang w:val="en-US" w:eastAsia="en-AU"/>
              </w:rPr>
              <w:t xml:space="preserve">Efficacy and safety of regorafenib (REG) versus placebo (PBO) in Chinese patients with hepatocellular carcinoma (HCC) progressing on sorafenib (SOR): Subgroup analysis of the international, randomized phase 3 RESORCE trial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Hepatology International 2017; 11 (1): S9-S10</w:t>
            </w:r>
          </w:p>
        </w:tc>
      </w:tr>
      <w:tr w:rsidR="00912D22" w:rsidRPr="0008526E" w:rsidTr="00912D22">
        <w:tc>
          <w:tcPr>
            <w:tcW w:w="626" w:type="pct"/>
            <w:tcBorders>
              <w:top w:val="nil"/>
              <w:bottom w:val="nil"/>
            </w:tcBorders>
            <w:vAlign w:val="center"/>
          </w:tcPr>
          <w:p w:rsidR="00912D22" w:rsidRPr="0008526E" w:rsidRDefault="00912D22" w:rsidP="00912D22">
            <w:pPr>
              <w:pStyle w:val="Tabletext"/>
            </w:pPr>
          </w:p>
        </w:tc>
        <w:tc>
          <w:tcPr>
            <w:tcW w:w="319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s-CL" w:eastAsia="en-AU"/>
              </w:rPr>
              <w:t>A. Solms, B. Ploeger, I. Reinecke, et al.</w:t>
            </w:r>
            <w:r w:rsidRPr="0008526E">
              <w:rPr>
                <w:szCs w:val="18"/>
                <w:lang w:val="es-CL" w:eastAsia="en-AU"/>
              </w:rPr>
              <w:tab/>
            </w:r>
            <w:r w:rsidRPr="0008526E">
              <w:rPr>
                <w:szCs w:val="18"/>
                <w:lang w:val="en-US" w:eastAsia="en-AU"/>
              </w:rPr>
              <w:t xml:space="preserve">Exposure-response (ER) relationship of regorafenib (REG) in patients with hepatocellular carcinoma (HCC) </w:t>
            </w:r>
          </w:p>
        </w:tc>
        <w:tc>
          <w:tcPr>
            <w:tcW w:w="1177" w:type="pct"/>
            <w:tcBorders>
              <w:top w:val="nil"/>
              <w:bottom w:val="nil"/>
            </w:tcBorders>
            <w:vAlign w:val="center"/>
          </w:tcPr>
          <w:p w:rsidR="00912D22" w:rsidRPr="0008526E" w:rsidRDefault="00912D22" w:rsidP="00912D22">
            <w:pPr>
              <w:pStyle w:val="Tabletext"/>
              <w:rPr>
                <w:szCs w:val="18"/>
                <w:lang w:val="en-US" w:eastAsia="en-AU"/>
              </w:rPr>
            </w:pPr>
            <w:r w:rsidRPr="0008526E">
              <w:rPr>
                <w:szCs w:val="18"/>
                <w:lang w:val="en-US" w:eastAsia="en-AU"/>
              </w:rPr>
              <w:t>Journal of Clinical Oncology 2017; 35 (4):</w:t>
            </w:r>
          </w:p>
        </w:tc>
      </w:tr>
      <w:tr w:rsidR="00912D22" w:rsidRPr="0008526E" w:rsidTr="00912D22">
        <w:tc>
          <w:tcPr>
            <w:tcW w:w="626" w:type="pct"/>
            <w:tcBorders>
              <w:top w:val="nil"/>
              <w:bottom w:val="single" w:sz="4" w:space="0" w:color="auto"/>
            </w:tcBorders>
            <w:vAlign w:val="center"/>
          </w:tcPr>
          <w:p w:rsidR="00912D22" w:rsidRPr="0008526E" w:rsidRDefault="00912D22" w:rsidP="00912D22">
            <w:pPr>
              <w:pStyle w:val="Tabletext"/>
            </w:pPr>
          </w:p>
        </w:tc>
        <w:tc>
          <w:tcPr>
            <w:tcW w:w="3197" w:type="pct"/>
            <w:tcBorders>
              <w:top w:val="nil"/>
              <w:bottom w:val="single" w:sz="4" w:space="0" w:color="auto"/>
            </w:tcBorders>
            <w:vAlign w:val="center"/>
          </w:tcPr>
          <w:p w:rsidR="00912D22" w:rsidRPr="0008526E" w:rsidRDefault="00912D22" w:rsidP="00912D22">
            <w:pPr>
              <w:pStyle w:val="Tabletext"/>
              <w:rPr>
                <w:szCs w:val="18"/>
                <w:lang w:val="en-US" w:eastAsia="en-AU"/>
              </w:rPr>
            </w:pPr>
            <w:r w:rsidRPr="0008526E">
              <w:rPr>
                <w:szCs w:val="18"/>
                <w:lang w:val="es-CL" w:eastAsia="en-AU"/>
              </w:rPr>
              <w:t xml:space="preserve">A. Solms, I. Reinecke, S. Fiala-Buskies, et al. </w:t>
            </w:r>
            <w:r w:rsidRPr="0008526E">
              <w:rPr>
                <w:szCs w:val="18"/>
                <w:lang w:val="en-US" w:eastAsia="en-AU"/>
              </w:rPr>
              <w:t>Exposure-response relationship of regorafenib efficacy in patients with hepatocellular carcinoma.</w:t>
            </w:r>
          </w:p>
        </w:tc>
        <w:tc>
          <w:tcPr>
            <w:tcW w:w="1177" w:type="pct"/>
            <w:tcBorders>
              <w:top w:val="nil"/>
              <w:bottom w:val="single" w:sz="4" w:space="0" w:color="auto"/>
            </w:tcBorders>
            <w:vAlign w:val="center"/>
          </w:tcPr>
          <w:p w:rsidR="00912D22" w:rsidRPr="0008526E" w:rsidRDefault="00912D22" w:rsidP="00912D22">
            <w:pPr>
              <w:pStyle w:val="Tabletext"/>
              <w:rPr>
                <w:szCs w:val="18"/>
                <w:lang w:val="en-US" w:eastAsia="en-AU"/>
              </w:rPr>
            </w:pPr>
            <w:r w:rsidRPr="0008526E">
              <w:rPr>
                <w:szCs w:val="18"/>
                <w:lang w:val="en-US" w:eastAsia="en-AU"/>
              </w:rPr>
              <w:t>European Journal of Pharmaceutical Sciences 2017;</w:t>
            </w:r>
          </w:p>
        </w:tc>
      </w:tr>
    </w:tbl>
    <w:p w:rsidR="00912D22" w:rsidRPr="009C362D" w:rsidRDefault="00912D22" w:rsidP="009C362D">
      <w:pPr>
        <w:pStyle w:val="TableFooter"/>
        <w:spacing w:after="120"/>
        <w:rPr>
          <w:rStyle w:val="CommentReference"/>
          <w:b w:val="0"/>
          <w:sz w:val="18"/>
          <w:szCs w:val="22"/>
        </w:rPr>
      </w:pPr>
      <w:r w:rsidRPr="0008526E">
        <w:t xml:space="preserve">Source: Table 2-10, p. 39-41 of the submission. </w:t>
      </w:r>
    </w:p>
    <w:p w:rsidR="00912D22" w:rsidRPr="0008526E" w:rsidRDefault="00912D22" w:rsidP="00912D22">
      <w:pPr>
        <w:pStyle w:val="ListParagraph"/>
        <w:widowControl/>
        <w:numPr>
          <w:ilvl w:val="1"/>
          <w:numId w:val="3"/>
        </w:numPr>
      </w:pPr>
      <w:r w:rsidRPr="0008526E">
        <w:t xml:space="preserve">The key features of the direct randomised trial are summarised in the table below.  </w:t>
      </w:r>
    </w:p>
    <w:p w:rsidR="00912D22" w:rsidRPr="0008526E" w:rsidRDefault="00912D22" w:rsidP="009D7633">
      <w:pPr>
        <w:keepNext/>
        <w:keepLines/>
        <w:rPr>
          <w:rStyle w:val="CommentReference"/>
        </w:rPr>
      </w:pPr>
      <w:r w:rsidRPr="0008526E">
        <w:rPr>
          <w:rStyle w:val="CommentReference"/>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4"/>
        <w:gridCol w:w="847"/>
        <w:gridCol w:w="1421"/>
        <w:gridCol w:w="1128"/>
        <w:gridCol w:w="1557"/>
        <w:gridCol w:w="1130"/>
        <w:gridCol w:w="1706"/>
      </w:tblGrid>
      <w:tr w:rsidR="00912D22" w:rsidRPr="0008526E" w:rsidTr="00912D22">
        <w:tc>
          <w:tcPr>
            <w:tcW w:w="713" w:type="pct"/>
            <w:shd w:val="clear" w:color="auto" w:fill="auto"/>
            <w:vAlign w:val="center"/>
          </w:tcPr>
          <w:p w:rsidR="00912D22" w:rsidRPr="0008526E" w:rsidRDefault="00912D22" w:rsidP="009D7633">
            <w:pPr>
              <w:pStyle w:val="Tabletext"/>
              <w:keepNext/>
              <w:keepLines/>
              <w:rPr>
                <w:b/>
                <w:lang w:val="en-US"/>
              </w:rPr>
            </w:pPr>
            <w:r w:rsidRPr="0008526E">
              <w:rPr>
                <w:b/>
                <w:lang w:val="en-US"/>
              </w:rPr>
              <w:t>Trial</w:t>
            </w:r>
          </w:p>
        </w:tc>
        <w:tc>
          <w:tcPr>
            <w:tcW w:w="466" w:type="pct"/>
            <w:shd w:val="clear" w:color="auto" w:fill="auto"/>
            <w:vAlign w:val="center"/>
          </w:tcPr>
          <w:p w:rsidR="00912D22" w:rsidRPr="0008526E" w:rsidRDefault="00912D22" w:rsidP="009D7633">
            <w:pPr>
              <w:pStyle w:val="Tabletext"/>
              <w:keepNext/>
              <w:keepLines/>
              <w:jc w:val="center"/>
              <w:rPr>
                <w:b/>
                <w:lang w:val="en-US"/>
              </w:rPr>
            </w:pPr>
            <w:r w:rsidRPr="0008526E">
              <w:rPr>
                <w:b/>
                <w:lang w:val="en-US"/>
              </w:rPr>
              <w:t>N</w:t>
            </w:r>
          </w:p>
        </w:tc>
        <w:tc>
          <w:tcPr>
            <w:tcW w:w="782" w:type="pct"/>
            <w:shd w:val="clear" w:color="auto" w:fill="auto"/>
            <w:vAlign w:val="center"/>
          </w:tcPr>
          <w:p w:rsidR="00912D22" w:rsidRPr="0008526E" w:rsidRDefault="00912D22" w:rsidP="009D7633">
            <w:pPr>
              <w:pStyle w:val="Tabletext"/>
              <w:keepNext/>
              <w:keepLines/>
              <w:jc w:val="center"/>
              <w:rPr>
                <w:b/>
                <w:lang w:val="en-US"/>
              </w:rPr>
            </w:pPr>
            <w:r w:rsidRPr="0008526E">
              <w:rPr>
                <w:b/>
                <w:lang w:val="en-US"/>
              </w:rPr>
              <w:t>Design/ duration</w:t>
            </w:r>
          </w:p>
        </w:tc>
        <w:tc>
          <w:tcPr>
            <w:tcW w:w="621" w:type="pct"/>
            <w:shd w:val="clear" w:color="auto" w:fill="auto"/>
            <w:vAlign w:val="center"/>
          </w:tcPr>
          <w:p w:rsidR="00912D22" w:rsidRPr="0008526E" w:rsidRDefault="00912D22" w:rsidP="009D7633">
            <w:pPr>
              <w:pStyle w:val="Tabletext"/>
              <w:keepNext/>
              <w:keepLines/>
              <w:jc w:val="center"/>
              <w:rPr>
                <w:b/>
                <w:lang w:val="en-US"/>
              </w:rPr>
            </w:pPr>
            <w:r w:rsidRPr="0008526E">
              <w:rPr>
                <w:b/>
                <w:lang w:val="en-US"/>
              </w:rPr>
              <w:t>Risk of bias</w:t>
            </w:r>
          </w:p>
        </w:tc>
        <w:tc>
          <w:tcPr>
            <w:tcW w:w="857" w:type="pct"/>
            <w:shd w:val="clear" w:color="auto" w:fill="auto"/>
            <w:vAlign w:val="center"/>
          </w:tcPr>
          <w:p w:rsidR="00912D22" w:rsidRPr="0008526E" w:rsidRDefault="00912D22" w:rsidP="009D7633">
            <w:pPr>
              <w:pStyle w:val="Tabletext"/>
              <w:keepNext/>
              <w:keepLines/>
              <w:jc w:val="center"/>
              <w:rPr>
                <w:b/>
                <w:lang w:val="en-US"/>
              </w:rPr>
            </w:pPr>
            <w:r w:rsidRPr="0008526E">
              <w:rPr>
                <w:b/>
                <w:lang w:val="en-US"/>
              </w:rPr>
              <w:t>Patient population</w:t>
            </w:r>
          </w:p>
        </w:tc>
        <w:tc>
          <w:tcPr>
            <w:tcW w:w="622" w:type="pct"/>
            <w:shd w:val="clear" w:color="auto" w:fill="auto"/>
            <w:vAlign w:val="center"/>
          </w:tcPr>
          <w:p w:rsidR="00912D22" w:rsidRPr="0008526E" w:rsidRDefault="00912D22" w:rsidP="00CB6553">
            <w:pPr>
              <w:pStyle w:val="Tabletext"/>
              <w:keepNext/>
              <w:keepLines/>
              <w:jc w:val="center"/>
              <w:rPr>
                <w:b/>
                <w:lang w:val="en-US"/>
              </w:rPr>
            </w:pPr>
            <w:r w:rsidRPr="0008526E">
              <w:rPr>
                <w:b/>
                <w:lang w:val="en-US"/>
              </w:rPr>
              <w:t>Outcomes</w:t>
            </w:r>
          </w:p>
        </w:tc>
        <w:tc>
          <w:tcPr>
            <w:tcW w:w="939" w:type="pct"/>
            <w:shd w:val="clear" w:color="auto" w:fill="auto"/>
            <w:vAlign w:val="center"/>
          </w:tcPr>
          <w:p w:rsidR="00912D22" w:rsidRPr="0008526E" w:rsidRDefault="00912D22" w:rsidP="009D7633">
            <w:pPr>
              <w:pStyle w:val="Tabletext"/>
              <w:keepNext/>
              <w:keepLines/>
              <w:jc w:val="center"/>
              <w:rPr>
                <w:b/>
                <w:lang w:val="en-US"/>
              </w:rPr>
            </w:pPr>
            <w:r w:rsidRPr="0008526E">
              <w:rPr>
                <w:b/>
                <w:lang w:val="en-US"/>
              </w:rPr>
              <w:t>Use in modelled evaluation</w:t>
            </w:r>
          </w:p>
        </w:tc>
      </w:tr>
      <w:tr w:rsidR="00912D22" w:rsidRPr="0008526E" w:rsidTr="00912D22">
        <w:tc>
          <w:tcPr>
            <w:tcW w:w="5000" w:type="pct"/>
            <w:gridSpan w:val="7"/>
            <w:shd w:val="clear" w:color="auto" w:fill="auto"/>
            <w:vAlign w:val="center"/>
          </w:tcPr>
          <w:p w:rsidR="00912D22" w:rsidRPr="0008526E" w:rsidRDefault="00912D22" w:rsidP="009D7633">
            <w:pPr>
              <w:pStyle w:val="Tabletext"/>
              <w:keepNext/>
              <w:keepLines/>
              <w:rPr>
                <w:b/>
                <w:lang w:val="en-US"/>
              </w:rPr>
            </w:pPr>
            <w:r w:rsidRPr="0008526E">
              <w:rPr>
                <w:b/>
                <w:lang w:val="en-US"/>
              </w:rPr>
              <w:t>Regorafenib vs. BSC</w:t>
            </w:r>
          </w:p>
        </w:tc>
      </w:tr>
      <w:tr w:rsidR="00912D22" w:rsidRPr="0008526E" w:rsidTr="00912D22">
        <w:tc>
          <w:tcPr>
            <w:tcW w:w="713" w:type="pct"/>
            <w:shd w:val="clear" w:color="auto" w:fill="auto"/>
            <w:vAlign w:val="center"/>
          </w:tcPr>
          <w:p w:rsidR="00912D22" w:rsidRPr="0008526E" w:rsidRDefault="00912D22" w:rsidP="009D7633">
            <w:pPr>
              <w:pStyle w:val="Tabletext"/>
              <w:keepNext/>
              <w:keepLines/>
              <w:rPr>
                <w:lang w:val="en-US"/>
              </w:rPr>
            </w:pPr>
            <w:r w:rsidRPr="0008526E">
              <w:rPr>
                <w:lang w:val="en-US"/>
              </w:rPr>
              <w:t>Bruix 2017</w:t>
            </w:r>
          </w:p>
        </w:tc>
        <w:tc>
          <w:tcPr>
            <w:tcW w:w="466" w:type="pct"/>
            <w:shd w:val="clear" w:color="auto" w:fill="auto"/>
            <w:vAlign w:val="center"/>
          </w:tcPr>
          <w:p w:rsidR="00912D22" w:rsidRPr="0008526E" w:rsidRDefault="00912D22" w:rsidP="009D7633">
            <w:pPr>
              <w:pStyle w:val="Tabletext"/>
              <w:keepNext/>
              <w:keepLines/>
              <w:jc w:val="center"/>
              <w:rPr>
                <w:lang w:val="en-US"/>
              </w:rPr>
            </w:pPr>
            <w:r w:rsidRPr="0008526E">
              <w:rPr>
                <w:lang w:val="en-US"/>
              </w:rPr>
              <w:t>573</w:t>
            </w:r>
          </w:p>
        </w:tc>
        <w:tc>
          <w:tcPr>
            <w:tcW w:w="782" w:type="pct"/>
            <w:shd w:val="clear" w:color="auto" w:fill="auto"/>
            <w:vAlign w:val="center"/>
          </w:tcPr>
          <w:p w:rsidR="00912D22" w:rsidRPr="0008526E" w:rsidRDefault="00912D22" w:rsidP="009D7633">
            <w:pPr>
              <w:pStyle w:val="Tabletext"/>
              <w:keepNext/>
              <w:keepLines/>
              <w:jc w:val="center"/>
              <w:rPr>
                <w:lang w:val="en-US"/>
              </w:rPr>
            </w:pPr>
            <w:r w:rsidRPr="0008526E">
              <w:rPr>
                <w:lang w:val="en-US"/>
              </w:rPr>
              <w:t>R, DB, MC</w:t>
            </w:r>
          </w:p>
          <w:p w:rsidR="00912D22" w:rsidRPr="0008526E" w:rsidRDefault="00912D22" w:rsidP="009D7633">
            <w:pPr>
              <w:pStyle w:val="Tabletext"/>
              <w:keepNext/>
              <w:keepLines/>
              <w:jc w:val="center"/>
              <w:rPr>
                <w:lang w:val="en-US"/>
              </w:rPr>
            </w:pPr>
            <w:r w:rsidRPr="0008526E">
              <w:rPr>
                <w:lang w:val="en-US"/>
              </w:rPr>
              <w:t>33 months</w:t>
            </w:r>
          </w:p>
        </w:tc>
        <w:tc>
          <w:tcPr>
            <w:tcW w:w="621" w:type="pct"/>
            <w:shd w:val="clear" w:color="auto" w:fill="auto"/>
            <w:vAlign w:val="center"/>
          </w:tcPr>
          <w:p w:rsidR="00912D22" w:rsidRPr="0008526E" w:rsidRDefault="00912D22" w:rsidP="009D7633">
            <w:pPr>
              <w:pStyle w:val="Tabletext"/>
              <w:keepNext/>
              <w:keepLines/>
              <w:jc w:val="center"/>
              <w:rPr>
                <w:lang w:val="en-US"/>
              </w:rPr>
            </w:pPr>
            <w:r w:rsidRPr="0008526E">
              <w:rPr>
                <w:lang w:val="en-US"/>
              </w:rPr>
              <w:t>Low</w:t>
            </w:r>
          </w:p>
        </w:tc>
        <w:tc>
          <w:tcPr>
            <w:tcW w:w="857" w:type="pct"/>
            <w:shd w:val="clear" w:color="auto" w:fill="auto"/>
            <w:vAlign w:val="center"/>
          </w:tcPr>
          <w:p w:rsidR="00912D22" w:rsidRPr="0008526E" w:rsidRDefault="00912D22" w:rsidP="009D7633">
            <w:pPr>
              <w:pStyle w:val="Tabletext"/>
              <w:keepNext/>
              <w:keepLines/>
              <w:jc w:val="center"/>
              <w:rPr>
                <w:lang w:val="en-US"/>
              </w:rPr>
            </w:pPr>
            <w:r w:rsidRPr="0008526E">
              <w:rPr>
                <w:lang w:val="en-US"/>
              </w:rPr>
              <w:t>Progressed following sorafenib.</w:t>
            </w:r>
          </w:p>
        </w:tc>
        <w:tc>
          <w:tcPr>
            <w:tcW w:w="622" w:type="pct"/>
            <w:shd w:val="clear" w:color="auto" w:fill="auto"/>
            <w:vAlign w:val="center"/>
          </w:tcPr>
          <w:p w:rsidR="00912D22" w:rsidRPr="0008526E" w:rsidRDefault="00912D22" w:rsidP="009D7633">
            <w:pPr>
              <w:pStyle w:val="Tabletext"/>
              <w:keepNext/>
              <w:keepLines/>
              <w:jc w:val="center"/>
              <w:rPr>
                <w:lang w:val="en-US"/>
              </w:rPr>
            </w:pPr>
            <w:r w:rsidRPr="0008526E">
              <w:rPr>
                <w:lang w:val="en-US"/>
              </w:rPr>
              <w:t>OS, PFS</w:t>
            </w:r>
          </w:p>
        </w:tc>
        <w:tc>
          <w:tcPr>
            <w:tcW w:w="939" w:type="pct"/>
            <w:shd w:val="clear" w:color="auto" w:fill="auto"/>
            <w:vAlign w:val="center"/>
          </w:tcPr>
          <w:p w:rsidR="00912D22" w:rsidRPr="0008526E" w:rsidRDefault="00912D22" w:rsidP="009D7633">
            <w:pPr>
              <w:pStyle w:val="Tabletext"/>
              <w:keepNext/>
              <w:keepLines/>
              <w:jc w:val="center"/>
              <w:rPr>
                <w:lang w:val="en-US"/>
              </w:rPr>
            </w:pPr>
            <w:r w:rsidRPr="0008526E">
              <w:rPr>
                <w:lang w:val="en-US"/>
              </w:rPr>
              <w:t>Survival and progression free gain.</w:t>
            </w:r>
          </w:p>
        </w:tc>
      </w:tr>
    </w:tbl>
    <w:p w:rsidR="00912D22" w:rsidRPr="009C362D" w:rsidRDefault="00912D22" w:rsidP="009C362D">
      <w:pPr>
        <w:pStyle w:val="TableFooter"/>
        <w:keepNext/>
        <w:keepLines/>
        <w:spacing w:after="120"/>
        <w:rPr>
          <w:rStyle w:val="CommentReference"/>
          <w:sz w:val="18"/>
          <w:szCs w:val="18"/>
        </w:rPr>
      </w:pPr>
      <w:r w:rsidRPr="0008526E">
        <w:t>Abbreviations: DB=double blind; MC=multi-centre; OL=open label; OS=overall survival; PFS=progression-free survival; R=randomised.</w:t>
      </w:r>
    </w:p>
    <w:p w:rsidR="00912D22" w:rsidRPr="00E41264" w:rsidRDefault="00912D22" w:rsidP="0082536A">
      <w:pPr>
        <w:pStyle w:val="ListParagraph"/>
        <w:widowControl/>
        <w:numPr>
          <w:ilvl w:val="1"/>
          <w:numId w:val="3"/>
        </w:numPr>
        <w:rPr>
          <w:b/>
        </w:rPr>
      </w:pPr>
      <w:r w:rsidRPr="0008526E">
        <w:t xml:space="preserve">The trial design </w:t>
      </w:r>
      <w:r w:rsidR="001709BE" w:rsidRPr="0008526E">
        <w:t>had</w:t>
      </w:r>
      <w:r w:rsidRPr="0008526E">
        <w:t xml:space="preserve"> a low risk of selection, performance, detection, attrition and reporting bias. </w:t>
      </w:r>
      <w:r w:rsidRPr="003606EB">
        <w:t xml:space="preserve">The </w:t>
      </w:r>
      <w:r w:rsidR="001C5F56" w:rsidRPr="003606EB">
        <w:t>ESC noted that</w:t>
      </w:r>
      <w:r w:rsidR="001C5F56" w:rsidRPr="001C5F56">
        <w:rPr>
          <w:i/>
        </w:rPr>
        <w:t xml:space="preserve"> </w:t>
      </w:r>
      <w:r w:rsidR="001C5F56" w:rsidRPr="003801CB">
        <w:t>the</w:t>
      </w:r>
      <w:r w:rsidR="001C5F56" w:rsidRPr="001C5F56">
        <w:rPr>
          <w:i/>
        </w:rPr>
        <w:t xml:space="preserve"> </w:t>
      </w:r>
      <w:r w:rsidRPr="0008526E">
        <w:t>submission acknowledged that hand-foot reaction is a known adverse event for tyrosine kinase inhibitors, so it was a potential unmasking factor</w:t>
      </w:r>
      <w:r w:rsidR="00682E10" w:rsidRPr="0008526E">
        <w:t xml:space="preserve"> associated with regorafenib treatment</w:t>
      </w:r>
      <w:r w:rsidRPr="0008526E">
        <w:t>.</w:t>
      </w:r>
      <w:r w:rsidR="00364AAC" w:rsidRPr="0008526E">
        <w:t xml:space="preserve"> </w:t>
      </w:r>
      <w:r w:rsidR="00E120A1" w:rsidRPr="0008526E">
        <w:t xml:space="preserve">Patients in RESORCE were permitted to continue treatment beyond progression, at the discretion of the clinical investigator. </w:t>
      </w:r>
    </w:p>
    <w:p w:rsidR="00CD77FE" w:rsidRPr="00CD77FE" w:rsidRDefault="00E41264" w:rsidP="0082536A">
      <w:pPr>
        <w:pStyle w:val="ListParagraph"/>
        <w:widowControl/>
        <w:numPr>
          <w:ilvl w:val="1"/>
          <w:numId w:val="3"/>
        </w:numPr>
        <w:rPr>
          <w:b/>
        </w:rPr>
      </w:pPr>
      <w:r>
        <w:t xml:space="preserve">The PBAC noted that patients included in the RESORCE trial had to meet strict eligibility criteria in terms of Child-Pugh A liver function, </w:t>
      </w:r>
      <w:r w:rsidR="00FD6081">
        <w:t xml:space="preserve">had </w:t>
      </w:r>
      <w:r>
        <w:t xml:space="preserve">tolerated sorafenib 400 mg+ daily for &gt;20 days and did not </w:t>
      </w:r>
      <w:r w:rsidR="00B538E5">
        <w:t>dis</w:t>
      </w:r>
      <w:r>
        <w:t xml:space="preserve">continue for toxicity, ECOG PS 0-1. Patients with HIV, HBC-HCV co-infection were excluded, as were patients with large and untreated oesophageal varices </w:t>
      </w:r>
      <w:r w:rsidR="00FD6081">
        <w:t xml:space="preserve">due to </w:t>
      </w:r>
      <w:r>
        <w:t xml:space="preserve">bleeding risk. </w:t>
      </w:r>
      <w:r w:rsidR="000502BC">
        <w:t>The PBAC noted that patients included in the trial had an average age of 63 years, 38% were recruited in Asia</w:t>
      </w:r>
      <w:r w:rsidR="005F62A6">
        <w:t>,</w:t>
      </w:r>
      <w:r w:rsidR="000502BC">
        <w:t xml:space="preserve"> and </w:t>
      </w:r>
      <w:r w:rsidR="00EE1162">
        <w:t>66% had</w:t>
      </w:r>
      <w:r w:rsidR="000502BC">
        <w:t xml:space="preserve"> an ECOG PS of 0</w:t>
      </w:r>
      <w:r w:rsidR="00EE1162">
        <w:t xml:space="preserve">. </w:t>
      </w:r>
    </w:p>
    <w:p w:rsidR="00E41264" w:rsidRPr="002B4772" w:rsidRDefault="00CD77FE" w:rsidP="002B4772">
      <w:pPr>
        <w:pStyle w:val="ListParagraph"/>
        <w:widowControl/>
        <w:numPr>
          <w:ilvl w:val="1"/>
          <w:numId w:val="3"/>
        </w:numPr>
        <w:rPr>
          <w:b/>
        </w:rPr>
      </w:pPr>
      <w:r>
        <w:t xml:space="preserve">The PBAC noted the comparison between patients in the RESORCE trial and patients with HCC initiated for treatment with sorafenib between 2007 and 2014 in </w:t>
      </w:r>
      <w:r w:rsidR="00C97801">
        <w:t>eight</w:t>
      </w:r>
      <w:r>
        <w:t xml:space="preserve"> Australian tertiary hospitals</w:t>
      </w:r>
      <w:r>
        <w:rPr>
          <w:rStyle w:val="FootnoteReference"/>
        </w:rPr>
        <w:footnoteReference w:id="3"/>
      </w:r>
      <w:r>
        <w:t xml:space="preserve">. </w:t>
      </w:r>
      <w:r w:rsidR="00C97801">
        <w:t>The PBAC noted that a higher proportion of patient</w:t>
      </w:r>
      <w:r w:rsidR="002B4772">
        <w:t>s</w:t>
      </w:r>
      <w:r w:rsidR="00C97801">
        <w:t xml:space="preserve"> in Doyle et al (2016) </w:t>
      </w:r>
      <w:r w:rsidR="005F62A6">
        <w:t xml:space="preserve">compared to patients in the RESORCE trial </w:t>
      </w:r>
      <w:r w:rsidR="00C97801">
        <w:t xml:space="preserve">had </w:t>
      </w:r>
      <w:r w:rsidR="005F62A6">
        <w:t xml:space="preserve">worse </w:t>
      </w:r>
      <w:r w:rsidR="00C97801">
        <w:t>liver function</w:t>
      </w:r>
      <w:r w:rsidR="002B4772">
        <w:t xml:space="preserve"> and </w:t>
      </w:r>
      <w:r w:rsidR="00B538E5">
        <w:t xml:space="preserve">worse </w:t>
      </w:r>
      <w:r w:rsidR="002B4772">
        <w:t xml:space="preserve">ECOG performance </w:t>
      </w:r>
      <w:r w:rsidR="00AE1B72">
        <w:t>status</w:t>
      </w:r>
      <w:r w:rsidR="002B4772">
        <w:t>.</w:t>
      </w:r>
      <w:r w:rsidR="00C97801">
        <w:t xml:space="preserve"> </w:t>
      </w:r>
      <w:r w:rsidR="00EE1162">
        <w:t xml:space="preserve">The PBAC </w:t>
      </w:r>
      <w:r w:rsidR="002B4772">
        <w:t xml:space="preserve">also </w:t>
      </w:r>
      <w:r w:rsidR="00EE1162">
        <w:t>noted that patients in the RESORCE trial</w:t>
      </w:r>
      <w:r w:rsidR="000502BC">
        <w:t xml:space="preserve"> had </w:t>
      </w:r>
      <w:r w:rsidR="00454EF0">
        <w:t>an average treatment duration for</w:t>
      </w:r>
      <w:r w:rsidR="000502BC">
        <w:t xml:space="preserve"> sorafenib of 7.8 months (compared with 5.3 months in the SHARP trial, the pivotal trial for sorafenib</w:t>
      </w:r>
      <w:r w:rsidR="00EE1162">
        <w:t xml:space="preserve"> in HCC</w:t>
      </w:r>
      <w:r w:rsidR="00EF5E33">
        <w:rPr>
          <w:rStyle w:val="FootnoteReference"/>
        </w:rPr>
        <w:footnoteReference w:id="4"/>
      </w:r>
      <w:r w:rsidR="000502BC">
        <w:t>). The PBAC considered that patients recruited into the RESORCE t</w:t>
      </w:r>
      <w:r w:rsidR="00EE1162">
        <w:t>r</w:t>
      </w:r>
      <w:r w:rsidR="000502BC">
        <w:t>ial are likely to be younge</w:t>
      </w:r>
      <w:r w:rsidR="00EE1162">
        <w:t>r and</w:t>
      </w:r>
      <w:r w:rsidR="000502BC">
        <w:t xml:space="preserve"> </w:t>
      </w:r>
      <w:r w:rsidR="00EE1162">
        <w:t>fitter</w:t>
      </w:r>
      <w:r w:rsidR="00C012D9">
        <w:t>, tolerate systemic therapies better,</w:t>
      </w:r>
      <w:r w:rsidR="00EE1162">
        <w:t xml:space="preserve"> </w:t>
      </w:r>
      <w:r w:rsidR="00753C83">
        <w:t xml:space="preserve">and have longer survival, compared to </w:t>
      </w:r>
      <w:r w:rsidR="00EE1162">
        <w:t>the Australian population for the requested listing.</w:t>
      </w:r>
    </w:p>
    <w:p w:rsidR="00912D22" w:rsidRPr="00BB59B2" w:rsidRDefault="00912D22" w:rsidP="009C362D">
      <w:pPr>
        <w:pStyle w:val="Heading2"/>
      </w:pPr>
      <w:bookmarkStart w:id="13" w:name="_Toc503166746"/>
      <w:r w:rsidRPr="00BB59B2">
        <w:t>Comparative effectiveness</w:t>
      </w:r>
      <w:bookmarkEnd w:id="13"/>
    </w:p>
    <w:p w:rsidR="00B54DB6" w:rsidRPr="0008526E" w:rsidRDefault="00912D22" w:rsidP="00B54DB6">
      <w:pPr>
        <w:pStyle w:val="ListParagraph"/>
        <w:widowControl/>
        <w:numPr>
          <w:ilvl w:val="1"/>
          <w:numId w:val="3"/>
        </w:numPr>
        <w:rPr>
          <w:color w:val="3366FF"/>
        </w:rPr>
      </w:pPr>
      <w:r w:rsidRPr="0008526E">
        <w:rPr>
          <w:rFonts w:cs="Calibri"/>
          <w:snapToGrid/>
          <w:szCs w:val="24"/>
          <w:lang w:val="en-US" w:eastAsia="en-AU"/>
        </w:rPr>
        <w:t xml:space="preserve">A significant increase in terms of OS, PFS and </w:t>
      </w:r>
      <w:r w:rsidR="00EE2364">
        <w:rPr>
          <w:rFonts w:cs="Calibri"/>
          <w:snapToGrid/>
          <w:szCs w:val="24"/>
          <w:lang w:val="en-US" w:eastAsia="en-AU"/>
        </w:rPr>
        <w:t>time to progression (</w:t>
      </w:r>
      <w:r w:rsidRPr="0008526E">
        <w:rPr>
          <w:rFonts w:cs="Calibri"/>
          <w:snapToGrid/>
          <w:szCs w:val="24"/>
          <w:lang w:val="en-US" w:eastAsia="en-AU"/>
        </w:rPr>
        <w:t>TTP</w:t>
      </w:r>
      <w:r w:rsidR="00EE2364">
        <w:rPr>
          <w:rFonts w:cs="Calibri"/>
          <w:snapToGrid/>
          <w:szCs w:val="24"/>
          <w:lang w:val="en-US" w:eastAsia="en-AU"/>
        </w:rPr>
        <w:t>)</w:t>
      </w:r>
      <w:r w:rsidRPr="0008526E">
        <w:rPr>
          <w:rFonts w:cs="Calibri"/>
          <w:snapToGrid/>
          <w:szCs w:val="24"/>
          <w:lang w:val="en-US" w:eastAsia="en-AU"/>
        </w:rPr>
        <w:t xml:space="preserve"> was observed for regorafenib compared to BSC. </w:t>
      </w:r>
      <w:r w:rsidR="00682E10" w:rsidRPr="0008526E">
        <w:rPr>
          <w:rFonts w:cs="Calibri"/>
          <w:snapToGrid/>
          <w:szCs w:val="24"/>
          <w:lang w:val="en-US" w:eastAsia="en-AU"/>
        </w:rPr>
        <w:t>T</w:t>
      </w:r>
      <w:r w:rsidRPr="0008526E">
        <w:rPr>
          <w:rFonts w:cs="Calibri"/>
          <w:snapToGrid/>
          <w:szCs w:val="24"/>
          <w:lang w:val="en-US" w:eastAsia="en-AU"/>
        </w:rPr>
        <w:t>he estimated HR</w:t>
      </w:r>
      <w:r w:rsidR="00682E10" w:rsidRPr="0008526E">
        <w:rPr>
          <w:rFonts w:cs="Calibri"/>
          <w:snapToGrid/>
          <w:szCs w:val="24"/>
          <w:lang w:val="en-US" w:eastAsia="en-AU"/>
        </w:rPr>
        <w:t>=</w:t>
      </w:r>
      <w:r w:rsidRPr="0008526E">
        <w:rPr>
          <w:rFonts w:cs="Calibri"/>
          <w:snapToGrid/>
          <w:szCs w:val="24"/>
          <w:lang w:val="en-US" w:eastAsia="en-AU"/>
        </w:rPr>
        <w:t>0.627</w:t>
      </w:r>
      <w:r w:rsidR="00682E10" w:rsidRPr="0008526E">
        <w:rPr>
          <w:rFonts w:cs="Calibri"/>
          <w:snapToGrid/>
          <w:szCs w:val="24"/>
          <w:lang w:val="en-US" w:eastAsia="en-AU"/>
        </w:rPr>
        <w:t xml:space="preserve"> (</w:t>
      </w:r>
      <w:r w:rsidRPr="0008526E">
        <w:rPr>
          <w:rFonts w:cs="Calibri"/>
          <w:snapToGrid/>
          <w:szCs w:val="24"/>
          <w:lang w:val="en-US" w:eastAsia="en-AU"/>
        </w:rPr>
        <w:t>95% CI</w:t>
      </w:r>
      <w:r w:rsidR="00682E10" w:rsidRPr="0008526E">
        <w:rPr>
          <w:rFonts w:cs="Calibri"/>
          <w:snapToGrid/>
          <w:szCs w:val="24"/>
          <w:lang w:val="en-US" w:eastAsia="en-AU"/>
        </w:rPr>
        <w:t>:</w:t>
      </w:r>
      <w:r w:rsidRPr="0008526E">
        <w:rPr>
          <w:rFonts w:cs="Calibri"/>
          <w:snapToGrid/>
          <w:szCs w:val="24"/>
          <w:lang w:val="en-US" w:eastAsia="en-AU"/>
        </w:rPr>
        <w:t xml:space="preserve"> 0.500 - 0.785</w:t>
      </w:r>
      <w:r w:rsidR="00682E10" w:rsidRPr="0008526E">
        <w:rPr>
          <w:rFonts w:cs="Calibri"/>
          <w:snapToGrid/>
          <w:szCs w:val="24"/>
          <w:lang w:val="en-US" w:eastAsia="en-AU"/>
        </w:rPr>
        <w:t>)</w:t>
      </w:r>
      <w:r w:rsidRPr="0008526E">
        <w:rPr>
          <w:rFonts w:cs="Calibri"/>
          <w:snapToGrid/>
          <w:szCs w:val="24"/>
          <w:lang w:val="en-US" w:eastAsia="en-AU"/>
        </w:rPr>
        <w:t xml:space="preserve"> </w:t>
      </w:r>
      <w:r w:rsidR="00682E10" w:rsidRPr="0008526E">
        <w:rPr>
          <w:rFonts w:cs="Calibri"/>
          <w:snapToGrid/>
          <w:szCs w:val="24"/>
          <w:lang w:val="en-US" w:eastAsia="en-AU"/>
        </w:rPr>
        <w:t>for OS</w:t>
      </w:r>
      <w:r w:rsidRPr="0008526E">
        <w:rPr>
          <w:rFonts w:cs="Calibri"/>
          <w:snapToGrid/>
          <w:szCs w:val="24"/>
          <w:lang w:val="en-US" w:eastAsia="en-AU"/>
        </w:rPr>
        <w:t xml:space="preserve"> </w:t>
      </w:r>
      <w:r w:rsidR="00682E10" w:rsidRPr="0008526E">
        <w:rPr>
          <w:rFonts w:cs="Calibri"/>
          <w:snapToGrid/>
          <w:szCs w:val="24"/>
          <w:lang w:val="en-US" w:eastAsia="en-AU"/>
        </w:rPr>
        <w:t xml:space="preserve">and HR=0.455 (95% CI: 0.371-0.558) for PFS, </w:t>
      </w:r>
      <w:r w:rsidRPr="0008526E">
        <w:rPr>
          <w:rFonts w:cs="Calibri"/>
          <w:snapToGrid/>
          <w:szCs w:val="24"/>
          <w:lang w:val="en-US" w:eastAsia="en-AU"/>
        </w:rPr>
        <w:t>implie</w:t>
      </w:r>
      <w:r w:rsidR="00682E10" w:rsidRPr="0008526E">
        <w:rPr>
          <w:rFonts w:cs="Calibri"/>
          <w:snapToGrid/>
          <w:szCs w:val="24"/>
          <w:lang w:val="en-US" w:eastAsia="en-AU"/>
        </w:rPr>
        <w:t>d</w:t>
      </w:r>
      <w:r w:rsidRPr="0008526E">
        <w:rPr>
          <w:rFonts w:cs="Calibri"/>
          <w:snapToGrid/>
          <w:szCs w:val="24"/>
          <w:lang w:val="en-US" w:eastAsia="en-AU"/>
        </w:rPr>
        <w:t xml:space="preserve"> a 37% and 55% reduced </w:t>
      </w:r>
      <w:r w:rsidR="006606F6">
        <w:rPr>
          <w:rFonts w:cs="Calibri"/>
          <w:snapToGrid/>
          <w:szCs w:val="24"/>
          <w:lang w:val="en-US" w:eastAsia="en-AU"/>
        </w:rPr>
        <w:t xml:space="preserve">relative </w:t>
      </w:r>
      <w:r w:rsidRPr="0008526E">
        <w:rPr>
          <w:rFonts w:cs="Calibri"/>
          <w:snapToGrid/>
          <w:szCs w:val="24"/>
          <w:lang w:val="en-US" w:eastAsia="en-AU"/>
        </w:rPr>
        <w:t xml:space="preserve">risk of death and progression in the regorafenib group compared with the </w:t>
      </w:r>
      <w:r w:rsidR="003B1A68" w:rsidRPr="0008526E">
        <w:rPr>
          <w:rFonts w:cs="Calibri"/>
          <w:snapToGrid/>
          <w:szCs w:val="24"/>
          <w:lang w:val="en-US" w:eastAsia="en-AU"/>
        </w:rPr>
        <w:t xml:space="preserve">BSC </w:t>
      </w:r>
      <w:r w:rsidRPr="0008526E">
        <w:rPr>
          <w:rFonts w:cs="Calibri"/>
          <w:snapToGrid/>
          <w:szCs w:val="24"/>
          <w:lang w:val="en-US" w:eastAsia="en-AU"/>
        </w:rPr>
        <w:t>group</w:t>
      </w:r>
      <w:r w:rsidR="00B54DB6" w:rsidRPr="0008526E">
        <w:rPr>
          <w:rFonts w:cs="Calibri"/>
          <w:snapToGrid/>
          <w:szCs w:val="24"/>
          <w:lang w:val="en-US" w:eastAsia="en-AU"/>
        </w:rPr>
        <w:t>,</w:t>
      </w:r>
      <w:r w:rsidRPr="0008526E">
        <w:rPr>
          <w:rFonts w:cs="Calibri"/>
          <w:snapToGrid/>
          <w:szCs w:val="24"/>
          <w:lang w:val="en-US" w:eastAsia="en-AU"/>
        </w:rPr>
        <w:t xml:space="preserve"> respectively. </w:t>
      </w:r>
      <w:r w:rsidR="00B54DB6" w:rsidRPr="0008526E">
        <w:rPr>
          <w:rFonts w:cs="Calibri"/>
          <w:snapToGrid/>
          <w:szCs w:val="24"/>
          <w:lang w:val="en-US" w:eastAsia="en-AU"/>
        </w:rPr>
        <w:t xml:space="preserve">The benefit of regorafenib treatment </w:t>
      </w:r>
      <w:r w:rsidR="006606F6">
        <w:rPr>
          <w:rFonts w:cs="Calibri"/>
          <w:snapToGrid/>
          <w:szCs w:val="24"/>
          <w:lang w:val="en-US" w:eastAsia="en-AU"/>
        </w:rPr>
        <w:t xml:space="preserve">for disease control </w:t>
      </w:r>
      <w:r w:rsidR="00B54DB6" w:rsidRPr="0008526E">
        <w:rPr>
          <w:rFonts w:cs="Calibri"/>
          <w:snapToGrid/>
          <w:szCs w:val="24"/>
          <w:lang w:val="en-US" w:eastAsia="en-AU"/>
        </w:rPr>
        <w:t>was mainly demonstrated in</w:t>
      </w:r>
      <w:r w:rsidR="009A75A3" w:rsidRPr="0008526E">
        <w:rPr>
          <w:rFonts w:cs="Calibri"/>
          <w:snapToGrid/>
          <w:szCs w:val="24"/>
          <w:lang w:val="en-US" w:eastAsia="en-AU"/>
        </w:rPr>
        <w:t xml:space="preserve"> </w:t>
      </w:r>
      <w:r w:rsidR="00EF5E33">
        <w:rPr>
          <w:rFonts w:cs="Calibri"/>
          <w:snapToGrid/>
          <w:szCs w:val="24"/>
          <w:lang w:val="en-US" w:eastAsia="en-AU"/>
        </w:rPr>
        <w:t xml:space="preserve">the </w:t>
      </w:r>
      <w:r w:rsidR="006606F6">
        <w:rPr>
          <w:rFonts w:cs="Calibri"/>
          <w:snapToGrid/>
          <w:szCs w:val="24"/>
          <w:lang w:val="en-US" w:eastAsia="en-AU"/>
        </w:rPr>
        <w:t xml:space="preserve">proportion of </w:t>
      </w:r>
      <w:r w:rsidR="00B54DB6" w:rsidRPr="0008526E">
        <w:rPr>
          <w:rFonts w:cs="Calibri"/>
          <w:snapToGrid/>
          <w:szCs w:val="24"/>
          <w:lang w:val="en-US" w:eastAsia="en-AU"/>
        </w:rPr>
        <w:t>patients achieving stable disease (54.4% versus 32% in the BSC group)</w:t>
      </w:r>
      <w:r w:rsidR="006606F6">
        <w:rPr>
          <w:rFonts w:cs="Calibri"/>
          <w:snapToGrid/>
          <w:szCs w:val="24"/>
          <w:lang w:val="en-US" w:eastAsia="en-AU"/>
        </w:rPr>
        <w:t>, with an objective response occurring in only 11% of patients treated with regorafenib</w:t>
      </w:r>
      <w:r w:rsidR="0045262B">
        <w:rPr>
          <w:rFonts w:cs="Calibri"/>
          <w:snapToGrid/>
          <w:szCs w:val="24"/>
          <w:lang w:val="en-US" w:eastAsia="en-AU"/>
        </w:rPr>
        <w:t xml:space="preserve"> (versus 4% in the BSC group)</w:t>
      </w:r>
      <w:r w:rsidR="00B54DB6" w:rsidRPr="0008526E">
        <w:rPr>
          <w:rFonts w:cs="Calibri"/>
          <w:snapToGrid/>
          <w:szCs w:val="24"/>
          <w:lang w:val="en-US" w:eastAsia="en-AU"/>
        </w:rPr>
        <w:t xml:space="preserve">. </w:t>
      </w:r>
    </w:p>
    <w:p w:rsidR="00912D22" w:rsidRPr="0008526E" w:rsidRDefault="00912D22" w:rsidP="00086578">
      <w:pPr>
        <w:keepNext/>
        <w:keepLines/>
        <w:rPr>
          <w:rStyle w:val="CommentReference"/>
        </w:rPr>
      </w:pPr>
      <w:r w:rsidRPr="0008526E">
        <w:rPr>
          <w:rStyle w:val="CommentReference"/>
        </w:rPr>
        <w:t>Table 4: Results of overall survival, progression free survival and time to progression in the RESORCE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
        <w:gridCol w:w="985"/>
        <w:gridCol w:w="1264"/>
        <w:gridCol w:w="1157"/>
        <w:gridCol w:w="1264"/>
        <w:gridCol w:w="977"/>
        <w:gridCol w:w="1119"/>
        <w:gridCol w:w="1350"/>
      </w:tblGrid>
      <w:tr w:rsidR="00912D22" w:rsidRPr="0008526E" w:rsidTr="00912D22">
        <w:trPr>
          <w:trHeight w:val="637"/>
          <w:tblHeader/>
        </w:trPr>
        <w:tc>
          <w:tcPr>
            <w:tcW w:w="532" w:type="pct"/>
            <w:vAlign w:val="center"/>
          </w:tcPr>
          <w:p w:rsidR="00912D22" w:rsidRPr="0008526E" w:rsidRDefault="00912D22" w:rsidP="00912D22">
            <w:pPr>
              <w:pStyle w:val="Tabletext"/>
              <w:rPr>
                <w:b/>
              </w:rPr>
            </w:pPr>
            <w:r w:rsidRPr="0008526E">
              <w:rPr>
                <w:b/>
              </w:rPr>
              <w:t>Trial ID: RESORCE</w:t>
            </w:r>
          </w:p>
        </w:tc>
        <w:tc>
          <w:tcPr>
            <w:tcW w:w="542" w:type="pct"/>
            <w:vAlign w:val="center"/>
          </w:tcPr>
          <w:p w:rsidR="00912D22" w:rsidRPr="0008526E" w:rsidRDefault="00912D22" w:rsidP="00912D22">
            <w:pPr>
              <w:pStyle w:val="Tabletext"/>
              <w:jc w:val="center"/>
              <w:rPr>
                <w:b/>
                <w:iCs/>
                <w:lang w:val="en-US"/>
              </w:rPr>
            </w:pPr>
            <w:r w:rsidRPr="0008526E">
              <w:rPr>
                <w:b/>
                <w:iCs/>
                <w:lang w:val="en-US"/>
              </w:rPr>
              <w:t>Reg</w:t>
            </w:r>
          </w:p>
          <w:p w:rsidR="00912D22" w:rsidRPr="0008526E" w:rsidRDefault="00912D22" w:rsidP="00912D22">
            <w:pPr>
              <w:pStyle w:val="Tabletext"/>
              <w:jc w:val="center"/>
              <w:rPr>
                <w:b/>
                <w:lang w:val="en-US"/>
              </w:rPr>
            </w:pPr>
            <w:r w:rsidRPr="0008526E">
              <w:rPr>
                <w:b/>
                <w:iCs/>
                <w:lang w:val="en-US"/>
              </w:rPr>
              <w:t>n/N with event (%)</w:t>
            </w:r>
          </w:p>
        </w:tc>
        <w:tc>
          <w:tcPr>
            <w:tcW w:w="696" w:type="pct"/>
            <w:vAlign w:val="center"/>
          </w:tcPr>
          <w:p w:rsidR="00912D22" w:rsidRPr="0008526E" w:rsidRDefault="00912D22" w:rsidP="00912D22">
            <w:pPr>
              <w:pStyle w:val="Tabletext"/>
              <w:jc w:val="center"/>
              <w:rPr>
                <w:b/>
                <w:lang w:val="en-US"/>
              </w:rPr>
            </w:pPr>
            <w:r w:rsidRPr="0008526E">
              <w:rPr>
                <w:b/>
                <w:lang w:val="en-US"/>
              </w:rPr>
              <w:t>Reg</w:t>
            </w:r>
          </w:p>
          <w:p w:rsidR="00912D22" w:rsidRPr="0008526E" w:rsidRDefault="00912D22" w:rsidP="00912D22">
            <w:pPr>
              <w:pStyle w:val="Tabletext"/>
              <w:jc w:val="center"/>
              <w:rPr>
                <w:b/>
                <w:lang w:val="en-US"/>
              </w:rPr>
            </w:pPr>
            <w:r w:rsidRPr="0008526E">
              <w:rPr>
                <w:b/>
                <w:lang w:val="en-US"/>
              </w:rPr>
              <w:t>Median time to event (95% CI)</w:t>
            </w:r>
          </w:p>
        </w:tc>
        <w:tc>
          <w:tcPr>
            <w:tcW w:w="637" w:type="pct"/>
            <w:vAlign w:val="center"/>
          </w:tcPr>
          <w:p w:rsidR="00912D22" w:rsidRPr="0008526E" w:rsidRDefault="00912D22" w:rsidP="00912D22">
            <w:pPr>
              <w:pStyle w:val="Tabletext"/>
              <w:jc w:val="center"/>
              <w:rPr>
                <w:b/>
                <w:iCs/>
                <w:lang w:val="en-US"/>
              </w:rPr>
            </w:pPr>
            <w:r w:rsidRPr="0008526E">
              <w:rPr>
                <w:b/>
                <w:iCs/>
                <w:lang w:val="en-US"/>
              </w:rPr>
              <w:t>BSC</w:t>
            </w:r>
          </w:p>
          <w:p w:rsidR="00912D22" w:rsidRPr="0008526E" w:rsidRDefault="00912D22" w:rsidP="00912D22">
            <w:pPr>
              <w:pStyle w:val="Tabletext"/>
              <w:jc w:val="center"/>
              <w:rPr>
                <w:b/>
                <w:lang w:val="en-US"/>
              </w:rPr>
            </w:pPr>
            <w:r w:rsidRPr="0008526E">
              <w:rPr>
                <w:b/>
                <w:iCs/>
                <w:lang w:val="en-US"/>
              </w:rPr>
              <w:t>n/N with event (%)</w:t>
            </w:r>
          </w:p>
        </w:tc>
        <w:tc>
          <w:tcPr>
            <w:tcW w:w="696" w:type="pct"/>
            <w:vAlign w:val="center"/>
          </w:tcPr>
          <w:p w:rsidR="00912D22" w:rsidRPr="0008526E" w:rsidRDefault="00912D22" w:rsidP="00912D22">
            <w:pPr>
              <w:pStyle w:val="Tabletext"/>
              <w:jc w:val="center"/>
              <w:rPr>
                <w:b/>
                <w:lang w:val="en-US"/>
              </w:rPr>
            </w:pPr>
            <w:r w:rsidRPr="0008526E">
              <w:rPr>
                <w:b/>
                <w:lang w:val="en-US"/>
              </w:rPr>
              <w:t>BSC</w:t>
            </w:r>
          </w:p>
          <w:p w:rsidR="00912D22" w:rsidRPr="0008526E" w:rsidRDefault="00912D22" w:rsidP="00912D22">
            <w:pPr>
              <w:pStyle w:val="Tabletext"/>
              <w:jc w:val="center"/>
              <w:rPr>
                <w:b/>
                <w:lang w:val="en-US"/>
              </w:rPr>
            </w:pPr>
            <w:r w:rsidRPr="0008526E">
              <w:rPr>
                <w:b/>
                <w:lang w:val="en-US"/>
              </w:rPr>
              <w:t>Median time to event (95% CI)</w:t>
            </w:r>
          </w:p>
        </w:tc>
        <w:tc>
          <w:tcPr>
            <w:tcW w:w="538" w:type="pct"/>
            <w:vAlign w:val="center"/>
          </w:tcPr>
          <w:p w:rsidR="00912D22" w:rsidRPr="0008526E" w:rsidRDefault="00912D22" w:rsidP="00912D22">
            <w:pPr>
              <w:pStyle w:val="Tabletext"/>
              <w:jc w:val="center"/>
              <w:rPr>
                <w:b/>
                <w:lang w:val="en-US"/>
              </w:rPr>
            </w:pPr>
            <w:r w:rsidRPr="0008526E">
              <w:rPr>
                <w:b/>
                <w:iCs/>
                <w:lang w:val="en-US"/>
              </w:rPr>
              <w:t>Difference months (95% CI)</w:t>
            </w:r>
          </w:p>
        </w:tc>
        <w:tc>
          <w:tcPr>
            <w:tcW w:w="616" w:type="pct"/>
            <w:vAlign w:val="center"/>
          </w:tcPr>
          <w:p w:rsidR="00912D22" w:rsidRPr="0008526E" w:rsidRDefault="00912D22" w:rsidP="00912D22">
            <w:pPr>
              <w:pStyle w:val="Tabletext"/>
              <w:jc w:val="center"/>
              <w:rPr>
                <w:b/>
                <w:lang w:val="en-US"/>
              </w:rPr>
            </w:pPr>
            <w:r w:rsidRPr="0008526E">
              <w:rPr>
                <w:b/>
                <w:lang w:val="en-US"/>
              </w:rPr>
              <w:t xml:space="preserve">P value </w:t>
            </w:r>
          </w:p>
          <w:p w:rsidR="00912D22" w:rsidRPr="0008526E" w:rsidRDefault="00912D22" w:rsidP="00912D22">
            <w:pPr>
              <w:pStyle w:val="Tabletext"/>
              <w:jc w:val="center"/>
              <w:rPr>
                <w:b/>
                <w:lang w:val="en-US"/>
              </w:rPr>
            </w:pPr>
            <w:r w:rsidRPr="0008526E">
              <w:rPr>
                <w:b/>
                <w:lang w:val="en-US"/>
              </w:rPr>
              <w:t>(log rank test)</w:t>
            </w:r>
          </w:p>
        </w:tc>
        <w:tc>
          <w:tcPr>
            <w:tcW w:w="743" w:type="pct"/>
            <w:vAlign w:val="center"/>
          </w:tcPr>
          <w:p w:rsidR="00912D22" w:rsidRPr="0008526E" w:rsidRDefault="00912D22" w:rsidP="00912D22">
            <w:pPr>
              <w:pStyle w:val="Tabletext"/>
              <w:jc w:val="center"/>
              <w:rPr>
                <w:b/>
                <w:iCs/>
                <w:lang w:val="en-US"/>
              </w:rPr>
            </w:pPr>
            <w:r w:rsidRPr="0008526E">
              <w:rPr>
                <w:b/>
                <w:iCs/>
                <w:lang w:val="en-US"/>
              </w:rPr>
              <w:t>HR</w:t>
            </w:r>
          </w:p>
          <w:p w:rsidR="00912D22" w:rsidRPr="0008526E" w:rsidRDefault="00912D22" w:rsidP="00912D22">
            <w:pPr>
              <w:pStyle w:val="Tabletext"/>
              <w:jc w:val="center"/>
              <w:rPr>
                <w:b/>
                <w:lang w:val="en-US"/>
              </w:rPr>
            </w:pPr>
            <w:r w:rsidRPr="0008526E">
              <w:rPr>
                <w:b/>
                <w:iCs/>
                <w:lang w:val="en-US"/>
              </w:rPr>
              <w:t xml:space="preserve"> (95% CI)</w:t>
            </w:r>
          </w:p>
        </w:tc>
      </w:tr>
      <w:tr w:rsidR="00912D22" w:rsidRPr="0008526E" w:rsidTr="00912D22">
        <w:trPr>
          <w:trHeight w:val="386"/>
        </w:trPr>
        <w:tc>
          <w:tcPr>
            <w:tcW w:w="532" w:type="pct"/>
            <w:vAlign w:val="center"/>
          </w:tcPr>
          <w:p w:rsidR="00912D22" w:rsidRPr="0008526E" w:rsidRDefault="00912D22" w:rsidP="00912D22">
            <w:pPr>
              <w:pStyle w:val="Tabletext"/>
            </w:pPr>
            <w:r w:rsidRPr="0008526E">
              <w:t>OS</w:t>
            </w:r>
          </w:p>
        </w:tc>
        <w:tc>
          <w:tcPr>
            <w:tcW w:w="542" w:type="pct"/>
            <w:vAlign w:val="center"/>
          </w:tcPr>
          <w:p w:rsidR="00912D22" w:rsidRPr="0008526E" w:rsidRDefault="00912D22" w:rsidP="00912D22">
            <w:pPr>
              <w:pStyle w:val="Tabletext"/>
              <w:jc w:val="center"/>
            </w:pPr>
            <w:r w:rsidRPr="0008526E">
              <w:t>233/379 (61.5%)</w:t>
            </w:r>
          </w:p>
        </w:tc>
        <w:tc>
          <w:tcPr>
            <w:tcW w:w="696" w:type="pct"/>
            <w:vAlign w:val="center"/>
          </w:tcPr>
          <w:p w:rsidR="00912D22" w:rsidRPr="0008526E" w:rsidRDefault="00912D22" w:rsidP="00912D22">
            <w:pPr>
              <w:pStyle w:val="Tabletext"/>
              <w:jc w:val="center"/>
            </w:pPr>
            <w:r w:rsidRPr="0008526E">
              <w:t xml:space="preserve">10.6 </w:t>
            </w:r>
          </w:p>
          <w:p w:rsidR="00912D22" w:rsidRPr="0008526E" w:rsidRDefault="00912D22" w:rsidP="00912D22">
            <w:pPr>
              <w:pStyle w:val="Tabletext"/>
              <w:jc w:val="center"/>
            </w:pPr>
            <w:r w:rsidRPr="0008526E">
              <w:t>(9.1–12.1)</w:t>
            </w:r>
          </w:p>
        </w:tc>
        <w:tc>
          <w:tcPr>
            <w:tcW w:w="637" w:type="pct"/>
            <w:vAlign w:val="center"/>
          </w:tcPr>
          <w:p w:rsidR="00912D22" w:rsidRPr="0008526E" w:rsidRDefault="00912D22" w:rsidP="00912D22">
            <w:pPr>
              <w:pStyle w:val="Tabletext"/>
              <w:jc w:val="center"/>
            </w:pPr>
            <w:r w:rsidRPr="0008526E">
              <w:t>140/194 (72.2%)</w:t>
            </w:r>
          </w:p>
        </w:tc>
        <w:tc>
          <w:tcPr>
            <w:tcW w:w="696" w:type="pct"/>
            <w:vAlign w:val="center"/>
          </w:tcPr>
          <w:p w:rsidR="00912D22" w:rsidRPr="0008526E" w:rsidRDefault="00912D22" w:rsidP="00912D22">
            <w:pPr>
              <w:pStyle w:val="Tabletext"/>
              <w:jc w:val="center"/>
            </w:pPr>
            <w:r w:rsidRPr="0008526E">
              <w:t>7.8</w:t>
            </w:r>
          </w:p>
          <w:p w:rsidR="00912D22" w:rsidRPr="0008526E" w:rsidRDefault="00912D22" w:rsidP="00912D22">
            <w:pPr>
              <w:pStyle w:val="Tabletext"/>
              <w:jc w:val="center"/>
            </w:pPr>
            <w:r w:rsidRPr="0008526E">
              <w:t>(6.3–8.8)</w:t>
            </w:r>
          </w:p>
        </w:tc>
        <w:tc>
          <w:tcPr>
            <w:tcW w:w="538" w:type="pct"/>
            <w:vAlign w:val="center"/>
          </w:tcPr>
          <w:p w:rsidR="00912D22" w:rsidRPr="0008526E" w:rsidRDefault="00912D22" w:rsidP="00912D22">
            <w:pPr>
              <w:pStyle w:val="Tabletext"/>
              <w:jc w:val="center"/>
            </w:pPr>
            <w:r w:rsidRPr="0008526E">
              <w:t xml:space="preserve">2.8 </w:t>
            </w:r>
          </w:p>
          <w:p w:rsidR="00912D22" w:rsidRPr="0008526E" w:rsidRDefault="00912D22" w:rsidP="00912D22">
            <w:pPr>
              <w:pStyle w:val="Tabletext"/>
              <w:jc w:val="center"/>
            </w:pPr>
            <w:r w:rsidRPr="0008526E">
              <w:t>(2.8 – 3.3)</w:t>
            </w:r>
          </w:p>
        </w:tc>
        <w:tc>
          <w:tcPr>
            <w:tcW w:w="616" w:type="pct"/>
            <w:vAlign w:val="center"/>
          </w:tcPr>
          <w:p w:rsidR="00912D22" w:rsidRPr="0008526E" w:rsidRDefault="00912D22" w:rsidP="00912D22">
            <w:pPr>
              <w:pStyle w:val="Tabletext"/>
              <w:jc w:val="center"/>
            </w:pPr>
            <w:r w:rsidRPr="0008526E">
              <w:t>&lt; 0.0001</w:t>
            </w:r>
          </w:p>
        </w:tc>
        <w:tc>
          <w:tcPr>
            <w:tcW w:w="743" w:type="pct"/>
            <w:vAlign w:val="center"/>
          </w:tcPr>
          <w:p w:rsidR="00912D22" w:rsidRPr="0008526E" w:rsidRDefault="00912D22" w:rsidP="00912D22">
            <w:pPr>
              <w:pStyle w:val="Tabletext"/>
              <w:jc w:val="center"/>
              <w:rPr>
                <w:b/>
              </w:rPr>
            </w:pPr>
            <w:r w:rsidRPr="0008526E">
              <w:rPr>
                <w:b/>
              </w:rPr>
              <w:t xml:space="preserve">0.627 </w:t>
            </w:r>
          </w:p>
          <w:p w:rsidR="00912D22" w:rsidRPr="0008526E" w:rsidRDefault="00912D22" w:rsidP="00912D22">
            <w:pPr>
              <w:pStyle w:val="Tabletext"/>
              <w:jc w:val="center"/>
              <w:rPr>
                <w:b/>
              </w:rPr>
            </w:pPr>
            <w:r w:rsidRPr="0008526E">
              <w:rPr>
                <w:b/>
              </w:rPr>
              <w:t>(0.500 -  0.785)</w:t>
            </w:r>
          </w:p>
        </w:tc>
      </w:tr>
      <w:tr w:rsidR="00912D22" w:rsidRPr="0008526E" w:rsidTr="00912D22">
        <w:trPr>
          <w:trHeight w:val="386"/>
        </w:trPr>
        <w:tc>
          <w:tcPr>
            <w:tcW w:w="532" w:type="pct"/>
            <w:vAlign w:val="center"/>
          </w:tcPr>
          <w:p w:rsidR="00912D22" w:rsidRPr="0008526E" w:rsidRDefault="00912D22" w:rsidP="00912D22">
            <w:pPr>
              <w:pStyle w:val="Tabletext"/>
            </w:pPr>
            <w:r w:rsidRPr="0008526E">
              <w:t>PFS</w:t>
            </w:r>
          </w:p>
        </w:tc>
        <w:tc>
          <w:tcPr>
            <w:tcW w:w="542" w:type="pct"/>
            <w:vAlign w:val="center"/>
          </w:tcPr>
          <w:p w:rsidR="00912D22" w:rsidRPr="0008526E" w:rsidRDefault="00912D22" w:rsidP="00912D22">
            <w:pPr>
              <w:pStyle w:val="Tabletext"/>
              <w:jc w:val="center"/>
            </w:pPr>
            <w:r w:rsidRPr="0008526E">
              <w:t>293/379 (77.3%)</w:t>
            </w:r>
          </w:p>
        </w:tc>
        <w:tc>
          <w:tcPr>
            <w:tcW w:w="696" w:type="pct"/>
            <w:vAlign w:val="center"/>
          </w:tcPr>
          <w:p w:rsidR="00912D22" w:rsidRPr="0008526E" w:rsidRDefault="00912D22" w:rsidP="00912D22">
            <w:pPr>
              <w:pStyle w:val="Tabletext"/>
              <w:jc w:val="center"/>
            </w:pPr>
            <w:r w:rsidRPr="0008526E">
              <w:t xml:space="preserve">3.1 </w:t>
            </w:r>
          </w:p>
          <w:p w:rsidR="00912D22" w:rsidRPr="0008526E" w:rsidRDefault="00912D22" w:rsidP="00912D22">
            <w:pPr>
              <w:pStyle w:val="Tabletext"/>
              <w:jc w:val="center"/>
            </w:pPr>
            <w:r w:rsidRPr="0008526E">
              <w:t>(2.8–4.2)</w:t>
            </w:r>
          </w:p>
        </w:tc>
        <w:tc>
          <w:tcPr>
            <w:tcW w:w="637" w:type="pct"/>
            <w:vAlign w:val="center"/>
          </w:tcPr>
          <w:p w:rsidR="00912D22" w:rsidRPr="0008526E" w:rsidRDefault="00912D22" w:rsidP="00912D22">
            <w:pPr>
              <w:pStyle w:val="Tabletext"/>
              <w:jc w:val="center"/>
            </w:pPr>
            <w:r w:rsidRPr="0008526E">
              <w:t>181/194 (93.3%)</w:t>
            </w:r>
          </w:p>
        </w:tc>
        <w:tc>
          <w:tcPr>
            <w:tcW w:w="696" w:type="pct"/>
            <w:vAlign w:val="center"/>
          </w:tcPr>
          <w:p w:rsidR="00912D22" w:rsidRPr="0008526E" w:rsidRDefault="00912D22" w:rsidP="00912D22">
            <w:pPr>
              <w:pStyle w:val="Tabletext"/>
              <w:jc w:val="center"/>
            </w:pPr>
            <w:r w:rsidRPr="0008526E">
              <w:t>1.5</w:t>
            </w:r>
          </w:p>
          <w:p w:rsidR="00912D22" w:rsidRPr="0008526E" w:rsidRDefault="00912D22" w:rsidP="00912D22">
            <w:pPr>
              <w:pStyle w:val="Tabletext"/>
              <w:jc w:val="center"/>
            </w:pPr>
            <w:r w:rsidRPr="0008526E">
              <w:t>(1.4–1.6)</w:t>
            </w:r>
          </w:p>
        </w:tc>
        <w:tc>
          <w:tcPr>
            <w:tcW w:w="538" w:type="pct"/>
            <w:vAlign w:val="center"/>
          </w:tcPr>
          <w:p w:rsidR="00912D22" w:rsidRPr="0008526E" w:rsidRDefault="00912D22" w:rsidP="00912D22">
            <w:pPr>
              <w:pStyle w:val="Tabletext"/>
              <w:jc w:val="center"/>
            </w:pPr>
            <w:r w:rsidRPr="0008526E">
              <w:t>1.6</w:t>
            </w:r>
          </w:p>
          <w:p w:rsidR="00912D22" w:rsidRPr="0008526E" w:rsidRDefault="00912D22" w:rsidP="00912D22">
            <w:pPr>
              <w:pStyle w:val="Tabletext"/>
              <w:jc w:val="center"/>
            </w:pPr>
            <w:r w:rsidRPr="0008526E">
              <w:t>(0 – 2.6)</w:t>
            </w:r>
          </w:p>
        </w:tc>
        <w:tc>
          <w:tcPr>
            <w:tcW w:w="616" w:type="pct"/>
            <w:vAlign w:val="center"/>
          </w:tcPr>
          <w:p w:rsidR="00912D22" w:rsidRPr="0008526E" w:rsidRDefault="00912D22" w:rsidP="00912D22">
            <w:pPr>
              <w:pStyle w:val="Tabletext"/>
              <w:jc w:val="center"/>
            </w:pPr>
            <w:r w:rsidRPr="0008526E">
              <w:t>&lt; 0.0001</w:t>
            </w:r>
          </w:p>
        </w:tc>
        <w:tc>
          <w:tcPr>
            <w:tcW w:w="743" w:type="pct"/>
            <w:vAlign w:val="center"/>
          </w:tcPr>
          <w:p w:rsidR="00912D22" w:rsidRPr="0008526E" w:rsidRDefault="00912D22" w:rsidP="00912D22">
            <w:pPr>
              <w:pStyle w:val="Tabletext"/>
              <w:jc w:val="center"/>
              <w:rPr>
                <w:b/>
              </w:rPr>
            </w:pPr>
            <w:r w:rsidRPr="0008526E">
              <w:rPr>
                <w:b/>
              </w:rPr>
              <w:t xml:space="preserve">0.455 </w:t>
            </w:r>
          </w:p>
          <w:p w:rsidR="00912D22" w:rsidRPr="0008526E" w:rsidRDefault="00912D22" w:rsidP="00912D22">
            <w:pPr>
              <w:pStyle w:val="Tabletext"/>
              <w:jc w:val="center"/>
              <w:rPr>
                <w:b/>
              </w:rPr>
            </w:pPr>
            <w:r w:rsidRPr="0008526E">
              <w:rPr>
                <w:b/>
              </w:rPr>
              <w:t>(0.371 -  0.558)</w:t>
            </w:r>
          </w:p>
        </w:tc>
      </w:tr>
      <w:tr w:rsidR="00912D22" w:rsidRPr="0008526E" w:rsidTr="00912D22">
        <w:trPr>
          <w:trHeight w:val="386"/>
        </w:trPr>
        <w:tc>
          <w:tcPr>
            <w:tcW w:w="532" w:type="pct"/>
            <w:vAlign w:val="center"/>
          </w:tcPr>
          <w:p w:rsidR="00912D22" w:rsidRPr="0008526E" w:rsidRDefault="00912D22" w:rsidP="00912D22">
            <w:pPr>
              <w:pStyle w:val="Tabletext"/>
            </w:pPr>
            <w:r w:rsidRPr="0008526E">
              <w:t>TTP</w:t>
            </w:r>
          </w:p>
        </w:tc>
        <w:tc>
          <w:tcPr>
            <w:tcW w:w="542" w:type="pct"/>
            <w:vAlign w:val="center"/>
          </w:tcPr>
          <w:p w:rsidR="00912D22" w:rsidRPr="0008526E" w:rsidRDefault="00912D22" w:rsidP="00912D22">
            <w:pPr>
              <w:pStyle w:val="Tabletext"/>
              <w:jc w:val="center"/>
            </w:pPr>
            <w:r w:rsidRPr="0008526E">
              <w:t>274/379 (72.3%)</w:t>
            </w:r>
          </w:p>
        </w:tc>
        <w:tc>
          <w:tcPr>
            <w:tcW w:w="696" w:type="pct"/>
            <w:vAlign w:val="center"/>
          </w:tcPr>
          <w:p w:rsidR="00912D22" w:rsidRPr="0008526E" w:rsidRDefault="00912D22" w:rsidP="00912D22">
            <w:pPr>
              <w:pStyle w:val="Tabletext"/>
              <w:jc w:val="center"/>
            </w:pPr>
            <w:r w:rsidRPr="0008526E">
              <w:t xml:space="preserve">3.2 </w:t>
            </w:r>
          </w:p>
          <w:p w:rsidR="00912D22" w:rsidRPr="0008526E" w:rsidRDefault="00912D22" w:rsidP="00912D22">
            <w:pPr>
              <w:pStyle w:val="Tabletext"/>
              <w:jc w:val="center"/>
            </w:pPr>
            <w:r w:rsidRPr="0008526E">
              <w:t>(2.9–4.2)</w:t>
            </w:r>
          </w:p>
        </w:tc>
        <w:tc>
          <w:tcPr>
            <w:tcW w:w="637" w:type="pct"/>
            <w:vAlign w:val="center"/>
          </w:tcPr>
          <w:p w:rsidR="00912D22" w:rsidRPr="0008526E" w:rsidRDefault="00912D22" w:rsidP="00912D22">
            <w:pPr>
              <w:pStyle w:val="Tabletext"/>
              <w:jc w:val="center"/>
            </w:pPr>
            <w:r w:rsidRPr="0008526E">
              <w:t>173/194 (89.2%)</w:t>
            </w:r>
          </w:p>
        </w:tc>
        <w:tc>
          <w:tcPr>
            <w:tcW w:w="696" w:type="pct"/>
            <w:vAlign w:val="center"/>
          </w:tcPr>
          <w:p w:rsidR="00912D22" w:rsidRPr="0008526E" w:rsidRDefault="00912D22" w:rsidP="00912D22">
            <w:pPr>
              <w:pStyle w:val="Tabletext"/>
              <w:jc w:val="center"/>
            </w:pPr>
            <w:r w:rsidRPr="0008526E">
              <w:t>1.5</w:t>
            </w:r>
          </w:p>
          <w:p w:rsidR="00912D22" w:rsidRPr="0008526E" w:rsidRDefault="00912D22" w:rsidP="00912D22">
            <w:pPr>
              <w:pStyle w:val="Tabletext"/>
              <w:jc w:val="center"/>
            </w:pPr>
            <w:r w:rsidRPr="0008526E">
              <w:t>(1.4–1.6)</w:t>
            </w:r>
          </w:p>
        </w:tc>
        <w:tc>
          <w:tcPr>
            <w:tcW w:w="538" w:type="pct"/>
            <w:vAlign w:val="center"/>
          </w:tcPr>
          <w:p w:rsidR="00912D22" w:rsidRPr="0008526E" w:rsidRDefault="00912D22" w:rsidP="00912D22">
            <w:pPr>
              <w:pStyle w:val="Tabletext"/>
              <w:jc w:val="center"/>
            </w:pPr>
            <w:r w:rsidRPr="0008526E">
              <w:t xml:space="preserve">1.7 </w:t>
            </w:r>
          </w:p>
          <w:p w:rsidR="00912D22" w:rsidRPr="0008526E" w:rsidRDefault="00912D22" w:rsidP="00912D22">
            <w:pPr>
              <w:pStyle w:val="Tabletext"/>
              <w:jc w:val="center"/>
            </w:pPr>
            <w:r w:rsidRPr="0008526E">
              <w:t>(0.1 – 0.9)</w:t>
            </w:r>
          </w:p>
        </w:tc>
        <w:tc>
          <w:tcPr>
            <w:tcW w:w="616" w:type="pct"/>
            <w:vAlign w:val="center"/>
          </w:tcPr>
          <w:p w:rsidR="00912D22" w:rsidRPr="0008526E" w:rsidRDefault="00912D22" w:rsidP="00912D22">
            <w:pPr>
              <w:pStyle w:val="Tabletext"/>
              <w:jc w:val="center"/>
            </w:pPr>
            <w:r w:rsidRPr="0008526E">
              <w:t>&lt; 0.00001</w:t>
            </w:r>
          </w:p>
        </w:tc>
        <w:tc>
          <w:tcPr>
            <w:tcW w:w="743" w:type="pct"/>
            <w:vAlign w:val="center"/>
          </w:tcPr>
          <w:p w:rsidR="00912D22" w:rsidRPr="0008526E" w:rsidRDefault="00912D22" w:rsidP="00912D22">
            <w:pPr>
              <w:pStyle w:val="Tabletext"/>
              <w:jc w:val="center"/>
              <w:rPr>
                <w:b/>
              </w:rPr>
            </w:pPr>
            <w:r w:rsidRPr="0008526E">
              <w:rPr>
                <w:b/>
              </w:rPr>
              <w:t xml:space="preserve">0.442 </w:t>
            </w:r>
          </w:p>
          <w:p w:rsidR="00912D22" w:rsidRPr="0008526E" w:rsidRDefault="00912D22" w:rsidP="00912D22">
            <w:pPr>
              <w:pStyle w:val="Tabletext"/>
              <w:jc w:val="center"/>
              <w:rPr>
                <w:b/>
              </w:rPr>
            </w:pPr>
            <w:r w:rsidRPr="0008526E">
              <w:rPr>
                <w:b/>
              </w:rPr>
              <w:t>(0.358 -  0.545)</w:t>
            </w:r>
          </w:p>
        </w:tc>
      </w:tr>
    </w:tbl>
    <w:p w:rsidR="00912D22" w:rsidRPr="0008526E" w:rsidRDefault="00912D22" w:rsidP="005C38A1">
      <w:pPr>
        <w:pStyle w:val="TableFooter"/>
      </w:pPr>
      <w:r w:rsidRPr="0008526E">
        <w:t xml:space="preserve">Abbreviations: BSC= Best supportive care; CI = confidence interval; HR = Hazard ratio; OS= overall survival; PFS= progression free survival; TTP= time to progression. </w:t>
      </w:r>
    </w:p>
    <w:p w:rsidR="00912D22" w:rsidRPr="0008526E" w:rsidRDefault="00912D22" w:rsidP="005C38A1">
      <w:pPr>
        <w:pStyle w:val="TableFooter"/>
      </w:pPr>
      <w:r w:rsidRPr="0008526E">
        <w:t>Source: Table 2-25 to 2-27, p. 70 to 74 of the submission.</w:t>
      </w:r>
    </w:p>
    <w:p w:rsidR="002676CF" w:rsidRDefault="00E120A1" w:rsidP="009C362D">
      <w:pPr>
        <w:pStyle w:val="TableFooter"/>
        <w:spacing w:after="120"/>
      </w:pPr>
      <w:r w:rsidRPr="0008526E">
        <w:t>Note: Bold text indicates a statistically significant value.</w:t>
      </w:r>
    </w:p>
    <w:p w:rsidR="00F67501" w:rsidRPr="003606EB" w:rsidRDefault="00F67501" w:rsidP="00F67501">
      <w:pPr>
        <w:pStyle w:val="ListParagraph"/>
        <w:widowControl/>
        <w:numPr>
          <w:ilvl w:val="1"/>
          <w:numId w:val="3"/>
        </w:numPr>
      </w:pPr>
      <w:r w:rsidRPr="003606EB">
        <w:t>The ESC noted that although not independently evaluated, the data presented in the PSCR demonstrated that the gain in OS was maintained with longer follow-up.</w:t>
      </w:r>
    </w:p>
    <w:p w:rsidR="00B54DB6" w:rsidRPr="00AD596D" w:rsidRDefault="00B54DB6" w:rsidP="00B54DB6">
      <w:pPr>
        <w:pStyle w:val="ListParagraph"/>
        <w:widowControl/>
        <w:numPr>
          <w:ilvl w:val="1"/>
          <w:numId w:val="3"/>
        </w:numPr>
        <w:rPr>
          <w:rFonts w:cs="Calibri"/>
          <w:i/>
          <w:snapToGrid/>
          <w:szCs w:val="24"/>
          <w:lang w:val="en-US" w:eastAsia="en-AU"/>
        </w:rPr>
      </w:pPr>
      <w:r w:rsidRPr="0008526E">
        <w:rPr>
          <w:rFonts w:cs="Calibri"/>
          <w:snapToGrid/>
          <w:szCs w:val="24"/>
          <w:lang w:val="en-US" w:eastAsia="en-AU"/>
        </w:rPr>
        <w:t>The Kaplan-Mei</w:t>
      </w:r>
      <w:r w:rsidR="00743612">
        <w:rPr>
          <w:rFonts w:cs="Calibri"/>
          <w:snapToGrid/>
          <w:szCs w:val="24"/>
          <w:lang w:val="en-US" w:eastAsia="en-AU"/>
        </w:rPr>
        <w:t>e</w:t>
      </w:r>
      <w:r w:rsidRPr="0008526E">
        <w:rPr>
          <w:rFonts w:cs="Calibri"/>
          <w:snapToGrid/>
          <w:szCs w:val="24"/>
          <w:lang w:val="en-US" w:eastAsia="en-AU"/>
        </w:rPr>
        <w:t xml:space="preserve">r data are presented in Figure 1. </w:t>
      </w:r>
      <w:r w:rsidR="009A75A3" w:rsidRPr="0008526E">
        <w:rPr>
          <w:rFonts w:cs="Calibri"/>
          <w:snapToGrid/>
          <w:szCs w:val="24"/>
          <w:lang w:val="en-US" w:eastAsia="en-AU"/>
        </w:rPr>
        <w:t>The gain in median OS was 2.8 months</w:t>
      </w:r>
      <w:r w:rsidR="003801CB">
        <w:rPr>
          <w:rFonts w:cs="Calibri"/>
          <w:snapToGrid/>
          <w:szCs w:val="24"/>
          <w:lang w:val="en-US" w:eastAsia="en-AU"/>
        </w:rPr>
        <w:t>.</w:t>
      </w:r>
    </w:p>
    <w:p w:rsidR="00796155" w:rsidRPr="0008526E" w:rsidRDefault="00796155" w:rsidP="00D42017">
      <w:pPr>
        <w:keepNext/>
        <w:widowControl/>
        <w:rPr>
          <w:rFonts w:ascii="Arial Narrow" w:hAnsi="Arial Narrow"/>
          <w:b/>
          <w:sz w:val="20"/>
          <w:szCs w:val="20"/>
        </w:rPr>
      </w:pPr>
      <w:r w:rsidRPr="0008526E">
        <w:rPr>
          <w:rFonts w:ascii="Arial Narrow" w:hAnsi="Arial Narrow"/>
          <w:b/>
          <w:sz w:val="20"/>
          <w:szCs w:val="20"/>
        </w:rPr>
        <w:t xml:space="preserve">Figure 1. </w:t>
      </w:r>
      <w:r w:rsidRPr="0008526E">
        <w:rPr>
          <w:rFonts w:ascii="Arial Narrow" w:hAnsi="Arial Narrow" w:cs="Calibri"/>
          <w:b/>
          <w:snapToGrid/>
          <w:sz w:val="20"/>
          <w:szCs w:val="20"/>
          <w:lang w:val="en-US" w:eastAsia="en-AU"/>
        </w:rPr>
        <w:t>Kaplan Meier curve for overall survival (Full Analysis Set)</w:t>
      </w:r>
    </w:p>
    <w:p w:rsidR="00912D22" w:rsidRPr="0008526E" w:rsidRDefault="00912D22" w:rsidP="00030CF0">
      <w:pPr>
        <w:rPr>
          <w:sz w:val="28"/>
          <w:szCs w:val="28"/>
        </w:rPr>
      </w:pPr>
      <w:r w:rsidRPr="0008526E">
        <w:rPr>
          <w:noProof/>
          <w:lang w:eastAsia="en-AU"/>
        </w:rPr>
        <w:drawing>
          <wp:inline distT="0" distB="0" distL="0" distR="0" wp14:anchorId="01A3E2F5" wp14:editId="07468B60">
            <wp:extent cx="3831937" cy="2713939"/>
            <wp:effectExtent l="0" t="0" r="0" b="0"/>
            <wp:docPr id="20" name="Picture 20" descr="G:\Market Access\Products\Oncology\Regorafenib Stivarga\HCC\PBAC submission - October 2017 meeting\Draft Forms\Images\Fig.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Market Access\Products\Oncology\Regorafenib Stivarga\HCC\PBAC submission - October 2017 meeting\Draft Forms\Images\Fig.8.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2953" cy="2735906"/>
                    </a:xfrm>
                    <a:prstGeom prst="rect">
                      <a:avLst/>
                    </a:prstGeom>
                    <a:noFill/>
                    <a:ln>
                      <a:noFill/>
                    </a:ln>
                  </pic:spPr>
                </pic:pic>
              </a:graphicData>
            </a:graphic>
          </wp:inline>
        </w:drawing>
      </w:r>
    </w:p>
    <w:p w:rsidR="00912D22" w:rsidRPr="0008526E" w:rsidRDefault="00912D22" w:rsidP="009C362D">
      <w:pPr>
        <w:pStyle w:val="TableFooter"/>
        <w:spacing w:after="120"/>
      </w:pPr>
      <w:r w:rsidRPr="0008526E">
        <w:t>Source: Figure 2-6</w:t>
      </w:r>
      <w:r w:rsidRPr="0008526E" w:rsidDel="00637D08">
        <w:t>, P</w:t>
      </w:r>
      <w:r w:rsidRPr="0008526E">
        <w:t>. 71 of the submission</w:t>
      </w:r>
      <w:r w:rsidRPr="0008526E" w:rsidDel="00637D08">
        <w:t xml:space="preserve"> </w:t>
      </w:r>
    </w:p>
    <w:p w:rsidR="009B5D0F" w:rsidRPr="003606EB" w:rsidRDefault="009B5D0F" w:rsidP="009218EF">
      <w:pPr>
        <w:pStyle w:val="ListParagraph"/>
        <w:widowControl/>
        <w:numPr>
          <w:ilvl w:val="1"/>
          <w:numId w:val="3"/>
        </w:numPr>
        <w:rPr>
          <w:rFonts w:cs="Calibri"/>
          <w:snapToGrid/>
          <w:szCs w:val="24"/>
          <w:lang w:val="en-US" w:eastAsia="en-AU"/>
        </w:rPr>
      </w:pPr>
      <w:r w:rsidRPr="003606EB">
        <w:rPr>
          <w:rFonts w:cs="Calibri"/>
          <w:snapToGrid/>
          <w:szCs w:val="24"/>
          <w:lang w:val="en-US" w:eastAsia="en-AU"/>
        </w:rPr>
        <w:t xml:space="preserve">The Kaplan-Meier data from the updated analysis </w:t>
      </w:r>
      <w:r w:rsidR="00AD596D" w:rsidRPr="003606EB">
        <w:rPr>
          <w:rFonts w:cs="Calibri"/>
          <w:snapToGrid/>
          <w:szCs w:val="24"/>
          <w:lang w:val="en-US" w:eastAsia="en-AU"/>
        </w:rPr>
        <w:t xml:space="preserve">provided in the PSCR </w:t>
      </w:r>
      <w:r w:rsidRPr="003606EB">
        <w:rPr>
          <w:rFonts w:cs="Calibri"/>
          <w:snapToGrid/>
          <w:szCs w:val="24"/>
          <w:lang w:val="en-US" w:eastAsia="en-AU"/>
        </w:rPr>
        <w:t xml:space="preserve">are presented in Figure 2.  </w:t>
      </w:r>
    </w:p>
    <w:p w:rsidR="009B5D0F" w:rsidRPr="009C362D" w:rsidRDefault="009B5D0F" w:rsidP="009C362D">
      <w:pPr>
        <w:keepNext/>
        <w:rPr>
          <w:rFonts w:ascii="Arial Narrow" w:hAnsi="Arial Narrow"/>
          <w:b/>
          <w:sz w:val="20"/>
          <w:szCs w:val="20"/>
        </w:rPr>
      </w:pPr>
      <w:r w:rsidRPr="009C362D">
        <w:rPr>
          <w:rFonts w:ascii="Arial Narrow" w:hAnsi="Arial Narrow"/>
          <w:b/>
          <w:sz w:val="20"/>
          <w:szCs w:val="20"/>
        </w:rPr>
        <w:t>Figure 2: Kaplan–Meie</w:t>
      </w:r>
      <w:r w:rsidR="003664E9" w:rsidRPr="009C362D">
        <w:rPr>
          <w:rFonts w:ascii="Arial Narrow" w:hAnsi="Arial Narrow"/>
          <w:b/>
          <w:sz w:val="20"/>
          <w:szCs w:val="20"/>
        </w:rPr>
        <w:t xml:space="preserve">r analysis of overall survival - </w:t>
      </w:r>
      <w:r w:rsidR="002676CF" w:rsidRPr="009C362D">
        <w:rPr>
          <w:rFonts w:ascii="Arial Narrow" w:hAnsi="Arial Narrow"/>
          <w:b/>
          <w:sz w:val="20"/>
          <w:szCs w:val="20"/>
        </w:rPr>
        <w:t>updated analysis</w:t>
      </w:r>
    </w:p>
    <w:p w:rsidR="006142E2" w:rsidRPr="002676CF" w:rsidRDefault="009B5D0F" w:rsidP="009C362D">
      <w:pPr>
        <w:rPr>
          <w:rFonts w:cs="Calibri"/>
          <w:snapToGrid/>
          <w:szCs w:val="24"/>
          <w:lang w:val="en-US" w:eastAsia="en-AU"/>
        </w:rPr>
      </w:pPr>
      <w:r w:rsidRPr="002676CF">
        <w:rPr>
          <w:noProof/>
          <w:snapToGrid/>
          <w:lang w:eastAsia="en-AU"/>
        </w:rPr>
        <w:drawing>
          <wp:inline distT="0" distB="0" distL="0" distR="0" wp14:anchorId="73198747" wp14:editId="07296F5B">
            <wp:extent cx="3806456" cy="3241225"/>
            <wp:effectExtent l="19050" t="19050" r="2286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3804201" cy="3239305"/>
                    </a:xfrm>
                    <a:prstGeom prst="rect">
                      <a:avLst/>
                    </a:prstGeom>
                    <a:solidFill>
                      <a:srgbClr val="000000"/>
                    </a:solidFill>
                    <a:ln w="635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rsidR="002676CF" w:rsidRDefault="002676CF" w:rsidP="009C362D">
      <w:pPr>
        <w:pStyle w:val="TableFooter"/>
        <w:spacing w:after="120"/>
      </w:pPr>
      <w:r w:rsidRPr="00CB6553">
        <w:t>Source: PSCR (p4, Attachment A)</w:t>
      </w:r>
    </w:p>
    <w:p w:rsidR="003347DD" w:rsidRPr="00454EF0" w:rsidRDefault="00912D22" w:rsidP="007346A8">
      <w:pPr>
        <w:pStyle w:val="ListParagraph"/>
        <w:widowControl/>
        <w:numPr>
          <w:ilvl w:val="1"/>
          <w:numId w:val="3"/>
        </w:numPr>
        <w:rPr>
          <w:rFonts w:cs="Calibri"/>
          <w:snapToGrid/>
          <w:szCs w:val="24"/>
          <w:lang w:val="en-US" w:eastAsia="en-AU"/>
        </w:rPr>
      </w:pPr>
      <w:r w:rsidRPr="00684D39">
        <w:rPr>
          <w:rFonts w:cs="Calibri"/>
          <w:snapToGrid/>
          <w:szCs w:val="24"/>
          <w:lang w:val="en-US" w:eastAsia="en-AU"/>
        </w:rPr>
        <w:t xml:space="preserve">The </w:t>
      </w:r>
      <w:r w:rsidR="00B54DB6" w:rsidRPr="00684D39">
        <w:rPr>
          <w:rFonts w:cs="Calibri"/>
          <w:snapToGrid/>
          <w:szCs w:val="24"/>
          <w:lang w:val="en-US" w:eastAsia="en-AU"/>
        </w:rPr>
        <w:t xml:space="preserve">results from the </w:t>
      </w:r>
      <w:r w:rsidRPr="00684D39">
        <w:rPr>
          <w:rFonts w:cs="Calibri"/>
          <w:snapToGrid/>
          <w:szCs w:val="24"/>
          <w:lang w:val="en-US" w:eastAsia="en-AU"/>
        </w:rPr>
        <w:t xml:space="preserve">RESORCE trial showed that there were no </w:t>
      </w:r>
      <w:r w:rsidR="00A111D0" w:rsidRPr="00684D39">
        <w:rPr>
          <w:rFonts w:cs="Calibri"/>
          <w:snapToGrid/>
          <w:szCs w:val="24"/>
          <w:lang w:val="en-US" w:eastAsia="en-AU"/>
        </w:rPr>
        <w:t xml:space="preserve">statistically significant differences </w:t>
      </w:r>
      <w:r w:rsidRPr="00684D39">
        <w:rPr>
          <w:rFonts w:cs="Calibri"/>
          <w:snapToGrid/>
          <w:szCs w:val="24"/>
          <w:lang w:val="en-US" w:eastAsia="en-AU"/>
        </w:rPr>
        <w:t xml:space="preserve">in </w:t>
      </w:r>
      <w:r w:rsidR="002676CF" w:rsidRPr="00684D39">
        <w:rPr>
          <w:rFonts w:cs="Calibri"/>
          <w:snapToGrid/>
          <w:szCs w:val="24"/>
          <w:lang w:val="en-US" w:eastAsia="en-AU"/>
        </w:rPr>
        <w:t>quality of life (</w:t>
      </w:r>
      <w:r w:rsidRPr="00684D39">
        <w:rPr>
          <w:rFonts w:cs="Calibri"/>
          <w:snapToGrid/>
          <w:szCs w:val="24"/>
          <w:lang w:val="en-US" w:eastAsia="en-AU"/>
        </w:rPr>
        <w:t>QoL</w:t>
      </w:r>
      <w:r w:rsidR="002676CF" w:rsidRPr="00684D39">
        <w:rPr>
          <w:rFonts w:cs="Calibri"/>
          <w:snapToGrid/>
          <w:szCs w:val="24"/>
          <w:lang w:val="en-US" w:eastAsia="en-AU"/>
        </w:rPr>
        <w:t>)</w:t>
      </w:r>
      <w:r w:rsidRPr="00684D39">
        <w:rPr>
          <w:rFonts w:cs="Calibri"/>
          <w:snapToGrid/>
          <w:szCs w:val="24"/>
          <w:lang w:val="en-US" w:eastAsia="en-AU"/>
        </w:rPr>
        <w:t xml:space="preserve"> between regorafenib and BSC, despite improved PFS</w:t>
      </w:r>
      <w:r w:rsidR="004D7FD7" w:rsidRPr="00684D39">
        <w:rPr>
          <w:rFonts w:cs="Calibri"/>
          <w:snapToGrid/>
          <w:szCs w:val="24"/>
          <w:lang w:val="en-US" w:eastAsia="en-AU"/>
        </w:rPr>
        <w:t>.</w:t>
      </w:r>
      <w:r w:rsidR="00CB6553">
        <w:rPr>
          <w:rFonts w:cs="Calibri"/>
          <w:snapToGrid/>
          <w:szCs w:val="24"/>
          <w:lang w:val="en-US" w:eastAsia="en-AU"/>
        </w:rPr>
        <w:t xml:space="preserve"> O</w:t>
      </w:r>
      <w:r w:rsidR="004D7FD7" w:rsidRPr="00684D39">
        <w:rPr>
          <w:rFonts w:cs="Calibri"/>
          <w:snapToGrid/>
          <w:szCs w:val="24"/>
          <w:lang w:val="en-US" w:eastAsia="en-AU"/>
        </w:rPr>
        <w:t>n average</w:t>
      </w:r>
      <w:r w:rsidRPr="00684D39">
        <w:rPr>
          <w:rFonts w:cs="Calibri"/>
          <w:snapToGrid/>
          <w:szCs w:val="24"/>
          <w:lang w:val="en-US" w:eastAsia="en-AU"/>
        </w:rPr>
        <w:t xml:space="preserve">, </w:t>
      </w:r>
      <w:r w:rsidR="00625894">
        <w:rPr>
          <w:rFonts w:cs="Calibri"/>
          <w:snapToGrid/>
          <w:szCs w:val="24"/>
          <w:lang w:val="en-US" w:eastAsia="en-AU"/>
        </w:rPr>
        <w:t>worse</w:t>
      </w:r>
      <w:r w:rsidR="00625894" w:rsidRPr="00684D39">
        <w:rPr>
          <w:rFonts w:cs="Calibri"/>
          <w:snapToGrid/>
          <w:szCs w:val="24"/>
          <w:lang w:val="en-US" w:eastAsia="en-AU"/>
        </w:rPr>
        <w:t xml:space="preserve"> </w:t>
      </w:r>
      <w:r w:rsidR="00E120A1" w:rsidRPr="00684D39">
        <w:rPr>
          <w:rFonts w:cs="Calibri"/>
          <w:snapToGrid/>
          <w:szCs w:val="24"/>
          <w:lang w:val="en-US" w:eastAsia="en-AU"/>
        </w:rPr>
        <w:t xml:space="preserve">QoL </w:t>
      </w:r>
      <w:r w:rsidRPr="00684D39">
        <w:rPr>
          <w:rFonts w:cs="Calibri"/>
          <w:snapToGrid/>
          <w:szCs w:val="24"/>
          <w:lang w:val="en-US" w:eastAsia="en-AU"/>
        </w:rPr>
        <w:t xml:space="preserve">values were observed for </w:t>
      </w:r>
      <w:r w:rsidR="00086578" w:rsidRPr="00684D39">
        <w:rPr>
          <w:rFonts w:cs="Calibri"/>
          <w:snapToGrid/>
          <w:szCs w:val="24"/>
          <w:lang w:val="en-US" w:eastAsia="en-AU"/>
        </w:rPr>
        <w:t xml:space="preserve">regorafenib compared with BSC for </w:t>
      </w:r>
      <w:r w:rsidRPr="00684D39">
        <w:rPr>
          <w:rFonts w:cs="Calibri"/>
          <w:snapToGrid/>
          <w:szCs w:val="24"/>
          <w:lang w:val="en-US" w:eastAsia="en-AU"/>
        </w:rPr>
        <w:t xml:space="preserve">all QoL questionnaires. </w:t>
      </w:r>
      <w:r w:rsidR="00086578" w:rsidRPr="00684D39">
        <w:rPr>
          <w:rFonts w:cs="Calibri"/>
          <w:snapToGrid/>
          <w:szCs w:val="24"/>
          <w:lang w:val="en-US" w:eastAsia="en-AU"/>
        </w:rPr>
        <w:t xml:space="preserve">These were statistically significantly </w:t>
      </w:r>
      <w:r w:rsidR="00625894">
        <w:rPr>
          <w:rFonts w:cs="Calibri"/>
          <w:snapToGrid/>
          <w:szCs w:val="24"/>
          <w:lang w:val="en-US" w:eastAsia="en-AU"/>
        </w:rPr>
        <w:t xml:space="preserve">worse </w:t>
      </w:r>
      <w:r w:rsidR="00086578" w:rsidRPr="00684D39">
        <w:rPr>
          <w:rFonts w:cs="Calibri"/>
          <w:snapToGrid/>
          <w:szCs w:val="24"/>
          <w:lang w:val="en-US" w:eastAsia="en-AU"/>
        </w:rPr>
        <w:t xml:space="preserve">for the FACT-HEP and Trial Outcomes Index, but did not achieve the minimally important differences for those </w:t>
      </w:r>
      <w:r w:rsidR="00E120A1" w:rsidRPr="00684D39">
        <w:rPr>
          <w:rFonts w:cs="Calibri"/>
          <w:snapToGrid/>
          <w:szCs w:val="24"/>
          <w:lang w:val="en-US" w:eastAsia="en-AU"/>
        </w:rPr>
        <w:t>questionnaires</w:t>
      </w:r>
      <w:r w:rsidR="00086578" w:rsidRPr="00684D39">
        <w:rPr>
          <w:rFonts w:cs="Calibri"/>
          <w:snapToGrid/>
          <w:szCs w:val="24"/>
          <w:lang w:val="en-US" w:eastAsia="en-AU"/>
        </w:rPr>
        <w:t xml:space="preserve">. </w:t>
      </w:r>
      <w:r w:rsidR="004D7FD7" w:rsidRPr="00684D39">
        <w:rPr>
          <w:rFonts w:cs="Calibri"/>
          <w:snapToGrid/>
          <w:szCs w:val="24"/>
          <w:lang w:val="en-US" w:eastAsia="en-AU"/>
        </w:rPr>
        <w:t xml:space="preserve">These </w:t>
      </w:r>
      <w:r w:rsidR="007330B6">
        <w:rPr>
          <w:rFonts w:cs="Calibri"/>
          <w:snapToGrid/>
          <w:szCs w:val="24"/>
          <w:lang w:val="en-US" w:eastAsia="en-AU"/>
        </w:rPr>
        <w:t>worse</w:t>
      </w:r>
      <w:r w:rsidR="007330B6" w:rsidRPr="00684D39">
        <w:rPr>
          <w:rFonts w:cs="Calibri"/>
          <w:snapToGrid/>
          <w:szCs w:val="24"/>
          <w:lang w:val="en-US" w:eastAsia="en-AU"/>
        </w:rPr>
        <w:t xml:space="preserve"> </w:t>
      </w:r>
      <w:r w:rsidR="00086578" w:rsidRPr="00684D39">
        <w:rPr>
          <w:rFonts w:cs="Calibri"/>
          <w:snapToGrid/>
          <w:szCs w:val="24"/>
          <w:lang w:val="en-US" w:eastAsia="en-AU"/>
        </w:rPr>
        <w:t xml:space="preserve">QoL </w:t>
      </w:r>
      <w:r w:rsidR="004D7FD7" w:rsidRPr="00684D39">
        <w:rPr>
          <w:rFonts w:cs="Calibri"/>
          <w:snapToGrid/>
          <w:szCs w:val="24"/>
          <w:lang w:val="en-US" w:eastAsia="en-AU"/>
        </w:rPr>
        <w:t xml:space="preserve">average </w:t>
      </w:r>
      <w:r w:rsidR="00086578" w:rsidRPr="00684D39">
        <w:rPr>
          <w:rFonts w:cs="Calibri"/>
          <w:snapToGrid/>
          <w:szCs w:val="24"/>
          <w:lang w:val="en-US" w:eastAsia="en-AU"/>
        </w:rPr>
        <w:t xml:space="preserve">values for regorafenib </w:t>
      </w:r>
      <w:r w:rsidRPr="00684D39">
        <w:rPr>
          <w:rFonts w:cs="Calibri"/>
          <w:snapToGrid/>
          <w:szCs w:val="24"/>
          <w:lang w:val="en-US" w:eastAsia="en-AU"/>
        </w:rPr>
        <w:t xml:space="preserve">could be explained by the increased toxicity associated with regorafenib. A summary of key </w:t>
      </w:r>
      <w:r w:rsidR="00086578" w:rsidRPr="00684D39">
        <w:rPr>
          <w:rFonts w:cs="Calibri"/>
          <w:snapToGrid/>
          <w:szCs w:val="24"/>
          <w:lang w:val="en-US" w:eastAsia="en-AU"/>
        </w:rPr>
        <w:t>QoL outcomes</w:t>
      </w:r>
      <w:r w:rsidRPr="00684D39">
        <w:rPr>
          <w:rFonts w:cs="Calibri"/>
          <w:snapToGrid/>
          <w:szCs w:val="24"/>
          <w:lang w:val="en-US" w:eastAsia="en-AU"/>
        </w:rPr>
        <w:t xml:space="preserve"> is presented in Table 5.</w:t>
      </w:r>
    </w:p>
    <w:p w:rsidR="00912D22" w:rsidRPr="0008526E" w:rsidRDefault="00912D22" w:rsidP="007346A8">
      <w:pPr>
        <w:widowControl/>
        <w:rPr>
          <w:rFonts w:ascii="Arial Narrow" w:hAnsi="Arial Narrow"/>
          <w:sz w:val="20"/>
          <w:szCs w:val="20"/>
        </w:rPr>
      </w:pPr>
      <w:r w:rsidRPr="0008526E">
        <w:rPr>
          <w:rStyle w:val="CommentReference"/>
          <w:szCs w:val="20"/>
        </w:rPr>
        <w:t xml:space="preserve">Table </w:t>
      </w:r>
      <w:r w:rsidRPr="0008526E">
        <w:rPr>
          <w:rFonts w:ascii="Arial Narrow" w:hAnsi="Arial Narrow"/>
          <w:b/>
          <w:sz w:val="20"/>
          <w:szCs w:val="20"/>
        </w:rPr>
        <w:t>5</w:t>
      </w:r>
      <w:r w:rsidRPr="0008526E">
        <w:rPr>
          <w:rStyle w:val="CommentReference"/>
          <w:b w:val="0"/>
          <w:szCs w:val="20"/>
        </w:rPr>
        <w:t>:</w:t>
      </w:r>
      <w:r w:rsidRPr="0008526E">
        <w:rPr>
          <w:rStyle w:val="CommentReference"/>
          <w:szCs w:val="20"/>
        </w:rPr>
        <w:t xml:space="preserve"> Results for patient reported outcomes (HRQoL) in the RESORCE trial </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9"/>
        <w:gridCol w:w="1342"/>
        <w:gridCol w:w="1711"/>
        <w:gridCol w:w="1329"/>
        <w:gridCol w:w="1517"/>
        <w:gridCol w:w="1825"/>
      </w:tblGrid>
      <w:tr w:rsidR="00912D22" w:rsidRPr="0008526E" w:rsidTr="00912D22">
        <w:trPr>
          <w:trHeight w:val="833"/>
          <w:tblHeader/>
        </w:trPr>
        <w:tc>
          <w:tcPr>
            <w:tcW w:w="729" w:type="pct"/>
            <w:vAlign w:val="center"/>
          </w:tcPr>
          <w:p w:rsidR="00912D22" w:rsidRPr="0008526E" w:rsidRDefault="00912D22" w:rsidP="00912D22">
            <w:pPr>
              <w:pStyle w:val="Tabletext"/>
              <w:rPr>
                <w:b/>
              </w:rPr>
            </w:pPr>
            <w:r w:rsidRPr="0008526E">
              <w:rPr>
                <w:b/>
              </w:rPr>
              <w:t>LSM time-adjusted AUC (95% CI)</w:t>
            </w:r>
          </w:p>
        </w:tc>
        <w:tc>
          <w:tcPr>
            <w:tcW w:w="742" w:type="pct"/>
            <w:vAlign w:val="center"/>
          </w:tcPr>
          <w:p w:rsidR="00912D22" w:rsidRPr="0008526E" w:rsidRDefault="00912D22" w:rsidP="00912D22">
            <w:pPr>
              <w:pStyle w:val="Tabletext"/>
              <w:jc w:val="center"/>
              <w:rPr>
                <w:b/>
                <w:lang w:val="en-US"/>
              </w:rPr>
            </w:pPr>
            <w:r w:rsidRPr="0008526E">
              <w:rPr>
                <w:b/>
                <w:iCs/>
                <w:lang w:val="en-US"/>
              </w:rPr>
              <w:t>Reg</w:t>
            </w:r>
          </w:p>
        </w:tc>
        <w:tc>
          <w:tcPr>
            <w:tcW w:w="946" w:type="pct"/>
            <w:vAlign w:val="center"/>
          </w:tcPr>
          <w:p w:rsidR="00912D22" w:rsidRPr="0008526E" w:rsidRDefault="003B1A68" w:rsidP="00912D22">
            <w:pPr>
              <w:pStyle w:val="Tabletext"/>
              <w:jc w:val="center"/>
              <w:rPr>
                <w:b/>
                <w:lang w:val="en-US"/>
              </w:rPr>
            </w:pPr>
            <w:r w:rsidRPr="0008526E">
              <w:rPr>
                <w:b/>
                <w:lang w:val="en-US"/>
              </w:rPr>
              <w:t xml:space="preserve">BSC </w:t>
            </w:r>
          </w:p>
        </w:tc>
        <w:tc>
          <w:tcPr>
            <w:tcW w:w="735" w:type="pct"/>
            <w:vAlign w:val="center"/>
          </w:tcPr>
          <w:p w:rsidR="00912D22" w:rsidRPr="0008526E" w:rsidRDefault="00912D22" w:rsidP="00912D22">
            <w:pPr>
              <w:pStyle w:val="Tabletext"/>
              <w:jc w:val="center"/>
              <w:rPr>
                <w:b/>
                <w:lang w:val="en-US"/>
              </w:rPr>
            </w:pPr>
            <w:r w:rsidRPr="0008526E">
              <w:rPr>
                <w:b/>
                <w:iCs/>
                <w:lang w:val="en-US"/>
              </w:rPr>
              <w:t>Difference</w:t>
            </w:r>
          </w:p>
        </w:tc>
        <w:tc>
          <w:tcPr>
            <w:tcW w:w="839" w:type="pct"/>
            <w:vAlign w:val="center"/>
          </w:tcPr>
          <w:p w:rsidR="00912D22" w:rsidRPr="0008526E" w:rsidRDefault="00912D22" w:rsidP="00912D22">
            <w:pPr>
              <w:pStyle w:val="Tabletext"/>
              <w:jc w:val="center"/>
              <w:rPr>
                <w:b/>
                <w:lang w:val="en-US"/>
              </w:rPr>
            </w:pPr>
            <w:r w:rsidRPr="0008526E">
              <w:rPr>
                <w:b/>
                <w:lang w:val="en-US"/>
              </w:rPr>
              <w:t xml:space="preserve">P value </w:t>
            </w:r>
          </w:p>
        </w:tc>
        <w:tc>
          <w:tcPr>
            <w:tcW w:w="1009" w:type="pct"/>
            <w:vAlign w:val="center"/>
          </w:tcPr>
          <w:p w:rsidR="00912D22" w:rsidRPr="0008526E" w:rsidRDefault="00912D22" w:rsidP="00912D22">
            <w:pPr>
              <w:pStyle w:val="Tabletext"/>
              <w:jc w:val="center"/>
              <w:rPr>
                <w:b/>
                <w:lang w:val="en-US"/>
              </w:rPr>
            </w:pPr>
            <w:r w:rsidRPr="0008526E">
              <w:rPr>
                <w:b/>
                <w:iCs/>
                <w:lang w:val="en-US"/>
              </w:rPr>
              <w:t>MID</w:t>
            </w:r>
          </w:p>
        </w:tc>
      </w:tr>
      <w:tr w:rsidR="00912D22" w:rsidRPr="0008526E" w:rsidTr="00912D22">
        <w:trPr>
          <w:trHeight w:val="505"/>
        </w:trPr>
        <w:tc>
          <w:tcPr>
            <w:tcW w:w="729" w:type="pct"/>
            <w:vAlign w:val="center"/>
          </w:tcPr>
          <w:p w:rsidR="00912D22" w:rsidRPr="0008526E" w:rsidRDefault="00912D22" w:rsidP="00912D22">
            <w:pPr>
              <w:pStyle w:val="Tabletext"/>
            </w:pPr>
            <w:r w:rsidRPr="0008526E">
              <w:t>EQ-5D 3L index</w:t>
            </w:r>
          </w:p>
        </w:tc>
        <w:tc>
          <w:tcPr>
            <w:tcW w:w="742" w:type="pct"/>
            <w:vAlign w:val="center"/>
          </w:tcPr>
          <w:p w:rsidR="00912D22" w:rsidRPr="0008526E" w:rsidRDefault="00912D22" w:rsidP="00912D22">
            <w:pPr>
              <w:pStyle w:val="Tabletext"/>
              <w:jc w:val="center"/>
            </w:pPr>
            <w:r w:rsidRPr="0008526E">
              <w:t xml:space="preserve">0.76 </w:t>
            </w:r>
          </w:p>
          <w:p w:rsidR="00912D22" w:rsidRPr="0008526E" w:rsidRDefault="00912D22" w:rsidP="00912D22">
            <w:pPr>
              <w:pStyle w:val="Tabletext"/>
              <w:jc w:val="center"/>
            </w:pPr>
            <w:r w:rsidRPr="0008526E">
              <w:t>(0.75-0.78)</w:t>
            </w:r>
          </w:p>
        </w:tc>
        <w:tc>
          <w:tcPr>
            <w:tcW w:w="946" w:type="pct"/>
            <w:vAlign w:val="center"/>
          </w:tcPr>
          <w:p w:rsidR="00912D22" w:rsidRPr="0008526E" w:rsidRDefault="00912D22" w:rsidP="00912D22">
            <w:pPr>
              <w:pStyle w:val="Tabletext"/>
              <w:jc w:val="center"/>
            </w:pPr>
            <w:r w:rsidRPr="0008526E">
              <w:t xml:space="preserve">0.77 </w:t>
            </w:r>
          </w:p>
          <w:p w:rsidR="00912D22" w:rsidRPr="0008526E" w:rsidRDefault="00912D22" w:rsidP="00912D22">
            <w:pPr>
              <w:pStyle w:val="Tabletext"/>
              <w:jc w:val="center"/>
            </w:pPr>
            <w:r w:rsidRPr="0008526E">
              <w:t>(0.75-0.79)</w:t>
            </w:r>
          </w:p>
        </w:tc>
        <w:tc>
          <w:tcPr>
            <w:tcW w:w="735" w:type="pct"/>
            <w:vAlign w:val="center"/>
          </w:tcPr>
          <w:p w:rsidR="00912D22" w:rsidRPr="0008526E" w:rsidRDefault="00912D22" w:rsidP="00912D22">
            <w:pPr>
              <w:pStyle w:val="Tabletext"/>
              <w:jc w:val="center"/>
            </w:pPr>
            <w:r w:rsidRPr="0008526E">
              <w:t xml:space="preserve">-0.01 </w:t>
            </w:r>
          </w:p>
          <w:p w:rsidR="00912D22" w:rsidRPr="0008526E" w:rsidRDefault="00912D22" w:rsidP="00912D22">
            <w:pPr>
              <w:pStyle w:val="Tabletext"/>
              <w:jc w:val="center"/>
            </w:pPr>
            <w:r w:rsidRPr="0008526E">
              <w:t>(-0.03-0.02)</w:t>
            </w:r>
          </w:p>
        </w:tc>
        <w:tc>
          <w:tcPr>
            <w:tcW w:w="839" w:type="pct"/>
            <w:vAlign w:val="center"/>
          </w:tcPr>
          <w:p w:rsidR="00912D22" w:rsidRPr="0008526E" w:rsidRDefault="00912D22" w:rsidP="00912D22">
            <w:pPr>
              <w:pStyle w:val="Tabletext"/>
              <w:jc w:val="center"/>
            </w:pPr>
            <w:r w:rsidRPr="0008526E">
              <w:t>0.4695</w:t>
            </w:r>
          </w:p>
        </w:tc>
        <w:tc>
          <w:tcPr>
            <w:tcW w:w="1009" w:type="pct"/>
            <w:vAlign w:val="center"/>
          </w:tcPr>
          <w:p w:rsidR="00912D22" w:rsidRPr="0008526E" w:rsidRDefault="00912D22" w:rsidP="00912D22">
            <w:pPr>
              <w:pStyle w:val="Tabletext"/>
              <w:jc w:val="center"/>
            </w:pPr>
            <w:r w:rsidRPr="0008526E">
              <w:t>0.1</w:t>
            </w:r>
          </w:p>
        </w:tc>
      </w:tr>
      <w:tr w:rsidR="00912D22" w:rsidRPr="0008526E" w:rsidTr="00912D22">
        <w:trPr>
          <w:trHeight w:val="505"/>
        </w:trPr>
        <w:tc>
          <w:tcPr>
            <w:tcW w:w="729" w:type="pct"/>
            <w:vAlign w:val="center"/>
          </w:tcPr>
          <w:p w:rsidR="00912D22" w:rsidRPr="0008526E" w:rsidRDefault="00912D22" w:rsidP="00912D22">
            <w:pPr>
              <w:pStyle w:val="Tabletext"/>
            </w:pPr>
            <w:r w:rsidRPr="0008526E">
              <w:t>EQ-5D VAS</w:t>
            </w:r>
          </w:p>
        </w:tc>
        <w:tc>
          <w:tcPr>
            <w:tcW w:w="742" w:type="pct"/>
            <w:vAlign w:val="center"/>
          </w:tcPr>
          <w:p w:rsidR="00912D22" w:rsidRPr="0008526E" w:rsidRDefault="00912D22" w:rsidP="00912D22">
            <w:pPr>
              <w:pStyle w:val="Tabletext"/>
              <w:jc w:val="center"/>
            </w:pPr>
            <w:r w:rsidRPr="0008526E">
              <w:t xml:space="preserve">71.68 </w:t>
            </w:r>
          </w:p>
          <w:p w:rsidR="00912D22" w:rsidRPr="0008526E" w:rsidRDefault="00912D22" w:rsidP="00912D22">
            <w:pPr>
              <w:pStyle w:val="Tabletext"/>
              <w:jc w:val="center"/>
            </w:pPr>
            <w:r w:rsidRPr="0008526E">
              <w:t>(70.46-72.90)</w:t>
            </w:r>
          </w:p>
        </w:tc>
        <w:tc>
          <w:tcPr>
            <w:tcW w:w="946" w:type="pct"/>
            <w:vAlign w:val="center"/>
          </w:tcPr>
          <w:p w:rsidR="00912D22" w:rsidRPr="0008526E" w:rsidRDefault="00912D22" w:rsidP="00912D22">
            <w:pPr>
              <w:pStyle w:val="Tabletext"/>
              <w:jc w:val="center"/>
            </w:pPr>
            <w:r w:rsidRPr="0008526E">
              <w:t xml:space="preserve">73.45 </w:t>
            </w:r>
          </w:p>
          <w:p w:rsidR="00912D22" w:rsidRPr="0008526E" w:rsidRDefault="00912D22" w:rsidP="00912D22">
            <w:pPr>
              <w:pStyle w:val="Tabletext"/>
              <w:jc w:val="center"/>
            </w:pPr>
            <w:r w:rsidRPr="0008526E">
              <w:t>(71.84-75.06)</w:t>
            </w:r>
          </w:p>
        </w:tc>
        <w:tc>
          <w:tcPr>
            <w:tcW w:w="735" w:type="pct"/>
            <w:vAlign w:val="center"/>
          </w:tcPr>
          <w:p w:rsidR="00912D22" w:rsidRPr="0008526E" w:rsidRDefault="00912D22" w:rsidP="00912D22">
            <w:pPr>
              <w:pStyle w:val="Tabletext"/>
              <w:jc w:val="center"/>
            </w:pPr>
            <w:r w:rsidRPr="0008526E">
              <w:t xml:space="preserve">-1.77 </w:t>
            </w:r>
          </w:p>
          <w:p w:rsidR="00912D22" w:rsidRPr="0008526E" w:rsidRDefault="00912D22" w:rsidP="00912D22">
            <w:pPr>
              <w:pStyle w:val="Tabletext"/>
              <w:jc w:val="center"/>
            </w:pPr>
            <w:r w:rsidRPr="0008526E">
              <w:t>(-3.58-0.04)</w:t>
            </w:r>
          </w:p>
        </w:tc>
        <w:tc>
          <w:tcPr>
            <w:tcW w:w="839" w:type="pct"/>
            <w:vAlign w:val="center"/>
          </w:tcPr>
          <w:p w:rsidR="00912D22" w:rsidRPr="0008526E" w:rsidRDefault="00912D22" w:rsidP="00912D22">
            <w:pPr>
              <w:pStyle w:val="Tabletext"/>
              <w:jc w:val="center"/>
            </w:pPr>
            <w:r w:rsidRPr="0008526E">
              <w:t>0.0558</w:t>
            </w:r>
          </w:p>
        </w:tc>
        <w:tc>
          <w:tcPr>
            <w:tcW w:w="1009" w:type="pct"/>
            <w:vAlign w:val="center"/>
          </w:tcPr>
          <w:p w:rsidR="00912D22" w:rsidRPr="0008526E" w:rsidRDefault="00912D22" w:rsidP="00912D22">
            <w:pPr>
              <w:pStyle w:val="Tabletext"/>
              <w:jc w:val="center"/>
            </w:pPr>
            <w:r w:rsidRPr="0008526E">
              <w:t>10</w:t>
            </w:r>
          </w:p>
        </w:tc>
      </w:tr>
      <w:tr w:rsidR="00912D22" w:rsidRPr="0008526E" w:rsidTr="00912D22">
        <w:trPr>
          <w:trHeight w:val="505"/>
        </w:trPr>
        <w:tc>
          <w:tcPr>
            <w:tcW w:w="729" w:type="pct"/>
            <w:vAlign w:val="center"/>
          </w:tcPr>
          <w:p w:rsidR="00912D22" w:rsidRPr="0008526E" w:rsidRDefault="00912D22" w:rsidP="00912D22">
            <w:pPr>
              <w:pStyle w:val="Tabletext"/>
            </w:pPr>
            <w:r w:rsidRPr="0008526E">
              <w:t>FACT-General</w:t>
            </w:r>
          </w:p>
        </w:tc>
        <w:tc>
          <w:tcPr>
            <w:tcW w:w="742" w:type="pct"/>
            <w:vAlign w:val="center"/>
          </w:tcPr>
          <w:p w:rsidR="00912D22" w:rsidRPr="0008526E" w:rsidRDefault="00912D22" w:rsidP="00912D22">
            <w:pPr>
              <w:pStyle w:val="Tabletext"/>
              <w:jc w:val="center"/>
            </w:pPr>
            <w:r w:rsidRPr="0008526E">
              <w:t>75.14</w:t>
            </w:r>
          </w:p>
          <w:p w:rsidR="00912D22" w:rsidRPr="0008526E" w:rsidRDefault="00912D22" w:rsidP="00912D22">
            <w:pPr>
              <w:pStyle w:val="Tabletext"/>
              <w:jc w:val="center"/>
            </w:pPr>
            <w:r w:rsidRPr="0008526E">
              <w:t>(74.12-76.16)</w:t>
            </w:r>
          </w:p>
        </w:tc>
        <w:tc>
          <w:tcPr>
            <w:tcW w:w="946" w:type="pct"/>
            <w:vAlign w:val="center"/>
          </w:tcPr>
          <w:p w:rsidR="00912D22" w:rsidRPr="0008526E" w:rsidRDefault="00912D22" w:rsidP="00912D22">
            <w:pPr>
              <w:pStyle w:val="Tabletext"/>
              <w:jc w:val="center"/>
            </w:pPr>
            <w:r w:rsidRPr="0008526E">
              <w:t>76.55</w:t>
            </w:r>
          </w:p>
          <w:p w:rsidR="00912D22" w:rsidRPr="0008526E" w:rsidRDefault="00912D22" w:rsidP="00912D22">
            <w:pPr>
              <w:pStyle w:val="Tabletext"/>
              <w:jc w:val="center"/>
            </w:pPr>
            <w:r w:rsidRPr="0008526E">
              <w:t>(75.20-77.90)</w:t>
            </w:r>
          </w:p>
        </w:tc>
        <w:tc>
          <w:tcPr>
            <w:tcW w:w="735" w:type="pct"/>
            <w:vAlign w:val="center"/>
          </w:tcPr>
          <w:p w:rsidR="00912D22" w:rsidRPr="0008526E" w:rsidRDefault="00912D22" w:rsidP="00912D22">
            <w:pPr>
              <w:pStyle w:val="Tabletext"/>
              <w:jc w:val="center"/>
            </w:pPr>
            <w:r w:rsidRPr="0008526E">
              <w:t>-1.41</w:t>
            </w:r>
          </w:p>
          <w:p w:rsidR="00912D22" w:rsidRPr="0008526E" w:rsidRDefault="00912D22" w:rsidP="00912D22">
            <w:pPr>
              <w:pStyle w:val="Tabletext"/>
              <w:jc w:val="center"/>
            </w:pPr>
            <w:r w:rsidRPr="0008526E">
              <w:t>(-2.93-0.11)</w:t>
            </w:r>
          </w:p>
        </w:tc>
        <w:tc>
          <w:tcPr>
            <w:tcW w:w="839" w:type="pct"/>
            <w:vAlign w:val="center"/>
          </w:tcPr>
          <w:p w:rsidR="00912D22" w:rsidRPr="0008526E" w:rsidRDefault="00912D22" w:rsidP="00912D22">
            <w:pPr>
              <w:pStyle w:val="Tabletext"/>
              <w:jc w:val="center"/>
            </w:pPr>
            <w:r w:rsidRPr="0008526E">
              <w:t>0.0698</w:t>
            </w:r>
          </w:p>
        </w:tc>
        <w:tc>
          <w:tcPr>
            <w:tcW w:w="1009" w:type="pct"/>
            <w:vAlign w:val="center"/>
          </w:tcPr>
          <w:p w:rsidR="00912D22" w:rsidRPr="0008526E" w:rsidRDefault="00912D22" w:rsidP="00912D22">
            <w:pPr>
              <w:pStyle w:val="Tabletext"/>
              <w:jc w:val="center"/>
            </w:pPr>
            <w:r w:rsidRPr="0008526E">
              <w:t>6-7</w:t>
            </w:r>
          </w:p>
        </w:tc>
      </w:tr>
      <w:tr w:rsidR="00912D22" w:rsidRPr="0008526E" w:rsidTr="00912D22">
        <w:trPr>
          <w:trHeight w:val="505"/>
        </w:trPr>
        <w:tc>
          <w:tcPr>
            <w:tcW w:w="729" w:type="pct"/>
            <w:tcBorders>
              <w:bottom w:val="single" w:sz="4" w:space="0" w:color="auto"/>
            </w:tcBorders>
            <w:vAlign w:val="center"/>
          </w:tcPr>
          <w:p w:rsidR="00912D22" w:rsidRPr="0008526E" w:rsidRDefault="00912D22" w:rsidP="00912D22">
            <w:pPr>
              <w:pStyle w:val="Tabletext"/>
            </w:pPr>
            <w:r w:rsidRPr="0008526E">
              <w:t>FACT-Hep total</w:t>
            </w:r>
          </w:p>
        </w:tc>
        <w:tc>
          <w:tcPr>
            <w:tcW w:w="742" w:type="pct"/>
            <w:vAlign w:val="center"/>
          </w:tcPr>
          <w:p w:rsidR="00912D22" w:rsidRPr="0008526E" w:rsidRDefault="00912D22" w:rsidP="00912D22">
            <w:pPr>
              <w:pStyle w:val="Tabletext"/>
              <w:jc w:val="center"/>
            </w:pPr>
            <w:r w:rsidRPr="0008526E">
              <w:t>129.31</w:t>
            </w:r>
          </w:p>
          <w:p w:rsidR="00912D22" w:rsidRPr="0008526E" w:rsidRDefault="00912D22" w:rsidP="00912D22">
            <w:pPr>
              <w:pStyle w:val="Tabletext"/>
              <w:jc w:val="center"/>
            </w:pPr>
            <w:r w:rsidRPr="0008526E">
              <w:t>(127.84-130.79)</w:t>
            </w:r>
          </w:p>
        </w:tc>
        <w:tc>
          <w:tcPr>
            <w:tcW w:w="946" w:type="pct"/>
            <w:vAlign w:val="center"/>
          </w:tcPr>
          <w:p w:rsidR="00912D22" w:rsidRPr="0008526E" w:rsidRDefault="00912D22" w:rsidP="00912D22">
            <w:pPr>
              <w:pStyle w:val="Tabletext"/>
              <w:jc w:val="center"/>
            </w:pPr>
            <w:r w:rsidRPr="0008526E">
              <w:t>133.17</w:t>
            </w:r>
          </w:p>
          <w:p w:rsidR="00912D22" w:rsidRPr="0008526E" w:rsidRDefault="00912D22" w:rsidP="00912D22">
            <w:pPr>
              <w:pStyle w:val="Tabletext"/>
              <w:jc w:val="center"/>
            </w:pPr>
            <w:r w:rsidRPr="0008526E">
              <w:t>(131.21-135.12)</w:t>
            </w:r>
          </w:p>
        </w:tc>
        <w:tc>
          <w:tcPr>
            <w:tcW w:w="735" w:type="pct"/>
            <w:vAlign w:val="center"/>
          </w:tcPr>
          <w:p w:rsidR="00912D22" w:rsidRPr="0008526E" w:rsidRDefault="00912D22" w:rsidP="00912D22">
            <w:pPr>
              <w:pStyle w:val="Tabletext"/>
              <w:jc w:val="center"/>
              <w:rPr>
                <w:b/>
              </w:rPr>
            </w:pPr>
            <w:r w:rsidRPr="0008526E">
              <w:rPr>
                <w:b/>
              </w:rPr>
              <w:t>-3.85</w:t>
            </w:r>
          </w:p>
          <w:p w:rsidR="00912D22" w:rsidRPr="0008526E" w:rsidRDefault="00912D22" w:rsidP="00912D22">
            <w:pPr>
              <w:pStyle w:val="Tabletext"/>
              <w:jc w:val="center"/>
            </w:pPr>
            <w:r w:rsidRPr="0008526E">
              <w:t>(-6.06 - -1.65)</w:t>
            </w:r>
          </w:p>
        </w:tc>
        <w:tc>
          <w:tcPr>
            <w:tcW w:w="839" w:type="pct"/>
            <w:vAlign w:val="center"/>
          </w:tcPr>
          <w:p w:rsidR="00912D22" w:rsidRPr="0008526E" w:rsidRDefault="00912D22" w:rsidP="00912D22">
            <w:pPr>
              <w:pStyle w:val="Tabletext"/>
              <w:jc w:val="center"/>
            </w:pPr>
            <w:r w:rsidRPr="0008526E">
              <w:t>0.0006</w:t>
            </w:r>
          </w:p>
        </w:tc>
        <w:tc>
          <w:tcPr>
            <w:tcW w:w="1009" w:type="pct"/>
            <w:vAlign w:val="center"/>
          </w:tcPr>
          <w:p w:rsidR="00912D22" w:rsidRPr="0008526E" w:rsidRDefault="00912D22" w:rsidP="00912D22">
            <w:pPr>
              <w:pStyle w:val="Tabletext"/>
              <w:jc w:val="center"/>
            </w:pPr>
            <w:r w:rsidRPr="0008526E">
              <w:t>8-9</w:t>
            </w:r>
          </w:p>
        </w:tc>
      </w:tr>
      <w:tr w:rsidR="00912D22" w:rsidRPr="0008526E" w:rsidTr="00912D22">
        <w:trPr>
          <w:trHeight w:val="505"/>
        </w:trPr>
        <w:tc>
          <w:tcPr>
            <w:tcW w:w="729" w:type="pct"/>
            <w:tcBorders>
              <w:bottom w:val="single" w:sz="4" w:space="0" w:color="auto"/>
            </w:tcBorders>
            <w:vAlign w:val="center"/>
          </w:tcPr>
          <w:p w:rsidR="00912D22" w:rsidRPr="0008526E" w:rsidRDefault="00912D22" w:rsidP="00912D22">
            <w:pPr>
              <w:pStyle w:val="Tabletext"/>
            </w:pPr>
            <w:r w:rsidRPr="0008526E">
              <w:t>Trial outcome index</w:t>
            </w:r>
          </w:p>
        </w:tc>
        <w:tc>
          <w:tcPr>
            <w:tcW w:w="742" w:type="pct"/>
            <w:vAlign w:val="center"/>
          </w:tcPr>
          <w:p w:rsidR="00912D22" w:rsidRPr="0008526E" w:rsidRDefault="00912D22" w:rsidP="00912D22">
            <w:pPr>
              <w:pStyle w:val="Tabletext"/>
              <w:jc w:val="center"/>
            </w:pPr>
            <w:r w:rsidRPr="0008526E">
              <w:t>91.47</w:t>
            </w:r>
          </w:p>
          <w:p w:rsidR="00912D22" w:rsidRPr="0008526E" w:rsidRDefault="00912D22" w:rsidP="00912D22">
            <w:pPr>
              <w:pStyle w:val="Tabletext"/>
              <w:jc w:val="center"/>
            </w:pPr>
            <w:r w:rsidRPr="0008526E">
              <w:t>(90.30-92.64)</w:t>
            </w:r>
          </w:p>
        </w:tc>
        <w:tc>
          <w:tcPr>
            <w:tcW w:w="946" w:type="pct"/>
            <w:vAlign w:val="center"/>
          </w:tcPr>
          <w:p w:rsidR="00912D22" w:rsidRPr="0008526E" w:rsidRDefault="00912D22" w:rsidP="00912D22">
            <w:pPr>
              <w:pStyle w:val="Tabletext"/>
              <w:jc w:val="center"/>
            </w:pPr>
            <w:r w:rsidRPr="0008526E">
              <w:t>95.52</w:t>
            </w:r>
          </w:p>
          <w:p w:rsidR="00912D22" w:rsidRPr="0008526E" w:rsidRDefault="00912D22" w:rsidP="00912D22">
            <w:pPr>
              <w:pStyle w:val="Tabletext"/>
              <w:jc w:val="center"/>
            </w:pPr>
            <w:r w:rsidRPr="0008526E">
              <w:t>(93.98-97.07)</w:t>
            </w:r>
          </w:p>
        </w:tc>
        <w:tc>
          <w:tcPr>
            <w:tcW w:w="735" w:type="pct"/>
            <w:vAlign w:val="center"/>
          </w:tcPr>
          <w:p w:rsidR="00912D22" w:rsidRPr="0008526E" w:rsidRDefault="00912D22" w:rsidP="00912D22">
            <w:pPr>
              <w:pStyle w:val="Tabletext"/>
              <w:jc w:val="center"/>
              <w:rPr>
                <w:b/>
              </w:rPr>
            </w:pPr>
            <w:r w:rsidRPr="0008526E">
              <w:rPr>
                <w:b/>
              </w:rPr>
              <w:t>-4.05</w:t>
            </w:r>
          </w:p>
          <w:p w:rsidR="00912D22" w:rsidRPr="0008526E" w:rsidRDefault="00912D22" w:rsidP="00912D22">
            <w:pPr>
              <w:pStyle w:val="Tabletext"/>
              <w:jc w:val="center"/>
            </w:pPr>
            <w:r w:rsidRPr="0008526E">
              <w:t>(-5.79 - -2.31)</w:t>
            </w:r>
          </w:p>
        </w:tc>
        <w:tc>
          <w:tcPr>
            <w:tcW w:w="839" w:type="pct"/>
            <w:vAlign w:val="center"/>
          </w:tcPr>
          <w:p w:rsidR="00912D22" w:rsidRPr="0008526E" w:rsidRDefault="00912D22" w:rsidP="00912D22">
            <w:pPr>
              <w:pStyle w:val="Tabletext"/>
              <w:jc w:val="center"/>
            </w:pPr>
            <w:r w:rsidRPr="0008526E">
              <w:t>&lt;0.0001</w:t>
            </w:r>
          </w:p>
        </w:tc>
        <w:tc>
          <w:tcPr>
            <w:tcW w:w="1009" w:type="pct"/>
            <w:vAlign w:val="center"/>
          </w:tcPr>
          <w:p w:rsidR="00912D22" w:rsidRPr="0008526E" w:rsidRDefault="00912D22" w:rsidP="00912D22">
            <w:pPr>
              <w:pStyle w:val="Tabletext"/>
              <w:jc w:val="center"/>
            </w:pPr>
            <w:r w:rsidRPr="0008526E">
              <w:t>7-8</w:t>
            </w:r>
          </w:p>
        </w:tc>
      </w:tr>
    </w:tbl>
    <w:p w:rsidR="00912D22" w:rsidRPr="0008526E" w:rsidRDefault="00912D22" w:rsidP="005C38A1">
      <w:pPr>
        <w:pStyle w:val="TableFooter"/>
      </w:pPr>
      <w:r w:rsidRPr="0008526E">
        <w:t xml:space="preserve">Abbreviations: AUC= area under the curve; CI= confidence intervals; FACT= Functional assessment cancer therapy; LSM= least squares mean; MID= minimally important difference; VAS= visual analogue scale. </w:t>
      </w:r>
    </w:p>
    <w:p w:rsidR="00912D22" w:rsidRPr="0008526E" w:rsidRDefault="00912D22" w:rsidP="005C38A1">
      <w:pPr>
        <w:pStyle w:val="TableFooter"/>
      </w:pPr>
      <w:r w:rsidRPr="0008526E">
        <w:t>Source: Online Table 12, p.19 of the RESORCE supplementary appendix.</w:t>
      </w:r>
    </w:p>
    <w:p w:rsidR="00912D22" w:rsidRPr="0008526E" w:rsidRDefault="00E120A1" w:rsidP="005D0C00">
      <w:pPr>
        <w:pStyle w:val="TableFooter"/>
      </w:pPr>
      <w:r w:rsidRPr="0008526E">
        <w:t>Note: Bold text indicates a s</w:t>
      </w:r>
      <w:r w:rsidR="005D0C00">
        <w:t>tatistically significant value.</w:t>
      </w:r>
    </w:p>
    <w:p w:rsidR="00912D22" w:rsidRPr="009C362D" w:rsidRDefault="00912D22" w:rsidP="009C362D">
      <w:pPr>
        <w:pStyle w:val="Heading2"/>
      </w:pPr>
      <w:r w:rsidRPr="009C362D">
        <w:t>Comparative harms</w:t>
      </w:r>
    </w:p>
    <w:p w:rsidR="00912D22" w:rsidRDefault="00086578" w:rsidP="00912D22">
      <w:pPr>
        <w:pStyle w:val="ListParagraph"/>
        <w:widowControl/>
        <w:numPr>
          <w:ilvl w:val="1"/>
          <w:numId w:val="3"/>
        </w:numPr>
      </w:pPr>
      <w:r w:rsidRPr="0008526E">
        <w:t>Safety d</w:t>
      </w:r>
      <w:r w:rsidR="00912D22" w:rsidRPr="0008526E">
        <w:t xml:space="preserve">ata presented in the submission were obtained from the RESORCE trial and </w:t>
      </w:r>
      <w:r w:rsidRPr="0008526E">
        <w:t xml:space="preserve">are </w:t>
      </w:r>
      <w:r w:rsidR="00912D22" w:rsidRPr="0008526E">
        <w:t>summarised in Table</w:t>
      </w:r>
      <w:r w:rsidR="00B538E5">
        <w:t>s</w:t>
      </w:r>
      <w:r w:rsidR="00912D22" w:rsidRPr="0008526E">
        <w:t xml:space="preserve"> </w:t>
      </w:r>
      <w:r w:rsidR="00B538E5">
        <w:t xml:space="preserve">6 and </w:t>
      </w:r>
      <w:r w:rsidR="00912D22" w:rsidRPr="0008526E">
        <w:t>7. There is a boxed warning</w:t>
      </w:r>
      <w:r w:rsidR="00CB6553">
        <w:t xml:space="preserve"> included in the Product Information (PI)</w:t>
      </w:r>
      <w:r w:rsidR="00912D22" w:rsidRPr="0008526E">
        <w:t xml:space="preserve"> for hepatotoxicity associated with regorafenib. The rates of liver-related adverse events and liver failure with regorafenib in the RESORCE trial were not higher when compared with other regorafenib trials (</w:t>
      </w:r>
      <w:r w:rsidR="001C1255" w:rsidRPr="0008526E">
        <w:t xml:space="preserve">for </w:t>
      </w:r>
      <w:r w:rsidR="00912D22" w:rsidRPr="0008526E">
        <w:t>different indication</w:t>
      </w:r>
      <w:r w:rsidR="002676CF">
        <w:t>s</w:t>
      </w:r>
      <w:r w:rsidR="00912D22" w:rsidRPr="0008526E">
        <w:t>). The TGA Delegate’s Overview stated “There is currently insufficient data to assess whether patients with underlying hepatic impairment as a result of HCC, are likely to experience more severe hepatotoxicity if treated with regorafenib. Use in this subset of patients should be closely monitored</w:t>
      </w:r>
      <w:r w:rsidR="00CA5145" w:rsidRPr="0008526E">
        <w:t>”</w:t>
      </w:r>
      <w:r w:rsidR="00912D22" w:rsidRPr="0008526E">
        <w:t xml:space="preserve">. </w:t>
      </w:r>
    </w:p>
    <w:p w:rsidR="002676CF" w:rsidRPr="002676CF" w:rsidRDefault="002676CF" w:rsidP="002676CF">
      <w:pPr>
        <w:pStyle w:val="ListParagraph"/>
        <w:widowControl/>
        <w:numPr>
          <w:ilvl w:val="1"/>
          <w:numId w:val="3"/>
        </w:numPr>
      </w:pPr>
      <w:r w:rsidRPr="002676CF">
        <w:t xml:space="preserve">Patients treated with regorafenib were 3 times more likely to suffer any grade 3 or 4 </w:t>
      </w:r>
      <w:r w:rsidR="00C26F66">
        <w:t xml:space="preserve">drug-related </w:t>
      </w:r>
      <w:r w:rsidRPr="002676CF">
        <w:t>adverse event compared to BSC (</w:t>
      </w:r>
      <w:r w:rsidRPr="00AB4E9F">
        <w:t xml:space="preserve">Table </w:t>
      </w:r>
      <w:r w:rsidR="00B538E5">
        <w:t>6</w:t>
      </w:r>
      <w:r w:rsidRPr="00AB4E9F">
        <w:t>).</w:t>
      </w:r>
      <w:r w:rsidRPr="002676CF">
        <w:t xml:space="preserve"> The data from the RESORCE trial showed that more patients treated with regorafenib (31.6%) reported infections and infestations than patients treated with BSC (17.2%). This was acknowledged by the TGA and a precautionary warning was included in the PI.</w:t>
      </w:r>
    </w:p>
    <w:p w:rsidR="001C5F56" w:rsidRDefault="001C5F56" w:rsidP="001C5F56">
      <w:pPr>
        <w:pStyle w:val="ListParagraph"/>
        <w:widowControl/>
        <w:numPr>
          <w:ilvl w:val="1"/>
          <w:numId w:val="3"/>
        </w:numPr>
      </w:pPr>
      <w:r w:rsidRPr="003606EB">
        <w:t xml:space="preserve">The ESC noted that hand-foot skin reaction (HFSR) or Palmar-Plantar </w:t>
      </w:r>
      <w:r w:rsidR="00600195" w:rsidRPr="003606EB">
        <w:t>e</w:t>
      </w:r>
      <w:r w:rsidRPr="003606EB">
        <w:t>rythrodysesthesia, which causes redness, swelling, blistering and pain on the palms of the hands and/or the soles of the feet, occurred</w:t>
      </w:r>
      <w:r w:rsidR="007051E5" w:rsidRPr="003606EB">
        <w:t xml:space="preserve"> with grade 3 severity</w:t>
      </w:r>
      <w:r w:rsidRPr="003606EB">
        <w:t xml:space="preserve"> in 12.3% of patients in the regorafenib arm, compared with 0.5% in the BSC arm. Although the submission acknowledged that HFSR was a known side-effect of tyrosine kinase inhibitors, the ESC considered that it was </w:t>
      </w:r>
      <w:r w:rsidR="000E0CF0">
        <w:t>likely to cause</w:t>
      </w:r>
      <w:r w:rsidR="000E0CF0" w:rsidRPr="003606EB">
        <w:t xml:space="preserve"> </w:t>
      </w:r>
      <w:r w:rsidRPr="003606EB">
        <w:t>significant detriment to a patient</w:t>
      </w:r>
      <w:r w:rsidR="00816092" w:rsidRPr="003606EB">
        <w:t>’</w:t>
      </w:r>
      <w:r w:rsidRPr="003606EB">
        <w:t>s QoL.</w:t>
      </w:r>
    </w:p>
    <w:p w:rsidR="007E4D48" w:rsidRDefault="007E4D48" w:rsidP="001C5F56">
      <w:pPr>
        <w:pStyle w:val="ListParagraph"/>
        <w:widowControl/>
        <w:numPr>
          <w:ilvl w:val="1"/>
          <w:numId w:val="3"/>
        </w:numPr>
      </w:pPr>
      <w:r>
        <w:t xml:space="preserve">In addition to the grade 3 or 4 AEs and HFSR experienced by patients treated with regorafenib, the PBAC noted that </w:t>
      </w:r>
      <w:r w:rsidR="00EE1162">
        <w:t xml:space="preserve">there were a number of </w:t>
      </w:r>
      <w:r>
        <w:t xml:space="preserve">grade 5 AEs for patients treated in the RESORCE trial including myocardial infarction, upper GI haemorrhage, intracranial haemorrhage, hepatic failure, encephalopathy and gastric perforation. </w:t>
      </w:r>
      <w:r w:rsidR="00A31E38">
        <w:t xml:space="preserve">The </w:t>
      </w:r>
      <w:r>
        <w:t xml:space="preserve">PBAC </w:t>
      </w:r>
      <w:r w:rsidR="00EE1162">
        <w:t xml:space="preserve">considered that the </w:t>
      </w:r>
      <w:r>
        <w:t>risk of bleeding events may be higher in the Australian population</w:t>
      </w:r>
      <w:r w:rsidR="00CD1A53">
        <w:t>,</w:t>
      </w:r>
      <w:r>
        <w:t xml:space="preserve"> as patients with bleeding risk were excluded from the RESORCE trial.</w:t>
      </w:r>
    </w:p>
    <w:p w:rsidR="007E4D48" w:rsidRDefault="007E4D48" w:rsidP="001C5F56">
      <w:pPr>
        <w:pStyle w:val="ListParagraph"/>
        <w:widowControl/>
        <w:numPr>
          <w:ilvl w:val="1"/>
          <w:numId w:val="3"/>
        </w:numPr>
      </w:pPr>
      <w:r>
        <w:t>The PBAC noted that there was also a substantial increase in bothersome grade 1 and 2 AE</w:t>
      </w:r>
      <w:r w:rsidR="005706E7">
        <w:t>s</w:t>
      </w:r>
      <w:r>
        <w:t xml:space="preserve"> </w:t>
      </w:r>
      <w:r w:rsidR="00CD1A53">
        <w:t xml:space="preserve">including hand-foot syndrome, diarrhoea, fatigue, hypertension, </w:t>
      </w:r>
      <w:r w:rsidR="00635D84">
        <w:t>anorexia</w:t>
      </w:r>
      <w:r w:rsidR="00CD1A53">
        <w:t xml:space="preserve"> and abdominal pain </w:t>
      </w:r>
      <w:r>
        <w:t>for patients treated with regorafenib</w:t>
      </w:r>
      <w:r w:rsidR="00CD1A53">
        <w:t>,</w:t>
      </w:r>
      <w:r>
        <w:t xml:space="preserve"> that are likely to impact on patient quality of life </w:t>
      </w:r>
      <w:r w:rsidR="005706E7">
        <w:t>as</w:t>
      </w:r>
      <w:r>
        <w:t xml:space="preserve"> regorafenib is </w:t>
      </w:r>
      <w:r w:rsidR="005706E7">
        <w:t>a</w:t>
      </w:r>
      <w:r>
        <w:t xml:space="preserve"> chronic oral therapy.</w:t>
      </w:r>
    </w:p>
    <w:p w:rsidR="00EE1162" w:rsidRPr="003606EB" w:rsidRDefault="007E4D48" w:rsidP="001C5F56">
      <w:pPr>
        <w:pStyle w:val="ListParagraph"/>
        <w:widowControl/>
        <w:numPr>
          <w:ilvl w:val="1"/>
          <w:numId w:val="3"/>
        </w:numPr>
      </w:pPr>
      <w:r>
        <w:t xml:space="preserve">Overall, the PBAC considered that regorafenib was associated with </w:t>
      </w:r>
      <w:r w:rsidR="00594F21">
        <w:t>substantial</w:t>
      </w:r>
      <w:r>
        <w:t xml:space="preserve"> toxicity</w:t>
      </w:r>
      <w:r w:rsidR="00594F21">
        <w:t xml:space="preserve"> which may be worse in the Australian population under the proposed listing.</w:t>
      </w:r>
    </w:p>
    <w:p w:rsidR="00B538E5" w:rsidRPr="0008526E" w:rsidRDefault="00B538E5" w:rsidP="00B538E5">
      <w:pPr>
        <w:keepNext/>
        <w:keepLines/>
        <w:rPr>
          <w:rFonts w:ascii="Arial Narrow" w:hAnsi="Arial Narrow"/>
          <w:b/>
          <w:sz w:val="20"/>
          <w:szCs w:val="20"/>
        </w:rPr>
      </w:pPr>
      <w:r w:rsidRPr="0008526E">
        <w:rPr>
          <w:rFonts w:ascii="Arial Narrow" w:hAnsi="Arial Narrow"/>
          <w:b/>
          <w:sz w:val="20"/>
          <w:szCs w:val="20"/>
        </w:rPr>
        <w:t>Table 6: Summary of key adverse events in the RESORCE trial.</w:t>
      </w:r>
    </w:p>
    <w:tbl>
      <w:tblPr>
        <w:tblStyle w:val="Summarybox6"/>
        <w:tblW w:w="5000" w:type="pct"/>
        <w:tblLook w:val="04A0" w:firstRow="1" w:lastRow="0" w:firstColumn="1" w:lastColumn="0" w:noHBand="0" w:noVBand="1"/>
      </w:tblPr>
      <w:tblGrid>
        <w:gridCol w:w="2517"/>
        <w:gridCol w:w="1510"/>
        <w:gridCol w:w="1740"/>
        <w:gridCol w:w="1740"/>
        <w:gridCol w:w="1736"/>
      </w:tblGrid>
      <w:tr w:rsidR="00B538E5" w:rsidRPr="0008526E" w:rsidTr="00556C26">
        <w:trPr>
          <w:trHeight w:val="201"/>
          <w:tblHeader/>
        </w:trPr>
        <w:tc>
          <w:tcPr>
            <w:tcW w:w="1362" w:type="pct"/>
            <w:shd w:val="clear" w:color="auto" w:fill="auto"/>
          </w:tcPr>
          <w:p w:rsidR="00B538E5" w:rsidRPr="0008526E" w:rsidRDefault="00B538E5" w:rsidP="00556C26">
            <w:pPr>
              <w:keepNext/>
              <w:keepLines/>
              <w:jc w:val="left"/>
              <w:rPr>
                <w:rFonts w:ascii="Arial Narrow" w:eastAsia="Calibri" w:hAnsi="Arial Narrow" w:cs="Calibri"/>
                <w:b/>
                <w:sz w:val="20"/>
                <w:szCs w:val="20"/>
              </w:rPr>
            </w:pPr>
          </w:p>
        </w:tc>
        <w:tc>
          <w:tcPr>
            <w:tcW w:w="817" w:type="pct"/>
            <w:shd w:val="clear" w:color="auto" w:fill="auto"/>
          </w:tcPr>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Regorafenib</w:t>
            </w:r>
          </w:p>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N = 374 (100%)</w:t>
            </w:r>
          </w:p>
        </w:tc>
        <w:tc>
          <w:tcPr>
            <w:tcW w:w="941" w:type="pct"/>
          </w:tcPr>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BSC</w:t>
            </w:r>
          </w:p>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N = 193 (100%)</w:t>
            </w:r>
          </w:p>
        </w:tc>
        <w:tc>
          <w:tcPr>
            <w:tcW w:w="941" w:type="pct"/>
            <w:shd w:val="clear" w:color="auto" w:fill="auto"/>
          </w:tcPr>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 xml:space="preserve">Relative risk </w:t>
            </w:r>
          </w:p>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(95% CI)</w:t>
            </w:r>
          </w:p>
        </w:tc>
        <w:tc>
          <w:tcPr>
            <w:tcW w:w="939" w:type="pct"/>
            <w:shd w:val="clear" w:color="auto" w:fill="auto"/>
          </w:tcPr>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Risk difference</w:t>
            </w:r>
          </w:p>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(95% CI)</w:t>
            </w:r>
          </w:p>
        </w:tc>
      </w:tr>
      <w:tr w:rsidR="00B538E5" w:rsidRPr="0008526E" w:rsidTr="00556C26">
        <w:trPr>
          <w:trHeight w:val="201"/>
        </w:trPr>
        <w:tc>
          <w:tcPr>
            <w:tcW w:w="1362" w:type="pct"/>
            <w:shd w:val="clear" w:color="auto" w:fill="auto"/>
          </w:tcPr>
          <w:p w:rsidR="00B538E5" w:rsidRPr="0008526E" w:rsidRDefault="00B538E5" w:rsidP="00556C26">
            <w:pPr>
              <w:keepNext/>
              <w:keepLines/>
              <w:jc w:val="left"/>
              <w:rPr>
                <w:rFonts w:ascii="Arial Narrow" w:eastAsia="Calibri" w:hAnsi="Arial Narrow" w:cs="Calibri"/>
                <w:b/>
                <w:iCs/>
                <w:sz w:val="20"/>
                <w:szCs w:val="20"/>
              </w:rPr>
            </w:pPr>
            <w:r w:rsidRPr="0008526E">
              <w:rPr>
                <w:rFonts w:ascii="Arial Narrow" w:eastAsia="Calibri" w:hAnsi="Arial Narrow" w:cs="Calibri"/>
                <w:b/>
                <w:iCs/>
                <w:sz w:val="20"/>
                <w:szCs w:val="20"/>
              </w:rPr>
              <w:t>Any drug-related AE</w:t>
            </w:r>
          </w:p>
        </w:tc>
        <w:tc>
          <w:tcPr>
            <w:tcW w:w="817" w:type="pct"/>
            <w:shd w:val="clear" w:color="auto" w:fill="auto"/>
          </w:tcPr>
          <w:p w:rsidR="00B538E5" w:rsidRPr="0008526E" w:rsidRDefault="00B538E5" w:rsidP="00556C26">
            <w:pPr>
              <w:keepNext/>
              <w:keepLines/>
              <w:rPr>
                <w:rFonts w:ascii="Arial Narrow" w:eastAsia="Calibri" w:hAnsi="Arial Narrow" w:cs="Calibri"/>
                <w:b/>
                <w:sz w:val="20"/>
                <w:szCs w:val="20"/>
              </w:rPr>
            </w:pPr>
            <w:r w:rsidRPr="0008526E">
              <w:rPr>
                <w:rFonts w:ascii="Arial Narrow" w:eastAsia="Calibri" w:hAnsi="Arial Narrow" w:cs="Calibri"/>
                <w:b/>
                <w:sz w:val="20"/>
                <w:szCs w:val="20"/>
              </w:rPr>
              <w:t>346 (92.5%)</w:t>
            </w:r>
          </w:p>
        </w:tc>
        <w:tc>
          <w:tcPr>
            <w:tcW w:w="941" w:type="pct"/>
          </w:tcPr>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100 (51.8%)</w:t>
            </w:r>
          </w:p>
        </w:tc>
        <w:tc>
          <w:tcPr>
            <w:tcW w:w="941" w:type="pct"/>
            <w:tcBorders>
              <w:bottom w:val="single" w:sz="4" w:space="0" w:color="auto"/>
              <w:right w:val="single" w:sz="4" w:space="0" w:color="auto"/>
            </w:tcBorders>
            <w:shd w:val="clear" w:color="auto" w:fill="auto"/>
          </w:tcPr>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1.79 (1.55, 2.05)</w:t>
            </w:r>
          </w:p>
        </w:tc>
        <w:tc>
          <w:tcPr>
            <w:tcW w:w="939" w:type="pct"/>
            <w:tcBorders>
              <w:bottom w:val="single" w:sz="4" w:space="0" w:color="auto"/>
              <w:right w:val="single" w:sz="4" w:space="0" w:color="auto"/>
            </w:tcBorders>
            <w:shd w:val="clear" w:color="auto" w:fill="auto"/>
          </w:tcPr>
          <w:p w:rsidR="00B538E5" w:rsidRPr="0008526E" w:rsidRDefault="00B538E5" w:rsidP="00556C26">
            <w:pPr>
              <w:keepNext/>
              <w:keepLines/>
              <w:jc w:val="left"/>
              <w:rPr>
                <w:rFonts w:ascii="Arial Narrow" w:eastAsia="Calibri" w:hAnsi="Arial Narrow" w:cs="Calibri"/>
                <w:b/>
                <w:sz w:val="20"/>
                <w:szCs w:val="20"/>
              </w:rPr>
            </w:pPr>
            <w:r w:rsidRPr="0008526E">
              <w:rPr>
                <w:rFonts w:ascii="Arial Narrow" w:eastAsia="Calibri" w:hAnsi="Arial Narrow" w:cs="Calibri"/>
                <w:b/>
                <w:sz w:val="20"/>
                <w:szCs w:val="20"/>
              </w:rPr>
              <w:t>0.41 (0.33, 0.48)</w:t>
            </w:r>
          </w:p>
        </w:tc>
      </w:tr>
      <w:tr w:rsidR="00B538E5" w:rsidRPr="0008526E" w:rsidTr="00556C26">
        <w:trPr>
          <w:trHeight w:val="201"/>
        </w:trPr>
        <w:tc>
          <w:tcPr>
            <w:tcW w:w="1362" w:type="pct"/>
            <w:shd w:val="clear" w:color="auto" w:fill="auto"/>
          </w:tcPr>
          <w:p w:rsidR="00B538E5" w:rsidRPr="0008526E" w:rsidRDefault="00B538E5" w:rsidP="00556C26">
            <w:pPr>
              <w:keepNext/>
              <w:keepLines/>
              <w:jc w:val="left"/>
              <w:rPr>
                <w:rFonts w:ascii="Arial Narrow" w:eastAsia="Calibri" w:hAnsi="Arial Narrow" w:cs="Calibri"/>
                <w:iCs/>
                <w:sz w:val="20"/>
                <w:szCs w:val="20"/>
              </w:rPr>
            </w:pPr>
            <w:r w:rsidRPr="0008526E">
              <w:rPr>
                <w:rFonts w:ascii="Arial Narrow" w:eastAsia="Calibri" w:hAnsi="Arial Narrow" w:cs="Calibri"/>
                <w:iCs/>
                <w:sz w:val="20"/>
                <w:szCs w:val="20"/>
              </w:rPr>
              <w:t>Worst CTCAE grade:</w:t>
            </w:r>
          </w:p>
          <w:p w:rsidR="00B538E5" w:rsidRPr="0008526E" w:rsidRDefault="00B538E5" w:rsidP="00556C26">
            <w:pPr>
              <w:keepNext/>
              <w:keepLines/>
              <w:jc w:val="left"/>
              <w:rPr>
                <w:rFonts w:ascii="Arial Narrow" w:eastAsia="Calibri" w:hAnsi="Arial Narrow" w:cs="Calibri"/>
                <w:iCs/>
                <w:sz w:val="20"/>
                <w:szCs w:val="20"/>
              </w:rPr>
            </w:pPr>
            <w:r w:rsidRPr="0008526E">
              <w:rPr>
                <w:rFonts w:ascii="Arial Narrow" w:eastAsia="Calibri" w:hAnsi="Arial Narrow" w:cs="Calibri"/>
                <w:iCs/>
                <w:sz w:val="20"/>
                <w:szCs w:val="20"/>
              </w:rPr>
              <w:t xml:space="preserve">Grade 3 </w:t>
            </w:r>
          </w:p>
          <w:p w:rsidR="00B538E5" w:rsidRPr="0008526E" w:rsidRDefault="00B538E5" w:rsidP="00556C26">
            <w:pPr>
              <w:keepNext/>
              <w:keepLines/>
              <w:jc w:val="left"/>
              <w:rPr>
                <w:rFonts w:ascii="Arial Narrow" w:eastAsia="Calibri" w:hAnsi="Arial Narrow" w:cs="Calibri"/>
                <w:iCs/>
                <w:sz w:val="20"/>
                <w:szCs w:val="20"/>
              </w:rPr>
            </w:pPr>
            <w:r w:rsidRPr="0008526E">
              <w:rPr>
                <w:rFonts w:ascii="Arial Narrow" w:eastAsia="Calibri" w:hAnsi="Arial Narrow" w:cs="Calibri"/>
                <w:iCs/>
                <w:sz w:val="20"/>
                <w:szCs w:val="20"/>
              </w:rPr>
              <w:t xml:space="preserve">Grade 4 </w:t>
            </w:r>
          </w:p>
          <w:p w:rsidR="00B538E5" w:rsidRPr="0008526E" w:rsidRDefault="00B538E5" w:rsidP="00556C26">
            <w:pPr>
              <w:keepNext/>
              <w:keepLines/>
              <w:jc w:val="left"/>
              <w:rPr>
                <w:rFonts w:ascii="Arial Narrow" w:eastAsia="Calibri" w:hAnsi="Arial Narrow" w:cs="Calibri"/>
                <w:iCs/>
                <w:sz w:val="20"/>
                <w:szCs w:val="20"/>
              </w:rPr>
            </w:pPr>
            <w:r w:rsidRPr="0008526E">
              <w:rPr>
                <w:rFonts w:ascii="Arial Narrow" w:eastAsia="Calibri" w:hAnsi="Arial Narrow" w:cs="Calibri"/>
                <w:iCs/>
                <w:sz w:val="20"/>
                <w:szCs w:val="20"/>
              </w:rPr>
              <w:t xml:space="preserve">Grade 5 (death) </w:t>
            </w:r>
          </w:p>
          <w:p w:rsidR="00B538E5" w:rsidRPr="0008526E" w:rsidRDefault="00B538E5" w:rsidP="00556C26">
            <w:pPr>
              <w:keepNext/>
              <w:keepLines/>
              <w:jc w:val="left"/>
              <w:rPr>
                <w:rFonts w:ascii="Arial Narrow" w:eastAsia="Calibri" w:hAnsi="Arial Narrow" w:cs="Calibri"/>
                <w:iCs/>
                <w:sz w:val="20"/>
                <w:szCs w:val="20"/>
              </w:rPr>
            </w:pPr>
            <w:r w:rsidRPr="0008526E">
              <w:rPr>
                <w:rFonts w:ascii="Arial Narrow" w:eastAsia="Calibri" w:hAnsi="Arial Narrow" w:cs="Calibri"/>
                <w:iCs/>
                <w:sz w:val="20"/>
                <w:szCs w:val="20"/>
              </w:rPr>
              <w:t xml:space="preserve">Grade 3 or 4 </w:t>
            </w:r>
          </w:p>
          <w:p w:rsidR="00B538E5" w:rsidRPr="0008526E" w:rsidRDefault="00B538E5" w:rsidP="00556C26">
            <w:pPr>
              <w:keepNext/>
              <w:keepLines/>
              <w:jc w:val="left"/>
              <w:rPr>
                <w:rFonts w:ascii="Arial Narrow" w:eastAsia="Calibri" w:hAnsi="Arial Narrow" w:cs="Calibri"/>
                <w:iCs/>
                <w:sz w:val="20"/>
                <w:szCs w:val="20"/>
              </w:rPr>
            </w:pPr>
            <w:r w:rsidRPr="0008526E">
              <w:rPr>
                <w:rFonts w:ascii="Arial Narrow" w:eastAsia="Calibri" w:hAnsi="Arial Narrow" w:cs="Calibri"/>
                <w:iCs/>
                <w:sz w:val="20"/>
                <w:szCs w:val="20"/>
              </w:rPr>
              <w:t xml:space="preserve">Grade 3, 4 or 5 </w:t>
            </w:r>
          </w:p>
        </w:tc>
        <w:tc>
          <w:tcPr>
            <w:tcW w:w="817" w:type="pct"/>
            <w:shd w:val="clear" w:color="auto" w:fill="auto"/>
          </w:tcPr>
          <w:p w:rsidR="00B538E5" w:rsidRPr="0008526E" w:rsidRDefault="00B538E5" w:rsidP="00556C26">
            <w:pPr>
              <w:keepNext/>
              <w:keepLines/>
              <w:jc w:val="right"/>
              <w:rPr>
                <w:rFonts w:ascii="Arial Narrow" w:eastAsia="Calibri" w:hAnsi="Arial Narrow" w:cs="Calibri"/>
                <w:sz w:val="20"/>
                <w:szCs w:val="20"/>
              </w:rPr>
            </w:pPr>
          </w:p>
          <w:p w:rsidR="00B538E5" w:rsidRPr="0008526E" w:rsidRDefault="00B538E5" w:rsidP="00556C26">
            <w:pPr>
              <w:keepNext/>
              <w:keepLines/>
              <w:jc w:val="right"/>
              <w:rPr>
                <w:rFonts w:ascii="Arial Narrow" w:eastAsia="Calibri" w:hAnsi="Arial Narrow" w:cs="Calibri"/>
                <w:iCs/>
                <w:sz w:val="20"/>
                <w:szCs w:val="20"/>
              </w:rPr>
            </w:pPr>
            <w:r w:rsidRPr="0008526E">
              <w:rPr>
                <w:rFonts w:ascii="Arial Narrow" w:eastAsia="Calibri" w:hAnsi="Arial Narrow" w:cs="Calibri"/>
                <w:iCs/>
                <w:sz w:val="20"/>
                <w:szCs w:val="20"/>
              </w:rPr>
              <w:t>173 (46.3%)</w:t>
            </w:r>
          </w:p>
          <w:p w:rsidR="00B538E5" w:rsidRPr="0008526E" w:rsidRDefault="00B538E5" w:rsidP="00556C26">
            <w:pPr>
              <w:keepNext/>
              <w:keepLines/>
              <w:jc w:val="right"/>
              <w:rPr>
                <w:rFonts w:ascii="Arial Narrow" w:eastAsia="Calibri" w:hAnsi="Arial Narrow" w:cs="Calibri"/>
                <w:iCs/>
                <w:sz w:val="20"/>
                <w:szCs w:val="20"/>
              </w:rPr>
            </w:pPr>
            <w:r w:rsidRPr="0008526E">
              <w:rPr>
                <w:rFonts w:ascii="Arial Narrow" w:eastAsia="Calibri" w:hAnsi="Arial Narrow" w:cs="Calibri"/>
                <w:iCs/>
                <w:sz w:val="20"/>
                <w:szCs w:val="20"/>
              </w:rPr>
              <w:t>14 (3.7%)</w:t>
            </w:r>
          </w:p>
          <w:p w:rsidR="00B538E5" w:rsidRPr="0008526E" w:rsidRDefault="00B538E5" w:rsidP="00556C26">
            <w:pPr>
              <w:keepNext/>
              <w:keepLines/>
              <w:jc w:val="right"/>
              <w:rPr>
                <w:rFonts w:ascii="Arial Narrow" w:eastAsia="Calibri" w:hAnsi="Arial Narrow" w:cs="Calibri"/>
                <w:iCs/>
                <w:sz w:val="20"/>
                <w:szCs w:val="20"/>
              </w:rPr>
            </w:pPr>
            <w:r w:rsidRPr="0008526E">
              <w:rPr>
                <w:rFonts w:ascii="Arial Narrow" w:eastAsia="Calibri" w:hAnsi="Arial Narrow" w:cs="Calibri"/>
                <w:iCs/>
                <w:sz w:val="20"/>
                <w:szCs w:val="20"/>
              </w:rPr>
              <w:t>7 (1.9%)</w:t>
            </w:r>
          </w:p>
          <w:p w:rsidR="00B538E5" w:rsidRPr="0008526E" w:rsidRDefault="00B538E5" w:rsidP="00556C26">
            <w:pPr>
              <w:keepNext/>
              <w:keepLines/>
              <w:jc w:val="right"/>
              <w:rPr>
                <w:rFonts w:ascii="Arial Narrow" w:eastAsia="Calibri" w:hAnsi="Arial Narrow" w:cs="Calibri"/>
                <w:iCs/>
                <w:sz w:val="20"/>
                <w:szCs w:val="20"/>
              </w:rPr>
            </w:pPr>
            <w:r w:rsidRPr="0008526E">
              <w:rPr>
                <w:rFonts w:ascii="Arial Narrow" w:eastAsia="Calibri" w:hAnsi="Arial Narrow" w:cs="Calibri"/>
                <w:iCs/>
                <w:sz w:val="20"/>
                <w:szCs w:val="20"/>
              </w:rPr>
              <w:t>187 (50.0%)</w:t>
            </w:r>
          </w:p>
          <w:p w:rsidR="00B538E5" w:rsidRPr="0008526E" w:rsidRDefault="00B538E5" w:rsidP="00556C26">
            <w:pPr>
              <w:keepNext/>
              <w:keepLines/>
              <w:jc w:val="right"/>
              <w:rPr>
                <w:rFonts w:ascii="Arial Narrow" w:eastAsia="Calibri" w:hAnsi="Arial Narrow" w:cs="Calibri"/>
                <w:sz w:val="20"/>
                <w:szCs w:val="20"/>
              </w:rPr>
            </w:pPr>
            <w:r w:rsidRPr="0008526E">
              <w:rPr>
                <w:rFonts w:ascii="Arial Narrow" w:eastAsia="Calibri" w:hAnsi="Arial Narrow" w:cs="Calibri"/>
                <w:iCs/>
                <w:sz w:val="20"/>
                <w:szCs w:val="20"/>
              </w:rPr>
              <w:t>194 (51.9%)</w:t>
            </w:r>
          </w:p>
        </w:tc>
        <w:tc>
          <w:tcPr>
            <w:tcW w:w="941" w:type="pct"/>
          </w:tcPr>
          <w:p w:rsidR="00B538E5" w:rsidRPr="0008526E" w:rsidRDefault="00B538E5" w:rsidP="00556C26">
            <w:pPr>
              <w:keepNext/>
              <w:keepLines/>
              <w:jc w:val="right"/>
              <w:rPr>
                <w:rFonts w:ascii="Arial Narrow" w:eastAsia="Calibri" w:hAnsi="Arial Narrow" w:cs="Calibri"/>
                <w:iCs/>
                <w:sz w:val="20"/>
                <w:szCs w:val="20"/>
              </w:rPr>
            </w:pPr>
          </w:p>
          <w:p w:rsidR="00B538E5" w:rsidRPr="0008526E" w:rsidRDefault="00B538E5" w:rsidP="00556C26">
            <w:pPr>
              <w:keepNext/>
              <w:keepLines/>
              <w:jc w:val="right"/>
              <w:rPr>
                <w:rFonts w:ascii="Arial Narrow" w:eastAsia="Calibri" w:hAnsi="Arial Narrow" w:cs="Calibri"/>
                <w:iCs/>
                <w:sz w:val="20"/>
                <w:szCs w:val="20"/>
              </w:rPr>
            </w:pPr>
            <w:r w:rsidRPr="0008526E">
              <w:rPr>
                <w:rFonts w:ascii="Arial Narrow" w:eastAsia="Calibri" w:hAnsi="Arial Narrow" w:cs="Calibri"/>
                <w:iCs/>
                <w:sz w:val="20"/>
                <w:szCs w:val="20"/>
              </w:rPr>
              <w:t xml:space="preserve">31 (16.1%) </w:t>
            </w:r>
          </w:p>
          <w:p w:rsidR="00B538E5" w:rsidRPr="0008526E" w:rsidRDefault="00B538E5" w:rsidP="00556C26">
            <w:pPr>
              <w:keepNext/>
              <w:keepLines/>
              <w:jc w:val="right"/>
              <w:rPr>
                <w:rFonts w:ascii="Arial Narrow" w:eastAsia="Calibri" w:hAnsi="Arial Narrow" w:cs="Calibri"/>
                <w:iCs/>
                <w:sz w:val="20"/>
                <w:szCs w:val="20"/>
              </w:rPr>
            </w:pPr>
            <w:r w:rsidRPr="0008526E">
              <w:rPr>
                <w:rFonts w:ascii="Arial Narrow" w:eastAsia="Calibri" w:hAnsi="Arial Narrow" w:cs="Calibri"/>
                <w:iCs/>
                <w:sz w:val="20"/>
                <w:szCs w:val="20"/>
              </w:rPr>
              <w:t xml:space="preserve">1 (0.5%) </w:t>
            </w:r>
          </w:p>
          <w:p w:rsidR="00B538E5" w:rsidRPr="0008526E" w:rsidRDefault="00B538E5" w:rsidP="00556C26">
            <w:pPr>
              <w:keepNext/>
              <w:keepLines/>
              <w:jc w:val="right"/>
              <w:rPr>
                <w:rFonts w:ascii="Arial Narrow" w:eastAsia="Calibri" w:hAnsi="Arial Narrow" w:cs="Calibri"/>
                <w:iCs/>
                <w:sz w:val="20"/>
                <w:szCs w:val="20"/>
              </w:rPr>
            </w:pPr>
            <w:r w:rsidRPr="0008526E">
              <w:rPr>
                <w:rFonts w:ascii="Arial Narrow" w:eastAsia="Calibri" w:hAnsi="Arial Narrow" w:cs="Calibri"/>
                <w:iCs/>
                <w:sz w:val="20"/>
                <w:szCs w:val="20"/>
              </w:rPr>
              <w:t xml:space="preserve">2 (1.0%) </w:t>
            </w:r>
          </w:p>
          <w:p w:rsidR="00B538E5" w:rsidRPr="0008526E" w:rsidRDefault="00B538E5" w:rsidP="00556C26">
            <w:pPr>
              <w:keepNext/>
              <w:keepLines/>
              <w:jc w:val="right"/>
              <w:rPr>
                <w:rFonts w:ascii="Arial Narrow" w:eastAsia="Calibri" w:hAnsi="Arial Narrow" w:cs="Calibri"/>
                <w:iCs/>
                <w:sz w:val="20"/>
                <w:szCs w:val="20"/>
              </w:rPr>
            </w:pPr>
            <w:r w:rsidRPr="0008526E">
              <w:rPr>
                <w:rFonts w:ascii="Arial Narrow" w:eastAsia="Calibri" w:hAnsi="Arial Narrow" w:cs="Calibri"/>
                <w:iCs/>
                <w:sz w:val="20"/>
                <w:szCs w:val="20"/>
              </w:rPr>
              <w:t xml:space="preserve">32 (16.6%) </w:t>
            </w:r>
          </w:p>
          <w:p w:rsidR="00B538E5" w:rsidRPr="0008526E" w:rsidRDefault="00B538E5" w:rsidP="00556C26">
            <w:pPr>
              <w:keepNext/>
              <w:keepLines/>
              <w:jc w:val="right"/>
              <w:rPr>
                <w:rFonts w:ascii="Arial Narrow" w:eastAsia="Calibri" w:hAnsi="Arial Narrow" w:cs="Calibri"/>
                <w:sz w:val="20"/>
                <w:szCs w:val="20"/>
              </w:rPr>
            </w:pPr>
            <w:r w:rsidRPr="0008526E">
              <w:rPr>
                <w:rFonts w:ascii="Arial Narrow" w:eastAsia="Calibri" w:hAnsi="Arial Narrow" w:cs="Calibri"/>
                <w:iCs/>
                <w:sz w:val="20"/>
                <w:szCs w:val="20"/>
              </w:rPr>
              <w:t>34 (17.6%)</w:t>
            </w:r>
          </w:p>
        </w:tc>
        <w:tc>
          <w:tcPr>
            <w:tcW w:w="941" w:type="pct"/>
            <w:tcBorders>
              <w:bottom w:val="single" w:sz="4" w:space="0" w:color="auto"/>
              <w:right w:val="single" w:sz="4" w:space="0" w:color="auto"/>
            </w:tcBorders>
            <w:shd w:val="clear" w:color="auto" w:fill="auto"/>
          </w:tcPr>
          <w:p w:rsidR="00B538E5" w:rsidRPr="0008526E" w:rsidRDefault="00B538E5" w:rsidP="00556C26">
            <w:pPr>
              <w:keepNext/>
              <w:keepLines/>
              <w:jc w:val="right"/>
              <w:rPr>
                <w:rFonts w:ascii="Arial Narrow" w:eastAsia="Calibri" w:hAnsi="Arial Narrow" w:cs="Calibri"/>
                <w:sz w:val="20"/>
                <w:szCs w:val="20"/>
              </w:rPr>
            </w:pPr>
          </w:p>
          <w:p w:rsidR="00B538E5" w:rsidRPr="0008526E" w:rsidRDefault="00B538E5" w:rsidP="00556C26">
            <w:pPr>
              <w:keepNext/>
              <w:keepLines/>
              <w:jc w:val="right"/>
              <w:rPr>
                <w:rFonts w:ascii="Arial Narrow" w:eastAsia="Calibri" w:hAnsi="Arial Narrow" w:cs="Calibri"/>
                <w:b/>
                <w:sz w:val="20"/>
                <w:szCs w:val="20"/>
              </w:rPr>
            </w:pPr>
            <w:r w:rsidRPr="0008526E">
              <w:rPr>
                <w:rFonts w:ascii="Arial Narrow" w:eastAsia="Calibri" w:hAnsi="Arial Narrow" w:cs="Calibri"/>
                <w:b/>
                <w:sz w:val="20"/>
                <w:szCs w:val="20"/>
              </w:rPr>
              <w:t>2.88 (2.05, 4.05)</w:t>
            </w:r>
          </w:p>
          <w:p w:rsidR="00B538E5" w:rsidRPr="0008526E" w:rsidRDefault="00B538E5" w:rsidP="00556C26">
            <w:pPr>
              <w:keepNext/>
              <w:keepLines/>
              <w:jc w:val="right"/>
              <w:rPr>
                <w:rFonts w:ascii="Arial Narrow" w:eastAsia="Calibri" w:hAnsi="Arial Narrow" w:cs="Calibri"/>
                <w:sz w:val="20"/>
                <w:szCs w:val="20"/>
              </w:rPr>
            </w:pPr>
            <w:r w:rsidRPr="0008526E">
              <w:rPr>
                <w:rFonts w:ascii="Arial Narrow" w:eastAsia="Calibri" w:hAnsi="Arial Narrow" w:cs="Calibri"/>
                <w:sz w:val="20"/>
                <w:szCs w:val="20"/>
              </w:rPr>
              <w:t>7.22 (0.96, 54.53)</w:t>
            </w:r>
          </w:p>
          <w:p w:rsidR="00B538E5" w:rsidRPr="0008526E" w:rsidRDefault="00B538E5" w:rsidP="00556C26">
            <w:pPr>
              <w:keepNext/>
              <w:keepLines/>
              <w:jc w:val="right"/>
              <w:rPr>
                <w:rFonts w:ascii="Arial Narrow" w:eastAsia="Calibri" w:hAnsi="Arial Narrow" w:cs="Calibri"/>
                <w:sz w:val="20"/>
                <w:szCs w:val="20"/>
              </w:rPr>
            </w:pPr>
            <w:r w:rsidRPr="0008526E">
              <w:rPr>
                <w:rFonts w:ascii="Arial Narrow" w:eastAsia="Calibri" w:hAnsi="Arial Narrow" w:cs="Calibri"/>
                <w:sz w:val="20"/>
                <w:szCs w:val="20"/>
              </w:rPr>
              <w:t>1.81 (0.38, 8.61)</w:t>
            </w:r>
          </w:p>
          <w:p w:rsidR="00B538E5" w:rsidRPr="0008526E" w:rsidRDefault="00B538E5" w:rsidP="00556C26">
            <w:pPr>
              <w:keepNext/>
              <w:keepLines/>
              <w:jc w:val="right"/>
              <w:rPr>
                <w:rFonts w:ascii="Arial Narrow" w:eastAsia="Calibri" w:hAnsi="Arial Narrow" w:cs="Calibri"/>
                <w:b/>
                <w:sz w:val="20"/>
                <w:szCs w:val="20"/>
              </w:rPr>
            </w:pPr>
            <w:r w:rsidRPr="0008526E">
              <w:rPr>
                <w:rFonts w:ascii="Arial Narrow" w:eastAsia="Calibri" w:hAnsi="Arial Narrow" w:cs="Calibri"/>
                <w:b/>
                <w:sz w:val="20"/>
                <w:szCs w:val="20"/>
              </w:rPr>
              <w:t>3.02 (2.16, 4.20)</w:t>
            </w:r>
          </w:p>
          <w:p w:rsidR="00B538E5" w:rsidRPr="0008526E" w:rsidRDefault="00B538E5" w:rsidP="00556C26">
            <w:pPr>
              <w:keepNext/>
              <w:keepLines/>
              <w:jc w:val="right"/>
              <w:rPr>
                <w:rFonts w:ascii="Arial Narrow" w:eastAsia="Calibri" w:hAnsi="Arial Narrow" w:cs="Calibri"/>
                <w:sz w:val="20"/>
                <w:szCs w:val="20"/>
              </w:rPr>
            </w:pPr>
            <w:r w:rsidRPr="0008526E">
              <w:rPr>
                <w:rFonts w:ascii="Arial Narrow" w:eastAsia="Calibri" w:hAnsi="Arial Narrow" w:cs="Calibri"/>
                <w:b/>
                <w:sz w:val="20"/>
                <w:szCs w:val="20"/>
              </w:rPr>
              <w:t>2.99 (2.17, 4.12)</w:t>
            </w:r>
          </w:p>
        </w:tc>
        <w:tc>
          <w:tcPr>
            <w:tcW w:w="939" w:type="pct"/>
            <w:tcBorders>
              <w:bottom w:val="single" w:sz="4" w:space="0" w:color="auto"/>
              <w:right w:val="single" w:sz="4" w:space="0" w:color="auto"/>
            </w:tcBorders>
            <w:shd w:val="clear" w:color="auto" w:fill="auto"/>
          </w:tcPr>
          <w:p w:rsidR="00B538E5" w:rsidRPr="0008526E" w:rsidRDefault="00B538E5" w:rsidP="00556C26">
            <w:pPr>
              <w:keepNext/>
              <w:keepLines/>
              <w:jc w:val="right"/>
              <w:rPr>
                <w:rFonts w:ascii="Arial Narrow" w:eastAsia="Calibri" w:hAnsi="Arial Narrow" w:cs="Calibri"/>
                <w:sz w:val="20"/>
                <w:szCs w:val="20"/>
              </w:rPr>
            </w:pPr>
          </w:p>
          <w:p w:rsidR="00B538E5" w:rsidRPr="00494A4C" w:rsidRDefault="00B538E5" w:rsidP="00556C26">
            <w:pPr>
              <w:keepNext/>
              <w:keepLines/>
              <w:jc w:val="right"/>
              <w:rPr>
                <w:rFonts w:ascii="Arial Narrow" w:eastAsia="Calibri" w:hAnsi="Arial Narrow" w:cs="Calibri"/>
                <w:b/>
                <w:sz w:val="20"/>
                <w:szCs w:val="20"/>
              </w:rPr>
            </w:pPr>
            <w:r w:rsidRPr="00494A4C">
              <w:rPr>
                <w:rFonts w:ascii="Arial Narrow" w:eastAsia="Calibri" w:hAnsi="Arial Narrow" w:cs="Calibri"/>
                <w:b/>
                <w:sz w:val="20"/>
                <w:szCs w:val="20"/>
              </w:rPr>
              <w:t>0.30 (0.23, 0.37)</w:t>
            </w:r>
          </w:p>
          <w:p w:rsidR="00B538E5" w:rsidRPr="00494A4C" w:rsidRDefault="00B538E5" w:rsidP="00556C26">
            <w:pPr>
              <w:keepNext/>
              <w:keepLines/>
              <w:jc w:val="right"/>
              <w:rPr>
                <w:rFonts w:ascii="Arial Narrow" w:eastAsia="Calibri" w:hAnsi="Arial Narrow" w:cs="Calibri"/>
                <w:b/>
                <w:sz w:val="20"/>
                <w:szCs w:val="20"/>
              </w:rPr>
            </w:pPr>
            <w:r w:rsidRPr="00494A4C">
              <w:rPr>
                <w:rFonts w:ascii="Arial Narrow" w:eastAsia="Calibri" w:hAnsi="Arial Narrow" w:cs="Calibri"/>
                <w:b/>
                <w:sz w:val="20"/>
                <w:szCs w:val="20"/>
              </w:rPr>
              <w:t>0.03 (0.01, 0.05)</w:t>
            </w:r>
          </w:p>
          <w:p w:rsidR="00B538E5" w:rsidRPr="0008526E" w:rsidRDefault="00B538E5" w:rsidP="00556C26">
            <w:pPr>
              <w:keepNext/>
              <w:keepLines/>
              <w:jc w:val="right"/>
              <w:rPr>
                <w:rFonts w:ascii="Arial Narrow" w:eastAsia="Calibri" w:hAnsi="Arial Narrow" w:cs="Calibri"/>
                <w:sz w:val="20"/>
                <w:szCs w:val="20"/>
              </w:rPr>
            </w:pPr>
            <w:r w:rsidRPr="0008526E">
              <w:rPr>
                <w:rFonts w:ascii="Arial Narrow" w:eastAsia="Calibri" w:hAnsi="Arial Narrow" w:cs="Calibri"/>
                <w:sz w:val="20"/>
                <w:szCs w:val="20"/>
              </w:rPr>
              <w:t>0.01 (-0.01, 0.03)</w:t>
            </w:r>
          </w:p>
          <w:p w:rsidR="00B538E5" w:rsidRPr="00494A4C" w:rsidRDefault="00B538E5" w:rsidP="00556C26">
            <w:pPr>
              <w:keepNext/>
              <w:keepLines/>
              <w:jc w:val="right"/>
              <w:rPr>
                <w:rFonts w:ascii="Arial Narrow" w:eastAsia="Calibri" w:hAnsi="Arial Narrow" w:cs="Calibri"/>
                <w:b/>
                <w:sz w:val="20"/>
                <w:szCs w:val="20"/>
              </w:rPr>
            </w:pPr>
            <w:r w:rsidRPr="00494A4C">
              <w:rPr>
                <w:rFonts w:ascii="Arial Narrow" w:eastAsia="Calibri" w:hAnsi="Arial Narrow" w:cs="Calibri"/>
                <w:b/>
                <w:sz w:val="20"/>
                <w:szCs w:val="20"/>
              </w:rPr>
              <w:t>0.33 (0.26, 0.41)</w:t>
            </w:r>
          </w:p>
          <w:p w:rsidR="00B538E5" w:rsidRPr="00494A4C" w:rsidRDefault="00B538E5" w:rsidP="00556C26">
            <w:pPr>
              <w:keepNext/>
              <w:keepLines/>
              <w:jc w:val="right"/>
              <w:rPr>
                <w:rFonts w:ascii="Arial Narrow" w:eastAsia="Calibri" w:hAnsi="Arial Narrow" w:cs="Calibri"/>
                <w:b/>
                <w:sz w:val="20"/>
                <w:szCs w:val="20"/>
              </w:rPr>
            </w:pPr>
            <w:r w:rsidRPr="00494A4C">
              <w:rPr>
                <w:rFonts w:ascii="Arial Narrow" w:eastAsia="Calibri" w:hAnsi="Arial Narrow" w:cs="Calibri"/>
                <w:b/>
                <w:sz w:val="20"/>
                <w:szCs w:val="20"/>
              </w:rPr>
              <w:t>0.35 (0.28, 0.42)</w:t>
            </w:r>
          </w:p>
          <w:p w:rsidR="00B538E5" w:rsidRPr="0008526E" w:rsidRDefault="00B538E5" w:rsidP="00556C26">
            <w:pPr>
              <w:keepNext/>
              <w:keepLines/>
              <w:jc w:val="right"/>
              <w:rPr>
                <w:rFonts w:ascii="Arial Narrow" w:eastAsia="Calibri" w:hAnsi="Arial Narrow" w:cs="Calibri"/>
                <w:sz w:val="20"/>
                <w:szCs w:val="20"/>
              </w:rPr>
            </w:pPr>
          </w:p>
        </w:tc>
      </w:tr>
      <w:tr w:rsidR="00B538E5" w:rsidRPr="0008526E" w:rsidTr="00556C26">
        <w:trPr>
          <w:trHeight w:val="201"/>
        </w:trPr>
        <w:tc>
          <w:tcPr>
            <w:tcW w:w="1362" w:type="pct"/>
            <w:shd w:val="clear" w:color="auto" w:fill="auto"/>
          </w:tcPr>
          <w:p w:rsidR="00B538E5" w:rsidRPr="0008526E" w:rsidRDefault="00B538E5" w:rsidP="00556C26">
            <w:pPr>
              <w:keepNext/>
              <w:keepLines/>
              <w:spacing w:after="120"/>
              <w:jc w:val="left"/>
              <w:rPr>
                <w:rFonts w:ascii="Arial Narrow" w:eastAsia="Calibri" w:hAnsi="Arial Narrow" w:cs="Calibri"/>
                <w:iCs/>
                <w:sz w:val="20"/>
                <w:szCs w:val="20"/>
              </w:rPr>
            </w:pPr>
            <w:r w:rsidRPr="0008526E">
              <w:rPr>
                <w:rFonts w:ascii="Arial Narrow" w:eastAsia="Calibri" w:hAnsi="Arial Narrow" w:cs="Calibri"/>
                <w:iCs/>
                <w:sz w:val="20"/>
                <w:szCs w:val="20"/>
              </w:rPr>
              <w:t xml:space="preserve">Serious </w:t>
            </w:r>
          </w:p>
          <w:p w:rsidR="00B538E5" w:rsidRPr="0008526E" w:rsidRDefault="00B538E5" w:rsidP="00556C26">
            <w:pPr>
              <w:keepNext/>
              <w:keepLines/>
              <w:spacing w:after="120"/>
              <w:jc w:val="left"/>
              <w:rPr>
                <w:rFonts w:ascii="Arial Narrow" w:eastAsia="Calibri" w:hAnsi="Arial Narrow" w:cs="Calibri"/>
                <w:iCs/>
                <w:sz w:val="20"/>
                <w:szCs w:val="20"/>
              </w:rPr>
            </w:pPr>
            <w:r w:rsidRPr="0008526E">
              <w:rPr>
                <w:rFonts w:ascii="Arial Narrow" w:eastAsia="Calibri" w:hAnsi="Arial Narrow" w:cs="Calibri"/>
                <w:iCs/>
                <w:sz w:val="20"/>
                <w:szCs w:val="20"/>
              </w:rPr>
              <w:t xml:space="preserve">Leading to dose modification </w:t>
            </w:r>
          </w:p>
          <w:p w:rsidR="00B538E5" w:rsidRPr="0008526E" w:rsidRDefault="00B538E5" w:rsidP="00556C26">
            <w:pPr>
              <w:keepNext/>
              <w:keepLines/>
              <w:spacing w:after="120"/>
              <w:jc w:val="left"/>
              <w:rPr>
                <w:rFonts w:ascii="Arial Narrow" w:eastAsia="Calibri" w:hAnsi="Arial Narrow" w:cs="Calibri"/>
                <w:iCs/>
                <w:sz w:val="20"/>
                <w:szCs w:val="20"/>
              </w:rPr>
            </w:pPr>
            <w:r w:rsidRPr="0008526E">
              <w:rPr>
                <w:rFonts w:ascii="Arial Narrow" w:eastAsia="Calibri" w:hAnsi="Arial Narrow" w:cs="Calibri"/>
                <w:iCs/>
                <w:sz w:val="20"/>
                <w:szCs w:val="20"/>
              </w:rPr>
              <w:t xml:space="preserve">Leading to permanent discontinuation of study drug </w:t>
            </w:r>
          </w:p>
        </w:tc>
        <w:tc>
          <w:tcPr>
            <w:tcW w:w="817" w:type="pct"/>
            <w:shd w:val="clear" w:color="auto" w:fill="auto"/>
          </w:tcPr>
          <w:p w:rsidR="00B538E5" w:rsidRPr="0008526E" w:rsidRDefault="00B538E5" w:rsidP="00556C26">
            <w:pPr>
              <w:keepNext/>
              <w:keepLines/>
              <w:spacing w:after="120"/>
              <w:jc w:val="right"/>
              <w:rPr>
                <w:rFonts w:ascii="Arial Narrow" w:eastAsia="Calibri" w:hAnsi="Arial Narrow" w:cs="Calibri"/>
                <w:iCs/>
                <w:sz w:val="20"/>
                <w:szCs w:val="20"/>
              </w:rPr>
            </w:pPr>
            <w:r w:rsidRPr="0008526E">
              <w:rPr>
                <w:rFonts w:ascii="Arial Narrow" w:eastAsia="Calibri" w:hAnsi="Arial Narrow" w:cs="Calibri"/>
                <w:iCs/>
                <w:sz w:val="20"/>
                <w:szCs w:val="20"/>
              </w:rPr>
              <w:t>39 (10.4%)</w:t>
            </w:r>
          </w:p>
          <w:p w:rsidR="00B538E5" w:rsidRPr="0008526E" w:rsidRDefault="00B538E5" w:rsidP="00556C26">
            <w:pPr>
              <w:keepNext/>
              <w:keepLines/>
              <w:spacing w:after="120"/>
              <w:jc w:val="right"/>
              <w:rPr>
                <w:rFonts w:ascii="Arial Narrow" w:eastAsia="Calibri" w:hAnsi="Arial Narrow" w:cs="Calibri"/>
                <w:iCs/>
                <w:sz w:val="20"/>
                <w:szCs w:val="20"/>
              </w:rPr>
            </w:pPr>
            <w:r w:rsidRPr="0008526E">
              <w:rPr>
                <w:rFonts w:ascii="Arial Narrow" w:eastAsia="Calibri" w:hAnsi="Arial Narrow" w:cs="Calibri"/>
                <w:iCs/>
                <w:sz w:val="20"/>
                <w:szCs w:val="20"/>
              </w:rPr>
              <w:t>202 (54.0%)</w:t>
            </w:r>
          </w:p>
          <w:p w:rsidR="00B538E5" w:rsidRPr="0008526E" w:rsidRDefault="00B538E5" w:rsidP="00556C26">
            <w:pPr>
              <w:keepNext/>
              <w:keepLines/>
              <w:spacing w:after="120"/>
              <w:jc w:val="right"/>
              <w:rPr>
                <w:rFonts w:ascii="Arial Narrow" w:eastAsia="Calibri" w:hAnsi="Arial Narrow" w:cs="Calibri"/>
                <w:iCs/>
                <w:sz w:val="20"/>
                <w:szCs w:val="20"/>
              </w:rPr>
            </w:pPr>
            <w:r w:rsidRPr="0008526E">
              <w:rPr>
                <w:rFonts w:ascii="Arial Narrow" w:eastAsia="Calibri" w:hAnsi="Arial Narrow" w:cs="Calibri"/>
                <w:iCs/>
                <w:sz w:val="20"/>
                <w:szCs w:val="20"/>
              </w:rPr>
              <w:t>39 (10.4%)</w:t>
            </w:r>
          </w:p>
        </w:tc>
        <w:tc>
          <w:tcPr>
            <w:tcW w:w="941" w:type="pct"/>
          </w:tcPr>
          <w:p w:rsidR="00B538E5" w:rsidRPr="0008526E" w:rsidRDefault="00B538E5" w:rsidP="00556C26">
            <w:pPr>
              <w:keepNext/>
              <w:keepLines/>
              <w:spacing w:after="120"/>
              <w:jc w:val="right"/>
              <w:rPr>
                <w:rFonts w:ascii="Arial Narrow" w:eastAsia="Calibri" w:hAnsi="Arial Narrow" w:cs="Calibri"/>
                <w:iCs/>
                <w:sz w:val="20"/>
                <w:szCs w:val="20"/>
              </w:rPr>
            </w:pPr>
            <w:r w:rsidRPr="0008526E">
              <w:rPr>
                <w:rFonts w:ascii="Arial Narrow" w:eastAsia="Calibri" w:hAnsi="Arial Narrow" w:cs="Calibri"/>
                <w:iCs/>
                <w:sz w:val="20"/>
                <w:szCs w:val="20"/>
              </w:rPr>
              <w:t>5 (2.6%)</w:t>
            </w:r>
          </w:p>
          <w:p w:rsidR="00B538E5" w:rsidRPr="0008526E" w:rsidRDefault="00B538E5" w:rsidP="00556C26">
            <w:pPr>
              <w:keepNext/>
              <w:keepLines/>
              <w:spacing w:after="120"/>
              <w:jc w:val="right"/>
              <w:rPr>
                <w:rFonts w:ascii="Arial Narrow" w:eastAsia="Calibri" w:hAnsi="Arial Narrow" w:cs="Calibri"/>
                <w:iCs/>
                <w:sz w:val="20"/>
                <w:szCs w:val="20"/>
              </w:rPr>
            </w:pPr>
            <w:r w:rsidRPr="0008526E">
              <w:rPr>
                <w:rFonts w:ascii="Arial Narrow" w:eastAsia="Calibri" w:hAnsi="Arial Narrow" w:cs="Calibri"/>
                <w:iCs/>
                <w:sz w:val="20"/>
                <w:szCs w:val="20"/>
              </w:rPr>
              <w:t>20 (10.4%)</w:t>
            </w:r>
          </w:p>
          <w:p w:rsidR="00B538E5" w:rsidRPr="0008526E" w:rsidRDefault="00B538E5" w:rsidP="00556C26">
            <w:pPr>
              <w:keepNext/>
              <w:keepLines/>
              <w:spacing w:after="120"/>
              <w:jc w:val="right"/>
              <w:rPr>
                <w:rFonts w:ascii="Arial Narrow" w:eastAsia="Calibri" w:hAnsi="Arial Narrow" w:cs="Calibri"/>
                <w:sz w:val="20"/>
                <w:szCs w:val="20"/>
              </w:rPr>
            </w:pPr>
            <w:r w:rsidRPr="0008526E">
              <w:rPr>
                <w:rFonts w:ascii="Arial Narrow" w:eastAsia="Calibri" w:hAnsi="Arial Narrow" w:cs="Calibri"/>
                <w:iCs/>
                <w:sz w:val="20"/>
                <w:szCs w:val="20"/>
              </w:rPr>
              <w:t>7 (3.6%)</w:t>
            </w:r>
          </w:p>
        </w:tc>
        <w:tc>
          <w:tcPr>
            <w:tcW w:w="941" w:type="pct"/>
            <w:tcBorders>
              <w:bottom w:val="single" w:sz="4" w:space="0" w:color="auto"/>
              <w:right w:val="single" w:sz="4" w:space="0" w:color="auto"/>
            </w:tcBorders>
            <w:shd w:val="clear" w:color="auto" w:fill="auto"/>
          </w:tcPr>
          <w:p w:rsidR="00B538E5" w:rsidRPr="00494A4C" w:rsidRDefault="00B538E5" w:rsidP="00556C26">
            <w:pPr>
              <w:keepNext/>
              <w:keepLines/>
              <w:spacing w:after="120"/>
              <w:jc w:val="right"/>
              <w:rPr>
                <w:rFonts w:ascii="Arial Narrow" w:eastAsia="Calibri" w:hAnsi="Arial Narrow" w:cs="Calibri"/>
                <w:b/>
                <w:sz w:val="20"/>
                <w:szCs w:val="20"/>
              </w:rPr>
            </w:pPr>
            <w:r w:rsidRPr="00494A4C">
              <w:rPr>
                <w:rFonts w:ascii="Arial Narrow" w:eastAsia="Calibri" w:hAnsi="Arial Narrow" w:cs="Calibri"/>
                <w:b/>
                <w:sz w:val="20"/>
                <w:szCs w:val="20"/>
              </w:rPr>
              <w:t>4.03 (1.61, 10.05)</w:t>
            </w:r>
          </w:p>
          <w:p w:rsidR="00B538E5" w:rsidRPr="00494A4C" w:rsidRDefault="00B538E5" w:rsidP="00556C26">
            <w:pPr>
              <w:keepNext/>
              <w:keepLines/>
              <w:spacing w:after="120"/>
              <w:jc w:val="right"/>
              <w:rPr>
                <w:rFonts w:ascii="Arial Narrow" w:eastAsia="Calibri" w:hAnsi="Arial Narrow" w:cs="Calibri"/>
                <w:b/>
                <w:sz w:val="20"/>
                <w:szCs w:val="20"/>
              </w:rPr>
            </w:pPr>
            <w:r w:rsidRPr="00494A4C">
              <w:rPr>
                <w:rFonts w:ascii="Arial Narrow" w:eastAsia="Calibri" w:hAnsi="Arial Narrow" w:cs="Calibri"/>
                <w:b/>
                <w:sz w:val="20"/>
                <w:szCs w:val="20"/>
              </w:rPr>
              <w:t>5.21 (3.41, 7.97)</w:t>
            </w:r>
          </w:p>
          <w:p w:rsidR="00B538E5" w:rsidRPr="00494A4C" w:rsidRDefault="00B538E5" w:rsidP="00556C26">
            <w:pPr>
              <w:keepNext/>
              <w:keepLines/>
              <w:spacing w:after="120"/>
              <w:jc w:val="right"/>
              <w:rPr>
                <w:rFonts w:ascii="Arial Narrow" w:eastAsia="Calibri" w:hAnsi="Arial Narrow" w:cs="Calibri"/>
                <w:sz w:val="20"/>
                <w:szCs w:val="20"/>
              </w:rPr>
            </w:pPr>
            <w:r w:rsidRPr="00494A4C">
              <w:rPr>
                <w:rFonts w:ascii="Arial Narrow" w:eastAsia="Calibri" w:hAnsi="Arial Narrow" w:cs="Calibri"/>
                <w:sz w:val="20"/>
                <w:szCs w:val="20"/>
              </w:rPr>
              <w:t>2.58 (0.57, 11.66)</w:t>
            </w:r>
          </w:p>
        </w:tc>
        <w:tc>
          <w:tcPr>
            <w:tcW w:w="939" w:type="pct"/>
            <w:tcBorders>
              <w:bottom w:val="single" w:sz="4" w:space="0" w:color="auto"/>
              <w:right w:val="single" w:sz="4" w:space="0" w:color="auto"/>
            </w:tcBorders>
            <w:shd w:val="clear" w:color="auto" w:fill="auto"/>
          </w:tcPr>
          <w:p w:rsidR="00B538E5" w:rsidRPr="00494A4C" w:rsidRDefault="00B538E5" w:rsidP="00556C26">
            <w:pPr>
              <w:pStyle w:val="ListParagraph"/>
              <w:keepNext/>
              <w:keepLines/>
              <w:numPr>
                <w:ilvl w:val="1"/>
                <w:numId w:val="24"/>
              </w:numPr>
              <w:spacing w:after="120"/>
              <w:jc w:val="right"/>
              <w:rPr>
                <w:rFonts w:ascii="Arial Narrow" w:eastAsia="Calibri" w:hAnsi="Arial Narrow" w:cs="Calibri"/>
                <w:b/>
                <w:sz w:val="20"/>
                <w:szCs w:val="20"/>
              </w:rPr>
            </w:pPr>
            <w:r w:rsidRPr="00494A4C">
              <w:rPr>
                <w:rFonts w:ascii="Arial Narrow" w:eastAsia="Calibri" w:hAnsi="Arial Narrow" w:cs="Calibri"/>
                <w:b/>
                <w:sz w:val="20"/>
                <w:szCs w:val="20"/>
              </w:rPr>
              <w:t>(0.04, 0.12)</w:t>
            </w:r>
          </w:p>
          <w:p w:rsidR="00B538E5" w:rsidRPr="00494A4C" w:rsidRDefault="00B538E5" w:rsidP="00556C26">
            <w:pPr>
              <w:keepNext/>
              <w:keepLines/>
              <w:spacing w:after="120"/>
              <w:jc w:val="right"/>
              <w:rPr>
                <w:rFonts w:ascii="Arial Narrow" w:eastAsia="Calibri" w:hAnsi="Arial Narrow" w:cs="Calibri"/>
                <w:b/>
                <w:sz w:val="20"/>
                <w:szCs w:val="20"/>
              </w:rPr>
            </w:pPr>
            <w:r w:rsidRPr="00494A4C">
              <w:rPr>
                <w:rFonts w:ascii="Arial Narrow" w:eastAsia="Calibri" w:hAnsi="Arial Narrow" w:cs="Calibri"/>
                <w:b/>
                <w:sz w:val="20"/>
                <w:szCs w:val="20"/>
              </w:rPr>
              <w:t>0.44 (0.37, 0.50)</w:t>
            </w:r>
          </w:p>
          <w:p w:rsidR="00B538E5" w:rsidRPr="0008526E" w:rsidRDefault="00B538E5" w:rsidP="00556C26">
            <w:pPr>
              <w:keepNext/>
              <w:keepLines/>
              <w:spacing w:after="120"/>
              <w:jc w:val="right"/>
              <w:rPr>
                <w:rFonts w:ascii="Arial Narrow" w:eastAsia="Calibri" w:hAnsi="Arial Narrow" w:cs="Calibri"/>
                <w:sz w:val="20"/>
                <w:szCs w:val="20"/>
              </w:rPr>
            </w:pPr>
            <w:r w:rsidRPr="0008526E">
              <w:rPr>
                <w:rFonts w:ascii="Arial Narrow" w:eastAsia="Calibri" w:hAnsi="Arial Narrow" w:cs="Calibri"/>
                <w:sz w:val="20"/>
                <w:szCs w:val="20"/>
              </w:rPr>
              <w:t>0.02 (-0.01, 0.04)</w:t>
            </w:r>
          </w:p>
        </w:tc>
      </w:tr>
    </w:tbl>
    <w:p w:rsidR="00B538E5" w:rsidRPr="0008526E" w:rsidRDefault="00B538E5" w:rsidP="00B538E5">
      <w:pPr>
        <w:pStyle w:val="TableFooter"/>
        <w:rPr>
          <w:rFonts w:eastAsia="Calibri"/>
        </w:rPr>
      </w:pPr>
      <w:r w:rsidRPr="0008526E">
        <w:rPr>
          <w:rFonts w:eastAsia="Calibri"/>
        </w:rPr>
        <w:t xml:space="preserve">Abbreviations: AE= adverse event; BSC= best supportive care; CI = confidence interval; CTCAE= </w:t>
      </w:r>
      <w:r w:rsidRPr="0008526E">
        <w:t>Common Terminology Criteria for Adverse Events;</w:t>
      </w:r>
      <w:r w:rsidRPr="0008526E">
        <w:rPr>
          <w:rFonts w:eastAsia="Calibri"/>
        </w:rPr>
        <w:t xml:space="preserve"> n = number of participants reporting data; N = total participants in group; RD = risk difference; RR = relative risk</w:t>
      </w:r>
    </w:p>
    <w:p w:rsidR="00B538E5" w:rsidRPr="0008526E" w:rsidRDefault="00B538E5" w:rsidP="00B538E5">
      <w:pPr>
        <w:pStyle w:val="TableFooter"/>
      </w:pPr>
      <w:r w:rsidRPr="0008526E">
        <w:t>Source: Table 2-32, p. 83 of the submission.</w:t>
      </w:r>
    </w:p>
    <w:p w:rsidR="00B538E5" w:rsidRPr="0008526E" w:rsidRDefault="00B538E5" w:rsidP="009C362D">
      <w:pPr>
        <w:pStyle w:val="TableFooter"/>
        <w:spacing w:after="120"/>
      </w:pPr>
      <w:r w:rsidRPr="0008526E">
        <w:t>Note: Bold text indicates a statistically significant value.</w:t>
      </w:r>
    </w:p>
    <w:p w:rsidR="00912D22" w:rsidRPr="0008526E" w:rsidRDefault="00912D22" w:rsidP="00D42017">
      <w:pPr>
        <w:keepNext/>
        <w:rPr>
          <w:rFonts w:ascii="Arial Narrow" w:hAnsi="Arial Narrow"/>
          <w:b/>
          <w:sz w:val="20"/>
          <w:szCs w:val="20"/>
        </w:rPr>
      </w:pPr>
      <w:r w:rsidRPr="0008526E">
        <w:rPr>
          <w:rFonts w:ascii="Arial Narrow" w:hAnsi="Arial Narrow"/>
          <w:b/>
          <w:sz w:val="20"/>
          <w:szCs w:val="20"/>
        </w:rPr>
        <w:t>Table 7: Summary of key drug-related TEAEs in the RESORCE trial (more than 5% in either treatment group).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08"/>
        <w:gridCol w:w="987"/>
        <w:gridCol w:w="701"/>
        <w:gridCol w:w="1155"/>
        <w:gridCol w:w="569"/>
        <w:gridCol w:w="568"/>
        <w:gridCol w:w="1155"/>
        <w:gridCol w:w="1301"/>
        <w:gridCol w:w="1599"/>
      </w:tblGrid>
      <w:tr w:rsidR="00245862" w:rsidRPr="0008526E" w:rsidTr="003C6CD3">
        <w:trPr>
          <w:trHeight w:val="612"/>
          <w:jc w:val="center"/>
        </w:trPr>
        <w:tc>
          <w:tcPr>
            <w:tcW w:w="653" w:type="pct"/>
            <w:vMerge w:val="restart"/>
            <w:shd w:val="clear" w:color="auto" w:fill="auto"/>
            <w:tcMar>
              <w:top w:w="0" w:type="dxa"/>
              <w:left w:w="108" w:type="dxa"/>
              <w:bottom w:w="0" w:type="dxa"/>
              <w:right w:w="108" w:type="dxa"/>
            </w:tcMar>
            <w:vAlign w:val="center"/>
            <w:hideMark/>
          </w:tcPr>
          <w:p w:rsidR="00912D22" w:rsidRPr="0008526E" w:rsidRDefault="00912D22" w:rsidP="00912D22">
            <w:pPr>
              <w:keepNext/>
              <w:keepLines/>
              <w:jc w:val="left"/>
              <w:rPr>
                <w:rFonts w:ascii="Arial Narrow" w:eastAsia="Calibri" w:hAnsi="Arial Narrow"/>
                <w:b/>
                <w:sz w:val="20"/>
                <w:szCs w:val="20"/>
              </w:rPr>
            </w:pPr>
            <w:r w:rsidRPr="0008526E">
              <w:rPr>
                <w:rFonts w:ascii="Arial Narrow" w:eastAsia="Calibri" w:hAnsi="Arial Narrow"/>
                <w:b/>
                <w:sz w:val="20"/>
                <w:szCs w:val="20"/>
              </w:rPr>
              <w:t>CTCAE drug related TEAEs</w:t>
            </w:r>
          </w:p>
        </w:tc>
        <w:tc>
          <w:tcPr>
            <w:tcW w:w="1538" w:type="pct"/>
            <w:gridSpan w:val="3"/>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Regorafenib</w:t>
            </w:r>
          </w:p>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N=374 (100%)</w:t>
            </w:r>
          </w:p>
        </w:tc>
        <w:tc>
          <w:tcPr>
            <w:tcW w:w="1239" w:type="pct"/>
            <w:gridSpan w:val="3"/>
            <w:vAlign w:val="center"/>
          </w:tcPr>
          <w:p w:rsidR="00912D22" w:rsidRPr="0008526E" w:rsidRDefault="003B1A68"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BSC</w:t>
            </w:r>
          </w:p>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N=193 (100%)</w:t>
            </w:r>
          </w:p>
        </w:tc>
        <w:tc>
          <w:tcPr>
            <w:tcW w:w="704"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Relative risk</w:t>
            </w:r>
          </w:p>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(95% CI)</w:t>
            </w:r>
          </w:p>
        </w:tc>
        <w:tc>
          <w:tcPr>
            <w:tcW w:w="866"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Risk difference</w:t>
            </w:r>
          </w:p>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(95% CI)</w:t>
            </w:r>
          </w:p>
        </w:tc>
      </w:tr>
      <w:tr w:rsidR="00245862" w:rsidRPr="0008526E" w:rsidTr="003C6CD3">
        <w:trPr>
          <w:trHeight w:val="460"/>
          <w:jc w:val="center"/>
        </w:trPr>
        <w:tc>
          <w:tcPr>
            <w:tcW w:w="653" w:type="pct"/>
            <w:vMerge/>
            <w:shd w:val="clear" w:color="auto" w:fill="auto"/>
            <w:vAlign w:val="center"/>
            <w:hideMark/>
          </w:tcPr>
          <w:p w:rsidR="00912D22" w:rsidRPr="0008526E" w:rsidRDefault="00912D22" w:rsidP="00912D22">
            <w:pPr>
              <w:keepNext/>
              <w:keepLines/>
              <w:jc w:val="left"/>
              <w:rPr>
                <w:rFonts w:ascii="Arial Narrow" w:eastAsia="Calibri" w:hAnsi="Arial Narrow"/>
                <w:b/>
                <w:sz w:val="20"/>
                <w:szCs w:val="20"/>
              </w:rPr>
            </w:pPr>
          </w:p>
        </w:tc>
        <w:tc>
          <w:tcPr>
            <w:tcW w:w="534"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Grade 3</w:t>
            </w:r>
          </w:p>
        </w:tc>
        <w:tc>
          <w:tcPr>
            <w:tcW w:w="379"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Grade 4</w:t>
            </w:r>
          </w:p>
        </w:tc>
        <w:tc>
          <w:tcPr>
            <w:tcW w:w="625"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Total</w:t>
            </w:r>
          </w:p>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(Grade 3+4)</w:t>
            </w:r>
          </w:p>
        </w:tc>
        <w:tc>
          <w:tcPr>
            <w:tcW w:w="308" w:type="pct"/>
            <w:vAlign w:val="center"/>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Grade 3</w:t>
            </w:r>
          </w:p>
        </w:tc>
        <w:tc>
          <w:tcPr>
            <w:tcW w:w="307" w:type="pct"/>
            <w:vAlign w:val="center"/>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Grade 4</w:t>
            </w:r>
          </w:p>
        </w:tc>
        <w:tc>
          <w:tcPr>
            <w:tcW w:w="625" w:type="pct"/>
            <w:vAlign w:val="center"/>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Total</w:t>
            </w:r>
          </w:p>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(Grade 3+4)</w:t>
            </w:r>
          </w:p>
        </w:tc>
        <w:tc>
          <w:tcPr>
            <w:tcW w:w="704"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Total</w:t>
            </w:r>
          </w:p>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(Grade 3+4)</w:t>
            </w:r>
          </w:p>
        </w:tc>
        <w:tc>
          <w:tcPr>
            <w:tcW w:w="866"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Total</w:t>
            </w:r>
          </w:p>
          <w:p w:rsidR="00912D22" w:rsidRPr="0008526E" w:rsidRDefault="00912D22" w:rsidP="00912D22">
            <w:pPr>
              <w:keepNext/>
              <w:keepLines/>
              <w:jc w:val="center"/>
              <w:rPr>
                <w:rFonts w:ascii="Arial Narrow" w:eastAsia="Calibri" w:hAnsi="Arial Narrow"/>
                <w:b/>
                <w:sz w:val="20"/>
                <w:szCs w:val="20"/>
              </w:rPr>
            </w:pPr>
            <w:r w:rsidRPr="0008526E">
              <w:rPr>
                <w:rFonts w:ascii="Arial Narrow" w:eastAsia="Calibri" w:hAnsi="Arial Narrow"/>
                <w:b/>
                <w:sz w:val="20"/>
                <w:szCs w:val="20"/>
              </w:rPr>
              <w:t>(Grade 3+4)</w:t>
            </w:r>
          </w:p>
        </w:tc>
      </w:tr>
      <w:tr w:rsidR="00245862" w:rsidRPr="0008526E" w:rsidTr="003C6CD3">
        <w:trPr>
          <w:trHeight w:val="460"/>
          <w:jc w:val="center"/>
        </w:trPr>
        <w:tc>
          <w:tcPr>
            <w:tcW w:w="653"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left"/>
              <w:rPr>
                <w:rFonts w:ascii="Arial Narrow" w:eastAsia="Calibri" w:hAnsi="Arial Narrow"/>
                <w:sz w:val="20"/>
                <w:szCs w:val="20"/>
              </w:rPr>
            </w:pPr>
            <w:r w:rsidRPr="0008526E">
              <w:rPr>
                <w:rFonts w:ascii="Arial Narrow" w:eastAsia="Calibri" w:hAnsi="Arial Narrow"/>
                <w:sz w:val="20"/>
                <w:szCs w:val="20"/>
              </w:rPr>
              <w:t>Hypertension</w:t>
            </w:r>
          </w:p>
        </w:tc>
        <w:tc>
          <w:tcPr>
            <w:tcW w:w="534"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48 (12.8%)</w:t>
            </w:r>
          </w:p>
        </w:tc>
        <w:tc>
          <w:tcPr>
            <w:tcW w:w="379"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0</w:t>
            </w:r>
          </w:p>
        </w:tc>
        <w:tc>
          <w:tcPr>
            <w:tcW w:w="625"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48 (12.8%)</w:t>
            </w:r>
          </w:p>
        </w:tc>
        <w:tc>
          <w:tcPr>
            <w:tcW w:w="308"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6 (3.1%)</w:t>
            </w:r>
          </w:p>
        </w:tc>
        <w:tc>
          <w:tcPr>
            <w:tcW w:w="307"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0</w:t>
            </w:r>
          </w:p>
        </w:tc>
        <w:tc>
          <w:tcPr>
            <w:tcW w:w="625"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6 (3.1%)</w:t>
            </w:r>
          </w:p>
        </w:tc>
        <w:tc>
          <w:tcPr>
            <w:tcW w:w="704" w:type="pct"/>
            <w:shd w:val="clear" w:color="auto" w:fill="auto"/>
            <w:tcMar>
              <w:top w:w="0" w:type="dxa"/>
              <w:left w:w="108" w:type="dxa"/>
              <w:bottom w:w="0" w:type="dxa"/>
              <w:right w:w="108" w:type="dxa"/>
            </w:tcMar>
            <w:vAlign w:val="center"/>
          </w:tcPr>
          <w:p w:rsidR="00912D22" w:rsidRPr="00494A4C" w:rsidRDefault="00912D2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4.13</w:t>
            </w:r>
          </w:p>
          <w:p w:rsidR="00912D22" w:rsidRPr="00494A4C" w:rsidRDefault="0024586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w:t>
            </w:r>
            <w:r w:rsidR="00912D22" w:rsidRPr="00494A4C">
              <w:rPr>
                <w:rFonts w:ascii="Arial Narrow" w:eastAsia="Calibri" w:hAnsi="Arial Narrow"/>
                <w:b/>
                <w:sz w:val="20"/>
                <w:szCs w:val="20"/>
              </w:rPr>
              <w:t>1.80, 9.47</w:t>
            </w:r>
            <w:r w:rsidRPr="00494A4C">
              <w:rPr>
                <w:rFonts w:ascii="Arial Narrow" w:eastAsia="Calibri" w:hAnsi="Arial Narrow"/>
                <w:b/>
                <w:sz w:val="20"/>
                <w:szCs w:val="20"/>
              </w:rPr>
              <w:t>)</w:t>
            </w:r>
          </w:p>
        </w:tc>
        <w:tc>
          <w:tcPr>
            <w:tcW w:w="866" w:type="pct"/>
            <w:shd w:val="clear" w:color="auto" w:fill="auto"/>
            <w:tcMar>
              <w:top w:w="0" w:type="dxa"/>
              <w:left w:w="108" w:type="dxa"/>
              <w:bottom w:w="0" w:type="dxa"/>
              <w:right w:w="108" w:type="dxa"/>
            </w:tcMar>
            <w:vAlign w:val="center"/>
          </w:tcPr>
          <w:p w:rsidR="00912D22" w:rsidRPr="00494A4C" w:rsidRDefault="00912D2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0.10</w:t>
            </w:r>
          </w:p>
          <w:p w:rsidR="00912D22" w:rsidRPr="00494A4C" w:rsidRDefault="0024586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w:t>
            </w:r>
            <w:r w:rsidR="00912D22" w:rsidRPr="00494A4C">
              <w:rPr>
                <w:rFonts w:ascii="Arial Narrow" w:eastAsia="Calibri" w:hAnsi="Arial Narrow"/>
                <w:b/>
                <w:sz w:val="20"/>
                <w:szCs w:val="20"/>
              </w:rPr>
              <w:t>0.06, 0.14</w:t>
            </w:r>
            <w:r w:rsidRPr="00494A4C">
              <w:rPr>
                <w:rFonts w:ascii="Arial Narrow" w:eastAsia="Calibri" w:hAnsi="Arial Narrow"/>
                <w:b/>
                <w:sz w:val="20"/>
                <w:szCs w:val="20"/>
              </w:rPr>
              <w:t>)</w:t>
            </w:r>
          </w:p>
        </w:tc>
      </w:tr>
      <w:tr w:rsidR="00245862" w:rsidRPr="0008526E" w:rsidTr="003C6CD3">
        <w:trPr>
          <w:trHeight w:val="460"/>
          <w:jc w:val="center"/>
        </w:trPr>
        <w:tc>
          <w:tcPr>
            <w:tcW w:w="653"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left"/>
              <w:rPr>
                <w:rFonts w:ascii="Arial Narrow" w:eastAsia="Calibri" w:hAnsi="Arial Narrow"/>
                <w:sz w:val="20"/>
                <w:szCs w:val="20"/>
              </w:rPr>
            </w:pPr>
            <w:r w:rsidRPr="0008526E">
              <w:rPr>
                <w:rFonts w:ascii="Arial Narrow" w:eastAsia="Calibri" w:hAnsi="Arial Narrow"/>
                <w:sz w:val="20"/>
                <w:szCs w:val="20"/>
              </w:rPr>
              <w:t>HFSR</w:t>
            </w:r>
          </w:p>
        </w:tc>
        <w:tc>
          <w:tcPr>
            <w:tcW w:w="534"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46 (12.3%)</w:t>
            </w:r>
          </w:p>
        </w:tc>
        <w:tc>
          <w:tcPr>
            <w:tcW w:w="379"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0</w:t>
            </w:r>
          </w:p>
        </w:tc>
        <w:tc>
          <w:tcPr>
            <w:tcW w:w="625"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46 (12.3%)</w:t>
            </w:r>
          </w:p>
        </w:tc>
        <w:tc>
          <w:tcPr>
            <w:tcW w:w="308"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1 (0.5%)</w:t>
            </w:r>
          </w:p>
        </w:tc>
        <w:tc>
          <w:tcPr>
            <w:tcW w:w="307"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0</w:t>
            </w:r>
          </w:p>
        </w:tc>
        <w:tc>
          <w:tcPr>
            <w:tcW w:w="625"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1 (0.5%)</w:t>
            </w:r>
          </w:p>
        </w:tc>
        <w:tc>
          <w:tcPr>
            <w:tcW w:w="704" w:type="pct"/>
            <w:shd w:val="clear" w:color="auto" w:fill="auto"/>
            <w:tcMar>
              <w:top w:w="0" w:type="dxa"/>
              <w:left w:w="108" w:type="dxa"/>
              <w:bottom w:w="0" w:type="dxa"/>
              <w:right w:w="108" w:type="dxa"/>
            </w:tcMar>
            <w:vAlign w:val="center"/>
          </w:tcPr>
          <w:p w:rsidR="00912D22" w:rsidRPr="00494A4C" w:rsidRDefault="00912D2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23.74</w:t>
            </w:r>
          </w:p>
          <w:p w:rsidR="00912D22" w:rsidRPr="00494A4C" w:rsidRDefault="0024586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w:t>
            </w:r>
            <w:r w:rsidR="00912D22" w:rsidRPr="00494A4C">
              <w:rPr>
                <w:rFonts w:ascii="Arial Narrow" w:eastAsia="Calibri" w:hAnsi="Arial Narrow"/>
                <w:b/>
                <w:sz w:val="20"/>
                <w:szCs w:val="20"/>
              </w:rPr>
              <w:t>3.30, 170.82</w:t>
            </w:r>
            <w:r w:rsidRPr="00494A4C">
              <w:rPr>
                <w:rFonts w:ascii="Arial Narrow" w:eastAsia="Calibri" w:hAnsi="Arial Narrow"/>
                <w:b/>
                <w:sz w:val="20"/>
                <w:szCs w:val="20"/>
              </w:rPr>
              <w:t>)</w:t>
            </w:r>
          </w:p>
        </w:tc>
        <w:tc>
          <w:tcPr>
            <w:tcW w:w="866" w:type="pct"/>
            <w:shd w:val="clear" w:color="auto" w:fill="auto"/>
            <w:tcMar>
              <w:top w:w="0" w:type="dxa"/>
              <w:left w:w="108" w:type="dxa"/>
              <w:bottom w:w="0" w:type="dxa"/>
              <w:right w:w="108" w:type="dxa"/>
            </w:tcMar>
            <w:vAlign w:val="center"/>
          </w:tcPr>
          <w:p w:rsidR="00912D22" w:rsidRPr="00494A4C" w:rsidRDefault="00912D2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0.12</w:t>
            </w:r>
          </w:p>
          <w:p w:rsidR="00912D22" w:rsidRPr="00494A4C" w:rsidRDefault="0024586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w:t>
            </w:r>
            <w:r w:rsidR="00912D22" w:rsidRPr="00494A4C">
              <w:rPr>
                <w:rFonts w:ascii="Arial Narrow" w:eastAsia="Calibri" w:hAnsi="Arial Narrow"/>
                <w:b/>
                <w:sz w:val="20"/>
                <w:szCs w:val="20"/>
              </w:rPr>
              <w:t>0.08, 0.15</w:t>
            </w:r>
            <w:r w:rsidRPr="00494A4C">
              <w:rPr>
                <w:rFonts w:ascii="Arial Narrow" w:eastAsia="Calibri" w:hAnsi="Arial Narrow"/>
                <w:b/>
                <w:sz w:val="20"/>
                <w:szCs w:val="20"/>
              </w:rPr>
              <w:t>)</w:t>
            </w:r>
          </w:p>
        </w:tc>
      </w:tr>
      <w:tr w:rsidR="00245862" w:rsidRPr="0008526E" w:rsidTr="003C6CD3">
        <w:trPr>
          <w:trHeight w:val="453"/>
          <w:jc w:val="center"/>
        </w:trPr>
        <w:tc>
          <w:tcPr>
            <w:tcW w:w="653"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left"/>
              <w:rPr>
                <w:rFonts w:ascii="Arial Narrow" w:eastAsia="Calibri" w:hAnsi="Arial Narrow"/>
                <w:sz w:val="20"/>
                <w:szCs w:val="20"/>
              </w:rPr>
            </w:pPr>
            <w:r w:rsidRPr="0008526E">
              <w:rPr>
                <w:rFonts w:ascii="Arial Narrow" w:eastAsia="Calibri" w:hAnsi="Arial Narrow"/>
                <w:sz w:val="20"/>
                <w:szCs w:val="20"/>
              </w:rPr>
              <w:t>Blood bilirubin increased</w:t>
            </w:r>
          </w:p>
        </w:tc>
        <w:tc>
          <w:tcPr>
            <w:tcW w:w="534"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19 (5.1%)</w:t>
            </w:r>
          </w:p>
        </w:tc>
        <w:tc>
          <w:tcPr>
            <w:tcW w:w="379"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0</w:t>
            </w:r>
          </w:p>
        </w:tc>
        <w:tc>
          <w:tcPr>
            <w:tcW w:w="625"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19 (5.1%)</w:t>
            </w:r>
          </w:p>
        </w:tc>
        <w:tc>
          <w:tcPr>
            <w:tcW w:w="308"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2 (1.0%)</w:t>
            </w:r>
          </w:p>
        </w:tc>
        <w:tc>
          <w:tcPr>
            <w:tcW w:w="307"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0</w:t>
            </w:r>
          </w:p>
        </w:tc>
        <w:tc>
          <w:tcPr>
            <w:tcW w:w="625"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2 (1.0%)</w:t>
            </w:r>
          </w:p>
        </w:tc>
        <w:tc>
          <w:tcPr>
            <w:tcW w:w="704" w:type="pct"/>
            <w:shd w:val="clear" w:color="auto" w:fill="auto"/>
            <w:tcMar>
              <w:top w:w="0" w:type="dxa"/>
              <w:left w:w="108" w:type="dxa"/>
              <w:bottom w:w="0" w:type="dxa"/>
              <w:right w:w="108" w:type="dxa"/>
            </w:tcMar>
            <w:vAlign w:val="center"/>
          </w:tcPr>
          <w:p w:rsidR="00912D22" w:rsidRPr="00494A4C" w:rsidRDefault="00912D2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4.90</w:t>
            </w:r>
          </w:p>
          <w:p w:rsidR="00912D22" w:rsidRPr="00494A4C" w:rsidRDefault="0024586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w:t>
            </w:r>
            <w:r w:rsidR="00912D22" w:rsidRPr="00494A4C">
              <w:rPr>
                <w:rFonts w:ascii="Arial Narrow" w:eastAsia="Calibri" w:hAnsi="Arial Narrow"/>
                <w:b/>
                <w:sz w:val="20"/>
                <w:szCs w:val="20"/>
              </w:rPr>
              <w:t>1.15, 20.83</w:t>
            </w:r>
            <w:r w:rsidRPr="00494A4C">
              <w:rPr>
                <w:rFonts w:ascii="Arial Narrow" w:eastAsia="Calibri" w:hAnsi="Arial Narrow"/>
                <w:b/>
                <w:sz w:val="20"/>
                <w:szCs w:val="20"/>
              </w:rPr>
              <w:t>)</w:t>
            </w:r>
          </w:p>
        </w:tc>
        <w:tc>
          <w:tcPr>
            <w:tcW w:w="866" w:type="pct"/>
            <w:shd w:val="clear" w:color="auto" w:fill="auto"/>
            <w:tcMar>
              <w:top w:w="0" w:type="dxa"/>
              <w:left w:w="108" w:type="dxa"/>
              <w:bottom w:w="0" w:type="dxa"/>
              <w:right w:w="108" w:type="dxa"/>
            </w:tcMar>
            <w:vAlign w:val="center"/>
          </w:tcPr>
          <w:p w:rsidR="00912D22" w:rsidRPr="00494A4C" w:rsidRDefault="00912D2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0.04</w:t>
            </w:r>
          </w:p>
          <w:p w:rsidR="00912D22" w:rsidRPr="00494A4C" w:rsidRDefault="00245862" w:rsidP="00912D22">
            <w:pPr>
              <w:keepNext/>
              <w:keepLines/>
              <w:jc w:val="center"/>
              <w:rPr>
                <w:rFonts w:ascii="Arial Narrow" w:eastAsia="Calibri" w:hAnsi="Arial Narrow"/>
                <w:b/>
                <w:sz w:val="20"/>
                <w:szCs w:val="20"/>
              </w:rPr>
            </w:pPr>
            <w:r w:rsidRPr="00494A4C">
              <w:rPr>
                <w:rFonts w:ascii="Arial Narrow" w:eastAsia="Calibri" w:hAnsi="Arial Narrow"/>
                <w:b/>
                <w:sz w:val="20"/>
                <w:szCs w:val="20"/>
              </w:rPr>
              <w:t>(</w:t>
            </w:r>
            <w:r w:rsidR="00912D22" w:rsidRPr="00494A4C">
              <w:rPr>
                <w:rFonts w:ascii="Arial Narrow" w:eastAsia="Calibri" w:hAnsi="Arial Narrow"/>
                <w:b/>
                <w:sz w:val="20"/>
                <w:szCs w:val="20"/>
              </w:rPr>
              <w:t>0.01, 0.07</w:t>
            </w:r>
            <w:r w:rsidRPr="00494A4C">
              <w:rPr>
                <w:rFonts w:ascii="Arial Narrow" w:eastAsia="Calibri" w:hAnsi="Arial Narrow"/>
                <w:b/>
                <w:sz w:val="20"/>
                <w:szCs w:val="20"/>
              </w:rPr>
              <w:t>)</w:t>
            </w:r>
          </w:p>
        </w:tc>
      </w:tr>
      <w:tr w:rsidR="00245862" w:rsidRPr="0008526E" w:rsidTr="003C6CD3">
        <w:trPr>
          <w:trHeight w:val="460"/>
          <w:jc w:val="center"/>
        </w:trPr>
        <w:tc>
          <w:tcPr>
            <w:tcW w:w="653"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left"/>
              <w:rPr>
                <w:rFonts w:ascii="Arial Narrow" w:eastAsia="Calibri" w:hAnsi="Arial Narrow"/>
                <w:sz w:val="20"/>
                <w:szCs w:val="20"/>
              </w:rPr>
            </w:pPr>
            <w:r w:rsidRPr="0008526E">
              <w:rPr>
                <w:rFonts w:ascii="Arial Narrow" w:eastAsia="Calibri" w:hAnsi="Arial Narrow"/>
                <w:sz w:val="20"/>
                <w:szCs w:val="20"/>
              </w:rPr>
              <w:t>AST increased</w:t>
            </w:r>
          </w:p>
        </w:tc>
        <w:tc>
          <w:tcPr>
            <w:tcW w:w="534"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17 (4.5%)</w:t>
            </w:r>
          </w:p>
        </w:tc>
        <w:tc>
          <w:tcPr>
            <w:tcW w:w="379"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3 (0.8%)</w:t>
            </w:r>
          </w:p>
        </w:tc>
        <w:tc>
          <w:tcPr>
            <w:tcW w:w="625" w:type="pct"/>
            <w:shd w:val="clear" w:color="auto" w:fill="auto"/>
            <w:tcMar>
              <w:top w:w="0" w:type="dxa"/>
              <w:left w:w="108" w:type="dxa"/>
              <w:bottom w:w="0" w:type="dxa"/>
              <w:right w:w="108" w:type="dxa"/>
            </w:tcMar>
            <w:vAlign w:val="center"/>
            <w:hideMark/>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20 (5.3%)</w:t>
            </w:r>
          </w:p>
        </w:tc>
        <w:tc>
          <w:tcPr>
            <w:tcW w:w="308"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9 (4.7%)</w:t>
            </w:r>
          </w:p>
        </w:tc>
        <w:tc>
          <w:tcPr>
            <w:tcW w:w="307"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1 (0.5%)</w:t>
            </w:r>
          </w:p>
        </w:tc>
        <w:tc>
          <w:tcPr>
            <w:tcW w:w="625" w:type="pct"/>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10 (5.2%)</w:t>
            </w:r>
          </w:p>
        </w:tc>
        <w:tc>
          <w:tcPr>
            <w:tcW w:w="704" w:type="pct"/>
            <w:shd w:val="clear" w:color="auto" w:fill="auto"/>
            <w:tcMar>
              <w:top w:w="0" w:type="dxa"/>
              <w:left w:w="108" w:type="dxa"/>
              <w:bottom w:w="0" w:type="dxa"/>
              <w:right w:w="108" w:type="dxa"/>
            </w:tcMar>
            <w:vAlign w:val="center"/>
          </w:tcPr>
          <w:p w:rsidR="00912D22" w:rsidRPr="00BC69D5" w:rsidRDefault="00912D22" w:rsidP="00912D22">
            <w:pPr>
              <w:keepNext/>
              <w:keepLines/>
              <w:jc w:val="center"/>
              <w:rPr>
                <w:rFonts w:ascii="Arial Narrow" w:eastAsia="Calibri" w:hAnsi="Arial Narrow"/>
                <w:sz w:val="20"/>
                <w:szCs w:val="20"/>
              </w:rPr>
            </w:pPr>
            <w:r w:rsidRPr="00BC69D5">
              <w:rPr>
                <w:rFonts w:ascii="Arial Narrow" w:eastAsia="Calibri" w:hAnsi="Arial Narrow"/>
                <w:sz w:val="20"/>
                <w:szCs w:val="20"/>
              </w:rPr>
              <w:t>1.03</w:t>
            </w:r>
          </w:p>
          <w:p w:rsidR="00912D22" w:rsidRPr="0008526E" w:rsidRDefault="00245862" w:rsidP="00912D22">
            <w:pPr>
              <w:keepNext/>
              <w:keepLines/>
              <w:jc w:val="center"/>
              <w:rPr>
                <w:rFonts w:ascii="Arial Narrow" w:eastAsia="Calibri" w:hAnsi="Arial Narrow"/>
                <w:sz w:val="20"/>
                <w:szCs w:val="20"/>
              </w:rPr>
            </w:pPr>
            <w:r w:rsidRPr="00BC69D5">
              <w:rPr>
                <w:rFonts w:ascii="Arial Narrow" w:eastAsia="Calibri" w:hAnsi="Arial Narrow"/>
                <w:sz w:val="20"/>
                <w:szCs w:val="20"/>
              </w:rPr>
              <w:t>(</w:t>
            </w:r>
            <w:r w:rsidR="00912D22" w:rsidRPr="00BC69D5">
              <w:rPr>
                <w:rFonts w:ascii="Arial Narrow" w:eastAsia="Calibri" w:hAnsi="Arial Narrow"/>
                <w:sz w:val="20"/>
                <w:szCs w:val="20"/>
              </w:rPr>
              <w:t>0.49, 2.16</w:t>
            </w:r>
            <w:r w:rsidRPr="00BC69D5">
              <w:rPr>
                <w:rFonts w:ascii="Arial Narrow" w:eastAsia="Calibri" w:hAnsi="Arial Narrow"/>
                <w:sz w:val="20"/>
                <w:szCs w:val="20"/>
              </w:rPr>
              <w:t>)</w:t>
            </w:r>
          </w:p>
        </w:tc>
        <w:tc>
          <w:tcPr>
            <w:tcW w:w="866" w:type="pct"/>
            <w:shd w:val="clear" w:color="auto" w:fill="auto"/>
            <w:tcMar>
              <w:top w:w="0" w:type="dxa"/>
              <w:left w:w="108" w:type="dxa"/>
              <w:bottom w:w="0" w:type="dxa"/>
              <w:right w:w="108" w:type="dxa"/>
            </w:tcMar>
            <w:vAlign w:val="center"/>
          </w:tcPr>
          <w:p w:rsidR="00912D22" w:rsidRPr="0008526E" w:rsidRDefault="00912D22" w:rsidP="00912D22">
            <w:pPr>
              <w:keepNext/>
              <w:keepLines/>
              <w:jc w:val="center"/>
              <w:rPr>
                <w:rFonts w:ascii="Arial Narrow" w:eastAsia="Calibri" w:hAnsi="Arial Narrow"/>
                <w:sz w:val="20"/>
                <w:szCs w:val="20"/>
              </w:rPr>
            </w:pPr>
            <w:r w:rsidRPr="0008526E">
              <w:rPr>
                <w:rFonts w:ascii="Arial Narrow" w:eastAsia="Calibri" w:hAnsi="Arial Narrow"/>
                <w:sz w:val="20"/>
                <w:szCs w:val="20"/>
              </w:rPr>
              <w:t>0.00</w:t>
            </w:r>
          </w:p>
          <w:p w:rsidR="00912D22" w:rsidRPr="0008526E" w:rsidRDefault="00245862" w:rsidP="00912D22">
            <w:pPr>
              <w:keepNext/>
              <w:keepLines/>
              <w:jc w:val="center"/>
              <w:rPr>
                <w:rFonts w:ascii="Arial Narrow" w:eastAsia="Calibri" w:hAnsi="Arial Narrow"/>
                <w:sz w:val="20"/>
                <w:szCs w:val="20"/>
              </w:rPr>
            </w:pPr>
            <w:r w:rsidRPr="0008526E">
              <w:rPr>
                <w:rFonts w:ascii="Arial Narrow" w:eastAsia="Calibri" w:hAnsi="Arial Narrow"/>
                <w:sz w:val="20"/>
                <w:szCs w:val="20"/>
              </w:rPr>
              <w:t>(</w:t>
            </w:r>
            <w:r w:rsidR="00912D22" w:rsidRPr="0008526E">
              <w:rPr>
                <w:rFonts w:ascii="Arial Narrow" w:eastAsia="Calibri" w:hAnsi="Arial Narrow"/>
                <w:sz w:val="20"/>
                <w:szCs w:val="20"/>
              </w:rPr>
              <w:t>-0.04, 0.04</w:t>
            </w:r>
            <w:r w:rsidRPr="0008526E">
              <w:rPr>
                <w:rFonts w:ascii="Arial Narrow" w:eastAsia="Calibri" w:hAnsi="Arial Narrow"/>
                <w:sz w:val="20"/>
                <w:szCs w:val="20"/>
              </w:rPr>
              <w:t>)</w:t>
            </w:r>
          </w:p>
        </w:tc>
      </w:tr>
    </w:tbl>
    <w:p w:rsidR="00912D22" w:rsidRPr="0008526E" w:rsidRDefault="00912D22" w:rsidP="00086578">
      <w:pPr>
        <w:pStyle w:val="TableFooter"/>
        <w:rPr>
          <w:rFonts w:eastAsia="Calibri"/>
        </w:rPr>
      </w:pPr>
      <w:r w:rsidRPr="0008526E">
        <w:rPr>
          <w:rFonts w:eastAsia="Calibri"/>
        </w:rPr>
        <w:t xml:space="preserve">Abbreviations: </w:t>
      </w:r>
      <w:r w:rsidR="003B1A68" w:rsidRPr="0008526E">
        <w:rPr>
          <w:rFonts w:eastAsia="Calibri"/>
        </w:rPr>
        <w:t xml:space="preserve">BSC= best supportive care; </w:t>
      </w:r>
      <w:r w:rsidRPr="0008526E">
        <w:rPr>
          <w:rFonts w:eastAsia="Calibri"/>
        </w:rPr>
        <w:t xml:space="preserve">CI = confidence interval; HFSR= hand–foot skin reaction; n = number of participants reporting data; N = total participants in group; RD = risk difference; RR = relative risk; TEAE= treatment-emergent adverse events. </w:t>
      </w:r>
    </w:p>
    <w:p w:rsidR="00912D22" w:rsidRPr="0008526E" w:rsidRDefault="00912D22" w:rsidP="00086578">
      <w:pPr>
        <w:pStyle w:val="TableFooter"/>
        <w:rPr>
          <w:rFonts w:eastAsia="Calibri"/>
        </w:rPr>
      </w:pPr>
      <w:r w:rsidRPr="0008526E">
        <w:rPr>
          <w:rFonts w:eastAsia="Calibri"/>
        </w:rPr>
        <w:t>Source: Table 2-33, p. 85 of the submission.</w:t>
      </w:r>
    </w:p>
    <w:p w:rsidR="0058730C" w:rsidRPr="0008526E" w:rsidRDefault="00E44C0E" w:rsidP="00086578">
      <w:pPr>
        <w:pStyle w:val="TableFooter"/>
      </w:pPr>
      <w:r w:rsidRPr="0008526E">
        <w:t>Note: Bold text indicates a s</w:t>
      </w:r>
      <w:r w:rsidR="005D0C00">
        <w:t>tatistically significant value.</w:t>
      </w:r>
    </w:p>
    <w:p w:rsidR="00912D22" w:rsidRPr="009C362D" w:rsidRDefault="00912D22" w:rsidP="009C362D">
      <w:pPr>
        <w:pStyle w:val="Heading2"/>
      </w:pPr>
      <w:bookmarkStart w:id="14" w:name="_Toc503166747"/>
      <w:r w:rsidRPr="009C362D">
        <w:t>Benefits/harms</w:t>
      </w:r>
      <w:bookmarkEnd w:id="14"/>
    </w:p>
    <w:p w:rsidR="00912D22" w:rsidRPr="0008526E" w:rsidRDefault="00912D22" w:rsidP="00912D22">
      <w:pPr>
        <w:pStyle w:val="ListParagraph"/>
        <w:widowControl/>
        <w:numPr>
          <w:ilvl w:val="1"/>
          <w:numId w:val="3"/>
        </w:numPr>
      </w:pPr>
      <w:r w:rsidRPr="0008526E">
        <w:t xml:space="preserve">A summary of the comparative benefits and harms for regorafenib versus BSC is presented in the table below. </w:t>
      </w:r>
    </w:p>
    <w:p w:rsidR="00912D22" w:rsidRPr="0008526E" w:rsidRDefault="00912D22" w:rsidP="00DA633E">
      <w:pPr>
        <w:keepNext/>
        <w:rPr>
          <w:rStyle w:val="CommentReference"/>
        </w:rPr>
      </w:pPr>
      <w:r w:rsidRPr="0008526E">
        <w:rPr>
          <w:rStyle w:val="CommentReference"/>
        </w:rPr>
        <w:t xml:space="preserve">Table </w:t>
      </w:r>
      <w:r w:rsidR="007A6370" w:rsidRPr="0008526E">
        <w:rPr>
          <w:rStyle w:val="CommentReference"/>
        </w:rPr>
        <w:t>8</w:t>
      </w:r>
      <w:r w:rsidRPr="0008526E">
        <w:rPr>
          <w:rStyle w:val="CommentReference"/>
        </w:rPr>
        <w:t xml:space="preserve">: Summary of comparative benefits and harms for </w:t>
      </w:r>
      <w:r w:rsidR="007A6370" w:rsidRPr="0008526E">
        <w:rPr>
          <w:rStyle w:val="CommentReference"/>
        </w:rPr>
        <w:t>regorafenib</w:t>
      </w:r>
      <w:r w:rsidRPr="0008526E">
        <w:rPr>
          <w:rStyle w:val="CommentReference"/>
        </w:rPr>
        <w:t xml:space="preserve"> and </w:t>
      </w:r>
      <w:r w:rsidR="007A6370" w:rsidRPr="0008526E">
        <w:rPr>
          <w:rStyle w:val="CommentReference"/>
        </w:rPr>
        <w:t>best supportive care (BSC)</w:t>
      </w:r>
    </w:p>
    <w:tbl>
      <w:tblPr>
        <w:tblW w:w="5000" w:type="pct"/>
        <w:tblLayout w:type="fixed"/>
        <w:tblCellMar>
          <w:left w:w="28" w:type="dxa"/>
          <w:right w:w="28" w:type="dxa"/>
        </w:tblCellMar>
        <w:tblLook w:val="04A0" w:firstRow="1" w:lastRow="0" w:firstColumn="1" w:lastColumn="0" w:noHBand="0" w:noVBand="1"/>
      </w:tblPr>
      <w:tblGrid>
        <w:gridCol w:w="1423"/>
        <w:gridCol w:w="435"/>
        <w:gridCol w:w="705"/>
        <w:gridCol w:w="778"/>
        <w:gridCol w:w="253"/>
        <w:gridCol w:w="1386"/>
        <w:gridCol w:w="180"/>
        <w:gridCol w:w="1141"/>
        <w:gridCol w:w="440"/>
        <w:gridCol w:w="932"/>
        <w:gridCol w:w="1410"/>
      </w:tblGrid>
      <w:tr w:rsidR="00912D22" w:rsidRPr="0008526E" w:rsidTr="00912D22">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912D22" w:rsidRPr="0008526E" w:rsidRDefault="00912D22" w:rsidP="00DA633E">
            <w:pPr>
              <w:keepNext/>
              <w:rPr>
                <w:rFonts w:ascii="Arial Narrow" w:hAnsi="Arial Narrow"/>
                <w:b/>
                <w:color w:val="000000"/>
                <w:sz w:val="20"/>
                <w:szCs w:val="18"/>
              </w:rPr>
            </w:pPr>
            <w:r w:rsidRPr="0008526E">
              <w:rPr>
                <w:rFonts w:ascii="Arial Narrow" w:hAnsi="Arial Narrow"/>
                <w:b/>
                <w:color w:val="000000"/>
                <w:sz w:val="20"/>
                <w:szCs w:val="18"/>
              </w:rPr>
              <w:t xml:space="preserve">Time-to-event outcome OS: </w:t>
            </w:r>
            <w:r w:rsidR="007A6370" w:rsidRPr="0008526E">
              <w:rPr>
                <w:rFonts w:ascii="Arial Narrow" w:hAnsi="Arial Narrow"/>
                <w:b/>
                <w:color w:val="000000"/>
                <w:sz w:val="20"/>
                <w:szCs w:val="18"/>
              </w:rPr>
              <w:t>RESORCE trial</w:t>
            </w:r>
          </w:p>
        </w:tc>
      </w:tr>
      <w:tr w:rsidR="00912D22" w:rsidRPr="0008526E" w:rsidTr="007A6370">
        <w:tc>
          <w:tcPr>
            <w:tcW w:w="10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D22" w:rsidRPr="0008526E" w:rsidRDefault="00912D22" w:rsidP="00DA633E">
            <w:pPr>
              <w:keepNext/>
              <w:jc w:val="center"/>
              <w:rPr>
                <w:rFonts w:ascii="Arial Narrow" w:hAnsi="Arial Narrow"/>
                <w:color w:val="000000"/>
                <w:sz w:val="20"/>
                <w:szCs w:val="18"/>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rsidR="00912D22" w:rsidRPr="0008526E" w:rsidRDefault="00FA13AC" w:rsidP="00DA633E">
            <w:pPr>
              <w:keepNext/>
              <w:jc w:val="center"/>
              <w:rPr>
                <w:rFonts w:ascii="Arial Narrow" w:hAnsi="Arial Narrow"/>
                <w:b/>
                <w:color w:val="000000"/>
                <w:sz w:val="20"/>
                <w:szCs w:val="18"/>
              </w:rPr>
            </w:pPr>
            <w:r w:rsidRPr="0008526E">
              <w:rPr>
                <w:rFonts w:ascii="Arial Narrow" w:hAnsi="Arial Narrow"/>
                <w:b/>
                <w:color w:val="000000"/>
                <w:sz w:val="20"/>
                <w:szCs w:val="18"/>
              </w:rPr>
              <w:t>Regorafenib</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912D22" w:rsidRPr="0008526E" w:rsidRDefault="00FA13AC" w:rsidP="00DA633E">
            <w:pPr>
              <w:keepNext/>
              <w:jc w:val="center"/>
              <w:rPr>
                <w:rFonts w:ascii="Arial Narrow" w:hAnsi="Arial Narrow"/>
                <w:b/>
                <w:color w:val="000000"/>
                <w:sz w:val="20"/>
                <w:szCs w:val="18"/>
              </w:rPr>
            </w:pPr>
            <w:r w:rsidRPr="0008526E">
              <w:rPr>
                <w:rFonts w:ascii="Arial Narrow" w:hAnsi="Arial Narrow"/>
                <w:b/>
                <w:color w:val="000000"/>
                <w:sz w:val="20"/>
                <w:szCs w:val="18"/>
              </w:rPr>
              <w:t>BSC</w:t>
            </w:r>
          </w:p>
        </w:tc>
        <w:tc>
          <w:tcPr>
            <w:tcW w:w="969" w:type="pct"/>
            <w:gridSpan w:val="3"/>
            <w:tcBorders>
              <w:top w:val="single" w:sz="4" w:space="0" w:color="auto"/>
              <w:left w:val="single" w:sz="4" w:space="0" w:color="auto"/>
              <w:bottom w:val="single" w:sz="4" w:space="0" w:color="auto"/>
              <w:right w:val="single" w:sz="4" w:space="0" w:color="auto"/>
            </w:tcBorders>
            <w:vAlign w:val="center"/>
          </w:tcPr>
          <w:p w:rsidR="00912D22" w:rsidRPr="0008526E" w:rsidRDefault="00912D22" w:rsidP="00DA633E">
            <w:pPr>
              <w:keepNext/>
              <w:jc w:val="center"/>
              <w:rPr>
                <w:rFonts w:ascii="Arial Narrow" w:hAnsi="Arial Narrow"/>
                <w:b/>
                <w:color w:val="000000"/>
                <w:sz w:val="20"/>
                <w:szCs w:val="18"/>
              </w:rPr>
            </w:pPr>
            <w:r w:rsidRPr="0008526E">
              <w:rPr>
                <w:rFonts w:ascii="Arial Narrow" w:hAnsi="Arial Narrow"/>
                <w:b/>
                <w:color w:val="000000"/>
                <w:sz w:val="20"/>
                <w:szCs w:val="18"/>
              </w:rPr>
              <w:t>Absolute difference</w:t>
            </w:r>
          </w:p>
        </w:tc>
        <w:tc>
          <w:tcPr>
            <w:tcW w:w="1289" w:type="pct"/>
            <w:gridSpan w:val="2"/>
            <w:tcBorders>
              <w:top w:val="single" w:sz="4" w:space="0" w:color="auto"/>
              <w:left w:val="single" w:sz="4" w:space="0" w:color="auto"/>
              <w:bottom w:val="single" w:sz="4" w:space="0" w:color="auto"/>
              <w:right w:val="single" w:sz="4" w:space="0" w:color="auto"/>
            </w:tcBorders>
            <w:vAlign w:val="center"/>
          </w:tcPr>
          <w:p w:rsidR="00912D22" w:rsidRPr="0008526E" w:rsidRDefault="00912D22" w:rsidP="00DA633E">
            <w:pPr>
              <w:keepNext/>
              <w:jc w:val="center"/>
              <w:rPr>
                <w:rFonts w:ascii="Arial Narrow" w:hAnsi="Arial Narrow"/>
                <w:b/>
                <w:color w:val="000000"/>
                <w:sz w:val="20"/>
                <w:szCs w:val="18"/>
              </w:rPr>
            </w:pPr>
            <w:r w:rsidRPr="0008526E">
              <w:rPr>
                <w:rFonts w:ascii="Arial Narrow" w:hAnsi="Arial Narrow"/>
                <w:b/>
                <w:color w:val="000000"/>
                <w:sz w:val="20"/>
                <w:szCs w:val="18"/>
              </w:rPr>
              <w:t>HR (95% CI)</w:t>
            </w:r>
          </w:p>
        </w:tc>
      </w:tr>
      <w:tr w:rsidR="00912D22" w:rsidRPr="0008526E" w:rsidTr="007A6370">
        <w:tc>
          <w:tcPr>
            <w:tcW w:w="10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D22" w:rsidRPr="0008526E" w:rsidRDefault="00912D22" w:rsidP="00DA633E">
            <w:pPr>
              <w:keepNext/>
              <w:rPr>
                <w:rFonts w:ascii="Arial Narrow" w:hAnsi="Arial Narrow"/>
                <w:color w:val="000000"/>
                <w:sz w:val="20"/>
                <w:szCs w:val="18"/>
              </w:rPr>
            </w:pPr>
            <w:r w:rsidRPr="0008526E">
              <w:rPr>
                <w:rFonts w:ascii="Arial Narrow" w:hAnsi="Arial Narrow"/>
                <w:color w:val="000000"/>
                <w:sz w:val="20"/>
                <w:szCs w:val="18"/>
              </w:rPr>
              <w:t>Survival* n/N (%)</w:t>
            </w:r>
          </w:p>
        </w:tc>
        <w:tc>
          <w:tcPr>
            <w:tcW w:w="816" w:type="pct"/>
            <w:gridSpan w:val="2"/>
            <w:tcBorders>
              <w:top w:val="single" w:sz="4" w:space="0" w:color="auto"/>
              <w:left w:val="single" w:sz="4" w:space="0" w:color="auto"/>
              <w:bottom w:val="single" w:sz="4" w:space="0" w:color="auto"/>
              <w:right w:val="single" w:sz="4" w:space="0" w:color="auto"/>
            </w:tcBorders>
            <w:vAlign w:val="center"/>
          </w:tcPr>
          <w:p w:rsidR="00912D22" w:rsidRPr="0008526E" w:rsidRDefault="00FA13AC" w:rsidP="00DA633E">
            <w:pPr>
              <w:keepNext/>
              <w:jc w:val="center"/>
              <w:rPr>
                <w:rFonts w:ascii="Arial Narrow" w:hAnsi="Arial Narrow"/>
                <w:sz w:val="20"/>
              </w:rPr>
            </w:pPr>
            <w:r w:rsidRPr="0008526E">
              <w:rPr>
                <w:rFonts w:ascii="Arial Narrow" w:hAnsi="Arial Narrow"/>
                <w:sz w:val="20"/>
              </w:rPr>
              <w:t>233/379 (61.5)</w:t>
            </w:r>
          </w:p>
        </w:tc>
        <w:tc>
          <w:tcPr>
            <w:tcW w:w="902" w:type="pct"/>
            <w:gridSpan w:val="2"/>
            <w:tcBorders>
              <w:top w:val="single" w:sz="4" w:space="0" w:color="auto"/>
              <w:left w:val="single" w:sz="4" w:space="0" w:color="auto"/>
              <w:bottom w:val="single" w:sz="4" w:space="0" w:color="auto"/>
              <w:right w:val="single" w:sz="4" w:space="0" w:color="auto"/>
            </w:tcBorders>
            <w:vAlign w:val="center"/>
          </w:tcPr>
          <w:p w:rsidR="00912D22" w:rsidRPr="0008526E" w:rsidRDefault="00FA13AC" w:rsidP="00DA633E">
            <w:pPr>
              <w:keepNext/>
              <w:jc w:val="center"/>
              <w:rPr>
                <w:rFonts w:ascii="Arial Narrow" w:hAnsi="Arial Narrow"/>
                <w:sz w:val="20"/>
              </w:rPr>
            </w:pPr>
            <w:r w:rsidRPr="0008526E">
              <w:rPr>
                <w:rFonts w:ascii="Arial Narrow" w:hAnsi="Arial Narrow"/>
                <w:sz w:val="20"/>
              </w:rPr>
              <w:t>140/194 (72.2)</w:t>
            </w:r>
          </w:p>
        </w:tc>
        <w:tc>
          <w:tcPr>
            <w:tcW w:w="969" w:type="pct"/>
            <w:gridSpan w:val="3"/>
            <w:tcBorders>
              <w:top w:val="single" w:sz="4" w:space="0" w:color="auto"/>
              <w:left w:val="single" w:sz="4" w:space="0" w:color="auto"/>
              <w:bottom w:val="single" w:sz="4" w:space="0" w:color="auto"/>
              <w:right w:val="single" w:sz="4" w:space="0" w:color="auto"/>
            </w:tcBorders>
            <w:vAlign w:val="center"/>
          </w:tcPr>
          <w:p w:rsidR="00912D22" w:rsidRPr="0008526E" w:rsidRDefault="00FA13AC" w:rsidP="00DA633E">
            <w:pPr>
              <w:keepNext/>
              <w:jc w:val="center"/>
              <w:rPr>
                <w:rFonts w:ascii="Arial Narrow" w:hAnsi="Arial Narrow"/>
                <w:color w:val="000000"/>
                <w:sz w:val="20"/>
                <w:szCs w:val="18"/>
              </w:rPr>
            </w:pPr>
            <w:r w:rsidRPr="0008526E">
              <w:rPr>
                <w:rFonts w:ascii="Arial Narrow" w:hAnsi="Arial Narrow"/>
                <w:color w:val="000000"/>
                <w:sz w:val="20"/>
                <w:szCs w:val="18"/>
              </w:rPr>
              <w:t>10.7</w:t>
            </w:r>
            <w:r w:rsidR="00C47E00" w:rsidRPr="0008526E">
              <w:rPr>
                <w:rFonts w:ascii="Arial Narrow" w:hAnsi="Arial Narrow"/>
                <w:color w:val="000000"/>
                <w:sz w:val="20"/>
                <w:szCs w:val="18"/>
              </w:rPr>
              <w:t>%</w:t>
            </w:r>
          </w:p>
        </w:tc>
        <w:tc>
          <w:tcPr>
            <w:tcW w:w="1289" w:type="pct"/>
            <w:gridSpan w:val="2"/>
            <w:tcBorders>
              <w:top w:val="single" w:sz="4" w:space="0" w:color="auto"/>
              <w:left w:val="single" w:sz="4" w:space="0" w:color="auto"/>
              <w:bottom w:val="single" w:sz="4" w:space="0" w:color="auto"/>
              <w:right w:val="single" w:sz="4" w:space="0" w:color="auto"/>
            </w:tcBorders>
            <w:vAlign w:val="center"/>
          </w:tcPr>
          <w:p w:rsidR="00912D22" w:rsidRPr="00E44C0E" w:rsidRDefault="00912D22" w:rsidP="00DA633E">
            <w:pPr>
              <w:keepNext/>
              <w:jc w:val="center"/>
              <w:rPr>
                <w:rFonts w:ascii="Arial Narrow" w:hAnsi="Arial Narrow"/>
                <w:b/>
                <w:color w:val="000000"/>
                <w:sz w:val="20"/>
                <w:szCs w:val="18"/>
              </w:rPr>
            </w:pPr>
            <w:r w:rsidRPr="00E44C0E">
              <w:rPr>
                <w:rFonts w:ascii="Arial Narrow" w:hAnsi="Arial Narrow"/>
                <w:b/>
                <w:sz w:val="20"/>
              </w:rPr>
              <w:t>0.</w:t>
            </w:r>
            <w:r w:rsidR="00FA13AC" w:rsidRPr="00E44C0E">
              <w:rPr>
                <w:rFonts w:ascii="Arial Narrow" w:hAnsi="Arial Narrow"/>
                <w:b/>
                <w:sz w:val="20"/>
              </w:rPr>
              <w:t>6</w:t>
            </w:r>
            <w:r w:rsidRPr="00E44C0E">
              <w:rPr>
                <w:rFonts w:ascii="Arial Narrow" w:hAnsi="Arial Narrow"/>
                <w:b/>
                <w:sz w:val="20"/>
              </w:rPr>
              <w:t>3 (0.</w:t>
            </w:r>
            <w:r w:rsidR="00FA13AC" w:rsidRPr="00E44C0E">
              <w:rPr>
                <w:rFonts w:ascii="Arial Narrow" w:hAnsi="Arial Narrow"/>
                <w:b/>
                <w:sz w:val="20"/>
              </w:rPr>
              <w:t>50</w:t>
            </w:r>
            <w:r w:rsidRPr="00E44C0E">
              <w:rPr>
                <w:rFonts w:ascii="Arial Narrow" w:hAnsi="Arial Narrow"/>
                <w:b/>
                <w:sz w:val="20"/>
              </w:rPr>
              <w:t xml:space="preserve">, </w:t>
            </w:r>
            <w:r w:rsidR="00FA13AC" w:rsidRPr="00E44C0E">
              <w:rPr>
                <w:rFonts w:ascii="Arial Narrow" w:hAnsi="Arial Narrow"/>
                <w:b/>
                <w:sz w:val="20"/>
              </w:rPr>
              <w:t>0.79</w:t>
            </w:r>
            <w:r w:rsidRPr="00E44C0E">
              <w:rPr>
                <w:rFonts w:ascii="Arial Narrow" w:hAnsi="Arial Narrow"/>
                <w:b/>
                <w:sz w:val="20"/>
              </w:rPr>
              <w:t>)</w:t>
            </w:r>
          </w:p>
        </w:tc>
      </w:tr>
      <w:tr w:rsidR="00912D22" w:rsidRPr="0008526E" w:rsidTr="007A6370">
        <w:tc>
          <w:tcPr>
            <w:tcW w:w="1024"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912D22" w:rsidRPr="0008526E" w:rsidRDefault="00912D22" w:rsidP="00DA633E">
            <w:pPr>
              <w:keepNext/>
              <w:rPr>
                <w:rFonts w:ascii="Arial Narrow" w:hAnsi="Arial Narrow"/>
                <w:color w:val="000000"/>
                <w:sz w:val="20"/>
                <w:szCs w:val="18"/>
              </w:rPr>
            </w:pPr>
            <w:r w:rsidRPr="0008526E">
              <w:rPr>
                <w:rFonts w:ascii="Arial Narrow" w:hAnsi="Arial Narrow"/>
                <w:color w:val="000000"/>
                <w:sz w:val="20"/>
                <w:szCs w:val="18"/>
              </w:rPr>
              <w:t>Median (m</w:t>
            </w:r>
            <w:r w:rsidR="00C03D7E" w:rsidRPr="0008526E">
              <w:rPr>
                <w:rFonts w:ascii="Arial Narrow" w:hAnsi="Arial Narrow"/>
                <w:color w:val="000000"/>
                <w:sz w:val="20"/>
                <w:szCs w:val="18"/>
              </w:rPr>
              <w:t>on</w:t>
            </w:r>
            <w:r w:rsidRPr="0008526E">
              <w:rPr>
                <w:rFonts w:ascii="Arial Narrow" w:hAnsi="Arial Narrow"/>
                <w:color w:val="000000"/>
                <w:sz w:val="20"/>
                <w:szCs w:val="18"/>
              </w:rPr>
              <w:t>ths)</w:t>
            </w:r>
          </w:p>
        </w:tc>
        <w:tc>
          <w:tcPr>
            <w:tcW w:w="816" w:type="pct"/>
            <w:gridSpan w:val="2"/>
            <w:tcBorders>
              <w:top w:val="single" w:sz="4" w:space="0" w:color="auto"/>
              <w:left w:val="single" w:sz="4" w:space="0" w:color="auto"/>
              <w:bottom w:val="double" w:sz="4" w:space="0" w:color="auto"/>
              <w:right w:val="single" w:sz="4" w:space="0" w:color="auto"/>
            </w:tcBorders>
            <w:vAlign w:val="center"/>
          </w:tcPr>
          <w:p w:rsidR="00912D22" w:rsidRPr="0008526E" w:rsidRDefault="00FA13AC" w:rsidP="00DA633E">
            <w:pPr>
              <w:keepNext/>
              <w:jc w:val="center"/>
              <w:rPr>
                <w:rFonts w:ascii="Arial Narrow" w:hAnsi="Arial Narrow"/>
                <w:sz w:val="20"/>
              </w:rPr>
            </w:pPr>
            <w:r w:rsidRPr="0008526E">
              <w:rPr>
                <w:rFonts w:ascii="Arial Narrow" w:hAnsi="Arial Narrow"/>
                <w:sz w:val="20"/>
              </w:rPr>
              <w:t>10.6</w:t>
            </w:r>
            <w:r w:rsidR="00912D22" w:rsidRPr="0008526E">
              <w:rPr>
                <w:rFonts w:ascii="Arial Narrow" w:hAnsi="Arial Narrow"/>
                <w:sz w:val="20"/>
              </w:rPr>
              <w:t xml:space="preserve"> (</w:t>
            </w:r>
            <w:r w:rsidRPr="0008526E">
              <w:rPr>
                <w:rFonts w:ascii="Arial Narrow" w:hAnsi="Arial Narrow"/>
                <w:sz w:val="20"/>
              </w:rPr>
              <w:t>9.1</w:t>
            </w:r>
            <w:r w:rsidR="00912D22" w:rsidRPr="0008526E">
              <w:rPr>
                <w:rFonts w:ascii="Arial Narrow" w:hAnsi="Arial Narrow"/>
                <w:sz w:val="20"/>
              </w:rPr>
              <w:t xml:space="preserve">, </w:t>
            </w:r>
            <w:r w:rsidRPr="0008526E">
              <w:rPr>
                <w:rFonts w:ascii="Arial Narrow" w:hAnsi="Arial Narrow"/>
                <w:sz w:val="20"/>
              </w:rPr>
              <w:t>12.1</w:t>
            </w:r>
            <w:r w:rsidR="00912D22" w:rsidRPr="0008526E">
              <w:rPr>
                <w:rFonts w:ascii="Arial Narrow" w:hAnsi="Arial Narrow"/>
                <w:sz w:val="20"/>
              </w:rPr>
              <w:t>)</w:t>
            </w:r>
          </w:p>
        </w:tc>
        <w:tc>
          <w:tcPr>
            <w:tcW w:w="902" w:type="pct"/>
            <w:gridSpan w:val="2"/>
            <w:tcBorders>
              <w:top w:val="single" w:sz="4" w:space="0" w:color="auto"/>
              <w:left w:val="single" w:sz="4" w:space="0" w:color="auto"/>
              <w:bottom w:val="double" w:sz="4" w:space="0" w:color="auto"/>
              <w:right w:val="single" w:sz="4" w:space="0" w:color="auto"/>
            </w:tcBorders>
            <w:vAlign w:val="center"/>
          </w:tcPr>
          <w:p w:rsidR="00912D22" w:rsidRPr="0008526E" w:rsidRDefault="007A6370" w:rsidP="00DA633E">
            <w:pPr>
              <w:keepNext/>
              <w:jc w:val="center"/>
              <w:rPr>
                <w:rFonts w:ascii="Arial Narrow" w:hAnsi="Arial Narrow"/>
                <w:sz w:val="20"/>
              </w:rPr>
            </w:pPr>
            <w:r w:rsidRPr="0008526E">
              <w:rPr>
                <w:rFonts w:ascii="Arial Narrow" w:hAnsi="Arial Narrow"/>
                <w:sz w:val="20"/>
              </w:rPr>
              <w:t>7.8</w:t>
            </w:r>
            <w:r w:rsidR="00912D22" w:rsidRPr="0008526E">
              <w:rPr>
                <w:rFonts w:ascii="Arial Narrow" w:hAnsi="Arial Narrow"/>
                <w:sz w:val="20"/>
              </w:rPr>
              <w:t xml:space="preserve"> (</w:t>
            </w:r>
            <w:r w:rsidRPr="0008526E">
              <w:rPr>
                <w:rFonts w:ascii="Arial Narrow" w:hAnsi="Arial Narrow"/>
                <w:sz w:val="20"/>
              </w:rPr>
              <w:t>6.3</w:t>
            </w:r>
            <w:r w:rsidR="00912D22" w:rsidRPr="0008526E">
              <w:rPr>
                <w:rFonts w:ascii="Arial Narrow" w:hAnsi="Arial Narrow"/>
                <w:sz w:val="20"/>
              </w:rPr>
              <w:t xml:space="preserve">, </w:t>
            </w:r>
            <w:r w:rsidRPr="0008526E">
              <w:rPr>
                <w:rFonts w:ascii="Arial Narrow" w:hAnsi="Arial Narrow"/>
                <w:sz w:val="20"/>
              </w:rPr>
              <w:t>8.8</w:t>
            </w:r>
            <w:r w:rsidR="00912D22" w:rsidRPr="0008526E">
              <w:rPr>
                <w:rFonts w:ascii="Arial Narrow" w:hAnsi="Arial Narrow"/>
                <w:sz w:val="20"/>
              </w:rPr>
              <w:t>)</w:t>
            </w:r>
          </w:p>
        </w:tc>
        <w:tc>
          <w:tcPr>
            <w:tcW w:w="969" w:type="pct"/>
            <w:gridSpan w:val="3"/>
            <w:tcBorders>
              <w:top w:val="single" w:sz="4" w:space="0" w:color="auto"/>
              <w:left w:val="single" w:sz="4" w:space="0" w:color="auto"/>
              <w:bottom w:val="double" w:sz="4" w:space="0" w:color="auto"/>
              <w:right w:val="single" w:sz="4" w:space="0" w:color="auto"/>
            </w:tcBorders>
            <w:vAlign w:val="center"/>
          </w:tcPr>
          <w:p w:rsidR="00912D22" w:rsidRPr="0008526E" w:rsidRDefault="00912D22" w:rsidP="00DA633E">
            <w:pPr>
              <w:keepNext/>
              <w:jc w:val="center"/>
              <w:rPr>
                <w:rFonts w:ascii="Arial Narrow" w:hAnsi="Arial Narrow"/>
                <w:color w:val="000000"/>
                <w:sz w:val="20"/>
                <w:szCs w:val="18"/>
              </w:rPr>
            </w:pPr>
            <w:r w:rsidRPr="0008526E">
              <w:rPr>
                <w:rFonts w:ascii="Arial Narrow" w:hAnsi="Arial Narrow"/>
                <w:color w:val="000000"/>
                <w:sz w:val="20"/>
                <w:szCs w:val="18"/>
              </w:rPr>
              <w:t>2.</w:t>
            </w:r>
            <w:r w:rsidR="007A6370" w:rsidRPr="0008526E">
              <w:rPr>
                <w:rFonts w:ascii="Arial Narrow" w:hAnsi="Arial Narrow"/>
                <w:color w:val="000000"/>
                <w:sz w:val="20"/>
                <w:szCs w:val="18"/>
              </w:rPr>
              <w:t>8</w:t>
            </w:r>
          </w:p>
        </w:tc>
        <w:tc>
          <w:tcPr>
            <w:tcW w:w="1289" w:type="pct"/>
            <w:gridSpan w:val="2"/>
            <w:tcBorders>
              <w:top w:val="single" w:sz="4" w:space="0" w:color="auto"/>
              <w:left w:val="single" w:sz="4" w:space="0" w:color="auto"/>
              <w:bottom w:val="double" w:sz="4" w:space="0" w:color="auto"/>
              <w:right w:val="single" w:sz="4" w:space="0" w:color="auto"/>
            </w:tcBorders>
            <w:vAlign w:val="center"/>
          </w:tcPr>
          <w:p w:rsidR="00912D22" w:rsidRPr="0008526E" w:rsidRDefault="00912D22" w:rsidP="00DA633E">
            <w:pPr>
              <w:keepNext/>
              <w:jc w:val="center"/>
              <w:rPr>
                <w:rFonts w:ascii="Arial Narrow" w:hAnsi="Arial Narrow"/>
                <w:color w:val="000000"/>
                <w:sz w:val="20"/>
                <w:szCs w:val="18"/>
              </w:rPr>
            </w:pPr>
            <w:r w:rsidRPr="0008526E">
              <w:rPr>
                <w:rFonts w:ascii="Arial Narrow" w:hAnsi="Arial Narrow"/>
                <w:color w:val="000000"/>
                <w:sz w:val="20"/>
                <w:szCs w:val="18"/>
              </w:rPr>
              <w:t>-</w:t>
            </w:r>
          </w:p>
        </w:tc>
      </w:tr>
      <w:tr w:rsidR="007A6370" w:rsidRPr="0008526E" w:rsidTr="007A6370">
        <w:tc>
          <w:tcPr>
            <w:tcW w:w="5000" w:type="pct"/>
            <w:gridSpan w:val="11"/>
            <w:tcBorders>
              <w:top w:val="single" w:sz="4" w:space="0" w:color="auto"/>
              <w:left w:val="single" w:sz="4" w:space="0" w:color="auto"/>
              <w:bottom w:val="double" w:sz="4" w:space="0" w:color="auto"/>
              <w:right w:val="single" w:sz="4" w:space="0" w:color="auto"/>
            </w:tcBorders>
            <w:shd w:val="clear" w:color="auto" w:fill="auto"/>
            <w:vAlign w:val="center"/>
          </w:tcPr>
          <w:p w:rsidR="007A6370" w:rsidRPr="0008526E" w:rsidRDefault="007A6370" w:rsidP="00DA633E">
            <w:pPr>
              <w:keepNext/>
              <w:rPr>
                <w:rFonts w:ascii="Arial Narrow" w:hAnsi="Arial Narrow"/>
                <w:color w:val="000000"/>
                <w:sz w:val="20"/>
                <w:szCs w:val="18"/>
              </w:rPr>
            </w:pPr>
            <w:r w:rsidRPr="0008526E">
              <w:rPr>
                <w:rFonts w:ascii="Arial Narrow" w:hAnsi="Arial Narrow"/>
                <w:b/>
                <w:color w:val="000000"/>
                <w:sz w:val="20"/>
                <w:szCs w:val="18"/>
              </w:rPr>
              <w:t>Time-to-event outcome PFS: RESORCE trial</w:t>
            </w:r>
          </w:p>
        </w:tc>
      </w:tr>
      <w:tr w:rsidR="007A6370" w:rsidRPr="0008526E" w:rsidTr="007A6370">
        <w:tc>
          <w:tcPr>
            <w:tcW w:w="1024"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7A6370" w:rsidRPr="0008526E" w:rsidRDefault="007A6370" w:rsidP="00DA633E">
            <w:pPr>
              <w:keepNext/>
              <w:rPr>
                <w:rFonts w:ascii="Arial Narrow" w:hAnsi="Arial Narrow"/>
                <w:b/>
                <w:color w:val="000000"/>
                <w:sz w:val="20"/>
                <w:szCs w:val="18"/>
              </w:rPr>
            </w:pPr>
            <w:r w:rsidRPr="0008526E">
              <w:rPr>
                <w:rFonts w:ascii="Arial Narrow" w:hAnsi="Arial Narrow"/>
                <w:color w:val="000000"/>
                <w:sz w:val="20"/>
                <w:szCs w:val="18"/>
              </w:rPr>
              <w:t>Progressed* n/N (%)</w:t>
            </w:r>
          </w:p>
        </w:tc>
        <w:tc>
          <w:tcPr>
            <w:tcW w:w="816" w:type="pct"/>
            <w:gridSpan w:val="2"/>
            <w:tcBorders>
              <w:top w:val="single" w:sz="4" w:space="0" w:color="auto"/>
              <w:left w:val="single" w:sz="4" w:space="0" w:color="auto"/>
              <w:bottom w:val="double" w:sz="4" w:space="0" w:color="auto"/>
              <w:right w:val="single" w:sz="4" w:space="0" w:color="auto"/>
            </w:tcBorders>
            <w:vAlign w:val="center"/>
          </w:tcPr>
          <w:p w:rsidR="007A6370" w:rsidRPr="0008526E" w:rsidRDefault="007A6370" w:rsidP="00DA633E">
            <w:pPr>
              <w:keepNext/>
              <w:jc w:val="center"/>
              <w:rPr>
                <w:rFonts w:ascii="Arial Narrow" w:hAnsi="Arial Narrow"/>
                <w:sz w:val="20"/>
              </w:rPr>
            </w:pPr>
            <w:r w:rsidRPr="0008526E">
              <w:rPr>
                <w:rFonts w:ascii="Arial Narrow" w:hAnsi="Arial Narrow"/>
                <w:sz w:val="20"/>
              </w:rPr>
              <w:t>293/379 (77.3)</w:t>
            </w:r>
          </w:p>
        </w:tc>
        <w:tc>
          <w:tcPr>
            <w:tcW w:w="902" w:type="pct"/>
            <w:gridSpan w:val="2"/>
            <w:tcBorders>
              <w:top w:val="single" w:sz="4" w:space="0" w:color="auto"/>
              <w:left w:val="single" w:sz="4" w:space="0" w:color="auto"/>
              <w:bottom w:val="double" w:sz="4" w:space="0" w:color="auto"/>
              <w:right w:val="single" w:sz="4" w:space="0" w:color="auto"/>
            </w:tcBorders>
            <w:vAlign w:val="center"/>
          </w:tcPr>
          <w:p w:rsidR="007A6370" w:rsidRPr="0008526E" w:rsidRDefault="007A6370" w:rsidP="00DA633E">
            <w:pPr>
              <w:keepNext/>
              <w:jc w:val="center"/>
              <w:rPr>
                <w:rFonts w:ascii="Arial Narrow" w:hAnsi="Arial Narrow"/>
                <w:sz w:val="20"/>
              </w:rPr>
            </w:pPr>
            <w:r w:rsidRPr="0008526E">
              <w:rPr>
                <w:rFonts w:ascii="Arial Narrow" w:hAnsi="Arial Narrow"/>
                <w:sz w:val="20"/>
              </w:rPr>
              <w:t>181/194 (93.3)</w:t>
            </w:r>
          </w:p>
        </w:tc>
        <w:tc>
          <w:tcPr>
            <w:tcW w:w="969" w:type="pct"/>
            <w:gridSpan w:val="3"/>
            <w:tcBorders>
              <w:top w:val="single" w:sz="4" w:space="0" w:color="auto"/>
              <w:left w:val="single" w:sz="4" w:space="0" w:color="auto"/>
              <w:bottom w:val="double" w:sz="4" w:space="0" w:color="auto"/>
              <w:right w:val="single" w:sz="4" w:space="0" w:color="auto"/>
            </w:tcBorders>
            <w:vAlign w:val="center"/>
          </w:tcPr>
          <w:p w:rsidR="007A6370" w:rsidRPr="0008526E" w:rsidRDefault="007A6370" w:rsidP="00DA633E">
            <w:pPr>
              <w:keepNext/>
              <w:jc w:val="center"/>
              <w:rPr>
                <w:rFonts w:ascii="Arial Narrow" w:hAnsi="Arial Narrow"/>
                <w:color w:val="000000"/>
                <w:sz w:val="20"/>
                <w:szCs w:val="18"/>
              </w:rPr>
            </w:pPr>
            <w:r w:rsidRPr="0008526E">
              <w:rPr>
                <w:rFonts w:ascii="Arial Narrow" w:hAnsi="Arial Narrow"/>
                <w:color w:val="000000"/>
                <w:sz w:val="20"/>
                <w:szCs w:val="18"/>
              </w:rPr>
              <w:t>16%</w:t>
            </w:r>
          </w:p>
        </w:tc>
        <w:tc>
          <w:tcPr>
            <w:tcW w:w="1289" w:type="pct"/>
            <w:gridSpan w:val="2"/>
            <w:tcBorders>
              <w:top w:val="single" w:sz="4" w:space="0" w:color="auto"/>
              <w:left w:val="single" w:sz="4" w:space="0" w:color="auto"/>
              <w:bottom w:val="double" w:sz="4" w:space="0" w:color="auto"/>
              <w:right w:val="single" w:sz="4" w:space="0" w:color="auto"/>
            </w:tcBorders>
            <w:vAlign w:val="center"/>
          </w:tcPr>
          <w:p w:rsidR="007A6370" w:rsidRPr="00E44C0E" w:rsidRDefault="007A6370" w:rsidP="00DA633E">
            <w:pPr>
              <w:keepNext/>
              <w:jc w:val="center"/>
              <w:rPr>
                <w:rFonts w:ascii="Arial Narrow" w:hAnsi="Arial Narrow"/>
                <w:b/>
                <w:color w:val="000000"/>
                <w:sz w:val="20"/>
                <w:szCs w:val="18"/>
              </w:rPr>
            </w:pPr>
            <w:r w:rsidRPr="00E44C0E">
              <w:rPr>
                <w:rFonts w:ascii="Arial Narrow" w:hAnsi="Arial Narrow"/>
                <w:b/>
                <w:color w:val="000000"/>
                <w:sz w:val="20"/>
                <w:szCs w:val="18"/>
              </w:rPr>
              <w:t>0.46 (0.37, 0.56)</w:t>
            </w:r>
          </w:p>
        </w:tc>
      </w:tr>
      <w:tr w:rsidR="007A6370" w:rsidRPr="0008526E" w:rsidTr="007A6370">
        <w:tc>
          <w:tcPr>
            <w:tcW w:w="1024" w:type="pct"/>
            <w:gridSpan w:val="2"/>
            <w:tcBorders>
              <w:top w:val="single" w:sz="4" w:space="0" w:color="auto"/>
              <w:left w:val="single" w:sz="4" w:space="0" w:color="auto"/>
              <w:bottom w:val="double" w:sz="4" w:space="0" w:color="auto"/>
              <w:right w:val="single" w:sz="4" w:space="0" w:color="auto"/>
            </w:tcBorders>
            <w:shd w:val="clear" w:color="auto" w:fill="auto"/>
            <w:vAlign w:val="center"/>
          </w:tcPr>
          <w:p w:rsidR="007A6370" w:rsidRPr="0008526E" w:rsidRDefault="007A6370" w:rsidP="00DA633E">
            <w:pPr>
              <w:keepNext/>
              <w:rPr>
                <w:rFonts w:ascii="Arial Narrow" w:hAnsi="Arial Narrow"/>
                <w:b/>
                <w:color w:val="000000"/>
                <w:sz w:val="20"/>
                <w:szCs w:val="18"/>
              </w:rPr>
            </w:pPr>
            <w:r w:rsidRPr="0008526E">
              <w:rPr>
                <w:rFonts w:ascii="Arial Narrow" w:hAnsi="Arial Narrow"/>
                <w:color w:val="000000"/>
                <w:sz w:val="20"/>
                <w:szCs w:val="18"/>
              </w:rPr>
              <w:t>Median (m</w:t>
            </w:r>
            <w:r w:rsidR="00C03D7E" w:rsidRPr="0008526E">
              <w:rPr>
                <w:rFonts w:ascii="Arial Narrow" w:hAnsi="Arial Narrow"/>
                <w:color w:val="000000"/>
                <w:sz w:val="20"/>
                <w:szCs w:val="18"/>
              </w:rPr>
              <w:t>on</w:t>
            </w:r>
            <w:r w:rsidRPr="0008526E">
              <w:rPr>
                <w:rFonts w:ascii="Arial Narrow" w:hAnsi="Arial Narrow"/>
                <w:color w:val="000000"/>
                <w:sz w:val="20"/>
                <w:szCs w:val="18"/>
              </w:rPr>
              <w:t>ths)</w:t>
            </w:r>
          </w:p>
        </w:tc>
        <w:tc>
          <w:tcPr>
            <w:tcW w:w="816" w:type="pct"/>
            <w:gridSpan w:val="2"/>
            <w:tcBorders>
              <w:top w:val="single" w:sz="4" w:space="0" w:color="auto"/>
              <w:left w:val="single" w:sz="4" w:space="0" w:color="auto"/>
              <w:bottom w:val="double" w:sz="4" w:space="0" w:color="auto"/>
              <w:right w:val="single" w:sz="4" w:space="0" w:color="auto"/>
            </w:tcBorders>
            <w:vAlign w:val="center"/>
          </w:tcPr>
          <w:p w:rsidR="007A6370" w:rsidRPr="0008526E" w:rsidRDefault="007A6370" w:rsidP="00DA633E">
            <w:pPr>
              <w:keepNext/>
              <w:jc w:val="center"/>
              <w:rPr>
                <w:rFonts w:ascii="Arial Narrow" w:hAnsi="Arial Narrow"/>
                <w:sz w:val="20"/>
              </w:rPr>
            </w:pPr>
            <w:r w:rsidRPr="0008526E">
              <w:rPr>
                <w:rFonts w:ascii="Arial Narrow" w:hAnsi="Arial Narrow"/>
                <w:sz w:val="20"/>
              </w:rPr>
              <w:t>3.1 (2.8, 4.2)</w:t>
            </w:r>
          </w:p>
        </w:tc>
        <w:tc>
          <w:tcPr>
            <w:tcW w:w="902" w:type="pct"/>
            <w:gridSpan w:val="2"/>
            <w:tcBorders>
              <w:top w:val="single" w:sz="4" w:space="0" w:color="auto"/>
              <w:left w:val="single" w:sz="4" w:space="0" w:color="auto"/>
              <w:bottom w:val="double" w:sz="4" w:space="0" w:color="auto"/>
              <w:right w:val="single" w:sz="4" w:space="0" w:color="auto"/>
            </w:tcBorders>
            <w:vAlign w:val="center"/>
          </w:tcPr>
          <w:p w:rsidR="007A6370" w:rsidRPr="0008526E" w:rsidRDefault="007A6370" w:rsidP="00DA633E">
            <w:pPr>
              <w:keepNext/>
              <w:jc w:val="center"/>
              <w:rPr>
                <w:rFonts w:ascii="Arial Narrow" w:hAnsi="Arial Narrow"/>
                <w:sz w:val="20"/>
              </w:rPr>
            </w:pPr>
            <w:r w:rsidRPr="0008526E">
              <w:rPr>
                <w:rFonts w:ascii="Arial Narrow" w:hAnsi="Arial Narrow"/>
                <w:sz w:val="20"/>
              </w:rPr>
              <w:t>1.5 (1.4, 1.6)</w:t>
            </w:r>
          </w:p>
        </w:tc>
        <w:tc>
          <w:tcPr>
            <w:tcW w:w="969" w:type="pct"/>
            <w:gridSpan w:val="3"/>
            <w:tcBorders>
              <w:top w:val="single" w:sz="4" w:space="0" w:color="auto"/>
              <w:left w:val="single" w:sz="4" w:space="0" w:color="auto"/>
              <w:bottom w:val="double" w:sz="4" w:space="0" w:color="auto"/>
              <w:right w:val="single" w:sz="4" w:space="0" w:color="auto"/>
            </w:tcBorders>
            <w:vAlign w:val="center"/>
          </w:tcPr>
          <w:p w:rsidR="007A6370" w:rsidRPr="0008526E" w:rsidRDefault="007A6370" w:rsidP="00DA633E">
            <w:pPr>
              <w:keepNext/>
              <w:jc w:val="center"/>
              <w:rPr>
                <w:rFonts w:ascii="Arial Narrow" w:hAnsi="Arial Narrow"/>
                <w:color w:val="000000"/>
                <w:sz w:val="20"/>
                <w:szCs w:val="18"/>
              </w:rPr>
            </w:pPr>
            <w:r w:rsidRPr="0008526E">
              <w:rPr>
                <w:rFonts w:ascii="Arial Narrow" w:hAnsi="Arial Narrow"/>
                <w:color w:val="000000"/>
                <w:sz w:val="20"/>
                <w:szCs w:val="18"/>
              </w:rPr>
              <w:t>1.6</w:t>
            </w:r>
          </w:p>
        </w:tc>
        <w:tc>
          <w:tcPr>
            <w:tcW w:w="1289" w:type="pct"/>
            <w:gridSpan w:val="2"/>
            <w:tcBorders>
              <w:top w:val="single" w:sz="4" w:space="0" w:color="auto"/>
              <w:left w:val="single" w:sz="4" w:space="0" w:color="auto"/>
              <w:bottom w:val="double" w:sz="4" w:space="0" w:color="auto"/>
              <w:right w:val="single" w:sz="4" w:space="0" w:color="auto"/>
            </w:tcBorders>
            <w:vAlign w:val="center"/>
          </w:tcPr>
          <w:p w:rsidR="007A6370" w:rsidRPr="0008526E" w:rsidRDefault="007A6370" w:rsidP="00DA633E">
            <w:pPr>
              <w:keepNext/>
              <w:jc w:val="center"/>
              <w:rPr>
                <w:rFonts w:ascii="Arial Narrow" w:hAnsi="Arial Narrow"/>
                <w:color w:val="000000"/>
                <w:sz w:val="20"/>
                <w:szCs w:val="18"/>
              </w:rPr>
            </w:pPr>
            <w:r w:rsidRPr="0008526E">
              <w:rPr>
                <w:rFonts w:ascii="Arial Narrow" w:hAnsi="Arial Narrow"/>
                <w:color w:val="000000"/>
                <w:sz w:val="20"/>
                <w:szCs w:val="18"/>
              </w:rPr>
              <w:t>-</w:t>
            </w:r>
          </w:p>
        </w:tc>
      </w:tr>
      <w:tr w:rsidR="007A6370" w:rsidRPr="0008526E" w:rsidTr="00912D22">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7A6370" w:rsidRPr="0008526E" w:rsidRDefault="007A6370" w:rsidP="00DA633E">
            <w:pPr>
              <w:keepNext/>
              <w:rPr>
                <w:rFonts w:ascii="Arial Narrow" w:hAnsi="Arial Narrow"/>
                <w:b/>
                <w:color w:val="000000"/>
                <w:sz w:val="20"/>
                <w:szCs w:val="18"/>
              </w:rPr>
            </w:pPr>
            <w:r w:rsidRPr="0008526E">
              <w:rPr>
                <w:rFonts w:ascii="Arial Narrow" w:hAnsi="Arial Narrow"/>
                <w:color w:val="000000"/>
                <w:sz w:val="20"/>
                <w:szCs w:val="18"/>
              </w:rPr>
              <w:t>Progressed* n/N (%)</w:t>
            </w:r>
          </w:p>
        </w:tc>
      </w:tr>
      <w:tr w:rsidR="007A6370" w:rsidRPr="0008526E" w:rsidTr="005626FC">
        <w:trPr>
          <w:trHeight w:val="70"/>
        </w:trPr>
        <w:tc>
          <w:tcPr>
            <w:tcW w:w="7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6370" w:rsidRPr="0008526E" w:rsidRDefault="0001692D" w:rsidP="00DA633E">
            <w:pPr>
              <w:keepNext/>
              <w:rPr>
                <w:rFonts w:ascii="Arial Narrow" w:hAnsi="Arial Narrow"/>
                <w:b/>
                <w:color w:val="000000"/>
                <w:sz w:val="20"/>
                <w:szCs w:val="18"/>
              </w:rPr>
            </w:pPr>
            <w:r w:rsidRPr="0008526E">
              <w:rPr>
                <w:rFonts w:ascii="Arial Narrow" w:hAnsi="Arial Narrow"/>
                <w:b/>
                <w:color w:val="000000"/>
                <w:sz w:val="20"/>
                <w:szCs w:val="18"/>
              </w:rPr>
              <w:t>RESORCE trial</w:t>
            </w:r>
          </w:p>
        </w:tc>
        <w:tc>
          <w:tcPr>
            <w:tcW w:w="628" w:type="pct"/>
            <w:gridSpan w:val="2"/>
            <w:vMerge w:val="restart"/>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Regorafenib</w:t>
            </w:r>
          </w:p>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n/N</w:t>
            </w:r>
          </w:p>
        </w:tc>
        <w:tc>
          <w:tcPr>
            <w:tcW w:w="567" w:type="pct"/>
            <w:gridSpan w:val="2"/>
            <w:vMerge w:val="restart"/>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BSC</w:t>
            </w:r>
          </w:p>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n/N</w:t>
            </w:r>
          </w:p>
        </w:tc>
        <w:tc>
          <w:tcPr>
            <w:tcW w:w="862" w:type="pct"/>
            <w:gridSpan w:val="2"/>
            <w:vMerge w:val="restart"/>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RR</w:t>
            </w:r>
          </w:p>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(95% CI)</w:t>
            </w:r>
          </w:p>
        </w:tc>
        <w:tc>
          <w:tcPr>
            <w:tcW w:w="1383" w:type="pct"/>
            <w:gridSpan w:val="3"/>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 xml:space="preserve">Event rate/100 patients* </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RD</w:t>
            </w:r>
          </w:p>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(95% CI)</w:t>
            </w:r>
          </w:p>
        </w:tc>
      </w:tr>
      <w:tr w:rsidR="007A6370" w:rsidRPr="0008526E" w:rsidTr="005626FC">
        <w:trPr>
          <w:trHeight w:val="390"/>
        </w:trPr>
        <w:tc>
          <w:tcPr>
            <w:tcW w:w="7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7A6370" w:rsidRPr="0008526E" w:rsidRDefault="007A6370" w:rsidP="00DA633E">
            <w:pPr>
              <w:keepNext/>
              <w:rPr>
                <w:rFonts w:ascii="Arial Narrow" w:hAnsi="Arial Narrow"/>
                <w:b/>
                <w:color w:val="000000"/>
                <w:sz w:val="20"/>
                <w:szCs w:val="18"/>
              </w:rPr>
            </w:pPr>
          </w:p>
        </w:tc>
        <w:tc>
          <w:tcPr>
            <w:tcW w:w="628" w:type="pct"/>
            <w:gridSpan w:val="2"/>
            <w:vMerge/>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p>
        </w:tc>
        <w:tc>
          <w:tcPr>
            <w:tcW w:w="567" w:type="pct"/>
            <w:gridSpan w:val="2"/>
            <w:vMerge/>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p>
        </w:tc>
        <w:tc>
          <w:tcPr>
            <w:tcW w:w="862" w:type="pct"/>
            <w:gridSpan w:val="2"/>
            <w:vMerge/>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p>
        </w:tc>
        <w:tc>
          <w:tcPr>
            <w:tcW w:w="628" w:type="pct"/>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Regorafenib</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r w:rsidRPr="0008526E">
              <w:rPr>
                <w:rFonts w:ascii="Arial Narrow" w:hAnsi="Arial Narrow"/>
                <w:b/>
                <w:color w:val="000000"/>
                <w:sz w:val="20"/>
                <w:szCs w:val="18"/>
              </w:rPr>
              <w:t>BSC</w:t>
            </w:r>
          </w:p>
        </w:tc>
        <w:tc>
          <w:tcPr>
            <w:tcW w:w="776" w:type="pct"/>
            <w:vMerge/>
            <w:tcBorders>
              <w:top w:val="single" w:sz="4" w:space="0" w:color="auto"/>
              <w:left w:val="single" w:sz="4" w:space="0" w:color="auto"/>
              <w:bottom w:val="single" w:sz="4" w:space="0" w:color="auto"/>
              <w:right w:val="single" w:sz="4" w:space="0" w:color="auto"/>
            </w:tcBorders>
            <w:vAlign w:val="center"/>
          </w:tcPr>
          <w:p w:rsidR="007A6370" w:rsidRPr="0008526E" w:rsidRDefault="007A6370" w:rsidP="00DA633E">
            <w:pPr>
              <w:keepNext/>
              <w:jc w:val="center"/>
              <w:rPr>
                <w:rFonts w:ascii="Arial Narrow" w:hAnsi="Arial Narrow"/>
                <w:b/>
                <w:color w:val="000000"/>
                <w:sz w:val="20"/>
                <w:szCs w:val="18"/>
              </w:rPr>
            </w:pPr>
          </w:p>
        </w:tc>
      </w:tr>
      <w:tr w:rsidR="007A6370" w:rsidRPr="0008526E" w:rsidTr="005626F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7A6370" w:rsidRPr="0008526E" w:rsidRDefault="0001692D" w:rsidP="00DA633E">
            <w:pPr>
              <w:keepNext/>
              <w:rPr>
                <w:rFonts w:ascii="Arial Narrow" w:hAnsi="Arial Narrow"/>
                <w:color w:val="000000"/>
                <w:sz w:val="20"/>
                <w:szCs w:val="18"/>
                <w:vertAlign w:val="superscript"/>
              </w:rPr>
            </w:pPr>
            <w:r w:rsidRPr="0008526E">
              <w:rPr>
                <w:rFonts w:ascii="Arial Narrow" w:hAnsi="Arial Narrow"/>
                <w:color w:val="000000"/>
                <w:sz w:val="20"/>
                <w:szCs w:val="18"/>
              </w:rPr>
              <w:t>Hypertension</w:t>
            </w:r>
            <w:r w:rsidR="005626FC" w:rsidRPr="0008526E">
              <w:rPr>
                <w:rFonts w:ascii="Arial Narrow" w:hAnsi="Arial Narrow"/>
                <w:color w:val="000000"/>
                <w:sz w:val="20"/>
                <w:szCs w:val="18"/>
                <w:vertAlign w:val="superscript"/>
              </w:rPr>
              <w:t>a</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szCs w:val="18"/>
              </w:rPr>
              <w:t>49</w:t>
            </w:r>
            <w:r w:rsidR="007A6370" w:rsidRPr="0008526E">
              <w:rPr>
                <w:rFonts w:ascii="Arial Narrow" w:hAnsi="Arial Narrow"/>
                <w:color w:val="000000"/>
                <w:sz w:val="20"/>
                <w:szCs w:val="18"/>
              </w:rPr>
              <w:t>/</w:t>
            </w:r>
            <w:r w:rsidRPr="0008526E">
              <w:rPr>
                <w:rFonts w:ascii="Arial Narrow" w:hAnsi="Arial Narrow"/>
                <w:color w:val="000000"/>
                <w:sz w:val="20"/>
                <w:szCs w:val="18"/>
              </w:rPr>
              <w:t>374</w:t>
            </w:r>
          </w:p>
        </w:tc>
        <w:tc>
          <w:tcPr>
            <w:tcW w:w="567"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szCs w:val="18"/>
              </w:rPr>
              <w:t>15</w:t>
            </w:r>
            <w:r w:rsidR="007A6370" w:rsidRPr="0008526E">
              <w:rPr>
                <w:rFonts w:ascii="Arial Narrow" w:hAnsi="Arial Narrow"/>
                <w:color w:val="000000"/>
                <w:sz w:val="20"/>
                <w:szCs w:val="18"/>
              </w:rPr>
              <w:t>/</w:t>
            </w:r>
            <w:r w:rsidRPr="0008526E">
              <w:rPr>
                <w:rFonts w:ascii="Arial Narrow" w:hAnsi="Arial Narrow"/>
                <w:color w:val="000000"/>
                <w:sz w:val="20"/>
                <w:szCs w:val="18"/>
              </w:rPr>
              <w:t>193</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01692D" w:rsidRPr="00494A4C" w:rsidRDefault="0001692D" w:rsidP="00DA633E">
            <w:pPr>
              <w:keepNext/>
              <w:keepLines/>
              <w:jc w:val="center"/>
              <w:rPr>
                <w:rFonts w:ascii="Arial Narrow" w:eastAsia="Calibri" w:hAnsi="Arial Narrow"/>
                <w:b/>
                <w:sz w:val="20"/>
                <w:szCs w:val="20"/>
              </w:rPr>
            </w:pPr>
            <w:r w:rsidRPr="00494A4C">
              <w:rPr>
                <w:rFonts w:ascii="Arial Narrow" w:eastAsia="Calibri" w:hAnsi="Arial Narrow"/>
                <w:b/>
                <w:sz w:val="20"/>
                <w:szCs w:val="20"/>
              </w:rPr>
              <w:t xml:space="preserve">4.13 </w:t>
            </w:r>
          </w:p>
          <w:p w:rsidR="007A6370" w:rsidRPr="00494A4C" w:rsidRDefault="0001692D" w:rsidP="00DA633E">
            <w:pPr>
              <w:keepNext/>
              <w:keepLines/>
              <w:jc w:val="center"/>
              <w:rPr>
                <w:rFonts w:ascii="Arial Narrow" w:hAnsi="Arial Narrow"/>
                <w:b/>
                <w:color w:val="000000"/>
                <w:sz w:val="20"/>
                <w:szCs w:val="18"/>
              </w:rPr>
            </w:pPr>
            <w:r w:rsidRPr="00494A4C">
              <w:rPr>
                <w:rFonts w:ascii="Arial Narrow" w:eastAsia="Calibri" w:hAnsi="Arial Narrow"/>
                <w:b/>
                <w:sz w:val="20"/>
                <w:szCs w:val="20"/>
              </w:rPr>
              <w:t>(1.80, 9.47)</w:t>
            </w:r>
          </w:p>
        </w:tc>
        <w:tc>
          <w:tcPr>
            <w:tcW w:w="628" w:type="pct"/>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szCs w:val="18"/>
              </w:rPr>
              <w:t>13.1</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szCs w:val="18"/>
              </w:rPr>
              <w:t>7.8</w:t>
            </w:r>
          </w:p>
        </w:tc>
        <w:tc>
          <w:tcPr>
            <w:tcW w:w="776" w:type="pct"/>
            <w:tcBorders>
              <w:top w:val="single" w:sz="4" w:space="0" w:color="auto"/>
              <w:left w:val="single" w:sz="4" w:space="0" w:color="auto"/>
              <w:bottom w:val="single" w:sz="4" w:space="0" w:color="auto"/>
              <w:right w:val="single" w:sz="4" w:space="0" w:color="auto"/>
            </w:tcBorders>
            <w:vAlign w:val="center"/>
          </w:tcPr>
          <w:p w:rsidR="0001692D" w:rsidRPr="00494A4C" w:rsidRDefault="0001692D" w:rsidP="00DA633E">
            <w:pPr>
              <w:keepNext/>
              <w:keepLines/>
              <w:jc w:val="center"/>
              <w:rPr>
                <w:rFonts w:ascii="Arial Narrow" w:eastAsia="Calibri" w:hAnsi="Arial Narrow"/>
                <w:b/>
                <w:sz w:val="20"/>
                <w:szCs w:val="20"/>
              </w:rPr>
            </w:pPr>
            <w:r w:rsidRPr="00494A4C">
              <w:rPr>
                <w:rFonts w:ascii="Arial Narrow" w:eastAsia="Calibri" w:hAnsi="Arial Narrow"/>
                <w:b/>
                <w:sz w:val="20"/>
                <w:szCs w:val="20"/>
              </w:rPr>
              <w:t>0.10</w:t>
            </w:r>
          </w:p>
          <w:p w:rsidR="007A6370" w:rsidRPr="00494A4C" w:rsidRDefault="0001692D" w:rsidP="00DA633E">
            <w:pPr>
              <w:keepNext/>
              <w:jc w:val="center"/>
              <w:rPr>
                <w:rFonts w:ascii="Arial Narrow" w:hAnsi="Arial Narrow"/>
                <w:b/>
                <w:color w:val="000000"/>
                <w:sz w:val="20"/>
                <w:szCs w:val="18"/>
              </w:rPr>
            </w:pPr>
            <w:r w:rsidRPr="00494A4C">
              <w:rPr>
                <w:rFonts w:ascii="Arial Narrow" w:eastAsia="Calibri" w:hAnsi="Arial Narrow"/>
                <w:b/>
                <w:sz w:val="20"/>
                <w:szCs w:val="20"/>
              </w:rPr>
              <w:t>(0.06, 0.14)</w:t>
            </w:r>
          </w:p>
        </w:tc>
      </w:tr>
      <w:tr w:rsidR="007A6370" w:rsidRPr="0008526E" w:rsidTr="005626F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7A6370" w:rsidRPr="0008526E" w:rsidRDefault="0001692D" w:rsidP="00DA633E">
            <w:pPr>
              <w:keepNext/>
              <w:rPr>
                <w:rFonts w:ascii="Arial Narrow" w:hAnsi="Arial Narrow"/>
                <w:color w:val="000000"/>
                <w:sz w:val="20"/>
                <w:szCs w:val="18"/>
                <w:vertAlign w:val="superscript"/>
              </w:rPr>
            </w:pPr>
            <w:r w:rsidRPr="0008526E">
              <w:rPr>
                <w:rFonts w:ascii="Arial Narrow" w:hAnsi="Arial Narrow"/>
                <w:color w:val="000000"/>
                <w:sz w:val="20"/>
                <w:szCs w:val="18"/>
              </w:rPr>
              <w:t>HFSR</w:t>
            </w:r>
            <w:r w:rsidR="005626FC" w:rsidRPr="0008526E">
              <w:rPr>
                <w:rFonts w:ascii="Arial Narrow" w:hAnsi="Arial Narrow"/>
                <w:color w:val="000000"/>
                <w:sz w:val="20"/>
                <w:szCs w:val="18"/>
                <w:vertAlign w:val="superscript"/>
              </w:rPr>
              <w:t>a</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4C586F" w:rsidP="00DA633E">
            <w:pPr>
              <w:keepNext/>
              <w:jc w:val="center"/>
              <w:rPr>
                <w:rFonts w:ascii="Arial Narrow" w:hAnsi="Arial Narrow"/>
                <w:color w:val="000000"/>
                <w:sz w:val="20"/>
                <w:szCs w:val="18"/>
              </w:rPr>
            </w:pPr>
            <w:r w:rsidRPr="0008526E">
              <w:rPr>
                <w:rFonts w:ascii="Arial Narrow" w:hAnsi="Arial Narrow"/>
                <w:color w:val="000000"/>
                <w:sz w:val="20"/>
                <w:szCs w:val="18"/>
              </w:rPr>
              <w:t>4</w:t>
            </w:r>
            <w:r>
              <w:rPr>
                <w:rFonts w:ascii="Arial Narrow" w:hAnsi="Arial Narrow"/>
                <w:color w:val="000000"/>
                <w:sz w:val="20"/>
                <w:szCs w:val="18"/>
              </w:rPr>
              <w:t>6</w:t>
            </w:r>
            <w:r w:rsidR="007A6370" w:rsidRPr="0008526E">
              <w:rPr>
                <w:rFonts w:ascii="Arial Narrow" w:hAnsi="Arial Narrow"/>
                <w:color w:val="000000"/>
                <w:sz w:val="20"/>
                <w:szCs w:val="18"/>
              </w:rPr>
              <w:t>/</w:t>
            </w:r>
            <w:r w:rsidR="0001692D" w:rsidRPr="0008526E">
              <w:rPr>
                <w:rFonts w:ascii="Arial Narrow" w:hAnsi="Arial Narrow"/>
                <w:color w:val="000000"/>
                <w:sz w:val="20"/>
                <w:szCs w:val="18"/>
              </w:rPr>
              <w:t>374</w:t>
            </w:r>
          </w:p>
        </w:tc>
        <w:tc>
          <w:tcPr>
            <w:tcW w:w="567"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szCs w:val="18"/>
              </w:rPr>
              <w:t>1</w:t>
            </w:r>
            <w:r w:rsidR="007A6370" w:rsidRPr="0008526E">
              <w:rPr>
                <w:rFonts w:ascii="Arial Narrow" w:hAnsi="Arial Narrow"/>
                <w:color w:val="000000"/>
                <w:sz w:val="20"/>
                <w:szCs w:val="18"/>
              </w:rPr>
              <w:t>/</w:t>
            </w:r>
            <w:r w:rsidRPr="0008526E">
              <w:rPr>
                <w:rFonts w:ascii="Arial Narrow" w:hAnsi="Arial Narrow"/>
                <w:color w:val="000000"/>
                <w:sz w:val="20"/>
                <w:szCs w:val="18"/>
              </w:rPr>
              <w:t>193</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01692D" w:rsidRPr="00494A4C" w:rsidRDefault="0001692D" w:rsidP="00DA633E">
            <w:pPr>
              <w:keepNext/>
              <w:keepLines/>
              <w:jc w:val="center"/>
              <w:rPr>
                <w:rFonts w:ascii="Arial Narrow" w:eastAsia="Calibri" w:hAnsi="Arial Narrow"/>
                <w:b/>
                <w:sz w:val="20"/>
                <w:szCs w:val="20"/>
              </w:rPr>
            </w:pPr>
            <w:r w:rsidRPr="00494A4C">
              <w:rPr>
                <w:rFonts w:ascii="Arial Narrow" w:eastAsia="Calibri" w:hAnsi="Arial Narrow"/>
                <w:b/>
                <w:sz w:val="20"/>
                <w:szCs w:val="20"/>
              </w:rPr>
              <w:t>23.74</w:t>
            </w:r>
          </w:p>
          <w:p w:rsidR="007A6370" w:rsidRPr="00494A4C" w:rsidRDefault="0001692D" w:rsidP="00DA633E">
            <w:pPr>
              <w:keepNext/>
              <w:jc w:val="center"/>
              <w:rPr>
                <w:rFonts w:ascii="Arial Narrow" w:hAnsi="Arial Narrow"/>
                <w:b/>
                <w:color w:val="000000"/>
                <w:sz w:val="20"/>
                <w:szCs w:val="18"/>
              </w:rPr>
            </w:pPr>
            <w:r w:rsidRPr="00494A4C">
              <w:rPr>
                <w:rFonts w:ascii="Arial Narrow" w:eastAsia="Calibri" w:hAnsi="Arial Narrow"/>
                <w:b/>
                <w:sz w:val="20"/>
                <w:szCs w:val="20"/>
              </w:rPr>
              <w:t>(3.30, 170.82)</w:t>
            </w:r>
          </w:p>
        </w:tc>
        <w:tc>
          <w:tcPr>
            <w:tcW w:w="628" w:type="pct"/>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szCs w:val="18"/>
              </w:rPr>
              <w:t>12.6</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szCs w:val="18"/>
              </w:rPr>
              <w:t>&lt;1</w:t>
            </w:r>
          </w:p>
        </w:tc>
        <w:tc>
          <w:tcPr>
            <w:tcW w:w="776" w:type="pct"/>
            <w:tcBorders>
              <w:top w:val="single" w:sz="4" w:space="0" w:color="auto"/>
              <w:left w:val="single" w:sz="4" w:space="0" w:color="auto"/>
              <w:bottom w:val="single" w:sz="4" w:space="0" w:color="auto"/>
              <w:right w:val="single" w:sz="4" w:space="0" w:color="auto"/>
            </w:tcBorders>
            <w:vAlign w:val="center"/>
          </w:tcPr>
          <w:p w:rsidR="0001692D" w:rsidRPr="00494A4C" w:rsidRDefault="0001692D" w:rsidP="00DA633E">
            <w:pPr>
              <w:keepNext/>
              <w:keepLines/>
              <w:jc w:val="center"/>
              <w:rPr>
                <w:rFonts w:ascii="Arial Narrow" w:eastAsia="Calibri" w:hAnsi="Arial Narrow"/>
                <w:b/>
                <w:sz w:val="20"/>
                <w:szCs w:val="20"/>
              </w:rPr>
            </w:pPr>
            <w:r w:rsidRPr="00494A4C">
              <w:rPr>
                <w:rFonts w:ascii="Arial Narrow" w:eastAsia="Calibri" w:hAnsi="Arial Narrow"/>
                <w:b/>
                <w:sz w:val="20"/>
                <w:szCs w:val="20"/>
              </w:rPr>
              <w:t>0.12</w:t>
            </w:r>
          </w:p>
          <w:p w:rsidR="007A6370" w:rsidRPr="00494A4C" w:rsidRDefault="0001692D" w:rsidP="00DA633E">
            <w:pPr>
              <w:keepNext/>
              <w:jc w:val="center"/>
              <w:rPr>
                <w:rFonts w:ascii="Arial Narrow" w:hAnsi="Arial Narrow"/>
                <w:b/>
                <w:color w:val="000000"/>
                <w:sz w:val="20"/>
                <w:szCs w:val="18"/>
              </w:rPr>
            </w:pPr>
            <w:r w:rsidRPr="00494A4C">
              <w:rPr>
                <w:rFonts w:ascii="Arial Narrow" w:eastAsia="Calibri" w:hAnsi="Arial Narrow"/>
                <w:b/>
                <w:sz w:val="20"/>
                <w:szCs w:val="20"/>
              </w:rPr>
              <w:t>(0.08, 0.15)</w:t>
            </w:r>
          </w:p>
        </w:tc>
      </w:tr>
      <w:tr w:rsidR="007A6370" w:rsidRPr="0008526E" w:rsidTr="005626F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7A6370" w:rsidRPr="0008526E" w:rsidRDefault="0001692D" w:rsidP="00DA633E">
            <w:pPr>
              <w:keepNext/>
              <w:jc w:val="left"/>
              <w:rPr>
                <w:rFonts w:ascii="Arial Narrow" w:hAnsi="Arial Narrow"/>
                <w:color w:val="000000"/>
                <w:sz w:val="20"/>
                <w:szCs w:val="18"/>
                <w:vertAlign w:val="superscript"/>
              </w:rPr>
            </w:pPr>
            <w:r w:rsidRPr="0008526E">
              <w:rPr>
                <w:rFonts w:ascii="Arial Narrow" w:hAnsi="Arial Narrow"/>
                <w:color w:val="000000"/>
                <w:sz w:val="20"/>
                <w:szCs w:val="18"/>
              </w:rPr>
              <w:t>Blood bilirubin increased</w:t>
            </w:r>
            <w:r w:rsidR="005626FC" w:rsidRPr="0008526E">
              <w:rPr>
                <w:rFonts w:ascii="Arial Narrow" w:hAnsi="Arial Narrow"/>
                <w:color w:val="000000"/>
                <w:sz w:val="20"/>
                <w:szCs w:val="18"/>
                <w:vertAlign w:val="superscript"/>
              </w:rPr>
              <w:t>a</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rPr>
              <w:t>25</w:t>
            </w:r>
            <w:r w:rsidR="007A6370" w:rsidRPr="0008526E">
              <w:rPr>
                <w:rFonts w:ascii="Arial Narrow" w:hAnsi="Arial Narrow"/>
                <w:color w:val="000000"/>
                <w:sz w:val="20"/>
              </w:rPr>
              <w:t>/</w:t>
            </w:r>
            <w:r w:rsidRPr="0008526E">
              <w:rPr>
                <w:rFonts w:ascii="Arial Narrow" w:hAnsi="Arial Narrow"/>
                <w:color w:val="000000"/>
                <w:sz w:val="20"/>
              </w:rPr>
              <w:t>374</w:t>
            </w:r>
          </w:p>
        </w:tc>
        <w:tc>
          <w:tcPr>
            <w:tcW w:w="567"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01692D" w:rsidP="00DA633E">
            <w:pPr>
              <w:keepNext/>
              <w:jc w:val="center"/>
              <w:rPr>
                <w:rFonts w:ascii="Arial Narrow" w:hAnsi="Arial Narrow"/>
                <w:color w:val="000000"/>
                <w:sz w:val="20"/>
                <w:szCs w:val="18"/>
              </w:rPr>
            </w:pPr>
            <w:r w:rsidRPr="0008526E">
              <w:rPr>
                <w:rFonts w:ascii="Arial Narrow" w:hAnsi="Arial Narrow"/>
                <w:color w:val="000000"/>
                <w:sz w:val="20"/>
              </w:rPr>
              <w:t>4</w:t>
            </w:r>
            <w:r w:rsidR="007A6370" w:rsidRPr="0008526E">
              <w:rPr>
                <w:rFonts w:ascii="Arial Narrow" w:hAnsi="Arial Narrow"/>
                <w:color w:val="000000"/>
                <w:sz w:val="20"/>
              </w:rPr>
              <w:t>/</w:t>
            </w:r>
            <w:r w:rsidRPr="0008526E">
              <w:rPr>
                <w:rFonts w:ascii="Arial Narrow" w:hAnsi="Arial Narrow"/>
                <w:color w:val="000000"/>
                <w:sz w:val="20"/>
              </w:rPr>
              <w:t>193</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01692D" w:rsidRPr="00494A4C" w:rsidRDefault="0001692D" w:rsidP="00DA633E">
            <w:pPr>
              <w:keepNext/>
              <w:keepLines/>
              <w:jc w:val="center"/>
              <w:rPr>
                <w:rFonts w:ascii="Arial Narrow" w:eastAsia="Calibri" w:hAnsi="Arial Narrow"/>
                <w:b/>
                <w:sz w:val="20"/>
                <w:szCs w:val="20"/>
              </w:rPr>
            </w:pPr>
            <w:r w:rsidRPr="00494A4C">
              <w:rPr>
                <w:rFonts w:ascii="Arial Narrow" w:eastAsia="Calibri" w:hAnsi="Arial Narrow"/>
                <w:b/>
                <w:sz w:val="20"/>
                <w:szCs w:val="20"/>
              </w:rPr>
              <w:t>4.90</w:t>
            </w:r>
          </w:p>
          <w:p w:rsidR="007A6370" w:rsidRPr="00494A4C" w:rsidRDefault="0001692D" w:rsidP="00DA633E">
            <w:pPr>
              <w:keepNext/>
              <w:jc w:val="center"/>
              <w:rPr>
                <w:rFonts w:ascii="Arial Narrow" w:hAnsi="Arial Narrow"/>
                <w:b/>
                <w:color w:val="000000"/>
                <w:sz w:val="20"/>
                <w:szCs w:val="18"/>
              </w:rPr>
            </w:pPr>
            <w:r w:rsidRPr="00494A4C">
              <w:rPr>
                <w:rFonts w:ascii="Arial Narrow" w:eastAsia="Calibri" w:hAnsi="Arial Narrow"/>
                <w:b/>
                <w:sz w:val="20"/>
                <w:szCs w:val="20"/>
              </w:rPr>
              <w:t>(1.15, 20.83)</w:t>
            </w:r>
          </w:p>
        </w:tc>
        <w:tc>
          <w:tcPr>
            <w:tcW w:w="628" w:type="pct"/>
            <w:tcBorders>
              <w:top w:val="single" w:sz="4" w:space="0" w:color="auto"/>
              <w:left w:val="single" w:sz="4" w:space="0" w:color="auto"/>
              <w:bottom w:val="single" w:sz="4" w:space="0" w:color="auto"/>
              <w:right w:val="single" w:sz="4" w:space="0" w:color="auto"/>
            </w:tcBorders>
            <w:vAlign w:val="center"/>
          </w:tcPr>
          <w:p w:rsidR="007A6370" w:rsidRPr="0008526E" w:rsidRDefault="005626FC" w:rsidP="00DA633E">
            <w:pPr>
              <w:keepNext/>
              <w:jc w:val="center"/>
              <w:rPr>
                <w:rFonts w:ascii="Arial Narrow" w:hAnsi="Arial Narrow"/>
                <w:color w:val="000000"/>
                <w:sz w:val="20"/>
                <w:szCs w:val="18"/>
              </w:rPr>
            </w:pPr>
            <w:r w:rsidRPr="0008526E">
              <w:rPr>
                <w:rFonts w:ascii="Arial Narrow" w:hAnsi="Arial Narrow"/>
                <w:color w:val="000000"/>
                <w:sz w:val="20"/>
              </w:rPr>
              <w:t>6.7</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7A6370" w:rsidRPr="0008526E" w:rsidRDefault="005626FC" w:rsidP="00DA633E">
            <w:pPr>
              <w:keepNext/>
              <w:jc w:val="center"/>
              <w:rPr>
                <w:rFonts w:ascii="Arial Narrow" w:hAnsi="Arial Narrow"/>
                <w:color w:val="000000"/>
                <w:sz w:val="20"/>
                <w:szCs w:val="18"/>
              </w:rPr>
            </w:pPr>
            <w:r w:rsidRPr="0008526E">
              <w:rPr>
                <w:rFonts w:ascii="Arial Narrow" w:hAnsi="Arial Narrow"/>
                <w:color w:val="000000"/>
                <w:sz w:val="20"/>
              </w:rPr>
              <w:t>2.1</w:t>
            </w:r>
          </w:p>
        </w:tc>
        <w:tc>
          <w:tcPr>
            <w:tcW w:w="776" w:type="pct"/>
            <w:tcBorders>
              <w:top w:val="single" w:sz="4" w:space="0" w:color="auto"/>
              <w:left w:val="single" w:sz="4" w:space="0" w:color="auto"/>
              <w:bottom w:val="single" w:sz="4" w:space="0" w:color="auto"/>
              <w:right w:val="single" w:sz="4" w:space="0" w:color="auto"/>
            </w:tcBorders>
            <w:vAlign w:val="center"/>
          </w:tcPr>
          <w:p w:rsidR="00A82057" w:rsidRPr="00494A4C" w:rsidRDefault="00A82057" w:rsidP="00DA633E">
            <w:pPr>
              <w:keepNext/>
              <w:keepLines/>
              <w:jc w:val="center"/>
              <w:rPr>
                <w:rFonts w:ascii="Arial Narrow" w:eastAsia="Calibri" w:hAnsi="Arial Narrow"/>
                <w:b/>
                <w:sz w:val="20"/>
                <w:szCs w:val="20"/>
              </w:rPr>
            </w:pPr>
            <w:r w:rsidRPr="00494A4C">
              <w:rPr>
                <w:rFonts w:ascii="Arial Narrow" w:eastAsia="Calibri" w:hAnsi="Arial Narrow"/>
                <w:b/>
                <w:sz w:val="20"/>
                <w:szCs w:val="20"/>
              </w:rPr>
              <w:t>0.04</w:t>
            </w:r>
          </w:p>
          <w:p w:rsidR="007A6370" w:rsidRPr="0008526E" w:rsidRDefault="00A82057" w:rsidP="00DA633E">
            <w:pPr>
              <w:keepNext/>
              <w:jc w:val="center"/>
              <w:rPr>
                <w:rFonts w:ascii="Arial Narrow" w:hAnsi="Arial Narrow"/>
                <w:color w:val="000000"/>
                <w:sz w:val="20"/>
                <w:szCs w:val="18"/>
              </w:rPr>
            </w:pPr>
            <w:r w:rsidRPr="00494A4C">
              <w:rPr>
                <w:rFonts w:ascii="Arial Narrow" w:eastAsia="Calibri" w:hAnsi="Arial Narrow"/>
                <w:b/>
                <w:sz w:val="20"/>
                <w:szCs w:val="20"/>
              </w:rPr>
              <w:t>(0.01, 0.07)</w:t>
            </w:r>
          </w:p>
        </w:tc>
      </w:tr>
      <w:tr w:rsidR="0001692D" w:rsidRPr="0008526E" w:rsidTr="005626F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01692D" w:rsidRPr="0008526E" w:rsidRDefault="0001692D" w:rsidP="00DA633E">
            <w:pPr>
              <w:keepNext/>
              <w:rPr>
                <w:rFonts w:ascii="Arial Narrow" w:hAnsi="Arial Narrow"/>
                <w:color w:val="000000"/>
                <w:sz w:val="20"/>
                <w:szCs w:val="18"/>
                <w:vertAlign w:val="superscript"/>
              </w:rPr>
            </w:pPr>
            <w:r w:rsidRPr="0008526E">
              <w:rPr>
                <w:rFonts w:ascii="Arial Narrow" w:hAnsi="Arial Narrow"/>
                <w:color w:val="000000"/>
                <w:sz w:val="20"/>
              </w:rPr>
              <w:t>AST increased</w:t>
            </w:r>
            <w:r w:rsidR="005626FC" w:rsidRPr="0008526E">
              <w:rPr>
                <w:rFonts w:ascii="Arial Narrow" w:hAnsi="Arial Narrow"/>
                <w:color w:val="000000"/>
                <w:sz w:val="20"/>
                <w:vertAlign w:val="superscript"/>
              </w:rPr>
              <w:t>a</w:t>
            </w:r>
          </w:p>
        </w:tc>
        <w:tc>
          <w:tcPr>
            <w:tcW w:w="628" w:type="pct"/>
            <w:gridSpan w:val="2"/>
            <w:tcBorders>
              <w:top w:val="single" w:sz="4" w:space="0" w:color="auto"/>
              <w:left w:val="single" w:sz="4" w:space="0" w:color="auto"/>
              <w:bottom w:val="single" w:sz="4" w:space="0" w:color="auto"/>
              <w:right w:val="single" w:sz="4" w:space="0" w:color="auto"/>
            </w:tcBorders>
            <w:vAlign w:val="center"/>
          </w:tcPr>
          <w:p w:rsidR="0001692D" w:rsidRPr="0008526E" w:rsidRDefault="005626FC" w:rsidP="00DA633E">
            <w:pPr>
              <w:keepNext/>
              <w:jc w:val="center"/>
              <w:rPr>
                <w:rFonts w:ascii="Arial Narrow" w:hAnsi="Arial Narrow"/>
                <w:color w:val="000000"/>
                <w:sz w:val="20"/>
              </w:rPr>
            </w:pPr>
            <w:r w:rsidRPr="0008526E">
              <w:rPr>
                <w:rFonts w:ascii="Arial Narrow" w:hAnsi="Arial Narrow"/>
                <w:color w:val="000000"/>
                <w:sz w:val="20"/>
              </w:rPr>
              <w:t>19/374</w:t>
            </w:r>
          </w:p>
        </w:tc>
        <w:tc>
          <w:tcPr>
            <w:tcW w:w="567" w:type="pct"/>
            <w:gridSpan w:val="2"/>
            <w:tcBorders>
              <w:top w:val="single" w:sz="4" w:space="0" w:color="auto"/>
              <w:left w:val="single" w:sz="4" w:space="0" w:color="auto"/>
              <w:bottom w:val="single" w:sz="4" w:space="0" w:color="auto"/>
              <w:right w:val="single" w:sz="4" w:space="0" w:color="auto"/>
            </w:tcBorders>
            <w:vAlign w:val="center"/>
          </w:tcPr>
          <w:p w:rsidR="0001692D" w:rsidRPr="0008526E" w:rsidRDefault="005626FC" w:rsidP="00DA633E">
            <w:pPr>
              <w:keepNext/>
              <w:jc w:val="center"/>
              <w:rPr>
                <w:rFonts w:ascii="Arial Narrow" w:hAnsi="Arial Narrow"/>
                <w:color w:val="000000"/>
                <w:sz w:val="20"/>
              </w:rPr>
            </w:pPr>
            <w:r w:rsidRPr="0008526E">
              <w:rPr>
                <w:rFonts w:ascii="Arial Narrow" w:hAnsi="Arial Narrow"/>
                <w:color w:val="000000"/>
                <w:sz w:val="20"/>
              </w:rPr>
              <w:t>10/193</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5626FC" w:rsidRPr="00494A4C" w:rsidRDefault="005626FC" w:rsidP="00DA633E">
            <w:pPr>
              <w:keepNext/>
              <w:jc w:val="center"/>
              <w:rPr>
                <w:rFonts w:ascii="Arial Narrow" w:eastAsia="Calibri" w:hAnsi="Arial Narrow"/>
                <w:sz w:val="20"/>
                <w:szCs w:val="20"/>
              </w:rPr>
            </w:pPr>
            <w:r w:rsidRPr="00494A4C">
              <w:rPr>
                <w:rFonts w:ascii="Arial Narrow" w:eastAsia="Calibri" w:hAnsi="Arial Narrow"/>
                <w:sz w:val="20"/>
                <w:szCs w:val="20"/>
              </w:rPr>
              <w:t xml:space="preserve">1.03 </w:t>
            </w:r>
          </w:p>
          <w:p w:rsidR="0001692D" w:rsidRPr="0008526E" w:rsidRDefault="005626FC" w:rsidP="00DA633E">
            <w:pPr>
              <w:keepNext/>
              <w:jc w:val="center"/>
              <w:rPr>
                <w:rFonts w:ascii="Arial Narrow" w:hAnsi="Arial Narrow"/>
                <w:color w:val="000000"/>
                <w:sz w:val="20"/>
              </w:rPr>
            </w:pPr>
            <w:r w:rsidRPr="00494A4C">
              <w:rPr>
                <w:rFonts w:ascii="Arial Narrow" w:eastAsia="Calibri" w:hAnsi="Arial Narrow"/>
                <w:sz w:val="20"/>
                <w:szCs w:val="20"/>
              </w:rPr>
              <w:t>(0.49, 2.16)</w:t>
            </w:r>
          </w:p>
        </w:tc>
        <w:tc>
          <w:tcPr>
            <w:tcW w:w="628" w:type="pct"/>
            <w:tcBorders>
              <w:top w:val="single" w:sz="4" w:space="0" w:color="auto"/>
              <w:left w:val="single" w:sz="4" w:space="0" w:color="auto"/>
              <w:bottom w:val="single" w:sz="4" w:space="0" w:color="auto"/>
              <w:right w:val="single" w:sz="4" w:space="0" w:color="auto"/>
            </w:tcBorders>
            <w:vAlign w:val="center"/>
          </w:tcPr>
          <w:p w:rsidR="0001692D" w:rsidRPr="0008526E" w:rsidRDefault="005626FC" w:rsidP="00DA633E">
            <w:pPr>
              <w:keepNext/>
              <w:jc w:val="center"/>
              <w:rPr>
                <w:rFonts w:ascii="Arial Narrow" w:hAnsi="Arial Narrow"/>
                <w:color w:val="000000"/>
                <w:sz w:val="20"/>
              </w:rPr>
            </w:pPr>
            <w:r w:rsidRPr="0008526E">
              <w:rPr>
                <w:rFonts w:ascii="Arial Narrow" w:hAnsi="Arial Narrow"/>
                <w:color w:val="000000"/>
                <w:sz w:val="20"/>
              </w:rPr>
              <w:t>5.1</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01692D" w:rsidRPr="0008526E" w:rsidRDefault="005626FC" w:rsidP="00DA633E">
            <w:pPr>
              <w:keepNext/>
              <w:jc w:val="center"/>
              <w:rPr>
                <w:rFonts w:ascii="Arial Narrow" w:hAnsi="Arial Narrow"/>
                <w:color w:val="000000"/>
                <w:sz w:val="20"/>
              </w:rPr>
            </w:pPr>
            <w:r w:rsidRPr="0008526E">
              <w:rPr>
                <w:rFonts w:ascii="Arial Narrow" w:hAnsi="Arial Narrow"/>
                <w:color w:val="000000"/>
                <w:sz w:val="20"/>
              </w:rPr>
              <w:t>5.2</w:t>
            </w:r>
          </w:p>
        </w:tc>
        <w:tc>
          <w:tcPr>
            <w:tcW w:w="776" w:type="pct"/>
            <w:tcBorders>
              <w:top w:val="single" w:sz="4" w:space="0" w:color="auto"/>
              <w:left w:val="single" w:sz="4" w:space="0" w:color="auto"/>
              <w:bottom w:val="single" w:sz="4" w:space="0" w:color="auto"/>
              <w:right w:val="single" w:sz="4" w:space="0" w:color="auto"/>
            </w:tcBorders>
            <w:vAlign w:val="center"/>
          </w:tcPr>
          <w:p w:rsidR="005626FC" w:rsidRPr="0008526E" w:rsidRDefault="005626FC" w:rsidP="00DA633E">
            <w:pPr>
              <w:keepNext/>
              <w:keepLines/>
              <w:jc w:val="center"/>
              <w:rPr>
                <w:rFonts w:ascii="Arial Narrow" w:eastAsia="Calibri" w:hAnsi="Arial Narrow"/>
                <w:sz w:val="20"/>
                <w:szCs w:val="20"/>
              </w:rPr>
            </w:pPr>
            <w:r w:rsidRPr="0008526E">
              <w:rPr>
                <w:rFonts w:ascii="Arial Narrow" w:eastAsia="Calibri" w:hAnsi="Arial Narrow"/>
                <w:sz w:val="20"/>
                <w:szCs w:val="20"/>
              </w:rPr>
              <w:t>0.00</w:t>
            </w:r>
          </w:p>
          <w:p w:rsidR="0001692D" w:rsidRPr="0008526E" w:rsidRDefault="005626FC" w:rsidP="00DA633E">
            <w:pPr>
              <w:keepNext/>
              <w:jc w:val="center"/>
              <w:rPr>
                <w:rFonts w:ascii="Arial Narrow" w:hAnsi="Arial Narrow"/>
                <w:color w:val="000000"/>
                <w:sz w:val="20"/>
              </w:rPr>
            </w:pPr>
            <w:r w:rsidRPr="0008526E">
              <w:rPr>
                <w:rFonts w:ascii="Arial Narrow" w:eastAsia="Calibri" w:hAnsi="Arial Narrow"/>
                <w:sz w:val="20"/>
                <w:szCs w:val="20"/>
              </w:rPr>
              <w:t>(-0.04, 0.04)</w:t>
            </w:r>
          </w:p>
        </w:tc>
      </w:tr>
    </w:tbl>
    <w:p w:rsidR="001C5F56" w:rsidRDefault="00086578" w:rsidP="00912D22">
      <w:pPr>
        <w:pStyle w:val="TableFooter"/>
      </w:pPr>
      <w:r w:rsidRPr="0008526E">
        <w:t xml:space="preserve">Notes: </w:t>
      </w:r>
      <w:r w:rsidR="00912D22" w:rsidRPr="0008526E">
        <w:t>* Median duration of follow-up</w:t>
      </w:r>
      <w:r w:rsidR="005626FC" w:rsidRPr="0008526E">
        <w:t xml:space="preserve"> OS</w:t>
      </w:r>
      <w:r w:rsidR="00912D22" w:rsidRPr="0008526E">
        <w:t xml:space="preserve">: </w:t>
      </w:r>
      <w:r w:rsidR="005626FC" w:rsidRPr="0008526E">
        <w:t xml:space="preserve">RESORCE </w:t>
      </w:r>
      <w:r w:rsidR="00912D22" w:rsidRPr="0008526E">
        <w:t>Trial = 7 months</w:t>
      </w:r>
      <w:r w:rsidR="000A5271" w:rsidRPr="0008526E">
        <w:t>, Maximum duration of follow-up OS: RESORCE Trial = 33 months</w:t>
      </w:r>
      <w:r w:rsidRPr="0008526E">
        <w:t>.</w:t>
      </w:r>
      <w:r w:rsidR="000A5271" w:rsidRPr="0008526E">
        <w:t xml:space="preserve"> </w:t>
      </w:r>
      <w:r w:rsidR="005626FC" w:rsidRPr="0008526E">
        <w:rPr>
          <w:vertAlign w:val="superscript"/>
        </w:rPr>
        <w:t xml:space="preserve">a </w:t>
      </w:r>
      <w:r w:rsidR="005626FC" w:rsidRPr="0008526E">
        <w:t xml:space="preserve">Only grade 3 and 4 adverse events are reported. </w:t>
      </w:r>
    </w:p>
    <w:p w:rsidR="005626FC" w:rsidRPr="001C5F56" w:rsidRDefault="006C7EF3" w:rsidP="00912D22">
      <w:pPr>
        <w:pStyle w:val="TableFooter"/>
        <w:rPr>
          <w:i/>
        </w:rPr>
      </w:pPr>
      <w:r w:rsidRPr="001C5F56">
        <w:rPr>
          <w:i/>
        </w:rPr>
        <w:t>Note Grade 3 HFSR defined as Grade 3: Moist desquamation, ulceration, blistering or severe pain of the hands or feet, or severe discomfort that causes the patient to be unable to work or perform activities of daily living</w:t>
      </w:r>
    </w:p>
    <w:p w:rsidR="00912D22" w:rsidRPr="0008526E" w:rsidRDefault="00AB0193" w:rsidP="00912D22">
      <w:pPr>
        <w:pStyle w:val="TableFooter"/>
      </w:pPr>
      <w:r w:rsidRPr="0008526E">
        <w:t xml:space="preserve">Abbreviations: </w:t>
      </w:r>
      <w:r w:rsidR="005A17CB" w:rsidRPr="0008526E">
        <w:t xml:space="preserve">AST= aspartate aminotransferase; </w:t>
      </w:r>
      <w:r w:rsidR="005626FC" w:rsidRPr="0008526E">
        <w:t xml:space="preserve">BSC= best supportive care; </w:t>
      </w:r>
      <w:r w:rsidR="005A17CB" w:rsidRPr="0008526E">
        <w:t xml:space="preserve">HFSR= Hand–foot skin reaction; </w:t>
      </w:r>
      <w:r w:rsidR="00912D22" w:rsidRPr="0008526E">
        <w:t>HR = hazard ratio; RD = risk difference; RR = risk ratio</w:t>
      </w:r>
    </w:p>
    <w:p w:rsidR="005626FC" w:rsidRPr="0008526E" w:rsidRDefault="00912D22" w:rsidP="005626FC">
      <w:pPr>
        <w:pStyle w:val="TableFooter"/>
      </w:pPr>
      <w:r w:rsidRPr="0008526E">
        <w:t>Source</w:t>
      </w:r>
      <w:r w:rsidR="005626FC" w:rsidRPr="0008526E">
        <w:t xml:space="preserve"> Table 2-25 to 2-27, p. 70 to 74 and Table 2-33, p. 85 of the submission.</w:t>
      </w:r>
    </w:p>
    <w:p w:rsidR="002B1AAC" w:rsidRPr="0008526E" w:rsidRDefault="002B1AAC" w:rsidP="009C362D">
      <w:pPr>
        <w:pStyle w:val="TableFooter"/>
        <w:spacing w:after="120"/>
      </w:pPr>
      <w:r w:rsidRPr="0008526E">
        <w:t>Note: Bold text indicates a statistically significant value.</w:t>
      </w:r>
    </w:p>
    <w:p w:rsidR="00912D22" w:rsidRPr="0008526E" w:rsidRDefault="00912D22" w:rsidP="004D2EC5">
      <w:pPr>
        <w:pStyle w:val="ListParagraph"/>
        <w:widowControl/>
        <w:numPr>
          <w:ilvl w:val="1"/>
          <w:numId w:val="3"/>
        </w:numPr>
      </w:pPr>
      <w:r w:rsidRPr="0008526E">
        <w:t xml:space="preserve">On the basis of </w:t>
      </w:r>
      <w:r w:rsidR="00086578" w:rsidRPr="0008526E">
        <w:t xml:space="preserve">the </w:t>
      </w:r>
      <w:r w:rsidRPr="0008526E">
        <w:t xml:space="preserve">direct evidence presented by the submission, for every 100 patients treated with </w:t>
      </w:r>
      <w:r w:rsidR="004D2EC5" w:rsidRPr="0008526E">
        <w:t>regorafenib</w:t>
      </w:r>
      <w:r w:rsidRPr="0008526E">
        <w:t xml:space="preserve"> in comparison to </w:t>
      </w:r>
      <w:r w:rsidR="004D2EC5" w:rsidRPr="0008526E">
        <w:t>BSC</w:t>
      </w:r>
      <w:r w:rsidRPr="0008526E">
        <w:t xml:space="preserve"> and followed over</w:t>
      </w:r>
      <w:r w:rsidR="002B1AAC" w:rsidRPr="0008526E">
        <w:t xml:space="preserve"> the entire trial duration</w:t>
      </w:r>
      <w:r w:rsidRPr="0008526E">
        <w:t xml:space="preserve"> of </w:t>
      </w:r>
      <w:r w:rsidR="004D2EC5" w:rsidRPr="0008526E">
        <w:t>33</w:t>
      </w:r>
      <w:r w:rsidRPr="0008526E">
        <w:t xml:space="preserve"> months:</w:t>
      </w:r>
    </w:p>
    <w:p w:rsidR="00912D22" w:rsidRPr="003606EB" w:rsidRDefault="00912D22" w:rsidP="00912D22">
      <w:pPr>
        <w:pStyle w:val="ListParagraph"/>
        <w:numPr>
          <w:ilvl w:val="0"/>
          <w:numId w:val="2"/>
        </w:numPr>
        <w:ind w:left="993"/>
      </w:pPr>
      <w:r w:rsidRPr="0008526E">
        <w:rPr>
          <w:rFonts w:cs="Calibri"/>
          <w:snapToGrid/>
          <w:szCs w:val="24"/>
          <w:lang w:val="en-US" w:eastAsia="en-AU"/>
        </w:rPr>
        <w:t xml:space="preserve">Approximately </w:t>
      </w:r>
      <w:r w:rsidR="000A5271" w:rsidRPr="0008526E">
        <w:rPr>
          <w:rFonts w:cs="Calibri"/>
          <w:snapToGrid/>
          <w:szCs w:val="24"/>
          <w:lang w:val="en-US" w:eastAsia="en-AU"/>
        </w:rPr>
        <w:t>11</w:t>
      </w:r>
      <w:r w:rsidRPr="0008526E">
        <w:rPr>
          <w:rFonts w:cs="Calibri"/>
          <w:snapToGrid/>
          <w:szCs w:val="24"/>
          <w:lang w:val="en-US" w:eastAsia="en-AU"/>
        </w:rPr>
        <w:t xml:space="preserve"> more patients </w:t>
      </w:r>
      <w:r w:rsidR="000A5271" w:rsidRPr="0008526E">
        <w:rPr>
          <w:rFonts w:cs="Calibri"/>
          <w:snapToGrid/>
          <w:szCs w:val="24"/>
          <w:lang w:val="en-US" w:eastAsia="en-AU"/>
        </w:rPr>
        <w:t>will survive</w:t>
      </w:r>
      <w:r w:rsidR="00764E51">
        <w:rPr>
          <w:rFonts w:cs="Calibri"/>
          <w:snapToGrid/>
          <w:szCs w:val="24"/>
          <w:lang w:val="en-US" w:eastAsia="en-AU"/>
        </w:rPr>
        <w:t xml:space="preserve">, </w:t>
      </w:r>
      <w:r w:rsidR="00764E51" w:rsidRPr="003606EB">
        <w:rPr>
          <w:rFonts w:cs="Calibri"/>
          <w:snapToGrid/>
          <w:szCs w:val="24"/>
          <w:lang w:val="en-US" w:eastAsia="en-AU"/>
        </w:rPr>
        <w:t>with a median increase in survival of 2.8 months</w:t>
      </w:r>
      <w:r w:rsidR="000A5271" w:rsidRPr="003606EB">
        <w:rPr>
          <w:rFonts w:cs="Calibri"/>
          <w:snapToGrid/>
          <w:szCs w:val="24"/>
          <w:lang w:val="en-US" w:eastAsia="en-AU"/>
        </w:rPr>
        <w:t>.</w:t>
      </w:r>
    </w:p>
    <w:p w:rsidR="000A5271" w:rsidRPr="003606EB" w:rsidRDefault="000A5271" w:rsidP="000A5271">
      <w:pPr>
        <w:pStyle w:val="ListParagraph"/>
        <w:numPr>
          <w:ilvl w:val="0"/>
          <w:numId w:val="2"/>
        </w:numPr>
        <w:ind w:left="993"/>
      </w:pPr>
      <w:r w:rsidRPr="0008526E">
        <w:rPr>
          <w:rFonts w:cs="Calibri"/>
          <w:snapToGrid/>
          <w:szCs w:val="24"/>
          <w:lang w:val="en-US" w:eastAsia="en-AU"/>
        </w:rPr>
        <w:t>Approximately 16 more patients will remain progression free</w:t>
      </w:r>
      <w:r w:rsidR="00764E51">
        <w:rPr>
          <w:rFonts w:cs="Calibri"/>
          <w:snapToGrid/>
          <w:szCs w:val="24"/>
          <w:lang w:val="en-US" w:eastAsia="en-AU"/>
        </w:rPr>
        <w:t>,</w:t>
      </w:r>
      <w:r w:rsidR="00764E51" w:rsidRPr="00C114B4">
        <w:rPr>
          <w:rFonts w:cs="Calibri"/>
          <w:i/>
          <w:snapToGrid/>
          <w:szCs w:val="24"/>
          <w:lang w:val="en-US" w:eastAsia="en-AU"/>
        </w:rPr>
        <w:t xml:space="preserve"> </w:t>
      </w:r>
      <w:r w:rsidR="00764E51" w:rsidRPr="003606EB">
        <w:rPr>
          <w:rFonts w:cs="Calibri"/>
          <w:snapToGrid/>
          <w:szCs w:val="24"/>
          <w:lang w:val="en-US" w:eastAsia="en-AU"/>
        </w:rPr>
        <w:t>with a median increase in progression free survival of 1.8 months</w:t>
      </w:r>
      <w:r w:rsidR="00E42B76" w:rsidRPr="003606EB">
        <w:rPr>
          <w:rFonts w:cs="Calibri"/>
          <w:snapToGrid/>
          <w:szCs w:val="24"/>
          <w:lang w:val="en-US" w:eastAsia="en-AU"/>
        </w:rPr>
        <w:t>.</w:t>
      </w:r>
    </w:p>
    <w:p w:rsidR="00086578" w:rsidRPr="0008526E" w:rsidRDefault="00086578" w:rsidP="000A5271">
      <w:pPr>
        <w:pStyle w:val="ListParagraph"/>
        <w:numPr>
          <w:ilvl w:val="0"/>
          <w:numId w:val="2"/>
        </w:numPr>
        <w:ind w:left="993"/>
      </w:pPr>
      <w:r w:rsidRPr="0008526E">
        <w:rPr>
          <w:rFonts w:cs="Calibri"/>
          <w:snapToGrid/>
          <w:szCs w:val="24"/>
          <w:lang w:val="en-US" w:eastAsia="en-AU"/>
        </w:rPr>
        <w:t xml:space="preserve">Approximately 10 more patients will experience </w:t>
      </w:r>
      <w:r w:rsidR="00764E51" w:rsidRPr="003606EB">
        <w:rPr>
          <w:rFonts w:cs="Calibri"/>
          <w:snapToGrid/>
          <w:szCs w:val="24"/>
          <w:lang w:val="en-US" w:eastAsia="en-AU"/>
        </w:rPr>
        <w:t>severe</w:t>
      </w:r>
      <w:r w:rsidR="00764E51">
        <w:rPr>
          <w:rFonts w:cs="Calibri"/>
          <w:snapToGrid/>
          <w:szCs w:val="24"/>
          <w:lang w:val="en-US" w:eastAsia="en-AU"/>
        </w:rPr>
        <w:t xml:space="preserve"> </w:t>
      </w:r>
      <w:r w:rsidRPr="0008526E">
        <w:rPr>
          <w:rFonts w:cs="Calibri"/>
          <w:snapToGrid/>
          <w:szCs w:val="24"/>
          <w:lang w:val="en-US" w:eastAsia="en-AU"/>
        </w:rPr>
        <w:t>hypertension.</w:t>
      </w:r>
    </w:p>
    <w:p w:rsidR="00CA42B3" w:rsidRPr="00CA42B3" w:rsidRDefault="00356C89" w:rsidP="00486F92">
      <w:pPr>
        <w:pStyle w:val="ListParagraph"/>
        <w:keepNext/>
        <w:numPr>
          <w:ilvl w:val="0"/>
          <w:numId w:val="2"/>
        </w:numPr>
        <w:spacing w:after="240"/>
        <w:ind w:left="993"/>
      </w:pPr>
      <w:r w:rsidRPr="007051E5">
        <w:rPr>
          <w:rFonts w:cs="Calibri"/>
          <w:snapToGrid/>
          <w:szCs w:val="24"/>
          <w:lang w:val="en-US" w:eastAsia="en-AU"/>
        </w:rPr>
        <w:t xml:space="preserve">Approximately 12 more patients will experience a </w:t>
      </w:r>
      <w:r w:rsidR="00764E51" w:rsidRPr="007051E5">
        <w:rPr>
          <w:rFonts w:cs="Calibri"/>
          <w:snapToGrid/>
          <w:szCs w:val="24"/>
          <w:lang w:val="en-US" w:eastAsia="en-AU"/>
        </w:rPr>
        <w:t xml:space="preserve">severe </w:t>
      </w:r>
      <w:r w:rsidRPr="007051E5">
        <w:rPr>
          <w:rFonts w:cs="Calibri"/>
          <w:snapToGrid/>
          <w:szCs w:val="24"/>
          <w:lang w:val="en-US" w:eastAsia="en-AU"/>
        </w:rPr>
        <w:t>hand-foot skin reaction</w:t>
      </w:r>
      <w:r w:rsidR="006C7EF3" w:rsidRPr="007051E5">
        <w:rPr>
          <w:rFonts w:cs="Calibri"/>
          <w:snapToGrid/>
          <w:szCs w:val="24"/>
          <w:lang w:val="en-US" w:eastAsia="en-AU"/>
        </w:rPr>
        <w:t xml:space="preserve"> </w:t>
      </w:r>
      <w:r w:rsidR="007051E5" w:rsidRPr="003606EB">
        <w:t>with moist desquamation, ulceration, blistering or severe pain of the hands or feet, or severe discomfort that causes the patient to be unable to work or perform activities of daily living</w:t>
      </w:r>
      <w:r w:rsidR="0036529C" w:rsidRPr="003606EB">
        <w:t>.</w:t>
      </w:r>
      <w:r w:rsidR="007051E5" w:rsidRPr="003606EB" w:rsidDel="007051E5">
        <w:rPr>
          <w:rFonts w:cs="Calibri"/>
          <w:snapToGrid/>
          <w:szCs w:val="24"/>
          <w:lang w:val="en-US" w:eastAsia="en-AU"/>
        </w:rPr>
        <w:t xml:space="preserve"> </w:t>
      </w:r>
      <w:bookmarkStart w:id="15" w:name="_Toc503166748"/>
    </w:p>
    <w:p w:rsidR="00912D22" w:rsidRPr="009C362D" w:rsidRDefault="00912D22" w:rsidP="009C362D">
      <w:pPr>
        <w:pStyle w:val="Heading2"/>
      </w:pPr>
      <w:r w:rsidRPr="009C362D">
        <w:t>Clinical claim</w:t>
      </w:r>
      <w:bookmarkEnd w:id="15"/>
    </w:p>
    <w:p w:rsidR="00FE12A4" w:rsidRDefault="001709BE" w:rsidP="00912D22">
      <w:pPr>
        <w:pStyle w:val="ListParagraph"/>
        <w:widowControl/>
        <w:numPr>
          <w:ilvl w:val="1"/>
          <w:numId w:val="3"/>
        </w:numPr>
      </w:pPr>
      <w:r w:rsidRPr="0008526E">
        <w:t xml:space="preserve">The submission claimed that regorafenib </w:t>
      </w:r>
      <w:r w:rsidR="00CA5145" w:rsidRPr="0008526E">
        <w:t>wa</w:t>
      </w:r>
      <w:r w:rsidR="00912D22" w:rsidRPr="0008526E">
        <w:t>s superior to BSC for the treatment of advanced HCC, providing a statistically significant increase in OS</w:t>
      </w:r>
      <w:r w:rsidR="00CA5145" w:rsidRPr="0008526E">
        <w:t>,</w:t>
      </w:r>
      <w:r w:rsidR="00912D22" w:rsidRPr="0008526E">
        <w:t xml:space="preserve"> but </w:t>
      </w:r>
      <w:r w:rsidR="00CA5145" w:rsidRPr="0008526E">
        <w:t xml:space="preserve">was </w:t>
      </w:r>
      <w:r w:rsidR="00912D22" w:rsidRPr="0008526E">
        <w:t>associated</w:t>
      </w:r>
      <w:r w:rsidR="001B5268" w:rsidRPr="0008526E">
        <w:t>,</w:t>
      </w:r>
      <w:r w:rsidR="00912D22" w:rsidRPr="0008526E">
        <w:t xml:space="preserve"> </w:t>
      </w:r>
      <w:r w:rsidR="00E154F8" w:rsidRPr="0008526E">
        <w:t>“</w:t>
      </w:r>
      <w:r w:rsidR="00912D22" w:rsidRPr="0008526E">
        <w:t>with a</w:t>
      </w:r>
      <w:r w:rsidR="001B5268" w:rsidRPr="0008526E">
        <w:t xml:space="preserve"> </w:t>
      </w:r>
      <w:r w:rsidR="00FE12A4">
        <w:t xml:space="preserve">[slightly] </w:t>
      </w:r>
      <w:r w:rsidR="00912D22" w:rsidRPr="0008526E">
        <w:t>higher incidence of drug related adverse events which were well tolerated and did not significantly impact patient QoL</w:t>
      </w:r>
      <w:r w:rsidR="001B5268" w:rsidRPr="0008526E">
        <w:t>”</w:t>
      </w:r>
      <w:r w:rsidR="00912D22" w:rsidRPr="0008526E">
        <w:t xml:space="preserve">. </w:t>
      </w:r>
      <w:r w:rsidR="001B5268" w:rsidRPr="0008526E">
        <w:t xml:space="preserve">While the clinical claim was supported by the statistical significance of the data presented with respect to OS, the clinical significance and patient relevance of the magnitude of benefit (2.8 months median survival) </w:t>
      </w:r>
      <w:r w:rsidR="00686B08" w:rsidRPr="0008526E">
        <w:t>wa</w:t>
      </w:r>
      <w:r w:rsidR="001B5268" w:rsidRPr="0008526E">
        <w:t>s unclear in the context of patients with advanced HCC</w:t>
      </w:r>
      <w:r w:rsidR="00686B08" w:rsidRPr="0008526E">
        <w:t xml:space="preserve">, particularly </w:t>
      </w:r>
      <w:r w:rsidR="00637720" w:rsidRPr="0008526E">
        <w:t>in the light of the detrimental effect of treatment related adverse events on patient QoL</w:t>
      </w:r>
      <w:r w:rsidR="001C5F56">
        <w:t>.</w:t>
      </w:r>
      <w:r w:rsidR="00FE12A4">
        <w:t xml:space="preserve"> </w:t>
      </w:r>
    </w:p>
    <w:p w:rsidR="001C5F56" w:rsidRPr="003606EB" w:rsidRDefault="00AE552F" w:rsidP="00600195">
      <w:pPr>
        <w:pStyle w:val="ListParagraph"/>
        <w:numPr>
          <w:ilvl w:val="0"/>
          <w:numId w:val="2"/>
        </w:numPr>
        <w:ind w:left="993"/>
        <w:rPr>
          <w:rFonts w:cs="Calibri"/>
          <w:snapToGrid/>
          <w:szCs w:val="24"/>
          <w:lang w:val="en-US" w:eastAsia="en-AU"/>
        </w:rPr>
      </w:pPr>
      <w:r w:rsidRPr="003606EB">
        <w:rPr>
          <w:rFonts w:cs="Calibri"/>
          <w:snapToGrid/>
          <w:szCs w:val="24"/>
          <w:lang w:val="en-US" w:eastAsia="en-AU"/>
        </w:rPr>
        <w:t>Acknowledging the significantly higher incidences of AEs in the regorafenib arm, t</w:t>
      </w:r>
      <w:r w:rsidR="00FE12A4" w:rsidRPr="003606EB">
        <w:rPr>
          <w:rFonts w:cs="Calibri"/>
          <w:snapToGrid/>
          <w:szCs w:val="24"/>
          <w:lang w:val="en-US" w:eastAsia="en-AU"/>
        </w:rPr>
        <w:t>he PSCR removed the word ‘slightly’ from the clinical</w:t>
      </w:r>
      <w:r w:rsidRPr="003606EB">
        <w:rPr>
          <w:rFonts w:cs="Calibri"/>
          <w:snapToGrid/>
          <w:szCs w:val="24"/>
          <w:lang w:val="en-US" w:eastAsia="en-AU"/>
        </w:rPr>
        <w:t xml:space="preserve"> claim. The ESC noted that this implicitly changed the clinical claim to one of superior efficacy and inferior safety, compared with BSC.</w:t>
      </w:r>
    </w:p>
    <w:p w:rsidR="00FE12A4" w:rsidRPr="003606EB" w:rsidRDefault="00600195" w:rsidP="00600195">
      <w:pPr>
        <w:pStyle w:val="ListParagraph"/>
        <w:numPr>
          <w:ilvl w:val="0"/>
          <w:numId w:val="2"/>
        </w:numPr>
        <w:ind w:left="993"/>
        <w:rPr>
          <w:rFonts w:cs="Calibri"/>
          <w:snapToGrid/>
          <w:szCs w:val="24"/>
          <w:lang w:val="en-US" w:eastAsia="en-AU"/>
        </w:rPr>
      </w:pPr>
      <w:r w:rsidRPr="003606EB">
        <w:rPr>
          <w:rFonts w:cs="Calibri"/>
          <w:snapToGrid/>
          <w:szCs w:val="24"/>
          <w:lang w:val="en-US" w:eastAsia="en-AU"/>
        </w:rPr>
        <w:t>T</w:t>
      </w:r>
      <w:r w:rsidR="00C03E87" w:rsidRPr="003606EB">
        <w:rPr>
          <w:rFonts w:cs="Calibri"/>
          <w:snapToGrid/>
          <w:szCs w:val="24"/>
          <w:lang w:val="en-US" w:eastAsia="en-AU"/>
        </w:rPr>
        <w:t>he PSCR maintained that the potential for increased toxicity d</w:t>
      </w:r>
      <w:r w:rsidR="00FE12A4" w:rsidRPr="003606EB">
        <w:rPr>
          <w:rFonts w:cs="Calibri"/>
          <w:snapToGrid/>
          <w:szCs w:val="24"/>
          <w:lang w:val="en-US" w:eastAsia="en-AU"/>
        </w:rPr>
        <w:t>id</w:t>
      </w:r>
      <w:r w:rsidR="00C03E87" w:rsidRPr="003606EB">
        <w:rPr>
          <w:rFonts w:cs="Calibri"/>
          <w:snapToGrid/>
          <w:szCs w:val="24"/>
          <w:lang w:val="en-US" w:eastAsia="en-AU"/>
        </w:rPr>
        <w:t xml:space="preserve"> not have a</w:t>
      </w:r>
      <w:r w:rsidR="00FE12A4" w:rsidRPr="003606EB">
        <w:rPr>
          <w:rFonts w:cs="Calibri"/>
          <w:snapToGrid/>
          <w:szCs w:val="24"/>
          <w:lang w:val="en-US" w:eastAsia="en-AU"/>
        </w:rPr>
        <w:t xml:space="preserve"> significant</w:t>
      </w:r>
      <w:r w:rsidR="00C03E87" w:rsidRPr="003606EB">
        <w:rPr>
          <w:rFonts w:cs="Calibri"/>
          <w:snapToGrid/>
          <w:szCs w:val="24"/>
          <w:lang w:val="en-US" w:eastAsia="en-AU"/>
        </w:rPr>
        <w:t xml:space="preserve"> clinical impact on </w:t>
      </w:r>
      <w:r w:rsidR="00FE12A4" w:rsidRPr="003606EB">
        <w:rPr>
          <w:rFonts w:cs="Calibri"/>
          <w:snapToGrid/>
          <w:szCs w:val="24"/>
          <w:lang w:val="en-US" w:eastAsia="en-AU"/>
        </w:rPr>
        <w:t>patient reported outcomes.</w:t>
      </w:r>
      <w:r w:rsidR="00C03E87" w:rsidRPr="003606EB">
        <w:rPr>
          <w:rFonts w:cs="Calibri"/>
          <w:snapToGrid/>
          <w:szCs w:val="24"/>
          <w:lang w:val="en-US" w:eastAsia="en-AU"/>
        </w:rPr>
        <w:t xml:space="preserve"> </w:t>
      </w:r>
      <w:r w:rsidR="00AD4895">
        <w:rPr>
          <w:rFonts w:cs="Calibri"/>
          <w:snapToGrid/>
          <w:szCs w:val="24"/>
          <w:lang w:val="en-US" w:eastAsia="en-AU"/>
        </w:rPr>
        <w:t>The pre-PBAC response maintained this position, arguing that because the differences in QoL values did not achieve minimally important differences</w:t>
      </w:r>
      <w:r w:rsidR="009E2EE3">
        <w:rPr>
          <w:rFonts w:cs="Calibri"/>
          <w:snapToGrid/>
          <w:szCs w:val="24"/>
          <w:lang w:val="en-US" w:eastAsia="en-AU"/>
        </w:rPr>
        <w:t>,</w:t>
      </w:r>
      <w:r w:rsidR="00AD4895">
        <w:rPr>
          <w:rFonts w:cs="Calibri"/>
          <w:snapToGrid/>
          <w:szCs w:val="24"/>
          <w:lang w:val="en-US" w:eastAsia="en-AU"/>
        </w:rPr>
        <w:t xml:space="preserve"> the impact of these grade 3/4 AEs is not clinically meaningful.</w:t>
      </w:r>
    </w:p>
    <w:p w:rsidR="00912D22" w:rsidRDefault="00C03E87" w:rsidP="00600195">
      <w:pPr>
        <w:pStyle w:val="ListParagraph"/>
        <w:numPr>
          <w:ilvl w:val="0"/>
          <w:numId w:val="2"/>
        </w:numPr>
        <w:ind w:left="993"/>
        <w:rPr>
          <w:rFonts w:cs="Calibri"/>
          <w:snapToGrid/>
          <w:szCs w:val="24"/>
          <w:lang w:val="en-US" w:eastAsia="en-AU"/>
        </w:rPr>
      </w:pPr>
      <w:r w:rsidRPr="003606EB">
        <w:rPr>
          <w:rFonts w:cs="Calibri"/>
          <w:snapToGrid/>
          <w:szCs w:val="24"/>
          <w:lang w:val="en-US" w:eastAsia="en-AU"/>
        </w:rPr>
        <w:t xml:space="preserve">The ESC </w:t>
      </w:r>
      <w:r w:rsidR="00863A42" w:rsidRPr="003606EB">
        <w:rPr>
          <w:rFonts w:cs="Calibri"/>
          <w:snapToGrid/>
          <w:szCs w:val="24"/>
          <w:lang w:val="en-US" w:eastAsia="en-AU"/>
        </w:rPr>
        <w:t xml:space="preserve">considered </w:t>
      </w:r>
      <w:r w:rsidRPr="003606EB">
        <w:rPr>
          <w:rFonts w:cs="Calibri"/>
          <w:snapToGrid/>
          <w:szCs w:val="24"/>
          <w:lang w:val="en-US" w:eastAsia="en-AU"/>
        </w:rPr>
        <w:t xml:space="preserve">that the </w:t>
      </w:r>
      <w:r w:rsidR="00C844AD" w:rsidRPr="003606EB">
        <w:rPr>
          <w:rFonts w:cs="Calibri"/>
          <w:snapToGrid/>
          <w:szCs w:val="24"/>
          <w:lang w:val="en-US" w:eastAsia="en-AU"/>
        </w:rPr>
        <w:t xml:space="preserve">modest </w:t>
      </w:r>
      <w:r w:rsidRPr="003606EB">
        <w:rPr>
          <w:rFonts w:cs="Calibri"/>
          <w:snapToGrid/>
          <w:szCs w:val="24"/>
          <w:lang w:val="en-US" w:eastAsia="en-AU"/>
        </w:rPr>
        <w:t xml:space="preserve">improvement in OS </w:t>
      </w:r>
      <w:r w:rsidR="00FE12A4" w:rsidRPr="003606EB">
        <w:rPr>
          <w:rFonts w:cs="Calibri"/>
          <w:snapToGrid/>
          <w:szCs w:val="24"/>
          <w:lang w:val="en-US" w:eastAsia="en-AU"/>
        </w:rPr>
        <w:t>wa</w:t>
      </w:r>
      <w:r w:rsidRPr="003606EB">
        <w:rPr>
          <w:rFonts w:cs="Calibri"/>
          <w:snapToGrid/>
          <w:szCs w:val="24"/>
          <w:lang w:val="en-US" w:eastAsia="en-AU"/>
        </w:rPr>
        <w:t>s likely to be clinically meaningful</w:t>
      </w:r>
      <w:r w:rsidR="00FE12A4" w:rsidRPr="003606EB">
        <w:rPr>
          <w:rFonts w:cs="Calibri"/>
          <w:snapToGrid/>
          <w:szCs w:val="24"/>
          <w:lang w:val="en-US" w:eastAsia="en-AU"/>
        </w:rPr>
        <w:t>,</w:t>
      </w:r>
      <w:r w:rsidRPr="003606EB">
        <w:rPr>
          <w:rFonts w:cs="Calibri"/>
          <w:snapToGrid/>
          <w:szCs w:val="24"/>
          <w:lang w:val="en-US" w:eastAsia="en-AU"/>
        </w:rPr>
        <w:t xml:space="preserve"> but </w:t>
      </w:r>
      <w:r w:rsidR="00FE12A4" w:rsidRPr="003606EB">
        <w:rPr>
          <w:rFonts w:cs="Calibri"/>
          <w:snapToGrid/>
          <w:szCs w:val="24"/>
          <w:lang w:val="en-US" w:eastAsia="en-AU"/>
        </w:rPr>
        <w:t xml:space="preserve">advised </w:t>
      </w:r>
      <w:r w:rsidRPr="003606EB">
        <w:rPr>
          <w:rFonts w:cs="Calibri"/>
          <w:snapToGrid/>
          <w:szCs w:val="24"/>
          <w:lang w:val="en-US" w:eastAsia="en-AU"/>
        </w:rPr>
        <w:t xml:space="preserve">that this benefit should be weighed against the </w:t>
      </w:r>
      <w:r w:rsidR="00FE12A4" w:rsidRPr="003606EB">
        <w:rPr>
          <w:rFonts w:cs="Calibri"/>
          <w:snapToGrid/>
          <w:szCs w:val="24"/>
          <w:lang w:val="en-US" w:eastAsia="en-AU"/>
        </w:rPr>
        <w:t xml:space="preserve">significant </w:t>
      </w:r>
      <w:r w:rsidRPr="003606EB">
        <w:rPr>
          <w:rFonts w:cs="Calibri"/>
          <w:snapToGrid/>
          <w:szCs w:val="24"/>
          <w:lang w:val="en-US" w:eastAsia="en-AU"/>
        </w:rPr>
        <w:t>impact of treatment related AEs.</w:t>
      </w:r>
    </w:p>
    <w:p w:rsidR="00EE1162" w:rsidRPr="00EE1162" w:rsidRDefault="003D2E60" w:rsidP="00EE1162">
      <w:pPr>
        <w:pStyle w:val="ListParagraph"/>
        <w:numPr>
          <w:ilvl w:val="0"/>
          <w:numId w:val="2"/>
        </w:numPr>
        <w:ind w:left="993"/>
        <w:rPr>
          <w:rFonts w:cs="Calibri"/>
          <w:snapToGrid/>
          <w:szCs w:val="24"/>
          <w:lang w:val="en-US" w:eastAsia="en-AU"/>
        </w:rPr>
      </w:pPr>
      <w:r>
        <w:rPr>
          <w:rFonts w:cs="Calibri"/>
          <w:snapToGrid/>
          <w:szCs w:val="24"/>
          <w:lang w:val="en-US" w:eastAsia="en-AU"/>
        </w:rPr>
        <w:t xml:space="preserve">The pre-PBAC claimed that most AEs occurred early in the course of treatment and were managed with dose modification or </w:t>
      </w:r>
      <w:r w:rsidR="00AD4895">
        <w:rPr>
          <w:rFonts w:cs="Calibri"/>
          <w:snapToGrid/>
          <w:szCs w:val="24"/>
          <w:lang w:val="en-US" w:eastAsia="en-AU"/>
        </w:rPr>
        <w:t>reductions, while cutaneous AEs</w:t>
      </w:r>
      <w:r>
        <w:rPr>
          <w:rFonts w:cs="Calibri"/>
          <w:snapToGrid/>
          <w:szCs w:val="24"/>
          <w:lang w:val="en-US" w:eastAsia="en-AU"/>
        </w:rPr>
        <w:t xml:space="preserve"> </w:t>
      </w:r>
      <w:r w:rsidR="00AD4895">
        <w:rPr>
          <w:rFonts w:cs="Calibri"/>
          <w:snapToGrid/>
          <w:szCs w:val="24"/>
          <w:lang w:val="en-US" w:eastAsia="en-AU"/>
        </w:rPr>
        <w:t>(</w:t>
      </w:r>
      <w:r>
        <w:rPr>
          <w:rFonts w:cs="Calibri"/>
          <w:snapToGrid/>
          <w:szCs w:val="24"/>
          <w:lang w:val="en-US" w:eastAsia="en-AU"/>
        </w:rPr>
        <w:t>including HSFR</w:t>
      </w:r>
      <w:r w:rsidR="00AD4895">
        <w:rPr>
          <w:rFonts w:cs="Calibri"/>
          <w:snapToGrid/>
          <w:szCs w:val="24"/>
          <w:lang w:val="en-US" w:eastAsia="en-AU"/>
        </w:rPr>
        <w:t>)</w:t>
      </w:r>
      <w:r>
        <w:rPr>
          <w:rFonts w:cs="Calibri"/>
          <w:snapToGrid/>
          <w:szCs w:val="24"/>
          <w:lang w:val="en-US" w:eastAsia="en-AU"/>
        </w:rPr>
        <w:t xml:space="preserve"> are dose dependent and may be correlated with treatment effect and better efficacy outcomes.</w:t>
      </w:r>
    </w:p>
    <w:p w:rsidR="00CA42B3" w:rsidRDefault="00CA42B3" w:rsidP="00CA42B3">
      <w:pPr>
        <w:pStyle w:val="ListParagraph"/>
        <w:widowControl/>
        <w:numPr>
          <w:ilvl w:val="1"/>
          <w:numId w:val="3"/>
        </w:numPr>
        <w:rPr>
          <w:rFonts w:cs="Calibri"/>
          <w:i/>
          <w:snapToGrid/>
          <w:szCs w:val="24"/>
          <w:lang w:val="en-US" w:eastAsia="en-AU"/>
        </w:rPr>
      </w:pPr>
      <w:r w:rsidRPr="00CA42B3">
        <w:t>The</w:t>
      </w:r>
      <w:r w:rsidRPr="00CA42B3">
        <w:rPr>
          <w:rFonts w:cs="Calibri"/>
          <w:i/>
          <w:snapToGrid/>
          <w:szCs w:val="24"/>
          <w:lang w:val="en-US" w:eastAsia="en-AU"/>
        </w:rPr>
        <w:t xml:space="preserve"> </w:t>
      </w:r>
      <w:r w:rsidRPr="003606EB">
        <w:rPr>
          <w:rFonts w:cs="Calibri"/>
          <w:snapToGrid/>
          <w:szCs w:val="24"/>
          <w:lang w:val="en-US" w:eastAsia="en-AU"/>
        </w:rPr>
        <w:t>ESC noted that the RESORCE trial excluded patients who tested positive for human immunodeficiency virus (HIV), co-infected with hepatitis B/hepatitis C virus (HBV/HCV) (common cause of HCC). As this was not included as a criterion in the proposed PBS restriction, the ESC advised that the impact of this disparity between the trial population and the proposed PBS population on the efficacy, safety and cost-effectiveness of regorafenib, was unclear.</w:t>
      </w:r>
    </w:p>
    <w:p w:rsidR="008A4C13" w:rsidRPr="000B56BA" w:rsidRDefault="008A4C13" w:rsidP="008A4C13">
      <w:pPr>
        <w:pStyle w:val="ListParagraph"/>
        <w:widowControl/>
        <w:numPr>
          <w:ilvl w:val="1"/>
          <w:numId w:val="3"/>
        </w:numPr>
        <w:spacing w:after="120"/>
        <w:ind w:left="810" w:hanging="810"/>
        <w:rPr>
          <w:rFonts w:asciiTheme="minorHAnsi" w:hAnsiTheme="minorHAnsi"/>
          <w:szCs w:val="20"/>
        </w:rPr>
      </w:pPr>
      <w:r w:rsidRPr="000B56BA">
        <w:rPr>
          <w:rFonts w:asciiTheme="minorHAnsi" w:hAnsiTheme="minorHAnsi"/>
          <w:szCs w:val="20"/>
        </w:rPr>
        <w:t>The PBAC considered that the claim of superior comparative effectiveness was reasonable</w:t>
      </w:r>
      <w:r w:rsidR="000B56BA">
        <w:rPr>
          <w:rFonts w:asciiTheme="minorHAnsi" w:hAnsiTheme="minorHAnsi"/>
          <w:szCs w:val="20"/>
        </w:rPr>
        <w:t xml:space="preserve"> based on modest improvements in OS, PFS and time to progression</w:t>
      </w:r>
      <w:r w:rsidRPr="000B56BA">
        <w:rPr>
          <w:rFonts w:asciiTheme="minorHAnsi" w:hAnsiTheme="minorHAnsi"/>
          <w:szCs w:val="20"/>
        </w:rPr>
        <w:t>.</w:t>
      </w:r>
    </w:p>
    <w:p w:rsidR="00CA42B3" w:rsidRPr="000B56BA" w:rsidRDefault="008A4C13" w:rsidP="00CA42B3">
      <w:pPr>
        <w:pStyle w:val="ListParagraph"/>
        <w:widowControl/>
        <w:numPr>
          <w:ilvl w:val="1"/>
          <w:numId w:val="3"/>
        </w:numPr>
        <w:spacing w:after="120"/>
        <w:ind w:left="810" w:hanging="810"/>
        <w:rPr>
          <w:rFonts w:asciiTheme="minorHAnsi" w:hAnsiTheme="minorHAnsi"/>
          <w:szCs w:val="20"/>
        </w:rPr>
      </w:pPr>
      <w:r w:rsidRPr="000B56BA">
        <w:rPr>
          <w:rFonts w:asciiTheme="minorHAnsi" w:hAnsiTheme="minorHAnsi"/>
          <w:szCs w:val="20"/>
        </w:rPr>
        <w:t xml:space="preserve">The PBAC considered that </w:t>
      </w:r>
      <w:r w:rsidR="009D7633" w:rsidRPr="000B56BA">
        <w:rPr>
          <w:rFonts w:asciiTheme="minorHAnsi" w:hAnsiTheme="minorHAnsi"/>
          <w:szCs w:val="20"/>
        </w:rPr>
        <w:t xml:space="preserve">the </w:t>
      </w:r>
      <w:r w:rsidR="00A82057">
        <w:rPr>
          <w:rFonts w:asciiTheme="minorHAnsi" w:hAnsiTheme="minorHAnsi"/>
          <w:szCs w:val="20"/>
        </w:rPr>
        <w:t xml:space="preserve">claim of inferior safety was reasonable. However the PBAC considered that the </w:t>
      </w:r>
      <w:r w:rsidR="009D7633" w:rsidRPr="000B56BA">
        <w:rPr>
          <w:rFonts w:asciiTheme="minorHAnsi" w:hAnsiTheme="minorHAnsi"/>
          <w:szCs w:val="20"/>
        </w:rPr>
        <w:t>evidence presented in the submission did not support the submission’s claim of no significant impact of regorafenib toxicity</w:t>
      </w:r>
      <w:r w:rsidR="00A82057">
        <w:rPr>
          <w:rFonts w:asciiTheme="minorHAnsi" w:hAnsiTheme="minorHAnsi"/>
          <w:szCs w:val="20"/>
        </w:rPr>
        <w:t xml:space="preserve"> on QoL</w:t>
      </w:r>
      <w:r w:rsidR="009D7633" w:rsidRPr="000B56BA">
        <w:rPr>
          <w:rFonts w:asciiTheme="minorHAnsi" w:hAnsiTheme="minorHAnsi"/>
          <w:szCs w:val="20"/>
        </w:rPr>
        <w:t xml:space="preserve">. Regorafenib patients are 3 times more likely to suffer any grade 3 or 4 adverse event compared to BSC. In addition, the trial reported numerically lower average QoL for regorafenib compared with BSC, which may reflect the increased toxicity. </w:t>
      </w:r>
    </w:p>
    <w:p w:rsidR="00912D22" w:rsidRPr="00BB59B2" w:rsidRDefault="00912D22" w:rsidP="009C362D">
      <w:pPr>
        <w:pStyle w:val="Heading2"/>
        <w:keepNext/>
      </w:pPr>
      <w:bookmarkStart w:id="16" w:name="_Toc503166749"/>
      <w:r w:rsidRPr="00BB59B2">
        <w:t>Economic analysis</w:t>
      </w:r>
      <w:bookmarkEnd w:id="16"/>
      <w:r w:rsidRPr="00BB59B2">
        <w:t xml:space="preserve"> </w:t>
      </w:r>
    </w:p>
    <w:p w:rsidR="005A6BC2" w:rsidRPr="0008526E" w:rsidRDefault="00912D22" w:rsidP="00A9649D">
      <w:pPr>
        <w:pStyle w:val="ListParagraph"/>
        <w:widowControl/>
        <w:numPr>
          <w:ilvl w:val="1"/>
          <w:numId w:val="3"/>
        </w:numPr>
      </w:pPr>
      <w:r w:rsidRPr="0008526E">
        <w:t xml:space="preserve">The economic evaluations presented were a cost-effectiveness analysis (CEA) and cost-utility analysis (CUA). Health benefits were reported as life years gained (LYGs) and quality adjusted life years (QALYs) gained, respectively. </w:t>
      </w:r>
    </w:p>
    <w:p w:rsidR="00912D22" w:rsidRPr="0008526E" w:rsidRDefault="00912D22" w:rsidP="00030CF0">
      <w:pPr>
        <w:rPr>
          <w:rStyle w:val="CommentReference"/>
        </w:rPr>
      </w:pPr>
      <w:r w:rsidRPr="0008526E">
        <w:rPr>
          <w:rStyle w:val="CommentReference"/>
        </w:rPr>
        <w:t xml:space="preserve">Table </w:t>
      </w:r>
      <w:r w:rsidR="00A97AE9" w:rsidRPr="0008526E">
        <w:rPr>
          <w:rStyle w:val="CommentReference"/>
        </w:rPr>
        <w:t>9</w:t>
      </w:r>
      <w:r w:rsidRPr="0008526E">
        <w:rPr>
          <w:rStyle w:val="CommentReference"/>
        </w:rPr>
        <w:t>: Key components of the economic evaluation</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94"/>
        <w:gridCol w:w="6133"/>
      </w:tblGrid>
      <w:tr w:rsidR="00912D22" w:rsidRPr="0008526E" w:rsidTr="00912D22">
        <w:trPr>
          <w:trHeight w:val="157"/>
        </w:trPr>
        <w:tc>
          <w:tcPr>
            <w:tcW w:w="1640" w:type="pct"/>
            <w:vAlign w:val="center"/>
          </w:tcPr>
          <w:p w:rsidR="00912D22" w:rsidRPr="0008526E" w:rsidRDefault="00912D22" w:rsidP="00912D22">
            <w:pPr>
              <w:pStyle w:val="Tabletext"/>
              <w:rPr>
                <w:b/>
              </w:rPr>
            </w:pPr>
            <w:r w:rsidRPr="0008526E">
              <w:rPr>
                <w:b/>
              </w:rPr>
              <w:t>Component</w:t>
            </w:r>
          </w:p>
        </w:tc>
        <w:tc>
          <w:tcPr>
            <w:tcW w:w="3360" w:type="pct"/>
            <w:vAlign w:val="center"/>
          </w:tcPr>
          <w:p w:rsidR="00912D22" w:rsidRPr="0008526E" w:rsidRDefault="00912D22" w:rsidP="00912D22">
            <w:pPr>
              <w:pStyle w:val="Tabletext"/>
              <w:rPr>
                <w:b/>
              </w:rPr>
            </w:pPr>
            <w:r w:rsidRPr="0008526E">
              <w:rPr>
                <w:b/>
              </w:rPr>
              <w:t>Description</w:t>
            </w:r>
          </w:p>
        </w:tc>
      </w:tr>
      <w:tr w:rsidR="00912D22" w:rsidRPr="0008526E" w:rsidTr="00912D22">
        <w:trPr>
          <w:trHeight w:val="157"/>
        </w:trPr>
        <w:tc>
          <w:tcPr>
            <w:tcW w:w="1640" w:type="pct"/>
            <w:vAlign w:val="center"/>
          </w:tcPr>
          <w:p w:rsidR="00912D22" w:rsidRPr="0008526E" w:rsidRDefault="00912D22" w:rsidP="00912D22">
            <w:pPr>
              <w:pStyle w:val="Tabletext"/>
            </w:pPr>
            <w:r w:rsidRPr="0008526E">
              <w:t>Perspective</w:t>
            </w:r>
          </w:p>
        </w:tc>
        <w:tc>
          <w:tcPr>
            <w:tcW w:w="3360" w:type="pct"/>
            <w:vAlign w:val="center"/>
          </w:tcPr>
          <w:p w:rsidR="00912D22" w:rsidRPr="0008526E" w:rsidRDefault="00912D22" w:rsidP="00912D22">
            <w:pPr>
              <w:pStyle w:val="Tabletext"/>
            </w:pPr>
            <w:r w:rsidRPr="0008526E">
              <w:t>Health care perspective</w:t>
            </w:r>
          </w:p>
        </w:tc>
      </w:tr>
      <w:tr w:rsidR="00912D22" w:rsidRPr="0008526E" w:rsidTr="00912D22">
        <w:trPr>
          <w:trHeight w:val="157"/>
        </w:trPr>
        <w:tc>
          <w:tcPr>
            <w:tcW w:w="1640" w:type="pct"/>
            <w:vAlign w:val="center"/>
          </w:tcPr>
          <w:p w:rsidR="00912D22" w:rsidRPr="0008526E" w:rsidRDefault="00912D22" w:rsidP="00912D22">
            <w:pPr>
              <w:pStyle w:val="Tabletext"/>
            </w:pPr>
            <w:r w:rsidRPr="0008526E">
              <w:t>Type of analysis</w:t>
            </w:r>
          </w:p>
        </w:tc>
        <w:tc>
          <w:tcPr>
            <w:tcW w:w="3360" w:type="pct"/>
            <w:vAlign w:val="center"/>
          </w:tcPr>
          <w:p w:rsidR="00912D22" w:rsidRPr="0008526E" w:rsidRDefault="00912D22" w:rsidP="00912D22">
            <w:pPr>
              <w:pStyle w:val="Tabletext"/>
            </w:pPr>
            <w:r w:rsidRPr="0008526E">
              <w:t>CEA and CUA</w:t>
            </w:r>
          </w:p>
        </w:tc>
      </w:tr>
      <w:tr w:rsidR="00912D22" w:rsidRPr="0008526E" w:rsidTr="00912D22">
        <w:trPr>
          <w:trHeight w:val="157"/>
        </w:trPr>
        <w:tc>
          <w:tcPr>
            <w:tcW w:w="1640" w:type="pct"/>
            <w:vAlign w:val="center"/>
          </w:tcPr>
          <w:p w:rsidR="00912D22" w:rsidRPr="0008526E" w:rsidRDefault="00912D22" w:rsidP="00912D22">
            <w:pPr>
              <w:pStyle w:val="Tabletext"/>
            </w:pPr>
            <w:r w:rsidRPr="0008526E">
              <w:t>Outcomes</w:t>
            </w:r>
          </w:p>
        </w:tc>
        <w:tc>
          <w:tcPr>
            <w:tcW w:w="3360" w:type="pct"/>
            <w:vAlign w:val="center"/>
          </w:tcPr>
          <w:p w:rsidR="00912D22" w:rsidRPr="0008526E" w:rsidRDefault="00912D22" w:rsidP="00912D22">
            <w:pPr>
              <w:pStyle w:val="Tabletext"/>
            </w:pPr>
            <w:r w:rsidRPr="0008526E">
              <w:t>LYGs and QALYs</w:t>
            </w:r>
          </w:p>
        </w:tc>
      </w:tr>
      <w:tr w:rsidR="00912D22" w:rsidRPr="0008526E" w:rsidTr="00912D22">
        <w:trPr>
          <w:trHeight w:val="316"/>
        </w:trPr>
        <w:tc>
          <w:tcPr>
            <w:tcW w:w="1640" w:type="pct"/>
            <w:vAlign w:val="center"/>
          </w:tcPr>
          <w:p w:rsidR="00912D22" w:rsidRPr="0008526E" w:rsidRDefault="00912D22" w:rsidP="00912D22">
            <w:pPr>
              <w:pStyle w:val="Tabletext"/>
            </w:pPr>
            <w:r w:rsidRPr="0008526E">
              <w:t>Time horizon</w:t>
            </w:r>
          </w:p>
        </w:tc>
        <w:tc>
          <w:tcPr>
            <w:tcW w:w="3360" w:type="pct"/>
            <w:vAlign w:val="center"/>
          </w:tcPr>
          <w:p w:rsidR="00912D22" w:rsidRPr="0008526E" w:rsidRDefault="00912D22" w:rsidP="00912D22">
            <w:pPr>
              <w:pStyle w:val="Tabletext"/>
            </w:pPr>
            <w:r w:rsidRPr="0008526E">
              <w:rPr>
                <w:szCs w:val="20"/>
              </w:rPr>
              <w:t>5 years in the base case vs 2.77 years (33 months) in the RESORCE trial.</w:t>
            </w:r>
          </w:p>
        </w:tc>
      </w:tr>
      <w:tr w:rsidR="00912D22" w:rsidRPr="0008526E" w:rsidTr="00912D22">
        <w:trPr>
          <w:trHeight w:val="123"/>
        </w:trPr>
        <w:tc>
          <w:tcPr>
            <w:tcW w:w="1640" w:type="pct"/>
            <w:vAlign w:val="center"/>
          </w:tcPr>
          <w:p w:rsidR="00912D22" w:rsidRPr="0008526E" w:rsidRDefault="00912D22" w:rsidP="00912D22">
            <w:pPr>
              <w:pStyle w:val="Tabletext"/>
            </w:pPr>
            <w:r w:rsidRPr="0008526E">
              <w:t>Methods used to generate results</w:t>
            </w:r>
          </w:p>
        </w:tc>
        <w:tc>
          <w:tcPr>
            <w:tcW w:w="3360" w:type="pct"/>
            <w:vAlign w:val="center"/>
          </w:tcPr>
          <w:p w:rsidR="00912D22" w:rsidRPr="0008526E" w:rsidRDefault="00912D22" w:rsidP="00912D22">
            <w:pPr>
              <w:pStyle w:val="Tabletext"/>
            </w:pPr>
            <w:r w:rsidRPr="0008526E">
              <w:t>Partitioned survival model</w:t>
            </w:r>
          </w:p>
        </w:tc>
      </w:tr>
      <w:tr w:rsidR="00912D22" w:rsidRPr="0008526E" w:rsidTr="00912D22">
        <w:trPr>
          <w:trHeight w:val="85"/>
        </w:trPr>
        <w:tc>
          <w:tcPr>
            <w:tcW w:w="1640" w:type="pct"/>
            <w:vAlign w:val="center"/>
          </w:tcPr>
          <w:p w:rsidR="00912D22" w:rsidRPr="0008526E" w:rsidRDefault="00912D22" w:rsidP="00912D22">
            <w:pPr>
              <w:pStyle w:val="Tabletext"/>
            </w:pPr>
            <w:r w:rsidRPr="0008526E">
              <w:t>Health states</w:t>
            </w:r>
          </w:p>
        </w:tc>
        <w:tc>
          <w:tcPr>
            <w:tcW w:w="3360" w:type="pct"/>
            <w:vAlign w:val="center"/>
          </w:tcPr>
          <w:p w:rsidR="00912D22" w:rsidRPr="0008526E" w:rsidRDefault="00912D22" w:rsidP="00912D22">
            <w:pPr>
              <w:pStyle w:val="Tabletext"/>
            </w:pPr>
            <w:r w:rsidRPr="0008526E">
              <w:t>Progression Free (PFS), Progressive Disease (PD) and Dead.</w:t>
            </w:r>
          </w:p>
        </w:tc>
      </w:tr>
      <w:tr w:rsidR="00912D22" w:rsidRPr="0008526E" w:rsidTr="00912D22">
        <w:trPr>
          <w:trHeight w:val="157"/>
        </w:trPr>
        <w:tc>
          <w:tcPr>
            <w:tcW w:w="1640" w:type="pct"/>
            <w:vAlign w:val="center"/>
          </w:tcPr>
          <w:p w:rsidR="00912D22" w:rsidRPr="0008526E" w:rsidRDefault="00912D22" w:rsidP="00912D22">
            <w:pPr>
              <w:pStyle w:val="Tabletext"/>
            </w:pPr>
            <w:r w:rsidRPr="0008526E">
              <w:t>Cycle length</w:t>
            </w:r>
          </w:p>
        </w:tc>
        <w:tc>
          <w:tcPr>
            <w:tcW w:w="3360" w:type="pct"/>
            <w:vAlign w:val="center"/>
          </w:tcPr>
          <w:p w:rsidR="00912D22" w:rsidRPr="0008526E" w:rsidRDefault="00912D22" w:rsidP="00912D22">
            <w:pPr>
              <w:pStyle w:val="Tabletext"/>
            </w:pPr>
            <w:r w:rsidRPr="0008526E">
              <w:t>28 days</w:t>
            </w:r>
          </w:p>
        </w:tc>
      </w:tr>
      <w:tr w:rsidR="00912D22" w:rsidRPr="0008526E" w:rsidTr="00912D22">
        <w:trPr>
          <w:trHeight w:val="157"/>
        </w:trPr>
        <w:tc>
          <w:tcPr>
            <w:tcW w:w="1640" w:type="pct"/>
            <w:vAlign w:val="center"/>
          </w:tcPr>
          <w:p w:rsidR="00912D22" w:rsidRPr="0008526E" w:rsidRDefault="00912D22" w:rsidP="00912D22">
            <w:pPr>
              <w:pStyle w:val="Tabletext"/>
            </w:pPr>
            <w:r w:rsidRPr="0008526E">
              <w:t>Discounting</w:t>
            </w:r>
          </w:p>
        </w:tc>
        <w:tc>
          <w:tcPr>
            <w:tcW w:w="3360" w:type="pct"/>
            <w:vAlign w:val="center"/>
          </w:tcPr>
          <w:p w:rsidR="00912D22" w:rsidRPr="0008526E" w:rsidRDefault="00912D22" w:rsidP="00912D22">
            <w:pPr>
              <w:pStyle w:val="Tabletext"/>
            </w:pPr>
            <w:r w:rsidRPr="0008526E">
              <w:t>5% per year for costs and benefits</w:t>
            </w:r>
          </w:p>
        </w:tc>
      </w:tr>
      <w:tr w:rsidR="00912D22" w:rsidRPr="0008526E" w:rsidTr="00912D22">
        <w:trPr>
          <w:trHeight w:val="70"/>
        </w:trPr>
        <w:tc>
          <w:tcPr>
            <w:tcW w:w="1640" w:type="pct"/>
            <w:vAlign w:val="center"/>
          </w:tcPr>
          <w:p w:rsidR="00912D22" w:rsidRPr="0008526E" w:rsidRDefault="006F4BC1" w:rsidP="00912D22">
            <w:pPr>
              <w:pStyle w:val="Tabletext"/>
            </w:pPr>
            <w:r w:rsidRPr="0008526E">
              <w:t>Area under the curve (AUC)</w:t>
            </w:r>
          </w:p>
        </w:tc>
        <w:tc>
          <w:tcPr>
            <w:tcW w:w="3360" w:type="pct"/>
            <w:vAlign w:val="center"/>
          </w:tcPr>
          <w:p w:rsidR="00912D22" w:rsidRPr="0008526E" w:rsidRDefault="00912D22" w:rsidP="00912D22">
            <w:pPr>
              <w:pStyle w:val="Tabletext"/>
            </w:pPr>
            <w:r w:rsidRPr="0008526E">
              <w:rPr>
                <w:szCs w:val="20"/>
              </w:rPr>
              <w:t xml:space="preserve">The KM estimates for PFS and OS </w:t>
            </w:r>
            <w:r w:rsidR="00A40DFA" w:rsidRPr="0008526E">
              <w:rPr>
                <w:szCs w:val="20"/>
              </w:rPr>
              <w:t xml:space="preserve">were </w:t>
            </w:r>
            <w:r w:rsidRPr="0008526E">
              <w:rPr>
                <w:szCs w:val="20"/>
              </w:rPr>
              <w:t>derived directly from the RESORCE trial.</w:t>
            </w:r>
          </w:p>
        </w:tc>
      </w:tr>
      <w:tr w:rsidR="00912D22" w:rsidRPr="0008526E" w:rsidTr="00912D22">
        <w:trPr>
          <w:trHeight w:val="157"/>
        </w:trPr>
        <w:tc>
          <w:tcPr>
            <w:tcW w:w="1640" w:type="pct"/>
            <w:vAlign w:val="center"/>
          </w:tcPr>
          <w:p w:rsidR="00912D22" w:rsidRPr="0008526E" w:rsidRDefault="00912D22" w:rsidP="00912D22">
            <w:pPr>
              <w:pStyle w:val="Tabletext"/>
            </w:pPr>
            <w:r w:rsidRPr="0008526E">
              <w:t>Software package</w:t>
            </w:r>
          </w:p>
        </w:tc>
        <w:tc>
          <w:tcPr>
            <w:tcW w:w="3360" w:type="pct"/>
            <w:vAlign w:val="center"/>
          </w:tcPr>
          <w:p w:rsidR="00912D22" w:rsidRPr="0008526E" w:rsidRDefault="00912D22" w:rsidP="00912D22">
            <w:pPr>
              <w:pStyle w:val="Tabletext"/>
            </w:pPr>
            <w:r w:rsidRPr="0008526E">
              <w:rPr>
                <w:szCs w:val="20"/>
              </w:rPr>
              <w:t>Microsoft Excel 2016</w:t>
            </w:r>
          </w:p>
        </w:tc>
      </w:tr>
    </w:tbl>
    <w:p w:rsidR="00912D22" w:rsidRPr="0008526E" w:rsidRDefault="00912D22" w:rsidP="00A40DFA">
      <w:pPr>
        <w:pStyle w:val="TableFooter"/>
      </w:pPr>
      <w:r w:rsidRPr="0008526E">
        <w:t xml:space="preserve">Abbreviations: </w:t>
      </w:r>
      <w:r w:rsidR="00240F6A" w:rsidRPr="0008526E">
        <w:t xml:space="preserve">AUC= area under the curve; </w:t>
      </w:r>
      <w:r w:rsidRPr="0008526E">
        <w:t xml:space="preserve">BSC= best supportive care; KM= Kaplan-Meier; LYG= life years gained; N/A= not applicable; OS= overall survival; PD= progressive disease; PFS= progression free survival; QALYs= quality adjusted life years. </w:t>
      </w:r>
    </w:p>
    <w:p w:rsidR="00912D22" w:rsidRPr="009C362D" w:rsidRDefault="00912D22" w:rsidP="009C362D">
      <w:pPr>
        <w:pStyle w:val="TableFooter"/>
        <w:spacing w:after="120"/>
        <w:rPr>
          <w:rStyle w:val="CommentReference"/>
          <w:b w:val="0"/>
          <w:sz w:val="18"/>
          <w:szCs w:val="22"/>
        </w:rPr>
      </w:pPr>
      <w:r w:rsidRPr="0008526E">
        <w:t>Source: Table 3-1, p. 105 of the submission.</w:t>
      </w:r>
    </w:p>
    <w:p w:rsidR="00912D22" w:rsidRPr="0008526E" w:rsidRDefault="00912D22" w:rsidP="00912D22">
      <w:pPr>
        <w:pStyle w:val="ListParagraph"/>
        <w:widowControl/>
        <w:numPr>
          <w:ilvl w:val="1"/>
          <w:numId w:val="3"/>
        </w:numPr>
      </w:pPr>
      <w:r w:rsidRPr="0008526E">
        <w:t xml:space="preserve">A summary of the key drivers of the model are shown in Table </w:t>
      </w:r>
      <w:r w:rsidR="00A40DFA" w:rsidRPr="0008526E">
        <w:t>10</w:t>
      </w:r>
      <w:r w:rsidRPr="0008526E">
        <w:t>.</w:t>
      </w:r>
    </w:p>
    <w:p w:rsidR="00912D22" w:rsidRPr="0008526E" w:rsidRDefault="00912D22" w:rsidP="005D0C00">
      <w:pPr>
        <w:keepNext/>
        <w:rPr>
          <w:rStyle w:val="CommentReference"/>
        </w:rPr>
      </w:pPr>
      <w:r w:rsidRPr="0008526E">
        <w:rPr>
          <w:rStyle w:val="CommentReference"/>
        </w:rPr>
        <w:t xml:space="preserve">Table </w:t>
      </w:r>
      <w:r w:rsidR="00A97AE9" w:rsidRPr="0008526E">
        <w:rPr>
          <w:rStyle w:val="CommentReference"/>
        </w:rPr>
        <w:t>10</w:t>
      </w:r>
      <w:r w:rsidRPr="0008526E">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6"/>
        <w:gridCol w:w="4652"/>
        <w:gridCol w:w="2705"/>
      </w:tblGrid>
      <w:tr w:rsidR="00912D22" w:rsidRPr="0008526E" w:rsidTr="00912D22">
        <w:trPr>
          <w:tblHeader/>
        </w:trPr>
        <w:tc>
          <w:tcPr>
            <w:tcW w:w="950" w:type="pct"/>
            <w:shd w:val="clear" w:color="auto" w:fill="auto"/>
            <w:vAlign w:val="center"/>
          </w:tcPr>
          <w:p w:rsidR="00912D22" w:rsidRPr="0008526E" w:rsidRDefault="00912D22" w:rsidP="005D0C00">
            <w:pPr>
              <w:pStyle w:val="Tabletext"/>
              <w:keepNext/>
              <w:rPr>
                <w:b/>
                <w:lang w:val="en-US"/>
              </w:rPr>
            </w:pPr>
            <w:r w:rsidRPr="0008526E">
              <w:rPr>
                <w:b/>
                <w:lang w:val="en-US"/>
              </w:rPr>
              <w:t>Description</w:t>
            </w:r>
          </w:p>
        </w:tc>
        <w:tc>
          <w:tcPr>
            <w:tcW w:w="2561" w:type="pct"/>
            <w:shd w:val="clear" w:color="auto" w:fill="auto"/>
            <w:vAlign w:val="center"/>
          </w:tcPr>
          <w:p w:rsidR="00912D22" w:rsidRPr="0008526E" w:rsidRDefault="00912D22" w:rsidP="005D0C00">
            <w:pPr>
              <w:pStyle w:val="Tabletext"/>
              <w:keepNext/>
              <w:jc w:val="center"/>
              <w:rPr>
                <w:b/>
                <w:lang w:val="en-US"/>
              </w:rPr>
            </w:pPr>
            <w:r w:rsidRPr="0008526E">
              <w:rPr>
                <w:b/>
                <w:lang w:val="en-US"/>
              </w:rPr>
              <w:t>Method/Value</w:t>
            </w:r>
          </w:p>
        </w:tc>
        <w:tc>
          <w:tcPr>
            <w:tcW w:w="1489" w:type="pct"/>
            <w:shd w:val="clear" w:color="auto" w:fill="auto"/>
            <w:vAlign w:val="center"/>
          </w:tcPr>
          <w:p w:rsidR="00912D22" w:rsidRPr="0008526E" w:rsidRDefault="00912D22" w:rsidP="005D0C00">
            <w:pPr>
              <w:pStyle w:val="Tabletext"/>
              <w:keepNext/>
              <w:jc w:val="center"/>
              <w:rPr>
                <w:b/>
                <w:lang w:val="en-US"/>
              </w:rPr>
            </w:pPr>
            <w:r w:rsidRPr="0008526E">
              <w:rPr>
                <w:b/>
                <w:lang w:val="en-US"/>
              </w:rPr>
              <w:t>Impact</w:t>
            </w:r>
          </w:p>
        </w:tc>
      </w:tr>
      <w:tr w:rsidR="00912D22" w:rsidRPr="0008526E" w:rsidTr="00912D22">
        <w:tc>
          <w:tcPr>
            <w:tcW w:w="950" w:type="pct"/>
            <w:shd w:val="clear" w:color="auto" w:fill="auto"/>
            <w:vAlign w:val="center"/>
          </w:tcPr>
          <w:p w:rsidR="00912D22" w:rsidRPr="0008526E" w:rsidRDefault="00816325" w:rsidP="005D0C00">
            <w:pPr>
              <w:pStyle w:val="Tabletext"/>
              <w:keepNext/>
              <w:rPr>
                <w:lang w:val="en-US"/>
              </w:rPr>
            </w:pPr>
            <w:r w:rsidRPr="0008526E">
              <w:rPr>
                <w:lang w:val="en-US"/>
              </w:rPr>
              <w:t>Application of extrapolation</w:t>
            </w:r>
            <w:r w:rsidRPr="0008526E" w:rsidDel="00816325">
              <w:rPr>
                <w:lang w:val="en-US"/>
              </w:rPr>
              <w:t xml:space="preserve"> </w:t>
            </w:r>
          </w:p>
        </w:tc>
        <w:tc>
          <w:tcPr>
            <w:tcW w:w="2561" w:type="pct"/>
            <w:shd w:val="clear" w:color="auto" w:fill="auto"/>
            <w:vAlign w:val="center"/>
          </w:tcPr>
          <w:p w:rsidR="00912D22" w:rsidRPr="0008526E" w:rsidRDefault="00912D22" w:rsidP="005D0C00">
            <w:pPr>
              <w:pStyle w:val="Tabletext"/>
              <w:keepNext/>
              <w:rPr>
                <w:lang w:val="en-US"/>
              </w:rPr>
            </w:pPr>
            <w:r w:rsidRPr="0008526E">
              <w:rPr>
                <w:lang w:val="en-US"/>
              </w:rPr>
              <w:t xml:space="preserve">Extrapolation was only </w:t>
            </w:r>
            <w:r w:rsidR="00816325" w:rsidRPr="0008526E">
              <w:rPr>
                <w:lang w:val="en-US"/>
              </w:rPr>
              <w:t xml:space="preserve">conducted </w:t>
            </w:r>
            <w:r w:rsidRPr="0008526E">
              <w:rPr>
                <w:lang w:val="en-US"/>
              </w:rPr>
              <w:t>for regorafenib</w:t>
            </w:r>
            <w:r w:rsidR="00816325" w:rsidRPr="0008526E">
              <w:rPr>
                <w:lang w:val="en-US"/>
              </w:rPr>
              <w:t>,</w:t>
            </w:r>
            <w:r w:rsidRPr="0008526E">
              <w:rPr>
                <w:lang w:val="en-US"/>
              </w:rPr>
              <w:t xml:space="preserve"> not BSC.</w:t>
            </w:r>
          </w:p>
          <w:p w:rsidR="00912D22" w:rsidRPr="0008526E" w:rsidRDefault="00816325" w:rsidP="005D0C00">
            <w:pPr>
              <w:pStyle w:val="Tabletext"/>
              <w:keepNext/>
              <w:rPr>
                <w:lang w:val="en-US"/>
              </w:rPr>
            </w:pPr>
            <w:r w:rsidRPr="0008526E">
              <w:t>The model assumed that the t</w:t>
            </w:r>
            <w:r w:rsidR="00912D22" w:rsidRPr="0008526E">
              <w:t>reatment effect continued beyond median follow-up of 7 months for up to 5 years.</w:t>
            </w:r>
          </w:p>
        </w:tc>
        <w:tc>
          <w:tcPr>
            <w:tcW w:w="1489" w:type="pct"/>
            <w:shd w:val="clear" w:color="auto" w:fill="auto"/>
            <w:vAlign w:val="center"/>
          </w:tcPr>
          <w:p w:rsidR="00912D22" w:rsidRPr="0008526E" w:rsidRDefault="00912D22" w:rsidP="005D0C00">
            <w:pPr>
              <w:pStyle w:val="Tabletext"/>
              <w:keepNext/>
              <w:rPr>
                <w:lang w:val="en-US"/>
              </w:rPr>
            </w:pPr>
            <w:r w:rsidRPr="0008526E">
              <w:rPr>
                <w:lang w:val="en-US"/>
              </w:rPr>
              <w:t>High, favour</w:t>
            </w:r>
            <w:r w:rsidR="00697986" w:rsidRPr="0008526E">
              <w:rPr>
                <w:lang w:val="en-US"/>
              </w:rPr>
              <w:t>ed</w:t>
            </w:r>
            <w:r w:rsidRPr="0008526E">
              <w:rPr>
                <w:lang w:val="en-US"/>
              </w:rPr>
              <w:t xml:space="preserve"> regorafenib</w:t>
            </w:r>
          </w:p>
        </w:tc>
      </w:tr>
      <w:tr w:rsidR="00816325" w:rsidRPr="0008526E" w:rsidTr="00912D22">
        <w:tc>
          <w:tcPr>
            <w:tcW w:w="950" w:type="pct"/>
            <w:shd w:val="clear" w:color="auto" w:fill="auto"/>
            <w:vAlign w:val="center"/>
          </w:tcPr>
          <w:p w:rsidR="00816325" w:rsidRPr="0008526E" w:rsidRDefault="00816325" w:rsidP="005D0C00">
            <w:pPr>
              <w:pStyle w:val="Tabletext"/>
              <w:keepNext/>
              <w:rPr>
                <w:lang w:val="en-US"/>
              </w:rPr>
            </w:pPr>
            <w:r w:rsidRPr="0008526E">
              <w:rPr>
                <w:lang w:val="en-US"/>
              </w:rPr>
              <w:t>Time point for extrapolation</w:t>
            </w:r>
          </w:p>
        </w:tc>
        <w:tc>
          <w:tcPr>
            <w:tcW w:w="2561" w:type="pct"/>
            <w:shd w:val="clear" w:color="auto" w:fill="auto"/>
            <w:vAlign w:val="center"/>
          </w:tcPr>
          <w:p w:rsidR="00816325" w:rsidRPr="0008526E" w:rsidRDefault="00816325" w:rsidP="005D0C00">
            <w:pPr>
              <w:pStyle w:val="Tabletext"/>
              <w:keepNext/>
              <w:rPr>
                <w:lang w:val="en-US"/>
              </w:rPr>
            </w:pPr>
            <w:r w:rsidRPr="0008526E">
              <w:rPr>
                <w:lang w:val="en-US"/>
              </w:rPr>
              <w:t xml:space="preserve">The model extrapolated from month 33 onwards for regorafenib only. This </w:t>
            </w:r>
            <w:r w:rsidR="00371F08" w:rsidRPr="0008526E">
              <w:rPr>
                <w:lang w:val="en-US"/>
              </w:rPr>
              <w:t>time point</w:t>
            </w:r>
            <w:r w:rsidRPr="0008526E">
              <w:rPr>
                <w:lang w:val="en-US"/>
              </w:rPr>
              <w:t xml:space="preserve"> was inappropriate due to the small numbers of patients at risk. </w:t>
            </w:r>
            <w:r w:rsidRPr="0008526E">
              <w:t>By extrapolating from month 33</w:t>
            </w:r>
            <w:r w:rsidR="00686B08" w:rsidRPr="0008526E">
              <w:t xml:space="preserve"> in the regorafenib arm</w:t>
            </w:r>
            <w:r w:rsidRPr="0008526E">
              <w:t>, the submission relied on highly uncertain data where there were no patients at risk</w:t>
            </w:r>
            <w:r w:rsidR="00240F6A" w:rsidRPr="0008526E">
              <w:t xml:space="preserve">. </w:t>
            </w:r>
          </w:p>
        </w:tc>
        <w:tc>
          <w:tcPr>
            <w:tcW w:w="1489" w:type="pct"/>
            <w:shd w:val="clear" w:color="auto" w:fill="auto"/>
            <w:vAlign w:val="center"/>
          </w:tcPr>
          <w:p w:rsidR="00816325" w:rsidRPr="0008526E" w:rsidRDefault="00816325" w:rsidP="005D0C00">
            <w:pPr>
              <w:pStyle w:val="Tabletext"/>
              <w:keepNext/>
              <w:rPr>
                <w:lang w:val="en-US"/>
              </w:rPr>
            </w:pPr>
            <w:r w:rsidRPr="0008526E">
              <w:rPr>
                <w:lang w:val="en-US"/>
              </w:rPr>
              <w:t>High, favoured regorafenib</w:t>
            </w:r>
          </w:p>
        </w:tc>
      </w:tr>
      <w:tr w:rsidR="00816325" w:rsidRPr="0008526E" w:rsidTr="00912D22">
        <w:tc>
          <w:tcPr>
            <w:tcW w:w="950" w:type="pct"/>
            <w:shd w:val="clear" w:color="auto" w:fill="auto"/>
            <w:vAlign w:val="center"/>
          </w:tcPr>
          <w:p w:rsidR="00816325" w:rsidRPr="0008526E" w:rsidRDefault="00816325" w:rsidP="005D0C00">
            <w:pPr>
              <w:pStyle w:val="Tabletext"/>
              <w:keepNext/>
              <w:rPr>
                <w:lang w:val="en-US"/>
              </w:rPr>
            </w:pPr>
            <w:r w:rsidRPr="0008526E">
              <w:rPr>
                <w:lang w:val="en-US"/>
              </w:rPr>
              <w:t>Time horizon</w:t>
            </w:r>
          </w:p>
        </w:tc>
        <w:tc>
          <w:tcPr>
            <w:tcW w:w="2561" w:type="pct"/>
            <w:shd w:val="clear" w:color="auto" w:fill="auto"/>
            <w:vAlign w:val="center"/>
          </w:tcPr>
          <w:p w:rsidR="00816325" w:rsidRPr="0008526E" w:rsidRDefault="00772C56" w:rsidP="005D0C00">
            <w:pPr>
              <w:pStyle w:val="Tabletext"/>
              <w:keepNext/>
              <w:rPr>
                <w:lang w:val="en-US"/>
              </w:rPr>
            </w:pPr>
            <w:r w:rsidRPr="0008526E">
              <w:t xml:space="preserve">Applying extrapolations for regorafenib only over a </w:t>
            </w:r>
            <w:r w:rsidR="00816325" w:rsidRPr="0008526E">
              <w:t>5-year time horizon resulted in a 34% reduction in the ICER when comparing it to the trial duration period (3</w:t>
            </w:r>
            <w:r w:rsidR="00240F6A" w:rsidRPr="0008526E">
              <w:t>3</w:t>
            </w:r>
            <w:r w:rsidR="00816325" w:rsidRPr="0008526E">
              <w:t xml:space="preserve"> months).</w:t>
            </w:r>
          </w:p>
        </w:tc>
        <w:tc>
          <w:tcPr>
            <w:tcW w:w="1489" w:type="pct"/>
            <w:shd w:val="clear" w:color="auto" w:fill="auto"/>
            <w:vAlign w:val="center"/>
          </w:tcPr>
          <w:p w:rsidR="00816325" w:rsidRPr="007B21B1" w:rsidRDefault="00816325" w:rsidP="005D0C00">
            <w:pPr>
              <w:pStyle w:val="Tabletext"/>
              <w:keepNext/>
              <w:rPr>
                <w:lang w:val="en-US"/>
              </w:rPr>
            </w:pPr>
            <w:r w:rsidRPr="0008526E">
              <w:rPr>
                <w:lang w:val="en-US"/>
              </w:rPr>
              <w:t xml:space="preserve">High, favoured </w:t>
            </w:r>
            <w:r w:rsidRPr="00717534">
              <w:rPr>
                <w:lang w:val="en-US"/>
              </w:rPr>
              <w:t>regorafenib</w:t>
            </w:r>
            <w:r w:rsidR="00FB0E6E" w:rsidRPr="003606EB">
              <w:rPr>
                <w:lang w:val="en-US"/>
              </w:rPr>
              <w:t xml:space="preserve">. </w:t>
            </w:r>
            <w:r w:rsidR="007B21B1" w:rsidRPr="003606EB">
              <w:rPr>
                <w:lang w:val="en-US"/>
              </w:rPr>
              <w:t xml:space="preserve">The ESC </w:t>
            </w:r>
            <w:r w:rsidR="004C586F" w:rsidRPr="003606EB">
              <w:rPr>
                <w:lang w:val="en-US"/>
              </w:rPr>
              <w:t>considered that while</w:t>
            </w:r>
            <w:r w:rsidR="007B21B1" w:rsidRPr="003606EB">
              <w:rPr>
                <w:lang w:val="en-US"/>
              </w:rPr>
              <w:t xml:space="preserve"> a five-year time horizon may be appropriate in this patient population</w:t>
            </w:r>
            <w:r w:rsidR="004C586F" w:rsidRPr="003606EB">
              <w:rPr>
                <w:lang w:val="en-US"/>
              </w:rPr>
              <w:t xml:space="preserve">, it was inappropriate to have not </w:t>
            </w:r>
            <w:r w:rsidR="007B21B1" w:rsidRPr="003606EB">
              <w:rPr>
                <w:lang w:val="en-US"/>
              </w:rPr>
              <w:t>extrapolat</w:t>
            </w:r>
            <w:r w:rsidR="004C586F" w:rsidRPr="003606EB">
              <w:rPr>
                <w:lang w:val="en-US"/>
              </w:rPr>
              <w:t>ed</w:t>
            </w:r>
            <w:r w:rsidR="007B21B1" w:rsidRPr="003606EB">
              <w:rPr>
                <w:lang w:val="en-US"/>
              </w:rPr>
              <w:t xml:space="preserve"> the BSC arm over that time horizon</w:t>
            </w:r>
            <w:r w:rsidR="004C586F" w:rsidRPr="003606EB">
              <w:rPr>
                <w:lang w:val="en-US"/>
              </w:rPr>
              <w:t>.</w:t>
            </w:r>
            <w:r w:rsidR="007B21B1" w:rsidRPr="003606EB">
              <w:rPr>
                <w:lang w:val="en-US"/>
              </w:rPr>
              <w:t xml:space="preserve"> </w:t>
            </w:r>
          </w:p>
        </w:tc>
      </w:tr>
      <w:tr w:rsidR="00816325" w:rsidRPr="0008526E" w:rsidTr="00912D22">
        <w:tc>
          <w:tcPr>
            <w:tcW w:w="950" w:type="pct"/>
            <w:shd w:val="clear" w:color="auto" w:fill="auto"/>
            <w:vAlign w:val="center"/>
          </w:tcPr>
          <w:p w:rsidR="00816325" w:rsidRPr="0008526E" w:rsidRDefault="00816325" w:rsidP="005D0C00">
            <w:pPr>
              <w:pStyle w:val="Tabletext"/>
              <w:keepNext/>
              <w:rPr>
                <w:lang w:val="en-US"/>
              </w:rPr>
            </w:pPr>
            <w:r w:rsidRPr="0008526E">
              <w:rPr>
                <w:lang w:val="en-US"/>
              </w:rPr>
              <w:t>Utilities</w:t>
            </w:r>
          </w:p>
        </w:tc>
        <w:tc>
          <w:tcPr>
            <w:tcW w:w="2561" w:type="pct"/>
            <w:shd w:val="clear" w:color="auto" w:fill="auto"/>
            <w:vAlign w:val="center"/>
          </w:tcPr>
          <w:p w:rsidR="00816325" w:rsidRPr="0008526E" w:rsidRDefault="00816325" w:rsidP="005D0C00">
            <w:pPr>
              <w:pStyle w:val="Tabletext"/>
              <w:keepNext/>
              <w:rPr>
                <w:lang w:val="en-US"/>
              </w:rPr>
            </w:pPr>
            <w:r w:rsidRPr="0008526E">
              <w:t xml:space="preserve">The model used average utility per health state. These assumed patients had an equivalent quality of life independent of whether they were receiving regorafenib or BSC. This contrasts </w:t>
            </w:r>
            <w:r w:rsidR="00A96787" w:rsidRPr="0008526E">
              <w:t xml:space="preserve">with </w:t>
            </w:r>
            <w:r w:rsidRPr="0008526E">
              <w:t>the findings of the trial where the utility values were, on average, lower but not statistically different for regorafenib patients compared to BSC.</w:t>
            </w:r>
          </w:p>
        </w:tc>
        <w:tc>
          <w:tcPr>
            <w:tcW w:w="1489" w:type="pct"/>
            <w:shd w:val="clear" w:color="auto" w:fill="auto"/>
            <w:vAlign w:val="center"/>
          </w:tcPr>
          <w:p w:rsidR="00816325" w:rsidRPr="0008526E" w:rsidRDefault="00816325" w:rsidP="005D0C00">
            <w:pPr>
              <w:pStyle w:val="Tabletext"/>
              <w:keepNext/>
              <w:rPr>
                <w:lang w:val="en-US"/>
              </w:rPr>
            </w:pPr>
            <w:r w:rsidRPr="0008526E">
              <w:rPr>
                <w:lang w:val="en-US"/>
              </w:rPr>
              <w:t>Moderate, favoured regorafenib</w:t>
            </w:r>
          </w:p>
        </w:tc>
      </w:tr>
    </w:tbl>
    <w:p w:rsidR="00A97AE9" w:rsidRPr="0008526E" w:rsidRDefault="00A97AE9" w:rsidP="00A97AE9">
      <w:pPr>
        <w:pStyle w:val="TableFooter"/>
      </w:pPr>
      <w:r w:rsidRPr="0008526E">
        <w:t>Source: Table 3-25, p. 177 of the submission.</w:t>
      </w:r>
    </w:p>
    <w:p w:rsidR="00912D22" w:rsidRPr="009C362D" w:rsidRDefault="00816325" w:rsidP="009C362D">
      <w:pPr>
        <w:pStyle w:val="TableFooter"/>
        <w:spacing w:after="120"/>
        <w:rPr>
          <w:sz w:val="20"/>
        </w:rPr>
      </w:pPr>
      <w:r w:rsidRPr="0008526E">
        <w:t xml:space="preserve">Abbreviations: </w:t>
      </w:r>
      <w:r w:rsidR="00E42B76" w:rsidRPr="0008526E">
        <w:t>BSC= best supportive care; ICER= incremental cost effectiveness ratio</w:t>
      </w:r>
    </w:p>
    <w:p w:rsidR="00D47CDC" w:rsidRPr="0008526E" w:rsidRDefault="005331A3" w:rsidP="00D47CDC">
      <w:pPr>
        <w:pStyle w:val="ListParagraph"/>
        <w:numPr>
          <w:ilvl w:val="1"/>
          <w:numId w:val="3"/>
        </w:numPr>
      </w:pPr>
      <w:r w:rsidRPr="0008526E">
        <w:t>In contrast with t</w:t>
      </w:r>
      <w:r w:rsidR="00E177C7" w:rsidRPr="0008526E">
        <w:t>he proposed restriction,</w:t>
      </w:r>
      <w:r w:rsidR="00371F08" w:rsidRPr="0008526E">
        <w:t xml:space="preserve"> </w:t>
      </w:r>
      <w:r w:rsidR="00D47CDC" w:rsidRPr="0008526E">
        <w:t xml:space="preserve">patients in the trial could continue receiving treatment after progression was established if, in the opinion of the investigator, the treatment was still providing clinical benefit. </w:t>
      </w:r>
      <w:r w:rsidR="004D75FC" w:rsidRPr="003606EB">
        <w:t>The ESC noted that</w:t>
      </w:r>
      <w:r w:rsidR="004D75FC" w:rsidRPr="004D75FC">
        <w:rPr>
          <w:i/>
        </w:rPr>
        <w:t xml:space="preserve"> </w:t>
      </w:r>
      <w:r w:rsidR="004D75FC">
        <w:t>t</w:t>
      </w:r>
      <w:r w:rsidR="004D75FC" w:rsidRPr="0008526E">
        <w:t xml:space="preserve">he </w:t>
      </w:r>
      <w:r w:rsidR="00E177C7" w:rsidRPr="0008526E">
        <w:t>survival advantage for regorafenib observed in the RESORCE trial may thus capture use beyond progression and may therefore exceed what might be expected in clinical practice in Australia.</w:t>
      </w:r>
      <w:r w:rsidR="00657BA1">
        <w:t xml:space="preserve"> The pre-PBAC response indicated that in the RESORCE trial </w:t>
      </w:r>
      <w:r w:rsidR="003D2E60">
        <w:t>37% of patients</w:t>
      </w:r>
      <w:r w:rsidR="00657BA1">
        <w:t xml:space="preserve"> continue</w:t>
      </w:r>
      <w:r w:rsidR="003D2E60">
        <w:t>d</w:t>
      </w:r>
      <w:r w:rsidR="00657BA1">
        <w:t xml:space="preserve"> treatment </w:t>
      </w:r>
      <w:r w:rsidR="003D2E60">
        <w:t xml:space="preserve">for 7 days or more </w:t>
      </w:r>
      <w:r w:rsidR="00657BA1">
        <w:t>beyo</w:t>
      </w:r>
      <w:r w:rsidR="003D2E60">
        <w:t>n</w:t>
      </w:r>
      <w:r w:rsidR="00657BA1">
        <w:t xml:space="preserve">d </w:t>
      </w:r>
      <w:r w:rsidR="003D2E60">
        <w:t xml:space="preserve">radiological </w:t>
      </w:r>
      <w:r w:rsidR="00657BA1">
        <w:t>progression</w:t>
      </w:r>
      <w:r w:rsidR="003D2E60">
        <w:t xml:space="preserve"> (40% in the placebo arm and 35% in the regorafenib arm). The sponsor suggested that this would be consistent with current Australian clinical practice where some patients continue treatment until clinical progression (ECOG ≥3) or symptomatic progression.</w:t>
      </w:r>
    </w:p>
    <w:p w:rsidR="003F3349" w:rsidRDefault="003F3349" w:rsidP="003F3349">
      <w:pPr>
        <w:pStyle w:val="ListParagraph"/>
        <w:numPr>
          <w:ilvl w:val="1"/>
          <w:numId w:val="3"/>
        </w:numPr>
      </w:pPr>
      <w:r w:rsidRPr="003F3349">
        <w:t xml:space="preserve">The submission claimed that the extrapolation for PFS was supported by the data which showed 3% of patients were free of disease progression at </w:t>
      </w:r>
      <w:r w:rsidR="007B21B1" w:rsidRPr="003F3349">
        <w:t>the end</w:t>
      </w:r>
      <w:r w:rsidRPr="003F3349">
        <w:t xml:space="preserve"> of study follow-up. The submission relied on data that were highly uncertain; no patients were at risk at month 27</w:t>
      </w:r>
      <w:r>
        <w:t>.</w:t>
      </w:r>
    </w:p>
    <w:p w:rsidR="009D7633" w:rsidRPr="009D7633" w:rsidRDefault="009D7633" w:rsidP="009D7633">
      <w:pPr>
        <w:pStyle w:val="ListParagraph"/>
        <w:numPr>
          <w:ilvl w:val="1"/>
          <w:numId w:val="3"/>
        </w:numPr>
      </w:pPr>
      <w:r w:rsidRPr="009D7633">
        <w:t xml:space="preserve">Only costs and outcomes in the regorafenib arm were extrapolated to five years. No extrapolations were applied to BSC. This is likely to have biased the results in favour of regorafenib. </w:t>
      </w:r>
    </w:p>
    <w:p w:rsidR="00071016" w:rsidRDefault="00071016" w:rsidP="00071016">
      <w:pPr>
        <w:pStyle w:val="ListParagraph"/>
        <w:numPr>
          <w:ilvl w:val="1"/>
          <w:numId w:val="3"/>
        </w:numPr>
      </w:pPr>
      <w:r w:rsidRPr="0008526E">
        <w:t xml:space="preserve">The </w:t>
      </w:r>
      <w:r>
        <w:t xml:space="preserve">economic </w:t>
      </w:r>
      <w:r w:rsidRPr="0008526E">
        <w:t xml:space="preserve">model presented in the submission did not contain sufficient data to allow the BSC data to be extrapolated in the same manner as the regorafenib arm, rendering the sensitivity analyses provided around the regorafenib only arm of limited value to the overall assessment of cost-effectiveness. </w:t>
      </w:r>
    </w:p>
    <w:p w:rsidR="00071016" w:rsidRPr="003606EB" w:rsidRDefault="00071016" w:rsidP="00071016">
      <w:pPr>
        <w:pStyle w:val="ListParagraph"/>
        <w:numPr>
          <w:ilvl w:val="2"/>
          <w:numId w:val="3"/>
        </w:numPr>
        <w:tabs>
          <w:tab w:val="left" w:pos="993"/>
        </w:tabs>
        <w:ind w:left="993" w:hanging="284"/>
      </w:pPr>
      <w:r w:rsidRPr="003606EB">
        <w:t xml:space="preserve">The PSCR argued that since a reasonable number of patients were still free of progression (3%) and alive (16%) in the regorafenib group (versus no patients in BSC group) at the end of the trial follow-up period, the base case economic model only considered the results of the regorafenib treatment arm extrapolated to the time horizon of 5 years. </w:t>
      </w:r>
    </w:p>
    <w:p w:rsidR="00071016" w:rsidRPr="005D238F" w:rsidRDefault="00071016" w:rsidP="00071016">
      <w:pPr>
        <w:pStyle w:val="ListParagraph"/>
        <w:numPr>
          <w:ilvl w:val="2"/>
          <w:numId w:val="3"/>
        </w:numPr>
        <w:tabs>
          <w:tab w:val="left" w:pos="993"/>
        </w:tabs>
        <w:ind w:left="993" w:hanging="284"/>
      </w:pPr>
      <w:r w:rsidRPr="003606EB">
        <w:t xml:space="preserve">However, the ESC noted that the updated </w:t>
      </w:r>
      <w:r w:rsidRPr="003606EB">
        <w:rPr>
          <w:rFonts w:asciiTheme="minorHAnsi" w:hAnsiTheme="minorHAnsi" w:cstheme="minorHAnsi"/>
        </w:rPr>
        <w:t xml:space="preserve">Kaplan-Meier curves provided in the PSCR </w:t>
      </w:r>
      <w:r w:rsidRPr="003606EB">
        <w:t xml:space="preserve">indicated that </w:t>
      </w:r>
      <w:r w:rsidRPr="003606EB">
        <w:rPr>
          <w:rFonts w:asciiTheme="minorHAnsi" w:hAnsiTheme="minorHAnsi" w:cstheme="minorHAnsi"/>
        </w:rPr>
        <w:t>at 30 months, 9% of the patients in the BSC arm were still alive. The ESC therefore considered that it was inappropriate for the submission to have extrapolated the regorafenib arm alone.</w:t>
      </w:r>
    </w:p>
    <w:p w:rsidR="00071016" w:rsidRPr="003606EB" w:rsidRDefault="00071016" w:rsidP="00071016">
      <w:pPr>
        <w:pStyle w:val="ListParagraph"/>
        <w:numPr>
          <w:ilvl w:val="2"/>
          <w:numId w:val="3"/>
        </w:numPr>
        <w:tabs>
          <w:tab w:val="left" w:pos="993"/>
        </w:tabs>
        <w:ind w:left="993" w:hanging="284"/>
      </w:pPr>
      <w:r>
        <w:rPr>
          <w:rFonts w:asciiTheme="minorHAnsi" w:hAnsiTheme="minorHAnsi" w:cstheme="minorHAnsi"/>
        </w:rPr>
        <w:t xml:space="preserve">The PBAC noted that the pre-PBAC response provided univariate and multivariate sensitivity analyses that extrapolated both the regorafenib and BSC arms. The PBAC agreed with ESC that outcomes and costs for both arms should be extrapolated. </w:t>
      </w:r>
    </w:p>
    <w:p w:rsidR="00751A3B" w:rsidRPr="00751A3B" w:rsidRDefault="000D5959" w:rsidP="00662CFB">
      <w:pPr>
        <w:pStyle w:val="ListParagraph"/>
        <w:numPr>
          <w:ilvl w:val="1"/>
          <w:numId w:val="3"/>
        </w:numPr>
      </w:pPr>
      <w:r w:rsidRPr="0008526E">
        <w:t>For OS</w:t>
      </w:r>
      <w:r w:rsidR="006D6258" w:rsidRPr="0008526E">
        <w:t>,</w:t>
      </w:r>
      <w:r w:rsidRPr="0008526E">
        <w:t xml:space="preserve"> a</w:t>
      </w:r>
      <w:r w:rsidR="00CE3210" w:rsidRPr="0008526E">
        <w:t xml:space="preserve"> Gompertz distribution was fitted from day 112 (cycle 4) onwards in </w:t>
      </w:r>
      <w:r w:rsidR="00371F08" w:rsidRPr="0008526E">
        <w:t>the base</w:t>
      </w:r>
      <w:r w:rsidR="00CE3210" w:rsidRPr="0008526E">
        <w:t xml:space="preserve"> case. Thus, the data used to inform the extrapolation function excluded the first 112 days of the observed data. </w:t>
      </w:r>
      <w:r w:rsidR="00011917" w:rsidRPr="0008526E">
        <w:rPr>
          <w:rFonts w:asciiTheme="minorHAnsi" w:hAnsiTheme="minorHAnsi" w:cs="Times New Roman"/>
        </w:rPr>
        <w:t xml:space="preserve">No other testing, other than visual inspection, was used to justify the </w:t>
      </w:r>
      <w:r w:rsidR="006D6258" w:rsidRPr="0008526E">
        <w:rPr>
          <w:rFonts w:asciiTheme="minorHAnsi" w:hAnsiTheme="minorHAnsi" w:cs="Times New Roman"/>
        </w:rPr>
        <w:t>point for extrapolation</w:t>
      </w:r>
      <w:r w:rsidR="00011917" w:rsidRPr="0008526E">
        <w:rPr>
          <w:rFonts w:asciiTheme="minorHAnsi" w:hAnsiTheme="minorHAnsi" w:cs="Times New Roman"/>
        </w:rPr>
        <w:t xml:space="preserve">. </w:t>
      </w:r>
      <w:r w:rsidR="00CE3210" w:rsidRPr="0008526E">
        <w:t>This</w:t>
      </w:r>
      <w:r w:rsidR="00C84B04" w:rsidRPr="0008526E">
        <w:t xml:space="preserve"> was potentially</w:t>
      </w:r>
      <w:r w:rsidR="00CE3210" w:rsidRPr="0008526E">
        <w:t xml:space="preserve"> significant given that the median follow-up in the trial was only 7 months. </w:t>
      </w:r>
      <w:r w:rsidR="00ED204F" w:rsidRPr="0008526E">
        <w:t xml:space="preserve">In a sensitivity analysis, the submission applied a </w:t>
      </w:r>
      <w:r w:rsidR="00DC7D69" w:rsidRPr="0008526E">
        <w:t xml:space="preserve">dependant model </w:t>
      </w:r>
      <w:r w:rsidR="00ED204F" w:rsidRPr="0008526E">
        <w:t xml:space="preserve">to the extrapolation of all the available data for </w:t>
      </w:r>
      <w:r w:rsidR="00D47CDC" w:rsidRPr="0008526E">
        <w:t xml:space="preserve">the </w:t>
      </w:r>
      <w:r w:rsidR="00ED204F" w:rsidRPr="0008526E">
        <w:t xml:space="preserve">regorafenib </w:t>
      </w:r>
      <w:r w:rsidR="00D47CDC" w:rsidRPr="0008526E">
        <w:t>arm</w:t>
      </w:r>
      <w:r w:rsidR="00ED204F" w:rsidRPr="0008526E">
        <w:t xml:space="preserve">, and </w:t>
      </w:r>
      <w:r w:rsidR="00DC7D69" w:rsidRPr="0008526E">
        <w:t>assuming a Gompertz distribution</w:t>
      </w:r>
      <w:r w:rsidR="00ED204F" w:rsidRPr="0008526E">
        <w:t xml:space="preserve">, </w:t>
      </w:r>
      <w:r w:rsidR="00A93521" w:rsidRPr="0008526E">
        <w:t xml:space="preserve">resulting in an </w:t>
      </w:r>
      <w:r w:rsidR="00D47CDC" w:rsidRPr="0008526E">
        <w:t>increas</w:t>
      </w:r>
      <w:r w:rsidR="00A93521" w:rsidRPr="0008526E">
        <w:t xml:space="preserve">ed </w:t>
      </w:r>
      <w:r w:rsidR="00DC7D69" w:rsidRPr="0008526E">
        <w:t xml:space="preserve">ICER </w:t>
      </w:r>
      <w:r w:rsidR="00D47CDC" w:rsidRPr="0008526E">
        <w:t>from a base case of</w:t>
      </w:r>
      <w:r w:rsidR="00C1407E">
        <w:t xml:space="preserve"> $45,000/QALY - $75,000/QALY</w:t>
      </w:r>
      <w:r w:rsidR="00DC7D69" w:rsidRPr="0008526E">
        <w:t>.</w:t>
      </w:r>
      <w:r w:rsidR="0030602D" w:rsidRPr="0030602D">
        <w:rPr>
          <w:rFonts w:asciiTheme="minorHAnsi" w:hAnsiTheme="minorHAnsi"/>
          <w:i/>
          <w:szCs w:val="24"/>
        </w:rPr>
        <w:t xml:space="preserve"> </w:t>
      </w:r>
    </w:p>
    <w:p w:rsidR="009C6FD3" w:rsidRPr="003606EB" w:rsidRDefault="0030602D" w:rsidP="009C6FD3">
      <w:pPr>
        <w:pStyle w:val="ListParagraph"/>
        <w:numPr>
          <w:ilvl w:val="2"/>
          <w:numId w:val="3"/>
        </w:numPr>
        <w:tabs>
          <w:tab w:val="left" w:pos="993"/>
        </w:tabs>
        <w:ind w:left="993" w:hanging="284"/>
      </w:pPr>
      <w:r w:rsidRPr="003606EB">
        <w:rPr>
          <w:rFonts w:asciiTheme="minorHAnsi" w:hAnsiTheme="minorHAnsi"/>
          <w:szCs w:val="24"/>
        </w:rPr>
        <w:t xml:space="preserve">The PSCR </w:t>
      </w:r>
      <w:r w:rsidR="009C6FD3" w:rsidRPr="003606EB">
        <w:rPr>
          <w:rFonts w:asciiTheme="minorHAnsi" w:hAnsiTheme="minorHAnsi"/>
          <w:szCs w:val="24"/>
        </w:rPr>
        <w:t xml:space="preserve">disagreed that the choice of inflection point for the base case was inappropriate due to the median follow-up duration of 7 months, noting that a 56-day inflection point (i.e. excluding the first 56 days of data in informing the extrapolation) had a minimal impact on the ICER.  </w:t>
      </w:r>
    </w:p>
    <w:p w:rsidR="009C6FD3" w:rsidRPr="009F2C20" w:rsidRDefault="009C6FD3" w:rsidP="009C6FD3">
      <w:pPr>
        <w:pStyle w:val="ListParagraph"/>
        <w:numPr>
          <w:ilvl w:val="2"/>
          <w:numId w:val="3"/>
        </w:numPr>
        <w:tabs>
          <w:tab w:val="left" w:pos="993"/>
        </w:tabs>
        <w:ind w:left="993" w:hanging="284"/>
      </w:pPr>
      <w:r w:rsidRPr="003606EB">
        <w:rPr>
          <w:rFonts w:asciiTheme="minorHAnsi" w:hAnsiTheme="minorHAnsi"/>
          <w:szCs w:val="24"/>
        </w:rPr>
        <w:t xml:space="preserve">The ESC noted </w:t>
      </w:r>
      <w:r w:rsidR="009A3DDA">
        <w:rPr>
          <w:rFonts w:asciiTheme="minorHAnsi" w:hAnsiTheme="minorHAnsi"/>
          <w:szCs w:val="24"/>
        </w:rPr>
        <w:t>the</w:t>
      </w:r>
      <w:r w:rsidRPr="003606EB">
        <w:rPr>
          <w:rFonts w:asciiTheme="minorHAnsi" w:hAnsiTheme="minorHAnsi"/>
          <w:szCs w:val="24"/>
        </w:rPr>
        <w:t xml:space="preserve"> PSCR’s arguments, but considered that the means of choosing the inflection point remained arbitrary</w:t>
      </w:r>
      <w:r w:rsidR="009C324D" w:rsidRPr="003606EB">
        <w:rPr>
          <w:rFonts w:asciiTheme="minorHAnsi" w:hAnsiTheme="minorHAnsi"/>
          <w:szCs w:val="24"/>
        </w:rPr>
        <w:t xml:space="preserve">, </w:t>
      </w:r>
      <w:r w:rsidR="004C586F" w:rsidRPr="003606EB">
        <w:rPr>
          <w:rFonts w:asciiTheme="minorHAnsi" w:hAnsiTheme="minorHAnsi"/>
          <w:szCs w:val="24"/>
        </w:rPr>
        <w:t>given that</w:t>
      </w:r>
      <w:r w:rsidR="002D77B0" w:rsidRPr="003606EB">
        <w:rPr>
          <w:rFonts w:asciiTheme="minorHAnsi" w:hAnsiTheme="minorHAnsi"/>
          <w:szCs w:val="24"/>
        </w:rPr>
        <w:t xml:space="preserve"> </w:t>
      </w:r>
      <w:r w:rsidR="004C586F" w:rsidRPr="003606EB">
        <w:rPr>
          <w:rFonts w:asciiTheme="minorHAnsi" w:hAnsiTheme="minorHAnsi"/>
          <w:szCs w:val="24"/>
        </w:rPr>
        <w:t>an adequately strong justification for not using all observed data to inform the extrapolation was not provided.</w:t>
      </w:r>
    </w:p>
    <w:p w:rsidR="009F2C20" w:rsidRPr="003606EB" w:rsidRDefault="009F2C20" w:rsidP="009C6FD3">
      <w:pPr>
        <w:pStyle w:val="ListParagraph"/>
        <w:numPr>
          <w:ilvl w:val="2"/>
          <w:numId w:val="3"/>
        </w:numPr>
        <w:tabs>
          <w:tab w:val="left" w:pos="993"/>
        </w:tabs>
        <w:ind w:left="993" w:hanging="284"/>
      </w:pPr>
      <w:r>
        <w:rPr>
          <w:rFonts w:asciiTheme="minorHAnsi" w:hAnsiTheme="minorHAnsi"/>
          <w:szCs w:val="24"/>
        </w:rPr>
        <w:t>The PBAC agreed with ESC that the piecewise extrapolation</w:t>
      </w:r>
      <w:r w:rsidR="00A31E38">
        <w:rPr>
          <w:rFonts w:asciiTheme="minorHAnsi" w:hAnsiTheme="minorHAnsi"/>
          <w:szCs w:val="24"/>
        </w:rPr>
        <w:t xml:space="preserve"> with the Gompertz</w:t>
      </w:r>
      <w:r>
        <w:rPr>
          <w:rFonts w:asciiTheme="minorHAnsi" w:hAnsiTheme="minorHAnsi"/>
          <w:szCs w:val="24"/>
        </w:rPr>
        <w:t xml:space="preserve"> function was inappropriate and noted that sensitivity analyses were provided in the pre-PBAC </w:t>
      </w:r>
      <w:r w:rsidR="00A31E38">
        <w:rPr>
          <w:rFonts w:asciiTheme="minorHAnsi" w:hAnsiTheme="minorHAnsi"/>
          <w:szCs w:val="24"/>
        </w:rPr>
        <w:t xml:space="preserve">which </w:t>
      </w:r>
      <w:r>
        <w:rPr>
          <w:rFonts w:asciiTheme="minorHAnsi" w:hAnsiTheme="minorHAnsi"/>
          <w:szCs w:val="24"/>
        </w:rPr>
        <w:t>did not use this approach.</w:t>
      </w:r>
    </w:p>
    <w:p w:rsidR="008764CE" w:rsidRPr="0008526E" w:rsidRDefault="001709BE" w:rsidP="008764CE">
      <w:pPr>
        <w:pStyle w:val="ListParagraph"/>
        <w:numPr>
          <w:ilvl w:val="1"/>
          <w:numId w:val="3"/>
        </w:numPr>
      </w:pPr>
      <w:r w:rsidRPr="0008526E">
        <w:t>Use of the Weibull instead of the Gompertz function for extrapolation</w:t>
      </w:r>
      <w:r w:rsidR="00A93521" w:rsidRPr="0008526E">
        <w:t xml:space="preserve"> of the regorafenib </w:t>
      </w:r>
      <w:r w:rsidR="001B2910">
        <w:t xml:space="preserve">OS </w:t>
      </w:r>
      <w:r w:rsidR="00A93521" w:rsidRPr="0008526E">
        <w:t>data</w:t>
      </w:r>
      <w:r w:rsidRPr="0008526E">
        <w:t xml:space="preserve"> had a minimal impact on the ICER (increasing</w:t>
      </w:r>
      <w:r w:rsidR="00C1407E">
        <w:t xml:space="preserve"> by 5.5%</w:t>
      </w:r>
      <w:r w:rsidRPr="0008526E">
        <w:t xml:space="preserve">). </w:t>
      </w:r>
      <w:r w:rsidR="00A93521" w:rsidRPr="0008526E">
        <w:t xml:space="preserve">In the absence of extrapolation for the BSC arm, there </w:t>
      </w:r>
      <w:r w:rsidR="00686B08" w:rsidRPr="0008526E">
        <w:t>wa</w:t>
      </w:r>
      <w:r w:rsidR="00A93521" w:rsidRPr="0008526E">
        <w:t>s considerable uncertainty associated with these ratios, despite the minimal impact observed from changing the form of the extrapolation function applied.</w:t>
      </w:r>
      <w:r w:rsidRPr="0008526E">
        <w:t xml:space="preserve"> </w:t>
      </w:r>
    </w:p>
    <w:p w:rsidR="002676CF" w:rsidRPr="002676CF" w:rsidRDefault="00DC7D69" w:rsidP="009B2C57">
      <w:pPr>
        <w:pStyle w:val="ListParagraph"/>
        <w:numPr>
          <w:ilvl w:val="1"/>
          <w:numId w:val="3"/>
        </w:numPr>
        <w:rPr>
          <w:rFonts w:asciiTheme="minorHAnsi" w:hAnsiTheme="minorHAnsi"/>
          <w:i/>
          <w:szCs w:val="24"/>
        </w:rPr>
      </w:pPr>
      <w:r w:rsidRPr="0008526E">
        <w:t xml:space="preserve">The submission applied its extrapolation of the regorafenib </w:t>
      </w:r>
      <w:r w:rsidR="002676CF">
        <w:t xml:space="preserve">OS and PFS </w:t>
      </w:r>
      <w:r w:rsidRPr="0008526E">
        <w:t xml:space="preserve">data from month 33 onwards. </w:t>
      </w:r>
    </w:p>
    <w:p w:rsidR="00372B49" w:rsidRDefault="00CE3210" w:rsidP="002676CF">
      <w:pPr>
        <w:pStyle w:val="ListParagraph"/>
        <w:numPr>
          <w:ilvl w:val="2"/>
          <w:numId w:val="3"/>
        </w:numPr>
        <w:tabs>
          <w:tab w:val="left" w:pos="993"/>
        </w:tabs>
        <w:ind w:left="993" w:hanging="284"/>
        <w:rPr>
          <w:rFonts w:asciiTheme="minorHAnsi" w:hAnsiTheme="minorHAnsi"/>
          <w:i/>
          <w:szCs w:val="24"/>
        </w:rPr>
      </w:pPr>
      <w:r w:rsidRPr="003606EB">
        <w:t xml:space="preserve">The </w:t>
      </w:r>
      <w:r w:rsidR="00600195" w:rsidRPr="003606EB">
        <w:t xml:space="preserve">ESC noted that </w:t>
      </w:r>
      <w:r w:rsidR="00DC7D69" w:rsidRPr="003606EB">
        <w:t xml:space="preserve">submission thus relied on highly uncertain data </w:t>
      </w:r>
      <w:r w:rsidR="0097232A" w:rsidRPr="003606EB">
        <w:t xml:space="preserve">as the Kaplan-Meier plots for both OS and PFS were driven by a small number of at-risk patients </w:t>
      </w:r>
      <w:r w:rsidR="00372B49" w:rsidRPr="003606EB">
        <w:t>at 33 months</w:t>
      </w:r>
      <w:r w:rsidR="00DC7D69" w:rsidRPr="003606EB">
        <w:t>.</w:t>
      </w:r>
      <w:r w:rsidR="00DC7D69" w:rsidRPr="0097232A">
        <w:rPr>
          <w:i/>
        </w:rPr>
        <w:t xml:space="preserve"> </w:t>
      </w:r>
      <w:r w:rsidR="00DC7D69" w:rsidRPr="0008526E">
        <w:t xml:space="preserve">The </w:t>
      </w:r>
      <w:r w:rsidRPr="0008526E">
        <w:t>extremely low number of patients at risk observed in the last months of the trial follow up period</w:t>
      </w:r>
      <w:r w:rsidR="00D47CDC" w:rsidRPr="0008526E">
        <w:t xml:space="preserve"> could be attributed to the relatively immature follow-up</w:t>
      </w:r>
      <w:r w:rsidR="009C12EB" w:rsidRPr="0008526E">
        <w:t xml:space="preserve"> or the </w:t>
      </w:r>
      <w:r w:rsidR="005C79C9" w:rsidRPr="0008526E">
        <w:t xml:space="preserve">short survival </w:t>
      </w:r>
      <w:r w:rsidR="009C12EB" w:rsidRPr="0008526E">
        <w:t xml:space="preserve">expected </w:t>
      </w:r>
      <w:r w:rsidR="005C79C9" w:rsidRPr="0008526E">
        <w:t>for</w:t>
      </w:r>
      <w:r w:rsidR="009C12EB" w:rsidRPr="0008526E">
        <w:t xml:space="preserve"> these patients</w:t>
      </w:r>
      <w:r w:rsidR="005C79C9" w:rsidRPr="0008526E">
        <w:t xml:space="preserve"> given the severity of the </w:t>
      </w:r>
      <w:r w:rsidR="005C79C9" w:rsidRPr="009B2C57">
        <w:rPr>
          <w:rFonts w:asciiTheme="minorHAnsi" w:hAnsiTheme="minorHAnsi"/>
          <w:szCs w:val="24"/>
        </w:rPr>
        <w:t>disease</w:t>
      </w:r>
      <w:r w:rsidRPr="009B2C57">
        <w:rPr>
          <w:rFonts w:asciiTheme="minorHAnsi" w:hAnsiTheme="minorHAnsi"/>
          <w:i/>
          <w:szCs w:val="24"/>
        </w:rPr>
        <w:t>.</w:t>
      </w:r>
      <w:r w:rsidR="009B2C57" w:rsidRPr="009B2C57">
        <w:rPr>
          <w:rFonts w:asciiTheme="minorHAnsi" w:hAnsiTheme="minorHAnsi"/>
          <w:i/>
          <w:szCs w:val="24"/>
        </w:rPr>
        <w:t xml:space="preserve"> </w:t>
      </w:r>
    </w:p>
    <w:p w:rsidR="00D02B50" w:rsidRPr="003606EB" w:rsidRDefault="009B2C57" w:rsidP="00D02B50">
      <w:pPr>
        <w:pStyle w:val="ListParagraph"/>
        <w:numPr>
          <w:ilvl w:val="2"/>
          <w:numId w:val="3"/>
        </w:numPr>
        <w:tabs>
          <w:tab w:val="left" w:pos="993"/>
        </w:tabs>
        <w:ind w:left="993" w:hanging="284"/>
        <w:rPr>
          <w:rFonts w:asciiTheme="minorHAnsi" w:hAnsiTheme="minorHAnsi"/>
          <w:szCs w:val="24"/>
        </w:rPr>
      </w:pPr>
      <w:r w:rsidRPr="003606EB">
        <w:rPr>
          <w:rFonts w:asciiTheme="minorHAnsi" w:hAnsiTheme="minorHAnsi"/>
          <w:szCs w:val="24"/>
        </w:rPr>
        <w:t xml:space="preserve">The PSCR </w:t>
      </w:r>
      <w:r w:rsidR="00372B49" w:rsidRPr="003606EB">
        <w:rPr>
          <w:rFonts w:asciiTheme="minorHAnsi" w:hAnsiTheme="minorHAnsi"/>
          <w:szCs w:val="24"/>
        </w:rPr>
        <w:t xml:space="preserve">argued that the survival data presented were mature and that the 7 month median follow-up is driven by the fact that the trial reached the pre-specified number of events for reporting the primary analysis as defined in the trial’s statistical analysis protocol (SAP).  </w:t>
      </w:r>
      <w:r w:rsidR="002E40A5" w:rsidRPr="003606EB">
        <w:rPr>
          <w:rFonts w:asciiTheme="minorHAnsi" w:hAnsiTheme="minorHAnsi"/>
          <w:szCs w:val="24"/>
        </w:rPr>
        <w:t>The PSC</w:t>
      </w:r>
      <w:r w:rsidR="00E75D9B" w:rsidRPr="003606EB">
        <w:rPr>
          <w:rFonts w:asciiTheme="minorHAnsi" w:hAnsiTheme="minorHAnsi"/>
          <w:szCs w:val="24"/>
        </w:rPr>
        <w:t>R</w:t>
      </w:r>
      <w:r w:rsidR="002E40A5" w:rsidRPr="003606EB">
        <w:rPr>
          <w:rFonts w:asciiTheme="minorHAnsi" w:hAnsiTheme="minorHAnsi"/>
          <w:szCs w:val="24"/>
        </w:rPr>
        <w:t xml:space="preserve"> further argued that the pattern and distribution of censoring was more relevant than the extent of censoring. </w:t>
      </w:r>
    </w:p>
    <w:p w:rsidR="00D02B50" w:rsidRDefault="00372B49" w:rsidP="00D02B50">
      <w:pPr>
        <w:pStyle w:val="ListParagraph"/>
        <w:numPr>
          <w:ilvl w:val="3"/>
          <w:numId w:val="3"/>
        </w:numPr>
        <w:tabs>
          <w:tab w:val="left" w:pos="993"/>
        </w:tabs>
        <w:ind w:left="993" w:hanging="284"/>
        <w:rPr>
          <w:rFonts w:asciiTheme="minorHAnsi" w:hAnsiTheme="minorHAnsi"/>
          <w:szCs w:val="24"/>
        </w:rPr>
      </w:pPr>
      <w:r w:rsidRPr="003606EB">
        <w:rPr>
          <w:rFonts w:asciiTheme="minorHAnsi" w:hAnsiTheme="minorHAnsi"/>
          <w:szCs w:val="24"/>
        </w:rPr>
        <w:t xml:space="preserve">The ESC disagreed with the PSCR, and advised that </w:t>
      </w:r>
      <w:r w:rsidR="002E40A5" w:rsidRPr="003606EB">
        <w:rPr>
          <w:rFonts w:asciiTheme="minorHAnsi" w:hAnsiTheme="minorHAnsi"/>
          <w:szCs w:val="24"/>
        </w:rPr>
        <w:t>irrespective of the pattern, distribution or extent of censoring, extrapolating fro</w:t>
      </w:r>
      <w:r w:rsidRPr="003606EB">
        <w:rPr>
          <w:rFonts w:asciiTheme="minorHAnsi" w:hAnsiTheme="minorHAnsi"/>
          <w:szCs w:val="24"/>
        </w:rPr>
        <w:t xml:space="preserve">m month 33 was inappropriate, due to the substantial uncertainty introduced by </w:t>
      </w:r>
      <w:r w:rsidR="009F2C20">
        <w:rPr>
          <w:rFonts w:asciiTheme="minorHAnsi" w:hAnsiTheme="minorHAnsi"/>
          <w:szCs w:val="24"/>
        </w:rPr>
        <w:t xml:space="preserve">the </w:t>
      </w:r>
      <w:r w:rsidRPr="003606EB">
        <w:rPr>
          <w:rFonts w:asciiTheme="minorHAnsi" w:hAnsiTheme="minorHAnsi"/>
          <w:szCs w:val="24"/>
        </w:rPr>
        <w:t xml:space="preserve">very sparse number of events recorded by the time the survival curves reached this time point. </w:t>
      </w:r>
    </w:p>
    <w:p w:rsidR="009F2C20" w:rsidRPr="003606EB" w:rsidRDefault="009F2C20" w:rsidP="00D02B50">
      <w:pPr>
        <w:pStyle w:val="ListParagraph"/>
        <w:numPr>
          <w:ilvl w:val="3"/>
          <w:numId w:val="3"/>
        </w:numPr>
        <w:tabs>
          <w:tab w:val="left" w:pos="993"/>
        </w:tabs>
        <w:ind w:left="993" w:hanging="284"/>
        <w:rPr>
          <w:rFonts w:asciiTheme="minorHAnsi" w:hAnsiTheme="minorHAnsi"/>
          <w:szCs w:val="24"/>
        </w:rPr>
      </w:pPr>
      <w:r>
        <w:rPr>
          <w:rFonts w:asciiTheme="minorHAnsi" w:hAnsiTheme="minorHAnsi"/>
          <w:szCs w:val="24"/>
        </w:rPr>
        <w:t>The PBAC noted that the pre-PBAC response provided sensitivity analyses extrapolating PFS and OS from the last observation and from the median</w:t>
      </w:r>
      <w:r w:rsidR="00A36A50">
        <w:rPr>
          <w:rFonts w:asciiTheme="minorHAnsi" w:hAnsiTheme="minorHAnsi"/>
          <w:szCs w:val="24"/>
        </w:rPr>
        <w:t xml:space="preserve"> follow-up</w:t>
      </w:r>
      <w:r>
        <w:rPr>
          <w:rFonts w:asciiTheme="minorHAnsi" w:hAnsiTheme="minorHAnsi"/>
          <w:szCs w:val="24"/>
        </w:rPr>
        <w:t>. The PBAC considered that extrapolation from the median</w:t>
      </w:r>
      <w:r w:rsidR="00A36A50">
        <w:rPr>
          <w:rFonts w:asciiTheme="minorHAnsi" w:hAnsiTheme="minorHAnsi"/>
          <w:szCs w:val="24"/>
        </w:rPr>
        <w:t xml:space="preserve"> follow-up</w:t>
      </w:r>
      <w:r>
        <w:rPr>
          <w:rFonts w:asciiTheme="minorHAnsi" w:hAnsiTheme="minorHAnsi"/>
          <w:szCs w:val="24"/>
        </w:rPr>
        <w:t xml:space="preserve"> was the </w:t>
      </w:r>
      <w:r w:rsidR="00A31E38">
        <w:rPr>
          <w:rFonts w:asciiTheme="minorHAnsi" w:hAnsiTheme="minorHAnsi"/>
          <w:szCs w:val="24"/>
        </w:rPr>
        <w:t xml:space="preserve">more </w:t>
      </w:r>
      <w:r>
        <w:rPr>
          <w:rFonts w:asciiTheme="minorHAnsi" w:hAnsiTheme="minorHAnsi"/>
          <w:szCs w:val="24"/>
        </w:rPr>
        <w:t>appropriate approach.</w:t>
      </w:r>
    </w:p>
    <w:p w:rsidR="00912D22" w:rsidRPr="003606EB" w:rsidRDefault="00CD3166" w:rsidP="003F3349">
      <w:pPr>
        <w:pStyle w:val="ListParagraph"/>
        <w:widowControl/>
        <w:numPr>
          <w:ilvl w:val="1"/>
          <w:numId w:val="3"/>
        </w:numPr>
      </w:pPr>
      <w:r w:rsidRPr="003606EB">
        <w:t xml:space="preserve">The ESC noted that the submission proposed a 5-year time horizon. The ESC further noted </w:t>
      </w:r>
      <w:r w:rsidR="007B21B1" w:rsidRPr="003606EB">
        <w:t>that the</w:t>
      </w:r>
      <w:r w:rsidRPr="003606EB">
        <w:t xml:space="preserve"> ICER was </w:t>
      </w:r>
      <w:r w:rsidR="00CB089E" w:rsidRPr="003606EB">
        <w:t xml:space="preserve">increased </w:t>
      </w:r>
      <w:r w:rsidRPr="003606EB">
        <w:t>by 34% when no extrapolation</w:t>
      </w:r>
      <w:r w:rsidR="00CB089E" w:rsidRPr="003606EB">
        <w:t xml:space="preserve"> occurred</w:t>
      </w:r>
      <w:r w:rsidRPr="003606EB">
        <w:t>, i.e. the trial duration period (33 months), was considered. The ESC advised that while the proposed time horizon o</w:t>
      </w:r>
      <w:r w:rsidR="0089395A" w:rsidRPr="003606EB">
        <w:t xml:space="preserve">f 5 years was likely to be reasonable, the impact on the ICER was compounded by (i) extrapolating the regorafenib arm alone; (ii) arbitrary choice in the point of inflection in informing the extrapolation and (iii) extrapolating from a time point </w:t>
      </w:r>
      <w:r w:rsidR="00AD36C8" w:rsidRPr="003606EB">
        <w:t xml:space="preserve">(33 months) </w:t>
      </w:r>
      <w:r w:rsidR="0089395A" w:rsidRPr="003606EB">
        <w:t xml:space="preserve">where a sparse number of patients remained in the trial. </w:t>
      </w:r>
    </w:p>
    <w:p w:rsidR="00912D22" w:rsidRDefault="00912D22" w:rsidP="00912D22">
      <w:pPr>
        <w:pStyle w:val="ListParagraph"/>
        <w:widowControl/>
        <w:numPr>
          <w:ilvl w:val="1"/>
          <w:numId w:val="3"/>
        </w:numPr>
        <w:spacing w:before="120"/>
      </w:pPr>
      <w:r w:rsidRPr="0008526E">
        <w:t>A stepped economic evaluation was presented</w:t>
      </w:r>
      <w:r w:rsidR="00A96787" w:rsidRPr="0008526E">
        <w:t xml:space="preserve"> (see Table 11)</w:t>
      </w:r>
      <w:r w:rsidRPr="0008526E">
        <w:t>. Step 1 was a trial-based economic evaluation with only the costs of primary treatment (medicines) considered. Step 2 extrapolated results to a 5-year time horizon. No extrapolation was conducted for the BSC arm</w:t>
      </w:r>
      <w:r w:rsidR="00C114B4">
        <w:t xml:space="preserve">. </w:t>
      </w:r>
      <w:r w:rsidRPr="0008526E">
        <w:t xml:space="preserve"> Step 3 </w:t>
      </w:r>
      <w:r w:rsidR="00816325" w:rsidRPr="0008526E">
        <w:t xml:space="preserve">in the submission included </w:t>
      </w:r>
      <w:r w:rsidRPr="0008526E">
        <w:t>all resource use in addition to the drug price. Finally, Step 4 transformed the outcome</w:t>
      </w:r>
      <w:r w:rsidR="00A96787" w:rsidRPr="0008526E">
        <w:t>,</w:t>
      </w:r>
      <w:r w:rsidRPr="0008526E">
        <w:t xml:space="preserve"> LYG</w:t>
      </w:r>
      <w:r w:rsidR="00A96787" w:rsidRPr="0008526E">
        <w:t>,</w:t>
      </w:r>
      <w:r w:rsidRPr="0008526E">
        <w:t xml:space="preserve"> to QALYs. </w:t>
      </w:r>
    </w:p>
    <w:p w:rsidR="00912D22" w:rsidRPr="0008526E" w:rsidRDefault="00912D22" w:rsidP="00635D84">
      <w:pPr>
        <w:keepNext/>
        <w:rPr>
          <w:rStyle w:val="CommentReference"/>
        </w:rPr>
      </w:pPr>
      <w:r w:rsidRPr="0008526E">
        <w:rPr>
          <w:rStyle w:val="CommentReference"/>
        </w:rPr>
        <w:t>Table 1</w:t>
      </w:r>
      <w:r w:rsidR="00A97AE9" w:rsidRPr="0008526E">
        <w:rPr>
          <w:rStyle w:val="CommentReference"/>
        </w:rPr>
        <w:t>1</w:t>
      </w:r>
      <w:r w:rsidRPr="0008526E">
        <w:rPr>
          <w:rStyle w:val="CommentReference"/>
        </w:rPr>
        <w:t>:  Results of the stepped economic evaluation</w:t>
      </w:r>
    </w:p>
    <w:tbl>
      <w:tblPr>
        <w:tblStyle w:val="TableGrid"/>
        <w:tblW w:w="5000" w:type="pct"/>
        <w:tblLook w:val="04A0" w:firstRow="1" w:lastRow="0" w:firstColumn="1" w:lastColumn="0" w:noHBand="0" w:noVBand="1"/>
      </w:tblPr>
      <w:tblGrid>
        <w:gridCol w:w="2175"/>
        <w:gridCol w:w="1018"/>
        <w:gridCol w:w="871"/>
        <w:gridCol w:w="1163"/>
        <w:gridCol w:w="873"/>
        <w:gridCol w:w="1017"/>
        <w:gridCol w:w="802"/>
        <w:gridCol w:w="1324"/>
      </w:tblGrid>
      <w:tr w:rsidR="00912D22" w:rsidRPr="0008526E" w:rsidTr="00A96787">
        <w:trPr>
          <w:tblHeader/>
        </w:trPr>
        <w:tc>
          <w:tcPr>
            <w:tcW w:w="1177" w:type="pct"/>
            <w:vMerge w:val="restart"/>
            <w:shd w:val="clear" w:color="auto" w:fill="auto"/>
            <w:vAlign w:val="center"/>
          </w:tcPr>
          <w:p w:rsidR="00912D22" w:rsidRPr="0008526E" w:rsidRDefault="00912D22" w:rsidP="00635D84">
            <w:pPr>
              <w:keepNext/>
              <w:spacing w:line="276" w:lineRule="auto"/>
              <w:jc w:val="left"/>
              <w:rPr>
                <w:rFonts w:ascii="Arial Narrow" w:hAnsi="Arial Narrow" w:cstheme="minorHAnsi"/>
                <w:b/>
                <w:sz w:val="20"/>
                <w:szCs w:val="20"/>
              </w:rPr>
            </w:pPr>
            <w:r w:rsidRPr="0008526E">
              <w:rPr>
                <w:rFonts w:ascii="Arial Narrow" w:hAnsi="Arial Narrow" w:cstheme="minorHAnsi"/>
                <w:b/>
                <w:sz w:val="20"/>
                <w:szCs w:val="20"/>
              </w:rPr>
              <w:t>Step</w:t>
            </w:r>
          </w:p>
        </w:tc>
        <w:tc>
          <w:tcPr>
            <w:tcW w:w="1650" w:type="pct"/>
            <w:gridSpan w:val="3"/>
            <w:shd w:val="clear" w:color="auto" w:fill="auto"/>
            <w:vAlign w:val="center"/>
          </w:tcPr>
          <w:p w:rsidR="00912D22" w:rsidRPr="0008526E" w:rsidRDefault="00912D22"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Cost</w:t>
            </w:r>
          </w:p>
        </w:tc>
        <w:tc>
          <w:tcPr>
            <w:tcW w:w="1456" w:type="pct"/>
            <w:gridSpan w:val="3"/>
            <w:shd w:val="clear" w:color="auto" w:fill="auto"/>
            <w:vAlign w:val="center"/>
          </w:tcPr>
          <w:p w:rsidR="00912D22" w:rsidRPr="0008526E" w:rsidRDefault="00912D22"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Outcomes</w:t>
            </w:r>
          </w:p>
        </w:tc>
        <w:tc>
          <w:tcPr>
            <w:tcW w:w="717" w:type="pct"/>
            <w:vMerge w:val="restart"/>
            <w:shd w:val="clear" w:color="auto" w:fill="auto"/>
            <w:vAlign w:val="center"/>
          </w:tcPr>
          <w:p w:rsidR="00912D22" w:rsidRPr="0008526E" w:rsidRDefault="00912D22"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ICER</w:t>
            </w:r>
          </w:p>
        </w:tc>
      </w:tr>
      <w:tr w:rsidR="00912D22" w:rsidRPr="0008526E" w:rsidTr="00A96787">
        <w:trPr>
          <w:tblHeader/>
        </w:trPr>
        <w:tc>
          <w:tcPr>
            <w:tcW w:w="1177" w:type="pct"/>
            <w:vMerge/>
            <w:shd w:val="clear" w:color="auto" w:fill="auto"/>
            <w:vAlign w:val="center"/>
          </w:tcPr>
          <w:p w:rsidR="00912D22" w:rsidRPr="0008526E" w:rsidRDefault="00912D22" w:rsidP="00635D84">
            <w:pPr>
              <w:keepNext/>
              <w:spacing w:line="276" w:lineRule="auto"/>
              <w:jc w:val="left"/>
              <w:rPr>
                <w:rFonts w:ascii="Arial Narrow" w:hAnsi="Arial Narrow" w:cstheme="minorHAnsi"/>
                <w:b/>
                <w:sz w:val="20"/>
                <w:szCs w:val="20"/>
              </w:rPr>
            </w:pPr>
          </w:p>
        </w:tc>
        <w:tc>
          <w:tcPr>
            <w:tcW w:w="551" w:type="pct"/>
            <w:shd w:val="clear" w:color="auto" w:fill="auto"/>
            <w:vAlign w:val="center"/>
          </w:tcPr>
          <w:p w:rsidR="00912D22" w:rsidRPr="0008526E" w:rsidRDefault="00912D22"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Reg</w:t>
            </w:r>
          </w:p>
        </w:tc>
        <w:tc>
          <w:tcPr>
            <w:tcW w:w="471" w:type="pct"/>
            <w:shd w:val="clear" w:color="auto" w:fill="auto"/>
            <w:vAlign w:val="center"/>
          </w:tcPr>
          <w:p w:rsidR="00912D22" w:rsidRPr="0008526E" w:rsidRDefault="003B1A68"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BSC</w:t>
            </w:r>
          </w:p>
        </w:tc>
        <w:tc>
          <w:tcPr>
            <w:tcW w:w="629" w:type="pct"/>
            <w:shd w:val="clear" w:color="auto" w:fill="auto"/>
            <w:vAlign w:val="center"/>
          </w:tcPr>
          <w:p w:rsidR="00912D22" w:rsidRPr="0008526E" w:rsidRDefault="00912D22"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Inc</w:t>
            </w:r>
          </w:p>
        </w:tc>
        <w:tc>
          <w:tcPr>
            <w:tcW w:w="472" w:type="pct"/>
            <w:shd w:val="clear" w:color="auto" w:fill="auto"/>
            <w:vAlign w:val="center"/>
          </w:tcPr>
          <w:p w:rsidR="00912D22" w:rsidRPr="0008526E" w:rsidRDefault="00912D22"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Reg</w:t>
            </w:r>
          </w:p>
        </w:tc>
        <w:tc>
          <w:tcPr>
            <w:tcW w:w="550" w:type="pct"/>
            <w:shd w:val="clear" w:color="auto" w:fill="auto"/>
            <w:vAlign w:val="center"/>
          </w:tcPr>
          <w:p w:rsidR="00912D22" w:rsidRPr="0008526E" w:rsidRDefault="003B1A68"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BSC</w:t>
            </w:r>
          </w:p>
        </w:tc>
        <w:tc>
          <w:tcPr>
            <w:tcW w:w="434" w:type="pct"/>
            <w:shd w:val="clear" w:color="auto" w:fill="auto"/>
            <w:vAlign w:val="center"/>
          </w:tcPr>
          <w:p w:rsidR="00912D22" w:rsidRPr="0008526E" w:rsidRDefault="00912D22" w:rsidP="00635D84">
            <w:pPr>
              <w:keepNext/>
              <w:spacing w:line="276" w:lineRule="auto"/>
              <w:jc w:val="center"/>
              <w:rPr>
                <w:rFonts w:ascii="Arial Narrow" w:hAnsi="Arial Narrow" w:cstheme="minorHAnsi"/>
                <w:b/>
                <w:sz w:val="20"/>
                <w:szCs w:val="20"/>
              </w:rPr>
            </w:pPr>
            <w:r w:rsidRPr="0008526E">
              <w:rPr>
                <w:rFonts w:ascii="Arial Narrow" w:hAnsi="Arial Narrow" w:cstheme="minorHAnsi"/>
                <w:b/>
                <w:sz w:val="20"/>
                <w:szCs w:val="20"/>
              </w:rPr>
              <w:t>Inc</w:t>
            </w:r>
          </w:p>
        </w:tc>
        <w:tc>
          <w:tcPr>
            <w:tcW w:w="717" w:type="pct"/>
            <w:vMerge/>
            <w:shd w:val="clear" w:color="auto" w:fill="auto"/>
            <w:vAlign w:val="center"/>
          </w:tcPr>
          <w:p w:rsidR="00912D22" w:rsidRPr="0008526E" w:rsidRDefault="00912D22" w:rsidP="00635D84">
            <w:pPr>
              <w:keepNext/>
              <w:spacing w:line="276" w:lineRule="auto"/>
              <w:jc w:val="center"/>
              <w:rPr>
                <w:rFonts w:ascii="Arial Narrow" w:hAnsi="Arial Narrow" w:cstheme="minorHAnsi"/>
                <w:b/>
                <w:sz w:val="20"/>
                <w:szCs w:val="20"/>
              </w:rPr>
            </w:pPr>
          </w:p>
        </w:tc>
      </w:tr>
      <w:tr w:rsidR="00912D22" w:rsidRPr="0008526E" w:rsidTr="00912D22">
        <w:tc>
          <w:tcPr>
            <w:tcW w:w="1177" w:type="pct"/>
            <w:shd w:val="clear" w:color="auto" w:fill="auto"/>
            <w:vAlign w:val="center"/>
          </w:tcPr>
          <w:p w:rsidR="00912D22" w:rsidRPr="0008526E" w:rsidRDefault="00912D22" w:rsidP="00635D84">
            <w:pPr>
              <w:keepNext/>
              <w:spacing w:line="276" w:lineRule="auto"/>
              <w:jc w:val="left"/>
              <w:rPr>
                <w:rFonts w:ascii="Arial Narrow" w:hAnsi="Arial Narrow" w:cstheme="minorHAnsi"/>
                <w:sz w:val="20"/>
                <w:szCs w:val="20"/>
              </w:rPr>
            </w:pPr>
            <w:r w:rsidRPr="0008526E">
              <w:rPr>
                <w:rFonts w:ascii="Arial Narrow" w:hAnsi="Arial Narrow" w:cstheme="minorHAnsi"/>
                <w:sz w:val="20"/>
                <w:szCs w:val="20"/>
              </w:rPr>
              <w:t>Step 1. RESORCE trial (time horizon 33 months)</w:t>
            </w:r>
          </w:p>
        </w:tc>
        <w:tc>
          <w:tcPr>
            <w:tcW w:w="551"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471"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w:t>
            </w:r>
          </w:p>
        </w:tc>
        <w:tc>
          <w:tcPr>
            <w:tcW w:w="629"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472"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1.11</w:t>
            </w:r>
          </w:p>
        </w:tc>
        <w:tc>
          <w:tcPr>
            <w:tcW w:w="550"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0.81</w:t>
            </w:r>
          </w:p>
        </w:tc>
        <w:tc>
          <w:tcPr>
            <w:tcW w:w="434"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0.30</w:t>
            </w:r>
          </w:p>
        </w:tc>
        <w:tc>
          <w:tcPr>
            <w:tcW w:w="717"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r w:rsidRPr="0008526E">
              <w:rPr>
                <w:rFonts w:ascii="Arial Narrow" w:hAnsi="Arial Narrow" w:cstheme="minorHAnsi"/>
                <w:sz w:val="20"/>
                <w:szCs w:val="20"/>
              </w:rPr>
              <w:t>/LYG</w:t>
            </w:r>
          </w:p>
        </w:tc>
      </w:tr>
      <w:tr w:rsidR="00912D22" w:rsidRPr="0008526E" w:rsidTr="00912D22">
        <w:tc>
          <w:tcPr>
            <w:tcW w:w="1177" w:type="pct"/>
            <w:shd w:val="clear" w:color="auto" w:fill="auto"/>
            <w:vAlign w:val="center"/>
          </w:tcPr>
          <w:p w:rsidR="00912D22" w:rsidRPr="0008526E" w:rsidRDefault="00912D22" w:rsidP="00635D84">
            <w:pPr>
              <w:keepNext/>
              <w:spacing w:line="276" w:lineRule="auto"/>
              <w:jc w:val="left"/>
              <w:rPr>
                <w:rFonts w:ascii="Arial Narrow" w:hAnsi="Arial Narrow" w:cstheme="minorHAnsi"/>
                <w:sz w:val="20"/>
                <w:szCs w:val="20"/>
              </w:rPr>
            </w:pPr>
            <w:r w:rsidRPr="0008526E">
              <w:rPr>
                <w:rFonts w:ascii="Arial Narrow" w:hAnsi="Arial Narrow" w:cstheme="minorHAnsi"/>
                <w:sz w:val="20"/>
                <w:szCs w:val="20"/>
              </w:rPr>
              <w:t>Step 2.  RESORCE trial extrapolated to 5 years</w:t>
            </w:r>
          </w:p>
        </w:tc>
        <w:tc>
          <w:tcPr>
            <w:tcW w:w="551"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471"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w:t>
            </w:r>
          </w:p>
        </w:tc>
        <w:tc>
          <w:tcPr>
            <w:tcW w:w="629"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472"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1.26</w:t>
            </w:r>
          </w:p>
        </w:tc>
        <w:tc>
          <w:tcPr>
            <w:tcW w:w="550"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0.81</w:t>
            </w:r>
          </w:p>
        </w:tc>
        <w:tc>
          <w:tcPr>
            <w:tcW w:w="434"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0.45</w:t>
            </w:r>
          </w:p>
        </w:tc>
        <w:tc>
          <w:tcPr>
            <w:tcW w:w="717"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r w:rsidRPr="0008526E">
              <w:rPr>
                <w:rFonts w:ascii="Arial Narrow" w:hAnsi="Arial Narrow" w:cstheme="minorHAnsi"/>
                <w:sz w:val="20"/>
                <w:szCs w:val="20"/>
              </w:rPr>
              <w:t>/LYG</w:t>
            </w:r>
          </w:p>
        </w:tc>
      </w:tr>
      <w:tr w:rsidR="00912D22" w:rsidRPr="0008526E" w:rsidTr="00912D22">
        <w:tc>
          <w:tcPr>
            <w:tcW w:w="1177" w:type="pct"/>
            <w:shd w:val="clear" w:color="auto" w:fill="auto"/>
            <w:vAlign w:val="center"/>
          </w:tcPr>
          <w:p w:rsidR="00912D22" w:rsidRPr="0008526E" w:rsidRDefault="00912D22" w:rsidP="00635D84">
            <w:pPr>
              <w:keepNext/>
              <w:spacing w:line="276" w:lineRule="auto"/>
              <w:jc w:val="left"/>
              <w:rPr>
                <w:rFonts w:ascii="Arial Narrow" w:hAnsi="Arial Narrow" w:cstheme="minorHAnsi"/>
                <w:sz w:val="20"/>
                <w:szCs w:val="20"/>
              </w:rPr>
            </w:pPr>
            <w:r w:rsidRPr="0008526E">
              <w:rPr>
                <w:rFonts w:ascii="Arial Narrow" w:hAnsi="Arial Narrow" w:cstheme="minorHAnsi"/>
                <w:sz w:val="20"/>
                <w:szCs w:val="20"/>
              </w:rPr>
              <w:t>Step 3. RESORCE trial extrapolated to 5 years including all resource use</w:t>
            </w:r>
          </w:p>
        </w:tc>
        <w:tc>
          <w:tcPr>
            <w:tcW w:w="551"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471"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$3,508</w:t>
            </w:r>
          </w:p>
        </w:tc>
        <w:tc>
          <w:tcPr>
            <w:tcW w:w="629"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472"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1.26</w:t>
            </w:r>
          </w:p>
        </w:tc>
        <w:tc>
          <w:tcPr>
            <w:tcW w:w="550"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0.81</w:t>
            </w:r>
          </w:p>
        </w:tc>
        <w:tc>
          <w:tcPr>
            <w:tcW w:w="434"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0.45</w:t>
            </w:r>
          </w:p>
        </w:tc>
        <w:tc>
          <w:tcPr>
            <w:tcW w:w="717"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r w:rsidRPr="0008526E">
              <w:rPr>
                <w:rFonts w:ascii="Arial Narrow" w:hAnsi="Arial Narrow" w:cstheme="minorHAnsi"/>
                <w:sz w:val="20"/>
                <w:szCs w:val="20"/>
              </w:rPr>
              <w:t>/LYG</w:t>
            </w:r>
          </w:p>
        </w:tc>
      </w:tr>
      <w:tr w:rsidR="00912D22" w:rsidRPr="0008526E" w:rsidTr="00912D22">
        <w:tc>
          <w:tcPr>
            <w:tcW w:w="1177" w:type="pct"/>
            <w:shd w:val="clear" w:color="auto" w:fill="auto"/>
            <w:vAlign w:val="center"/>
          </w:tcPr>
          <w:p w:rsidR="00912D22" w:rsidRPr="0008526E" w:rsidRDefault="00912D22" w:rsidP="00635D84">
            <w:pPr>
              <w:keepNext/>
              <w:spacing w:line="276" w:lineRule="auto"/>
              <w:jc w:val="left"/>
              <w:rPr>
                <w:rFonts w:ascii="Arial Narrow" w:hAnsi="Arial Narrow" w:cstheme="minorHAnsi"/>
                <w:sz w:val="20"/>
                <w:szCs w:val="20"/>
              </w:rPr>
            </w:pPr>
            <w:r w:rsidRPr="0008526E">
              <w:rPr>
                <w:rFonts w:ascii="Arial Narrow" w:hAnsi="Arial Narrow" w:cstheme="minorHAnsi"/>
                <w:sz w:val="20"/>
                <w:szCs w:val="20"/>
              </w:rPr>
              <w:t>Step 4. RESORCE trial extrapolated to 5 years including all resource use and transformed to QALY’s</w:t>
            </w:r>
          </w:p>
        </w:tc>
        <w:tc>
          <w:tcPr>
            <w:tcW w:w="551"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471"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$3,508</w:t>
            </w:r>
          </w:p>
        </w:tc>
        <w:tc>
          <w:tcPr>
            <w:tcW w:w="629"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472"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0.93</w:t>
            </w:r>
          </w:p>
        </w:tc>
        <w:tc>
          <w:tcPr>
            <w:tcW w:w="550"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0.60</w:t>
            </w:r>
          </w:p>
        </w:tc>
        <w:tc>
          <w:tcPr>
            <w:tcW w:w="434"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0.34</w:t>
            </w:r>
          </w:p>
        </w:tc>
        <w:tc>
          <w:tcPr>
            <w:tcW w:w="717" w:type="pct"/>
            <w:shd w:val="clear" w:color="auto" w:fill="auto"/>
            <w:vAlign w:val="center"/>
          </w:tcPr>
          <w:p w:rsidR="00912D22" w:rsidRPr="0008526E" w:rsidRDefault="00912D22" w:rsidP="00635D84">
            <w:pPr>
              <w:keepNext/>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r w:rsidRPr="0008526E">
              <w:rPr>
                <w:rFonts w:ascii="Arial Narrow" w:hAnsi="Arial Narrow" w:cstheme="minorHAnsi"/>
                <w:sz w:val="20"/>
                <w:szCs w:val="20"/>
              </w:rPr>
              <w:t>/QALY</w:t>
            </w:r>
          </w:p>
        </w:tc>
      </w:tr>
    </w:tbl>
    <w:p w:rsidR="00912D22" w:rsidRPr="0008526E" w:rsidRDefault="00912D22" w:rsidP="005C38A1">
      <w:pPr>
        <w:pStyle w:val="TableFooter"/>
      </w:pPr>
      <w:r w:rsidRPr="0008526E">
        <w:t>Abbreviations: ICER= incremental cost effectiveness ratio; Inc= incremental; LYG= life years gained; QALYs= quality adjusted life years; Reg= regorafenib</w:t>
      </w:r>
    </w:p>
    <w:p w:rsidR="00912D22" w:rsidRPr="0008526E" w:rsidRDefault="00912D22" w:rsidP="009C362D">
      <w:pPr>
        <w:pStyle w:val="TableFooter"/>
        <w:spacing w:after="120"/>
      </w:pPr>
      <w:r w:rsidRPr="0008526E">
        <w:t xml:space="preserve">Source: Table 3-24, p. 175 of the submission. </w:t>
      </w:r>
    </w:p>
    <w:p w:rsidR="00912D22" w:rsidRPr="0008526E" w:rsidRDefault="00DA633E" w:rsidP="00811055">
      <w:pPr>
        <w:spacing w:after="120"/>
      </w:pPr>
      <w:r>
        <w:t xml:space="preserve">The redacted table shows ICERs in the range of </w:t>
      </w:r>
      <w:r w:rsidR="00811055">
        <w:t>$45,000 - $75,000 per LY</w:t>
      </w:r>
      <w:r w:rsidR="00C31925">
        <w:t xml:space="preserve"> or QALY</w:t>
      </w:r>
      <w:r w:rsidR="00811055">
        <w:t xml:space="preserve"> gained.</w:t>
      </w:r>
    </w:p>
    <w:p w:rsidR="00A147CF" w:rsidRPr="00A147CF" w:rsidRDefault="00011917" w:rsidP="005B56C0">
      <w:pPr>
        <w:pStyle w:val="ListParagraph"/>
        <w:widowControl/>
        <w:numPr>
          <w:ilvl w:val="1"/>
          <w:numId w:val="3"/>
        </w:numPr>
        <w:rPr>
          <w:rFonts w:asciiTheme="minorHAnsi" w:hAnsiTheme="minorHAnsi"/>
          <w:i/>
        </w:rPr>
      </w:pPr>
      <w:r w:rsidRPr="0008526E">
        <w:rPr>
          <w:rFonts w:asciiTheme="minorHAnsi" w:eastAsiaTheme="minorHAnsi" w:hAnsiTheme="minorHAnsi" w:cstheme="minorBidi"/>
          <w:snapToGrid/>
          <w:szCs w:val="24"/>
        </w:rPr>
        <w:t xml:space="preserve">The model reported QALYs as the final health outcome by using average utility per health state. These assumed patients had an equivalent quality of life independent of whether they were receiving regorafenib or BSC. This contrasts </w:t>
      </w:r>
      <w:r w:rsidR="00A93521" w:rsidRPr="0008526E">
        <w:rPr>
          <w:rFonts w:asciiTheme="minorHAnsi" w:eastAsiaTheme="minorHAnsi" w:hAnsiTheme="minorHAnsi" w:cstheme="minorBidi"/>
          <w:snapToGrid/>
          <w:szCs w:val="24"/>
        </w:rPr>
        <w:t xml:space="preserve">with </w:t>
      </w:r>
      <w:r w:rsidRPr="0008526E">
        <w:rPr>
          <w:rFonts w:asciiTheme="minorHAnsi" w:eastAsiaTheme="minorHAnsi" w:hAnsiTheme="minorHAnsi" w:cstheme="minorBidi"/>
          <w:snapToGrid/>
          <w:szCs w:val="24"/>
        </w:rPr>
        <w:t>the findings of the trial where the utility values were, on average</w:t>
      </w:r>
      <w:r w:rsidR="009E2EE3">
        <w:rPr>
          <w:rFonts w:asciiTheme="minorHAnsi" w:eastAsiaTheme="minorHAnsi" w:hAnsiTheme="minorHAnsi" w:cstheme="minorBidi"/>
          <w:snapToGrid/>
          <w:szCs w:val="24"/>
        </w:rPr>
        <w:t>,</w:t>
      </w:r>
      <w:r w:rsidRPr="0008526E">
        <w:rPr>
          <w:rFonts w:asciiTheme="minorHAnsi" w:eastAsiaTheme="minorHAnsi" w:hAnsiTheme="minorHAnsi" w:cstheme="minorBidi"/>
          <w:snapToGrid/>
          <w:szCs w:val="24"/>
        </w:rPr>
        <w:t xml:space="preserve"> lower</w:t>
      </w:r>
      <w:r w:rsidR="003F3349">
        <w:rPr>
          <w:rFonts w:asciiTheme="minorHAnsi" w:eastAsiaTheme="minorHAnsi" w:hAnsiTheme="minorHAnsi" w:cstheme="minorBidi"/>
          <w:snapToGrid/>
          <w:szCs w:val="24"/>
        </w:rPr>
        <w:t xml:space="preserve"> </w:t>
      </w:r>
      <w:r w:rsidRPr="0008526E">
        <w:rPr>
          <w:rFonts w:asciiTheme="minorHAnsi" w:eastAsiaTheme="minorHAnsi" w:hAnsiTheme="minorHAnsi" w:cstheme="minorBidi"/>
          <w:snapToGrid/>
          <w:szCs w:val="24"/>
        </w:rPr>
        <w:t>for regorafenib patients compared to BSC</w:t>
      </w:r>
      <w:r w:rsidR="003F3349">
        <w:rPr>
          <w:rFonts w:asciiTheme="minorHAnsi" w:eastAsiaTheme="minorHAnsi" w:hAnsiTheme="minorHAnsi" w:cstheme="minorBidi"/>
          <w:snapToGrid/>
          <w:szCs w:val="24"/>
        </w:rPr>
        <w:t xml:space="preserve"> (although this difference was not statistically significant)</w:t>
      </w:r>
      <w:r w:rsidRPr="0008526E">
        <w:rPr>
          <w:rFonts w:asciiTheme="minorHAnsi" w:eastAsiaTheme="minorHAnsi" w:hAnsiTheme="minorHAnsi" w:cstheme="minorBidi"/>
          <w:snapToGrid/>
          <w:szCs w:val="24"/>
        </w:rPr>
        <w:t>.</w:t>
      </w:r>
      <w:r w:rsidR="00CC3196">
        <w:rPr>
          <w:rFonts w:asciiTheme="minorHAnsi" w:eastAsiaTheme="minorHAnsi" w:hAnsiTheme="minorHAnsi" w:cstheme="minorBidi"/>
          <w:snapToGrid/>
          <w:szCs w:val="24"/>
        </w:rPr>
        <w:t xml:space="preserve"> </w:t>
      </w:r>
    </w:p>
    <w:p w:rsidR="00A147CF" w:rsidRPr="003606EB" w:rsidRDefault="005B56C0" w:rsidP="00A147CF">
      <w:pPr>
        <w:pStyle w:val="ListParagraph"/>
        <w:numPr>
          <w:ilvl w:val="2"/>
          <w:numId w:val="3"/>
        </w:numPr>
        <w:tabs>
          <w:tab w:val="left" w:pos="993"/>
        </w:tabs>
        <w:ind w:left="993" w:hanging="284"/>
        <w:rPr>
          <w:rFonts w:asciiTheme="minorHAnsi" w:hAnsiTheme="minorHAnsi"/>
        </w:rPr>
      </w:pPr>
      <w:r w:rsidRPr="003606EB">
        <w:rPr>
          <w:rFonts w:asciiTheme="minorHAnsi" w:eastAsiaTheme="minorHAnsi" w:hAnsiTheme="minorHAnsi" w:cstheme="minorBidi"/>
          <w:snapToGrid/>
          <w:szCs w:val="24"/>
        </w:rPr>
        <w:t xml:space="preserve">The PSCR maintained that </w:t>
      </w:r>
      <w:r w:rsidRPr="003606EB">
        <w:rPr>
          <w:rFonts w:asciiTheme="minorHAnsi" w:hAnsiTheme="minorHAnsi"/>
        </w:rPr>
        <w:t xml:space="preserve">utility values in RESORCE trial </w:t>
      </w:r>
      <w:r w:rsidR="003F3349" w:rsidRPr="003606EB">
        <w:rPr>
          <w:rFonts w:asciiTheme="minorHAnsi" w:hAnsiTheme="minorHAnsi"/>
        </w:rPr>
        <w:t>did not show any</w:t>
      </w:r>
      <w:r w:rsidRPr="003606EB">
        <w:rPr>
          <w:rFonts w:asciiTheme="minorHAnsi" w:hAnsiTheme="minorHAnsi"/>
        </w:rPr>
        <w:t xml:space="preserve"> clinically meaningful or statistical significant differences between the treatment groups.</w:t>
      </w:r>
    </w:p>
    <w:p w:rsidR="00A147CF" w:rsidRPr="003606EB" w:rsidRDefault="005B56C0" w:rsidP="00A147CF">
      <w:pPr>
        <w:pStyle w:val="ListParagraph"/>
        <w:numPr>
          <w:ilvl w:val="2"/>
          <w:numId w:val="3"/>
        </w:numPr>
        <w:tabs>
          <w:tab w:val="left" w:pos="993"/>
        </w:tabs>
        <w:ind w:left="993" w:hanging="284"/>
        <w:rPr>
          <w:rFonts w:asciiTheme="minorHAnsi" w:hAnsiTheme="minorHAnsi"/>
        </w:rPr>
      </w:pPr>
      <w:r w:rsidRPr="003606EB">
        <w:rPr>
          <w:rFonts w:asciiTheme="minorHAnsi" w:hAnsiTheme="minorHAnsi"/>
        </w:rPr>
        <w:t xml:space="preserve"> </w:t>
      </w:r>
      <w:r w:rsidRPr="003606EB">
        <w:t>The ESC considered that th</w:t>
      </w:r>
      <w:r w:rsidR="000D04F0" w:rsidRPr="003606EB">
        <w:t>e</w:t>
      </w:r>
      <w:r w:rsidRPr="003606EB">
        <w:t xml:space="preserve"> approach</w:t>
      </w:r>
      <w:r w:rsidR="000D04F0" w:rsidRPr="003606EB">
        <w:t xml:space="preserve"> of using same utility value for both treatment groups</w:t>
      </w:r>
      <w:r w:rsidRPr="003606EB">
        <w:t xml:space="preserve"> was optimistic given the utility scores favour</w:t>
      </w:r>
      <w:r w:rsidR="00014AF0" w:rsidRPr="003606EB">
        <w:t>ed</w:t>
      </w:r>
      <w:r w:rsidRPr="003606EB">
        <w:t xml:space="preserve"> BSC (albeit not statistically significantly).</w:t>
      </w:r>
    </w:p>
    <w:p w:rsidR="00011917" w:rsidRDefault="005B56C0" w:rsidP="00A147CF">
      <w:pPr>
        <w:pStyle w:val="ListParagraph"/>
        <w:numPr>
          <w:ilvl w:val="2"/>
          <w:numId w:val="3"/>
        </w:numPr>
        <w:tabs>
          <w:tab w:val="left" w:pos="993"/>
        </w:tabs>
        <w:ind w:left="993" w:hanging="284"/>
        <w:rPr>
          <w:rFonts w:asciiTheme="minorHAnsi" w:hAnsiTheme="minorHAnsi"/>
        </w:rPr>
      </w:pPr>
      <w:r w:rsidRPr="003606EB">
        <w:rPr>
          <w:rFonts w:asciiTheme="minorHAnsi" w:hAnsiTheme="minorHAnsi"/>
        </w:rPr>
        <w:t>The PSCR also noted that in order to take into consideration the negative impact from the regorafenib toxicity, disutility values due to drug related TEAEs ≥ Grade 3 were applied to the proportion of patients experiencing the corresponding TEAEs in each health state.</w:t>
      </w:r>
    </w:p>
    <w:p w:rsidR="006D13B0" w:rsidRPr="003606EB" w:rsidRDefault="006D13B0" w:rsidP="00A147CF">
      <w:pPr>
        <w:pStyle w:val="ListParagraph"/>
        <w:numPr>
          <w:ilvl w:val="2"/>
          <w:numId w:val="3"/>
        </w:numPr>
        <w:tabs>
          <w:tab w:val="left" w:pos="993"/>
        </w:tabs>
        <w:ind w:left="993" w:hanging="284"/>
        <w:rPr>
          <w:rFonts w:asciiTheme="minorHAnsi" w:hAnsiTheme="minorHAnsi"/>
        </w:rPr>
      </w:pPr>
      <w:r>
        <w:rPr>
          <w:rFonts w:asciiTheme="minorHAnsi" w:hAnsiTheme="minorHAnsi"/>
        </w:rPr>
        <w:t xml:space="preserve">The PBAC agreed with ESC that the utility values should be based on the RESORCE trial values, rather than using an average utility per health state. The PBAC noted that the pre-PBAC response provided sensitivity analyses applying trial-based utilities. </w:t>
      </w:r>
    </w:p>
    <w:p w:rsidR="00912D22" w:rsidRPr="0008526E" w:rsidRDefault="00912D22" w:rsidP="00011917">
      <w:pPr>
        <w:pStyle w:val="ListParagraph"/>
        <w:widowControl/>
        <w:numPr>
          <w:ilvl w:val="1"/>
          <w:numId w:val="3"/>
        </w:numPr>
      </w:pPr>
      <w:r w:rsidRPr="0008526E">
        <w:rPr>
          <w:rFonts w:asciiTheme="minorHAnsi" w:eastAsiaTheme="minorHAnsi" w:hAnsiTheme="minorHAnsi" w:cstheme="minorBidi"/>
          <w:snapToGrid/>
          <w:szCs w:val="24"/>
        </w:rPr>
        <w:t xml:space="preserve">The transformation of the outcome from LYG to </w:t>
      </w:r>
      <w:r w:rsidR="002F5CF6" w:rsidRPr="0008526E">
        <w:rPr>
          <w:rFonts w:asciiTheme="minorHAnsi" w:eastAsiaTheme="minorHAnsi" w:hAnsiTheme="minorHAnsi" w:cstheme="minorBidi"/>
          <w:snapToGrid/>
          <w:szCs w:val="24"/>
        </w:rPr>
        <w:t>QALYs</w:t>
      </w:r>
      <w:r w:rsidRPr="0008526E">
        <w:rPr>
          <w:rFonts w:asciiTheme="minorHAnsi" w:eastAsiaTheme="minorHAnsi" w:hAnsiTheme="minorHAnsi" w:cstheme="minorBidi"/>
          <w:snapToGrid/>
          <w:szCs w:val="24"/>
        </w:rPr>
        <w:t xml:space="preserve"> had an important impact on the cost-effectiveness results</w:t>
      </w:r>
      <w:r w:rsidR="00C114B4" w:rsidRPr="003606EB">
        <w:rPr>
          <w:rFonts w:asciiTheme="minorHAnsi" w:eastAsiaTheme="minorHAnsi" w:hAnsiTheme="minorHAnsi" w:cstheme="minorBidi"/>
          <w:snapToGrid/>
          <w:szCs w:val="24"/>
        </w:rPr>
        <w:t xml:space="preserve">. The </w:t>
      </w:r>
      <w:r w:rsidR="003B7A31" w:rsidRPr="003606EB">
        <w:rPr>
          <w:rFonts w:asciiTheme="minorHAnsi" w:eastAsiaTheme="minorHAnsi" w:hAnsiTheme="minorHAnsi" w:cstheme="minorBidi"/>
          <w:snapToGrid/>
          <w:szCs w:val="24"/>
        </w:rPr>
        <w:t xml:space="preserve">ESC noted that the </w:t>
      </w:r>
      <w:r w:rsidR="00C114B4" w:rsidRPr="003606EB">
        <w:rPr>
          <w:rFonts w:asciiTheme="minorHAnsi" w:eastAsiaTheme="minorHAnsi" w:hAnsiTheme="minorHAnsi" w:cstheme="minorBidi"/>
          <w:snapToGrid/>
          <w:szCs w:val="24"/>
        </w:rPr>
        <w:t xml:space="preserve">respective ICERs were </w:t>
      </w:r>
      <w:r w:rsidR="00E87B85">
        <w:rPr>
          <w:rFonts w:asciiTheme="minorHAnsi" w:eastAsiaTheme="minorHAnsi" w:hAnsiTheme="minorHAnsi" w:cstheme="minorBidi"/>
          <w:snapToGrid/>
          <w:szCs w:val="24"/>
        </w:rPr>
        <w:t xml:space="preserve">$15,000/LYG - $45,000/LYG, and $45,000/QALY - $75,000/QALY </w:t>
      </w:r>
      <w:r w:rsidR="00C114B4" w:rsidRPr="003606EB">
        <w:rPr>
          <w:rFonts w:asciiTheme="minorHAnsi" w:eastAsiaTheme="minorHAnsi" w:hAnsiTheme="minorHAnsi" w:cstheme="minorBidi"/>
          <w:snapToGrid/>
          <w:szCs w:val="24"/>
        </w:rPr>
        <w:t>(</w:t>
      </w:r>
      <w:r w:rsidR="00A147CF" w:rsidRPr="003606EB">
        <w:rPr>
          <w:rFonts w:asciiTheme="minorHAnsi" w:eastAsiaTheme="minorHAnsi" w:hAnsiTheme="minorHAnsi" w:cstheme="minorBidi"/>
          <w:snapToGrid/>
          <w:szCs w:val="24"/>
        </w:rPr>
        <w:t xml:space="preserve">i.e. </w:t>
      </w:r>
      <w:r w:rsidR="00C114B4" w:rsidRPr="003606EB">
        <w:rPr>
          <w:rFonts w:asciiTheme="minorHAnsi" w:eastAsiaTheme="minorHAnsi" w:hAnsiTheme="minorHAnsi" w:cstheme="minorBidi"/>
          <w:snapToGrid/>
          <w:szCs w:val="24"/>
        </w:rPr>
        <w:t xml:space="preserve">25% higher after </w:t>
      </w:r>
      <w:r w:rsidR="00A147CF" w:rsidRPr="003606EB">
        <w:rPr>
          <w:rFonts w:asciiTheme="minorHAnsi" w:eastAsiaTheme="minorHAnsi" w:hAnsiTheme="minorHAnsi" w:cstheme="minorBidi"/>
          <w:snapToGrid/>
          <w:szCs w:val="24"/>
        </w:rPr>
        <w:t>adjusting for QoL</w:t>
      </w:r>
      <w:r w:rsidR="00C114B4" w:rsidRPr="003606EB">
        <w:rPr>
          <w:rFonts w:asciiTheme="minorHAnsi" w:eastAsiaTheme="minorHAnsi" w:hAnsiTheme="minorHAnsi" w:cstheme="minorBidi"/>
          <w:snapToGrid/>
          <w:szCs w:val="24"/>
        </w:rPr>
        <w:t>)</w:t>
      </w:r>
      <w:r w:rsidRPr="003606EB">
        <w:rPr>
          <w:rFonts w:asciiTheme="minorHAnsi" w:eastAsiaTheme="minorHAnsi" w:hAnsiTheme="minorHAnsi" w:cstheme="minorBidi"/>
          <w:snapToGrid/>
          <w:szCs w:val="24"/>
        </w:rPr>
        <w:t>.</w:t>
      </w:r>
      <w:r w:rsidR="00011917" w:rsidRPr="0008526E">
        <w:t xml:space="preserve"> </w:t>
      </w:r>
      <w:r w:rsidR="00011917" w:rsidRPr="0008526E">
        <w:rPr>
          <w:rFonts w:asciiTheme="minorHAnsi" w:eastAsiaTheme="minorHAnsi" w:hAnsiTheme="minorHAnsi" w:cstheme="minorBidi"/>
          <w:snapToGrid/>
          <w:szCs w:val="24"/>
        </w:rPr>
        <w:t>Using a trial-based time horizon and transforming the outcomes to QALYs resulted in a further increase in the ICER from</w:t>
      </w:r>
      <w:r w:rsidR="00E87B85">
        <w:rPr>
          <w:rFonts w:asciiTheme="minorHAnsi" w:eastAsiaTheme="minorHAnsi" w:hAnsiTheme="minorHAnsi" w:cstheme="minorBidi"/>
          <w:snapToGrid/>
          <w:szCs w:val="24"/>
        </w:rPr>
        <w:t>$45,000/QALY - $75,000/QALY to $75,000/QALY - $105,000/QALY</w:t>
      </w:r>
      <w:r w:rsidR="00011917" w:rsidRPr="0008526E">
        <w:rPr>
          <w:rFonts w:asciiTheme="minorHAnsi" w:eastAsiaTheme="minorHAnsi" w:hAnsiTheme="minorHAnsi" w:cstheme="minorBidi"/>
          <w:snapToGrid/>
          <w:szCs w:val="24"/>
        </w:rPr>
        <w:t>.</w:t>
      </w:r>
    </w:p>
    <w:p w:rsidR="00A96787" w:rsidRPr="0008526E" w:rsidRDefault="00A96787" w:rsidP="00A96787">
      <w:pPr>
        <w:pStyle w:val="ListParagraph"/>
        <w:widowControl/>
        <w:numPr>
          <w:ilvl w:val="1"/>
          <w:numId w:val="3"/>
        </w:numPr>
      </w:pPr>
      <w:r w:rsidRPr="0008526E">
        <w:t xml:space="preserve">The submission applied </w:t>
      </w:r>
      <w:r w:rsidR="00A93521" w:rsidRPr="0008526E">
        <w:t>appropriate</w:t>
      </w:r>
      <w:r w:rsidRPr="0008526E">
        <w:t xml:space="preserve"> methodology to estimate the total expected costs. The sources for valuing health resources </w:t>
      </w:r>
      <w:r w:rsidR="003F3349">
        <w:t xml:space="preserve">and the </w:t>
      </w:r>
      <w:r w:rsidRPr="0008526E">
        <w:t>cost of hospital admission</w:t>
      </w:r>
      <w:r w:rsidR="003F3349">
        <w:t>s</w:t>
      </w:r>
      <w:r w:rsidRPr="0008526E">
        <w:t xml:space="preserve"> </w:t>
      </w:r>
      <w:r w:rsidR="003F3349">
        <w:t>due to</w:t>
      </w:r>
      <w:r w:rsidRPr="0008526E">
        <w:t xml:space="preserve"> TEAE</w:t>
      </w:r>
      <w:r w:rsidR="003F3349">
        <w:t>s</w:t>
      </w:r>
      <w:r w:rsidRPr="0008526E">
        <w:t xml:space="preserve"> </w:t>
      </w:r>
      <w:r w:rsidR="003F3349">
        <w:t>were reasonable.</w:t>
      </w:r>
      <w:r w:rsidRPr="0008526E">
        <w:t xml:space="preserve"> </w:t>
      </w:r>
    </w:p>
    <w:p w:rsidR="00912D22" w:rsidRPr="0008526E" w:rsidRDefault="00F35551" w:rsidP="00912D22">
      <w:pPr>
        <w:pStyle w:val="ListParagraph"/>
        <w:widowControl/>
        <w:numPr>
          <w:ilvl w:val="1"/>
          <w:numId w:val="3"/>
        </w:numPr>
        <w:spacing w:before="120"/>
      </w:pPr>
      <w:r w:rsidRPr="0008526E">
        <w:t>T</w:t>
      </w:r>
      <w:r w:rsidR="00912D22" w:rsidRPr="0008526E">
        <w:t xml:space="preserve">he modelled results for </w:t>
      </w:r>
      <w:r w:rsidR="000D04F0">
        <w:t>PFS</w:t>
      </w:r>
      <w:r w:rsidR="000D04F0" w:rsidRPr="0008526E">
        <w:t xml:space="preserve"> </w:t>
      </w:r>
      <w:r w:rsidR="00912D22" w:rsidRPr="0008526E">
        <w:t xml:space="preserve">and </w:t>
      </w:r>
      <w:r w:rsidR="000D04F0">
        <w:t>O</w:t>
      </w:r>
      <w:r w:rsidR="00912D22" w:rsidRPr="0008526E">
        <w:t>S and the source Kaplan</w:t>
      </w:r>
      <w:r w:rsidRPr="0008526E">
        <w:t>-</w:t>
      </w:r>
      <w:r w:rsidR="00912D22" w:rsidRPr="0008526E">
        <w:t xml:space="preserve">Meier estimates are presented in Figure </w:t>
      </w:r>
      <w:r w:rsidR="00C114B4">
        <w:t>3</w:t>
      </w:r>
      <w:r w:rsidR="00A96787" w:rsidRPr="0008526E">
        <w:t xml:space="preserve"> </w:t>
      </w:r>
      <w:r w:rsidR="00912D22" w:rsidRPr="0008526E">
        <w:t xml:space="preserve">and </w:t>
      </w:r>
      <w:r w:rsidR="00C114B4">
        <w:t>4</w:t>
      </w:r>
      <w:r w:rsidR="00912D22" w:rsidRPr="0008526E">
        <w:t>. The comparison of the KM component of the OS curve to the extrapolated period shows that a</w:t>
      </w:r>
      <w:r w:rsidR="00B222F3">
        <w:t xml:space="preserve"> substantial</w:t>
      </w:r>
      <w:r w:rsidR="00912D22" w:rsidRPr="0008526E">
        <w:t xml:space="preserve"> part of the benefit estimated for regorafenib comes from the extrapolated data.</w:t>
      </w:r>
    </w:p>
    <w:p w:rsidR="00C66116" w:rsidRPr="0008526E" w:rsidRDefault="00912D22" w:rsidP="00A96787">
      <w:pPr>
        <w:keepNext/>
        <w:keepLines/>
        <w:rPr>
          <w:rStyle w:val="CommentReference"/>
          <w:szCs w:val="20"/>
        </w:rPr>
      </w:pPr>
      <w:r w:rsidRPr="0008526E">
        <w:rPr>
          <w:rStyle w:val="CommentReference"/>
          <w:szCs w:val="20"/>
        </w:rPr>
        <w:t xml:space="preserve">Figure </w:t>
      </w:r>
      <w:r w:rsidR="00C114B4">
        <w:rPr>
          <w:rStyle w:val="CommentReference"/>
          <w:szCs w:val="20"/>
        </w:rPr>
        <w:t>3</w:t>
      </w:r>
      <w:r w:rsidRPr="0008526E">
        <w:rPr>
          <w:rStyle w:val="CommentReference"/>
          <w:szCs w:val="20"/>
        </w:rPr>
        <w:t xml:space="preserve">: </w:t>
      </w:r>
      <w:r w:rsidR="00F35551" w:rsidRPr="0008526E">
        <w:rPr>
          <w:rStyle w:val="CommentReference"/>
          <w:szCs w:val="20"/>
        </w:rPr>
        <w:t>Kaplan-Meier and extrapolated values</w:t>
      </w:r>
      <w:r w:rsidRPr="0008526E">
        <w:rPr>
          <w:rStyle w:val="CommentReference"/>
          <w:szCs w:val="20"/>
        </w:rPr>
        <w:t xml:space="preserve">: </w:t>
      </w:r>
      <w:r w:rsidR="005A17CB" w:rsidRPr="0008526E">
        <w:rPr>
          <w:rStyle w:val="CommentReference"/>
          <w:szCs w:val="20"/>
        </w:rPr>
        <w:t>progression free survival</w:t>
      </w:r>
    </w:p>
    <w:p w:rsidR="00C66116" w:rsidRPr="0008526E" w:rsidRDefault="00912D22" w:rsidP="00C81586">
      <w:r w:rsidRPr="0008526E">
        <w:rPr>
          <w:noProof/>
          <w:lang w:eastAsia="en-AU"/>
        </w:rPr>
        <w:drawing>
          <wp:inline distT="0" distB="0" distL="0" distR="0" wp14:anchorId="385DA876" wp14:editId="13F17B12">
            <wp:extent cx="5143500" cy="2914650"/>
            <wp:effectExtent l="0" t="0" r="0" b="0"/>
            <wp:docPr id="19" name="Chart 1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2="http://schemas.microsoft.com/office/drawing/2015/10/21/chartex" xmlns:cx1="http://schemas.microsoft.com/office/drawing/2015/9/8/chartex" xmlns:cx="http://schemas.microsoft.com/office/drawing/2014/chartex" xmlns="" id="{1AEF4222-EFBA-4C21-9FD0-5E3749385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2D22" w:rsidRPr="0008526E" w:rsidRDefault="00C66116" w:rsidP="00A96787">
      <w:pPr>
        <w:pStyle w:val="TableFooter"/>
      </w:pPr>
      <w:r w:rsidRPr="0008526E">
        <w:t xml:space="preserve">Source: </w:t>
      </w:r>
      <w:r w:rsidR="00912D22" w:rsidRPr="0008526E">
        <w:t>Figure 3-16, p. 166 of the submission.</w:t>
      </w:r>
    </w:p>
    <w:p w:rsidR="00912D22" w:rsidRPr="0008526E" w:rsidRDefault="00912D22" w:rsidP="00A96787">
      <w:pPr>
        <w:keepNext/>
        <w:keepLines/>
      </w:pPr>
      <w:r w:rsidRPr="0008526E">
        <w:rPr>
          <w:rStyle w:val="CommentReference"/>
        </w:rPr>
        <w:t xml:space="preserve">Figure </w:t>
      </w:r>
      <w:r w:rsidR="00C114B4">
        <w:rPr>
          <w:rStyle w:val="CommentReference"/>
        </w:rPr>
        <w:t>4</w:t>
      </w:r>
      <w:r w:rsidRPr="0008526E">
        <w:rPr>
          <w:rStyle w:val="CommentReference"/>
        </w:rPr>
        <w:t xml:space="preserve">: </w:t>
      </w:r>
      <w:r w:rsidR="00F35551" w:rsidRPr="0008526E">
        <w:rPr>
          <w:rStyle w:val="CommentReference"/>
        </w:rPr>
        <w:t>Kaplan-Meier and extrapolated values</w:t>
      </w:r>
      <w:r w:rsidRPr="0008526E">
        <w:rPr>
          <w:rStyle w:val="CommentReference"/>
        </w:rPr>
        <w:t xml:space="preserve">: </w:t>
      </w:r>
      <w:r w:rsidR="005A17CB" w:rsidRPr="0008526E">
        <w:rPr>
          <w:rStyle w:val="CommentReference"/>
        </w:rPr>
        <w:t>overall survival</w:t>
      </w:r>
    </w:p>
    <w:p w:rsidR="00912D22" w:rsidRPr="0008526E" w:rsidRDefault="00912D22" w:rsidP="00912D22">
      <w:r w:rsidRPr="0008526E">
        <w:rPr>
          <w:noProof/>
          <w:lang w:eastAsia="en-AU"/>
        </w:rPr>
        <w:drawing>
          <wp:inline distT="0" distB="0" distL="0" distR="0" wp14:anchorId="3894F8D8" wp14:editId="7B4A5A95">
            <wp:extent cx="5029200" cy="2891790"/>
            <wp:effectExtent l="0" t="0" r="0" b="3810"/>
            <wp:docPr id="21" name="Chart 2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2="http://schemas.microsoft.com/office/drawing/2015/10/21/chartex" xmlns:cx1="http://schemas.microsoft.com/office/drawing/2015/9/8/chartex" xmlns:cx="http://schemas.microsoft.com/office/drawing/2014/chartex" xmlns="" id="{CD188931-8BC7-42B5-A2A3-FD93A736D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2D22" w:rsidRPr="0008526E" w:rsidRDefault="00C66116" w:rsidP="00C31925">
      <w:pPr>
        <w:pStyle w:val="TableFooter"/>
        <w:spacing w:after="120"/>
      </w:pPr>
      <w:r w:rsidRPr="0008526E">
        <w:t xml:space="preserve">Source: </w:t>
      </w:r>
      <w:r w:rsidR="00912D22" w:rsidRPr="0008526E">
        <w:t>Figure 3-17</w:t>
      </w:r>
      <w:r w:rsidR="00F35551" w:rsidRPr="0008526E">
        <w:t>, p.16</w:t>
      </w:r>
      <w:r w:rsidR="00071DD0" w:rsidRPr="0008526E">
        <w:t>7</w:t>
      </w:r>
      <w:r w:rsidR="00F35551" w:rsidRPr="0008526E">
        <w:t xml:space="preserve"> of the submission.</w:t>
      </w:r>
    </w:p>
    <w:p w:rsidR="00912D22" w:rsidRPr="0008526E" w:rsidRDefault="00912D22" w:rsidP="00912D22">
      <w:pPr>
        <w:pStyle w:val="ListParagraph"/>
        <w:widowControl/>
        <w:numPr>
          <w:ilvl w:val="1"/>
          <w:numId w:val="3"/>
        </w:numPr>
        <w:spacing w:before="120"/>
      </w:pPr>
      <w:r w:rsidRPr="0008526E">
        <w:t xml:space="preserve">Selected univariate sensitivity analyses specified by the submission and additional analyses conducted during the evaluation are presented in Table </w:t>
      </w:r>
      <w:r w:rsidR="00A96787" w:rsidRPr="0008526E">
        <w:t>12</w:t>
      </w:r>
      <w:r w:rsidRPr="0008526E">
        <w:t xml:space="preserve">. </w:t>
      </w:r>
    </w:p>
    <w:p w:rsidR="00912D22" w:rsidRPr="0008526E" w:rsidRDefault="00912D22" w:rsidP="002436B5">
      <w:pPr>
        <w:keepNext/>
        <w:keepLines/>
        <w:rPr>
          <w:rStyle w:val="CommentReference"/>
        </w:rPr>
      </w:pPr>
      <w:r w:rsidRPr="0008526E">
        <w:rPr>
          <w:rStyle w:val="CommentReference"/>
        </w:rPr>
        <w:t>Table 1</w:t>
      </w:r>
      <w:r w:rsidR="00A97AE9" w:rsidRPr="0008526E">
        <w:rPr>
          <w:rStyle w:val="CommentReference"/>
        </w:rPr>
        <w:t>2</w:t>
      </w:r>
      <w:r w:rsidRPr="0008526E">
        <w:rPr>
          <w:rStyle w:val="CommentReference"/>
        </w:rPr>
        <w:t>:  Results of sensitivity analyses</w:t>
      </w:r>
    </w:p>
    <w:tbl>
      <w:tblPr>
        <w:tblStyle w:val="TableGrid"/>
        <w:tblW w:w="5000" w:type="pct"/>
        <w:tblLook w:val="04A0" w:firstRow="1" w:lastRow="0" w:firstColumn="1" w:lastColumn="0" w:noHBand="0" w:noVBand="1"/>
      </w:tblPr>
      <w:tblGrid>
        <w:gridCol w:w="3623"/>
        <w:gridCol w:w="2091"/>
        <w:gridCol w:w="2204"/>
        <w:gridCol w:w="1325"/>
      </w:tblGrid>
      <w:tr w:rsidR="00912D22" w:rsidRPr="0008526E" w:rsidTr="00DD753F">
        <w:trPr>
          <w:trHeight w:val="270"/>
        </w:trPr>
        <w:tc>
          <w:tcPr>
            <w:tcW w:w="1960" w:type="pct"/>
            <w:vMerge w:val="restart"/>
            <w:shd w:val="clear" w:color="auto" w:fill="auto"/>
            <w:vAlign w:val="center"/>
          </w:tcPr>
          <w:p w:rsidR="00912D22" w:rsidRPr="0008526E" w:rsidRDefault="00912D22" w:rsidP="002436B5">
            <w:pPr>
              <w:keepNext/>
              <w:keepLines/>
              <w:spacing w:line="276" w:lineRule="auto"/>
              <w:jc w:val="left"/>
              <w:rPr>
                <w:rFonts w:ascii="Arial Narrow" w:hAnsi="Arial Narrow" w:cstheme="minorHAnsi"/>
                <w:b/>
                <w:sz w:val="20"/>
                <w:szCs w:val="20"/>
              </w:rPr>
            </w:pPr>
          </w:p>
        </w:tc>
        <w:tc>
          <w:tcPr>
            <w:tcW w:w="1131"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b/>
                <w:sz w:val="20"/>
                <w:szCs w:val="20"/>
              </w:rPr>
            </w:pPr>
            <w:r w:rsidRPr="0008526E">
              <w:rPr>
                <w:rFonts w:ascii="Arial Narrow" w:hAnsi="Arial Narrow" w:cstheme="minorHAnsi"/>
                <w:b/>
                <w:sz w:val="20"/>
                <w:szCs w:val="20"/>
              </w:rPr>
              <w:t>Cost</w:t>
            </w:r>
          </w:p>
        </w:tc>
        <w:tc>
          <w:tcPr>
            <w:tcW w:w="1192"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b/>
                <w:sz w:val="20"/>
                <w:szCs w:val="20"/>
              </w:rPr>
            </w:pPr>
            <w:r w:rsidRPr="0008526E">
              <w:rPr>
                <w:rFonts w:ascii="Arial Narrow" w:hAnsi="Arial Narrow" w:cstheme="minorHAnsi"/>
                <w:b/>
                <w:sz w:val="20"/>
                <w:szCs w:val="20"/>
              </w:rPr>
              <w:t>Outcomes</w:t>
            </w:r>
          </w:p>
        </w:tc>
        <w:tc>
          <w:tcPr>
            <w:tcW w:w="717" w:type="pct"/>
            <w:vMerge w:val="restart"/>
            <w:shd w:val="clear" w:color="auto" w:fill="auto"/>
            <w:vAlign w:val="center"/>
          </w:tcPr>
          <w:p w:rsidR="00912D22" w:rsidRPr="0008526E" w:rsidRDefault="00912D22" w:rsidP="002436B5">
            <w:pPr>
              <w:keepNext/>
              <w:keepLines/>
              <w:spacing w:line="276" w:lineRule="auto"/>
              <w:jc w:val="center"/>
              <w:rPr>
                <w:rFonts w:ascii="Arial Narrow" w:hAnsi="Arial Narrow" w:cstheme="minorHAnsi"/>
                <w:b/>
                <w:sz w:val="20"/>
                <w:szCs w:val="20"/>
              </w:rPr>
            </w:pPr>
            <w:r w:rsidRPr="0008526E">
              <w:rPr>
                <w:rFonts w:ascii="Arial Narrow" w:hAnsi="Arial Narrow" w:cstheme="minorHAnsi"/>
                <w:b/>
                <w:sz w:val="20"/>
                <w:szCs w:val="20"/>
              </w:rPr>
              <w:t>ICER ($/QALY)</w:t>
            </w:r>
          </w:p>
        </w:tc>
      </w:tr>
      <w:tr w:rsidR="00912D22" w:rsidRPr="0008526E" w:rsidTr="00DD753F">
        <w:trPr>
          <w:trHeight w:val="270"/>
        </w:trPr>
        <w:tc>
          <w:tcPr>
            <w:tcW w:w="1960" w:type="pct"/>
            <w:vMerge/>
            <w:shd w:val="clear" w:color="auto" w:fill="auto"/>
            <w:vAlign w:val="center"/>
          </w:tcPr>
          <w:p w:rsidR="00912D22" w:rsidRPr="0008526E" w:rsidRDefault="00912D22" w:rsidP="002436B5">
            <w:pPr>
              <w:keepNext/>
              <w:keepLines/>
              <w:spacing w:line="276" w:lineRule="auto"/>
              <w:jc w:val="left"/>
              <w:rPr>
                <w:rFonts w:ascii="Arial Narrow" w:hAnsi="Arial Narrow" w:cstheme="minorHAnsi"/>
                <w:b/>
                <w:sz w:val="20"/>
                <w:szCs w:val="20"/>
              </w:rPr>
            </w:pPr>
          </w:p>
        </w:tc>
        <w:tc>
          <w:tcPr>
            <w:tcW w:w="1131"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b/>
                <w:sz w:val="20"/>
                <w:szCs w:val="20"/>
              </w:rPr>
            </w:pPr>
            <w:r w:rsidRPr="0008526E">
              <w:rPr>
                <w:rFonts w:ascii="Arial Narrow" w:hAnsi="Arial Narrow" w:cstheme="minorHAnsi"/>
                <w:b/>
                <w:sz w:val="20"/>
                <w:szCs w:val="20"/>
              </w:rPr>
              <w:t>Incremental Reg vs BSC</w:t>
            </w:r>
          </w:p>
        </w:tc>
        <w:tc>
          <w:tcPr>
            <w:tcW w:w="1192"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b/>
                <w:sz w:val="20"/>
                <w:szCs w:val="20"/>
              </w:rPr>
            </w:pPr>
            <w:r w:rsidRPr="0008526E">
              <w:rPr>
                <w:rFonts w:ascii="Arial Narrow" w:hAnsi="Arial Narrow" w:cstheme="minorHAnsi"/>
                <w:b/>
                <w:sz w:val="20"/>
                <w:szCs w:val="20"/>
              </w:rPr>
              <w:t>Incremental Reg vs BSC</w:t>
            </w:r>
          </w:p>
        </w:tc>
        <w:tc>
          <w:tcPr>
            <w:tcW w:w="717" w:type="pct"/>
            <w:vMerge/>
            <w:shd w:val="clear" w:color="auto" w:fill="auto"/>
            <w:vAlign w:val="center"/>
          </w:tcPr>
          <w:p w:rsidR="00912D22" w:rsidRPr="0008526E" w:rsidRDefault="00912D22" w:rsidP="002436B5">
            <w:pPr>
              <w:keepNext/>
              <w:keepLines/>
              <w:spacing w:line="276" w:lineRule="auto"/>
              <w:jc w:val="center"/>
              <w:rPr>
                <w:rFonts w:ascii="Arial Narrow" w:hAnsi="Arial Narrow" w:cstheme="minorHAnsi"/>
                <w:b/>
                <w:sz w:val="20"/>
                <w:szCs w:val="20"/>
              </w:rPr>
            </w:pPr>
          </w:p>
        </w:tc>
      </w:tr>
      <w:tr w:rsidR="00912D22" w:rsidRPr="0008526E" w:rsidTr="00912D22">
        <w:trPr>
          <w:trHeight w:val="270"/>
        </w:trPr>
        <w:tc>
          <w:tcPr>
            <w:tcW w:w="5000" w:type="pct"/>
            <w:gridSpan w:val="4"/>
            <w:shd w:val="clear" w:color="auto" w:fill="auto"/>
            <w:vAlign w:val="center"/>
          </w:tcPr>
          <w:p w:rsidR="00912D22" w:rsidRPr="0008526E" w:rsidRDefault="00912D22" w:rsidP="002436B5">
            <w:pPr>
              <w:keepNext/>
              <w:keepLines/>
              <w:spacing w:line="276" w:lineRule="auto"/>
              <w:jc w:val="left"/>
              <w:rPr>
                <w:rFonts w:ascii="Arial Narrow" w:hAnsi="Arial Narrow" w:cstheme="minorHAnsi"/>
                <w:b/>
                <w:sz w:val="20"/>
                <w:szCs w:val="20"/>
              </w:rPr>
            </w:pPr>
            <w:r w:rsidRPr="0008526E">
              <w:rPr>
                <w:rFonts w:ascii="Arial Narrow" w:hAnsi="Arial Narrow" w:cstheme="minorHAnsi"/>
                <w:b/>
                <w:sz w:val="20"/>
                <w:szCs w:val="20"/>
              </w:rPr>
              <w:t>Base case</w:t>
            </w:r>
          </w:p>
        </w:tc>
      </w:tr>
      <w:tr w:rsidR="00912D22" w:rsidRPr="0008526E" w:rsidTr="00D52F1C">
        <w:trPr>
          <w:trHeight w:val="270"/>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Base case</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0.34</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912D22">
        <w:trPr>
          <w:trHeight w:val="239"/>
        </w:trPr>
        <w:tc>
          <w:tcPr>
            <w:tcW w:w="5000" w:type="pct"/>
            <w:gridSpan w:val="4"/>
            <w:shd w:val="clear" w:color="auto" w:fill="auto"/>
            <w:vAlign w:val="center"/>
          </w:tcPr>
          <w:p w:rsidR="00912D22" w:rsidRPr="0008526E" w:rsidRDefault="00912D22" w:rsidP="002436B5">
            <w:pPr>
              <w:keepNext/>
              <w:keepLines/>
              <w:spacing w:line="276" w:lineRule="auto"/>
              <w:jc w:val="left"/>
              <w:rPr>
                <w:rFonts w:ascii="Arial Narrow" w:hAnsi="Arial Narrow" w:cstheme="minorHAnsi"/>
                <w:b/>
                <w:sz w:val="20"/>
                <w:szCs w:val="20"/>
              </w:rPr>
            </w:pPr>
            <w:r w:rsidRPr="0008526E">
              <w:rPr>
                <w:rFonts w:ascii="Arial Narrow" w:hAnsi="Arial Narrow" w:cstheme="minorHAnsi"/>
                <w:b/>
                <w:sz w:val="20"/>
                <w:szCs w:val="20"/>
              </w:rPr>
              <w:t>One Way Sensitivity analysis</w:t>
            </w:r>
          </w:p>
        </w:tc>
      </w:tr>
      <w:tr w:rsidR="00912D22" w:rsidRPr="0008526E" w:rsidTr="00DD753F">
        <w:trPr>
          <w:trHeight w:val="105"/>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OS – Log-logistic extrapolation for regorafenib only</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0.37</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270"/>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OS – Weibull extrapolation for regorafenib only</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0.32</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7"/>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OS – Log-Normal extrapolation for regorafenib only</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0.37</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183"/>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OS – Exponential extrapolation for regorafenib only</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0.31</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270"/>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OS – Gamma extrapolation for regorafenib only</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0.31</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7"/>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OS – Piecewise Cycle 3 (56 days) extrapolation for regorafenib only</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0.34</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61"/>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OS – No Piecewise Gompertz extrapolation for regorafenib only</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0.29</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7"/>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Utility (PFS: 0.76; PD: 0.68)</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0.32</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165"/>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Utility (AE Literature)</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0.33</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7"/>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Time horizon 3 years</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0.24</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7"/>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Time horizon 4 years</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0.30</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7"/>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Discount rate: 0%</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0.37</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9"/>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Discount rate: 3.5%</w:t>
            </w:r>
          </w:p>
        </w:tc>
        <w:tc>
          <w:tcPr>
            <w:tcW w:w="1131"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0.35</w:t>
            </w:r>
          </w:p>
        </w:tc>
        <w:tc>
          <w:tcPr>
            <w:tcW w:w="717" w:type="pct"/>
            <w:shd w:val="clear" w:color="auto" w:fill="auto"/>
            <w:vAlign w:val="bottom"/>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912D22">
        <w:trPr>
          <w:trHeight w:val="59"/>
        </w:trPr>
        <w:tc>
          <w:tcPr>
            <w:tcW w:w="5000" w:type="pct"/>
            <w:gridSpan w:val="4"/>
            <w:shd w:val="clear" w:color="auto" w:fill="auto"/>
            <w:vAlign w:val="center"/>
          </w:tcPr>
          <w:p w:rsidR="00912D22" w:rsidRPr="0008526E" w:rsidRDefault="00912D22" w:rsidP="002436B5">
            <w:pPr>
              <w:keepNext/>
              <w:keepLines/>
              <w:spacing w:line="276" w:lineRule="auto"/>
              <w:jc w:val="left"/>
              <w:rPr>
                <w:rFonts w:ascii="Arial Narrow" w:hAnsi="Arial Narrow" w:cstheme="minorHAnsi"/>
                <w:b/>
                <w:sz w:val="20"/>
                <w:szCs w:val="20"/>
              </w:rPr>
            </w:pPr>
            <w:r w:rsidRPr="0008526E">
              <w:rPr>
                <w:rFonts w:ascii="Arial Narrow" w:hAnsi="Arial Narrow" w:cstheme="minorHAnsi"/>
                <w:b/>
                <w:sz w:val="20"/>
                <w:szCs w:val="20"/>
              </w:rPr>
              <w:t>Additional sensitivity analysis</w:t>
            </w:r>
          </w:p>
        </w:tc>
      </w:tr>
      <w:tr w:rsidR="00912D22" w:rsidRPr="0008526E" w:rsidTr="00DD753F">
        <w:trPr>
          <w:trHeight w:val="59"/>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No PFS extrapolation applied to base case</w:t>
            </w:r>
            <w:r w:rsidR="00A96787" w:rsidRPr="0008526E">
              <w:rPr>
                <w:rFonts w:ascii="Arial Narrow" w:hAnsi="Arial Narrow" w:cstheme="minorHAnsi"/>
                <w:sz w:val="20"/>
                <w:szCs w:val="20"/>
              </w:rPr>
              <w:t xml:space="preserve"> (Step 4)</w:t>
            </w:r>
          </w:p>
        </w:tc>
        <w:tc>
          <w:tcPr>
            <w:tcW w:w="1131"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0.334</w:t>
            </w:r>
          </w:p>
        </w:tc>
        <w:tc>
          <w:tcPr>
            <w:tcW w:w="717"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9"/>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Extrapolation for OS from month 12 to year 5</w:t>
            </w:r>
            <w:r w:rsidR="00A96787" w:rsidRPr="0008526E">
              <w:rPr>
                <w:rFonts w:ascii="Arial Narrow" w:hAnsi="Arial Narrow" w:cstheme="minorHAnsi"/>
                <w:sz w:val="20"/>
                <w:szCs w:val="20"/>
              </w:rPr>
              <w:t xml:space="preserve"> applied to base case (Step 4)</w:t>
            </w:r>
          </w:p>
        </w:tc>
        <w:tc>
          <w:tcPr>
            <w:tcW w:w="1131"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0.310</w:t>
            </w:r>
          </w:p>
        </w:tc>
        <w:tc>
          <w:tcPr>
            <w:tcW w:w="717" w:type="pct"/>
            <w:shd w:val="clear" w:color="auto" w:fill="auto"/>
            <w:vAlign w:val="center"/>
          </w:tcPr>
          <w:p w:rsidR="00912D22" w:rsidRPr="0008526E" w:rsidRDefault="00912D22" w:rsidP="002436B5">
            <w:pPr>
              <w:keepNext/>
              <w:keepLines/>
              <w:widowControl/>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r w:rsidR="00912D22" w:rsidRPr="0008526E" w:rsidTr="00DD753F">
        <w:trPr>
          <w:trHeight w:val="59"/>
        </w:trPr>
        <w:tc>
          <w:tcPr>
            <w:tcW w:w="1960" w:type="pct"/>
            <w:shd w:val="clear" w:color="auto" w:fill="auto"/>
            <w:vAlign w:val="center"/>
          </w:tcPr>
          <w:p w:rsidR="00912D22" w:rsidRPr="0008526E" w:rsidRDefault="00912D22" w:rsidP="002436B5">
            <w:pPr>
              <w:keepNext/>
              <w:keepLines/>
              <w:spacing w:line="276" w:lineRule="auto"/>
              <w:jc w:val="left"/>
              <w:rPr>
                <w:rFonts w:ascii="Arial Narrow" w:hAnsi="Arial Narrow" w:cstheme="minorHAnsi"/>
                <w:sz w:val="20"/>
                <w:szCs w:val="20"/>
              </w:rPr>
            </w:pPr>
            <w:r w:rsidRPr="0008526E">
              <w:rPr>
                <w:rFonts w:ascii="Arial Narrow" w:hAnsi="Arial Narrow" w:cstheme="minorHAnsi"/>
                <w:sz w:val="20"/>
                <w:szCs w:val="20"/>
              </w:rPr>
              <w:t>Clinical trial time horizon (33 months) and outcome converted to QALYs</w:t>
            </w:r>
            <w:r w:rsidR="00A96787" w:rsidRPr="0008526E">
              <w:rPr>
                <w:rFonts w:ascii="Arial Narrow" w:hAnsi="Arial Narrow" w:cstheme="minorHAnsi"/>
                <w:sz w:val="20"/>
                <w:szCs w:val="20"/>
              </w:rPr>
              <w:t xml:space="preserve"> (Step 1</w:t>
            </w:r>
            <w:r w:rsidR="002A43F3" w:rsidRPr="0008526E">
              <w:rPr>
                <w:rFonts w:ascii="Arial Narrow" w:hAnsi="Arial Narrow" w:cstheme="minorHAnsi"/>
                <w:sz w:val="20"/>
                <w:szCs w:val="20"/>
              </w:rPr>
              <w:t>)*</w:t>
            </w:r>
          </w:p>
        </w:tc>
        <w:tc>
          <w:tcPr>
            <w:tcW w:w="1131"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c>
          <w:tcPr>
            <w:tcW w:w="1192"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0.215</w:t>
            </w:r>
          </w:p>
        </w:tc>
        <w:tc>
          <w:tcPr>
            <w:tcW w:w="717" w:type="pct"/>
            <w:shd w:val="clear" w:color="auto" w:fill="auto"/>
            <w:vAlign w:val="center"/>
          </w:tcPr>
          <w:p w:rsidR="00912D22" w:rsidRPr="0008526E" w:rsidRDefault="00912D22" w:rsidP="002436B5">
            <w:pPr>
              <w:keepNext/>
              <w:keepLines/>
              <w:spacing w:line="276" w:lineRule="auto"/>
              <w:jc w:val="center"/>
              <w:rPr>
                <w:rFonts w:ascii="Arial Narrow" w:hAnsi="Arial Narrow" w:cstheme="minorHAnsi"/>
                <w:sz w:val="20"/>
                <w:szCs w:val="20"/>
              </w:rPr>
            </w:pPr>
            <w:r w:rsidRPr="0008526E">
              <w:rPr>
                <w:rFonts w:ascii="Arial Narrow" w:hAnsi="Arial Narrow" w:cstheme="minorHAnsi"/>
                <w:sz w:val="20"/>
                <w:szCs w:val="20"/>
              </w:rPr>
              <w:t>$</w:t>
            </w:r>
            <w:r w:rsidR="006025B2">
              <w:rPr>
                <w:rFonts w:ascii="Arial Narrow" w:hAnsi="Arial Narrow" w:cstheme="minorHAnsi"/>
                <w:noProof/>
                <w:color w:val="000000"/>
                <w:sz w:val="20"/>
                <w:szCs w:val="20"/>
                <w:highlight w:val="black"/>
              </w:rPr>
              <w:t>''''''''''''''''</w:t>
            </w:r>
          </w:p>
        </w:tc>
      </w:tr>
    </w:tbl>
    <w:p w:rsidR="00912D22" w:rsidRPr="0008526E" w:rsidRDefault="00912D22" w:rsidP="002436B5">
      <w:pPr>
        <w:pStyle w:val="TableFooter"/>
        <w:keepNext/>
        <w:keepLines/>
      </w:pPr>
      <w:r w:rsidRPr="0008526E">
        <w:t>Abbreviations: AE= adverse event; BSC= best supportive care; ICER= incremental cost effectiveness ratio; OS= overall survival; PD= progressive disease; PFS= progression free survival; QALYs= quality adjusted life years; Reg= regorafenib; SPA= special price agreement; TEAEs= treatment emergent adverse event</w:t>
      </w:r>
      <w:r w:rsidR="001C1255" w:rsidRPr="0008526E">
        <w:t>.</w:t>
      </w:r>
    </w:p>
    <w:p w:rsidR="00912D22" w:rsidRPr="0008526E" w:rsidRDefault="00371F08" w:rsidP="002436B5">
      <w:pPr>
        <w:pStyle w:val="TableFooter"/>
        <w:keepNext/>
        <w:keepLines/>
      </w:pPr>
      <w:r w:rsidRPr="0008526E">
        <w:t xml:space="preserve">Note: * The submission had applied an extrapolation to PFS in estimating the within trial analysis. </w:t>
      </w:r>
      <w:r w:rsidR="002A43F3" w:rsidRPr="0008526E">
        <w:t>This has been removed in this sensitivity analysis, hence the difference in incremental cost from the submission’s Step 1.</w:t>
      </w:r>
    </w:p>
    <w:p w:rsidR="00912D22" w:rsidRPr="0008526E" w:rsidRDefault="00912D22" w:rsidP="00C31925">
      <w:pPr>
        <w:pStyle w:val="TableFooter"/>
        <w:keepNext/>
        <w:keepLines/>
        <w:spacing w:after="120"/>
        <w:rPr>
          <w:sz w:val="20"/>
        </w:rPr>
      </w:pPr>
      <w:r w:rsidRPr="0008526E">
        <w:t xml:space="preserve">Source: Table -27, p. 180 of the submission. </w:t>
      </w:r>
    </w:p>
    <w:p w:rsidR="00912D22" w:rsidRPr="00811055" w:rsidRDefault="00811055" w:rsidP="00C31925">
      <w:pPr>
        <w:spacing w:after="120"/>
      </w:pPr>
      <w:r w:rsidRPr="00811055">
        <w:t>The redacted</w:t>
      </w:r>
      <w:r>
        <w:t xml:space="preserve"> table shows ICERs in the range of $45,000/QALY - $105,000/QALY. </w:t>
      </w:r>
    </w:p>
    <w:p w:rsidR="004942B0" w:rsidRPr="003B7A31" w:rsidRDefault="00912D22" w:rsidP="00010AA2">
      <w:pPr>
        <w:pStyle w:val="ListParagraph"/>
        <w:widowControl/>
        <w:numPr>
          <w:ilvl w:val="1"/>
          <w:numId w:val="3"/>
        </w:numPr>
      </w:pPr>
      <w:r w:rsidRPr="0008526E">
        <w:rPr>
          <w:rFonts w:asciiTheme="minorHAnsi" w:hAnsiTheme="minorHAnsi"/>
          <w:szCs w:val="24"/>
        </w:rPr>
        <w:t>The results from the sensitivity analyses provided in the submission</w:t>
      </w:r>
      <w:r w:rsidR="00121834" w:rsidRPr="0008526E">
        <w:rPr>
          <w:rFonts w:asciiTheme="minorHAnsi" w:hAnsiTheme="minorHAnsi"/>
          <w:szCs w:val="24"/>
        </w:rPr>
        <w:t>,</w:t>
      </w:r>
      <w:r w:rsidRPr="0008526E">
        <w:rPr>
          <w:rFonts w:asciiTheme="minorHAnsi" w:hAnsiTheme="minorHAnsi"/>
          <w:szCs w:val="24"/>
        </w:rPr>
        <w:t xml:space="preserve"> showed that the ICER estimates were most sensitive to variations in the time horizon (3 and 4 years) and structural uncertainty by modelling OS through a survival dependent model (not a piecewise)</w:t>
      </w:r>
      <w:r w:rsidR="007064E1" w:rsidRPr="0008526E">
        <w:rPr>
          <w:rFonts w:asciiTheme="minorHAnsi" w:hAnsiTheme="minorHAnsi"/>
          <w:szCs w:val="24"/>
        </w:rPr>
        <w:t>.</w:t>
      </w:r>
      <w:r w:rsidR="002A43F3" w:rsidRPr="0008526E">
        <w:rPr>
          <w:rFonts w:asciiTheme="minorHAnsi" w:hAnsiTheme="minorHAnsi"/>
          <w:szCs w:val="24"/>
        </w:rPr>
        <w:t xml:space="preserve"> </w:t>
      </w:r>
      <w:r w:rsidR="007064E1" w:rsidRPr="0008526E">
        <w:rPr>
          <w:rFonts w:asciiTheme="minorHAnsi" w:hAnsiTheme="minorHAnsi"/>
          <w:szCs w:val="24"/>
        </w:rPr>
        <w:t>T</w:t>
      </w:r>
      <w:r w:rsidR="002A43F3" w:rsidRPr="0008526E">
        <w:rPr>
          <w:rFonts w:asciiTheme="minorHAnsi" w:hAnsiTheme="minorHAnsi"/>
          <w:szCs w:val="24"/>
        </w:rPr>
        <w:t>hese analyses were applied to a model in which only the regorafenib arm</w:t>
      </w:r>
      <w:r w:rsidR="00011917" w:rsidRPr="0008526E">
        <w:rPr>
          <w:rFonts w:asciiTheme="minorHAnsi" w:hAnsiTheme="minorHAnsi"/>
          <w:szCs w:val="24"/>
        </w:rPr>
        <w:t xml:space="preserve"> alone</w:t>
      </w:r>
      <w:r w:rsidR="002A43F3" w:rsidRPr="0008526E">
        <w:rPr>
          <w:rFonts w:asciiTheme="minorHAnsi" w:hAnsiTheme="minorHAnsi"/>
          <w:szCs w:val="24"/>
        </w:rPr>
        <w:t xml:space="preserve"> had been extrapolated</w:t>
      </w:r>
      <w:r w:rsidR="007064E1" w:rsidRPr="0008526E">
        <w:rPr>
          <w:rFonts w:asciiTheme="minorHAnsi" w:hAnsiTheme="minorHAnsi"/>
          <w:szCs w:val="24"/>
        </w:rPr>
        <w:t>, therefore</w:t>
      </w:r>
      <w:r w:rsidR="001B0CBC" w:rsidRPr="0008526E">
        <w:rPr>
          <w:rFonts w:asciiTheme="minorHAnsi" w:hAnsiTheme="minorHAnsi"/>
          <w:szCs w:val="24"/>
        </w:rPr>
        <w:t xml:space="preserve"> </w:t>
      </w:r>
      <w:r w:rsidR="007064E1" w:rsidRPr="0008526E">
        <w:rPr>
          <w:rFonts w:asciiTheme="minorHAnsi" w:hAnsiTheme="minorHAnsi"/>
          <w:szCs w:val="24"/>
        </w:rPr>
        <w:t>t</w:t>
      </w:r>
      <w:r w:rsidR="002A43F3" w:rsidRPr="0008526E">
        <w:rPr>
          <w:rFonts w:asciiTheme="minorHAnsi" w:hAnsiTheme="minorHAnsi"/>
          <w:szCs w:val="24"/>
        </w:rPr>
        <w:t xml:space="preserve">he impact of applying extrapolations to </w:t>
      </w:r>
      <w:r w:rsidR="00011917" w:rsidRPr="0008526E">
        <w:rPr>
          <w:rFonts w:asciiTheme="minorHAnsi" w:hAnsiTheme="minorHAnsi"/>
          <w:szCs w:val="24"/>
        </w:rPr>
        <w:t xml:space="preserve">the </w:t>
      </w:r>
      <w:r w:rsidR="002A43F3" w:rsidRPr="0008526E">
        <w:rPr>
          <w:rFonts w:asciiTheme="minorHAnsi" w:hAnsiTheme="minorHAnsi"/>
          <w:szCs w:val="24"/>
        </w:rPr>
        <w:t>BSC</w:t>
      </w:r>
      <w:r w:rsidR="00011917" w:rsidRPr="0008526E">
        <w:rPr>
          <w:rFonts w:asciiTheme="minorHAnsi" w:hAnsiTheme="minorHAnsi"/>
          <w:szCs w:val="24"/>
        </w:rPr>
        <w:t xml:space="preserve"> arm remain</w:t>
      </w:r>
      <w:r w:rsidR="00876D7D" w:rsidRPr="0008526E">
        <w:rPr>
          <w:rFonts w:asciiTheme="minorHAnsi" w:hAnsiTheme="minorHAnsi"/>
          <w:szCs w:val="24"/>
        </w:rPr>
        <w:t>ed</w:t>
      </w:r>
      <w:r w:rsidR="00011917" w:rsidRPr="0008526E">
        <w:rPr>
          <w:rFonts w:asciiTheme="minorHAnsi" w:hAnsiTheme="minorHAnsi"/>
          <w:szCs w:val="24"/>
        </w:rPr>
        <w:t xml:space="preserve"> uncertain</w:t>
      </w:r>
      <w:r w:rsidR="002A43F3" w:rsidRPr="0008526E">
        <w:rPr>
          <w:rFonts w:asciiTheme="minorHAnsi" w:hAnsiTheme="minorHAnsi"/>
          <w:szCs w:val="24"/>
        </w:rPr>
        <w:t xml:space="preserve">. </w:t>
      </w:r>
      <w:bookmarkStart w:id="17" w:name="_Toc503166750"/>
    </w:p>
    <w:p w:rsidR="003B7A31" w:rsidRPr="003606EB" w:rsidRDefault="003B7A31" w:rsidP="003B7A31">
      <w:pPr>
        <w:pStyle w:val="ListParagraph"/>
        <w:widowControl/>
        <w:numPr>
          <w:ilvl w:val="1"/>
          <w:numId w:val="3"/>
        </w:numPr>
      </w:pPr>
      <w:r w:rsidRPr="003606EB">
        <w:t>The ESC advised that additional univariate analyses and multivariate analyses testing the following assumptions would be informative:</w:t>
      </w:r>
    </w:p>
    <w:p w:rsidR="003B7A31" w:rsidRPr="003606EB" w:rsidRDefault="003B7A31" w:rsidP="003B7A31">
      <w:pPr>
        <w:pStyle w:val="ListParagraph"/>
        <w:numPr>
          <w:ilvl w:val="2"/>
          <w:numId w:val="3"/>
        </w:numPr>
        <w:tabs>
          <w:tab w:val="left" w:pos="993"/>
        </w:tabs>
        <w:spacing w:after="0"/>
        <w:ind w:left="993" w:hanging="284"/>
        <w:rPr>
          <w:rFonts w:asciiTheme="minorHAnsi" w:hAnsiTheme="minorHAnsi"/>
        </w:rPr>
      </w:pPr>
      <w:r w:rsidRPr="003606EB">
        <w:rPr>
          <w:rFonts w:asciiTheme="minorHAnsi" w:hAnsiTheme="minorHAnsi"/>
        </w:rPr>
        <w:t xml:space="preserve">extrapolating </w:t>
      </w:r>
      <w:r w:rsidRPr="003606EB">
        <w:rPr>
          <w:rFonts w:asciiTheme="minorHAnsi" w:hAnsiTheme="minorHAnsi"/>
          <w:u w:val="single"/>
        </w:rPr>
        <w:t>both</w:t>
      </w:r>
      <w:r w:rsidRPr="003606EB">
        <w:rPr>
          <w:rFonts w:asciiTheme="minorHAnsi" w:hAnsiTheme="minorHAnsi"/>
        </w:rPr>
        <w:t xml:space="preserve"> regorafenib and BSC arms;</w:t>
      </w:r>
    </w:p>
    <w:p w:rsidR="003B7A31" w:rsidRPr="003606EB" w:rsidRDefault="003B7A31" w:rsidP="003B7A31">
      <w:pPr>
        <w:pStyle w:val="ListParagraph"/>
        <w:numPr>
          <w:ilvl w:val="2"/>
          <w:numId w:val="3"/>
        </w:numPr>
        <w:tabs>
          <w:tab w:val="left" w:pos="993"/>
        </w:tabs>
        <w:spacing w:after="0"/>
        <w:ind w:left="993" w:hanging="284"/>
        <w:rPr>
          <w:rFonts w:asciiTheme="minorHAnsi" w:hAnsiTheme="minorHAnsi"/>
        </w:rPr>
      </w:pPr>
      <w:r w:rsidRPr="003606EB">
        <w:rPr>
          <w:rFonts w:asciiTheme="minorHAnsi" w:hAnsiTheme="minorHAnsi"/>
        </w:rPr>
        <w:t>applying extrapolation</w:t>
      </w:r>
      <w:r w:rsidR="00D52F1C" w:rsidRPr="003606EB">
        <w:rPr>
          <w:rFonts w:asciiTheme="minorHAnsi" w:hAnsiTheme="minorHAnsi"/>
        </w:rPr>
        <w:t>s</w:t>
      </w:r>
      <w:r w:rsidRPr="003606EB">
        <w:rPr>
          <w:rFonts w:asciiTheme="minorHAnsi" w:hAnsiTheme="minorHAnsi"/>
        </w:rPr>
        <w:t xml:space="preserve"> from different time points, including from the point of median follow-up;</w:t>
      </w:r>
    </w:p>
    <w:p w:rsidR="00CB089E" w:rsidRPr="003606EB" w:rsidRDefault="004C586F" w:rsidP="004C586F">
      <w:pPr>
        <w:pStyle w:val="ListParagraph"/>
        <w:numPr>
          <w:ilvl w:val="2"/>
          <w:numId w:val="3"/>
        </w:numPr>
        <w:tabs>
          <w:tab w:val="left" w:pos="993"/>
        </w:tabs>
        <w:spacing w:after="0"/>
        <w:ind w:left="993" w:hanging="284"/>
        <w:rPr>
          <w:rFonts w:asciiTheme="minorHAnsi" w:hAnsiTheme="minorHAnsi"/>
        </w:rPr>
      </w:pPr>
      <w:r w:rsidRPr="003606EB">
        <w:t>using all observed survival data (i.e. from day 1) to inform the parametric function used to undertake the extrapolations;</w:t>
      </w:r>
      <w:r w:rsidR="00CB089E" w:rsidRPr="003606EB">
        <w:t xml:space="preserve"> and</w:t>
      </w:r>
    </w:p>
    <w:p w:rsidR="00071016" w:rsidRPr="00071016" w:rsidRDefault="003B7A31" w:rsidP="00071016">
      <w:pPr>
        <w:pStyle w:val="ListParagraph"/>
        <w:numPr>
          <w:ilvl w:val="2"/>
          <w:numId w:val="3"/>
        </w:numPr>
        <w:tabs>
          <w:tab w:val="left" w:pos="993"/>
        </w:tabs>
        <w:spacing w:after="0"/>
        <w:ind w:left="993" w:hanging="284"/>
        <w:rPr>
          <w:rFonts w:asciiTheme="minorHAnsi" w:hAnsiTheme="minorHAnsi"/>
        </w:rPr>
      </w:pPr>
      <w:r w:rsidRPr="003606EB">
        <w:rPr>
          <w:rFonts w:asciiTheme="minorHAnsi" w:hAnsiTheme="minorHAnsi"/>
        </w:rPr>
        <w:t>applying trial-based utility values.</w:t>
      </w:r>
    </w:p>
    <w:p w:rsidR="00486F92" w:rsidRDefault="00486F92" w:rsidP="00486F92">
      <w:pPr>
        <w:pStyle w:val="ListParagraph"/>
        <w:tabs>
          <w:tab w:val="left" w:pos="993"/>
        </w:tabs>
        <w:spacing w:after="0"/>
        <w:ind w:left="993"/>
        <w:rPr>
          <w:rFonts w:asciiTheme="minorHAnsi" w:hAnsiTheme="minorHAnsi"/>
          <w:i/>
        </w:rPr>
      </w:pPr>
    </w:p>
    <w:p w:rsidR="00CC3196" w:rsidRDefault="00486F92" w:rsidP="00486F92">
      <w:pPr>
        <w:pStyle w:val="ListParagraph"/>
        <w:widowControl/>
        <w:numPr>
          <w:ilvl w:val="1"/>
          <w:numId w:val="3"/>
        </w:numPr>
        <w:rPr>
          <w:rFonts w:asciiTheme="minorHAnsi" w:hAnsiTheme="minorHAnsi"/>
        </w:rPr>
      </w:pPr>
      <w:r w:rsidRPr="003606EB">
        <w:rPr>
          <w:rFonts w:asciiTheme="minorHAnsi" w:hAnsiTheme="minorHAnsi"/>
        </w:rPr>
        <w:t xml:space="preserve">The ESC considered that while using the updated Kaplan-Meier curves provided in the PSCR in the extrapolation of both arms would potentially be more informative, any revised extrapolation conducted with updated data would not be independently evaluated in time for PBAC’s consideration at its March 2018 meeting. </w:t>
      </w:r>
    </w:p>
    <w:p w:rsidR="009E32C1" w:rsidRPr="00160FE0" w:rsidRDefault="006D13B0" w:rsidP="006D13B0">
      <w:pPr>
        <w:pStyle w:val="ListParagraph"/>
        <w:widowControl/>
        <w:numPr>
          <w:ilvl w:val="1"/>
          <w:numId w:val="3"/>
        </w:numPr>
        <w:spacing w:after="120"/>
        <w:rPr>
          <w:rFonts w:asciiTheme="minorHAnsi" w:hAnsiTheme="minorHAnsi"/>
          <w:bCs/>
          <w:lang w:val="en-GB"/>
        </w:rPr>
      </w:pPr>
      <w:r w:rsidRPr="00160FE0">
        <w:rPr>
          <w:rFonts w:asciiTheme="minorHAnsi" w:hAnsiTheme="minorHAnsi"/>
          <w:bCs/>
          <w:lang w:val="en-GB"/>
        </w:rPr>
        <w:t xml:space="preserve">The PBAC noted the base case ICER presented was </w:t>
      </w:r>
      <w:r w:rsidR="00875ED8">
        <w:rPr>
          <w:rFonts w:asciiTheme="minorHAnsi" w:hAnsiTheme="minorHAnsi"/>
          <w:bCs/>
          <w:lang w:val="en-GB"/>
        </w:rPr>
        <w:t xml:space="preserve">$15,000 - $45,000 </w:t>
      </w:r>
      <w:r w:rsidRPr="00160FE0">
        <w:rPr>
          <w:rFonts w:asciiTheme="minorHAnsi" w:hAnsiTheme="minorHAnsi"/>
          <w:bCs/>
          <w:lang w:val="en-GB"/>
        </w:rPr>
        <w:t xml:space="preserve">per additional life year and </w:t>
      </w:r>
      <w:r w:rsidR="00875ED8">
        <w:rPr>
          <w:rFonts w:asciiTheme="minorHAnsi" w:hAnsiTheme="minorHAnsi"/>
          <w:bCs/>
          <w:lang w:val="en-GB"/>
        </w:rPr>
        <w:t xml:space="preserve">$45,000 - $75,000 </w:t>
      </w:r>
      <w:r w:rsidRPr="00160FE0">
        <w:rPr>
          <w:rFonts w:asciiTheme="minorHAnsi" w:hAnsiTheme="minorHAnsi"/>
          <w:bCs/>
          <w:lang w:val="en-GB"/>
        </w:rPr>
        <w:t>per QALY gained. The PBAC considered that this base case is likely to underestimate the ICER due to the above issues identified in the commentary and raised by ESC. The Committee noted that univariate and multivariate sensitivity analyses were presented in the pre-PBAC response as requested</w:t>
      </w:r>
      <w:r w:rsidR="00160FE0" w:rsidRPr="00160FE0">
        <w:rPr>
          <w:rFonts w:asciiTheme="minorHAnsi" w:hAnsiTheme="minorHAnsi"/>
          <w:bCs/>
          <w:lang w:val="en-GB"/>
        </w:rPr>
        <w:t xml:space="preserve"> (</w:t>
      </w:r>
      <w:r w:rsidR="00160FE0" w:rsidRPr="00160FE0">
        <w:rPr>
          <w:rFonts w:asciiTheme="minorHAnsi" w:hAnsiTheme="minorHAnsi"/>
        </w:rPr>
        <w:t xml:space="preserve">Table 13). These analyses were based on the original Kaplan-Meier curves in the submission. </w:t>
      </w:r>
      <w:r w:rsidRPr="00160FE0">
        <w:rPr>
          <w:rFonts w:asciiTheme="minorHAnsi" w:hAnsiTheme="minorHAnsi"/>
          <w:bCs/>
          <w:lang w:val="en-GB"/>
        </w:rPr>
        <w:t xml:space="preserve">The PBAC noted that the multivariate sensitivity analysis as specified by ESC, </w:t>
      </w:r>
      <w:r w:rsidRPr="00160FE0">
        <w:rPr>
          <w:rFonts w:asciiTheme="minorHAnsi" w:hAnsiTheme="minorHAnsi"/>
        </w:rPr>
        <w:t>where OS and PFS are extrapolated from the median</w:t>
      </w:r>
      <w:r w:rsidR="00A36A50">
        <w:rPr>
          <w:rFonts w:asciiTheme="minorHAnsi" w:hAnsiTheme="minorHAnsi"/>
        </w:rPr>
        <w:t xml:space="preserve"> follow-up</w:t>
      </w:r>
      <w:r w:rsidRPr="00160FE0">
        <w:rPr>
          <w:rFonts w:asciiTheme="minorHAnsi" w:hAnsiTheme="minorHAnsi"/>
        </w:rPr>
        <w:t xml:space="preserve"> for both regorafenib and BSC</w:t>
      </w:r>
      <w:r w:rsidR="00055788" w:rsidRPr="00160FE0">
        <w:rPr>
          <w:rFonts w:asciiTheme="minorHAnsi" w:hAnsiTheme="minorHAnsi"/>
        </w:rPr>
        <w:t xml:space="preserve"> arms</w:t>
      </w:r>
      <w:r w:rsidRPr="00160FE0">
        <w:rPr>
          <w:rFonts w:asciiTheme="minorHAnsi" w:hAnsiTheme="minorHAnsi"/>
        </w:rPr>
        <w:t xml:space="preserve">, no piecewise Gompertz model for OS and </w:t>
      </w:r>
      <w:r w:rsidR="00055788" w:rsidRPr="00160FE0">
        <w:rPr>
          <w:rFonts w:asciiTheme="minorHAnsi" w:hAnsiTheme="minorHAnsi"/>
        </w:rPr>
        <w:t xml:space="preserve">using </w:t>
      </w:r>
      <w:r w:rsidRPr="00160FE0">
        <w:rPr>
          <w:rFonts w:asciiTheme="minorHAnsi" w:hAnsiTheme="minorHAnsi"/>
        </w:rPr>
        <w:t xml:space="preserve">trial-based utilities </w:t>
      </w:r>
      <w:r w:rsidRPr="00160FE0">
        <w:rPr>
          <w:rFonts w:asciiTheme="minorHAnsi" w:hAnsiTheme="minorHAnsi"/>
          <w:bCs/>
          <w:lang w:val="en-GB"/>
        </w:rPr>
        <w:t xml:space="preserve">gave an ICER of </w:t>
      </w:r>
      <w:r w:rsidR="00875ED8">
        <w:rPr>
          <w:rFonts w:asciiTheme="minorHAnsi" w:hAnsiTheme="minorHAnsi"/>
          <w:bCs/>
          <w:lang w:val="en-GB"/>
        </w:rPr>
        <w:t xml:space="preserve">$75,000 - $105,000 </w:t>
      </w:r>
      <w:r w:rsidRPr="00160FE0">
        <w:rPr>
          <w:rFonts w:asciiTheme="minorHAnsi" w:hAnsiTheme="minorHAnsi"/>
          <w:bCs/>
          <w:lang w:val="en-GB"/>
        </w:rPr>
        <w:t>per QALY gained</w:t>
      </w:r>
      <w:r w:rsidR="009E32C1" w:rsidRPr="00160FE0">
        <w:rPr>
          <w:rFonts w:asciiTheme="minorHAnsi" w:hAnsiTheme="minorHAnsi"/>
          <w:bCs/>
          <w:lang w:val="en-GB"/>
        </w:rPr>
        <w:t>. The PBAC considered this</w:t>
      </w:r>
      <w:r w:rsidRPr="00160FE0">
        <w:rPr>
          <w:rFonts w:asciiTheme="minorHAnsi" w:hAnsiTheme="minorHAnsi"/>
          <w:bCs/>
          <w:lang w:val="en-GB"/>
        </w:rPr>
        <w:t xml:space="preserve"> </w:t>
      </w:r>
      <w:r w:rsidR="00055788" w:rsidRPr="00160FE0">
        <w:rPr>
          <w:rFonts w:asciiTheme="minorHAnsi" w:hAnsiTheme="minorHAnsi"/>
          <w:bCs/>
          <w:lang w:val="en-GB"/>
        </w:rPr>
        <w:t xml:space="preserve">revised analysis </w:t>
      </w:r>
      <w:r w:rsidRPr="00160FE0">
        <w:rPr>
          <w:rFonts w:asciiTheme="minorHAnsi" w:hAnsiTheme="minorHAnsi"/>
          <w:bCs/>
          <w:lang w:val="en-GB"/>
        </w:rPr>
        <w:t>was the most appropriate base case for informing the ICER.</w:t>
      </w:r>
      <w:r w:rsidR="009E32C1" w:rsidRPr="00160FE0">
        <w:rPr>
          <w:rFonts w:asciiTheme="minorHAnsi" w:hAnsiTheme="minorHAnsi"/>
          <w:bCs/>
          <w:lang w:val="en-GB"/>
        </w:rPr>
        <w:t xml:space="preserve"> </w:t>
      </w:r>
    </w:p>
    <w:p w:rsidR="0031786A" w:rsidRPr="00160FE0" w:rsidRDefault="00055788" w:rsidP="006D13B0">
      <w:pPr>
        <w:numPr>
          <w:ilvl w:val="1"/>
          <w:numId w:val="3"/>
        </w:numPr>
        <w:spacing w:after="120"/>
        <w:rPr>
          <w:rFonts w:asciiTheme="minorHAnsi" w:hAnsiTheme="minorHAnsi"/>
          <w:bCs/>
          <w:lang w:val="en-GB"/>
        </w:rPr>
      </w:pPr>
      <w:r>
        <w:rPr>
          <w:rFonts w:asciiTheme="minorHAnsi" w:hAnsiTheme="minorHAnsi"/>
        </w:rPr>
        <w:t>In view of the</w:t>
      </w:r>
      <w:r w:rsidR="009E32C1">
        <w:rPr>
          <w:rFonts w:asciiTheme="minorHAnsi" w:hAnsiTheme="minorHAnsi"/>
        </w:rPr>
        <w:t xml:space="preserve"> revised </w:t>
      </w:r>
      <w:r>
        <w:rPr>
          <w:rFonts w:asciiTheme="minorHAnsi" w:hAnsiTheme="minorHAnsi"/>
        </w:rPr>
        <w:t>analyses</w:t>
      </w:r>
      <w:r w:rsidR="009E32C1">
        <w:rPr>
          <w:rFonts w:asciiTheme="minorHAnsi" w:hAnsiTheme="minorHAnsi"/>
        </w:rPr>
        <w:t xml:space="preserve"> the sponsor reduced the</w:t>
      </w:r>
      <w:r w:rsidR="009E32C1" w:rsidRPr="00DB2697">
        <w:rPr>
          <w:rFonts w:asciiTheme="minorHAnsi" w:hAnsiTheme="minorHAnsi"/>
        </w:rPr>
        <w:t xml:space="preserve"> </w:t>
      </w:r>
      <w:r w:rsidR="00751753">
        <w:rPr>
          <w:rFonts w:asciiTheme="minorHAnsi" w:hAnsiTheme="minorHAnsi"/>
        </w:rPr>
        <w:t>requested</w:t>
      </w:r>
      <w:r w:rsidR="00751753" w:rsidRPr="00DB2697">
        <w:rPr>
          <w:rFonts w:asciiTheme="minorHAnsi" w:hAnsiTheme="minorHAnsi"/>
        </w:rPr>
        <w:t xml:space="preserve"> </w:t>
      </w:r>
      <w:r w:rsidR="009E32C1" w:rsidRPr="00DB2697">
        <w:rPr>
          <w:rFonts w:asciiTheme="minorHAnsi" w:hAnsiTheme="minorHAnsi"/>
        </w:rPr>
        <w:t>AEMP for regorafenib</w:t>
      </w:r>
      <w:r w:rsidR="009E32C1">
        <w:rPr>
          <w:rFonts w:asciiTheme="minorHAnsi" w:hAnsiTheme="minorHAnsi"/>
        </w:rPr>
        <w:t xml:space="preserve"> by </w:t>
      </w:r>
      <w:r w:rsidR="00751753">
        <w:rPr>
          <w:rFonts w:asciiTheme="minorHAnsi" w:hAnsiTheme="minorHAnsi"/>
        </w:rPr>
        <w:t xml:space="preserve">approximately </w:t>
      </w:r>
      <w:r w:rsidR="006025B2">
        <w:rPr>
          <w:rFonts w:asciiTheme="minorHAnsi" w:hAnsiTheme="minorHAnsi"/>
          <w:noProof/>
          <w:color w:val="000000"/>
          <w:highlight w:val="black"/>
        </w:rPr>
        <w:t>''''''</w:t>
      </w:r>
      <w:r w:rsidR="009E32C1">
        <w:rPr>
          <w:rFonts w:asciiTheme="minorHAnsi" w:hAnsiTheme="minorHAnsi"/>
        </w:rPr>
        <w:t>%</w:t>
      </w:r>
      <w:r w:rsidR="009E32C1" w:rsidRPr="00DB2697">
        <w:rPr>
          <w:rFonts w:asciiTheme="minorHAnsi" w:hAnsiTheme="minorHAnsi"/>
        </w:rPr>
        <w:t xml:space="preserve"> from $</w:t>
      </w:r>
      <w:r w:rsidR="006025B2">
        <w:rPr>
          <w:rFonts w:asciiTheme="minorHAnsi" w:hAnsiTheme="minorHAnsi"/>
          <w:noProof/>
          <w:color w:val="000000"/>
          <w:highlight w:val="black"/>
        </w:rPr>
        <w:t>'''''''''''''''''</w:t>
      </w:r>
      <w:r w:rsidR="009E32C1" w:rsidRPr="00DB2697">
        <w:rPr>
          <w:rFonts w:asciiTheme="minorHAnsi" w:hAnsiTheme="minorHAnsi"/>
        </w:rPr>
        <w:t xml:space="preserve"> to $</w:t>
      </w:r>
      <w:r w:rsidR="006025B2">
        <w:rPr>
          <w:rFonts w:asciiTheme="minorHAnsi" w:hAnsiTheme="minorHAnsi"/>
          <w:noProof/>
          <w:color w:val="000000"/>
          <w:highlight w:val="black"/>
        </w:rPr>
        <w:t>'''''''''''''''''</w:t>
      </w:r>
      <w:r w:rsidR="009E32C1">
        <w:rPr>
          <w:rFonts w:asciiTheme="minorHAnsi" w:hAnsiTheme="minorHAnsi"/>
        </w:rPr>
        <w:t xml:space="preserve"> </w:t>
      </w:r>
      <w:r w:rsidR="009E32C1" w:rsidRPr="00DB2697">
        <w:rPr>
          <w:rFonts w:asciiTheme="minorHAnsi" w:hAnsiTheme="minorHAnsi"/>
        </w:rPr>
        <w:t xml:space="preserve">per bottle of 28 tablets. The revised proposed price for regorafenib </w:t>
      </w:r>
      <w:r w:rsidR="009E32C1">
        <w:rPr>
          <w:rFonts w:asciiTheme="minorHAnsi" w:hAnsiTheme="minorHAnsi"/>
        </w:rPr>
        <w:t>reduce</w:t>
      </w:r>
      <w:r w:rsidR="00751753">
        <w:rPr>
          <w:rFonts w:asciiTheme="minorHAnsi" w:hAnsiTheme="minorHAnsi"/>
        </w:rPr>
        <w:t>d</w:t>
      </w:r>
      <w:r w:rsidR="009E32C1">
        <w:rPr>
          <w:rFonts w:asciiTheme="minorHAnsi" w:hAnsiTheme="minorHAnsi"/>
        </w:rPr>
        <w:t xml:space="preserve"> the ICER from</w:t>
      </w:r>
      <w:r w:rsidR="003C2DCF">
        <w:rPr>
          <w:rFonts w:asciiTheme="minorHAnsi" w:hAnsiTheme="minorHAnsi"/>
        </w:rPr>
        <w:t xml:space="preserve"> $75,000 - $105,000</w:t>
      </w:r>
      <w:r w:rsidR="004467BE">
        <w:rPr>
          <w:rFonts w:asciiTheme="minorHAnsi" w:hAnsiTheme="minorHAnsi"/>
        </w:rPr>
        <w:t xml:space="preserve"> per Q</w:t>
      </w:r>
      <w:r w:rsidR="003C2DCF">
        <w:rPr>
          <w:rFonts w:asciiTheme="minorHAnsi" w:hAnsiTheme="minorHAnsi"/>
        </w:rPr>
        <w:t>ALY gained, to $45,000 - $75,000</w:t>
      </w:r>
      <w:r w:rsidR="004467BE">
        <w:rPr>
          <w:rFonts w:asciiTheme="minorHAnsi" w:hAnsiTheme="minorHAnsi"/>
        </w:rPr>
        <w:t xml:space="preserve"> per </w:t>
      </w:r>
      <w:r w:rsidR="003C2DCF">
        <w:rPr>
          <w:rFonts w:asciiTheme="minorHAnsi" w:hAnsiTheme="minorHAnsi"/>
        </w:rPr>
        <w:t>QALY gained</w:t>
      </w:r>
      <w:r w:rsidR="009E32C1" w:rsidRPr="00DB2697">
        <w:rPr>
          <w:rFonts w:asciiTheme="minorHAnsi" w:hAnsiTheme="minorHAnsi"/>
        </w:rPr>
        <w:t>.</w:t>
      </w:r>
    </w:p>
    <w:p w:rsidR="00160FE0" w:rsidRPr="002578D5" w:rsidRDefault="00160FE0" w:rsidP="002578D5">
      <w:pPr>
        <w:numPr>
          <w:ilvl w:val="1"/>
          <w:numId w:val="3"/>
        </w:numPr>
        <w:spacing w:after="120"/>
        <w:rPr>
          <w:rFonts w:asciiTheme="minorHAnsi" w:hAnsiTheme="minorHAnsi"/>
          <w:bCs/>
          <w:lang w:val="en-GB"/>
        </w:rPr>
      </w:pPr>
      <w:r>
        <w:rPr>
          <w:rFonts w:asciiTheme="minorHAnsi" w:hAnsiTheme="minorHAnsi"/>
        </w:rPr>
        <w:t>The pre-PBAC response argue</w:t>
      </w:r>
      <w:r w:rsidR="00751753">
        <w:rPr>
          <w:rFonts w:asciiTheme="minorHAnsi" w:hAnsiTheme="minorHAnsi"/>
        </w:rPr>
        <w:t>d</w:t>
      </w:r>
      <w:r>
        <w:rPr>
          <w:rFonts w:asciiTheme="minorHAnsi" w:hAnsiTheme="minorHAnsi"/>
        </w:rPr>
        <w:t xml:space="preserve"> that the revised price gives an ICER of  </w:t>
      </w:r>
      <w:r w:rsidR="003C2DCF">
        <w:rPr>
          <w:rFonts w:asciiTheme="minorHAnsi" w:hAnsiTheme="minorHAnsi"/>
        </w:rPr>
        <w:t>$45,000 - $75,000</w:t>
      </w:r>
      <w:r w:rsidR="004467BE">
        <w:rPr>
          <w:rFonts w:asciiTheme="minorHAnsi" w:hAnsiTheme="minorHAnsi"/>
        </w:rPr>
        <w:t xml:space="preserve"> </w:t>
      </w:r>
      <w:r>
        <w:rPr>
          <w:rFonts w:asciiTheme="minorHAnsi" w:hAnsiTheme="minorHAnsi"/>
        </w:rPr>
        <w:t xml:space="preserve">per QALY gained with extrapolation from the median </w:t>
      </w:r>
      <w:r w:rsidR="00A36A50">
        <w:rPr>
          <w:rFonts w:asciiTheme="minorHAnsi" w:hAnsiTheme="minorHAnsi"/>
        </w:rPr>
        <w:t xml:space="preserve">follow-up </w:t>
      </w:r>
      <w:r>
        <w:rPr>
          <w:rFonts w:asciiTheme="minorHAnsi" w:hAnsiTheme="minorHAnsi"/>
        </w:rPr>
        <w:t xml:space="preserve">for both groups, which compared favourably with the ICER for sorafenib in HCC from 2008. The PBAC noted </w:t>
      </w:r>
      <w:r w:rsidR="002578D5">
        <w:rPr>
          <w:rFonts w:asciiTheme="minorHAnsi" w:hAnsiTheme="minorHAnsi"/>
        </w:rPr>
        <w:t xml:space="preserve">differences between </w:t>
      </w:r>
      <w:r>
        <w:rPr>
          <w:rFonts w:asciiTheme="minorHAnsi" w:hAnsiTheme="minorHAnsi"/>
        </w:rPr>
        <w:t>second line therapy</w:t>
      </w:r>
      <w:r w:rsidR="002578D5">
        <w:rPr>
          <w:rFonts w:asciiTheme="minorHAnsi" w:hAnsiTheme="minorHAnsi"/>
        </w:rPr>
        <w:t xml:space="preserve"> with regorafenib and first line treatment with</w:t>
      </w:r>
      <w:r>
        <w:rPr>
          <w:rFonts w:asciiTheme="minorHAnsi" w:hAnsiTheme="minorHAnsi"/>
        </w:rPr>
        <w:t xml:space="preserve"> sorafenib </w:t>
      </w:r>
      <w:r w:rsidR="00687538">
        <w:rPr>
          <w:rFonts w:asciiTheme="minorHAnsi" w:hAnsiTheme="minorHAnsi"/>
        </w:rPr>
        <w:t xml:space="preserve">for </w:t>
      </w:r>
      <w:r>
        <w:rPr>
          <w:rFonts w:asciiTheme="minorHAnsi" w:hAnsiTheme="minorHAnsi"/>
        </w:rPr>
        <w:t>unresectable HCC</w:t>
      </w:r>
      <w:r w:rsidR="009E2EE3">
        <w:rPr>
          <w:rFonts w:asciiTheme="minorHAnsi" w:hAnsiTheme="minorHAnsi"/>
        </w:rPr>
        <w:t>,</w:t>
      </w:r>
      <w:r w:rsidR="002578D5">
        <w:rPr>
          <w:rFonts w:asciiTheme="minorHAnsi" w:hAnsiTheme="minorHAnsi"/>
        </w:rPr>
        <w:t xml:space="preserve"> and </w:t>
      </w:r>
      <w:r w:rsidR="002578D5">
        <w:rPr>
          <w:rFonts w:asciiTheme="minorHAnsi" w:hAnsiTheme="minorHAnsi"/>
          <w:bCs/>
          <w:lang w:val="en-GB"/>
        </w:rPr>
        <w:t xml:space="preserve">considered that the toxicity of regorafenib and </w:t>
      </w:r>
      <w:r w:rsidR="002578D5">
        <w:t>concern that the benefit observed in the trial in relatively fit patients may not be realised in clinical practice were also relevant factors.</w:t>
      </w:r>
    </w:p>
    <w:p w:rsidR="002436B5" w:rsidRPr="002436B5" w:rsidRDefault="002436B5" w:rsidP="002436B5">
      <w:pPr>
        <w:keepNext/>
        <w:keepLines/>
        <w:rPr>
          <w:rStyle w:val="CommentReference"/>
        </w:rPr>
      </w:pPr>
      <w:r w:rsidRPr="002436B5">
        <w:rPr>
          <w:rStyle w:val="CommentReference"/>
        </w:rPr>
        <w:t xml:space="preserve">Table </w:t>
      </w:r>
      <w:r>
        <w:rPr>
          <w:rStyle w:val="CommentReference"/>
        </w:rPr>
        <w:t>13</w:t>
      </w:r>
      <w:r w:rsidR="00751753">
        <w:rPr>
          <w:rStyle w:val="CommentReference"/>
        </w:rPr>
        <w:t>:</w:t>
      </w:r>
      <w:r w:rsidRPr="002436B5">
        <w:rPr>
          <w:rStyle w:val="CommentReference"/>
        </w:rPr>
        <w:t xml:space="preserve"> </w:t>
      </w:r>
      <w:r>
        <w:rPr>
          <w:rStyle w:val="CommentReference"/>
        </w:rPr>
        <w:t xml:space="preserve">Additional </w:t>
      </w:r>
      <w:r w:rsidRPr="002436B5">
        <w:rPr>
          <w:rStyle w:val="CommentReference"/>
        </w:rPr>
        <w:t>univariate and multivariate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874"/>
        <w:gridCol w:w="781"/>
        <w:gridCol w:w="1036"/>
        <w:gridCol w:w="844"/>
        <w:gridCol w:w="810"/>
        <w:gridCol w:w="988"/>
      </w:tblGrid>
      <w:tr w:rsidR="002436B5" w:rsidRPr="00DB2697" w:rsidTr="00CE160F">
        <w:tc>
          <w:tcPr>
            <w:tcW w:w="2123" w:type="pct"/>
            <w:shd w:val="clear" w:color="auto" w:fill="auto"/>
            <w:vAlign w:val="center"/>
          </w:tcPr>
          <w:p w:rsidR="002436B5" w:rsidRPr="00DB2697" w:rsidRDefault="002436B5" w:rsidP="00CE160F">
            <w:pPr>
              <w:keepNext/>
              <w:jc w:val="center"/>
              <w:rPr>
                <w:rFonts w:ascii="Arial Narrow" w:eastAsia="SimSun" w:hAnsi="Arial Narrow"/>
                <w:sz w:val="20"/>
                <w:szCs w:val="20"/>
              </w:rPr>
            </w:pPr>
          </w:p>
        </w:tc>
        <w:tc>
          <w:tcPr>
            <w:tcW w:w="1425" w:type="pct"/>
            <w:gridSpan w:val="3"/>
            <w:shd w:val="clear" w:color="auto" w:fill="auto"/>
            <w:vAlign w:val="center"/>
          </w:tcPr>
          <w:p w:rsidR="002436B5" w:rsidRPr="00DB2697" w:rsidRDefault="002436B5" w:rsidP="00CE160F">
            <w:pPr>
              <w:keepNext/>
              <w:jc w:val="center"/>
              <w:rPr>
                <w:rFonts w:ascii="Arial Narrow" w:eastAsia="SimSun" w:hAnsi="Arial Narrow"/>
                <w:b/>
                <w:sz w:val="20"/>
                <w:szCs w:val="20"/>
              </w:rPr>
            </w:pPr>
            <w:r w:rsidRPr="00DB2697">
              <w:rPr>
                <w:rFonts w:ascii="Arial Narrow" w:eastAsia="SimSun" w:hAnsi="Arial Narrow"/>
                <w:b/>
                <w:sz w:val="20"/>
                <w:szCs w:val="20"/>
              </w:rPr>
              <w:t>Submission</w:t>
            </w:r>
          </w:p>
        </w:tc>
        <w:tc>
          <w:tcPr>
            <w:tcW w:w="1451" w:type="pct"/>
            <w:gridSpan w:val="3"/>
            <w:shd w:val="clear" w:color="auto" w:fill="auto"/>
            <w:vAlign w:val="center"/>
          </w:tcPr>
          <w:p w:rsidR="002436B5" w:rsidRPr="00DB2697" w:rsidRDefault="002436B5" w:rsidP="00CE160F">
            <w:pPr>
              <w:keepNext/>
              <w:jc w:val="center"/>
              <w:rPr>
                <w:rFonts w:ascii="Arial Narrow" w:eastAsia="SimSun" w:hAnsi="Arial Narrow"/>
                <w:b/>
                <w:sz w:val="20"/>
                <w:szCs w:val="20"/>
              </w:rPr>
            </w:pPr>
            <w:r w:rsidRPr="00DB2697">
              <w:rPr>
                <w:rFonts w:ascii="Arial Narrow" w:eastAsia="SimSun" w:hAnsi="Arial Narrow"/>
                <w:b/>
                <w:sz w:val="20"/>
                <w:szCs w:val="20"/>
              </w:rPr>
              <w:t>Revised price</w:t>
            </w:r>
          </w:p>
        </w:tc>
      </w:tr>
      <w:tr w:rsidR="002436B5" w:rsidRPr="00DB2697" w:rsidTr="00CE160F">
        <w:tc>
          <w:tcPr>
            <w:tcW w:w="2123" w:type="pct"/>
            <w:shd w:val="clear" w:color="auto" w:fill="auto"/>
          </w:tcPr>
          <w:p w:rsidR="002436B5" w:rsidRPr="00DB2697" w:rsidRDefault="002436B5" w:rsidP="00CE160F">
            <w:pPr>
              <w:keepNext/>
              <w:rPr>
                <w:rFonts w:ascii="Arial Narrow" w:eastAsia="SimSun" w:hAnsi="Arial Narrow"/>
                <w:sz w:val="20"/>
                <w:szCs w:val="20"/>
              </w:rPr>
            </w:pP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b/>
                <w:sz w:val="20"/>
                <w:szCs w:val="20"/>
              </w:rPr>
              <w:t>Incr. Cost</w:t>
            </w:r>
          </w:p>
        </w:tc>
        <w:tc>
          <w:tcPr>
            <w:tcW w:w="430" w:type="pct"/>
            <w:shd w:val="clear" w:color="auto" w:fill="auto"/>
            <w:vAlign w:val="center"/>
          </w:tcPr>
          <w:p w:rsidR="002436B5" w:rsidRPr="00DB2697" w:rsidRDefault="002436B5" w:rsidP="00CE160F">
            <w:pPr>
              <w:keepNext/>
              <w:jc w:val="center"/>
              <w:rPr>
                <w:rFonts w:ascii="Arial Narrow" w:eastAsia="SimSun" w:hAnsi="Arial Narrow"/>
                <w:b/>
                <w:sz w:val="20"/>
                <w:szCs w:val="20"/>
              </w:rPr>
            </w:pPr>
            <w:r w:rsidRPr="00DB2697">
              <w:rPr>
                <w:rFonts w:ascii="Arial Narrow" w:eastAsia="SimSun" w:hAnsi="Arial Narrow"/>
                <w:b/>
                <w:sz w:val="20"/>
                <w:szCs w:val="20"/>
              </w:rPr>
              <w:t>Incr. QALYs</w:t>
            </w:r>
          </w:p>
        </w:tc>
        <w:tc>
          <w:tcPr>
            <w:tcW w:w="568" w:type="pct"/>
            <w:shd w:val="clear" w:color="auto" w:fill="auto"/>
          </w:tcPr>
          <w:p w:rsidR="002436B5" w:rsidRPr="00DB2697" w:rsidRDefault="002436B5" w:rsidP="00CE160F">
            <w:pPr>
              <w:keepNext/>
              <w:rPr>
                <w:rFonts w:ascii="Arial Narrow" w:eastAsia="SimSun" w:hAnsi="Arial Narrow"/>
                <w:b/>
                <w:sz w:val="20"/>
                <w:szCs w:val="20"/>
              </w:rPr>
            </w:pPr>
            <w:r w:rsidRPr="00DB2697">
              <w:rPr>
                <w:rFonts w:ascii="Arial Narrow" w:eastAsia="SimSun" w:hAnsi="Arial Narrow"/>
                <w:b/>
                <w:sz w:val="20"/>
                <w:szCs w:val="20"/>
              </w:rPr>
              <w:t>ICER ($/QALY)</w:t>
            </w:r>
          </w:p>
        </w:tc>
        <w:tc>
          <w:tcPr>
            <w:tcW w:w="464"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b/>
                <w:sz w:val="20"/>
                <w:szCs w:val="20"/>
              </w:rPr>
              <w:t>Incr. Cost</w:t>
            </w:r>
          </w:p>
        </w:tc>
        <w:tc>
          <w:tcPr>
            <w:tcW w:w="446" w:type="pct"/>
            <w:vAlign w:val="center"/>
          </w:tcPr>
          <w:p w:rsidR="002436B5" w:rsidRPr="00DB2697" w:rsidRDefault="002436B5" w:rsidP="00CE160F">
            <w:pPr>
              <w:keepNext/>
              <w:jc w:val="center"/>
              <w:rPr>
                <w:rFonts w:ascii="Arial Narrow" w:eastAsia="SimSun" w:hAnsi="Arial Narrow"/>
                <w:b/>
                <w:sz w:val="20"/>
                <w:szCs w:val="20"/>
              </w:rPr>
            </w:pPr>
            <w:r w:rsidRPr="00DB2697">
              <w:rPr>
                <w:rFonts w:ascii="Arial Narrow" w:eastAsia="SimSun" w:hAnsi="Arial Narrow"/>
                <w:b/>
                <w:sz w:val="20"/>
                <w:szCs w:val="20"/>
              </w:rPr>
              <w:t>Incr. QALYs</w:t>
            </w:r>
          </w:p>
        </w:tc>
        <w:tc>
          <w:tcPr>
            <w:tcW w:w="541" w:type="pct"/>
          </w:tcPr>
          <w:p w:rsidR="002436B5" w:rsidRPr="00DB2697" w:rsidRDefault="002436B5" w:rsidP="00CE160F">
            <w:pPr>
              <w:keepNext/>
              <w:rPr>
                <w:rFonts w:ascii="Arial Narrow" w:eastAsia="SimSun" w:hAnsi="Arial Narrow"/>
                <w:b/>
                <w:sz w:val="20"/>
                <w:szCs w:val="20"/>
              </w:rPr>
            </w:pPr>
            <w:r w:rsidRPr="00DB2697">
              <w:rPr>
                <w:rFonts w:ascii="Arial Narrow" w:eastAsia="SimSun" w:hAnsi="Arial Narrow"/>
                <w:b/>
                <w:sz w:val="20"/>
                <w:szCs w:val="20"/>
              </w:rPr>
              <w:t>ICER ($/QALY)</w:t>
            </w:r>
          </w:p>
        </w:tc>
      </w:tr>
      <w:tr w:rsidR="002436B5" w:rsidRPr="00DB2697" w:rsidTr="00CE160F">
        <w:tc>
          <w:tcPr>
            <w:tcW w:w="2123" w:type="pct"/>
            <w:shd w:val="clear" w:color="auto" w:fill="auto"/>
          </w:tcPr>
          <w:p w:rsidR="002436B5" w:rsidRPr="00DB2697" w:rsidRDefault="002436B5" w:rsidP="00CE160F">
            <w:pPr>
              <w:keepNext/>
              <w:rPr>
                <w:rFonts w:ascii="Arial Narrow" w:eastAsia="SimSun" w:hAnsi="Arial Narrow"/>
                <w:sz w:val="20"/>
                <w:szCs w:val="20"/>
              </w:rPr>
            </w:pPr>
            <w:r w:rsidRPr="00DB2697">
              <w:rPr>
                <w:rFonts w:ascii="Arial Narrow" w:eastAsia="SimSun" w:hAnsi="Arial Narrow"/>
                <w:sz w:val="20"/>
                <w:szCs w:val="20"/>
              </w:rPr>
              <w:t>Submission</w:t>
            </w:r>
          </w:p>
        </w:tc>
        <w:tc>
          <w:tcPr>
            <w:tcW w:w="427" w:type="pct"/>
            <w:shd w:val="clear" w:color="auto" w:fill="auto"/>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0.34</w:t>
            </w:r>
          </w:p>
        </w:tc>
        <w:tc>
          <w:tcPr>
            <w:tcW w:w="568" w:type="pct"/>
            <w:shd w:val="clear" w:color="auto" w:fill="auto"/>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bottom"/>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46" w:type="pct"/>
            <w:vAlign w:val="bottom"/>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0.34</w:t>
            </w:r>
          </w:p>
        </w:tc>
        <w:tc>
          <w:tcPr>
            <w:tcW w:w="541" w:type="pct"/>
            <w:vAlign w:val="bottom"/>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r>
      <w:tr w:rsidR="002436B5" w:rsidRPr="00DB2697" w:rsidTr="00CE160F">
        <w:tc>
          <w:tcPr>
            <w:tcW w:w="5000" w:type="pct"/>
            <w:gridSpan w:val="7"/>
            <w:shd w:val="clear" w:color="auto" w:fill="F2F2F2"/>
            <w:vAlign w:val="center"/>
          </w:tcPr>
          <w:p w:rsidR="002436B5" w:rsidRPr="00DB2697" w:rsidRDefault="002436B5" w:rsidP="00CE160F">
            <w:pPr>
              <w:keepNext/>
              <w:rPr>
                <w:rFonts w:ascii="Arial Narrow" w:eastAsia="SimSun" w:hAnsi="Arial Narrow"/>
                <w:b/>
                <w:sz w:val="20"/>
                <w:szCs w:val="20"/>
              </w:rPr>
            </w:pPr>
            <w:r w:rsidRPr="00DB2697">
              <w:rPr>
                <w:rFonts w:ascii="Arial Narrow" w:eastAsia="SimSun" w:hAnsi="Arial Narrow"/>
                <w:b/>
                <w:sz w:val="20"/>
                <w:szCs w:val="20"/>
              </w:rPr>
              <w:t>Univariate sensitivity analyses</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OS Extrapolation incl. BSC: Last observation</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0.27</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46"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0.27</w:t>
            </w:r>
          </w:p>
        </w:tc>
        <w:tc>
          <w:tcPr>
            <w:tcW w:w="541"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OS Extrapolation incl. BSC: Median</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0.25</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46"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0.25</w:t>
            </w:r>
          </w:p>
        </w:tc>
        <w:tc>
          <w:tcPr>
            <w:tcW w:w="541"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OS Extrapolation incl. BSC: Last observation, No piecewise Gompertz</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0.25</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46"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0.25</w:t>
            </w:r>
          </w:p>
        </w:tc>
        <w:tc>
          <w:tcPr>
            <w:tcW w:w="541"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PFS Extrapolation incl. BSC: Last observation</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0.34</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46"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0.34</w:t>
            </w:r>
          </w:p>
        </w:tc>
        <w:tc>
          <w:tcPr>
            <w:tcW w:w="541"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PFS Extrapolation incl. BSC: Median</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0.33</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46"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0.33</w:t>
            </w:r>
          </w:p>
        </w:tc>
        <w:tc>
          <w:tcPr>
            <w:tcW w:w="541"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Utilities: regorafenib (PFS: 0.776 PD: 0.738) and BSC (PFS: 0.783 PD: 0.741)</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0.33</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46"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0.33</w:t>
            </w:r>
          </w:p>
        </w:tc>
        <w:tc>
          <w:tcPr>
            <w:tcW w:w="541" w:type="pct"/>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r>
      <w:tr w:rsidR="002436B5" w:rsidRPr="00DB2697" w:rsidTr="00CE160F">
        <w:tc>
          <w:tcPr>
            <w:tcW w:w="5000" w:type="pct"/>
            <w:gridSpan w:val="7"/>
            <w:shd w:val="clear" w:color="auto" w:fill="F2F2F2"/>
            <w:vAlign w:val="center"/>
          </w:tcPr>
          <w:p w:rsidR="002436B5" w:rsidRPr="00DB2697" w:rsidRDefault="002436B5" w:rsidP="00DB2697">
            <w:pPr>
              <w:keepNext/>
              <w:jc w:val="left"/>
              <w:rPr>
                <w:rFonts w:ascii="Arial Narrow" w:eastAsia="SimSun" w:hAnsi="Arial Narrow"/>
                <w:b/>
                <w:sz w:val="20"/>
                <w:szCs w:val="20"/>
              </w:rPr>
            </w:pPr>
            <w:r w:rsidRPr="00DB2697">
              <w:rPr>
                <w:rFonts w:ascii="Arial Narrow" w:eastAsia="SimSun" w:hAnsi="Arial Narrow"/>
                <w:b/>
                <w:sz w:val="20"/>
                <w:szCs w:val="20"/>
              </w:rPr>
              <w:t>Multivariate sensitivity analyses</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 xml:space="preserve">OS and PFS Extrapolation incl. BSC : Median </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0.25</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46" w:type="pct"/>
            <w:vAlign w:val="center"/>
          </w:tcPr>
          <w:p w:rsidR="002436B5" w:rsidRPr="00DB2697" w:rsidRDefault="002436B5" w:rsidP="00CE160F">
            <w:pPr>
              <w:jc w:val="center"/>
              <w:rPr>
                <w:rFonts w:ascii="Arial Narrow" w:hAnsi="Arial Narrow"/>
                <w:color w:val="000000"/>
                <w:sz w:val="20"/>
                <w:szCs w:val="20"/>
              </w:rPr>
            </w:pPr>
            <w:r w:rsidRPr="00DB2697">
              <w:rPr>
                <w:rFonts w:ascii="Arial Narrow" w:hAnsi="Arial Narrow"/>
                <w:color w:val="000000"/>
                <w:sz w:val="20"/>
                <w:szCs w:val="20"/>
              </w:rPr>
              <w:t>0.25</w:t>
            </w:r>
          </w:p>
        </w:tc>
        <w:tc>
          <w:tcPr>
            <w:tcW w:w="541" w:type="pct"/>
            <w:vAlign w:val="center"/>
          </w:tcPr>
          <w:p w:rsidR="002436B5" w:rsidRPr="00DB2697" w:rsidRDefault="002436B5" w:rsidP="00CE160F">
            <w:pPr>
              <w:jc w:val="center"/>
              <w:rPr>
                <w:rFonts w:ascii="Arial Narrow" w:hAnsi="Arial Narrow"/>
                <w:color w:val="000000"/>
                <w:sz w:val="20"/>
                <w:szCs w:val="20"/>
              </w:rPr>
            </w:pPr>
            <w:r w:rsidRPr="00DB2697">
              <w:rPr>
                <w:rFonts w:ascii="Arial Narrow" w:hAnsi="Arial Narrow"/>
                <w:color w:val="000000"/>
                <w:sz w:val="20"/>
                <w:szCs w:val="20"/>
              </w:rPr>
              <w:t>$</w:t>
            </w:r>
            <w:r w:rsidR="006025B2">
              <w:rPr>
                <w:rFonts w:ascii="Arial Narrow" w:hAnsi="Arial Narrow"/>
                <w:noProof/>
                <w:color w:val="000000"/>
                <w:sz w:val="20"/>
                <w:szCs w:val="20"/>
                <w:highlight w:val="black"/>
              </w:rPr>
              <w:t>''''''''''''''''</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OS Extrapolation incl. BSC: Median, No piecewise Gompertz</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0.21</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jc w:val="center"/>
              <w:rPr>
                <w:rFonts w:ascii="Arial Narrow" w:hAnsi="Arial Narrow"/>
                <w:color w:val="000000"/>
                <w:sz w:val="20"/>
                <w:szCs w:val="20"/>
                <w:lang w:eastAsia="en-AU"/>
              </w:rPr>
            </w:pPr>
            <w:r w:rsidRPr="00DB2697">
              <w:rPr>
                <w:rFonts w:ascii="Arial Narrow" w:hAnsi="Arial Narrow"/>
                <w:color w:val="000000"/>
                <w:sz w:val="20"/>
                <w:szCs w:val="20"/>
              </w:rPr>
              <w:t>$</w:t>
            </w:r>
            <w:r w:rsidR="006025B2">
              <w:rPr>
                <w:rFonts w:ascii="Arial Narrow" w:hAnsi="Arial Narrow"/>
                <w:noProof/>
                <w:color w:val="000000"/>
                <w:sz w:val="20"/>
                <w:szCs w:val="20"/>
                <w:highlight w:val="black"/>
              </w:rPr>
              <w:t>'''''''''''''''''</w:t>
            </w:r>
          </w:p>
        </w:tc>
        <w:tc>
          <w:tcPr>
            <w:tcW w:w="446" w:type="pct"/>
            <w:vAlign w:val="center"/>
          </w:tcPr>
          <w:p w:rsidR="002436B5" w:rsidRPr="00DB2697" w:rsidRDefault="002436B5" w:rsidP="00CE160F">
            <w:pPr>
              <w:jc w:val="center"/>
              <w:rPr>
                <w:rFonts w:ascii="Arial Narrow" w:hAnsi="Arial Narrow"/>
                <w:color w:val="000000"/>
                <w:sz w:val="20"/>
                <w:szCs w:val="20"/>
              </w:rPr>
            </w:pPr>
            <w:r w:rsidRPr="00DB2697">
              <w:rPr>
                <w:rFonts w:ascii="Arial Narrow" w:hAnsi="Arial Narrow"/>
                <w:color w:val="000000"/>
                <w:sz w:val="20"/>
                <w:szCs w:val="20"/>
              </w:rPr>
              <w:t>0.21</w:t>
            </w:r>
          </w:p>
        </w:tc>
        <w:tc>
          <w:tcPr>
            <w:tcW w:w="541" w:type="pct"/>
            <w:vAlign w:val="center"/>
          </w:tcPr>
          <w:p w:rsidR="002436B5" w:rsidRPr="00DB2697" w:rsidRDefault="002436B5" w:rsidP="00CE160F">
            <w:pPr>
              <w:jc w:val="center"/>
              <w:rPr>
                <w:rFonts w:ascii="Arial Narrow" w:hAnsi="Arial Narrow"/>
                <w:color w:val="000000"/>
                <w:sz w:val="20"/>
                <w:szCs w:val="20"/>
              </w:rPr>
            </w:pPr>
            <w:r w:rsidRPr="00DB2697">
              <w:rPr>
                <w:rFonts w:ascii="Arial Narrow" w:hAnsi="Arial Narrow"/>
                <w:color w:val="000000"/>
                <w:sz w:val="20"/>
                <w:szCs w:val="20"/>
              </w:rPr>
              <w:t>$</w:t>
            </w:r>
            <w:r w:rsidR="006025B2">
              <w:rPr>
                <w:rFonts w:ascii="Arial Narrow" w:hAnsi="Arial Narrow"/>
                <w:noProof/>
                <w:color w:val="000000"/>
                <w:sz w:val="20"/>
                <w:szCs w:val="20"/>
                <w:highlight w:val="black"/>
              </w:rPr>
              <w:t>'''''''''''''''''</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OS and PFS Extrapolation incl. BSC: Median, No piecewise Gompertz for OS</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0.21</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jc w:val="center"/>
              <w:rPr>
                <w:rFonts w:ascii="Arial Narrow" w:hAnsi="Arial Narrow"/>
                <w:color w:val="000000"/>
                <w:sz w:val="20"/>
                <w:szCs w:val="20"/>
                <w:lang w:eastAsia="en-AU"/>
              </w:rPr>
            </w:pPr>
            <w:r w:rsidRPr="00DB2697">
              <w:rPr>
                <w:rFonts w:ascii="Arial Narrow" w:hAnsi="Arial Narrow"/>
                <w:color w:val="000000"/>
                <w:sz w:val="20"/>
                <w:szCs w:val="20"/>
              </w:rPr>
              <w:t>$</w:t>
            </w:r>
            <w:r w:rsidR="006025B2">
              <w:rPr>
                <w:rFonts w:ascii="Arial Narrow" w:hAnsi="Arial Narrow"/>
                <w:noProof/>
                <w:color w:val="000000"/>
                <w:sz w:val="20"/>
                <w:szCs w:val="20"/>
                <w:highlight w:val="black"/>
              </w:rPr>
              <w:t>'''''''''''''''''</w:t>
            </w:r>
          </w:p>
        </w:tc>
        <w:tc>
          <w:tcPr>
            <w:tcW w:w="446" w:type="pct"/>
            <w:vAlign w:val="center"/>
          </w:tcPr>
          <w:p w:rsidR="002436B5" w:rsidRPr="00DB2697" w:rsidRDefault="002436B5" w:rsidP="00CE160F">
            <w:pPr>
              <w:jc w:val="center"/>
              <w:rPr>
                <w:rFonts w:ascii="Arial Narrow" w:hAnsi="Arial Narrow"/>
                <w:color w:val="000000"/>
                <w:sz w:val="20"/>
                <w:szCs w:val="20"/>
              </w:rPr>
            </w:pPr>
            <w:r w:rsidRPr="00DB2697">
              <w:rPr>
                <w:rFonts w:ascii="Arial Narrow" w:hAnsi="Arial Narrow"/>
                <w:color w:val="000000"/>
                <w:sz w:val="20"/>
                <w:szCs w:val="20"/>
              </w:rPr>
              <w:t>0.21</w:t>
            </w:r>
          </w:p>
        </w:tc>
        <w:tc>
          <w:tcPr>
            <w:tcW w:w="541" w:type="pct"/>
            <w:vAlign w:val="center"/>
          </w:tcPr>
          <w:p w:rsidR="002436B5" w:rsidRPr="00DB2697" w:rsidRDefault="002436B5" w:rsidP="00CE160F">
            <w:pPr>
              <w:jc w:val="center"/>
              <w:rPr>
                <w:rFonts w:ascii="Arial Narrow" w:hAnsi="Arial Narrow"/>
                <w:color w:val="000000"/>
                <w:sz w:val="20"/>
                <w:szCs w:val="20"/>
              </w:rPr>
            </w:pPr>
            <w:r w:rsidRPr="00DB2697">
              <w:rPr>
                <w:rFonts w:ascii="Arial Narrow" w:hAnsi="Arial Narrow"/>
                <w:color w:val="000000"/>
                <w:sz w:val="20"/>
                <w:szCs w:val="20"/>
              </w:rPr>
              <w:t>$</w:t>
            </w:r>
            <w:r w:rsidR="006025B2">
              <w:rPr>
                <w:rFonts w:ascii="Arial Narrow" w:hAnsi="Arial Narrow"/>
                <w:noProof/>
                <w:color w:val="000000"/>
                <w:sz w:val="20"/>
                <w:szCs w:val="20"/>
                <w:highlight w:val="black"/>
              </w:rPr>
              <w:t>''''''''''''''''</w:t>
            </w:r>
          </w:p>
        </w:tc>
      </w:tr>
      <w:tr w:rsidR="002436B5" w:rsidRPr="00DB2697" w:rsidTr="00CE160F">
        <w:tc>
          <w:tcPr>
            <w:tcW w:w="2123" w:type="pct"/>
            <w:shd w:val="clear" w:color="auto" w:fill="auto"/>
          </w:tcPr>
          <w:p w:rsidR="002436B5" w:rsidRPr="00DB2697" w:rsidRDefault="002436B5" w:rsidP="00DB2697">
            <w:pPr>
              <w:keepNext/>
              <w:jc w:val="left"/>
              <w:rPr>
                <w:rFonts w:ascii="Arial Narrow" w:eastAsia="SimSun" w:hAnsi="Arial Narrow"/>
                <w:sz w:val="20"/>
                <w:szCs w:val="20"/>
              </w:rPr>
            </w:pPr>
            <w:r w:rsidRPr="00DB2697">
              <w:rPr>
                <w:rFonts w:ascii="Arial Narrow" w:eastAsia="SimSun" w:hAnsi="Arial Narrow"/>
                <w:sz w:val="20"/>
                <w:szCs w:val="20"/>
              </w:rPr>
              <w:t>OS and PFS extrapolation incl. BSC: Median, No piecewise Gompertz for OS and Utilities: regorafenib (PFS: 0.776 PD: 0.738) and BSC (PFS: 0.783 PD: 0.741)</w:t>
            </w:r>
          </w:p>
        </w:tc>
        <w:tc>
          <w:tcPr>
            <w:tcW w:w="427"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30"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0.20</w:t>
            </w:r>
          </w:p>
        </w:tc>
        <w:tc>
          <w:tcPr>
            <w:tcW w:w="568" w:type="pct"/>
            <w:shd w:val="clear" w:color="auto" w:fill="auto"/>
            <w:vAlign w:val="center"/>
          </w:tcPr>
          <w:p w:rsidR="002436B5" w:rsidRPr="00DB2697" w:rsidRDefault="002436B5" w:rsidP="00CE160F">
            <w:pPr>
              <w:keepNext/>
              <w:jc w:val="center"/>
              <w:rPr>
                <w:rFonts w:ascii="Arial Narrow" w:eastAsia="SimSun" w:hAnsi="Arial Narrow"/>
                <w:sz w:val="20"/>
                <w:szCs w:val="20"/>
              </w:rPr>
            </w:pPr>
            <w:r w:rsidRPr="00DB2697">
              <w:rPr>
                <w:rFonts w:ascii="Arial Narrow" w:eastAsia="SimSun" w:hAnsi="Arial Narrow"/>
                <w:sz w:val="20"/>
                <w:szCs w:val="20"/>
              </w:rPr>
              <w:t>$</w:t>
            </w:r>
            <w:r w:rsidR="006025B2">
              <w:rPr>
                <w:rFonts w:ascii="Arial Narrow" w:eastAsia="SimSun" w:hAnsi="Arial Narrow"/>
                <w:noProof/>
                <w:color w:val="000000"/>
                <w:sz w:val="20"/>
                <w:szCs w:val="20"/>
                <w:highlight w:val="black"/>
              </w:rPr>
              <w:t>'''''''''''''''</w:t>
            </w:r>
          </w:p>
        </w:tc>
        <w:tc>
          <w:tcPr>
            <w:tcW w:w="464" w:type="pct"/>
            <w:vAlign w:val="center"/>
          </w:tcPr>
          <w:p w:rsidR="002436B5" w:rsidRPr="00DB2697" w:rsidRDefault="002436B5" w:rsidP="00CE160F">
            <w:pPr>
              <w:jc w:val="center"/>
              <w:rPr>
                <w:rFonts w:ascii="Arial Narrow" w:hAnsi="Arial Narrow"/>
                <w:color w:val="000000"/>
                <w:sz w:val="20"/>
                <w:szCs w:val="20"/>
                <w:lang w:eastAsia="en-AU"/>
              </w:rPr>
            </w:pPr>
            <w:r w:rsidRPr="00DB2697">
              <w:rPr>
                <w:rFonts w:ascii="Arial Narrow" w:hAnsi="Arial Narrow"/>
                <w:color w:val="000000"/>
                <w:sz w:val="20"/>
                <w:szCs w:val="20"/>
              </w:rPr>
              <w:t>$</w:t>
            </w:r>
            <w:r w:rsidR="006025B2">
              <w:rPr>
                <w:rFonts w:ascii="Arial Narrow" w:hAnsi="Arial Narrow"/>
                <w:noProof/>
                <w:color w:val="000000"/>
                <w:sz w:val="20"/>
                <w:szCs w:val="20"/>
                <w:highlight w:val="black"/>
              </w:rPr>
              <w:t>'''''''''''''''</w:t>
            </w:r>
          </w:p>
        </w:tc>
        <w:tc>
          <w:tcPr>
            <w:tcW w:w="446" w:type="pct"/>
            <w:vAlign w:val="center"/>
          </w:tcPr>
          <w:p w:rsidR="002436B5" w:rsidRPr="00DB2697" w:rsidRDefault="002436B5" w:rsidP="00CE160F">
            <w:pPr>
              <w:jc w:val="center"/>
              <w:rPr>
                <w:rFonts w:ascii="Arial Narrow" w:hAnsi="Arial Narrow"/>
                <w:color w:val="000000"/>
                <w:sz w:val="20"/>
                <w:szCs w:val="20"/>
              </w:rPr>
            </w:pPr>
            <w:r w:rsidRPr="00DB2697">
              <w:rPr>
                <w:rFonts w:ascii="Arial Narrow" w:hAnsi="Arial Narrow"/>
                <w:color w:val="000000"/>
                <w:sz w:val="20"/>
                <w:szCs w:val="20"/>
              </w:rPr>
              <w:t>0.20</w:t>
            </w:r>
          </w:p>
        </w:tc>
        <w:tc>
          <w:tcPr>
            <w:tcW w:w="541" w:type="pct"/>
            <w:vAlign w:val="center"/>
          </w:tcPr>
          <w:p w:rsidR="002436B5" w:rsidRPr="00DB2697" w:rsidRDefault="002436B5" w:rsidP="00CE160F">
            <w:pPr>
              <w:jc w:val="center"/>
              <w:rPr>
                <w:rFonts w:ascii="Arial Narrow" w:hAnsi="Arial Narrow"/>
                <w:color w:val="000000"/>
                <w:sz w:val="20"/>
                <w:szCs w:val="20"/>
              </w:rPr>
            </w:pPr>
            <w:r w:rsidRPr="00DB2697">
              <w:rPr>
                <w:rFonts w:ascii="Arial Narrow" w:hAnsi="Arial Narrow"/>
                <w:color w:val="000000"/>
                <w:sz w:val="20"/>
                <w:szCs w:val="20"/>
              </w:rPr>
              <w:t>$</w:t>
            </w:r>
            <w:r w:rsidR="006025B2">
              <w:rPr>
                <w:rFonts w:ascii="Arial Narrow" w:hAnsi="Arial Narrow"/>
                <w:noProof/>
                <w:color w:val="000000"/>
                <w:sz w:val="20"/>
                <w:szCs w:val="20"/>
                <w:highlight w:val="black"/>
              </w:rPr>
              <w:t>'''''''''''''''''</w:t>
            </w:r>
          </w:p>
        </w:tc>
      </w:tr>
    </w:tbl>
    <w:p w:rsidR="002436B5" w:rsidRDefault="00687538" w:rsidP="00C31925">
      <w:pPr>
        <w:pStyle w:val="TableFooter"/>
      </w:pPr>
      <w:r w:rsidRPr="00687538">
        <w:t>Source: Regrorafenib pre-PBAC response, Table 2</w:t>
      </w:r>
    </w:p>
    <w:p w:rsidR="00811055" w:rsidRPr="00811055" w:rsidRDefault="00811055" w:rsidP="00C31925">
      <w:pPr>
        <w:pStyle w:val="TableFooter"/>
      </w:pPr>
      <w:r>
        <w:t>The redacted table shows ICERs in the range of $45,000/QALY - $105,000/QALY.</w:t>
      </w:r>
    </w:p>
    <w:p w:rsidR="00912D22" w:rsidRPr="00C31925" w:rsidRDefault="00912D22" w:rsidP="00C31925">
      <w:pPr>
        <w:pStyle w:val="Heading2"/>
      </w:pPr>
      <w:r w:rsidRPr="00C31925">
        <w:t>Drug cost/patient/</w:t>
      </w:r>
      <w:bookmarkEnd w:id="17"/>
      <w:r w:rsidR="00876D7D" w:rsidRPr="00C31925">
        <w:t>course</w:t>
      </w:r>
      <w:r w:rsidR="00D840CD" w:rsidRPr="00C31925">
        <w:t>: $</w:t>
      </w:r>
      <w:r w:rsidR="00876D7D" w:rsidRPr="00C31925">
        <w:t>22,214</w:t>
      </w:r>
    </w:p>
    <w:p w:rsidR="00912D22" w:rsidRPr="00CF6748" w:rsidRDefault="002A43F3" w:rsidP="007064E1">
      <w:pPr>
        <w:pStyle w:val="ListParagraph"/>
        <w:keepNext/>
        <w:widowControl/>
        <w:numPr>
          <w:ilvl w:val="1"/>
          <w:numId w:val="3"/>
        </w:numPr>
      </w:pPr>
      <w:r w:rsidRPr="0008526E">
        <w:t>The estimated average daily dose for regorafenib was estimated at 10</w:t>
      </w:r>
      <w:r w:rsidR="00D840CD" w:rsidRPr="0008526E">
        <w:t>2</w:t>
      </w:r>
      <w:r w:rsidRPr="0008526E">
        <w:t xml:space="preserve"> mg (including </w:t>
      </w:r>
      <w:r w:rsidR="00912D22" w:rsidRPr="0008526E">
        <w:t>time off drug</w:t>
      </w:r>
      <w:r w:rsidRPr="0008526E">
        <w:t xml:space="preserve"> and treatment </w:t>
      </w:r>
      <w:r w:rsidR="00912D22" w:rsidRPr="0008526E">
        <w:t>interruptions</w:t>
      </w:r>
      <w:r w:rsidRPr="0008526E">
        <w:t>)</w:t>
      </w:r>
      <w:r w:rsidR="00912D22" w:rsidRPr="0008526E">
        <w:t xml:space="preserve">. </w:t>
      </w:r>
      <w:r w:rsidR="00A74A85" w:rsidRPr="0008526E">
        <w:t xml:space="preserve">The submission estimated the cost per patient/year assuming 12 months of treatment which resulted in an annual cost of </w:t>
      </w:r>
      <w:r w:rsidR="00912D22" w:rsidRPr="0008526E">
        <w:t>$</w:t>
      </w:r>
      <w:r w:rsidR="006025B2">
        <w:rPr>
          <w:noProof/>
          <w:color w:val="000000"/>
          <w:highlight w:val="black"/>
        </w:rPr>
        <w:t>''''''''''''</w:t>
      </w:r>
      <w:r w:rsidR="001B0CBC" w:rsidRPr="0008526E">
        <w:t xml:space="preserve">. </w:t>
      </w:r>
      <w:r w:rsidR="007064E1" w:rsidRPr="0008526E">
        <w:rPr>
          <w:rStyle w:val="CommentReference"/>
          <w:rFonts w:cs="Times New Roman"/>
          <w:b w:val="0"/>
        </w:rPr>
        <w:t>T</w:t>
      </w:r>
      <w:r w:rsidR="007064E1" w:rsidRPr="0008526E">
        <w:t xml:space="preserve">his </w:t>
      </w:r>
      <w:r w:rsidR="00A74A85" w:rsidRPr="0008526E">
        <w:t>implies</w:t>
      </w:r>
      <w:r w:rsidR="007064E1" w:rsidRPr="0008526E">
        <w:t xml:space="preserve"> 8.3 packs per patient/year which is higher </w:t>
      </w:r>
      <w:r w:rsidR="001B0CBC" w:rsidRPr="0008526E">
        <w:t>than</w:t>
      </w:r>
      <w:r w:rsidR="007064E1" w:rsidRPr="0008526E">
        <w:t xml:space="preserve"> that estimated from data </w:t>
      </w:r>
      <w:r w:rsidR="001B0CBC" w:rsidRPr="0008526E">
        <w:t>from</w:t>
      </w:r>
      <w:r w:rsidR="007064E1" w:rsidRPr="0008526E">
        <w:t xml:space="preserve"> the RESORCE trial (5.41 packs) which used the total milligrams and total treatment days per year. </w:t>
      </w:r>
      <w:r w:rsidR="00A74A85" w:rsidRPr="0008526E">
        <w:t xml:space="preserve">Based on the estimated treatment </w:t>
      </w:r>
      <w:r w:rsidR="001B0CBC" w:rsidRPr="0008526E">
        <w:t xml:space="preserve">exposure (5.41 packs) </w:t>
      </w:r>
      <w:r w:rsidR="00A74A85" w:rsidRPr="0008526E">
        <w:t>from the RESORCE trial, t</w:t>
      </w:r>
      <w:r w:rsidR="007064E1" w:rsidRPr="0008526E">
        <w:t xml:space="preserve">he expected </w:t>
      </w:r>
      <w:r w:rsidR="00A74A85" w:rsidRPr="0008526E">
        <w:t>cost per patient</w:t>
      </w:r>
      <w:r w:rsidR="007C3DDE" w:rsidRPr="0008526E">
        <w:t xml:space="preserve"> course</w:t>
      </w:r>
      <w:r w:rsidR="00A74A85" w:rsidRPr="0008526E">
        <w:t xml:space="preserve"> was $</w:t>
      </w:r>
      <w:r w:rsidR="006025B2">
        <w:rPr>
          <w:noProof/>
          <w:color w:val="000000"/>
          <w:highlight w:val="black"/>
        </w:rPr>
        <w:t>''''''''''''</w:t>
      </w:r>
      <w:r w:rsidR="00A74A85" w:rsidRPr="0008526E">
        <w:t xml:space="preserve">. </w:t>
      </w:r>
      <w:r w:rsidR="0023060D" w:rsidRPr="003606EB">
        <w:rPr>
          <w:szCs w:val="24"/>
        </w:rPr>
        <w:t>The PSCR acknowledged this error and reported a new cost per patient year of $</w:t>
      </w:r>
      <w:r w:rsidR="006025B2">
        <w:rPr>
          <w:noProof/>
          <w:color w:val="000000"/>
          <w:szCs w:val="24"/>
          <w:highlight w:val="black"/>
        </w:rPr>
        <w:t>''''''''''''''''''''</w:t>
      </w:r>
      <w:r w:rsidR="0023060D" w:rsidRPr="003606EB">
        <w:rPr>
          <w:szCs w:val="24"/>
        </w:rPr>
        <w:t>. Th</w:t>
      </w:r>
      <w:r w:rsidR="00866FA2" w:rsidRPr="003606EB">
        <w:rPr>
          <w:szCs w:val="24"/>
        </w:rPr>
        <w:t xml:space="preserve">e ESC </w:t>
      </w:r>
      <w:r w:rsidR="00500AA2" w:rsidRPr="003606EB">
        <w:rPr>
          <w:szCs w:val="24"/>
        </w:rPr>
        <w:t>considered</w:t>
      </w:r>
      <w:r w:rsidR="00866FA2" w:rsidRPr="003606EB">
        <w:rPr>
          <w:szCs w:val="24"/>
        </w:rPr>
        <w:t xml:space="preserve"> that this value was a</w:t>
      </w:r>
      <w:r w:rsidR="00CD3166" w:rsidRPr="003606EB">
        <w:rPr>
          <w:szCs w:val="24"/>
        </w:rPr>
        <w:t>n</w:t>
      </w:r>
      <w:r w:rsidR="00866FA2" w:rsidRPr="003606EB">
        <w:rPr>
          <w:szCs w:val="24"/>
        </w:rPr>
        <w:t xml:space="preserve"> accurate estimate</w:t>
      </w:r>
      <w:r w:rsidR="0023060D" w:rsidRPr="003606EB">
        <w:rPr>
          <w:szCs w:val="24"/>
        </w:rPr>
        <w:t xml:space="preserve">, </w:t>
      </w:r>
      <w:r w:rsidR="00500AA2" w:rsidRPr="003606EB">
        <w:rPr>
          <w:szCs w:val="24"/>
        </w:rPr>
        <w:t>and noted that the</w:t>
      </w:r>
      <w:r w:rsidR="0023060D" w:rsidRPr="003606EB">
        <w:rPr>
          <w:szCs w:val="24"/>
        </w:rPr>
        <w:t xml:space="preserve"> minor difference </w:t>
      </w:r>
      <w:r w:rsidR="00500AA2" w:rsidRPr="003606EB">
        <w:rPr>
          <w:szCs w:val="24"/>
        </w:rPr>
        <w:t>was due to the</w:t>
      </w:r>
      <w:r w:rsidR="0023060D" w:rsidRPr="003606EB">
        <w:rPr>
          <w:szCs w:val="24"/>
        </w:rPr>
        <w:t xml:space="preserve"> rounding in the number of packs applied.</w:t>
      </w:r>
    </w:p>
    <w:p w:rsidR="00CF6748" w:rsidRPr="003606EB" w:rsidRDefault="00CF6748" w:rsidP="007064E1">
      <w:pPr>
        <w:pStyle w:val="ListParagraph"/>
        <w:keepNext/>
        <w:widowControl/>
        <w:numPr>
          <w:ilvl w:val="1"/>
          <w:numId w:val="3"/>
        </w:numPr>
      </w:pPr>
      <w:r>
        <w:rPr>
          <w:szCs w:val="24"/>
        </w:rPr>
        <w:t xml:space="preserve">The PBAC noted that the pre-PBAC response proposed a lower DPMQ that would reduce the </w:t>
      </w:r>
      <w:r w:rsidR="00071016">
        <w:rPr>
          <w:szCs w:val="24"/>
        </w:rPr>
        <w:t>cost of regorafenib per patient per course.</w:t>
      </w:r>
    </w:p>
    <w:p w:rsidR="00912D22" w:rsidRPr="00C31925" w:rsidRDefault="00912D22" w:rsidP="00C31925">
      <w:pPr>
        <w:pStyle w:val="Heading2"/>
      </w:pPr>
      <w:bookmarkStart w:id="18" w:name="_Toc503166751"/>
      <w:r w:rsidRPr="00C31925">
        <w:t>Estimated PBS usage &amp; financial implications</w:t>
      </w:r>
      <w:bookmarkEnd w:id="18"/>
    </w:p>
    <w:p w:rsidR="00912D22" w:rsidRPr="0008526E" w:rsidRDefault="00912D22" w:rsidP="00912D22">
      <w:pPr>
        <w:pStyle w:val="ListParagraph"/>
        <w:widowControl/>
        <w:numPr>
          <w:ilvl w:val="1"/>
          <w:numId w:val="3"/>
        </w:numPr>
      </w:pPr>
      <w:r w:rsidRPr="0008526E">
        <w:t xml:space="preserve">This submission </w:t>
      </w:r>
      <w:r w:rsidR="0008526E">
        <w:t>was not</w:t>
      </w:r>
      <w:r w:rsidR="00DB2760" w:rsidRPr="0008526E">
        <w:t xml:space="preserve"> </w:t>
      </w:r>
      <w:r w:rsidRPr="0008526E">
        <w:t xml:space="preserve">considered by DUSC. </w:t>
      </w:r>
    </w:p>
    <w:p w:rsidR="00912D22" w:rsidRPr="0008526E" w:rsidRDefault="00912D22" w:rsidP="00912D22">
      <w:pPr>
        <w:pStyle w:val="ListParagraph"/>
        <w:widowControl/>
        <w:numPr>
          <w:ilvl w:val="1"/>
          <w:numId w:val="3"/>
        </w:numPr>
      </w:pPr>
      <w:r w:rsidRPr="0008526E">
        <w:t xml:space="preserve">The predicted use of regorafenib was estimated using an epidemiological approach. </w:t>
      </w:r>
      <w:r w:rsidR="006E48A7" w:rsidRPr="0008526E">
        <w:t xml:space="preserve">The submission used an </w:t>
      </w:r>
      <w:r w:rsidRPr="0008526E">
        <w:t xml:space="preserve">analysis </w:t>
      </w:r>
      <w:r w:rsidR="006E48A7" w:rsidRPr="0008526E">
        <w:t xml:space="preserve">based on the </w:t>
      </w:r>
      <w:r w:rsidRPr="0008526E">
        <w:t xml:space="preserve">10% Medicare sample to estimate the rate of regorafenib uptake after sorafenib progression for the six years following listing. </w:t>
      </w:r>
    </w:p>
    <w:p w:rsidR="00912D22" w:rsidRPr="0008526E" w:rsidRDefault="00912D22" w:rsidP="00912D22">
      <w:pPr>
        <w:pStyle w:val="ListParagraph"/>
        <w:widowControl/>
        <w:numPr>
          <w:ilvl w:val="1"/>
          <w:numId w:val="3"/>
        </w:numPr>
      </w:pPr>
      <w:r w:rsidRPr="0008526E">
        <w:t xml:space="preserve">Since the </w:t>
      </w:r>
      <w:r w:rsidR="00263EFB" w:rsidRPr="0008526E">
        <w:t xml:space="preserve">nominated </w:t>
      </w:r>
      <w:r w:rsidRPr="0008526E">
        <w:t xml:space="preserve">comparator for </w:t>
      </w:r>
      <w:r w:rsidR="00263EFB" w:rsidRPr="0008526E">
        <w:t xml:space="preserve">this condition </w:t>
      </w:r>
      <w:r w:rsidRPr="0008526E">
        <w:t>was BSC, there are no PBS-listed medicines substituted</w:t>
      </w:r>
      <w:r w:rsidR="006E48A7" w:rsidRPr="0008526E">
        <w:t xml:space="preserve"> </w:t>
      </w:r>
      <w:r w:rsidRPr="0008526E">
        <w:t>by the proposed medicine</w:t>
      </w:r>
      <w:r w:rsidR="00263EFB" w:rsidRPr="0008526E">
        <w:t xml:space="preserve">, noting that administration of </w:t>
      </w:r>
      <w:r w:rsidRPr="0008526E">
        <w:t>BSC needs to be maintained while on regorafenib treatment.</w:t>
      </w:r>
    </w:p>
    <w:p w:rsidR="00CF4F2E" w:rsidRPr="003606EB" w:rsidRDefault="00912D22" w:rsidP="00CF4F2E">
      <w:pPr>
        <w:pStyle w:val="ListParagraph"/>
        <w:keepNext/>
        <w:widowControl/>
        <w:numPr>
          <w:ilvl w:val="1"/>
          <w:numId w:val="3"/>
        </w:numPr>
      </w:pPr>
      <w:r w:rsidRPr="0008526E">
        <w:t>Overall, a listing for regorafenib is expected to result in an incremental cost to the PBS</w:t>
      </w:r>
      <w:r w:rsidR="00E344C8" w:rsidRPr="0008526E">
        <w:t>/RPBS</w:t>
      </w:r>
      <w:r w:rsidRPr="0008526E">
        <w:t xml:space="preserve"> of </w:t>
      </w:r>
      <w:r w:rsidR="00F45B26">
        <w:t xml:space="preserve">less than $10 million </w:t>
      </w:r>
      <w:r w:rsidRPr="0008526E">
        <w:t>in 2023 (Year 6). The total financial implications to the PBS</w:t>
      </w:r>
      <w:r w:rsidR="002E7453" w:rsidRPr="0008526E">
        <w:t xml:space="preserve"> and</w:t>
      </w:r>
      <w:r w:rsidRPr="0008526E">
        <w:t xml:space="preserve"> </w:t>
      </w:r>
      <w:r w:rsidR="002E7453" w:rsidRPr="0008526E">
        <w:t xml:space="preserve">the government health budget </w:t>
      </w:r>
      <w:r w:rsidRPr="0008526E">
        <w:t xml:space="preserve">over 6 years of subsidising </w:t>
      </w:r>
      <w:r w:rsidR="00371F08" w:rsidRPr="0008526E">
        <w:t>regorafenib</w:t>
      </w:r>
      <w:r w:rsidRPr="0008526E">
        <w:t xml:space="preserve"> </w:t>
      </w:r>
      <w:r w:rsidR="00EF5626">
        <w:t xml:space="preserve">would be </w:t>
      </w:r>
      <w:r w:rsidR="00F45B26">
        <w:t>$30 - $60 million</w:t>
      </w:r>
      <w:r w:rsidR="002E7453" w:rsidRPr="0008526E">
        <w:t>.</w:t>
      </w:r>
      <w:r w:rsidR="00CF4F2E">
        <w:t xml:space="preserve"> </w:t>
      </w:r>
      <w:r w:rsidR="00CF4F2E">
        <w:rPr>
          <w:szCs w:val="24"/>
        </w:rPr>
        <w:t>The PBAC noted that the pre-PBAC response proposed a lower DPMQ that would reduce the total financial implications to the PBS and the government health budget.</w:t>
      </w:r>
    </w:p>
    <w:p w:rsidR="00912D22" w:rsidRPr="0008526E" w:rsidRDefault="00912D22" w:rsidP="00912D22">
      <w:r w:rsidRPr="0008526E">
        <w:rPr>
          <w:rStyle w:val="CommentReference"/>
        </w:rPr>
        <w:t>Table 1</w:t>
      </w:r>
      <w:r w:rsidR="00A97AE9" w:rsidRPr="0008526E">
        <w:rPr>
          <w:rStyle w:val="CommentReference"/>
        </w:rPr>
        <w:t>3</w:t>
      </w:r>
      <w:r w:rsidRPr="0008526E">
        <w:rPr>
          <w:rStyle w:val="CommentReference"/>
        </w:rPr>
        <w:t>: Estimated use and financial implications</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3"/>
        <w:gridCol w:w="1285"/>
        <w:gridCol w:w="1143"/>
        <w:gridCol w:w="1143"/>
        <w:gridCol w:w="1143"/>
        <w:gridCol w:w="1428"/>
        <w:gridCol w:w="1447"/>
      </w:tblGrid>
      <w:tr w:rsidR="00B91458" w:rsidRPr="0008526E" w:rsidTr="00B91458">
        <w:trPr>
          <w:tblHeader/>
        </w:trPr>
        <w:tc>
          <w:tcPr>
            <w:tcW w:w="790" w:type="pct"/>
            <w:shd w:val="clear" w:color="auto" w:fill="auto"/>
            <w:vAlign w:val="center"/>
          </w:tcPr>
          <w:p w:rsidR="00B91458" w:rsidRPr="0008526E" w:rsidRDefault="00B91458" w:rsidP="00B91458">
            <w:pPr>
              <w:pStyle w:val="Tabletext"/>
            </w:pPr>
          </w:p>
        </w:tc>
        <w:tc>
          <w:tcPr>
            <w:tcW w:w="4210" w:type="pct"/>
            <w:gridSpan w:val="6"/>
            <w:shd w:val="clear" w:color="auto" w:fill="auto"/>
            <w:vAlign w:val="center"/>
          </w:tcPr>
          <w:p w:rsidR="00B91458" w:rsidRPr="0008526E" w:rsidRDefault="00B91458" w:rsidP="00B91458">
            <w:pPr>
              <w:pStyle w:val="Tabletext"/>
              <w:jc w:val="center"/>
              <w:rPr>
                <w:b/>
              </w:rPr>
            </w:pPr>
            <w:r w:rsidRPr="0008526E">
              <w:rPr>
                <w:rFonts w:cstheme="minorHAnsi"/>
                <w:b/>
                <w:bCs/>
                <w:color w:val="000000"/>
                <w:szCs w:val="20"/>
                <w:lang w:val="en-US"/>
              </w:rPr>
              <w:t>6-year time horizon considering SPA</w:t>
            </w:r>
          </w:p>
        </w:tc>
      </w:tr>
      <w:tr w:rsidR="00B91458" w:rsidRPr="0008526E" w:rsidTr="00876D7D">
        <w:trPr>
          <w:tblHeader/>
        </w:trPr>
        <w:tc>
          <w:tcPr>
            <w:tcW w:w="790" w:type="pct"/>
            <w:shd w:val="clear" w:color="auto" w:fill="auto"/>
            <w:vAlign w:val="center"/>
          </w:tcPr>
          <w:p w:rsidR="00B91458" w:rsidRPr="0008526E" w:rsidRDefault="00B91458" w:rsidP="00B91458">
            <w:pPr>
              <w:pStyle w:val="Tabletext"/>
            </w:pPr>
          </w:p>
        </w:tc>
        <w:tc>
          <w:tcPr>
            <w:tcW w:w="713" w:type="pct"/>
            <w:shd w:val="clear" w:color="auto" w:fill="auto"/>
            <w:vAlign w:val="center"/>
          </w:tcPr>
          <w:p w:rsidR="00B91458" w:rsidRPr="0008526E" w:rsidRDefault="00B91458" w:rsidP="00B91458">
            <w:pPr>
              <w:pStyle w:val="Tabletext"/>
              <w:jc w:val="center"/>
              <w:rPr>
                <w:rFonts w:cstheme="minorHAnsi"/>
                <w:b/>
                <w:bCs/>
                <w:color w:val="000000"/>
                <w:szCs w:val="20"/>
              </w:rPr>
            </w:pPr>
            <w:r w:rsidRPr="0008526E">
              <w:rPr>
                <w:rFonts w:cstheme="minorHAnsi"/>
                <w:b/>
                <w:bCs/>
                <w:color w:val="000000"/>
                <w:szCs w:val="20"/>
              </w:rPr>
              <w:t>2018</w:t>
            </w:r>
          </w:p>
        </w:tc>
        <w:tc>
          <w:tcPr>
            <w:tcW w:w="634" w:type="pct"/>
            <w:shd w:val="clear" w:color="auto" w:fill="auto"/>
            <w:vAlign w:val="center"/>
          </w:tcPr>
          <w:p w:rsidR="00B91458" w:rsidRPr="0008526E" w:rsidRDefault="00B91458" w:rsidP="00B91458">
            <w:pPr>
              <w:pStyle w:val="Tabletext"/>
              <w:jc w:val="center"/>
              <w:rPr>
                <w:rFonts w:cstheme="minorHAnsi"/>
                <w:b/>
                <w:bCs/>
                <w:color w:val="000000"/>
                <w:szCs w:val="20"/>
              </w:rPr>
            </w:pPr>
            <w:r w:rsidRPr="0008526E">
              <w:rPr>
                <w:rFonts w:cstheme="minorHAnsi"/>
                <w:b/>
                <w:bCs/>
                <w:color w:val="000000"/>
                <w:szCs w:val="20"/>
              </w:rPr>
              <w:t>2019</w:t>
            </w:r>
          </w:p>
        </w:tc>
        <w:tc>
          <w:tcPr>
            <w:tcW w:w="634" w:type="pct"/>
            <w:shd w:val="clear" w:color="auto" w:fill="auto"/>
            <w:vAlign w:val="center"/>
          </w:tcPr>
          <w:p w:rsidR="00B91458" w:rsidRPr="0008526E" w:rsidRDefault="00B91458" w:rsidP="00B91458">
            <w:pPr>
              <w:pStyle w:val="Tabletext"/>
              <w:jc w:val="center"/>
              <w:rPr>
                <w:rFonts w:cstheme="minorHAnsi"/>
                <w:b/>
                <w:bCs/>
                <w:color w:val="000000"/>
                <w:szCs w:val="20"/>
              </w:rPr>
            </w:pPr>
            <w:r w:rsidRPr="0008526E">
              <w:rPr>
                <w:rFonts w:cstheme="minorHAnsi"/>
                <w:b/>
                <w:bCs/>
                <w:color w:val="000000"/>
                <w:szCs w:val="20"/>
              </w:rPr>
              <w:t>2020</w:t>
            </w:r>
          </w:p>
        </w:tc>
        <w:tc>
          <w:tcPr>
            <w:tcW w:w="634" w:type="pct"/>
            <w:shd w:val="clear" w:color="auto" w:fill="auto"/>
            <w:vAlign w:val="center"/>
          </w:tcPr>
          <w:p w:rsidR="00B91458" w:rsidRPr="0008526E" w:rsidRDefault="00B91458" w:rsidP="00B91458">
            <w:pPr>
              <w:pStyle w:val="Tabletext"/>
              <w:jc w:val="center"/>
              <w:rPr>
                <w:rFonts w:cstheme="minorHAnsi"/>
                <w:b/>
                <w:bCs/>
                <w:color w:val="000000"/>
                <w:szCs w:val="20"/>
              </w:rPr>
            </w:pPr>
            <w:r w:rsidRPr="0008526E">
              <w:rPr>
                <w:rFonts w:cstheme="minorHAnsi"/>
                <w:b/>
                <w:bCs/>
                <w:color w:val="000000"/>
                <w:szCs w:val="20"/>
              </w:rPr>
              <w:t>2021</w:t>
            </w:r>
          </w:p>
        </w:tc>
        <w:tc>
          <w:tcPr>
            <w:tcW w:w="792" w:type="pct"/>
            <w:shd w:val="clear" w:color="auto" w:fill="auto"/>
            <w:vAlign w:val="center"/>
          </w:tcPr>
          <w:p w:rsidR="00B91458" w:rsidRPr="0008526E" w:rsidRDefault="00B91458" w:rsidP="00B91458">
            <w:pPr>
              <w:pStyle w:val="Tabletext"/>
              <w:jc w:val="center"/>
              <w:rPr>
                <w:rFonts w:cstheme="minorHAnsi"/>
                <w:b/>
                <w:bCs/>
                <w:color w:val="000000"/>
                <w:szCs w:val="20"/>
              </w:rPr>
            </w:pPr>
            <w:r w:rsidRPr="0008526E">
              <w:rPr>
                <w:rFonts w:cstheme="minorHAnsi"/>
                <w:b/>
                <w:bCs/>
                <w:color w:val="000000"/>
                <w:szCs w:val="20"/>
              </w:rPr>
              <w:t>2022</w:t>
            </w:r>
          </w:p>
        </w:tc>
        <w:tc>
          <w:tcPr>
            <w:tcW w:w="803" w:type="pct"/>
            <w:vAlign w:val="center"/>
          </w:tcPr>
          <w:p w:rsidR="00B91458" w:rsidRPr="0008526E" w:rsidRDefault="00B91458" w:rsidP="00B91458">
            <w:pPr>
              <w:pStyle w:val="Tabletext"/>
              <w:jc w:val="center"/>
              <w:rPr>
                <w:rFonts w:cstheme="minorHAnsi"/>
                <w:b/>
                <w:bCs/>
                <w:color w:val="000000"/>
                <w:szCs w:val="20"/>
              </w:rPr>
            </w:pPr>
            <w:r w:rsidRPr="0008526E">
              <w:rPr>
                <w:rFonts w:cstheme="minorHAnsi"/>
                <w:b/>
                <w:bCs/>
                <w:color w:val="000000"/>
                <w:szCs w:val="20"/>
              </w:rPr>
              <w:t>2023</w:t>
            </w:r>
          </w:p>
        </w:tc>
      </w:tr>
      <w:tr w:rsidR="00B91458" w:rsidRPr="0008526E" w:rsidTr="00B91458">
        <w:tc>
          <w:tcPr>
            <w:tcW w:w="5000" w:type="pct"/>
            <w:gridSpan w:val="7"/>
            <w:shd w:val="clear" w:color="auto" w:fill="auto"/>
            <w:vAlign w:val="center"/>
          </w:tcPr>
          <w:p w:rsidR="00B91458" w:rsidRPr="0008526E" w:rsidRDefault="00B91458" w:rsidP="00B91458">
            <w:pPr>
              <w:pStyle w:val="Tabletext"/>
              <w:rPr>
                <w:b/>
                <w:bCs/>
                <w:color w:val="000000"/>
              </w:rPr>
            </w:pPr>
            <w:r w:rsidRPr="0008526E">
              <w:rPr>
                <w:b/>
                <w:bCs/>
                <w:color w:val="000000"/>
              </w:rPr>
              <w:t>Estimated extent of use</w:t>
            </w:r>
          </w:p>
        </w:tc>
      </w:tr>
      <w:tr w:rsidR="00B91458" w:rsidRPr="0008526E" w:rsidTr="00876D7D">
        <w:tc>
          <w:tcPr>
            <w:tcW w:w="790" w:type="pct"/>
            <w:shd w:val="clear" w:color="auto" w:fill="auto"/>
            <w:vAlign w:val="center"/>
          </w:tcPr>
          <w:p w:rsidR="00B91458" w:rsidRPr="0008526E" w:rsidRDefault="00B91458" w:rsidP="00B91458">
            <w:pPr>
              <w:pStyle w:val="Tabletext"/>
              <w:rPr>
                <w:rFonts w:ascii="Times" w:hAnsi="Times"/>
              </w:rPr>
            </w:pPr>
            <w:r w:rsidRPr="0008526E">
              <w:t>Number of patients treated</w:t>
            </w:r>
          </w:p>
        </w:tc>
        <w:tc>
          <w:tcPr>
            <w:tcW w:w="713" w:type="pct"/>
            <w:shd w:val="clear" w:color="auto" w:fill="auto"/>
            <w:vAlign w:val="center"/>
          </w:tcPr>
          <w:p w:rsidR="00B91458" w:rsidRPr="006025B2" w:rsidRDefault="006025B2" w:rsidP="003B10A6">
            <w:pPr>
              <w:pStyle w:val="Tabletext"/>
              <w:jc w:val="right"/>
              <w:rPr>
                <w:bCs/>
                <w:color w:val="000000"/>
                <w:highlight w:val="black"/>
              </w:rPr>
            </w:pPr>
            <w:r>
              <w:rPr>
                <w:rFonts w:cstheme="minorHAnsi"/>
                <w:noProof/>
                <w:color w:val="000000"/>
                <w:szCs w:val="20"/>
                <w:highlight w:val="black"/>
              </w:rPr>
              <w:t>''''''''''</w:t>
            </w:r>
          </w:p>
        </w:tc>
        <w:tc>
          <w:tcPr>
            <w:tcW w:w="634" w:type="pct"/>
            <w:shd w:val="clear" w:color="auto" w:fill="auto"/>
            <w:vAlign w:val="center"/>
          </w:tcPr>
          <w:p w:rsidR="00B91458" w:rsidRPr="006025B2" w:rsidRDefault="006025B2" w:rsidP="003B10A6">
            <w:pPr>
              <w:pStyle w:val="Tabletext"/>
              <w:jc w:val="right"/>
              <w:rPr>
                <w:bCs/>
                <w:color w:val="000000"/>
                <w:highlight w:val="black"/>
              </w:rPr>
            </w:pPr>
            <w:r>
              <w:rPr>
                <w:rFonts w:cstheme="minorHAnsi"/>
                <w:noProof/>
                <w:color w:val="000000"/>
                <w:szCs w:val="20"/>
                <w:highlight w:val="black"/>
              </w:rPr>
              <w:t>'''''''''</w:t>
            </w:r>
          </w:p>
        </w:tc>
        <w:tc>
          <w:tcPr>
            <w:tcW w:w="634" w:type="pct"/>
            <w:shd w:val="clear" w:color="auto" w:fill="auto"/>
            <w:vAlign w:val="center"/>
          </w:tcPr>
          <w:p w:rsidR="00B91458" w:rsidRPr="006025B2" w:rsidRDefault="006025B2" w:rsidP="003B10A6">
            <w:pPr>
              <w:pStyle w:val="Tabletext"/>
              <w:jc w:val="right"/>
              <w:rPr>
                <w:bCs/>
                <w:color w:val="000000"/>
                <w:highlight w:val="black"/>
              </w:rPr>
            </w:pPr>
            <w:r>
              <w:rPr>
                <w:rFonts w:cstheme="minorHAnsi"/>
                <w:noProof/>
                <w:color w:val="000000"/>
                <w:szCs w:val="20"/>
                <w:highlight w:val="black"/>
              </w:rPr>
              <w:t>''''''''''</w:t>
            </w:r>
          </w:p>
        </w:tc>
        <w:tc>
          <w:tcPr>
            <w:tcW w:w="634" w:type="pct"/>
            <w:shd w:val="clear" w:color="auto" w:fill="auto"/>
            <w:vAlign w:val="center"/>
          </w:tcPr>
          <w:p w:rsidR="00B91458" w:rsidRPr="006025B2" w:rsidRDefault="006025B2" w:rsidP="003B10A6">
            <w:pPr>
              <w:pStyle w:val="Tabletext"/>
              <w:jc w:val="right"/>
              <w:rPr>
                <w:bCs/>
                <w:color w:val="000000"/>
                <w:highlight w:val="black"/>
              </w:rPr>
            </w:pPr>
            <w:r>
              <w:rPr>
                <w:rFonts w:cstheme="minorHAnsi"/>
                <w:noProof/>
                <w:color w:val="000000"/>
                <w:szCs w:val="20"/>
                <w:highlight w:val="black"/>
              </w:rPr>
              <w:t>''''''''''</w:t>
            </w:r>
          </w:p>
        </w:tc>
        <w:tc>
          <w:tcPr>
            <w:tcW w:w="792" w:type="pct"/>
            <w:shd w:val="clear" w:color="auto" w:fill="auto"/>
            <w:vAlign w:val="center"/>
          </w:tcPr>
          <w:p w:rsidR="00B91458" w:rsidRPr="006025B2" w:rsidRDefault="006025B2" w:rsidP="003B10A6">
            <w:pPr>
              <w:pStyle w:val="Tabletext"/>
              <w:jc w:val="right"/>
              <w:rPr>
                <w:bCs/>
                <w:color w:val="000000"/>
                <w:highlight w:val="black"/>
              </w:rPr>
            </w:pPr>
            <w:r>
              <w:rPr>
                <w:rFonts w:cstheme="minorHAnsi"/>
                <w:noProof/>
                <w:color w:val="000000"/>
                <w:szCs w:val="20"/>
                <w:highlight w:val="black"/>
              </w:rPr>
              <w:t>''''''''''</w:t>
            </w:r>
          </w:p>
        </w:tc>
        <w:tc>
          <w:tcPr>
            <w:tcW w:w="803" w:type="pct"/>
            <w:vAlign w:val="center"/>
          </w:tcPr>
          <w:p w:rsidR="00B91458" w:rsidRPr="006025B2" w:rsidRDefault="006025B2" w:rsidP="003B10A6">
            <w:pPr>
              <w:pStyle w:val="Tabletext"/>
              <w:jc w:val="right"/>
              <w:rPr>
                <w:bCs/>
                <w:color w:val="000000"/>
                <w:highlight w:val="black"/>
              </w:rPr>
            </w:pPr>
            <w:r>
              <w:rPr>
                <w:rFonts w:cstheme="minorHAnsi"/>
                <w:noProof/>
                <w:color w:val="000000"/>
                <w:szCs w:val="20"/>
                <w:highlight w:val="black"/>
              </w:rPr>
              <w:t>''''''''''</w:t>
            </w:r>
          </w:p>
        </w:tc>
      </w:tr>
      <w:tr w:rsidR="00B91458" w:rsidRPr="0008526E" w:rsidTr="00876D7D">
        <w:tc>
          <w:tcPr>
            <w:tcW w:w="790" w:type="pct"/>
            <w:shd w:val="clear" w:color="auto" w:fill="auto"/>
            <w:vAlign w:val="center"/>
          </w:tcPr>
          <w:p w:rsidR="00B91458" w:rsidRPr="0008526E" w:rsidRDefault="00B91458" w:rsidP="00B91458">
            <w:pPr>
              <w:pStyle w:val="Tabletext"/>
              <w:rPr>
                <w:rFonts w:ascii="Times" w:hAnsi="Times"/>
              </w:rPr>
            </w:pPr>
            <w:r w:rsidRPr="0008526E">
              <w:t>Number of scripts dispensed</w:t>
            </w:r>
            <w:r w:rsidRPr="0008526E">
              <w:rPr>
                <w:vertAlign w:val="superscript"/>
              </w:rPr>
              <w:t>a</w:t>
            </w:r>
          </w:p>
        </w:tc>
        <w:tc>
          <w:tcPr>
            <w:tcW w:w="713" w:type="pct"/>
            <w:shd w:val="clear" w:color="auto" w:fill="auto"/>
            <w:vAlign w:val="center"/>
          </w:tcPr>
          <w:p w:rsidR="00B91458" w:rsidRPr="006025B2" w:rsidRDefault="006025B2" w:rsidP="003B10A6">
            <w:pPr>
              <w:pStyle w:val="Tabletext"/>
              <w:jc w:val="right"/>
              <w:rPr>
                <w:bCs/>
                <w:color w:val="000000"/>
                <w:highlight w:val="black"/>
              </w:rPr>
            </w:pPr>
            <w:r>
              <w:rPr>
                <w:noProof/>
                <w:color w:val="000000"/>
                <w:highlight w:val="black"/>
              </w:rPr>
              <w:t>'''''''''''''''</w:t>
            </w:r>
          </w:p>
        </w:tc>
        <w:tc>
          <w:tcPr>
            <w:tcW w:w="634" w:type="pct"/>
            <w:shd w:val="clear" w:color="auto" w:fill="auto"/>
            <w:vAlign w:val="center"/>
          </w:tcPr>
          <w:p w:rsidR="00B91458" w:rsidRPr="006025B2" w:rsidRDefault="006025B2" w:rsidP="003B10A6">
            <w:pPr>
              <w:pStyle w:val="Tabletext"/>
              <w:jc w:val="right"/>
              <w:rPr>
                <w:bCs/>
                <w:color w:val="000000"/>
                <w:highlight w:val="black"/>
              </w:rPr>
            </w:pPr>
            <w:r>
              <w:rPr>
                <w:noProof/>
                <w:color w:val="000000"/>
                <w:highlight w:val="black"/>
              </w:rPr>
              <w:t>''''''''''''''</w:t>
            </w:r>
          </w:p>
        </w:tc>
        <w:tc>
          <w:tcPr>
            <w:tcW w:w="634" w:type="pct"/>
            <w:shd w:val="clear" w:color="auto" w:fill="auto"/>
            <w:vAlign w:val="center"/>
          </w:tcPr>
          <w:p w:rsidR="00B91458" w:rsidRPr="006025B2" w:rsidRDefault="006025B2" w:rsidP="003B10A6">
            <w:pPr>
              <w:pStyle w:val="Tabletext"/>
              <w:jc w:val="right"/>
              <w:rPr>
                <w:bCs/>
                <w:color w:val="000000"/>
                <w:highlight w:val="black"/>
              </w:rPr>
            </w:pPr>
            <w:r>
              <w:rPr>
                <w:noProof/>
                <w:color w:val="000000"/>
                <w:highlight w:val="black"/>
              </w:rPr>
              <w:t>'''''''''''''</w:t>
            </w:r>
          </w:p>
        </w:tc>
        <w:tc>
          <w:tcPr>
            <w:tcW w:w="634" w:type="pct"/>
            <w:shd w:val="clear" w:color="auto" w:fill="auto"/>
            <w:vAlign w:val="center"/>
          </w:tcPr>
          <w:p w:rsidR="00B91458" w:rsidRPr="006025B2" w:rsidRDefault="006025B2" w:rsidP="003B10A6">
            <w:pPr>
              <w:pStyle w:val="Tabletext"/>
              <w:jc w:val="right"/>
              <w:rPr>
                <w:bCs/>
                <w:color w:val="000000"/>
                <w:highlight w:val="black"/>
              </w:rPr>
            </w:pPr>
            <w:r>
              <w:rPr>
                <w:noProof/>
                <w:color w:val="000000"/>
                <w:highlight w:val="black"/>
              </w:rPr>
              <w:t>'''''''''''''''</w:t>
            </w:r>
          </w:p>
        </w:tc>
        <w:tc>
          <w:tcPr>
            <w:tcW w:w="792" w:type="pct"/>
            <w:shd w:val="clear" w:color="auto" w:fill="auto"/>
            <w:vAlign w:val="center"/>
          </w:tcPr>
          <w:p w:rsidR="00B91458" w:rsidRPr="006025B2" w:rsidRDefault="006025B2" w:rsidP="003B10A6">
            <w:pPr>
              <w:pStyle w:val="Tabletext"/>
              <w:jc w:val="right"/>
              <w:rPr>
                <w:bCs/>
                <w:color w:val="000000"/>
                <w:highlight w:val="black"/>
              </w:rPr>
            </w:pPr>
            <w:r>
              <w:rPr>
                <w:noProof/>
                <w:color w:val="000000"/>
                <w:highlight w:val="black"/>
              </w:rPr>
              <w:t>''''''''''''</w:t>
            </w:r>
          </w:p>
        </w:tc>
        <w:tc>
          <w:tcPr>
            <w:tcW w:w="803" w:type="pct"/>
            <w:vAlign w:val="center"/>
          </w:tcPr>
          <w:p w:rsidR="00B91458" w:rsidRPr="006025B2" w:rsidRDefault="006025B2" w:rsidP="003B10A6">
            <w:pPr>
              <w:pStyle w:val="Tabletext"/>
              <w:jc w:val="right"/>
              <w:rPr>
                <w:bCs/>
                <w:color w:val="000000"/>
                <w:highlight w:val="black"/>
              </w:rPr>
            </w:pPr>
            <w:r>
              <w:rPr>
                <w:noProof/>
                <w:color w:val="000000"/>
                <w:highlight w:val="black"/>
              </w:rPr>
              <w:t>'''''''''''''</w:t>
            </w:r>
          </w:p>
        </w:tc>
      </w:tr>
      <w:tr w:rsidR="00B91458" w:rsidRPr="0008526E" w:rsidTr="00B91458">
        <w:tc>
          <w:tcPr>
            <w:tcW w:w="5000" w:type="pct"/>
            <w:gridSpan w:val="7"/>
            <w:shd w:val="clear" w:color="auto" w:fill="auto"/>
            <w:vAlign w:val="center"/>
          </w:tcPr>
          <w:p w:rsidR="00B91458" w:rsidRPr="0008526E" w:rsidRDefault="00B91458" w:rsidP="00B91458">
            <w:pPr>
              <w:pStyle w:val="Tabletext"/>
              <w:rPr>
                <w:b/>
                <w:bCs/>
                <w:color w:val="000000"/>
              </w:rPr>
            </w:pPr>
            <w:r w:rsidRPr="0008526E">
              <w:rPr>
                <w:b/>
                <w:bCs/>
                <w:color w:val="000000"/>
              </w:rPr>
              <w:t>Estimated financial implications of regorafenib</w:t>
            </w:r>
          </w:p>
        </w:tc>
      </w:tr>
      <w:tr w:rsidR="00B91458" w:rsidRPr="0008526E" w:rsidTr="00876D7D">
        <w:tc>
          <w:tcPr>
            <w:tcW w:w="790" w:type="pct"/>
            <w:shd w:val="clear" w:color="auto" w:fill="auto"/>
            <w:vAlign w:val="center"/>
          </w:tcPr>
          <w:p w:rsidR="00B91458" w:rsidRPr="0008526E" w:rsidRDefault="00B91458" w:rsidP="00B91458">
            <w:pPr>
              <w:pStyle w:val="Tabletext"/>
              <w:rPr>
                <w:rFonts w:ascii="Times" w:hAnsi="Times"/>
              </w:rPr>
            </w:pPr>
            <w:r w:rsidRPr="0008526E">
              <w:rPr>
                <w:sz w:val="19"/>
                <w:szCs w:val="19"/>
              </w:rPr>
              <w:t>Cost to PBS/RPBS</w:t>
            </w:r>
          </w:p>
        </w:tc>
        <w:tc>
          <w:tcPr>
            <w:tcW w:w="713"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792"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803" w:type="pct"/>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r>
      <w:tr w:rsidR="00B91458" w:rsidRPr="0008526E" w:rsidTr="00876D7D">
        <w:tc>
          <w:tcPr>
            <w:tcW w:w="790" w:type="pct"/>
            <w:shd w:val="clear" w:color="auto" w:fill="auto"/>
            <w:vAlign w:val="center"/>
          </w:tcPr>
          <w:p w:rsidR="00B91458" w:rsidRPr="0008526E" w:rsidRDefault="00B91458" w:rsidP="00B91458">
            <w:pPr>
              <w:pStyle w:val="Tabletext"/>
              <w:rPr>
                <w:sz w:val="19"/>
                <w:szCs w:val="19"/>
              </w:rPr>
            </w:pPr>
            <w:r w:rsidRPr="0008526E">
              <w:rPr>
                <w:sz w:val="19"/>
                <w:szCs w:val="19"/>
              </w:rPr>
              <w:t>Co-payments</w:t>
            </w:r>
          </w:p>
        </w:tc>
        <w:tc>
          <w:tcPr>
            <w:tcW w:w="713"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792" w:type="pct"/>
            <w:shd w:val="clear" w:color="auto" w:fill="auto"/>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c>
          <w:tcPr>
            <w:tcW w:w="803" w:type="pct"/>
            <w:vAlign w:val="center"/>
          </w:tcPr>
          <w:p w:rsidR="00B91458" w:rsidRPr="0008526E" w:rsidRDefault="00B91458" w:rsidP="00473D3A">
            <w:pPr>
              <w:pStyle w:val="Tabletext"/>
              <w:jc w:val="right"/>
              <w:rPr>
                <w:bCs/>
                <w:color w:val="000000"/>
              </w:rPr>
            </w:pPr>
            <w:r w:rsidRPr="0008526E">
              <w:t>$</w:t>
            </w:r>
            <w:r w:rsidR="006025B2">
              <w:rPr>
                <w:noProof/>
                <w:color w:val="000000"/>
                <w:highlight w:val="black"/>
              </w:rPr>
              <w:t>''''''''''''''''</w:t>
            </w:r>
          </w:p>
        </w:tc>
      </w:tr>
      <w:tr w:rsidR="00B91458" w:rsidRPr="0008526E" w:rsidTr="00B91458">
        <w:tc>
          <w:tcPr>
            <w:tcW w:w="5000" w:type="pct"/>
            <w:gridSpan w:val="7"/>
            <w:shd w:val="clear" w:color="auto" w:fill="auto"/>
            <w:vAlign w:val="center"/>
          </w:tcPr>
          <w:p w:rsidR="00B91458" w:rsidRPr="0008526E" w:rsidRDefault="00B91458" w:rsidP="00B91458">
            <w:pPr>
              <w:pStyle w:val="Tabletext"/>
              <w:rPr>
                <w:b/>
                <w:bCs/>
                <w:color w:val="000000"/>
              </w:rPr>
            </w:pPr>
            <w:r w:rsidRPr="0008526E">
              <w:rPr>
                <w:b/>
                <w:bCs/>
                <w:color w:val="000000"/>
              </w:rPr>
              <w:t>Net financial implications</w:t>
            </w:r>
          </w:p>
        </w:tc>
      </w:tr>
      <w:tr w:rsidR="00B91458" w:rsidRPr="0008526E" w:rsidTr="00876D7D">
        <w:tc>
          <w:tcPr>
            <w:tcW w:w="790" w:type="pct"/>
            <w:shd w:val="clear" w:color="auto" w:fill="auto"/>
            <w:vAlign w:val="center"/>
          </w:tcPr>
          <w:p w:rsidR="00B91458" w:rsidRPr="0008526E" w:rsidRDefault="00B91458" w:rsidP="00B91458">
            <w:pPr>
              <w:pStyle w:val="Tabletext"/>
              <w:rPr>
                <w:sz w:val="19"/>
                <w:szCs w:val="19"/>
              </w:rPr>
            </w:pPr>
            <w:r w:rsidRPr="0008526E">
              <w:rPr>
                <w:sz w:val="19"/>
                <w:szCs w:val="19"/>
              </w:rPr>
              <w:t>Net cost to PBS/RPBS</w:t>
            </w:r>
          </w:p>
        </w:tc>
        <w:tc>
          <w:tcPr>
            <w:tcW w:w="713"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792"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803" w:type="pct"/>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r>
      <w:tr w:rsidR="00B91458" w:rsidRPr="0008526E" w:rsidTr="00876D7D">
        <w:tc>
          <w:tcPr>
            <w:tcW w:w="790" w:type="pct"/>
            <w:shd w:val="clear" w:color="auto" w:fill="auto"/>
            <w:vAlign w:val="center"/>
          </w:tcPr>
          <w:p w:rsidR="00B91458" w:rsidRPr="0008526E" w:rsidRDefault="00B91458" w:rsidP="00B91458">
            <w:pPr>
              <w:pStyle w:val="Tabletext"/>
              <w:rPr>
                <w:rFonts w:ascii="Times" w:hAnsi="Times"/>
              </w:rPr>
            </w:pPr>
            <w:r w:rsidRPr="0008526E">
              <w:rPr>
                <w:sz w:val="19"/>
                <w:szCs w:val="19"/>
              </w:rPr>
              <w:t>Net cost to MBS/DHS</w:t>
            </w:r>
          </w:p>
        </w:tc>
        <w:tc>
          <w:tcPr>
            <w:tcW w:w="713"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792" w:type="pct"/>
            <w:shd w:val="clear" w:color="auto" w:fill="auto"/>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c>
          <w:tcPr>
            <w:tcW w:w="803" w:type="pct"/>
            <w:vAlign w:val="center"/>
          </w:tcPr>
          <w:p w:rsidR="00B91458" w:rsidRPr="0008526E" w:rsidRDefault="00B91458" w:rsidP="00473D3A">
            <w:pPr>
              <w:pStyle w:val="Tabletext"/>
              <w:jc w:val="right"/>
              <w:rPr>
                <w:bCs/>
                <w:color w:val="000000"/>
              </w:rPr>
            </w:pPr>
            <w:r w:rsidRPr="0008526E">
              <w:rPr>
                <w:rFonts w:cs="Calibri"/>
                <w:color w:val="000000"/>
                <w:szCs w:val="20"/>
                <w:lang w:val="en-US"/>
              </w:rPr>
              <w:t>$</w:t>
            </w:r>
            <w:r w:rsidR="006025B2">
              <w:rPr>
                <w:rFonts w:cs="Calibri"/>
                <w:noProof/>
                <w:color w:val="000000"/>
                <w:szCs w:val="20"/>
                <w:highlight w:val="black"/>
                <w:lang w:val="en-US"/>
              </w:rPr>
              <w:t>''''</w:t>
            </w:r>
          </w:p>
        </w:tc>
      </w:tr>
      <w:tr w:rsidR="00B91458" w:rsidRPr="0008526E" w:rsidTr="00876D7D">
        <w:tc>
          <w:tcPr>
            <w:tcW w:w="790" w:type="pct"/>
            <w:shd w:val="clear" w:color="auto" w:fill="auto"/>
            <w:vAlign w:val="center"/>
          </w:tcPr>
          <w:p w:rsidR="00B91458" w:rsidRPr="0008526E" w:rsidRDefault="00B91458" w:rsidP="00B91458">
            <w:pPr>
              <w:pStyle w:val="Tabletext"/>
              <w:rPr>
                <w:sz w:val="19"/>
                <w:szCs w:val="19"/>
              </w:rPr>
            </w:pPr>
            <w:r w:rsidRPr="0008526E">
              <w:rPr>
                <w:rFonts w:cs="Calibri"/>
                <w:bCs/>
                <w:color w:val="000000"/>
                <w:szCs w:val="20"/>
                <w:lang w:val="en-US"/>
              </w:rPr>
              <w:t>Net cost to State and Territory Governments</w:t>
            </w:r>
          </w:p>
        </w:tc>
        <w:tc>
          <w:tcPr>
            <w:tcW w:w="713" w:type="pct"/>
            <w:shd w:val="clear" w:color="auto" w:fill="auto"/>
            <w:vAlign w:val="center"/>
          </w:tcPr>
          <w:p w:rsidR="00B91458" w:rsidRPr="0008526E" w:rsidRDefault="00B91458" w:rsidP="00473D3A">
            <w:pPr>
              <w:pStyle w:val="Tabletext"/>
              <w:jc w:val="right"/>
              <w:rPr>
                <w:rFonts w:cs="Calibri"/>
                <w:color w:val="000000"/>
                <w:szCs w:val="20"/>
                <w:lang w:val="en-US"/>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rFonts w:cs="Calibri"/>
                <w:color w:val="000000"/>
                <w:szCs w:val="20"/>
                <w:lang w:val="en-US"/>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rFonts w:cs="Calibri"/>
                <w:color w:val="000000"/>
                <w:szCs w:val="20"/>
                <w:lang w:val="en-US"/>
              </w:rPr>
            </w:pPr>
            <w:r w:rsidRPr="0008526E">
              <w:rPr>
                <w:rFonts w:cs="Calibri"/>
                <w:color w:val="000000"/>
                <w:szCs w:val="20"/>
                <w:lang w:val="en-US"/>
              </w:rPr>
              <w:t>$</w:t>
            </w:r>
            <w:r w:rsidR="006025B2">
              <w:rPr>
                <w:rFonts w:cs="Calibri"/>
                <w:noProof/>
                <w:color w:val="000000"/>
                <w:szCs w:val="20"/>
                <w:highlight w:val="black"/>
                <w:lang w:val="en-US"/>
              </w:rPr>
              <w:t>''''''''''''''''''</w:t>
            </w:r>
          </w:p>
        </w:tc>
        <w:tc>
          <w:tcPr>
            <w:tcW w:w="634" w:type="pct"/>
            <w:shd w:val="clear" w:color="auto" w:fill="auto"/>
            <w:vAlign w:val="center"/>
          </w:tcPr>
          <w:p w:rsidR="00B91458" w:rsidRPr="0008526E" w:rsidRDefault="00B91458" w:rsidP="00473D3A">
            <w:pPr>
              <w:pStyle w:val="Tabletext"/>
              <w:jc w:val="right"/>
              <w:rPr>
                <w:rFonts w:cs="Calibri"/>
                <w:color w:val="000000"/>
                <w:szCs w:val="20"/>
                <w:lang w:val="en-US"/>
              </w:rPr>
            </w:pPr>
            <w:r w:rsidRPr="0008526E">
              <w:rPr>
                <w:rFonts w:cs="Calibri"/>
                <w:color w:val="000000"/>
                <w:szCs w:val="20"/>
                <w:lang w:val="en-US"/>
              </w:rPr>
              <w:t>$</w:t>
            </w:r>
            <w:r w:rsidR="006025B2">
              <w:rPr>
                <w:rFonts w:cs="Calibri"/>
                <w:noProof/>
                <w:color w:val="000000"/>
                <w:szCs w:val="20"/>
                <w:highlight w:val="black"/>
                <w:lang w:val="en-US"/>
              </w:rPr>
              <w:t>'''''''''''''''''''</w:t>
            </w:r>
          </w:p>
        </w:tc>
        <w:tc>
          <w:tcPr>
            <w:tcW w:w="792" w:type="pct"/>
            <w:shd w:val="clear" w:color="auto" w:fill="auto"/>
            <w:vAlign w:val="center"/>
          </w:tcPr>
          <w:p w:rsidR="00B91458" w:rsidRPr="0008526E" w:rsidRDefault="00B91458" w:rsidP="00473D3A">
            <w:pPr>
              <w:pStyle w:val="Tabletext"/>
              <w:jc w:val="right"/>
              <w:rPr>
                <w:rFonts w:cs="Calibri"/>
                <w:color w:val="000000"/>
                <w:szCs w:val="20"/>
                <w:lang w:val="en-US"/>
              </w:rPr>
            </w:pPr>
            <w:r w:rsidRPr="0008526E">
              <w:rPr>
                <w:rFonts w:cs="Calibri"/>
                <w:color w:val="000000"/>
                <w:szCs w:val="20"/>
                <w:lang w:val="en-US"/>
              </w:rPr>
              <w:t>$</w:t>
            </w:r>
            <w:r w:rsidR="006025B2">
              <w:rPr>
                <w:rFonts w:cs="Calibri"/>
                <w:noProof/>
                <w:color w:val="000000"/>
                <w:szCs w:val="20"/>
                <w:highlight w:val="black"/>
                <w:lang w:val="en-US"/>
              </w:rPr>
              <w:t>'''''''''''''''''''</w:t>
            </w:r>
          </w:p>
        </w:tc>
        <w:tc>
          <w:tcPr>
            <w:tcW w:w="803" w:type="pct"/>
            <w:vAlign w:val="center"/>
          </w:tcPr>
          <w:p w:rsidR="00B91458" w:rsidRPr="0008526E" w:rsidRDefault="00B91458" w:rsidP="00473D3A">
            <w:pPr>
              <w:pStyle w:val="Tabletext"/>
              <w:jc w:val="right"/>
              <w:rPr>
                <w:rFonts w:cs="Calibri"/>
                <w:color w:val="000000"/>
                <w:szCs w:val="20"/>
                <w:lang w:val="en-US"/>
              </w:rPr>
            </w:pPr>
            <w:r w:rsidRPr="0008526E">
              <w:rPr>
                <w:rFonts w:cs="Calibri"/>
                <w:color w:val="000000"/>
                <w:szCs w:val="20"/>
                <w:lang w:val="en-US"/>
              </w:rPr>
              <w:t>$</w:t>
            </w:r>
            <w:r w:rsidR="006025B2">
              <w:rPr>
                <w:rFonts w:cs="Calibri"/>
                <w:noProof/>
                <w:color w:val="000000"/>
                <w:szCs w:val="20"/>
                <w:highlight w:val="black"/>
                <w:lang w:val="en-US"/>
              </w:rPr>
              <w:t>''''''''''''''''''''</w:t>
            </w:r>
          </w:p>
        </w:tc>
      </w:tr>
      <w:tr w:rsidR="00B91458" w:rsidRPr="0008526E" w:rsidTr="00876D7D">
        <w:tc>
          <w:tcPr>
            <w:tcW w:w="790" w:type="pct"/>
            <w:shd w:val="clear" w:color="auto" w:fill="auto"/>
            <w:vAlign w:val="center"/>
          </w:tcPr>
          <w:p w:rsidR="00B91458" w:rsidRPr="0008526E" w:rsidRDefault="00B91458" w:rsidP="00B91458">
            <w:pPr>
              <w:pStyle w:val="Tabletext"/>
              <w:rPr>
                <w:sz w:val="19"/>
                <w:szCs w:val="19"/>
              </w:rPr>
            </w:pPr>
            <w:r w:rsidRPr="0008526E">
              <w:rPr>
                <w:rFonts w:cs="Calibri"/>
                <w:bCs/>
                <w:color w:val="000000"/>
                <w:szCs w:val="20"/>
                <w:lang w:val="en-US"/>
              </w:rPr>
              <w:t>Overall net cost to Government Health Budget</w:t>
            </w:r>
          </w:p>
        </w:tc>
        <w:tc>
          <w:tcPr>
            <w:tcW w:w="713" w:type="pct"/>
            <w:shd w:val="clear" w:color="auto" w:fill="auto"/>
            <w:vAlign w:val="center"/>
          </w:tcPr>
          <w:p w:rsidR="00B91458" w:rsidRPr="0008526E" w:rsidRDefault="00B91458" w:rsidP="00473D3A">
            <w:pPr>
              <w:widowControl/>
              <w:jc w:val="right"/>
              <w:rPr>
                <w:lang w:val="en-US"/>
              </w:rPr>
            </w:pPr>
            <w:r w:rsidRPr="0008526E">
              <w:rPr>
                <w:rFonts w:ascii="Arial Narrow" w:hAnsi="Arial Narrow" w:cs="Calibri"/>
                <w:snapToGrid/>
                <w:color w:val="000000"/>
                <w:sz w:val="20"/>
                <w:szCs w:val="20"/>
                <w:lang w:val="en-US"/>
              </w:rPr>
              <w:t>$</w:t>
            </w:r>
            <w:r w:rsidR="006025B2">
              <w:rPr>
                <w:rFonts w:ascii="Arial Narrow" w:hAnsi="Arial Narrow" w:cs="Calibri"/>
                <w:noProof/>
                <w:snapToGrid/>
                <w:color w:val="000000"/>
                <w:sz w:val="20"/>
                <w:szCs w:val="20"/>
                <w:highlight w:val="black"/>
                <w:lang w:val="en-US"/>
              </w:rPr>
              <w:t>'''''''''''''''''''''''''</w:t>
            </w:r>
          </w:p>
        </w:tc>
        <w:tc>
          <w:tcPr>
            <w:tcW w:w="634" w:type="pct"/>
            <w:shd w:val="clear" w:color="auto" w:fill="auto"/>
            <w:vAlign w:val="center"/>
          </w:tcPr>
          <w:p w:rsidR="00B91458" w:rsidRPr="0008526E" w:rsidRDefault="00B91458" w:rsidP="00473D3A">
            <w:pPr>
              <w:widowControl/>
              <w:jc w:val="right"/>
              <w:rPr>
                <w:lang w:val="en-US"/>
              </w:rPr>
            </w:pPr>
            <w:r w:rsidRPr="0008526E">
              <w:rPr>
                <w:rFonts w:ascii="Arial Narrow" w:hAnsi="Arial Narrow" w:cs="Calibri"/>
                <w:snapToGrid/>
                <w:color w:val="000000"/>
                <w:sz w:val="20"/>
                <w:szCs w:val="20"/>
                <w:lang w:val="en-US"/>
              </w:rPr>
              <w:t>$</w:t>
            </w:r>
            <w:r w:rsidR="006025B2">
              <w:rPr>
                <w:rFonts w:ascii="Arial Narrow" w:hAnsi="Arial Narrow" w:cs="Calibri"/>
                <w:noProof/>
                <w:snapToGrid/>
                <w:color w:val="000000"/>
                <w:sz w:val="20"/>
                <w:szCs w:val="20"/>
                <w:highlight w:val="black"/>
                <w:lang w:val="en-US"/>
              </w:rPr>
              <w:t>'''''''''''''''''''''''</w:t>
            </w:r>
          </w:p>
        </w:tc>
        <w:tc>
          <w:tcPr>
            <w:tcW w:w="634" w:type="pct"/>
            <w:shd w:val="clear" w:color="auto" w:fill="auto"/>
            <w:vAlign w:val="center"/>
          </w:tcPr>
          <w:p w:rsidR="00B91458" w:rsidRPr="0008526E" w:rsidRDefault="00B91458" w:rsidP="00473D3A">
            <w:pPr>
              <w:widowControl/>
              <w:jc w:val="right"/>
              <w:rPr>
                <w:lang w:val="en-US"/>
              </w:rPr>
            </w:pPr>
            <w:r w:rsidRPr="0008526E">
              <w:rPr>
                <w:rFonts w:ascii="Arial Narrow" w:hAnsi="Arial Narrow" w:cs="Calibri"/>
                <w:snapToGrid/>
                <w:color w:val="000000"/>
                <w:sz w:val="20"/>
                <w:szCs w:val="20"/>
                <w:lang w:val="en-US"/>
              </w:rPr>
              <w:t>$</w:t>
            </w:r>
            <w:r w:rsidR="006025B2">
              <w:rPr>
                <w:rFonts w:ascii="Arial Narrow" w:hAnsi="Arial Narrow" w:cs="Calibri"/>
                <w:noProof/>
                <w:snapToGrid/>
                <w:color w:val="000000"/>
                <w:sz w:val="20"/>
                <w:szCs w:val="20"/>
                <w:highlight w:val="black"/>
                <w:lang w:val="en-US"/>
              </w:rPr>
              <w:t>''''''''''''''''''''''''</w:t>
            </w:r>
          </w:p>
        </w:tc>
        <w:tc>
          <w:tcPr>
            <w:tcW w:w="634" w:type="pct"/>
            <w:shd w:val="clear" w:color="auto" w:fill="auto"/>
            <w:vAlign w:val="center"/>
          </w:tcPr>
          <w:p w:rsidR="00B91458" w:rsidRPr="0008526E" w:rsidRDefault="00B91458" w:rsidP="00473D3A">
            <w:pPr>
              <w:widowControl/>
              <w:jc w:val="right"/>
              <w:rPr>
                <w:lang w:val="en-US"/>
              </w:rPr>
            </w:pPr>
            <w:r w:rsidRPr="0008526E">
              <w:rPr>
                <w:rFonts w:ascii="Arial Narrow" w:hAnsi="Arial Narrow" w:cs="Calibri"/>
                <w:snapToGrid/>
                <w:color w:val="000000"/>
                <w:sz w:val="20"/>
                <w:szCs w:val="20"/>
                <w:lang w:val="en-US"/>
              </w:rPr>
              <w:t>$</w:t>
            </w:r>
            <w:r w:rsidR="006025B2">
              <w:rPr>
                <w:rFonts w:ascii="Arial Narrow" w:hAnsi="Arial Narrow" w:cs="Calibri"/>
                <w:noProof/>
                <w:snapToGrid/>
                <w:color w:val="000000"/>
                <w:sz w:val="20"/>
                <w:szCs w:val="20"/>
                <w:highlight w:val="black"/>
                <w:lang w:val="en-US"/>
              </w:rPr>
              <w:t>'''''''''''''''''''''''</w:t>
            </w:r>
          </w:p>
        </w:tc>
        <w:tc>
          <w:tcPr>
            <w:tcW w:w="792" w:type="pct"/>
            <w:shd w:val="clear" w:color="auto" w:fill="auto"/>
            <w:vAlign w:val="center"/>
          </w:tcPr>
          <w:p w:rsidR="00B91458" w:rsidRPr="0008526E" w:rsidRDefault="00B91458" w:rsidP="00473D3A">
            <w:pPr>
              <w:widowControl/>
              <w:jc w:val="right"/>
              <w:rPr>
                <w:lang w:val="en-US"/>
              </w:rPr>
            </w:pPr>
            <w:r w:rsidRPr="0008526E">
              <w:rPr>
                <w:rFonts w:ascii="Arial Narrow" w:hAnsi="Arial Narrow" w:cs="Calibri"/>
                <w:snapToGrid/>
                <w:color w:val="000000"/>
                <w:sz w:val="20"/>
                <w:szCs w:val="20"/>
                <w:lang w:val="en-US"/>
              </w:rPr>
              <w:t>$</w:t>
            </w:r>
            <w:r w:rsidR="006025B2">
              <w:rPr>
                <w:rFonts w:ascii="Arial Narrow" w:hAnsi="Arial Narrow" w:cs="Calibri"/>
                <w:noProof/>
                <w:snapToGrid/>
                <w:color w:val="000000"/>
                <w:sz w:val="20"/>
                <w:szCs w:val="20"/>
                <w:highlight w:val="black"/>
                <w:lang w:val="en-US"/>
              </w:rPr>
              <w:t>''''''''''''''''''''''''''</w:t>
            </w:r>
          </w:p>
        </w:tc>
        <w:tc>
          <w:tcPr>
            <w:tcW w:w="803" w:type="pct"/>
            <w:vAlign w:val="center"/>
          </w:tcPr>
          <w:p w:rsidR="00B91458" w:rsidRPr="0008526E" w:rsidRDefault="00B91458" w:rsidP="00473D3A">
            <w:pPr>
              <w:widowControl/>
              <w:jc w:val="right"/>
              <w:rPr>
                <w:lang w:val="en-US"/>
              </w:rPr>
            </w:pPr>
            <w:r w:rsidRPr="0008526E">
              <w:rPr>
                <w:rFonts w:ascii="Arial Narrow" w:hAnsi="Arial Narrow" w:cs="Calibri"/>
                <w:snapToGrid/>
                <w:color w:val="000000"/>
                <w:sz w:val="20"/>
                <w:szCs w:val="20"/>
                <w:lang w:val="en-US"/>
              </w:rPr>
              <w:t>$</w:t>
            </w:r>
            <w:r w:rsidR="006025B2">
              <w:rPr>
                <w:rFonts w:ascii="Arial Narrow" w:hAnsi="Arial Narrow" w:cs="Calibri"/>
                <w:noProof/>
                <w:snapToGrid/>
                <w:color w:val="000000"/>
                <w:sz w:val="20"/>
                <w:szCs w:val="20"/>
                <w:highlight w:val="black"/>
                <w:lang w:val="en-US"/>
              </w:rPr>
              <w:t>'''''''''''''''''''''</w:t>
            </w:r>
          </w:p>
        </w:tc>
      </w:tr>
    </w:tbl>
    <w:p w:rsidR="00912D22" w:rsidRPr="0008526E" w:rsidRDefault="00194BE5" w:rsidP="005C38A1">
      <w:pPr>
        <w:pStyle w:val="TableFooter"/>
      </w:pPr>
      <w:r w:rsidRPr="0008526E">
        <w:t xml:space="preserve">Note: </w:t>
      </w:r>
      <w:r w:rsidR="001C1255" w:rsidRPr="0008526E">
        <w:rPr>
          <w:vertAlign w:val="superscript"/>
        </w:rPr>
        <w:t>a</w:t>
      </w:r>
      <w:r w:rsidR="00912D22" w:rsidRPr="0008526E">
        <w:t xml:space="preserve">Assuming 5.41 </w:t>
      </w:r>
      <w:r w:rsidR="009A0A5B" w:rsidRPr="0008526E">
        <w:t xml:space="preserve">packs </w:t>
      </w:r>
      <w:r w:rsidR="00912D22" w:rsidRPr="0008526E">
        <w:t>per year as estimated by the submission.</w:t>
      </w:r>
    </w:p>
    <w:p w:rsidR="00912D22" w:rsidRPr="0008526E" w:rsidRDefault="00194BE5" w:rsidP="005C38A1">
      <w:pPr>
        <w:pStyle w:val="TableFooter"/>
      </w:pPr>
      <w:r w:rsidRPr="0008526E">
        <w:t xml:space="preserve">Abbreviation: </w:t>
      </w:r>
      <w:r w:rsidR="00912D22" w:rsidRPr="0008526E">
        <w:t>SPA= special price agreement.</w:t>
      </w:r>
    </w:p>
    <w:p w:rsidR="00912D22" w:rsidRPr="0008526E" w:rsidRDefault="00912D22" w:rsidP="00C31925">
      <w:pPr>
        <w:pStyle w:val="TableFooter"/>
        <w:spacing w:after="120"/>
      </w:pPr>
      <w:r w:rsidRPr="0008526E">
        <w:t>Source: Table 4-15, p. 202 of the submission.</w:t>
      </w:r>
    </w:p>
    <w:p w:rsidR="00912D22" w:rsidRPr="0008526E" w:rsidRDefault="00F45B26" w:rsidP="00C31925">
      <w:pPr>
        <w:widowControl/>
        <w:spacing w:after="120"/>
      </w:pPr>
      <w:r>
        <w:t xml:space="preserve">The redacted table shows that at Year 6, the estimated number of </w:t>
      </w:r>
      <w:r w:rsidR="008867FA">
        <w:t>patients was</w:t>
      </w:r>
      <w:r>
        <w:t xml:space="preserve"> less than </w:t>
      </w:r>
      <w:r w:rsidR="008867FA">
        <w:t>1</w:t>
      </w:r>
      <w:r w:rsidR="00605C2C">
        <w:t>0</w:t>
      </w:r>
      <w:r w:rsidR="008867FA">
        <w:t>,000.</w:t>
      </w:r>
    </w:p>
    <w:p w:rsidR="00194BE5" w:rsidRPr="0008526E" w:rsidRDefault="00B21856" w:rsidP="00194BE5">
      <w:pPr>
        <w:pStyle w:val="ListParagraph"/>
        <w:widowControl/>
        <w:numPr>
          <w:ilvl w:val="1"/>
          <w:numId w:val="3"/>
        </w:numPr>
      </w:pPr>
      <w:bookmarkStart w:id="19" w:name="_Hlk501104547"/>
      <w:r w:rsidRPr="0008526E">
        <w:t>A</w:t>
      </w:r>
      <w:r w:rsidR="00912D22" w:rsidRPr="0008526E">
        <w:t xml:space="preserve"> 100% PBS </w:t>
      </w:r>
      <w:r w:rsidR="00194BE5" w:rsidRPr="0008526E">
        <w:t xml:space="preserve">sample of </w:t>
      </w:r>
      <w:r w:rsidR="00912D22" w:rsidRPr="0008526E">
        <w:t>patients receiving sorafenib</w:t>
      </w:r>
      <w:r w:rsidRPr="0008526E">
        <w:t xml:space="preserve"> was available for analysis during the evaluation</w:t>
      </w:r>
      <w:r w:rsidR="00912D22" w:rsidRPr="0008526E">
        <w:t xml:space="preserve">. The estimated number of patients </w:t>
      </w:r>
      <w:r w:rsidR="00194BE5" w:rsidRPr="0008526E">
        <w:t xml:space="preserve">was </w:t>
      </w:r>
      <w:r w:rsidR="00912D22" w:rsidRPr="0008526E">
        <w:t xml:space="preserve">similar in the early years (2010-2013) </w:t>
      </w:r>
      <w:r w:rsidR="00194BE5" w:rsidRPr="0008526E">
        <w:t>to those presented in the submission (based on 10% PBS sample)</w:t>
      </w:r>
      <w:r w:rsidR="00912D22" w:rsidRPr="0008526E">
        <w:t xml:space="preserve">. A difference was observed in later years where </w:t>
      </w:r>
      <w:r w:rsidR="00194BE5" w:rsidRPr="0008526E">
        <w:t>use reported for</w:t>
      </w:r>
      <w:r w:rsidR="00912D22" w:rsidRPr="0008526E">
        <w:t xml:space="preserve"> sorafenib </w:t>
      </w:r>
      <w:r w:rsidR="00194BE5" w:rsidRPr="0008526E">
        <w:t xml:space="preserve">in the 100% PBS sample </w:t>
      </w:r>
      <w:r w:rsidR="00912D22" w:rsidRPr="0008526E">
        <w:t xml:space="preserve">from 2015 to 2016 </w:t>
      </w:r>
      <w:r w:rsidR="00194BE5" w:rsidRPr="0008526E">
        <w:t>was lower than that from the 10% sample</w:t>
      </w:r>
      <w:r w:rsidR="00912D22" w:rsidRPr="0008526E">
        <w:t>.</w:t>
      </w:r>
    </w:p>
    <w:p w:rsidR="00912D22" w:rsidRPr="003606EB" w:rsidRDefault="00194BE5" w:rsidP="00194BE5">
      <w:pPr>
        <w:pStyle w:val="ListParagraph"/>
        <w:widowControl/>
        <w:numPr>
          <w:ilvl w:val="1"/>
          <w:numId w:val="3"/>
        </w:numPr>
      </w:pPr>
      <w:r w:rsidRPr="0008526E">
        <w:t xml:space="preserve">This difference in estimates resulted in a difference in forecasts, and potentially an </w:t>
      </w:r>
      <w:r w:rsidR="00912D22" w:rsidRPr="0008526E">
        <w:t>overestimate in the eligible patient pool for regorafenib.</w:t>
      </w:r>
      <w:r w:rsidRPr="0008526E">
        <w:t xml:space="preserve"> The impact of applying the data from the 100% PBS sample was a reduction in the estimated eligible patient pool, and a corresponding </w:t>
      </w:r>
      <w:bookmarkEnd w:id="19"/>
      <w:r w:rsidR="00912D22" w:rsidRPr="0008526E">
        <w:t xml:space="preserve">reduction of 45% </w:t>
      </w:r>
      <w:r w:rsidRPr="0008526E">
        <w:t>($</w:t>
      </w:r>
      <w:r w:rsidR="006025B2">
        <w:rPr>
          <w:noProof/>
          <w:color w:val="000000"/>
          <w:highlight w:val="black"/>
        </w:rPr>
        <w:t>'''''''''''''''''''''</w:t>
      </w:r>
      <w:r w:rsidRPr="0008526E">
        <w:t xml:space="preserve">) in the cost to government over six years </w:t>
      </w:r>
      <w:r w:rsidR="00912D22" w:rsidRPr="0008526E">
        <w:t>compared to the base case results</w:t>
      </w:r>
      <w:r w:rsidRPr="0008526E">
        <w:t xml:space="preserve"> presented in the submission</w:t>
      </w:r>
      <w:r w:rsidR="00912D22" w:rsidRPr="0008526E">
        <w:t xml:space="preserve">. </w:t>
      </w:r>
      <w:r w:rsidR="006D11F3" w:rsidRPr="0008526E">
        <w:t xml:space="preserve">Similar variations in the </w:t>
      </w:r>
      <w:r w:rsidRPr="0008526E">
        <w:t xml:space="preserve">financial implications were </w:t>
      </w:r>
      <w:r w:rsidR="006D11F3" w:rsidRPr="0008526E">
        <w:t>produced by varying the assumed up take rate (from 100% in the base case to 50%), and the proportion of eligible patients (from 70% in the base case to 50%).</w:t>
      </w:r>
      <w:r w:rsidR="00E42222">
        <w:t xml:space="preserve"> </w:t>
      </w:r>
      <w:r w:rsidR="0031786A">
        <w:t xml:space="preserve">The PBAC considered that the uptake rates in the financial estimates are likely to be overestimated. </w:t>
      </w:r>
      <w:r w:rsidR="00866FA2" w:rsidRPr="003606EB">
        <w:t xml:space="preserve">The </w:t>
      </w:r>
      <w:r w:rsidR="00E42222" w:rsidRPr="003606EB">
        <w:t xml:space="preserve">ESC noted that sensitivity analyses provided </w:t>
      </w:r>
      <w:r w:rsidR="00011062">
        <w:t xml:space="preserve">in </w:t>
      </w:r>
      <w:r w:rsidR="00E42222" w:rsidRPr="003606EB">
        <w:t>the commentary and the PSCR demonstrated that the net cost to government is unlikely to exceed $10 million in any of the first 6 years of listing.</w:t>
      </w:r>
      <w:r w:rsidR="0031786A">
        <w:t xml:space="preserve"> The PBAC agreed with ESC that the overall budget impact of listing re</w:t>
      </w:r>
      <w:r w:rsidR="00672DDF">
        <w:t>g</w:t>
      </w:r>
      <w:r w:rsidR="0031786A">
        <w:t>orafenib is likely to be relatively low.</w:t>
      </w:r>
    </w:p>
    <w:p w:rsidR="00630DE8" w:rsidRPr="003606EB" w:rsidRDefault="00630DE8" w:rsidP="00194BE5">
      <w:pPr>
        <w:pStyle w:val="ListParagraph"/>
        <w:widowControl/>
        <w:numPr>
          <w:ilvl w:val="1"/>
          <w:numId w:val="3"/>
        </w:numPr>
      </w:pPr>
      <w:r w:rsidRPr="0008526E">
        <w:t>The</w:t>
      </w:r>
      <w:r w:rsidR="0091400A" w:rsidRPr="0008526E">
        <w:t xml:space="preserve"> proposed restriction is for use in patients with ECOG </w:t>
      </w:r>
      <w:r w:rsidR="00011062">
        <w:t>≤1</w:t>
      </w:r>
      <w:r w:rsidR="0091400A" w:rsidRPr="0008526E">
        <w:t xml:space="preserve"> (in accordance with the RESORCE trial). However, the estimates presented in the submission allow for a proportion of patients w</w:t>
      </w:r>
      <w:r w:rsidR="003F3349">
        <w:t>ith worse</w:t>
      </w:r>
      <w:r w:rsidR="0091400A" w:rsidRPr="0008526E">
        <w:t xml:space="preserve"> performance status to access treatment with regorafenib. </w:t>
      </w:r>
      <w:r w:rsidR="0091400A" w:rsidRPr="003606EB">
        <w:t>The</w:t>
      </w:r>
      <w:r w:rsidR="00866FA2" w:rsidRPr="003606EB">
        <w:t xml:space="preserve"> ESC considered that</w:t>
      </w:r>
      <w:r w:rsidR="0091400A" w:rsidRPr="0008526E">
        <w:t xml:space="preserve"> </w:t>
      </w:r>
      <w:r w:rsidR="000D04F0">
        <w:t xml:space="preserve">the </w:t>
      </w:r>
      <w:r w:rsidR="0091400A" w:rsidRPr="0008526E">
        <w:t xml:space="preserve">cost-effectiveness of regorafenib in patients with ECOG &gt; 1 may be lower than assessed in the submission as these patients were not included in </w:t>
      </w:r>
      <w:r w:rsidR="0091400A" w:rsidRPr="003606EB">
        <w:t>RESORCE</w:t>
      </w:r>
      <w:r w:rsidR="00483E92" w:rsidRPr="003606EB">
        <w:t xml:space="preserve"> and </w:t>
      </w:r>
      <w:r w:rsidR="00866FA2" w:rsidRPr="003606EB">
        <w:t>were potentially</w:t>
      </w:r>
      <w:r w:rsidR="00483E92" w:rsidRPr="003606EB">
        <w:t xml:space="preserve"> more susceptible to </w:t>
      </w:r>
      <w:r w:rsidR="00FE0211" w:rsidRPr="003606EB">
        <w:t>adverse events</w:t>
      </w:r>
      <w:r w:rsidR="0091400A" w:rsidRPr="003606EB">
        <w:t xml:space="preserve">. </w:t>
      </w:r>
    </w:p>
    <w:p w:rsidR="00657944" w:rsidRDefault="0091400A" w:rsidP="00194BE5">
      <w:pPr>
        <w:pStyle w:val="ListParagraph"/>
        <w:widowControl/>
        <w:numPr>
          <w:ilvl w:val="1"/>
          <w:numId w:val="3"/>
        </w:numPr>
      </w:pPr>
      <w:r w:rsidRPr="0008526E">
        <w:t>Similarly, the submission assumed that drug use on the PBS would mirror that in RESORCE</w:t>
      </w:r>
      <w:r w:rsidR="00473D3A">
        <w:t xml:space="preserve">, where patients </w:t>
      </w:r>
      <w:r w:rsidR="00163A7B">
        <w:t>could be</w:t>
      </w:r>
      <w:r w:rsidR="00473D3A">
        <w:t xml:space="preserve"> treated beyond progression </w:t>
      </w:r>
      <w:r w:rsidR="00163A7B">
        <w:t>if</w:t>
      </w:r>
      <w:r w:rsidR="00473D3A">
        <w:t xml:space="preserve"> there was clinical benefit</w:t>
      </w:r>
      <w:r w:rsidRPr="0008526E">
        <w:t xml:space="preserve">. </w:t>
      </w:r>
      <w:r w:rsidR="00473D3A">
        <w:t>This may overestimate the</w:t>
      </w:r>
      <w:r w:rsidR="00473D3A" w:rsidRPr="0008526E">
        <w:t xml:space="preserve"> use </w:t>
      </w:r>
      <w:r w:rsidR="00473D3A">
        <w:t>of regorafenib on the PBS</w:t>
      </w:r>
      <w:r w:rsidR="00964975">
        <w:t>,</w:t>
      </w:r>
      <w:r w:rsidR="00473D3A">
        <w:t xml:space="preserve"> </w:t>
      </w:r>
      <w:r w:rsidR="00473D3A" w:rsidRPr="0008526E">
        <w:t>given the proposed restriction to limit use on the PBS to those who are free from disease progression.</w:t>
      </w:r>
      <w:r w:rsidR="00473D3A">
        <w:t xml:space="preserve"> </w:t>
      </w:r>
    </w:p>
    <w:p w:rsidR="0031786A" w:rsidRPr="0008526E" w:rsidRDefault="0031786A" w:rsidP="00194BE5">
      <w:pPr>
        <w:pStyle w:val="ListParagraph"/>
        <w:widowControl/>
        <w:numPr>
          <w:ilvl w:val="1"/>
          <w:numId w:val="3"/>
        </w:numPr>
      </w:pPr>
      <w:r>
        <w:t xml:space="preserve">The PBAC </w:t>
      </w:r>
      <w:r w:rsidR="0028225A">
        <w:t>noted that treatment related costs for medical visits, pathology, diagnostics and AEs were include</w:t>
      </w:r>
      <w:r w:rsidR="00CF6748">
        <w:t>d</w:t>
      </w:r>
      <w:r w:rsidR="0028225A">
        <w:t xml:space="preserve"> in the economic mo</w:t>
      </w:r>
      <w:r w:rsidR="00CF6748">
        <w:t>del but no costs</w:t>
      </w:r>
      <w:r w:rsidR="0028225A">
        <w:t xml:space="preserve"> to the MBS were included in the financial estimates. The PBAC </w:t>
      </w:r>
      <w:r w:rsidR="00CF6748">
        <w:t>advised</w:t>
      </w:r>
      <w:r w:rsidR="0028225A">
        <w:t xml:space="preserve"> that costs to the MBS should be included in the financial estimates.</w:t>
      </w:r>
      <w:r>
        <w:t xml:space="preserve"> </w:t>
      </w:r>
    </w:p>
    <w:p w:rsidR="00912D22" w:rsidRPr="00BB59B2" w:rsidRDefault="00912D22" w:rsidP="009C362D">
      <w:pPr>
        <w:pStyle w:val="Heading2"/>
      </w:pPr>
      <w:bookmarkStart w:id="20" w:name="_Toc503166752"/>
      <w:r w:rsidRPr="00BB59B2">
        <w:t>Quality Use of Medicines</w:t>
      </w:r>
      <w:r w:rsidR="00A26392" w:rsidRPr="00BB59B2">
        <w:t xml:space="preserve"> (QUM)</w:t>
      </w:r>
      <w:bookmarkEnd w:id="20"/>
    </w:p>
    <w:p w:rsidR="00912D22" w:rsidRDefault="00912D22" w:rsidP="00912D22">
      <w:pPr>
        <w:pStyle w:val="ListParagraph"/>
        <w:widowControl/>
        <w:numPr>
          <w:ilvl w:val="1"/>
          <w:numId w:val="3"/>
        </w:numPr>
        <w:rPr>
          <w:rFonts w:asciiTheme="minorHAnsi" w:hAnsiTheme="minorHAnsi" w:cstheme="minorHAnsi"/>
        </w:rPr>
      </w:pPr>
      <w:r w:rsidRPr="0008526E">
        <w:rPr>
          <w:rFonts w:asciiTheme="minorHAnsi" w:hAnsiTheme="minorHAnsi" w:cstheme="minorHAnsi"/>
          <w:szCs w:val="24"/>
        </w:rPr>
        <w:t>T</w:t>
      </w:r>
      <w:r w:rsidRPr="0008526E">
        <w:rPr>
          <w:rFonts w:asciiTheme="minorHAnsi" w:hAnsiTheme="minorHAnsi" w:cstheme="minorHAnsi"/>
        </w:rPr>
        <w:t xml:space="preserve">he most common and/or important adverse events in the RESORCE trial were hypertension, hand–foot skin reaction (HFSR), fatigue, and diarrhoea. Although common, most were manageable by dose modification. </w:t>
      </w:r>
      <w:r w:rsidR="00B21856" w:rsidRPr="0008526E">
        <w:rPr>
          <w:rFonts w:asciiTheme="minorHAnsi" w:hAnsiTheme="minorHAnsi" w:cstheme="minorHAnsi"/>
        </w:rPr>
        <w:t>D</w:t>
      </w:r>
      <w:r w:rsidRPr="0008526E">
        <w:rPr>
          <w:rFonts w:asciiTheme="minorHAnsi" w:hAnsiTheme="minorHAnsi" w:cstheme="minorHAnsi"/>
        </w:rPr>
        <w:t>etailed advice</w:t>
      </w:r>
      <w:r w:rsidR="00B21856" w:rsidRPr="0008526E">
        <w:rPr>
          <w:rFonts w:asciiTheme="minorHAnsi" w:hAnsiTheme="minorHAnsi" w:cstheme="minorHAnsi"/>
        </w:rPr>
        <w:t>, warnings</w:t>
      </w:r>
      <w:r w:rsidRPr="0008526E">
        <w:rPr>
          <w:rFonts w:asciiTheme="minorHAnsi" w:hAnsiTheme="minorHAnsi" w:cstheme="minorHAnsi"/>
        </w:rPr>
        <w:t xml:space="preserve"> </w:t>
      </w:r>
      <w:r w:rsidR="00B21856" w:rsidRPr="0008526E">
        <w:rPr>
          <w:rFonts w:asciiTheme="minorHAnsi" w:hAnsiTheme="minorHAnsi" w:cstheme="minorHAnsi"/>
        </w:rPr>
        <w:t>and recommendations are provided in the draft Product Information</w:t>
      </w:r>
      <w:r w:rsidRPr="0008526E">
        <w:rPr>
          <w:rFonts w:asciiTheme="minorHAnsi" w:hAnsiTheme="minorHAnsi" w:cstheme="minorHAnsi"/>
        </w:rPr>
        <w:t xml:space="preserve">. </w:t>
      </w:r>
      <w:r w:rsidR="00A26392" w:rsidRPr="0008526E">
        <w:rPr>
          <w:rFonts w:asciiTheme="minorHAnsi" w:hAnsiTheme="minorHAnsi" w:cstheme="minorHAnsi"/>
        </w:rPr>
        <w:t>The submission presented a QUM plan focused on the management of HFSR directed to patients and training sessions for nurses and physicians.</w:t>
      </w:r>
    </w:p>
    <w:p w:rsidR="00DB3C6D" w:rsidRPr="003606EB" w:rsidRDefault="00E75E53" w:rsidP="00500AA2">
      <w:pPr>
        <w:pStyle w:val="ListParagraph"/>
        <w:widowControl/>
        <w:numPr>
          <w:ilvl w:val="1"/>
          <w:numId w:val="3"/>
        </w:numPr>
        <w:rPr>
          <w:rFonts w:asciiTheme="minorHAnsi" w:hAnsiTheme="minorHAnsi" w:cstheme="minorHAnsi"/>
        </w:rPr>
      </w:pPr>
      <w:r w:rsidRPr="003606EB">
        <w:rPr>
          <w:rFonts w:asciiTheme="minorHAnsi" w:hAnsiTheme="minorHAnsi" w:cstheme="minorHAnsi"/>
        </w:rPr>
        <w:t xml:space="preserve">The </w:t>
      </w:r>
      <w:r w:rsidR="00D84A99" w:rsidRPr="003606EB">
        <w:rPr>
          <w:rFonts w:asciiTheme="minorHAnsi" w:hAnsiTheme="minorHAnsi" w:cstheme="minorHAnsi"/>
        </w:rPr>
        <w:t>ESC noted that d</w:t>
      </w:r>
      <w:r w:rsidR="00E67406" w:rsidRPr="003606EB">
        <w:rPr>
          <w:rFonts w:asciiTheme="minorHAnsi" w:hAnsiTheme="minorHAnsi" w:cstheme="minorHAnsi"/>
        </w:rPr>
        <w:t xml:space="preserve">rug interactions occur with </w:t>
      </w:r>
      <w:r w:rsidR="003F3349" w:rsidRPr="003606EB">
        <w:rPr>
          <w:rFonts w:asciiTheme="minorHAnsi" w:hAnsiTheme="minorHAnsi" w:cstheme="minorHAnsi"/>
        </w:rPr>
        <w:t xml:space="preserve">regorafenib and </w:t>
      </w:r>
      <w:r w:rsidR="00E67406" w:rsidRPr="003606EB">
        <w:rPr>
          <w:rFonts w:asciiTheme="minorHAnsi" w:hAnsiTheme="minorHAnsi" w:cstheme="minorHAnsi"/>
        </w:rPr>
        <w:t>commonly used drugs</w:t>
      </w:r>
      <w:r w:rsidR="00500AA2" w:rsidRPr="003606EB">
        <w:rPr>
          <w:rFonts w:asciiTheme="minorHAnsi" w:hAnsiTheme="minorHAnsi" w:cstheme="minorHAnsi"/>
        </w:rPr>
        <w:t>. For example,</w:t>
      </w:r>
      <w:r w:rsidR="00E67406" w:rsidRPr="003606EB">
        <w:rPr>
          <w:rFonts w:asciiTheme="minorHAnsi" w:hAnsiTheme="minorHAnsi" w:cstheme="minorHAnsi"/>
        </w:rPr>
        <w:t xml:space="preserve"> </w:t>
      </w:r>
      <w:r w:rsidR="00500AA2" w:rsidRPr="003606EB">
        <w:rPr>
          <w:rFonts w:asciiTheme="minorHAnsi" w:hAnsiTheme="minorHAnsi" w:cstheme="minorHAnsi"/>
        </w:rPr>
        <w:t xml:space="preserve">co-administration of regorafenib may increase the plasma concentrations of other concomitant BCRP substrates (e.g. methotrexate, fluvastatin, atorvastatin). </w:t>
      </w:r>
      <w:r w:rsidRPr="003606EB">
        <w:rPr>
          <w:rFonts w:asciiTheme="minorHAnsi" w:hAnsiTheme="minorHAnsi" w:cstheme="minorHAnsi"/>
        </w:rPr>
        <w:t>The ESC therefore advised that</w:t>
      </w:r>
      <w:r w:rsidR="00E67406" w:rsidRPr="003606EB">
        <w:rPr>
          <w:rFonts w:asciiTheme="minorHAnsi" w:hAnsiTheme="minorHAnsi" w:cstheme="minorHAnsi"/>
        </w:rPr>
        <w:t xml:space="preserve"> </w:t>
      </w:r>
      <w:r w:rsidRPr="003606EB">
        <w:rPr>
          <w:rFonts w:asciiTheme="minorHAnsi" w:hAnsiTheme="minorHAnsi" w:cstheme="minorHAnsi"/>
        </w:rPr>
        <w:t xml:space="preserve">should </w:t>
      </w:r>
      <w:r w:rsidR="00B947B8">
        <w:rPr>
          <w:rFonts w:asciiTheme="minorHAnsi" w:hAnsiTheme="minorHAnsi" w:cstheme="minorHAnsi"/>
        </w:rPr>
        <w:t>re</w:t>
      </w:r>
      <w:r w:rsidR="00964975">
        <w:rPr>
          <w:rFonts w:asciiTheme="minorHAnsi" w:hAnsiTheme="minorHAnsi" w:cstheme="minorHAnsi"/>
        </w:rPr>
        <w:t>g</w:t>
      </w:r>
      <w:r w:rsidR="00B947B8">
        <w:rPr>
          <w:rFonts w:asciiTheme="minorHAnsi" w:hAnsiTheme="minorHAnsi" w:cstheme="minorHAnsi"/>
        </w:rPr>
        <w:t>orafenib</w:t>
      </w:r>
      <w:r w:rsidRPr="003606EB">
        <w:rPr>
          <w:rFonts w:asciiTheme="minorHAnsi" w:hAnsiTheme="minorHAnsi" w:cstheme="minorHAnsi"/>
        </w:rPr>
        <w:t xml:space="preserve"> be recommended for listing, these QUM issues </w:t>
      </w:r>
      <w:r w:rsidR="00E67406" w:rsidRPr="003606EB">
        <w:rPr>
          <w:rFonts w:asciiTheme="minorHAnsi" w:hAnsiTheme="minorHAnsi" w:cstheme="minorHAnsi"/>
        </w:rPr>
        <w:t>will require education and monitoring in clinical practice.</w:t>
      </w:r>
    </w:p>
    <w:p w:rsidR="00912D22" w:rsidRPr="00BB59B2" w:rsidRDefault="00912D22" w:rsidP="00C31925">
      <w:pPr>
        <w:pStyle w:val="Heading2"/>
        <w:keepNext/>
      </w:pPr>
      <w:bookmarkStart w:id="21" w:name="_Toc503166753"/>
      <w:r w:rsidRPr="00BB59B2">
        <w:t>Financial Management – Risk Sharing Arrangements</w:t>
      </w:r>
      <w:bookmarkEnd w:id="21"/>
    </w:p>
    <w:p w:rsidR="00912D22" w:rsidRPr="00635D84" w:rsidRDefault="00912D22" w:rsidP="00B57E54">
      <w:pPr>
        <w:pStyle w:val="ListParagraph"/>
        <w:widowControl/>
        <w:numPr>
          <w:ilvl w:val="1"/>
          <w:numId w:val="3"/>
        </w:numPr>
      </w:pPr>
      <w:r w:rsidRPr="0008526E">
        <w:rPr>
          <w:rFonts w:asciiTheme="minorHAnsi" w:hAnsiTheme="minorHAnsi"/>
          <w:szCs w:val="24"/>
        </w:rPr>
        <w:t xml:space="preserve">No risk-sharing arrangements were proposed for the listing of regorafenib for use in unresectable HCC. </w:t>
      </w:r>
      <w:bookmarkEnd w:id="0"/>
      <w:bookmarkEnd w:id="1"/>
      <w:bookmarkEnd w:id="2"/>
      <w:bookmarkEnd w:id="3"/>
      <w:bookmarkEnd w:id="4"/>
    </w:p>
    <w:p w:rsidR="00635D84" w:rsidRPr="00635D84" w:rsidRDefault="00635D84" w:rsidP="00635D84">
      <w:pPr>
        <w:rPr>
          <w:i/>
        </w:rPr>
      </w:pPr>
      <w:r w:rsidRPr="00635D84">
        <w:rPr>
          <w:i/>
        </w:rPr>
        <w:t>For more detail on PBAC’s view, see section 7 PBAC outcome.</w:t>
      </w:r>
    </w:p>
    <w:p w:rsidR="008A4C13" w:rsidRPr="007A3F6B" w:rsidRDefault="008A4C13" w:rsidP="009C362D">
      <w:pPr>
        <w:pStyle w:val="PBACHeading1"/>
      </w:pPr>
      <w:r w:rsidRPr="007A3F6B">
        <w:t>PBAC Outcome</w:t>
      </w:r>
    </w:p>
    <w:p w:rsidR="00C66FC2" w:rsidRDefault="00C66FC2" w:rsidP="003B04A2">
      <w:pPr>
        <w:numPr>
          <w:ilvl w:val="1"/>
          <w:numId w:val="3"/>
        </w:numPr>
        <w:spacing w:after="120"/>
        <w:rPr>
          <w:rFonts w:asciiTheme="minorHAnsi" w:hAnsiTheme="minorHAnsi"/>
          <w:bCs/>
          <w:lang w:val="en-GB"/>
        </w:rPr>
      </w:pPr>
      <w:r w:rsidRPr="00C66FC2">
        <w:rPr>
          <w:rFonts w:asciiTheme="minorHAnsi" w:hAnsiTheme="minorHAnsi"/>
          <w:bCs/>
          <w:lang w:val="en-GB"/>
        </w:rPr>
        <w:t xml:space="preserve">The PBAC did not recommend regorafenib for patients with unresectable hepatocellular carcinoma who progressed following treatment with sorafenib on the basis of a high and uncertain incremental cost-effectiveness ratio. The PBAC considered that the toxicity associated with regorafenib was </w:t>
      </w:r>
      <w:r w:rsidR="00964975">
        <w:rPr>
          <w:rFonts w:asciiTheme="minorHAnsi" w:hAnsiTheme="minorHAnsi"/>
          <w:bCs/>
          <w:lang w:val="en-GB"/>
        </w:rPr>
        <w:t>substantial</w:t>
      </w:r>
      <w:r w:rsidRPr="00C66FC2">
        <w:rPr>
          <w:rFonts w:asciiTheme="minorHAnsi" w:hAnsiTheme="minorHAnsi"/>
          <w:bCs/>
          <w:lang w:val="en-GB"/>
        </w:rPr>
        <w:t xml:space="preserve">, with </w:t>
      </w:r>
      <w:r w:rsidR="00E3056A">
        <w:rPr>
          <w:rFonts w:asciiTheme="minorHAnsi" w:hAnsiTheme="minorHAnsi"/>
          <w:bCs/>
          <w:lang w:val="en-GB"/>
        </w:rPr>
        <w:t>a range of</w:t>
      </w:r>
      <w:r w:rsidRPr="00C66FC2">
        <w:rPr>
          <w:rFonts w:asciiTheme="minorHAnsi" w:hAnsiTheme="minorHAnsi"/>
          <w:bCs/>
          <w:lang w:val="en-GB"/>
        </w:rPr>
        <w:t xml:space="preserve"> adverse events associated with regorafenib, which may be </w:t>
      </w:r>
      <w:r w:rsidR="00C5122F">
        <w:rPr>
          <w:rFonts w:asciiTheme="minorHAnsi" w:hAnsiTheme="minorHAnsi"/>
          <w:bCs/>
          <w:lang w:val="en-GB"/>
        </w:rPr>
        <w:t>more frequent and severe</w:t>
      </w:r>
      <w:r w:rsidR="00C5122F" w:rsidRPr="00C66FC2">
        <w:rPr>
          <w:rFonts w:asciiTheme="minorHAnsi" w:hAnsiTheme="minorHAnsi"/>
          <w:bCs/>
          <w:lang w:val="en-GB"/>
        </w:rPr>
        <w:t xml:space="preserve"> </w:t>
      </w:r>
      <w:r w:rsidRPr="00C66FC2">
        <w:rPr>
          <w:rFonts w:asciiTheme="minorHAnsi" w:hAnsiTheme="minorHAnsi"/>
          <w:bCs/>
          <w:lang w:val="en-GB"/>
        </w:rPr>
        <w:t xml:space="preserve">in the proposed Australian population </w:t>
      </w:r>
      <w:r w:rsidR="00C5122F">
        <w:rPr>
          <w:rFonts w:asciiTheme="minorHAnsi" w:hAnsiTheme="minorHAnsi"/>
          <w:bCs/>
          <w:lang w:val="en-GB"/>
        </w:rPr>
        <w:t>compared with</w:t>
      </w:r>
      <w:r w:rsidRPr="00C66FC2">
        <w:rPr>
          <w:rFonts w:asciiTheme="minorHAnsi" w:hAnsiTheme="minorHAnsi"/>
          <w:bCs/>
          <w:lang w:val="en-GB"/>
        </w:rPr>
        <w:t xml:space="preserve"> the trial population. The PBAC </w:t>
      </w:r>
      <w:r w:rsidR="00C5122F">
        <w:rPr>
          <w:rFonts w:asciiTheme="minorHAnsi" w:hAnsiTheme="minorHAnsi"/>
          <w:bCs/>
          <w:lang w:val="en-GB"/>
        </w:rPr>
        <w:t>considered</w:t>
      </w:r>
      <w:r w:rsidR="00C5122F" w:rsidRPr="00C66FC2">
        <w:rPr>
          <w:rFonts w:asciiTheme="minorHAnsi" w:hAnsiTheme="minorHAnsi"/>
          <w:bCs/>
          <w:lang w:val="en-GB"/>
        </w:rPr>
        <w:t xml:space="preserve"> </w:t>
      </w:r>
      <w:r w:rsidRPr="00C66FC2">
        <w:rPr>
          <w:rFonts w:asciiTheme="minorHAnsi" w:hAnsiTheme="minorHAnsi"/>
          <w:bCs/>
          <w:lang w:val="en-GB"/>
        </w:rPr>
        <w:t xml:space="preserve">that </w:t>
      </w:r>
      <w:r w:rsidR="00C5122F">
        <w:rPr>
          <w:rFonts w:asciiTheme="minorHAnsi" w:hAnsiTheme="minorHAnsi"/>
          <w:bCs/>
          <w:lang w:val="en-GB"/>
        </w:rPr>
        <w:t>the</w:t>
      </w:r>
      <w:r w:rsidRPr="00C66FC2">
        <w:rPr>
          <w:rFonts w:asciiTheme="minorHAnsi" w:hAnsiTheme="minorHAnsi"/>
          <w:bCs/>
          <w:lang w:val="en-GB"/>
        </w:rPr>
        <w:t xml:space="preserve"> improvement in overall survival</w:t>
      </w:r>
      <w:r w:rsidR="00C5122F">
        <w:rPr>
          <w:rFonts w:asciiTheme="minorHAnsi" w:hAnsiTheme="minorHAnsi"/>
          <w:bCs/>
          <w:lang w:val="en-GB"/>
        </w:rPr>
        <w:t xml:space="preserve"> was modest</w:t>
      </w:r>
      <w:r w:rsidR="00ED5ABD">
        <w:rPr>
          <w:rFonts w:asciiTheme="minorHAnsi" w:hAnsiTheme="minorHAnsi"/>
          <w:bCs/>
          <w:lang w:val="en-GB"/>
        </w:rPr>
        <w:t>,</w:t>
      </w:r>
      <w:r w:rsidR="00C5122F">
        <w:rPr>
          <w:rFonts w:asciiTheme="minorHAnsi" w:hAnsiTheme="minorHAnsi"/>
          <w:bCs/>
          <w:lang w:val="en-GB"/>
        </w:rPr>
        <w:t xml:space="preserve"> </w:t>
      </w:r>
      <w:r w:rsidRPr="00C66FC2">
        <w:rPr>
          <w:rFonts w:asciiTheme="minorHAnsi" w:hAnsiTheme="minorHAnsi"/>
          <w:bCs/>
          <w:lang w:val="en-GB"/>
        </w:rPr>
        <w:t xml:space="preserve">that this improvement </w:t>
      </w:r>
      <w:r w:rsidR="00ED5ABD">
        <w:rPr>
          <w:rFonts w:asciiTheme="minorHAnsi" w:hAnsiTheme="minorHAnsi"/>
          <w:bCs/>
          <w:lang w:val="en-GB"/>
        </w:rPr>
        <w:t>may not be realised in clinical practice</w:t>
      </w:r>
      <w:r w:rsidR="00EB020A">
        <w:rPr>
          <w:rFonts w:asciiTheme="minorHAnsi" w:hAnsiTheme="minorHAnsi"/>
          <w:bCs/>
          <w:lang w:val="en-GB"/>
        </w:rPr>
        <w:t>,</w:t>
      </w:r>
      <w:r w:rsidR="00ED5ABD">
        <w:rPr>
          <w:rFonts w:asciiTheme="minorHAnsi" w:hAnsiTheme="minorHAnsi"/>
          <w:bCs/>
          <w:lang w:val="en-GB"/>
        </w:rPr>
        <w:t xml:space="preserve"> and </w:t>
      </w:r>
      <w:r w:rsidR="00073E17">
        <w:rPr>
          <w:rFonts w:asciiTheme="minorHAnsi" w:hAnsiTheme="minorHAnsi"/>
          <w:bCs/>
          <w:lang w:val="en-GB"/>
        </w:rPr>
        <w:t xml:space="preserve">should be considered in the context of </w:t>
      </w:r>
      <w:r w:rsidR="00B731F9">
        <w:rPr>
          <w:rFonts w:asciiTheme="minorHAnsi" w:hAnsiTheme="minorHAnsi"/>
          <w:bCs/>
          <w:lang w:val="en-GB"/>
        </w:rPr>
        <w:t>the substantial toxicity associated with regorafenib treatment</w:t>
      </w:r>
      <w:r w:rsidRPr="00C66FC2">
        <w:rPr>
          <w:rFonts w:asciiTheme="minorHAnsi" w:hAnsiTheme="minorHAnsi"/>
          <w:bCs/>
          <w:lang w:val="en-GB"/>
        </w:rPr>
        <w:t xml:space="preserve">. </w:t>
      </w:r>
    </w:p>
    <w:p w:rsidR="00B731F9" w:rsidRPr="007D4F57" w:rsidRDefault="00B731F9" w:rsidP="00B731F9">
      <w:pPr>
        <w:numPr>
          <w:ilvl w:val="1"/>
          <w:numId w:val="3"/>
        </w:numPr>
        <w:spacing w:after="120"/>
        <w:rPr>
          <w:rFonts w:asciiTheme="minorHAnsi" w:hAnsiTheme="minorHAnsi"/>
          <w:bCs/>
          <w:lang w:val="en-GB"/>
        </w:rPr>
      </w:pPr>
      <w:r w:rsidRPr="007D4F57">
        <w:rPr>
          <w:rFonts w:asciiTheme="minorHAnsi" w:hAnsiTheme="minorHAnsi"/>
          <w:bCs/>
          <w:lang w:val="en-GB"/>
        </w:rPr>
        <w:t>The PBAC considered that there is a clinical need for treatments for patients with HCC</w:t>
      </w:r>
      <w:r w:rsidR="00EB020A">
        <w:rPr>
          <w:rFonts w:asciiTheme="minorHAnsi" w:hAnsiTheme="minorHAnsi"/>
          <w:bCs/>
          <w:lang w:val="en-GB"/>
        </w:rPr>
        <w:t>,</w:t>
      </w:r>
      <w:r w:rsidRPr="007D4F57">
        <w:rPr>
          <w:rFonts w:asciiTheme="minorHAnsi" w:hAnsiTheme="minorHAnsi"/>
          <w:bCs/>
          <w:lang w:val="en-GB"/>
        </w:rPr>
        <w:t xml:space="preserve"> as current outcomes are poor with a median survival of less than 8 months for the BSC arm in the RESORCE trial. </w:t>
      </w:r>
    </w:p>
    <w:p w:rsidR="003B04A2" w:rsidRPr="007D4F57" w:rsidRDefault="00AC200B" w:rsidP="003B04A2">
      <w:pPr>
        <w:numPr>
          <w:ilvl w:val="1"/>
          <w:numId w:val="3"/>
        </w:numPr>
        <w:spacing w:after="120"/>
        <w:rPr>
          <w:rFonts w:asciiTheme="minorHAnsi" w:hAnsiTheme="minorHAnsi"/>
          <w:bCs/>
          <w:lang w:val="en-GB"/>
        </w:rPr>
      </w:pPr>
      <w:r>
        <w:rPr>
          <w:rFonts w:asciiTheme="minorHAnsi" w:hAnsiTheme="minorHAnsi"/>
          <w:bCs/>
          <w:lang w:val="en-GB"/>
        </w:rPr>
        <w:t>The PBAC noted that the RESORCE trial enrolled patients with an ECOG ≤1 while the current PBS listing for sor</w:t>
      </w:r>
      <w:r w:rsidR="00672DDF">
        <w:rPr>
          <w:rFonts w:asciiTheme="minorHAnsi" w:hAnsiTheme="minorHAnsi"/>
          <w:bCs/>
          <w:lang w:val="en-GB"/>
        </w:rPr>
        <w:t>a</w:t>
      </w:r>
      <w:r>
        <w:rPr>
          <w:rFonts w:asciiTheme="minorHAnsi" w:hAnsiTheme="minorHAnsi"/>
          <w:bCs/>
          <w:lang w:val="en-GB"/>
        </w:rPr>
        <w:t>f</w:t>
      </w:r>
      <w:r w:rsidR="00672DDF">
        <w:rPr>
          <w:rFonts w:asciiTheme="minorHAnsi" w:hAnsiTheme="minorHAnsi"/>
          <w:bCs/>
          <w:lang w:val="en-GB"/>
        </w:rPr>
        <w:t>e</w:t>
      </w:r>
      <w:r>
        <w:rPr>
          <w:rFonts w:asciiTheme="minorHAnsi" w:hAnsiTheme="minorHAnsi"/>
          <w:bCs/>
          <w:lang w:val="en-GB"/>
        </w:rPr>
        <w:t xml:space="preserve">nib is for patients with WHO PS ≤2. </w:t>
      </w:r>
      <w:r w:rsidR="00B83222">
        <w:rPr>
          <w:rFonts w:asciiTheme="minorHAnsi" w:hAnsiTheme="minorHAnsi"/>
          <w:bCs/>
          <w:lang w:val="en-GB"/>
        </w:rPr>
        <w:t xml:space="preserve">The PBAC considered that the listing should be for patients with WHO PS ≤1.  </w:t>
      </w:r>
      <w:r w:rsidR="003B04A2" w:rsidRPr="003B04A2">
        <w:rPr>
          <w:rFonts w:asciiTheme="minorHAnsi" w:hAnsiTheme="minorHAnsi"/>
          <w:bCs/>
          <w:lang w:val="en-GB"/>
        </w:rPr>
        <w:t xml:space="preserve">The PBAC agreed with ESC that the most appropriate restriction is ‘Patients must only be treated until disease progression’ as the PBAC considered that </w:t>
      </w:r>
      <w:r w:rsidR="00B731F9">
        <w:rPr>
          <w:rFonts w:asciiTheme="minorHAnsi" w:hAnsiTheme="minorHAnsi"/>
          <w:bCs/>
          <w:lang w:val="en-GB"/>
        </w:rPr>
        <w:t xml:space="preserve">use of </w:t>
      </w:r>
      <w:r w:rsidR="003B04A2" w:rsidRPr="007D4F57">
        <w:rPr>
          <w:rFonts w:asciiTheme="minorHAnsi" w:hAnsiTheme="minorHAnsi"/>
          <w:bCs/>
          <w:lang w:val="en-GB"/>
        </w:rPr>
        <w:t>regorafenib</w:t>
      </w:r>
      <w:r w:rsidR="00B731F9">
        <w:rPr>
          <w:rFonts w:asciiTheme="minorHAnsi" w:hAnsiTheme="minorHAnsi"/>
          <w:bCs/>
          <w:lang w:val="en-GB"/>
        </w:rPr>
        <w:t xml:space="preserve"> </w:t>
      </w:r>
      <w:r w:rsidR="00B731F9" w:rsidRPr="007D4F57">
        <w:rPr>
          <w:rFonts w:asciiTheme="minorHAnsi" w:hAnsiTheme="minorHAnsi"/>
          <w:bCs/>
          <w:lang w:val="en-GB"/>
        </w:rPr>
        <w:t>beyond progression</w:t>
      </w:r>
      <w:r w:rsidR="003B04A2" w:rsidRPr="007D4F57">
        <w:rPr>
          <w:rFonts w:asciiTheme="minorHAnsi" w:hAnsiTheme="minorHAnsi"/>
          <w:bCs/>
          <w:lang w:val="en-GB"/>
        </w:rPr>
        <w:t xml:space="preserve"> is unlikely to be cost effective.</w:t>
      </w:r>
      <w:r w:rsidRPr="007D4F57">
        <w:rPr>
          <w:rFonts w:asciiTheme="minorHAnsi" w:hAnsiTheme="minorHAnsi"/>
          <w:bCs/>
          <w:lang w:val="en-GB"/>
        </w:rPr>
        <w:t xml:space="preserve"> </w:t>
      </w:r>
    </w:p>
    <w:p w:rsidR="008A4C13" w:rsidRPr="00633A9B" w:rsidRDefault="00AC200B" w:rsidP="008A4C13">
      <w:pPr>
        <w:numPr>
          <w:ilvl w:val="1"/>
          <w:numId w:val="3"/>
        </w:numPr>
        <w:spacing w:after="120"/>
        <w:rPr>
          <w:rFonts w:asciiTheme="minorHAnsi" w:hAnsiTheme="minorHAnsi"/>
          <w:bCs/>
          <w:lang w:val="en-GB"/>
        </w:rPr>
      </w:pPr>
      <w:r w:rsidRPr="007D4F57">
        <w:rPr>
          <w:rFonts w:cs="Calibri"/>
          <w:szCs w:val="24"/>
          <w:lang w:val="en-US" w:eastAsia="en-AU"/>
        </w:rPr>
        <w:t>The PBAC agreed</w:t>
      </w:r>
      <w:r w:rsidRPr="00633A9B">
        <w:rPr>
          <w:rFonts w:cs="Calibri"/>
          <w:szCs w:val="24"/>
          <w:lang w:val="en-US" w:eastAsia="en-AU"/>
        </w:rPr>
        <w:t xml:space="preserve"> with ESC that the comparator of best supportive care was appropriate. </w:t>
      </w:r>
    </w:p>
    <w:p w:rsidR="0001214A" w:rsidRPr="00633A9B" w:rsidRDefault="0001214A" w:rsidP="008A4C13">
      <w:pPr>
        <w:numPr>
          <w:ilvl w:val="1"/>
          <w:numId w:val="3"/>
        </w:numPr>
        <w:spacing w:after="120"/>
        <w:rPr>
          <w:rFonts w:asciiTheme="minorHAnsi" w:hAnsiTheme="minorHAnsi"/>
          <w:bCs/>
          <w:lang w:val="en-GB"/>
        </w:rPr>
      </w:pPr>
      <w:r w:rsidRPr="00633A9B">
        <w:rPr>
          <w:rFonts w:cs="Calibri"/>
          <w:szCs w:val="24"/>
          <w:lang w:val="en-US" w:eastAsia="en-AU"/>
        </w:rPr>
        <w:t xml:space="preserve">The PBAC noted that the submission was based on one head-to-head trial comparing regorafenib with BSC, RESORCE trial (n=573). The ESC noted that the PSCR also presented the updated overall survival results (cut-off date Jan 23, 2017) from the RESORCE trial, with longer follow-up. </w:t>
      </w:r>
      <w:r w:rsidRPr="00633A9B">
        <w:t xml:space="preserve">The PBAC noted that the outcomes </w:t>
      </w:r>
      <w:r w:rsidR="00B731F9">
        <w:t>with</w:t>
      </w:r>
      <w:r w:rsidRPr="00633A9B">
        <w:t xml:space="preserve"> the updated data were consistent with </w:t>
      </w:r>
      <w:r w:rsidR="00DF3444">
        <w:t xml:space="preserve">those using </w:t>
      </w:r>
      <w:r w:rsidR="00E41264" w:rsidRPr="00633A9B">
        <w:t>the earlier data cut</w:t>
      </w:r>
      <w:r w:rsidR="00CF6748">
        <w:t>.</w:t>
      </w:r>
    </w:p>
    <w:p w:rsidR="00E41264" w:rsidRPr="00633A9B" w:rsidRDefault="00E41264" w:rsidP="008A4C13">
      <w:pPr>
        <w:numPr>
          <w:ilvl w:val="1"/>
          <w:numId w:val="3"/>
        </w:numPr>
        <w:spacing w:after="120"/>
        <w:rPr>
          <w:rFonts w:asciiTheme="minorHAnsi" w:hAnsiTheme="minorHAnsi"/>
          <w:bCs/>
          <w:lang w:val="en-GB"/>
        </w:rPr>
      </w:pPr>
      <w:r w:rsidRPr="00633A9B">
        <w:t>The PBAC noted that there were differences between the trial population and the likely eligible Australian population</w:t>
      </w:r>
      <w:r w:rsidR="00CD77FE" w:rsidRPr="00633A9B">
        <w:t xml:space="preserve"> due to the strict</w:t>
      </w:r>
      <w:r w:rsidR="00556C26">
        <w:t xml:space="preserve"> inclusion criteria in the RESO</w:t>
      </w:r>
      <w:r w:rsidR="00CD77FE" w:rsidRPr="00633A9B">
        <w:t>RCE trial</w:t>
      </w:r>
      <w:r w:rsidRPr="00633A9B">
        <w:t>.</w:t>
      </w:r>
      <w:r w:rsidR="00594F21" w:rsidRPr="00633A9B">
        <w:t xml:space="preserve"> The PBAC considered that patients recruited into the RESORCE trial are likely to be younger and fitter that the Australian population for the requested listing. The PBAC considered that this </w:t>
      </w:r>
      <w:r w:rsidR="00DF3444">
        <w:t>is likely to</w:t>
      </w:r>
      <w:r w:rsidR="00594F21" w:rsidRPr="00633A9B">
        <w:t xml:space="preserve"> impact o</w:t>
      </w:r>
      <w:r w:rsidR="007C2309">
        <w:t>n</w:t>
      </w:r>
      <w:r w:rsidR="00594F21" w:rsidRPr="00633A9B">
        <w:t xml:space="preserve"> the </w:t>
      </w:r>
      <w:r w:rsidR="007C2309">
        <w:t xml:space="preserve">applicability of the </w:t>
      </w:r>
      <w:r w:rsidR="00594F21" w:rsidRPr="00633A9B">
        <w:t>safety and efficacy</w:t>
      </w:r>
      <w:r w:rsidR="007C2309">
        <w:t xml:space="preserve"> outcomes</w:t>
      </w:r>
      <w:r w:rsidR="00594F21" w:rsidRPr="00633A9B">
        <w:t xml:space="preserve"> </w:t>
      </w:r>
      <w:r w:rsidR="00DF3444">
        <w:t xml:space="preserve">from the trial </w:t>
      </w:r>
      <w:r w:rsidR="007C2309">
        <w:t>to</w:t>
      </w:r>
      <w:r w:rsidR="00594F21" w:rsidRPr="00633A9B">
        <w:t xml:space="preserve"> patients</w:t>
      </w:r>
      <w:r w:rsidR="007C2309">
        <w:t xml:space="preserve"> treated in Australia under the proposed listing.</w:t>
      </w:r>
      <w:r w:rsidR="00594F21" w:rsidRPr="00633A9B">
        <w:t xml:space="preserve"> </w:t>
      </w:r>
      <w:r w:rsidRPr="00633A9B">
        <w:t xml:space="preserve"> </w:t>
      </w:r>
    </w:p>
    <w:p w:rsidR="00093C71" w:rsidRPr="002A5D24" w:rsidRDefault="00743612" w:rsidP="00633A9B">
      <w:pPr>
        <w:numPr>
          <w:ilvl w:val="1"/>
          <w:numId w:val="3"/>
        </w:numPr>
        <w:spacing w:after="120"/>
        <w:rPr>
          <w:rFonts w:asciiTheme="minorHAnsi" w:hAnsiTheme="minorHAnsi"/>
          <w:szCs w:val="20"/>
        </w:rPr>
      </w:pPr>
      <w:r w:rsidRPr="00633A9B">
        <w:rPr>
          <w:rFonts w:asciiTheme="minorHAnsi" w:hAnsiTheme="minorHAnsi"/>
          <w:szCs w:val="20"/>
        </w:rPr>
        <w:t xml:space="preserve">The PBAC noted that the RESORCE trial showed a 2.8 month improvement in median survival, </w:t>
      </w:r>
      <w:r w:rsidR="002A5D24" w:rsidRPr="00633A9B">
        <w:rPr>
          <w:rFonts w:asciiTheme="minorHAnsi" w:hAnsiTheme="minorHAnsi"/>
          <w:szCs w:val="20"/>
        </w:rPr>
        <w:t xml:space="preserve">a </w:t>
      </w:r>
      <w:r w:rsidRPr="00633A9B">
        <w:rPr>
          <w:rFonts w:asciiTheme="minorHAnsi" w:hAnsiTheme="minorHAnsi"/>
          <w:szCs w:val="20"/>
        </w:rPr>
        <w:t>1.6 month improvement in PFS</w:t>
      </w:r>
      <w:r w:rsidR="003801D8">
        <w:rPr>
          <w:rFonts w:asciiTheme="minorHAnsi" w:hAnsiTheme="minorHAnsi"/>
          <w:szCs w:val="20"/>
        </w:rPr>
        <w:t>,</w:t>
      </w:r>
      <w:r w:rsidRPr="00633A9B">
        <w:rPr>
          <w:rFonts w:asciiTheme="minorHAnsi" w:hAnsiTheme="minorHAnsi"/>
          <w:szCs w:val="20"/>
        </w:rPr>
        <w:t xml:space="preserve"> and </w:t>
      </w:r>
      <w:r w:rsidR="002A5D24" w:rsidRPr="00633A9B">
        <w:rPr>
          <w:rFonts w:asciiTheme="minorHAnsi" w:hAnsiTheme="minorHAnsi"/>
          <w:szCs w:val="20"/>
        </w:rPr>
        <w:t xml:space="preserve">a </w:t>
      </w:r>
      <w:r w:rsidRPr="00633A9B">
        <w:rPr>
          <w:rFonts w:asciiTheme="minorHAnsi" w:hAnsiTheme="minorHAnsi"/>
          <w:szCs w:val="20"/>
        </w:rPr>
        <w:t>1.7 month improvement in time to</w:t>
      </w:r>
      <w:r w:rsidRPr="002A5D24">
        <w:rPr>
          <w:rFonts w:asciiTheme="minorHAnsi" w:hAnsiTheme="minorHAnsi"/>
          <w:szCs w:val="20"/>
        </w:rPr>
        <w:t xml:space="preserve"> progression</w:t>
      </w:r>
      <w:r w:rsidR="00CF6748">
        <w:rPr>
          <w:rFonts w:asciiTheme="minorHAnsi" w:hAnsiTheme="minorHAnsi"/>
          <w:szCs w:val="20"/>
        </w:rPr>
        <w:t xml:space="preserve"> for patients treated with regorafenib</w:t>
      </w:r>
      <w:r w:rsidRPr="002A5D24">
        <w:rPr>
          <w:rFonts w:asciiTheme="minorHAnsi" w:hAnsiTheme="minorHAnsi"/>
          <w:szCs w:val="20"/>
        </w:rPr>
        <w:t xml:space="preserve">. </w:t>
      </w:r>
      <w:r w:rsidR="002A5D24">
        <w:rPr>
          <w:rFonts w:asciiTheme="minorHAnsi" w:hAnsiTheme="minorHAnsi"/>
          <w:szCs w:val="20"/>
        </w:rPr>
        <w:t xml:space="preserve">The PBAC noted that the updated data (January 2017, 11 months after the primary analysis) indicated that the improvement in median survival was maintained. </w:t>
      </w:r>
      <w:r w:rsidR="00093C71" w:rsidRPr="002A5D24">
        <w:rPr>
          <w:rFonts w:asciiTheme="minorHAnsi" w:hAnsiTheme="minorHAnsi"/>
          <w:szCs w:val="20"/>
        </w:rPr>
        <w:t>The PBAC considered that the claim of superior comparative effectiveness was reasonable</w:t>
      </w:r>
      <w:r w:rsidR="007D4F57">
        <w:rPr>
          <w:rFonts w:asciiTheme="minorHAnsi" w:hAnsiTheme="minorHAnsi"/>
          <w:szCs w:val="20"/>
        </w:rPr>
        <w:t xml:space="preserve"> and that regorafenib showed modest clinical benefit, though it was associated with substantial toxicity and no improvement in quality of life</w:t>
      </w:r>
      <w:r w:rsidR="00CF6748">
        <w:rPr>
          <w:rFonts w:asciiTheme="minorHAnsi" w:hAnsiTheme="minorHAnsi"/>
          <w:szCs w:val="20"/>
        </w:rPr>
        <w:t>. The PBAC was</w:t>
      </w:r>
      <w:r w:rsidR="0071661B">
        <w:rPr>
          <w:rFonts w:asciiTheme="minorHAnsi" w:hAnsiTheme="minorHAnsi"/>
          <w:szCs w:val="20"/>
        </w:rPr>
        <w:t xml:space="preserve"> concerned that the benefits </w:t>
      </w:r>
      <w:r w:rsidR="00DF3444">
        <w:rPr>
          <w:rFonts w:asciiTheme="minorHAnsi" w:hAnsiTheme="minorHAnsi"/>
          <w:szCs w:val="20"/>
        </w:rPr>
        <w:t xml:space="preserve">observed </w:t>
      </w:r>
      <w:r w:rsidR="00556C26">
        <w:rPr>
          <w:rFonts w:asciiTheme="minorHAnsi" w:hAnsiTheme="minorHAnsi"/>
          <w:szCs w:val="20"/>
        </w:rPr>
        <w:t>in the RESO</w:t>
      </w:r>
      <w:r w:rsidR="0071661B">
        <w:rPr>
          <w:rFonts w:asciiTheme="minorHAnsi" w:hAnsiTheme="minorHAnsi"/>
          <w:szCs w:val="20"/>
        </w:rPr>
        <w:t>RCE trial may be smaller in the PBS population</w:t>
      </w:r>
      <w:r w:rsidR="00DF3444">
        <w:rPr>
          <w:rFonts w:asciiTheme="minorHAnsi" w:hAnsiTheme="minorHAnsi"/>
          <w:szCs w:val="20"/>
        </w:rPr>
        <w:t xml:space="preserve"> due</w:t>
      </w:r>
      <w:r w:rsidR="00ED5ABD">
        <w:rPr>
          <w:rFonts w:asciiTheme="minorHAnsi" w:hAnsiTheme="minorHAnsi"/>
          <w:szCs w:val="20"/>
        </w:rPr>
        <w:t xml:space="preserve"> to their poorer prognosis and </w:t>
      </w:r>
      <w:r w:rsidR="00DF3444">
        <w:rPr>
          <w:rFonts w:asciiTheme="minorHAnsi" w:hAnsiTheme="minorHAnsi"/>
          <w:szCs w:val="20"/>
        </w:rPr>
        <w:t>the reduced tolerability</w:t>
      </w:r>
      <w:r w:rsidR="00ED5ABD">
        <w:rPr>
          <w:rFonts w:asciiTheme="minorHAnsi" w:hAnsiTheme="minorHAnsi"/>
          <w:szCs w:val="20"/>
        </w:rPr>
        <w:t xml:space="preserve"> of regorafenib</w:t>
      </w:r>
      <w:r w:rsidR="0071661B">
        <w:rPr>
          <w:rFonts w:asciiTheme="minorHAnsi" w:hAnsiTheme="minorHAnsi"/>
          <w:szCs w:val="20"/>
        </w:rPr>
        <w:t>.</w:t>
      </w:r>
    </w:p>
    <w:p w:rsidR="008A4C13" w:rsidRPr="005706E7" w:rsidRDefault="00CD77FE" w:rsidP="00633A9B">
      <w:pPr>
        <w:numPr>
          <w:ilvl w:val="1"/>
          <w:numId w:val="3"/>
        </w:numPr>
        <w:spacing w:after="120"/>
        <w:rPr>
          <w:rFonts w:asciiTheme="minorHAnsi" w:hAnsiTheme="minorHAnsi"/>
          <w:szCs w:val="20"/>
        </w:rPr>
      </w:pPr>
      <w:r>
        <w:rPr>
          <w:rFonts w:asciiTheme="minorHAnsi" w:hAnsiTheme="minorHAnsi"/>
          <w:szCs w:val="20"/>
        </w:rPr>
        <w:t>The PBAC noted that r</w:t>
      </w:r>
      <w:r w:rsidR="005706E7" w:rsidRPr="005706E7">
        <w:rPr>
          <w:rFonts w:asciiTheme="minorHAnsi" w:hAnsiTheme="minorHAnsi"/>
          <w:szCs w:val="20"/>
        </w:rPr>
        <w:t xml:space="preserve">egorafenib patients are 3 times more likely to suffer any grade 3 or 4 adverse event compared to BSC. The </w:t>
      </w:r>
      <w:r>
        <w:rPr>
          <w:rFonts w:asciiTheme="minorHAnsi" w:hAnsiTheme="minorHAnsi"/>
          <w:szCs w:val="20"/>
        </w:rPr>
        <w:t>Committee</w:t>
      </w:r>
      <w:r w:rsidR="005706E7" w:rsidRPr="005706E7">
        <w:rPr>
          <w:rFonts w:asciiTheme="minorHAnsi" w:hAnsiTheme="minorHAnsi"/>
          <w:szCs w:val="20"/>
        </w:rPr>
        <w:t xml:space="preserve"> also noted a number of serious grade 5 AEs and a substantial increase in bothersome grade 1 and 2 AEs for patients treated with regorafenib. In addition, the </w:t>
      </w:r>
      <w:r w:rsidR="00EB5611">
        <w:rPr>
          <w:rFonts w:asciiTheme="minorHAnsi" w:hAnsiTheme="minorHAnsi"/>
          <w:szCs w:val="20"/>
        </w:rPr>
        <w:t xml:space="preserve">RESORCE </w:t>
      </w:r>
      <w:r w:rsidR="005706E7" w:rsidRPr="005706E7">
        <w:rPr>
          <w:rFonts w:asciiTheme="minorHAnsi" w:hAnsiTheme="minorHAnsi"/>
          <w:szCs w:val="20"/>
        </w:rPr>
        <w:t xml:space="preserve">trial reported numerically </w:t>
      </w:r>
      <w:r w:rsidR="00BC128F">
        <w:rPr>
          <w:rFonts w:asciiTheme="minorHAnsi" w:hAnsiTheme="minorHAnsi"/>
          <w:szCs w:val="20"/>
        </w:rPr>
        <w:t>worse</w:t>
      </w:r>
      <w:r w:rsidR="00BC128F" w:rsidRPr="005706E7">
        <w:rPr>
          <w:rFonts w:asciiTheme="minorHAnsi" w:hAnsiTheme="minorHAnsi"/>
          <w:szCs w:val="20"/>
        </w:rPr>
        <w:t xml:space="preserve"> </w:t>
      </w:r>
      <w:r w:rsidR="005706E7" w:rsidRPr="005706E7">
        <w:rPr>
          <w:rFonts w:asciiTheme="minorHAnsi" w:hAnsiTheme="minorHAnsi"/>
          <w:szCs w:val="20"/>
        </w:rPr>
        <w:t xml:space="preserve">average quality of life (QoL) for regorafenib compared with BSC, which may reflect the increased toxicity. </w:t>
      </w:r>
      <w:r w:rsidRPr="005706E7">
        <w:rPr>
          <w:rFonts w:asciiTheme="minorHAnsi" w:hAnsiTheme="minorHAnsi"/>
          <w:szCs w:val="20"/>
        </w:rPr>
        <w:t xml:space="preserve">The PBAC considered that the evidence presented in the submission did not support the submission’s </w:t>
      </w:r>
      <w:r>
        <w:rPr>
          <w:rFonts w:asciiTheme="minorHAnsi" w:hAnsiTheme="minorHAnsi"/>
          <w:szCs w:val="20"/>
        </w:rPr>
        <w:t xml:space="preserve">initial </w:t>
      </w:r>
      <w:r w:rsidRPr="005706E7">
        <w:rPr>
          <w:rFonts w:asciiTheme="minorHAnsi" w:hAnsiTheme="minorHAnsi"/>
          <w:szCs w:val="20"/>
        </w:rPr>
        <w:t>claim of no significant impact of regorafenib toxicity</w:t>
      </w:r>
      <w:r>
        <w:rPr>
          <w:rFonts w:asciiTheme="minorHAnsi" w:hAnsiTheme="minorHAnsi"/>
          <w:szCs w:val="20"/>
        </w:rPr>
        <w:t xml:space="preserve"> </w:t>
      </w:r>
      <w:r w:rsidR="00EB5611">
        <w:rPr>
          <w:rFonts w:asciiTheme="minorHAnsi" w:hAnsiTheme="minorHAnsi"/>
          <w:szCs w:val="20"/>
        </w:rPr>
        <w:t>on QoL</w:t>
      </w:r>
      <w:r w:rsidR="004A4B8A">
        <w:rPr>
          <w:rFonts w:asciiTheme="minorHAnsi" w:hAnsiTheme="minorHAnsi"/>
          <w:szCs w:val="20"/>
        </w:rPr>
        <w:t>,</w:t>
      </w:r>
      <w:r w:rsidR="00EB5611">
        <w:rPr>
          <w:rFonts w:asciiTheme="minorHAnsi" w:hAnsiTheme="minorHAnsi"/>
          <w:szCs w:val="20"/>
        </w:rPr>
        <w:t xml:space="preserve"> </w:t>
      </w:r>
      <w:r>
        <w:rPr>
          <w:rFonts w:asciiTheme="minorHAnsi" w:hAnsiTheme="minorHAnsi"/>
          <w:szCs w:val="20"/>
        </w:rPr>
        <w:t xml:space="preserve">and </w:t>
      </w:r>
      <w:r w:rsidR="00EB5611">
        <w:rPr>
          <w:rFonts w:asciiTheme="minorHAnsi" w:hAnsiTheme="minorHAnsi"/>
          <w:szCs w:val="20"/>
        </w:rPr>
        <w:t xml:space="preserve">that </w:t>
      </w:r>
      <w:r>
        <w:rPr>
          <w:rFonts w:asciiTheme="minorHAnsi" w:hAnsiTheme="minorHAnsi"/>
          <w:szCs w:val="20"/>
        </w:rPr>
        <w:t>the claim of inferior safety compared with BSC was appropriate</w:t>
      </w:r>
      <w:r w:rsidRPr="005706E7">
        <w:rPr>
          <w:rFonts w:asciiTheme="minorHAnsi" w:hAnsiTheme="minorHAnsi"/>
          <w:szCs w:val="20"/>
        </w:rPr>
        <w:t xml:space="preserve">. </w:t>
      </w:r>
      <w:r w:rsidR="005706E7" w:rsidRPr="005706E7">
        <w:t xml:space="preserve">The PBAC </w:t>
      </w:r>
      <w:r>
        <w:t>considered</w:t>
      </w:r>
      <w:r w:rsidR="005706E7" w:rsidRPr="005706E7">
        <w:t xml:space="preserve"> that </w:t>
      </w:r>
      <w:r>
        <w:t>o</w:t>
      </w:r>
      <w:r w:rsidR="005706E7" w:rsidRPr="005706E7">
        <w:t xml:space="preserve">verall, regorafenib was associated with </w:t>
      </w:r>
      <w:r w:rsidR="00B83222">
        <w:rPr>
          <w:rFonts w:asciiTheme="minorHAnsi" w:hAnsiTheme="minorHAnsi"/>
          <w:bCs/>
          <w:lang w:val="en-GB"/>
        </w:rPr>
        <w:t>a range of</w:t>
      </w:r>
      <w:r w:rsidR="00B83222" w:rsidRPr="00C66FC2">
        <w:rPr>
          <w:rFonts w:asciiTheme="minorHAnsi" w:hAnsiTheme="minorHAnsi"/>
          <w:bCs/>
          <w:lang w:val="en-GB"/>
        </w:rPr>
        <w:t xml:space="preserve"> </w:t>
      </w:r>
      <w:r w:rsidR="004A4B8A">
        <w:rPr>
          <w:rFonts w:asciiTheme="minorHAnsi" w:hAnsiTheme="minorHAnsi"/>
          <w:bCs/>
          <w:lang w:val="en-GB"/>
        </w:rPr>
        <w:t xml:space="preserve">substantial </w:t>
      </w:r>
      <w:r w:rsidR="00163A7B">
        <w:rPr>
          <w:rFonts w:asciiTheme="minorHAnsi" w:hAnsiTheme="minorHAnsi"/>
          <w:bCs/>
          <w:lang w:val="en-GB"/>
        </w:rPr>
        <w:t>AEs</w:t>
      </w:r>
      <w:r w:rsidR="00B83222">
        <w:rPr>
          <w:rFonts w:asciiTheme="minorHAnsi" w:hAnsiTheme="minorHAnsi"/>
          <w:bCs/>
          <w:lang w:val="en-GB"/>
        </w:rPr>
        <w:t>,</w:t>
      </w:r>
      <w:r w:rsidR="00B83222" w:rsidRPr="00C66FC2">
        <w:rPr>
          <w:rFonts w:asciiTheme="minorHAnsi" w:hAnsiTheme="minorHAnsi"/>
          <w:bCs/>
          <w:lang w:val="en-GB"/>
        </w:rPr>
        <w:t xml:space="preserve"> </w:t>
      </w:r>
      <w:r w:rsidR="005706E7" w:rsidRPr="005706E7">
        <w:t>w</w:t>
      </w:r>
      <w:r w:rsidR="00163A7B">
        <w:t>hich may</w:t>
      </w:r>
      <w:r w:rsidR="005706E7" w:rsidRPr="005706E7">
        <w:t xml:space="preserve"> </w:t>
      </w:r>
      <w:r w:rsidR="00B83222" w:rsidRPr="00C66FC2">
        <w:rPr>
          <w:rFonts w:asciiTheme="minorHAnsi" w:hAnsiTheme="minorHAnsi"/>
          <w:bCs/>
          <w:lang w:val="en-GB"/>
        </w:rPr>
        <w:t xml:space="preserve">be </w:t>
      </w:r>
      <w:r w:rsidR="00B83222">
        <w:rPr>
          <w:rFonts w:asciiTheme="minorHAnsi" w:hAnsiTheme="minorHAnsi"/>
          <w:bCs/>
          <w:lang w:val="en-GB"/>
        </w:rPr>
        <w:t>more frequent and severe</w:t>
      </w:r>
      <w:r w:rsidR="00B83222" w:rsidRPr="00C66FC2">
        <w:rPr>
          <w:rFonts w:asciiTheme="minorHAnsi" w:hAnsiTheme="minorHAnsi"/>
          <w:bCs/>
          <w:lang w:val="en-GB"/>
        </w:rPr>
        <w:t xml:space="preserve"> </w:t>
      </w:r>
      <w:r w:rsidR="00EB5611" w:rsidRPr="00C66FC2">
        <w:rPr>
          <w:rFonts w:asciiTheme="minorHAnsi" w:hAnsiTheme="minorHAnsi"/>
          <w:bCs/>
          <w:lang w:val="en-GB"/>
        </w:rPr>
        <w:t xml:space="preserve">in the proposed Australian population </w:t>
      </w:r>
      <w:r w:rsidR="00EB5611">
        <w:rPr>
          <w:rFonts w:asciiTheme="minorHAnsi" w:hAnsiTheme="minorHAnsi"/>
          <w:bCs/>
          <w:lang w:val="en-GB"/>
        </w:rPr>
        <w:t>compared with</w:t>
      </w:r>
      <w:r w:rsidR="00EB5611" w:rsidRPr="00C66FC2">
        <w:rPr>
          <w:rFonts w:asciiTheme="minorHAnsi" w:hAnsiTheme="minorHAnsi"/>
          <w:bCs/>
          <w:lang w:val="en-GB"/>
        </w:rPr>
        <w:t xml:space="preserve"> the trial population</w:t>
      </w:r>
      <w:r w:rsidR="00163A7B">
        <w:rPr>
          <w:rFonts w:asciiTheme="minorHAnsi" w:hAnsiTheme="minorHAnsi"/>
          <w:bCs/>
          <w:lang w:val="en-GB"/>
        </w:rPr>
        <w:t>.</w:t>
      </w:r>
      <w:r w:rsidR="00EB5611" w:rsidRPr="005706E7" w:rsidDel="00B83222">
        <w:t xml:space="preserve"> </w:t>
      </w:r>
    </w:p>
    <w:p w:rsidR="003C722C" w:rsidRDefault="005D238F" w:rsidP="008A4C13">
      <w:pPr>
        <w:numPr>
          <w:ilvl w:val="1"/>
          <w:numId w:val="3"/>
        </w:numPr>
        <w:spacing w:after="120"/>
        <w:rPr>
          <w:rFonts w:asciiTheme="minorHAnsi" w:hAnsiTheme="minorHAnsi"/>
          <w:bCs/>
          <w:lang w:val="en-GB"/>
        </w:rPr>
      </w:pPr>
      <w:r w:rsidRPr="009A3DDA">
        <w:rPr>
          <w:rFonts w:asciiTheme="minorHAnsi" w:hAnsiTheme="minorHAnsi"/>
          <w:bCs/>
          <w:lang w:val="en-GB"/>
        </w:rPr>
        <w:t xml:space="preserve">The PBAC noted the base case ICER presented was </w:t>
      </w:r>
      <w:r w:rsidR="00811055">
        <w:rPr>
          <w:rFonts w:asciiTheme="minorHAnsi" w:hAnsiTheme="minorHAnsi"/>
          <w:bCs/>
          <w:lang w:val="en-GB"/>
        </w:rPr>
        <w:t xml:space="preserve">$15,000 - $45,000 </w:t>
      </w:r>
      <w:r w:rsidRPr="009A3DDA">
        <w:rPr>
          <w:rFonts w:asciiTheme="minorHAnsi" w:hAnsiTheme="minorHAnsi"/>
          <w:bCs/>
          <w:lang w:val="en-GB"/>
        </w:rPr>
        <w:t xml:space="preserve">per additional life year and </w:t>
      </w:r>
      <w:r w:rsidR="00811055">
        <w:rPr>
          <w:rFonts w:asciiTheme="minorHAnsi" w:hAnsiTheme="minorHAnsi"/>
          <w:bCs/>
          <w:lang w:val="en-GB"/>
        </w:rPr>
        <w:t xml:space="preserve">$45,000 - $75,000 </w:t>
      </w:r>
      <w:r w:rsidRPr="009A3DDA">
        <w:rPr>
          <w:rFonts w:asciiTheme="minorHAnsi" w:hAnsiTheme="minorHAnsi"/>
          <w:bCs/>
          <w:lang w:val="en-GB"/>
        </w:rPr>
        <w:t xml:space="preserve">per QALY gained. </w:t>
      </w:r>
      <w:r w:rsidR="008841CA">
        <w:rPr>
          <w:rFonts w:asciiTheme="minorHAnsi" w:hAnsiTheme="minorHAnsi"/>
          <w:bCs/>
          <w:lang w:val="en-GB"/>
        </w:rPr>
        <w:t xml:space="preserve">The PBAC considered that this base case is likely to underestimate the ICER. </w:t>
      </w:r>
      <w:r w:rsidRPr="009A3DDA">
        <w:rPr>
          <w:rFonts w:asciiTheme="minorHAnsi" w:hAnsiTheme="minorHAnsi"/>
          <w:bCs/>
          <w:lang w:val="en-GB"/>
        </w:rPr>
        <w:t xml:space="preserve">The PBAC noted the issues identified in the commentary and </w:t>
      </w:r>
      <w:r w:rsidR="009A3DDA">
        <w:rPr>
          <w:rFonts w:asciiTheme="minorHAnsi" w:hAnsiTheme="minorHAnsi"/>
          <w:bCs/>
          <w:lang w:val="en-GB"/>
        </w:rPr>
        <w:t xml:space="preserve">raised </w:t>
      </w:r>
      <w:r w:rsidRPr="009A3DDA">
        <w:rPr>
          <w:rFonts w:asciiTheme="minorHAnsi" w:hAnsiTheme="minorHAnsi"/>
          <w:bCs/>
          <w:lang w:val="en-GB"/>
        </w:rPr>
        <w:t>by ESC regarding the economic analysis presented</w:t>
      </w:r>
      <w:r w:rsidR="009A3DDA" w:rsidRPr="009A3DDA">
        <w:rPr>
          <w:rFonts w:asciiTheme="minorHAnsi" w:hAnsiTheme="minorHAnsi"/>
          <w:bCs/>
          <w:lang w:val="en-GB"/>
        </w:rPr>
        <w:t xml:space="preserve"> including</w:t>
      </w:r>
      <w:r w:rsidR="009A3DDA">
        <w:rPr>
          <w:rFonts w:asciiTheme="minorHAnsi" w:hAnsiTheme="minorHAnsi"/>
          <w:bCs/>
          <w:lang w:val="en-GB"/>
        </w:rPr>
        <w:t>:</w:t>
      </w:r>
      <w:r w:rsidR="009A3DDA" w:rsidRPr="009A3DDA">
        <w:rPr>
          <w:rFonts w:asciiTheme="minorHAnsi" w:hAnsiTheme="minorHAnsi"/>
          <w:bCs/>
          <w:lang w:val="en-GB"/>
        </w:rPr>
        <w:t xml:space="preserve"> extrapolation of the regorafenib arm only, the </w:t>
      </w:r>
      <w:r w:rsidR="00027440">
        <w:rPr>
          <w:rFonts w:asciiTheme="minorHAnsi" w:hAnsiTheme="minorHAnsi"/>
          <w:bCs/>
          <w:lang w:val="en-GB"/>
        </w:rPr>
        <w:t>arbitrary choice of inflection point for extrapolation, extrapolation from 33 months w</w:t>
      </w:r>
      <w:r w:rsidR="00CF6748">
        <w:rPr>
          <w:rFonts w:asciiTheme="minorHAnsi" w:hAnsiTheme="minorHAnsi"/>
          <w:bCs/>
          <w:lang w:val="en-GB"/>
        </w:rPr>
        <w:t>h</w:t>
      </w:r>
      <w:r w:rsidR="00027440">
        <w:rPr>
          <w:rFonts w:asciiTheme="minorHAnsi" w:hAnsiTheme="minorHAnsi"/>
          <w:bCs/>
          <w:lang w:val="en-GB"/>
        </w:rPr>
        <w:t xml:space="preserve">ere there were very few patients at risk and use of average utility values by heath state. </w:t>
      </w:r>
      <w:r w:rsidR="009A3DDA" w:rsidRPr="009A3DDA">
        <w:rPr>
          <w:rFonts w:asciiTheme="minorHAnsi" w:hAnsiTheme="minorHAnsi"/>
          <w:bCs/>
          <w:lang w:val="en-GB"/>
        </w:rPr>
        <w:t xml:space="preserve">The PBAC also noted that the ICER was most sensitive to the time horizon, increasing the ICER </w:t>
      </w:r>
      <w:r w:rsidR="00811055">
        <w:rPr>
          <w:rFonts w:asciiTheme="minorHAnsi" w:hAnsiTheme="minorHAnsi"/>
          <w:bCs/>
          <w:lang w:val="en-GB"/>
        </w:rPr>
        <w:t xml:space="preserve">by </w:t>
      </w:r>
      <w:r w:rsidR="00A014D1">
        <w:rPr>
          <w:rFonts w:asciiTheme="minorHAnsi" w:hAnsiTheme="minorHAnsi"/>
          <w:bCs/>
          <w:lang w:val="en-GB"/>
        </w:rPr>
        <w:t xml:space="preserve">approximately </w:t>
      </w:r>
      <w:r w:rsidR="00811055">
        <w:rPr>
          <w:rFonts w:asciiTheme="minorHAnsi" w:hAnsiTheme="minorHAnsi"/>
          <w:bCs/>
          <w:lang w:val="en-GB"/>
        </w:rPr>
        <w:t xml:space="preserve">35% </w:t>
      </w:r>
      <w:r w:rsidR="009A3DDA" w:rsidRPr="009A3DDA">
        <w:rPr>
          <w:rFonts w:asciiTheme="minorHAnsi" w:hAnsiTheme="minorHAnsi"/>
          <w:bCs/>
          <w:lang w:val="en-GB"/>
        </w:rPr>
        <w:t xml:space="preserve">when reduced to 3 years in the univariate sensitivity analysis. </w:t>
      </w:r>
    </w:p>
    <w:p w:rsidR="009A3DDA" w:rsidRPr="007D4F57" w:rsidRDefault="005D238F" w:rsidP="008A4C13">
      <w:pPr>
        <w:numPr>
          <w:ilvl w:val="1"/>
          <w:numId w:val="3"/>
        </w:numPr>
        <w:spacing w:after="120"/>
        <w:rPr>
          <w:rFonts w:asciiTheme="minorHAnsi" w:hAnsiTheme="minorHAnsi"/>
          <w:bCs/>
          <w:lang w:val="en-GB"/>
        </w:rPr>
      </w:pPr>
      <w:r w:rsidRPr="009A3DDA">
        <w:rPr>
          <w:rFonts w:asciiTheme="minorHAnsi" w:hAnsiTheme="minorHAnsi"/>
          <w:bCs/>
          <w:lang w:val="en-GB"/>
        </w:rPr>
        <w:t>The Committee noted th</w:t>
      </w:r>
      <w:r w:rsidR="00243C74">
        <w:rPr>
          <w:rFonts w:asciiTheme="minorHAnsi" w:hAnsiTheme="minorHAnsi"/>
          <w:bCs/>
          <w:lang w:val="en-GB"/>
        </w:rPr>
        <w:t>at</w:t>
      </w:r>
      <w:r w:rsidRPr="009A3DDA">
        <w:rPr>
          <w:rFonts w:asciiTheme="minorHAnsi" w:hAnsiTheme="minorHAnsi"/>
          <w:bCs/>
          <w:lang w:val="en-GB"/>
        </w:rPr>
        <w:t xml:space="preserve"> univariate and multivariate sensitivity analyses</w:t>
      </w:r>
      <w:r w:rsidR="00243C74">
        <w:rPr>
          <w:rFonts w:asciiTheme="minorHAnsi" w:hAnsiTheme="minorHAnsi"/>
          <w:bCs/>
          <w:lang w:val="en-GB"/>
        </w:rPr>
        <w:t xml:space="preserve"> were</w:t>
      </w:r>
      <w:r w:rsidRPr="009A3DDA">
        <w:rPr>
          <w:rFonts w:asciiTheme="minorHAnsi" w:hAnsiTheme="minorHAnsi"/>
          <w:bCs/>
          <w:lang w:val="en-GB"/>
        </w:rPr>
        <w:t xml:space="preserve"> pres</w:t>
      </w:r>
      <w:r w:rsidR="00027440">
        <w:rPr>
          <w:rFonts w:asciiTheme="minorHAnsi" w:hAnsiTheme="minorHAnsi"/>
          <w:bCs/>
          <w:lang w:val="en-GB"/>
        </w:rPr>
        <w:t>ented in the pre-PBAC response</w:t>
      </w:r>
      <w:r w:rsidR="00243C74">
        <w:rPr>
          <w:rFonts w:asciiTheme="minorHAnsi" w:hAnsiTheme="minorHAnsi"/>
          <w:bCs/>
          <w:lang w:val="en-GB"/>
        </w:rPr>
        <w:t xml:space="preserve"> as requested</w:t>
      </w:r>
      <w:r w:rsidR="00ED5ABD">
        <w:rPr>
          <w:rFonts w:asciiTheme="minorHAnsi" w:hAnsiTheme="minorHAnsi"/>
          <w:bCs/>
          <w:lang w:val="en-GB"/>
        </w:rPr>
        <w:t xml:space="preserve"> by ESC</w:t>
      </w:r>
      <w:r w:rsidR="00447B28">
        <w:rPr>
          <w:rFonts w:asciiTheme="minorHAnsi" w:hAnsiTheme="minorHAnsi"/>
          <w:bCs/>
          <w:lang w:val="en-GB"/>
        </w:rPr>
        <w:t>,</w:t>
      </w:r>
      <w:r w:rsidR="005E152A">
        <w:rPr>
          <w:rFonts w:asciiTheme="minorHAnsi" w:hAnsiTheme="minorHAnsi"/>
          <w:bCs/>
          <w:lang w:val="en-GB"/>
        </w:rPr>
        <w:t xml:space="preserve"> as well as a revised proposed price</w:t>
      </w:r>
      <w:r w:rsidR="00243C74">
        <w:rPr>
          <w:rFonts w:asciiTheme="minorHAnsi" w:hAnsiTheme="minorHAnsi"/>
          <w:bCs/>
          <w:lang w:val="en-GB"/>
        </w:rPr>
        <w:t xml:space="preserve">. The PBAC </w:t>
      </w:r>
      <w:r w:rsidR="00027440">
        <w:rPr>
          <w:rFonts w:asciiTheme="minorHAnsi" w:hAnsiTheme="minorHAnsi"/>
          <w:bCs/>
          <w:lang w:val="en-GB"/>
        </w:rPr>
        <w:t>considered that the multivariate sensitivity analysis as specified by ESC</w:t>
      </w:r>
      <w:r w:rsidR="00243C74">
        <w:rPr>
          <w:rFonts w:asciiTheme="minorHAnsi" w:hAnsiTheme="minorHAnsi"/>
          <w:bCs/>
          <w:lang w:val="en-GB"/>
        </w:rPr>
        <w:t xml:space="preserve">, </w:t>
      </w:r>
      <w:r w:rsidR="005E152A">
        <w:rPr>
          <w:rFonts w:asciiTheme="minorHAnsi" w:hAnsiTheme="minorHAnsi"/>
        </w:rPr>
        <w:t>where OS and PFS are extrapolated from the median</w:t>
      </w:r>
      <w:r w:rsidR="00EB5611">
        <w:rPr>
          <w:rFonts w:asciiTheme="minorHAnsi" w:hAnsiTheme="minorHAnsi"/>
        </w:rPr>
        <w:t xml:space="preserve"> follow-up</w:t>
      </w:r>
      <w:r w:rsidR="005E152A">
        <w:rPr>
          <w:rFonts w:asciiTheme="minorHAnsi" w:hAnsiTheme="minorHAnsi"/>
        </w:rPr>
        <w:t xml:space="preserve"> for both regorafenib and BSC arms, no piecewise Gompertz model for OS</w:t>
      </w:r>
      <w:r w:rsidR="00447B28">
        <w:rPr>
          <w:rFonts w:asciiTheme="minorHAnsi" w:hAnsiTheme="minorHAnsi"/>
        </w:rPr>
        <w:t>,</w:t>
      </w:r>
      <w:r w:rsidR="005E152A">
        <w:rPr>
          <w:rFonts w:asciiTheme="minorHAnsi" w:hAnsiTheme="minorHAnsi"/>
        </w:rPr>
        <w:t xml:space="preserve"> and applying trial-based utilities</w:t>
      </w:r>
      <w:r w:rsidR="00447B28">
        <w:rPr>
          <w:rFonts w:asciiTheme="minorHAnsi" w:hAnsiTheme="minorHAnsi"/>
        </w:rPr>
        <w:t>,</w:t>
      </w:r>
      <w:r w:rsidR="005E152A">
        <w:rPr>
          <w:rFonts w:asciiTheme="minorHAnsi" w:hAnsiTheme="minorHAnsi"/>
          <w:bCs/>
          <w:lang w:val="en-GB"/>
        </w:rPr>
        <w:t xml:space="preserve"> gave</w:t>
      </w:r>
      <w:r w:rsidR="00243C74">
        <w:rPr>
          <w:rFonts w:asciiTheme="minorHAnsi" w:hAnsiTheme="minorHAnsi"/>
          <w:bCs/>
          <w:lang w:val="en-GB"/>
        </w:rPr>
        <w:t xml:space="preserve"> an ICER of </w:t>
      </w:r>
      <w:r w:rsidR="00C9273A">
        <w:rPr>
          <w:rFonts w:asciiTheme="minorHAnsi" w:hAnsiTheme="minorHAnsi"/>
          <w:bCs/>
          <w:lang w:val="en-GB"/>
        </w:rPr>
        <w:t>$</w:t>
      </w:r>
      <w:r w:rsidR="00DB1891">
        <w:rPr>
          <w:rFonts w:asciiTheme="minorHAnsi" w:hAnsiTheme="minorHAnsi"/>
          <w:bCs/>
          <w:lang w:val="en-GB"/>
        </w:rPr>
        <w:t xml:space="preserve">75,000 - $105,000 </w:t>
      </w:r>
      <w:r w:rsidR="00243C74">
        <w:rPr>
          <w:rFonts w:asciiTheme="minorHAnsi" w:hAnsiTheme="minorHAnsi"/>
          <w:bCs/>
          <w:lang w:val="en-GB"/>
        </w:rPr>
        <w:t>per QALY gained</w:t>
      </w:r>
      <w:r w:rsidR="005E152A">
        <w:rPr>
          <w:rFonts w:asciiTheme="minorHAnsi" w:hAnsiTheme="minorHAnsi"/>
          <w:bCs/>
          <w:lang w:val="en-GB"/>
        </w:rPr>
        <w:t xml:space="preserve"> and </w:t>
      </w:r>
      <w:r w:rsidR="00DB1891">
        <w:rPr>
          <w:rFonts w:asciiTheme="minorHAnsi" w:hAnsiTheme="minorHAnsi"/>
          <w:bCs/>
          <w:lang w:val="en-GB"/>
        </w:rPr>
        <w:t xml:space="preserve">$45,000 - $75,000 </w:t>
      </w:r>
      <w:r w:rsidR="00243C74">
        <w:rPr>
          <w:rFonts w:asciiTheme="minorHAnsi" w:hAnsiTheme="minorHAnsi"/>
          <w:bCs/>
          <w:lang w:val="en-GB"/>
        </w:rPr>
        <w:t>per QALY gained with the revised price</w:t>
      </w:r>
      <w:r w:rsidR="005E152A">
        <w:rPr>
          <w:rFonts w:asciiTheme="minorHAnsi" w:hAnsiTheme="minorHAnsi"/>
          <w:bCs/>
          <w:lang w:val="en-GB"/>
        </w:rPr>
        <w:t xml:space="preserve">. The PBAC considered </w:t>
      </w:r>
      <w:r w:rsidR="00447B28">
        <w:rPr>
          <w:rFonts w:asciiTheme="minorHAnsi" w:hAnsiTheme="minorHAnsi"/>
          <w:bCs/>
          <w:lang w:val="en-GB"/>
        </w:rPr>
        <w:t xml:space="preserve">that the ESC specifications provided </w:t>
      </w:r>
      <w:r w:rsidR="00243C74">
        <w:rPr>
          <w:rFonts w:asciiTheme="minorHAnsi" w:hAnsiTheme="minorHAnsi"/>
          <w:bCs/>
          <w:lang w:val="en-GB"/>
        </w:rPr>
        <w:t xml:space="preserve">the most </w:t>
      </w:r>
      <w:r w:rsidR="00243C74" w:rsidRPr="007D4F57">
        <w:rPr>
          <w:rFonts w:asciiTheme="minorHAnsi" w:hAnsiTheme="minorHAnsi"/>
          <w:bCs/>
          <w:lang w:val="en-GB"/>
        </w:rPr>
        <w:t>appropriate base case for informing the ICER.</w:t>
      </w:r>
    </w:p>
    <w:p w:rsidR="008A4C13" w:rsidRPr="007D4F57" w:rsidRDefault="0028225A" w:rsidP="008A4C13">
      <w:pPr>
        <w:numPr>
          <w:ilvl w:val="1"/>
          <w:numId w:val="3"/>
        </w:numPr>
        <w:spacing w:after="120"/>
        <w:rPr>
          <w:rFonts w:asciiTheme="minorHAnsi" w:hAnsiTheme="minorHAnsi"/>
          <w:bCs/>
          <w:lang w:val="en-GB"/>
        </w:rPr>
      </w:pPr>
      <w:r w:rsidRPr="007D4F57">
        <w:rPr>
          <w:rFonts w:asciiTheme="minorHAnsi" w:hAnsiTheme="minorHAnsi"/>
          <w:bCs/>
          <w:lang w:val="en-GB"/>
        </w:rPr>
        <w:t xml:space="preserve">The PBAC considered that overall the financial </w:t>
      </w:r>
      <w:r w:rsidR="007D4F57" w:rsidRPr="007D4F57">
        <w:rPr>
          <w:rFonts w:asciiTheme="minorHAnsi" w:hAnsiTheme="minorHAnsi"/>
          <w:bCs/>
          <w:lang w:val="en-GB"/>
        </w:rPr>
        <w:t>estimates</w:t>
      </w:r>
      <w:r w:rsidRPr="007D4F57">
        <w:rPr>
          <w:rFonts w:asciiTheme="minorHAnsi" w:hAnsiTheme="minorHAnsi"/>
          <w:bCs/>
          <w:lang w:val="en-GB"/>
        </w:rPr>
        <w:t xml:space="preserve"> were over-estimated due to</w:t>
      </w:r>
      <w:r w:rsidR="007D4F57" w:rsidRPr="007D4F57">
        <w:rPr>
          <w:rFonts w:asciiTheme="minorHAnsi" w:hAnsiTheme="minorHAnsi"/>
          <w:bCs/>
          <w:lang w:val="en-GB"/>
        </w:rPr>
        <w:t>: overestimated eligible patient pool and uptake rates, inclusion of patients with ECOG PS&gt;1</w:t>
      </w:r>
      <w:r w:rsidR="006802AD">
        <w:rPr>
          <w:rFonts w:asciiTheme="minorHAnsi" w:hAnsiTheme="minorHAnsi"/>
          <w:bCs/>
          <w:lang w:val="en-GB"/>
        </w:rPr>
        <w:t>,</w:t>
      </w:r>
      <w:r w:rsidR="007D4F57" w:rsidRPr="007D4F57">
        <w:rPr>
          <w:rFonts w:asciiTheme="minorHAnsi" w:hAnsiTheme="minorHAnsi"/>
          <w:bCs/>
          <w:lang w:val="en-GB"/>
        </w:rPr>
        <w:t xml:space="preserve"> and the assumption of treatment beyond progression.</w:t>
      </w:r>
      <w:r w:rsidRPr="007D4F57">
        <w:rPr>
          <w:rFonts w:asciiTheme="minorHAnsi" w:hAnsiTheme="minorHAnsi"/>
          <w:bCs/>
          <w:lang w:val="en-GB"/>
        </w:rPr>
        <w:t xml:space="preserve"> </w:t>
      </w:r>
      <w:r w:rsidR="00282D58">
        <w:rPr>
          <w:rFonts w:asciiTheme="minorHAnsi" w:hAnsiTheme="minorHAnsi"/>
          <w:bCs/>
          <w:lang w:val="en-GB"/>
        </w:rPr>
        <w:t xml:space="preserve">The PBAC also </w:t>
      </w:r>
      <w:r w:rsidR="00CF6748">
        <w:rPr>
          <w:rFonts w:asciiTheme="minorHAnsi" w:hAnsiTheme="minorHAnsi"/>
          <w:bCs/>
          <w:lang w:val="en-GB"/>
        </w:rPr>
        <w:t>advised</w:t>
      </w:r>
      <w:r w:rsidR="00282D58">
        <w:rPr>
          <w:rFonts w:asciiTheme="minorHAnsi" w:hAnsiTheme="minorHAnsi"/>
          <w:bCs/>
          <w:lang w:val="en-GB"/>
        </w:rPr>
        <w:t xml:space="preserve"> that costs to the MBS should be included in the financial estimates. </w:t>
      </w:r>
      <w:r w:rsidR="007D4F57">
        <w:rPr>
          <w:rFonts w:asciiTheme="minorHAnsi" w:hAnsiTheme="minorHAnsi"/>
          <w:bCs/>
          <w:lang w:val="en-GB"/>
        </w:rPr>
        <w:t>Overall the PBAC considered that the financial impact of listing re</w:t>
      </w:r>
      <w:r w:rsidR="00CF6748">
        <w:rPr>
          <w:rFonts w:asciiTheme="minorHAnsi" w:hAnsiTheme="minorHAnsi"/>
          <w:bCs/>
          <w:lang w:val="en-GB"/>
        </w:rPr>
        <w:t>g</w:t>
      </w:r>
      <w:r w:rsidR="007D4F57">
        <w:rPr>
          <w:rFonts w:asciiTheme="minorHAnsi" w:hAnsiTheme="minorHAnsi"/>
          <w:bCs/>
          <w:lang w:val="en-GB"/>
        </w:rPr>
        <w:t xml:space="preserve">orafenib is unlikely to exceed $10 million in any of the first 6 years of listing. </w:t>
      </w:r>
    </w:p>
    <w:p w:rsidR="008841CA" w:rsidRPr="003B04A2" w:rsidRDefault="008841CA" w:rsidP="008841CA">
      <w:pPr>
        <w:numPr>
          <w:ilvl w:val="1"/>
          <w:numId w:val="3"/>
        </w:numPr>
        <w:spacing w:after="120"/>
        <w:rPr>
          <w:rFonts w:asciiTheme="minorHAnsi" w:hAnsiTheme="minorHAnsi"/>
          <w:bCs/>
          <w:lang w:val="en-GB"/>
        </w:rPr>
      </w:pPr>
      <w:r>
        <w:rPr>
          <w:rFonts w:asciiTheme="minorHAnsi" w:hAnsiTheme="minorHAnsi"/>
          <w:bCs/>
          <w:lang w:val="en-GB"/>
        </w:rPr>
        <w:t>The PBAC</w:t>
      </w:r>
      <w:r w:rsidR="00D93F62">
        <w:rPr>
          <w:rFonts w:asciiTheme="minorHAnsi" w:hAnsiTheme="minorHAnsi"/>
          <w:bCs/>
          <w:lang w:val="en-GB"/>
        </w:rPr>
        <w:t xml:space="preserve"> acknowledged the clinical need in the proposed PBS population</w:t>
      </w:r>
      <w:r w:rsidR="006802AD">
        <w:rPr>
          <w:rFonts w:asciiTheme="minorHAnsi" w:hAnsiTheme="minorHAnsi"/>
          <w:bCs/>
          <w:lang w:val="en-GB"/>
        </w:rPr>
        <w:t>,</w:t>
      </w:r>
      <w:r w:rsidR="00D93F62">
        <w:rPr>
          <w:rFonts w:asciiTheme="minorHAnsi" w:hAnsiTheme="minorHAnsi"/>
          <w:bCs/>
          <w:lang w:val="en-GB"/>
        </w:rPr>
        <w:t xml:space="preserve"> and</w:t>
      </w:r>
      <w:r>
        <w:rPr>
          <w:rFonts w:asciiTheme="minorHAnsi" w:hAnsiTheme="minorHAnsi"/>
          <w:bCs/>
          <w:lang w:val="en-GB"/>
        </w:rPr>
        <w:t xml:space="preserve"> </w:t>
      </w:r>
      <w:r w:rsidR="00D93F62">
        <w:rPr>
          <w:rFonts w:asciiTheme="minorHAnsi" w:hAnsiTheme="minorHAnsi"/>
          <w:bCs/>
          <w:lang w:val="en-GB"/>
        </w:rPr>
        <w:t>advised that</w:t>
      </w:r>
      <w:r w:rsidRPr="00C66FC2">
        <w:rPr>
          <w:rFonts w:asciiTheme="minorHAnsi" w:hAnsiTheme="minorHAnsi"/>
          <w:bCs/>
          <w:lang w:val="en-GB"/>
        </w:rPr>
        <w:t xml:space="preserve"> a </w:t>
      </w:r>
      <w:r w:rsidR="00E3056A">
        <w:rPr>
          <w:rFonts w:asciiTheme="minorHAnsi" w:hAnsiTheme="minorHAnsi"/>
          <w:bCs/>
          <w:lang w:val="en-GB"/>
        </w:rPr>
        <w:t>future</w:t>
      </w:r>
      <w:r w:rsidR="00D93F62">
        <w:rPr>
          <w:rFonts w:asciiTheme="minorHAnsi" w:hAnsiTheme="minorHAnsi"/>
          <w:bCs/>
          <w:lang w:val="en-GB"/>
        </w:rPr>
        <w:t xml:space="preserve"> major</w:t>
      </w:r>
      <w:r w:rsidR="00B947B8">
        <w:rPr>
          <w:rFonts w:asciiTheme="minorHAnsi" w:hAnsiTheme="minorHAnsi"/>
          <w:bCs/>
          <w:lang w:val="en-GB"/>
        </w:rPr>
        <w:t xml:space="preserve"> </w:t>
      </w:r>
      <w:r w:rsidRPr="00C66FC2">
        <w:rPr>
          <w:rFonts w:asciiTheme="minorHAnsi" w:hAnsiTheme="minorHAnsi"/>
          <w:bCs/>
          <w:lang w:val="en-GB"/>
        </w:rPr>
        <w:t xml:space="preserve">submission </w:t>
      </w:r>
      <w:r w:rsidR="00E3056A">
        <w:rPr>
          <w:rFonts w:asciiTheme="minorHAnsi" w:hAnsiTheme="minorHAnsi"/>
          <w:bCs/>
          <w:lang w:val="en-GB"/>
        </w:rPr>
        <w:t xml:space="preserve">should include </w:t>
      </w:r>
      <w:r w:rsidRPr="00C66FC2">
        <w:rPr>
          <w:rFonts w:asciiTheme="minorHAnsi" w:hAnsiTheme="minorHAnsi"/>
          <w:bCs/>
          <w:lang w:val="en-GB"/>
        </w:rPr>
        <w:t xml:space="preserve">a lower price, giving </w:t>
      </w:r>
      <w:r>
        <w:rPr>
          <w:rFonts w:asciiTheme="minorHAnsi" w:hAnsiTheme="minorHAnsi"/>
          <w:bCs/>
          <w:lang w:val="en-GB"/>
        </w:rPr>
        <w:t xml:space="preserve">an ICER </w:t>
      </w:r>
      <w:r w:rsidR="00DB1891">
        <w:rPr>
          <w:rFonts w:asciiTheme="minorHAnsi" w:hAnsiTheme="minorHAnsi"/>
          <w:bCs/>
          <w:lang w:val="en-GB"/>
        </w:rPr>
        <w:t>of</w:t>
      </w:r>
      <w:r w:rsidR="000305E7">
        <w:rPr>
          <w:rFonts w:asciiTheme="minorHAnsi" w:hAnsiTheme="minorHAnsi"/>
          <w:bCs/>
          <w:lang w:val="en-GB"/>
        </w:rPr>
        <w:t xml:space="preserve"> </w:t>
      </w:r>
      <w:r w:rsidR="00DB1891">
        <w:rPr>
          <w:rFonts w:asciiTheme="minorHAnsi" w:hAnsiTheme="minorHAnsi"/>
          <w:bCs/>
          <w:lang w:val="en-GB"/>
        </w:rPr>
        <w:t xml:space="preserve">$15,000 - $45,000 </w:t>
      </w:r>
      <w:r w:rsidR="00282D58">
        <w:rPr>
          <w:rFonts w:asciiTheme="minorHAnsi" w:hAnsiTheme="minorHAnsi"/>
          <w:bCs/>
          <w:lang w:val="en-GB"/>
        </w:rPr>
        <w:t xml:space="preserve">per QALY gained </w:t>
      </w:r>
      <w:r w:rsidR="00710DB3">
        <w:rPr>
          <w:rFonts w:asciiTheme="minorHAnsi" w:hAnsiTheme="minorHAnsi"/>
          <w:bCs/>
          <w:lang w:val="en-GB"/>
        </w:rPr>
        <w:t>to reflect the substantia</w:t>
      </w:r>
      <w:r w:rsidR="00281079">
        <w:rPr>
          <w:rFonts w:asciiTheme="minorHAnsi" w:hAnsiTheme="minorHAnsi"/>
          <w:bCs/>
          <w:lang w:val="en-GB"/>
        </w:rPr>
        <w:t>l</w:t>
      </w:r>
      <w:r w:rsidR="00710DB3">
        <w:rPr>
          <w:rFonts w:asciiTheme="minorHAnsi" w:hAnsiTheme="minorHAnsi"/>
          <w:bCs/>
          <w:lang w:val="en-GB"/>
        </w:rPr>
        <w:t xml:space="preserve"> toxicity, </w:t>
      </w:r>
      <w:r>
        <w:rPr>
          <w:rFonts w:asciiTheme="minorHAnsi" w:hAnsiTheme="minorHAnsi"/>
          <w:bCs/>
          <w:lang w:val="en-GB"/>
        </w:rPr>
        <w:t>with the appropriate changes to the economic model</w:t>
      </w:r>
      <w:r w:rsidR="00E3056A">
        <w:rPr>
          <w:rFonts w:asciiTheme="minorHAnsi" w:hAnsiTheme="minorHAnsi"/>
          <w:bCs/>
          <w:lang w:val="en-GB"/>
        </w:rPr>
        <w:t xml:space="preserve"> base case</w:t>
      </w:r>
      <w:r w:rsidR="00ED5ABD">
        <w:rPr>
          <w:rFonts w:asciiTheme="minorHAnsi" w:hAnsiTheme="minorHAnsi"/>
          <w:bCs/>
          <w:lang w:val="en-GB"/>
        </w:rPr>
        <w:t xml:space="preserve"> as specified in </w:t>
      </w:r>
      <w:r w:rsidR="00ED5ABD" w:rsidRPr="00EB5611">
        <w:rPr>
          <w:rFonts w:asciiTheme="minorHAnsi" w:hAnsiTheme="minorHAnsi"/>
          <w:bCs/>
          <w:lang w:val="en-GB"/>
        </w:rPr>
        <w:t xml:space="preserve">paragraph </w:t>
      </w:r>
      <w:r w:rsidR="00EB5611" w:rsidRPr="00EB5611">
        <w:rPr>
          <w:rFonts w:asciiTheme="minorHAnsi" w:hAnsiTheme="minorHAnsi"/>
          <w:bCs/>
          <w:lang w:val="en-GB"/>
        </w:rPr>
        <w:t>7.</w:t>
      </w:r>
      <w:r w:rsidR="003C722C">
        <w:rPr>
          <w:rFonts w:asciiTheme="minorHAnsi" w:hAnsiTheme="minorHAnsi"/>
          <w:bCs/>
          <w:lang w:val="en-GB"/>
        </w:rPr>
        <w:t>10</w:t>
      </w:r>
      <w:r w:rsidR="00B947B8" w:rsidRPr="00EB5611">
        <w:rPr>
          <w:rFonts w:asciiTheme="minorHAnsi" w:hAnsiTheme="minorHAnsi"/>
          <w:bCs/>
          <w:lang w:val="en-GB"/>
        </w:rPr>
        <w:t xml:space="preserve">. </w:t>
      </w:r>
      <w:r w:rsidR="003A351A" w:rsidRPr="00EB5611">
        <w:rPr>
          <w:rFonts w:asciiTheme="minorHAnsi" w:hAnsiTheme="minorHAnsi"/>
          <w:bCs/>
          <w:lang w:val="en-GB"/>
        </w:rPr>
        <w:t xml:space="preserve">The PBAC </w:t>
      </w:r>
      <w:r w:rsidR="00E3056A" w:rsidRPr="00EB5611">
        <w:rPr>
          <w:rFonts w:asciiTheme="minorHAnsi" w:hAnsiTheme="minorHAnsi"/>
          <w:bCs/>
          <w:lang w:val="en-GB"/>
        </w:rPr>
        <w:t>also advised</w:t>
      </w:r>
      <w:r w:rsidR="003A351A" w:rsidRPr="00EB5611">
        <w:rPr>
          <w:rFonts w:asciiTheme="minorHAnsi" w:hAnsiTheme="minorHAnsi"/>
          <w:bCs/>
          <w:lang w:val="en-GB"/>
        </w:rPr>
        <w:t xml:space="preserve"> that a resubmission </w:t>
      </w:r>
      <w:r w:rsidR="00D93F62" w:rsidRPr="00EB5611">
        <w:rPr>
          <w:rFonts w:asciiTheme="minorHAnsi" w:hAnsiTheme="minorHAnsi"/>
          <w:bCs/>
          <w:lang w:val="en-GB"/>
        </w:rPr>
        <w:t>should be based on the latest available data from</w:t>
      </w:r>
      <w:r w:rsidR="00D93F62">
        <w:rPr>
          <w:rFonts w:asciiTheme="minorHAnsi" w:hAnsiTheme="minorHAnsi"/>
          <w:bCs/>
          <w:lang w:val="en-GB"/>
        </w:rPr>
        <w:t xml:space="preserve"> the RESORCE trial.</w:t>
      </w:r>
      <w:r w:rsidR="003A351A">
        <w:rPr>
          <w:rFonts w:asciiTheme="minorHAnsi" w:hAnsiTheme="minorHAnsi"/>
          <w:bCs/>
          <w:lang w:val="en-GB"/>
        </w:rPr>
        <w:t xml:space="preserve"> </w:t>
      </w:r>
      <w:r w:rsidR="00B947B8">
        <w:rPr>
          <w:rFonts w:asciiTheme="minorHAnsi" w:hAnsiTheme="minorHAnsi"/>
          <w:bCs/>
          <w:lang w:val="en-GB"/>
        </w:rPr>
        <w:t xml:space="preserve"> </w:t>
      </w:r>
    </w:p>
    <w:p w:rsidR="00D93F62" w:rsidRPr="00D93F62" w:rsidRDefault="008A4C13" w:rsidP="00D93F62">
      <w:pPr>
        <w:numPr>
          <w:ilvl w:val="1"/>
          <w:numId w:val="3"/>
        </w:numPr>
        <w:spacing w:after="120"/>
        <w:rPr>
          <w:rFonts w:asciiTheme="minorHAnsi" w:hAnsiTheme="minorHAnsi"/>
          <w:bCs/>
          <w:i/>
          <w:lang w:val="en-GB"/>
        </w:rPr>
      </w:pPr>
      <w:r w:rsidRPr="00D93F62">
        <w:rPr>
          <w:rFonts w:asciiTheme="minorHAnsi" w:hAnsiTheme="minorHAnsi"/>
          <w:bCs/>
          <w:lang w:val="en-GB"/>
        </w:rPr>
        <w:t>The PBAC noted that this submission is eligi</w:t>
      </w:r>
      <w:r w:rsidR="00D93F62" w:rsidRPr="00D93F62">
        <w:rPr>
          <w:rFonts w:asciiTheme="minorHAnsi" w:hAnsiTheme="minorHAnsi"/>
          <w:bCs/>
          <w:lang w:val="en-GB"/>
        </w:rPr>
        <w:t>ble for an Independent Review.</w:t>
      </w:r>
    </w:p>
    <w:p w:rsidR="008A4C13" w:rsidRPr="00D93F62" w:rsidRDefault="008A4C13" w:rsidP="008A4C13">
      <w:pPr>
        <w:spacing w:before="240"/>
        <w:rPr>
          <w:rFonts w:asciiTheme="minorHAnsi" w:hAnsiTheme="minorHAnsi"/>
          <w:b/>
          <w:bCs/>
          <w:lang w:val="en-GB"/>
        </w:rPr>
      </w:pPr>
      <w:r w:rsidRPr="00D93F62">
        <w:rPr>
          <w:rFonts w:asciiTheme="minorHAnsi" w:hAnsiTheme="minorHAnsi"/>
          <w:b/>
          <w:bCs/>
          <w:lang w:val="en-GB"/>
        </w:rPr>
        <w:t>Outcome:</w:t>
      </w:r>
    </w:p>
    <w:p w:rsidR="008A4C13" w:rsidRPr="00D93F62" w:rsidRDefault="00D93F62" w:rsidP="008A4C13">
      <w:pPr>
        <w:rPr>
          <w:rFonts w:asciiTheme="minorHAnsi" w:hAnsiTheme="minorHAnsi"/>
          <w:bCs/>
          <w:lang w:val="en-GB"/>
        </w:rPr>
      </w:pPr>
      <w:r w:rsidRPr="00D93F62">
        <w:rPr>
          <w:rFonts w:asciiTheme="minorHAnsi" w:hAnsiTheme="minorHAnsi"/>
          <w:bCs/>
          <w:lang w:val="en-GB"/>
        </w:rPr>
        <w:t>Rejected</w:t>
      </w:r>
    </w:p>
    <w:p w:rsidR="007C1381" w:rsidRPr="009C362D" w:rsidRDefault="007C1381" w:rsidP="009C362D">
      <w:pPr>
        <w:pStyle w:val="PBACHeading1"/>
      </w:pPr>
      <w:r w:rsidRPr="009C362D">
        <w:t>Context for Decision</w:t>
      </w:r>
    </w:p>
    <w:p w:rsidR="007C1381" w:rsidRDefault="007C1381" w:rsidP="00F631B2">
      <w:pPr>
        <w:widowControl/>
        <w:rPr>
          <w:rFonts w:asciiTheme="minorHAnsi" w:eastAsiaTheme="minorHAnsi" w:hAnsiTheme="minorHAnsi"/>
          <w:snapToGrid/>
        </w:rPr>
      </w:pPr>
      <w:r w:rsidRPr="003B51D7">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C1381" w:rsidRPr="003B51D7" w:rsidRDefault="007C1381" w:rsidP="009C362D">
      <w:pPr>
        <w:pStyle w:val="PBACHeading1"/>
      </w:pPr>
      <w:r w:rsidRPr="003B51D7">
        <w:t xml:space="preserve"> Sponsor’s Comment</w:t>
      </w:r>
    </w:p>
    <w:p w:rsidR="008A4C13" w:rsidRPr="007C1381" w:rsidRDefault="00F631B2" w:rsidP="00B57E54">
      <w:pPr>
        <w:pStyle w:val="BodyText"/>
        <w:rPr>
          <w:highlight w:val="yellow"/>
        </w:rPr>
      </w:pPr>
      <w:r w:rsidRPr="00DD37F7">
        <w:rPr>
          <w:rFonts w:asciiTheme="minorHAnsi" w:eastAsiaTheme="minorHAnsi" w:hAnsiTheme="minorHAnsi"/>
          <w:snapToGrid/>
        </w:rPr>
        <w:t>Bayer is committed to working with the PBAC to ensure the earliest possible PBS listing of Regorafenib for patients with unresectable hepatocellular carcinoma (HCC), as current outcomes are poor with liver cancer being the 6</w:t>
      </w:r>
      <w:r w:rsidRPr="00DD37F7">
        <w:rPr>
          <w:rFonts w:asciiTheme="minorHAnsi" w:eastAsiaTheme="minorHAnsi" w:hAnsiTheme="minorHAnsi"/>
          <w:snapToGrid/>
          <w:vertAlign w:val="superscript"/>
        </w:rPr>
        <w:t>th</w:t>
      </w:r>
      <w:r w:rsidRPr="00DD37F7">
        <w:rPr>
          <w:rFonts w:asciiTheme="minorHAnsi" w:eastAsiaTheme="minorHAnsi" w:hAnsiTheme="minorHAnsi"/>
          <w:snapToGrid/>
        </w:rPr>
        <w:t xml:space="preserve"> most common cause of cancer death in males and the 9</w:t>
      </w:r>
      <w:r w:rsidRPr="00DD37F7">
        <w:rPr>
          <w:rFonts w:asciiTheme="minorHAnsi" w:eastAsiaTheme="minorHAnsi" w:hAnsiTheme="minorHAnsi"/>
          <w:snapToGrid/>
          <w:vertAlign w:val="superscript"/>
        </w:rPr>
        <w:t>th</w:t>
      </w:r>
      <w:r w:rsidRPr="00DD37F7">
        <w:rPr>
          <w:rFonts w:asciiTheme="minorHAnsi" w:eastAsiaTheme="minorHAnsi" w:hAnsiTheme="minorHAnsi"/>
          <w:snapToGrid/>
        </w:rPr>
        <w:t xml:space="preserve"> most common cause of cancer death in f</w:t>
      </w:r>
      <w:r>
        <w:rPr>
          <w:rFonts w:asciiTheme="minorHAnsi" w:eastAsiaTheme="minorHAnsi" w:hAnsiTheme="minorHAnsi"/>
          <w:snapToGrid/>
        </w:rPr>
        <w:t>emales in Australia (AIHW 2017).</w:t>
      </w:r>
      <w:bookmarkStart w:id="22" w:name="_GoBack"/>
      <w:bookmarkEnd w:id="22"/>
    </w:p>
    <w:sectPr w:rsidR="008A4C13" w:rsidRPr="007C1381" w:rsidSect="00CD4AC5">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E851F8" w15:done="0"/>
  <w15:commentEx w15:paraId="18F226E8" w15:done="0"/>
  <w15:commentEx w15:paraId="2884C21C" w15:done="0"/>
  <w15:commentEx w15:paraId="7673B38C" w15:paraIdParent="2884C2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016EA" w16cid:durableId="1E21DC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5B2" w:rsidRDefault="006025B2" w:rsidP="00124A51">
      <w:r>
        <w:separator/>
      </w:r>
    </w:p>
    <w:p w:rsidR="006025B2" w:rsidRDefault="006025B2"/>
  </w:endnote>
  <w:endnote w:type="continuationSeparator" w:id="0">
    <w:p w:rsidR="006025B2" w:rsidRDefault="006025B2" w:rsidP="00124A51">
      <w:r>
        <w:continuationSeparator/>
      </w:r>
    </w:p>
    <w:p w:rsidR="006025B2" w:rsidRDefault="006025B2"/>
  </w:endnote>
  <w:endnote w:type="continuationNotice" w:id="1">
    <w:p w:rsidR="006025B2" w:rsidRDefault="00602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2D" w:rsidRDefault="009C3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136455"/>
      <w:docPartObj>
        <w:docPartGallery w:val="Page Numbers (Bottom of Page)"/>
        <w:docPartUnique/>
      </w:docPartObj>
    </w:sdtPr>
    <w:sdtEndPr>
      <w:rPr>
        <w:noProof/>
      </w:rPr>
    </w:sdtEndPr>
    <w:sdtContent>
      <w:p w:rsidR="009C362D" w:rsidRDefault="009C362D">
        <w:pPr>
          <w:pStyle w:val="Footer"/>
          <w:jc w:val="center"/>
        </w:pPr>
        <w:r>
          <w:fldChar w:fldCharType="begin"/>
        </w:r>
        <w:r>
          <w:instrText xml:space="preserve"> PAGE   \* MERGEFORMAT </w:instrText>
        </w:r>
        <w:r>
          <w:fldChar w:fldCharType="separate"/>
        </w:r>
        <w:r w:rsidR="006025B2">
          <w:rPr>
            <w:noProof/>
          </w:rPr>
          <w:t>26</w:t>
        </w:r>
        <w:r>
          <w:rPr>
            <w:noProof/>
          </w:rPr>
          <w:fldChar w:fldCharType="end"/>
        </w:r>
      </w:p>
    </w:sdtContent>
  </w:sdt>
  <w:p w:rsidR="009C362D" w:rsidRDefault="009C36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2D" w:rsidRDefault="009C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5B2" w:rsidRDefault="006025B2" w:rsidP="00124A51">
      <w:r>
        <w:separator/>
      </w:r>
    </w:p>
    <w:p w:rsidR="006025B2" w:rsidRDefault="006025B2"/>
  </w:footnote>
  <w:footnote w:type="continuationSeparator" w:id="0">
    <w:p w:rsidR="006025B2" w:rsidRDefault="006025B2" w:rsidP="00124A51">
      <w:r>
        <w:continuationSeparator/>
      </w:r>
    </w:p>
    <w:p w:rsidR="006025B2" w:rsidRDefault="006025B2"/>
  </w:footnote>
  <w:footnote w:type="continuationNotice" w:id="1">
    <w:p w:rsidR="006025B2" w:rsidRDefault="006025B2"/>
  </w:footnote>
  <w:footnote w:id="2">
    <w:p w:rsidR="009C362D" w:rsidRPr="00C97801" w:rsidRDefault="009C362D">
      <w:pPr>
        <w:pStyle w:val="FootnoteText"/>
        <w:rPr>
          <w:sz w:val="18"/>
          <w:szCs w:val="18"/>
        </w:rPr>
      </w:pPr>
      <w:r w:rsidRPr="00C97801">
        <w:rPr>
          <w:rStyle w:val="FootnoteReference"/>
          <w:sz w:val="18"/>
          <w:szCs w:val="18"/>
        </w:rPr>
        <w:footnoteRef/>
      </w:r>
      <w:r w:rsidRPr="00C97801">
        <w:rPr>
          <w:sz w:val="18"/>
          <w:szCs w:val="18"/>
        </w:rPr>
        <w:t xml:space="preserve"> </w:t>
      </w:r>
      <w:r w:rsidRPr="00C97801">
        <w:rPr>
          <w:rFonts w:asciiTheme="minorHAnsi" w:hAnsiTheme="minorHAnsi" w:cs="Arial"/>
          <w:bCs/>
          <w:snapToGrid w:val="0"/>
          <w:sz w:val="18"/>
          <w:szCs w:val="18"/>
        </w:rPr>
        <w:t>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 w:id="3">
    <w:p w:rsidR="009C362D" w:rsidRPr="00C97801" w:rsidRDefault="009C362D" w:rsidP="00C97801">
      <w:pPr>
        <w:pStyle w:val="EndNoteBibliography"/>
        <w:ind w:left="720" w:hanging="720"/>
        <w:rPr>
          <w:sz w:val="18"/>
          <w:szCs w:val="18"/>
        </w:rPr>
      </w:pPr>
      <w:r>
        <w:rPr>
          <w:rStyle w:val="FootnoteReference"/>
        </w:rPr>
        <w:footnoteRef/>
      </w:r>
      <w:r w:rsidRPr="00C97801">
        <w:rPr>
          <w:sz w:val="18"/>
          <w:szCs w:val="18"/>
        </w:rPr>
        <w:t xml:space="preserve"> </w:t>
      </w:r>
      <w:r w:rsidRPr="00C97801">
        <w:rPr>
          <w:rFonts w:asciiTheme="minorHAnsi" w:hAnsiTheme="minorHAnsi"/>
          <w:sz w:val="18"/>
          <w:szCs w:val="18"/>
        </w:rPr>
        <w:t xml:space="preserve">Doyle et al. </w:t>
      </w:r>
      <w:bookmarkStart w:id="12" w:name="_ENREF_17"/>
      <w:r w:rsidRPr="00C97801">
        <w:rPr>
          <w:rFonts w:asciiTheme="minorHAnsi" w:hAnsiTheme="minorHAnsi"/>
          <w:sz w:val="18"/>
          <w:szCs w:val="18"/>
        </w:rPr>
        <w:t xml:space="preserve">2016. Sorafenib in the treatment of hepatocellular carcinoma: a multi-centre real-world study. </w:t>
      </w:r>
      <w:r w:rsidRPr="00C97801">
        <w:rPr>
          <w:rFonts w:asciiTheme="minorHAnsi" w:hAnsiTheme="minorHAnsi"/>
          <w:i/>
          <w:sz w:val="18"/>
          <w:szCs w:val="18"/>
        </w:rPr>
        <w:t>Scand J Gastroenterol,</w:t>
      </w:r>
      <w:r w:rsidRPr="00C97801">
        <w:rPr>
          <w:rFonts w:asciiTheme="minorHAnsi" w:hAnsiTheme="minorHAnsi"/>
          <w:sz w:val="18"/>
          <w:szCs w:val="18"/>
        </w:rPr>
        <w:t xml:space="preserve"> 51</w:t>
      </w:r>
      <w:r w:rsidRPr="00C97801">
        <w:rPr>
          <w:rFonts w:asciiTheme="minorHAnsi" w:hAnsiTheme="minorHAnsi"/>
          <w:b/>
          <w:sz w:val="18"/>
          <w:szCs w:val="18"/>
        </w:rPr>
        <w:t>,</w:t>
      </w:r>
      <w:r w:rsidRPr="00C97801">
        <w:rPr>
          <w:rFonts w:asciiTheme="minorHAnsi" w:hAnsiTheme="minorHAnsi"/>
          <w:sz w:val="18"/>
          <w:szCs w:val="18"/>
        </w:rPr>
        <w:t xml:space="preserve"> 979-85.</w:t>
      </w:r>
      <w:bookmarkEnd w:id="12"/>
    </w:p>
    <w:p w:rsidR="009C362D" w:rsidRDefault="009C362D">
      <w:pPr>
        <w:pStyle w:val="FootnoteText"/>
      </w:pPr>
    </w:p>
  </w:footnote>
  <w:footnote w:id="4">
    <w:p w:rsidR="009C362D" w:rsidRDefault="009C362D">
      <w:pPr>
        <w:pStyle w:val="FootnoteText"/>
      </w:pPr>
      <w:r>
        <w:rPr>
          <w:rStyle w:val="FootnoteReference"/>
        </w:rPr>
        <w:footnoteRef/>
      </w:r>
      <w:r>
        <w:t xml:space="preserve"> Llovet et al. 2008. </w:t>
      </w:r>
      <w:r w:rsidRPr="00A70D9C">
        <w:t>Sorafenib in advanced hepatocellular carcinoma</w:t>
      </w:r>
      <w:r>
        <w:t xml:space="preserve">. </w:t>
      </w:r>
      <w:r w:rsidRPr="00A70D9C">
        <w:rPr>
          <w:i/>
        </w:rPr>
        <w:t>NEJM</w:t>
      </w:r>
      <w:r>
        <w:t>, 359(4), 378-90.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2D" w:rsidRDefault="009C3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2D" w:rsidRPr="007C1381" w:rsidRDefault="009C362D" w:rsidP="003606EB">
    <w:pPr>
      <w:tabs>
        <w:tab w:val="left" w:pos="142"/>
        <w:tab w:val="right" w:pos="9027"/>
      </w:tabs>
      <w:jc w:val="center"/>
      <w:rPr>
        <w:i/>
        <w:sz w:val="22"/>
      </w:rPr>
    </w:pPr>
    <w:r w:rsidRPr="007C1381">
      <w:rPr>
        <w:i/>
        <w:sz w:val="22"/>
      </w:rPr>
      <w:t>Public Summary Document – March 2018 PBAC Meeting</w:t>
    </w:r>
  </w:p>
  <w:p w:rsidR="009C362D" w:rsidRDefault="009C362D" w:rsidP="00D13244">
    <w:pPr>
      <w:tabs>
        <w:tab w:val="left" w:pos="142"/>
        <w:tab w:val="right" w:pos="9027"/>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62D" w:rsidRDefault="009C36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473E9E5A"/>
    <w:lvl w:ilvl="0" w:tplc="04090001">
      <w:start w:val="1"/>
      <w:numFmt w:val="bullet"/>
      <w:lvlText w:val=""/>
      <w:lvlJc w:val="left"/>
      <w:pPr>
        <w:ind w:left="720" w:hanging="360"/>
      </w:pPr>
      <w:rPr>
        <w:rFonts w:ascii="Symbol" w:hAnsi="Symbol" w:hint="default"/>
      </w:rPr>
    </w:lvl>
    <w:lvl w:ilvl="1" w:tplc="83C470BE">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25D65"/>
    <w:multiLevelType w:val="hybridMultilevel"/>
    <w:tmpl w:val="60F2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B8799A"/>
    <w:multiLevelType w:val="hybridMultilevel"/>
    <w:tmpl w:val="DDAC9F3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nsid w:val="0A7D1F95"/>
    <w:multiLevelType w:val="multilevel"/>
    <w:tmpl w:val="D584B798"/>
    <w:lvl w:ilvl="0">
      <w:start w:val="1"/>
      <w:numFmt w:val="decimal"/>
      <w:lvlText w:val="%1."/>
      <w:lvlJc w:val="left"/>
      <w:pPr>
        <w:ind w:left="360" w:hanging="360"/>
      </w:pPr>
      <w:rPr>
        <w:rFonts w:hint="default"/>
      </w:rPr>
    </w:lvl>
    <w:lvl w:ilvl="1">
      <w:start w:val="1"/>
      <w:numFmt w:val="decimal"/>
      <w:lvlText w:val="6.%2."/>
      <w:lvlJc w:val="left"/>
      <w:pPr>
        <w:ind w:left="170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EA86775"/>
    <w:multiLevelType w:val="multilevel"/>
    <w:tmpl w:val="71064CAC"/>
    <w:lvl w:ilvl="0">
      <w:numFmt w:val="decimal"/>
      <w:lvlText w:val="%1"/>
      <w:lvlJc w:val="left"/>
      <w:pPr>
        <w:ind w:left="360" w:hanging="360"/>
      </w:pPr>
      <w:rPr>
        <w:rFonts w:hint="default"/>
      </w:rPr>
    </w:lvl>
    <w:lvl w:ilvl="1">
      <w:start w:val="8"/>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1162036E"/>
    <w:multiLevelType w:val="hybridMultilevel"/>
    <w:tmpl w:val="FA1ED570"/>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2B12563"/>
    <w:multiLevelType w:val="hybridMultilevel"/>
    <w:tmpl w:val="80CCAF90"/>
    <w:lvl w:ilvl="0" w:tplc="FFFFFFFF">
      <w:start w:val="1"/>
      <w:numFmt w:val="bullet"/>
      <w:pStyle w:val="Norm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3F51BF3"/>
    <w:multiLevelType w:val="hybridMultilevel"/>
    <w:tmpl w:val="921A5C64"/>
    <w:lvl w:ilvl="0" w:tplc="B2D2B364">
      <w:start w:val="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E94143E"/>
    <w:multiLevelType w:val="hybridMultilevel"/>
    <w:tmpl w:val="734A5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F406E42"/>
    <w:multiLevelType w:val="hybridMultilevel"/>
    <w:tmpl w:val="8D3CD14E"/>
    <w:lvl w:ilvl="0" w:tplc="ECEEE97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A4699F"/>
    <w:multiLevelType w:val="multilevel"/>
    <w:tmpl w:val="816C7C4C"/>
    <w:lvl w:ilvl="0">
      <w:numFmt w:val="decimal"/>
      <w:lvlText w:val="%1"/>
      <w:lvlJc w:val="left"/>
      <w:pPr>
        <w:ind w:left="360" w:hanging="360"/>
      </w:pPr>
      <w:rPr>
        <w:rFonts w:hint="default"/>
      </w:rPr>
    </w:lvl>
    <w:lvl w:ilvl="1">
      <w:start w:val="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3B7C34E2"/>
    <w:multiLevelType w:val="hybridMultilevel"/>
    <w:tmpl w:val="B8784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E56B53"/>
    <w:multiLevelType w:val="hybridMultilevel"/>
    <w:tmpl w:val="647A389E"/>
    <w:lvl w:ilvl="0" w:tplc="7A720B8E">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4442297"/>
    <w:multiLevelType w:val="hybridMultilevel"/>
    <w:tmpl w:val="A3BAB280"/>
    <w:lvl w:ilvl="0" w:tplc="C324F4FC">
      <w:start w:val="1"/>
      <w:numFmt w:val="bullet"/>
      <w:pStyle w:val="Bulletpoin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187F05"/>
    <w:multiLevelType w:val="hybridMultilevel"/>
    <w:tmpl w:val="C66CD934"/>
    <w:lvl w:ilvl="0" w:tplc="53BA6EA2">
      <w:start w:val="1"/>
      <w:numFmt w:val="decimal"/>
      <w:lvlText w:val="(%1)"/>
      <w:lvlJc w:val="left"/>
      <w:pPr>
        <w:ind w:left="1100" w:hanging="38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5A3E8C"/>
    <w:multiLevelType w:val="hybridMultilevel"/>
    <w:tmpl w:val="9F96C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E2DF6"/>
    <w:multiLevelType w:val="hybridMultilevel"/>
    <w:tmpl w:val="F6AE2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8393965"/>
    <w:multiLevelType w:val="hybridMultilevel"/>
    <w:tmpl w:val="1D8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C7FB0"/>
    <w:multiLevelType w:val="hybridMultilevel"/>
    <w:tmpl w:val="A7841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40100F"/>
    <w:multiLevelType w:val="hybridMultilevel"/>
    <w:tmpl w:val="611C0D16"/>
    <w:lvl w:ilvl="0" w:tplc="CC68641E">
      <w:start w:val="7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322910"/>
    <w:multiLevelType w:val="hybridMultilevel"/>
    <w:tmpl w:val="41BAE080"/>
    <w:lvl w:ilvl="0" w:tplc="94D42A8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84D033C"/>
    <w:multiLevelType w:val="multilevel"/>
    <w:tmpl w:val="82B4A0C6"/>
    <w:lvl w:ilvl="0">
      <w:start w:val="1"/>
      <w:numFmt w:val="decimal"/>
      <w:pStyle w:val="PBACHeading1"/>
      <w:lvlText w:val="%1"/>
      <w:lvlJc w:val="left"/>
      <w:pPr>
        <w:ind w:left="1004"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30"/>
  </w:num>
  <w:num w:numId="4">
    <w:abstractNumId w:val="31"/>
  </w:num>
  <w:num w:numId="5">
    <w:abstractNumId w:val="26"/>
  </w:num>
  <w:num w:numId="6">
    <w:abstractNumId w:val="23"/>
  </w:num>
  <w:num w:numId="7">
    <w:abstractNumId w:val="17"/>
  </w:num>
  <w:num w:numId="8">
    <w:abstractNumId w:val="20"/>
  </w:num>
  <w:num w:numId="9">
    <w:abstractNumId w:val="13"/>
  </w:num>
  <w:num w:numId="10">
    <w:abstractNumId w:val="28"/>
  </w:num>
  <w:num w:numId="11">
    <w:abstractNumId w:val="18"/>
  </w:num>
  <w:num w:numId="12">
    <w:abstractNumId w:val="19"/>
  </w:num>
  <w:num w:numId="13">
    <w:abstractNumId w:val="21"/>
  </w:num>
  <w:num w:numId="14">
    <w:abstractNumId w:val="27"/>
  </w:num>
  <w:num w:numId="15">
    <w:abstractNumId w:val="25"/>
  </w:num>
  <w:num w:numId="16">
    <w:abstractNumId w:val="2"/>
  </w:num>
  <w:num w:numId="17">
    <w:abstractNumId w:val="9"/>
  </w:num>
  <w:num w:numId="18">
    <w:abstractNumId w:val="8"/>
  </w:num>
  <w:num w:numId="19">
    <w:abstractNumId w:val="2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4"/>
  </w:num>
  <w:num w:numId="23">
    <w:abstractNumId w:val="30"/>
    <w:lvlOverride w:ilvl="0"/>
    <w:lvlOverride w:ilvl="1">
      <w:startOverride w:val="44"/>
    </w:lvlOverride>
  </w:num>
  <w:num w:numId="24">
    <w:abstractNumId w:val="6"/>
  </w:num>
  <w:num w:numId="25">
    <w:abstractNumId w:val="22"/>
  </w:num>
  <w:num w:numId="26">
    <w:abstractNumId w:val="4"/>
  </w:num>
  <w:num w:numId="27">
    <w:abstractNumId w:val="3"/>
  </w:num>
  <w:num w:numId="28">
    <w:abstractNumId w:val="16"/>
  </w:num>
  <w:num w:numId="29">
    <w:abstractNumId w:val="7"/>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24"/>
  </w:num>
  <w:num w:numId="37">
    <w:abstractNumId w:val="5"/>
  </w:num>
  <w:num w:numId="38">
    <w:abstractNumId w:val="0"/>
  </w:num>
  <w:num w:numId="39">
    <w:abstractNumId w:val="10"/>
  </w:num>
  <w:num w:numId="40">
    <w:abstractNumId w:val="30"/>
  </w:num>
  <w:num w:numId="41">
    <w:abstractNumId w:val="3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59"/>
    <w:rsid w:val="00000790"/>
    <w:rsid w:val="0000110B"/>
    <w:rsid w:val="00003499"/>
    <w:rsid w:val="000039B7"/>
    <w:rsid w:val="00010AA2"/>
    <w:rsid w:val="00011062"/>
    <w:rsid w:val="00011917"/>
    <w:rsid w:val="0001214A"/>
    <w:rsid w:val="00013247"/>
    <w:rsid w:val="000146FB"/>
    <w:rsid w:val="00014AF0"/>
    <w:rsid w:val="00015886"/>
    <w:rsid w:val="000162EF"/>
    <w:rsid w:val="0001692D"/>
    <w:rsid w:val="0002225F"/>
    <w:rsid w:val="00023763"/>
    <w:rsid w:val="0002477F"/>
    <w:rsid w:val="00027440"/>
    <w:rsid w:val="000305E7"/>
    <w:rsid w:val="00030CF0"/>
    <w:rsid w:val="000316FC"/>
    <w:rsid w:val="00031AE9"/>
    <w:rsid w:val="00033863"/>
    <w:rsid w:val="00033A4C"/>
    <w:rsid w:val="00034C6C"/>
    <w:rsid w:val="00035DC0"/>
    <w:rsid w:val="00036829"/>
    <w:rsid w:val="00037E87"/>
    <w:rsid w:val="00040895"/>
    <w:rsid w:val="00040E7E"/>
    <w:rsid w:val="0004185D"/>
    <w:rsid w:val="00041ADA"/>
    <w:rsid w:val="00043C37"/>
    <w:rsid w:val="00044295"/>
    <w:rsid w:val="00044A58"/>
    <w:rsid w:val="00044F88"/>
    <w:rsid w:val="00045017"/>
    <w:rsid w:val="000458B2"/>
    <w:rsid w:val="00045A2B"/>
    <w:rsid w:val="0004698F"/>
    <w:rsid w:val="000502BC"/>
    <w:rsid w:val="00050984"/>
    <w:rsid w:val="0005201D"/>
    <w:rsid w:val="000539D0"/>
    <w:rsid w:val="00054621"/>
    <w:rsid w:val="000546D7"/>
    <w:rsid w:val="00055788"/>
    <w:rsid w:val="00055E60"/>
    <w:rsid w:val="00055FE2"/>
    <w:rsid w:val="00056294"/>
    <w:rsid w:val="00057D62"/>
    <w:rsid w:val="00060F7D"/>
    <w:rsid w:val="00061272"/>
    <w:rsid w:val="00066360"/>
    <w:rsid w:val="00067950"/>
    <w:rsid w:val="00070607"/>
    <w:rsid w:val="00071016"/>
    <w:rsid w:val="00071248"/>
    <w:rsid w:val="00071DD0"/>
    <w:rsid w:val="000720B9"/>
    <w:rsid w:val="00072535"/>
    <w:rsid w:val="000731A2"/>
    <w:rsid w:val="000737F7"/>
    <w:rsid w:val="00073E17"/>
    <w:rsid w:val="00074000"/>
    <w:rsid w:val="00074A3B"/>
    <w:rsid w:val="0007672F"/>
    <w:rsid w:val="000774F0"/>
    <w:rsid w:val="00077EBB"/>
    <w:rsid w:val="00080909"/>
    <w:rsid w:val="000812CA"/>
    <w:rsid w:val="00081DC3"/>
    <w:rsid w:val="00081F5C"/>
    <w:rsid w:val="00082205"/>
    <w:rsid w:val="0008258D"/>
    <w:rsid w:val="000831B9"/>
    <w:rsid w:val="00083E99"/>
    <w:rsid w:val="00084511"/>
    <w:rsid w:val="0008526E"/>
    <w:rsid w:val="000856A1"/>
    <w:rsid w:val="000856C5"/>
    <w:rsid w:val="00086578"/>
    <w:rsid w:val="00086B22"/>
    <w:rsid w:val="00090B6B"/>
    <w:rsid w:val="00090C7E"/>
    <w:rsid w:val="00092269"/>
    <w:rsid w:val="00092600"/>
    <w:rsid w:val="0009262B"/>
    <w:rsid w:val="00092CEB"/>
    <w:rsid w:val="00093310"/>
    <w:rsid w:val="00093C71"/>
    <w:rsid w:val="00094279"/>
    <w:rsid w:val="0009445C"/>
    <w:rsid w:val="00095FE5"/>
    <w:rsid w:val="000960A4"/>
    <w:rsid w:val="0009615A"/>
    <w:rsid w:val="00096284"/>
    <w:rsid w:val="000A0BC8"/>
    <w:rsid w:val="000A1A7F"/>
    <w:rsid w:val="000A2279"/>
    <w:rsid w:val="000A39C2"/>
    <w:rsid w:val="000A4DA5"/>
    <w:rsid w:val="000A5271"/>
    <w:rsid w:val="000A70B4"/>
    <w:rsid w:val="000A7D08"/>
    <w:rsid w:val="000B0670"/>
    <w:rsid w:val="000B0E75"/>
    <w:rsid w:val="000B1998"/>
    <w:rsid w:val="000B3F96"/>
    <w:rsid w:val="000B47E7"/>
    <w:rsid w:val="000B56BA"/>
    <w:rsid w:val="000B5AD5"/>
    <w:rsid w:val="000B68E2"/>
    <w:rsid w:val="000B6BF6"/>
    <w:rsid w:val="000B6CAC"/>
    <w:rsid w:val="000B7612"/>
    <w:rsid w:val="000C24C8"/>
    <w:rsid w:val="000C3DF9"/>
    <w:rsid w:val="000C4FEB"/>
    <w:rsid w:val="000C6713"/>
    <w:rsid w:val="000D04F0"/>
    <w:rsid w:val="000D0D20"/>
    <w:rsid w:val="000D1BFC"/>
    <w:rsid w:val="000D281A"/>
    <w:rsid w:val="000D326A"/>
    <w:rsid w:val="000D51FB"/>
    <w:rsid w:val="000D5959"/>
    <w:rsid w:val="000E0CF0"/>
    <w:rsid w:val="000E135D"/>
    <w:rsid w:val="000E14A0"/>
    <w:rsid w:val="000E3E2A"/>
    <w:rsid w:val="000E4BBA"/>
    <w:rsid w:val="000E63BF"/>
    <w:rsid w:val="000E75E5"/>
    <w:rsid w:val="000F00BA"/>
    <w:rsid w:val="000F316A"/>
    <w:rsid w:val="000F3C74"/>
    <w:rsid w:val="000F4BB8"/>
    <w:rsid w:val="000F7015"/>
    <w:rsid w:val="000F7127"/>
    <w:rsid w:val="001006B9"/>
    <w:rsid w:val="00100F8A"/>
    <w:rsid w:val="00105714"/>
    <w:rsid w:val="00105AE2"/>
    <w:rsid w:val="00106050"/>
    <w:rsid w:val="00106B80"/>
    <w:rsid w:val="0010798A"/>
    <w:rsid w:val="0011032E"/>
    <w:rsid w:val="001125D1"/>
    <w:rsid w:val="0011348B"/>
    <w:rsid w:val="00115982"/>
    <w:rsid w:val="00115B42"/>
    <w:rsid w:val="00116C53"/>
    <w:rsid w:val="00120993"/>
    <w:rsid w:val="001212C3"/>
    <w:rsid w:val="00121799"/>
    <w:rsid w:val="00121834"/>
    <w:rsid w:val="00121CF1"/>
    <w:rsid w:val="001222FC"/>
    <w:rsid w:val="00122A2B"/>
    <w:rsid w:val="00124751"/>
    <w:rsid w:val="00124A51"/>
    <w:rsid w:val="00126621"/>
    <w:rsid w:val="001275F5"/>
    <w:rsid w:val="00130068"/>
    <w:rsid w:val="001301E9"/>
    <w:rsid w:val="00131C7C"/>
    <w:rsid w:val="00131D82"/>
    <w:rsid w:val="00132E54"/>
    <w:rsid w:val="00132F83"/>
    <w:rsid w:val="001330FD"/>
    <w:rsid w:val="00133D36"/>
    <w:rsid w:val="001374DE"/>
    <w:rsid w:val="00137645"/>
    <w:rsid w:val="0014015A"/>
    <w:rsid w:val="00140E99"/>
    <w:rsid w:val="00142648"/>
    <w:rsid w:val="00145540"/>
    <w:rsid w:val="001456B0"/>
    <w:rsid w:val="00152E3A"/>
    <w:rsid w:val="00153C5F"/>
    <w:rsid w:val="001542BF"/>
    <w:rsid w:val="001545E3"/>
    <w:rsid w:val="00154ACD"/>
    <w:rsid w:val="00157130"/>
    <w:rsid w:val="001576B1"/>
    <w:rsid w:val="001603B1"/>
    <w:rsid w:val="00160A4C"/>
    <w:rsid w:val="00160FE0"/>
    <w:rsid w:val="0016285E"/>
    <w:rsid w:val="00162913"/>
    <w:rsid w:val="00163A7B"/>
    <w:rsid w:val="00163EFF"/>
    <w:rsid w:val="001661FB"/>
    <w:rsid w:val="00166947"/>
    <w:rsid w:val="00167085"/>
    <w:rsid w:val="001709BE"/>
    <w:rsid w:val="001729B9"/>
    <w:rsid w:val="001734A4"/>
    <w:rsid w:val="00173504"/>
    <w:rsid w:val="00173565"/>
    <w:rsid w:val="00173B07"/>
    <w:rsid w:val="0017492E"/>
    <w:rsid w:val="00181D9C"/>
    <w:rsid w:val="00183FB7"/>
    <w:rsid w:val="00186229"/>
    <w:rsid w:val="0018642E"/>
    <w:rsid w:val="0018752F"/>
    <w:rsid w:val="00187890"/>
    <w:rsid w:val="00190859"/>
    <w:rsid w:val="00194BE5"/>
    <w:rsid w:val="00195222"/>
    <w:rsid w:val="0019637E"/>
    <w:rsid w:val="001975D8"/>
    <w:rsid w:val="001A1037"/>
    <w:rsid w:val="001A1347"/>
    <w:rsid w:val="001A4231"/>
    <w:rsid w:val="001A42DF"/>
    <w:rsid w:val="001A43FA"/>
    <w:rsid w:val="001A5230"/>
    <w:rsid w:val="001A59FB"/>
    <w:rsid w:val="001A5C9F"/>
    <w:rsid w:val="001A6354"/>
    <w:rsid w:val="001A7AE8"/>
    <w:rsid w:val="001B0123"/>
    <w:rsid w:val="001B0891"/>
    <w:rsid w:val="001B0A10"/>
    <w:rsid w:val="001B0A84"/>
    <w:rsid w:val="001B0CBC"/>
    <w:rsid w:val="001B204E"/>
    <w:rsid w:val="001B2910"/>
    <w:rsid w:val="001B2AD9"/>
    <w:rsid w:val="001B3443"/>
    <w:rsid w:val="001B46AB"/>
    <w:rsid w:val="001B4845"/>
    <w:rsid w:val="001B4D20"/>
    <w:rsid w:val="001B5268"/>
    <w:rsid w:val="001B68D4"/>
    <w:rsid w:val="001B6D28"/>
    <w:rsid w:val="001B7FE3"/>
    <w:rsid w:val="001C0840"/>
    <w:rsid w:val="001C0852"/>
    <w:rsid w:val="001C1255"/>
    <w:rsid w:val="001C2A9B"/>
    <w:rsid w:val="001C4299"/>
    <w:rsid w:val="001C4406"/>
    <w:rsid w:val="001C5F56"/>
    <w:rsid w:val="001C5F94"/>
    <w:rsid w:val="001C657B"/>
    <w:rsid w:val="001C6E66"/>
    <w:rsid w:val="001D2869"/>
    <w:rsid w:val="001D2C00"/>
    <w:rsid w:val="001E238E"/>
    <w:rsid w:val="001E2483"/>
    <w:rsid w:val="001E2B1E"/>
    <w:rsid w:val="001E30D4"/>
    <w:rsid w:val="001E52EB"/>
    <w:rsid w:val="001E61D2"/>
    <w:rsid w:val="001E740C"/>
    <w:rsid w:val="001F0E33"/>
    <w:rsid w:val="001F1235"/>
    <w:rsid w:val="001F12F5"/>
    <w:rsid w:val="001F1CB3"/>
    <w:rsid w:val="001F30A0"/>
    <w:rsid w:val="001F38B5"/>
    <w:rsid w:val="001F4C02"/>
    <w:rsid w:val="001F7361"/>
    <w:rsid w:val="001F756A"/>
    <w:rsid w:val="002011B0"/>
    <w:rsid w:val="00203181"/>
    <w:rsid w:val="00203783"/>
    <w:rsid w:val="0020385F"/>
    <w:rsid w:val="00207021"/>
    <w:rsid w:val="0020732F"/>
    <w:rsid w:val="00207D00"/>
    <w:rsid w:val="00207D02"/>
    <w:rsid w:val="002105C1"/>
    <w:rsid w:val="00210A8F"/>
    <w:rsid w:val="00214278"/>
    <w:rsid w:val="00216679"/>
    <w:rsid w:val="00220974"/>
    <w:rsid w:val="0022161A"/>
    <w:rsid w:val="0022358F"/>
    <w:rsid w:val="00223B49"/>
    <w:rsid w:val="00224DD4"/>
    <w:rsid w:val="00227FF6"/>
    <w:rsid w:val="0023060D"/>
    <w:rsid w:val="002309CC"/>
    <w:rsid w:val="00230BD0"/>
    <w:rsid w:val="0023209F"/>
    <w:rsid w:val="002324C7"/>
    <w:rsid w:val="00235926"/>
    <w:rsid w:val="002359EF"/>
    <w:rsid w:val="0023629D"/>
    <w:rsid w:val="00237255"/>
    <w:rsid w:val="002374D8"/>
    <w:rsid w:val="00240F6A"/>
    <w:rsid w:val="002424AF"/>
    <w:rsid w:val="0024278A"/>
    <w:rsid w:val="00242DFB"/>
    <w:rsid w:val="002430A5"/>
    <w:rsid w:val="002436B5"/>
    <w:rsid w:val="002439DC"/>
    <w:rsid w:val="00243C74"/>
    <w:rsid w:val="00244DC8"/>
    <w:rsid w:val="00245862"/>
    <w:rsid w:val="002458BA"/>
    <w:rsid w:val="00246029"/>
    <w:rsid w:val="0024636C"/>
    <w:rsid w:val="00246BC8"/>
    <w:rsid w:val="0024783D"/>
    <w:rsid w:val="00247925"/>
    <w:rsid w:val="00250CF0"/>
    <w:rsid w:val="00251B04"/>
    <w:rsid w:val="00253053"/>
    <w:rsid w:val="00253CB1"/>
    <w:rsid w:val="00254DCF"/>
    <w:rsid w:val="0025534B"/>
    <w:rsid w:val="002553FD"/>
    <w:rsid w:val="00255BB7"/>
    <w:rsid w:val="00255BDA"/>
    <w:rsid w:val="00256600"/>
    <w:rsid w:val="00257541"/>
    <w:rsid w:val="002578D5"/>
    <w:rsid w:val="00257B71"/>
    <w:rsid w:val="00262A1A"/>
    <w:rsid w:val="00262A87"/>
    <w:rsid w:val="00263EFB"/>
    <w:rsid w:val="00264D26"/>
    <w:rsid w:val="002651A7"/>
    <w:rsid w:val="0026708E"/>
    <w:rsid w:val="00267642"/>
    <w:rsid w:val="002676CF"/>
    <w:rsid w:val="00267AEA"/>
    <w:rsid w:val="002700E6"/>
    <w:rsid w:val="002717D2"/>
    <w:rsid w:val="0027294B"/>
    <w:rsid w:val="002744EB"/>
    <w:rsid w:val="00275C5A"/>
    <w:rsid w:val="002760DA"/>
    <w:rsid w:val="00281014"/>
    <w:rsid w:val="00281079"/>
    <w:rsid w:val="00282239"/>
    <w:rsid w:val="0028225A"/>
    <w:rsid w:val="00282D58"/>
    <w:rsid w:val="002844CE"/>
    <w:rsid w:val="002847D8"/>
    <w:rsid w:val="00287F4A"/>
    <w:rsid w:val="00292C00"/>
    <w:rsid w:val="002A14AB"/>
    <w:rsid w:val="002A2F50"/>
    <w:rsid w:val="002A35F2"/>
    <w:rsid w:val="002A43F3"/>
    <w:rsid w:val="002A5D24"/>
    <w:rsid w:val="002A6446"/>
    <w:rsid w:val="002A7FFA"/>
    <w:rsid w:val="002B0831"/>
    <w:rsid w:val="002B09A4"/>
    <w:rsid w:val="002B1AAC"/>
    <w:rsid w:val="002B1C1F"/>
    <w:rsid w:val="002B432F"/>
    <w:rsid w:val="002B45BE"/>
    <w:rsid w:val="002B4772"/>
    <w:rsid w:val="002B4A3A"/>
    <w:rsid w:val="002B5CAB"/>
    <w:rsid w:val="002B62B3"/>
    <w:rsid w:val="002B6754"/>
    <w:rsid w:val="002B6CCE"/>
    <w:rsid w:val="002B6D1A"/>
    <w:rsid w:val="002C1995"/>
    <w:rsid w:val="002C20C0"/>
    <w:rsid w:val="002C2510"/>
    <w:rsid w:val="002C2775"/>
    <w:rsid w:val="002C27C1"/>
    <w:rsid w:val="002C4EED"/>
    <w:rsid w:val="002C5099"/>
    <w:rsid w:val="002C5889"/>
    <w:rsid w:val="002C6624"/>
    <w:rsid w:val="002C71CE"/>
    <w:rsid w:val="002C7E96"/>
    <w:rsid w:val="002D2C2A"/>
    <w:rsid w:val="002D48B8"/>
    <w:rsid w:val="002D577C"/>
    <w:rsid w:val="002D77B0"/>
    <w:rsid w:val="002E15B9"/>
    <w:rsid w:val="002E2158"/>
    <w:rsid w:val="002E34CC"/>
    <w:rsid w:val="002E40A5"/>
    <w:rsid w:val="002E7453"/>
    <w:rsid w:val="002E7722"/>
    <w:rsid w:val="002F07BA"/>
    <w:rsid w:val="002F0DA9"/>
    <w:rsid w:val="002F1B6F"/>
    <w:rsid w:val="002F24E1"/>
    <w:rsid w:val="002F2FEC"/>
    <w:rsid w:val="002F3261"/>
    <w:rsid w:val="002F48AB"/>
    <w:rsid w:val="002F5CF6"/>
    <w:rsid w:val="002F643C"/>
    <w:rsid w:val="002F6FD1"/>
    <w:rsid w:val="002F71C0"/>
    <w:rsid w:val="003009F8"/>
    <w:rsid w:val="00301017"/>
    <w:rsid w:val="0030155F"/>
    <w:rsid w:val="00304FBC"/>
    <w:rsid w:val="0030587B"/>
    <w:rsid w:val="0030602D"/>
    <w:rsid w:val="00306D98"/>
    <w:rsid w:val="0030786C"/>
    <w:rsid w:val="00307FF7"/>
    <w:rsid w:val="0031031A"/>
    <w:rsid w:val="00310981"/>
    <w:rsid w:val="003123CF"/>
    <w:rsid w:val="00312D0D"/>
    <w:rsid w:val="00312D2E"/>
    <w:rsid w:val="00313DA6"/>
    <w:rsid w:val="0031486A"/>
    <w:rsid w:val="00315498"/>
    <w:rsid w:val="0031786A"/>
    <w:rsid w:val="00321D0D"/>
    <w:rsid w:val="00322107"/>
    <w:rsid w:val="00322846"/>
    <w:rsid w:val="003231AD"/>
    <w:rsid w:val="00326A41"/>
    <w:rsid w:val="00326DA7"/>
    <w:rsid w:val="003270E4"/>
    <w:rsid w:val="00330F5C"/>
    <w:rsid w:val="00330FA7"/>
    <w:rsid w:val="00330FC6"/>
    <w:rsid w:val="003347DD"/>
    <w:rsid w:val="00334FD2"/>
    <w:rsid w:val="003366C9"/>
    <w:rsid w:val="003370A3"/>
    <w:rsid w:val="003371B0"/>
    <w:rsid w:val="00340DF1"/>
    <w:rsid w:val="00341E98"/>
    <w:rsid w:val="00343E0F"/>
    <w:rsid w:val="00346243"/>
    <w:rsid w:val="003517F9"/>
    <w:rsid w:val="00352001"/>
    <w:rsid w:val="0035283C"/>
    <w:rsid w:val="00354A17"/>
    <w:rsid w:val="0035620E"/>
    <w:rsid w:val="00356C89"/>
    <w:rsid w:val="003606EB"/>
    <w:rsid w:val="00360AFB"/>
    <w:rsid w:val="00361469"/>
    <w:rsid w:val="003624C4"/>
    <w:rsid w:val="003636F8"/>
    <w:rsid w:val="003638EA"/>
    <w:rsid w:val="003645DB"/>
    <w:rsid w:val="00364AAC"/>
    <w:rsid w:val="0036529C"/>
    <w:rsid w:val="003654AC"/>
    <w:rsid w:val="003664E9"/>
    <w:rsid w:val="003673E2"/>
    <w:rsid w:val="00370C56"/>
    <w:rsid w:val="003710CF"/>
    <w:rsid w:val="00371F08"/>
    <w:rsid w:val="00372B49"/>
    <w:rsid w:val="003733ED"/>
    <w:rsid w:val="0037358A"/>
    <w:rsid w:val="003745B5"/>
    <w:rsid w:val="0037460A"/>
    <w:rsid w:val="00374ABF"/>
    <w:rsid w:val="003750F6"/>
    <w:rsid w:val="00375D15"/>
    <w:rsid w:val="003760FC"/>
    <w:rsid w:val="00377673"/>
    <w:rsid w:val="003801CB"/>
    <w:rsid w:val="003801D8"/>
    <w:rsid w:val="00381182"/>
    <w:rsid w:val="00381D6D"/>
    <w:rsid w:val="00383509"/>
    <w:rsid w:val="0038365C"/>
    <w:rsid w:val="0038369B"/>
    <w:rsid w:val="00383B78"/>
    <w:rsid w:val="00384340"/>
    <w:rsid w:val="003846D5"/>
    <w:rsid w:val="00384713"/>
    <w:rsid w:val="00385221"/>
    <w:rsid w:val="00385438"/>
    <w:rsid w:val="0038599A"/>
    <w:rsid w:val="00385A9D"/>
    <w:rsid w:val="00386F0B"/>
    <w:rsid w:val="00386F31"/>
    <w:rsid w:val="003902B1"/>
    <w:rsid w:val="00392CA4"/>
    <w:rsid w:val="00396896"/>
    <w:rsid w:val="0039695D"/>
    <w:rsid w:val="00396FD0"/>
    <w:rsid w:val="003974BA"/>
    <w:rsid w:val="003A01E3"/>
    <w:rsid w:val="003A053D"/>
    <w:rsid w:val="003A1542"/>
    <w:rsid w:val="003A1949"/>
    <w:rsid w:val="003A1A7A"/>
    <w:rsid w:val="003A2392"/>
    <w:rsid w:val="003A2618"/>
    <w:rsid w:val="003A2831"/>
    <w:rsid w:val="003A34B2"/>
    <w:rsid w:val="003A351A"/>
    <w:rsid w:val="003A3ED1"/>
    <w:rsid w:val="003B04A2"/>
    <w:rsid w:val="003B10A6"/>
    <w:rsid w:val="003B1A68"/>
    <w:rsid w:val="003B2058"/>
    <w:rsid w:val="003B4B67"/>
    <w:rsid w:val="003B57DA"/>
    <w:rsid w:val="003B5B61"/>
    <w:rsid w:val="003B6B18"/>
    <w:rsid w:val="003B7A31"/>
    <w:rsid w:val="003C1654"/>
    <w:rsid w:val="003C1C3C"/>
    <w:rsid w:val="003C2DCF"/>
    <w:rsid w:val="003C3013"/>
    <w:rsid w:val="003C3F5A"/>
    <w:rsid w:val="003C6CD3"/>
    <w:rsid w:val="003C722C"/>
    <w:rsid w:val="003C7D19"/>
    <w:rsid w:val="003C7D9D"/>
    <w:rsid w:val="003D1828"/>
    <w:rsid w:val="003D1DE4"/>
    <w:rsid w:val="003D21EE"/>
    <w:rsid w:val="003D2422"/>
    <w:rsid w:val="003D2E60"/>
    <w:rsid w:val="003D39A1"/>
    <w:rsid w:val="003D3A82"/>
    <w:rsid w:val="003D3FBF"/>
    <w:rsid w:val="003D46BE"/>
    <w:rsid w:val="003D4A30"/>
    <w:rsid w:val="003D5E3E"/>
    <w:rsid w:val="003D79BB"/>
    <w:rsid w:val="003D7C98"/>
    <w:rsid w:val="003D7E19"/>
    <w:rsid w:val="003E025A"/>
    <w:rsid w:val="003E0543"/>
    <w:rsid w:val="003E101E"/>
    <w:rsid w:val="003E101F"/>
    <w:rsid w:val="003E12C9"/>
    <w:rsid w:val="003E212F"/>
    <w:rsid w:val="003E55BC"/>
    <w:rsid w:val="003E658E"/>
    <w:rsid w:val="003E693A"/>
    <w:rsid w:val="003F3349"/>
    <w:rsid w:val="003F4156"/>
    <w:rsid w:val="003F5114"/>
    <w:rsid w:val="003F79B3"/>
    <w:rsid w:val="003F7A93"/>
    <w:rsid w:val="00400456"/>
    <w:rsid w:val="00400B29"/>
    <w:rsid w:val="004034BF"/>
    <w:rsid w:val="00403DD1"/>
    <w:rsid w:val="0040504B"/>
    <w:rsid w:val="00405DD7"/>
    <w:rsid w:val="00406CB4"/>
    <w:rsid w:val="00410408"/>
    <w:rsid w:val="00410708"/>
    <w:rsid w:val="00410EC7"/>
    <w:rsid w:val="00411B39"/>
    <w:rsid w:val="00413332"/>
    <w:rsid w:val="00413A1E"/>
    <w:rsid w:val="00414476"/>
    <w:rsid w:val="00414C2E"/>
    <w:rsid w:val="004151CF"/>
    <w:rsid w:val="00416351"/>
    <w:rsid w:val="00416364"/>
    <w:rsid w:val="00420AA6"/>
    <w:rsid w:val="00420B9F"/>
    <w:rsid w:val="00421E4F"/>
    <w:rsid w:val="00422260"/>
    <w:rsid w:val="0042413F"/>
    <w:rsid w:val="00425773"/>
    <w:rsid w:val="00426C00"/>
    <w:rsid w:val="004308D7"/>
    <w:rsid w:val="004319F8"/>
    <w:rsid w:val="00431E55"/>
    <w:rsid w:val="004321F6"/>
    <w:rsid w:val="00433044"/>
    <w:rsid w:val="0043533A"/>
    <w:rsid w:val="00435C70"/>
    <w:rsid w:val="004375B9"/>
    <w:rsid w:val="00440931"/>
    <w:rsid w:val="004428D0"/>
    <w:rsid w:val="00443BCD"/>
    <w:rsid w:val="004443A7"/>
    <w:rsid w:val="0044442C"/>
    <w:rsid w:val="00445941"/>
    <w:rsid w:val="00445BDE"/>
    <w:rsid w:val="00445C9D"/>
    <w:rsid w:val="004464EB"/>
    <w:rsid w:val="004467BE"/>
    <w:rsid w:val="00447B28"/>
    <w:rsid w:val="00447C32"/>
    <w:rsid w:val="00447D26"/>
    <w:rsid w:val="0045262B"/>
    <w:rsid w:val="00454EF0"/>
    <w:rsid w:val="00455D45"/>
    <w:rsid w:val="00457294"/>
    <w:rsid w:val="00460D10"/>
    <w:rsid w:val="004620EB"/>
    <w:rsid w:val="004635A2"/>
    <w:rsid w:val="00464595"/>
    <w:rsid w:val="004656DD"/>
    <w:rsid w:val="004677F0"/>
    <w:rsid w:val="00470022"/>
    <w:rsid w:val="00470604"/>
    <w:rsid w:val="0047207E"/>
    <w:rsid w:val="00472341"/>
    <w:rsid w:val="00472A79"/>
    <w:rsid w:val="00473D3A"/>
    <w:rsid w:val="00473F19"/>
    <w:rsid w:val="00475E22"/>
    <w:rsid w:val="0047625A"/>
    <w:rsid w:val="00476B7E"/>
    <w:rsid w:val="0048088E"/>
    <w:rsid w:val="00482720"/>
    <w:rsid w:val="004835E7"/>
    <w:rsid w:val="00483E92"/>
    <w:rsid w:val="004867E2"/>
    <w:rsid w:val="00486C86"/>
    <w:rsid w:val="00486F2B"/>
    <w:rsid w:val="00486F92"/>
    <w:rsid w:val="00491B3A"/>
    <w:rsid w:val="00492CFD"/>
    <w:rsid w:val="004942B0"/>
    <w:rsid w:val="00494A4C"/>
    <w:rsid w:val="00494DD5"/>
    <w:rsid w:val="004962D2"/>
    <w:rsid w:val="00496A2A"/>
    <w:rsid w:val="00497363"/>
    <w:rsid w:val="004A0DA1"/>
    <w:rsid w:val="004A35E9"/>
    <w:rsid w:val="004A49BF"/>
    <w:rsid w:val="004A4B8A"/>
    <w:rsid w:val="004A52E9"/>
    <w:rsid w:val="004A5A90"/>
    <w:rsid w:val="004A6597"/>
    <w:rsid w:val="004A6E35"/>
    <w:rsid w:val="004A6F0F"/>
    <w:rsid w:val="004A7848"/>
    <w:rsid w:val="004B003A"/>
    <w:rsid w:val="004B1CB4"/>
    <w:rsid w:val="004B2F18"/>
    <w:rsid w:val="004B3DDB"/>
    <w:rsid w:val="004B44FD"/>
    <w:rsid w:val="004B5CFC"/>
    <w:rsid w:val="004B774D"/>
    <w:rsid w:val="004C29BF"/>
    <w:rsid w:val="004C4AED"/>
    <w:rsid w:val="004C586F"/>
    <w:rsid w:val="004C60E3"/>
    <w:rsid w:val="004D083F"/>
    <w:rsid w:val="004D2C2D"/>
    <w:rsid w:val="004D2EC5"/>
    <w:rsid w:val="004D3049"/>
    <w:rsid w:val="004D42F4"/>
    <w:rsid w:val="004D4442"/>
    <w:rsid w:val="004D7227"/>
    <w:rsid w:val="004D75FC"/>
    <w:rsid w:val="004D7FD7"/>
    <w:rsid w:val="004E0E7F"/>
    <w:rsid w:val="004E0EB8"/>
    <w:rsid w:val="004E1E6E"/>
    <w:rsid w:val="004E2ADC"/>
    <w:rsid w:val="004E43B2"/>
    <w:rsid w:val="004E564A"/>
    <w:rsid w:val="004F1D02"/>
    <w:rsid w:val="004F2679"/>
    <w:rsid w:val="004F2F21"/>
    <w:rsid w:val="004F3873"/>
    <w:rsid w:val="004F3880"/>
    <w:rsid w:val="004F3F0D"/>
    <w:rsid w:val="004F46C2"/>
    <w:rsid w:val="004F5F9D"/>
    <w:rsid w:val="004F666F"/>
    <w:rsid w:val="004F6913"/>
    <w:rsid w:val="004F7865"/>
    <w:rsid w:val="005008C0"/>
    <w:rsid w:val="00500AA2"/>
    <w:rsid w:val="00500FE4"/>
    <w:rsid w:val="0050219B"/>
    <w:rsid w:val="00503F17"/>
    <w:rsid w:val="00506928"/>
    <w:rsid w:val="005079C9"/>
    <w:rsid w:val="0051074D"/>
    <w:rsid w:val="00511645"/>
    <w:rsid w:val="00512173"/>
    <w:rsid w:val="005152B5"/>
    <w:rsid w:val="00515BD1"/>
    <w:rsid w:val="00517EF3"/>
    <w:rsid w:val="00521319"/>
    <w:rsid w:val="00521CB1"/>
    <w:rsid w:val="00522BC8"/>
    <w:rsid w:val="00523386"/>
    <w:rsid w:val="00523C28"/>
    <w:rsid w:val="00527F08"/>
    <w:rsid w:val="005309BE"/>
    <w:rsid w:val="00530BAA"/>
    <w:rsid w:val="00531198"/>
    <w:rsid w:val="005316BB"/>
    <w:rsid w:val="005326DA"/>
    <w:rsid w:val="005331A3"/>
    <w:rsid w:val="005342D6"/>
    <w:rsid w:val="0053459A"/>
    <w:rsid w:val="00536F42"/>
    <w:rsid w:val="00537182"/>
    <w:rsid w:val="0053778C"/>
    <w:rsid w:val="0054248B"/>
    <w:rsid w:val="00542743"/>
    <w:rsid w:val="00542C2D"/>
    <w:rsid w:val="00544064"/>
    <w:rsid w:val="00544FCC"/>
    <w:rsid w:val="00546981"/>
    <w:rsid w:val="005476FD"/>
    <w:rsid w:val="00550914"/>
    <w:rsid w:val="005512D7"/>
    <w:rsid w:val="00551985"/>
    <w:rsid w:val="00552BD3"/>
    <w:rsid w:val="005548DB"/>
    <w:rsid w:val="00555109"/>
    <w:rsid w:val="00555439"/>
    <w:rsid w:val="00556C26"/>
    <w:rsid w:val="00560ADB"/>
    <w:rsid w:val="00561EBA"/>
    <w:rsid w:val="005626FC"/>
    <w:rsid w:val="00562CB1"/>
    <w:rsid w:val="0056696F"/>
    <w:rsid w:val="005706E7"/>
    <w:rsid w:val="00572269"/>
    <w:rsid w:val="0057244A"/>
    <w:rsid w:val="00574B79"/>
    <w:rsid w:val="00574CB6"/>
    <w:rsid w:val="00575D8D"/>
    <w:rsid w:val="00576972"/>
    <w:rsid w:val="00576B89"/>
    <w:rsid w:val="00577E21"/>
    <w:rsid w:val="00581E16"/>
    <w:rsid w:val="00582101"/>
    <w:rsid w:val="00583699"/>
    <w:rsid w:val="00585CDD"/>
    <w:rsid w:val="00586301"/>
    <w:rsid w:val="00587058"/>
    <w:rsid w:val="0058730C"/>
    <w:rsid w:val="00587735"/>
    <w:rsid w:val="00591957"/>
    <w:rsid w:val="00594B3B"/>
    <w:rsid w:val="00594F21"/>
    <w:rsid w:val="00597B6F"/>
    <w:rsid w:val="00597BF9"/>
    <w:rsid w:val="005A17CB"/>
    <w:rsid w:val="005A373D"/>
    <w:rsid w:val="005A48B8"/>
    <w:rsid w:val="005A513C"/>
    <w:rsid w:val="005A6BC2"/>
    <w:rsid w:val="005A6E59"/>
    <w:rsid w:val="005B1C2D"/>
    <w:rsid w:val="005B4383"/>
    <w:rsid w:val="005B56C0"/>
    <w:rsid w:val="005B5857"/>
    <w:rsid w:val="005B585D"/>
    <w:rsid w:val="005C048D"/>
    <w:rsid w:val="005C1B83"/>
    <w:rsid w:val="005C2D55"/>
    <w:rsid w:val="005C346B"/>
    <w:rsid w:val="005C38A1"/>
    <w:rsid w:val="005C3AF8"/>
    <w:rsid w:val="005C72BF"/>
    <w:rsid w:val="005C79C9"/>
    <w:rsid w:val="005C7B51"/>
    <w:rsid w:val="005C7BD9"/>
    <w:rsid w:val="005D044D"/>
    <w:rsid w:val="005D0ABD"/>
    <w:rsid w:val="005D0C00"/>
    <w:rsid w:val="005D18AD"/>
    <w:rsid w:val="005D238F"/>
    <w:rsid w:val="005D26B4"/>
    <w:rsid w:val="005D3021"/>
    <w:rsid w:val="005D31F2"/>
    <w:rsid w:val="005D5A9D"/>
    <w:rsid w:val="005E152A"/>
    <w:rsid w:val="005E6B1E"/>
    <w:rsid w:val="005E6CBC"/>
    <w:rsid w:val="005E73C0"/>
    <w:rsid w:val="005F2706"/>
    <w:rsid w:val="005F4239"/>
    <w:rsid w:val="005F5279"/>
    <w:rsid w:val="005F62A6"/>
    <w:rsid w:val="005F6A8F"/>
    <w:rsid w:val="005F7ED4"/>
    <w:rsid w:val="00600035"/>
    <w:rsid w:val="00600195"/>
    <w:rsid w:val="006006A1"/>
    <w:rsid w:val="00600924"/>
    <w:rsid w:val="00600F73"/>
    <w:rsid w:val="006010E6"/>
    <w:rsid w:val="00601CA5"/>
    <w:rsid w:val="006025B2"/>
    <w:rsid w:val="00603DB9"/>
    <w:rsid w:val="006044FD"/>
    <w:rsid w:val="00605062"/>
    <w:rsid w:val="00605C2C"/>
    <w:rsid w:val="00605D1A"/>
    <w:rsid w:val="00607669"/>
    <w:rsid w:val="00607AFD"/>
    <w:rsid w:val="00610701"/>
    <w:rsid w:val="00612F97"/>
    <w:rsid w:val="0061345D"/>
    <w:rsid w:val="0061379D"/>
    <w:rsid w:val="006142E2"/>
    <w:rsid w:val="00616544"/>
    <w:rsid w:val="00616802"/>
    <w:rsid w:val="00617E12"/>
    <w:rsid w:val="00620CD2"/>
    <w:rsid w:val="00621477"/>
    <w:rsid w:val="00622C61"/>
    <w:rsid w:val="006234DF"/>
    <w:rsid w:val="00625894"/>
    <w:rsid w:val="00625A60"/>
    <w:rsid w:val="00626538"/>
    <w:rsid w:val="006304EB"/>
    <w:rsid w:val="00630D9F"/>
    <w:rsid w:val="00630DE8"/>
    <w:rsid w:val="0063158F"/>
    <w:rsid w:val="00631D6B"/>
    <w:rsid w:val="006330A1"/>
    <w:rsid w:val="00633A9B"/>
    <w:rsid w:val="0063479F"/>
    <w:rsid w:val="00634D3A"/>
    <w:rsid w:val="006353F0"/>
    <w:rsid w:val="00635D84"/>
    <w:rsid w:val="006364A1"/>
    <w:rsid w:val="006369D2"/>
    <w:rsid w:val="006373C1"/>
    <w:rsid w:val="00637720"/>
    <w:rsid w:val="00637BFD"/>
    <w:rsid w:val="00641C4E"/>
    <w:rsid w:val="006421A3"/>
    <w:rsid w:val="00646FE1"/>
    <w:rsid w:val="006471CC"/>
    <w:rsid w:val="00647571"/>
    <w:rsid w:val="0065079F"/>
    <w:rsid w:val="006518F5"/>
    <w:rsid w:val="00652641"/>
    <w:rsid w:val="0065379F"/>
    <w:rsid w:val="00654063"/>
    <w:rsid w:val="0065586A"/>
    <w:rsid w:val="00657944"/>
    <w:rsid w:val="00657BA1"/>
    <w:rsid w:val="006606F6"/>
    <w:rsid w:val="006615BC"/>
    <w:rsid w:val="00661C6B"/>
    <w:rsid w:val="00662009"/>
    <w:rsid w:val="00662CFB"/>
    <w:rsid w:val="00667F86"/>
    <w:rsid w:val="00670066"/>
    <w:rsid w:val="00671C6F"/>
    <w:rsid w:val="00672DDF"/>
    <w:rsid w:val="00674E42"/>
    <w:rsid w:val="006769E1"/>
    <w:rsid w:val="006776AF"/>
    <w:rsid w:val="00677CD1"/>
    <w:rsid w:val="006800F5"/>
    <w:rsid w:val="006802AD"/>
    <w:rsid w:val="00682112"/>
    <w:rsid w:val="00682E10"/>
    <w:rsid w:val="00682EB1"/>
    <w:rsid w:val="00684D39"/>
    <w:rsid w:val="006863F1"/>
    <w:rsid w:val="00686957"/>
    <w:rsid w:val="00686B08"/>
    <w:rsid w:val="006872BA"/>
    <w:rsid w:val="00687538"/>
    <w:rsid w:val="00690542"/>
    <w:rsid w:val="00690B72"/>
    <w:rsid w:val="0069137F"/>
    <w:rsid w:val="00691648"/>
    <w:rsid w:val="006917D7"/>
    <w:rsid w:val="00693321"/>
    <w:rsid w:val="00694F44"/>
    <w:rsid w:val="00697393"/>
    <w:rsid w:val="00697986"/>
    <w:rsid w:val="006A3350"/>
    <w:rsid w:val="006A368F"/>
    <w:rsid w:val="006A7489"/>
    <w:rsid w:val="006A7E5F"/>
    <w:rsid w:val="006B0D1D"/>
    <w:rsid w:val="006B261B"/>
    <w:rsid w:val="006B2985"/>
    <w:rsid w:val="006B2C90"/>
    <w:rsid w:val="006B35C5"/>
    <w:rsid w:val="006B4948"/>
    <w:rsid w:val="006B4DCD"/>
    <w:rsid w:val="006B6DD0"/>
    <w:rsid w:val="006C2A8E"/>
    <w:rsid w:val="006C393E"/>
    <w:rsid w:val="006C3E90"/>
    <w:rsid w:val="006C5623"/>
    <w:rsid w:val="006C611C"/>
    <w:rsid w:val="006C7EF3"/>
    <w:rsid w:val="006D11F3"/>
    <w:rsid w:val="006D13B0"/>
    <w:rsid w:val="006D26BF"/>
    <w:rsid w:val="006D2F7F"/>
    <w:rsid w:val="006D348E"/>
    <w:rsid w:val="006D3AAF"/>
    <w:rsid w:val="006D3C7D"/>
    <w:rsid w:val="006D5D5F"/>
    <w:rsid w:val="006D6258"/>
    <w:rsid w:val="006D70FE"/>
    <w:rsid w:val="006E2508"/>
    <w:rsid w:val="006E3E89"/>
    <w:rsid w:val="006E3F49"/>
    <w:rsid w:val="006E48A7"/>
    <w:rsid w:val="006E7B5F"/>
    <w:rsid w:val="006F233D"/>
    <w:rsid w:val="006F2BA4"/>
    <w:rsid w:val="006F306C"/>
    <w:rsid w:val="006F4BC1"/>
    <w:rsid w:val="006F63A5"/>
    <w:rsid w:val="007002AE"/>
    <w:rsid w:val="0070142B"/>
    <w:rsid w:val="0070276E"/>
    <w:rsid w:val="00702F8F"/>
    <w:rsid w:val="0070334E"/>
    <w:rsid w:val="00703899"/>
    <w:rsid w:val="00704947"/>
    <w:rsid w:val="007051E5"/>
    <w:rsid w:val="007056F4"/>
    <w:rsid w:val="007064E1"/>
    <w:rsid w:val="00710612"/>
    <w:rsid w:val="00710DB3"/>
    <w:rsid w:val="00710EE3"/>
    <w:rsid w:val="00711A36"/>
    <w:rsid w:val="0071247C"/>
    <w:rsid w:val="0071267A"/>
    <w:rsid w:val="00713A03"/>
    <w:rsid w:val="00714779"/>
    <w:rsid w:val="0071529C"/>
    <w:rsid w:val="0071661B"/>
    <w:rsid w:val="00717011"/>
    <w:rsid w:val="007172AD"/>
    <w:rsid w:val="00717534"/>
    <w:rsid w:val="00721BFA"/>
    <w:rsid w:val="00721EAB"/>
    <w:rsid w:val="00722B1B"/>
    <w:rsid w:val="0072416F"/>
    <w:rsid w:val="00724B65"/>
    <w:rsid w:val="0072601D"/>
    <w:rsid w:val="00727C94"/>
    <w:rsid w:val="00727FC4"/>
    <w:rsid w:val="00731EAE"/>
    <w:rsid w:val="007330B6"/>
    <w:rsid w:val="007346A8"/>
    <w:rsid w:val="00734752"/>
    <w:rsid w:val="00735033"/>
    <w:rsid w:val="00735328"/>
    <w:rsid w:val="00736772"/>
    <w:rsid w:val="0073685B"/>
    <w:rsid w:val="00736C99"/>
    <w:rsid w:val="00736E74"/>
    <w:rsid w:val="007379F6"/>
    <w:rsid w:val="0074327E"/>
    <w:rsid w:val="00743612"/>
    <w:rsid w:val="00744D4F"/>
    <w:rsid w:val="007478ED"/>
    <w:rsid w:val="00751385"/>
    <w:rsid w:val="00751753"/>
    <w:rsid w:val="00751A3B"/>
    <w:rsid w:val="00752142"/>
    <w:rsid w:val="007523F9"/>
    <w:rsid w:val="00753C83"/>
    <w:rsid w:val="00755C90"/>
    <w:rsid w:val="007573E8"/>
    <w:rsid w:val="00760C4E"/>
    <w:rsid w:val="0076151E"/>
    <w:rsid w:val="00762061"/>
    <w:rsid w:val="00764E51"/>
    <w:rsid w:val="00765B1A"/>
    <w:rsid w:val="00765E41"/>
    <w:rsid w:val="0076654F"/>
    <w:rsid w:val="00766C07"/>
    <w:rsid w:val="007701E9"/>
    <w:rsid w:val="00772C56"/>
    <w:rsid w:val="00773BD7"/>
    <w:rsid w:val="00776848"/>
    <w:rsid w:val="007805DA"/>
    <w:rsid w:val="00780F6A"/>
    <w:rsid w:val="00781525"/>
    <w:rsid w:val="007816DA"/>
    <w:rsid w:val="007843F2"/>
    <w:rsid w:val="007875FC"/>
    <w:rsid w:val="00791D8B"/>
    <w:rsid w:val="00793722"/>
    <w:rsid w:val="00796155"/>
    <w:rsid w:val="00796920"/>
    <w:rsid w:val="007A0A12"/>
    <w:rsid w:val="007A132D"/>
    <w:rsid w:val="007A1DEF"/>
    <w:rsid w:val="007A3F6B"/>
    <w:rsid w:val="007A5DE2"/>
    <w:rsid w:val="007A6370"/>
    <w:rsid w:val="007B0D68"/>
    <w:rsid w:val="007B1119"/>
    <w:rsid w:val="007B21B1"/>
    <w:rsid w:val="007B251D"/>
    <w:rsid w:val="007B4F58"/>
    <w:rsid w:val="007B528D"/>
    <w:rsid w:val="007B77D1"/>
    <w:rsid w:val="007C1381"/>
    <w:rsid w:val="007C1CD9"/>
    <w:rsid w:val="007C2169"/>
    <w:rsid w:val="007C2309"/>
    <w:rsid w:val="007C27E7"/>
    <w:rsid w:val="007C361D"/>
    <w:rsid w:val="007C3756"/>
    <w:rsid w:val="007C3BCE"/>
    <w:rsid w:val="007C3DDE"/>
    <w:rsid w:val="007C4B84"/>
    <w:rsid w:val="007D004F"/>
    <w:rsid w:val="007D0B38"/>
    <w:rsid w:val="007D112F"/>
    <w:rsid w:val="007D2CC8"/>
    <w:rsid w:val="007D2F6C"/>
    <w:rsid w:val="007D33D4"/>
    <w:rsid w:val="007D4F57"/>
    <w:rsid w:val="007D5440"/>
    <w:rsid w:val="007E4D48"/>
    <w:rsid w:val="007E5355"/>
    <w:rsid w:val="007F0EC2"/>
    <w:rsid w:val="007F1017"/>
    <w:rsid w:val="007F1D18"/>
    <w:rsid w:val="007F46E2"/>
    <w:rsid w:val="007F4A3F"/>
    <w:rsid w:val="007F4A61"/>
    <w:rsid w:val="007F581C"/>
    <w:rsid w:val="007F61C2"/>
    <w:rsid w:val="007F6CB9"/>
    <w:rsid w:val="00803768"/>
    <w:rsid w:val="00803DF9"/>
    <w:rsid w:val="00805142"/>
    <w:rsid w:val="00805987"/>
    <w:rsid w:val="00805B85"/>
    <w:rsid w:val="008075F9"/>
    <w:rsid w:val="00807A8B"/>
    <w:rsid w:val="00810730"/>
    <w:rsid w:val="00811055"/>
    <w:rsid w:val="00811383"/>
    <w:rsid w:val="00812149"/>
    <w:rsid w:val="00812CAC"/>
    <w:rsid w:val="00813F25"/>
    <w:rsid w:val="00815A1E"/>
    <w:rsid w:val="00816092"/>
    <w:rsid w:val="00816325"/>
    <w:rsid w:val="008166EF"/>
    <w:rsid w:val="00817E13"/>
    <w:rsid w:val="008202C5"/>
    <w:rsid w:val="0082034C"/>
    <w:rsid w:val="008208A6"/>
    <w:rsid w:val="00821A96"/>
    <w:rsid w:val="00821C93"/>
    <w:rsid w:val="0082201E"/>
    <w:rsid w:val="00823B76"/>
    <w:rsid w:val="008249CA"/>
    <w:rsid w:val="0082536A"/>
    <w:rsid w:val="00825751"/>
    <w:rsid w:val="00826074"/>
    <w:rsid w:val="008264EB"/>
    <w:rsid w:val="00827306"/>
    <w:rsid w:val="008320E9"/>
    <w:rsid w:val="00833B05"/>
    <w:rsid w:val="00833EB1"/>
    <w:rsid w:val="008362B4"/>
    <w:rsid w:val="00840CA2"/>
    <w:rsid w:val="00841105"/>
    <w:rsid w:val="00841339"/>
    <w:rsid w:val="0084374F"/>
    <w:rsid w:val="008447A0"/>
    <w:rsid w:val="0084602D"/>
    <w:rsid w:val="0084685F"/>
    <w:rsid w:val="00847DF5"/>
    <w:rsid w:val="00847ED8"/>
    <w:rsid w:val="0085309D"/>
    <w:rsid w:val="00854354"/>
    <w:rsid w:val="00856897"/>
    <w:rsid w:val="00856E9A"/>
    <w:rsid w:val="0086040D"/>
    <w:rsid w:val="0086075D"/>
    <w:rsid w:val="00860A9E"/>
    <w:rsid w:val="00860BBA"/>
    <w:rsid w:val="00862502"/>
    <w:rsid w:val="00863A42"/>
    <w:rsid w:val="0086609E"/>
    <w:rsid w:val="008660D4"/>
    <w:rsid w:val="00866FA2"/>
    <w:rsid w:val="00871614"/>
    <w:rsid w:val="00871FA9"/>
    <w:rsid w:val="008728A1"/>
    <w:rsid w:val="008728E9"/>
    <w:rsid w:val="00872F45"/>
    <w:rsid w:val="00873998"/>
    <w:rsid w:val="008747E2"/>
    <w:rsid w:val="00875ED8"/>
    <w:rsid w:val="0087635B"/>
    <w:rsid w:val="008764CE"/>
    <w:rsid w:val="00876D7D"/>
    <w:rsid w:val="00880B38"/>
    <w:rsid w:val="0088138A"/>
    <w:rsid w:val="00881FAC"/>
    <w:rsid w:val="008823E2"/>
    <w:rsid w:val="00882874"/>
    <w:rsid w:val="00883787"/>
    <w:rsid w:val="00883FB5"/>
    <w:rsid w:val="008841CA"/>
    <w:rsid w:val="00884A19"/>
    <w:rsid w:val="008867FA"/>
    <w:rsid w:val="00886CD2"/>
    <w:rsid w:val="00892A36"/>
    <w:rsid w:val="00893239"/>
    <w:rsid w:val="00893430"/>
    <w:rsid w:val="00893435"/>
    <w:rsid w:val="0089395A"/>
    <w:rsid w:val="008940E1"/>
    <w:rsid w:val="00894489"/>
    <w:rsid w:val="00894C83"/>
    <w:rsid w:val="008963A5"/>
    <w:rsid w:val="00897A33"/>
    <w:rsid w:val="008A3363"/>
    <w:rsid w:val="008A3371"/>
    <w:rsid w:val="008A3971"/>
    <w:rsid w:val="008A3C3E"/>
    <w:rsid w:val="008A3DF9"/>
    <w:rsid w:val="008A4C13"/>
    <w:rsid w:val="008A56B9"/>
    <w:rsid w:val="008A5865"/>
    <w:rsid w:val="008A67F2"/>
    <w:rsid w:val="008A6D83"/>
    <w:rsid w:val="008A79DE"/>
    <w:rsid w:val="008B1757"/>
    <w:rsid w:val="008B5D8C"/>
    <w:rsid w:val="008B7D7E"/>
    <w:rsid w:val="008C2A56"/>
    <w:rsid w:val="008C523A"/>
    <w:rsid w:val="008C5E29"/>
    <w:rsid w:val="008C7BFA"/>
    <w:rsid w:val="008C7ECB"/>
    <w:rsid w:val="008D22E1"/>
    <w:rsid w:val="008D4755"/>
    <w:rsid w:val="008D4C3D"/>
    <w:rsid w:val="008D5E0A"/>
    <w:rsid w:val="008D6A1A"/>
    <w:rsid w:val="008D6BDF"/>
    <w:rsid w:val="008D6DB6"/>
    <w:rsid w:val="008D70AE"/>
    <w:rsid w:val="008E08AF"/>
    <w:rsid w:val="008E0A27"/>
    <w:rsid w:val="008E0D3C"/>
    <w:rsid w:val="008E1B9E"/>
    <w:rsid w:val="008E377D"/>
    <w:rsid w:val="008E3DBF"/>
    <w:rsid w:val="008E4131"/>
    <w:rsid w:val="008E55AB"/>
    <w:rsid w:val="008F00D4"/>
    <w:rsid w:val="008F120A"/>
    <w:rsid w:val="008F27E0"/>
    <w:rsid w:val="008F4748"/>
    <w:rsid w:val="008F48EB"/>
    <w:rsid w:val="008F4F0B"/>
    <w:rsid w:val="008F731E"/>
    <w:rsid w:val="00902C04"/>
    <w:rsid w:val="009046C4"/>
    <w:rsid w:val="00904BC9"/>
    <w:rsid w:val="009062A5"/>
    <w:rsid w:val="0090656B"/>
    <w:rsid w:val="0090669C"/>
    <w:rsid w:val="00911272"/>
    <w:rsid w:val="00911FC7"/>
    <w:rsid w:val="00912A7A"/>
    <w:rsid w:val="00912D22"/>
    <w:rsid w:val="009135D6"/>
    <w:rsid w:val="009138D5"/>
    <w:rsid w:val="0091400A"/>
    <w:rsid w:val="00914C77"/>
    <w:rsid w:val="009202EC"/>
    <w:rsid w:val="009203B7"/>
    <w:rsid w:val="009218EF"/>
    <w:rsid w:val="00921FCE"/>
    <w:rsid w:val="0092203D"/>
    <w:rsid w:val="0092369B"/>
    <w:rsid w:val="0092452F"/>
    <w:rsid w:val="00925246"/>
    <w:rsid w:val="00927FE9"/>
    <w:rsid w:val="00937706"/>
    <w:rsid w:val="0094362C"/>
    <w:rsid w:val="009436BC"/>
    <w:rsid w:val="00943CD4"/>
    <w:rsid w:val="009462D6"/>
    <w:rsid w:val="00947452"/>
    <w:rsid w:val="009475A6"/>
    <w:rsid w:val="00947614"/>
    <w:rsid w:val="009510A2"/>
    <w:rsid w:val="009522BE"/>
    <w:rsid w:val="00953257"/>
    <w:rsid w:val="00953BBC"/>
    <w:rsid w:val="00957A20"/>
    <w:rsid w:val="00962CB9"/>
    <w:rsid w:val="00964312"/>
    <w:rsid w:val="00964975"/>
    <w:rsid w:val="00965B8A"/>
    <w:rsid w:val="00966724"/>
    <w:rsid w:val="00970C42"/>
    <w:rsid w:val="009717AC"/>
    <w:rsid w:val="0097232A"/>
    <w:rsid w:val="00973716"/>
    <w:rsid w:val="0097419D"/>
    <w:rsid w:val="00975994"/>
    <w:rsid w:val="009828FB"/>
    <w:rsid w:val="009831F1"/>
    <w:rsid w:val="00983C1C"/>
    <w:rsid w:val="00983E57"/>
    <w:rsid w:val="0098675D"/>
    <w:rsid w:val="009912D9"/>
    <w:rsid w:val="00996B1A"/>
    <w:rsid w:val="00997E5A"/>
    <w:rsid w:val="009A0A5B"/>
    <w:rsid w:val="009A3DDA"/>
    <w:rsid w:val="009A4F71"/>
    <w:rsid w:val="009A62CD"/>
    <w:rsid w:val="009A6571"/>
    <w:rsid w:val="009A75A3"/>
    <w:rsid w:val="009A7806"/>
    <w:rsid w:val="009A7843"/>
    <w:rsid w:val="009A7A71"/>
    <w:rsid w:val="009A7F10"/>
    <w:rsid w:val="009B0BC3"/>
    <w:rsid w:val="009B2C57"/>
    <w:rsid w:val="009B3E26"/>
    <w:rsid w:val="009B40A2"/>
    <w:rsid w:val="009B4817"/>
    <w:rsid w:val="009B5D0F"/>
    <w:rsid w:val="009B63E8"/>
    <w:rsid w:val="009B6657"/>
    <w:rsid w:val="009B7027"/>
    <w:rsid w:val="009B7B84"/>
    <w:rsid w:val="009C02C0"/>
    <w:rsid w:val="009C0B90"/>
    <w:rsid w:val="009C12EB"/>
    <w:rsid w:val="009C14BE"/>
    <w:rsid w:val="009C2F96"/>
    <w:rsid w:val="009C324D"/>
    <w:rsid w:val="009C362D"/>
    <w:rsid w:val="009C3E83"/>
    <w:rsid w:val="009C6CEA"/>
    <w:rsid w:val="009C6FD3"/>
    <w:rsid w:val="009C7B85"/>
    <w:rsid w:val="009D1643"/>
    <w:rsid w:val="009D3CC2"/>
    <w:rsid w:val="009D4F27"/>
    <w:rsid w:val="009D5126"/>
    <w:rsid w:val="009D5B91"/>
    <w:rsid w:val="009D6DCF"/>
    <w:rsid w:val="009D7633"/>
    <w:rsid w:val="009D792E"/>
    <w:rsid w:val="009E0DFE"/>
    <w:rsid w:val="009E2EE3"/>
    <w:rsid w:val="009E32C1"/>
    <w:rsid w:val="009E4C07"/>
    <w:rsid w:val="009E4CDD"/>
    <w:rsid w:val="009E5BCA"/>
    <w:rsid w:val="009E60B4"/>
    <w:rsid w:val="009F11C5"/>
    <w:rsid w:val="009F2C20"/>
    <w:rsid w:val="00A01184"/>
    <w:rsid w:val="00A013E1"/>
    <w:rsid w:val="00A014D1"/>
    <w:rsid w:val="00A03D43"/>
    <w:rsid w:val="00A04380"/>
    <w:rsid w:val="00A049B9"/>
    <w:rsid w:val="00A04CBF"/>
    <w:rsid w:val="00A07006"/>
    <w:rsid w:val="00A07621"/>
    <w:rsid w:val="00A0796B"/>
    <w:rsid w:val="00A10EC2"/>
    <w:rsid w:val="00A111D0"/>
    <w:rsid w:val="00A11439"/>
    <w:rsid w:val="00A11CD0"/>
    <w:rsid w:val="00A13948"/>
    <w:rsid w:val="00A147CF"/>
    <w:rsid w:val="00A1555B"/>
    <w:rsid w:val="00A155C5"/>
    <w:rsid w:val="00A16AD8"/>
    <w:rsid w:val="00A20CB3"/>
    <w:rsid w:val="00A21A2F"/>
    <w:rsid w:val="00A21CF3"/>
    <w:rsid w:val="00A22722"/>
    <w:rsid w:val="00A24FEA"/>
    <w:rsid w:val="00A26392"/>
    <w:rsid w:val="00A26A30"/>
    <w:rsid w:val="00A27AEC"/>
    <w:rsid w:val="00A31E38"/>
    <w:rsid w:val="00A320DB"/>
    <w:rsid w:val="00A34874"/>
    <w:rsid w:val="00A35D16"/>
    <w:rsid w:val="00A3694D"/>
    <w:rsid w:val="00A36A50"/>
    <w:rsid w:val="00A37BCD"/>
    <w:rsid w:val="00A40DFA"/>
    <w:rsid w:val="00A43C59"/>
    <w:rsid w:val="00A441D4"/>
    <w:rsid w:val="00A50E06"/>
    <w:rsid w:val="00A50ECD"/>
    <w:rsid w:val="00A51612"/>
    <w:rsid w:val="00A518F3"/>
    <w:rsid w:val="00A52729"/>
    <w:rsid w:val="00A53675"/>
    <w:rsid w:val="00A564D7"/>
    <w:rsid w:val="00A56B6A"/>
    <w:rsid w:val="00A578DC"/>
    <w:rsid w:val="00A642A9"/>
    <w:rsid w:val="00A6501A"/>
    <w:rsid w:val="00A6532A"/>
    <w:rsid w:val="00A66A64"/>
    <w:rsid w:val="00A66EA6"/>
    <w:rsid w:val="00A6725B"/>
    <w:rsid w:val="00A67BB2"/>
    <w:rsid w:val="00A70605"/>
    <w:rsid w:val="00A70D9C"/>
    <w:rsid w:val="00A73134"/>
    <w:rsid w:val="00A74A85"/>
    <w:rsid w:val="00A7507D"/>
    <w:rsid w:val="00A761CE"/>
    <w:rsid w:val="00A777B2"/>
    <w:rsid w:val="00A8075A"/>
    <w:rsid w:val="00A82057"/>
    <w:rsid w:val="00A8385C"/>
    <w:rsid w:val="00A84F02"/>
    <w:rsid w:val="00A86E8B"/>
    <w:rsid w:val="00A87164"/>
    <w:rsid w:val="00A93072"/>
    <w:rsid w:val="00A93521"/>
    <w:rsid w:val="00A93953"/>
    <w:rsid w:val="00A959D8"/>
    <w:rsid w:val="00A9649D"/>
    <w:rsid w:val="00A96556"/>
    <w:rsid w:val="00A96787"/>
    <w:rsid w:val="00A9704F"/>
    <w:rsid w:val="00A97AE9"/>
    <w:rsid w:val="00AA113D"/>
    <w:rsid w:val="00AA1CF4"/>
    <w:rsid w:val="00AA22DC"/>
    <w:rsid w:val="00AA5E9F"/>
    <w:rsid w:val="00AA63B7"/>
    <w:rsid w:val="00AA6789"/>
    <w:rsid w:val="00AA6C7D"/>
    <w:rsid w:val="00AA78CE"/>
    <w:rsid w:val="00AA7FD6"/>
    <w:rsid w:val="00AB0193"/>
    <w:rsid w:val="00AB042A"/>
    <w:rsid w:val="00AB0603"/>
    <w:rsid w:val="00AB2D34"/>
    <w:rsid w:val="00AB3430"/>
    <w:rsid w:val="00AB37FE"/>
    <w:rsid w:val="00AB4AD1"/>
    <w:rsid w:val="00AB4E9F"/>
    <w:rsid w:val="00AB53F8"/>
    <w:rsid w:val="00AB5C5D"/>
    <w:rsid w:val="00AB70EC"/>
    <w:rsid w:val="00AB7CFA"/>
    <w:rsid w:val="00AC076B"/>
    <w:rsid w:val="00AC0DF5"/>
    <w:rsid w:val="00AC1600"/>
    <w:rsid w:val="00AC200B"/>
    <w:rsid w:val="00AC2BEA"/>
    <w:rsid w:val="00AC4AF0"/>
    <w:rsid w:val="00AC5A88"/>
    <w:rsid w:val="00AC5B48"/>
    <w:rsid w:val="00AC63D2"/>
    <w:rsid w:val="00AD247B"/>
    <w:rsid w:val="00AD36C8"/>
    <w:rsid w:val="00AD3E96"/>
    <w:rsid w:val="00AD482D"/>
    <w:rsid w:val="00AD4895"/>
    <w:rsid w:val="00AD596D"/>
    <w:rsid w:val="00AD5C78"/>
    <w:rsid w:val="00AD6502"/>
    <w:rsid w:val="00AD6B94"/>
    <w:rsid w:val="00AD6EBE"/>
    <w:rsid w:val="00AD7046"/>
    <w:rsid w:val="00AE1B72"/>
    <w:rsid w:val="00AE30B3"/>
    <w:rsid w:val="00AE4E8D"/>
    <w:rsid w:val="00AE552F"/>
    <w:rsid w:val="00AE7FA8"/>
    <w:rsid w:val="00AF1315"/>
    <w:rsid w:val="00AF19BF"/>
    <w:rsid w:val="00AF2DC3"/>
    <w:rsid w:val="00AF405D"/>
    <w:rsid w:val="00AF6B8A"/>
    <w:rsid w:val="00AF79D4"/>
    <w:rsid w:val="00B00C6A"/>
    <w:rsid w:val="00B01740"/>
    <w:rsid w:val="00B033E5"/>
    <w:rsid w:val="00B03A63"/>
    <w:rsid w:val="00B06706"/>
    <w:rsid w:val="00B1196E"/>
    <w:rsid w:val="00B11972"/>
    <w:rsid w:val="00B11A14"/>
    <w:rsid w:val="00B15E56"/>
    <w:rsid w:val="00B201A4"/>
    <w:rsid w:val="00B207CB"/>
    <w:rsid w:val="00B213A6"/>
    <w:rsid w:val="00B21856"/>
    <w:rsid w:val="00B222F3"/>
    <w:rsid w:val="00B22D1D"/>
    <w:rsid w:val="00B24DF6"/>
    <w:rsid w:val="00B25E79"/>
    <w:rsid w:val="00B31A12"/>
    <w:rsid w:val="00B33F06"/>
    <w:rsid w:val="00B3461A"/>
    <w:rsid w:val="00B34FE2"/>
    <w:rsid w:val="00B35362"/>
    <w:rsid w:val="00B357D8"/>
    <w:rsid w:val="00B3607A"/>
    <w:rsid w:val="00B37BFC"/>
    <w:rsid w:val="00B4010C"/>
    <w:rsid w:val="00B40358"/>
    <w:rsid w:val="00B40930"/>
    <w:rsid w:val="00B41614"/>
    <w:rsid w:val="00B41DC9"/>
    <w:rsid w:val="00B42851"/>
    <w:rsid w:val="00B42F80"/>
    <w:rsid w:val="00B435CB"/>
    <w:rsid w:val="00B45CB5"/>
    <w:rsid w:val="00B50DB8"/>
    <w:rsid w:val="00B52819"/>
    <w:rsid w:val="00B530C3"/>
    <w:rsid w:val="00B5364F"/>
    <w:rsid w:val="00B53654"/>
    <w:rsid w:val="00B538E5"/>
    <w:rsid w:val="00B53905"/>
    <w:rsid w:val="00B54B5B"/>
    <w:rsid w:val="00B54DB6"/>
    <w:rsid w:val="00B5562E"/>
    <w:rsid w:val="00B57000"/>
    <w:rsid w:val="00B57CEF"/>
    <w:rsid w:val="00B57E54"/>
    <w:rsid w:val="00B60939"/>
    <w:rsid w:val="00B60AFD"/>
    <w:rsid w:val="00B62715"/>
    <w:rsid w:val="00B63D29"/>
    <w:rsid w:val="00B65100"/>
    <w:rsid w:val="00B65C00"/>
    <w:rsid w:val="00B67590"/>
    <w:rsid w:val="00B71EDA"/>
    <w:rsid w:val="00B731F9"/>
    <w:rsid w:val="00B732AB"/>
    <w:rsid w:val="00B750CD"/>
    <w:rsid w:val="00B77DB4"/>
    <w:rsid w:val="00B80A96"/>
    <w:rsid w:val="00B818A4"/>
    <w:rsid w:val="00B83222"/>
    <w:rsid w:val="00B84117"/>
    <w:rsid w:val="00B85AA2"/>
    <w:rsid w:val="00B8649C"/>
    <w:rsid w:val="00B86BF4"/>
    <w:rsid w:val="00B86FCC"/>
    <w:rsid w:val="00B87F0A"/>
    <w:rsid w:val="00B91458"/>
    <w:rsid w:val="00B92AC1"/>
    <w:rsid w:val="00B92D0B"/>
    <w:rsid w:val="00B947B8"/>
    <w:rsid w:val="00B94945"/>
    <w:rsid w:val="00B949F2"/>
    <w:rsid w:val="00B95BD0"/>
    <w:rsid w:val="00BA322D"/>
    <w:rsid w:val="00BB0505"/>
    <w:rsid w:val="00BB0BDD"/>
    <w:rsid w:val="00BB1539"/>
    <w:rsid w:val="00BB19CF"/>
    <w:rsid w:val="00BB2A73"/>
    <w:rsid w:val="00BB2D94"/>
    <w:rsid w:val="00BB323E"/>
    <w:rsid w:val="00BB3E38"/>
    <w:rsid w:val="00BB4ACC"/>
    <w:rsid w:val="00BB4EDD"/>
    <w:rsid w:val="00BB59B2"/>
    <w:rsid w:val="00BB5D2E"/>
    <w:rsid w:val="00BB703E"/>
    <w:rsid w:val="00BB7405"/>
    <w:rsid w:val="00BC128F"/>
    <w:rsid w:val="00BC18E6"/>
    <w:rsid w:val="00BC3542"/>
    <w:rsid w:val="00BC3631"/>
    <w:rsid w:val="00BC69D5"/>
    <w:rsid w:val="00BD47E0"/>
    <w:rsid w:val="00BD5746"/>
    <w:rsid w:val="00BD64AD"/>
    <w:rsid w:val="00BD68A3"/>
    <w:rsid w:val="00BD6938"/>
    <w:rsid w:val="00BD6CF3"/>
    <w:rsid w:val="00BE1A66"/>
    <w:rsid w:val="00BE2180"/>
    <w:rsid w:val="00BE21F2"/>
    <w:rsid w:val="00BE4275"/>
    <w:rsid w:val="00BE6304"/>
    <w:rsid w:val="00BE67B1"/>
    <w:rsid w:val="00BE7A1B"/>
    <w:rsid w:val="00BF0147"/>
    <w:rsid w:val="00BF0F95"/>
    <w:rsid w:val="00BF219A"/>
    <w:rsid w:val="00BF2433"/>
    <w:rsid w:val="00BF3EF1"/>
    <w:rsid w:val="00BF4ECA"/>
    <w:rsid w:val="00BF61C9"/>
    <w:rsid w:val="00BF62CD"/>
    <w:rsid w:val="00BF6C94"/>
    <w:rsid w:val="00BF6DBC"/>
    <w:rsid w:val="00C00424"/>
    <w:rsid w:val="00C012D9"/>
    <w:rsid w:val="00C03D7E"/>
    <w:rsid w:val="00C03E87"/>
    <w:rsid w:val="00C114B4"/>
    <w:rsid w:val="00C115E6"/>
    <w:rsid w:val="00C1255B"/>
    <w:rsid w:val="00C12C14"/>
    <w:rsid w:val="00C1407E"/>
    <w:rsid w:val="00C14096"/>
    <w:rsid w:val="00C16831"/>
    <w:rsid w:val="00C16A56"/>
    <w:rsid w:val="00C17F1E"/>
    <w:rsid w:val="00C200AA"/>
    <w:rsid w:val="00C237ED"/>
    <w:rsid w:val="00C24632"/>
    <w:rsid w:val="00C25418"/>
    <w:rsid w:val="00C25D9C"/>
    <w:rsid w:val="00C26482"/>
    <w:rsid w:val="00C26AC8"/>
    <w:rsid w:val="00C26F66"/>
    <w:rsid w:val="00C2778B"/>
    <w:rsid w:val="00C31301"/>
    <w:rsid w:val="00C31649"/>
    <w:rsid w:val="00C31925"/>
    <w:rsid w:val="00C33951"/>
    <w:rsid w:val="00C3402F"/>
    <w:rsid w:val="00C353DD"/>
    <w:rsid w:val="00C36642"/>
    <w:rsid w:val="00C37B04"/>
    <w:rsid w:val="00C40385"/>
    <w:rsid w:val="00C4038C"/>
    <w:rsid w:val="00C46580"/>
    <w:rsid w:val="00C474D3"/>
    <w:rsid w:val="00C475AA"/>
    <w:rsid w:val="00C47A97"/>
    <w:rsid w:val="00C47E00"/>
    <w:rsid w:val="00C50801"/>
    <w:rsid w:val="00C5122F"/>
    <w:rsid w:val="00C52487"/>
    <w:rsid w:val="00C5302C"/>
    <w:rsid w:val="00C53724"/>
    <w:rsid w:val="00C55592"/>
    <w:rsid w:val="00C555AC"/>
    <w:rsid w:val="00C5703C"/>
    <w:rsid w:val="00C60F87"/>
    <w:rsid w:val="00C61848"/>
    <w:rsid w:val="00C622DF"/>
    <w:rsid w:val="00C65576"/>
    <w:rsid w:val="00C66116"/>
    <w:rsid w:val="00C66165"/>
    <w:rsid w:val="00C66CC3"/>
    <w:rsid w:val="00C66FC2"/>
    <w:rsid w:val="00C7151A"/>
    <w:rsid w:val="00C71F60"/>
    <w:rsid w:val="00C72241"/>
    <w:rsid w:val="00C744A2"/>
    <w:rsid w:val="00C74D1F"/>
    <w:rsid w:val="00C750C8"/>
    <w:rsid w:val="00C7560F"/>
    <w:rsid w:val="00C77DA9"/>
    <w:rsid w:val="00C80A0E"/>
    <w:rsid w:val="00C81586"/>
    <w:rsid w:val="00C8213F"/>
    <w:rsid w:val="00C82747"/>
    <w:rsid w:val="00C836EB"/>
    <w:rsid w:val="00C844AD"/>
    <w:rsid w:val="00C84B04"/>
    <w:rsid w:val="00C878C3"/>
    <w:rsid w:val="00C8797A"/>
    <w:rsid w:val="00C900B8"/>
    <w:rsid w:val="00C90C71"/>
    <w:rsid w:val="00C9152F"/>
    <w:rsid w:val="00C91F64"/>
    <w:rsid w:val="00C9273A"/>
    <w:rsid w:val="00C931CF"/>
    <w:rsid w:val="00C938CF"/>
    <w:rsid w:val="00C940B4"/>
    <w:rsid w:val="00C941FE"/>
    <w:rsid w:val="00C9624D"/>
    <w:rsid w:val="00C969DA"/>
    <w:rsid w:val="00C97801"/>
    <w:rsid w:val="00CA2C77"/>
    <w:rsid w:val="00CA42B3"/>
    <w:rsid w:val="00CA444F"/>
    <w:rsid w:val="00CA4A0C"/>
    <w:rsid w:val="00CA4C32"/>
    <w:rsid w:val="00CA5035"/>
    <w:rsid w:val="00CA5145"/>
    <w:rsid w:val="00CA5245"/>
    <w:rsid w:val="00CA5AC3"/>
    <w:rsid w:val="00CA71F4"/>
    <w:rsid w:val="00CA7B09"/>
    <w:rsid w:val="00CB089E"/>
    <w:rsid w:val="00CB1324"/>
    <w:rsid w:val="00CB2F2A"/>
    <w:rsid w:val="00CB3C5E"/>
    <w:rsid w:val="00CB4079"/>
    <w:rsid w:val="00CB4B18"/>
    <w:rsid w:val="00CB5B1A"/>
    <w:rsid w:val="00CB6553"/>
    <w:rsid w:val="00CB6B22"/>
    <w:rsid w:val="00CB7F5F"/>
    <w:rsid w:val="00CC0CF4"/>
    <w:rsid w:val="00CC1B39"/>
    <w:rsid w:val="00CC3196"/>
    <w:rsid w:val="00CC37AD"/>
    <w:rsid w:val="00CC38E4"/>
    <w:rsid w:val="00CC4066"/>
    <w:rsid w:val="00CC49DB"/>
    <w:rsid w:val="00CC59D1"/>
    <w:rsid w:val="00CC616A"/>
    <w:rsid w:val="00CD15B2"/>
    <w:rsid w:val="00CD1A53"/>
    <w:rsid w:val="00CD1F90"/>
    <w:rsid w:val="00CD2194"/>
    <w:rsid w:val="00CD2B07"/>
    <w:rsid w:val="00CD3166"/>
    <w:rsid w:val="00CD33E0"/>
    <w:rsid w:val="00CD3E53"/>
    <w:rsid w:val="00CD4AC5"/>
    <w:rsid w:val="00CD6ADC"/>
    <w:rsid w:val="00CD6FF4"/>
    <w:rsid w:val="00CD77FE"/>
    <w:rsid w:val="00CE160F"/>
    <w:rsid w:val="00CE23C0"/>
    <w:rsid w:val="00CE3210"/>
    <w:rsid w:val="00CE6274"/>
    <w:rsid w:val="00CE702D"/>
    <w:rsid w:val="00CF010E"/>
    <w:rsid w:val="00CF0951"/>
    <w:rsid w:val="00CF2B8D"/>
    <w:rsid w:val="00CF456B"/>
    <w:rsid w:val="00CF4F2E"/>
    <w:rsid w:val="00CF556B"/>
    <w:rsid w:val="00CF5A22"/>
    <w:rsid w:val="00CF632B"/>
    <w:rsid w:val="00CF66FF"/>
    <w:rsid w:val="00CF6748"/>
    <w:rsid w:val="00CF6B82"/>
    <w:rsid w:val="00D00294"/>
    <w:rsid w:val="00D0262E"/>
    <w:rsid w:val="00D02B50"/>
    <w:rsid w:val="00D0322C"/>
    <w:rsid w:val="00D056F2"/>
    <w:rsid w:val="00D0612F"/>
    <w:rsid w:val="00D10B40"/>
    <w:rsid w:val="00D110BD"/>
    <w:rsid w:val="00D13244"/>
    <w:rsid w:val="00D13675"/>
    <w:rsid w:val="00D141E1"/>
    <w:rsid w:val="00D15540"/>
    <w:rsid w:val="00D165B4"/>
    <w:rsid w:val="00D17D6C"/>
    <w:rsid w:val="00D208FB"/>
    <w:rsid w:val="00D24B8A"/>
    <w:rsid w:val="00D25735"/>
    <w:rsid w:val="00D2754D"/>
    <w:rsid w:val="00D27B27"/>
    <w:rsid w:val="00D30F1A"/>
    <w:rsid w:val="00D33BE9"/>
    <w:rsid w:val="00D33DC4"/>
    <w:rsid w:val="00D34DD3"/>
    <w:rsid w:val="00D357FF"/>
    <w:rsid w:val="00D41BDF"/>
    <w:rsid w:val="00D41D8C"/>
    <w:rsid w:val="00D42017"/>
    <w:rsid w:val="00D424C7"/>
    <w:rsid w:val="00D43B2A"/>
    <w:rsid w:val="00D47575"/>
    <w:rsid w:val="00D47CDC"/>
    <w:rsid w:val="00D50ED2"/>
    <w:rsid w:val="00D52F1C"/>
    <w:rsid w:val="00D536E5"/>
    <w:rsid w:val="00D56099"/>
    <w:rsid w:val="00D57565"/>
    <w:rsid w:val="00D5791F"/>
    <w:rsid w:val="00D60B7B"/>
    <w:rsid w:val="00D63CC7"/>
    <w:rsid w:val="00D66CDF"/>
    <w:rsid w:val="00D70F16"/>
    <w:rsid w:val="00D73E93"/>
    <w:rsid w:val="00D75130"/>
    <w:rsid w:val="00D75D7A"/>
    <w:rsid w:val="00D76A44"/>
    <w:rsid w:val="00D7767B"/>
    <w:rsid w:val="00D77B99"/>
    <w:rsid w:val="00D80DD7"/>
    <w:rsid w:val="00D815EF"/>
    <w:rsid w:val="00D82093"/>
    <w:rsid w:val="00D82CC7"/>
    <w:rsid w:val="00D840CD"/>
    <w:rsid w:val="00D8471F"/>
    <w:rsid w:val="00D8475D"/>
    <w:rsid w:val="00D84A99"/>
    <w:rsid w:val="00D864E1"/>
    <w:rsid w:val="00D90ADC"/>
    <w:rsid w:val="00D91923"/>
    <w:rsid w:val="00D93753"/>
    <w:rsid w:val="00D93F62"/>
    <w:rsid w:val="00D94DDB"/>
    <w:rsid w:val="00DA3167"/>
    <w:rsid w:val="00DA45B9"/>
    <w:rsid w:val="00DA4DC3"/>
    <w:rsid w:val="00DA633E"/>
    <w:rsid w:val="00DA6C73"/>
    <w:rsid w:val="00DA77A5"/>
    <w:rsid w:val="00DB090D"/>
    <w:rsid w:val="00DB0DDE"/>
    <w:rsid w:val="00DB1891"/>
    <w:rsid w:val="00DB1CE0"/>
    <w:rsid w:val="00DB2697"/>
    <w:rsid w:val="00DB2760"/>
    <w:rsid w:val="00DB33CC"/>
    <w:rsid w:val="00DB3C6D"/>
    <w:rsid w:val="00DB484F"/>
    <w:rsid w:val="00DB5472"/>
    <w:rsid w:val="00DB6BA7"/>
    <w:rsid w:val="00DB6C0B"/>
    <w:rsid w:val="00DB7F1F"/>
    <w:rsid w:val="00DC04F6"/>
    <w:rsid w:val="00DC0F57"/>
    <w:rsid w:val="00DC1782"/>
    <w:rsid w:val="00DC35F5"/>
    <w:rsid w:val="00DC3C57"/>
    <w:rsid w:val="00DC5501"/>
    <w:rsid w:val="00DC7B6D"/>
    <w:rsid w:val="00DC7D69"/>
    <w:rsid w:val="00DD2049"/>
    <w:rsid w:val="00DD273C"/>
    <w:rsid w:val="00DD3A23"/>
    <w:rsid w:val="00DD3F28"/>
    <w:rsid w:val="00DD4537"/>
    <w:rsid w:val="00DD4E15"/>
    <w:rsid w:val="00DD61DC"/>
    <w:rsid w:val="00DD753F"/>
    <w:rsid w:val="00DE0BBE"/>
    <w:rsid w:val="00DE0C5D"/>
    <w:rsid w:val="00DE1A31"/>
    <w:rsid w:val="00DE2F41"/>
    <w:rsid w:val="00DE3138"/>
    <w:rsid w:val="00DE37F8"/>
    <w:rsid w:val="00DE4FCB"/>
    <w:rsid w:val="00DE582B"/>
    <w:rsid w:val="00DE5C7B"/>
    <w:rsid w:val="00DE7832"/>
    <w:rsid w:val="00DF18FC"/>
    <w:rsid w:val="00DF323E"/>
    <w:rsid w:val="00DF3444"/>
    <w:rsid w:val="00DF57C5"/>
    <w:rsid w:val="00DF5D2B"/>
    <w:rsid w:val="00DF5F73"/>
    <w:rsid w:val="00E00672"/>
    <w:rsid w:val="00E00D60"/>
    <w:rsid w:val="00E00E8E"/>
    <w:rsid w:val="00E0232F"/>
    <w:rsid w:val="00E039F9"/>
    <w:rsid w:val="00E03B00"/>
    <w:rsid w:val="00E04937"/>
    <w:rsid w:val="00E05630"/>
    <w:rsid w:val="00E05835"/>
    <w:rsid w:val="00E06DBB"/>
    <w:rsid w:val="00E10149"/>
    <w:rsid w:val="00E104FE"/>
    <w:rsid w:val="00E11FD9"/>
    <w:rsid w:val="00E120A1"/>
    <w:rsid w:val="00E1385D"/>
    <w:rsid w:val="00E13FEF"/>
    <w:rsid w:val="00E154F8"/>
    <w:rsid w:val="00E15881"/>
    <w:rsid w:val="00E16372"/>
    <w:rsid w:val="00E172C7"/>
    <w:rsid w:val="00E177C7"/>
    <w:rsid w:val="00E20E4D"/>
    <w:rsid w:val="00E20ED6"/>
    <w:rsid w:val="00E21358"/>
    <w:rsid w:val="00E21B97"/>
    <w:rsid w:val="00E21C9F"/>
    <w:rsid w:val="00E2249B"/>
    <w:rsid w:val="00E22A0D"/>
    <w:rsid w:val="00E22F68"/>
    <w:rsid w:val="00E24D1D"/>
    <w:rsid w:val="00E25DE7"/>
    <w:rsid w:val="00E275D8"/>
    <w:rsid w:val="00E2771E"/>
    <w:rsid w:val="00E3056A"/>
    <w:rsid w:val="00E344C8"/>
    <w:rsid w:val="00E34948"/>
    <w:rsid w:val="00E35019"/>
    <w:rsid w:val="00E374B7"/>
    <w:rsid w:val="00E37569"/>
    <w:rsid w:val="00E40B55"/>
    <w:rsid w:val="00E41210"/>
    <w:rsid w:val="00E41264"/>
    <w:rsid w:val="00E41E30"/>
    <w:rsid w:val="00E42222"/>
    <w:rsid w:val="00E42B76"/>
    <w:rsid w:val="00E42CB9"/>
    <w:rsid w:val="00E430F3"/>
    <w:rsid w:val="00E43D70"/>
    <w:rsid w:val="00E44C0E"/>
    <w:rsid w:val="00E461C4"/>
    <w:rsid w:val="00E4636A"/>
    <w:rsid w:val="00E466F3"/>
    <w:rsid w:val="00E47B2C"/>
    <w:rsid w:val="00E51560"/>
    <w:rsid w:val="00E53454"/>
    <w:rsid w:val="00E54347"/>
    <w:rsid w:val="00E55424"/>
    <w:rsid w:val="00E55BB5"/>
    <w:rsid w:val="00E624A4"/>
    <w:rsid w:val="00E65E79"/>
    <w:rsid w:val="00E66BA2"/>
    <w:rsid w:val="00E67406"/>
    <w:rsid w:val="00E67416"/>
    <w:rsid w:val="00E7124B"/>
    <w:rsid w:val="00E718B6"/>
    <w:rsid w:val="00E71C4E"/>
    <w:rsid w:val="00E723BA"/>
    <w:rsid w:val="00E73581"/>
    <w:rsid w:val="00E75D9B"/>
    <w:rsid w:val="00E75E1C"/>
    <w:rsid w:val="00E75E53"/>
    <w:rsid w:val="00E833F7"/>
    <w:rsid w:val="00E83568"/>
    <w:rsid w:val="00E83BDF"/>
    <w:rsid w:val="00E8597E"/>
    <w:rsid w:val="00E85AC3"/>
    <w:rsid w:val="00E86C4E"/>
    <w:rsid w:val="00E87A1D"/>
    <w:rsid w:val="00E87B85"/>
    <w:rsid w:val="00E87F42"/>
    <w:rsid w:val="00E91D22"/>
    <w:rsid w:val="00E926A5"/>
    <w:rsid w:val="00EA17C3"/>
    <w:rsid w:val="00EA2CAA"/>
    <w:rsid w:val="00EA3864"/>
    <w:rsid w:val="00EA3F74"/>
    <w:rsid w:val="00EA5840"/>
    <w:rsid w:val="00EA67CE"/>
    <w:rsid w:val="00EA6A25"/>
    <w:rsid w:val="00EB020A"/>
    <w:rsid w:val="00EB0F0D"/>
    <w:rsid w:val="00EB15B6"/>
    <w:rsid w:val="00EB1974"/>
    <w:rsid w:val="00EB39E2"/>
    <w:rsid w:val="00EB445F"/>
    <w:rsid w:val="00EB4916"/>
    <w:rsid w:val="00EB5611"/>
    <w:rsid w:val="00EB587C"/>
    <w:rsid w:val="00EC00C9"/>
    <w:rsid w:val="00EC2649"/>
    <w:rsid w:val="00EC34AC"/>
    <w:rsid w:val="00EC5BFC"/>
    <w:rsid w:val="00ED204F"/>
    <w:rsid w:val="00ED2BD1"/>
    <w:rsid w:val="00ED57EA"/>
    <w:rsid w:val="00ED5ABD"/>
    <w:rsid w:val="00ED5C47"/>
    <w:rsid w:val="00ED5EA2"/>
    <w:rsid w:val="00ED786D"/>
    <w:rsid w:val="00EE07D3"/>
    <w:rsid w:val="00EE1162"/>
    <w:rsid w:val="00EE22AF"/>
    <w:rsid w:val="00EE2364"/>
    <w:rsid w:val="00EE3382"/>
    <w:rsid w:val="00EE60E2"/>
    <w:rsid w:val="00EF0171"/>
    <w:rsid w:val="00EF1188"/>
    <w:rsid w:val="00EF11CF"/>
    <w:rsid w:val="00EF1B25"/>
    <w:rsid w:val="00EF4747"/>
    <w:rsid w:val="00EF4BF8"/>
    <w:rsid w:val="00EF5626"/>
    <w:rsid w:val="00EF5E33"/>
    <w:rsid w:val="00EF66F0"/>
    <w:rsid w:val="00EF75E2"/>
    <w:rsid w:val="00F00AA5"/>
    <w:rsid w:val="00F02253"/>
    <w:rsid w:val="00F03B79"/>
    <w:rsid w:val="00F03C2E"/>
    <w:rsid w:val="00F04A66"/>
    <w:rsid w:val="00F04BD4"/>
    <w:rsid w:val="00F0516C"/>
    <w:rsid w:val="00F0619B"/>
    <w:rsid w:val="00F067A2"/>
    <w:rsid w:val="00F115E0"/>
    <w:rsid w:val="00F1243A"/>
    <w:rsid w:val="00F1263A"/>
    <w:rsid w:val="00F15646"/>
    <w:rsid w:val="00F170F8"/>
    <w:rsid w:val="00F17599"/>
    <w:rsid w:val="00F22462"/>
    <w:rsid w:val="00F2424E"/>
    <w:rsid w:val="00F24837"/>
    <w:rsid w:val="00F2575F"/>
    <w:rsid w:val="00F27565"/>
    <w:rsid w:val="00F310D4"/>
    <w:rsid w:val="00F31D5A"/>
    <w:rsid w:val="00F33140"/>
    <w:rsid w:val="00F338E1"/>
    <w:rsid w:val="00F33DE9"/>
    <w:rsid w:val="00F34763"/>
    <w:rsid w:val="00F35551"/>
    <w:rsid w:val="00F3619A"/>
    <w:rsid w:val="00F365FF"/>
    <w:rsid w:val="00F400ED"/>
    <w:rsid w:val="00F40AAA"/>
    <w:rsid w:val="00F40BA7"/>
    <w:rsid w:val="00F429DF"/>
    <w:rsid w:val="00F440B0"/>
    <w:rsid w:val="00F44E17"/>
    <w:rsid w:val="00F45A82"/>
    <w:rsid w:val="00F45B26"/>
    <w:rsid w:val="00F46CB6"/>
    <w:rsid w:val="00F47CBF"/>
    <w:rsid w:val="00F47DE8"/>
    <w:rsid w:val="00F5115A"/>
    <w:rsid w:val="00F53717"/>
    <w:rsid w:val="00F542C1"/>
    <w:rsid w:val="00F55BD6"/>
    <w:rsid w:val="00F55E73"/>
    <w:rsid w:val="00F55EDA"/>
    <w:rsid w:val="00F56499"/>
    <w:rsid w:val="00F60092"/>
    <w:rsid w:val="00F61467"/>
    <w:rsid w:val="00F631B2"/>
    <w:rsid w:val="00F63681"/>
    <w:rsid w:val="00F640F8"/>
    <w:rsid w:val="00F65F4B"/>
    <w:rsid w:val="00F67501"/>
    <w:rsid w:val="00F70C9D"/>
    <w:rsid w:val="00F71492"/>
    <w:rsid w:val="00F72326"/>
    <w:rsid w:val="00F723CE"/>
    <w:rsid w:val="00F7245E"/>
    <w:rsid w:val="00F72883"/>
    <w:rsid w:val="00F74CD9"/>
    <w:rsid w:val="00F74EE0"/>
    <w:rsid w:val="00F76279"/>
    <w:rsid w:val="00F76ADF"/>
    <w:rsid w:val="00F776D9"/>
    <w:rsid w:val="00F80A7B"/>
    <w:rsid w:val="00F80E5D"/>
    <w:rsid w:val="00F851CE"/>
    <w:rsid w:val="00F865DE"/>
    <w:rsid w:val="00F91219"/>
    <w:rsid w:val="00F96AD7"/>
    <w:rsid w:val="00F97A78"/>
    <w:rsid w:val="00FA0B20"/>
    <w:rsid w:val="00FA13AC"/>
    <w:rsid w:val="00FA2247"/>
    <w:rsid w:val="00FA24E7"/>
    <w:rsid w:val="00FA41E4"/>
    <w:rsid w:val="00FB0647"/>
    <w:rsid w:val="00FB0E6E"/>
    <w:rsid w:val="00FB2998"/>
    <w:rsid w:val="00FB2FCB"/>
    <w:rsid w:val="00FB491A"/>
    <w:rsid w:val="00FC1074"/>
    <w:rsid w:val="00FC1884"/>
    <w:rsid w:val="00FC24CB"/>
    <w:rsid w:val="00FC333B"/>
    <w:rsid w:val="00FC371D"/>
    <w:rsid w:val="00FC5F0B"/>
    <w:rsid w:val="00FC74C8"/>
    <w:rsid w:val="00FC784C"/>
    <w:rsid w:val="00FD0892"/>
    <w:rsid w:val="00FD2100"/>
    <w:rsid w:val="00FD3283"/>
    <w:rsid w:val="00FD41E7"/>
    <w:rsid w:val="00FD436C"/>
    <w:rsid w:val="00FD446D"/>
    <w:rsid w:val="00FD517D"/>
    <w:rsid w:val="00FD5E43"/>
    <w:rsid w:val="00FD6081"/>
    <w:rsid w:val="00FD6394"/>
    <w:rsid w:val="00FD6F59"/>
    <w:rsid w:val="00FE0211"/>
    <w:rsid w:val="00FE0E6C"/>
    <w:rsid w:val="00FE12A4"/>
    <w:rsid w:val="00FE3E4C"/>
    <w:rsid w:val="00FE5054"/>
    <w:rsid w:val="00FE657C"/>
    <w:rsid w:val="00FE66DC"/>
    <w:rsid w:val="00FE6CE0"/>
    <w:rsid w:val="00FE70C3"/>
    <w:rsid w:val="00FF162D"/>
    <w:rsid w:val="00FF3AFF"/>
    <w:rsid w:val="00FF3DCF"/>
    <w:rsid w:val="00FF492C"/>
    <w:rsid w:val="00FF4A21"/>
    <w:rsid w:val="00FF5A2E"/>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D13B0"/>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9C362D"/>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C362D"/>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Bayer,Bayer Caption1,IB Caption1,Medical Caption1,Bayer Caption2,IB Caption2,Medical Caption2,Bayer Caption3,IB Caption3,Medical Caption3,Bayer Caption4"/>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Bayer Char,Bayer Caption1 Char,IB Caption1 Char,Medical Caption1 Char,Bayer Caption2 Char,IB Caption2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7"/>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C362D"/>
    <w:pPr>
      <w:numPr>
        <w:numId w:val="3"/>
      </w:numPr>
      <w:spacing w:before="240" w:after="120"/>
      <w:ind w:left="720"/>
      <w:outlineLvl w:val="0"/>
    </w:pPr>
    <w:rPr>
      <w:rFonts w:asciiTheme="minorHAnsi" w:eastAsiaTheme="minorHAnsi" w:hAnsiTheme="minorHAnsi" w:cstheme="minorBidi"/>
      <w:b/>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D60B7B"/>
    <w:pPr>
      <w:widowControl/>
    </w:pPr>
    <w:rPr>
      <w:rFonts w:eastAsiaTheme="minorHAnsi" w:cstheme="minorBidi"/>
      <w:snapToGrid/>
      <w:sz w:val="20"/>
      <w:szCs w:val="20"/>
    </w:rPr>
  </w:style>
  <w:style w:type="character" w:customStyle="1" w:styleId="FootnoteTextChar">
    <w:name w:val="Footnote Text Char"/>
    <w:basedOn w:val="DefaultParagraphFont"/>
    <w:link w:val="FootnoteText"/>
    <w:uiPriority w:val="99"/>
    <w:rsid w:val="00D60B7B"/>
    <w:rPr>
      <w:rFonts w:ascii="Calibri" w:eastAsiaTheme="minorHAnsi" w:hAnsi="Calibri" w:cstheme="minorBidi"/>
      <w:lang w:eastAsia="en-US"/>
    </w:rPr>
  </w:style>
  <w:style w:type="character" w:styleId="FootnoteReference">
    <w:name w:val="footnote reference"/>
    <w:basedOn w:val="DefaultParagraphFont"/>
    <w:uiPriority w:val="99"/>
    <w:semiHidden/>
    <w:unhideWhenUsed/>
    <w:rsid w:val="00D60B7B"/>
    <w:rPr>
      <w:vertAlign w:val="superscript"/>
    </w:rPr>
  </w:style>
  <w:style w:type="paragraph" w:customStyle="1" w:styleId="Default">
    <w:name w:val="Default"/>
    <w:rsid w:val="001A5C9F"/>
    <w:pPr>
      <w:autoSpaceDE w:val="0"/>
      <w:autoSpaceDN w:val="0"/>
      <w:adjustRightInd w:val="0"/>
    </w:pPr>
    <w:rPr>
      <w:color w:val="000000"/>
      <w:sz w:val="24"/>
      <w:szCs w:val="24"/>
    </w:rPr>
  </w:style>
  <w:style w:type="paragraph" w:customStyle="1" w:styleId="V50Instructions">
    <w:name w:val="V5.0 Instructions"/>
    <w:basedOn w:val="Normal"/>
    <w:link w:val="V50InstructionsChar"/>
    <w:qFormat/>
    <w:rsid w:val="00D056F2"/>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D056F2"/>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qFormat/>
    <w:rsid w:val="00230BD0"/>
    <w:pPr>
      <w:keepNext/>
      <w:widowControl/>
      <w:spacing w:before="40" w:after="40"/>
      <w:jc w:val="left"/>
    </w:pPr>
    <w:rPr>
      <w:rFonts w:ascii="Arial Narrow" w:eastAsiaTheme="minorHAnsi" w:hAnsi="Arial Narrow" w:cstheme="minorBidi"/>
      <w:snapToGrid/>
      <w:sz w:val="20"/>
    </w:rPr>
  </w:style>
  <w:style w:type="table" w:customStyle="1" w:styleId="Summarybox6">
    <w:name w:val="Summary box6"/>
    <w:basedOn w:val="TableNormal"/>
    <w:next w:val="TableGrid"/>
    <w:uiPriority w:val="59"/>
    <w:rsid w:val="007937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D48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uiPriority w:val="59"/>
    <w:rsid w:val="008E41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1006B9"/>
    <w:pPr>
      <w:widowControl/>
      <w:spacing w:line="360" w:lineRule="auto"/>
    </w:pPr>
    <w:rPr>
      <w:rFonts w:asciiTheme="minorHAnsi" w:hAnsiTheme="minorHAnsi" w:cs="Times New Roman"/>
      <w:snapToGrid/>
      <w:sz w:val="22"/>
      <w:szCs w:val="20"/>
      <w:lang w:val="en-US"/>
    </w:rPr>
  </w:style>
  <w:style w:type="character" w:customStyle="1" w:styleId="SyneviNormalChar">
    <w:name w:val="Synevi Normal Char"/>
    <w:basedOn w:val="DefaultParagraphFont"/>
    <w:link w:val="SyneviNormal"/>
    <w:rsid w:val="001006B9"/>
    <w:rPr>
      <w:rFonts w:asciiTheme="minorHAnsi" w:hAnsiTheme="minorHAnsi"/>
      <w:sz w:val="22"/>
      <w:lang w:val="en-US" w:eastAsia="en-US"/>
    </w:rPr>
  </w:style>
  <w:style w:type="paragraph" w:customStyle="1" w:styleId="Normalbullet">
    <w:name w:val="Normal bullet"/>
    <w:basedOn w:val="Normal"/>
    <w:rsid w:val="00605D1A"/>
    <w:pPr>
      <w:widowControl/>
      <w:numPr>
        <w:numId w:val="18"/>
      </w:numPr>
      <w:spacing w:line="360" w:lineRule="auto"/>
    </w:pPr>
    <w:rPr>
      <w:rFonts w:ascii="Arial" w:eastAsia="Calibri" w:hAnsi="Arial" w:cs="Times New Roman"/>
      <w:snapToGrid/>
      <w:sz w:val="22"/>
      <w:szCs w:val="24"/>
    </w:rPr>
  </w:style>
  <w:style w:type="paragraph" w:customStyle="1" w:styleId="V50InstructionsBullets">
    <w:name w:val="V5.0 Instructions Bullets"/>
    <w:basedOn w:val="V50Instructions"/>
    <w:qFormat/>
    <w:rsid w:val="00912D22"/>
    <w:pPr>
      <w:numPr>
        <w:numId w:val="25"/>
      </w:numPr>
      <w:spacing w:before="0" w:after="0"/>
      <w:ind w:left="714" w:hanging="357"/>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73504"/>
    <w:pPr>
      <w:widowControl/>
      <w:spacing w:after="160" w:line="240" w:lineRule="exact"/>
      <w:jc w:val="left"/>
    </w:pPr>
    <w:rPr>
      <w:rFonts w:ascii="Verdana" w:eastAsia="MS Mincho" w:hAnsi="Verdana" w:cs="Verdana"/>
      <w:snapToGrid/>
      <w:sz w:val="20"/>
      <w:szCs w:val="20"/>
      <w:lang w:val="en-US"/>
    </w:rPr>
  </w:style>
  <w:style w:type="paragraph" w:customStyle="1" w:styleId="CharChar2Char">
    <w:name w:val="Char Char2 Char"/>
    <w:basedOn w:val="Normal"/>
    <w:rsid w:val="00FC24CB"/>
    <w:pPr>
      <w:widowControl/>
      <w:spacing w:after="160" w:line="240" w:lineRule="exact"/>
      <w:jc w:val="left"/>
    </w:pPr>
    <w:rPr>
      <w:rFonts w:ascii="Verdana" w:eastAsia="SimSun" w:hAnsi="Verdana" w:cs="Verdana"/>
      <w:snapToGrid/>
      <w:sz w:val="20"/>
      <w:szCs w:val="20"/>
      <w:lang w:val="en-US"/>
    </w:rPr>
  </w:style>
  <w:style w:type="paragraph" w:customStyle="1" w:styleId="CharChar2Char0">
    <w:name w:val="Char Char2 Char"/>
    <w:basedOn w:val="Normal"/>
    <w:rsid w:val="00AD596D"/>
    <w:pPr>
      <w:widowControl/>
      <w:spacing w:after="160" w:line="240" w:lineRule="exact"/>
      <w:jc w:val="left"/>
    </w:pPr>
    <w:rPr>
      <w:rFonts w:ascii="Verdana" w:eastAsia="SimSun" w:hAnsi="Verdana" w:cs="Verdana"/>
      <w:snapToGrid/>
      <w:sz w:val="20"/>
      <w:szCs w:val="20"/>
      <w:lang w:val="en-US"/>
    </w:rPr>
  </w:style>
  <w:style w:type="paragraph" w:customStyle="1" w:styleId="CharChar2Char1">
    <w:name w:val="Char Char2 Char"/>
    <w:basedOn w:val="Normal"/>
    <w:rsid w:val="00BB19CF"/>
    <w:pPr>
      <w:widowControl/>
      <w:spacing w:after="160" w:line="240" w:lineRule="exact"/>
      <w:jc w:val="left"/>
    </w:pPr>
    <w:rPr>
      <w:rFonts w:ascii="Verdana" w:eastAsia="SimSun" w:hAnsi="Verdana" w:cs="Verdana"/>
      <w:snapToGrid/>
      <w:sz w:val="20"/>
      <w:szCs w:val="20"/>
      <w:lang w:val="en-US"/>
    </w:rPr>
  </w:style>
  <w:style w:type="paragraph" w:customStyle="1" w:styleId="EndNoteBibliography">
    <w:name w:val="EndNote Bibliography"/>
    <w:basedOn w:val="Normal"/>
    <w:link w:val="EndNoteBibliographyChar"/>
    <w:rsid w:val="00C97801"/>
    <w:pPr>
      <w:widowControl/>
    </w:pPr>
    <w:rPr>
      <w:rFonts w:ascii="Arial" w:eastAsiaTheme="minorHAnsi" w:hAnsi="Arial"/>
      <w:noProof/>
      <w:snapToGrid/>
      <w:sz w:val="22"/>
      <w:lang w:val="en-US"/>
    </w:rPr>
  </w:style>
  <w:style w:type="character" w:customStyle="1" w:styleId="EndNoteBibliographyChar">
    <w:name w:val="EndNote Bibliography Char"/>
    <w:basedOn w:val="DefaultParagraphFont"/>
    <w:link w:val="EndNoteBibliography"/>
    <w:rsid w:val="00C97801"/>
    <w:rPr>
      <w:rFonts w:ascii="Arial" w:eastAsiaTheme="minorHAnsi" w:hAnsi="Arial" w:cs="Arial"/>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D13B0"/>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9C362D"/>
    <w:pPr>
      <w:spacing w:before="120"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C362D"/>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Bayer,Bayer Caption1,IB Caption1,Medical Caption1,Bayer Caption2,IB Caption2,Medical Caption2,Bayer Caption3,IB Caption3,Medical Caption3,Bayer Caption4"/>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Bayer Char,Bayer Caption1 Char,IB Caption1 Char,Medical Caption1 Char,Bayer Caption2 Char,IB Caption2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7"/>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C362D"/>
    <w:pPr>
      <w:numPr>
        <w:numId w:val="3"/>
      </w:numPr>
      <w:spacing w:before="240" w:after="120"/>
      <w:ind w:left="720"/>
      <w:outlineLvl w:val="0"/>
    </w:pPr>
    <w:rPr>
      <w:rFonts w:asciiTheme="minorHAnsi" w:eastAsiaTheme="minorHAnsi" w:hAnsiTheme="minorHAnsi" w:cstheme="minorBidi"/>
      <w:b/>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D60B7B"/>
    <w:pPr>
      <w:widowControl/>
    </w:pPr>
    <w:rPr>
      <w:rFonts w:eastAsiaTheme="minorHAnsi" w:cstheme="minorBidi"/>
      <w:snapToGrid/>
      <w:sz w:val="20"/>
      <w:szCs w:val="20"/>
    </w:rPr>
  </w:style>
  <w:style w:type="character" w:customStyle="1" w:styleId="FootnoteTextChar">
    <w:name w:val="Footnote Text Char"/>
    <w:basedOn w:val="DefaultParagraphFont"/>
    <w:link w:val="FootnoteText"/>
    <w:uiPriority w:val="99"/>
    <w:rsid w:val="00D60B7B"/>
    <w:rPr>
      <w:rFonts w:ascii="Calibri" w:eastAsiaTheme="minorHAnsi" w:hAnsi="Calibri" w:cstheme="minorBidi"/>
      <w:lang w:eastAsia="en-US"/>
    </w:rPr>
  </w:style>
  <w:style w:type="character" w:styleId="FootnoteReference">
    <w:name w:val="footnote reference"/>
    <w:basedOn w:val="DefaultParagraphFont"/>
    <w:uiPriority w:val="99"/>
    <w:semiHidden/>
    <w:unhideWhenUsed/>
    <w:rsid w:val="00D60B7B"/>
    <w:rPr>
      <w:vertAlign w:val="superscript"/>
    </w:rPr>
  </w:style>
  <w:style w:type="paragraph" w:customStyle="1" w:styleId="Default">
    <w:name w:val="Default"/>
    <w:rsid w:val="001A5C9F"/>
    <w:pPr>
      <w:autoSpaceDE w:val="0"/>
      <w:autoSpaceDN w:val="0"/>
      <w:adjustRightInd w:val="0"/>
    </w:pPr>
    <w:rPr>
      <w:color w:val="000000"/>
      <w:sz w:val="24"/>
      <w:szCs w:val="24"/>
    </w:rPr>
  </w:style>
  <w:style w:type="paragraph" w:customStyle="1" w:styleId="V50Instructions">
    <w:name w:val="V5.0 Instructions"/>
    <w:basedOn w:val="Normal"/>
    <w:link w:val="V50InstructionsChar"/>
    <w:qFormat/>
    <w:rsid w:val="00D056F2"/>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D056F2"/>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qFormat/>
    <w:rsid w:val="00230BD0"/>
    <w:pPr>
      <w:keepNext/>
      <w:widowControl/>
      <w:spacing w:before="40" w:after="40"/>
      <w:jc w:val="left"/>
    </w:pPr>
    <w:rPr>
      <w:rFonts w:ascii="Arial Narrow" w:eastAsiaTheme="minorHAnsi" w:hAnsi="Arial Narrow" w:cstheme="minorBidi"/>
      <w:snapToGrid/>
      <w:sz w:val="20"/>
    </w:rPr>
  </w:style>
  <w:style w:type="table" w:customStyle="1" w:styleId="Summarybox6">
    <w:name w:val="Summary box6"/>
    <w:basedOn w:val="TableNormal"/>
    <w:next w:val="TableGrid"/>
    <w:uiPriority w:val="59"/>
    <w:rsid w:val="007937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D48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uiPriority w:val="59"/>
    <w:rsid w:val="008E41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1006B9"/>
    <w:pPr>
      <w:widowControl/>
      <w:spacing w:line="360" w:lineRule="auto"/>
    </w:pPr>
    <w:rPr>
      <w:rFonts w:asciiTheme="minorHAnsi" w:hAnsiTheme="minorHAnsi" w:cs="Times New Roman"/>
      <w:snapToGrid/>
      <w:sz w:val="22"/>
      <w:szCs w:val="20"/>
      <w:lang w:val="en-US"/>
    </w:rPr>
  </w:style>
  <w:style w:type="character" w:customStyle="1" w:styleId="SyneviNormalChar">
    <w:name w:val="Synevi Normal Char"/>
    <w:basedOn w:val="DefaultParagraphFont"/>
    <w:link w:val="SyneviNormal"/>
    <w:rsid w:val="001006B9"/>
    <w:rPr>
      <w:rFonts w:asciiTheme="minorHAnsi" w:hAnsiTheme="minorHAnsi"/>
      <w:sz w:val="22"/>
      <w:lang w:val="en-US" w:eastAsia="en-US"/>
    </w:rPr>
  </w:style>
  <w:style w:type="paragraph" w:customStyle="1" w:styleId="Normalbullet">
    <w:name w:val="Normal bullet"/>
    <w:basedOn w:val="Normal"/>
    <w:rsid w:val="00605D1A"/>
    <w:pPr>
      <w:widowControl/>
      <w:numPr>
        <w:numId w:val="18"/>
      </w:numPr>
      <w:spacing w:line="360" w:lineRule="auto"/>
    </w:pPr>
    <w:rPr>
      <w:rFonts w:ascii="Arial" w:eastAsia="Calibri" w:hAnsi="Arial" w:cs="Times New Roman"/>
      <w:snapToGrid/>
      <w:sz w:val="22"/>
      <w:szCs w:val="24"/>
    </w:rPr>
  </w:style>
  <w:style w:type="paragraph" w:customStyle="1" w:styleId="V50InstructionsBullets">
    <w:name w:val="V5.0 Instructions Bullets"/>
    <w:basedOn w:val="V50Instructions"/>
    <w:qFormat/>
    <w:rsid w:val="00912D22"/>
    <w:pPr>
      <w:numPr>
        <w:numId w:val="25"/>
      </w:numPr>
      <w:spacing w:before="0" w:after="0"/>
      <w:ind w:left="714" w:hanging="357"/>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173504"/>
    <w:pPr>
      <w:widowControl/>
      <w:spacing w:after="160" w:line="240" w:lineRule="exact"/>
      <w:jc w:val="left"/>
    </w:pPr>
    <w:rPr>
      <w:rFonts w:ascii="Verdana" w:eastAsia="MS Mincho" w:hAnsi="Verdana" w:cs="Verdana"/>
      <w:snapToGrid/>
      <w:sz w:val="20"/>
      <w:szCs w:val="20"/>
      <w:lang w:val="en-US"/>
    </w:rPr>
  </w:style>
  <w:style w:type="paragraph" w:customStyle="1" w:styleId="CharChar2Char">
    <w:name w:val="Char Char2 Char"/>
    <w:basedOn w:val="Normal"/>
    <w:rsid w:val="00FC24CB"/>
    <w:pPr>
      <w:widowControl/>
      <w:spacing w:after="160" w:line="240" w:lineRule="exact"/>
      <w:jc w:val="left"/>
    </w:pPr>
    <w:rPr>
      <w:rFonts w:ascii="Verdana" w:eastAsia="SimSun" w:hAnsi="Verdana" w:cs="Verdana"/>
      <w:snapToGrid/>
      <w:sz w:val="20"/>
      <w:szCs w:val="20"/>
      <w:lang w:val="en-US"/>
    </w:rPr>
  </w:style>
  <w:style w:type="paragraph" w:customStyle="1" w:styleId="CharChar2Char0">
    <w:name w:val="Char Char2 Char"/>
    <w:basedOn w:val="Normal"/>
    <w:rsid w:val="00AD596D"/>
    <w:pPr>
      <w:widowControl/>
      <w:spacing w:after="160" w:line="240" w:lineRule="exact"/>
      <w:jc w:val="left"/>
    </w:pPr>
    <w:rPr>
      <w:rFonts w:ascii="Verdana" w:eastAsia="SimSun" w:hAnsi="Verdana" w:cs="Verdana"/>
      <w:snapToGrid/>
      <w:sz w:val="20"/>
      <w:szCs w:val="20"/>
      <w:lang w:val="en-US"/>
    </w:rPr>
  </w:style>
  <w:style w:type="paragraph" w:customStyle="1" w:styleId="CharChar2Char1">
    <w:name w:val="Char Char2 Char"/>
    <w:basedOn w:val="Normal"/>
    <w:rsid w:val="00BB19CF"/>
    <w:pPr>
      <w:widowControl/>
      <w:spacing w:after="160" w:line="240" w:lineRule="exact"/>
      <w:jc w:val="left"/>
    </w:pPr>
    <w:rPr>
      <w:rFonts w:ascii="Verdana" w:eastAsia="SimSun" w:hAnsi="Verdana" w:cs="Verdana"/>
      <w:snapToGrid/>
      <w:sz w:val="20"/>
      <w:szCs w:val="20"/>
      <w:lang w:val="en-US"/>
    </w:rPr>
  </w:style>
  <w:style w:type="paragraph" w:customStyle="1" w:styleId="EndNoteBibliography">
    <w:name w:val="EndNote Bibliography"/>
    <w:basedOn w:val="Normal"/>
    <w:link w:val="EndNoteBibliographyChar"/>
    <w:rsid w:val="00C97801"/>
    <w:pPr>
      <w:widowControl/>
    </w:pPr>
    <w:rPr>
      <w:rFonts w:ascii="Arial" w:eastAsiaTheme="minorHAnsi" w:hAnsi="Arial"/>
      <w:noProof/>
      <w:snapToGrid/>
      <w:sz w:val="22"/>
      <w:lang w:val="en-US"/>
    </w:rPr>
  </w:style>
  <w:style w:type="character" w:customStyle="1" w:styleId="EndNoteBibliographyChar">
    <w:name w:val="EndNote Bibliography Char"/>
    <w:basedOn w:val="DefaultParagraphFont"/>
    <w:link w:val="EndNoteBibliography"/>
    <w:rsid w:val="00C97801"/>
    <w:rPr>
      <w:rFonts w:ascii="Arial" w:eastAsiaTheme="minorHAnsi" w:hAnsi="Arial" w:cs="Arial"/>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574">
      <w:bodyDiv w:val="1"/>
      <w:marLeft w:val="0"/>
      <w:marRight w:val="0"/>
      <w:marTop w:val="0"/>
      <w:marBottom w:val="0"/>
      <w:divBdr>
        <w:top w:val="none" w:sz="0" w:space="0" w:color="auto"/>
        <w:left w:val="none" w:sz="0" w:space="0" w:color="auto"/>
        <w:bottom w:val="none" w:sz="0" w:space="0" w:color="auto"/>
        <w:right w:val="none" w:sz="0" w:space="0" w:color="auto"/>
      </w:divBdr>
    </w:div>
    <w:div w:id="49425383">
      <w:bodyDiv w:val="1"/>
      <w:marLeft w:val="0"/>
      <w:marRight w:val="0"/>
      <w:marTop w:val="0"/>
      <w:marBottom w:val="0"/>
      <w:divBdr>
        <w:top w:val="none" w:sz="0" w:space="0" w:color="auto"/>
        <w:left w:val="none" w:sz="0" w:space="0" w:color="auto"/>
        <w:bottom w:val="none" w:sz="0" w:space="0" w:color="auto"/>
        <w:right w:val="none" w:sz="0" w:space="0" w:color="auto"/>
      </w:divBdr>
    </w:div>
    <w:div w:id="61024816">
      <w:bodyDiv w:val="1"/>
      <w:marLeft w:val="0"/>
      <w:marRight w:val="0"/>
      <w:marTop w:val="0"/>
      <w:marBottom w:val="0"/>
      <w:divBdr>
        <w:top w:val="none" w:sz="0" w:space="0" w:color="auto"/>
        <w:left w:val="none" w:sz="0" w:space="0" w:color="auto"/>
        <w:bottom w:val="none" w:sz="0" w:space="0" w:color="auto"/>
        <w:right w:val="none" w:sz="0" w:space="0" w:color="auto"/>
      </w:divBdr>
    </w:div>
    <w:div w:id="109789463">
      <w:bodyDiv w:val="1"/>
      <w:marLeft w:val="0"/>
      <w:marRight w:val="0"/>
      <w:marTop w:val="0"/>
      <w:marBottom w:val="0"/>
      <w:divBdr>
        <w:top w:val="none" w:sz="0" w:space="0" w:color="auto"/>
        <w:left w:val="none" w:sz="0" w:space="0" w:color="auto"/>
        <w:bottom w:val="none" w:sz="0" w:space="0" w:color="auto"/>
        <w:right w:val="none" w:sz="0" w:space="0" w:color="auto"/>
      </w:divBdr>
    </w:div>
    <w:div w:id="244657263">
      <w:bodyDiv w:val="1"/>
      <w:marLeft w:val="0"/>
      <w:marRight w:val="0"/>
      <w:marTop w:val="0"/>
      <w:marBottom w:val="0"/>
      <w:divBdr>
        <w:top w:val="none" w:sz="0" w:space="0" w:color="auto"/>
        <w:left w:val="none" w:sz="0" w:space="0" w:color="auto"/>
        <w:bottom w:val="none" w:sz="0" w:space="0" w:color="auto"/>
        <w:right w:val="none" w:sz="0" w:space="0" w:color="auto"/>
      </w:divBdr>
    </w:div>
    <w:div w:id="345714474">
      <w:bodyDiv w:val="1"/>
      <w:marLeft w:val="0"/>
      <w:marRight w:val="0"/>
      <w:marTop w:val="0"/>
      <w:marBottom w:val="0"/>
      <w:divBdr>
        <w:top w:val="none" w:sz="0" w:space="0" w:color="auto"/>
        <w:left w:val="none" w:sz="0" w:space="0" w:color="auto"/>
        <w:bottom w:val="none" w:sz="0" w:space="0" w:color="auto"/>
        <w:right w:val="none" w:sz="0" w:space="0" w:color="auto"/>
      </w:divBdr>
    </w:div>
    <w:div w:id="430009610">
      <w:bodyDiv w:val="1"/>
      <w:marLeft w:val="0"/>
      <w:marRight w:val="0"/>
      <w:marTop w:val="0"/>
      <w:marBottom w:val="0"/>
      <w:divBdr>
        <w:top w:val="none" w:sz="0" w:space="0" w:color="auto"/>
        <w:left w:val="none" w:sz="0" w:space="0" w:color="auto"/>
        <w:bottom w:val="none" w:sz="0" w:space="0" w:color="auto"/>
        <w:right w:val="none" w:sz="0" w:space="0" w:color="auto"/>
      </w:divBdr>
    </w:div>
    <w:div w:id="460811063">
      <w:bodyDiv w:val="1"/>
      <w:marLeft w:val="0"/>
      <w:marRight w:val="0"/>
      <w:marTop w:val="0"/>
      <w:marBottom w:val="0"/>
      <w:divBdr>
        <w:top w:val="none" w:sz="0" w:space="0" w:color="auto"/>
        <w:left w:val="none" w:sz="0" w:space="0" w:color="auto"/>
        <w:bottom w:val="none" w:sz="0" w:space="0" w:color="auto"/>
        <w:right w:val="none" w:sz="0" w:space="0" w:color="auto"/>
      </w:divBdr>
    </w:div>
    <w:div w:id="486631038">
      <w:bodyDiv w:val="1"/>
      <w:marLeft w:val="0"/>
      <w:marRight w:val="0"/>
      <w:marTop w:val="0"/>
      <w:marBottom w:val="0"/>
      <w:divBdr>
        <w:top w:val="none" w:sz="0" w:space="0" w:color="auto"/>
        <w:left w:val="none" w:sz="0" w:space="0" w:color="auto"/>
        <w:bottom w:val="none" w:sz="0" w:space="0" w:color="auto"/>
        <w:right w:val="none" w:sz="0" w:space="0" w:color="auto"/>
      </w:divBdr>
    </w:div>
    <w:div w:id="541677109">
      <w:bodyDiv w:val="1"/>
      <w:marLeft w:val="0"/>
      <w:marRight w:val="0"/>
      <w:marTop w:val="0"/>
      <w:marBottom w:val="0"/>
      <w:divBdr>
        <w:top w:val="none" w:sz="0" w:space="0" w:color="auto"/>
        <w:left w:val="none" w:sz="0" w:space="0" w:color="auto"/>
        <w:bottom w:val="none" w:sz="0" w:space="0" w:color="auto"/>
        <w:right w:val="none" w:sz="0" w:space="0" w:color="auto"/>
      </w:divBdr>
    </w:div>
    <w:div w:id="578178258">
      <w:bodyDiv w:val="1"/>
      <w:marLeft w:val="0"/>
      <w:marRight w:val="0"/>
      <w:marTop w:val="0"/>
      <w:marBottom w:val="0"/>
      <w:divBdr>
        <w:top w:val="none" w:sz="0" w:space="0" w:color="auto"/>
        <w:left w:val="none" w:sz="0" w:space="0" w:color="auto"/>
        <w:bottom w:val="none" w:sz="0" w:space="0" w:color="auto"/>
        <w:right w:val="none" w:sz="0" w:space="0" w:color="auto"/>
      </w:divBdr>
    </w:div>
    <w:div w:id="583803443">
      <w:bodyDiv w:val="1"/>
      <w:marLeft w:val="0"/>
      <w:marRight w:val="0"/>
      <w:marTop w:val="0"/>
      <w:marBottom w:val="0"/>
      <w:divBdr>
        <w:top w:val="none" w:sz="0" w:space="0" w:color="auto"/>
        <w:left w:val="none" w:sz="0" w:space="0" w:color="auto"/>
        <w:bottom w:val="none" w:sz="0" w:space="0" w:color="auto"/>
        <w:right w:val="none" w:sz="0" w:space="0" w:color="auto"/>
      </w:divBdr>
    </w:div>
    <w:div w:id="655453094">
      <w:bodyDiv w:val="1"/>
      <w:marLeft w:val="0"/>
      <w:marRight w:val="0"/>
      <w:marTop w:val="0"/>
      <w:marBottom w:val="0"/>
      <w:divBdr>
        <w:top w:val="none" w:sz="0" w:space="0" w:color="auto"/>
        <w:left w:val="none" w:sz="0" w:space="0" w:color="auto"/>
        <w:bottom w:val="none" w:sz="0" w:space="0" w:color="auto"/>
        <w:right w:val="none" w:sz="0" w:space="0" w:color="auto"/>
      </w:divBdr>
    </w:div>
    <w:div w:id="712851807">
      <w:bodyDiv w:val="1"/>
      <w:marLeft w:val="0"/>
      <w:marRight w:val="0"/>
      <w:marTop w:val="0"/>
      <w:marBottom w:val="0"/>
      <w:divBdr>
        <w:top w:val="none" w:sz="0" w:space="0" w:color="auto"/>
        <w:left w:val="none" w:sz="0" w:space="0" w:color="auto"/>
        <w:bottom w:val="none" w:sz="0" w:space="0" w:color="auto"/>
        <w:right w:val="none" w:sz="0" w:space="0" w:color="auto"/>
      </w:divBdr>
    </w:div>
    <w:div w:id="721751909">
      <w:bodyDiv w:val="1"/>
      <w:marLeft w:val="0"/>
      <w:marRight w:val="0"/>
      <w:marTop w:val="0"/>
      <w:marBottom w:val="0"/>
      <w:divBdr>
        <w:top w:val="none" w:sz="0" w:space="0" w:color="auto"/>
        <w:left w:val="none" w:sz="0" w:space="0" w:color="auto"/>
        <w:bottom w:val="none" w:sz="0" w:space="0" w:color="auto"/>
        <w:right w:val="none" w:sz="0" w:space="0" w:color="auto"/>
      </w:divBdr>
    </w:div>
    <w:div w:id="868181277">
      <w:bodyDiv w:val="1"/>
      <w:marLeft w:val="0"/>
      <w:marRight w:val="0"/>
      <w:marTop w:val="0"/>
      <w:marBottom w:val="0"/>
      <w:divBdr>
        <w:top w:val="none" w:sz="0" w:space="0" w:color="auto"/>
        <w:left w:val="none" w:sz="0" w:space="0" w:color="auto"/>
        <w:bottom w:val="none" w:sz="0" w:space="0" w:color="auto"/>
        <w:right w:val="none" w:sz="0" w:space="0" w:color="auto"/>
      </w:divBdr>
    </w:div>
    <w:div w:id="959074423">
      <w:bodyDiv w:val="1"/>
      <w:marLeft w:val="0"/>
      <w:marRight w:val="0"/>
      <w:marTop w:val="0"/>
      <w:marBottom w:val="0"/>
      <w:divBdr>
        <w:top w:val="none" w:sz="0" w:space="0" w:color="auto"/>
        <w:left w:val="none" w:sz="0" w:space="0" w:color="auto"/>
        <w:bottom w:val="none" w:sz="0" w:space="0" w:color="auto"/>
        <w:right w:val="none" w:sz="0" w:space="0" w:color="auto"/>
      </w:divBdr>
    </w:div>
    <w:div w:id="1005866239">
      <w:bodyDiv w:val="1"/>
      <w:marLeft w:val="0"/>
      <w:marRight w:val="0"/>
      <w:marTop w:val="0"/>
      <w:marBottom w:val="0"/>
      <w:divBdr>
        <w:top w:val="none" w:sz="0" w:space="0" w:color="auto"/>
        <w:left w:val="none" w:sz="0" w:space="0" w:color="auto"/>
        <w:bottom w:val="none" w:sz="0" w:space="0" w:color="auto"/>
        <w:right w:val="none" w:sz="0" w:space="0" w:color="auto"/>
      </w:divBdr>
    </w:div>
    <w:div w:id="1026710886">
      <w:bodyDiv w:val="1"/>
      <w:marLeft w:val="0"/>
      <w:marRight w:val="0"/>
      <w:marTop w:val="0"/>
      <w:marBottom w:val="0"/>
      <w:divBdr>
        <w:top w:val="none" w:sz="0" w:space="0" w:color="auto"/>
        <w:left w:val="none" w:sz="0" w:space="0" w:color="auto"/>
        <w:bottom w:val="none" w:sz="0" w:space="0" w:color="auto"/>
        <w:right w:val="none" w:sz="0" w:space="0" w:color="auto"/>
      </w:divBdr>
    </w:div>
    <w:div w:id="1051537914">
      <w:bodyDiv w:val="1"/>
      <w:marLeft w:val="0"/>
      <w:marRight w:val="0"/>
      <w:marTop w:val="0"/>
      <w:marBottom w:val="0"/>
      <w:divBdr>
        <w:top w:val="none" w:sz="0" w:space="0" w:color="auto"/>
        <w:left w:val="none" w:sz="0" w:space="0" w:color="auto"/>
        <w:bottom w:val="none" w:sz="0" w:space="0" w:color="auto"/>
        <w:right w:val="none" w:sz="0" w:space="0" w:color="auto"/>
      </w:divBdr>
    </w:div>
    <w:div w:id="1195382716">
      <w:bodyDiv w:val="1"/>
      <w:marLeft w:val="0"/>
      <w:marRight w:val="0"/>
      <w:marTop w:val="0"/>
      <w:marBottom w:val="0"/>
      <w:divBdr>
        <w:top w:val="none" w:sz="0" w:space="0" w:color="auto"/>
        <w:left w:val="none" w:sz="0" w:space="0" w:color="auto"/>
        <w:bottom w:val="none" w:sz="0" w:space="0" w:color="auto"/>
        <w:right w:val="none" w:sz="0" w:space="0" w:color="auto"/>
      </w:divBdr>
      <w:divsChild>
        <w:div w:id="878006269">
          <w:marLeft w:val="240"/>
          <w:marRight w:val="0"/>
          <w:marTop w:val="60"/>
          <w:marBottom w:val="0"/>
          <w:divBdr>
            <w:top w:val="none" w:sz="0" w:space="0" w:color="auto"/>
            <w:left w:val="none" w:sz="0" w:space="0" w:color="auto"/>
            <w:bottom w:val="none" w:sz="0" w:space="0" w:color="auto"/>
            <w:right w:val="none" w:sz="0" w:space="0" w:color="auto"/>
          </w:divBdr>
        </w:div>
      </w:divsChild>
    </w:div>
    <w:div w:id="1241984381">
      <w:bodyDiv w:val="1"/>
      <w:marLeft w:val="0"/>
      <w:marRight w:val="0"/>
      <w:marTop w:val="0"/>
      <w:marBottom w:val="0"/>
      <w:divBdr>
        <w:top w:val="none" w:sz="0" w:space="0" w:color="auto"/>
        <w:left w:val="none" w:sz="0" w:space="0" w:color="auto"/>
        <w:bottom w:val="none" w:sz="0" w:space="0" w:color="auto"/>
        <w:right w:val="none" w:sz="0" w:space="0" w:color="auto"/>
      </w:divBdr>
    </w:div>
    <w:div w:id="1250583700">
      <w:bodyDiv w:val="1"/>
      <w:marLeft w:val="0"/>
      <w:marRight w:val="0"/>
      <w:marTop w:val="0"/>
      <w:marBottom w:val="0"/>
      <w:divBdr>
        <w:top w:val="none" w:sz="0" w:space="0" w:color="auto"/>
        <w:left w:val="none" w:sz="0" w:space="0" w:color="auto"/>
        <w:bottom w:val="none" w:sz="0" w:space="0" w:color="auto"/>
        <w:right w:val="none" w:sz="0" w:space="0" w:color="auto"/>
      </w:divBdr>
    </w:div>
    <w:div w:id="1272319580">
      <w:bodyDiv w:val="1"/>
      <w:marLeft w:val="0"/>
      <w:marRight w:val="0"/>
      <w:marTop w:val="0"/>
      <w:marBottom w:val="0"/>
      <w:divBdr>
        <w:top w:val="none" w:sz="0" w:space="0" w:color="auto"/>
        <w:left w:val="none" w:sz="0" w:space="0" w:color="auto"/>
        <w:bottom w:val="none" w:sz="0" w:space="0" w:color="auto"/>
        <w:right w:val="none" w:sz="0" w:space="0" w:color="auto"/>
      </w:divBdr>
    </w:div>
    <w:div w:id="1289357577">
      <w:bodyDiv w:val="1"/>
      <w:marLeft w:val="0"/>
      <w:marRight w:val="0"/>
      <w:marTop w:val="0"/>
      <w:marBottom w:val="0"/>
      <w:divBdr>
        <w:top w:val="none" w:sz="0" w:space="0" w:color="auto"/>
        <w:left w:val="none" w:sz="0" w:space="0" w:color="auto"/>
        <w:bottom w:val="none" w:sz="0" w:space="0" w:color="auto"/>
        <w:right w:val="none" w:sz="0" w:space="0" w:color="auto"/>
      </w:divBdr>
    </w:div>
    <w:div w:id="1296646251">
      <w:bodyDiv w:val="1"/>
      <w:marLeft w:val="0"/>
      <w:marRight w:val="0"/>
      <w:marTop w:val="0"/>
      <w:marBottom w:val="0"/>
      <w:divBdr>
        <w:top w:val="none" w:sz="0" w:space="0" w:color="auto"/>
        <w:left w:val="none" w:sz="0" w:space="0" w:color="auto"/>
        <w:bottom w:val="none" w:sz="0" w:space="0" w:color="auto"/>
        <w:right w:val="none" w:sz="0" w:space="0" w:color="auto"/>
      </w:divBdr>
      <w:divsChild>
        <w:div w:id="862742430">
          <w:marLeft w:val="0"/>
          <w:marRight w:val="0"/>
          <w:marTop w:val="0"/>
          <w:marBottom w:val="0"/>
          <w:divBdr>
            <w:top w:val="none" w:sz="0" w:space="0" w:color="auto"/>
            <w:left w:val="none" w:sz="0" w:space="0" w:color="auto"/>
            <w:bottom w:val="none" w:sz="0" w:space="0" w:color="auto"/>
            <w:right w:val="none" w:sz="0" w:space="0" w:color="auto"/>
          </w:divBdr>
          <w:divsChild>
            <w:div w:id="776871983">
              <w:marLeft w:val="0"/>
              <w:marRight w:val="0"/>
              <w:marTop w:val="100"/>
              <w:marBottom w:val="100"/>
              <w:divBdr>
                <w:top w:val="none" w:sz="0" w:space="0" w:color="auto"/>
                <w:left w:val="none" w:sz="0" w:space="0" w:color="auto"/>
                <w:bottom w:val="none" w:sz="0" w:space="0" w:color="auto"/>
                <w:right w:val="none" w:sz="0" w:space="0" w:color="auto"/>
              </w:divBdr>
              <w:divsChild>
                <w:div w:id="2020620276">
                  <w:marLeft w:val="0"/>
                  <w:marRight w:val="0"/>
                  <w:marTop w:val="0"/>
                  <w:marBottom w:val="0"/>
                  <w:divBdr>
                    <w:top w:val="none" w:sz="0" w:space="0" w:color="auto"/>
                    <w:left w:val="none" w:sz="0" w:space="0" w:color="auto"/>
                    <w:bottom w:val="none" w:sz="0" w:space="0" w:color="auto"/>
                    <w:right w:val="none" w:sz="0" w:space="0" w:color="auto"/>
                  </w:divBdr>
                  <w:divsChild>
                    <w:div w:id="1005791418">
                      <w:marLeft w:val="0"/>
                      <w:marRight w:val="0"/>
                      <w:marTop w:val="0"/>
                      <w:marBottom w:val="0"/>
                      <w:divBdr>
                        <w:top w:val="none" w:sz="0" w:space="0" w:color="auto"/>
                        <w:left w:val="none" w:sz="0" w:space="0" w:color="auto"/>
                        <w:bottom w:val="none" w:sz="0" w:space="0" w:color="auto"/>
                        <w:right w:val="none" w:sz="0" w:space="0" w:color="auto"/>
                      </w:divBdr>
                      <w:divsChild>
                        <w:div w:id="1668165033">
                          <w:marLeft w:val="0"/>
                          <w:marRight w:val="0"/>
                          <w:marTop w:val="0"/>
                          <w:marBottom w:val="0"/>
                          <w:divBdr>
                            <w:top w:val="none" w:sz="0" w:space="0" w:color="auto"/>
                            <w:left w:val="none" w:sz="0" w:space="0" w:color="auto"/>
                            <w:bottom w:val="none" w:sz="0" w:space="0" w:color="auto"/>
                            <w:right w:val="none" w:sz="0" w:space="0" w:color="auto"/>
                          </w:divBdr>
                          <w:divsChild>
                            <w:div w:id="18169172">
                              <w:marLeft w:val="0"/>
                              <w:marRight w:val="0"/>
                              <w:marTop w:val="0"/>
                              <w:marBottom w:val="0"/>
                              <w:divBdr>
                                <w:top w:val="none" w:sz="0" w:space="0" w:color="auto"/>
                                <w:left w:val="none" w:sz="0" w:space="0" w:color="auto"/>
                                <w:bottom w:val="none" w:sz="0" w:space="0" w:color="auto"/>
                                <w:right w:val="none" w:sz="0" w:space="0" w:color="auto"/>
                              </w:divBdr>
                              <w:divsChild>
                                <w:div w:id="2134398271">
                                  <w:marLeft w:val="0"/>
                                  <w:marRight w:val="0"/>
                                  <w:marTop w:val="100"/>
                                  <w:marBottom w:val="100"/>
                                  <w:divBdr>
                                    <w:top w:val="none" w:sz="0" w:space="0" w:color="auto"/>
                                    <w:left w:val="none" w:sz="0" w:space="0" w:color="auto"/>
                                    <w:bottom w:val="none" w:sz="0" w:space="0" w:color="auto"/>
                                    <w:right w:val="none" w:sz="0" w:space="0" w:color="auto"/>
                                  </w:divBdr>
                                  <w:divsChild>
                                    <w:div w:id="1835031028">
                                      <w:marLeft w:val="0"/>
                                      <w:marRight w:val="0"/>
                                      <w:marTop w:val="0"/>
                                      <w:marBottom w:val="135"/>
                                      <w:divBdr>
                                        <w:top w:val="none" w:sz="0" w:space="0" w:color="auto"/>
                                        <w:left w:val="none" w:sz="0" w:space="0" w:color="auto"/>
                                        <w:bottom w:val="single" w:sz="12" w:space="9" w:color="EBEBEB"/>
                                        <w:right w:val="none" w:sz="0" w:space="0" w:color="auto"/>
                                      </w:divBdr>
                                      <w:divsChild>
                                        <w:div w:id="804197580">
                                          <w:marLeft w:val="0"/>
                                          <w:marRight w:val="0"/>
                                          <w:marTop w:val="0"/>
                                          <w:marBottom w:val="120"/>
                                          <w:divBdr>
                                            <w:top w:val="none" w:sz="0" w:space="0" w:color="auto"/>
                                            <w:left w:val="none" w:sz="0" w:space="0" w:color="auto"/>
                                            <w:bottom w:val="none" w:sz="0" w:space="0" w:color="auto"/>
                                            <w:right w:val="none" w:sz="0" w:space="0" w:color="auto"/>
                                          </w:divBdr>
                                          <w:divsChild>
                                            <w:div w:id="15998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953504">
      <w:bodyDiv w:val="1"/>
      <w:marLeft w:val="0"/>
      <w:marRight w:val="0"/>
      <w:marTop w:val="0"/>
      <w:marBottom w:val="0"/>
      <w:divBdr>
        <w:top w:val="none" w:sz="0" w:space="0" w:color="auto"/>
        <w:left w:val="none" w:sz="0" w:space="0" w:color="auto"/>
        <w:bottom w:val="none" w:sz="0" w:space="0" w:color="auto"/>
        <w:right w:val="none" w:sz="0" w:space="0" w:color="auto"/>
      </w:divBdr>
    </w:div>
    <w:div w:id="1306007818">
      <w:bodyDiv w:val="1"/>
      <w:marLeft w:val="0"/>
      <w:marRight w:val="0"/>
      <w:marTop w:val="0"/>
      <w:marBottom w:val="0"/>
      <w:divBdr>
        <w:top w:val="none" w:sz="0" w:space="0" w:color="auto"/>
        <w:left w:val="none" w:sz="0" w:space="0" w:color="auto"/>
        <w:bottom w:val="none" w:sz="0" w:space="0" w:color="auto"/>
        <w:right w:val="none" w:sz="0" w:space="0" w:color="auto"/>
      </w:divBdr>
    </w:div>
    <w:div w:id="1336225716">
      <w:bodyDiv w:val="1"/>
      <w:marLeft w:val="0"/>
      <w:marRight w:val="0"/>
      <w:marTop w:val="0"/>
      <w:marBottom w:val="0"/>
      <w:divBdr>
        <w:top w:val="none" w:sz="0" w:space="0" w:color="auto"/>
        <w:left w:val="none" w:sz="0" w:space="0" w:color="auto"/>
        <w:bottom w:val="none" w:sz="0" w:space="0" w:color="auto"/>
        <w:right w:val="none" w:sz="0" w:space="0" w:color="auto"/>
      </w:divBdr>
    </w:div>
    <w:div w:id="1338776661">
      <w:bodyDiv w:val="1"/>
      <w:marLeft w:val="0"/>
      <w:marRight w:val="0"/>
      <w:marTop w:val="0"/>
      <w:marBottom w:val="0"/>
      <w:divBdr>
        <w:top w:val="none" w:sz="0" w:space="0" w:color="auto"/>
        <w:left w:val="none" w:sz="0" w:space="0" w:color="auto"/>
        <w:bottom w:val="none" w:sz="0" w:space="0" w:color="auto"/>
        <w:right w:val="none" w:sz="0" w:space="0" w:color="auto"/>
      </w:divBdr>
    </w:div>
    <w:div w:id="1341392253">
      <w:bodyDiv w:val="1"/>
      <w:marLeft w:val="0"/>
      <w:marRight w:val="0"/>
      <w:marTop w:val="0"/>
      <w:marBottom w:val="0"/>
      <w:divBdr>
        <w:top w:val="none" w:sz="0" w:space="0" w:color="auto"/>
        <w:left w:val="none" w:sz="0" w:space="0" w:color="auto"/>
        <w:bottom w:val="none" w:sz="0" w:space="0" w:color="auto"/>
        <w:right w:val="none" w:sz="0" w:space="0" w:color="auto"/>
      </w:divBdr>
    </w:div>
    <w:div w:id="1352030502">
      <w:bodyDiv w:val="1"/>
      <w:marLeft w:val="0"/>
      <w:marRight w:val="0"/>
      <w:marTop w:val="0"/>
      <w:marBottom w:val="0"/>
      <w:divBdr>
        <w:top w:val="none" w:sz="0" w:space="0" w:color="auto"/>
        <w:left w:val="none" w:sz="0" w:space="0" w:color="auto"/>
        <w:bottom w:val="none" w:sz="0" w:space="0" w:color="auto"/>
        <w:right w:val="none" w:sz="0" w:space="0" w:color="auto"/>
      </w:divBdr>
    </w:div>
    <w:div w:id="1372194041">
      <w:bodyDiv w:val="1"/>
      <w:marLeft w:val="0"/>
      <w:marRight w:val="0"/>
      <w:marTop w:val="0"/>
      <w:marBottom w:val="0"/>
      <w:divBdr>
        <w:top w:val="none" w:sz="0" w:space="0" w:color="auto"/>
        <w:left w:val="none" w:sz="0" w:space="0" w:color="auto"/>
        <w:bottom w:val="none" w:sz="0" w:space="0" w:color="auto"/>
        <w:right w:val="none" w:sz="0" w:space="0" w:color="auto"/>
      </w:divBdr>
    </w:div>
    <w:div w:id="1501194239">
      <w:bodyDiv w:val="1"/>
      <w:marLeft w:val="0"/>
      <w:marRight w:val="0"/>
      <w:marTop w:val="0"/>
      <w:marBottom w:val="0"/>
      <w:divBdr>
        <w:top w:val="none" w:sz="0" w:space="0" w:color="auto"/>
        <w:left w:val="none" w:sz="0" w:space="0" w:color="auto"/>
        <w:bottom w:val="none" w:sz="0" w:space="0" w:color="auto"/>
        <w:right w:val="none" w:sz="0" w:space="0" w:color="auto"/>
      </w:divBdr>
    </w:div>
    <w:div w:id="1502966654">
      <w:bodyDiv w:val="1"/>
      <w:marLeft w:val="0"/>
      <w:marRight w:val="0"/>
      <w:marTop w:val="0"/>
      <w:marBottom w:val="0"/>
      <w:divBdr>
        <w:top w:val="none" w:sz="0" w:space="0" w:color="auto"/>
        <w:left w:val="none" w:sz="0" w:space="0" w:color="auto"/>
        <w:bottom w:val="none" w:sz="0" w:space="0" w:color="auto"/>
        <w:right w:val="none" w:sz="0" w:space="0" w:color="auto"/>
      </w:divBdr>
    </w:div>
    <w:div w:id="1694916012">
      <w:bodyDiv w:val="1"/>
      <w:marLeft w:val="0"/>
      <w:marRight w:val="0"/>
      <w:marTop w:val="0"/>
      <w:marBottom w:val="0"/>
      <w:divBdr>
        <w:top w:val="none" w:sz="0" w:space="0" w:color="auto"/>
        <w:left w:val="none" w:sz="0" w:space="0" w:color="auto"/>
        <w:bottom w:val="none" w:sz="0" w:space="0" w:color="auto"/>
        <w:right w:val="none" w:sz="0" w:space="0" w:color="auto"/>
      </w:divBdr>
    </w:div>
    <w:div w:id="1727021520">
      <w:bodyDiv w:val="1"/>
      <w:marLeft w:val="0"/>
      <w:marRight w:val="0"/>
      <w:marTop w:val="0"/>
      <w:marBottom w:val="0"/>
      <w:divBdr>
        <w:top w:val="none" w:sz="0" w:space="0" w:color="auto"/>
        <w:left w:val="none" w:sz="0" w:space="0" w:color="auto"/>
        <w:bottom w:val="none" w:sz="0" w:space="0" w:color="auto"/>
        <w:right w:val="none" w:sz="0" w:space="0" w:color="auto"/>
      </w:divBdr>
    </w:div>
    <w:div w:id="1747651495">
      <w:bodyDiv w:val="1"/>
      <w:marLeft w:val="0"/>
      <w:marRight w:val="0"/>
      <w:marTop w:val="0"/>
      <w:marBottom w:val="0"/>
      <w:divBdr>
        <w:top w:val="none" w:sz="0" w:space="0" w:color="auto"/>
        <w:left w:val="none" w:sz="0" w:space="0" w:color="auto"/>
        <w:bottom w:val="none" w:sz="0" w:space="0" w:color="auto"/>
        <w:right w:val="none" w:sz="0" w:space="0" w:color="auto"/>
      </w:divBdr>
    </w:div>
    <w:div w:id="1870752656">
      <w:bodyDiv w:val="1"/>
      <w:marLeft w:val="0"/>
      <w:marRight w:val="0"/>
      <w:marTop w:val="0"/>
      <w:marBottom w:val="0"/>
      <w:divBdr>
        <w:top w:val="none" w:sz="0" w:space="0" w:color="auto"/>
        <w:left w:val="none" w:sz="0" w:space="0" w:color="auto"/>
        <w:bottom w:val="none" w:sz="0" w:space="0" w:color="auto"/>
        <w:right w:val="none" w:sz="0" w:space="0" w:color="auto"/>
      </w:divBdr>
    </w:div>
    <w:div w:id="1912501319">
      <w:bodyDiv w:val="1"/>
      <w:marLeft w:val="0"/>
      <w:marRight w:val="0"/>
      <w:marTop w:val="0"/>
      <w:marBottom w:val="0"/>
      <w:divBdr>
        <w:top w:val="none" w:sz="0" w:space="0" w:color="auto"/>
        <w:left w:val="none" w:sz="0" w:space="0" w:color="auto"/>
        <w:bottom w:val="none" w:sz="0" w:space="0" w:color="auto"/>
        <w:right w:val="none" w:sz="0" w:space="0" w:color="auto"/>
      </w:divBdr>
    </w:div>
    <w:div w:id="1979873587">
      <w:bodyDiv w:val="1"/>
      <w:marLeft w:val="0"/>
      <w:marRight w:val="0"/>
      <w:marTop w:val="0"/>
      <w:marBottom w:val="0"/>
      <w:divBdr>
        <w:top w:val="none" w:sz="0" w:space="0" w:color="auto"/>
        <w:left w:val="none" w:sz="0" w:space="0" w:color="auto"/>
        <w:bottom w:val="none" w:sz="0" w:space="0" w:color="auto"/>
        <w:right w:val="none" w:sz="0" w:space="0" w:color="auto"/>
      </w:divBdr>
    </w:div>
    <w:div w:id="2020887234">
      <w:bodyDiv w:val="1"/>
      <w:marLeft w:val="0"/>
      <w:marRight w:val="0"/>
      <w:marTop w:val="0"/>
      <w:marBottom w:val="0"/>
      <w:divBdr>
        <w:top w:val="none" w:sz="0" w:space="0" w:color="auto"/>
        <w:left w:val="none" w:sz="0" w:space="0" w:color="auto"/>
        <w:bottom w:val="none" w:sz="0" w:space="0" w:color="auto"/>
        <w:right w:val="none" w:sz="0" w:space="0" w:color="auto"/>
      </w:divBdr>
    </w:div>
    <w:div w:id="2026443519">
      <w:bodyDiv w:val="1"/>
      <w:marLeft w:val="0"/>
      <w:marRight w:val="0"/>
      <w:marTop w:val="0"/>
      <w:marBottom w:val="0"/>
      <w:divBdr>
        <w:top w:val="none" w:sz="0" w:space="0" w:color="auto"/>
        <w:left w:val="none" w:sz="0" w:space="0" w:color="auto"/>
        <w:bottom w:val="none" w:sz="0" w:space="0" w:color="auto"/>
        <w:right w:val="none" w:sz="0" w:space="0" w:color="auto"/>
      </w:divBdr>
    </w:div>
    <w:div w:id="20706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6/09/relationships/commentsIds" Target="commentsIds.xml"/></Relationships>
</file>

<file path=word/charts/_rels/chart1.xml.rels><?xml version="1.0" encoding="UTF-8" standalone="yes"?>
<Relationships xmlns="http://schemas.openxmlformats.org/package/2006/relationships"><Relationship Id="rId2" Type="http://schemas.openxmlformats.org/officeDocument/2006/relationships/oleObject" Target="file:///\\syneviserv\SYNEVi\Projects\Bayer\Stivarga\HCC\Submission\Section%203\Spreadsheet\Australia%20Adaptation\Final%20HCC%20model%20SYNEVi%20%20(26%20July%202017).xlsm"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syneviserv\SYNEVi\Projects\Bayer\Stivarga\HCC\Submission\Section%203\Spreadsheet\Australia%20Adaptation\Final%20HCC%20model%20SYNEVi%20%20(26%20July%202017).xlsm"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Pat_cohort!$M$6</c:f>
              <c:strCache>
                <c:ptCount val="1"/>
                <c:pt idx="0">
                  <c:v>Regorafenib + BSC</c:v>
                </c:pt>
              </c:strCache>
            </c:strRef>
          </c:tx>
          <c:spPr>
            <a:ln w="25400" cap="rnd">
              <a:solidFill>
                <a:schemeClr val="tx2"/>
              </a:solidFill>
              <a:prstDash val="solid"/>
              <a:round/>
            </a:ln>
            <a:effectLst/>
          </c:spPr>
          <c:marker>
            <c:symbol val="none"/>
          </c:marker>
          <c:cat>
            <c:numRef>
              <c:f>Pat_cohort!$G$11:$G$60</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Pat_cohort!$M$11:$M$39</c:f>
              <c:numCache>
                <c:formatCode>0.0000</c:formatCode>
                <c:ptCount val="29"/>
                <c:pt idx="0">
                  <c:v>1</c:v>
                </c:pt>
                <c:pt idx="1">
                  <c:v>0.97289972999999996</c:v>
                </c:pt>
                <c:pt idx="2">
                  <c:v>0.69247568999999998</c:v>
                </c:pt>
                <c:pt idx="3">
                  <c:v>0.61753243000000002</c:v>
                </c:pt>
                <c:pt idx="4">
                  <c:v>0.47313430000000001</c:v>
                </c:pt>
                <c:pt idx="5">
                  <c:v>0.39211815</c:v>
                </c:pt>
                <c:pt idx="6">
                  <c:v>0.35444741000000002</c:v>
                </c:pt>
                <c:pt idx="7">
                  <c:v>0.27528149000000002</c:v>
                </c:pt>
                <c:pt idx="8">
                  <c:v>0.22908039999999999</c:v>
                </c:pt>
                <c:pt idx="9">
                  <c:v>0.20517636</c:v>
                </c:pt>
                <c:pt idx="10">
                  <c:v>0.16454737999999999</c:v>
                </c:pt>
                <c:pt idx="11">
                  <c:v>0.14317758999999999</c:v>
                </c:pt>
                <c:pt idx="12">
                  <c:v>0.12499631</c:v>
                </c:pt>
                <c:pt idx="13">
                  <c:v>0.12499631</c:v>
                </c:pt>
                <c:pt idx="14">
                  <c:v>0.1049969</c:v>
                </c:pt>
                <c:pt idx="15">
                  <c:v>8.7970380000000001E-2</c:v>
                </c:pt>
                <c:pt idx="16">
                  <c:v>8.210568E-2</c:v>
                </c:pt>
                <c:pt idx="17">
                  <c:v>5.2782229999999999E-2</c:v>
                </c:pt>
                <c:pt idx="18">
                  <c:v>5.2782229999999999E-2</c:v>
                </c:pt>
                <c:pt idx="19">
                  <c:v>5.2782229999999999E-2</c:v>
                </c:pt>
                <c:pt idx="20">
                  <c:v>5.2782229999999999E-2</c:v>
                </c:pt>
                <c:pt idx="21">
                  <c:v>5.2782229999999999E-2</c:v>
                </c:pt>
                <c:pt idx="22">
                  <c:v>5.2782229999999999E-2</c:v>
                </c:pt>
                <c:pt idx="23">
                  <c:v>3.870697E-2</c:v>
                </c:pt>
                <c:pt idx="24">
                  <c:v>3.0965570000000001E-2</c:v>
                </c:pt>
                <c:pt idx="25">
                  <c:v>3.0965570000000001E-2</c:v>
                </c:pt>
                <c:pt idx="26">
                  <c:v>3.0965570000000001E-2</c:v>
                </c:pt>
                <c:pt idx="27">
                  <c:v>3.0965570000000001E-2</c:v>
                </c:pt>
                <c:pt idx="28">
                  <c:v>3.0965570000000001E-2</c:v>
                </c:pt>
              </c:numCache>
            </c:numRef>
          </c:val>
          <c:smooth val="0"/>
          <c:extLst xmlns:c16r2="http://schemas.microsoft.com/office/drawing/2015/06/chart">
            <c:ext xmlns:c16="http://schemas.microsoft.com/office/drawing/2014/chart" uri="{C3380CC4-5D6E-409C-BE32-E72D297353CC}">
              <c16:uniqueId val="{00000000-88B7-44AA-BE05-F800D22E4975}"/>
            </c:ext>
          </c:extLst>
        </c:ser>
        <c:ser>
          <c:idx val="2"/>
          <c:order val="1"/>
          <c:tx>
            <c:v>Regorafenib + BSC Extrapolation</c:v>
          </c:tx>
          <c:spPr>
            <a:ln w="31750" cap="rnd">
              <a:solidFill>
                <a:schemeClr val="accent6">
                  <a:lumMod val="75000"/>
                </a:schemeClr>
              </a:solidFill>
              <a:prstDash val="sysDot"/>
              <a:round/>
            </a:ln>
            <a:effectLst>
              <a:outerShdw blurRad="40000" dist="23000" dir="5400000" rotWithShape="0">
                <a:srgbClr val="000000">
                  <a:alpha val="35000"/>
                </a:srgbClr>
              </a:outerShdw>
            </a:effectLst>
          </c:spPr>
          <c:marker>
            <c:symbol val="none"/>
          </c:marker>
          <c:cat>
            <c:numRef>
              <c:f>Pat_cohort!$G$11:$G$60</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Pat_cohort!$K$11:$K$60</c:f>
              <c:numCache>
                <c:formatCode>General</c:formatCode>
                <c:ptCount val="50"/>
                <c:pt idx="28" formatCode="0.000">
                  <c:v>3.0965570000000001E-2</c:v>
                </c:pt>
                <c:pt idx="29" formatCode="0.0000">
                  <c:v>2.81265285589445E-2</c:v>
                </c:pt>
                <c:pt idx="30" formatCode="0.0000">
                  <c:v>2.5599568756735799E-2</c:v>
                </c:pt>
                <c:pt idx="31" formatCode="0.0000">
                  <c:v>2.3344639853878399E-2</c:v>
                </c:pt>
                <c:pt idx="32" formatCode="0.0000">
                  <c:v>2.1327564436746198E-2</c:v>
                </c:pt>
                <c:pt idx="33" formatCode="0.0000">
                  <c:v>1.9519071219220099E-2</c:v>
                </c:pt>
                <c:pt idx="34" formatCode="0.0000">
                  <c:v>1.7894004157157001E-2</c:v>
                </c:pt>
                <c:pt idx="35" formatCode="0.0000">
                  <c:v>1.64306727176829E-2</c:v>
                </c:pt>
                <c:pt idx="36" formatCode="0.0000">
                  <c:v>1.51103157381206E-2</c:v>
                </c:pt>
                <c:pt idx="37" formatCode="0.0000">
                  <c:v>1.391665714122E-2</c:v>
                </c:pt>
                <c:pt idx="38" formatCode="0.0000">
                  <c:v>1.28355362797174E-2</c:v>
                </c:pt>
                <c:pt idx="39" formatCode="0.0000">
                  <c:v>1.18545991854091E-2</c:v>
                </c:pt>
                <c:pt idx="40" formatCode="0.0000">
                  <c:v>1.09630397346956E-2</c:v>
                </c:pt>
                <c:pt idx="41" formatCode="0.0000">
                  <c:v>1.0151381892469599E-2</c:v>
                </c:pt>
                <c:pt idx="42" formatCode="0.0000">
                  <c:v>9.4112958936567494E-3</c:v>
                </c:pt>
                <c:pt idx="43" formatCode="0.0000">
                  <c:v>8.7354425684130696E-3</c:v>
                </c:pt>
                <c:pt idx="44" formatCode="0.0000">
                  <c:v>8.11734109033058E-3</c:v>
                </c:pt>
                <c:pt idx="45" formatCode="0.0000">
                  <c:v>7.5512562863408903E-3</c:v>
                </c:pt>
                <c:pt idx="46" formatCode="0.0000">
                  <c:v>7.0321023379230898E-3</c:v>
                </c:pt>
                <c:pt idx="47" formatCode="0.0000">
                  <c:v>6.5553602610073196E-3</c:v>
                </c:pt>
                <c:pt idx="48" formatCode="0.0000">
                  <c:v>6.1170070040817504E-3</c:v>
                </c:pt>
                <c:pt idx="49" formatCode="0.0000">
                  <c:v>5.7134543718309599E-3</c:v>
                </c:pt>
              </c:numCache>
            </c:numRef>
          </c:val>
          <c:smooth val="0"/>
          <c:extLst xmlns:c16r2="http://schemas.microsoft.com/office/drawing/2015/06/chart">
            <c:ext xmlns:c16="http://schemas.microsoft.com/office/drawing/2014/chart" uri="{C3380CC4-5D6E-409C-BE32-E72D297353CC}">
              <c16:uniqueId val="{00000001-88B7-44AA-BE05-F800D22E4975}"/>
            </c:ext>
          </c:extLst>
        </c:ser>
        <c:ser>
          <c:idx val="1"/>
          <c:order val="2"/>
          <c:tx>
            <c:strRef>
              <c:f>Pat_cohort!$AB$6</c:f>
              <c:strCache>
                <c:ptCount val="1"/>
                <c:pt idx="0">
                  <c:v>Placebo + BSC</c:v>
                </c:pt>
              </c:strCache>
            </c:strRef>
          </c:tx>
          <c:spPr>
            <a:ln w="25400" cap="rnd">
              <a:solidFill>
                <a:schemeClr val="accent2"/>
              </a:solidFill>
              <a:prstDash val="solid"/>
              <a:round/>
            </a:ln>
            <a:effectLst/>
          </c:spPr>
          <c:marker>
            <c:symbol val="none"/>
          </c:marker>
          <c:cat>
            <c:numRef>
              <c:f>Pat_cohort!$G$11:$G$60</c:f>
              <c:numCache>
                <c:formatCode>General</c:formatCode>
                <c:ptCount val="5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numCache>
            </c:numRef>
          </c:cat>
          <c:val>
            <c:numRef>
              <c:f>Pat_cohort!$AB$11:$AB$39</c:f>
              <c:numCache>
                <c:formatCode>0.0000</c:formatCode>
                <c:ptCount val="29"/>
                <c:pt idx="0">
                  <c:v>1</c:v>
                </c:pt>
                <c:pt idx="1">
                  <c:v>0.93229166699999999</c:v>
                </c:pt>
                <c:pt idx="2">
                  <c:v>0.38139204500000001</c:v>
                </c:pt>
                <c:pt idx="3">
                  <c:v>0.28942516899999998</c:v>
                </c:pt>
                <c:pt idx="4">
                  <c:v>0.18367366500000001</c:v>
                </c:pt>
                <c:pt idx="5">
                  <c:v>0.12536456500000001</c:v>
                </c:pt>
                <c:pt idx="6">
                  <c:v>0.107455341</c:v>
                </c:pt>
                <c:pt idx="7">
                  <c:v>8.9546117999999994E-2</c:v>
                </c:pt>
                <c:pt idx="8">
                  <c:v>6.5667153000000006E-2</c:v>
                </c:pt>
                <c:pt idx="9">
                  <c:v>4.6905109E-2</c:v>
                </c:pt>
                <c:pt idx="10">
                  <c:v>4.0204378999999998E-2</c:v>
                </c:pt>
                <c:pt idx="11">
                  <c:v>3.2894491999999997E-2</c:v>
                </c:pt>
                <c:pt idx="12">
                  <c:v>2.4670869000000002E-2</c:v>
                </c:pt>
                <c:pt idx="13">
                  <c:v>2.4670869000000002E-2</c:v>
                </c:pt>
                <c:pt idx="14">
                  <c:v>2.4670869000000002E-2</c:v>
                </c:pt>
                <c:pt idx="15">
                  <c:v>2.4670869000000002E-2</c:v>
                </c:pt>
                <c:pt idx="16">
                  <c:v>1.6447245999999999E-2</c:v>
                </c:pt>
                <c:pt idx="17">
                  <c:v>1.6447245999999999E-2</c:v>
                </c:pt>
                <c:pt idx="18">
                  <c:v>1.6447245999999999E-2</c:v>
                </c:pt>
                <c:pt idx="19">
                  <c:v>1.6447245999999999E-2</c:v>
                </c:pt>
                <c:pt idx="20">
                  <c:v>1.6447245999999999E-2</c:v>
                </c:pt>
                <c:pt idx="21">
                  <c:v>1.6447245999999999E-2</c:v>
                </c:pt>
                <c:pt idx="22">
                  <c:v>1.6447245999999999E-2</c:v>
                </c:pt>
                <c:pt idx="23">
                  <c:v>1.6447245999999999E-2</c:v>
                </c:pt>
                <c:pt idx="24">
                  <c:v>1.6447245999999999E-2</c:v>
                </c:pt>
                <c:pt idx="25">
                  <c:v>8.2236229999999994E-3</c:v>
                </c:pt>
                <c:pt idx="26">
                  <c:v>0</c:v>
                </c:pt>
                <c:pt idx="27">
                  <c:v>0</c:v>
                </c:pt>
                <c:pt idx="28">
                  <c:v>0</c:v>
                </c:pt>
              </c:numCache>
            </c:numRef>
          </c:val>
          <c:smooth val="0"/>
          <c:extLst xmlns:c16r2="http://schemas.microsoft.com/office/drawing/2015/06/chart">
            <c:ext xmlns:c16="http://schemas.microsoft.com/office/drawing/2014/chart" uri="{C3380CC4-5D6E-409C-BE32-E72D297353CC}">
              <c16:uniqueId val="{00000002-88B7-44AA-BE05-F800D22E4975}"/>
            </c:ext>
          </c:extLst>
        </c:ser>
        <c:dLbls>
          <c:showLegendKey val="0"/>
          <c:showVal val="0"/>
          <c:showCatName val="0"/>
          <c:showSerName val="0"/>
          <c:showPercent val="0"/>
          <c:showBubbleSize val="0"/>
        </c:dLbls>
        <c:marker val="1"/>
        <c:smooth val="0"/>
        <c:axId val="343187456"/>
        <c:axId val="343189376"/>
      </c:lineChart>
      <c:catAx>
        <c:axId val="34318745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Months</a:t>
                </a:r>
              </a:p>
            </c:rich>
          </c:tx>
          <c:layout/>
          <c:overlay val="0"/>
          <c:spPr>
            <a:noFill/>
            <a:ln>
              <a:noFill/>
            </a:ln>
            <a:effectLst/>
          </c:spPr>
        </c:title>
        <c:numFmt formatCode="General" sourceLinked="1"/>
        <c:majorTickMark val="cross"/>
        <c:minorTickMark val="cross"/>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43189376"/>
        <c:crosses val="autoZero"/>
        <c:auto val="1"/>
        <c:lblAlgn val="ctr"/>
        <c:lblOffset val="100"/>
        <c:tickLblSkip val="4"/>
        <c:tickMarkSkip val="4"/>
        <c:noMultiLvlLbl val="0"/>
      </c:catAx>
      <c:valAx>
        <c:axId val="34318937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 Surviving</a:t>
                </a:r>
              </a:p>
            </c:rich>
          </c:tx>
          <c:layout/>
          <c:overlay val="0"/>
          <c:spPr>
            <a:noFill/>
            <a:ln>
              <a:noFill/>
            </a:ln>
            <a:effectLst/>
          </c:sp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43187456"/>
        <c:crosses val="autoZero"/>
        <c:crossBetween val="between"/>
      </c:valAx>
      <c:spPr>
        <a:noFill/>
        <a:ln>
          <a:noFill/>
        </a:ln>
        <a:effectLst/>
      </c:spPr>
    </c:plotArea>
    <c:legend>
      <c:legendPos val="b"/>
      <c:layout>
        <c:manualLayout>
          <c:xMode val="edge"/>
          <c:yMode val="edge"/>
          <c:x val="0.54009971530887202"/>
          <c:y val="0.13473674802119801"/>
          <c:w val="0.45990028469112798"/>
          <c:h val="0.22226565505256399"/>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Pat_cohort!$M$6</c:f>
              <c:strCache>
                <c:ptCount val="1"/>
                <c:pt idx="0">
                  <c:v>Regorafenib + BSC</c:v>
                </c:pt>
              </c:strCache>
            </c:strRef>
          </c:tx>
          <c:spPr>
            <a:ln w="25400" cap="rnd">
              <a:solidFill>
                <a:schemeClr val="tx2"/>
              </a:solidFill>
              <a:prstDash val="solid"/>
              <a:round/>
            </a:ln>
            <a:effectLst/>
          </c:spPr>
          <c:marker>
            <c:symbol val="none"/>
          </c:marker>
          <c:cat>
            <c:numRef>
              <c:f>Pat_cohort!$G$11:$G$110</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Pat_cohort!$P$11:$P$46</c:f>
              <c:numCache>
                <c:formatCode>0.0000</c:formatCode>
                <c:ptCount val="36"/>
                <c:pt idx="0">
                  <c:v>1</c:v>
                </c:pt>
                <c:pt idx="1">
                  <c:v>0.98941800000000002</c:v>
                </c:pt>
                <c:pt idx="2">
                  <c:v>0.94383499999999998</c:v>
                </c:pt>
                <c:pt idx="3">
                  <c:v>0.89719199999999999</c:v>
                </c:pt>
                <c:pt idx="4">
                  <c:v>0.83000759999999996</c:v>
                </c:pt>
                <c:pt idx="5">
                  <c:v>0.76406569999999996</c:v>
                </c:pt>
                <c:pt idx="6">
                  <c:v>0.7104471</c:v>
                </c:pt>
                <c:pt idx="7">
                  <c:v>0.66123860000000001</c:v>
                </c:pt>
                <c:pt idx="8">
                  <c:v>0.62967589999999996</c:v>
                </c:pt>
                <c:pt idx="9">
                  <c:v>0.57140259999999998</c:v>
                </c:pt>
                <c:pt idx="10">
                  <c:v>0.53865739999999995</c:v>
                </c:pt>
                <c:pt idx="11">
                  <c:v>0.51172459999999997</c:v>
                </c:pt>
                <c:pt idx="12">
                  <c:v>0.47679460000000001</c:v>
                </c:pt>
                <c:pt idx="13">
                  <c:v>0.45141389999999998</c:v>
                </c:pt>
                <c:pt idx="14">
                  <c:v>0.42816510000000002</c:v>
                </c:pt>
                <c:pt idx="15">
                  <c:v>0.40260299999999999</c:v>
                </c:pt>
                <c:pt idx="16">
                  <c:v>0.3657936</c:v>
                </c:pt>
                <c:pt idx="17">
                  <c:v>0.34666710000000001</c:v>
                </c:pt>
                <c:pt idx="18">
                  <c:v>0.32685760000000003</c:v>
                </c:pt>
                <c:pt idx="19">
                  <c:v>0.31153609999999998</c:v>
                </c:pt>
                <c:pt idx="20">
                  <c:v>0.29528209999999999</c:v>
                </c:pt>
                <c:pt idx="21">
                  <c:v>0.26575379999999998</c:v>
                </c:pt>
                <c:pt idx="22">
                  <c:v>0.25309890000000002</c:v>
                </c:pt>
                <c:pt idx="23">
                  <c:v>0.24616469999999999</c:v>
                </c:pt>
                <c:pt idx="24">
                  <c:v>0.22272040000000001</c:v>
                </c:pt>
                <c:pt idx="25">
                  <c:v>0.21381159999999999</c:v>
                </c:pt>
                <c:pt idx="26">
                  <c:v>0.20386689999999999</c:v>
                </c:pt>
                <c:pt idx="27">
                  <c:v>0.1829575</c:v>
                </c:pt>
                <c:pt idx="28">
                  <c:v>0.1600878</c:v>
                </c:pt>
                <c:pt idx="29">
                  <c:v>0.1600878</c:v>
                </c:pt>
                <c:pt idx="30">
                  <c:v>0.1600878</c:v>
                </c:pt>
                <c:pt idx="31">
                  <c:v>0.1600878</c:v>
                </c:pt>
                <c:pt idx="32">
                  <c:v>0.1600878</c:v>
                </c:pt>
                <c:pt idx="33">
                  <c:v>0.1600878</c:v>
                </c:pt>
                <c:pt idx="34">
                  <c:v>0.1600878</c:v>
                </c:pt>
                <c:pt idx="35">
                  <c:v>0.1600878</c:v>
                </c:pt>
              </c:numCache>
            </c:numRef>
          </c:val>
          <c:smooth val="0"/>
          <c:extLst xmlns:c16r2="http://schemas.microsoft.com/office/drawing/2015/06/chart">
            <c:ext xmlns:c16="http://schemas.microsoft.com/office/drawing/2014/chart" uri="{C3380CC4-5D6E-409C-BE32-E72D297353CC}">
              <c16:uniqueId val="{00000000-2587-4801-B9B7-8F327A797BBF}"/>
            </c:ext>
          </c:extLst>
        </c:ser>
        <c:ser>
          <c:idx val="2"/>
          <c:order val="1"/>
          <c:tx>
            <c:v>Regorafenib + BSC Extrapolation</c:v>
          </c:tx>
          <c:spPr>
            <a:ln w="31750" cap="rnd">
              <a:solidFill>
                <a:schemeClr val="accent6">
                  <a:lumMod val="75000"/>
                </a:schemeClr>
              </a:solidFill>
              <a:prstDash val="sysDot"/>
              <a:round/>
            </a:ln>
            <a:effectLst>
              <a:outerShdw blurRad="40000" dist="23000" dir="5400000" rotWithShape="0">
                <a:srgbClr val="000000">
                  <a:alpha val="35000"/>
                </a:srgbClr>
              </a:outerShdw>
            </a:effectLst>
          </c:spPr>
          <c:marker>
            <c:symbol val="none"/>
          </c:marker>
          <c:cat>
            <c:numRef>
              <c:f>Pat_cohort!$G$11:$G$110</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Pat_cohort!$L$11:$L$110</c:f>
              <c:numCache>
                <c:formatCode>General</c:formatCode>
                <c:ptCount val="100"/>
                <c:pt idx="35" formatCode="0.0000">
                  <c:v>0.1600878</c:v>
                </c:pt>
                <c:pt idx="36" formatCode="0.0000">
                  <c:v>0.15258800207578299</c:v>
                </c:pt>
                <c:pt idx="37" formatCode="0.0000">
                  <c:v>0.145520264007926</c:v>
                </c:pt>
                <c:pt idx="38" formatCode="0.0000">
                  <c:v>0.13885601990151999</c:v>
                </c:pt>
                <c:pt idx="39" formatCode="0.0000">
                  <c:v>0.132568807344599</c:v>
                </c:pt>
                <c:pt idx="40" formatCode="0.0000">
                  <c:v>0.126634098088101</c:v>
                </c:pt>
                <c:pt idx="41" formatCode="0.0000">
                  <c:v>0.12102914343443</c:v>
                </c:pt>
                <c:pt idx="42" formatCode="0.0000">
                  <c:v>0.11573283296876601</c:v>
                </c:pt>
                <c:pt idx="43" formatCode="0.0000">
                  <c:v>0.11072556540182001</c:v>
                </c:pt>
                <c:pt idx="44" formatCode="0.0000">
                  <c:v>0.105989130413378</c:v>
                </c:pt>
                <c:pt idx="45" formatCode="0.0000">
                  <c:v>0.101506600494085</c:v>
                </c:pt>
                <c:pt idx="46" formatCode="0.0000">
                  <c:v>9.7262231879997094E-2</c:v>
                </c:pt>
                <c:pt idx="47" formatCode="0.0000">
                  <c:v>9.3241373761482796E-2</c:v>
                </c:pt>
                <c:pt idx="48" formatCode="0.0000">
                  <c:v>8.9430385026384798E-2</c:v>
                </c:pt>
                <c:pt idx="49" formatCode="0.0000">
                  <c:v>8.58165578676581E-2</c:v>
                </c:pt>
                <c:pt idx="50" formatCode="0.0000">
                  <c:v>8.2388047649027005E-2</c:v>
                </c:pt>
                <c:pt idx="51" formatCode="0.0000">
                  <c:v>7.9133808479166498E-2</c:v>
                </c:pt>
                <c:pt idx="52" formatCode="0.0000">
                  <c:v>7.60435339962275E-2</c:v>
                </c:pt>
                <c:pt idx="53" formatCode="0.0000">
                  <c:v>7.3107602910785302E-2</c:v>
                </c:pt>
                <c:pt idx="54" formatCode="0.0000">
                  <c:v>7.0317028896989806E-2</c:v>
                </c:pt>
                <c:pt idx="55" formatCode="0.0000">
                  <c:v>6.7663414459350896E-2</c:v>
                </c:pt>
                <c:pt idx="56" formatCode="0.0000">
                  <c:v>6.5138908436564696E-2</c:v>
                </c:pt>
                <c:pt idx="57" formatCode="0.0000">
                  <c:v>6.2736166834503407E-2</c:v>
                </c:pt>
                <c:pt idx="58" formatCode="0.0000">
                  <c:v>6.04483167082474E-2</c:v>
                </c:pt>
                <c:pt idx="59" formatCode="0.0000">
                  <c:v>5.8268922838149398E-2</c:v>
                </c:pt>
                <c:pt idx="60" formatCode="0.0000">
                  <c:v>5.6191956967651599E-2</c:v>
                </c:pt>
                <c:pt idx="61" formatCode="0.0000">
                  <c:v>5.4211769391154199E-2</c:v>
                </c:pt>
                <c:pt idx="62" formatCode="0.0000">
                  <c:v>5.2323062698891198E-2</c:v>
                </c:pt>
                <c:pt idx="63" formatCode="0.0000">
                  <c:v>5.0520867502678202E-2</c:v>
                </c:pt>
                <c:pt idx="64" formatCode="0.0000">
                  <c:v>4.8800519981736797E-2</c:v>
                </c:pt>
                <c:pt idx="65" formatCode="0.0000">
                  <c:v>4.7157641101728799E-2</c:v>
                </c:pt>
                <c:pt idx="66" formatCode="0.0000">
                  <c:v>4.5588117372778202E-2</c:v>
                </c:pt>
                <c:pt idx="67" formatCode="0.0000">
                  <c:v>4.4088083023754103E-2</c:v>
                </c:pt>
                <c:pt idx="68" formatCode="0.0000">
                  <c:v>4.2653903480533703E-2</c:v>
                </c:pt>
                <c:pt idx="69" formatCode="0.0000">
                  <c:v>4.1282160045473401E-2</c:v>
                </c:pt>
                <c:pt idx="70" formatCode="0.0000">
                  <c:v>3.99696356839691E-2</c:v>
                </c:pt>
                <c:pt idx="71" formatCode="0.0000">
                  <c:v>3.8713301831859503E-2</c:v>
                </c:pt>
                <c:pt idx="72" formatCode="0.0000">
                  <c:v>3.7510306144615098E-2</c:v>
                </c:pt>
                <c:pt idx="73" formatCode="0.0000">
                  <c:v>3.6357961115793903E-2</c:v>
                </c:pt>
                <c:pt idx="74" formatCode="0.0000">
                  <c:v>3.5253733498216401E-2</c:v>
                </c:pt>
                <c:pt idx="75" formatCode="0.0000">
                  <c:v>3.4195234466761502E-2</c:v>
                </c:pt>
                <c:pt idx="76" formatCode="0.0000">
                  <c:v>3.3180210466659102E-2</c:v>
                </c:pt>
                <c:pt idx="77" formatCode="0.0000">
                  <c:v>3.2206534695698098E-2</c:v>
                </c:pt>
                <c:pt idx="78" formatCode="0.0000">
                  <c:v>3.12721991729248E-2</c:v>
                </c:pt>
                <c:pt idx="79" formatCode="0.0000">
                  <c:v>3.0375307350199401E-2</c:v>
                </c:pt>
                <c:pt idx="80" formatCode="0.0000">
                  <c:v>2.95140672264598E-2</c:v>
                </c:pt>
                <c:pt idx="81" formatCode="0.0000">
                  <c:v>2.8686784927717601E-2</c:v>
                </c:pt>
                <c:pt idx="82" formatCode="0.0000">
                  <c:v>2.78918587187241E-2</c:v>
                </c:pt>
                <c:pt idx="83" formatCode="0.0000">
                  <c:v>2.71277734149169E-2</c:v>
                </c:pt>
                <c:pt idx="84" formatCode="0.0000">
                  <c:v>2.63930951656976E-2</c:v>
                </c:pt>
                <c:pt idx="85" formatCode="0.0000">
                  <c:v>2.56864665823427E-2</c:v>
                </c:pt>
                <c:pt idx="86" formatCode="0.0000">
                  <c:v>2.5006602185898098E-2</c:v>
                </c:pt>
                <c:pt idx="87" formatCode="0.0000">
                  <c:v>2.4352284152309299E-2</c:v>
                </c:pt>
                <c:pt idx="88" formatCode="0.0000">
                  <c:v>2.37223583337626E-2</c:v>
                </c:pt>
                <c:pt idx="89" formatCode="0.0000">
                  <c:v>2.31157305368162E-2</c:v>
                </c:pt>
                <c:pt idx="90" formatCode="0.0000">
                  <c:v>2.25313630393628E-2</c:v>
                </c:pt>
                <c:pt idx="91" formatCode="0.0000">
                  <c:v>2.1968271329809601E-2</c:v>
                </c:pt>
                <c:pt idx="92" formatCode="0.0000">
                  <c:v>2.1425521053109801E-2</c:v>
                </c:pt>
                <c:pt idx="93" formatCode="0.0000">
                  <c:v>2.09022251494114E-2</c:v>
                </c:pt>
                <c:pt idx="94" formatCode="0.0000">
                  <c:v>2.0397541172150601E-2</c:v>
                </c:pt>
                <c:pt idx="95" formatCode="0.0000">
                  <c:v>1.9910668773374999E-2</c:v>
                </c:pt>
                <c:pt idx="96" formatCode="0.0000">
                  <c:v>1.94408473449833E-2</c:v>
                </c:pt>
                <c:pt idx="97" formatCode="0.0000">
                  <c:v>1.8987353805386901E-2</c:v>
                </c:pt>
                <c:pt idx="98" formatCode="0.0000">
                  <c:v>1.8549500521855999E-2</c:v>
                </c:pt>
                <c:pt idx="99" formatCode="0.0000">
                  <c:v>1.81266333595199E-2</c:v>
                </c:pt>
              </c:numCache>
            </c:numRef>
          </c:val>
          <c:smooth val="0"/>
          <c:extLst xmlns:c16r2="http://schemas.microsoft.com/office/drawing/2015/06/chart">
            <c:ext xmlns:c16="http://schemas.microsoft.com/office/drawing/2014/chart" uri="{C3380CC4-5D6E-409C-BE32-E72D297353CC}">
              <c16:uniqueId val="{00000001-2587-4801-B9B7-8F327A797BBF}"/>
            </c:ext>
          </c:extLst>
        </c:ser>
        <c:ser>
          <c:idx val="1"/>
          <c:order val="2"/>
          <c:tx>
            <c:strRef>
              <c:f>Pat_cohort!$AB$6</c:f>
              <c:strCache>
                <c:ptCount val="1"/>
                <c:pt idx="0">
                  <c:v>Placebo + BSC</c:v>
                </c:pt>
              </c:strCache>
            </c:strRef>
          </c:tx>
          <c:spPr>
            <a:ln w="25400" cap="rnd">
              <a:solidFill>
                <a:schemeClr val="accent2"/>
              </a:solidFill>
              <a:prstDash val="solid"/>
              <a:round/>
            </a:ln>
            <a:effectLst/>
          </c:spPr>
          <c:marker>
            <c:symbol val="none"/>
          </c:marker>
          <c:cat>
            <c:numRef>
              <c:f>Pat_cohort!$G$11:$G$110</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Pat_cohort!$AE$11:$AE$45</c:f>
              <c:numCache>
                <c:formatCode>0.0000</c:formatCode>
                <c:ptCount val="35"/>
                <c:pt idx="0">
                  <c:v>1</c:v>
                </c:pt>
                <c:pt idx="1">
                  <c:v>0.97932817000000005</c:v>
                </c:pt>
                <c:pt idx="2">
                  <c:v>0.90639946999999998</c:v>
                </c:pt>
                <c:pt idx="3">
                  <c:v>0.85841361999999999</c:v>
                </c:pt>
                <c:pt idx="4">
                  <c:v>0.75452916999999997</c:v>
                </c:pt>
                <c:pt idx="5">
                  <c:v>0.69304900999999997</c:v>
                </c:pt>
                <c:pt idx="6">
                  <c:v>0.61082285999999997</c:v>
                </c:pt>
                <c:pt idx="7">
                  <c:v>0.57361538000000001</c:v>
                </c:pt>
                <c:pt idx="8">
                  <c:v>0.52875159999999999</c:v>
                </c:pt>
                <c:pt idx="9">
                  <c:v>0.47620486000000001</c:v>
                </c:pt>
                <c:pt idx="10">
                  <c:v>0.40865806999999998</c:v>
                </c:pt>
                <c:pt idx="11">
                  <c:v>0.33819978000000001</c:v>
                </c:pt>
                <c:pt idx="12">
                  <c:v>0.31614328000000003</c:v>
                </c:pt>
                <c:pt idx="13">
                  <c:v>0.29272524999999999</c:v>
                </c:pt>
                <c:pt idx="14">
                  <c:v>0.25927094000000001</c:v>
                </c:pt>
                <c:pt idx="15">
                  <c:v>0.24198621000000001</c:v>
                </c:pt>
                <c:pt idx="16">
                  <c:v>0.23318670999999999</c:v>
                </c:pt>
                <c:pt idx="17">
                  <c:v>0.21524926999999999</c:v>
                </c:pt>
                <c:pt idx="18">
                  <c:v>0.21524926999999999</c:v>
                </c:pt>
                <c:pt idx="19">
                  <c:v>0.19731182999999999</c:v>
                </c:pt>
                <c:pt idx="20">
                  <c:v>0.12993705999999999</c:v>
                </c:pt>
                <c:pt idx="21">
                  <c:v>0.12993705999999999</c:v>
                </c:pt>
                <c:pt idx="22">
                  <c:v>0.10828088</c:v>
                </c:pt>
                <c:pt idx="23">
                  <c:v>0.10828088</c:v>
                </c:pt>
                <c:pt idx="24">
                  <c:v>0.10828088</c:v>
                </c:pt>
                <c:pt idx="25">
                  <c:v>0.10828088</c:v>
                </c:pt>
                <c:pt idx="26">
                  <c:v>0.10828088</c:v>
                </c:pt>
                <c:pt idx="27">
                  <c:v>8.6624710000000105E-2</c:v>
                </c:pt>
                <c:pt idx="28">
                  <c:v>8.6624710000000105E-2</c:v>
                </c:pt>
                <c:pt idx="29">
                  <c:v>8.6624710000000105E-2</c:v>
                </c:pt>
                <c:pt idx="30">
                  <c:v>8.6624710000000105E-2</c:v>
                </c:pt>
                <c:pt idx="31">
                  <c:v>8.6624710000000105E-2</c:v>
                </c:pt>
                <c:pt idx="32">
                  <c:v>8.6624710000000105E-2</c:v>
                </c:pt>
                <c:pt idx="33">
                  <c:v>0</c:v>
                </c:pt>
                <c:pt idx="34">
                  <c:v>0</c:v>
                </c:pt>
              </c:numCache>
            </c:numRef>
          </c:val>
          <c:smooth val="0"/>
          <c:extLst xmlns:c16r2="http://schemas.microsoft.com/office/drawing/2015/06/chart">
            <c:ext xmlns:c16="http://schemas.microsoft.com/office/drawing/2014/chart" uri="{C3380CC4-5D6E-409C-BE32-E72D297353CC}">
              <c16:uniqueId val="{00000002-2587-4801-B9B7-8F327A797BBF}"/>
            </c:ext>
          </c:extLst>
        </c:ser>
        <c:dLbls>
          <c:showLegendKey val="0"/>
          <c:showVal val="0"/>
          <c:showCatName val="0"/>
          <c:showSerName val="0"/>
          <c:showPercent val="0"/>
          <c:showBubbleSize val="0"/>
        </c:dLbls>
        <c:marker val="1"/>
        <c:smooth val="0"/>
        <c:axId val="495851008"/>
        <c:axId val="495852928"/>
      </c:lineChart>
      <c:catAx>
        <c:axId val="49585100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Cycles</a:t>
                </a:r>
                <a:r>
                  <a:rPr lang="en-US" baseline="0"/>
                  <a:t> (28 days)</a:t>
                </a:r>
                <a:endParaRPr lang="en-US"/>
              </a:p>
            </c:rich>
          </c:tx>
          <c:layout/>
          <c:overlay val="0"/>
          <c:spPr>
            <a:noFill/>
            <a:ln>
              <a:noFill/>
            </a:ln>
            <a:effectLst/>
          </c:spPr>
        </c:title>
        <c:numFmt formatCode="General" sourceLinked="1"/>
        <c:majorTickMark val="cross"/>
        <c:minorTickMark val="cross"/>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5852928"/>
        <c:crosses val="autoZero"/>
        <c:auto val="1"/>
        <c:lblAlgn val="ctr"/>
        <c:lblOffset val="100"/>
        <c:tickLblSkip val="9"/>
        <c:tickMarkSkip val="4"/>
        <c:noMultiLvlLbl val="0"/>
      </c:catAx>
      <c:valAx>
        <c:axId val="49585292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a:t>% Surviving</a:t>
                </a:r>
              </a:p>
            </c:rich>
          </c:tx>
          <c:layout/>
          <c:overlay val="0"/>
          <c:spPr>
            <a:noFill/>
            <a:ln>
              <a:noFill/>
            </a:ln>
            <a:effectLst/>
          </c:sp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5851008"/>
        <c:crosses val="autoZero"/>
        <c:crossBetween val="between"/>
      </c:valAx>
      <c:spPr>
        <a:noFill/>
        <a:ln>
          <a:noFill/>
        </a:ln>
        <a:effectLst/>
      </c:spPr>
    </c:plotArea>
    <c:legend>
      <c:legendPos val="b"/>
      <c:layout>
        <c:manualLayout>
          <c:xMode val="edge"/>
          <c:yMode val="edge"/>
          <c:x val="0.52698498807882399"/>
          <c:y val="0.142792853632487"/>
          <c:w val="0.47301497729528702"/>
          <c:h val="0.20495526426600599"/>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A860B-EB64-4D03-9A51-78ADB71E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9529</Words>
  <Characters>54316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2018-06-19T05:25:00Z</dcterms:created>
  <dcterms:modified xsi:type="dcterms:W3CDTF">2018-06-19T05:28:00Z</dcterms:modified>
</cp:coreProperties>
</file>