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45E" w:rsidRDefault="00056027" w:rsidP="0016245E">
      <w:pPr>
        <w:jc w:val="left"/>
        <w:rPr>
          <w:b/>
          <w:sz w:val="36"/>
          <w:szCs w:val="36"/>
        </w:rPr>
      </w:pPr>
      <w:bookmarkStart w:id="0" w:name="_GoBack"/>
      <w:bookmarkEnd w:id="0"/>
      <w:r>
        <w:rPr>
          <w:b/>
          <w:sz w:val="36"/>
          <w:szCs w:val="36"/>
        </w:rPr>
        <w:t>6</w:t>
      </w:r>
      <w:r w:rsidR="00433044" w:rsidRPr="00C12C14">
        <w:rPr>
          <w:b/>
          <w:sz w:val="36"/>
          <w:szCs w:val="36"/>
        </w:rPr>
        <w:t>.</w:t>
      </w:r>
      <w:r>
        <w:rPr>
          <w:b/>
          <w:sz w:val="36"/>
          <w:szCs w:val="36"/>
        </w:rPr>
        <w:t>04</w:t>
      </w:r>
      <w:r w:rsidR="00B60939" w:rsidRPr="00C12C14">
        <w:rPr>
          <w:b/>
          <w:sz w:val="36"/>
          <w:szCs w:val="36"/>
        </w:rPr>
        <w:tab/>
      </w:r>
      <w:r w:rsidR="0070315E">
        <w:rPr>
          <w:b/>
          <w:sz w:val="36"/>
          <w:szCs w:val="36"/>
        </w:rPr>
        <w:t>RANIBIZUMAB</w:t>
      </w:r>
      <w:r w:rsidR="0016245E">
        <w:rPr>
          <w:b/>
          <w:sz w:val="36"/>
          <w:szCs w:val="36"/>
        </w:rPr>
        <w:t xml:space="preserve">, </w:t>
      </w:r>
      <w:r w:rsidR="0070315E">
        <w:rPr>
          <w:b/>
          <w:sz w:val="36"/>
          <w:szCs w:val="36"/>
        </w:rPr>
        <w:t>2.3 mg/0.23 mL, 0.23 mL vial and 1.65 mg/0.165 mL</w:t>
      </w:r>
      <w:r w:rsidR="00C91A0F">
        <w:rPr>
          <w:b/>
          <w:sz w:val="36"/>
          <w:szCs w:val="36"/>
        </w:rPr>
        <w:t>, pre-filled syringe</w:t>
      </w:r>
    </w:p>
    <w:p w:rsidR="00B60939" w:rsidRPr="00C12C14" w:rsidRDefault="00C91A0F" w:rsidP="0016245E">
      <w:pPr>
        <w:jc w:val="left"/>
        <w:rPr>
          <w:b/>
          <w:sz w:val="36"/>
          <w:szCs w:val="36"/>
        </w:rPr>
      </w:pPr>
      <w:r>
        <w:rPr>
          <w:b/>
          <w:sz w:val="36"/>
          <w:szCs w:val="36"/>
        </w:rPr>
        <w:t>Lucentis</w:t>
      </w:r>
      <w:r w:rsidR="00B60939" w:rsidRPr="00C12C14">
        <w:rPr>
          <w:b/>
          <w:sz w:val="36"/>
          <w:szCs w:val="36"/>
          <w:vertAlign w:val="superscript"/>
        </w:rPr>
        <w:t>®</w:t>
      </w:r>
      <w:r w:rsidR="00B60939" w:rsidRPr="00C12C14">
        <w:rPr>
          <w:b/>
          <w:sz w:val="36"/>
          <w:szCs w:val="36"/>
        </w:rPr>
        <w:t xml:space="preserve">, </w:t>
      </w:r>
      <w:r>
        <w:rPr>
          <w:b/>
          <w:sz w:val="36"/>
          <w:szCs w:val="36"/>
        </w:rPr>
        <w:t>Novartis Australia Pty Ltd</w:t>
      </w:r>
      <w:r w:rsidR="00B60939" w:rsidRPr="00C12C14">
        <w:rPr>
          <w:b/>
          <w:sz w:val="36"/>
          <w:szCs w:val="36"/>
        </w:rPr>
        <w:t>.</w:t>
      </w:r>
    </w:p>
    <w:p w:rsidR="00430608" w:rsidRPr="00407F2D" w:rsidRDefault="009B562D" w:rsidP="00BA240B">
      <w:pPr>
        <w:pStyle w:val="PBACHeading1"/>
        <w:spacing w:before="240" w:after="120"/>
        <w:outlineLvl w:val="0"/>
      </w:pPr>
      <w:bookmarkStart w:id="1" w:name="_Toc500424296"/>
      <w:bookmarkStart w:id="2" w:name="_Toc503188218"/>
      <w:r>
        <w:t>Purpose of a</w:t>
      </w:r>
      <w:r w:rsidR="00430608" w:rsidRPr="00407F2D">
        <w:t>pplication</w:t>
      </w:r>
      <w:bookmarkEnd w:id="1"/>
      <w:bookmarkEnd w:id="2"/>
    </w:p>
    <w:p w:rsidR="00430608" w:rsidRDefault="00430608" w:rsidP="00E567E7">
      <w:pPr>
        <w:pStyle w:val="ListParagraph"/>
        <w:widowControl/>
        <w:numPr>
          <w:ilvl w:val="1"/>
          <w:numId w:val="1"/>
        </w:numPr>
      </w:pPr>
      <w:r>
        <w:t xml:space="preserve">The submission requested an extension to the current Authority required listing for ranibizumab to include treatment, by an ophthalmologist, of patients with subfoveal choroidal neovascularisation (CNV) secondary to pathologic myopia (PM). This is the first </w:t>
      </w:r>
      <w:r w:rsidR="003455C0">
        <w:t xml:space="preserve">request for </w:t>
      </w:r>
      <w:r w:rsidR="00B22879">
        <w:t xml:space="preserve">PBAC </w:t>
      </w:r>
      <w:r w:rsidR="003455C0">
        <w:t>consideration</w:t>
      </w:r>
      <w:r>
        <w:t xml:space="preserve"> of ranibizumab for this </w:t>
      </w:r>
      <w:r w:rsidR="003455C0">
        <w:t>population.</w:t>
      </w:r>
    </w:p>
    <w:p w:rsidR="00F95B5E" w:rsidRDefault="00F95B5E" w:rsidP="00E567E7">
      <w:pPr>
        <w:pStyle w:val="ListParagraph"/>
        <w:widowControl/>
        <w:numPr>
          <w:ilvl w:val="1"/>
          <w:numId w:val="1"/>
        </w:numPr>
      </w:pPr>
      <w:r>
        <w:t xml:space="preserve">A similar submission requesting extension of the current listing for ranibizumab to include treatment of CNV caused by conditions other than age-related macular degeneration (AMD) </w:t>
      </w:r>
      <w:r w:rsidR="00552D37">
        <w:t>or</w:t>
      </w:r>
      <w:r>
        <w:t xml:space="preserve"> PM was </w:t>
      </w:r>
      <w:r w:rsidR="00A74846">
        <w:t xml:space="preserve">also </w:t>
      </w:r>
      <w:r w:rsidR="003455C0">
        <w:t xml:space="preserve">lodged for </w:t>
      </w:r>
      <w:r w:rsidR="00A74846">
        <w:t>consider</w:t>
      </w:r>
      <w:r w:rsidR="003455C0">
        <w:t>ation</w:t>
      </w:r>
      <w:r w:rsidR="00A74846">
        <w:t xml:space="preserve"> at the March 201</w:t>
      </w:r>
      <w:r>
        <w:t>8 PBAC meeting.</w:t>
      </w:r>
    </w:p>
    <w:p w:rsidR="00430608" w:rsidRDefault="00430608" w:rsidP="00E567E7">
      <w:pPr>
        <w:pStyle w:val="ListParagraph"/>
        <w:widowControl/>
        <w:numPr>
          <w:ilvl w:val="1"/>
          <w:numId w:val="1"/>
        </w:numPr>
        <w:spacing w:after="120"/>
      </w:pPr>
      <w:r>
        <w:t>The submission was based on a cost-utility analysis of ranibizumab compared with verteporfin photodynamic therapy (vPDT) in patients with CNV secondary to PM.</w:t>
      </w:r>
    </w:p>
    <w:p w:rsidR="00430608" w:rsidRPr="008B1757" w:rsidRDefault="003D6787" w:rsidP="00430608">
      <w:pPr>
        <w:rPr>
          <w:rStyle w:val="CommentReference"/>
        </w:rPr>
      </w:pPr>
      <w:r>
        <w:rPr>
          <w:rStyle w:val="CommentReference"/>
        </w:rPr>
        <w:t>Table 1:</w:t>
      </w:r>
      <w:r w:rsidR="00430608">
        <w:rPr>
          <w:rStyle w:val="CommentReference"/>
        </w:rPr>
        <w:t xml:space="preserve">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707"/>
      </w:tblGrid>
      <w:tr w:rsidR="00430608" w:rsidRPr="00A518F3" w:rsidTr="00FF3C3E">
        <w:tc>
          <w:tcPr>
            <w:tcW w:w="831" w:type="pct"/>
            <w:vAlign w:val="center"/>
          </w:tcPr>
          <w:p w:rsidR="00430608" w:rsidRPr="00A518F3" w:rsidRDefault="00430608" w:rsidP="00FF3C3E">
            <w:pPr>
              <w:pStyle w:val="Tabletext"/>
              <w:rPr>
                <w:b/>
              </w:rPr>
            </w:pPr>
            <w:r w:rsidRPr="00A518F3">
              <w:rPr>
                <w:b/>
              </w:rPr>
              <w:t>Component</w:t>
            </w:r>
          </w:p>
        </w:tc>
        <w:tc>
          <w:tcPr>
            <w:tcW w:w="4169" w:type="pct"/>
            <w:vAlign w:val="center"/>
          </w:tcPr>
          <w:p w:rsidR="00430608" w:rsidRPr="00A518F3" w:rsidRDefault="00430608" w:rsidP="00FF3C3E">
            <w:pPr>
              <w:pStyle w:val="Tabletext"/>
              <w:jc w:val="center"/>
              <w:rPr>
                <w:b/>
              </w:rPr>
            </w:pPr>
            <w:r w:rsidRPr="00A518F3">
              <w:rPr>
                <w:b/>
              </w:rPr>
              <w:t>Description</w:t>
            </w:r>
          </w:p>
        </w:tc>
      </w:tr>
      <w:tr w:rsidR="00430608" w:rsidTr="00FF3C3E">
        <w:tc>
          <w:tcPr>
            <w:tcW w:w="831" w:type="pct"/>
            <w:vAlign w:val="center"/>
          </w:tcPr>
          <w:p w:rsidR="00430608" w:rsidRDefault="00430608" w:rsidP="00FF3C3E">
            <w:pPr>
              <w:pStyle w:val="Tabletext"/>
            </w:pPr>
            <w:r>
              <w:t>Population</w:t>
            </w:r>
          </w:p>
        </w:tc>
        <w:tc>
          <w:tcPr>
            <w:tcW w:w="4169" w:type="pct"/>
            <w:vAlign w:val="center"/>
          </w:tcPr>
          <w:p w:rsidR="00430608" w:rsidRPr="0036717D" w:rsidRDefault="00430608" w:rsidP="00FF3C3E">
            <w:pPr>
              <w:pStyle w:val="Tabletext"/>
              <w:rPr>
                <w:vertAlign w:val="superscript"/>
              </w:rPr>
            </w:pPr>
            <w:r>
              <w:t>Patients with visual impairment due to choroidal neovascularisation secondary to pathologic myopia.</w:t>
            </w:r>
            <w:r w:rsidRPr="00E73A37">
              <w:rPr>
                <w:i/>
              </w:rPr>
              <w:t xml:space="preserve"> </w:t>
            </w:r>
            <w:r w:rsidRPr="002078DF">
              <w:t xml:space="preserve">The requested restriction in Section 1.4 of the submission is for </w:t>
            </w:r>
            <w:r w:rsidRPr="002078DF">
              <w:rPr>
                <w:u w:val="single"/>
              </w:rPr>
              <w:t>subfoveal</w:t>
            </w:r>
            <w:r w:rsidRPr="002078DF">
              <w:t xml:space="preserve"> CNV due to PM.</w:t>
            </w:r>
          </w:p>
        </w:tc>
      </w:tr>
      <w:tr w:rsidR="00430608" w:rsidTr="00FF3C3E">
        <w:tc>
          <w:tcPr>
            <w:tcW w:w="831" w:type="pct"/>
            <w:vAlign w:val="center"/>
          </w:tcPr>
          <w:p w:rsidR="00430608" w:rsidRDefault="00430608" w:rsidP="00FF3C3E">
            <w:pPr>
              <w:pStyle w:val="Tabletext"/>
            </w:pPr>
            <w:r>
              <w:t>Intervention</w:t>
            </w:r>
          </w:p>
        </w:tc>
        <w:tc>
          <w:tcPr>
            <w:tcW w:w="4169" w:type="pct"/>
            <w:vAlign w:val="center"/>
          </w:tcPr>
          <w:p w:rsidR="00430608" w:rsidRDefault="00430608" w:rsidP="00FF3C3E">
            <w:pPr>
              <w:pStyle w:val="Tabletext"/>
            </w:pPr>
            <w:r>
              <w:t>Ranibizumab solution for intravitreal injection.</w:t>
            </w:r>
          </w:p>
        </w:tc>
      </w:tr>
      <w:tr w:rsidR="00430608" w:rsidTr="00FF3C3E">
        <w:tc>
          <w:tcPr>
            <w:tcW w:w="831" w:type="pct"/>
            <w:vAlign w:val="center"/>
          </w:tcPr>
          <w:p w:rsidR="00430608" w:rsidRDefault="00430608" w:rsidP="00FF3C3E">
            <w:pPr>
              <w:pStyle w:val="Tabletext"/>
            </w:pPr>
            <w:r>
              <w:t>Comparator</w:t>
            </w:r>
          </w:p>
        </w:tc>
        <w:tc>
          <w:tcPr>
            <w:tcW w:w="4169" w:type="pct"/>
            <w:vAlign w:val="center"/>
          </w:tcPr>
          <w:p w:rsidR="00430608" w:rsidRDefault="00430608" w:rsidP="00FF3C3E">
            <w:pPr>
              <w:pStyle w:val="Tabletext"/>
            </w:pPr>
            <w:r>
              <w:t>Verteporfin photodynamic therapy (vPDT).</w:t>
            </w:r>
          </w:p>
        </w:tc>
      </w:tr>
      <w:tr w:rsidR="00430608" w:rsidTr="00FF3C3E">
        <w:tc>
          <w:tcPr>
            <w:tcW w:w="831" w:type="pct"/>
            <w:vAlign w:val="center"/>
          </w:tcPr>
          <w:p w:rsidR="00430608" w:rsidRDefault="00430608" w:rsidP="00FF3C3E">
            <w:pPr>
              <w:pStyle w:val="Tabletext"/>
            </w:pPr>
            <w:r>
              <w:t>Outcomes</w:t>
            </w:r>
          </w:p>
        </w:tc>
        <w:tc>
          <w:tcPr>
            <w:tcW w:w="4169" w:type="pct"/>
            <w:vAlign w:val="center"/>
          </w:tcPr>
          <w:p w:rsidR="00430608" w:rsidRDefault="00430608" w:rsidP="00FF3C3E">
            <w:pPr>
              <w:pStyle w:val="Tabletext"/>
            </w:pPr>
            <w:r>
              <w:t>Mean average change in best corrected visual acuity (BCVA), quality of life, and safety.</w:t>
            </w:r>
          </w:p>
        </w:tc>
      </w:tr>
      <w:tr w:rsidR="00430608" w:rsidTr="00FF3C3E">
        <w:tc>
          <w:tcPr>
            <w:tcW w:w="831" w:type="pct"/>
            <w:vAlign w:val="center"/>
          </w:tcPr>
          <w:p w:rsidR="00430608" w:rsidRDefault="00430608" w:rsidP="00FF3C3E">
            <w:pPr>
              <w:pStyle w:val="Tabletext"/>
            </w:pPr>
            <w:r>
              <w:t>Clinical claim</w:t>
            </w:r>
          </w:p>
        </w:tc>
        <w:tc>
          <w:tcPr>
            <w:tcW w:w="4169" w:type="pct"/>
            <w:vAlign w:val="center"/>
          </w:tcPr>
          <w:p w:rsidR="00430608" w:rsidRDefault="00430608" w:rsidP="00FF3C3E">
            <w:pPr>
              <w:pStyle w:val="Tabletext"/>
            </w:pPr>
            <w:r>
              <w:t>In patients with choroidal neovascularisation secondary to pathologic myopia, ranibizumab is superior to vPDT in terms of efficacy and quality of life, and non-inferior to vPDT in terms of safety.</w:t>
            </w:r>
          </w:p>
        </w:tc>
      </w:tr>
    </w:tbl>
    <w:p w:rsidR="00C80488" w:rsidRDefault="00C80488" w:rsidP="00C80488">
      <w:pPr>
        <w:pStyle w:val="TableFooter"/>
      </w:pPr>
      <w:r>
        <w:t>vPDT = verteporfin photodynamic therapy</w:t>
      </w:r>
    </w:p>
    <w:p w:rsidR="00430608" w:rsidRPr="0023209F" w:rsidRDefault="00430608" w:rsidP="00704930">
      <w:pPr>
        <w:pStyle w:val="TableFooter"/>
        <w:spacing w:after="160"/>
        <w:rPr>
          <w:sz w:val="20"/>
        </w:rPr>
      </w:pPr>
      <w:r>
        <w:t>Source: Table 1.1-1, p26 of the submission.</w:t>
      </w:r>
    </w:p>
    <w:p w:rsidR="00430608" w:rsidRDefault="00430608" w:rsidP="00BA240B">
      <w:pPr>
        <w:pStyle w:val="PBACHeading1"/>
        <w:spacing w:before="240" w:after="120"/>
        <w:outlineLvl w:val="0"/>
      </w:pPr>
      <w:bookmarkStart w:id="3" w:name="_Toc500424297"/>
      <w:bookmarkStart w:id="4" w:name="_Toc503188219"/>
      <w:r w:rsidRPr="00407F2D">
        <w:t>Requested listing</w:t>
      </w:r>
      <w:bookmarkEnd w:id="3"/>
      <w:bookmarkEnd w:id="4"/>
    </w:p>
    <w:p w:rsidR="002513EE" w:rsidRDefault="002513EE" w:rsidP="002513EE">
      <w:pPr>
        <w:pStyle w:val="ListParagraph"/>
        <w:numPr>
          <w:ilvl w:val="1"/>
          <w:numId w:val="1"/>
        </w:numPr>
      </w:pPr>
      <w:r>
        <w:t>The submission requested a</w:t>
      </w:r>
      <w:r w:rsidR="008229CF">
        <w:t>n</w:t>
      </w:r>
      <w:r>
        <w:t xml:space="preserve"> Authority Required listing for ranibizumab for the treatment of patients with</w:t>
      </w:r>
      <w:r w:rsidR="00704930">
        <w:t xml:space="preserve"> subfoveal CNV secondary to PM.</w:t>
      </w:r>
    </w:p>
    <w:p w:rsidR="002513EE" w:rsidRPr="00882085" w:rsidRDefault="002513EE" w:rsidP="002513EE">
      <w:pPr>
        <w:pStyle w:val="ListParagraph"/>
        <w:numPr>
          <w:ilvl w:val="1"/>
          <w:numId w:val="1"/>
        </w:numPr>
      </w:pPr>
      <w:r w:rsidRPr="002513EE">
        <w:t>Suggestions and additions proposed by the Secretariat to the requested listing are added in italics</w:t>
      </w:r>
      <w:r>
        <w:t>.</w:t>
      </w:r>
    </w:p>
    <w:tbl>
      <w:tblPr>
        <w:tblW w:w="9214" w:type="dxa"/>
        <w:tblInd w:w="108" w:type="dxa"/>
        <w:tblLayout w:type="fixed"/>
        <w:tblLook w:val="0000" w:firstRow="0" w:lastRow="0" w:firstColumn="0" w:lastColumn="0" w:noHBand="0" w:noVBand="0"/>
      </w:tblPr>
      <w:tblGrid>
        <w:gridCol w:w="2835"/>
        <w:gridCol w:w="284"/>
        <w:gridCol w:w="709"/>
        <w:gridCol w:w="850"/>
        <w:gridCol w:w="1559"/>
        <w:gridCol w:w="1418"/>
        <w:gridCol w:w="1559"/>
      </w:tblGrid>
      <w:tr w:rsidR="004C3366" w:rsidRPr="00BA240B" w:rsidTr="00BA240B">
        <w:trPr>
          <w:cantSplit/>
          <w:trHeight w:val="471"/>
        </w:trPr>
        <w:tc>
          <w:tcPr>
            <w:tcW w:w="3119" w:type="dxa"/>
            <w:gridSpan w:val="2"/>
            <w:tcBorders>
              <w:bottom w:val="single" w:sz="4" w:space="0" w:color="auto"/>
            </w:tcBorders>
          </w:tcPr>
          <w:p w:rsidR="004C3366" w:rsidRPr="00BA240B" w:rsidRDefault="004C3366" w:rsidP="002468F5">
            <w:pPr>
              <w:keepNext/>
              <w:widowControl/>
              <w:ind w:left="-108"/>
              <w:rPr>
                <w:rFonts w:ascii="Arial Narrow" w:hAnsi="Arial Narrow"/>
                <w:snapToGrid/>
                <w:sz w:val="20"/>
                <w:szCs w:val="20"/>
                <w:lang w:eastAsia="en-AU"/>
              </w:rPr>
            </w:pPr>
            <w:r w:rsidRPr="00BA240B">
              <w:rPr>
                <w:rFonts w:ascii="Arial Narrow" w:hAnsi="Arial Narrow"/>
                <w:snapToGrid/>
                <w:sz w:val="20"/>
                <w:szCs w:val="20"/>
                <w:lang w:eastAsia="en-AU"/>
              </w:rPr>
              <w:t>Name, Restriction,</w:t>
            </w:r>
          </w:p>
          <w:p w:rsidR="004C3366" w:rsidRPr="00BA240B" w:rsidRDefault="004C3366" w:rsidP="002468F5">
            <w:pPr>
              <w:keepNext/>
              <w:widowControl/>
              <w:ind w:left="-108"/>
              <w:rPr>
                <w:rFonts w:ascii="Arial Narrow" w:hAnsi="Arial Narrow"/>
                <w:snapToGrid/>
                <w:sz w:val="20"/>
                <w:szCs w:val="20"/>
                <w:lang w:eastAsia="en-AU"/>
              </w:rPr>
            </w:pPr>
            <w:r w:rsidRPr="00BA240B">
              <w:rPr>
                <w:rFonts w:ascii="Arial Narrow" w:hAnsi="Arial Narrow"/>
                <w:snapToGrid/>
                <w:sz w:val="20"/>
                <w:szCs w:val="20"/>
                <w:lang w:eastAsia="en-AU"/>
              </w:rPr>
              <w:t>Manner of administration and form</w:t>
            </w:r>
          </w:p>
        </w:tc>
        <w:tc>
          <w:tcPr>
            <w:tcW w:w="709" w:type="dxa"/>
            <w:tcBorders>
              <w:bottom w:val="single" w:sz="4" w:space="0" w:color="auto"/>
            </w:tcBorders>
          </w:tcPr>
          <w:p w:rsidR="004C3366" w:rsidRPr="00BA240B" w:rsidRDefault="004C3366" w:rsidP="002468F5">
            <w:pPr>
              <w:keepNext/>
              <w:widowControl/>
              <w:ind w:left="-108"/>
              <w:rPr>
                <w:rFonts w:ascii="Arial Narrow" w:hAnsi="Arial Narrow"/>
                <w:snapToGrid/>
                <w:sz w:val="20"/>
                <w:szCs w:val="20"/>
                <w:lang w:eastAsia="en-AU"/>
              </w:rPr>
            </w:pPr>
            <w:r w:rsidRPr="00BA240B">
              <w:rPr>
                <w:rFonts w:ascii="Arial Narrow" w:hAnsi="Arial Narrow"/>
                <w:snapToGrid/>
                <w:sz w:val="20"/>
                <w:szCs w:val="20"/>
                <w:lang w:eastAsia="en-AU"/>
              </w:rPr>
              <w:t>Max.</w:t>
            </w:r>
          </w:p>
          <w:p w:rsidR="004C3366" w:rsidRPr="00BA240B" w:rsidRDefault="004C3366" w:rsidP="002468F5">
            <w:pPr>
              <w:keepNext/>
              <w:widowControl/>
              <w:ind w:left="-108"/>
              <w:rPr>
                <w:rFonts w:ascii="Arial Narrow" w:hAnsi="Arial Narrow"/>
                <w:snapToGrid/>
                <w:sz w:val="20"/>
                <w:szCs w:val="20"/>
                <w:lang w:eastAsia="en-AU"/>
              </w:rPr>
            </w:pPr>
            <w:r w:rsidRPr="00BA240B">
              <w:rPr>
                <w:rFonts w:ascii="Arial Narrow" w:hAnsi="Arial Narrow"/>
                <w:snapToGrid/>
                <w:sz w:val="20"/>
                <w:szCs w:val="20"/>
                <w:lang w:eastAsia="en-AU"/>
              </w:rPr>
              <w:t>Qty</w:t>
            </w:r>
          </w:p>
        </w:tc>
        <w:tc>
          <w:tcPr>
            <w:tcW w:w="850" w:type="dxa"/>
            <w:tcBorders>
              <w:bottom w:val="single" w:sz="4" w:space="0" w:color="auto"/>
            </w:tcBorders>
          </w:tcPr>
          <w:p w:rsidR="004C3366" w:rsidRPr="00BA240B" w:rsidRDefault="004C3366" w:rsidP="002468F5">
            <w:pPr>
              <w:keepNext/>
              <w:widowControl/>
              <w:ind w:left="-108"/>
              <w:rPr>
                <w:rFonts w:ascii="Arial Narrow" w:hAnsi="Arial Narrow"/>
                <w:snapToGrid/>
                <w:sz w:val="20"/>
                <w:szCs w:val="20"/>
                <w:lang w:eastAsia="en-AU"/>
              </w:rPr>
            </w:pPr>
            <w:r w:rsidRPr="00BA240B">
              <w:rPr>
                <w:rFonts w:ascii="Arial Narrow" w:hAnsi="Arial Narrow"/>
                <w:snapToGrid/>
                <w:sz w:val="20"/>
                <w:szCs w:val="20"/>
                <w:lang w:eastAsia="en-AU"/>
              </w:rPr>
              <w:t>№.of</w:t>
            </w:r>
          </w:p>
          <w:p w:rsidR="004C3366" w:rsidRPr="00BA240B" w:rsidRDefault="004C3366" w:rsidP="002468F5">
            <w:pPr>
              <w:keepNext/>
              <w:widowControl/>
              <w:ind w:left="-108"/>
              <w:rPr>
                <w:rFonts w:ascii="Arial Narrow" w:hAnsi="Arial Narrow"/>
                <w:snapToGrid/>
                <w:sz w:val="20"/>
                <w:szCs w:val="20"/>
                <w:lang w:eastAsia="en-AU"/>
              </w:rPr>
            </w:pPr>
            <w:r w:rsidRPr="00BA240B">
              <w:rPr>
                <w:rFonts w:ascii="Arial Narrow" w:hAnsi="Arial Narrow"/>
                <w:snapToGrid/>
                <w:sz w:val="20"/>
                <w:szCs w:val="20"/>
                <w:lang w:eastAsia="en-AU"/>
              </w:rPr>
              <w:t>Rpts</w:t>
            </w:r>
          </w:p>
        </w:tc>
        <w:tc>
          <w:tcPr>
            <w:tcW w:w="1559" w:type="dxa"/>
            <w:tcBorders>
              <w:bottom w:val="single" w:sz="4" w:space="0" w:color="auto"/>
            </w:tcBorders>
          </w:tcPr>
          <w:p w:rsidR="004C3366" w:rsidRPr="00BA240B" w:rsidRDefault="004C3366" w:rsidP="002468F5">
            <w:pPr>
              <w:keepNext/>
              <w:widowControl/>
              <w:ind w:left="-108"/>
              <w:rPr>
                <w:rFonts w:ascii="Arial Narrow" w:hAnsi="Arial Narrow"/>
                <w:snapToGrid/>
                <w:sz w:val="20"/>
                <w:szCs w:val="20"/>
                <w:lang w:eastAsia="en-AU"/>
              </w:rPr>
            </w:pPr>
            <w:r w:rsidRPr="00BA240B">
              <w:rPr>
                <w:rFonts w:ascii="Arial Narrow" w:hAnsi="Arial Narrow"/>
                <w:snapToGrid/>
                <w:sz w:val="20"/>
                <w:szCs w:val="20"/>
                <w:lang w:eastAsia="en-AU"/>
              </w:rPr>
              <w:t>Dispensed Price for Max. Qty</w:t>
            </w:r>
          </w:p>
        </w:tc>
        <w:tc>
          <w:tcPr>
            <w:tcW w:w="2977" w:type="dxa"/>
            <w:gridSpan w:val="2"/>
            <w:tcBorders>
              <w:bottom w:val="single" w:sz="4" w:space="0" w:color="auto"/>
            </w:tcBorders>
          </w:tcPr>
          <w:p w:rsidR="004C3366" w:rsidRPr="00BA240B" w:rsidRDefault="004C3366" w:rsidP="002468F5">
            <w:pPr>
              <w:keepNext/>
              <w:widowControl/>
              <w:jc w:val="left"/>
              <w:rPr>
                <w:rFonts w:ascii="Arial Narrow" w:hAnsi="Arial Narrow"/>
                <w:snapToGrid/>
                <w:sz w:val="20"/>
                <w:szCs w:val="20"/>
                <w:lang w:val="fr-FR" w:eastAsia="en-AU"/>
              </w:rPr>
            </w:pPr>
            <w:r w:rsidRPr="00BA240B">
              <w:rPr>
                <w:rFonts w:ascii="Arial Narrow" w:hAnsi="Arial Narrow"/>
                <w:snapToGrid/>
                <w:sz w:val="20"/>
                <w:szCs w:val="20"/>
                <w:lang w:eastAsia="en-AU"/>
              </w:rPr>
              <w:t>Proprietary Name and Manufacturer</w:t>
            </w:r>
          </w:p>
        </w:tc>
      </w:tr>
      <w:tr w:rsidR="004C3366" w:rsidRPr="00BA240B" w:rsidTr="00BA240B">
        <w:trPr>
          <w:cantSplit/>
          <w:trHeight w:val="577"/>
        </w:trPr>
        <w:tc>
          <w:tcPr>
            <w:tcW w:w="3119" w:type="dxa"/>
            <w:gridSpan w:val="2"/>
          </w:tcPr>
          <w:p w:rsidR="004C3366" w:rsidRPr="00BA240B" w:rsidRDefault="004C3366" w:rsidP="002468F5">
            <w:pPr>
              <w:keepNext/>
              <w:widowControl/>
              <w:ind w:left="-108"/>
              <w:rPr>
                <w:rFonts w:ascii="Arial Narrow" w:hAnsi="Arial Narrow"/>
                <w:snapToGrid/>
                <w:sz w:val="20"/>
                <w:szCs w:val="20"/>
                <w:lang w:eastAsia="en-AU"/>
              </w:rPr>
            </w:pPr>
            <w:r w:rsidRPr="00BA240B">
              <w:rPr>
                <w:rFonts w:ascii="Arial Narrow" w:hAnsi="Arial Narrow"/>
                <w:smallCaps/>
                <w:snapToGrid/>
                <w:sz w:val="20"/>
                <w:szCs w:val="20"/>
                <w:lang w:eastAsia="en-AU"/>
              </w:rPr>
              <w:t>RANIBIZUMAB</w:t>
            </w:r>
          </w:p>
          <w:p w:rsidR="00704930" w:rsidRPr="00BA240B" w:rsidRDefault="004C3366" w:rsidP="002468F5">
            <w:pPr>
              <w:keepNext/>
              <w:widowControl/>
              <w:ind w:left="-108"/>
              <w:rPr>
                <w:rFonts w:ascii="Arial Narrow" w:hAnsi="Arial Narrow"/>
                <w:snapToGrid/>
                <w:sz w:val="20"/>
                <w:szCs w:val="20"/>
                <w:lang w:eastAsia="en-AU"/>
              </w:rPr>
            </w:pPr>
            <w:r w:rsidRPr="00BA240B">
              <w:rPr>
                <w:rFonts w:ascii="Arial Narrow" w:hAnsi="Arial Narrow"/>
                <w:snapToGrid/>
                <w:sz w:val="20"/>
                <w:szCs w:val="20"/>
                <w:lang w:eastAsia="en-AU"/>
              </w:rPr>
              <w:t>2.3 mg/0.23 mL injection,</w:t>
            </w:r>
          </w:p>
          <w:p w:rsidR="004C3366" w:rsidRPr="00BA240B" w:rsidRDefault="004C3366" w:rsidP="00F31D54">
            <w:pPr>
              <w:keepNext/>
              <w:widowControl/>
              <w:ind w:left="-108"/>
              <w:rPr>
                <w:rFonts w:ascii="Arial Narrow" w:hAnsi="Arial Narrow"/>
                <w:snapToGrid/>
                <w:sz w:val="20"/>
                <w:szCs w:val="20"/>
                <w:lang w:eastAsia="en-AU"/>
              </w:rPr>
            </w:pPr>
            <w:r w:rsidRPr="00BA240B">
              <w:rPr>
                <w:rFonts w:ascii="Arial Narrow" w:hAnsi="Arial Narrow"/>
                <w:snapToGrid/>
                <w:sz w:val="20"/>
                <w:szCs w:val="20"/>
                <w:lang w:eastAsia="en-AU"/>
              </w:rPr>
              <w:t>0.23 mL vial</w:t>
            </w:r>
          </w:p>
        </w:tc>
        <w:tc>
          <w:tcPr>
            <w:tcW w:w="709" w:type="dxa"/>
          </w:tcPr>
          <w:p w:rsidR="004C3366" w:rsidRPr="00BA240B" w:rsidRDefault="004C3366" w:rsidP="00BA240B">
            <w:pPr>
              <w:keepNext/>
              <w:widowControl/>
              <w:ind w:left="-108"/>
              <w:jc w:val="left"/>
              <w:rPr>
                <w:rFonts w:ascii="Arial Narrow" w:hAnsi="Arial Narrow"/>
                <w:snapToGrid/>
                <w:sz w:val="20"/>
                <w:szCs w:val="20"/>
                <w:lang w:eastAsia="en-AU"/>
              </w:rPr>
            </w:pPr>
          </w:p>
          <w:p w:rsidR="004C3366" w:rsidRPr="00BA240B" w:rsidRDefault="004C3366" w:rsidP="00BA240B">
            <w:pPr>
              <w:keepNext/>
              <w:widowControl/>
              <w:ind w:left="-108"/>
              <w:jc w:val="left"/>
              <w:rPr>
                <w:rFonts w:ascii="Arial Narrow" w:hAnsi="Arial Narrow"/>
                <w:snapToGrid/>
                <w:sz w:val="20"/>
                <w:szCs w:val="20"/>
                <w:lang w:eastAsia="en-AU"/>
              </w:rPr>
            </w:pPr>
            <w:r w:rsidRPr="00BA240B">
              <w:rPr>
                <w:rFonts w:ascii="Arial Narrow" w:hAnsi="Arial Narrow"/>
                <w:snapToGrid/>
                <w:sz w:val="20"/>
                <w:szCs w:val="20"/>
                <w:lang w:eastAsia="en-AU"/>
              </w:rPr>
              <w:t>1</w:t>
            </w:r>
          </w:p>
        </w:tc>
        <w:tc>
          <w:tcPr>
            <w:tcW w:w="850" w:type="dxa"/>
          </w:tcPr>
          <w:p w:rsidR="004C3366" w:rsidRPr="00BA240B" w:rsidRDefault="004C3366" w:rsidP="00BA240B">
            <w:pPr>
              <w:keepNext/>
              <w:widowControl/>
              <w:ind w:left="-108"/>
              <w:jc w:val="left"/>
              <w:rPr>
                <w:rFonts w:ascii="Arial Narrow" w:hAnsi="Arial Narrow"/>
                <w:snapToGrid/>
                <w:sz w:val="20"/>
                <w:szCs w:val="20"/>
                <w:lang w:eastAsia="en-AU"/>
              </w:rPr>
            </w:pPr>
          </w:p>
          <w:p w:rsidR="004C3366" w:rsidRPr="00BA240B" w:rsidRDefault="004C3366" w:rsidP="00BA240B">
            <w:pPr>
              <w:keepNext/>
              <w:widowControl/>
              <w:ind w:left="-108"/>
              <w:jc w:val="left"/>
              <w:rPr>
                <w:rFonts w:ascii="Arial Narrow" w:hAnsi="Arial Narrow"/>
                <w:snapToGrid/>
                <w:sz w:val="20"/>
                <w:szCs w:val="20"/>
                <w:lang w:eastAsia="en-AU"/>
              </w:rPr>
            </w:pPr>
            <w:r w:rsidRPr="00BA240B">
              <w:rPr>
                <w:rFonts w:ascii="Arial Narrow" w:hAnsi="Arial Narrow"/>
                <w:snapToGrid/>
                <w:sz w:val="20"/>
                <w:szCs w:val="20"/>
                <w:lang w:eastAsia="en-AU"/>
              </w:rPr>
              <w:t>2</w:t>
            </w:r>
          </w:p>
        </w:tc>
        <w:tc>
          <w:tcPr>
            <w:tcW w:w="1559" w:type="dxa"/>
          </w:tcPr>
          <w:p w:rsidR="004C3366" w:rsidRPr="00BA240B" w:rsidRDefault="004C3366" w:rsidP="00BA240B">
            <w:pPr>
              <w:keepNext/>
              <w:widowControl/>
              <w:ind w:left="-108"/>
              <w:jc w:val="left"/>
              <w:rPr>
                <w:rFonts w:ascii="Arial Narrow" w:hAnsi="Arial Narrow"/>
                <w:snapToGrid/>
                <w:sz w:val="20"/>
                <w:szCs w:val="20"/>
                <w:lang w:eastAsia="en-AU"/>
              </w:rPr>
            </w:pPr>
          </w:p>
          <w:p w:rsidR="004C3366" w:rsidRPr="00BA240B" w:rsidRDefault="004C3366" w:rsidP="00BA240B">
            <w:pPr>
              <w:keepNext/>
              <w:widowControl/>
              <w:ind w:left="-108"/>
              <w:jc w:val="left"/>
              <w:rPr>
                <w:rFonts w:ascii="Arial Narrow" w:hAnsi="Arial Narrow"/>
                <w:snapToGrid/>
                <w:sz w:val="20"/>
                <w:szCs w:val="20"/>
                <w:lang w:eastAsia="en-AU"/>
              </w:rPr>
            </w:pPr>
            <w:r w:rsidRPr="00BA240B">
              <w:rPr>
                <w:rFonts w:ascii="Arial Narrow" w:hAnsi="Arial Narrow"/>
                <w:snapToGrid/>
                <w:sz w:val="20"/>
                <w:szCs w:val="20"/>
                <w:lang w:eastAsia="en-AU"/>
              </w:rPr>
              <w:t>$1149.44</w:t>
            </w:r>
          </w:p>
          <w:p w:rsidR="004C3366" w:rsidRPr="00BA240B" w:rsidRDefault="004C3366" w:rsidP="00BA240B">
            <w:pPr>
              <w:keepNext/>
              <w:widowControl/>
              <w:ind w:left="-108"/>
              <w:jc w:val="left"/>
              <w:rPr>
                <w:rFonts w:ascii="Arial Narrow" w:hAnsi="Arial Narrow"/>
                <w:snapToGrid/>
                <w:sz w:val="20"/>
                <w:szCs w:val="20"/>
                <w:lang w:eastAsia="en-AU"/>
              </w:rPr>
            </w:pPr>
            <w:r w:rsidRPr="00BA240B">
              <w:rPr>
                <w:rFonts w:ascii="Arial Narrow" w:hAnsi="Arial Narrow"/>
                <w:snapToGrid/>
                <w:sz w:val="20"/>
                <w:szCs w:val="20"/>
                <w:lang w:eastAsia="en-AU"/>
              </w:rPr>
              <w:t>$</w:t>
            </w:r>
            <w:r w:rsidR="00042B67">
              <w:rPr>
                <w:rFonts w:ascii="Arial Narrow" w:hAnsi="Arial Narrow"/>
                <w:noProof/>
                <w:snapToGrid/>
                <w:color w:val="000000"/>
                <w:sz w:val="20"/>
                <w:szCs w:val="20"/>
                <w:highlight w:val="black"/>
                <w:lang w:eastAsia="en-AU"/>
              </w:rPr>
              <w:t>'''''''''''''''</w:t>
            </w:r>
            <w:r w:rsidRPr="00BA240B">
              <w:rPr>
                <w:rFonts w:ascii="Arial Narrow" w:hAnsi="Arial Narrow"/>
                <w:snapToGrid/>
                <w:sz w:val="20"/>
                <w:szCs w:val="20"/>
                <w:lang w:eastAsia="en-AU"/>
              </w:rPr>
              <w:t>*</w:t>
            </w:r>
          </w:p>
        </w:tc>
        <w:tc>
          <w:tcPr>
            <w:tcW w:w="1418" w:type="dxa"/>
          </w:tcPr>
          <w:p w:rsidR="004C3366" w:rsidRPr="00BA240B" w:rsidRDefault="004C3366" w:rsidP="002468F5">
            <w:pPr>
              <w:keepNext/>
              <w:widowControl/>
              <w:rPr>
                <w:rFonts w:ascii="Arial Narrow" w:hAnsi="Arial Narrow"/>
                <w:i/>
                <w:snapToGrid/>
                <w:sz w:val="20"/>
                <w:szCs w:val="20"/>
                <w:vertAlign w:val="superscript"/>
                <w:lang w:eastAsia="en-AU"/>
              </w:rPr>
            </w:pPr>
            <w:r w:rsidRPr="00BA240B">
              <w:rPr>
                <w:rFonts w:ascii="Arial Narrow" w:hAnsi="Arial Narrow"/>
                <w:snapToGrid/>
                <w:sz w:val="20"/>
                <w:szCs w:val="20"/>
                <w:lang w:eastAsia="en-AU"/>
              </w:rPr>
              <w:t>Lucentis</w:t>
            </w:r>
          </w:p>
        </w:tc>
        <w:tc>
          <w:tcPr>
            <w:tcW w:w="1559" w:type="dxa"/>
          </w:tcPr>
          <w:p w:rsidR="004C3366" w:rsidRPr="00BA240B" w:rsidRDefault="004C3366" w:rsidP="002468F5">
            <w:pPr>
              <w:keepNext/>
              <w:widowControl/>
              <w:rPr>
                <w:rFonts w:ascii="Arial Narrow" w:hAnsi="Arial Narrow"/>
                <w:snapToGrid/>
                <w:sz w:val="20"/>
                <w:szCs w:val="20"/>
                <w:lang w:eastAsia="en-AU"/>
              </w:rPr>
            </w:pPr>
            <w:r w:rsidRPr="00BA240B">
              <w:rPr>
                <w:rFonts w:ascii="Arial Narrow" w:hAnsi="Arial Narrow"/>
                <w:snapToGrid/>
                <w:sz w:val="20"/>
                <w:szCs w:val="20"/>
                <w:lang w:eastAsia="en-AU"/>
              </w:rPr>
              <w:t xml:space="preserve">Novartis Pharmaceuticals Australia Pty Ltd </w:t>
            </w:r>
          </w:p>
        </w:tc>
      </w:tr>
      <w:tr w:rsidR="004C3366" w:rsidRPr="00BA240B" w:rsidTr="00BA240B">
        <w:trPr>
          <w:cantSplit/>
          <w:trHeight w:val="577"/>
        </w:trPr>
        <w:tc>
          <w:tcPr>
            <w:tcW w:w="3119" w:type="dxa"/>
            <w:gridSpan w:val="2"/>
          </w:tcPr>
          <w:p w:rsidR="00704930" w:rsidRPr="00BA240B" w:rsidRDefault="00704930" w:rsidP="002468F5">
            <w:pPr>
              <w:keepNext/>
              <w:widowControl/>
              <w:ind w:left="-108"/>
              <w:rPr>
                <w:rFonts w:ascii="Arial Narrow" w:hAnsi="Arial Narrow"/>
                <w:snapToGrid/>
                <w:sz w:val="20"/>
                <w:szCs w:val="20"/>
                <w:lang w:eastAsia="en-AU"/>
              </w:rPr>
            </w:pPr>
          </w:p>
          <w:p w:rsidR="00704930" w:rsidRPr="00BA240B" w:rsidRDefault="004C3366" w:rsidP="002468F5">
            <w:pPr>
              <w:keepNext/>
              <w:widowControl/>
              <w:ind w:left="-108"/>
              <w:rPr>
                <w:rFonts w:ascii="Arial Narrow" w:hAnsi="Arial Narrow"/>
                <w:snapToGrid/>
                <w:sz w:val="20"/>
                <w:szCs w:val="20"/>
                <w:lang w:eastAsia="en-AU"/>
              </w:rPr>
            </w:pPr>
            <w:r w:rsidRPr="00BA240B">
              <w:rPr>
                <w:rFonts w:ascii="Arial Narrow" w:hAnsi="Arial Narrow"/>
                <w:snapToGrid/>
                <w:sz w:val="20"/>
                <w:szCs w:val="20"/>
                <w:lang w:eastAsia="en-AU"/>
              </w:rPr>
              <w:t>1.65 mg/0.165 mL injection,</w:t>
            </w:r>
          </w:p>
          <w:p w:rsidR="004C3366" w:rsidRPr="00BA240B" w:rsidRDefault="004C3366" w:rsidP="002468F5">
            <w:pPr>
              <w:keepNext/>
              <w:widowControl/>
              <w:ind w:left="-108"/>
              <w:rPr>
                <w:rFonts w:ascii="Arial Narrow" w:hAnsi="Arial Narrow"/>
                <w:snapToGrid/>
                <w:sz w:val="20"/>
                <w:szCs w:val="20"/>
                <w:lang w:eastAsia="en-AU"/>
              </w:rPr>
            </w:pPr>
            <w:r w:rsidRPr="00BA240B">
              <w:rPr>
                <w:rFonts w:ascii="Arial Narrow" w:hAnsi="Arial Narrow"/>
                <w:snapToGrid/>
                <w:sz w:val="20"/>
                <w:szCs w:val="20"/>
                <w:lang w:eastAsia="en-AU"/>
              </w:rPr>
              <w:t>1 x 0.165 mL syringe</w:t>
            </w:r>
          </w:p>
        </w:tc>
        <w:tc>
          <w:tcPr>
            <w:tcW w:w="709" w:type="dxa"/>
          </w:tcPr>
          <w:p w:rsidR="004C3366" w:rsidRPr="00BA240B" w:rsidRDefault="004C3366" w:rsidP="00BA240B">
            <w:pPr>
              <w:keepNext/>
              <w:widowControl/>
              <w:ind w:left="-108"/>
              <w:jc w:val="left"/>
              <w:rPr>
                <w:rFonts w:ascii="Arial Narrow" w:hAnsi="Arial Narrow"/>
                <w:snapToGrid/>
                <w:sz w:val="20"/>
                <w:szCs w:val="20"/>
                <w:lang w:eastAsia="en-AU"/>
              </w:rPr>
            </w:pPr>
          </w:p>
          <w:p w:rsidR="004C3366" w:rsidRPr="00BA240B" w:rsidRDefault="004C3366" w:rsidP="00BA240B">
            <w:pPr>
              <w:keepNext/>
              <w:widowControl/>
              <w:ind w:left="-108"/>
              <w:jc w:val="left"/>
              <w:rPr>
                <w:rFonts w:ascii="Arial Narrow" w:hAnsi="Arial Narrow"/>
                <w:snapToGrid/>
                <w:sz w:val="20"/>
                <w:szCs w:val="20"/>
                <w:lang w:eastAsia="en-AU"/>
              </w:rPr>
            </w:pPr>
            <w:r w:rsidRPr="00BA240B">
              <w:rPr>
                <w:rFonts w:ascii="Arial Narrow" w:hAnsi="Arial Narrow"/>
                <w:snapToGrid/>
                <w:sz w:val="20"/>
                <w:szCs w:val="20"/>
                <w:lang w:eastAsia="en-AU"/>
              </w:rPr>
              <w:t>1</w:t>
            </w:r>
          </w:p>
        </w:tc>
        <w:tc>
          <w:tcPr>
            <w:tcW w:w="850" w:type="dxa"/>
          </w:tcPr>
          <w:p w:rsidR="004C3366" w:rsidRPr="00BA240B" w:rsidRDefault="004C3366" w:rsidP="00BA240B">
            <w:pPr>
              <w:keepNext/>
              <w:widowControl/>
              <w:ind w:left="-108"/>
              <w:jc w:val="left"/>
              <w:rPr>
                <w:rFonts w:ascii="Arial Narrow" w:hAnsi="Arial Narrow"/>
                <w:snapToGrid/>
                <w:sz w:val="20"/>
                <w:szCs w:val="20"/>
                <w:lang w:eastAsia="en-AU"/>
              </w:rPr>
            </w:pPr>
          </w:p>
          <w:p w:rsidR="004C3366" w:rsidRPr="00BA240B" w:rsidRDefault="004C3366" w:rsidP="00BA240B">
            <w:pPr>
              <w:keepNext/>
              <w:widowControl/>
              <w:ind w:left="-108"/>
              <w:jc w:val="left"/>
              <w:rPr>
                <w:rFonts w:ascii="Arial Narrow" w:hAnsi="Arial Narrow"/>
                <w:snapToGrid/>
                <w:sz w:val="20"/>
                <w:szCs w:val="20"/>
                <w:lang w:eastAsia="en-AU"/>
              </w:rPr>
            </w:pPr>
            <w:r w:rsidRPr="00BA240B">
              <w:rPr>
                <w:rFonts w:ascii="Arial Narrow" w:hAnsi="Arial Narrow"/>
                <w:snapToGrid/>
                <w:sz w:val="20"/>
                <w:szCs w:val="20"/>
                <w:lang w:eastAsia="en-AU"/>
              </w:rPr>
              <w:t>2</w:t>
            </w:r>
          </w:p>
        </w:tc>
        <w:tc>
          <w:tcPr>
            <w:tcW w:w="1559" w:type="dxa"/>
          </w:tcPr>
          <w:p w:rsidR="004C3366" w:rsidRPr="00BA240B" w:rsidRDefault="004C3366" w:rsidP="00BA240B">
            <w:pPr>
              <w:keepNext/>
              <w:widowControl/>
              <w:ind w:left="-108"/>
              <w:jc w:val="left"/>
              <w:rPr>
                <w:rFonts w:ascii="Arial Narrow" w:hAnsi="Arial Narrow"/>
                <w:snapToGrid/>
                <w:sz w:val="20"/>
                <w:szCs w:val="20"/>
                <w:lang w:eastAsia="en-AU"/>
              </w:rPr>
            </w:pPr>
          </w:p>
          <w:p w:rsidR="004C3366" w:rsidRPr="00BA240B" w:rsidRDefault="004C3366" w:rsidP="00BA240B">
            <w:pPr>
              <w:keepNext/>
              <w:widowControl/>
              <w:ind w:left="-108"/>
              <w:jc w:val="left"/>
              <w:rPr>
                <w:rFonts w:ascii="Arial Narrow" w:hAnsi="Arial Narrow"/>
                <w:snapToGrid/>
                <w:sz w:val="20"/>
                <w:szCs w:val="20"/>
                <w:lang w:eastAsia="en-AU"/>
              </w:rPr>
            </w:pPr>
            <w:r w:rsidRPr="00BA240B">
              <w:rPr>
                <w:rFonts w:ascii="Arial Narrow" w:hAnsi="Arial Narrow"/>
                <w:snapToGrid/>
                <w:sz w:val="20"/>
                <w:szCs w:val="20"/>
                <w:lang w:eastAsia="en-AU"/>
              </w:rPr>
              <w:t>$1149.44</w:t>
            </w:r>
          </w:p>
          <w:p w:rsidR="004C3366" w:rsidRPr="00BA240B" w:rsidRDefault="004C3366" w:rsidP="00BA240B">
            <w:pPr>
              <w:keepNext/>
              <w:widowControl/>
              <w:ind w:left="-108"/>
              <w:jc w:val="left"/>
              <w:rPr>
                <w:rFonts w:ascii="Arial Narrow" w:hAnsi="Arial Narrow"/>
                <w:snapToGrid/>
                <w:sz w:val="20"/>
                <w:szCs w:val="20"/>
                <w:lang w:eastAsia="en-AU"/>
              </w:rPr>
            </w:pPr>
            <w:r w:rsidRPr="00BA240B">
              <w:rPr>
                <w:rFonts w:ascii="Arial Narrow" w:hAnsi="Arial Narrow"/>
                <w:snapToGrid/>
                <w:sz w:val="20"/>
                <w:szCs w:val="20"/>
                <w:lang w:eastAsia="en-AU"/>
              </w:rPr>
              <w:t>$</w:t>
            </w:r>
            <w:r w:rsidR="00042B67">
              <w:rPr>
                <w:rFonts w:ascii="Arial Narrow" w:hAnsi="Arial Narrow"/>
                <w:noProof/>
                <w:snapToGrid/>
                <w:color w:val="000000"/>
                <w:sz w:val="20"/>
                <w:szCs w:val="20"/>
                <w:highlight w:val="black"/>
                <w:lang w:eastAsia="en-AU"/>
              </w:rPr>
              <w:t>'''''''''''''''</w:t>
            </w:r>
            <w:r w:rsidRPr="00BA240B">
              <w:rPr>
                <w:rFonts w:ascii="Arial Narrow" w:hAnsi="Arial Narrow"/>
                <w:snapToGrid/>
                <w:sz w:val="20"/>
                <w:szCs w:val="20"/>
                <w:lang w:eastAsia="en-AU"/>
              </w:rPr>
              <w:t>*</w:t>
            </w:r>
          </w:p>
        </w:tc>
        <w:tc>
          <w:tcPr>
            <w:tcW w:w="1418" w:type="dxa"/>
          </w:tcPr>
          <w:p w:rsidR="004C3366" w:rsidRPr="00BA240B" w:rsidRDefault="004C3366" w:rsidP="002468F5">
            <w:pPr>
              <w:keepNext/>
              <w:widowControl/>
              <w:rPr>
                <w:rFonts w:ascii="Arial Narrow" w:hAnsi="Arial Narrow"/>
                <w:snapToGrid/>
                <w:sz w:val="20"/>
                <w:szCs w:val="20"/>
                <w:lang w:eastAsia="en-AU"/>
              </w:rPr>
            </w:pPr>
          </w:p>
        </w:tc>
        <w:tc>
          <w:tcPr>
            <w:tcW w:w="1559" w:type="dxa"/>
          </w:tcPr>
          <w:p w:rsidR="004C3366" w:rsidRPr="00BA240B" w:rsidRDefault="004C3366" w:rsidP="002468F5">
            <w:pPr>
              <w:keepNext/>
              <w:widowControl/>
              <w:rPr>
                <w:rFonts w:ascii="Arial Narrow" w:hAnsi="Arial Narrow"/>
                <w:snapToGrid/>
                <w:sz w:val="20"/>
                <w:szCs w:val="20"/>
                <w:lang w:eastAsia="en-AU"/>
              </w:rPr>
            </w:pPr>
          </w:p>
        </w:tc>
      </w:tr>
      <w:tr w:rsidR="004C3366" w:rsidRPr="00BA240B" w:rsidTr="002468F5">
        <w:trPr>
          <w:cantSplit/>
          <w:trHeight w:val="360"/>
        </w:trPr>
        <w:tc>
          <w:tcPr>
            <w:tcW w:w="9214" w:type="dxa"/>
            <w:gridSpan w:val="7"/>
            <w:tcBorders>
              <w:bottom w:val="single" w:sz="4" w:space="0" w:color="auto"/>
            </w:tcBorders>
          </w:tcPr>
          <w:p w:rsidR="004C3366" w:rsidRPr="00BA240B" w:rsidRDefault="009A362F" w:rsidP="009A362F">
            <w:pPr>
              <w:widowControl/>
              <w:rPr>
                <w:rFonts w:ascii="Arial Narrow" w:hAnsi="Arial Narrow"/>
                <w:snapToGrid/>
                <w:sz w:val="20"/>
                <w:szCs w:val="20"/>
                <w:lang w:eastAsia="en-AU"/>
              </w:rPr>
            </w:pPr>
            <w:r w:rsidRPr="00BA240B">
              <w:rPr>
                <w:rFonts w:ascii="Arial Narrow" w:hAnsi="Arial Narrow"/>
                <w:snapToGrid/>
                <w:sz w:val="20"/>
                <w:szCs w:val="20"/>
                <w:lang w:eastAsia="en-AU"/>
              </w:rPr>
              <w:t xml:space="preserve">* effective prices </w:t>
            </w:r>
          </w:p>
        </w:tc>
      </w:tr>
      <w:tr w:rsidR="004C3366" w:rsidRPr="00BA240B" w:rsidTr="002468F5">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3366" w:rsidRPr="00BA240B" w:rsidRDefault="004C3366" w:rsidP="00BA240B">
            <w:pPr>
              <w:keepNext/>
              <w:widowControl/>
              <w:rPr>
                <w:rFonts w:ascii="Arial Narrow" w:hAnsi="Arial Narrow"/>
                <w:b/>
                <w:snapToGrid/>
                <w:sz w:val="20"/>
                <w:szCs w:val="20"/>
                <w:lang w:eastAsia="en-AU"/>
              </w:rPr>
            </w:pPr>
            <w:r w:rsidRPr="00BA240B">
              <w:rPr>
                <w:rFonts w:ascii="Arial Narrow" w:hAnsi="Arial Narrow"/>
                <w:b/>
                <w:snapToGrid/>
                <w:sz w:val="20"/>
                <w:szCs w:val="20"/>
                <w:lang w:eastAsia="en-AU"/>
              </w:rPr>
              <w:lastRenderedPageBreak/>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4C3366" w:rsidRPr="00BA240B" w:rsidRDefault="004C3366" w:rsidP="00BA240B">
            <w:pPr>
              <w:keepNext/>
              <w:widowControl/>
              <w:jc w:val="left"/>
              <w:rPr>
                <w:rFonts w:ascii="Arial Narrow" w:hAnsi="Arial Narrow"/>
                <w:snapToGrid/>
                <w:sz w:val="20"/>
                <w:szCs w:val="20"/>
                <w:lang w:eastAsia="en-AU"/>
              </w:rPr>
            </w:pPr>
            <w:r w:rsidRPr="00BA240B">
              <w:rPr>
                <w:rFonts w:ascii="Arial Narrow" w:hAnsi="Arial Narrow"/>
                <w:snapToGrid/>
                <w:sz w:val="20"/>
                <w:szCs w:val="20"/>
                <w:lang w:eastAsia="en-AU"/>
              </w:rPr>
              <w:t>GENERAL – General Schedule (Code GE)</w:t>
            </w:r>
          </w:p>
        </w:tc>
      </w:tr>
      <w:tr w:rsidR="004C3366" w:rsidRPr="00BA240B" w:rsidTr="002468F5">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3366" w:rsidRPr="00BA240B" w:rsidRDefault="004C3366" w:rsidP="00704930">
            <w:pPr>
              <w:widowControl/>
              <w:rPr>
                <w:rFonts w:ascii="Arial Narrow" w:hAnsi="Arial Narrow"/>
                <w:b/>
                <w:snapToGrid/>
                <w:sz w:val="20"/>
                <w:szCs w:val="20"/>
                <w:lang w:eastAsia="en-AU"/>
              </w:rPr>
            </w:pPr>
            <w:r w:rsidRPr="00BA240B">
              <w:rPr>
                <w:rFonts w:ascii="Arial Narrow" w:hAnsi="Arial Narrow"/>
                <w:b/>
                <w:snapToGrid/>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fldChar w:fldCharType="begin">
                <w:ffData>
                  <w:name w:val="Check1"/>
                  <w:enabled/>
                  <w:calcOnExit w:val="0"/>
                  <w:checkBox>
                    <w:sizeAuto/>
                    <w:default w:val="0"/>
                  </w:checkBox>
                </w:ffData>
              </w:fldChar>
            </w:r>
            <w:r w:rsidRPr="00BA240B">
              <w:rPr>
                <w:rFonts w:ascii="Arial Narrow" w:hAnsi="Arial Narrow"/>
                <w:snapToGrid/>
                <w:sz w:val="20"/>
                <w:szCs w:val="20"/>
                <w:lang w:eastAsia="en-AU"/>
              </w:rPr>
              <w:instrText xml:space="preserve"> FORMCHECKBOX </w:instrText>
            </w:r>
            <w:r w:rsidR="007D4943">
              <w:rPr>
                <w:rFonts w:ascii="Arial Narrow" w:hAnsi="Arial Narrow"/>
                <w:snapToGrid/>
                <w:sz w:val="20"/>
                <w:szCs w:val="20"/>
                <w:lang w:eastAsia="en-AU"/>
              </w:rPr>
            </w:r>
            <w:r w:rsidR="007D4943">
              <w:rPr>
                <w:rFonts w:ascii="Arial Narrow" w:hAnsi="Arial Narrow"/>
                <w:snapToGrid/>
                <w:sz w:val="20"/>
                <w:szCs w:val="20"/>
                <w:lang w:eastAsia="en-AU"/>
              </w:rPr>
              <w:fldChar w:fldCharType="separate"/>
            </w:r>
            <w:r w:rsidRPr="00BA240B">
              <w:rPr>
                <w:rFonts w:ascii="Arial Narrow" w:hAnsi="Arial Narrow"/>
                <w:snapToGrid/>
                <w:sz w:val="20"/>
                <w:szCs w:val="20"/>
                <w:lang w:eastAsia="en-AU"/>
              </w:rPr>
              <w:fldChar w:fldCharType="end"/>
            </w:r>
            <w:r w:rsidRPr="00BA240B">
              <w:rPr>
                <w:rFonts w:ascii="Arial Narrow" w:hAnsi="Arial Narrow"/>
                <w:snapToGrid/>
                <w:sz w:val="20"/>
                <w:szCs w:val="20"/>
                <w:lang w:eastAsia="en-AU"/>
              </w:rPr>
              <w:t xml:space="preserve">Dental  </w:t>
            </w:r>
            <w:r w:rsidRPr="00BA240B">
              <w:rPr>
                <w:rFonts w:ascii="Arial Narrow" w:hAnsi="Arial Narrow"/>
                <w:snapToGrid/>
                <w:sz w:val="20"/>
                <w:szCs w:val="20"/>
                <w:lang w:eastAsia="en-AU"/>
              </w:rPr>
              <w:fldChar w:fldCharType="begin">
                <w:ffData>
                  <w:name w:val=""/>
                  <w:enabled/>
                  <w:calcOnExit w:val="0"/>
                  <w:checkBox>
                    <w:sizeAuto/>
                    <w:default w:val="1"/>
                  </w:checkBox>
                </w:ffData>
              </w:fldChar>
            </w:r>
            <w:r w:rsidRPr="00BA240B">
              <w:rPr>
                <w:rFonts w:ascii="Arial Narrow" w:hAnsi="Arial Narrow"/>
                <w:snapToGrid/>
                <w:sz w:val="20"/>
                <w:szCs w:val="20"/>
                <w:lang w:eastAsia="en-AU"/>
              </w:rPr>
              <w:instrText xml:space="preserve"> FORMCHECKBOX </w:instrText>
            </w:r>
            <w:r w:rsidR="007D4943">
              <w:rPr>
                <w:rFonts w:ascii="Arial Narrow" w:hAnsi="Arial Narrow"/>
                <w:snapToGrid/>
                <w:sz w:val="20"/>
                <w:szCs w:val="20"/>
                <w:lang w:eastAsia="en-AU"/>
              </w:rPr>
            </w:r>
            <w:r w:rsidR="007D4943">
              <w:rPr>
                <w:rFonts w:ascii="Arial Narrow" w:hAnsi="Arial Narrow"/>
                <w:snapToGrid/>
                <w:sz w:val="20"/>
                <w:szCs w:val="20"/>
                <w:lang w:eastAsia="en-AU"/>
              </w:rPr>
              <w:fldChar w:fldCharType="separate"/>
            </w:r>
            <w:r w:rsidRPr="00BA240B">
              <w:rPr>
                <w:rFonts w:ascii="Arial Narrow" w:hAnsi="Arial Narrow"/>
                <w:snapToGrid/>
                <w:sz w:val="20"/>
                <w:szCs w:val="20"/>
                <w:lang w:eastAsia="en-AU"/>
              </w:rPr>
              <w:fldChar w:fldCharType="end"/>
            </w:r>
            <w:r w:rsidRPr="00BA240B">
              <w:rPr>
                <w:rFonts w:ascii="Arial Narrow" w:hAnsi="Arial Narrow"/>
                <w:snapToGrid/>
                <w:sz w:val="20"/>
                <w:szCs w:val="20"/>
                <w:lang w:eastAsia="en-AU"/>
              </w:rPr>
              <w:t xml:space="preserve">Medical Practitioners  </w:t>
            </w:r>
            <w:r w:rsidRPr="00BA240B">
              <w:rPr>
                <w:rFonts w:ascii="Arial Narrow" w:hAnsi="Arial Narrow"/>
                <w:snapToGrid/>
                <w:sz w:val="20"/>
                <w:szCs w:val="20"/>
                <w:lang w:eastAsia="en-AU"/>
              </w:rPr>
              <w:fldChar w:fldCharType="begin">
                <w:ffData>
                  <w:name w:val="Check3"/>
                  <w:enabled/>
                  <w:calcOnExit w:val="0"/>
                  <w:checkBox>
                    <w:sizeAuto/>
                    <w:default w:val="0"/>
                  </w:checkBox>
                </w:ffData>
              </w:fldChar>
            </w:r>
            <w:r w:rsidRPr="00BA240B">
              <w:rPr>
                <w:rFonts w:ascii="Arial Narrow" w:hAnsi="Arial Narrow"/>
                <w:snapToGrid/>
                <w:sz w:val="20"/>
                <w:szCs w:val="20"/>
                <w:lang w:eastAsia="en-AU"/>
              </w:rPr>
              <w:instrText xml:space="preserve"> FORMCHECKBOX </w:instrText>
            </w:r>
            <w:r w:rsidR="007D4943">
              <w:rPr>
                <w:rFonts w:ascii="Arial Narrow" w:hAnsi="Arial Narrow"/>
                <w:snapToGrid/>
                <w:sz w:val="20"/>
                <w:szCs w:val="20"/>
                <w:lang w:eastAsia="en-AU"/>
              </w:rPr>
            </w:r>
            <w:r w:rsidR="007D4943">
              <w:rPr>
                <w:rFonts w:ascii="Arial Narrow" w:hAnsi="Arial Narrow"/>
                <w:snapToGrid/>
                <w:sz w:val="20"/>
                <w:szCs w:val="20"/>
                <w:lang w:eastAsia="en-AU"/>
              </w:rPr>
              <w:fldChar w:fldCharType="separate"/>
            </w:r>
            <w:r w:rsidRPr="00BA240B">
              <w:rPr>
                <w:rFonts w:ascii="Arial Narrow" w:hAnsi="Arial Narrow"/>
                <w:snapToGrid/>
                <w:sz w:val="20"/>
                <w:szCs w:val="20"/>
                <w:lang w:eastAsia="en-AU"/>
              </w:rPr>
              <w:fldChar w:fldCharType="end"/>
            </w:r>
            <w:r w:rsidRPr="00BA240B">
              <w:rPr>
                <w:rFonts w:ascii="Arial Narrow" w:hAnsi="Arial Narrow"/>
                <w:snapToGrid/>
                <w:sz w:val="20"/>
                <w:szCs w:val="20"/>
                <w:lang w:eastAsia="en-AU"/>
              </w:rPr>
              <w:t xml:space="preserve">Nurse practitioners  </w:t>
            </w:r>
            <w:r w:rsidRPr="00BA240B">
              <w:rPr>
                <w:rFonts w:ascii="Arial Narrow" w:hAnsi="Arial Narrow"/>
                <w:snapToGrid/>
                <w:sz w:val="20"/>
                <w:szCs w:val="20"/>
                <w:lang w:eastAsia="en-AU"/>
              </w:rPr>
              <w:fldChar w:fldCharType="begin">
                <w:ffData>
                  <w:name w:val=""/>
                  <w:enabled/>
                  <w:calcOnExit w:val="0"/>
                  <w:checkBox>
                    <w:sizeAuto/>
                    <w:default w:val="0"/>
                  </w:checkBox>
                </w:ffData>
              </w:fldChar>
            </w:r>
            <w:r w:rsidRPr="00BA240B">
              <w:rPr>
                <w:rFonts w:ascii="Arial Narrow" w:hAnsi="Arial Narrow"/>
                <w:snapToGrid/>
                <w:sz w:val="20"/>
                <w:szCs w:val="20"/>
                <w:lang w:eastAsia="en-AU"/>
              </w:rPr>
              <w:instrText xml:space="preserve"> FORMCHECKBOX </w:instrText>
            </w:r>
            <w:r w:rsidR="007D4943">
              <w:rPr>
                <w:rFonts w:ascii="Arial Narrow" w:hAnsi="Arial Narrow"/>
                <w:snapToGrid/>
                <w:sz w:val="20"/>
                <w:szCs w:val="20"/>
                <w:lang w:eastAsia="en-AU"/>
              </w:rPr>
            </w:r>
            <w:r w:rsidR="007D4943">
              <w:rPr>
                <w:rFonts w:ascii="Arial Narrow" w:hAnsi="Arial Narrow"/>
                <w:snapToGrid/>
                <w:sz w:val="20"/>
                <w:szCs w:val="20"/>
                <w:lang w:eastAsia="en-AU"/>
              </w:rPr>
              <w:fldChar w:fldCharType="separate"/>
            </w:r>
            <w:r w:rsidRPr="00BA240B">
              <w:rPr>
                <w:rFonts w:ascii="Arial Narrow" w:hAnsi="Arial Narrow"/>
                <w:snapToGrid/>
                <w:sz w:val="20"/>
                <w:szCs w:val="20"/>
                <w:lang w:eastAsia="en-AU"/>
              </w:rPr>
              <w:fldChar w:fldCharType="end"/>
            </w:r>
            <w:r w:rsidRPr="00BA240B">
              <w:rPr>
                <w:rFonts w:ascii="Arial Narrow" w:hAnsi="Arial Narrow"/>
                <w:snapToGrid/>
                <w:sz w:val="20"/>
                <w:szCs w:val="20"/>
                <w:lang w:eastAsia="en-AU"/>
              </w:rPr>
              <w:t>Optometrists</w:t>
            </w:r>
          </w:p>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fldChar w:fldCharType="begin">
                <w:ffData>
                  <w:name w:val="Check5"/>
                  <w:enabled/>
                  <w:calcOnExit w:val="0"/>
                  <w:checkBox>
                    <w:sizeAuto/>
                    <w:default w:val="0"/>
                  </w:checkBox>
                </w:ffData>
              </w:fldChar>
            </w:r>
            <w:r w:rsidRPr="00BA240B">
              <w:rPr>
                <w:rFonts w:ascii="Arial Narrow" w:hAnsi="Arial Narrow"/>
                <w:snapToGrid/>
                <w:sz w:val="20"/>
                <w:szCs w:val="20"/>
                <w:lang w:eastAsia="en-AU"/>
              </w:rPr>
              <w:instrText xml:space="preserve"> FORMCHECKBOX </w:instrText>
            </w:r>
            <w:r w:rsidR="007D4943">
              <w:rPr>
                <w:rFonts w:ascii="Arial Narrow" w:hAnsi="Arial Narrow"/>
                <w:snapToGrid/>
                <w:sz w:val="20"/>
                <w:szCs w:val="20"/>
                <w:lang w:eastAsia="en-AU"/>
              </w:rPr>
            </w:r>
            <w:r w:rsidR="007D4943">
              <w:rPr>
                <w:rFonts w:ascii="Arial Narrow" w:hAnsi="Arial Narrow"/>
                <w:snapToGrid/>
                <w:sz w:val="20"/>
                <w:szCs w:val="20"/>
                <w:lang w:eastAsia="en-AU"/>
              </w:rPr>
              <w:fldChar w:fldCharType="separate"/>
            </w:r>
            <w:r w:rsidRPr="00BA240B">
              <w:rPr>
                <w:rFonts w:ascii="Arial Narrow" w:hAnsi="Arial Narrow"/>
                <w:snapToGrid/>
                <w:sz w:val="20"/>
                <w:szCs w:val="20"/>
                <w:lang w:eastAsia="en-AU"/>
              </w:rPr>
              <w:fldChar w:fldCharType="end"/>
            </w:r>
            <w:r w:rsidRPr="00BA240B">
              <w:rPr>
                <w:rFonts w:ascii="Arial Narrow" w:hAnsi="Arial Narrow"/>
                <w:snapToGrid/>
                <w:sz w:val="20"/>
                <w:szCs w:val="20"/>
                <w:lang w:eastAsia="en-AU"/>
              </w:rPr>
              <w:t>Midwives</w:t>
            </w:r>
          </w:p>
        </w:tc>
      </w:tr>
      <w:tr w:rsidR="004C3366" w:rsidRPr="00BA240B" w:rsidTr="002468F5">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3366" w:rsidRPr="00BA240B" w:rsidRDefault="004C3366" w:rsidP="002468F5">
            <w:pPr>
              <w:widowControl/>
              <w:rPr>
                <w:rFonts w:ascii="Arial Narrow" w:hAnsi="Arial Narrow"/>
                <w:b/>
                <w:snapToGrid/>
                <w:sz w:val="20"/>
                <w:szCs w:val="20"/>
                <w:lang w:eastAsia="en-AU"/>
              </w:rPr>
            </w:pPr>
            <w:r w:rsidRPr="00BA240B">
              <w:rPr>
                <w:rFonts w:ascii="Arial Narrow" w:hAnsi="Arial Narrow"/>
                <w:b/>
                <w:snapToGrid/>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t xml:space="preserve">Subfoveal choroidal neovascularisation </w:t>
            </w:r>
          </w:p>
        </w:tc>
      </w:tr>
      <w:tr w:rsidR="004C3366" w:rsidRPr="00BA240B" w:rsidTr="002468F5">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3366" w:rsidRPr="00BA240B" w:rsidRDefault="004C3366" w:rsidP="00704930">
            <w:pPr>
              <w:widowControl/>
              <w:rPr>
                <w:rFonts w:ascii="Arial Narrow" w:hAnsi="Arial Narrow"/>
                <w:snapToGrid/>
                <w:sz w:val="20"/>
                <w:szCs w:val="20"/>
                <w:lang w:eastAsia="en-AU"/>
              </w:rPr>
            </w:pPr>
            <w:r w:rsidRPr="00BA240B">
              <w:rPr>
                <w:rFonts w:ascii="Arial Narrow" w:hAnsi="Arial Narrow"/>
                <w:b/>
                <w:snapToGrid/>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t xml:space="preserve">Subfoveal choroidal neovascularisation </w:t>
            </w:r>
          </w:p>
        </w:tc>
      </w:tr>
      <w:tr w:rsidR="004C3366" w:rsidRPr="00BA240B" w:rsidTr="002468F5">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3366" w:rsidRPr="00BA240B" w:rsidRDefault="004C3366" w:rsidP="00704930">
            <w:pPr>
              <w:widowControl/>
              <w:rPr>
                <w:rFonts w:ascii="Arial Narrow" w:hAnsi="Arial Narrow"/>
                <w:snapToGrid/>
                <w:sz w:val="20"/>
                <w:szCs w:val="20"/>
                <w:lang w:eastAsia="en-AU"/>
              </w:rPr>
            </w:pPr>
            <w:r w:rsidRPr="00BA240B">
              <w:rPr>
                <w:rFonts w:ascii="Arial Narrow" w:hAnsi="Arial Narrow"/>
                <w:b/>
                <w:snapToGrid/>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4C3366" w:rsidRPr="00BA240B" w:rsidRDefault="00466A59"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t>Initial treatment</w:t>
            </w:r>
          </w:p>
        </w:tc>
      </w:tr>
      <w:tr w:rsidR="004C3366" w:rsidRPr="00BA240B" w:rsidTr="002468F5">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3366" w:rsidRPr="00BA240B" w:rsidRDefault="004C3366" w:rsidP="00704930">
            <w:pPr>
              <w:widowControl/>
              <w:rPr>
                <w:rFonts w:ascii="Arial Narrow" w:hAnsi="Arial Narrow"/>
                <w:snapToGrid/>
                <w:sz w:val="20"/>
                <w:szCs w:val="20"/>
                <w:lang w:eastAsia="en-AU"/>
              </w:rPr>
            </w:pPr>
            <w:r w:rsidRPr="00BA240B">
              <w:rPr>
                <w:rFonts w:ascii="Arial Narrow" w:hAnsi="Arial Narrow"/>
                <w:b/>
                <w:snapToGrid/>
                <w:sz w:val="20"/>
                <w:szCs w:val="20"/>
                <w:lang w:eastAsia="en-AU"/>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fldChar w:fldCharType="begin">
                <w:ffData>
                  <w:name w:val="Check1"/>
                  <w:enabled/>
                  <w:calcOnExit w:val="0"/>
                  <w:checkBox>
                    <w:sizeAuto/>
                    <w:default w:val="0"/>
                  </w:checkBox>
                </w:ffData>
              </w:fldChar>
            </w:r>
            <w:r w:rsidRPr="00BA240B">
              <w:rPr>
                <w:rFonts w:ascii="Arial Narrow" w:hAnsi="Arial Narrow"/>
                <w:snapToGrid/>
                <w:sz w:val="20"/>
                <w:szCs w:val="20"/>
                <w:lang w:eastAsia="en-AU"/>
              </w:rPr>
              <w:instrText xml:space="preserve"> FORMCHECKBOX </w:instrText>
            </w:r>
            <w:r w:rsidR="007D4943">
              <w:rPr>
                <w:rFonts w:ascii="Arial Narrow" w:hAnsi="Arial Narrow"/>
                <w:snapToGrid/>
                <w:sz w:val="20"/>
                <w:szCs w:val="20"/>
                <w:lang w:eastAsia="en-AU"/>
              </w:rPr>
            </w:r>
            <w:r w:rsidR="007D4943">
              <w:rPr>
                <w:rFonts w:ascii="Arial Narrow" w:hAnsi="Arial Narrow"/>
                <w:snapToGrid/>
                <w:sz w:val="20"/>
                <w:szCs w:val="20"/>
                <w:lang w:eastAsia="en-AU"/>
              </w:rPr>
              <w:fldChar w:fldCharType="separate"/>
            </w:r>
            <w:r w:rsidRPr="00BA240B">
              <w:rPr>
                <w:rFonts w:ascii="Arial Narrow" w:hAnsi="Arial Narrow"/>
                <w:snapToGrid/>
                <w:sz w:val="20"/>
                <w:szCs w:val="20"/>
                <w:lang w:eastAsia="en-AU"/>
              </w:rPr>
              <w:fldChar w:fldCharType="end"/>
            </w:r>
            <w:r w:rsidRPr="00BA240B">
              <w:rPr>
                <w:rFonts w:ascii="Arial Narrow" w:hAnsi="Arial Narrow"/>
                <w:snapToGrid/>
                <w:sz w:val="20"/>
                <w:szCs w:val="20"/>
                <w:lang w:eastAsia="en-AU"/>
              </w:rPr>
              <w:t>Restricted benefit</w:t>
            </w:r>
          </w:p>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fldChar w:fldCharType="begin">
                <w:ffData>
                  <w:name w:val=""/>
                  <w:enabled/>
                  <w:calcOnExit w:val="0"/>
                  <w:checkBox>
                    <w:sizeAuto/>
                    <w:default w:val="1"/>
                  </w:checkBox>
                </w:ffData>
              </w:fldChar>
            </w:r>
            <w:r w:rsidRPr="00BA240B">
              <w:rPr>
                <w:rFonts w:ascii="Arial Narrow" w:hAnsi="Arial Narrow"/>
                <w:snapToGrid/>
                <w:sz w:val="20"/>
                <w:szCs w:val="20"/>
                <w:lang w:eastAsia="en-AU"/>
              </w:rPr>
              <w:instrText xml:space="preserve"> FORMCHECKBOX </w:instrText>
            </w:r>
            <w:r w:rsidR="007D4943">
              <w:rPr>
                <w:rFonts w:ascii="Arial Narrow" w:hAnsi="Arial Narrow"/>
                <w:snapToGrid/>
                <w:sz w:val="20"/>
                <w:szCs w:val="20"/>
                <w:lang w:eastAsia="en-AU"/>
              </w:rPr>
            </w:r>
            <w:r w:rsidR="007D4943">
              <w:rPr>
                <w:rFonts w:ascii="Arial Narrow" w:hAnsi="Arial Narrow"/>
                <w:snapToGrid/>
                <w:sz w:val="20"/>
                <w:szCs w:val="20"/>
                <w:lang w:eastAsia="en-AU"/>
              </w:rPr>
              <w:fldChar w:fldCharType="separate"/>
            </w:r>
            <w:r w:rsidRPr="00BA240B">
              <w:rPr>
                <w:rFonts w:ascii="Arial Narrow" w:hAnsi="Arial Narrow"/>
                <w:snapToGrid/>
                <w:sz w:val="20"/>
                <w:szCs w:val="20"/>
                <w:lang w:eastAsia="en-AU"/>
              </w:rPr>
              <w:fldChar w:fldCharType="end"/>
            </w:r>
            <w:r w:rsidRPr="00BA240B">
              <w:rPr>
                <w:rFonts w:ascii="Arial Narrow" w:hAnsi="Arial Narrow"/>
                <w:snapToGrid/>
                <w:sz w:val="20"/>
                <w:szCs w:val="20"/>
                <w:lang w:eastAsia="en-AU"/>
              </w:rPr>
              <w:t>Authority Required - In Writing</w:t>
            </w:r>
          </w:p>
          <w:p w:rsidR="004C3366" w:rsidRPr="00BA240B" w:rsidRDefault="00BD5D18" w:rsidP="002468F5">
            <w:pPr>
              <w:widowControl/>
              <w:jc w:val="left"/>
              <w:rPr>
                <w:rFonts w:ascii="Arial Narrow" w:hAnsi="Arial Narrow"/>
                <w:i/>
                <w:snapToGrid/>
                <w:sz w:val="20"/>
                <w:szCs w:val="20"/>
                <w:lang w:eastAsia="en-AU"/>
              </w:rPr>
            </w:pPr>
            <w:r w:rsidRPr="00BA240B">
              <w:rPr>
                <w:rFonts w:ascii="Arial Narrow" w:hAnsi="Arial Narrow"/>
                <w:snapToGrid/>
                <w:sz w:val="20"/>
                <w:szCs w:val="20"/>
                <w:lang w:eastAsia="en-AU"/>
              </w:rPr>
              <w:fldChar w:fldCharType="begin">
                <w:ffData>
                  <w:name w:val=""/>
                  <w:enabled/>
                  <w:calcOnExit w:val="0"/>
                  <w:checkBox>
                    <w:sizeAuto/>
                    <w:default w:val="1"/>
                  </w:checkBox>
                </w:ffData>
              </w:fldChar>
            </w:r>
            <w:r w:rsidRPr="00BA240B">
              <w:rPr>
                <w:rFonts w:ascii="Arial Narrow" w:hAnsi="Arial Narrow"/>
                <w:snapToGrid/>
                <w:sz w:val="20"/>
                <w:szCs w:val="20"/>
                <w:lang w:eastAsia="en-AU"/>
              </w:rPr>
              <w:instrText xml:space="preserve"> FORMCHECKBOX </w:instrText>
            </w:r>
            <w:r w:rsidR="007D4943">
              <w:rPr>
                <w:rFonts w:ascii="Arial Narrow" w:hAnsi="Arial Narrow"/>
                <w:snapToGrid/>
                <w:sz w:val="20"/>
                <w:szCs w:val="20"/>
                <w:lang w:eastAsia="en-AU"/>
              </w:rPr>
            </w:r>
            <w:r w:rsidR="007D4943">
              <w:rPr>
                <w:rFonts w:ascii="Arial Narrow" w:hAnsi="Arial Narrow"/>
                <w:snapToGrid/>
                <w:sz w:val="20"/>
                <w:szCs w:val="20"/>
                <w:lang w:eastAsia="en-AU"/>
              </w:rPr>
              <w:fldChar w:fldCharType="separate"/>
            </w:r>
            <w:r w:rsidRPr="00BA240B">
              <w:rPr>
                <w:rFonts w:ascii="Arial Narrow" w:hAnsi="Arial Narrow"/>
                <w:snapToGrid/>
                <w:sz w:val="20"/>
                <w:szCs w:val="20"/>
                <w:lang w:eastAsia="en-AU"/>
              </w:rPr>
              <w:fldChar w:fldCharType="end"/>
            </w:r>
            <w:r w:rsidR="004C3366" w:rsidRPr="00BA240B">
              <w:rPr>
                <w:rFonts w:ascii="Arial Narrow" w:hAnsi="Arial Narrow"/>
                <w:i/>
                <w:snapToGrid/>
                <w:sz w:val="20"/>
                <w:szCs w:val="20"/>
                <w:lang w:eastAsia="en-AU"/>
              </w:rPr>
              <w:t>Authority Required - Telephone</w:t>
            </w:r>
          </w:p>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fldChar w:fldCharType="begin">
                <w:ffData>
                  <w:name w:val=""/>
                  <w:enabled/>
                  <w:calcOnExit w:val="0"/>
                  <w:checkBox>
                    <w:sizeAuto/>
                    <w:default w:val="0"/>
                  </w:checkBox>
                </w:ffData>
              </w:fldChar>
            </w:r>
            <w:r w:rsidRPr="00BA240B">
              <w:rPr>
                <w:rFonts w:ascii="Arial Narrow" w:hAnsi="Arial Narrow"/>
                <w:snapToGrid/>
                <w:sz w:val="20"/>
                <w:szCs w:val="20"/>
                <w:lang w:eastAsia="en-AU"/>
              </w:rPr>
              <w:instrText xml:space="preserve"> FORMCHECKBOX </w:instrText>
            </w:r>
            <w:r w:rsidR="007D4943">
              <w:rPr>
                <w:rFonts w:ascii="Arial Narrow" w:hAnsi="Arial Narrow"/>
                <w:snapToGrid/>
                <w:sz w:val="20"/>
                <w:szCs w:val="20"/>
                <w:lang w:eastAsia="en-AU"/>
              </w:rPr>
            </w:r>
            <w:r w:rsidR="007D4943">
              <w:rPr>
                <w:rFonts w:ascii="Arial Narrow" w:hAnsi="Arial Narrow"/>
                <w:snapToGrid/>
                <w:sz w:val="20"/>
                <w:szCs w:val="20"/>
                <w:lang w:eastAsia="en-AU"/>
              </w:rPr>
              <w:fldChar w:fldCharType="separate"/>
            </w:r>
            <w:r w:rsidRPr="00BA240B">
              <w:rPr>
                <w:rFonts w:ascii="Arial Narrow" w:hAnsi="Arial Narrow"/>
                <w:snapToGrid/>
                <w:sz w:val="20"/>
                <w:szCs w:val="20"/>
                <w:lang w:eastAsia="en-AU"/>
              </w:rPr>
              <w:fldChar w:fldCharType="end"/>
            </w:r>
            <w:r w:rsidRPr="00BA240B">
              <w:rPr>
                <w:rFonts w:ascii="Arial Narrow" w:hAnsi="Arial Narrow"/>
                <w:snapToGrid/>
                <w:sz w:val="20"/>
                <w:szCs w:val="20"/>
                <w:lang w:eastAsia="en-AU"/>
              </w:rPr>
              <w:t>Authority Required - Emergency</w:t>
            </w:r>
          </w:p>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fldChar w:fldCharType="begin">
                <w:ffData>
                  <w:name w:val="Check5"/>
                  <w:enabled/>
                  <w:calcOnExit w:val="0"/>
                  <w:checkBox>
                    <w:sizeAuto/>
                    <w:default w:val="0"/>
                  </w:checkBox>
                </w:ffData>
              </w:fldChar>
            </w:r>
            <w:r w:rsidRPr="00BA240B">
              <w:rPr>
                <w:rFonts w:ascii="Arial Narrow" w:hAnsi="Arial Narrow"/>
                <w:snapToGrid/>
                <w:sz w:val="20"/>
                <w:szCs w:val="20"/>
                <w:lang w:eastAsia="en-AU"/>
              </w:rPr>
              <w:instrText xml:space="preserve"> FORMCHECKBOX </w:instrText>
            </w:r>
            <w:r w:rsidR="007D4943">
              <w:rPr>
                <w:rFonts w:ascii="Arial Narrow" w:hAnsi="Arial Narrow"/>
                <w:snapToGrid/>
                <w:sz w:val="20"/>
                <w:szCs w:val="20"/>
                <w:lang w:eastAsia="en-AU"/>
              </w:rPr>
            </w:r>
            <w:r w:rsidR="007D4943">
              <w:rPr>
                <w:rFonts w:ascii="Arial Narrow" w:hAnsi="Arial Narrow"/>
                <w:snapToGrid/>
                <w:sz w:val="20"/>
                <w:szCs w:val="20"/>
                <w:lang w:eastAsia="en-AU"/>
              </w:rPr>
              <w:fldChar w:fldCharType="separate"/>
            </w:r>
            <w:r w:rsidRPr="00BA240B">
              <w:rPr>
                <w:rFonts w:ascii="Arial Narrow" w:hAnsi="Arial Narrow"/>
                <w:snapToGrid/>
                <w:sz w:val="20"/>
                <w:szCs w:val="20"/>
                <w:lang w:eastAsia="en-AU"/>
              </w:rPr>
              <w:fldChar w:fldCharType="end"/>
            </w:r>
            <w:r w:rsidRPr="00BA240B">
              <w:rPr>
                <w:rFonts w:ascii="Arial Narrow" w:hAnsi="Arial Narrow"/>
                <w:snapToGrid/>
                <w:sz w:val="20"/>
                <w:szCs w:val="20"/>
                <w:lang w:eastAsia="en-AU"/>
              </w:rPr>
              <w:t>Authority Required - Electronic</w:t>
            </w:r>
          </w:p>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fldChar w:fldCharType="begin">
                <w:ffData>
                  <w:name w:val="Check5"/>
                  <w:enabled/>
                  <w:calcOnExit w:val="0"/>
                  <w:checkBox>
                    <w:sizeAuto/>
                    <w:default w:val="0"/>
                  </w:checkBox>
                </w:ffData>
              </w:fldChar>
            </w:r>
            <w:r w:rsidRPr="00BA240B">
              <w:rPr>
                <w:rFonts w:ascii="Arial Narrow" w:hAnsi="Arial Narrow"/>
                <w:snapToGrid/>
                <w:sz w:val="20"/>
                <w:szCs w:val="20"/>
                <w:lang w:eastAsia="en-AU"/>
              </w:rPr>
              <w:instrText xml:space="preserve"> FORMCHECKBOX </w:instrText>
            </w:r>
            <w:r w:rsidR="007D4943">
              <w:rPr>
                <w:rFonts w:ascii="Arial Narrow" w:hAnsi="Arial Narrow"/>
                <w:snapToGrid/>
                <w:sz w:val="20"/>
                <w:szCs w:val="20"/>
                <w:lang w:eastAsia="en-AU"/>
              </w:rPr>
            </w:r>
            <w:r w:rsidR="007D4943">
              <w:rPr>
                <w:rFonts w:ascii="Arial Narrow" w:hAnsi="Arial Narrow"/>
                <w:snapToGrid/>
                <w:sz w:val="20"/>
                <w:szCs w:val="20"/>
                <w:lang w:eastAsia="en-AU"/>
              </w:rPr>
              <w:fldChar w:fldCharType="separate"/>
            </w:r>
            <w:r w:rsidRPr="00BA240B">
              <w:rPr>
                <w:rFonts w:ascii="Arial Narrow" w:hAnsi="Arial Narrow"/>
                <w:snapToGrid/>
                <w:sz w:val="20"/>
                <w:szCs w:val="20"/>
                <w:lang w:eastAsia="en-AU"/>
              </w:rPr>
              <w:fldChar w:fldCharType="end"/>
            </w:r>
            <w:r w:rsidRPr="00BA240B">
              <w:rPr>
                <w:rFonts w:ascii="Arial Narrow" w:hAnsi="Arial Narrow"/>
                <w:snapToGrid/>
                <w:sz w:val="20"/>
                <w:szCs w:val="20"/>
                <w:lang w:eastAsia="en-AU"/>
              </w:rPr>
              <w:t>Streamlined</w:t>
            </w:r>
          </w:p>
        </w:tc>
      </w:tr>
      <w:tr w:rsidR="004C3366" w:rsidRPr="00BA240B" w:rsidTr="002468F5">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b/>
                <w:snapToGrid/>
                <w:sz w:val="20"/>
                <w:szCs w:val="20"/>
                <w:lang w:eastAsia="en-AU"/>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4C3366" w:rsidRPr="00BA240B" w:rsidRDefault="004C3366" w:rsidP="00704930">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t xml:space="preserve">Must be treated by an ophthalmologist </w:t>
            </w:r>
            <w:r w:rsidRPr="00BA240B">
              <w:rPr>
                <w:rFonts w:ascii="Arial Narrow" w:hAnsi="Arial Narrow"/>
                <w:i/>
                <w:snapToGrid/>
                <w:sz w:val="20"/>
                <w:szCs w:val="20"/>
                <w:lang w:eastAsia="en-AU"/>
              </w:rPr>
              <w:t>or in consultation with an ophthalmologist</w:t>
            </w:r>
            <w:r w:rsidRPr="00BA240B">
              <w:rPr>
                <w:rFonts w:ascii="Arial Narrow" w:hAnsi="Arial Narrow"/>
                <w:snapToGrid/>
                <w:sz w:val="20"/>
                <w:szCs w:val="20"/>
                <w:lang w:eastAsia="en-AU"/>
              </w:rPr>
              <w:t>.</w:t>
            </w:r>
          </w:p>
        </w:tc>
      </w:tr>
      <w:tr w:rsidR="004C3366" w:rsidRPr="00BA240B" w:rsidTr="002468F5">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3366" w:rsidRPr="00BA240B" w:rsidRDefault="004C3366" w:rsidP="00704930">
            <w:pPr>
              <w:widowControl/>
              <w:rPr>
                <w:rFonts w:ascii="Arial Narrow" w:hAnsi="Arial Narrow"/>
                <w:snapToGrid/>
                <w:sz w:val="20"/>
                <w:szCs w:val="20"/>
                <w:lang w:eastAsia="en-AU"/>
              </w:rPr>
            </w:pPr>
            <w:r w:rsidRPr="00BA240B">
              <w:rPr>
                <w:rFonts w:ascii="Arial Narrow" w:hAnsi="Arial Narrow"/>
                <w:b/>
                <w:snapToGrid/>
                <w:sz w:val="20"/>
                <w:szCs w:val="20"/>
                <w:lang w:eastAsia="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704930"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t xml:space="preserve">The condition must be due to pathologic myopia </w:t>
            </w:r>
            <w:r w:rsidRPr="00BA240B">
              <w:rPr>
                <w:rFonts w:ascii="Arial Narrow" w:hAnsi="Arial Narrow"/>
                <w:i/>
                <w:snapToGrid/>
                <w:sz w:val="20"/>
                <w:szCs w:val="20"/>
                <w:lang w:eastAsia="en-AU"/>
              </w:rPr>
              <w:t>(PM)</w:t>
            </w:r>
          </w:p>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t>AND</w:t>
            </w:r>
          </w:p>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t>The condition must be diagnosed by optical coherence tomography; OR</w:t>
            </w:r>
          </w:p>
          <w:p w:rsidR="004C3366"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t>The condition must be diagn</w:t>
            </w:r>
            <w:r w:rsidR="00704930" w:rsidRPr="00BA240B">
              <w:rPr>
                <w:rFonts w:ascii="Arial Narrow" w:hAnsi="Arial Narrow"/>
                <w:snapToGrid/>
                <w:sz w:val="20"/>
                <w:szCs w:val="20"/>
                <w:lang w:eastAsia="en-AU"/>
              </w:rPr>
              <w:t>osed by fluorescein angiography</w:t>
            </w:r>
          </w:p>
          <w:p w:rsidR="00704930" w:rsidRPr="00BA240B" w:rsidRDefault="004C3366" w:rsidP="002468F5">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t>AND</w:t>
            </w:r>
          </w:p>
          <w:p w:rsidR="004C3366" w:rsidRPr="00BA240B" w:rsidRDefault="004C3366" w:rsidP="00704930">
            <w:pPr>
              <w:widowControl/>
              <w:jc w:val="left"/>
              <w:rPr>
                <w:rFonts w:ascii="Arial Narrow" w:hAnsi="Arial Narrow"/>
                <w:snapToGrid/>
                <w:sz w:val="20"/>
                <w:szCs w:val="20"/>
                <w:lang w:eastAsia="en-AU"/>
              </w:rPr>
            </w:pPr>
            <w:r w:rsidRPr="00BA240B">
              <w:rPr>
                <w:rFonts w:ascii="Arial Narrow" w:hAnsi="Arial Narrow"/>
                <w:snapToGrid/>
                <w:sz w:val="20"/>
                <w:szCs w:val="20"/>
                <w:lang w:eastAsia="en-AU"/>
              </w:rPr>
              <w:t>The treatment must be the sole PBS-subsidi</w:t>
            </w:r>
            <w:r w:rsidR="00704930" w:rsidRPr="00BA240B">
              <w:rPr>
                <w:rFonts w:ascii="Arial Narrow" w:hAnsi="Arial Narrow"/>
                <w:snapToGrid/>
                <w:sz w:val="20"/>
                <w:szCs w:val="20"/>
                <w:lang w:eastAsia="en-AU"/>
              </w:rPr>
              <w:t>sed therapy for this condition.</w:t>
            </w:r>
          </w:p>
        </w:tc>
      </w:tr>
      <w:tr w:rsidR="004C3366" w:rsidRPr="00BA240B" w:rsidTr="002468F5">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3366" w:rsidRPr="00BA240B" w:rsidRDefault="004C3366" w:rsidP="00704930">
            <w:pPr>
              <w:widowControl/>
              <w:rPr>
                <w:rFonts w:ascii="Arial Narrow" w:hAnsi="Arial Narrow"/>
                <w:snapToGrid/>
                <w:sz w:val="20"/>
                <w:szCs w:val="20"/>
                <w:lang w:eastAsia="en-AU"/>
              </w:rPr>
            </w:pPr>
            <w:r w:rsidRPr="00BA240B">
              <w:rPr>
                <w:rFonts w:ascii="Arial Narrow" w:hAnsi="Arial Narrow"/>
                <w:b/>
                <w:snapToGrid/>
                <w:sz w:val="20"/>
                <w:szCs w:val="20"/>
                <w:lang w:eastAsia="en-AU"/>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Authority approval for initial treatment of each eye must be sought.</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The first authority application for each eye must be made in writing or by telephone.</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A written application must include:</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a) a completed authority prescription form;</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b) a completed Subfoveal Choroidal Neovascularisation (CNV) - PBS Supporting Information Form; and</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c) a copy of the optical coherence tomography or fluorescein angiogram report.</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A telephone application must be made following submission by facsimile of a copy of a completed Subfoveal Choroidal Neovascularisation (CNV) - PBS Supporting Information Form and a copy of the optical coherence tomography or fluorescein angiogram report.</w:t>
            </w:r>
          </w:p>
        </w:tc>
      </w:tr>
      <w:tr w:rsidR="004C3366" w:rsidRPr="00BA240B" w:rsidTr="002468F5">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3366" w:rsidRPr="00BA240B" w:rsidRDefault="004C3366" w:rsidP="00704930">
            <w:pPr>
              <w:widowControl/>
              <w:rPr>
                <w:rFonts w:ascii="Arial Narrow" w:hAnsi="Arial Narrow"/>
                <w:i/>
                <w:snapToGrid/>
                <w:sz w:val="20"/>
                <w:szCs w:val="20"/>
                <w:lang w:eastAsia="en-AU"/>
              </w:rPr>
            </w:pPr>
            <w:r w:rsidRPr="00BA240B">
              <w:rPr>
                <w:rFonts w:ascii="Arial Narrow" w:hAnsi="Arial Narrow"/>
                <w:b/>
                <w:snapToGrid/>
                <w:sz w:val="20"/>
                <w:szCs w:val="20"/>
                <w:lang w:eastAsia="en-AU"/>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The first authority application may be faxed to the Department of Human Services on 1300 093 177 (hours of operation 8 a.m. to 5 p.m. EST Monday to Friday). The Department will then contact the prescriber by telephone.</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Any queries concerning the arrangements to prescribe may be directed to the Department of Human Services on 1800 700 270 (hours of operation 8 a.m. to 5 p.m. EST Monday to Friday).</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Prescribing information (including Authority Application forms and other relevant documentation as applicable) is available on the Department of Human Services website at www.humanservices.gov.au</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Applications for authority to prescribe should be forwarded to:</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Department of Human Services</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Complex Drugs</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Reply Paid 9826</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HOBART TAS 7001</w:t>
            </w:r>
          </w:p>
          <w:p w:rsidR="004C3366" w:rsidRPr="00BA240B" w:rsidRDefault="004C3366" w:rsidP="00121EF5">
            <w:pPr>
              <w:widowControl/>
              <w:spacing w:before="40" w:after="40"/>
              <w:jc w:val="left"/>
              <w:rPr>
                <w:rFonts w:ascii="Arial Narrow" w:hAnsi="Arial Narrow"/>
                <w:i/>
                <w:snapToGrid/>
                <w:sz w:val="20"/>
                <w:szCs w:val="20"/>
                <w:lang w:eastAsia="en-AU"/>
              </w:rPr>
            </w:pPr>
            <w:r w:rsidRPr="00BA240B">
              <w:rPr>
                <w:rFonts w:ascii="Arial Narrow" w:hAnsi="Arial Narrow"/>
                <w:i/>
                <w:snapToGrid/>
                <w:sz w:val="20"/>
                <w:szCs w:val="20"/>
                <w:lang w:eastAsia="en-AU"/>
              </w:rPr>
              <w:t>Special Pricing Arrangements apply.</w:t>
            </w:r>
          </w:p>
          <w:p w:rsidR="004C3366" w:rsidRPr="00BA240B" w:rsidRDefault="004C3366" w:rsidP="00121EF5">
            <w:pPr>
              <w:widowControl/>
              <w:spacing w:before="40" w:after="40"/>
              <w:jc w:val="left"/>
              <w:rPr>
                <w:rFonts w:ascii="Arial Narrow" w:hAnsi="Arial Narrow"/>
                <w:snapToGrid/>
                <w:sz w:val="20"/>
                <w:szCs w:val="20"/>
                <w:lang w:eastAsia="en-AU"/>
              </w:rPr>
            </w:pPr>
            <w:r w:rsidRPr="00BA240B">
              <w:rPr>
                <w:rFonts w:ascii="Arial Narrow" w:hAnsi="Arial Narrow"/>
                <w:i/>
                <w:snapToGrid/>
                <w:sz w:val="20"/>
                <w:szCs w:val="20"/>
                <w:lang w:eastAsia="en-AU"/>
              </w:rPr>
              <w:t>Pharmaceutical benefits that have the form ranibizumab 0.165 mL injection syringe and pharmaceutical benefits that have the form ranibizumab 0.23 mL injection vial are equivalent for the purposes of substitution.</w:t>
            </w:r>
          </w:p>
        </w:tc>
      </w:tr>
    </w:tbl>
    <w:p w:rsidR="001774D1" w:rsidRPr="00B9060C" w:rsidRDefault="001774D1" w:rsidP="00E567E7">
      <w:pPr>
        <w:pStyle w:val="ListParagraph"/>
        <w:widowControl/>
        <w:numPr>
          <w:ilvl w:val="1"/>
          <w:numId w:val="1"/>
        </w:numPr>
        <w:spacing w:before="160"/>
      </w:pPr>
      <w:r w:rsidRPr="00B9060C">
        <w:lastRenderedPageBreak/>
        <w:t xml:space="preserve">CNV lesions are classified according to their location relative to the fovea. The fovea is the centre of the macula and is the area of the eye that provides the sharpest vision. </w:t>
      </w:r>
      <w:r w:rsidRPr="00B9060C">
        <w:rPr>
          <w:rFonts w:cstheme="minorBidi"/>
        </w:rPr>
        <w:t xml:space="preserve">CNV lesions that are directly under the fovea are described as subfoveal. </w:t>
      </w:r>
      <w:r w:rsidR="00512201" w:rsidRPr="00B9060C">
        <w:rPr>
          <w:rFonts w:cstheme="minorBidi"/>
        </w:rPr>
        <w:t>Juxta</w:t>
      </w:r>
      <w:r w:rsidRPr="00B9060C">
        <w:rPr>
          <w:rFonts w:cstheme="minorBidi"/>
        </w:rPr>
        <w:t xml:space="preserve">foveal and </w:t>
      </w:r>
      <w:r w:rsidR="00512201" w:rsidRPr="00B9060C">
        <w:rPr>
          <w:rFonts w:cstheme="minorBidi"/>
        </w:rPr>
        <w:t>extra</w:t>
      </w:r>
      <w:r w:rsidRPr="00B9060C">
        <w:rPr>
          <w:rFonts w:cstheme="minorBidi"/>
        </w:rPr>
        <w:t>foveal lesions are located adjacent to and away from the fovea, respectively.</w:t>
      </w:r>
    </w:p>
    <w:p w:rsidR="00430608" w:rsidRPr="00B9060C" w:rsidRDefault="00430608" w:rsidP="00E567E7">
      <w:pPr>
        <w:pStyle w:val="ListParagraph"/>
        <w:widowControl/>
        <w:numPr>
          <w:ilvl w:val="1"/>
          <w:numId w:val="1"/>
        </w:numPr>
      </w:pPr>
      <w:r w:rsidRPr="00B9060C">
        <w:t>The submission requested a PBS listing of ranibizumab for the treatment of subfoveal CNV secondary to PM</w:t>
      </w:r>
      <w:r w:rsidR="008F71BC" w:rsidRPr="00B9060C">
        <w:t xml:space="preserve">. </w:t>
      </w:r>
      <w:r w:rsidRPr="00B9060C">
        <w:t xml:space="preserve">The TGA indication is for </w:t>
      </w:r>
      <w:r w:rsidR="008F71BC" w:rsidRPr="00B9060C">
        <w:t xml:space="preserve">the </w:t>
      </w:r>
      <w:r w:rsidRPr="00B9060C">
        <w:t>treatment of visual impairment due to CNV secondary to PM, regardless of the location of the lesion.</w:t>
      </w:r>
    </w:p>
    <w:p w:rsidR="000868D3" w:rsidRPr="00B9060C" w:rsidRDefault="000868D3" w:rsidP="00E567E7">
      <w:pPr>
        <w:widowControl/>
        <w:numPr>
          <w:ilvl w:val="1"/>
          <w:numId w:val="1"/>
        </w:numPr>
        <w:spacing w:after="160"/>
      </w:pPr>
      <w:r w:rsidRPr="00B9060C">
        <w:t xml:space="preserve">The submission stated the focus of the submission was subfoveal CNV lesions, because it is these lesions that lead to the visual impairment for which ranibizumab is a registered treatment, and that juxtafoveal and extrafoveal lesions can be successfully </w:t>
      </w:r>
      <w:r w:rsidRPr="00B9060C">
        <w:rPr>
          <w:color w:val="000000" w:themeColor="text1"/>
        </w:rPr>
        <w:t>treated by laser photocoagulation.</w:t>
      </w:r>
      <w:r w:rsidRPr="00B9060C">
        <w:t xml:space="preserve"> </w:t>
      </w:r>
      <w:r w:rsidR="00D45673" w:rsidRPr="00B9060C">
        <w:t>Approximately 30% of patients in the two key trials had juxtafoveal or extrafoveal CNV lesions.</w:t>
      </w:r>
      <w:r w:rsidR="006A659C" w:rsidRPr="00B9060C">
        <w:t xml:space="preserve"> The ESC agreed with the proposal to limit PBS listing to subfoveal CNV as this would effectively target the highest risk group for </w:t>
      </w:r>
      <w:r w:rsidR="00A4712B" w:rsidRPr="00B9060C">
        <w:t xml:space="preserve">more extensive </w:t>
      </w:r>
      <w:r w:rsidR="006A659C" w:rsidRPr="00B9060C">
        <w:t>vision loss.</w:t>
      </w:r>
    </w:p>
    <w:p w:rsidR="00AF05B0" w:rsidRPr="0074659A" w:rsidRDefault="00AF05B0" w:rsidP="00E567E7">
      <w:pPr>
        <w:pStyle w:val="ListParagraph"/>
        <w:widowControl/>
        <w:numPr>
          <w:ilvl w:val="1"/>
          <w:numId w:val="1"/>
        </w:numPr>
      </w:pPr>
      <w:r w:rsidRPr="00B9060C">
        <w:t xml:space="preserve">The submission proposed that ranibizumab usage in </w:t>
      </w:r>
      <w:r w:rsidR="005D331C" w:rsidRPr="00B9060C">
        <w:t xml:space="preserve">subfoveal </w:t>
      </w:r>
      <w:r w:rsidRPr="00B9060C">
        <w:t xml:space="preserve">CNV due to PM be listed at the same published and effective price as for the treatment of </w:t>
      </w:r>
      <w:r w:rsidR="005D331C" w:rsidRPr="00B9060C">
        <w:t xml:space="preserve">subfoveal </w:t>
      </w:r>
      <w:r w:rsidRPr="00B9060C">
        <w:t xml:space="preserve">CNV due to AMD, </w:t>
      </w:r>
      <w:r w:rsidRPr="0074659A">
        <w:t xml:space="preserve">and should be incorporated into the risk sharing arrangement (RSA) negotiated to cover that </w:t>
      </w:r>
      <w:r w:rsidR="005D331C" w:rsidRPr="0074659A">
        <w:t>population</w:t>
      </w:r>
      <w:r w:rsidRPr="0074659A">
        <w:t>.</w:t>
      </w:r>
      <w:r w:rsidR="002078DF" w:rsidRPr="0074659A">
        <w:t xml:space="preserve"> (See Financial Management – Risk Sharing Arrangements, below for more detail).</w:t>
      </w:r>
    </w:p>
    <w:p w:rsidR="00AF05B0" w:rsidRPr="00B9060C" w:rsidRDefault="00AF05B0" w:rsidP="00E567E7">
      <w:pPr>
        <w:pStyle w:val="ListParagraph"/>
        <w:widowControl/>
        <w:numPr>
          <w:ilvl w:val="1"/>
          <w:numId w:val="1"/>
        </w:numPr>
      </w:pPr>
      <w:r w:rsidRPr="00B9060C">
        <w:t>The submission also requested a grandfather clause for patients currently receiving compassionate supply of ranibizumab through the sponsor.</w:t>
      </w:r>
    </w:p>
    <w:p w:rsidR="00B9060C" w:rsidRDefault="008F71BC" w:rsidP="00E567E7">
      <w:pPr>
        <w:pStyle w:val="ListParagraph"/>
        <w:widowControl/>
        <w:numPr>
          <w:ilvl w:val="1"/>
          <w:numId w:val="1"/>
        </w:numPr>
      </w:pPr>
      <w:r w:rsidRPr="00B9060C">
        <w:t xml:space="preserve">The current MBS </w:t>
      </w:r>
      <w:r w:rsidR="005D331C" w:rsidRPr="00B9060C">
        <w:t xml:space="preserve">item </w:t>
      </w:r>
      <w:r w:rsidRPr="00B9060C">
        <w:t>descriptor for optical coherence tomography (OCT) (MBS item 11219) does not include determining whether the requirements for access to initial treatment with ranibizumab for CNV secondary to PM under the PBS are fulfilled.</w:t>
      </w:r>
      <w:r w:rsidR="004F25CF" w:rsidRPr="00B9060C">
        <w:t xml:space="preserve"> The submission stated that the sponsor would seek approval from MSAC to have the MBS item descriptor for OCT broadened to include this population in the event of approval of ranibizumab for listing on the PBS</w:t>
      </w:r>
      <w:r w:rsidR="007F523F" w:rsidRPr="00B9060C">
        <w:t>, and the Department has since arranged to coordinate more effectively across the two committees</w:t>
      </w:r>
      <w:r w:rsidR="004F25CF" w:rsidRPr="00B9060C">
        <w:t>.</w:t>
      </w:r>
    </w:p>
    <w:p w:rsidR="00B9060C" w:rsidRPr="00D10638" w:rsidRDefault="00B9060C" w:rsidP="00B9060C">
      <w:pPr>
        <w:pStyle w:val="ListParagraph"/>
        <w:widowControl/>
        <w:rPr>
          <w:i/>
        </w:rPr>
      </w:pPr>
      <w:r w:rsidRPr="00D10638">
        <w:rPr>
          <w:i/>
        </w:rPr>
        <w:t>For more detail on PBAC’s view, see section 7 PBAC outcome.</w:t>
      </w:r>
    </w:p>
    <w:p w:rsidR="00430608" w:rsidRPr="00407F2D" w:rsidRDefault="00430608" w:rsidP="00EF2BCA">
      <w:pPr>
        <w:pStyle w:val="PBACHeading1"/>
        <w:spacing w:before="240" w:after="120"/>
        <w:outlineLvl w:val="0"/>
      </w:pPr>
      <w:bookmarkStart w:id="5" w:name="_Toc500424298"/>
      <w:bookmarkStart w:id="6" w:name="_Toc503188220"/>
      <w:r w:rsidRPr="00407F2D">
        <w:t>Background</w:t>
      </w:r>
      <w:bookmarkEnd w:id="5"/>
      <w:bookmarkEnd w:id="6"/>
    </w:p>
    <w:p w:rsidR="00430608" w:rsidRPr="004151CF" w:rsidRDefault="00430608" w:rsidP="00AC1DDD">
      <w:pPr>
        <w:pStyle w:val="Heading2"/>
      </w:pPr>
      <w:r w:rsidRPr="004151CF">
        <w:t>Registration status</w:t>
      </w:r>
    </w:p>
    <w:p w:rsidR="00430608" w:rsidRDefault="00430608" w:rsidP="00E567E7">
      <w:pPr>
        <w:pStyle w:val="ListParagraph"/>
        <w:widowControl/>
        <w:numPr>
          <w:ilvl w:val="1"/>
          <w:numId w:val="1"/>
        </w:numPr>
        <w:spacing w:before="160"/>
      </w:pPr>
      <w:r>
        <w:t xml:space="preserve">Ranibizumab </w:t>
      </w:r>
      <w:r w:rsidR="00B22879">
        <w:t xml:space="preserve">was </w:t>
      </w:r>
      <w:r w:rsidRPr="003371B0">
        <w:t xml:space="preserve">TGA registered </w:t>
      </w:r>
      <w:r w:rsidR="005D331C">
        <w:t xml:space="preserve">in 2014 </w:t>
      </w:r>
      <w:r>
        <w:t>for the treatment of visual impairment due to CNV secondary to PM</w:t>
      </w:r>
      <w:r w:rsidR="003455C0">
        <w:t>.</w:t>
      </w:r>
    </w:p>
    <w:p w:rsidR="00430608" w:rsidRDefault="00430608" w:rsidP="00AC1DDD">
      <w:pPr>
        <w:pStyle w:val="Heading2"/>
        <w:keepNext/>
      </w:pPr>
      <w:r w:rsidRPr="004151CF">
        <w:lastRenderedPageBreak/>
        <w:t>Previous PBAC consideration</w:t>
      </w:r>
    </w:p>
    <w:p w:rsidR="00B9060C" w:rsidRDefault="00430608" w:rsidP="00E567E7">
      <w:pPr>
        <w:pStyle w:val="ListParagraph"/>
        <w:widowControl/>
        <w:numPr>
          <w:ilvl w:val="1"/>
          <w:numId w:val="1"/>
        </w:numPr>
        <w:spacing w:before="160"/>
      </w:pPr>
      <w:r>
        <w:t>Ranibizumab has not been previously considered by the PBAC for subfoveal CNV secondary to PM. Ranibizumab is currently listed on the PBS for the treatment of subfoveal CNV due to AMD, diabetic macular oedema (DM</w:t>
      </w:r>
      <w:r w:rsidR="0026690A">
        <w:t>E</w:t>
      </w:r>
      <w:r>
        <w:t>), central retinal vein occlusion with macular oedema and branch retinal vein</w:t>
      </w:r>
      <w:r w:rsidR="003455C0">
        <w:t xml:space="preserve"> occlusion with macular oedema.</w:t>
      </w:r>
    </w:p>
    <w:p w:rsidR="00B9060C" w:rsidRPr="00B9060C" w:rsidRDefault="00B9060C" w:rsidP="00B9060C">
      <w:pPr>
        <w:pStyle w:val="ListParagraph"/>
        <w:widowControl/>
        <w:spacing w:before="160"/>
        <w:rPr>
          <w:i/>
        </w:rPr>
      </w:pPr>
      <w:r w:rsidRPr="00D10638">
        <w:rPr>
          <w:i/>
        </w:rPr>
        <w:t>For more detail on PBAC’s view, see section 7 PBAC outcome.</w:t>
      </w:r>
    </w:p>
    <w:p w:rsidR="00430608" w:rsidRPr="00407F2D" w:rsidRDefault="00430608" w:rsidP="00EF2BCA">
      <w:pPr>
        <w:pStyle w:val="PBACHeading1"/>
        <w:spacing w:before="240" w:after="120"/>
        <w:outlineLvl w:val="0"/>
      </w:pPr>
      <w:bookmarkStart w:id="7" w:name="_Toc500424299"/>
      <w:bookmarkStart w:id="8" w:name="_Toc503188221"/>
      <w:r>
        <w:t>Population and disease</w:t>
      </w:r>
      <w:bookmarkEnd w:id="7"/>
      <w:bookmarkEnd w:id="8"/>
    </w:p>
    <w:p w:rsidR="00AB4883" w:rsidRDefault="00430608" w:rsidP="00AB4883">
      <w:pPr>
        <w:widowControl/>
        <w:numPr>
          <w:ilvl w:val="1"/>
          <w:numId w:val="1"/>
        </w:numPr>
        <w:spacing w:after="160"/>
      </w:pPr>
      <w:r>
        <w:t xml:space="preserve">Pathologic myopia is a severe form of myopia, or short-sightedness, associated with an abnormal elongation of the eyeball and high myopia. CNV is a vision-threatening complication of PM and is characterised by the growth of pathologic new blood vessels from the choriocapillaris through a break in the Bruch’s membrane into the space under the retinal pigment epithelium or retina. Without treatment, the </w:t>
      </w:r>
      <w:r w:rsidRPr="00763859">
        <w:t>prognosis is poor, with over 90% of affected eyes likely to have a progressive and irreversible deterioration of vision leadin</w:t>
      </w:r>
      <w:r w:rsidR="003455C0" w:rsidRPr="00763859">
        <w:t>g to blindness within 10 years.</w:t>
      </w:r>
    </w:p>
    <w:p w:rsidR="00B9060C" w:rsidRPr="00763859" w:rsidRDefault="00AB4883" w:rsidP="00AB4883">
      <w:pPr>
        <w:widowControl/>
        <w:spacing w:after="160"/>
        <w:ind w:left="720"/>
      </w:pPr>
      <w:r w:rsidRPr="00F64951">
        <w:rPr>
          <w:i/>
        </w:rPr>
        <w:t>For more detail on PBAC’s view, see section 7 PBAC outcome.</w:t>
      </w:r>
    </w:p>
    <w:p w:rsidR="00430608" w:rsidRPr="00763859" w:rsidRDefault="00430608" w:rsidP="00EF2BCA">
      <w:pPr>
        <w:pStyle w:val="PBACHeading1"/>
        <w:spacing w:before="240" w:after="120"/>
        <w:outlineLvl w:val="0"/>
      </w:pPr>
      <w:bookmarkStart w:id="9" w:name="_Toc500424300"/>
      <w:bookmarkStart w:id="10" w:name="_Toc503188222"/>
      <w:r w:rsidRPr="00763859">
        <w:t>Comparator</w:t>
      </w:r>
      <w:bookmarkEnd w:id="9"/>
      <w:bookmarkEnd w:id="10"/>
    </w:p>
    <w:p w:rsidR="00430608" w:rsidRPr="00763859" w:rsidRDefault="00430608" w:rsidP="00E567E7">
      <w:pPr>
        <w:pStyle w:val="ListParagraph"/>
        <w:widowControl/>
        <w:numPr>
          <w:ilvl w:val="1"/>
          <w:numId w:val="1"/>
        </w:numPr>
      </w:pPr>
      <w:r w:rsidRPr="00763859">
        <w:t xml:space="preserve">The submission nominated vPDT as the main comparator, on the basis that </w:t>
      </w:r>
      <w:r w:rsidR="00C80488">
        <w:t>verteporfin photodynamic therapy</w:t>
      </w:r>
      <w:r w:rsidR="00C80488" w:rsidRPr="00763859">
        <w:t xml:space="preserve"> </w:t>
      </w:r>
      <w:r w:rsidR="00C80488">
        <w:t>(</w:t>
      </w:r>
      <w:r w:rsidRPr="00763859">
        <w:t>vPDT</w:t>
      </w:r>
      <w:r w:rsidR="00C80488">
        <w:t>)</w:t>
      </w:r>
      <w:r w:rsidRPr="00763859">
        <w:t xml:space="preserve"> is the only subsidised therapy for </w:t>
      </w:r>
      <w:r w:rsidR="00D31E5E" w:rsidRPr="00763859">
        <w:t xml:space="preserve">the </w:t>
      </w:r>
      <w:r w:rsidRPr="00763859">
        <w:t>treatment of CNV due to PM (PDT is subsidised on the MBS), and that the PM maculopathy is being interpreted by some prescribers as being due to AMD</w:t>
      </w:r>
      <w:r w:rsidR="00F536DE" w:rsidRPr="00763859">
        <w:t xml:space="preserve"> in order</w:t>
      </w:r>
      <w:r w:rsidRPr="00763859">
        <w:t xml:space="preserve"> to gain access</w:t>
      </w:r>
      <w:r w:rsidR="00A4712B" w:rsidRPr="00763859">
        <w:t xml:space="preserve"> to PBS-subsidised verteporfin.</w:t>
      </w:r>
    </w:p>
    <w:p w:rsidR="00430608" w:rsidRPr="00763859" w:rsidRDefault="00A368F7" w:rsidP="00E567E7">
      <w:pPr>
        <w:pStyle w:val="ListParagraph"/>
        <w:widowControl/>
        <w:numPr>
          <w:ilvl w:val="1"/>
          <w:numId w:val="1"/>
        </w:numPr>
      </w:pPr>
      <w:r w:rsidRPr="00763859">
        <w:t>T</w:t>
      </w:r>
      <w:r w:rsidR="006A28BC" w:rsidRPr="00763859">
        <w:t xml:space="preserve">he cost-effectiveness of verteporfin for the treatment of CNV due to PM has not been accepted by the PBAC. In its consideration of the November 2005 submission requesting listing of verteporfin for subfoveal CNV due to AMD and other macular diseases (including CNV due to PM), the PBAC </w:t>
      </w:r>
      <w:r w:rsidR="00403F37" w:rsidRPr="00763859">
        <w:t>did not recommend</w:t>
      </w:r>
      <w:r w:rsidR="006A28BC" w:rsidRPr="00763859">
        <w:t xml:space="preserve"> verteporfin for the treatment of CNV due to other macular diseases. This was </w:t>
      </w:r>
      <w:r w:rsidR="00EE4A0F" w:rsidRPr="00763859">
        <w:t>because of</w:t>
      </w:r>
      <w:r w:rsidR="006A28BC" w:rsidRPr="00763859">
        <w:t xml:space="preserve"> the unacceptable incremental cost per extra quality-adjusted life year (QALY) gained of </w:t>
      </w:r>
      <w:r w:rsidR="0074172A" w:rsidRPr="00763859">
        <w:t>more than</w:t>
      </w:r>
      <w:r w:rsidR="006A28BC" w:rsidRPr="00763859">
        <w:t xml:space="preserve"> $200,000 (Section 12, verteporfin Public Summary Document (PSD), November 2005 PBAC meeting).</w:t>
      </w:r>
      <w:r w:rsidR="001F2F5C" w:rsidRPr="00763859">
        <w:t xml:space="preserve"> </w:t>
      </w:r>
      <w:r w:rsidR="0073151C" w:rsidRPr="00763859">
        <w:t>Although the sponsor argue</w:t>
      </w:r>
      <w:r w:rsidR="0083030C" w:rsidRPr="00763859">
        <w:t>d</w:t>
      </w:r>
      <w:r w:rsidR="0073151C" w:rsidRPr="00763859">
        <w:t xml:space="preserve"> the selection</w:t>
      </w:r>
      <w:r w:rsidR="0083030C" w:rsidRPr="00763859">
        <w:t xml:space="preserve"> </w:t>
      </w:r>
      <w:r w:rsidR="00C64666" w:rsidRPr="00763859">
        <w:t xml:space="preserve">of </w:t>
      </w:r>
      <w:r w:rsidR="0083030C" w:rsidRPr="00763859">
        <w:t>an active comparator wa</w:t>
      </w:r>
      <w:r w:rsidR="0073151C" w:rsidRPr="00763859">
        <w:t>s a conservative approach (</w:t>
      </w:r>
      <w:r w:rsidR="00EF2BCA">
        <w:t>Pre-Sub-Committee response (</w:t>
      </w:r>
      <w:r w:rsidR="0073151C" w:rsidRPr="00763859">
        <w:t>PSCR</w:t>
      </w:r>
      <w:r w:rsidR="00EF2BCA">
        <w:t>)</w:t>
      </w:r>
      <w:r w:rsidR="0073151C" w:rsidRPr="00763859">
        <w:t>), t</w:t>
      </w:r>
      <w:r w:rsidR="001F2F5C" w:rsidRPr="00763859">
        <w:t xml:space="preserve">he </w:t>
      </w:r>
      <w:r w:rsidR="0073151C" w:rsidRPr="00763859">
        <w:t xml:space="preserve">clinical effectiveness of verteporfin was also not supported by </w:t>
      </w:r>
      <w:r w:rsidR="00A4712B" w:rsidRPr="00763859">
        <w:t xml:space="preserve">the </w:t>
      </w:r>
      <w:r w:rsidR="0073151C" w:rsidRPr="00763859">
        <w:t>P</w:t>
      </w:r>
      <w:r w:rsidR="0083030C" w:rsidRPr="00763859">
        <w:t>BAC</w:t>
      </w:r>
      <w:r w:rsidR="0073151C" w:rsidRPr="00763859">
        <w:t xml:space="preserve"> in November 2005</w:t>
      </w:r>
      <w:r w:rsidR="0083030C" w:rsidRPr="00763859">
        <w:t xml:space="preserve">; </w:t>
      </w:r>
      <w:r w:rsidR="00A4712B" w:rsidRPr="00763859">
        <w:t>which</w:t>
      </w:r>
      <w:r w:rsidR="0083030C" w:rsidRPr="00763859">
        <w:t xml:space="preserve"> noted</w:t>
      </w:r>
      <w:r w:rsidR="0073151C" w:rsidRPr="00763859">
        <w:t xml:space="preserve"> that</w:t>
      </w:r>
      <w:r w:rsidR="00A4712B" w:rsidRPr="00763859">
        <w:t>,</w:t>
      </w:r>
      <w:r w:rsidR="0073151C" w:rsidRPr="00763859">
        <w:t xml:space="preserve"> for patients with CNV due to PM, the statistically significant reduction in risk of visual loss at 12 months did not persist at 24 months (</w:t>
      </w:r>
      <w:r w:rsidR="0083030C" w:rsidRPr="00763859">
        <w:t xml:space="preserve">Section 12, </w:t>
      </w:r>
      <w:r w:rsidR="0073151C" w:rsidRPr="00763859">
        <w:t>verteporfin PSD,</w:t>
      </w:r>
      <w:r w:rsidR="0083030C" w:rsidRPr="00763859">
        <w:t xml:space="preserve"> November 2005 PBAC meeting</w:t>
      </w:r>
      <w:r w:rsidR="00A4712B" w:rsidRPr="00763859">
        <w:t>).</w:t>
      </w:r>
      <w:r w:rsidR="001C7FDA">
        <w:t xml:space="preserve"> The PBAC </w:t>
      </w:r>
      <w:r w:rsidR="004C4932">
        <w:t xml:space="preserve">considered that the economic evaluation presented in the submission, comparing ranibizumab and vPDT was not useful in informing the cost-effectiveness of ranibizumab for the treatment of CNV due to PM. </w:t>
      </w:r>
    </w:p>
    <w:p w:rsidR="00A368F7" w:rsidRPr="00763859" w:rsidRDefault="00A368F7" w:rsidP="00E567E7">
      <w:pPr>
        <w:pStyle w:val="ListParagraph"/>
        <w:widowControl/>
        <w:numPr>
          <w:ilvl w:val="1"/>
          <w:numId w:val="1"/>
        </w:numPr>
      </w:pPr>
      <w:r w:rsidRPr="00763859">
        <w:lastRenderedPageBreak/>
        <w:t xml:space="preserve">MBS statistics suggest that the use of vPDT in current clinical practice is minimal. In the financial estimates, the submission assumed that currently, </w:t>
      </w:r>
      <w:r w:rsidR="00042B67">
        <w:rPr>
          <w:noProof/>
          <w:color w:val="000000"/>
          <w:highlight w:val="black"/>
        </w:rPr>
        <w:t>''''''''' '''''''''' '''' '''''''''''''''' ''''''''''''''''' ''''''''' '''''''' ''''''' '''' '''''' ''''''''''''' ''''''''''' '''''''''' ''''''''' ''''''' ''''''''''''''''' '''' ''''' ''''''''''''''' '''''''''  ''''''''''''''' '''''''''''''''''''' ''''''''''''''' '''''''''''' ''''''''''''' ''''''''''''''' ''''''''''''''' ''''''''''' ''''''''''''''''' '''''''''''''''''''''''''''''' '''''''''''''''''''</w:t>
      </w:r>
      <w:r w:rsidRPr="00763859">
        <w:t>, with roughly equal proportions receiving aflibercept and ranibizumab.</w:t>
      </w:r>
    </w:p>
    <w:p w:rsidR="00A368F7" w:rsidRPr="00763859" w:rsidRDefault="00A368F7" w:rsidP="00E567E7">
      <w:pPr>
        <w:pStyle w:val="ListParagraph"/>
        <w:widowControl/>
        <w:numPr>
          <w:ilvl w:val="1"/>
          <w:numId w:val="1"/>
        </w:numPr>
      </w:pPr>
      <w:r w:rsidRPr="00763859">
        <w:t>Currently, no medicines are listed on the PBS for the treatment of subfoveal CNV due to PM. Ranibizumab and aflibercept, which are both VEGF inhibitors, are TGA approved for the treatment of visual impairment due to CNV secondary to PM; verteporfin is registered for the treatment of patients with subfoveal CNV caused by macular disease</w:t>
      </w:r>
      <w:r w:rsidRPr="00763859">
        <w:rPr>
          <w:rStyle w:val="FootnoteReference"/>
        </w:rPr>
        <w:footnoteReference w:id="1"/>
      </w:r>
      <w:r w:rsidRPr="00763859">
        <w:t>, which includes CNV due to PM.</w:t>
      </w:r>
    </w:p>
    <w:p w:rsidR="00B9060C" w:rsidRDefault="00430608" w:rsidP="00382F2F">
      <w:pPr>
        <w:pStyle w:val="ListParagraph"/>
        <w:widowControl/>
        <w:numPr>
          <w:ilvl w:val="1"/>
          <w:numId w:val="1"/>
        </w:numPr>
      </w:pPr>
      <w:r w:rsidRPr="00763859">
        <w:t xml:space="preserve">In the absence of an alternative treatment that has been determined to be cost-effective for this indication, </w:t>
      </w:r>
      <w:r w:rsidR="00A368F7" w:rsidRPr="00763859">
        <w:t>the ESC considered</w:t>
      </w:r>
      <w:r w:rsidR="00A4712B" w:rsidRPr="00763859">
        <w:t xml:space="preserve"> that</w:t>
      </w:r>
      <w:r w:rsidR="00A368F7" w:rsidRPr="00763859">
        <w:t xml:space="preserve"> </w:t>
      </w:r>
      <w:r w:rsidRPr="00763859">
        <w:t>no treatment (sham injection)</w:t>
      </w:r>
      <w:r w:rsidRPr="00AA1344">
        <w:t xml:space="preserve"> </w:t>
      </w:r>
      <w:r w:rsidR="00A368F7" w:rsidRPr="00763859">
        <w:t xml:space="preserve">was </w:t>
      </w:r>
      <w:r w:rsidRPr="00763859">
        <w:t xml:space="preserve">the </w:t>
      </w:r>
      <w:r w:rsidR="00A368F7" w:rsidRPr="00763859">
        <w:t>most appr</w:t>
      </w:r>
      <w:r w:rsidR="00A4712B" w:rsidRPr="00763859">
        <w:t>o</w:t>
      </w:r>
      <w:r w:rsidR="00A368F7" w:rsidRPr="00763859">
        <w:t>priate</w:t>
      </w:r>
      <w:r w:rsidR="00FC07C7" w:rsidRPr="00763859">
        <w:t xml:space="preserve"> </w:t>
      </w:r>
      <w:r w:rsidRPr="00763859">
        <w:t>comparator</w:t>
      </w:r>
      <w:r w:rsidRPr="00AA1344">
        <w:t xml:space="preserve"> </w:t>
      </w:r>
      <w:r w:rsidR="00FC07C7" w:rsidRPr="00AA1344">
        <w:t>for assessing</w:t>
      </w:r>
      <w:r w:rsidRPr="00AA1344">
        <w:t xml:space="preserve"> </w:t>
      </w:r>
      <w:r w:rsidR="00FC07C7" w:rsidRPr="00AA1344">
        <w:t xml:space="preserve">clinical and </w:t>
      </w:r>
      <w:r w:rsidRPr="00AA1344">
        <w:t xml:space="preserve">cost-effectiveness of ranibizumab for </w:t>
      </w:r>
      <w:r w:rsidR="006A28BC" w:rsidRPr="00AA1344">
        <w:t xml:space="preserve">the </w:t>
      </w:r>
      <w:r w:rsidRPr="00AA1344">
        <w:t>treatment of CNV due to PM.</w:t>
      </w:r>
      <w:r w:rsidR="004C4932">
        <w:t xml:space="preserve"> </w:t>
      </w:r>
      <w:r w:rsidR="00382F2F" w:rsidRPr="00382F2F">
        <w:t xml:space="preserve">The PBAC agreed with </w:t>
      </w:r>
      <w:r w:rsidR="00BE3FB6">
        <w:t>the</w:t>
      </w:r>
      <w:r w:rsidR="00382F2F" w:rsidRPr="00382F2F">
        <w:t xml:space="preserve"> ESC that sham injection (</w:t>
      </w:r>
      <w:r w:rsidR="009E19E7">
        <w:t xml:space="preserve">as a proxy </w:t>
      </w:r>
      <w:r w:rsidR="00382F2F" w:rsidRPr="00382F2F">
        <w:t>for no treatment) is the most appropriate comparator</w:t>
      </w:r>
      <w:r w:rsidR="00BE3FB6">
        <w:t xml:space="preserve"> to inform its decision.</w:t>
      </w:r>
    </w:p>
    <w:p w:rsidR="00B9060C" w:rsidRPr="00B9060C" w:rsidRDefault="00B9060C" w:rsidP="00B9060C">
      <w:pPr>
        <w:pStyle w:val="ListParagraph"/>
        <w:widowControl/>
        <w:rPr>
          <w:i/>
        </w:rPr>
      </w:pPr>
      <w:r w:rsidRPr="00D10638">
        <w:rPr>
          <w:i/>
        </w:rPr>
        <w:t>For more detail on PBAC’s view, see section 7 PBAC outcome.</w:t>
      </w:r>
    </w:p>
    <w:p w:rsidR="00430608" w:rsidRDefault="00430608" w:rsidP="009E19E7">
      <w:pPr>
        <w:pStyle w:val="PBACHeading1"/>
        <w:spacing w:before="240" w:after="120"/>
        <w:outlineLvl w:val="0"/>
      </w:pPr>
      <w:bookmarkStart w:id="11" w:name="_Toc500424301"/>
      <w:bookmarkStart w:id="12" w:name="_Toc503188223"/>
      <w:r>
        <w:t>C</w:t>
      </w:r>
      <w:r w:rsidRPr="00407F2D">
        <w:t>onsideration of the evidence</w:t>
      </w:r>
      <w:bookmarkEnd w:id="11"/>
      <w:bookmarkEnd w:id="12"/>
    </w:p>
    <w:p w:rsidR="006B7136" w:rsidRPr="00387DA4" w:rsidRDefault="006B7136" w:rsidP="00AC1DDD">
      <w:pPr>
        <w:pStyle w:val="Heading2"/>
      </w:pPr>
      <w:r w:rsidRPr="00387DA4">
        <w:t>Sponsor hearing</w:t>
      </w:r>
    </w:p>
    <w:p w:rsidR="006B7136" w:rsidRPr="00387DA4" w:rsidRDefault="00387DA4" w:rsidP="00E567E7">
      <w:pPr>
        <w:numPr>
          <w:ilvl w:val="1"/>
          <w:numId w:val="1"/>
        </w:numPr>
        <w:spacing w:after="120"/>
        <w:rPr>
          <w:rFonts w:asciiTheme="minorHAnsi" w:hAnsiTheme="minorHAnsi"/>
          <w:bCs/>
        </w:rPr>
      </w:pPr>
      <w:r w:rsidRPr="00387DA4">
        <w:rPr>
          <w:rFonts w:asciiTheme="minorHAnsi" w:hAnsiTheme="minorHAnsi"/>
          <w:bCs/>
        </w:rPr>
        <w:t>Ther</w:t>
      </w:r>
      <w:r w:rsidR="00B74712">
        <w:rPr>
          <w:rFonts w:asciiTheme="minorHAnsi" w:hAnsiTheme="minorHAnsi"/>
          <w:bCs/>
        </w:rPr>
        <w:t>e was no hearing for this item.</w:t>
      </w:r>
    </w:p>
    <w:p w:rsidR="006B7136" w:rsidRPr="00C84560" w:rsidRDefault="006B7136" w:rsidP="00AC1DDD">
      <w:pPr>
        <w:pStyle w:val="Heading2"/>
      </w:pPr>
      <w:r w:rsidRPr="00C84560">
        <w:t>Consumer comments</w:t>
      </w:r>
    </w:p>
    <w:p w:rsidR="00C84560" w:rsidRPr="00C84560" w:rsidRDefault="00C84560" w:rsidP="00E567E7">
      <w:pPr>
        <w:numPr>
          <w:ilvl w:val="1"/>
          <w:numId w:val="1"/>
        </w:numPr>
        <w:spacing w:after="120"/>
        <w:rPr>
          <w:rFonts w:asciiTheme="minorHAnsi" w:hAnsiTheme="minorHAnsi"/>
          <w:bCs/>
        </w:rPr>
      </w:pPr>
      <w:r w:rsidRPr="00C84560">
        <w:rPr>
          <w:rFonts w:asciiTheme="minorHAnsi" w:hAnsiTheme="minorHAnsi"/>
          <w:bCs/>
        </w:rPr>
        <w:t xml:space="preserve">The PBAC noted and welcomed the input from the Royal Australian and New Zealand College of Ophthalmologists in support of a listing of ranibizumab for the treatment </w:t>
      </w:r>
      <w:r w:rsidR="00B74712">
        <w:rPr>
          <w:rFonts w:asciiTheme="minorHAnsi" w:hAnsiTheme="minorHAnsi"/>
          <w:bCs/>
        </w:rPr>
        <w:t>of patients with CNV due to PM.</w:t>
      </w:r>
    </w:p>
    <w:p w:rsidR="00430608" w:rsidRPr="00AC1DDD" w:rsidRDefault="00430608" w:rsidP="00AC1DDD">
      <w:pPr>
        <w:pStyle w:val="Heading2"/>
      </w:pPr>
      <w:bookmarkStart w:id="13" w:name="_Toc500424302"/>
      <w:bookmarkStart w:id="14" w:name="_Toc503188224"/>
      <w:r w:rsidRPr="00AC1DDD">
        <w:t>Clinical trials</w:t>
      </w:r>
      <w:bookmarkEnd w:id="13"/>
      <w:bookmarkEnd w:id="14"/>
    </w:p>
    <w:p w:rsidR="00430608" w:rsidRDefault="00430608" w:rsidP="00E567E7">
      <w:pPr>
        <w:pStyle w:val="ListParagraph"/>
        <w:widowControl/>
        <w:numPr>
          <w:ilvl w:val="1"/>
          <w:numId w:val="1"/>
        </w:numPr>
        <w:spacing w:before="160"/>
      </w:pPr>
      <w:r>
        <w:t xml:space="preserve">The submission was based on two head-to-head randomised trials comparing ranibizumab to vPDT in patients with CNV due to PM: RADIANCE and BRILLIANCE. The two trials were similar in design. Both were multi-centre, randomised double-masked </w:t>
      </w:r>
      <w:r w:rsidR="006A28BC">
        <w:t xml:space="preserve">(masking was maintained by the use of a ranibizumab sham treatment and a vPDT sham treatment), </w:t>
      </w:r>
      <w:r>
        <w:t>controlled trials comparing two different dosing regimens of ranibizumab versus vPDT. Patients were randomised in a 2:2:1 ratio to one of the following three treatment arms:</w:t>
      </w:r>
    </w:p>
    <w:p w:rsidR="00430608" w:rsidRDefault="00430608" w:rsidP="00430608">
      <w:pPr>
        <w:pStyle w:val="ListParagraph"/>
        <w:tabs>
          <w:tab w:val="left" w:pos="1843"/>
        </w:tabs>
        <w:spacing w:after="80"/>
        <w:ind w:left="851"/>
      </w:pPr>
      <w:r>
        <w:lastRenderedPageBreak/>
        <w:t xml:space="preserve">Group I: </w:t>
      </w:r>
      <w:r>
        <w:tab/>
      </w:r>
      <w:r w:rsidR="0074172A">
        <w:t>r</w:t>
      </w:r>
      <w:r>
        <w:t xml:space="preserve">anibizumab 0.5 mg </w:t>
      </w:r>
      <w:r w:rsidR="00616993">
        <w:t xml:space="preserve">guided </w:t>
      </w:r>
      <w:r>
        <w:t>by visual acuity (VA) stabilisation criteria.</w:t>
      </w:r>
    </w:p>
    <w:p w:rsidR="00430608" w:rsidRDefault="0074172A" w:rsidP="00E567E7">
      <w:pPr>
        <w:pStyle w:val="ListParagraph"/>
        <w:numPr>
          <w:ilvl w:val="2"/>
          <w:numId w:val="4"/>
        </w:numPr>
        <w:tabs>
          <w:tab w:val="left" w:pos="1843"/>
        </w:tabs>
        <w:ind w:left="1843"/>
      </w:pPr>
      <w:r>
        <w:t>r</w:t>
      </w:r>
      <w:r w:rsidR="00430608">
        <w:t>anibizumab 0.5 mg on day 1 and Month 1</w:t>
      </w:r>
      <w:r w:rsidR="00487B76">
        <w:t xml:space="preserve"> (1 month ± 7 days)</w:t>
      </w:r>
      <w:r w:rsidR="00430608">
        <w:t>, and thereafter as needed, guided by VA stabilisation criteria (RADIANCE N=106, BRILLIANCE N=182),</w:t>
      </w:r>
    </w:p>
    <w:p w:rsidR="00430608" w:rsidRDefault="00430608" w:rsidP="00430608">
      <w:pPr>
        <w:pStyle w:val="ListParagraph"/>
        <w:tabs>
          <w:tab w:val="left" w:pos="1843"/>
        </w:tabs>
        <w:spacing w:after="80"/>
        <w:ind w:left="851"/>
      </w:pPr>
      <w:r>
        <w:t>Group II:</w:t>
      </w:r>
      <w:r>
        <w:tab/>
      </w:r>
      <w:r w:rsidR="0074172A">
        <w:t>r</w:t>
      </w:r>
      <w:r>
        <w:t xml:space="preserve">anibizumab 0.5 mg </w:t>
      </w:r>
      <w:r w:rsidR="00616993">
        <w:t xml:space="preserve">guided </w:t>
      </w:r>
      <w:r>
        <w:t>by disease activity criteria.</w:t>
      </w:r>
    </w:p>
    <w:p w:rsidR="00430608" w:rsidRDefault="0074172A" w:rsidP="00E567E7">
      <w:pPr>
        <w:pStyle w:val="ListParagraph"/>
        <w:numPr>
          <w:ilvl w:val="2"/>
          <w:numId w:val="4"/>
        </w:numPr>
        <w:tabs>
          <w:tab w:val="left" w:pos="1843"/>
        </w:tabs>
        <w:ind w:left="1843"/>
      </w:pPr>
      <w:r>
        <w:t>r</w:t>
      </w:r>
      <w:r w:rsidR="00430608">
        <w:t>anibizumab 0.5 mg on day 1, and thereafter as needed, guided by disease activity criteria based on anatomical changes seen in fluorescein angiography (FA) or OCT (RADIAN</w:t>
      </w:r>
      <w:r w:rsidR="00A4712B">
        <w:t>CE N=116, BRILLIANCE N=184), or</w:t>
      </w:r>
    </w:p>
    <w:p w:rsidR="00430608" w:rsidRDefault="00430608" w:rsidP="00430608">
      <w:pPr>
        <w:pStyle w:val="ListParagraph"/>
        <w:tabs>
          <w:tab w:val="left" w:pos="1843"/>
        </w:tabs>
        <w:spacing w:after="80"/>
        <w:ind w:left="851"/>
      </w:pPr>
      <w:r>
        <w:t>Group III:</w:t>
      </w:r>
      <w:r>
        <w:tab/>
        <w:t>vPDT</w:t>
      </w:r>
    </w:p>
    <w:p w:rsidR="00BE4339" w:rsidRDefault="00430608" w:rsidP="00E567E7">
      <w:pPr>
        <w:pStyle w:val="ListParagraph"/>
        <w:numPr>
          <w:ilvl w:val="2"/>
          <w:numId w:val="4"/>
        </w:numPr>
        <w:tabs>
          <w:tab w:val="left" w:pos="1843"/>
        </w:tabs>
        <w:ind w:left="1843"/>
      </w:pPr>
      <w:r>
        <w:t>vPDT on day 1. From Month 3</w:t>
      </w:r>
      <w:r w:rsidR="00487B76">
        <w:t xml:space="preserve"> (3 months ± 7 days)</w:t>
      </w:r>
      <w:r>
        <w:t>, the investigator had the option to treat the patient’s disease activity with ranibizumab 0.5 mg, vPDT (performed as per label), or both (RADIANCE N=55, BRILLIANCE N=91).</w:t>
      </w:r>
    </w:p>
    <w:p w:rsidR="00430608" w:rsidRPr="00B50DB8" w:rsidRDefault="00430608" w:rsidP="00E567E7">
      <w:pPr>
        <w:pStyle w:val="ListParagraph"/>
        <w:widowControl/>
        <w:numPr>
          <w:ilvl w:val="1"/>
          <w:numId w:val="1"/>
        </w:numPr>
      </w:pPr>
      <w:r>
        <w:rPr>
          <w:rFonts w:cs="Calibri"/>
          <w:snapToGrid/>
          <w:szCs w:val="24"/>
          <w:lang w:val="en-US" w:eastAsia="en-AU"/>
        </w:rPr>
        <w:t>Details of the trials presented in the submission ar</w:t>
      </w:r>
      <w:r w:rsidR="003D6787">
        <w:rPr>
          <w:rFonts w:cs="Calibri"/>
          <w:snapToGrid/>
          <w:szCs w:val="24"/>
          <w:lang w:val="en-US" w:eastAsia="en-AU"/>
        </w:rPr>
        <w:t>e provided in the table below.</w:t>
      </w:r>
    </w:p>
    <w:p w:rsidR="00430608" w:rsidRDefault="00430608" w:rsidP="00430608">
      <w:pPr>
        <w:rPr>
          <w:rStyle w:val="CommentReference"/>
        </w:rPr>
      </w:pPr>
      <w:r>
        <w:rPr>
          <w:rStyle w:val="CommentReference"/>
        </w:rPr>
        <w:t>Table 2</w:t>
      </w:r>
      <w:r w:rsidR="003D6787">
        <w:rPr>
          <w:rStyle w:val="CommentReference"/>
        </w:rPr>
        <w:t xml:space="preserve">: </w:t>
      </w:r>
      <w:r w:rsidRPr="008E0D3C">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2"/>
        <w:gridCol w:w="6095"/>
        <w:gridCol w:w="1826"/>
      </w:tblGrid>
      <w:tr w:rsidR="00430608" w:rsidRPr="00F33A0F" w:rsidTr="003D6787">
        <w:trPr>
          <w:tblHeader/>
        </w:trPr>
        <w:tc>
          <w:tcPr>
            <w:tcW w:w="640" w:type="pct"/>
            <w:tcBorders>
              <w:bottom w:val="single" w:sz="4" w:space="0" w:color="auto"/>
            </w:tcBorders>
            <w:vAlign w:val="center"/>
          </w:tcPr>
          <w:p w:rsidR="00430608" w:rsidRPr="00F33A0F" w:rsidRDefault="00430608" w:rsidP="00FF3C3E">
            <w:pPr>
              <w:widowControl/>
              <w:jc w:val="left"/>
              <w:rPr>
                <w:rFonts w:ascii="Arial Narrow" w:hAnsi="Arial Narrow" w:cs="Times New Roman"/>
                <w:b/>
                <w:snapToGrid/>
                <w:sz w:val="20"/>
              </w:rPr>
            </w:pPr>
            <w:r w:rsidRPr="00F33A0F">
              <w:rPr>
                <w:rFonts w:ascii="Arial Narrow" w:hAnsi="Arial Narrow" w:cs="Times New Roman"/>
                <w:b/>
                <w:snapToGrid/>
                <w:sz w:val="20"/>
              </w:rPr>
              <w:t>Trial ID</w:t>
            </w:r>
          </w:p>
        </w:tc>
        <w:tc>
          <w:tcPr>
            <w:tcW w:w="3355" w:type="pct"/>
            <w:tcBorders>
              <w:bottom w:val="single" w:sz="4" w:space="0" w:color="auto"/>
            </w:tcBorders>
            <w:vAlign w:val="center"/>
          </w:tcPr>
          <w:p w:rsidR="00430608" w:rsidRPr="00F33A0F" w:rsidRDefault="00430608" w:rsidP="00FF3C3E">
            <w:pPr>
              <w:widowControl/>
              <w:jc w:val="center"/>
              <w:rPr>
                <w:rFonts w:ascii="Arial Narrow" w:hAnsi="Arial Narrow" w:cs="Times New Roman"/>
                <w:b/>
                <w:snapToGrid/>
                <w:sz w:val="20"/>
              </w:rPr>
            </w:pPr>
            <w:r w:rsidRPr="00F33A0F">
              <w:rPr>
                <w:rFonts w:ascii="Arial Narrow" w:hAnsi="Arial Narrow" w:cs="Times New Roman"/>
                <w:b/>
                <w:snapToGrid/>
                <w:sz w:val="20"/>
              </w:rPr>
              <w:t>Protocol title/ Publication title</w:t>
            </w:r>
          </w:p>
        </w:tc>
        <w:tc>
          <w:tcPr>
            <w:tcW w:w="1005" w:type="pct"/>
            <w:tcBorders>
              <w:bottom w:val="single" w:sz="4" w:space="0" w:color="auto"/>
            </w:tcBorders>
            <w:vAlign w:val="center"/>
          </w:tcPr>
          <w:p w:rsidR="00430608" w:rsidRPr="00F33A0F" w:rsidRDefault="00430608" w:rsidP="00FF3C3E">
            <w:pPr>
              <w:widowControl/>
              <w:jc w:val="center"/>
              <w:rPr>
                <w:rFonts w:ascii="Arial Narrow" w:hAnsi="Arial Narrow" w:cs="Times New Roman"/>
                <w:b/>
                <w:snapToGrid/>
                <w:sz w:val="20"/>
              </w:rPr>
            </w:pPr>
            <w:r w:rsidRPr="00F33A0F">
              <w:rPr>
                <w:rFonts w:ascii="Arial Narrow" w:hAnsi="Arial Narrow" w:cs="Times New Roman"/>
                <w:b/>
                <w:snapToGrid/>
                <w:sz w:val="20"/>
              </w:rPr>
              <w:t>Publication citation</w:t>
            </w:r>
          </w:p>
        </w:tc>
      </w:tr>
      <w:tr w:rsidR="00430608" w:rsidRPr="00F33A0F" w:rsidTr="003D6787">
        <w:tc>
          <w:tcPr>
            <w:tcW w:w="640" w:type="pct"/>
            <w:tcBorders>
              <w:bottom w:val="nil"/>
            </w:tcBorders>
            <w:vAlign w:val="center"/>
          </w:tcPr>
          <w:p w:rsidR="00430608" w:rsidRPr="00F33A0F" w:rsidRDefault="00430608" w:rsidP="00FF3C3E">
            <w:pPr>
              <w:widowControl/>
              <w:jc w:val="left"/>
              <w:rPr>
                <w:rFonts w:ascii="Arial Narrow" w:hAnsi="Arial Narrow" w:cs="Times New Roman"/>
                <w:snapToGrid/>
                <w:sz w:val="20"/>
              </w:rPr>
            </w:pPr>
            <w:r w:rsidRPr="00F33A0F">
              <w:rPr>
                <w:rFonts w:ascii="Arial Narrow" w:hAnsi="Arial Narrow" w:cs="Times New Roman"/>
                <w:snapToGrid/>
                <w:sz w:val="20"/>
              </w:rPr>
              <w:t>RADIANCE</w:t>
            </w:r>
          </w:p>
        </w:tc>
        <w:tc>
          <w:tcPr>
            <w:tcW w:w="3355" w:type="pct"/>
            <w:tcBorders>
              <w:bottom w:val="nil"/>
            </w:tcBorders>
            <w:vAlign w:val="center"/>
          </w:tcPr>
          <w:p w:rsidR="00430608" w:rsidRPr="00F33A0F" w:rsidRDefault="00430608" w:rsidP="00FF3C3E">
            <w:pPr>
              <w:widowControl/>
              <w:spacing w:after="60"/>
              <w:jc w:val="left"/>
              <w:rPr>
                <w:rFonts w:ascii="Arial Narrow" w:hAnsi="Arial Narrow" w:cs="Times New Roman"/>
                <w:snapToGrid/>
                <w:sz w:val="20"/>
                <w:szCs w:val="18"/>
              </w:rPr>
            </w:pPr>
            <w:r w:rsidRPr="00F33A0F">
              <w:rPr>
                <w:rFonts w:ascii="Arial Narrow" w:hAnsi="Arial Narrow" w:cs="Times New Roman"/>
                <w:snapToGrid/>
                <w:sz w:val="20"/>
                <w:szCs w:val="18"/>
              </w:rPr>
              <w:t xml:space="preserve">Clinical Study Report: </w:t>
            </w:r>
            <w:r w:rsidRPr="00F33A0F">
              <w:rPr>
                <w:rFonts w:ascii="Arial Narrow" w:hAnsi="Arial Narrow" w:cs="Times New Roman"/>
                <w:snapToGrid/>
                <w:sz w:val="20"/>
              </w:rPr>
              <w:t>A 12-month, Phase III, randomized, double-masked, multi-center, active-controlled study to evaluate efficacy and safety of two different dosing regimens of 0.5 mg ranibizumab vs verteporfin PDT in patients with visual impairment due to choroidal neovascularisation secondary to pathologic myopia.</w:t>
            </w:r>
          </w:p>
        </w:tc>
        <w:tc>
          <w:tcPr>
            <w:tcW w:w="1005" w:type="pct"/>
            <w:tcBorders>
              <w:bottom w:val="nil"/>
            </w:tcBorders>
            <w:vAlign w:val="center"/>
          </w:tcPr>
          <w:p w:rsidR="00430608" w:rsidRPr="00F33A0F" w:rsidRDefault="00430608" w:rsidP="00FF3C3E">
            <w:pPr>
              <w:widowControl/>
              <w:jc w:val="left"/>
              <w:rPr>
                <w:rFonts w:ascii="Arial Narrow" w:hAnsi="Arial Narrow" w:cs="Times New Roman"/>
                <w:snapToGrid/>
                <w:sz w:val="20"/>
              </w:rPr>
            </w:pPr>
            <w:r w:rsidRPr="00F33A0F">
              <w:rPr>
                <w:rFonts w:ascii="Arial Narrow" w:hAnsi="Arial Narrow" w:cs="Times New Roman"/>
                <w:snapToGrid/>
                <w:sz w:val="20"/>
              </w:rPr>
              <w:t>November 2012</w:t>
            </w:r>
          </w:p>
        </w:tc>
      </w:tr>
      <w:tr w:rsidR="00430608" w:rsidRPr="00F33A0F" w:rsidTr="003D6787">
        <w:tc>
          <w:tcPr>
            <w:tcW w:w="640" w:type="pct"/>
            <w:tcBorders>
              <w:top w:val="nil"/>
              <w:bottom w:val="single" w:sz="4" w:space="0" w:color="auto"/>
            </w:tcBorders>
            <w:vAlign w:val="center"/>
          </w:tcPr>
          <w:p w:rsidR="00430608" w:rsidRPr="00F33A0F" w:rsidRDefault="00430608" w:rsidP="00FF3C3E">
            <w:pPr>
              <w:widowControl/>
              <w:jc w:val="left"/>
              <w:rPr>
                <w:rFonts w:ascii="Arial Narrow" w:hAnsi="Arial Narrow" w:cs="Times New Roman"/>
                <w:snapToGrid/>
                <w:sz w:val="20"/>
              </w:rPr>
            </w:pPr>
          </w:p>
        </w:tc>
        <w:tc>
          <w:tcPr>
            <w:tcW w:w="3355" w:type="pct"/>
            <w:tcBorders>
              <w:top w:val="nil"/>
              <w:bottom w:val="single" w:sz="4" w:space="0" w:color="auto"/>
            </w:tcBorders>
            <w:vAlign w:val="center"/>
          </w:tcPr>
          <w:p w:rsidR="00430608" w:rsidRPr="00F33A0F" w:rsidRDefault="00430608" w:rsidP="00FF3C3E">
            <w:pPr>
              <w:widowControl/>
              <w:jc w:val="left"/>
              <w:rPr>
                <w:rFonts w:ascii="Arial Narrow" w:hAnsi="Arial Narrow" w:cs="Times New Roman"/>
                <w:snapToGrid/>
                <w:sz w:val="20"/>
                <w:szCs w:val="18"/>
              </w:rPr>
            </w:pPr>
            <w:r w:rsidRPr="00F33A0F">
              <w:rPr>
                <w:rFonts w:ascii="Arial Narrow" w:hAnsi="Arial Narrow" w:cs="Times New Roman"/>
                <w:snapToGrid/>
                <w:sz w:val="20"/>
                <w:szCs w:val="18"/>
              </w:rPr>
              <w:t>Wolf S, Balciuniene VJ, Laganovska G et al. RADIANCE: A randomized controlled study of ranibizumab in patients with choroidal neovascularization secondary to pathologic myopia.</w:t>
            </w:r>
          </w:p>
        </w:tc>
        <w:tc>
          <w:tcPr>
            <w:tcW w:w="1005" w:type="pct"/>
            <w:tcBorders>
              <w:top w:val="nil"/>
              <w:bottom w:val="single" w:sz="4" w:space="0" w:color="auto"/>
            </w:tcBorders>
            <w:vAlign w:val="center"/>
          </w:tcPr>
          <w:p w:rsidR="00430608" w:rsidRPr="00F33A0F" w:rsidRDefault="00430608" w:rsidP="00FF3C3E">
            <w:pPr>
              <w:widowControl/>
              <w:jc w:val="left"/>
              <w:rPr>
                <w:rFonts w:ascii="Arial Narrow" w:hAnsi="Arial Narrow" w:cs="Times New Roman"/>
                <w:snapToGrid/>
                <w:sz w:val="20"/>
              </w:rPr>
            </w:pPr>
            <w:r w:rsidRPr="00F33A0F">
              <w:rPr>
                <w:rFonts w:ascii="Arial Narrow" w:hAnsi="Arial Narrow" w:cs="Times New Roman"/>
                <w:i/>
                <w:snapToGrid/>
                <w:sz w:val="20"/>
              </w:rPr>
              <w:t>Ophthalmology</w:t>
            </w:r>
            <w:r w:rsidRPr="00F33A0F">
              <w:rPr>
                <w:rFonts w:ascii="Arial Narrow" w:hAnsi="Arial Narrow" w:cs="Times New Roman"/>
                <w:snapToGrid/>
                <w:sz w:val="20"/>
              </w:rPr>
              <w:t xml:space="preserve"> 2014; 121(3): 682-92</w:t>
            </w:r>
          </w:p>
        </w:tc>
      </w:tr>
      <w:tr w:rsidR="00430608" w:rsidRPr="00F33A0F" w:rsidTr="003D6787">
        <w:tc>
          <w:tcPr>
            <w:tcW w:w="640" w:type="pct"/>
            <w:tcBorders>
              <w:top w:val="nil"/>
              <w:bottom w:val="single" w:sz="4" w:space="0" w:color="auto"/>
            </w:tcBorders>
            <w:vAlign w:val="center"/>
          </w:tcPr>
          <w:p w:rsidR="00430608" w:rsidRPr="00F33A0F" w:rsidRDefault="00430608" w:rsidP="00FF3C3E">
            <w:pPr>
              <w:widowControl/>
              <w:jc w:val="left"/>
              <w:rPr>
                <w:rFonts w:ascii="Arial Narrow" w:hAnsi="Arial Narrow" w:cs="Times New Roman"/>
                <w:snapToGrid/>
                <w:sz w:val="20"/>
              </w:rPr>
            </w:pPr>
            <w:r w:rsidRPr="00F33A0F">
              <w:rPr>
                <w:rFonts w:ascii="Arial Narrow" w:hAnsi="Arial Narrow" w:cs="Times New Roman"/>
                <w:snapToGrid/>
                <w:sz w:val="20"/>
              </w:rPr>
              <w:t>BRILLIANCE</w:t>
            </w:r>
          </w:p>
        </w:tc>
        <w:tc>
          <w:tcPr>
            <w:tcW w:w="3355" w:type="pct"/>
            <w:tcBorders>
              <w:top w:val="nil"/>
              <w:bottom w:val="single" w:sz="4" w:space="0" w:color="auto"/>
            </w:tcBorders>
            <w:vAlign w:val="center"/>
          </w:tcPr>
          <w:p w:rsidR="00430608" w:rsidRPr="00F33A0F" w:rsidRDefault="00430608" w:rsidP="00FF3C3E">
            <w:pPr>
              <w:widowControl/>
              <w:jc w:val="left"/>
              <w:rPr>
                <w:rFonts w:ascii="Arial Narrow" w:hAnsi="Arial Narrow" w:cs="Times New Roman"/>
                <w:snapToGrid/>
                <w:sz w:val="20"/>
                <w:szCs w:val="18"/>
              </w:rPr>
            </w:pPr>
            <w:r w:rsidRPr="00F33A0F">
              <w:rPr>
                <w:rFonts w:ascii="Arial Narrow" w:hAnsi="Arial Narrow" w:cs="Times New Roman"/>
                <w:snapToGrid/>
                <w:sz w:val="20"/>
                <w:szCs w:val="18"/>
              </w:rPr>
              <w:t xml:space="preserve">Clinical Study Report: </w:t>
            </w:r>
            <w:r w:rsidRPr="00F33A0F">
              <w:rPr>
                <w:rFonts w:ascii="Arial Narrow" w:hAnsi="Arial Narrow" w:cs="Times New Roman"/>
                <w:snapToGrid/>
                <w:sz w:val="20"/>
              </w:rPr>
              <w:t>A 12-month, Phase III, randomized, double-masked, multi-center, active-controlled study to evaluate efficacy and safety of two individualized regimens of 0.5 mg ranibizumab vs verteporfin PDT in patients with visual impairment due to choroidal neovascularisation secondary to pathologic myopia.</w:t>
            </w:r>
          </w:p>
        </w:tc>
        <w:tc>
          <w:tcPr>
            <w:tcW w:w="1005" w:type="pct"/>
            <w:tcBorders>
              <w:top w:val="nil"/>
              <w:bottom w:val="single" w:sz="4" w:space="0" w:color="auto"/>
            </w:tcBorders>
            <w:vAlign w:val="center"/>
          </w:tcPr>
          <w:p w:rsidR="00430608" w:rsidRPr="00F33A0F" w:rsidRDefault="00430608" w:rsidP="00FF3C3E">
            <w:pPr>
              <w:widowControl/>
              <w:jc w:val="left"/>
              <w:rPr>
                <w:rFonts w:ascii="Arial Narrow" w:hAnsi="Arial Narrow" w:cs="Times New Roman"/>
                <w:snapToGrid/>
                <w:sz w:val="20"/>
              </w:rPr>
            </w:pPr>
            <w:r w:rsidRPr="00F33A0F">
              <w:rPr>
                <w:rFonts w:ascii="Arial Narrow" w:hAnsi="Arial Narrow" w:cs="Times New Roman"/>
                <w:snapToGrid/>
                <w:sz w:val="20"/>
              </w:rPr>
              <w:t>March 2017</w:t>
            </w:r>
          </w:p>
        </w:tc>
      </w:tr>
    </w:tbl>
    <w:p w:rsidR="0016245E" w:rsidRPr="000C0DFF" w:rsidRDefault="00430608" w:rsidP="000C0DFF">
      <w:pPr>
        <w:pStyle w:val="TableFooter"/>
        <w:rPr>
          <w:sz w:val="20"/>
        </w:rPr>
      </w:pPr>
      <w:r>
        <w:t>Source: Table 2.2-1, p42 of the submission.</w:t>
      </w:r>
    </w:p>
    <w:p w:rsidR="00430608" w:rsidRDefault="00430608" w:rsidP="00E567E7">
      <w:pPr>
        <w:pStyle w:val="ListParagraph"/>
        <w:widowControl/>
        <w:numPr>
          <w:ilvl w:val="1"/>
          <w:numId w:val="1"/>
        </w:numPr>
        <w:spacing w:before="160"/>
      </w:pPr>
      <w:r w:rsidRPr="00B50DB8">
        <w:t xml:space="preserve">The key features of the direct randomised trials are </w:t>
      </w:r>
      <w:r w:rsidR="005D331C">
        <w:t>summarised in the table below.</w:t>
      </w:r>
    </w:p>
    <w:p w:rsidR="00430608" w:rsidRPr="00E2771E" w:rsidRDefault="00430608" w:rsidP="00430608">
      <w:pPr>
        <w:rPr>
          <w:rStyle w:val="CommentReference"/>
        </w:rPr>
      </w:pPr>
      <w:r>
        <w:rPr>
          <w:rStyle w:val="CommentReference"/>
        </w:rPr>
        <w:t>Table 3</w:t>
      </w:r>
      <w:r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3"/>
        <w:gridCol w:w="567"/>
        <w:gridCol w:w="1700"/>
        <w:gridCol w:w="850"/>
        <w:gridCol w:w="1275"/>
        <w:gridCol w:w="1842"/>
        <w:gridCol w:w="1686"/>
      </w:tblGrid>
      <w:tr w:rsidR="003D6787" w:rsidRPr="00B41614" w:rsidTr="003D6787">
        <w:tc>
          <w:tcPr>
            <w:tcW w:w="640" w:type="pct"/>
            <w:shd w:val="clear" w:color="auto" w:fill="auto"/>
            <w:vAlign w:val="center"/>
          </w:tcPr>
          <w:p w:rsidR="00430608" w:rsidRPr="00B41614" w:rsidRDefault="00430608" w:rsidP="00FF3C3E">
            <w:pPr>
              <w:pStyle w:val="Tabletext"/>
              <w:rPr>
                <w:b/>
                <w:lang w:val="en-US"/>
              </w:rPr>
            </w:pPr>
            <w:r w:rsidRPr="00B41614">
              <w:rPr>
                <w:b/>
                <w:lang w:val="en-US"/>
              </w:rPr>
              <w:t>Trial</w:t>
            </w:r>
          </w:p>
        </w:tc>
        <w:tc>
          <w:tcPr>
            <w:tcW w:w="312" w:type="pct"/>
            <w:shd w:val="clear" w:color="auto" w:fill="auto"/>
            <w:vAlign w:val="center"/>
          </w:tcPr>
          <w:p w:rsidR="00430608" w:rsidRPr="00B41614" w:rsidRDefault="00430608" w:rsidP="00FF3C3E">
            <w:pPr>
              <w:pStyle w:val="Tabletext"/>
              <w:jc w:val="center"/>
              <w:rPr>
                <w:b/>
                <w:lang w:val="en-US"/>
              </w:rPr>
            </w:pPr>
            <w:r w:rsidRPr="00B41614">
              <w:rPr>
                <w:b/>
                <w:lang w:val="en-US"/>
              </w:rPr>
              <w:t>N</w:t>
            </w:r>
          </w:p>
        </w:tc>
        <w:tc>
          <w:tcPr>
            <w:tcW w:w="936" w:type="pct"/>
            <w:shd w:val="clear" w:color="auto" w:fill="auto"/>
            <w:vAlign w:val="center"/>
          </w:tcPr>
          <w:p w:rsidR="00430608" w:rsidRPr="009E7FBC" w:rsidRDefault="00430608" w:rsidP="003D6787">
            <w:pPr>
              <w:pStyle w:val="Tabletext"/>
              <w:jc w:val="center"/>
              <w:rPr>
                <w:b/>
                <w:vertAlign w:val="superscript"/>
                <w:lang w:val="en-US"/>
              </w:rPr>
            </w:pPr>
            <w:r w:rsidRPr="00B41614">
              <w:rPr>
                <w:b/>
                <w:lang w:val="en-US"/>
              </w:rPr>
              <w:t>Design/</w:t>
            </w:r>
            <w:r w:rsidR="003D6787">
              <w:rPr>
                <w:b/>
                <w:lang w:val="en-US"/>
              </w:rPr>
              <w:br/>
            </w:r>
            <w:r w:rsidRPr="00B41614">
              <w:rPr>
                <w:b/>
                <w:lang w:val="en-US"/>
              </w:rPr>
              <w:t>duration</w:t>
            </w:r>
          </w:p>
        </w:tc>
        <w:tc>
          <w:tcPr>
            <w:tcW w:w="468" w:type="pct"/>
            <w:shd w:val="clear" w:color="auto" w:fill="auto"/>
            <w:vAlign w:val="center"/>
          </w:tcPr>
          <w:p w:rsidR="00430608" w:rsidRPr="00B41614" w:rsidRDefault="00430608" w:rsidP="00FF3C3E">
            <w:pPr>
              <w:pStyle w:val="Tabletext"/>
              <w:jc w:val="center"/>
              <w:rPr>
                <w:b/>
                <w:lang w:val="en-US"/>
              </w:rPr>
            </w:pPr>
            <w:r w:rsidRPr="00B41614">
              <w:rPr>
                <w:b/>
                <w:lang w:val="en-US"/>
              </w:rPr>
              <w:t>Risk of bias</w:t>
            </w:r>
          </w:p>
        </w:tc>
        <w:tc>
          <w:tcPr>
            <w:tcW w:w="702" w:type="pct"/>
            <w:shd w:val="clear" w:color="auto" w:fill="auto"/>
            <w:vAlign w:val="center"/>
          </w:tcPr>
          <w:p w:rsidR="00430608" w:rsidRPr="00B41614" w:rsidRDefault="00430608" w:rsidP="00FF3C3E">
            <w:pPr>
              <w:pStyle w:val="Tabletext"/>
              <w:jc w:val="center"/>
              <w:rPr>
                <w:b/>
                <w:lang w:val="en-US"/>
              </w:rPr>
            </w:pPr>
            <w:r w:rsidRPr="00B41614">
              <w:rPr>
                <w:b/>
                <w:lang w:val="en-US"/>
              </w:rPr>
              <w:t>Patient population</w:t>
            </w:r>
          </w:p>
        </w:tc>
        <w:tc>
          <w:tcPr>
            <w:tcW w:w="1014" w:type="pct"/>
            <w:shd w:val="clear" w:color="auto" w:fill="auto"/>
            <w:vAlign w:val="center"/>
          </w:tcPr>
          <w:p w:rsidR="00430608" w:rsidRPr="00B41614" w:rsidRDefault="00430608" w:rsidP="00FF3C3E">
            <w:pPr>
              <w:pStyle w:val="Tabletext"/>
              <w:jc w:val="center"/>
              <w:rPr>
                <w:b/>
                <w:lang w:val="en-US"/>
              </w:rPr>
            </w:pPr>
            <w:r>
              <w:rPr>
                <w:b/>
                <w:lang w:val="en-US"/>
              </w:rPr>
              <w:t>Outcome</w:t>
            </w:r>
          </w:p>
        </w:tc>
        <w:tc>
          <w:tcPr>
            <w:tcW w:w="928" w:type="pct"/>
            <w:shd w:val="clear" w:color="auto" w:fill="auto"/>
            <w:vAlign w:val="center"/>
          </w:tcPr>
          <w:p w:rsidR="00430608" w:rsidRPr="00B41614" w:rsidRDefault="00430608" w:rsidP="00FF3C3E">
            <w:pPr>
              <w:pStyle w:val="Tabletext"/>
              <w:jc w:val="center"/>
              <w:rPr>
                <w:b/>
                <w:lang w:val="en-US"/>
              </w:rPr>
            </w:pPr>
            <w:r w:rsidRPr="00B41614">
              <w:rPr>
                <w:b/>
                <w:lang w:val="en-US"/>
              </w:rPr>
              <w:t>Use in modelled evaluation</w:t>
            </w:r>
          </w:p>
        </w:tc>
      </w:tr>
      <w:tr w:rsidR="00430608" w:rsidRPr="00E2771E" w:rsidTr="003D6787">
        <w:tc>
          <w:tcPr>
            <w:tcW w:w="5000" w:type="pct"/>
            <w:gridSpan w:val="7"/>
            <w:shd w:val="clear" w:color="auto" w:fill="auto"/>
            <w:vAlign w:val="center"/>
          </w:tcPr>
          <w:p w:rsidR="00430608" w:rsidRPr="00B41614" w:rsidRDefault="00430608" w:rsidP="00FF3C3E">
            <w:pPr>
              <w:pStyle w:val="Tabletext"/>
              <w:rPr>
                <w:b/>
                <w:lang w:val="en-US"/>
              </w:rPr>
            </w:pPr>
            <w:r>
              <w:rPr>
                <w:b/>
                <w:lang w:val="en-US"/>
              </w:rPr>
              <w:t>Ranibizumab</w:t>
            </w:r>
            <w:r w:rsidRPr="00B41614">
              <w:rPr>
                <w:b/>
                <w:lang w:val="en-US"/>
              </w:rPr>
              <w:t xml:space="preserve"> vs. </w:t>
            </w:r>
            <w:r>
              <w:rPr>
                <w:b/>
                <w:lang w:val="en-US"/>
              </w:rPr>
              <w:t>vPDT</w:t>
            </w:r>
          </w:p>
        </w:tc>
      </w:tr>
      <w:tr w:rsidR="003D6787" w:rsidRPr="00E2771E" w:rsidTr="003D6787">
        <w:tc>
          <w:tcPr>
            <w:tcW w:w="640" w:type="pct"/>
            <w:shd w:val="clear" w:color="auto" w:fill="auto"/>
            <w:vAlign w:val="center"/>
          </w:tcPr>
          <w:p w:rsidR="00430608" w:rsidRPr="00E2771E" w:rsidRDefault="00430608" w:rsidP="00FF3C3E">
            <w:pPr>
              <w:pStyle w:val="Tabletext"/>
              <w:rPr>
                <w:lang w:val="en-US"/>
              </w:rPr>
            </w:pPr>
            <w:r>
              <w:rPr>
                <w:lang w:val="en-US"/>
              </w:rPr>
              <w:t>RADIANCE</w:t>
            </w:r>
          </w:p>
        </w:tc>
        <w:tc>
          <w:tcPr>
            <w:tcW w:w="312" w:type="pct"/>
            <w:shd w:val="clear" w:color="auto" w:fill="auto"/>
            <w:vAlign w:val="center"/>
          </w:tcPr>
          <w:p w:rsidR="00430608" w:rsidRPr="00E2771E" w:rsidRDefault="00430608" w:rsidP="00FF3C3E">
            <w:pPr>
              <w:pStyle w:val="Tabletext"/>
              <w:jc w:val="center"/>
              <w:rPr>
                <w:lang w:val="en-US"/>
              </w:rPr>
            </w:pPr>
            <w:r>
              <w:rPr>
                <w:lang w:val="en-US"/>
              </w:rPr>
              <w:t>277</w:t>
            </w:r>
          </w:p>
        </w:tc>
        <w:tc>
          <w:tcPr>
            <w:tcW w:w="936" w:type="pct"/>
            <w:shd w:val="clear" w:color="auto" w:fill="auto"/>
            <w:vAlign w:val="center"/>
          </w:tcPr>
          <w:p w:rsidR="00430608" w:rsidRPr="00693110" w:rsidRDefault="00430608" w:rsidP="003D6787">
            <w:pPr>
              <w:pStyle w:val="Tabletext"/>
              <w:jc w:val="center"/>
              <w:rPr>
                <w:vertAlign w:val="superscript"/>
                <w:lang w:val="en-US"/>
              </w:rPr>
            </w:pPr>
            <w:r w:rsidRPr="00E2771E">
              <w:rPr>
                <w:lang w:val="en-US"/>
              </w:rPr>
              <w:t>R, DB</w:t>
            </w:r>
            <w:r w:rsidR="003D6787">
              <w:rPr>
                <w:lang w:val="en-US"/>
              </w:rPr>
              <w:t>/</w:t>
            </w:r>
            <w:r w:rsidR="003D6787">
              <w:rPr>
                <w:lang w:val="en-US"/>
              </w:rPr>
              <w:br/>
            </w:r>
            <w:r>
              <w:rPr>
                <w:lang w:val="en-US"/>
              </w:rPr>
              <w:t>3</w:t>
            </w:r>
            <w:r w:rsidRPr="00E2771E">
              <w:rPr>
                <w:lang w:val="en-US"/>
              </w:rPr>
              <w:t xml:space="preserve"> mths</w:t>
            </w:r>
            <w:r w:rsidR="00693110">
              <w:rPr>
                <w:vertAlign w:val="superscript"/>
                <w:lang w:val="en-US"/>
              </w:rPr>
              <w:t>a</w:t>
            </w:r>
          </w:p>
        </w:tc>
        <w:tc>
          <w:tcPr>
            <w:tcW w:w="468" w:type="pct"/>
            <w:shd w:val="clear" w:color="auto" w:fill="auto"/>
            <w:vAlign w:val="center"/>
          </w:tcPr>
          <w:p w:rsidR="00430608" w:rsidRPr="00E2771E" w:rsidRDefault="00430608" w:rsidP="00FF3C3E">
            <w:pPr>
              <w:pStyle w:val="Tabletext"/>
              <w:jc w:val="center"/>
              <w:rPr>
                <w:lang w:val="en-US"/>
              </w:rPr>
            </w:pPr>
            <w:r w:rsidRPr="00E2771E">
              <w:rPr>
                <w:lang w:val="en-US"/>
              </w:rPr>
              <w:t>Low</w:t>
            </w:r>
          </w:p>
        </w:tc>
        <w:tc>
          <w:tcPr>
            <w:tcW w:w="702" w:type="pct"/>
            <w:shd w:val="clear" w:color="auto" w:fill="auto"/>
            <w:vAlign w:val="center"/>
          </w:tcPr>
          <w:p w:rsidR="00430608" w:rsidRPr="00E2771E" w:rsidRDefault="00430608" w:rsidP="00FF3C3E">
            <w:pPr>
              <w:pStyle w:val="Tabletext"/>
              <w:jc w:val="center"/>
              <w:rPr>
                <w:lang w:val="en-US"/>
              </w:rPr>
            </w:pPr>
            <w:r>
              <w:rPr>
                <w:lang w:val="en-US"/>
              </w:rPr>
              <w:t>CNV secondary to PM</w:t>
            </w:r>
          </w:p>
        </w:tc>
        <w:tc>
          <w:tcPr>
            <w:tcW w:w="1014" w:type="pct"/>
            <w:shd w:val="clear" w:color="auto" w:fill="auto"/>
            <w:vAlign w:val="center"/>
          </w:tcPr>
          <w:p w:rsidR="00430608" w:rsidRPr="00E2771E" w:rsidRDefault="00430608" w:rsidP="00FF3C3E">
            <w:pPr>
              <w:pStyle w:val="Tabletext"/>
              <w:jc w:val="center"/>
              <w:rPr>
                <w:lang w:val="en-US"/>
              </w:rPr>
            </w:pPr>
            <w:r w:rsidRPr="00E8771F">
              <w:rPr>
                <w:lang w:val="en-US"/>
              </w:rPr>
              <w:t>Mean average BCVA change from baseline to month 1 through month 3 of the study eye</w:t>
            </w:r>
          </w:p>
        </w:tc>
        <w:tc>
          <w:tcPr>
            <w:tcW w:w="928" w:type="pct"/>
            <w:shd w:val="clear" w:color="auto" w:fill="auto"/>
            <w:vAlign w:val="center"/>
          </w:tcPr>
          <w:p w:rsidR="00430608" w:rsidRPr="00E2771E" w:rsidRDefault="00430608" w:rsidP="00FF3C3E">
            <w:pPr>
              <w:pStyle w:val="Tabletext"/>
              <w:jc w:val="center"/>
              <w:rPr>
                <w:lang w:val="en-US"/>
              </w:rPr>
            </w:pPr>
            <w:r>
              <w:rPr>
                <w:lang w:val="en-US"/>
              </w:rPr>
              <w:t>Used (only data from all patients in Group II and 15 patients in Group III are used)</w:t>
            </w:r>
          </w:p>
        </w:tc>
      </w:tr>
      <w:tr w:rsidR="003D6787" w:rsidRPr="00E2771E" w:rsidTr="003D6787">
        <w:tc>
          <w:tcPr>
            <w:tcW w:w="640" w:type="pct"/>
            <w:shd w:val="clear" w:color="auto" w:fill="auto"/>
            <w:vAlign w:val="center"/>
          </w:tcPr>
          <w:p w:rsidR="00430608" w:rsidRPr="00E2771E" w:rsidRDefault="00430608" w:rsidP="00FF3C3E">
            <w:pPr>
              <w:pStyle w:val="Tabletext"/>
              <w:rPr>
                <w:lang w:val="en-US"/>
              </w:rPr>
            </w:pPr>
            <w:r>
              <w:rPr>
                <w:lang w:val="en-US"/>
              </w:rPr>
              <w:t>BRILLIANCE</w:t>
            </w:r>
          </w:p>
        </w:tc>
        <w:tc>
          <w:tcPr>
            <w:tcW w:w="312" w:type="pct"/>
            <w:shd w:val="clear" w:color="auto" w:fill="auto"/>
            <w:vAlign w:val="center"/>
          </w:tcPr>
          <w:p w:rsidR="00430608" w:rsidRPr="00E2771E" w:rsidRDefault="00430608" w:rsidP="00FF3C3E">
            <w:pPr>
              <w:pStyle w:val="Tabletext"/>
              <w:jc w:val="center"/>
              <w:rPr>
                <w:lang w:val="en-US"/>
              </w:rPr>
            </w:pPr>
            <w:r>
              <w:rPr>
                <w:lang w:val="en-US"/>
              </w:rPr>
              <w:t>457</w:t>
            </w:r>
          </w:p>
        </w:tc>
        <w:tc>
          <w:tcPr>
            <w:tcW w:w="936" w:type="pct"/>
            <w:shd w:val="clear" w:color="auto" w:fill="auto"/>
            <w:vAlign w:val="center"/>
          </w:tcPr>
          <w:p w:rsidR="00430608" w:rsidRPr="00693110" w:rsidRDefault="00430608" w:rsidP="003D6787">
            <w:pPr>
              <w:pStyle w:val="Tabletext"/>
              <w:jc w:val="center"/>
              <w:rPr>
                <w:vertAlign w:val="superscript"/>
                <w:lang w:val="en-US"/>
              </w:rPr>
            </w:pPr>
            <w:r w:rsidRPr="00E2771E">
              <w:rPr>
                <w:lang w:val="en-US"/>
              </w:rPr>
              <w:t xml:space="preserve">R, </w:t>
            </w:r>
            <w:r>
              <w:rPr>
                <w:lang w:val="en-US"/>
              </w:rPr>
              <w:t>DB</w:t>
            </w:r>
            <w:r w:rsidR="003D6787">
              <w:rPr>
                <w:lang w:val="en-US"/>
              </w:rPr>
              <w:t>/</w:t>
            </w:r>
            <w:r w:rsidR="003D6787">
              <w:rPr>
                <w:lang w:val="en-US"/>
              </w:rPr>
              <w:br/>
            </w:r>
            <w:r w:rsidRPr="00E2771E">
              <w:rPr>
                <w:lang w:val="en-US"/>
              </w:rPr>
              <w:t>3 mths</w:t>
            </w:r>
            <w:r w:rsidR="00693110">
              <w:rPr>
                <w:vertAlign w:val="superscript"/>
                <w:lang w:val="en-US"/>
              </w:rPr>
              <w:t>a</w:t>
            </w:r>
          </w:p>
        </w:tc>
        <w:tc>
          <w:tcPr>
            <w:tcW w:w="468" w:type="pct"/>
            <w:shd w:val="clear" w:color="auto" w:fill="auto"/>
            <w:vAlign w:val="center"/>
          </w:tcPr>
          <w:p w:rsidR="00430608" w:rsidRPr="00E2771E" w:rsidRDefault="00430608" w:rsidP="00FF3C3E">
            <w:pPr>
              <w:pStyle w:val="Tabletext"/>
              <w:jc w:val="center"/>
              <w:rPr>
                <w:lang w:val="en-US"/>
              </w:rPr>
            </w:pPr>
            <w:r>
              <w:rPr>
                <w:lang w:val="en-US"/>
              </w:rPr>
              <w:t>Low</w:t>
            </w:r>
          </w:p>
        </w:tc>
        <w:tc>
          <w:tcPr>
            <w:tcW w:w="702" w:type="pct"/>
            <w:shd w:val="clear" w:color="auto" w:fill="auto"/>
            <w:vAlign w:val="center"/>
          </w:tcPr>
          <w:p w:rsidR="00430608" w:rsidRPr="00E2771E" w:rsidRDefault="00430608" w:rsidP="00FF3C3E">
            <w:pPr>
              <w:pStyle w:val="Tabletext"/>
              <w:jc w:val="center"/>
              <w:rPr>
                <w:lang w:val="en-US"/>
              </w:rPr>
            </w:pPr>
            <w:r>
              <w:rPr>
                <w:lang w:val="en-US"/>
              </w:rPr>
              <w:t>CNV secondary to PM</w:t>
            </w:r>
          </w:p>
        </w:tc>
        <w:tc>
          <w:tcPr>
            <w:tcW w:w="1014" w:type="pct"/>
            <w:shd w:val="clear" w:color="auto" w:fill="auto"/>
            <w:vAlign w:val="center"/>
          </w:tcPr>
          <w:p w:rsidR="00430608" w:rsidRPr="00E2771E" w:rsidRDefault="00430608" w:rsidP="00FF3C3E">
            <w:pPr>
              <w:pStyle w:val="Tabletext"/>
              <w:jc w:val="center"/>
              <w:rPr>
                <w:lang w:val="en-US"/>
              </w:rPr>
            </w:pPr>
            <w:r>
              <w:rPr>
                <w:lang w:val="en-US"/>
              </w:rPr>
              <w:t>As above</w:t>
            </w:r>
          </w:p>
        </w:tc>
        <w:tc>
          <w:tcPr>
            <w:tcW w:w="928" w:type="pct"/>
            <w:shd w:val="clear" w:color="auto" w:fill="auto"/>
            <w:vAlign w:val="center"/>
          </w:tcPr>
          <w:p w:rsidR="00430608" w:rsidRPr="00E2771E" w:rsidRDefault="00430608" w:rsidP="00FF3C3E">
            <w:pPr>
              <w:pStyle w:val="Tabletext"/>
              <w:jc w:val="center"/>
              <w:rPr>
                <w:lang w:val="en-US"/>
              </w:rPr>
            </w:pPr>
            <w:r w:rsidRPr="00E2771E">
              <w:rPr>
                <w:lang w:val="en-US"/>
              </w:rPr>
              <w:t>Not used</w:t>
            </w:r>
          </w:p>
        </w:tc>
      </w:tr>
    </w:tbl>
    <w:p w:rsidR="00430608" w:rsidRDefault="00430608" w:rsidP="00430608">
      <w:pPr>
        <w:pStyle w:val="TableFooter"/>
      </w:pPr>
      <w:r>
        <w:t xml:space="preserve">BCVA = best corrected visual acuity; CNV = choroidal neovascularisation; </w:t>
      </w:r>
      <w:r w:rsidRPr="0072416F">
        <w:t xml:space="preserve">DB=double blind; </w:t>
      </w:r>
      <w:r>
        <w:t>PM = pathologic myopia; R = randomised.</w:t>
      </w:r>
    </w:p>
    <w:p w:rsidR="009E7FBC" w:rsidRPr="009E7FBC" w:rsidRDefault="009E7FBC" w:rsidP="00430608">
      <w:pPr>
        <w:pStyle w:val="TableFooter"/>
      </w:pPr>
      <w:r w:rsidRPr="00693110">
        <w:rPr>
          <w:vertAlign w:val="superscript"/>
        </w:rPr>
        <w:t>a</w:t>
      </w:r>
      <w:r w:rsidRPr="00693110">
        <w:t xml:space="preserve"> Duration of follow-up for the primary outcome, prior to the allowance of treatment </w:t>
      </w:r>
      <w:r w:rsidR="00EE2077" w:rsidRPr="00693110">
        <w:t>switching for patients randomised to vPDT. The total duration of follow-up in the trial was 12 months.</w:t>
      </w:r>
    </w:p>
    <w:p w:rsidR="00430608" w:rsidRPr="00B1011F" w:rsidRDefault="00430608" w:rsidP="00430608">
      <w:pPr>
        <w:pStyle w:val="TableFooter"/>
        <w:rPr>
          <w:sz w:val="20"/>
        </w:rPr>
      </w:pPr>
      <w:r>
        <w:t xml:space="preserve">Source: Sections 2.3 and 2.4, pp43-58 </w:t>
      </w:r>
      <w:r w:rsidRPr="00D13A3E">
        <w:t xml:space="preserve">of the </w:t>
      </w:r>
      <w:r>
        <w:t>submission.</w:t>
      </w:r>
    </w:p>
    <w:p w:rsidR="00430608" w:rsidRDefault="00430608" w:rsidP="00E567E7">
      <w:pPr>
        <w:pStyle w:val="ListParagraph"/>
        <w:widowControl/>
        <w:numPr>
          <w:ilvl w:val="1"/>
          <w:numId w:val="1"/>
        </w:numPr>
        <w:spacing w:before="160"/>
      </w:pPr>
      <w:r>
        <w:t xml:space="preserve">Both trials included adult patients with CNV due to PM, with the presence of high myopia, and one of the following lesion types in the study eye: subfoveal, juxtafoveal </w:t>
      </w:r>
      <w:r>
        <w:lastRenderedPageBreak/>
        <w:t>or extrafoveal with involvement of the central macular area, or margin of the optic disk with involveme</w:t>
      </w:r>
      <w:r w:rsidR="003D6787">
        <w:t>nt of the central macular area.</w:t>
      </w:r>
    </w:p>
    <w:p w:rsidR="00430608" w:rsidRDefault="00430608" w:rsidP="00E567E7">
      <w:pPr>
        <w:pStyle w:val="ListParagraph"/>
        <w:widowControl/>
        <w:numPr>
          <w:ilvl w:val="1"/>
          <w:numId w:val="1"/>
        </w:numPr>
      </w:pPr>
      <w:r w:rsidRPr="005435BA">
        <w:t xml:space="preserve">One eye was selected as the study eye. If both eyes were eligible, the eye with the worse </w:t>
      </w:r>
      <w:r>
        <w:t>visual acuity (</w:t>
      </w:r>
      <w:r w:rsidRPr="005435BA">
        <w:t>VA</w:t>
      </w:r>
      <w:r>
        <w:t>)</w:t>
      </w:r>
      <w:r w:rsidRPr="005435BA">
        <w:t xml:space="preserve">, as assessed at visit 1, was selected for study treatment. For the fellow eye, standard of care or other treatments for PM </w:t>
      </w:r>
      <w:r w:rsidR="006A28BC">
        <w:t>or</w:t>
      </w:r>
      <w:r w:rsidRPr="005435BA">
        <w:t xml:space="preserve"> other diseases was permitted at any time.</w:t>
      </w:r>
      <w:r>
        <w:t xml:space="preserve"> The outcomes of the trials were assessed with the study eye.</w:t>
      </w:r>
    </w:p>
    <w:p w:rsidR="00430608" w:rsidRPr="00AA1344" w:rsidRDefault="00B74712" w:rsidP="00E567E7">
      <w:pPr>
        <w:pStyle w:val="ListParagraph"/>
        <w:widowControl/>
        <w:numPr>
          <w:ilvl w:val="1"/>
          <w:numId w:val="1"/>
        </w:numPr>
      </w:pPr>
      <w:r>
        <w:t>S</w:t>
      </w:r>
      <w:r w:rsidRPr="00AA1344">
        <w:t xml:space="preserve">ubfoveal CNV lesions </w:t>
      </w:r>
      <w:r>
        <w:t xml:space="preserve">were found in </w:t>
      </w:r>
      <w:r w:rsidR="00430608" w:rsidRPr="00AA1344">
        <w:t>68.5% of patient</w:t>
      </w:r>
      <w:r w:rsidR="006A28BC" w:rsidRPr="00AA1344">
        <w:t>s</w:t>
      </w:r>
      <w:r w:rsidR="00430608" w:rsidRPr="00AA1344">
        <w:t xml:space="preserve"> in RADIANCE and </w:t>
      </w:r>
      <w:r w:rsidR="00042B67">
        <w:rPr>
          <w:noProof/>
          <w:color w:val="000000"/>
          <w:highlight w:val="black"/>
        </w:rPr>
        <w:t>''''''''</w:t>
      </w:r>
      <w:r w:rsidR="00430608" w:rsidRPr="00AA1344">
        <w:t xml:space="preserve">% of patients in BRILLIANCE. Approximately 40% of patients in RADIANCE and </w:t>
      </w:r>
      <w:r w:rsidR="00042B67">
        <w:rPr>
          <w:noProof/>
          <w:color w:val="000000"/>
          <w:highlight w:val="black"/>
        </w:rPr>
        <w:t>'''''''</w:t>
      </w:r>
      <w:r w:rsidR="00430608" w:rsidRPr="00AA1344">
        <w:t xml:space="preserve">% of patients in </w:t>
      </w:r>
      <w:r w:rsidR="006A28BC" w:rsidRPr="00AA1344">
        <w:t xml:space="preserve">BRILLIANCE were Asian. </w:t>
      </w:r>
      <w:r w:rsidR="007F7043" w:rsidRPr="00AA1344">
        <w:t>There was no clear evidence of treatment effect modification by race (Caucasian vs Asian) in RADIANCE.</w:t>
      </w:r>
    </w:p>
    <w:p w:rsidR="00430608" w:rsidRPr="00763859" w:rsidRDefault="00430608" w:rsidP="00E567E7">
      <w:pPr>
        <w:pStyle w:val="ListParagraph"/>
        <w:widowControl/>
        <w:numPr>
          <w:ilvl w:val="1"/>
          <w:numId w:val="1"/>
        </w:numPr>
      </w:pPr>
      <w:r w:rsidRPr="00AA1344">
        <w:t xml:space="preserve">Both trials excluded patients who had previously received intraocular treatment with any VEGF </w:t>
      </w:r>
      <w:r w:rsidR="00466A59">
        <w:t xml:space="preserve">inhibitors </w:t>
      </w:r>
      <w:r w:rsidRPr="00AA1344">
        <w:t xml:space="preserve">or vPDT in the study eye, or had pan-retinal or focal/grid laser </w:t>
      </w:r>
      <w:r w:rsidRPr="00763859">
        <w:t>photocoagulation with involvement of the macular area in the study eye. Therefore, at baseline, the trial populations were largely treatment-naïve in regard to prior treatment for CNV in the study eye. As a consequence, the submission provided limited</w:t>
      </w:r>
      <w:r w:rsidR="003D6787" w:rsidRPr="00763859">
        <w:t xml:space="preserve"> comparative data for treatment-</w:t>
      </w:r>
      <w:r w:rsidRPr="00763859">
        <w:t>experienced patients.</w:t>
      </w:r>
    </w:p>
    <w:p w:rsidR="00C64666" w:rsidRPr="00763859" w:rsidRDefault="00430608" w:rsidP="00E567E7">
      <w:pPr>
        <w:pStyle w:val="ListParagraph"/>
        <w:widowControl/>
        <w:numPr>
          <w:ilvl w:val="1"/>
          <w:numId w:val="1"/>
        </w:numPr>
      </w:pPr>
      <w:r w:rsidRPr="00763859">
        <w:t>In the safety set</w:t>
      </w:r>
      <w:r w:rsidR="00BD3065" w:rsidRPr="00763859">
        <w:t xml:space="preserve"> (all patients who received at least one application of study treatment and one post-baseline safety assessment)</w:t>
      </w:r>
      <w:r w:rsidRPr="00763859">
        <w:t xml:space="preserve">, 38/53 (72%) of patients randomised to vPDT in RADIANCE, and </w:t>
      </w:r>
      <w:r w:rsidR="00042B67">
        <w:rPr>
          <w:noProof/>
          <w:color w:val="000000"/>
          <w:highlight w:val="black"/>
        </w:rPr>
        <w:t>'''''''''''</w:t>
      </w:r>
      <w:r w:rsidRPr="00763859">
        <w:t xml:space="preserve"> (</w:t>
      </w:r>
      <w:r w:rsidR="00042B67">
        <w:rPr>
          <w:noProof/>
          <w:color w:val="000000"/>
          <w:highlight w:val="black"/>
        </w:rPr>
        <w:t>'''''</w:t>
      </w:r>
      <w:r w:rsidRPr="00763859">
        <w:t xml:space="preserve">%) of patients randomised to vPDT in BRILLIANCE received at least one injection of ranibizumab subsequent to </w:t>
      </w:r>
      <w:r w:rsidR="007E1DFF" w:rsidRPr="00763859">
        <w:t xml:space="preserve">the </w:t>
      </w:r>
      <w:r w:rsidR="00D45673" w:rsidRPr="00763859">
        <w:t xml:space="preserve">allowance of treatment switching at </w:t>
      </w:r>
      <w:r w:rsidRPr="00763859">
        <w:t>Month 3. Therefore, only the results over the first 3 months of the study provide a reliable comparison of the clinical efficacy and safety of ranibizumab versus vPDT.</w:t>
      </w:r>
      <w:r w:rsidR="00C64666" w:rsidRPr="00763859">
        <w:t xml:space="preserve"> The</w:t>
      </w:r>
      <w:r w:rsidR="00847B2C" w:rsidRPr="00763859">
        <w:t xml:space="preserve"> </w:t>
      </w:r>
      <w:r w:rsidR="00C64666" w:rsidRPr="00763859">
        <w:t xml:space="preserve">PSCR argued that allowing the vPDT arm of the trials to access ranibizumab at Month 3 was ethical and logical, reflecting the </w:t>
      </w:r>
      <w:r w:rsidR="005655D8" w:rsidRPr="00763859">
        <w:t xml:space="preserve">clinical </w:t>
      </w:r>
      <w:r w:rsidR="00C64666" w:rsidRPr="00763859">
        <w:t>value of ranibizumab in these patients.</w:t>
      </w:r>
    </w:p>
    <w:p w:rsidR="00430608" w:rsidRPr="00763859" w:rsidRDefault="006A28BC" w:rsidP="00E567E7">
      <w:pPr>
        <w:pStyle w:val="ListParagraph"/>
        <w:widowControl/>
        <w:numPr>
          <w:ilvl w:val="1"/>
          <w:numId w:val="1"/>
        </w:numPr>
      </w:pPr>
      <w:r w:rsidRPr="00763859">
        <w:t xml:space="preserve">The submission proposed a difference of at least 5 letters in the </w:t>
      </w:r>
      <w:r w:rsidR="00086D68" w:rsidRPr="00763859">
        <w:t>best corrected visual acuity (</w:t>
      </w:r>
      <w:r w:rsidRPr="00763859">
        <w:t>BCVA</w:t>
      </w:r>
      <w:r w:rsidR="00086D68" w:rsidRPr="00763859">
        <w:t>)</w:t>
      </w:r>
      <w:r w:rsidRPr="00763859">
        <w:t xml:space="preserve"> as the minimal clinically important difference (MCID) between the ranibizumab groups and vPDT. It was claimed that this had been previously accepted by the PBAC to provide an effective improvement in vision-related quality of life. The PBAC previously considered that an increase of 5 letters or more might represent a clinically meaningful difference for some patients in the treatment of DME (Ranibizumab PSD, March 2013 PBAC Meeting). </w:t>
      </w:r>
      <w:r w:rsidR="00430608" w:rsidRPr="00763859">
        <w:t>The PBAC clarified that the overall clinical meaningfulness of an improvement of 5 or more letters in the treated eye will depend on the baseline VA of the patient in both eyes and on the subsequent overall VA during and after treatment. Those</w:t>
      </w:r>
      <w:r w:rsidR="00E84204" w:rsidRPr="00763859">
        <w:t xml:space="preserve"> patients</w:t>
      </w:r>
      <w:r w:rsidR="00430608" w:rsidRPr="00763859">
        <w:t xml:space="preserve"> with well-preserved vision at baseline may experience a less clinically meaningful outcome than those patients with poorer vision at baseline (Ranibizumab-DME PSD, November 2013 PBAC Meeting). </w:t>
      </w:r>
      <w:r w:rsidR="00B70DE6" w:rsidRPr="00763859">
        <w:t>T</w:t>
      </w:r>
      <w:r w:rsidR="00430608" w:rsidRPr="00763859">
        <w:t>he PBAC subsequently recommended extending the listing of ranibizumab to include treatment of DME on the basis of treatment effects of this magnitude (Ranibizumab-DM</w:t>
      </w:r>
      <w:r w:rsidR="003D6787" w:rsidRPr="00763859">
        <w:t>E PSD, July 2014 PBAC Meeting).</w:t>
      </w:r>
    </w:p>
    <w:p w:rsidR="00430608" w:rsidRPr="00763859" w:rsidRDefault="00430608" w:rsidP="00E567E7">
      <w:pPr>
        <w:pStyle w:val="ListParagraph"/>
        <w:widowControl/>
        <w:numPr>
          <w:ilvl w:val="1"/>
          <w:numId w:val="1"/>
        </w:numPr>
      </w:pPr>
      <w:r w:rsidRPr="00763859">
        <w:lastRenderedPageBreak/>
        <w:t xml:space="preserve">The key secondary outcome in both trials was to demonstrate non-inferiority of ranibizumab therapy </w:t>
      </w:r>
      <w:r w:rsidR="00A814CB" w:rsidRPr="00763859">
        <w:t>guided</w:t>
      </w:r>
      <w:r w:rsidRPr="00763859">
        <w:t xml:space="preserve"> by disease activity re-treatment criteria versus ranibizumab therapy </w:t>
      </w:r>
      <w:r w:rsidR="00A814CB" w:rsidRPr="00763859">
        <w:t>guided</w:t>
      </w:r>
      <w:r w:rsidRPr="00763859">
        <w:t xml:space="preserve"> by VA stabilisation criteria, as assessed by the difference between the average level of BCVA over all monthly post-baseline assessments </w:t>
      </w:r>
      <w:r w:rsidR="006A28BC" w:rsidRPr="00763859">
        <w:t>(</w:t>
      </w:r>
      <w:r w:rsidRPr="00763859">
        <w:t>from Month 1 to Month 6</w:t>
      </w:r>
      <w:r w:rsidR="006A28BC" w:rsidRPr="00763859">
        <w:t>)</w:t>
      </w:r>
      <w:r w:rsidRPr="00763859">
        <w:t xml:space="preserve"> and the baseline level of BCVA. The pre-specified non-inferiority margin was 5 letters.</w:t>
      </w:r>
    </w:p>
    <w:p w:rsidR="00430608" w:rsidRPr="00124360" w:rsidRDefault="00430608" w:rsidP="00AC1DDD">
      <w:pPr>
        <w:pStyle w:val="Heading2"/>
      </w:pPr>
      <w:bookmarkStart w:id="15" w:name="_Toc500424303"/>
      <w:bookmarkStart w:id="16" w:name="_Toc503188225"/>
      <w:r w:rsidRPr="00124360">
        <w:t>Comparative effectiveness</w:t>
      </w:r>
      <w:bookmarkEnd w:id="15"/>
      <w:bookmarkEnd w:id="16"/>
    </w:p>
    <w:p w:rsidR="00430608" w:rsidRPr="00763859" w:rsidRDefault="00430608" w:rsidP="00E567E7">
      <w:pPr>
        <w:pStyle w:val="ListParagraph"/>
        <w:widowControl/>
        <w:numPr>
          <w:ilvl w:val="1"/>
          <w:numId w:val="1"/>
        </w:numPr>
        <w:spacing w:before="160"/>
      </w:pPr>
      <w:r w:rsidRPr="00763859">
        <w:t>The results for the primary outcome in RADIANCE and BRILLIANCE, the difference between the average level of BCVA of the study eye from Month 1 through Month 3 and the baseline BCVA of the study eye, are summarised in</w:t>
      </w:r>
      <w:r w:rsidR="0016245E" w:rsidRPr="00763859">
        <w:t xml:space="preserve"> Table 4</w:t>
      </w:r>
      <w:r w:rsidRPr="00763859">
        <w:t>.</w:t>
      </w:r>
    </w:p>
    <w:p w:rsidR="00430608" w:rsidRDefault="00430608" w:rsidP="00430608">
      <w:pPr>
        <w:pStyle w:val="ListParagraph"/>
        <w:widowControl/>
        <w:spacing w:after="0"/>
        <w:ind w:left="822" w:hanging="822"/>
        <w:rPr>
          <w:rStyle w:val="CommentReference"/>
        </w:rPr>
      </w:pPr>
      <w:r>
        <w:rPr>
          <w:rStyle w:val="CommentReference"/>
        </w:rPr>
        <w:t>Table 4</w:t>
      </w:r>
      <w:r w:rsidRPr="009856D1">
        <w:rPr>
          <w:rStyle w:val="CommentReference"/>
        </w:rPr>
        <w:t>: Average change in BCVA of the study eye from baseline to Month 1 through Month 3</w:t>
      </w:r>
      <w:r>
        <w:rPr>
          <w:rStyle w:val="CommentReference"/>
        </w:rPr>
        <w:t>*</w:t>
      </w:r>
      <w:r w:rsidR="006B6F11">
        <w:rPr>
          <w:rStyle w:val="CommentReference"/>
        </w:rPr>
        <w:t xml:space="preserve"> (FAS, modified </w:t>
      </w:r>
      <w:r w:rsidRPr="009856D1">
        <w:rPr>
          <w:rStyle w:val="CommentReference"/>
        </w:rPr>
        <w:t>LOCF)</w:t>
      </w:r>
    </w:p>
    <w:tbl>
      <w:tblPr>
        <w:tblStyle w:val="TableGrid"/>
        <w:tblW w:w="4907" w:type="pct"/>
        <w:tblInd w:w="108" w:type="dxa"/>
        <w:tblLook w:val="04A0" w:firstRow="1" w:lastRow="0" w:firstColumn="1" w:lastColumn="0" w:noHBand="0" w:noVBand="1"/>
        <w:tblCaption w:val="Table 4: Average change in BCVA of the study eye from baseline to Month 1 through Month 3* (FAS, modified LOCF)"/>
      </w:tblPr>
      <w:tblGrid>
        <w:gridCol w:w="3384"/>
        <w:gridCol w:w="1918"/>
        <w:gridCol w:w="1919"/>
        <w:gridCol w:w="1850"/>
      </w:tblGrid>
      <w:tr w:rsidR="00430608" w:rsidRPr="00EC7BAB" w:rsidTr="006B6F11">
        <w:trPr>
          <w:tblHeader/>
        </w:trPr>
        <w:tc>
          <w:tcPr>
            <w:tcW w:w="1865" w:type="pct"/>
            <w:vMerge w:val="restart"/>
          </w:tcPr>
          <w:p w:rsidR="00430608" w:rsidRPr="00EC7BAB" w:rsidRDefault="00430608" w:rsidP="00FF3C3E">
            <w:pPr>
              <w:pStyle w:val="TableText0"/>
              <w:rPr>
                <w:b/>
              </w:rPr>
            </w:pPr>
          </w:p>
        </w:tc>
        <w:tc>
          <w:tcPr>
            <w:tcW w:w="2114" w:type="pct"/>
            <w:gridSpan w:val="2"/>
            <w:tcBorders>
              <w:bottom w:val="single" w:sz="4" w:space="0" w:color="auto"/>
            </w:tcBorders>
          </w:tcPr>
          <w:p w:rsidR="00430608" w:rsidRPr="00765E11" w:rsidRDefault="002B53AE" w:rsidP="00FF3C3E">
            <w:pPr>
              <w:pStyle w:val="Tabletext"/>
              <w:jc w:val="center"/>
              <w:rPr>
                <w:b/>
              </w:rPr>
            </w:pPr>
            <w:r w:rsidRPr="00765E11">
              <w:rPr>
                <w:b/>
              </w:rPr>
              <w:t>Ranibizumab</w:t>
            </w:r>
          </w:p>
        </w:tc>
        <w:tc>
          <w:tcPr>
            <w:tcW w:w="1021" w:type="pct"/>
            <w:tcBorders>
              <w:bottom w:val="single" w:sz="4" w:space="0" w:color="auto"/>
            </w:tcBorders>
          </w:tcPr>
          <w:p w:rsidR="00430608" w:rsidRPr="00765E11" w:rsidRDefault="00430608" w:rsidP="00FF3C3E">
            <w:pPr>
              <w:pStyle w:val="Tabletext"/>
              <w:jc w:val="center"/>
              <w:rPr>
                <w:b/>
              </w:rPr>
            </w:pPr>
            <w:r w:rsidRPr="00765E11">
              <w:rPr>
                <w:b/>
              </w:rPr>
              <w:t>vPDT</w:t>
            </w:r>
          </w:p>
        </w:tc>
      </w:tr>
      <w:tr w:rsidR="00430608" w:rsidRPr="00EC7BAB" w:rsidTr="006B6F11">
        <w:trPr>
          <w:tblHeader/>
        </w:trPr>
        <w:tc>
          <w:tcPr>
            <w:tcW w:w="1865" w:type="pct"/>
            <w:vMerge/>
            <w:tcBorders>
              <w:bottom w:val="double" w:sz="4" w:space="0" w:color="auto"/>
            </w:tcBorders>
          </w:tcPr>
          <w:p w:rsidR="00430608" w:rsidRPr="00EC7BAB" w:rsidRDefault="00430608" w:rsidP="00FF3C3E">
            <w:pPr>
              <w:pStyle w:val="TableText0"/>
              <w:rPr>
                <w:b/>
              </w:rPr>
            </w:pPr>
          </w:p>
        </w:tc>
        <w:tc>
          <w:tcPr>
            <w:tcW w:w="1057" w:type="pct"/>
            <w:tcBorders>
              <w:bottom w:val="double" w:sz="4" w:space="0" w:color="auto"/>
            </w:tcBorders>
            <w:vAlign w:val="center"/>
          </w:tcPr>
          <w:p w:rsidR="00430608" w:rsidRPr="00765E11" w:rsidRDefault="00430608" w:rsidP="00FF3C3E">
            <w:pPr>
              <w:pStyle w:val="Tabletext"/>
              <w:jc w:val="center"/>
              <w:rPr>
                <w:b/>
              </w:rPr>
            </w:pPr>
            <w:r>
              <w:rPr>
                <w:b/>
              </w:rPr>
              <w:t xml:space="preserve">Group I </w:t>
            </w:r>
            <w:r w:rsidRPr="00765E11">
              <w:rPr>
                <w:b/>
              </w:rPr>
              <w:t>by</w:t>
            </w:r>
          </w:p>
          <w:p w:rsidR="00430608" w:rsidRPr="00765E11" w:rsidRDefault="00430608" w:rsidP="00FF3C3E">
            <w:pPr>
              <w:pStyle w:val="Tabletext"/>
              <w:jc w:val="center"/>
              <w:rPr>
                <w:b/>
              </w:rPr>
            </w:pPr>
            <w:r w:rsidRPr="00765E11">
              <w:rPr>
                <w:b/>
              </w:rPr>
              <w:t>VA stabilisation</w:t>
            </w:r>
          </w:p>
        </w:tc>
        <w:tc>
          <w:tcPr>
            <w:tcW w:w="1058" w:type="pct"/>
            <w:tcBorders>
              <w:bottom w:val="double" w:sz="4" w:space="0" w:color="auto"/>
            </w:tcBorders>
            <w:vAlign w:val="center"/>
          </w:tcPr>
          <w:p w:rsidR="00430608" w:rsidRPr="00765E11" w:rsidRDefault="00430608" w:rsidP="00FF3C3E">
            <w:pPr>
              <w:pStyle w:val="Tabletext"/>
              <w:jc w:val="center"/>
              <w:rPr>
                <w:b/>
              </w:rPr>
            </w:pPr>
            <w:r w:rsidRPr="00765E11">
              <w:rPr>
                <w:b/>
              </w:rPr>
              <w:t>Group II by</w:t>
            </w:r>
          </w:p>
          <w:p w:rsidR="00430608" w:rsidRPr="00765E11" w:rsidRDefault="00430608" w:rsidP="00FF3C3E">
            <w:pPr>
              <w:pStyle w:val="Tabletext"/>
              <w:jc w:val="center"/>
              <w:rPr>
                <w:b/>
              </w:rPr>
            </w:pPr>
            <w:r w:rsidRPr="00765E11">
              <w:rPr>
                <w:b/>
              </w:rPr>
              <w:t>disease activity</w:t>
            </w:r>
          </w:p>
        </w:tc>
        <w:tc>
          <w:tcPr>
            <w:tcW w:w="1021" w:type="pct"/>
            <w:tcBorders>
              <w:bottom w:val="double" w:sz="4" w:space="0" w:color="auto"/>
            </w:tcBorders>
            <w:vAlign w:val="center"/>
          </w:tcPr>
          <w:p w:rsidR="00430608" w:rsidRPr="00765E11" w:rsidRDefault="00430608" w:rsidP="00FF3C3E">
            <w:pPr>
              <w:pStyle w:val="Tabletext"/>
              <w:jc w:val="center"/>
              <w:rPr>
                <w:b/>
              </w:rPr>
            </w:pPr>
            <w:r w:rsidRPr="00765E11">
              <w:rPr>
                <w:b/>
              </w:rPr>
              <w:t>Group III</w:t>
            </w:r>
          </w:p>
        </w:tc>
      </w:tr>
      <w:tr w:rsidR="00430608" w:rsidTr="00A009FE">
        <w:tc>
          <w:tcPr>
            <w:tcW w:w="1865" w:type="pct"/>
            <w:tcBorders>
              <w:top w:val="single" w:sz="4" w:space="0" w:color="auto"/>
            </w:tcBorders>
          </w:tcPr>
          <w:p w:rsidR="00430608" w:rsidRPr="009A6027" w:rsidRDefault="00430608" w:rsidP="00FF3C3E">
            <w:pPr>
              <w:pStyle w:val="Tabletext"/>
              <w:rPr>
                <w:b/>
              </w:rPr>
            </w:pPr>
            <w:r w:rsidRPr="009A6027">
              <w:rPr>
                <w:b/>
              </w:rPr>
              <w:t>RADIANCE</w:t>
            </w:r>
          </w:p>
        </w:tc>
        <w:tc>
          <w:tcPr>
            <w:tcW w:w="1057" w:type="pct"/>
            <w:tcBorders>
              <w:top w:val="single" w:sz="4" w:space="0" w:color="auto"/>
            </w:tcBorders>
          </w:tcPr>
          <w:p w:rsidR="00430608" w:rsidRPr="00427D0D" w:rsidRDefault="00430608" w:rsidP="00FF3C3E">
            <w:pPr>
              <w:pStyle w:val="Tabletext"/>
              <w:jc w:val="center"/>
              <w:rPr>
                <w:b/>
                <w:vertAlign w:val="superscript"/>
              </w:rPr>
            </w:pPr>
            <w:r w:rsidRPr="009A6027">
              <w:rPr>
                <w:b/>
              </w:rPr>
              <w:t>N=105</w:t>
            </w:r>
            <w:r>
              <w:rPr>
                <w:b/>
                <w:vertAlign w:val="superscript"/>
              </w:rPr>
              <w:t>a</w:t>
            </w:r>
          </w:p>
        </w:tc>
        <w:tc>
          <w:tcPr>
            <w:tcW w:w="1058" w:type="pct"/>
            <w:tcBorders>
              <w:top w:val="single" w:sz="4" w:space="0" w:color="auto"/>
            </w:tcBorders>
          </w:tcPr>
          <w:p w:rsidR="00430608" w:rsidRPr="009A6027" w:rsidRDefault="00430608" w:rsidP="00FF3C3E">
            <w:pPr>
              <w:pStyle w:val="Tabletext"/>
              <w:jc w:val="center"/>
              <w:rPr>
                <w:b/>
              </w:rPr>
            </w:pPr>
            <w:r w:rsidRPr="009A6027">
              <w:rPr>
                <w:b/>
              </w:rPr>
              <w:t>N=116</w:t>
            </w:r>
          </w:p>
        </w:tc>
        <w:tc>
          <w:tcPr>
            <w:tcW w:w="1021" w:type="pct"/>
            <w:tcBorders>
              <w:top w:val="single" w:sz="4" w:space="0" w:color="auto"/>
            </w:tcBorders>
          </w:tcPr>
          <w:p w:rsidR="00430608" w:rsidRPr="009A6027" w:rsidRDefault="00430608" w:rsidP="00FF3C3E">
            <w:pPr>
              <w:pStyle w:val="Tabletext"/>
              <w:jc w:val="center"/>
              <w:rPr>
                <w:b/>
              </w:rPr>
            </w:pPr>
            <w:r w:rsidRPr="009A6027">
              <w:rPr>
                <w:b/>
              </w:rPr>
              <w:t>N=55</w:t>
            </w:r>
          </w:p>
        </w:tc>
      </w:tr>
      <w:tr w:rsidR="00430608" w:rsidRPr="00765E11" w:rsidTr="00A009FE">
        <w:tc>
          <w:tcPr>
            <w:tcW w:w="5000" w:type="pct"/>
            <w:gridSpan w:val="4"/>
            <w:tcBorders>
              <w:top w:val="single" w:sz="4" w:space="0" w:color="auto"/>
            </w:tcBorders>
          </w:tcPr>
          <w:p w:rsidR="00430608" w:rsidRPr="00765E11" w:rsidRDefault="00430608" w:rsidP="00FF3C3E">
            <w:pPr>
              <w:pStyle w:val="TableText0"/>
              <w:rPr>
                <w:b/>
              </w:rPr>
            </w:pPr>
            <w:r w:rsidRPr="00D85C64">
              <w:t>BCVA (letters), mean (SD)</w:t>
            </w:r>
          </w:p>
        </w:tc>
      </w:tr>
      <w:tr w:rsidR="00430608" w:rsidTr="00A009FE">
        <w:tc>
          <w:tcPr>
            <w:tcW w:w="1865" w:type="pct"/>
          </w:tcPr>
          <w:p w:rsidR="00430608" w:rsidRDefault="00430608" w:rsidP="00FF3C3E">
            <w:pPr>
              <w:pStyle w:val="Tabletext"/>
              <w:ind w:left="142"/>
            </w:pPr>
            <w:r>
              <w:t xml:space="preserve">Baseline </w:t>
            </w:r>
          </w:p>
        </w:tc>
        <w:tc>
          <w:tcPr>
            <w:tcW w:w="1057" w:type="pct"/>
          </w:tcPr>
          <w:p w:rsidR="00430608" w:rsidRPr="00EC7BAB" w:rsidRDefault="002B53AE" w:rsidP="00FF3C3E">
            <w:pPr>
              <w:pStyle w:val="Tabletext"/>
              <w:jc w:val="center"/>
            </w:pPr>
            <w:r w:rsidRPr="00EC7BAB">
              <w:t>55.4 (13.43)</w:t>
            </w:r>
          </w:p>
        </w:tc>
        <w:tc>
          <w:tcPr>
            <w:tcW w:w="1058" w:type="pct"/>
          </w:tcPr>
          <w:p w:rsidR="00430608" w:rsidRPr="00EC7BAB" w:rsidRDefault="00430608" w:rsidP="00FF3C3E">
            <w:pPr>
              <w:pStyle w:val="Tabletext"/>
              <w:jc w:val="center"/>
            </w:pPr>
            <w:r w:rsidRPr="00EC7BAB">
              <w:t>55.8 (12.59)</w:t>
            </w:r>
          </w:p>
        </w:tc>
        <w:tc>
          <w:tcPr>
            <w:tcW w:w="1021" w:type="pct"/>
          </w:tcPr>
          <w:p w:rsidR="00430608" w:rsidRPr="00EC7BAB" w:rsidRDefault="00430608" w:rsidP="00FF3C3E">
            <w:pPr>
              <w:pStyle w:val="Tabletext"/>
              <w:jc w:val="center"/>
            </w:pPr>
            <w:r w:rsidRPr="00EC7BAB">
              <w:t>54.7 (13.84)</w:t>
            </w:r>
          </w:p>
        </w:tc>
      </w:tr>
      <w:tr w:rsidR="00430608" w:rsidTr="00A009FE">
        <w:tc>
          <w:tcPr>
            <w:tcW w:w="1865" w:type="pct"/>
            <w:tcBorders>
              <w:bottom w:val="single" w:sz="4" w:space="0" w:color="auto"/>
            </w:tcBorders>
          </w:tcPr>
          <w:p w:rsidR="00430608" w:rsidRDefault="00430608" w:rsidP="00FF3C3E">
            <w:pPr>
              <w:pStyle w:val="Tabletext"/>
              <w:ind w:left="142"/>
            </w:pPr>
            <w:r>
              <w:t>Average Month 1 to Month 3</w:t>
            </w:r>
          </w:p>
        </w:tc>
        <w:tc>
          <w:tcPr>
            <w:tcW w:w="1057" w:type="pct"/>
            <w:tcBorders>
              <w:bottom w:val="single" w:sz="4" w:space="0" w:color="auto"/>
            </w:tcBorders>
          </w:tcPr>
          <w:p w:rsidR="00430608" w:rsidRPr="00EC7BAB" w:rsidRDefault="00430608" w:rsidP="00FF3C3E">
            <w:pPr>
              <w:pStyle w:val="Tabletext"/>
              <w:jc w:val="center"/>
            </w:pPr>
            <w:r w:rsidRPr="00EC7BAB">
              <w:t>66.0 (12.98)</w:t>
            </w:r>
          </w:p>
        </w:tc>
        <w:tc>
          <w:tcPr>
            <w:tcW w:w="1058" w:type="pct"/>
            <w:tcBorders>
              <w:bottom w:val="single" w:sz="4" w:space="0" w:color="auto"/>
            </w:tcBorders>
          </w:tcPr>
          <w:p w:rsidR="00430608" w:rsidRPr="00EC7BAB" w:rsidRDefault="00430608" w:rsidP="00FF3C3E">
            <w:pPr>
              <w:pStyle w:val="Tabletext"/>
              <w:jc w:val="center"/>
            </w:pPr>
            <w:r w:rsidRPr="00EC7BAB">
              <w:t>66.4 (12.28)</w:t>
            </w:r>
          </w:p>
        </w:tc>
        <w:tc>
          <w:tcPr>
            <w:tcW w:w="1021" w:type="pct"/>
            <w:tcBorders>
              <w:bottom w:val="single" w:sz="4" w:space="0" w:color="auto"/>
            </w:tcBorders>
          </w:tcPr>
          <w:p w:rsidR="00430608" w:rsidRPr="00EC7BAB" w:rsidRDefault="00430608" w:rsidP="00FF3C3E">
            <w:pPr>
              <w:pStyle w:val="Tabletext"/>
              <w:jc w:val="center"/>
            </w:pPr>
            <w:r w:rsidRPr="00EC7BAB">
              <w:t>56.9 (14.49)</w:t>
            </w:r>
          </w:p>
        </w:tc>
      </w:tr>
      <w:tr w:rsidR="00430608" w:rsidTr="00A009FE">
        <w:tc>
          <w:tcPr>
            <w:tcW w:w="1865" w:type="pct"/>
            <w:tcBorders>
              <w:bottom w:val="single" w:sz="4" w:space="0" w:color="auto"/>
            </w:tcBorders>
          </w:tcPr>
          <w:p w:rsidR="00430608" w:rsidRDefault="00430608" w:rsidP="00FF3C3E">
            <w:pPr>
              <w:pStyle w:val="Tabletext"/>
            </w:pPr>
            <w:r>
              <w:t>Average change from baseline, mean (SD)</w:t>
            </w:r>
          </w:p>
        </w:tc>
        <w:tc>
          <w:tcPr>
            <w:tcW w:w="1057" w:type="pct"/>
            <w:tcBorders>
              <w:bottom w:val="single" w:sz="4" w:space="0" w:color="auto"/>
            </w:tcBorders>
          </w:tcPr>
          <w:p w:rsidR="00430608" w:rsidRDefault="00430608" w:rsidP="00FF3C3E">
            <w:pPr>
              <w:pStyle w:val="Tabletext"/>
              <w:jc w:val="center"/>
            </w:pPr>
            <w:r w:rsidRPr="00EC7BAB">
              <w:t>10.5 (8.16)</w:t>
            </w:r>
          </w:p>
        </w:tc>
        <w:tc>
          <w:tcPr>
            <w:tcW w:w="1058" w:type="pct"/>
            <w:tcBorders>
              <w:bottom w:val="single" w:sz="4" w:space="0" w:color="auto"/>
            </w:tcBorders>
          </w:tcPr>
          <w:p w:rsidR="00430608" w:rsidRDefault="00430608" w:rsidP="00FF3C3E">
            <w:pPr>
              <w:pStyle w:val="Tabletext"/>
              <w:jc w:val="center"/>
            </w:pPr>
            <w:r w:rsidRPr="00EC7BAB">
              <w:t>10.6 (7.26)</w:t>
            </w:r>
          </w:p>
        </w:tc>
        <w:tc>
          <w:tcPr>
            <w:tcW w:w="1021" w:type="pct"/>
            <w:tcBorders>
              <w:bottom w:val="single" w:sz="4" w:space="0" w:color="auto"/>
            </w:tcBorders>
          </w:tcPr>
          <w:p w:rsidR="00430608" w:rsidRDefault="00430608" w:rsidP="00FF3C3E">
            <w:pPr>
              <w:pStyle w:val="Tabletext"/>
              <w:jc w:val="center"/>
            </w:pPr>
            <w:r w:rsidRPr="00EC7BAB">
              <w:t>2.2 (9.47)</w:t>
            </w:r>
          </w:p>
        </w:tc>
      </w:tr>
      <w:tr w:rsidR="00430608" w:rsidTr="00A009FE">
        <w:tc>
          <w:tcPr>
            <w:tcW w:w="5000" w:type="pct"/>
            <w:gridSpan w:val="4"/>
            <w:tcBorders>
              <w:top w:val="single" w:sz="4" w:space="0" w:color="auto"/>
              <w:bottom w:val="single" w:sz="4" w:space="0" w:color="auto"/>
            </w:tcBorders>
          </w:tcPr>
          <w:p w:rsidR="00430608" w:rsidRDefault="00430608" w:rsidP="00FF3C3E">
            <w:pPr>
              <w:pStyle w:val="TableText0"/>
            </w:pPr>
            <w:r>
              <w:t>Comparison ranibizumab vs vPDT</w:t>
            </w:r>
          </w:p>
        </w:tc>
      </w:tr>
      <w:tr w:rsidR="00430608" w:rsidTr="00A009FE">
        <w:tc>
          <w:tcPr>
            <w:tcW w:w="1865" w:type="pct"/>
            <w:tcBorders>
              <w:bottom w:val="nil"/>
            </w:tcBorders>
          </w:tcPr>
          <w:p w:rsidR="00430608" w:rsidRPr="00FF0407" w:rsidRDefault="00430608" w:rsidP="00FF3C3E">
            <w:pPr>
              <w:pStyle w:val="Tabletext"/>
              <w:rPr>
                <w:vertAlign w:val="superscript"/>
              </w:rPr>
            </w:pPr>
            <w:r>
              <w:t>Difference in LS mean (95% CI)</w:t>
            </w:r>
            <w:r>
              <w:rPr>
                <w:vertAlign w:val="superscript"/>
              </w:rPr>
              <w:t>b</w:t>
            </w:r>
          </w:p>
        </w:tc>
        <w:tc>
          <w:tcPr>
            <w:tcW w:w="1057" w:type="pct"/>
            <w:tcBorders>
              <w:bottom w:val="nil"/>
            </w:tcBorders>
          </w:tcPr>
          <w:p w:rsidR="00430608" w:rsidRDefault="00430608" w:rsidP="00FF3C3E">
            <w:pPr>
              <w:pStyle w:val="Tabletext"/>
              <w:jc w:val="center"/>
            </w:pPr>
            <w:r>
              <w:t>8.5 (5.8, 11.2)</w:t>
            </w:r>
          </w:p>
        </w:tc>
        <w:tc>
          <w:tcPr>
            <w:tcW w:w="1058" w:type="pct"/>
            <w:tcBorders>
              <w:bottom w:val="nil"/>
            </w:tcBorders>
          </w:tcPr>
          <w:p w:rsidR="00430608" w:rsidRDefault="00430608" w:rsidP="00FF3C3E">
            <w:pPr>
              <w:pStyle w:val="Tabletext"/>
              <w:jc w:val="center"/>
            </w:pPr>
            <w:r>
              <w:t>8.6 (6.1, 11.1)</w:t>
            </w:r>
          </w:p>
        </w:tc>
        <w:tc>
          <w:tcPr>
            <w:tcW w:w="1021" w:type="pct"/>
            <w:tcBorders>
              <w:bottom w:val="nil"/>
            </w:tcBorders>
          </w:tcPr>
          <w:p w:rsidR="00430608" w:rsidRDefault="00430608" w:rsidP="00FF3C3E">
            <w:pPr>
              <w:pStyle w:val="TableText0"/>
              <w:jc w:val="center"/>
            </w:pPr>
          </w:p>
        </w:tc>
      </w:tr>
      <w:tr w:rsidR="00430608" w:rsidTr="00A009FE">
        <w:tc>
          <w:tcPr>
            <w:tcW w:w="1865" w:type="pct"/>
            <w:tcBorders>
              <w:top w:val="nil"/>
              <w:bottom w:val="double" w:sz="4" w:space="0" w:color="auto"/>
            </w:tcBorders>
          </w:tcPr>
          <w:p w:rsidR="00430608" w:rsidRPr="00FF0407" w:rsidRDefault="00430608" w:rsidP="00FF3C3E">
            <w:pPr>
              <w:pStyle w:val="Tabletext"/>
              <w:rPr>
                <w:vertAlign w:val="superscript"/>
              </w:rPr>
            </w:pPr>
            <w:r>
              <w:t>p-value</w:t>
            </w:r>
            <w:r>
              <w:rPr>
                <w:vertAlign w:val="superscript"/>
              </w:rPr>
              <w:t>c</w:t>
            </w:r>
          </w:p>
        </w:tc>
        <w:tc>
          <w:tcPr>
            <w:tcW w:w="1057" w:type="pct"/>
            <w:tcBorders>
              <w:top w:val="nil"/>
              <w:bottom w:val="double" w:sz="4" w:space="0" w:color="auto"/>
            </w:tcBorders>
          </w:tcPr>
          <w:p w:rsidR="00430608" w:rsidRDefault="00430608" w:rsidP="00FF3C3E">
            <w:pPr>
              <w:pStyle w:val="Tabletext"/>
              <w:jc w:val="center"/>
            </w:pPr>
            <w:r>
              <w:t>&lt;0.00001</w:t>
            </w:r>
          </w:p>
        </w:tc>
        <w:tc>
          <w:tcPr>
            <w:tcW w:w="1058" w:type="pct"/>
            <w:tcBorders>
              <w:top w:val="nil"/>
              <w:bottom w:val="double" w:sz="4" w:space="0" w:color="auto"/>
            </w:tcBorders>
          </w:tcPr>
          <w:p w:rsidR="00430608" w:rsidRDefault="00430608" w:rsidP="00FF3C3E">
            <w:pPr>
              <w:pStyle w:val="Tabletext"/>
              <w:jc w:val="center"/>
            </w:pPr>
            <w:r>
              <w:t>&lt;0.00001</w:t>
            </w:r>
          </w:p>
        </w:tc>
        <w:tc>
          <w:tcPr>
            <w:tcW w:w="1021" w:type="pct"/>
            <w:tcBorders>
              <w:top w:val="nil"/>
              <w:bottom w:val="double" w:sz="4" w:space="0" w:color="auto"/>
            </w:tcBorders>
          </w:tcPr>
          <w:p w:rsidR="00430608" w:rsidRDefault="00430608" w:rsidP="00FF3C3E">
            <w:pPr>
              <w:pStyle w:val="TableText0"/>
              <w:jc w:val="center"/>
            </w:pPr>
          </w:p>
        </w:tc>
      </w:tr>
      <w:tr w:rsidR="00430608" w:rsidRPr="00765E11" w:rsidTr="00A009FE">
        <w:tc>
          <w:tcPr>
            <w:tcW w:w="1865" w:type="pct"/>
            <w:tcBorders>
              <w:top w:val="double" w:sz="4" w:space="0" w:color="auto"/>
            </w:tcBorders>
          </w:tcPr>
          <w:p w:rsidR="00430608" w:rsidRPr="00765E11" w:rsidRDefault="00430608" w:rsidP="00FF3C3E">
            <w:pPr>
              <w:pStyle w:val="Tabletext"/>
              <w:rPr>
                <w:b/>
              </w:rPr>
            </w:pPr>
            <w:r w:rsidRPr="00765E11">
              <w:rPr>
                <w:b/>
              </w:rPr>
              <w:t>BRILLIANCE</w:t>
            </w:r>
          </w:p>
        </w:tc>
        <w:tc>
          <w:tcPr>
            <w:tcW w:w="1057" w:type="pct"/>
            <w:tcBorders>
              <w:top w:val="double" w:sz="4" w:space="0" w:color="auto"/>
            </w:tcBorders>
          </w:tcPr>
          <w:p w:rsidR="00430608" w:rsidRPr="00042B67" w:rsidRDefault="00042B67" w:rsidP="00FF3C3E">
            <w:pPr>
              <w:pStyle w:val="Tabletext"/>
              <w:jc w:val="center"/>
              <w:rPr>
                <w:b/>
                <w:highlight w:val="black"/>
              </w:rPr>
            </w:pPr>
            <w:r>
              <w:rPr>
                <w:b/>
                <w:noProof/>
                <w:color w:val="000000"/>
                <w:highlight w:val="black"/>
              </w:rPr>
              <w:t>''''''''''''''</w:t>
            </w:r>
          </w:p>
        </w:tc>
        <w:tc>
          <w:tcPr>
            <w:tcW w:w="1058" w:type="pct"/>
            <w:tcBorders>
              <w:top w:val="double" w:sz="4" w:space="0" w:color="auto"/>
            </w:tcBorders>
          </w:tcPr>
          <w:p w:rsidR="00430608" w:rsidRPr="00042B67" w:rsidRDefault="00042B67" w:rsidP="00FF3C3E">
            <w:pPr>
              <w:pStyle w:val="Tabletext"/>
              <w:jc w:val="center"/>
              <w:rPr>
                <w:b/>
                <w:highlight w:val="black"/>
              </w:rPr>
            </w:pPr>
            <w:r>
              <w:rPr>
                <w:b/>
                <w:noProof/>
                <w:color w:val="000000"/>
                <w:highlight w:val="black"/>
              </w:rPr>
              <w:t>'''''''''''''</w:t>
            </w:r>
          </w:p>
        </w:tc>
        <w:tc>
          <w:tcPr>
            <w:tcW w:w="1021" w:type="pct"/>
            <w:tcBorders>
              <w:top w:val="double" w:sz="4" w:space="0" w:color="auto"/>
            </w:tcBorders>
          </w:tcPr>
          <w:p w:rsidR="00430608" w:rsidRPr="00042B67" w:rsidRDefault="00042B67" w:rsidP="00FF3C3E">
            <w:pPr>
              <w:pStyle w:val="Tabletext"/>
              <w:jc w:val="center"/>
              <w:rPr>
                <w:b/>
                <w:highlight w:val="black"/>
              </w:rPr>
            </w:pPr>
            <w:r>
              <w:rPr>
                <w:b/>
                <w:noProof/>
                <w:color w:val="000000"/>
                <w:highlight w:val="black"/>
              </w:rPr>
              <w:t>''''''''''</w:t>
            </w:r>
          </w:p>
        </w:tc>
      </w:tr>
      <w:tr w:rsidR="00430608" w:rsidTr="00A009FE">
        <w:tc>
          <w:tcPr>
            <w:tcW w:w="5000" w:type="pct"/>
            <w:gridSpan w:val="4"/>
            <w:tcBorders>
              <w:top w:val="single" w:sz="4" w:space="0" w:color="auto"/>
            </w:tcBorders>
          </w:tcPr>
          <w:p w:rsidR="00430608" w:rsidRPr="00EC7BAB" w:rsidRDefault="00430608" w:rsidP="00FF3C3E">
            <w:pPr>
              <w:pStyle w:val="TableText0"/>
            </w:pPr>
            <w:r>
              <w:t>BCVA (letters), mean (SD)</w:t>
            </w:r>
          </w:p>
        </w:tc>
      </w:tr>
      <w:tr w:rsidR="00430608" w:rsidTr="00A009FE">
        <w:tc>
          <w:tcPr>
            <w:tcW w:w="1865" w:type="pct"/>
          </w:tcPr>
          <w:p w:rsidR="00430608" w:rsidRPr="00A82567" w:rsidRDefault="00430608" w:rsidP="00FF3C3E">
            <w:pPr>
              <w:pStyle w:val="Tabletext"/>
              <w:ind w:left="142"/>
            </w:pPr>
            <w:r w:rsidRPr="00A82567">
              <w:t xml:space="preserve">Baseline </w:t>
            </w:r>
          </w:p>
        </w:tc>
        <w:tc>
          <w:tcPr>
            <w:tcW w:w="1057" w:type="pct"/>
          </w:tcPr>
          <w:p w:rsidR="00430608" w:rsidRPr="00042B67" w:rsidRDefault="00042B67" w:rsidP="00FF3C3E">
            <w:pPr>
              <w:pStyle w:val="Tabletext"/>
              <w:jc w:val="center"/>
              <w:rPr>
                <w:highlight w:val="black"/>
              </w:rPr>
            </w:pPr>
            <w:r>
              <w:rPr>
                <w:noProof/>
                <w:color w:val="000000"/>
                <w:highlight w:val="black"/>
              </w:rPr>
              <w:t>''''''''''' ''''''''''''''''''</w:t>
            </w:r>
          </w:p>
        </w:tc>
        <w:tc>
          <w:tcPr>
            <w:tcW w:w="1058" w:type="pct"/>
          </w:tcPr>
          <w:p w:rsidR="00430608" w:rsidRPr="00042B67" w:rsidRDefault="00042B67" w:rsidP="00FF3C3E">
            <w:pPr>
              <w:pStyle w:val="Tabletext"/>
              <w:jc w:val="center"/>
              <w:rPr>
                <w:highlight w:val="black"/>
              </w:rPr>
            </w:pPr>
            <w:r>
              <w:rPr>
                <w:noProof/>
                <w:color w:val="000000"/>
                <w:highlight w:val="black"/>
              </w:rPr>
              <w:t>''''''''''' ''''''''''''''''</w:t>
            </w:r>
          </w:p>
        </w:tc>
        <w:tc>
          <w:tcPr>
            <w:tcW w:w="1021" w:type="pct"/>
          </w:tcPr>
          <w:p w:rsidR="00430608" w:rsidRPr="00042B67" w:rsidRDefault="00042B67" w:rsidP="00FF3C3E">
            <w:pPr>
              <w:pStyle w:val="Tabletext"/>
              <w:jc w:val="center"/>
              <w:rPr>
                <w:highlight w:val="black"/>
              </w:rPr>
            </w:pPr>
            <w:r>
              <w:rPr>
                <w:noProof/>
                <w:color w:val="000000"/>
                <w:highlight w:val="black"/>
              </w:rPr>
              <w:t>'''''''''' ''''''''''''''''</w:t>
            </w:r>
          </w:p>
        </w:tc>
      </w:tr>
      <w:tr w:rsidR="00430608" w:rsidTr="00A009FE">
        <w:tc>
          <w:tcPr>
            <w:tcW w:w="1865" w:type="pct"/>
            <w:tcBorders>
              <w:bottom w:val="single" w:sz="4" w:space="0" w:color="auto"/>
            </w:tcBorders>
          </w:tcPr>
          <w:p w:rsidR="00430608" w:rsidRPr="00A82567" w:rsidRDefault="00430608" w:rsidP="00FF3C3E">
            <w:pPr>
              <w:pStyle w:val="Tabletext"/>
              <w:ind w:left="142"/>
            </w:pPr>
            <w:r w:rsidRPr="00A82567">
              <w:t>Average Month 1 to Month 3</w:t>
            </w:r>
          </w:p>
        </w:tc>
        <w:tc>
          <w:tcPr>
            <w:tcW w:w="1057" w:type="pct"/>
            <w:tcBorders>
              <w:bottom w:val="single" w:sz="4" w:space="0" w:color="auto"/>
            </w:tcBorders>
          </w:tcPr>
          <w:p w:rsidR="00430608" w:rsidRPr="00042B67" w:rsidRDefault="00042B67" w:rsidP="00FF3C3E">
            <w:pPr>
              <w:pStyle w:val="Tabletext"/>
              <w:jc w:val="center"/>
              <w:rPr>
                <w:highlight w:val="black"/>
              </w:rPr>
            </w:pPr>
            <w:r>
              <w:rPr>
                <w:noProof/>
                <w:color w:val="000000"/>
                <w:highlight w:val="black"/>
              </w:rPr>
              <w:t>'''''''''' '''''''''''''''''</w:t>
            </w:r>
          </w:p>
        </w:tc>
        <w:tc>
          <w:tcPr>
            <w:tcW w:w="1058" w:type="pct"/>
            <w:tcBorders>
              <w:bottom w:val="single" w:sz="4" w:space="0" w:color="auto"/>
            </w:tcBorders>
          </w:tcPr>
          <w:p w:rsidR="00430608" w:rsidRPr="00042B67" w:rsidRDefault="00042B67" w:rsidP="00FF3C3E">
            <w:pPr>
              <w:pStyle w:val="Tabletext"/>
              <w:jc w:val="center"/>
              <w:rPr>
                <w:highlight w:val="black"/>
              </w:rPr>
            </w:pPr>
            <w:r>
              <w:rPr>
                <w:noProof/>
                <w:color w:val="000000"/>
                <w:highlight w:val="black"/>
              </w:rPr>
              <w:t>'''''''''' ''''''''''''''''''</w:t>
            </w:r>
          </w:p>
        </w:tc>
        <w:tc>
          <w:tcPr>
            <w:tcW w:w="1021" w:type="pct"/>
            <w:tcBorders>
              <w:bottom w:val="single" w:sz="4" w:space="0" w:color="auto"/>
            </w:tcBorders>
          </w:tcPr>
          <w:p w:rsidR="00430608" w:rsidRPr="00042B67" w:rsidRDefault="00042B67" w:rsidP="00FF3C3E">
            <w:pPr>
              <w:pStyle w:val="Tabletext"/>
              <w:jc w:val="center"/>
              <w:rPr>
                <w:highlight w:val="black"/>
              </w:rPr>
            </w:pPr>
            <w:r>
              <w:rPr>
                <w:noProof/>
                <w:color w:val="000000"/>
                <w:highlight w:val="black"/>
              </w:rPr>
              <w:t>''''''''''' ''''''''''''''''''</w:t>
            </w:r>
          </w:p>
        </w:tc>
      </w:tr>
      <w:tr w:rsidR="00430608" w:rsidTr="00A009FE">
        <w:tc>
          <w:tcPr>
            <w:tcW w:w="1865" w:type="pct"/>
            <w:tcBorders>
              <w:bottom w:val="single" w:sz="4" w:space="0" w:color="auto"/>
            </w:tcBorders>
          </w:tcPr>
          <w:p w:rsidR="00430608" w:rsidRPr="00A82567" w:rsidRDefault="00430608" w:rsidP="00FF3C3E">
            <w:pPr>
              <w:pStyle w:val="Tabletext"/>
            </w:pPr>
            <w:r w:rsidRPr="00A82567">
              <w:t>Average change from baseline, mean (SD)</w:t>
            </w:r>
          </w:p>
        </w:tc>
        <w:tc>
          <w:tcPr>
            <w:tcW w:w="1057" w:type="pct"/>
            <w:tcBorders>
              <w:bottom w:val="single" w:sz="4" w:space="0" w:color="auto"/>
            </w:tcBorders>
          </w:tcPr>
          <w:p w:rsidR="00430608" w:rsidRPr="00042B67" w:rsidRDefault="00042B67" w:rsidP="00FF3C3E">
            <w:pPr>
              <w:pStyle w:val="Tabletext"/>
              <w:jc w:val="center"/>
              <w:rPr>
                <w:highlight w:val="black"/>
              </w:rPr>
            </w:pPr>
            <w:r>
              <w:rPr>
                <w:noProof/>
                <w:color w:val="000000"/>
                <w:highlight w:val="black"/>
              </w:rPr>
              <w:t>''''''' '''''''''''''''</w:t>
            </w:r>
          </w:p>
        </w:tc>
        <w:tc>
          <w:tcPr>
            <w:tcW w:w="1058" w:type="pct"/>
            <w:tcBorders>
              <w:bottom w:val="single" w:sz="4" w:space="0" w:color="auto"/>
            </w:tcBorders>
          </w:tcPr>
          <w:p w:rsidR="00430608" w:rsidRPr="00042B67" w:rsidRDefault="00042B67" w:rsidP="00FF3C3E">
            <w:pPr>
              <w:pStyle w:val="Tabletext"/>
              <w:jc w:val="center"/>
              <w:rPr>
                <w:highlight w:val="black"/>
              </w:rPr>
            </w:pPr>
            <w:r>
              <w:rPr>
                <w:noProof/>
                <w:color w:val="000000"/>
                <w:highlight w:val="black"/>
              </w:rPr>
              <w:t>''''''''' ''''''''''''''</w:t>
            </w:r>
          </w:p>
        </w:tc>
        <w:tc>
          <w:tcPr>
            <w:tcW w:w="1021" w:type="pct"/>
            <w:tcBorders>
              <w:bottom w:val="single" w:sz="4" w:space="0" w:color="auto"/>
            </w:tcBorders>
          </w:tcPr>
          <w:p w:rsidR="00430608" w:rsidRPr="00042B67" w:rsidRDefault="00042B67" w:rsidP="00FF3C3E">
            <w:pPr>
              <w:pStyle w:val="Tabletext"/>
              <w:jc w:val="center"/>
              <w:rPr>
                <w:highlight w:val="black"/>
              </w:rPr>
            </w:pPr>
            <w:r>
              <w:rPr>
                <w:noProof/>
                <w:color w:val="000000"/>
                <w:highlight w:val="black"/>
              </w:rPr>
              <w:t>''''''' '''''''''''''''</w:t>
            </w:r>
          </w:p>
        </w:tc>
      </w:tr>
      <w:tr w:rsidR="00430608" w:rsidTr="00A009FE">
        <w:tc>
          <w:tcPr>
            <w:tcW w:w="5000" w:type="pct"/>
            <w:gridSpan w:val="4"/>
            <w:tcBorders>
              <w:top w:val="single" w:sz="4" w:space="0" w:color="auto"/>
              <w:bottom w:val="single" w:sz="4" w:space="0" w:color="auto"/>
            </w:tcBorders>
          </w:tcPr>
          <w:p w:rsidR="00430608" w:rsidRDefault="00430608" w:rsidP="00FF3C3E">
            <w:pPr>
              <w:pStyle w:val="TableText0"/>
            </w:pPr>
            <w:r>
              <w:t>Comparison ranibizumab vs vPDT</w:t>
            </w:r>
          </w:p>
        </w:tc>
      </w:tr>
      <w:tr w:rsidR="00430608" w:rsidTr="00A009FE">
        <w:tc>
          <w:tcPr>
            <w:tcW w:w="1865" w:type="pct"/>
            <w:tcBorders>
              <w:bottom w:val="nil"/>
            </w:tcBorders>
          </w:tcPr>
          <w:p w:rsidR="00430608" w:rsidRPr="00FF0407" w:rsidRDefault="00430608" w:rsidP="00FF3C3E">
            <w:pPr>
              <w:pStyle w:val="Tabletext"/>
              <w:rPr>
                <w:vertAlign w:val="superscript"/>
              </w:rPr>
            </w:pPr>
            <w:r>
              <w:t>Difference in LS mean (95% CI)</w:t>
            </w:r>
            <w:r>
              <w:rPr>
                <w:vertAlign w:val="superscript"/>
              </w:rPr>
              <w:t>b</w:t>
            </w:r>
          </w:p>
        </w:tc>
        <w:tc>
          <w:tcPr>
            <w:tcW w:w="1057" w:type="pct"/>
            <w:tcBorders>
              <w:bottom w:val="nil"/>
            </w:tcBorders>
          </w:tcPr>
          <w:p w:rsidR="00430608" w:rsidRPr="00042B67" w:rsidRDefault="00042B67" w:rsidP="00FF3C3E">
            <w:pPr>
              <w:pStyle w:val="Tabletext"/>
              <w:jc w:val="center"/>
              <w:rPr>
                <w:highlight w:val="black"/>
              </w:rPr>
            </w:pPr>
            <w:r>
              <w:rPr>
                <w:noProof/>
                <w:color w:val="000000"/>
                <w:highlight w:val="black"/>
              </w:rPr>
              <w:t>'''''''' '''''''''' '''''''''</w:t>
            </w:r>
          </w:p>
        </w:tc>
        <w:tc>
          <w:tcPr>
            <w:tcW w:w="1058" w:type="pct"/>
            <w:tcBorders>
              <w:bottom w:val="nil"/>
            </w:tcBorders>
          </w:tcPr>
          <w:p w:rsidR="00430608" w:rsidRPr="00042B67" w:rsidRDefault="00042B67" w:rsidP="00FF3C3E">
            <w:pPr>
              <w:pStyle w:val="Tabletext"/>
              <w:jc w:val="center"/>
              <w:rPr>
                <w:highlight w:val="black"/>
              </w:rPr>
            </w:pPr>
            <w:r>
              <w:rPr>
                <w:noProof/>
                <w:color w:val="000000"/>
                <w:highlight w:val="black"/>
              </w:rPr>
              <w:t>''''''' '''''''''' '''''''''</w:t>
            </w:r>
          </w:p>
        </w:tc>
        <w:tc>
          <w:tcPr>
            <w:tcW w:w="1021" w:type="pct"/>
            <w:tcBorders>
              <w:bottom w:val="nil"/>
            </w:tcBorders>
          </w:tcPr>
          <w:p w:rsidR="00430608" w:rsidRDefault="00430608" w:rsidP="00FF3C3E">
            <w:pPr>
              <w:pStyle w:val="TableText0"/>
              <w:jc w:val="center"/>
            </w:pPr>
          </w:p>
        </w:tc>
      </w:tr>
      <w:tr w:rsidR="00430608" w:rsidTr="00A009FE">
        <w:tc>
          <w:tcPr>
            <w:tcW w:w="1865" w:type="pct"/>
            <w:tcBorders>
              <w:top w:val="nil"/>
            </w:tcBorders>
          </w:tcPr>
          <w:p w:rsidR="00430608" w:rsidRPr="00FF0407" w:rsidRDefault="00430608" w:rsidP="00FF3C3E">
            <w:pPr>
              <w:pStyle w:val="Tabletext"/>
              <w:rPr>
                <w:vertAlign w:val="superscript"/>
              </w:rPr>
            </w:pPr>
            <w:r>
              <w:t>p-value</w:t>
            </w:r>
            <w:r>
              <w:rPr>
                <w:vertAlign w:val="superscript"/>
              </w:rPr>
              <w:t>c</w:t>
            </w:r>
          </w:p>
        </w:tc>
        <w:tc>
          <w:tcPr>
            <w:tcW w:w="1057" w:type="pct"/>
            <w:tcBorders>
              <w:top w:val="nil"/>
            </w:tcBorders>
          </w:tcPr>
          <w:p w:rsidR="00430608" w:rsidRPr="00042B67" w:rsidRDefault="00042B67" w:rsidP="00FF3C3E">
            <w:pPr>
              <w:pStyle w:val="Tabletext"/>
              <w:jc w:val="center"/>
              <w:rPr>
                <w:highlight w:val="black"/>
              </w:rPr>
            </w:pPr>
            <w:r>
              <w:rPr>
                <w:noProof/>
                <w:color w:val="000000"/>
                <w:highlight w:val="black"/>
              </w:rPr>
              <w:t>''''''''''''''''</w:t>
            </w:r>
          </w:p>
        </w:tc>
        <w:tc>
          <w:tcPr>
            <w:tcW w:w="1058" w:type="pct"/>
            <w:tcBorders>
              <w:top w:val="nil"/>
            </w:tcBorders>
          </w:tcPr>
          <w:p w:rsidR="00430608" w:rsidRPr="00042B67" w:rsidRDefault="00042B67" w:rsidP="00FF3C3E">
            <w:pPr>
              <w:pStyle w:val="Tabletext"/>
              <w:jc w:val="center"/>
              <w:rPr>
                <w:highlight w:val="black"/>
              </w:rPr>
            </w:pPr>
            <w:r>
              <w:rPr>
                <w:noProof/>
                <w:color w:val="000000"/>
                <w:highlight w:val="black"/>
              </w:rPr>
              <w:t>'''''''''''''''</w:t>
            </w:r>
          </w:p>
        </w:tc>
        <w:tc>
          <w:tcPr>
            <w:tcW w:w="1021" w:type="pct"/>
            <w:tcBorders>
              <w:top w:val="nil"/>
            </w:tcBorders>
          </w:tcPr>
          <w:p w:rsidR="00430608" w:rsidRDefault="00430608" w:rsidP="00FF3C3E">
            <w:pPr>
              <w:pStyle w:val="TableText0"/>
              <w:jc w:val="center"/>
            </w:pPr>
          </w:p>
        </w:tc>
      </w:tr>
    </w:tbl>
    <w:p w:rsidR="00430608" w:rsidRDefault="002B53AE" w:rsidP="00430608">
      <w:pPr>
        <w:pStyle w:val="TableFooter"/>
      </w:pPr>
      <w:r>
        <w:t>BCVA</w:t>
      </w:r>
      <w:r w:rsidR="00430608">
        <w:t xml:space="preserve"> = best corrected visual acuity; CI = confidence interval; FAS = full analysis set; LOCF = last observation carried forward; LS = least squares; SD = standard deviation; vPDT = verteporfin photodynamic therapy.</w:t>
      </w:r>
    </w:p>
    <w:p w:rsidR="00430608" w:rsidRDefault="00430608" w:rsidP="00430608">
      <w:pPr>
        <w:pStyle w:val="TableFooter"/>
        <w:ind w:left="142" w:hanging="142"/>
      </w:pPr>
      <w:r>
        <w:rPr>
          <w:vertAlign w:val="superscript"/>
        </w:rPr>
        <w:t>a</w:t>
      </w:r>
      <w:r>
        <w:t xml:space="preserve"> Of the 106 enrolled patients, 1 withdrew from the study before having a post-baseline VA assessment and was excluded from the analysis.</w:t>
      </w:r>
    </w:p>
    <w:p w:rsidR="00430608" w:rsidRDefault="00430608" w:rsidP="00430608">
      <w:pPr>
        <w:pStyle w:val="TableFooter"/>
      </w:pPr>
      <w:r>
        <w:rPr>
          <w:vertAlign w:val="superscript"/>
        </w:rPr>
        <w:t xml:space="preserve">b </w:t>
      </w:r>
      <w:r>
        <w:t>Differences in LS means and the two-sided 95% CIs were estimated from pairwise ANOVA (stratified) model.</w:t>
      </w:r>
    </w:p>
    <w:p w:rsidR="00430608" w:rsidRDefault="00430608" w:rsidP="00430608">
      <w:pPr>
        <w:pStyle w:val="TableFooter"/>
      </w:pPr>
      <w:r>
        <w:rPr>
          <w:vertAlign w:val="superscript"/>
        </w:rPr>
        <w:t>c</w:t>
      </w:r>
      <w:r>
        <w:t xml:space="preserve"> One-sided p-values for </w:t>
      </w:r>
      <w:r w:rsidR="00536A7D">
        <w:t xml:space="preserve">the </w:t>
      </w:r>
      <w:r>
        <w:t>treatment difference were derived from the two-sided stratified Cochran-Mantel-Haenszel test using the row means score statistics.</w:t>
      </w:r>
    </w:p>
    <w:p w:rsidR="00430608" w:rsidRPr="00042B67" w:rsidRDefault="00430608" w:rsidP="00430608">
      <w:pPr>
        <w:pStyle w:val="TableFooter"/>
      </w:pPr>
      <w:r>
        <w:t xml:space="preserve">* </w:t>
      </w:r>
      <w:r w:rsidR="00042B67">
        <w:rPr>
          <w:noProof/>
          <w:color w:val="000000"/>
          <w:highlight w:val="black"/>
        </w:rPr>
        <w:t>'''''''''''''' '''''''''''''''''' '''''' ''''''''''''''''''''''''''' ''''' '''''''''''''' '''' ''''''''''''''' ''''''''''' ''''''''''''''''''''''''''' '''''''''''''''' '' ''' '''''''' '''''''''''''''''''''' ''''''''''''''''''''''''''' ''''''''''''''' '''' ''' ''''''''' '''''''''''''''''''''''' '''''''''''''''''''''''''''''' ''''''''''''''' ''''' ''' '''''''' '''''''''''''' ''''''''''''''''''''''''' ''''''''''''''''''''''''''''''''' '''''''''''''' '' ''' ''''''' ''''''''''''''''''''''''''' ''''''''''''''''''''''' ''''''''''''''' ''' ''' ''''''' '''''''''''''''''''''''''''''' '''''''''''''''''''''' '''''''''''''' ''''' '''' ''''''' ''''''''''''' '''''''''''''''''''''''''</w:t>
      </w:r>
    </w:p>
    <w:p w:rsidR="00430608" w:rsidRDefault="00430608" w:rsidP="00430608">
      <w:pPr>
        <w:pStyle w:val="TableFooter"/>
      </w:pPr>
      <w:r>
        <w:t>Source: Tables 2.5-1 and 2.5-2, p60 of the submission; Table 11-6 p133 RADIANCE CSR; Table 11-5 p85 BRILLIANCE CSR.</w:t>
      </w:r>
    </w:p>
    <w:p w:rsidR="00430608" w:rsidRPr="00763859" w:rsidRDefault="00430608" w:rsidP="00E567E7">
      <w:pPr>
        <w:pStyle w:val="ListParagraph"/>
        <w:widowControl/>
        <w:numPr>
          <w:ilvl w:val="1"/>
          <w:numId w:val="1"/>
        </w:numPr>
        <w:spacing w:before="160"/>
      </w:pPr>
      <w:r w:rsidRPr="00763859">
        <w:t>The submission claimed that in both RADIANCE and BRILLIANCE there was a statistically significant and clinically meaningful improvement in the average change in BCVA from baseline to Month 1 through Month 3 for both ranibizumab treatment groups compared with vPDT. This claim is reasonable if it is accepted that a difference of 5 letters is clinically important.</w:t>
      </w:r>
    </w:p>
    <w:p w:rsidR="00430608" w:rsidRPr="00763859" w:rsidRDefault="00430608" w:rsidP="00E567E7">
      <w:pPr>
        <w:pStyle w:val="ListParagraph"/>
        <w:widowControl/>
        <w:numPr>
          <w:ilvl w:val="1"/>
          <w:numId w:val="1"/>
        </w:numPr>
      </w:pPr>
      <w:r w:rsidRPr="00763859">
        <w:lastRenderedPageBreak/>
        <w:t>In both trials, the treatment effect in the subfoveal CNV subgroup was similar to that in the full analysis set (FAS).</w:t>
      </w:r>
      <w:r w:rsidR="003B241D" w:rsidRPr="00763859">
        <w:t xml:space="preserve"> This finding supports the proposed PBS listing for t</w:t>
      </w:r>
      <w:r w:rsidR="00A4712B" w:rsidRPr="00763859">
        <w:t>he subfoveal CNV subgroup only.</w:t>
      </w:r>
    </w:p>
    <w:p w:rsidR="00430608" w:rsidRPr="00763859" w:rsidRDefault="00430608" w:rsidP="00E567E7">
      <w:pPr>
        <w:pStyle w:val="ListParagraph"/>
        <w:widowControl/>
        <w:numPr>
          <w:ilvl w:val="1"/>
          <w:numId w:val="1"/>
        </w:numPr>
      </w:pPr>
      <w:r w:rsidRPr="00763859">
        <w:t>The mean change from baseline in BCVA of the study eye over time in RADIANCE and BRILLIANCE is presented in Figures 1 and 2, respectively.</w:t>
      </w:r>
    </w:p>
    <w:p w:rsidR="00430608" w:rsidRDefault="00430608" w:rsidP="00430608">
      <w:pPr>
        <w:keepNext/>
        <w:ind w:left="992" w:hanging="992"/>
      </w:pPr>
      <w:r>
        <w:rPr>
          <w:rStyle w:val="CommentReference"/>
        </w:rPr>
        <w:t>Figure 1</w:t>
      </w:r>
      <w:r w:rsidRPr="009E6C9D">
        <w:rPr>
          <w:rStyle w:val="CommentReference"/>
        </w:rPr>
        <w:t>: Mean change from baseline over time in BCVA of the study eye in RADIANCE (FAS, modified LOCF)</w:t>
      </w:r>
    </w:p>
    <w:p w:rsidR="00430608" w:rsidRDefault="00430608" w:rsidP="00430608">
      <w:r w:rsidRPr="00D279B3">
        <w:rPr>
          <w:noProof/>
          <w:lang w:eastAsia="en-AU"/>
        </w:rPr>
        <w:drawing>
          <wp:inline distT="0" distB="0" distL="0" distR="0" wp14:anchorId="5DC8E092" wp14:editId="7E5C17F4">
            <wp:extent cx="5000625" cy="2762250"/>
            <wp:effectExtent l="0" t="0" r="9525" b="0"/>
            <wp:docPr id="6" name="Picture 6" title="Radiance study - mean change from baseline over time in BC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0625" cy="2762250"/>
                    </a:xfrm>
                    <a:prstGeom prst="rect">
                      <a:avLst/>
                    </a:prstGeom>
                  </pic:spPr>
                </pic:pic>
              </a:graphicData>
            </a:graphic>
          </wp:inline>
        </w:drawing>
      </w:r>
    </w:p>
    <w:p w:rsidR="00430608" w:rsidRDefault="00430608" w:rsidP="00430608">
      <w:pPr>
        <w:pStyle w:val="TableFooter"/>
      </w:pPr>
      <w:r>
        <w:t>BCVA = best corrected visual acuity; ETDRS = Early Treatment of Diabetic Retinopathy Study; FAS = full analysis set; LOCF = last observation carried forward; SE = standard error; VA = visual acuity; vPDT = verteporfin photodynamic therapy</w:t>
      </w:r>
    </w:p>
    <w:p w:rsidR="00430608" w:rsidRDefault="00430608" w:rsidP="00430608">
      <w:pPr>
        <w:pStyle w:val="TableFooter"/>
        <w:ind w:left="142" w:hanging="142"/>
      </w:pPr>
      <w:r>
        <w:t>* Of the 106 enrolled patients, 1 withdrew from the study before having a post-baseline VA assessment and was excluded from the analysis.</w:t>
      </w:r>
    </w:p>
    <w:p w:rsidR="00430608" w:rsidRDefault="00430608" w:rsidP="00430608">
      <w:pPr>
        <w:pStyle w:val="TableFooter"/>
      </w:pPr>
      <w:r>
        <w:t>Source: Figure 4, p687 Wolf et al (2014)</w:t>
      </w:r>
      <w:r>
        <w:rPr>
          <w:rStyle w:val="FootnoteReference"/>
        </w:rPr>
        <w:footnoteReference w:id="2"/>
      </w:r>
    </w:p>
    <w:p w:rsidR="00430608" w:rsidRPr="009E6C9D" w:rsidRDefault="00430608" w:rsidP="00A20678">
      <w:pPr>
        <w:keepNext/>
        <w:spacing w:before="160"/>
        <w:ind w:left="992" w:hanging="992"/>
        <w:rPr>
          <w:rStyle w:val="CommentReference"/>
        </w:rPr>
      </w:pPr>
      <w:r>
        <w:rPr>
          <w:rStyle w:val="CommentReference"/>
        </w:rPr>
        <w:lastRenderedPageBreak/>
        <w:t xml:space="preserve">Figure </w:t>
      </w:r>
      <w:r w:rsidRPr="009E6C9D">
        <w:rPr>
          <w:rStyle w:val="CommentReference"/>
        </w:rPr>
        <w:t>2: Mean change from baseline over time in BCVA of the study eye in BRILLIANCE (FAS, modified LOCF)</w:t>
      </w:r>
    </w:p>
    <w:p w:rsidR="00430608" w:rsidRDefault="00042B67" w:rsidP="00430608">
      <w:pPr>
        <w:widowControl/>
      </w:pPr>
      <w:r>
        <w:rPr>
          <w:noProof/>
          <w:snapToGrid/>
          <w:lang w:eastAsia="en-AU"/>
        </w:rPr>
        <w:drawing>
          <wp:inline distT="0" distB="0" distL="0" distR="0" wp14:anchorId="2E0FE075" wp14:editId="3222A2E0">
            <wp:extent cx="5076825" cy="2971800"/>
            <wp:effectExtent l="0" t="0" r="9525" b="0"/>
            <wp:docPr id="1" name="Picture 1" title="Figure 2: Mean change from baseline over time in BCVA of the study eye in BRILLIANCE (FAS, modified LOC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76825" cy="2971800"/>
                    </a:xfrm>
                    <a:prstGeom prst="rect">
                      <a:avLst/>
                    </a:prstGeom>
                  </pic:spPr>
                </pic:pic>
              </a:graphicData>
            </a:graphic>
          </wp:inline>
        </w:drawing>
      </w:r>
    </w:p>
    <w:p w:rsidR="00430608" w:rsidRPr="00042B67" w:rsidRDefault="00042B67" w:rsidP="00430608">
      <w:pPr>
        <w:pStyle w:val="TableFooter"/>
        <w:rPr>
          <w:highlight w:val="black"/>
        </w:rPr>
      </w:pPr>
      <w:r>
        <w:rPr>
          <w:noProof/>
          <w:color w:val="000000"/>
          <w:highlight w:val="black"/>
        </w:rPr>
        <w:t>'''''''''''''' '''' ''''''''' '''''''''''''''''''''''' ''''''''''''' ''''''''''''''' ''''''''''' ''' ''''''' '''''''''''''''''''' '''''''' ''''''''''''''' ''' ''''''''' '''''''''''''''''''''''''''''' '''''''''''''''' ''''''''''''''''' ''''''' '''' ''''''''''''''''''''' '''''''''''''' '''''''' ''' '''''''''''''' '''''''''''''''' ''''''''''''''''''''' '''''''''''' ''' ''''''''''''''''''''''' ''''''''''''''''''''''''''''''''' '''''''''''''''''''</w:t>
      </w:r>
    </w:p>
    <w:p w:rsidR="00430608" w:rsidRPr="00042B67" w:rsidRDefault="00042B67" w:rsidP="00430608">
      <w:pPr>
        <w:pStyle w:val="TableFooter"/>
        <w:rPr>
          <w:highlight w:val="black"/>
        </w:rPr>
      </w:pPr>
      <w:r>
        <w:rPr>
          <w:noProof/>
          <w:color w:val="000000"/>
          <w:highlight w:val="black"/>
        </w:rPr>
        <w:t>'''''''''''''''''' '''''''''''''''' ''''''''''''' '''''''' '''' '''''''' ''''''''''''''''''''''''''''</w:t>
      </w:r>
    </w:p>
    <w:p w:rsidR="00430608" w:rsidRPr="000C0DFF" w:rsidRDefault="003B241D" w:rsidP="00E567E7">
      <w:pPr>
        <w:pStyle w:val="ListParagraph"/>
        <w:widowControl/>
        <w:numPr>
          <w:ilvl w:val="1"/>
          <w:numId w:val="1"/>
        </w:numPr>
        <w:spacing w:before="160"/>
      </w:pPr>
      <w:r w:rsidRPr="000C0DFF">
        <w:t>R</w:t>
      </w:r>
      <w:r w:rsidR="0059586A" w:rsidRPr="000C0DFF">
        <w:t xml:space="preserve">anibizumab treatment guided by </w:t>
      </w:r>
      <w:r w:rsidR="00A86818" w:rsidRPr="000C0DFF">
        <w:t xml:space="preserve">either </w:t>
      </w:r>
      <w:r w:rsidR="0059586A" w:rsidRPr="000C0DFF">
        <w:t>VA stabilisation or by disease activity led to a</w:t>
      </w:r>
      <w:r w:rsidR="00A86818" w:rsidRPr="000C0DFF">
        <w:t xml:space="preserve"> clinically meaningful</w:t>
      </w:r>
      <w:r w:rsidR="0059586A" w:rsidRPr="000C0DFF">
        <w:t xml:space="preserve"> improvement in BCVA </w:t>
      </w:r>
      <w:r w:rsidR="00A86818" w:rsidRPr="000C0DFF">
        <w:t>at</w:t>
      </w:r>
      <w:r w:rsidR="0059586A" w:rsidRPr="000C0DFF">
        <w:t xml:space="preserve"> 3 months in both trials</w:t>
      </w:r>
      <w:r w:rsidR="00004869" w:rsidRPr="000C0DFF">
        <w:t xml:space="preserve"> (approximately 10 letters)</w:t>
      </w:r>
      <w:r w:rsidR="0059586A" w:rsidRPr="000C0DFF">
        <w:t xml:space="preserve">, and </w:t>
      </w:r>
      <w:r w:rsidRPr="000C0DFF">
        <w:t>the</w:t>
      </w:r>
      <w:r w:rsidR="0059586A" w:rsidRPr="000C0DFF">
        <w:t xml:space="preserve"> improvement in BCVA was </w:t>
      </w:r>
      <w:r w:rsidRPr="000C0DFF">
        <w:t xml:space="preserve">maintained </w:t>
      </w:r>
      <w:r w:rsidR="0059586A" w:rsidRPr="000C0DFF">
        <w:t>up to Month 12 in both ranibizumab treatment groups</w:t>
      </w:r>
      <w:r w:rsidR="00431FD4" w:rsidRPr="000C0DFF">
        <w:t xml:space="preserve"> (Figures 1 and 2)</w:t>
      </w:r>
      <w:r w:rsidR="0059586A" w:rsidRPr="000C0DFF">
        <w:t xml:space="preserve">. </w:t>
      </w:r>
      <w:r w:rsidR="00430608" w:rsidRPr="000C0DFF">
        <w:t xml:space="preserve">An improvement in BCVA was also observed in the vPDT arm following the </w:t>
      </w:r>
      <w:r w:rsidR="00A20678" w:rsidRPr="000C0DFF">
        <w:t>initiation</w:t>
      </w:r>
      <w:r w:rsidR="00430608" w:rsidRPr="000C0DFF">
        <w:t xml:space="preserve"> of ranibizumab </w:t>
      </w:r>
      <w:r w:rsidR="00E8771F" w:rsidRPr="000C0DFF">
        <w:t>from</w:t>
      </w:r>
      <w:r w:rsidR="00430608" w:rsidRPr="000C0DFF">
        <w:t xml:space="preserve"> Month 3 for patients randomised to </w:t>
      </w:r>
      <w:r w:rsidR="00A20678" w:rsidRPr="000C0DFF">
        <w:t xml:space="preserve">receive </w:t>
      </w:r>
      <w:r w:rsidR="00430608" w:rsidRPr="000C0DFF">
        <w:t>vPDT. The treatment effect in the two ranibizumab arms was similar over the duration of the trial.</w:t>
      </w:r>
    </w:p>
    <w:p w:rsidR="00430608" w:rsidRPr="002F123D" w:rsidRDefault="00430608" w:rsidP="00E567E7">
      <w:pPr>
        <w:pStyle w:val="ListParagraph"/>
        <w:widowControl/>
        <w:numPr>
          <w:ilvl w:val="1"/>
          <w:numId w:val="1"/>
        </w:numPr>
      </w:pPr>
      <w:r>
        <w:t xml:space="preserve">The results for key secondary outcome supported the claim that ranibizumab therapy </w:t>
      </w:r>
      <w:r w:rsidR="00A814CB">
        <w:t>guided</w:t>
      </w:r>
      <w:r>
        <w:t xml:space="preserve"> by disease activity re-treatment criteria was non-inferior to ranibizumab therapy </w:t>
      </w:r>
      <w:r w:rsidR="00A814CB">
        <w:t>guided</w:t>
      </w:r>
      <w:r>
        <w:t xml:space="preserve"> by VA stabilisation criteria, as assessed by the difference between the average level of BCVA over all monthly post-baseline assessments from Month 1 to Month 6 and the baseline level of BCVA, with a pre-specified non-inferiority margin of 5 letters (difference in least squares mean of 0.4 letters, 95% confidence interval: -1.3, 2.1).</w:t>
      </w:r>
    </w:p>
    <w:p w:rsidR="00430608" w:rsidRPr="00877442" w:rsidRDefault="00430608" w:rsidP="00E567E7">
      <w:pPr>
        <w:pStyle w:val="ListParagraph"/>
        <w:widowControl/>
        <w:numPr>
          <w:ilvl w:val="1"/>
          <w:numId w:val="1"/>
        </w:numPr>
      </w:pPr>
      <w:r w:rsidRPr="001C5D97">
        <w:rPr>
          <w:rFonts w:cs="Calibri"/>
          <w:snapToGrid/>
          <w:szCs w:val="24"/>
          <w:lang w:val="en-US" w:eastAsia="en-AU"/>
        </w:rPr>
        <w:t>Both RADIANCE and BRILLIANCE employed the National Eye Institute Visual Function questionnaire 25 (NEI-VFQ-25), which is used to measure vision-targeted health-related quality of life in patients with chronic eye conditions.</w:t>
      </w:r>
      <w:r>
        <w:rPr>
          <w:rFonts w:cs="Calibri"/>
          <w:snapToGrid/>
          <w:szCs w:val="24"/>
          <w:lang w:val="en-US" w:eastAsia="en-AU"/>
        </w:rPr>
        <w:t xml:space="preserve"> </w:t>
      </w:r>
      <w:r w:rsidR="00AB16FE">
        <w:rPr>
          <w:rFonts w:cs="Calibri"/>
          <w:snapToGrid/>
          <w:szCs w:val="24"/>
          <w:lang w:val="en-US" w:eastAsia="en-AU"/>
        </w:rPr>
        <w:t xml:space="preserve">The NEI-VFQ-25 consists of 25 items combined into 11 subscales. </w:t>
      </w:r>
      <w:r>
        <w:rPr>
          <w:rFonts w:cs="Calibri"/>
          <w:snapToGrid/>
          <w:szCs w:val="24"/>
          <w:lang w:val="en-US" w:eastAsia="en-AU"/>
        </w:rPr>
        <w:t xml:space="preserve">A 0-100 scale was used, with higher scores indicating better functioning. The results for the </w:t>
      </w:r>
      <w:r w:rsidR="0059586A">
        <w:rPr>
          <w:rFonts w:cs="Calibri"/>
          <w:snapToGrid/>
          <w:szCs w:val="24"/>
          <w:lang w:val="en-US" w:eastAsia="en-AU"/>
        </w:rPr>
        <w:t xml:space="preserve">composite score </w:t>
      </w:r>
      <w:r>
        <w:rPr>
          <w:rFonts w:cs="Calibri"/>
          <w:snapToGrid/>
          <w:szCs w:val="24"/>
          <w:lang w:val="en-US" w:eastAsia="en-AU"/>
        </w:rPr>
        <w:t>are presented in Table 5.</w:t>
      </w:r>
    </w:p>
    <w:p w:rsidR="00430608" w:rsidRPr="00DE3B51" w:rsidRDefault="00430608" w:rsidP="00712190">
      <w:pPr>
        <w:keepNext/>
        <w:ind w:left="992" w:hanging="992"/>
        <w:rPr>
          <w:rStyle w:val="CommentReference"/>
        </w:rPr>
      </w:pPr>
      <w:r>
        <w:rPr>
          <w:rStyle w:val="CommentReference"/>
        </w:rPr>
        <w:lastRenderedPageBreak/>
        <w:t>Table 5: Change in NEI VFQ-25 composite score from baseline to Month 3 (FAS, LOCF)</w:t>
      </w:r>
    </w:p>
    <w:tbl>
      <w:tblPr>
        <w:tblStyle w:val="TableGrid"/>
        <w:tblW w:w="4907" w:type="pct"/>
        <w:tblInd w:w="108" w:type="dxa"/>
        <w:tblLook w:val="04A0" w:firstRow="1" w:lastRow="0" w:firstColumn="1" w:lastColumn="0" w:noHBand="0" w:noVBand="1"/>
        <w:tblCaption w:val="Table 5: Change in NEI VFQ-25 composite score from baseline to Month 3 (FAS, LOCF)"/>
      </w:tblPr>
      <w:tblGrid>
        <w:gridCol w:w="3195"/>
        <w:gridCol w:w="1981"/>
        <w:gridCol w:w="1981"/>
        <w:gridCol w:w="1914"/>
      </w:tblGrid>
      <w:tr w:rsidR="00430608" w:rsidRPr="009E6C9D" w:rsidTr="006B6F11">
        <w:trPr>
          <w:tblHeader/>
        </w:trPr>
        <w:tc>
          <w:tcPr>
            <w:tcW w:w="1761" w:type="pct"/>
            <w:vMerge w:val="restart"/>
            <w:vAlign w:val="center"/>
          </w:tcPr>
          <w:p w:rsidR="00430608" w:rsidRPr="009E6C9D" w:rsidRDefault="00430608" w:rsidP="00712190">
            <w:pPr>
              <w:pStyle w:val="TableText0"/>
              <w:keepNext/>
              <w:rPr>
                <w:b/>
              </w:rPr>
            </w:pPr>
          </w:p>
        </w:tc>
        <w:tc>
          <w:tcPr>
            <w:tcW w:w="2184" w:type="pct"/>
            <w:gridSpan w:val="2"/>
          </w:tcPr>
          <w:p w:rsidR="00430608" w:rsidRPr="00D434FD" w:rsidRDefault="00430608" w:rsidP="00712190">
            <w:pPr>
              <w:pStyle w:val="Tabletext"/>
              <w:keepNext/>
              <w:jc w:val="center"/>
              <w:rPr>
                <w:b/>
              </w:rPr>
            </w:pPr>
            <w:r w:rsidRPr="00D434FD">
              <w:rPr>
                <w:b/>
              </w:rPr>
              <w:t>Ranibizumab</w:t>
            </w:r>
          </w:p>
        </w:tc>
        <w:tc>
          <w:tcPr>
            <w:tcW w:w="1055" w:type="pct"/>
          </w:tcPr>
          <w:p w:rsidR="00430608" w:rsidRPr="00D434FD" w:rsidRDefault="00430608" w:rsidP="00712190">
            <w:pPr>
              <w:pStyle w:val="Tabletext"/>
              <w:keepNext/>
              <w:jc w:val="center"/>
              <w:rPr>
                <w:b/>
              </w:rPr>
            </w:pPr>
            <w:r w:rsidRPr="00D434FD">
              <w:rPr>
                <w:b/>
              </w:rPr>
              <w:t>vPDT</w:t>
            </w:r>
          </w:p>
        </w:tc>
      </w:tr>
      <w:tr w:rsidR="00430608" w:rsidTr="006B6F11">
        <w:trPr>
          <w:tblHeader/>
        </w:trPr>
        <w:tc>
          <w:tcPr>
            <w:tcW w:w="1761" w:type="pct"/>
            <w:vMerge/>
            <w:tcBorders>
              <w:bottom w:val="double" w:sz="4" w:space="0" w:color="auto"/>
            </w:tcBorders>
          </w:tcPr>
          <w:p w:rsidR="00430608" w:rsidRDefault="00430608" w:rsidP="00712190">
            <w:pPr>
              <w:pStyle w:val="TableText0"/>
              <w:keepNext/>
            </w:pPr>
          </w:p>
        </w:tc>
        <w:tc>
          <w:tcPr>
            <w:tcW w:w="1092" w:type="pct"/>
            <w:tcBorders>
              <w:bottom w:val="double" w:sz="4" w:space="0" w:color="auto"/>
            </w:tcBorders>
            <w:vAlign w:val="center"/>
          </w:tcPr>
          <w:p w:rsidR="00430608" w:rsidRPr="00D434FD" w:rsidRDefault="00430608" w:rsidP="00712190">
            <w:pPr>
              <w:pStyle w:val="Tabletext"/>
              <w:keepNext/>
              <w:jc w:val="center"/>
              <w:rPr>
                <w:b/>
              </w:rPr>
            </w:pPr>
            <w:r w:rsidRPr="00D434FD">
              <w:rPr>
                <w:b/>
              </w:rPr>
              <w:t>Group I by</w:t>
            </w:r>
          </w:p>
          <w:p w:rsidR="00430608" w:rsidRDefault="00430608" w:rsidP="00712190">
            <w:pPr>
              <w:pStyle w:val="Tabletext"/>
              <w:keepNext/>
              <w:jc w:val="center"/>
            </w:pPr>
            <w:r w:rsidRPr="00D434FD">
              <w:rPr>
                <w:b/>
              </w:rPr>
              <w:t>VA stabilisation</w:t>
            </w:r>
          </w:p>
        </w:tc>
        <w:tc>
          <w:tcPr>
            <w:tcW w:w="1092" w:type="pct"/>
            <w:tcBorders>
              <w:bottom w:val="double" w:sz="4" w:space="0" w:color="auto"/>
            </w:tcBorders>
            <w:vAlign w:val="center"/>
          </w:tcPr>
          <w:p w:rsidR="00430608" w:rsidRPr="00D434FD" w:rsidRDefault="00430608" w:rsidP="00712190">
            <w:pPr>
              <w:pStyle w:val="Tabletext"/>
              <w:keepNext/>
              <w:jc w:val="center"/>
              <w:rPr>
                <w:b/>
              </w:rPr>
            </w:pPr>
            <w:r w:rsidRPr="00D434FD">
              <w:rPr>
                <w:b/>
              </w:rPr>
              <w:t>Group II by</w:t>
            </w:r>
          </w:p>
          <w:p w:rsidR="00430608" w:rsidRPr="00D434FD" w:rsidRDefault="00430608" w:rsidP="00712190">
            <w:pPr>
              <w:pStyle w:val="Tabletext"/>
              <w:keepNext/>
              <w:jc w:val="center"/>
              <w:rPr>
                <w:b/>
              </w:rPr>
            </w:pPr>
            <w:r w:rsidRPr="00D434FD">
              <w:rPr>
                <w:b/>
              </w:rPr>
              <w:t>disease activity</w:t>
            </w:r>
          </w:p>
        </w:tc>
        <w:tc>
          <w:tcPr>
            <w:tcW w:w="1055" w:type="pct"/>
            <w:tcBorders>
              <w:bottom w:val="double" w:sz="4" w:space="0" w:color="auto"/>
            </w:tcBorders>
            <w:vAlign w:val="center"/>
          </w:tcPr>
          <w:p w:rsidR="00430608" w:rsidRPr="00D434FD" w:rsidRDefault="00430608" w:rsidP="00712190">
            <w:pPr>
              <w:pStyle w:val="Tabletext"/>
              <w:keepNext/>
              <w:jc w:val="center"/>
              <w:rPr>
                <w:b/>
              </w:rPr>
            </w:pPr>
            <w:r w:rsidRPr="00D434FD">
              <w:rPr>
                <w:b/>
              </w:rPr>
              <w:t>Group III</w:t>
            </w:r>
          </w:p>
        </w:tc>
      </w:tr>
      <w:tr w:rsidR="00430608" w:rsidTr="00A009FE">
        <w:tc>
          <w:tcPr>
            <w:tcW w:w="1761" w:type="pct"/>
            <w:tcBorders>
              <w:top w:val="double" w:sz="4" w:space="0" w:color="auto"/>
            </w:tcBorders>
          </w:tcPr>
          <w:p w:rsidR="00430608" w:rsidRPr="00D434FD" w:rsidRDefault="00430608" w:rsidP="00712190">
            <w:pPr>
              <w:pStyle w:val="Tabletext"/>
              <w:keepNext/>
              <w:rPr>
                <w:b/>
              </w:rPr>
            </w:pPr>
            <w:r w:rsidRPr="00D434FD">
              <w:rPr>
                <w:b/>
              </w:rPr>
              <w:t>RADIANCE</w:t>
            </w:r>
          </w:p>
        </w:tc>
        <w:tc>
          <w:tcPr>
            <w:tcW w:w="1092" w:type="pct"/>
            <w:tcBorders>
              <w:top w:val="double" w:sz="4" w:space="0" w:color="auto"/>
            </w:tcBorders>
          </w:tcPr>
          <w:p w:rsidR="00430608" w:rsidRPr="009457CD" w:rsidRDefault="00430608" w:rsidP="00712190">
            <w:pPr>
              <w:pStyle w:val="Tabletext"/>
              <w:keepNext/>
              <w:jc w:val="center"/>
              <w:rPr>
                <w:b/>
              </w:rPr>
            </w:pPr>
            <w:r w:rsidRPr="009457CD">
              <w:rPr>
                <w:b/>
              </w:rPr>
              <w:t>N=105</w:t>
            </w:r>
          </w:p>
        </w:tc>
        <w:tc>
          <w:tcPr>
            <w:tcW w:w="1092" w:type="pct"/>
            <w:tcBorders>
              <w:top w:val="double" w:sz="4" w:space="0" w:color="auto"/>
            </w:tcBorders>
          </w:tcPr>
          <w:p w:rsidR="00430608" w:rsidRPr="009457CD" w:rsidRDefault="00430608" w:rsidP="00712190">
            <w:pPr>
              <w:pStyle w:val="Tabletext"/>
              <w:keepNext/>
              <w:jc w:val="center"/>
              <w:rPr>
                <w:b/>
              </w:rPr>
            </w:pPr>
            <w:r w:rsidRPr="009457CD">
              <w:rPr>
                <w:b/>
              </w:rPr>
              <w:t>N=116</w:t>
            </w:r>
          </w:p>
        </w:tc>
        <w:tc>
          <w:tcPr>
            <w:tcW w:w="1055" w:type="pct"/>
            <w:tcBorders>
              <w:top w:val="double" w:sz="4" w:space="0" w:color="auto"/>
            </w:tcBorders>
          </w:tcPr>
          <w:p w:rsidR="00430608" w:rsidRPr="009457CD" w:rsidRDefault="00430608" w:rsidP="00712190">
            <w:pPr>
              <w:pStyle w:val="Tabletext"/>
              <w:keepNext/>
              <w:jc w:val="center"/>
              <w:rPr>
                <w:b/>
              </w:rPr>
            </w:pPr>
            <w:r w:rsidRPr="009457CD">
              <w:rPr>
                <w:b/>
              </w:rPr>
              <w:t>N=55</w:t>
            </w:r>
          </w:p>
        </w:tc>
      </w:tr>
      <w:tr w:rsidR="00430608" w:rsidTr="00A009FE">
        <w:tc>
          <w:tcPr>
            <w:tcW w:w="1761" w:type="pct"/>
          </w:tcPr>
          <w:p w:rsidR="00430608" w:rsidRDefault="00430608" w:rsidP="00712190">
            <w:pPr>
              <w:pStyle w:val="Tabletext"/>
              <w:keepNext/>
              <w:ind w:left="142"/>
            </w:pPr>
            <w:r>
              <w:t>Baseline, mean (SD)</w:t>
            </w:r>
          </w:p>
        </w:tc>
        <w:tc>
          <w:tcPr>
            <w:tcW w:w="1092" w:type="pct"/>
          </w:tcPr>
          <w:p w:rsidR="00430608" w:rsidRDefault="00430608" w:rsidP="00712190">
            <w:pPr>
              <w:pStyle w:val="Tabletext"/>
              <w:keepNext/>
              <w:jc w:val="center"/>
            </w:pPr>
            <w:r w:rsidRPr="07B3E2D9">
              <w:t>69.3 (17.86)</w:t>
            </w:r>
          </w:p>
        </w:tc>
        <w:tc>
          <w:tcPr>
            <w:tcW w:w="1092" w:type="pct"/>
          </w:tcPr>
          <w:p w:rsidR="00430608" w:rsidRDefault="00430608" w:rsidP="00712190">
            <w:pPr>
              <w:pStyle w:val="Tabletext"/>
              <w:keepNext/>
              <w:jc w:val="center"/>
            </w:pPr>
            <w:r w:rsidRPr="07B3E2D9">
              <w:t>71.0 (17.77)</w:t>
            </w:r>
          </w:p>
        </w:tc>
        <w:tc>
          <w:tcPr>
            <w:tcW w:w="1055" w:type="pct"/>
          </w:tcPr>
          <w:p w:rsidR="00430608" w:rsidRDefault="00430608" w:rsidP="00712190">
            <w:pPr>
              <w:pStyle w:val="Tabletext"/>
              <w:keepNext/>
              <w:jc w:val="center"/>
            </w:pPr>
            <w:r w:rsidRPr="07B3E2D9">
              <w:t>71.9 (17.42)</w:t>
            </w:r>
          </w:p>
        </w:tc>
      </w:tr>
      <w:tr w:rsidR="00430608" w:rsidTr="00A009FE">
        <w:tc>
          <w:tcPr>
            <w:tcW w:w="1761" w:type="pct"/>
          </w:tcPr>
          <w:p w:rsidR="00430608" w:rsidRDefault="00430608" w:rsidP="00712190">
            <w:pPr>
              <w:pStyle w:val="Tabletext"/>
              <w:keepNext/>
              <w:ind w:left="142"/>
            </w:pPr>
            <w:r>
              <w:t>Month 3, mean (SD)</w:t>
            </w:r>
          </w:p>
        </w:tc>
        <w:tc>
          <w:tcPr>
            <w:tcW w:w="1092" w:type="pct"/>
          </w:tcPr>
          <w:p w:rsidR="00430608" w:rsidRDefault="00430608" w:rsidP="00712190">
            <w:pPr>
              <w:pStyle w:val="Tabletext"/>
              <w:keepNext/>
              <w:jc w:val="center"/>
            </w:pPr>
            <w:r w:rsidRPr="07B3E2D9">
              <w:t>74.6 (16.81)</w:t>
            </w:r>
          </w:p>
        </w:tc>
        <w:tc>
          <w:tcPr>
            <w:tcW w:w="1092" w:type="pct"/>
          </w:tcPr>
          <w:p w:rsidR="00430608" w:rsidRDefault="00430608" w:rsidP="00712190">
            <w:pPr>
              <w:pStyle w:val="Tabletext"/>
              <w:keepNext/>
              <w:jc w:val="center"/>
            </w:pPr>
            <w:r w:rsidRPr="07B3E2D9">
              <w:t>75.2 (17.24)</w:t>
            </w:r>
          </w:p>
        </w:tc>
        <w:tc>
          <w:tcPr>
            <w:tcW w:w="1055" w:type="pct"/>
          </w:tcPr>
          <w:p w:rsidR="00430608" w:rsidRDefault="00430608" w:rsidP="00712190">
            <w:pPr>
              <w:pStyle w:val="Tabletext"/>
              <w:keepNext/>
              <w:jc w:val="center"/>
            </w:pPr>
            <w:r w:rsidRPr="07B3E2D9">
              <w:t>72.2 (18.37)</w:t>
            </w:r>
          </w:p>
        </w:tc>
      </w:tr>
      <w:tr w:rsidR="00430608" w:rsidTr="00A009FE">
        <w:tc>
          <w:tcPr>
            <w:tcW w:w="1761" w:type="pct"/>
          </w:tcPr>
          <w:p w:rsidR="00430608" w:rsidRDefault="00430608" w:rsidP="00712190">
            <w:pPr>
              <w:pStyle w:val="Tabletext"/>
              <w:keepNext/>
            </w:pPr>
            <w:r>
              <w:t>Change from baseline, mean (SD)</w:t>
            </w:r>
          </w:p>
        </w:tc>
        <w:tc>
          <w:tcPr>
            <w:tcW w:w="1092" w:type="pct"/>
          </w:tcPr>
          <w:p w:rsidR="00430608" w:rsidRDefault="00430608" w:rsidP="00712190">
            <w:pPr>
              <w:pStyle w:val="Tabletext"/>
              <w:keepNext/>
              <w:jc w:val="center"/>
            </w:pPr>
            <w:r w:rsidRPr="07B3E2D9">
              <w:t>5.3 (13.96)</w:t>
            </w:r>
          </w:p>
        </w:tc>
        <w:tc>
          <w:tcPr>
            <w:tcW w:w="1092" w:type="pct"/>
          </w:tcPr>
          <w:p w:rsidR="00430608" w:rsidRDefault="00430608" w:rsidP="00712190">
            <w:pPr>
              <w:pStyle w:val="Tabletext"/>
              <w:keepNext/>
              <w:jc w:val="center"/>
            </w:pPr>
            <w:r w:rsidRPr="07B3E2D9">
              <w:t>4.3 (10.09)</w:t>
            </w:r>
          </w:p>
        </w:tc>
        <w:tc>
          <w:tcPr>
            <w:tcW w:w="1055" w:type="pct"/>
          </w:tcPr>
          <w:p w:rsidR="00430608" w:rsidRDefault="00430608" w:rsidP="00712190">
            <w:pPr>
              <w:pStyle w:val="Tabletext"/>
              <w:keepNext/>
              <w:jc w:val="center"/>
            </w:pPr>
            <w:r w:rsidRPr="07B3E2D9">
              <w:t>0.3 (12.63)</w:t>
            </w:r>
          </w:p>
        </w:tc>
      </w:tr>
      <w:tr w:rsidR="00430608" w:rsidTr="00A009FE">
        <w:tc>
          <w:tcPr>
            <w:tcW w:w="5000" w:type="pct"/>
            <w:gridSpan w:val="4"/>
            <w:tcBorders>
              <w:bottom w:val="single" w:sz="4" w:space="0" w:color="auto"/>
            </w:tcBorders>
          </w:tcPr>
          <w:p w:rsidR="00430608" w:rsidRDefault="00430608" w:rsidP="00712190">
            <w:pPr>
              <w:pStyle w:val="TableText0"/>
              <w:keepNext/>
            </w:pPr>
            <w:r>
              <w:t>Comparison with vPDT</w:t>
            </w:r>
          </w:p>
        </w:tc>
      </w:tr>
      <w:tr w:rsidR="00430608" w:rsidTr="00A009FE">
        <w:tc>
          <w:tcPr>
            <w:tcW w:w="1761" w:type="pct"/>
            <w:tcBorders>
              <w:bottom w:val="double" w:sz="4" w:space="0" w:color="auto"/>
            </w:tcBorders>
          </w:tcPr>
          <w:p w:rsidR="00430608" w:rsidRDefault="00430608" w:rsidP="00712190">
            <w:pPr>
              <w:pStyle w:val="Tabletext"/>
              <w:keepNext/>
            </w:pPr>
            <w:r>
              <w:t>Difference in means (95% CI)</w:t>
            </w:r>
          </w:p>
        </w:tc>
        <w:tc>
          <w:tcPr>
            <w:tcW w:w="1092" w:type="pct"/>
            <w:tcBorders>
              <w:bottom w:val="double" w:sz="4" w:space="0" w:color="auto"/>
            </w:tcBorders>
          </w:tcPr>
          <w:p w:rsidR="00430608" w:rsidRDefault="00430608" w:rsidP="00712190">
            <w:pPr>
              <w:pStyle w:val="Tabletext"/>
              <w:keepNext/>
              <w:jc w:val="center"/>
            </w:pPr>
            <w:r>
              <w:t>5.0 (0.1, 10.0)</w:t>
            </w:r>
          </w:p>
        </w:tc>
        <w:tc>
          <w:tcPr>
            <w:tcW w:w="1092" w:type="pct"/>
            <w:tcBorders>
              <w:bottom w:val="double" w:sz="4" w:space="0" w:color="auto"/>
            </w:tcBorders>
          </w:tcPr>
          <w:p w:rsidR="00430608" w:rsidRDefault="00430608" w:rsidP="00712190">
            <w:pPr>
              <w:pStyle w:val="Tabletext"/>
              <w:keepNext/>
              <w:jc w:val="center"/>
            </w:pPr>
            <w:r>
              <w:t>3.9 (0.0, 7.9)</w:t>
            </w:r>
          </w:p>
        </w:tc>
        <w:tc>
          <w:tcPr>
            <w:tcW w:w="1055" w:type="pct"/>
            <w:tcBorders>
              <w:bottom w:val="double" w:sz="4" w:space="0" w:color="auto"/>
            </w:tcBorders>
          </w:tcPr>
          <w:p w:rsidR="00430608" w:rsidRDefault="00430608" w:rsidP="00712190">
            <w:pPr>
              <w:pStyle w:val="TableText0"/>
              <w:keepNext/>
              <w:jc w:val="center"/>
            </w:pPr>
          </w:p>
        </w:tc>
      </w:tr>
      <w:tr w:rsidR="00430608" w:rsidTr="00A009FE">
        <w:tc>
          <w:tcPr>
            <w:tcW w:w="1761" w:type="pct"/>
            <w:tcBorders>
              <w:top w:val="double" w:sz="4" w:space="0" w:color="auto"/>
            </w:tcBorders>
          </w:tcPr>
          <w:p w:rsidR="00430608" w:rsidRPr="00D434FD" w:rsidRDefault="00430608" w:rsidP="00712190">
            <w:pPr>
              <w:pStyle w:val="Tabletext"/>
              <w:keepNext/>
              <w:rPr>
                <w:b/>
              </w:rPr>
            </w:pPr>
            <w:r w:rsidRPr="00D434FD">
              <w:rPr>
                <w:b/>
              </w:rPr>
              <w:t>BRILLIANCE</w:t>
            </w:r>
          </w:p>
        </w:tc>
        <w:tc>
          <w:tcPr>
            <w:tcW w:w="1092" w:type="pct"/>
            <w:tcBorders>
              <w:top w:val="double" w:sz="4" w:space="0" w:color="auto"/>
            </w:tcBorders>
          </w:tcPr>
          <w:p w:rsidR="00430608" w:rsidRPr="00042B67" w:rsidRDefault="00042B67" w:rsidP="00712190">
            <w:pPr>
              <w:pStyle w:val="Tabletext"/>
              <w:keepNext/>
              <w:jc w:val="center"/>
              <w:rPr>
                <w:b/>
                <w:highlight w:val="black"/>
              </w:rPr>
            </w:pPr>
            <w:r>
              <w:rPr>
                <w:b/>
                <w:noProof/>
                <w:color w:val="000000"/>
                <w:highlight w:val="black"/>
              </w:rPr>
              <w:t>'''''''''''''</w:t>
            </w:r>
          </w:p>
        </w:tc>
        <w:tc>
          <w:tcPr>
            <w:tcW w:w="1092" w:type="pct"/>
            <w:tcBorders>
              <w:top w:val="double" w:sz="4" w:space="0" w:color="auto"/>
            </w:tcBorders>
          </w:tcPr>
          <w:p w:rsidR="00430608" w:rsidRPr="00042B67" w:rsidRDefault="00042B67" w:rsidP="00712190">
            <w:pPr>
              <w:pStyle w:val="Tabletext"/>
              <w:keepNext/>
              <w:jc w:val="center"/>
              <w:rPr>
                <w:b/>
                <w:highlight w:val="black"/>
              </w:rPr>
            </w:pPr>
            <w:r>
              <w:rPr>
                <w:b/>
                <w:noProof/>
                <w:color w:val="000000"/>
                <w:highlight w:val="black"/>
              </w:rPr>
              <w:t>'''''''''''''</w:t>
            </w:r>
          </w:p>
        </w:tc>
        <w:tc>
          <w:tcPr>
            <w:tcW w:w="1055" w:type="pct"/>
            <w:tcBorders>
              <w:top w:val="double" w:sz="4" w:space="0" w:color="auto"/>
            </w:tcBorders>
          </w:tcPr>
          <w:p w:rsidR="00430608" w:rsidRPr="00042B67" w:rsidRDefault="00042B67" w:rsidP="00712190">
            <w:pPr>
              <w:pStyle w:val="Tabletext"/>
              <w:keepNext/>
              <w:jc w:val="center"/>
              <w:rPr>
                <w:b/>
                <w:highlight w:val="black"/>
              </w:rPr>
            </w:pPr>
            <w:r>
              <w:rPr>
                <w:b/>
                <w:noProof/>
                <w:color w:val="000000"/>
                <w:highlight w:val="black"/>
              </w:rPr>
              <w:t>''''''''''</w:t>
            </w:r>
          </w:p>
        </w:tc>
      </w:tr>
      <w:tr w:rsidR="00430608" w:rsidTr="00A009FE">
        <w:tc>
          <w:tcPr>
            <w:tcW w:w="1761" w:type="pct"/>
          </w:tcPr>
          <w:p w:rsidR="00430608" w:rsidRDefault="00430608" w:rsidP="00712190">
            <w:pPr>
              <w:pStyle w:val="Tabletext"/>
              <w:keepNext/>
              <w:ind w:left="142"/>
            </w:pPr>
            <w:r>
              <w:t>Baseline, mean (SD)</w:t>
            </w:r>
          </w:p>
        </w:tc>
        <w:tc>
          <w:tcPr>
            <w:tcW w:w="1092" w:type="pct"/>
          </w:tcPr>
          <w:p w:rsidR="00430608" w:rsidRPr="00042B67" w:rsidRDefault="00042B67" w:rsidP="00712190">
            <w:pPr>
              <w:pStyle w:val="Tabletext"/>
              <w:keepNext/>
              <w:jc w:val="center"/>
              <w:rPr>
                <w:highlight w:val="black"/>
              </w:rPr>
            </w:pPr>
            <w:r>
              <w:rPr>
                <w:noProof/>
                <w:color w:val="000000"/>
                <w:highlight w:val="black"/>
              </w:rPr>
              <w:t>'''''''''' ''''''''''''''''</w:t>
            </w:r>
          </w:p>
        </w:tc>
        <w:tc>
          <w:tcPr>
            <w:tcW w:w="1092" w:type="pct"/>
          </w:tcPr>
          <w:p w:rsidR="00430608" w:rsidRPr="00042B67" w:rsidRDefault="00042B67" w:rsidP="00712190">
            <w:pPr>
              <w:pStyle w:val="Tabletext"/>
              <w:keepNext/>
              <w:jc w:val="center"/>
              <w:rPr>
                <w:highlight w:val="black"/>
              </w:rPr>
            </w:pPr>
            <w:r>
              <w:rPr>
                <w:noProof/>
                <w:color w:val="000000"/>
                <w:highlight w:val="black"/>
              </w:rPr>
              <w:t>'''''''''' '''''''''''''''''''</w:t>
            </w:r>
          </w:p>
        </w:tc>
        <w:tc>
          <w:tcPr>
            <w:tcW w:w="1055" w:type="pct"/>
          </w:tcPr>
          <w:p w:rsidR="00430608" w:rsidRPr="00042B67" w:rsidRDefault="00042B67" w:rsidP="00712190">
            <w:pPr>
              <w:pStyle w:val="Tabletext"/>
              <w:keepNext/>
              <w:jc w:val="center"/>
              <w:rPr>
                <w:highlight w:val="black"/>
              </w:rPr>
            </w:pPr>
            <w:r>
              <w:rPr>
                <w:noProof/>
                <w:color w:val="000000"/>
                <w:highlight w:val="black"/>
              </w:rPr>
              <w:t>'''''''''' ''''''''''''''''</w:t>
            </w:r>
          </w:p>
        </w:tc>
      </w:tr>
      <w:tr w:rsidR="00430608" w:rsidTr="00A009FE">
        <w:tc>
          <w:tcPr>
            <w:tcW w:w="1761" w:type="pct"/>
          </w:tcPr>
          <w:p w:rsidR="00430608" w:rsidRDefault="00430608" w:rsidP="00712190">
            <w:pPr>
              <w:pStyle w:val="Tabletext"/>
              <w:keepNext/>
              <w:ind w:left="142"/>
            </w:pPr>
            <w:r>
              <w:t>Month 3, mean (SD)</w:t>
            </w:r>
          </w:p>
        </w:tc>
        <w:tc>
          <w:tcPr>
            <w:tcW w:w="1092" w:type="pct"/>
          </w:tcPr>
          <w:p w:rsidR="00430608" w:rsidRPr="00042B67" w:rsidRDefault="00042B67" w:rsidP="00712190">
            <w:pPr>
              <w:pStyle w:val="Tabletext"/>
              <w:keepNext/>
              <w:jc w:val="center"/>
              <w:rPr>
                <w:highlight w:val="black"/>
              </w:rPr>
            </w:pPr>
            <w:r>
              <w:rPr>
                <w:noProof/>
                <w:color w:val="000000"/>
                <w:highlight w:val="black"/>
              </w:rPr>
              <w:t>'''''''''' '''''''''''''''''</w:t>
            </w:r>
          </w:p>
        </w:tc>
        <w:tc>
          <w:tcPr>
            <w:tcW w:w="1092" w:type="pct"/>
          </w:tcPr>
          <w:p w:rsidR="00430608" w:rsidRPr="00042B67" w:rsidRDefault="00042B67" w:rsidP="00712190">
            <w:pPr>
              <w:pStyle w:val="Tabletext"/>
              <w:keepNext/>
              <w:jc w:val="center"/>
              <w:rPr>
                <w:highlight w:val="black"/>
              </w:rPr>
            </w:pPr>
            <w:r>
              <w:rPr>
                <w:noProof/>
                <w:color w:val="000000"/>
                <w:highlight w:val="black"/>
              </w:rPr>
              <w:t>''''''''''' ''''''''''''''''</w:t>
            </w:r>
          </w:p>
        </w:tc>
        <w:tc>
          <w:tcPr>
            <w:tcW w:w="1055" w:type="pct"/>
          </w:tcPr>
          <w:p w:rsidR="00430608" w:rsidRPr="00042B67" w:rsidRDefault="00042B67" w:rsidP="00712190">
            <w:pPr>
              <w:pStyle w:val="Tabletext"/>
              <w:keepNext/>
              <w:jc w:val="center"/>
              <w:rPr>
                <w:highlight w:val="black"/>
              </w:rPr>
            </w:pPr>
            <w:r>
              <w:rPr>
                <w:noProof/>
                <w:color w:val="000000"/>
                <w:highlight w:val="black"/>
              </w:rPr>
              <w:t>''''''''''' ''''''''''''''''''</w:t>
            </w:r>
          </w:p>
        </w:tc>
      </w:tr>
      <w:tr w:rsidR="00430608" w:rsidTr="00A009FE">
        <w:tc>
          <w:tcPr>
            <w:tcW w:w="1761" w:type="pct"/>
          </w:tcPr>
          <w:p w:rsidR="00430608" w:rsidRDefault="00430608" w:rsidP="00712190">
            <w:pPr>
              <w:pStyle w:val="Tabletext"/>
              <w:keepNext/>
            </w:pPr>
            <w:r>
              <w:t>Change from baseline, mean (SD)</w:t>
            </w:r>
          </w:p>
        </w:tc>
        <w:tc>
          <w:tcPr>
            <w:tcW w:w="1092" w:type="pct"/>
          </w:tcPr>
          <w:p w:rsidR="00430608" w:rsidRPr="00042B67" w:rsidRDefault="00042B67" w:rsidP="00712190">
            <w:pPr>
              <w:pStyle w:val="Tabletext"/>
              <w:keepNext/>
              <w:jc w:val="center"/>
              <w:rPr>
                <w:highlight w:val="black"/>
              </w:rPr>
            </w:pPr>
            <w:r>
              <w:rPr>
                <w:noProof/>
                <w:color w:val="000000"/>
                <w:highlight w:val="black"/>
              </w:rPr>
              <w:t>'''''''' '''''''''''''''''</w:t>
            </w:r>
          </w:p>
        </w:tc>
        <w:tc>
          <w:tcPr>
            <w:tcW w:w="1092" w:type="pct"/>
          </w:tcPr>
          <w:p w:rsidR="00430608" w:rsidRPr="00042B67" w:rsidRDefault="00042B67" w:rsidP="00712190">
            <w:pPr>
              <w:pStyle w:val="Tabletext"/>
              <w:keepNext/>
              <w:jc w:val="center"/>
              <w:rPr>
                <w:highlight w:val="black"/>
              </w:rPr>
            </w:pPr>
            <w:r>
              <w:rPr>
                <w:noProof/>
                <w:color w:val="000000"/>
                <w:highlight w:val="black"/>
              </w:rPr>
              <w:t>'''''''' ''''''''''''''''</w:t>
            </w:r>
          </w:p>
        </w:tc>
        <w:tc>
          <w:tcPr>
            <w:tcW w:w="1055" w:type="pct"/>
          </w:tcPr>
          <w:p w:rsidR="00430608" w:rsidRPr="00042B67" w:rsidRDefault="00042B67" w:rsidP="00712190">
            <w:pPr>
              <w:pStyle w:val="Tabletext"/>
              <w:keepNext/>
              <w:jc w:val="center"/>
              <w:rPr>
                <w:highlight w:val="black"/>
              </w:rPr>
            </w:pPr>
            <w:r>
              <w:rPr>
                <w:noProof/>
                <w:color w:val="000000"/>
                <w:highlight w:val="black"/>
              </w:rPr>
              <w:t>''''''' '''''''''''''''''''</w:t>
            </w:r>
          </w:p>
        </w:tc>
      </w:tr>
      <w:tr w:rsidR="00430608" w:rsidTr="00A009FE">
        <w:tc>
          <w:tcPr>
            <w:tcW w:w="5000" w:type="pct"/>
            <w:gridSpan w:val="4"/>
          </w:tcPr>
          <w:p w:rsidR="00430608" w:rsidRDefault="00430608" w:rsidP="00712190">
            <w:pPr>
              <w:pStyle w:val="TableText0"/>
              <w:keepNext/>
            </w:pPr>
            <w:r>
              <w:t>Comparison with vPDT</w:t>
            </w:r>
          </w:p>
        </w:tc>
      </w:tr>
      <w:tr w:rsidR="00430608" w:rsidTr="00A009FE">
        <w:tc>
          <w:tcPr>
            <w:tcW w:w="1761" w:type="pct"/>
          </w:tcPr>
          <w:p w:rsidR="00430608" w:rsidRDefault="00430608" w:rsidP="00712190">
            <w:pPr>
              <w:pStyle w:val="Tabletext"/>
              <w:keepNext/>
            </w:pPr>
            <w:r>
              <w:t>Difference in means (95% CI)</w:t>
            </w:r>
          </w:p>
        </w:tc>
        <w:tc>
          <w:tcPr>
            <w:tcW w:w="1092" w:type="pct"/>
          </w:tcPr>
          <w:p w:rsidR="00430608" w:rsidRPr="00042B67" w:rsidRDefault="00042B67" w:rsidP="00712190">
            <w:pPr>
              <w:pStyle w:val="Tabletext"/>
              <w:keepNext/>
              <w:jc w:val="center"/>
              <w:rPr>
                <w:highlight w:val="black"/>
              </w:rPr>
            </w:pPr>
            <w:r>
              <w:rPr>
                <w:noProof/>
                <w:color w:val="000000"/>
                <w:highlight w:val="black"/>
              </w:rPr>
              <w:t>''''''''' ''''''''''''''' '''''''''''''</w:t>
            </w:r>
          </w:p>
        </w:tc>
        <w:tc>
          <w:tcPr>
            <w:tcW w:w="1092" w:type="pct"/>
          </w:tcPr>
          <w:p w:rsidR="00430608" w:rsidRPr="00042B67" w:rsidRDefault="00042B67" w:rsidP="00712190">
            <w:pPr>
              <w:pStyle w:val="Tabletext"/>
              <w:keepNext/>
              <w:jc w:val="center"/>
              <w:rPr>
                <w:highlight w:val="black"/>
              </w:rPr>
            </w:pPr>
            <w:r>
              <w:rPr>
                <w:noProof/>
                <w:color w:val="000000"/>
                <w:highlight w:val="black"/>
              </w:rPr>
              <w:t>'''''''' ''''''''''''' '''''''''''''</w:t>
            </w:r>
          </w:p>
        </w:tc>
        <w:tc>
          <w:tcPr>
            <w:tcW w:w="1055" w:type="pct"/>
          </w:tcPr>
          <w:p w:rsidR="00430608" w:rsidRDefault="00430608" w:rsidP="00712190">
            <w:pPr>
              <w:pStyle w:val="TableText0"/>
              <w:keepNext/>
              <w:jc w:val="center"/>
            </w:pPr>
          </w:p>
        </w:tc>
      </w:tr>
    </w:tbl>
    <w:p w:rsidR="00430608" w:rsidRDefault="00430608" w:rsidP="00430608">
      <w:pPr>
        <w:pStyle w:val="TableFooter"/>
      </w:pPr>
      <w:r>
        <w:t xml:space="preserve">CI = confidence interval; FAS = full analysis set; LOCF = last observation carried forward; NEI VFQ = national Eye Institute Visual </w:t>
      </w:r>
      <w:r w:rsidR="0059586A">
        <w:t>Function</w:t>
      </w:r>
      <w:r>
        <w:t xml:space="preserve"> questionnaire; SD = standard deviation; VA = visual acuity; vPDT = verteporfin photodynamic therapy</w:t>
      </w:r>
    </w:p>
    <w:p w:rsidR="00430608" w:rsidRDefault="00430608" w:rsidP="00430608">
      <w:pPr>
        <w:pStyle w:val="TableFooter"/>
      </w:pPr>
      <w:r>
        <w:t>Source: Tables 2.5-13 and 2.5-14, p70 of the submission.</w:t>
      </w:r>
    </w:p>
    <w:p w:rsidR="00430608" w:rsidRPr="003F3352" w:rsidRDefault="00430608" w:rsidP="00E567E7">
      <w:pPr>
        <w:pStyle w:val="ListParagraph"/>
        <w:widowControl/>
        <w:numPr>
          <w:ilvl w:val="1"/>
          <w:numId w:val="1"/>
        </w:numPr>
        <w:spacing w:before="160"/>
      </w:pPr>
      <w:r>
        <w:t xml:space="preserve">The submission stated that, in both RADIANCE and BRILLIANCE, mean changes in scores at Month 3 tended to be in favour of ranibizumab compared to vPDT for most scores (composite score, general vision, near activities, distance activities, mental health, role difficulties, dependency and peripheral vision scores). In the two ranibizumab treatment arms, the changes from baseline in these subscales scores </w:t>
      </w:r>
      <w:r w:rsidRPr="00AA1344">
        <w:t>and in the composite score were maintained at Months 6 and 12. The clinical importance of the observed improvements in scores was not addressed in the submission. As for the othe</w:t>
      </w:r>
      <w:r w:rsidR="0059586A" w:rsidRPr="00AA1344">
        <w:t>r outcomes, comparative data were</w:t>
      </w:r>
      <w:r w:rsidRPr="00AA1344">
        <w:t xml:space="preserve"> only available to Month 3 of the trial.</w:t>
      </w:r>
    </w:p>
    <w:p w:rsidR="00430608" w:rsidRPr="00121EF5" w:rsidRDefault="00430608" w:rsidP="00AC1DDD">
      <w:pPr>
        <w:pStyle w:val="Heading2"/>
      </w:pPr>
      <w:bookmarkStart w:id="17" w:name="_Toc500424304"/>
      <w:bookmarkStart w:id="18" w:name="_Toc503188226"/>
      <w:r w:rsidRPr="00121EF5">
        <w:t>Comparative harms</w:t>
      </w:r>
      <w:bookmarkEnd w:id="17"/>
      <w:bookmarkEnd w:id="18"/>
    </w:p>
    <w:p w:rsidR="00430608" w:rsidRDefault="00430608" w:rsidP="00E567E7">
      <w:pPr>
        <w:pStyle w:val="ListParagraph"/>
        <w:widowControl/>
        <w:numPr>
          <w:ilvl w:val="1"/>
          <w:numId w:val="1"/>
        </w:numPr>
        <w:spacing w:before="160"/>
      </w:pPr>
      <w:r>
        <w:t>Table 6 summarises the treatment exposure to both ranibizumab and vPDT in each treatment arm in RADIANCE and BRILLIANCE.</w:t>
      </w:r>
    </w:p>
    <w:p w:rsidR="00430608" w:rsidRPr="00A25BB7" w:rsidRDefault="00430608" w:rsidP="007445B3">
      <w:pPr>
        <w:keepNext/>
        <w:rPr>
          <w:rStyle w:val="CommentReference"/>
        </w:rPr>
      </w:pPr>
      <w:r>
        <w:rPr>
          <w:rStyle w:val="CommentReference"/>
        </w:rPr>
        <w:t>Table 6: Ranibizumab and vPDT treatment exposure from Day 1 to Month 12 (Safety set)</w:t>
      </w:r>
    </w:p>
    <w:tbl>
      <w:tblPr>
        <w:tblStyle w:val="TableGrid"/>
        <w:tblW w:w="4907" w:type="pct"/>
        <w:tblInd w:w="108" w:type="dxa"/>
        <w:tblLook w:val="04A0" w:firstRow="1" w:lastRow="0" w:firstColumn="1" w:lastColumn="0" w:noHBand="0" w:noVBand="1"/>
        <w:tblCaption w:val="Table 6: Ranibizumab and vPDT treatment exposure from Day 1 to Month 12 (Safety set)"/>
      </w:tblPr>
      <w:tblGrid>
        <w:gridCol w:w="1890"/>
        <w:gridCol w:w="1190"/>
        <w:gridCol w:w="1209"/>
        <w:gridCol w:w="1180"/>
        <w:gridCol w:w="1209"/>
        <w:gridCol w:w="1184"/>
        <w:gridCol w:w="1209"/>
      </w:tblGrid>
      <w:tr w:rsidR="00430608" w:rsidTr="006B6F11">
        <w:trPr>
          <w:tblHeader/>
        </w:trPr>
        <w:tc>
          <w:tcPr>
            <w:tcW w:w="1048" w:type="pct"/>
            <w:vMerge w:val="restart"/>
          </w:tcPr>
          <w:p w:rsidR="00430608" w:rsidRDefault="00430608" w:rsidP="007445B3">
            <w:pPr>
              <w:pStyle w:val="TableText0"/>
              <w:keepNext/>
            </w:pPr>
          </w:p>
        </w:tc>
        <w:tc>
          <w:tcPr>
            <w:tcW w:w="2659" w:type="pct"/>
            <w:gridSpan w:val="4"/>
            <w:tcBorders>
              <w:bottom w:val="single" w:sz="4" w:space="0" w:color="auto"/>
            </w:tcBorders>
          </w:tcPr>
          <w:p w:rsidR="00430608" w:rsidRPr="00B41A10" w:rsidRDefault="00430608" w:rsidP="007445B3">
            <w:pPr>
              <w:pStyle w:val="Tabletext"/>
              <w:keepNext/>
              <w:jc w:val="center"/>
              <w:rPr>
                <w:b/>
              </w:rPr>
            </w:pPr>
            <w:r w:rsidRPr="00B41A10">
              <w:rPr>
                <w:b/>
              </w:rPr>
              <w:t>Ranibizumab</w:t>
            </w:r>
          </w:p>
        </w:tc>
        <w:tc>
          <w:tcPr>
            <w:tcW w:w="1294" w:type="pct"/>
            <w:gridSpan w:val="2"/>
            <w:tcBorders>
              <w:bottom w:val="single" w:sz="4" w:space="0" w:color="auto"/>
            </w:tcBorders>
          </w:tcPr>
          <w:p w:rsidR="00430608" w:rsidRPr="00B41A10" w:rsidRDefault="00430608" w:rsidP="007445B3">
            <w:pPr>
              <w:pStyle w:val="Tabletext"/>
              <w:keepNext/>
              <w:jc w:val="center"/>
              <w:rPr>
                <w:b/>
              </w:rPr>
            </w:pPr>
            <w:r w:rsidRPr="00B41A10">
              <w:rPr>
                <w:b/>
              </w:rPr>
              <w:t>vPDT</w:t>
            </w:r>
          </w:p>
        </w:tc>
      </w:tr>
      <w:tr w:rsidR="00430608" w:rsidTr="006B6F11">
        <w:trPr>
          <w:tblHeader/>
        </w:trPr>
        <w:tc>
          <w:tcPr>
            <w:tcW w:w="1048" w:type="pct"/>
            <w:vMerge/>
          </w:tcPr>
          <w:p w:rsidR="00430608" w:rsidRDefault="00430608" w:rsidP="007445B3">
            <w:pPr>
              <w:pStyle w:val="TableText0"/>
              <w:keepNext/>
            </w:pPr>
          </w:p>
        </w:tc>
        <w:tc>
          <w:tcPr>
            <w:tcW w:w="1329" w:type="pct"/>
            <w:gridSpan w:val="2"/>
            <w:tcBorders>
              <w:bottom w:val="single" w:sz="4" w:space="0" w:color="auto"/>
            </w:tcBorders>
          </w:tcPr>
          <w:p w:rsidR="00430608" w:rsidRPr="00B41A10" w:rsidRDefault="00430608" w:rsidP="007445B3">
            <w:pPr>
              <w:pStyle w:val="Tabletext"/>
              <w:keepNext/>
              <w:jc w:val="center"/>
              <w:rPr>
                <w:b/>
              </w:rPr>
            </w:pPr>
            <w:r w:rsidRPr="00B41A10">
              <w:rPr>
                <w:b/>
              </w:rPr>
              <w:t>Group I by</w:t>
            </w:r>
          </w:p>
          <w:p w:rsidR="00430608" w:rsidRPr="00B41A10" w:rsidRDefault="00430608" w:rsidP="007445B3">
            <w:pPr>
              <w:pStyle w:val="Tabletext"/>
              <w:keepNext/>
              <w:jc w:val="center"/>
              <w:rPr>
                <w:b/>
              </w:rPr>
            </w:pPr>
            <w:r w:rsidRPr="00B41A10">
              <w:rPr>
                <w:b/>
              </w:rPr>
              <w:t>VA stabilisation</w:t>
            </w:r>
          </w:p>
        </w:tc>
        <w:tc>
          <w:tcPr>
            <w:tcW w:w="1329" w:type="pct"/>
            <w:gridSpan w:val="2"/>
            <w:tcBorders>
              <w:bottom w:val="single" w:sz="4" w:space="0" w:color="auto"/>
            </w:tcBorders>
          </w:tcPr>
          <w:p w:rsidR="00430608" w:rsidRPr="00B41A10" w:rsidRDefault="00430608" w:rsidP="007445B3">
            <w:pPr>
              <w:pStyle w:val="Tabletext"/>
              <w:keepNext/>
              <w:jc w:val="center"/>
              <w:rPr>
                <w:b/>
              </w:rPr>
            </w:pPr>
            <w:r w:rsidRPr="00B41A10">
              <w:rPr>
                <w:b/>
              </w:rPr>
              <w:t>Group II by</w:t>
            </w:r>
          </w:p>
          <w:p w:rsidR="00430608" w:rsidRPr="00B41A10" w:rsidRDefault="00430608" w:rsidP="007445B3">
            <w:pPr>
              <w:pStyle w:val="Tabletext"/>
              <w:keepNext/>
              <w:jc w:val="center"/>
              <w:rPr>
                <w:b/>
              </w:rPr>
            </w:pPr>
            <w:r w:rsidRPr="00B41A10">
              <w:rPr>
                <w:b/>
              </w:rPr>
              <w:t>disease activity</w:t>
            </w:r>
          </w:p>
        </w:tc>
        <w:tc>
          <w:tcPr>
            <w:tcW w:w="1294" w:type="pct"/>
            <w:gridSpan w:val="2"/>
            <w:tcBorders>
              <w:bottom w:val="single" w:sz="4" w:space="0" w:color="auto"/>
            </w:tcBorders>
          </w:tcPr>
          <w:p w:rsidR="00430608" w:rsidRPr="00B41A10" w:rsidRDefault="00430608" w:rsidP="007445B3">
            <w:pPr>
              <w:pStyle w:val="Tabletext"/>
              <w:keepNext/>
              <w:jc w:val="center"/>
              <w:rPr>
                <w:b/>
              </w:rPr>
            </w:pPr>
            <w:r w:rsidRPr="00B41A10">
              <w:rPr>
                <w:b/>
              </w:rPr>
              <w:t>Group III</w:t>
            </w:r>
          </w:p>
        </w:tc>
      </w:tr>
      <w:tr w:rsidR="00430608" w:rsidTr="006B6F11">
        <w:trPr>
          <w:tblHeader/>
        </w:trPr>
        <w:tc>
          <w:tcPr>
            <w:tcW w:w="1048" w:type="pct"/>
            <w:vMerge/>
            <w:tcBorders>
              <w:bottom w:val="double" w:sz="4" w:space="0" w:color="auto"/>
            </w:tcBorders>
          </w:tcPr>
          <w:p w:rsidR="00430608" w:rsidRDefault="00430608" w:rsidP="007445B3">
            <w:pPr>
              <w:pStyle w:val="TableText0"/>
              <w:keepNext/>
            </w:pPr>
          </w:p>
        </w:tc>
        <w:tc>
          <w:tcPr>
            <w:tcW w:w="662" w:type="pct"/>
            <w:tcBorders>
              <w:top w:val="single" w:sz="4" w:space="0" w:color="auto"/>
              <w:bottom w:val="double" w:sz="4" w:space="0" w:color="auto"/>
            </w:tcBorders>
          </w:tcPr>
          <w:p w:rsidR="00430608" w:rsidRPr="00B41A10" w:rsidRDefault="00430608" w:rsidP="007445B3">
            <w:pPr>
              <w:pStyle w:val="Tabletext"/>
              <w:keepNext/>
              <w:jc w:val="center"/>
              <w:rPr>
                <w:b/>
              </w:rPr>
            </w:pPr>
            <w:r w:rsidRPr="00B41A10">
              <w:rPr>
                <w:b/>
              </w:rPr>
              <w:t>RADIANCE</w:t>
            </w:r>
          </w:p>
        </w:tc>
        <w:tc>
          <w:tcPr>
            <w:tcW w:w="667" w:type="pct"/>
            <w:tcBorders>
              <w:top w:val="single" w:sz="4" w:space="0" w:color="auto"/>
              <w:bottom w:val="double" w:sz="4" w:space="0" w:color="auto"/>
            </w:tcBorders>
          </w:tcPr>
          <w:p w:rsidR="00430608" w:rsidRPr="00B41A10" w:rsidRDefault="00430608" w:rsidP="007445B3">
            <w:pPr>
              <w:pStyle w:val="Tabletext"/>
              <w:keepNext/>
              <w:jc w:val="center"/>
              <w:rPr>
                <w:b/>
              </w:rPr>
            </w:pPr>
            <w:r w:rsidRPr="00B41A10">
              <w:rPr>
                <w:b/>
              </w:rPr>
              <w:t>BRILLIANCE</w:t>
            </w:r>
          </w:p>
        </w:tc>
        <w:tc>
          <w:tcPr>
            <w:tcW w:w="662" w:type="pct"/>
            <w:tcBorders>
              <w:top w:val="single" w:sz="4" w:space="0" w:color="auto"/>
              <w:bottom w:val="double" w:sz="4" w:space="0" w:color="auto"/>
            </w:tcBorders>
          </w:tcPr>
          <w:p w:rsidR="00430608" w:rsidRPr="00B41A10" w:rsidRDefault="00430608" w:rsidP="007445B3">
            <w:pPr>
              <w:pStyle w:val="Tabletext"/>
              <w:keepNext/>
              <w:jc w:val="center"/>
              <w:rPr>
                <w:b/>
              </w:rPr>
            </w:pPr>
            <w:r w:rsidRPr="00B41A10">
              <w:rPr>
                <w:b/>
              </w:rPr>
              <w:t>RADIANCE</w:t>
            </w:r>
          </w:p>
        </w:tc>
        <w:tc>
          <w:tcPr>
            <w:tcW w:w="667" w:type="pct"/>
            <w:tcBorders>
              <w:top w:val="single" w:sz="4" w:space="0" w:color="auto"/>
              <w:bottom w:val="double" w:sz="4" w:space="0" w:color="auto"/>
            </w:tcBorders>
          </w:tcPr>
          <w:p w:rsidR="00430608" w:rsidRPr="00B41A10" w:rsidRDefault="00430608" w:rsidP="007445B3">
            <w:pPr>
              <w:pStyle w:val="Tabletext"/>
              <w:keepNext/>
              <w:jc w:val="center"/>
              <w:rPr>
                <w:b/>
              </w:rPr>
            </w:pPr>
            <w:r w:rsidRPr="00B41A10">
              <w:rPr>
                <w:b/>
              </w:rPr>
              <w:t>BRILLIANCE</w:t>
            </w:r>
          </w:p>
        </w:tc>
        <w:tc>
          <w:tcPr>
            <w:tcW w:w="662" w:type="pct"/>
            <w:tcBorders>
              <w:top w:val="single" w:sz="4" w:space="0" w:color="auto"/>
              <w:bottom w:val="double" w:sz="4" w:space="0" w:color="auto"/>
            </w:tcBorders>
          </w:tcPr>
          <w:p w:rsidR="00430608" w:rsidRPr="00B41A10" w:rsidRDefault="00430608" w:rsidP="007445B3">
            <w:pPr>
              <w:pStyle w:val="Tabletext"/>
              <w:keepNext/>
              <w:jc w:val="center"/>
              <w:rPr>
                <w:b/>
              </w:rPr>
            </w:pPr>
            <w:r w:rsidRPr="00B41A10">
              <w:rPr>
                <w:b/>
              </w:rPr>
              <w:t>RADIANCE</w:t>
            </w:r>
          </w:p>
        </w:tc>
        <w:tc>
          <w:tcPr>
            <w:tcW w:w="631" w:type="pct"/>
            <w:tcBorders>
              <w:top w:val="single" w:sz="4" w:space="0" w:color="auto"/>
              <w:bottom w:val="double" w:sz="4" w:space="0" w:color="auto"/>
            </w:tcBorders>
          </w:tcPr>
          <w:p w:rsidR="00430608" w:rsidRPr="00B41A10" w:rsidRDefault="00430608" w:rsidP="007445B3">
            <w:pPr>
              <w:pStyle w:val="Tabletext"/>
              <w:keepNext/>
              <w:jc w:val="center"/>
              <w:rPr>
                <w:b/>
              </w:rPr>
            </w:pPr>
            <w:r w:rsidRPr="00B41A10">
              <w:rPr>
                <w:b/>
              </w:rPr>
              <w:t>BRILLIANCE</w:t>
            </w:r>
          </w:p>
        </w:tc>
      </w:tr>
      <w:tr w:rsidR="00430608" w:rsidTr="00A009FE">
        <w:tc>
          <w:tcPr>
            <w:tcW w:w="1048" w:type="pct"/>
            <w:tcBorders>
              <w:top w:val="double" w:sz="4" w:space="0" w:color="auto"/>
            </w:tcBorders>
          </w:tcPr>
          <w:p w:rsidR="00430608" w:rsidRPr="00B41A10" w:rsidRDefault="00570FF3" w:rsidP="007445B3">
            <w:pPr>
              <w:pStyle w:val="Tabletext"/>
              <w:keepNext/>
              <w:rPr>
                <w:b/>
              </w:rPr>
            </w:pPr>
            <w:r>
              <w:rPr>
                <w:b/>
              </w:rPr>
              <w:t>RANIBIZUMAB</w:t>
            </w:r>
          </w:p>
        </w:tc>
        <w:tc>
          <w:tcPr>
            <w:tcW w:w="662" w:type="pct"/>
            <w:tcBorders>
              <w:top w:val="double" w:sz="4" w:space="0" w:color="auto"/>
            </w:tcBorders>
          </w:tcPr>
          <w:p w:rsidR="00430608" w:rsidRDefault="00430608" w:rsidP="007445B3">
            <w:pPr>
              <w:pStyle w:val="Tabletext"/>
              <w:keepNext/>
              <w:jc w:val="center"/>
            </w:pPr>
            <w:r>
              <w:t>N=106</w:t>
            </w:r>
          </w:p>
        </w:tc>
        <w:tc>
          <w:tcPr>
            <w:tcW w:w="667" w:type="pct"/>
            <w:tcBorders>
              <w:top w:val="double" w:sz="4" w:space="0" w:color="auto"/>
            </w:tcBorders>
          </w:tcPr>
          <w:p w:rsidR="00430608" w:rsidRPr="00042B67" w:rsidRDefault="00042B67" w:rsidP="007445B3">
            <w:pPr>
              <w:pStyle w:val="Tabletext"/>
              <w:keepNext/>
              <w:jc w:val="center"/>
              <w:rPr>
                <w:highlight w:val="black"/>
              </w:rPr>
            </w:pPr>
            <w:r>
              <w:rPr>
                <w:noProof/>
                <w:color w:val="000000"/>
                <w:highlight w:val="black"/>
              </w:rPr>
              <w:t>'''''''''''''''</w:t>
            </w:r>
          </w:p>
        </w:tc>
        <w:tc>
          <w:tcPr>
            <w:tcW w:w="662" w:type="pct"/>
            <w:tcBorders>
              <w:top w:val="double" w:sz="4" w:space="0" w:color="auto"/>
            </w:tcBorders>
          </w:tcPr>
          <w:p w:rsidR="00430608" w:rsidRDefault="00430608" w:rsidP="007445B3">
            <w:pPr>
              <w:pStyle w:val="Tabletext"/>
              <w:keepNext/>
              <w:jc w:val="center"/>
            </w:pPr>
            <w:r>
              <w:t>N=118</w:t>
            </w:r>
          </w:p>
        </w:tc>
        <w:tc>
          <w:tcPr>
            <w:tcW w:w="667" w:type="pct"/>
            <w:tcBorders>
              <w:top w:val="double" w:sz="4" w:space="0" w:color="auto"/>
            </w:tcBorders>
          </w:tcPr>
          <w:p w:rsidR="00430608" w:rsidRPr="00042B67" w:rsidRDefault="00042B67" w:rsidP="007445B3">
            <w:pPr>
              <w:pStyle w:val="Tabletext"/>
              <w:keepNext/>
              <w:jc w:val="center"/>
              <w:rPr>
                <w:highlight w:val="black"/>
              </w:rPr>
            </w:pPr>
            <w:r>
              <w:rPr>
                <w:noProof/>
                <w:color w:val="000000"/>
                <w:highlight w:val="black"/>
              </w:rPr>
              <w:t>'''''''''''''''''</w:t>
            </w:r>
          </w:p>
        </w:tc>
        <w:tc>
          <w:tcPr>
            <w:tcW w:w="662" w:type="pct"/>
            <w:tcBorders>
              <w:top w:val="double" w:sz="4" w:space="0" w:color="auto"/>
            </w:tcBorders>
          </w:tcPr>
          <w:p w:rsidR="00430608" w:rsidRPr="002261D7" w:rsidRDefault="00430608" w:rsidP="007445B3">
            <w:pPr>
              <w:pStyle w:val="Tabletext"/>
              <w:keepNext/>
              <w:jc w:val="center"/>
              <w:rPr>
                <w:vertAlign w:val="superscript"/>
              </w:rPr>
            </w:pPr>
            <w:r>
              <w:t>N=38</w:t>
            </w:r>
            <w:r>
              <w:rPr>
                <w:vertAlign w:val="superscript"/>
              </w:rPr>
              <w:t>a</w:t>
            </w:r>
          </w:p>
        </w:tc>
        <w:tc>
          <w:tcPr>
            <w:tcW w:w="631" w:type="pct"/>
            <w:tcBorders>
              <w:top w:val="double" w:sz="4" w:space="0" w:color="auto"/>
            </w:tcBorders>
          </w:tcPr>
          <w:p w:rsidR="00430608" w:rsidRPr="00042B67" w:rsidRDefault="00042B67" w:rsidP="007445B3">
            <w:pPr>
              <w:pStyle w:val="Tabletext"/>
              <w:keepNext/>
              <w:jc w:val="center"/>
              <w:rPr>
                <w:vertAlign w:val="superscript"/>
              </w:rPr>
            </w:pPr>
            <w:r>
              <w:rPr>
                <w:noProof/>
                <w:color w:val="000000"/>
                <w:highlight w:val="black"/>
              </w:rPr>
              <w:t>''''''''''''</w:t>
            </w:r>
            <w:r w:rsidR="00430608" w:rsidRPr="00712190">
              <w:rPr>
                <w:vertAlign w:val="superscript"/>
              </w:rPr>
              <w:t>a</w:t>
            </w:r>
          </w:p>
        </w:tc>
      </w:tr>
      <w:tr w:rsidR="00430608" w:rsidTr="00A009FE">
        <w:tc>
          <w:tcPr>
            <w:tcW w:w="1048" w:type="pct"/>
          </w:tcPr>
          <w:p w:rsidR="00430608" w:rsidRDefault="00430608" w:rsidP="007445B3">
            <w:pPr>
              <w:pStyle w:val="Tabletext"/>
              <w:keepNext/>
            </w:pPr>
            <w:r>
              <w:t>Injections per patient</w:t>
            </w:r>
          </w:p>
        </w:tc>
        <w:tc>
          <w:tcPr>
            <w:tcW w:w="662" w:type="pct"/>
          </w:tcPr>
          <w:p w:rsidR="00430608" w:rsidRDefault="00430608" w:rsidP="007445B3">
            <w:pPr>
              <w:pStyle w:val="TableText0"/>
              <w:keepNext/>
              <w:jc w:val="center"/>
            </w:pPr>
          </w:p>
        </w:tc>
        <w:tc>
          <w:tcPr>
            <w:tcW w:w="667" w:type="pct"/>
          </w:tcPr>
          <w:p w:rsidR="00430608" w:rsidRPr="00042B67" w:rsidRDefault="00430608" w:rsidP="007445B3">
            <w:pPr>
              <w:pStyle w:val="TableText0"/>
              <w:keepNext/>
              <w:jc w:val="center"/>
            </w:pPr>
          </w:p>
        </w:tc>
        <w:tc>
          <w:tcPr>
            <w:tcW w:w="662" w:type="pct"/>
          </w:tcPr>
          <w:p w:rsidR="00430608" w:rsidRDefault="00430608" w:rsidP="007445B3">
            <w:pPr>
              <w:pStyle w:val="TableText0"/>
              <w:keepNext/>
              <w:jc w:val="center"/>
            </w:pPr>
          </w:p>
        </w:tc>
        <w:tc>
          <w:tcPr>
            <w:tcW w:w="667" w:type="pct"/>
          </w:tcPr>
          <w:p w:rsidR="00430608" w:rsidRPr="00042B67" w:rsidRDefault="00430608" w:rsidP="007445B3">
            <w:pPr>
              <w:pStyle w:val="TableText0"/>
              <w:keepNext/>
              <w:jc w:val="center"/>
            </w:pPr>
          </w:p>
        </w:tc>
        <w:tc>
          <w:tcPr>
            <w:tcW w:w="662" w:type="pct"/>
          </w:tcPr>
          <w:p w:rsidR="00430608" w:rsidRDefault="00430608" w:rsidP="007445B3">
            <w:pPr>
              <w:pStyle w:val="TableText0"/>
              <w:keepNext/>
              <w:jc w:val="center"/>
            </w:pPr>
          </w:p>
        </w:tc>
        <w:tc>
          <w:tcPr>
            <w:tcW w:w="631" w:type="pct"/>
          </w:tcPr>
          <w:p w:rsidR="00430608" w:rsidRPr="00042B67" w:rsidRDefault="00430608" w:rsidP="007445B3">
            <w:pPr>
              <w:pStyle w:val="TableText0"/>
              <w:keepNext/>
              <w:jc w:val="center"/>
            </w:pPr>
          </w:p>
        </w:tc>
      </w:tr>
      <w:tr w:rsidR="00430608" w:rsidTr="00A009FE">
        <w:tc>
          <w:tcPr>
            <w:tcW w:w="1048" w:type="pct"/>
          </w:tcPr>
          <w:p w:rsidR="00430608" w:rsidRDefault="00430608" w:rsidP="007445B3">
            <w:pPr>
              <w:pStyle w:val="Tabletext"/>
              <w:keepNext/>
              <w:ind w:left="142"/>
            </w:pPr>
            <w:r>
              <w:t>Mean (SD)</w:t>
            </w:r>
          </w:p>
        </w:tc>
        <w:tc>
          <w:tcPr>
            <w:tcW w:w="662" w:type="pct"/>
          </w:tcPr>
          <w:p w:rsidR="00430608" w:rsidRDefault="00430608" w:rsidP="007445B3">
            <w:pPr>
              <w:pStyle w:val="Tabletext"/>
              <w:keepNext/>
              <w:jc w:val="center"/>
            </w:pPr>
            <w:r w:rsidRPr="07B3E2D9">
              <w:t>4.6 (2.59)</w:t>
            </w:r>
          </w:p>
        </w:tc>
        <w:tc>
          <w:tcPr>
            <w:tcW w:w="667" w:type="pct"/>
          </w:tcPr>
          <w:p w:rsidR="00430608" w:rsidRPr="00042B67" w:rsidRDefault="00042B67" w:rsidP="007445B3">
            <w:pPr>
              <w:pStyle w:val="Tabletext"/>
              <w:keepNext/>
              <w:jc w:val="center"/>
              <w:rPr>
                <w:highlight w:val="black"/>
              </w:rPr>
            </w:pPr>
            <w:r>
              <w:rPr>
                <w:noProof/>
                <w:color w:val="000000"/>
                <w:highlight w:val="black"/>
              </w:rPr>
              <w:t>'''''''' ''''''''''''''</w:t>
            </w:r>
          </w:p>
        </w:tc>
        <w:tc>
          <w:tcPr>
            <w:tcW w:w="662" w:type="pct"/>
          </w:tcPr>
          <w:p w:rsidR="00430608" w:rsidRDefault="00430608" w:rsidP="007445B3">
            <w:pPr>
              <w:pStyle w:val="Tabletext"/>
              <w:keepNext/>
              <w:jc w:val="center"/>
            </w:pPr>
            <w:r w:rsidRPr="07B3E2D9">
              <w:t>3.5 (2.92)</w:t>
            </w:r>
          </w:p>
        </w:tc>
        <w:tc>
          <w:tcPr>
            <w:tcW w:w="667" w:type="pct"/>
          </w:tcPr>
          <w:p w:rsidR="00430608" w:rsidRPr="00042B67" w:rsidRDefault="00042B67" w:rsidP="007445B3">
            <w:pPr>
              <w:pStyle w:val="Tabletext"/>
              <w:keepNext/>
              <w:jc w:val="center"/>
              <w:rPr>
                <w:highlight w:val="black"/>
              </w:rPr>
            </w:pPr>
            <w:r>
              <w:rPr>
                <w:noProof/>
                <w:color w:val="000000"/>
                <w:highlight w:val="black"/>
              </w:rPr>
              <w:t>'''''''' ''''''''''''''''</w:t>
            </w:r>
          </w:p>
        </w:tc>
        <w:tc>
          <w:tcPr>
            <w:tcW w:w="662" w:type="pct"/>
          </w:tcPr>
          <w:p w:rsidR="00430608" w:rsidRPr="07B3E2D9" w:rsidRDefault="00430608" w:rsidP="007445B3">
            <w:pPr>
              <w:pStyle w:val="Tabletext"/>
              <w:keepNext/>
              <w:jc w:val="center"/>
            </w:pPr>
            <w:r w:rsidRPr="07B3E2D9">
              <w:t>3.2 (2.54)</w:t>
            </w:r>
          </w:p>
        </w:tc>
        <w:tc>
          <w:tcPr>
            <w:tcW w:w="631" w:type="pct"/>
          </w:tcPr>
          <w:p w:rsidR="00430608" w:rsidRPr="00042B67" w:rsidRDefault="00042B67" w:rsidP="007445B3">
            <w:pPr>
              <w:pStyle w:val="Tabletext"/>
              <w:keepNext/>
              <w:jc w:val="center"/>
              <w:rPr>
                <w:highlight w:val="black"/>
              </w:rPr>
            </w:pPr>
            <w:r>
              <w:rPr>
                <w:noProof/>
                <w:color w:val="000000"/>
                <w:highlight w:val="black"/>
              </w:rPr>
              <w:t>''''''' '''''''''''''''</w:t>
            </w:r>
          </w:p>
        </w:tc>
      </w:tr>
      <w:tr w:rsidR="00430608" w:rsidTr="00A009FE">
        <w:tc>
          <w:tcPr>
            <w:tcW w:w="1048" w:type="pct"/>
          </w:tcPr>
          <w:p w:rsidR="00430608" w:rsidRDefault="00430608" w:rsidP="007445B3">
            <w:pPr>
              <w:pStyle w:val="Tabletext"/>
              <w:keepNext/>
              <w:ind w:left="142"/>
            </w:pPr>
            <w:r>
              <w:t>Median (range)</w:t>
            </w:r>
          </w:p>
        </w:tc>
        <w:tc>
          <w:tcPr>
            <w:tcW w:w="662" w:type="pct"/>
          </w:tcPr>
          <w:p w:rsidR="00430608" w:rsidRDefault="00430608" w:rsidP="007445B3">
            <w:pPr>
              <w:pStyle w:val="Tabletext"/>
              <w:keepNext/>
              <w:jc w:val="center"/>
            </w:pPr>
            <w:r w:rsidRPr="07B3E2D9">
              <w:t>4.0</w:t>
            </w:r>
            <w:r>
              <w:t xml:space="preserve"> </w:t>
            </w:r>
            <w:r w:rsidR="00042B67">
              <w:rPr>
                <w:noProof/>
                <w:color w:val="000000"/>
                <w:highlight w:val="black"/>
              </w:rPr>
              <w:t>''''''''''''''</w:t>
            </w:r>
          </w:p>
        </w:tc>
        <w:tc>
          <w:tcPr>
            <w:tcW w:w="667" w:type="pct"/>
          </w:tcPr>
          <w:p w:rsidR="00430608" w:rsidRPr="00042B67" w:rsidRDefault="00042B67" w:rsidP="007445B3">
            <w:pPr>
              <w:pStyle w:val="Tabletext"/>
              <w:keepNext/>
              <w:jc w:val="center"/>
              <w:rPr>
                <w:highlight w:val="black"/>
              </w:rPr>
            </w:pPr>
            <w:r>
              <w:rPr>
                <w:noProof/>
                <w:color w:val="000000"/>
                <w:highlight w:val="black"/>
              </w:rPr>
              <w:t>'''''''' ''''''''''''''</w:t>
            </w:r>
          </w:p>
        </w:tc>
        <w:tc>
          <w:tcPr>
            <w:tcW w:w="662" w:type="pct"/>
          </w:tcPr>
          <w:p w:rsidR="00430608" w:rsidRDefault="00430608" w:rsidP="007445B3">
            <w:pPr>
              <w:pStyle w:val="Tabletext"/>
              <w:keepNext/>
              <w:jc w:val="center"/>
            </w:pPr>
            <w:r w:rsidRPr="07B3E2D9">
              <w:t>2.5</w:t>
            </w:r>
            <w:r>
              <w:t xml:space="preserve"> </w:t>
            </w:r>
            <w:r w:rsidR="00042B67">
              <w:rPr>
                <w:noProof/>
                <w:color w:val="000000"/>
                <w:highlight w:val="black"/>
              </w:rPr>
              <w:t>'''''''''''''''</w:t>
            </w:r>
          </w:p>
        </w:tc>
        <w:tc>
          <w:tcPr>
            <w:tcW w:w="667" w:type="pct"/>
          </w:tcPr>
          <w:p w:rsidR="00430608" w:rsidRPr="00042B67" w:rsidRDefault="00042B67" w:rsidP="007445B3">
            <w:pPr>
              <w:pStyle w:val="Tabletext"/>
              <w:keepNext/>
              <w:jc w:val="center"/>
              <w:rPr>
                <w:highlight w:val="black"/>
              </w:rPr>
            </w:pPr>
            <w:r>
              <w:rPr>
                <w:noProof/>
                <w:color w:val="000000"/>
                <w:highlight w:val="black"/>
              </w:rPr>
              <w:t>'''' '''''''''''''''</w:t>
            </w:r>
          </w:p>
        </w:tc>
        <w:tc>
          <w:tcPr>
            <w:tcW w:w="662" w:type="pct"/>
          </w:tcPr>
          <w:p w:rsidR="00430608" w:rsidRPr="07B3E2D9" w:rsidRDefault="00430608" w:rsidP="007445B3">
            <w:pPr>
              <w:pStyle w:val="Tabletext"/>
              <w:keepNext/>
              <w:jc w:val="center"/>
            </w:pPr>
            <w:r w:rsidRPr="07B3E2D9">
              <w:t>2.0</w:t>
            </w:r>
            <w:r>
              <w:t xml:space="preserve"> </w:t>
            </w:r>
            <w:r w:rsidR="00042B67">
              <w:rPr>
                <w:noProof/>
                <w:color w:val="000000"/>
                <w:highlight w:val="black"/>
              </w:rPr>
              <w:t>'''''''''''</w:t>
            </w:r>
          </w:p>
        </w:tc>
        <w:tc>
          <w:tcPr>
            <w:tcW w:w="631" w:type="pct"/>
          </w:tcPr>
          <w:p w:rsidR="00430608" w:rsidRPr="00042B67" w:rsidRDefault="00042B67" w:rsidP="007445B3">
            <w:pPr>
              <w:pStyle w:val="Tabletext"/>
              <w:keepNext/>
              <w:jc w:val="center"/>
              <w:rPr>
                <w:highlight w:val="black"/>
              </w:rPr>
            </w:pPr>
            <w:r>
              <w:rPr>
                <w:noProof/>
                <w:color w:val="000000"/>
                <w:highlight w:val="black"/>
              </w:rPr>
              <w:t>'''''''' '''''''''''</w:t>
            </w:r>
          </w:p>
        </w:tc>
      </w:tr>
      <w:tr w:rsidR="00430608" w:rsidTr="00A009FE">
        <w:tc>
          <w:tcPr>
            <w:tcW w:w="1048" w:type="pct"/>
            <w:tcBorders>
              <w:top w:val="double" w:sz="4" w:space="0" w:color="auto"/>
            </w:tcBorders>
          </w:tcPr>
          <w:p w:rsidR="00430608" w:rsidRPr="00B41A10" w:rsidRDefault="00570FF3" w:rsidP="007445B3">
            <w:pPr>
              <w:pStyle w:val="Tabletext"/>
              <w:keepNext/>
              <w:rPr>
                <w:b/>
              </w:rPr>
            </w:pPr>
            <w:r>
              <w:rPr>
                <w:b/>
              </w:rPr>
              <w:t>vPDT</w:t>
            </w:r>
          </w:p>
        </w:tc>
        <w:tc>
          <w:tcPr>
            <w:tcW w:w="662" w:type="pct"/>
            <w:tcBorders>
              <w:top w:val="double" w:sz="4" w:space="0" w:color="auto"/>
            </w:tcBorders>
          </w:tcPr>
          <w:p w:rsidR="00430608" w:rsidRDefault="00430608" w:rsidP="007445B3">
            <w:pPr>
              <w:pStyle w:val="Tabletext"/>
              <w:keepNext/>
              <w:jc w:val="center"/>
            </w:pPr>
            <w:r>
              <w:t>NA</w:t>
            </w:r>
          </w:p>
        </w:tc>
        <w:tc>
          <w:tcPr>
            <w:tcW w:w="667" w:type="pct"/>
            <w:tcBorders>
              <w:top w:val="double" w:sz="4" w:space="0" w:color="auto"/>
            </w:tcBorders>
          </w:tcPr>
          <w:p w:rsidR="00430608" w:rsidRDefault="00430608" w:rsidP="007445B3">
            <w:pPr>
              <w:pStyle w:val="Tabletext"/>
              <w:keepNext/>
              <w:jc w:val="center"/>
            </w:pPr>
            <w:r>
              <w:t>NA</w:t>
            </w:r>
          </w:p>
        </w:tc>
        <w:tc>
          <w:tcPr>
            <w:tcW w:w="662" w:type="pct"/>
            <w:tcBorders>
              <w:top w:val="double" w:sz="4" w:space="0" w:color="auto"/>
            </w:tcBorders>
          </w:tcPr>
          <w:p w:rsidR="00430608" w:rsidRDefault="00430608" w:rsidP="007445B3">
            <w:pPr>
              <w:pStyle w:val="Tabletext"/>
              <w:keepNext/>
              <w:jc w:val="center"/>
            </w:pPr>
            <w:r>
              <w:t>NA</w:t>
            </w:r>
          </w:p>
        </w:tc>
        <w:tc>
          <w:tcPr>
            <w:tcW w:w="667" w:type="pct"/>
            <w:tcBorders>
              <w:top w:val="double" w:sz="4" w:space="0" w:color="auto"/>
            </w:tcBorders>
          </w:tcPr>
          <w:p w:rsidR="00430608" w:rsidRDefault="00430608" w:rsidP="007445B3">
            <w:pPr>
              <w:pStyle w:val="Tabletext"/>
              <w:keepNext/>
              <w:jc w:val="center"/>
            </w:pPr>
            <w:r>
              <w:t>NA</w:t>
            </w:r>
          </w:p>
        </w:tc>
        <w:tc>
          <w:tcPr>
            <w:tcW w:w="662" w:type="pct"/>
            <w:tcBorders>
              <w:top w:val="double" w:sz="4" w:space="0" w:color="auto"/>
            </w:tcBorders>
          </w:tcPr>
          <w:p w:rsidR="00430608" w:rsidRPr="001C1976" w:rsidRDefault="00430608" w:rsidP="007445B3">
            <w:pPr>
              <w:pStyle w:val="Tabletext"/>
              <w:keepNext/>
              <w:jc w:val="center"/>
            </w:pPr>
            <w:r>
              <w:t>N=53</w:t>
            </w:r>
          </w:p>
        </w:tc>
        <w:tc>
          <w:tcPr>
            <w:tcW w:w="631" w:type="pct"/>
            <w:tcBorders>
              <w:top w:val="double" w:sz="4" w:space="0" w:color="auto"/>
            </w:tcBorders>
          </w:tcPr>
          <w:p w:rsidR="00430608" w:rsidRPr="00042B67" w:rsidRDefault="00042B67" w:rsidP="007445B3">
            <w:pPr>
              <w:pStyle w:val="Tabletext"/>
              <w:keepNext/>
              <w:jc w:val="center"/>
              <w:rPr>
                <w:highlight w:val="black"/>
              </w:rPr>
            </w:pPr>
            <w:r>
              <w:rPr>
                <w:noProof/>
                <w:color w:val="000000"/>
                <w:highlight w:val="black"/>
              </w:rPr>
              <w:t>'''''''''''''</w:t>
            </w:r>
          </w:p>
        </w:tc>
      </w:tr>
      <w:tr w:rsidR="00430608" w:rsidTr="00A009FE">
        <w:tc>
          <w:tcPr>
            <w:tcW w:w="1048" w:type="pct"/>
          </w:tcPr>
          <w:p w:rsidR="00430608" w:rsidRDefault="00430608" w:rsidP="007445B3">
            <w:pPr>
              <w:pStyle w:val="Tabletext"/>
              <w:keepNext/>
            </w:pPr>
            <w:r>
              <w:t>Treatments per patient</w:t>
            </w:r>
          </w:p>
        </w:tc>
        <w:tc>
          <w:tcPr>
            <w:tcW w:w="662" w:type="pct"/>
          </w:tcPr>
          <w:p w:rsidR="00430608" w:rsidRDefault="00430608" w:rsidP="007445B3">
            <w:pPr>
              <w:pStyle w:val="TableText0"/>
              <w:keepNext/>
              <w:jc w:val="center"/>
            </w:pPr>
          </w:p>
        </w:tc>
        <w:tc>
          <w:tcPr>
            <w:tcW w:w="667" w:type="pct"/>
          </w:tcPr>
          <w:p w:rsidR="00430608" w:rsidRDefault="00430608" w:rsidP="007445B3">
            <w:pPr>
              <w:pStyle w:val="TableText0"/>
              <w:keepNext/>
              <w:jc w:val="center"/>
            </w:pPr>
          </w:p>
        </w:tc>
        <w:tc>
          <w:tcPr>
            <w:tcW w:w="662" w:type="pct"/>
          </w:tcPr>
          <w:p w:rsidR="00430608" w:rsidRDefault="00430608" w:rsidP="007445B3">
            <w:pPr>
              <w:pStyle w:val="TableText0"/>
              <w:keepNext/>
              <w:jc w:val="center"/>
            </w:pPr>
          </w:p>
        </w:tc>
        <w:tc>
          <w:tcPr>
            <w:tcW w:w="667" w:type="pct"/>
          </w:tcPr>
          <w:p w:rsidR="00430608" w:rsidRDefault="00430608" w:rsidP="007445B3">
            <w:pPr>
              <w:pStyle w:val="TableText0"/>
              <w:keepNext/>
              <w:jc w:val="center"/>
            </w:pPr>
          </w:p>
        </w:tc>
        <w:tc>
          <w:tcPr>
            <w:tcW w:w="662" w:type="pct"/>
          </w:tcPr>
          <w:p w:rsidR="00430608" w:rsidRPr="007B4DC6" w:rsidRDefault="00430608" w:rsidP="007445B3">
            <w:pPr>
              <w:pStyle w:val="TableText0"/>
              <w:keepNext/>
              <w:jc w:val="center"/>
            </w:pPr>
          </w:p>
        </w:tc>
        <w:tc>
          <w:tcPr>
            <w:tcW w:w="631" w:type="pct"/>
          </w:tcPr>
          <w:p w:rsidR="00430608" w:rsidRPr="007B4DC6" w:rsidRDefault="00430608" w:rsidP="007445B3">
            <w:pPr>
              <w:pStyle w:val="TableText0"/>
              <w:keepNext/>
              <w:jc w:val="center"/>
            </w:pPr>
          </w:p>
        </w:tc>
      </w:tr>
      <w:tr w:rsidR="00430608" w:rsidTr="00A009FE">
        <w:tc>
          <w:tcPr>
            <w:tcW w:w="1048" w:type="pct"/>
          </w:tcPr>
          <w:p w:rsidR="00430608" w:rsidRDefault="00430608" w:rsidP="007445B3">
            <w:pPr>
              <w:pStyle w:val="Tabletext"/>
              <w:keepNext/>
              <w:ind w:left="142"/>
            </w:pPr>
            <w:r>
              <w:t>Mean (SD)</w:t>
            </w:r>
          </w:p>
        </w:tc>
        <w:tc>
          <w:tcPr>
            <w:tcW w:w="662" w:type="pct"/>
          </w:tcPr>
          <w:p w:rsidR="00430608" w:rsidRDefault="00430608" w:rsidP="007445B3">
            <w:pPr>
              <w:pStyle w:val="TableText0"/>
              <w:keepNext/>
              <w:jc w:val="center"/>
            </w:pPr>
          </w:p>
        </w:tc>
        <w:tc>
          <w:tcPr>
            <w:tcW w:w="667" w:type="pct"/>
          </w:tcPr>
          <w:p w:rsidR="00430608" w:rsidRDefault="00430608" w:rsidP="007445B3">
            <w:pPr>
              <w:pStyle w:val="TableText0"/>
              <w:keepNext/>
              <w:jc w:val="center"/>
            </w:pPr>
          </w:p>
        </w:tc>
        <w:tc>
          <w:tcPr>
            <w:tcW w:w="662" w:type="pct"/>
          </w:tcPr>
          <w:p w:rsidR="00430608" w:rsidRDefault="00430608" w:rsidP="007445B3">
            <w:pPr>
              <w:pStyle w:val="TableText0"/>
              <w:keepNext/>
              <w:jc w:val="center"/>
            </w:pPr>
          </w:p>
        </w:tc>
        <w:tc>
          <w:tcPr>
            <w:tcW w:w="667" w:type="pct"/>
          </w:tcPr>
          <w:p w:rsidR="00430608" w:rsidRDefault="00430608" w:rsidP="007445B3">
            <w:pPr>
              <w:pStyle w:val="TableText0"/>
              <w:keepNext/>
              <w:jc w:val="center"/>
            </w:pPr>
          </w:p>
        </w:tc>
        <w:tc>
          <w:tcPr>
            <w:tcW w:w="662" w:type="pct"/>
          </w:tcPr>
          <w:p w:rsidR="00430608" w:rsidRPr="007B4DC6" w:rsidRDefault="00430608" w:rsidP="007445B3">
            <w:pPr>
              <w:pStyle w:val="Tabletext"/>
              <w:keepNext/>
              <w:jc w:val="center"/>
              <w:rPr>
                <w:vertAlign w:val="superscript"/>
              </w:rPr>
            </w:pPr>
            <w:r w:rsidRPr="007B4DC6">
              <w:t>1.04 (0.19)</w:t>
            </w:r>
            <w:r w:rsidRPr="007B4DC6">
              <w:rPr>
                <w:vertAlign w:val="superscript"/>
              </w:rPr>
              <w:t>b</w:t>
            </w:r>
          </w:p>
        </w:tc>
        <w:tc>
          <w:tcPr>
            <w:tcW w:w="631" w:type="pct"/>
          </w:tcPr>
          <w:p w:rsidR="00430608" w:rsidRPr="007B4DC6" w:rsidRDefault="00042B67" w:rsidP="007445B3">
            <w:pPr>
              <w:pStyle w:val="Tabletext"/>
              <w:keepNext/>
              <w:jc w:val="center"/>
              <w:rPr>
                <w:vertAlign w:val="superscript"/>
              </w:rPr>
            </w:pPr>
            <w:r>
              <w:rPr>
                <w:noProof/>
                <w:color w:val="000000"/>
                <w:highlight w:val="black"/>
              </w:rPr>
              <w:t>'''''''''' '''''''''''''</w:t>
            </w:r>
            <w:r w:rsidR="00430608" w:rsidRPr="007B4DC6">
              <w:rPr>
                <w:vertAlign w:val="superscript"/>
              </w:rPr>
              <w:t>b</w:t>
            </w:r>
          </w:p>
        </w:tc>
      </w:tr>
      <w:tr w:rsidR="00430608" w:rsidTr="00A009FE">
        <w:tc>
          <w:tcPr>
            <w:tcW w:w="1048" w:type="pct"/>
          </w:tcPr>
          <w:p w:rsidR="00430608" w:rsidRDefault="00430608" w:rsidP="007445B3">
            <w:pPr>
              <w:pStyle w:val="Tabletext"/>
              <w:keepNext/>
              <w:ind w:left="142"/>
            </w:pPr>
            <w:r>
              <w:t>Median (range)</w:t>
            </w:r>
          </w:p>
        </w:tc>
        <w:tc>
          <w:tcPr>
            <w:tcW w:w="662" w:type="pct"/>
          </w:tcPr>
          <w:p w:rsidR="00430608" w:rsidRDefault="00430608" w:rsidP="007445B3">
            <w:pPr>
              <w:pStyle w:val="TableText0"/>
              <w:keepNext/>
              <w:jc w:val="center"/>
            </w:pPr>
          </w:p>
        </w:tc>
        <w:tc>
          <w:tcPr>
            <w:tcW w:w="667" w:type="pct"/>
          </w:tcPr>
          <w:p w:rsidR="00430608" w:rsidRDefault="00430608" w:rsidP="007445B3">
            <w:pPr>
              <w:pStyle w:val="TableText0"/>
              <w:keepNext/>
              <w:jc w:val="center"/>
            </w:pPr>
          </w:p>
        </w:tc>
        <w:tc>
          <w:tcPr>
            <w:tcW w:w="662" w:type="pct"/>
          </w:tcPr>
          <w:p w:rsidR="00430608" w:rsidRDefault="00430608" w:rsidP="007445B3">
            <w:pPr>
              <w:pStyle w:val="TableText0"/>
              <w:keepNext/>
              <w:jc w:val="center"/>
            </w:pPr>
          </w:p>
        </w:tc>
        <w:tc>
          <w:tcPr>
            <w:tcW w:w="667" w:type="pct"/>
          </w:tcPr>
          <w:p w:rsidR="00430608" w:rsidRDefault="00430608" w:rsidP="007445B3">
            <w:pPr>
              <w:pStyle w:val="TableText0"/>
              <w:keepNext/>
              <w:jc w:val="center"/>
            </w:pPr>
          </w:p>
        </w:tc>
        <w:tc>
          <w:tcPr>
            <w:tcW w:w="662" w:type="pct"/>
          </w:tcPr>
          <w:p w:rsidR="00430608" w:rsidRPr="007B4DC6" w:rsidRDefault="00430608" w:rsidP="007445B3">
            <w:pPr>
              <w:pStyle w:val="Tabletext"/>
              <w:keepNext/>
              <w:jc w:val="center"/>
              <w:rPr>
                <w:vertAlign w:val="superscript"/>
              </w:rPr>
            </w:pPr>
            <w:r w:rsidRPr="007B4DC6">
              <w:t xml:space="preserve">1 </w:t>
            </w:r>
            <w:r w:rsidR="00042B67">
              <w:rPr>
                <w:noProof/>
                <w:color w:val="000000"/>
                <w:highlight w:val="black"/>
              </w:rPr>
              <w:t>''''''''''</w:t>
            </w:r>
            <w:r w:rsidRPr="007B4DC6">
              <w:rPr>
                <w:vertAlign w:val="superscript"/>
              </w:rPr>
              <w:t>c</w:t>
            </w:r>
          </w:p>
        </w:tc>
        <w:tc>
          <w:tcPr>
            <w:tcW w:w="631" w:type="pct"/>
          </w:tcPr>
          <w:p w:rsidR="00430608" w:rsidRPr="007B4DC6" w:rsidRDefault="00042B67" w:rsidP="007445B3">
            <w:pPr>
              <w:pStyle w:val="Tabletext"/>
              <w:keepNext/>
              <w:jc w:val="center"/>
              <w:rPr>
                <w:vertAlign w:val="superscript"/>
              </w:rPr>
            </w:pPr>
            <w:r>
              <w:rPr>
                <w:noProof/>
                <w:color w:val="000000"/>
                <w:highlight w:val="black"/>
              </w:rPr>
              <w:t>'''' ''''''''''</w:t>
            </w:r>
            <w:r w:rsidR="00430608" w:rsidRPr="007B4DC6">
              <w:rPr>
                <w:vertAlign w:val="superscript"/>
              </w:rPr>
              <w:t>d</w:t>
            </w:r>
          </w:p>
        </w:tc>
      </w:tr>
    </w:tbl>
    <w:p w:rsidR="00430608" w:rsidRDefault="00430608" w:rsidP="00430608">
      <w:pPr>
        <w:pStyle w:val="TableFooter"/>
        <w:ind w:left="142" w:hanging="142"/>
      </w:pPr>
      <w:r>
        <w:t>SD = standard deviation; vPDT = verteporfin photodynamic therapy; NA = not applicable.</w:t>
      </w:r>
    </w:p>
    <w:p w:rsidR="00430608" w:rsidRDefault="00430608" w:rsidP="00430608">
      <w:pPr>
        <w:pStyle w:val="TableFooter"/>
        <w:ind w:left="142" w:hanging="142"/>
      </w:pPr>
      <w:r w:rsidRPr="00712190">
        <w:rPr>
          <w:vertAlign w:val="superscript"/>
        </w:rPr>
        <w:t>a</w:t>
      </w:r>
      <w:r w:rsidRPr="00712190">
        <w:t xml:space="preserve"> Patients randomised to vPDT who received at least 1 dose of ranibizumab as of Month 3</w:t>
      </w:r>
      <w:r>
        <w:t>.</w:t>
      </w:r>
    </w:p>
    <w:p w:rsidR="00430608" w:rsidRPr="007B4DC6" w:rsidRDefault="00430608" w:rsidP="00430608">
      <w:pPr>
        <w:pStyle w:val="TableFooter"/>
        <w:ind w:left="142" w:hanging="142"/>
      </w:pPr>
      <w:r w:rsidRPr="007B4DC6">
        <w:rPr>
          <w:vertAlign w:val="superscript"/>
        </w:rPr>
        <w:t>b</w:t>
      </w:r>
      <w:r w:rsidRPr="007B4DC6">
        <w:t xml:space="preserve"> Calculated during the evaluation.</w:t>
      </w:r>
    </w:p>
    <w:p w:rsidR="00430608" w:rsidRDefault="00430608" w:rsidP="00430608">
      <w:pPr>
        <w:pStyle w:val="TableFooter"/>
        <w:ind w:left="142" w:hanging="142"/>
      </w:pPr>
      <w:r>
        <w:rPr>
          <w:vertAlign w:val="superscript"/>
        </w:rPr>
        <w:t>c</w:t>
      </w:r>
      <w:r>
        <w:t xml:space="preserve"> 2 patients in Group III who did not receive any ranibizumab after Month 3 received a second treatment with vPDT (1 at Month 3, and 1 at </w:t>
      </w:r>
      <w:r>
        <w:lastRenderedPageBreak/>
        <w:t>Month 5) (Section 2.1.3, p160 RADIANCE CSR).</w:t>
      </w:r>
    </w:p>
    <w:p w:rsidR="00430608" w:rsidRPr="00712190" w:rsidRDefault="00430608" w:rsidP="00430608">
      <w:pPr>
        <w:pStyle w:val="TableFooter"/>
        <w:ind w:left="142" w:hanging="142"/>
      </w:pPr>
      <w:r>
        <w:rPr>
          <w:vertAlign w:val="superscript"/>
        </w:rPr>
        <w:t>d</w:t>
      </w:r>
      <w:r>
        <w:t xml:space="preserve"> </w:t>
      </w:r>
      <w:r w:rsidRPr="00712190">
        <w:t>3 patients in Group III who received ranibizumab after Month 3 also received a second dose of vPDT (1 at Month 6, 1 at Month 7 and 1 at Month 11) (Table 14.3-1.4.2 p975 BRILLIANCE CSR)</w:t>
      </w:r>
    </w:p>
    <w:p w:rsidR="00430608" w:rsidRDefault="00430608" w:rsidP="00430608">
      <w:pPr>
        <w:pStyle w:val="TableFooter"/>
      </w:pPr>
      <w:r>
        <w:t>Source: Tables 2.5-11 and 2.5-12, pp68-9 of the submission; Section 12.1.2-12.1.3 RADIANCE CSR; Table 14.3-1.4.2 p 975 BRILLIANCE CSR)</w:t>
      </w:r>
    </w:p>
    <w:p w:rsidR="0059586A" w:rsidRPr="00AA1344" w:rsidRDefault="0059586A" w:rsidP="00E567E7">
      <w:pPr>
        <w:pStyle w:val="ListParagraph"/>
        <w:widowControl/>
        <w:numPr>
          <w:ilvl w:val="1"/>
          <w:numId w:val="1"/>
        </w:numPr>
        <w:spacing w:before="160"/>
      </w:pPr>
      <w:r w:rsidRPr="00AA1344">
        <w:t>In both trials, the mean number of ranibizumab injections per patient was higher in the ranibizumab arm with retreatment guided by VA stabilisation (Group I) compared with the ranibizumab arm with retreatment guided by disease stabilisation (Group II).</w:t>
      </w:r>
    </w:p>
    <w:p w:rsidR="00430608" w:rsidRPr="00AA1344" w:rsidRDefault="009F3BA4" w:rsidP="00E567E7">
      <w:pPr>
        <w:pStyle w:val="ListParagraph"/>
        <w:widowControl/>
        <w:numPr>
          <w:ilvl w:val="1"/>
          <w:numId w:val="1"/>
        </w:numPr>
      </w:pPr>
      <w:r w:rsidRPr="00AA1344">
        <w:t>The submission presented 12-</w:t>
      </w:r>
      <w:r w:rsidR="00430608" w:rsidRPr="00AA1344">
        <w:t>month safety results for the subgroups of patients in the vPDT treatment arm who did</w:t>
      </w:r>
      <w:r w:rsidR="00890E8E" w:rsidRPr="00AA1344">
        <w:t xml:space="preserve"> (n=38)</w:t>
      </w:r>
      <w:r w:rsidR="00430608" w:rsidRPr="00AA1344">
        <w:t xml:space="preserve"> and did not</w:t>
      </w:r>
      <w:r w:rsidR="00890E8E" w:rsidRPr="00AA1344">
        <w:t xml:space="preserve"> (n=15)</w:t>
      </w:r>
      <w:r w:rsidR="00430608" w:rsidRPr="00AA1344">
        <w:t xml:space="preserve"> receive ranibizumab after Month 3. </w:t>
      </w:r>
      <w:r w:rsidR="002400F8" w:rsidRPr="00AA1344">
        <w:t xml:space="preserve">The </w:t>
      </w:r>
      <w:r w:rsidR="00430608" w:rsidRPr="00AA1344">
        <w:t xml:space="preserve">subgroup of patients in the vPDT arm who did not receive ranibizumab subsequent to Month 3 </w:t>
      </w:r>
      <w:r w:rsidR="002400F8" w:rsidRPr="00AA1344">
        <w:t>w</w:t>
      </w:r>
      <w:r w:rsidR="00A20678">
        <w:t>as</w:t>
      </w:r>
      <w:r w:rsidR="00430608" w:rsidRPr="00AA1344">
        <w:t xml:space="preserve"> not a randomised group; the</w:t>
      </w:r>
      <w:r w:rsidR="00A20678">
        <w:t>se patients</w:t>
      </w:r>
      <w:r w:rsidR="00430608" w:rsidRPr="00AA1344">
        <w:t xml:space="preserve"> </w:t>
      </w:r>
      <w:r w:rsidR="002400F8" w:rsidRPr="00AA1344">
        <w:t>we</w:t>
      </w:r>
      <w:r w:rsidR="00430608" w:rsidRPr="00AA1344">
        <w:t xml:space="preserve">re likely to differ from </w:t>
      </w:r>
      <w:r w:rsidR="00A20678">
        <w:t xml:space="preserve">those in </w:t>
      </w:r>
      <w:r w:rsidR="00430608" w:rsidRPr="00AA1344">
        <w:t>the complementary subgroup who did receive ranibizumab in terms of both baseline prognostic f</w:t>
      </w:r>
      <w:r w:rsidR="00570FF3" w:rsidRPr="00AA1344">
        <w:t>actors and response to therapy.</w:t>
      </w:r>
    </w:p>
    <w:p w:rsidR="000D2873" w:rsidRPr="00AA1344" w:rsidRDefault="000D2873" w:rsidP="00E567E7">
      <w:pPr>
        <w:pStyle w:val="ListParagraph"/>
        <w:widowControl/>
        <w:numPr>
          <w:ilvl w:val="1"/>
          <w:numId w:val="1"/>
        </w:numPr>
      </w:pPr>
      <w:r w:rsidRPr="00AA1344">
        <w:t xml:space="preserve">Of the patients in the vPDT arms of the trials who did not receive ranibizumab, only 2/15 (13.3%) in RADIANCE and </w:t>
      </w:r>
      <w:r w:rsidR="00042B67">
        <w:rPr>
          <w:noProof/>
          <w:color w:val="000000"/>
          <w:highlight w:val="black"/>
        </w:rPr>
        <w:t>'''''''''</w:t>
      </w:r>
      <w:r w:rsidRPr="00AA1344">
        <w:t xml:space="preserve"> in BRILLIANCE received a second vPDT treatment over the 12 months of the trial</w:t>
      </w:r>
      <w:r w:rsidRPr="00AA1344">
        <w:rPr>
          <w:rStyle w:val="FootnoteReference"/>
        </w:rPr>
        <w:footnoteReference w:id="3"/>
      </w:r>
      <w:r w:rsidRPr="00AA1344">
        <w:t xml:space="preserve">. The remaining patients did not receive any further </w:t>
      </w:r>
      <w:r w:rsidR="00047B57" w:rsidRPr="00AA1344">
        <w:t xml:space="preserve">study </w:t>
      </w:r>
      <w:r w:rsidRPr="00AA1344">
        <w:t xml:space="preserve">treatment. Consequently, </w:t>
      </w:r>
      <w:r w:rsidRPr="000C0DFF">
        <w:t>there were no data regarding adverse events (AEs) associated with repeated exposure to vPDT.</w:t>
      </w:r>
      <w:r w:rsidR="00A86818" w:rsidRPr="000C0DFF">
        <w:t xml:space="preserve"> The ESC considered </w:t>
      </w:r>
      <w:r w:rsidR="00A20678" w:rsidRPr="000C0DFF">
        <w:t xml:space="preserve">that </w:t>
      </w:r>
      <w:r w:rsidR="00A86818" w:rsidRPr="000C0DFF">
        <w:t>the lack of continuing treatment with vPDT in the trials highlight</w:t>
      </w:r>
      <w:r w:rsidR="00A20678" w:rsidRPr="000C0DFF">
        <w:t>ed</w:t>
      </w:r>
      <w:r w:rsidR="00A86818" w:rsidRPr="000C0DFF">
        <w:t xml:space="preserve"> the lack of clinical effectiveness of th</w:t>
      </w:r>
      <w:r w:rsidR="00A20678" w:rsidRPr="000C0DFF">
        <w:t>is alternativ</w:t>
      </w:r>
      <w:r w:rsidR="00A86818" w:rsidRPr="000C0DFF">
        <w:t xml:space="preserve">e </w:t>
      </w:r>
      <w:r w:rsidR="00A20678" w:rsidRPr="000C0DFF">
        <w:t>therapy.</w:t>
      </w:r>
    </w:p>
    <w:p w:rsidR="00430608" w:rsidRDefault="00430608" w:rsidP="00E567E7">
      <w:pPr>
        <w:pStyle w:val="ListParagraph"/>
        <w:widowControl/>
        <w:numPr>
          <w:ilvl w:val="1"/>
          <w:numId w:val="1"/>
        </w:numPr>
      </w:pPr>
      <w:r>
        <w:t>A summary of the key AEs ov</w:t>
      </w:r>
      <w:r w:rsidR="009F3BA4">
        <w:t>er the 12-</w:t>
      </w:r>
      <w:r>
        <w:t>month study period of the trials is presented in Table 7.</w:t>
      </w:r>
    </w:p>
    <w:p w:rsidR="00430608" w:rsidRPr="00F540C6" w:rsidRDefault="00430608" w:rsidP="000B313B">
      <w:pPr>
        <w:pStyle w:val="Tabletext"/>
        <w:keepNext/>
        <w:rPr>
          <w:rStyle w:val="CommentReference"/>
        </w:rPr>
      </w:pPr>
      <w:r>
        <w:rPr>
          <w:rStyle w:val="CommentReference"/>
        </w:rPr>
        <w:lastRenderedPageBreak/>
        <w:t>Table 7</w:t>
      </w:r>
      <w:r w:rsidR="00570FF3">
        <w:rPr>
          <w:rStyle w:val="CommentReference"/>
        </w:rPr>
        <w:t xml:space="preserve">: </w:t>
      </w:r>
      <w:r w:rsidRPr="00F540C6">
        <w:rPr>
          <w:rStyle w:val="CommentReference"/>
        </w:rPr>
        <w:t>Summary of key adverse events in the randomised trials</w:t>
      </w:r>
      <w:r>
        <w:rPr>
          <w:rStyle w:val="CommentReference"/>
        </w:rPr>
        <w:t xml:space="preserve"> up to Month 12*</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791"/>
        <w:gridCol w:w="1753"/>
        <w:gridCol w:w="1693"/>
        <w:gridCol w:w="1821"/>
      </w:tblGrid>
      <w:tr w:rsidR="00430608" w:rsidRPr="00080909" w:rsidTr="00A009FE">
        <w:trPr>
          <w:tblHeader/>
        </w:trPr>
        <w:tc>
          <w:tcPr>
            <w:tcW w:w="1110" w:type="pct"/>
            <w:vMerge w:val="restart"/>
            <w:vAlign w:val="center"/>
          </w:tcPr>
          <w:p w:rsidR="00430608" w:rsidRPr="00B41A10" w:rsidRDefault="00430608" w:rsidP="000B313B">
            <w:pPr>
              <w:pStyle w:val="Tabletext"/>
              <w:keepNext/>
              <w:rPr>
                <w:b/>
              </w:rPr>
            </w:pPr>
            <w:r w:rsidRPr="00B41A10">
              <w:rPr>
                <w:b/>
              </w:rPr>
              <w:t>Trial ID</w:t>
            </w:r>
          </w:p>
        </w:tc>
        <w:tc>
          <w:tcPr>
            <w:tcW w:w="1953" w:type="pct"/>
            <w:gridSpan w:val="2"/>
          </w:tcPr>
          <w:p w:rsidR="00430608" w:rsidRPr="00B41A10" w:rsidRDefault="00430608" w:rsidP="000B313B">
            <w:pPr>
              <w:pStyle w:val="Tabletext"/>
              <w:keepNext/>
              <w:jc w:val="center"/>
              <w:rPr>
                <w:b/>
              </w:rPr>
            </w:pPr>
            <w:r w:rsidRPr="00B41A10">
              <w:rPr>
                <w:b/>
              </w:rPr>
              <w:t>Ranibizumab</w:t>
            </w:r>
          </w:p>
        </w:tc>
        <w:tc>
          <w:tcPr>
            <w:tcW w:w="1937" w:type="pct"/>
            <w:gridSpan w:val="2"/>
          </w:tcPr>
          <w:p w:rsidR="00430608" w:rsidRPr="00B41A10" w:rsidRDefault="00430608" w:rsidP="000B313B">
            <w:pPr>
              <w:pStyle w:val="Tabletext"/>
              <w:keepNext/>
              <w:jc w:val="center"/>
              <w:rPr>
                <w:b/>
              </w:rPr>
            </w:pPr>
            <w:r w:rsidRPr="00B41A10">
              <w:rPr>
                <w:b/>
              </w:rPr>
              <w:t>vPDT</w:t>
            </w:r>
          </w:p>
        </w:tc>
      </w:tr>
      <w:tr w:rsidR="00430608" w:rsidRPr="00080909" w:rsidTr="00A009FE">
        <w:trPr>
          <w:tblHeader/>
        </w:trPr>
        <w:tc>
          <w:tcPr>
            <w:tcW w:w="1110" w:type="pct"/>
            <w:vMerge/>
            <w:tcBorders>
              <w:bottom w:val="double" w:sz="4" w:space="0" w:color="auto"/>
            </w:tcBorders>
            <w:vAlign w:val="center"/>
          </w:tcPr>
          <w:p w:rsidR="00430608" w:rsidRPr="00B41A10" w:rsidRDefault="00430608" w:rsidP="000B313B">
            <w:pPr>
              <w:pStyle w:val="TableText0"/>
              <w:keepNext/>
              <w:rPr>
                <w:b/>
              </w:rPr>
            </w:pPr>
          </w:p>
        </w:tc>
        <w:tc>
          <w:tcPr>
            <w:tcW w:w="987" w:type="pct"/>
            <w:tcBorders>
              <w:bottom w:val="double" w:sz="4" w:space="0" w:color="auto"/>
            </w:tcBorders>
          </w:tcPr>
          <w:p w:rsidR="00430608" w:rsidRPr="00B41A10" w:rsidRDefault="00430608" w:rsidP="000B313B">
            <w:pPr>
              <w:pStyle w:val="Tabletext"/>
              <w:keepNext/>
              <w:jc w:val="center"/>
              <w:rPr>
                <w:b/>
              </w:rPr>
            </w:pPr>
            <w:r w:rsidRPr="00B41A10">
              <w:rPr>
                <w:b/>
              </w:rPr>
              <w:t>Group I by</w:t>
            </w:r>
          </w:p>
          <w:p w:rsidR="00430608" w:rsidRPr="00B41A10" w:rsidRDefault="00430608" w:rsidP="000B313B">
            <w:pPr>
              <w:pStyle w:val="Tabletext"/>
              <w:keepNext/>
              <w:jc w:val="center"/>
              <w:rPr>
                <w:b/>
              </w:rPr>
            </w:pPr>
            <w:r w:rsidRPr="00B41A10">
              <w:rPr>
                <w:b/>
              </w:rPr>
              <w:t>VA stabilisation</w:t>
            </w:r>
          </w:p>
          <w:p w:rsidR="00430608" w:rsidRPr="00B41A10" w:rsidRDefault="00430608" w:rsidP="000B313B">
            <w:pPr>
              <w:pStyle w:val="Tabletext"/>
              <w:keepNext/>
              <w:jc w:val="center"/>
              <w:rPr>
                <w:b/>
              </w:rPr>
            </w:pPr>
            <w:r w:rsidRPr="00B41A10">
              <w:rPr>
                <w:b/>
              </w:rPr>
              <w:t>n (%)</w:t>
            </w:r>
          </w:p>
        </w:tc>
        <w:tc>
          <w:tcPr>
            <w:tcW w:w="966" w:type="pct"/>
            <w:tcBorders>
              <w:bottom w:val="double" w:sz="4" w:space="0" w:color="auto"/>
            </w:tcBorders>
          </w:tcPr>
          <w:p w:rsidR="00430608" w:rsidRPr="00B41A10" w:rsidRDefault="00430608" w:rsidP="000B313B">
            <w:pPr>
              <w:pStyle w:val="Tabletext"/>
              <w:keepNext/>
              <w:jc w:val="center"/>
              <w:rPr>
                <w:b/>
              </w:rPr>
            </w:pPr>
            <w:r w:rsidRPr="00B41A10">
              <w:rPr>
                <w:b/>
              </w:rPr>
              <w:t>Group II by</w:t>
            </w:r>
          </w:p>
          <w:p w:rsidR="00430608" w:rsidRPr="00B41A10" w:rsidRDefault="00430608" w:rsidP="000B313B">
            <w:pPr>
              <w:pStyle w:val="Tabletext"/>
              <w:keepNext/>
              <w:jc w:val="center"/>
              <w:rPr>
                <w:b/>
              </w:rPr>
            </w:pPr>
            <w:r w:rsidRPr="00B41A10">
              <w:rPr>
                <w:b/>
              </w:rPr>
              <w:t>disease activity</w:t>
            </w:r>
          </w:p>
          <w:p w:rsidR="00430608" w:rsidRPr="00B41A10" w:rsidRDefault="00430608" w:rsidP="000B313B">
            <w:pPr>
              <w:pStyle w:val="Tabletext"/>
              <w:keepNext/>
              <w:jc w:val="center"/>
              <w:rPr>
                <w:b/>
              </w:rPr>
            </w:pPr>
            <w:r w:rsidRPr="00B41A10">
              <w:rPr>
                <w:b/>
              </w:rPr>
              <w:t>n (%)</w:t>
            </w:r>
          </w:p>
        </w:tc>
        <w:tc>
          <w:tcPr>
            <w:tcW w:w="933" w:type="pct"/>
            <w:tcBorders>
              <w:bottom w:val="double" w:sz="4" w:space="0" w:color="auto"/>
            </w:tcBorders>
          </w:tcPr>
          <w:p w:rsidR="00430608" w:rsidRPr="00B41A10" w:rsidRDefault="00430608" w:rsidP="000B313B">
            <w:pPr>
              <w:pStyle w:val="Tabletext"/>
              <w:keepNext/>
              <w:jc w:val="center"/>
              <w:rPr>
                <w:b/>
              </w:rPr>
            </w:pPr>
            <w:r w:rsidRPr="00B41A10">
              <w:rPr>
                <w:b/>
              </w:rPr>
              <w:t>Group III</w:t>
            </w:r>
          </w:p>
          <w:p w:rsidR="00430608" w:rsidRPr="00B41A10" w:rsidRDefault="00430608" w:rsidP="000B313B">
            <w:pPr>
              <w:pStyle w:val="Tabletext"/>
              <w:keepNext/>
              <w:jc w:val="center"/>
              <w:rPr>
                <w:b/>
              </w:rPr>
            </w:pPr>
            <w:r w:rsidRPr="00B41A10">
              <w:rPr>
                <w:b/>
              </w:rPr>
              <w:t>With ranibizumab from Month 3</w:t>
            </w:r>
          </w:p>
          <w:p w:rsidR="00430608" w:rsidRPr="00B41A10" w:rsidRDefault="00430608" w:rsidP="000B313B">
            <w:pPr>
              <w:pStyle w:val="Tabletext"/>
              <w:keepNext/>
              <w:jc w:val="center"/>
              <w:rPr>
                <w:b/>
              </w:rPr>
            </w:pPr>
            <w:r w:rsidRPr="00B41A10">
              <w:rPr>
                <w:b/>
              </w:rPr>
              <w:t>n (%)</w:t>
            </w:r>
          </w:p>
        </w:tc>
        <w:tc>
          <w:tcPr>
            <w:tcW w:w="1005" w:type="pct"/>
            <w:tcBorders>
              <w:bottom w:val="double" w:sz="4" w:space="0" w:color="auto"/>
            </w:tcBorders>
          </w:tcPr>
          <w:p w:rsidR="00430608" w:rsidRPr="00B41A10" w:rsidRDefault="00430608" w:rsidP="000B313B">
            <w:pPr>
              <w:pStyle w:val="Tabletext"/>
              <w:keepNext/>
              <w:jc w:val="center"/>
              <w:rPr>
                <w:b/>
              </w:rPr>
            </w:pPr>
            <w:r w:rsidRPr="00B41A10">
              <w:rPr>
                <w:b/>
              </w:rPr>
              <w:t>Group III</w:t>
            </w:r>
          </w:p>
          <w:p w:rsidR="00430608" w:rsidRPr="00B41A10" w:rsidRDefault="00430608" w:rsidP="000B313B">
            <w:pPr>
              <w:pStyle w:val="Tabletext"/>
              <w:keepNext/>
              <w:jc w:val="center"/>
              <w:rPr>
                <w:b/>
                <w:vertAlign w:val="superscript"/>
              </w:rPr>
            </w:pPr>
            <w:r w:rsidRPr="00B41A10">
              <w:rPr>
                <w:b/>
              </w:rPr>
              <w:t>without ranibizumab from Month 3</w:t>
            </w:r>
          </w:p>
          <w:p w:rsidR="00430608" w:rsidRPr="00B41A10" w:rsidRDefault="00430608" w:rsidP="000B313B">
            <w:pPr>
              <w:pStyle w:val="Tabletext"/>
              <w:keepNext/>
              <w:jc w:val="center"/>
              <w:rPr>
                <w:b/>
              </w:rPr>
            </w:pPr>
            <w:r w:rsidRPr="00B41A10">
              <w:rPr>
                <w:b/>
              </w:rPr>
              <w:t>n (%)</w:t>
            </w:r>
          </w:p>
        </w:tc>
      </w:tr>
      <w:tr w:rsidR="00430608" w:rsidTr="00A009FE">
        <w:tc>
          <w:tcPr>
            <w:tcW w:w="1110" w:type="pct"/>
            <w:tcBorders>
              <w:top w:val="double" w:sz="4" w:space="0" w:color="auto"/>
              <w:bottom w:val="single" w:sz="4" w:space="0" w:color="auto"/>
            </w:tcBorders>
            <w:vAlign w:val="center"/>
          </w:tcPr>
          <w:p w:rsidR="00430608" w:rsidRPr="00572CB8" w:rsidRDefault="00430608" w:rsidP="000B313B">
            <w:pPr>
              <w:pStyle w:val="Tabletext"/>
              <w:keepNext/>
              <w:rPr>
                <w:b/>
              </w:rPr>
            </w:pPr>
            <w:r w:rsidRPr="00572CB8">
              <w:rPr>
                <w:b/>
              </w:rPr>
              <w:t>RADIANCE</w:t>
            </w:r>
          </w:p>
        </w:tc>
        <w:tc>
          <w:tcPr>
            <w:tcW w:w="987" w:type="pct"/>
            <w:tcBorders>
              <w:top w:val="double" w:sz="4" w:space="0" w:color="auto"/>
              <w:bottom w:val="single" w:sz="4" w:space="0" w:color="auto"/>
            </w:tcBorders>
          </w:tcPr>
          <w:p w:rsidR="00430608" w:rsidRPr="00F7647F" w:rsidRDefault="00430608" w:rsidP="000B313B">
            <w:pPr>
              <w:pStyle w:val="Tabletext"/>
              <w:keepNext/>
              <w:jc w:val="center"/>
              <w:rPr>
                <w:b/>
              </w:rPr>
            </w:pPr>
            <w:r w:rsidRPr="00F7647F">
              <w:rPr>
                <w:b/>
              </w:rPr>
              <w:t>N=106</w:t>
            </w:r>
          </w:p>
        </w:tc>
        <w:tc>
          <w:tcPr>
            <w:tcW w:w="966" w:type="pct"/>
            <w:tcBorders>
              <w:top w:val="double" w:sz="4" w:space="0" w:color="auto"/>
              <w:bottom w:val="single" w:sz="4" w:space="0" w:color="auto"/>
            </w:tcBorders>
          </w:tcPr>
          <w:p w:rsidR="00430608" w:rsidRPr="00F7647F" w:rsidRDefault="00430608" w:rsidP="000B313B">
            <w:pPr>
              <w:pStyle w:val="Tabletext"/>
              <w:keepNext/>
              <w:jc w:val="center"/>
              <w:rPr>
                <w:b/>
              </w:rPr>
            </w:pPr>
            <w:r w:rsidRPr="00F7647F">
              <w:rPr>
                <w:b/>
              </w:rPr>
              <w:t>N=118</w:t>
            </w:r>
          </w:p>
        </w:tc>
        <w:tc>
          <w:tcPr>
            <w:tcW w:w="933" w:type="pct"/>
            <w:tcBorders>
              <w:top w:val="double" w:sz="4" w:space="0" w:color="auto"/>
              <w:bottom w:val="single" w:sz="4" w:space="0" w:color="auto"/>
            </w:tcBorders>
          </w:tcPr>
          <w:p w:rsidR="00430608" w:rsidRPr="00F7647F" w:rsidRDefault="00430608" w:rsidP="000B313B">
            <w:pPr>
              <w:pStyle w:val="Tabletext"/>
              <w:keepNext/>
              <w:jc w:val="center"/>
              <w:rPr>
                <w:b/>
              </w:rPr>
            </w:pPr>
            <w:r w:rsidRPr="00F7647F">
              <w:rPr>
                <w:b/>
              </w:rPr>
              <w:t>N=38</w:t>
            </w:r>
          </w:p>
        </w:tc>
        <w:tc>
          <w:tcPr>
            <w:tcW w:w="1005" w:type="pct"/>
            <w:tcBorders>
              <w:top w:val="double" w:sz="4" w:space="0" w:color="auto"/>
              <w:bottom w:val="single" w:sz="4" w:space="0" w:color="auto"/>
            </w:tcBorders>
          </w:tcPr>
          <w:p w:rsidR="00430608" w:rsidRPr="00F7647F" w:rsidRDefault="00430608" w:rsidP="000B313B">
            <w:pPr>
              <w:pStyle w:val="Tabletext"/>
              <w:keepNext/>
              <w:jc w:val="center"/>
              <w:rPr>
                <w:b/>
                <w:vertAlign w:val="superscript"/>
              </w:rPr>
            </w:pPr>
            <w:r w:rsidRPr="00F7647F">
              <w:rPr>
                <w:b/>
              </w:rPr>
              <w:t>N=15</w:t>
            </w:r>
            <w:r w:rsidRPr="00F7647F">
              <w:rPr>
                <w:b/>
                <w:vertAlign w:val="superscript"/>
              </w:rPr>
              <w:t>b</w:t>
            </w:r>
          </w:p>
        </w:tc>
      </w:tr>
      <w:tr w:rsidR="00430608" w:rsidTr="00A009FE">
        <w:tc>
          <w:tcPr>
            <w:tcW w:w="1110" w:type="pct"/>
            <w:tcBorders>
              <w:top w:val="single" w:sz="4" w:space="0" w:color="auto"/>
            </w:tcBorders>
            <w:vAlign w:val="center"/>
          </w:tcPr>
          <w:p w:rsidR="00430608" w:rsidRPr="00E001DB" w:rsidRDefault="00430608" w:rsidP="000B313B">
            <w:pPr>
              <w:pStyle w:val="Tabletext"/>
              <w:keepNext/>
            </w:pPr>
            <w:r w:rsidRPr="00E001DB">
              <w:t>Mean duration of follow-up, days (SD)</w:t>
            </w:r>
          </w:p>
        </w:tc>
        <w:tc>
          <w:tcPr>
            <w:tcW w:w="987" w:type="pct"/>
            <w:tcBorders>
              <w:top w:val="single" w:sz="4" w:space="0" w:color="auto"/>
            </w:tcBorders>
            <w:vAlign w:val="center"/>
          </w:tcPr>
          <w:p w:rsidR="00430608" w:rsidRPr="00042B67" w:rsidRDefault="00042B67" w:rsidP="000B313B">
            <w:pPr>
              <w:pStyle w:val="Tabletext"/>
              <w:keepNext/>
              <w:jc w:val="center"/>
              <w:rPr>
                <w:highlight w:val="black"/>
              </w:rPr>
            </w:pPr>
            <w:r>
              <w:rPr>
                <w:noProof/>
                <w:color w:val="000000"/>
                <w:highlight w:val="black"/>
              </w:rPr>
              <w:t>'''''''''''' ''''''''''''''</w:t>
            </w:r>
          </w:p>
        </w:tc>
        <w:tc>
          <w:tcPr>
            <w:tcW w:w="966" w:type="pct"/>
            <w:tcBorders>
              <w:top w:val="single" w:sz="4" w:space="0" w:color="auto"/>
            </w:tcBorders>
            <w:vAlign w:val="center"/>
          </w:tcPr>
          <w:p w:rsidR="00430608" w:rsidRPr="00042B67" w:rsidRDefault="00042B67" w:rsidP="000B313B">
            <w:pPr>
              <w:pStyle w:val="Tabletext"/>
              <w:keepNext/>
              <w:jc w:val="center"/>
              <w:rPr>
                <w:highlight w:val="black"/>
              </w:rPr>
            </w:pPr>
            <w:r>
              <w:rPr>
                <w:noProof/>
                <w:color w:val="000000"/>
                <w:highlight w:val="black"/>
              </w:rPr>
              <w:t>''''''''''''' '''''''''''''''</w:t>
            </w:r>
          </w:p>
        </w:tc>
        <w:tc>
          <w:tcPr>
            <w:tcW w:w="933" w:type="pct"/>
            <w:tcBorders>
              <w:top w:val="single" w:sz="4" w:space="0" w:color="auto"/>
            </w:tcBorders>
            <w:vAlign w:val="center"/>
          </w:tcPr>
          <w:p w:rsidR="00430608" w:rsidRPr="00042B67" w:rsidRDefault="00042B67" w:rsidP="000B313B">
            <w:pPr>
              <w:pStyle w:val="Tabletext"/>
              <w:keepNext/>
              <w:jc w:val="center"/>
              <w:rPr>
                <w:highlight w:val="black"/>
              </w:rPr>
            </w:pPr>
            <w:r>
              <w:rPr>
                <w:noProof/>
                <w:color w:val="000000"/>
                <w:highlight w:val="black"/>
              </w:rPr>
              <w:t>''''''''''''''' ''''''''''''''</w:t>
            </w:r>
          </w:p>
        </w:tc>
        <w:tc>
          <w:tcPr>
            <w:tcW w:w="1005" w:type="pct"/>
            <w:tcBorders>
              <w:top w:val="single" w:sz="4" w:space="0" w:color="auto"/>
            </w:tcBorders>
            <w:vAlign w:val="center"/>
          </w:tcPr>
          <w:p w:rsidR="00430608" w:rsidRPr="00042B67" w:rsidRDefault="00042B67" w:rsidP="000B313B">
            <w:pPr>
              <w:pStyle w:val="Tabletext"/>
              <w:keepNext/>
              <w:jc w:val="center"/>
              <w:rPr>
                <w:highlight w:val="black"/>
              </w:rPr>
            </w:pPr>
            <w:r>
              <w:rPr>
                <w:noProof/>
                <w:color w:val="000000"/>
                <w:highlight w:val="black"/>
              </w:rPr>
              <w:t>'''''''''''' ''''''''''''''''</w:t>
            </w:r>
          </w:p>
        </w:tc>
      </w:tr>
      <w:tr w:rsidR="00430608" w:rsidTr="00A009FE">
        <w:tc>
          <w:tcPr>
            <w:tcW w:w="1110" w:type="pct"/>
            <w:vAlign w:val="center"/>
          </w:tcPr>
          <w:p w:rsidR="00430608" w:rsidRDefault="00430608" w:rsidP="000B313B">
            <w:pPr>
              <w:pStyle w:val="Tabletext"/>
              <w:keepNext/>
            </w:pPr>
            <w:r>
              <w:t>Any AE</w:t>
            </w:r>
          </w:p>
        </w:tc>
        <w:tc>
          <w:tcPr>
            <w:tcW w:w="987" w:type="pct"/>
          </w:tcPr>
          <w:p w:rsidR="00430608" w:rsidRDefault="00430608" w:rsidP="000B313B">
            <w:pPr>
              <w:pStyle w:val="TableText0"/>
              <w:keepNext/>
              <w:jc w:val="center"/>
            </w:pPr>
          </w:p>
        </w:tc>
        <w:tc>
          <w:tcPr>
            <w:tcW w:w="966" w:type="pct"/>
          </w:tcPr>
          <w:p w:rsidR="00430608" w:rsidRDefault="00430608" w:rsidP="000B313B">
            <w:pPr>
              <w:pStyle w:val="TableText0"/>
              <w:keepNext/>
              <w:jc w:val="center"/>
            </w:pPr>
          </w:p>
        </w:tc>
        <w:tc>
          <w:tcPr>
            <w:tcW w:w="933" w:type="pct"/>
          </w:tcPr>
          <w:p w:rsidR="00430608" w:rsidRPr="00B1011F" w:rsidRDefault="00430608" w:rsidP="000B313B">
            <w:pPr>
              <w:pStyle w:val="TableText0"/>
              <w:keepNext/>
              <w:jc w:val="center"/>
            </w:pPr>
          </w:p>
        </w:tc>
        <w:tc>
          <w:tcPr>
            <w:tcW w:w="1005" w:type="pct"/>
          </w:tcPr>
          <w:p w:rsidR="00430608" w:rsidRDefault="00430608" w:rsidP="000B313B">
            <w:pPr>
              <w:pStyle w:val="TableText0"/>
              <w:keepNext/>
              <w:jc w:val="center"/>
            </w:pPr>
          </w:p>
        </w:tc>
      </w:tr>
      <w:tr w:rsidR="00430608" w:rsidTr="00A009FE">
        <w:tc>
          <w:tcPr>
            <w:tcW w:w="1110" w:type="pct"/>
            <w:vAlign w:val="center"/>
          </w:tcPr>
          <w:p w:rsidR="00430608" w:rsidRDefault="00430608" w:rsidP="000B313B">
            <w:pPr>
              <w:pStyle w:val="Tabletext"/>
              <w:keepNext/>
              <w:ind w:left="142"/>
            </w:pPr>
            <w:r>
              <w:t>Ocular AEs</w:t>
            </w:r>
          </w:p>
        </w:tc>
        <w:tc>
          <w:tcPr>
            <w:tcW w:w="987" w:type="pct"/>
          </w:tcPr>
          <w:p w:rsidR="00430608" w:rsidRPr="00B1011F" w:rsidRDefault="00430608" w:rsidP="000B313B">
            <w:pPr>
              <w:pStyle w:val="Tabletext"/>
              <w:keepNext/>
              <w:jc w:val="center"/>
            </w:pPr>
            <w:r w:rsidRPr="07B3E2D9">
              <w:t>46 (43.4)</w:t>
            </w:r>
          </w:p>
        </w:tc>
        <w:tc>
          <w:tcPr>
            <w:tcW w:w="966" w:type="pct"/>
          </w:tcPr>
          <w:p w:rsidR="00430608" w:rsidRPr="00B1011F" w:rsidRDefault="00430608" w:rsidP="000B313B">
            <w:pPr>
              <w:pStyle w:val="Tabletext"/>
              <w:keepNext/>
              <w:jc w:val="center"/>
            </w:pPr>
            <w:r w:rsidRPr="07B3E2D9">
              <w:t>44 (37.3)</w:t>
            </w:r>
          </w:p>
        </w:tc>
        <w:tc>
          <w:tcPr>
            <w:tcW w:w="933" w:type="pct"/>
          </w:tcPr>
          <w:p w:rsidR="00430608" w:rsidRPr="00B1011F" w:rsidRDefault="00430608" w:rsidP="000B313B">
            <w:pPr>
              <w:pStyle w:val="Tabletext"/>
              <w:keepNext/>
              <w:jc w:val="center"/>
            </w:pPr>
            <w:r w:rsidRPr="07B3E2D9">
              <w:t>16 (42.1)</w:t>
            </w:r>
          </w:p>
        </w:tc>
        <w:tc>
          <w:tcPr>
            <w:tcW w:w="1005" w:type="pct"/>
          </w:tcPr>
          <w:p w:rsidR="00430608" w:rsidRPr="00B1011F" w:rsidRDefault="00430608" w:rsidP="000B313B">
            <w:pPr>
              <w:pStyle w:val="Tabletext"/>
              <w:keepNext/>
              <w:jc w:val="center"/>
            </w:pPr>
            <w:r w:rsidRPr="07B3E2D9">
              <w:t>4 (26.1)</w:t>
            </w:r>
          </w:p>
        </w:tc>
      </w:tr>
      <w:tr w:rsidR="00430608" w:rsidTr="00A009FE">
        <w:tc>
          <w:tcPr>
            <w:tcW w:w="1110" w:type="pct"/>
            <w:vAlign w:val="center"/>
          </w:tcPr>
          <w:p w:rsidR="00430608" w:rsidRDefault="00430608" w:rsidP="000B313B">
            <w:pPr>
              <w:pStyle w:val="Tabletext"/>
              <w:keepNext/>
              <w:ind w:left="142"/>
            </w:pPr>
            <w:r>
              <w:t>Non-ocular AEs</w:t>
            </w:r>
          </w:p>
        </w:tc>
        <w:tc>
          <w:tcPr>
            <w:tcW w:w="987" w:type="pct"/>
          </w:tcPr>
          <w:p w:rsidR="00430608" w:rsidRPr="00B1011F" w:rsidRDefault="00430608" w:rsidP="000B313B">
            <w:pPr>
              <w:pStyle w:val="Tabletext"/>
              <w:keepNext/>
              <w:jc w:val="center"/>
            </w:pPr>
            <w:r w:rsidRPr="07B3E2D9">
              <w:t>48 (45.3)</w:t>
            </w:r>
          </w:p>
        </w:tc>
        <w:tc>
          <w:tcPr>
            <w:tcW w:w="966" w:type="pct"/>
          </w:tcPr>
          <w:p w:rsidR="00430608" w:rsidRPr="00B1011F" w:rsidRDefault="00430608" w:rsidP="000B313B">
            <w:pPr>
              <w:pStyle w:val="Tabletext"/>
              <w:keepNext/>
              <w:jc w:val="center"/>
            </w:pPr>
            <w:r w:rsidRPr="07B3E2D9">
              <w:t>51 (43.2)</w:t>
            </w:r>
          </w:p>
        </w:tc>
        <w:tc>
          <w:tcPr>
            <w:tcW w:w="933" w:type="pct"/>
          </w:tcPr>
          <w:p w:rsidR="00430608" w:rsidRPr="00B1011F" w:rsidRDefault="00430608" w:rsidP="000B313B">
            <w:pPr>
              <w:pStyle w:val="Tabletext"/>
              <w:keepNext/>
              <w:jc w:val="center"/>
            </w:pPr>
            <w:r w:rsidRPr="07B3E2D9">
              <w:t>19 (50.0)</w:t>
            </w:r>
          </w:p>
        </w:tc>
        <w:tc>
          <w:tcPr>
            <w:tcW w:w="1005" w:type="pct"/>
          </w:tcPr>
          <w:p w:rsidR="00430608" w:rsidRPr="00B1011F" w:rsidRDefault="00430608" w:rsidP="000B313B">
            <w:pPr>
              <w:pStyle w:val="Tabletext"/>
              <w:keepNext/>
              <w:jc w:val="center"/>
            </w:pPr>
            <w:r w:rsidRPr="07B3E2D9">
              <w:t>5 (33.3)</w:t>
            </w:r>
          </w:p>
        </w:tc>
      </w:tr>
      <w:tr w:rsidR="00430608" w:rsidTr="00A009FE">
        <w:tc>
          <w:tcPr>
            <w:tcW w:w="1110" w:type="pct"/>
            <w:vAlign w:val="center"/>
          </w:tcPr>
          <w:p w:rsidR="00430608" w:rsidRDefault="00430608" w:rsidP="000B313B">
            <w:pPr>
              <w:pStyle w:val="Tabletext"/>
              <w:keepNext/>
            </w:pPr>
            <w:r>
              <w:t>Serious AEs</w:t>
            </w:r>
          </w:p>
        </w:tc>
        <w:tc>
          <w:tcPr>
            <w:tcW w:w="987" w:type="pct"/>
          </w:tcPr>
          <w:p w:rsidR="00430608" w:rsidRPr="00B1011F" w:rsidRDefault="00430608" w:rsidP="000B313B">
            <w:pPr>
              <w:pStyle w:val="Tabletext"/>
              <w:keepNext/>
              <w:jc w:val="center"/>
            </w:pPr>
            <w:r w:rsidRPr="07B3E2D9">
              <w:t>7 (6.6)</w:t>
            </w:r>
          </w:p>
        </w:tc>
        <w:tc>
          <w:tcPr>
            <w:tcW w:w="966" w:type="pct"/>
          </w:tcPr>
          <w:p w:rsidR="00430608" w:rsidRPr="00B1011F" w:rsidRDefault="00430608" w:rsidP="000B313B">
            <w:pPr>
              <w:pStyle w:val="Tabletext"/>
              <w:keepNext/>
              <w:jc w:val="center"/>
            </w:pPr>
            <w:r w:rsidRPr="07B3E2D9">
              <w:t>6 (5.1)</w:t>
            </w:r>
          </w:p>
        </w:tc>
        <w:tc>
          <w:tcPr>
            <w:tcW w:w="933" w:type="pct"/>
          </w:tcPr>
          <w:p w:rsidR="00430608" w:rsidRPr="00B1011F" w:rsidRDefault="00430608" w:rsidP="000B313B">
            <w:pPr>
              <w:pStyle w:val="Tabletext"/>
              <w:keepNext/>
              <w:jc w:val="center"/>
            </w:pPr>
            <w:r w:rsidRPr="07B3E2D9">
              <w:t>0</w:t>
            </w:r>
          </w:p>
        </w:tc>
        <w:tc>
          <w:tcPr>
            <w:tcW w:w="1005" w:type="pct"/>
          </w:tcPr>
          <w:p w:rsidR="00430608" w:rsidRPr="00B1011F" w:rsidRDefault="00430608" w:rsidP="000B313B">
            <w:pPr>
              <w:pStyle w:val="Tabletext"/>
              <w:keepNext/>
              <w:jc w:val="center"/>
            </w:pPr>
            <w:r w:rsidRPr="07B3E2D9">
              <w:t>0</w:t>
            </w:r>
          </w:p>
        </w:tc>
      </w:tr>
      <w:tr w:rsidR="00430608" w:rsidTr="00A009FE">
        <w:tc>
          <w:tcPr>
            <w:tcW w:w="1110" w:type="pct"/>
            <w:vAlign w:val="center"/>
          </w:tcPr>
          <w:p w:rsidR="00430608" w:rsidRDefault="00430608" w:rsidP="000B313B">
            <w:pPr>
              <w:pStyle w:val="Tabletext"/>
              <w:keepNext/>
              <w:ind w:left="142"/>
            </w:pPr>
            <w:r>
              <w:t xml:space="preserve">Non-ocular AEs </w:t>
            </w:r>
          </w:p>
        </w:tc>
        <w:tc>
          <w:tcPr>
            <w:tcW w:w="987" w:type="pct"/>
          </w:tcPr>
          <w:p w:rsidR="00430608" w:rsidRPr="0094385C" w:rsidRDefault="00430608" w:rsidP="000B313B">
            <w:pPr>
              <w:pStyle w:val="Tabletext"/>
              <w:keepNext/>
              <w:jc w:val="center"/>
              <w:rPr>
                <w:vertAlign w:val="superscript"/>
              </w:rPr>
            </w:pPr>
            <w:r w:rsidRPr="07B3E2D9">
              <w:t>6 (5.7)</w:t>
            </w:r>
            <w:r>
              <w:rPr>
                <w:vertAlign w:val="superscript"/>
              </w:rPr>
              <w:t>a</w:t>
            </w:r>
          </w:p>
        </w:tc>
        <w:tc>
          <w:tcPr>
            <w:tcW w:w="966" w:type="pct"/>
          </w:tcPr>
          <w:p w:rsidR="00430608" w:rsidRPr="00B1011F" w:rsidRDefault="00430608" w:rsidP="000B313B">
            <w:pPr>
              <w:pStyle w:val="Tabletext"/>
              <w:keepNext/>
              <w:jc w:val="center"/>
            </w:pPr>
            <w:r w:rsidRPr="07B3E2D9">
              <w:t>5 (4.2)</w:t>
            </w:r>
          </w:p>
        </w:tc>
        <w:tc>
          <w:tcPr>
            <w:tcW w:w="933" w:type="pct"/>
          </w:tcPr>
          <w:p w:rsidR="00430608" w:rsidRPr="00B1011F" w:rsidRDefault="00430608" w:rsidP="000B313B">
            <w:pPr>
              <w:pStyle w:val="Tabletext"/>
              <w:keepNext/>
              <w:jc w:val="center"/>
            </w:pPr>
            <w:r w:rsidRPr="07B3E2D9">
              <w:t>0</w:t>
            </w:r>
          </w:p>
        </w:tc>
        <w:tc>
          <w:tcPr>
            <w:tcW w:w="1005" w:type="pct"/>
          </w:tcPr>
          <w:p w:rsidR="00430608" w:rsidRPr="00B1011F" w:rsidRDefault="00430608" w:rsidP="000B313B">
            <w:pPr>
              <w:pStyle w:val="Tabletext"/>
              <w:keepNext/>
              <w:jc w:val="center"/>
            </w:pPr>
            <w:r w:rsidRPr="07B3E2D9">
              <w:t>0</w:t>
            </w:r>
          </w:p>
        </w:tc>
      </w:tr>
      <w:tr w:rsidR="00430608" w:rsidTr="00A009FE">
        <w:tc>
          <w:tcPr>
            <w:tcW w:w="1110" w:type="pct"/>
            <w:tcBorders>
              <w:bottom w:val="single" w:sz="4" w:space="0" w:color="auto"/>
            </w:tcBorders>
            <w:vAlign w:val="center"/>
          </w:tcPr>
          <w:p w:rsidR="00430608" w:rsidRDefault="00430608" w:rsidP="000B313B">
            <w:pPr>
              <w:pStyle w:val="Tabletext"/>
              <w:keepNext/>
              <w:ind w:left="142"/>
            </w:pPr>
            <w:r>
              <w:t>Study eye</w:t>
            </w:r>
          </w:p>
        </w:tc>
        <w:tc>
          <w:tcPr>
            <w:tcW w:w="987" w:type="pct"/>
            <w:tcBorders>
              <w:bottom w:val="single" w:sz="4" w:space="0" w:color="auto"/>
            </w:tcBorders>
          </w:tcPr>
          <w:p w:rsidR="00430608" w:rsidRPr="00B1011F" w:rsidRDefault="00430608" w:rsidP="000B313B">
            <w:pPr>
              <w:pStyle w:val="Tabletext"/>
              <w:keepNext/>
              <w:jc w:val="center"/>
            </w:pPr>
            <w:r w:rsidRPr="07B3E2D9">
              <w:t>1 (0.9)</w:t>
            </w:r>
          </w:p>
        </w:tc>
        <w:tc>
          <w:tcPr>
            <w:tcW w:w="966" w:type="pct"/>
            <w:tcBorders>
              <w:bottom w:val="single" w:sz="4" w:space="0" w:color="auto"/>
            </w:tcBorders>
          </w:tcPr>
          <w:p w:rsidR="00430608" w:rsidRPr="00B1011F" w:rsidRDefault="00430608" w:rsidP="000B313B">
            <w:pPr>
              <w:pStyle w:val="Tabletext"/>
              <w:keepNext/>
              <w:jc w:val="center"/>
            </w:pPr>
            <w:r w:rsidRPr="07B3E2D9">
              <w:t>1 (0.8)</w:t>
            </w:r>
          </w:p>
        </w:tc>
        <w:tc>
          <w:tcPr>
            <w:tcW w:w="933" w:type="pct"/>
            <w:tcBorders>
              <w:bottom w:val="single" w:sz="4" w:space="0" w:color="auto"/>
            </w:tcBorders>
          </w:tcPr>
          <w:p w:rsidR="00430608" w:rsidRPr="00B1011F" w:rsidRDefault="00430608" w:rsidP="000B313B">
            <w:pPr>
              <w:pStyle w:val="Tabletext"/>
              <w:keepNext/>
              <w:jc w:val="center"/>
            </w:pPr>
            <w:r w:rsidRPr="07B3E2D9">
              <w:t>0</w:t>
            </w:r>
          </w:p>
        </w:tc>
        <w:tc>
          <w:tcPr>
            <w:tcW w:w="1005" w:type="pct"/>
            <w:tcBorders>
              <w:bottom w:val="single" w:sz="4" w:space="0" w:color="auto"/>
            </w:tcBorders>
          </w:tcPr>
          <w:p w:rsidR="00430608" w:rsidRPr="00B1011F" w:rsidRDefault="00430608" w:rsidP="000B313B">
            <w:pPr>
              <w:pStyle w:val="Tabletext"/>
              <w:keepNext/>
              <w:jc w:val="center"/>
            </w:pPr>
            <w:r w:rsidRPr="07B3E2D9">
              <w:t>0</w:t>
            </w:r>
          </w:p>
        </w:tc>
      </w:tr>
      <w:tr w:rsidR="00430608" w:rsidTr="00A009FE">
        <w:tc>
          <w:tcPr>
            <w:tcW w:w="1110" w:type="pct"/>
            <w:tcBorders>
              <w:bottom w:val="double" w:sz="4" w:space="0" w:color="auto"/>
            </w:tcBorders>
            <w:vAlign w:val="center"/>
          </w:tcPr>
          <w:p w:rsidR="00430608" w:rsidRDefault="00430608" w:rsidP="000B313B">
            <w:pPr>
              <w:pStyle w:val="Tabletext"/>
              <w:keepNext/>
            </w:pPr>
            <w:r>
              <w:t>Discontinued due to AEs</w:t>
            </w:r>
          </w:p>
        </w:tc>
        <w:tc>
          <w:tcPr>
            <w:tcW w:w="987" w:type="pct"/>
            <w:tcBorders>
              <w:bottom w:val="double" w:sz="4" w:space="0" w:color="auto"/>
            </w:tcBorders>
          </w:tcPr>
          <w:p w:rsidR="00430608" w:rsidRDefault="00430608" w:rsidP="000B313B">
            <w:pPr>
              <w:pStyle w:val="Tabletext"/>
              <w:keepNext/>
              <w:jc w:val="center"/>
            </w:pPr>
            <w:r>
              <w:t>0</w:t>
            </w:r>
          </w:p>
        </w:tc>
        <w:tc>
          <w:tcPr>
            <w:tcW w:w="966" w:type="pct"/>
            <w:tcBorders>
              <w:bottom w:val="double" w:sz="4" w:space="0" w:color="auto"/>
            </w:tcBorders>
          </w:tcPr>
          <w:p w:rsidR="00430608" w:rsidRDefault="00430608" w:rsidP="000B313B">
            <w:pPr>
              <w:pStyle w:val="Tabletext"/>
              <w:keepNext/>
              <w:jc w:val="center"/>
            </w:pPr>
            <w:r>
              <w:t>0</w:t>
            </w:r>
          </w:p>
        </w:tc>
        <w:tc>
          <w:tcPr>
            <w:tcW w:w="933" w:type="pct"/>
            <w:tcBorders>
              <w:bottom w:val="double" w:sz="4" w:space="0" w:color="auto"/>
            </w:tcBorders>
          </w:tcPr>
          <w:p w:rsidR="00430608" w:rsidRPr="00B1011F" w:rsidRDefault="00430608" w:rsidP="000B313B">
            <w:pPr>
              <w:pStyle w:val="Tabletext"/>
              <w:keepNext/>
              <w:jc w:val="center"/>
            </w:pPr>
            <w:r>
              <w:t>0</w:t>
            </w:r>
          </w:p>
        </w:tc>
        <w:tc>
          <w:tcPr>
            <w:tcW w:w="1005" w:type="pct"/>
            <w:tcBorders>
              <w:bottom w:val="double" w:sz="4" w:space="0" w:color="auto"/>
            </w:tcBorders>
          </w:tcPr>
          <w:p w:rsidR="00430608" w:rsidRDefault="00430608" w:rsidP="000B313B">
            <w:pPr>
              <w:pStyle w:val="Tabletext"/>
              <w:keepNext/>
              <w:jc w:val="center"/>
            </w:pPr>
            <w:r>
              <w:t>0</w:t>
            </w:r>
          </w:p>
        </w:tc>
      </w:tr>
      <w:tr w:rsidR="00430608" w:rsidTr="00A009FE">
        <w:tc>
          <w:tcPr>
            <w:tcW w:w="1110" w:type="pct"/>
            <w:tcBorders>
              <w:top w:val="double" w:sz="4" w:space="0" w:color="auto"/>
            </w:tcBorders>
            <w:vAlign w:val="center"/>
          </w:tcPr>
          <w:p w:rsidR="00430608" w:rsidRPr="00572CB8" w:rsidRDefault="00430608" w:rsidP="000B313B">
            <w:pPr>
              <w:pStyle w:val="Tabletext"/>
              <w:keepNext/>
              <w:rPr>
                <w:b/>
              </w:rPr>
            </w:pPr>
            <w:r w:rsidRPr="00572CB8">
              <w:rPr>
                <w:b/>
              </w:rPr>
              <w:t>BRILLIANCE</w:t>
            </w:r>
          </w:p>
        </w:tc>
        <w:tc>
          <w:tcPr>
            <w:tcW w:w="987" w:type="pct"/>
            <w:tcBorders>
              <w:top w:val="double" w:sz="4" w:space="0" w:color="auto"/>
            </w:tcBorders>
          </w:tcPr>
          <w:p w:rsidR="00430608" w:rsidRPr="00042B67" w:rsidRDefault="00042B67" w:rsidP="000B313B">
            <w:pPr>
              <w:pStyle w:val="Tabletext"/>
              <w:keepNext/>
              <w:jc w:val="center"/>
              <w:rPr>
                <w:b/>
                <w:highlight w:val="black"/>
              </w:rPr>
            </w:pPr>
            <w:r>
              <w:rPr>
                <w:b/>
                <w:noProof/>
                <w:color w:val="000000"/>
                <w:highlight w:val="black"/>
              </w:rPr>
              <w:t>'''''''''''''</w:t>
            </w:r>
          </w:p>
        </w:tc>
        <w:tc>
          <w:tcPr>
            <w:tcW w:w="966" w:type="pct"/>
            <w:tcBorders>
              <w:top w:val="double" w:sz="4" w:space="0" w:color="auto"/>
            </w:tcBorders>
          </w:tcPr>
          <w:p w:rsidR="00430608" w:rsidRPr="00042B67" w:rsidRDefault="00042B67" w:rsidP="000B313B">
            <w:pPr>
              <w:pStyle w:val="Tabletext"/>
              <w:keepNext/>
              <w:jc w:val="center"/>
              <w:rPr>
                <w:b/>
                <w:highlight w:val="black"/>
              </w:rPr>
            </w:pPr>
            <w:r>
              <w:rPr>
                <w:b/>
                <w:noProof/>
                <w:color w:val="000000"/>
                <w:highlight w:val="black"/>
              </w:rPr>
              <w:t>''''''''''''</w:t>
            </w:r>
          </w:p>
        </w:tc>
        <w:tc>
          <w:tcPr>
            <w:tcW w:w="933" w:type="pct"/>
            <w:tcBorders>
              <w:top w:val="double" w:sz="4" w:space="0" w:color="auto"/>
            </w:tcBorders>
          </w:tcPr>
          <w:p w:rsidR="00430608" w:rsidRPr="00042B67" w:rsidRDefault="00042B67" w:rsidP="000B313B">
            <w:pPr>
              <w:pStyle w:val="Tabletext"/>
              <w:keepNext/>
              <w:jc w:val="center"/>
              <w:rPr>
                <w:b/>
                <w:highlight w:val="black"/>
                <w:vertAlign w:val="superscript"/>
              </w:rPr>
            </w:pPr>
            <w:r>
              <w:rPr>
                <w:b/>
                <w:noProof/>
                <w:color w:val="000000"/>
                <w:highlight w:val="black"/>
              </w:rPr>
              <w:t>''''''''''</w:t>
            </w:r>
          </w:p>
        </w:tc>
        <w:tc>
          <w:tcPr>
            <w:tcW w:w="1005" w:type="pct"/>
            <w:tcBorders>
              <w:top w:val="double" w:sz="4" w:space="0" w:color="auto"/>
            </w:tcBorders>
          </w:tcPr>
          <w:p w:rsidR="00430608" w:rsidRPr="00042B67" w:rsidRDefault="00042B67" w:rsidP="000B313B">
            <w:pPr>
              <w:pStyle w:val="Tabletext"/>
              <w:keepNext/>
              <w:jc w:val="center"/>
              <w:rPr>
                <w:b/>
                <w:highlight w:val="black"/>
                <w:vertAlign w:val="superscript"/>
              </w:rPr>
            </w:pPr>
            <w:r>
              <w:rPr>
                <w:b/>
                <w:noProof/>
                <w:color w:val="000000"/>
                <w:highlight w:val="black"/>
              </w:rPr>
              <w:t>''''''''''''</w:t>
            </w:r>
          </w:p>
        </w:tc>
      </w:tr>
      <w:tr w:rsidR="00430608" w:rsidTr="00A009FE">
        <w:tc>
          <w:tcPr>
            <w:tcW w:w="1110" w:type="pct"/>
            <w:vAlign w:val="center"/>
          </w:tcPr>
          <w:p w:rsidR="00430608" w:rsidRDefault="00430608" w:rsidP="000B313B">
            <w:pPr>
              <w:pStyle w:val="Tabletext"/>
              <w:keepNext/>
            </w:pPr>
            <w:r w:rsidRPr="00E001DB">
              <w:t>Mean duration of follow-up, days (SD)</w:t>
            </w:r>
          </w:p>
        </w:tc>
        <w:tc>
          <w:tcPr>
            <w:tcW w:w="987" w:type="pct"/>
            <w:vAlign w:val="center"/>
          </w:tcPr>
          <w:p w:rsidR="00430608" w:rsidRPr="00042B67" w:rsidRDefault="00042B67" w:rsidP="000B313B">
            <w:pPr>
              <w:pStyle w:val="TableText0"/>
              <w:keepNext/>
              <w:jc w:val="center"/>
              <w:rPr>
                <w:highlight w:val="black"/>
              </w:rPr>
            </w:pPr>
            <w:r>
              <w:rPr>
                <w:noProof/>
                <w:color w:val="000000"/>
                <w:highlight w:val="black"/>
              </w:rPr>
              <w:t>''''''''''''''' '''''''''''''''</w:t>
            </w:r>
          </w:p>
        </w:tc>
        <w:tc>
          <w:tcPr>
            <w:tcW w:w="966" w:type="pct"/>
            <w:vAlign w:val="center"/>
          </w:tcPr>
          <w:p w:rsidR="00430608" w:rsidRPr="00042B67" w:rsidRDefault="00042B67" w:rsidP="000B313B">
            <w:pPr>
              <w:pStyle w:val="TableText0"/>
              <w:keepNext/>
              <w:jc w:val="center"/>
              <w:rPr>
                <w:highlight w:val="black"/>
              </w:rPr>
            </w:pPr>
            <w:r>
              <w:rPr>
                <w:noProof/>
                <w:color w:val="000000"/>
                <w:highlight w:val="black"/>
              </w:rPr>
              <w:t>'''''''''''' '''''''''''''</w:t>
            </w:r>
          </w:p>
        </w:tc>
        <w:tc>
          <w:tcPr>
            <w:tcW w:w="933" w:type="pct"/>
            <w:vAlign w:val="center"/>
          </w:tcPr>
          <w:p w:rsidR="00430608" w:rsidRPr="00042B67" w:rsidRDefault="00042B67" w:rsidP="000B313B">
            <w:pPr>
              <w:pStyle w:val="TableText0"/>
              <w:keepNext/>
              <w:jc w:val="center"/>
              <w:rPr>
                <w:highlight w:val="black"/>
              </w:rPr>
            </w:pPr>
            <w:r>
              <w:rPr>
                <w:noProof/>
                <w:color w:val="000000"/>
                <w:highlight w:val="black"/>
              </w:rPr>
              <w:t>''''''''''''' ''''''''''''''</w:t>
            </w:r>
          </w:p>
        </w:tc>
        <w:tc>
          <w:tcPr>
            <w:tcW w:w="1005" w:type="pct"/>
            <w:vAlign w:val="center"/>
          </w:tcPr>
          <w:p w:rsidR="00430608" w:rsidRPr="00042B67" w:rsidRDefault="00042B67" w:rsidP="000B313B">
            <w:pPr>
              <w:pStyle w:val="TableText0"/>
              <w:keepNext/>
              <w:jc w:val="center"/>
              <w:rPr>
                <w:highlight w:val="black"/>
              </w:rPr>
            </w:pPr>
            <w:r>
              <w:rPr>
                <w:noProof/>
                <w:color w:val="000000"/>
                <w:highlight w:val="black"/>
              </w:rPr>
              <w:t>''''''''''''' ''''''''''''''</w:t>
            </w:r>
          </w:p>
        </w:tc>
      </w:tr>
      <w:tr w:rsidR="00430608" w:rsidTr="00A009FE">
        <w:tc>
          <w:tcPr>
            <w:tcW w:w="1110" w:type="pct"/>
            <w:vAlign w:val="center"/>
          </w:tcPr>
          <w:p w:rsidR="00430608" w:rsidRDefault="00430608" w:rsidP="000B313B">
            <w:pPr>
              <w:pStyle w:val="Tabletext"/>
              <w:keepNext/>
            </w:pPr>
            <w:r>
              <w:t>Any AE</w:t>
            </w:r>
          </w:p>
        </w:tc>
        <w:tc>
          <w:tcPr>
            <w:tcW w:w="987" w:type="pct"/>
          </w:tcPr>
          <w:p w:rsidR="00430608" w:rsidRDefault="00430608" w:rsidP="000B313B">
            <w:pPr>
              <w:pStyle w:val="TableText0"/>
              <w:keepNext/>
              <w:jc w:val="center"/>
            </w:pPr>
          </w:p>
        </w:tc>
        <w:tc>
          <w:tcPr>
            <w:tcW w:w="966" w:type="pct"/>
          </w:tcPr>
          <w:p w:rsidR="00430608" w:rsidRDefault="00430608" w:rsidP="000B313B">
            <w:pPr>
              <w:pStyle w:val="TableText0"/>
              <w:keepNext/>
              <w:jc w:val="center"/>
            </w:pPr>
          </w:p>
        </w:tc>
        <w:tc>
          <w:tcPr>
            <w:tcW w:w="933" w:type="pct"/>
          </w:tcPr>
          <w:p w:rsidR="00430608" w:rsidRPr="00B1011F" w:rsidRDefault="00430608" w:rsidP="000B313B">
            <w:pPr>
              <w:pStyle w:val="TableText0"/>
              <w:keepNext/>
              <w:jc w:val="center"/>
            </w:pPr>
          </w:p>
        </w:tc>
        <w:tc>
          <w:tcPr>
            <w:tcW w:w="1005" w:type="pct"/>
          </w:tcPr>
          <w:p w:rsidR="00430608" w:rsidRDefault="00430608" w:rsidP="000B313B">
            <w:pPr>
              <w:pStyle w:val="TableText0"/>
              <w:keepNext/>
              <w:jc w:val="center"/>
            </w:pPr>
          </w:p>
        </w:tc>
      </w:tr>
      <w:tr w:rsidR="00430608" w:rsidTr="00A009FE">
        <w:tc>
          <w:tcPr>
            <w:tcW w:w="1110" w:type="pct"/>
            <w:vAlign w:val="center"/>
          </w:tcPr>
          <w:p w:rsidR="00430608" w:rsidRDefault="00430608" w:rsidP="000B313B">
            <w:pPr>
              <w:pStyle w:val="Tabletext"/>
              <w:keepNext/>
              <w:ind w:left="142"/>
            </w:pPr>
            <w:r>
              <w:t>Ocular AEs</w:t>
            </w:r>
          </w:p>
        </w:tc>
        <w:tc>
          <w:tcPr>
            <w:tcW w:w="987" w:type="pct"/>
          </w:tcPr>
          <w:p w:rsidR="00430608" w:rsidRPr="00042B67" w:rsidRDefault="00042B67" w:rsidP="000B313B">
            <w:pPr>
              <w:pStyle w:val="Tabletext"/>
              <w:keepNext/>
              <w:jc w:val="center"/>
              <w:rPr>
                <w:highlight w:val="black"/>
              </w:rPr>
            </w:pPr>
            <w:r>
              <w:rPr>
                <w:noProof/>
                <w:color w:val="000000"/>
                <w:highlight w:val="black"/>
              </w:rPr>
              <w:t>'''''' '''''''''''''''</w:t>
            </w:r>
          </w:p>
        </w:tc>
        <w:tc>
          <w:tcPr>
            <w:tcW w:w="966" w:type="pct"/>
          </w:tcPr>
          <w:p w:rsidR="00430608" w:rsidRPr="00042B67" w:rsidRDefault="00042B67" w:rsidP="000B313B">
            <w:pPr>
              <w:pStyle w:val="Tabletext"/>
              <w:keepNext/>
              <w:jc w:val="center"/>
              <w:rPr>
                <w:highlight w:val="black"/>
              </w:rPr>
            </w:pPr>
            <w:r>
              <w:rPr>
                <w:noProof/>
                <w:color w:val="000000"/>
                <w:highlight w:val="black"/>
              </w:rPr>
              <w:t>''''''' '''''''''''''</w:t>
            </w:r>
          </w:p>
        </w:tc>
        <w:tc>
          <w:tcPr>
            <w:tcW w:w="933" w:type="pct"/>
          </w:tcPr>
          <w:p w:rsidR="00430608" w:rsidRPr="00042B67" w:rsidRDefault="00042B67" w:rsidP="000B313B">
            <w:pPr>
              <w:pStyle w:val="Tabletext"/>
              <w:keepNext/>
              <w:jc w:val="center"/>
              <w:rPr>
                <w:highlight w:val="black"/>
              </w:rPr>
            </w:pPr>
            <w:r>
              <w:rPr>
                <w:noProof/>
                <w:color w:val="000000"/>
                <w:highlight w:val="black"/>
              </w:rPr>
              <w:t>'''''' ''''''''''''</w:t>
            </w:r>
          </w:p>
        </w:tc>
        <w:tc>
          <w:tcPr>
            <w:tcW w:w="1005" w:type="pct"/>
          </w:tcPr>
          <w:p w:rsidR="00430608" w:rsidRPr="00042B67" w:rsidRDefault="00042B67" w:rsidP="000B313B">
            <w:pPr>
              <w:pStyle w:val="Tabletext"/>
              <w:keepNext/>
              <w:jc w:val="center"/>
              <w:rPr>
                <w:highlight w:val="black"/>
              </w:rPr>
            </w:pPr>
            <w:r>
              <w:rPr>
                <w:noProof/>
                <w:color w:val="000000"/>
                <w:highlight w:val="black"/>
              </w:rPr>
              <w:t>'''' '''''''''''''</w:t>
            </w:r>
          </w:p>
        </w:tc>
      </w:tr>
      <w:tr w:rsidR="00430608" w:rsidTr="00A009FE">
        <w:tc>
          <w:tcPr>
            <w:tcW w:w="1110" w:type="pct"/>
            <w:vAlign w:val="center"/>
          </w:tcPr>
          <w:p w:rsidR="00430608" w:rsidRDefault="00430608" w:rsidP="000B313B">
            <w:pPr>
              <w:pStyle w:val="Tabletext"/>
              <w:keepNext/>
              <w:ind w:left="142"/>
            </w:pPr>
            <w:r>
              <w:t>Non-ocular AEs</w:t>
            </w:r>
          </w:p>
        </w:tc>
        <w:tc>
          <w:tcPr>
            <w:tcW w:w="987" w:type="pct"/>
          </w:tcPr>
          <w:p w:rsidR="00430608" w:rsidRPr="00042B67" w:rsidRDefault="00042B67" w:rsidP="000B313B">
            <w:pPr>
              <w:pStyle w:val="Tabletext"/>
              <w:keepNext/>
              <w:jc w:val="center"/>
              <w:rPr>
                <w:highlight w:val="black"/>
              </w:rPr>
            </w:pPr>
            <w:r>
              <w:rPr>
                <w:noProof/>
                <w:color w:val="000000"/>
                <w:highlight w:val="black"/>
              </w:rPr>
              <w:t>'''''' '''''''''''''''</w:t>
            </w:r>
          </w:p>
        </w:tc>
        <w:tc>
          <w:tcPr>
            <w:tcW w:w="966" w:type="pct"/>
          </w:tcPr>
          <w:p w:rsidR="00430608" w:rsidRPr="00042B67" w:rsidRDefault="00042B67" w:rsidP="000B313B">
            <w:pPr>
              <w:pStyle w:val="Tabletext"/>
              <w:keepNext/>
              <w:jc w:val="center"/>
              <w:rPr>
                <w:highlight w:val="black"/>
              </w:rPr>
            </w:pPr>
            <w:r>
              <w:rPr>
                <w:noProof/>
                <w:color w:val="000000"/>
                <w:highlight w:val="black"/>
              </w:rPr>
              <w:t>'''''' ''''''''''''''</w:t>
            </w:r>
          </w:p>
        </w:tc>
        <w:tc>
          <w:tcPr>
            <w:tcW w:w="933" w:type="pct"/>
          </w:tcPr>
          <w:p w:rsidR="00430608" w:rsidRPr="00042B67" w:rsidRDefault="00042B67" w:rsidP="000B313B">
            <w:pPr>
              <w:pStyle w:val="Tabletext"/>
              <w:keepNext/>
              <w:jc w:val="center"/>
              <w:rPr>
                <w:highlight w:val="black"/>
              </w:rPr>
            </w:pPr>
            <w:r>
              <w:rPr>
                <w:noProof/>
                <w:color w:val="000000"/>
                <w:highlight w:val="black"/>
              </w:rPr>
              <w:t>'''''' ''''''''''''''</w:t>
            </w:r>
          </w:p>
        </w:tc>
        <w:tc>
          <w:tcPr>
            <w:tcW w:w="1005" w:type="pct"/>
          </w:tcPr>
          <w:p w:rsidR="00430608" w:rsidRPr="00042B67" w:rsidRDefault="00042B67" w:rsidP="000B313B">
            <w:pPr>
              <w:pStyle w:val="Tabletext"/>
              <w:keepNext/>
              <w:jc w:val="center"/>
              <w:rPr>
                <w:highlight w:val="black"/>
              </w:rPr>
            </w:pPr>
            <w:r>
              <w:rPr>
                <w:noProof/>
                <w:color w:val="000000"/>
                <w:highlight w:val="black"/>
              </w:rPr>
              <w:t>'''' '''''''''''''</w:t>
            </w:r>
          </w:p>
        </w:tc>
      </w:tr>
      <w:tr w:rsidR="00430608" w:rsidTr="00A009FE">
        <w:tc>
          <w:tcPr>
            <w:tcW w:w="1110" w:type="pct"/>
            <w:vAlign w:val="center"/>
          </w:tcPr>
          <w:p w:rsidR="00430608" w:rsidRDefault="00430608" w:rsidP="000B313B">
            <w:pPr>
              <w:pStyle w:val="Tabletext"/>
              <w:keepNext/>
            </w:pPr>
            <w:r>
              <w:t>Serious AEs</w:t>
            </w:r>
          </w:p>
        </w:tc>
        <w:tc>
          <w:tcPr>
            <w:tcW w:w="987" w:type="pct"/>
          </w:tcPr>
          <w:p w:rsidR="00430608" w:rsidRPr="00042B67" w:rsidRDefault="00042B67" w:rsidP="000B313B">
            <w:pPr>
              <w:pStyle w:val="Tabletext"/>
              <w:keepNext/>
              <w:jc w:val="center"/>
              <w:rPr>
                <w:highlight w:val="black"/>
              </w:rPr>
            </w:pPr>
            <w:r>
              <w:rPr>
                <w:noProof/>
                <w:color w:val="000000"/>
                <w:highlight w:val="black"/>
              </w:rPr>
              <w:t>'''' ''''''''''</w:t>
            </w:r>
          </w:p>
        </w:tc>
        <w:tc>
          <w:tcPr>
            <w:tcW w:w="966" w:type="pct"/>
          </w:tcPr>
          <w:p w:rsidR="00430608" w:rsidRPr="00042B67" w:rsidRDefault="00042B67" w:rsidP="000B313B">
            <w:pPr>
              <w:pStyle w:val="Tabletext"/>
              <w:keepNext/>
              <w:jc w:val="center"/>
              <w:rPr>
                <w:highlight w:val="black"/>
              </w:rPr>
            </w:pPr>
            <w:r>
              <w:rPr>
                <w:noProof/>
                <w:color w:val="000000"/>
                <w:highlight w:val="black"/>
              </w:rPr>
              <w:t>'''''' ''''''''''</w:t>
            </w:r>
          </w:p>
        </w:tc>
        <w:tc>
          <w:tcPr>
            <w:tcW w:w="933" w:type="pct"/>
          </w:tcPr>
          <w:p w:rsidR="00430608" w:rsidRPr="00042B67" w:rsidRDefault="00042B67" w:rsidP="000B313B">
            <w:pPr>
              <w:pStyle w:val="Tabletext"/>
              <w:keepNext/>
              <w:jc w:val="center"/>
              <w:rPr>
                <w:highlight w:val="black"/>
              </w:rPr>
            </w:pPr>
            <w:r>
              <w:rPr>
                <w:noProof/>
                <w:color w:val="000000"/>
                <w:highlight w:val="black"/>
              </w:rPr>
              <w:t>''' '''''''''''''''</w:t>
            </w:r>
          </w:p>
        </w:tc>
        <w:tc>
          <w:tcPr>
            <w:tcW w:w="1005" w:type="pct"/>
          </w:tcPr>
          <w:p w:rsidR="00430608" w:rsidRPr="00042B67" w:rsidRDefault="00042B67" w:rsidP="000B313B">
            <w:pPr>
              <w:pStyle w:val="Tabletext"/>
              <w:keepNext/>
              <w:jc w:val="center"/>
              <w:rPr>
                <w:highlight w:val="black"/>
              </w:rPr>
            </w:pPr>
            <w:r>
              <w:rPr>
                <w:noProof/>
                <w:color w:val="000000"/>
                <w:highlight w:val="black"/>
              </w:rPr>
              <w:t>''''</w:t>
            </w:r>
          </w:p>
        </w:tc>
      </w:tr>
      <w:tr w:rsidR="00430608" w:rsidTr="00A009FE">
        <w:tc>
          <w:tcPr>
            <w:tcW w:w="1110" w:type="pct"/>
            <w:vAlign w:val="center"/>
          </w:tcPr>
          <w:p w:rsidR="00430608" w:rsidRDefault="00430608" w:rsidP="000B313B">
            <w:pPr>
              <w:pStyle w:val="Tabletext"/>
              <w:keepNext/>
              <w:ind w:left="142"/>
            </w:pPr>
            <w:r>
              <w:t>Non-ocular AEs</w:t>
            </w:r>
          </w:p>
        </w:tc>
        <w:tc>
          <w:tcPr>
            <w:tcW w:w="987" w:type="pct"/>
          </w:tcPr>
          <w:p w:rsidR="00430608" w:rsidRPr="00042B67" w:rsidRDefault="00042B67" w:rsidP="000B313B">
            <w:pPr>
              <w:pStyle w:val="Tabletext"/>
              <w:keepNext/>
              <w:jc w:val="center"/>
              <w:rPr>
                <w:highlight w:val="black"/>
              </w:rPr>
            </w:pPr>
            <w:r>
              <w:rPr>
                <w:noProof/>
                <w:color w:val="000000"/>
                <w:highlight w:val="black"/>
              </w:rPr>
              <w:t>''' ''''''''''''</w:t>
            </w:r>
          </w:p>
        </w:tc>
        <w:tc>
          <w:tcPr>
            <w:tcW w:w="966" w:type="pct"/>
          </w:tcPr>
          <w:p w:rsidR="00430608" w:rsidRPr="00042B67" w:rsidRDefault="00042B67" w:rsidP="000B313B">
            <w:pPr>
              <w:pStyle w:val="Tabletext"/>
              <w:keepNext/>
              <w:jc w:val="center"/>
              <w:rPr>
                <w:highlight w:val="black"/>
              </w:rPr>
            </w:pPr>
            <w:r>
              <w:rPr>
                <w:noProof/>
                <w:color w:val="000000"/>
                <w:highlight w:val="black"/>
              </w:rPr>
              <w:t>'''''' ''''''''''''</w:t>
            </w:r>
          </w:p>
        </w:tc>
        <w:tc>
          <w:tcPr>
            <w:tcW w:w="933" w:type="pct"/>
          </w:tcPr>
          <w:p w:rsidR="00430608" w:rsidRPr="00042B67" w:rsidRDefault="00042B67" w:rsidP="000B313B">
            <w:pPr>
              <w:pStyle w:val="Tabletext"/>
              <w:keepNext/>
              <w:jc w:val="center"/>
              <w:rPr>
                <w:highlight w:val="black"/>
              </w:rPr>
            </w:pPr>
            <w:r>
              <w:rPr>
                <w:noProof/>
                <w:color w:val="000000"/>
                <w:highlight w:val="black"/>
              </w:rPr>
              <w:t>''' '''''''''''</w:t>
            </w:r>
          </w:p>
        </w:tc>
        <w:tc>
          <w:tcPr>
            <w:tcW w:w="1005" w:type="pct"/>
          </w:tcPr>
          <w:p w:rsidR="00430608" w:rsidRPr="00042B67" w:rsidRDefault="00042B67" w:rsidP="000B313B">
            <w:pPr>
              <w:pStyle w:val="Tabletext"/>
              <w:keepNext/>
              <w:jc w:val="center"/>
              <w:rPr>
                <w:highlight w:val="black"/>
              </w:rPr>
            </w:pPr>
            <w:r>
              <w:rPr>
                <w:noProof/>
                <w:color w:val="000000"/>
                <w:highlight w:val="black"/>
              </w:rPr>
              <w:t>'''</w:t>
            </w:r>
          </w:p>
        </w:tc>
      </w:tr>
      <w:tr w:rsidR="00430608" w:rsidTr="00A009FE">
        <w:tc>
          <w:tcPr>
            <w:tcW w:w="1110" w:type="pct"/>
            <w:vAlign w:val="center"/>
          </w:tcPr>
          <w:p w:rsidR="00430608" w:rsidRDefault="00430608" w:rsidP="000B313B">
            <w:pPr>
              <w:pStyle w:val="Tabletext"/>
              <w:keepNext/>
              <w:ind w:left="142"/>
            </w:pPr>
            <w:r>
              <w:t>Study eye</w:t>
            </w:r>
          </w:p>
        </w:tc>
        <w:tc>
          <w:tcPr>
            <w:tcW w:w="987" w:type="pct"/>
          </w:tcPr>
          <w:p w:rsidR="00430608" w:rsidRPr="00042B67" w:rsidRDefault="00042B67" w:rsidP="000B313B">
            <w:pPr>
              <w:pStyle w:val="Tabletext"/>
              <w:keepNext/>
              <w:jc w:val="center"/>
              <w:rPr>
                <w:highlight w:val="black"/>
              </w:rPr>
            </w:pPr>
            <w:r>
              <w:rPr>
                <w:noProof/>
                <w:color w:val="000000"/>
                <w:highlight w:val="black"/>
              </w:rPr>
              <w:t>''' ''''''''''</w:t>
            </w:r>
          </w:p>
        </w:tc>
        <w:tc>
          <w:tcPr>
            <w:tcW w:w="966" w:type="pct"/>
          </w:tcPr>
          <w:p w:rsidR="00430608" w:rsidRPr="00042B67" w:rsidRDefault="00042B67" w:rsidP="000B313B">
            <w:pPr>
              <w:pStyle w:val="Tabletext"/>
              <w:keepNext/>
              <w:jc w:val="center"/>
              <w:rPr>
                <w:highlight w:val="black"/>
              </w:rPr>
            </w:pPr>
            <w:r>
              <w:rPr>
                <w:noProof/>
                <w:color w:val="000000"/>
                <w:highlight w:val="black"/>
              </w:rPr>
              <w:t>''' ''''''''''</w:t>
            </w:r>
          </w:p>
        </w:tc>
        <w:tc>
          <w:tcPr>
            <w:tcW w:w="933" w:type="pct"/>
          </w:tcPr>
          <w:p w:rsidR="00430608" w:rsidRPr="00042B67" w:rsidRDefault="00042B67" w:rsidP="000B313B">
            <w:pPr>
              <w:pStyle w:val="Tabletext"/>
              <w:keepNext/>
              <w:jc w:val="center"/>
              <w:rPr>
                <w:highlight w:val="black"/>
              </w:rPr>
            </w:pPr>
            <w:r>
              <w:rPr>
                <w:noProof/>
                <w:color w:val="000000"/>
                <w:highlight w:val="black"/>
              </w:rPr>
              <w:t>'''' ''''''''''''</w:t>
            </w:r>
          </w:p>
        </w:tc>
        <w:tc>
          <w:tcPr>
            <w:tcW w:w="1005" w:type="pct"/>
          </w:tcPr>
          <w:p w:rsidR="00430608" w:rsidRPr="00042B67" w:rsidRDefault="00042B67" w:rsidP="000B313B">
            <w:pPr>
              <w:pStyle w:val="Tabletext"/>
              <w:keepNext/>
              <w:jc w:val="center"/>
              <w:rPr>
                <w:highlight w:val="black"/>
              </w:rPr>
            </w:pPr>
            <w:r>
              <w:rPr>
                <w:noProof/>
                <w:color w:val="000000"/>
                <w:highlight w:val="black"/>
              </w:rPr>
              <w:t>''''</w:t>
            </w:r>
          </w:p>
        </w:tc>
      </w:tr>
      <w:tr w:rsidR="00430608" w:rsidTr="00A009FE">
        <w:tc>
          <w:tcPr>
            <w:tcW w:w="1110" w:type="pct"/>
            <w:vAlign w:val="center"/>
          </w:tcPr>
          <w:p w:rsidR="00430608" w:rsidRDefault="00430608" w:rsidP="000B313B">
            <w:pPr>
              <w:pStyle w:val="Tabletext"/>
              <w:keepNext/>
              <w:ind w:left="142"/>
            </w:pPr>
            <w:r>
              <w:t>Fellow eye</w:t>
            </w:r>
          </w:p>
        </w:tc>
        <w:tc>
          <w:tcPr>
            <w:tcW w:w="987" w:type="pct"/>
          </w:tcPr>
          <w:p w:rsidR="00430608" w:rsidRPr="00042B67" w:rsidRDefault="00042B67" w:rsidP="000B313B">
            <w:pPr>
              <w:pStyle w:val="Tabletext"/>
              <w:keepNext/>
              <w:jc w:val="center"/>
              <w:rPr>
                <w:highlight w:val="black"/>
              </w:rPr>
            </w:pPr>
            <w:r>
              <w:rPr>
                <w:noProof/>
                <w:color w:val="000000"/>
                <w:highlight w:val="black"/>
              </w:rPr>
              <w:t>'''</w:t>
            </w:r>
          </w:p>
        </w:tc>
        <w:tc>
          <w:tcPr>
            <w:tcW w:w="966" w:type="pct"/>
          </w:tcPr>
          <w:p w:rsidR="00430608" w:rsidRPr="00042B67" w:rsidRDefault="00042B67" w:rsidP="000B313B">
            <w:pPr>
              <w:pStyle w:val="Tabletext"/>
              <w:keepNext/>
              <w:jc w:val="center"/>
              <w:rPr>
                <w:highlight w:val="black"/>
              </w:rPr>
            </w:pPr>
            <w:r>
              <w:rPr>
                <w:noProof/>
                <w:color w:val="000000"/>
                <w:highlight w:val="black"/>
              </w:rPr>
              <w:t>''' ''''''''''</w:t>
            </w:r>
          </w:p>
        </w:tc>
        <w:tc>
          <w:tcPr>
            <w:tcW w:w="933" w:type="pct"/>
          </w:tcPr>
          <w:p w:rsidR="00430608" w:rsidRPr="00042B67" w:rsidRDefault="00042B67" w:rsidP="000B313B">
            <w:pPr>
              <w:pStyle w:val="Tabletext"/>
              <w:keepNext/>
              <w:jc w:val="center"/>
              <w:rPr>
                <w:highlight w:val="black"/>
              </w:rPr>
            </w:pPr>
            <w:r>
              <w:rPr>
                <w:noProof/>
                <w:color w:val="000000"/>
                <w:highlight w:val="black"/>
              </w:rPr>
              <w:t>'''' ''''''''''''</w:t>
            </w:r>
          </w:p>
        </w:tc>
        <w:tc>
          <w:tcPr>
            <w:tcW w:w="1005" w:type="pct"/>
          </w:tcPr>
          <w:p w:rsidR="00430608" w:rsidRPr="00042B67" w:rsidRDefault="00042B67" w:rsidP="000B313B">
            <w:pPr>
              <w:pStyle w:val="Tabletext"/>
              <w:keepNext/>
              <w:jc w:val="center"/>
              <w:rPr>
                <w:highlight w:val="black"/>
              </w:rPr>
            </w:pPr>
            <w:r>
              <w:rPr>
                <w:noProof/>
                <w:color w:val="000000"/>
                <w:highlight w:val="black"/>
              </w:rPr>
              <w:t>'''</w:t>
            </w:r>
          </w:p>
        </w:tc>
      </w:tr>
      <w:tr w:rsidR="00430608" w:rsidTr="00A009FE">
        <w:tc>
          <w:tcPr>
            <w:tcW w:w="1110" w:type="pct"/>
            <w:vAlign w:val="center"/>
          </w:tcPr>
          <w:p w:rsidR="00430608" w:rsidRDefault="00430608" w:rsidP="000B313B">
            <w:pPr>
              <w:pStyle w:val="Tabletext"/>
              <w:keepNext/>
            </w:pPr>
            <w:r>
              <w:t>Discontinued due to AE</w:t>
            </w:r>
          </w:p>
        </w:tc>
        <w:tc>
          <w:tcPr>
            <w:tcW w:w="987" w:type="pct"/>
          </w:tcPr>
          <w:p w:rsidR="00430608" w:rsidRPr="00042B67" w:rsidRDefault="00042B67" w:rsidP="000B313B">
            <w:pPr>
              <w:pStyle w:val="Tabletext"/>
              <w:keepNext/>
              <w:jc w:val="center"/>
              <w:rPr>
                <w:highlight w:val="black"/>
              </w:rPr>
            </w:pPr>
            <w:r>
              <w:rPr>
                <w:noProof/>
                <w:color w:val="000000"/>
                <w:highlight w:val="black"/>
              </w:rPr>
              <w:t>'''' '''''''''''</w:t>
            </w:r>
          </w:p>
        </w:tc>
        <w:tc>
          <w:tcPr>
            <w:tcW w:w="966" w:type="pct"/>
          </w:tcPr>
          <w:p w:rsidR="00430608" w:rsidRPr="00042B67" w:rsidRDefault="00042B67" w:rsidP="000B313B">
            <w:pPr>
              <w:pStyle w:val="Tabletext"/>
              <w:keepNext/>
              <w:jc w:val="center"/>
              <w:rPr>
                <w:highlight w:val="black"/>
              </w:rPr>
            </w:pPr>
            <w:r>
              <w:rPr>
                <w:noProof/>
                <w:color w:val="000000"/>
                <w:highlight w:val="black"/>
              </w:rPr>
              <w:t>''' ''''''''''</w:t>
            </w:r>
          </w:p>
        </w:tc>
        <w:tc>
          <w:tcPr>
            <w:tcW w:w="933" w:type="pct"/>
          </w:tcPr>
          <w:p w:rsidR="00430608" w:rsidRPr="00042B67" w:rsidRDefault="00042B67" w:rsidP="000B313B">
            <w:pPr>
              <w:pStyle w:val="Tabletext"/>
              <w:keepNext/>
              <w:jc w:val="center"/>
              <w:rPr>
                <w:highlight w:val="black"/>
              </w:rPr>
            </w:pPr>
            <w:r>
              <w:rPr>
                <w:noProof/>
                <w:color w:val="000000"/>
                <w:highlight w:val="black"/>
              </w:rPr>
              <w:t>'''' '''''''''''</w:t>
            </w:r>
          </w:p>
        </w:tc>
        <w:tc>
          <w:tcPr>
            <w:tcW w:w="1005" w:type="pct"/>
          </w:tcPr>
          <w:p w:rsidR="00430608" w:rsidRPr="00042B67" w:rsidRDefault="00042B67" w:rsidP="000B313B">
            <w:pPr>
              <w:pStyle w:val="Tabletext"/>
              <w:keepNext/>
              <w:jc w:val="center"/>
              <w:rPr>
                <w:highlight w:val="black"/>
              </w:rPr>
            </w:pPr>
            <w:r>
              <w:rPr>
                <w:noProof/>
                <w:color w:val="000000"/>
                <w:highlight w:val="black"/>
              </w:rPr>
              <w:t>''''</w:t>
            </w:r>
          </w:p>
        </w:tc>
      </w:tr>
      <w:tr w:rsidR="00430608" w:rsidTr="00A009FE">
        <w:tc>
          <w:tcPr>
            <w:tcW w:w="1110" w:type="pct"/>
            <w:vAlign w:val="center"/>
          </w:tcPr>
          <w:p w:rsidR="00430608" w:rsidRDefault="00430608" w:rsidP="000B313B">
            <w:pPr>
              <w:pStyle w:val="Tabletext"/>
              <w:keepNext/>
            </w:pPr>
            <w:r>
              <w:t>Discontinued due to SAE</w:t>
            </w:r>
          </w:p>
        </w:tc>
        <w:tc>
          <w:tcPr>
            <w:tcW w:w="987" w:type="pct"/>
          </w:tcPr>
          <w:p w:rsidR="00430608" w:rsidRPr="00042B67" w:rsidRDefault="00042B67" w:rsidP="000B313B">
            <w:pPr>
              <w:pStyle w:val="Tabletext"/>
              <w:keepNext/>
              <w:jc w:val="center"/>
              <w:rPr>
                <w:highlight w:val="black"/>
              </w:rPr>
            </w:pPr>
            <w:r>
              <w:rPr>
                <w:noProof/>
                <w:color w:val="000000"/>
                <w:highlight w:val="black"/>
              </w:rPr>
              <w:t>''' '''''''''''</w:t>
            </w:r>
          </w:p>
        </w:tc>
        <w:tc>
          <w:tcPr>
            <w:tcW w:w="966" w:type="pct"/>
          </w:tcPr>
          <w:p w:rsidR="00430608" w:rsidRPr="00042B67" w:rsidRDefault="00042B67" w:rsidP="000B313B">
            <w:pPr>
              <w:pStyle w:val="Tabletext"/>
              <w:keepNext/>
              <w:jc w:val="center"/>
              <w:rPr>
                <w:highlight w:val="black"/>
              </w:rPr>
            </w:pPr>
            <w:r>
              <w:rPr>
                <w:noProof/>
                <w:color w:val="000000"/>
                <w:highlight w:val="black"/>
              </w:rPr>
              <w:t>''' ''''''''''</w:t>
            </w:r>
          </w:p>
        </w:tc>
        <w:tc>
          <w:tcPr>
            <w:tcW w:w="933" w:type="pct"/>
          </w:tcPr>
          <w:p w:rsidR="00430608" w:rsidRPr="00042B67" w:rsidRDefault="00042B67" w:rsidP="000B313B">
            <w:pPr>
              <w:pStyle w:val="Tabletext"/>
              <w:keepNext/>
              <w:jc w:val="center"/>
              <w:rPr>
                <w:highlight w:val="black"/>
              </w:rPr>
            </w:pPr>
            <w:r>
              <w:rPr>
                <w:noProof/>
                <w:color w:val="000000"/>
                <w:highlight w:val="black"/>
              </w:rPr>
              <w:t>'''' ''''''''''</w:t>
            </w:r>
          </w:p>
        </w:tc>
        <w:tc>
          <w:tcPr>
            <w:tcW w:w="1005" w:type="pct"/>
          </w:tcPr>
          <w:p w:rsidR="00430608" w:rsidRPr="00042B67" w:rsidRDefault="00042B67" w:rsidP="000B313B">
            <w:pPr>
              <w:pStyle w:val="Tabletext"/>
              <w:keepNext/>
              <w:jc w:val="center"/>
              <w:rPr>
                <w:highlight w:val="black"/>
              </w:rPr>
            </w:pPr>
            <w:r>
              <w:rPr>
                <w:noProof/>
                <w:color w:val="000000"/>
                <w:highlight w:val="black"/>
              </w:rPr>
              <w:t>'''</w:t>
            </w:r>
          </w:p>
        </w:tc>
      </w:tr>
    </w:tbl>
    <w:p w:rsidR="00430608" w:rsidRDefault="00430608" w:rsidP="00430608">
      <w:pPr>
        <w:pStyle w:val="TableFooter"/>
        <w:rPr>
          <w:rFonts w:eastAsia="Calibri"/>
        </w:rPr>
      </w:pPr>
      <w:r>
        <w:rPr>
          <w:rFonts w:eastAsia="Calibri"/>
        </w:rPr>
        <w:t>AE = adverse event</w:t>
      </w:r>
      <w:r w:rsidRPr="00B40358">
        <w:rPr>
          <w:rFonts w:eastAsia="Calibri"/>
        </w:rPr>
        <w:t>; n = number of participants reporting data; N = total participants in group</w:t>
      </w:r>
      <w:r>
        <w:rPr>
          <w:rFonts w:eastAsia="Calibri"/>
        </w:rPr>
        <w:t>; SAE = serious adverse event; VA = visual acuity; vPDT = verteporfin photodynamic therapy</w:t>
      </w:r>
    </w:p>
    <w:p w:rsidR="00430608" w:rsidRDefault="00430608" w:rsidP="00430608">
      <w:pPr>
        <w:pStyle w:val="TableFooter"/>
        <w:rPr>
          <w:rFonts w:eastAsia="Calibri"/>
        </w:rPr>
      </w:pPr>
      <w:r>
        <w:rPr>
          <w:rFonts w:eastAsia="Calibri"/>
          <w:vertAlign w:val="superscript"/>
        </w:rPr>
        <w:t>a</w:t>
      </w:r>
      <w:r>
        <w:rPr>
          <w:rFonts w:eastAsia="Calibri"/>
        </w:rPr>
        <w:t xml:space="preserve"> There were a total of 7 serious AEs, as two AEs were reported for one patient.</w:t>
      </w:r>
    </w:p>
    <w:p w:rsidR="00430608" w:rsidRDefault="00430608" w:rsidP="00430608">
      <w:pPr>
        <w:pStyle w:val="TableFooter"/>
        <w:rPr>
          <w:rFonts w:eastAsia="Calibri"/>
        </w:rPr>
      </w:pPr>
      <w:r>
        <w:rPr>
          <w:rFonts w:eastAsia="Calibri"/>
          <w:vertAlign w:val="superscript"/>
        </w:rPr>
        <w:t>b</w:t>
      </w:r>
      <w:r>
        <w:rPr>
          <w:rFonts w:eastAsia="Calibri"/>
        </w:rPr>
        <w:t xml:space="preserve"> Only 2/15 patients received any addition</w:t>
      </w:r>
      <w:r w:rsidR="0059586A">
        <w:rPr>
          <w:rFonts w:eastAsia="Calibri"/>
        </w:rPr>
        <w:t>al</w:t>
      </w:r>
      <w:r>
        <w:rPr>
          <w:rFonts w:eastAsia="Calibri"/>
        </w:rPr>
        <w:t xml:space="preserve"> vPDT treatments beyond the initial treatment at Day 1</w:t>
      </w:r>
    </w:p>
    <w:p w:rsidR="00430608" w:rsidRDefault="00430608" w:rsidP="00430608">
      <w:pPr>
        <w:pStyle w:val="TableFooter"/>
        <w:rPr>
          <w:rFonts w:eastAsia="Calibri"/>
        </w:rPr>
      </w:pPr>
      <w:r>
        <w:rPr>
          <w:rFonts w:eastAsia="Calibri"/>
          <w:vertAlign w:val="superscript"/>
        </w:rPr>
        <w:t>c</w:t>
      </w:r>
      <w:r>
        <w:rPr>
          <w:rFonts w:eastAsia="Calibri"/>
        </w:rPr>
        <w:t xml:space="preserve"> None of these patients received any addition</w:t>
      </w:r>
      <w:r w:rsidR="0059586A">
        <w:rPr>
          <w:rFonts w:eastAsia="Calibri"/>
        </w:rPr>
        <w:t>al</w:t>
      </w:r>
      <w:r>
        <w:rPr>
          <w:rFonts w:eastAsia="Calibri"/>
        </w:rPr>
        <w:t xml:space="preserve"> vPDT treatments beyond the initial treatment at Day 1</w:t>
      </w:r>
    </w:p>
    <w:p w:rsidR="00430608" w:rsidRPr="00042B67" w:rsidRDefault="00430608" w:rsidP="00430608">
      <w:pPr>
        <w:pStyle w:val="TableFooter"/>
        <w:ind w:left="142" w:hanging="142"/>
      </w:pPr>
      <w:r>
        <w:t>* Mean number of treatments to Month 12 (safety set)</w:t>
      </w:r>
      <w:r w:rsidRPr="0072416F">
        <w:t xml:space="preserve">: </w:t>
      </w:r>
      <w:r>
        <w:t>RADIANCE Group I = 4.6 injections ranibizumab, Group II = 3.5 injections ranibizumab, Group III = 1.0 vPDT treatment; Group III with ranibizumab (n=38) = 3.2 injections ranibizumab</w:t>
      </w:r>
      <w:r w:rsidR="00042B67">
        <w:rPr>
          <w:noProof/>
          <w:color w:val="000000"/>
          <w:highlight w:val="black"/>
        </w:rPr>
        <w:t>'' ''''''''''''''''''''''''''''''''' ''''''''''''''' '' ''' '''''''' ''''''''''''''''''''''''''' ''''''''''''''''''''''''' '''''''''''''' ''' ''' ''''''' ''''''''''''''''''''''''''''' '''''''''''''''''''''' '''''''''''''''' ''''' ''' ''''''' '''''''''''''' ''''''''''''''''''''''''' ''''''''''''''' ''''' '''''''''' '''''''''''''''''''''''''''' '''''''''''''''' '''' '''''''' ''''''''''''''''''''''' '''''''''''''''''''''''''''''''</w:t>
      </w:r>
    </w:p>
    <w:p w:rsidR="00430608" w:rsidRPr="00B1011F" w:rsidRDefault="00430608" w:rsidP="00430608">
      <w:pPr>
        <w:pStyle w:val="TableFooter"/>
        <w:rPr>
          <w:sz w:val="20"/>
        </w:rPr>
      </w:pPr>
      <w:r>
        <w:t>Source: Tables 2.5-16 and 2.5-17, pp72-3 of the submission.</w:t>
      </w:r>
    </w:p>
    <w:p w:rsidR="00430608" w:rsidRPr="00AA1344" w:rsidRDefault="00430608" w:rsidP="00E567E7">
      <w:pPr>
        <w:pStyle w:val="ListParagraph"/>
        <w:widowControl/>
        <w:numPr>
          <w:ilvl w:val="1"/>
          <w:numId w:val="1"/>
        </w:numPr>
        <w:spacing w:before="160"/>
      </w:pPr>
      <w:r w:rsidRPr="00AA1344">
        <w:t xml:space="preserve">The submission stated that, in both trials, the frequency of ocular and non-ocular AEs was comparable across the three treatment groups, with the patients without ranibizumab treatment in Group III experiencing a numerically smaller frequency of AEs. The majority of patients in Group III had received ranibizumab. While no serious AEs were reported in patients in the vPDT treatment arms who did not receive ranibizumab, as discussed above, the use of vPDT in these subgroups was unlikely to reflect the use of vPDT in clinical practice </w:t>
      </w:r>
      <w:r w:rsidR="0059586A" w:rsidRPr="00AA1344">
        <w:t>where</w:t>
      </w:r>
      <w:r w:rsidRPr="00AA1344">
        <w:t xml:space="preserve"> ranibizumab</w:t>
      </w:r>
      <w:r w:rsidR="0059586A" w:rsidRPr="00AA1344">
        <w:t xml:space="preserve"> is </w:t>
      </w:r>
      <w:r w:rsidR="00211E04" w:rsidRPr="00AA1344">
        <w:t>currently not PBS-subsidised for the treatment of CNV due to PM</w:t>
      </w:r>
      <w:r w:rsidRPr="00AA1344">
        <w:t>.</w:t>
      </w:r>
    </w:p>
    <w:p w:rsidR="00430608" w:rsidRDefault="00430608" w:rsidP="00E567E7">
      <w:pPr>
        <w:pStyle w:val="ListParagraph"/>
        <w:widowControl/>
        <w:numPr>
          <w:ilvl w:val="1"/>
          <w:numId w:val="1"/>
        </w:numPr>
      </w:pPr>
      <w:r>
        <w:t xml:space="preserve">The most frequent ocular AE in patients receiving ranibizumab was conjunctival haemorrhage, which occurred in approximately 11% and </w:t>
      </w:r>
      <w:r w:rsidR="00042B67">
        <w:rPr>
          <w:noProof/>
          <w:color w:val="000000"/>
          <w:highlight w:val="black"/>
        </w:rPr>
        <w:t>'''</w:t>
      </w:r>
      <w:r>
        <w:t xml:space="preserve">% of patients in the ranibizumab arms (combined Groups I and II) in RADIANCE and BRILLIANCE, </w:t>
      </w:r>
      <w:r>
        <w:lastRenderedPageBreak/>
        <w:t>respectively</w:t>
      </w:r>
      <w:r w:rsidR="00EE2077" w:rsidRPr="00693110">
        <w:t>, over the 12 months of the trial</w:t>
      </w:r>
      <w:r w:rsidRPr="00693110">
        <w:t>.</w:t>
      </w:r>
      <w:r w:rsidRPr="00A73F0C">
        <w:t xml:space="preserve"> </w:t>
      </w:r>
      <w:r>
        <w:t>The submission noted that this AE is extremely common in clinical practice, is not a serious complication and that, with rare exceptions, the haemorrhage resolves spontaneously within 2 weeks without t</w:t>
      </w:r>
      <w:r w:rsidR="00570FF3">
        <w:t>reatment.</w:t>
      </w:r>
    </w:p>
    <w:p w:rsidR="00430608" w:rsidRPr="00AA1344" w:rsidRDefault="00430608" w:rsidP="00E567E7">
      <w:pPr>
        <w:pStyle w:val="ListParagraph"/>
        <w:widowControl/>
        <w:numPr>
          <w:ilvl w:val="1"/>
          <w:numId w:val="1"/>
        </w:numPr>
      </w:pPr>
      <w:r w:rsidRPr="00AA1344">
        <w:t>The TGA delegate concluded that the AE profile of ranibizumab 0.5</w:t>
      </w:r>
      <w:r w:rsidR="003C5485" w:rsidRPr="00AA1344">
        <w:t xml:space="preserve"> </w:t>
      </w:r>
      <w:r w:rsidRPr="00AA1344">
        <w:t>mg for the proposed use in</w:t>
      </w:r>
      <w:r w:rsidR="00CF663C">
        <w:t xml:space="preserve"> CNV due to</w:t>
      </w:r>
      <w:r w:rsidRPr="00AA1344">
        <w:t xml:space="preserve"> PM was consistent with the known profile of ranibizumab in previously approved indications. </w:t>
      </w:r>
      <w:r w:rsidRPr="00F00F4F">
        <w:t>The ocular safety concerns identified in the risk management plan (RMP) include</w:t>
      </w:r>
      <w:r w:rsidR="00042B67">
        <w:rPr>
          <w:noProof/>
          <w:color w:val="000000"/>
          <w:highlight w:val="black"/>
        </w:rPr>
        <w:t xml:space="preserve"> '''''''''''''''''''''''''''''''''' '''''''''''''''''''''' '''''''''''''''''''''''''''' ''''''''''''''' '''''''''''''''''' ''''''''''''''''''' '''''''''''''''' ''''''''''''''''' '''''''''''''''''''''''''' ''''' '''''''''''''' '''''''''''' ''''''''' '''''''''''' '''''''''' ''''''''''' ''''''''''''''''''''''' '''''''''''' ''''''''''''''' '''''''''''''''''' '''''''' '''''''''''''' '''''''''''''''''''''''''''' ''''''' ''''''''''''''''''''' </w:t>
      </w:r>
      <w:r w:rsidRPr="00C75B5D">
        <w:t xml:space="preserve">Systemic safety concerns include </w:t>
      </w:r>
      <w:r w:rsidR="00042B67">
        <w:rPr>
          <w:noProof/>
          <w:color w:val="000000"/>
          <w:highlight w:val="black"/>
        </w:rPr>
        <w:t>'''''''''''''''''''''''''''' '''''''''''''''''''''''''''' '''''''''''''''''''' ''''''''''''''''''''''''''' ''''''''''''''''''''''' ''''''''''''''''''' '''''''''''''''''''' '''''''''' '''''''''''' ''''''''''''''''''''''''''''' '''''''''''' '''''' '''''''''''''' ''''''''''''''''''''''''''''''''' '''''''''''' '''''' '''''''' '''''''''''''''''''''' ''''''''''''''''''' ''''''''''''''' ''''''' '''' ''''''''''''''''''''' ''''''''''''''''</w:t>
      </w:r>
    </w:p>
    <w:p w:rsidR="00430608" w:rsidRPr="00124360" w:rsidRDefault="00430608" w:rsidP="00AC1DDD">
      <w:pPr>
        <w:pStyle w:val="Heading2"/>
      </w:pPr>
      <w:bookmarkStart w:id="19" w:name="_Toc500424305"/>
      <w:bookmarkStart w:id="20" w:name="_Toc503188227"/>
      <w:r w:rsidRPr="00124360">
        <w:t>Benefits/harms</w:t>
      </w:r>
      <w:bookmarkEnd w:id="19"/>
      <w:bookmarkEnd w:id="20"/>
    </w:p>
    <w:p w:rsidR="00430608" w:rsidRDefault="00430608" w:rsidP="00E567E7">
      <w:pPr>
        <w:pStyle w:val="ListParagraph"/>
        <w:widowControl/>
        <w:numPr>
          <w:ilvl w:val="1"/>
          <w:numId w:val="1"/>
        </w:numPr>
        <w:spacing w:before="120"/>
      </w:pPr>
      <w:r w:rsidRPr="00B50DB8">
        <w:t xml:space="preserve">A summary of the comparative benefits for </w:t>
      </w:r>
      <w:r>
        <w:t>ranibizumab</w:t>
      </w:r>
      <w:r w:rsidRPr="00B50DB8">
        <w:t xml:space="preserve"> </w:t>
      </w:r>
      <w:r>
        <w:t>over vPDT</w:t>
      </w:r>
      <w:r w:rsidRPr="00B50DB8">
        <w:t xml:space="preserve"> is presented in the table below. </w:t>
      </w:r>
      <w:r w:rsidRPr="002B7F7A">
        <w:t>There were insufficient comparative safety data to allow a reliable comparison of harms.</w:t>
      </w:r>
    </w:p>
    <w:p w:rsidR="00430608" w:rsidRPr="00A578DC" w:rsidRDefault="00430608" w:rsidP="00430608">
      <w:pPr>
        <w:rPr>
          <w:rStyle w:val="CommentReference"/>
        </w:rPr>
      </w:pPr>
      <w:r>
        <w:rPr>
          <w:rStyle w:val="CommentReference"/>
        </w:rPr>
        <w:t>Table 8</w:t>
      </w:r>
      <w:r w:rsidRPr="00A578DC">
        <w:rPr>
          <w:rStyle w:val="CommentReference"/>
        </w:rPr>
        <w:t xml:space="preserve">: Summary of comparative benefits and harms for </w:t>
      </w:r>
      <w:r>
        <w:rPr>
          <w:rStyle w:val="CommentReference"/>
        </w:rPr>
        <w:t>ranibizumab and vPDT</w:t>
      </w:r>
    </w:p>
    <w:tbl>
      <w:tblPr>
        <w:tblW w:w="5000" w:type="pct"/>
        <w:tblLayout w:type="fixed"/>
        <w:tblCellMar>
          <w:left w:w="28" w:type="dxa"/>
          <w:right w:w="28" w:type="dxa"/>
        </w:tblCellMar>
        <w:tblLook w:val="04A0" w:firstRow="1" w:lastRow="0" w:firstColumn="1" w:lastColumn="0" w:noHBand="0" w:noVBand="1"/>
      </w:tblPr>
      <w:tblGrid>
        <w:gridCol w:w="1153"/>
        <w:gridCol w:w="712"/>
        <w:gridCol w:w="994"/>
        <w:gridCol w:w="1010"/>
        <w:gridCol w:w="845"/>
        <w:gridCol w:w="1001"/>
        <w:gridCol w:w="1003"/>
        <w:gridCol w:w="2365"/>
      </w:tblGrid>
      <w:tr w:rsidR="00430608" w:rsidRPr="00E2771E" w:rsidTr="00FF3C3E">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430608" w:rsidRPr="00E2771E" w:rsidRDefault="00430608" w:rsidP="00FF3C3E">
            <w:pPr>
              <w:rPr>
                <w:rFonts w:ascii="Arial Narrow" w:hAnsi="Arial Narrow"/>
                <w:b/>
                <w:color w:val="000000"/>
                <w:sz w:val="20"/>
                <w:szCs w:val="18"/>
              </w:rPr>
            </w:pPr>
            <w:r w:rsidRPr="00E2771E">
              <w:rPr>
                <w:rFonts w:ascii="Arial Narrow" w:hAnsi="Arial Narrow"/>
                <w:b/>
                <w:color w:val="000000"/>
                <w:sz w:val="20"/>
                <w:szCs w:val="18"/>
              </w:rPr>
              <w:t>Benefits</w:t>
            </w:r>
          </w:p>
        </w:tc>
      </w:tr>
      <w:tr w:rsidR="00430608" w:rsidRPr="00E2771E" w:rsidTr="00FF3C3E">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430608" w:rsidRPr="00E2771E" w:rsidRDefault="00430608" w:rsidP="00FF3C3E">
            <w:pPr>
              <w:rPr>
                <w:rFonts w:ascii="Arial Narrow" w:hAnsi="Arial Narrow"/>
                <w:b/>
                <w:color w:val="000000"/>
                <w:sz w:val="20"/>
                <w:szCs w:val="18"/>
              </w:rPr>
            </w:pPr>
            <w:r>
              <w:rPr>
                <w:rFonts w:ascii="Arial Narrow" w:hAnsi="Arial Narrow"/>
                <w:b/>
                <w:color w:val="000000"/>
                <w:sz w:val="20"/>
                <w:szCs w:val="18"/>
              </w:rPr>
              <w:t xml:space="preserve">Average change in </w:t>
            </w:r>
            <w:r w:rsidR="00FB1F6A">
              <w:rPr>
                <w:rFonts w:ascii="Arial Narrow" w:hAnsi="Arial Narrow"/>
                <w:b/>
                <w:color w:val="000000"/>
                <w:sz w:val="20"/>
                <w:szCs w:val="18"/>
              </w:rPr>
              <w:t>best corrected visual acuity (</w:t>
            </w:r>
            <w:r>
              <w:rPr>
                <w:rFonts w:ascii="Arial Narrow" w:hAnsi="Arial Narrow"/>
                <w:b/>
                <w:color w:val="000000"/>
                <w:sz w:val="20"/>
                <w:szCs w:val="18"/>
              </w:rPr>
              <w:t>BCVA</w:t>
            </w:r>
            <w:r w:rsidR="00FB1F6A">
              <w:rPr>
                <w:rFonts w:ascii="Arial Narrow" w:hAnsi="Arial Narrow"/>
                <w:b/>
                <w:color w:val="000000"/>
                <w:sz w:val="20"/>
                <w:szCs w:val="18"/>
              </w:rPr>
              <w:t>)</w:t>
            </w:r>
            <w:r>
              <w:rPr>
                <w:rFonts w:ascii="Arial Narrow" w:hAnsi="Arial Narrow"/>
                <w:b/>
                <w:color w:val="000000"/>
                <w:sz w:val="20"/>
                <w:szCs w:val="18"/>
              </w:rPr>
              <w:t xml:space="preserve"> of the study eye from baseline to Month 1 through Month 3</w:t>
            </w:r>
          </w:p>
        </w:tc>
      </w:tr>
      <w:tr w:rsidR="00430608" w:rsidRPr="00E2771E" w:rsidTr="00FF3C3E">
        <w:trPr>
          <w:trHeight w:val="225"/>
        </w:trPr>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0608" w:rsidRPr="00E2771E" w:rsidRDefault="00430608" w:rsidP="00FF3C3E">
            <w:pPr>
              <w:rPr>
                <w:rFonts w:ascii="Arial Narrow" w:hAnsi="Arial Narrow"/>
                <w:color w:val="000000"/>
                <w:sz w:val="20"/>
                <w:szCs w:val="18"/>
              </w:rPr>
            </w:pPr>
            <w:r>
              <w:rPr>
                <w:rFonts w:ascii="Arial Narrow" w:hAnsi="Arial Narrow"/>
                <w:color w:val="000000"/>
                <w:sz w:val="20"/>
                <w:szCs w:val="18"/>
              </w:rPr>
              <w:t>Trial</w:t>
            </w:r>
          </w:p>
        </w:tc>
        <w:tc>
          <w:tcPr>
            <w:tcW w:w="1495" w:type="pct"/>
            <w:gridSpan w:val="3"/>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color w:val="000000"/>
                <w:sz w:val="20"/>
                <w:szCs w:val="18"/>
              </w:rPr>
            </w:pPr>
            <w:r>
              <w:rPr>
                <w:rFonts w:ascii="Arial Narrow" w:hAnsi="Arial Narrow"/>
                <w:b/>
                <w:color w:val="000000"/>
                <w:sz w:val="20"/>
                <w:szCs w:val="18"/>
              </w:rPr>
              <w:t xml:space="preserve">Ranibizumab </w:t>
            </w:r>
          </w:p>
        </w:tc>
        <w:tc>
          <w:tcPr>
            <w:tcW w:w="1568" w:type="pct"/>
            <w:gridSpan w:val="3"/>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color w:val="000000"/>
                <w:sz w:val="20"/>
                <w:szCs w:val="18"/>
              </w:rPr>
            </w:pPr>
            <w:r>
              <w:rPr>
                <w:rFonts w:ascii="Arial Narrow" w:hAnsi="Arial Narrow"/>
                <w:b/>
                <w:color w:val="000000"/>
                <w:sz w:val="20"/>
                <w:szCs w:val="18"/>
              </w:rPr>
              <w:t>vPDT</w:t>
            </w:r>
          </w:p>
        </w:tc>
        <w:tc>
          <w:tcPr>
            <w:tcW w:w="1302" w:type="pct"/>
            <w:vMerge w:val="restar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b/>
                <w:sz w:val="20"/>
                <w:szCs w:val="18"/>
              </w:rPr>
            </w:pPr>
            <w:r w:rsidRPr="00E2771E">
              <w:rPr>
                <w:rFonts w:ascii="Arial Narrow" w:hAnsi="Arial Narrow"/>
                <w:b/>
                <w:sz w:val="20"/>
                <w:szCs w:val="18"/>
              </w:rPr>
              <w:t xml:space="preserve">Mean difference*: </w:t>
            </w:r>
          </w:p>
          <w:p w:rsidR="00430608" w:rsidRPr="002C4792" w:rsidRDefault="00430608" w:rsidP="00FF3C3E">
            <w:pPr>
              <w:jc w:val="center"/>
              <w:rPr>
                <w:rFonts w:ascii="Arial Narrow" w:hAnsi="Arial Narrow"/>
                <w:b/>
                <w:sz w:val="20"/>
                <w:szCs w:val="18"/>
                <w:vertAlign w:val="superscript"/>
              </w:rPr>
            </w:pPr>
            <w:r>
              <w:rPr>
                <w:rFonts w:ascii="Arial Narrow" w:hAnsi="Arial Narrow"/>
                <w:b/>
                <w:sz w:val="20"/>
                <w:szCs w:val="18"/>
              </w:rPr>
              <w:t>Ranibizumab vs. vPDT</w:t>
            </w:r>
            <w:r w:rsidR="002C4792">
              <w:rPr>
                <w:rFonts w:ascii="Arial Narrow" w:hAnsi="Arial Narrow"/>
                <w:b/>
                <w:sz w:val="20"/>
                <w:szCs w:val="18"/>
                <w:vertAlign w:val="superscript"/>
              </w:rPr>
              <w:t>a</w:t>
            </w:r>
          </w:p>
          <w:p w:rsidR="00430608" w:rsidRPr="00E2771E" w:rsidRDefault="00430608" w:rsidP="00FF3C3E">
            <w:pPr>
              <w:jc w:val="center"/>
              <w:rPr>
                <w:rFonts w:ascii="Arial Narrow" w:hAnsi="Arial Narrow"/>
                <w:b/>
                <w:sz w:val="20"/>
                <w:szCs w:val="18"/>
              </w:rPr>
            </w:pPr>
            <w:r w:rsidRPr="00E2771E">
              <w:rPr>
                <w:rFonts w:ascii="Arial Narrow" w:hAnsi="Arial Narrow"/>
                <w:b/>
                <w:sz w:val="20"/>
                <w:szCs w:val="18"/>
              </w:rPr>
              <w:t>(95% CI)</w:t>
            </w:r>
          </w:p>
        </w:tc>
      </w:tr>
      <w:tr w:rsidR="00430608" w:rsidRPr="00E2771E" w:rsidTr="00FF3C3E">
        <w:trPr>
          <w:trHeight w:val="225"/>
        </w:trPr>
        <w:tc>
          <w:tcPr>
            <w:tcW w:w="6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430608" w:rsidRPr="00E2771E" w:rsidRDefault="00430608" w:rsidP="00FF3C3E">
            <w:pPr>
              <w:rPr>
                <w:rFonts w:ascii="Arial Narrow" w:hAnsi="Arial Narrow"/>
                <w:color w:val="000000"/>
                <w:sz w:val="20"/>
                <w:szCs w:val="18"/>
              </w:rPr>
            </w:pPr>
          </w:p>
        </w:tc>
        <w:tc>
          <w:tcPr>
            <w:tcW w:w="392" w:type="pc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b/>
                <w:color w:val="000000"/>
                <w:sz w:val="20"/>
                <w:szCs w:val="18"/>
              </w:rPr>
            </w:pPr>
            <w:r>
              <w:rPr>
                <w:rFonts w:ascii="Arial Narrow" w:hAnsi="Arial Narrow"/>
                <w:b/>
                <w:color w:val="000000"/>
                <w:sz w:val="20"/>
                <w:szCs w:val="18"/>
              </w:rPr>
              <w:t>N</w:t>
            </w:r>
          </w:p>
        </w:tc>
        <w:tc>
          <w:tcPr>
            <w:tcW w:w="547" w:type="pc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b/>
                <w:sz w:val="20"/>
                <w:szCs w:val="18"/>
              </w:rPr>
            </w:pPr>
            <w:r w:rsidRPr="00E2771E">
              <w:rPr>
                <w:rFonts w:ascii="Arial Narrow" w:hAnsi="Arial Narrow"/>
                <w:b/>
                <w:sz w:val="20"/>
                <w:szCs w:val="18"/>
              </w:rPr>
              <w:t xml:space="preserve">Mean ∆ baseline </w:t>
            </w:r>
            <w:r>
              <w:rPr>
                <w:rFonts w:ascii="Arial Narrow" w:hAnsi="Arial Narrow"/>
                <w:b/>
                <w:sz w:val="20"/>
                <w:szCs w:val="18"/>
              </w:rPr>
              <w:t>(letters)</w:t>
            </w:r>
          </w:p>
        </w:tc>
        <w:tc>
          <w:tcPr>
            <w:tcW w:w="556" w:type="pc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b/>
                <w:sz w:val="20"/>
                <w:szCs w:val="18"/>
              </w:rPr>
            </w:pPr>
            <w:r w:rsidRPr="00E2771E">
              <w:rPr>
                <w:rFonts w:ascii="Arial Narrow" w:hAnsi="Arial Narrow"/>
                <w:b/>
                <w:sz w:val="20"/>
                <w:szCs w:val="18"/>
              </w:rPr>
              <w:t>SD</w:t>
            </w:r>
          </w:p>
        </w:tc>
        <w:tc>
          <w:tcPr>
            <w:tcW w:w="465" w:type="pc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b/>
                <w:color w:val="000000"/>
                <w:sz w:val="20"/>
                <w:szCs w:val="18"/>
              </w:rPr>
            </w:pPr>
            <w:r>
              <w:rPr>
                <w:rFonts w:ascii="Arial Narrow" w:hAnsi="Arial Narrow"/>
                <w:b/>
                <w:color w:val="000000"/>
                <w:sz w:val="20"/>
                <w:szCs w:val="18"/>
              </w:rPr>
              <w:t>N</w:t>
            </w:r>
          </w:p>
        </w:tc>
        <w:tc>
          <w:tcPr>
            <w:tcW w:w="551" w:type="pc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b/>
                <w:sz w:val="20"/>
                <w:szCs w:val="18"/>
              </w:rPr>
            </w:pPr>
            <w:r w:rsidRPr="00E2771E">
              <w:rPr>
                <w:rFonts w:ascii="Arial Narrow" w:hAnsi="Arial Narrow"/>
                <w:b/>
                <w:sz w:val="20"/>
                <w:szCs w:val="18"/>
              </w:rPr>
              <w:t xml:space="preserve">Mean ∆ baseline </w:t>
            </w:r>
            <w:r>
              <w:rPr>
                <w:rFonts w:ascii="Arial Narrow" w:hAnsi="Arial Narrow"/>
                <w:b/>
                <w:sz w:val="20"/>
                <w:szCs w:val="18"/>
              </w:rPr>
              <w:t>(letters)</w:t>
            </w:r>
          </w:p>
        </w:tc>
        <w:tc>
          <w:tcPr>
            <w:tcW w:w="552" w:type="pc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b/>
                <w:sz w:val="20"/>
                <w:szCs w:val="18"/>
              </w:rPr>
            </w:pPr>
            <w:r w:rsidRPr="00E2771E">
              <w:rPr>
                <w:rFonts w:ascii="Arial Narrow" w:hAnsi="Arial Narrow"/>
                <w:b/>
                <w:sz w:val="20"/>
                <w:szCs w:val="18"/>
              </w:rPr>
              <w:t>SD</w:t>
            </w:r>
          </w:p>
        </w:tc>
        <w:tc>
          <w:tcPr>
            <w:tcW w:w="1302" w:type="pct"/>
            <w:vMerge/>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b/>
                <w:sz w:val="20"/>
                <w:szCs w:val="18"/>
              </w:rPr>
            </w:pPr>
          </w:p>
        </w:tc>
      </w:tr>
      <w:tr w:rsidR="00430608" w:rsidRPr="00E2771E" w:rsidTr="00FF3C3E">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430608" w:rsidRPr="00E2771E" w:rsidRDefault="00430608" w:rsidP="00FF3C3E">
            <w:pPr>
              <w:jc w:val="left"/>
              <w:rPr>
                <w:rFonts w:ascii="Arial Narrow" w:hAnsi="Arial Narrow"/>
                <w:sz w:val="20"/>
                <w:szCs w:val="18"/>
              </w:rPr>
            </w:pPr>
            <w:r>
              <w:rPr>
                <w:rFonts w:ascii="Arial Narrow" w:hAnsi="Arial Narrow"/>
                <w:color w:val="000000"/>
                <w:sz w:val="20"/>
                <w:szCs w:val="18"/>
              </w:rPr>
              <w:t>Ranibizumab by VA stabilisation (Group I) vs vPDT</w:t>
            </w:r>
          </w:p>
        </w:tc>
      </w:tr>
      <w:tr w:rsidR="00430608" w:rsidRPr="00E2771E" w:rsidTr="00FF3C3E">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430608" w:rsidRDefault="00430608" w:rsidP="00FF3C3E">
            <w:pPr>
              <w:rPr>
                <w:rFonts w:ascii="Arial Narrow" w:hAnsi="Arial Narrow"/>
                <w:color w:val="000000"/>
                <w:sz w:val="20"/>
                <w:szCs w:val="18"/>
              </w:rPr>
            </w:pPr>
            <w:r>
              <w:rPr>
                <w:rFonts w:ascii="Arial Narrow" w:hAnsi="Arial Narrow"/>
                <w:color w:val="000000"/>
                <w:sz w:val="20"/>
                <w:szCs w:val="18"/>
              </w:rPr>
              <w:t>RADIANCE</w:t>
            </w:r>
          </w:p>
        </w:tc>
        <w:tc>
          <w:tcPr>
            <w:tcW w:w="392" w:type="pc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color w:val="000000"/>
                <w:sz w:val="20"/>
                <w:szCs w:val="18"/>
              </w:rPr>
            </w:pPr>
            <w:r>
              <w:rPr>
                <w:rFonts w:ascii="Arial Narrow" w:hAnsi="Arial Narrow"/>
                <w:color w:val="000000"/>
                <w:sz w:val="20"/>
                <w:szCs w:val="18"/>
              </w:rPr>
              <w:t>105</w:t>
            </w:r>
          </w:p>
        </w:tc>
        <w:tc>
          <w:tcPr>
            <w:tcW w:w="547" w:type="pc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color w:val="000000"/>
                <w:sz w:val="20"/>
                <w:szCs w:val="18"/>
              </w:rPr>
            </w:pPr>
            <w:r>
              <w:rPr>
                <w:rFonts w:ascii="Arial Narrow" w:hAnsi="Arial Narrow"/>
                <w:color w:val="000000"/>
                <w:sz w:val="20"/>
                <w:szCs w:val="18"/>
              </w:rPr>
              <w:t>10.5</w:t>
            </w:r>
          </w:p>
        </w:tc>
        <w:tc>
          <w:tcPr>
            <w:tcW w:w="556" w:type="pc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color w:val="000000"/>
                <w:sz w:val="20"/>
                <w:szCs w:val="18"/>
              </w:rPr>
            </w:pPr>
            <w:r>
              <w:rPr>
                <w:rFonts w:ascii="Arial Narrow" w:hAnsi="Arial Narrow"/>
                <w:color w:val="000000"/>
                <w:sz w:val="20"/>
                <w:szCs w:val="18"/>
              </w:rPr>
              <w:t>8.16</w:t>
            </w:r>
          </w:p>
        </w:tc>
        <w:tc>
          <w:tcPr>
            <w:tcW w:w="465" w:type="pc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color w:val="000000"/>
                <w:sz w:val="20"/>
                <w:szCs w:val="18"/>
              </w:rPr>
            </w:pPr>
            <w:r>
              <w:rPr>
                <w:rFonts w:ascii="Arial Narrow" w:hAnsi="Arial Narrow"/>
                <w:color w:val="000000"/>
                <w:sz w:val="20"/>
                <w:szCs w:val="18"/>
              </w:rPr>
              <w:t>55</w:t>
            </w:r>
          </w:p>
        </w:tc>
        <w:tc>
          <w:tcPr>
            <w:tcW w:w="551" w:type="pc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color w:val="000000"/>
                <w:sz w:val="20"/>
                <w:szCs w:val="18"/>
              </w:rPr>
            </w:pPr>
            <w:r>
              <w:rPr>
                <w:rFonts w:ascii="Arial Narrow" w:hAnsi="Arial Narrow"/>
                <w:color w:val="000000"/>
                <w:sz w:val="20"/>
                <w:szCs w:val="18"/>
              </w:rPr>
              <w:t>2.2</w:t>
            </w:r>
          </w:p>
        </w:tc>
        <w:tc>
          <w:tcPr>
            <w:tcW w:w="552" w:type="pct"/>
            <w:tcBorders>
              <w:top w:val="single" w:sz="4" w:space="0" w:color="auto"/>
              <w:left w:val="single" w:sz="4" w:space="0" w:color="auto"/>
              <w:bottom w:val="single" w:sz="4" w:space="0" w:color="auto"/>
              <w:right w:val="single" w:sz="4" w:space="0" w:color="auto"/>
            </w:tcBorders>
            <w:vAlign w:val="center"/>
          </w:tcPr>
          <w:p w:rsidR="00430608" w:rsidRPr="00E2771E" w:rsidRDefault="00430608" w:rsidP="00FF3C3E">
            <w:pPr>
              <w:jc w:val="center"/>
              <w:rPr>
                <w:rFonts w:ascii="Arial Narrow" w:hAnsi="Arial Narrow"/>
                <w:color w:val="000000"/>
                <w:sz w:val="20"/>
                <w:szCs w:val="18"/>
              </w:rPr>
            </w:pPr>
            <w:r>
              <w:rPr>
                <w:rFonts w:ascii="Arial Narrow" w:hAnsi="Arial Narrow"/>
                <w:color w:val="000000"/>
                <w:sz w:val="20"/>
                <w:szCs w:val="18"/>
              </w:rPr>
              <w:t>9.47</w:t>
            </w:r>
          </w:p>
        </w:tc>
        <w:tc>
          <w:tcPr>
            <w:tcW w:w="1302" w:type="pct"/>
            <w:tcBorders>
              <w:top w:val="single" w:sz="4" w:space="0" w:color="auto"/>
              <w:left w:val="single" w:sz="4" w:space="0" w:color="auto"/>
              <w:bottom w:val="single" w:sz="4" w:space="0" w:color="auto"/>
              <w:right w:val="single" w:sz="4" w:space="0" w:color="auto"/>
            </w:tcBorders>
            <w:vAlign w:val="center"/>
          </w:tcPr>
          <w:p w:rsidR="00430608" w:rsidRPr="00E2771E" w:rsidRDefault="0059586A" w:rsidP="00FF3C3E">
            <w:pPr>
              <w:jc w:val="center"/>
              <w:rPr>
                <w:rFonts w:ascii="Arial Narrow" w:hAnsi="Arial Narrow"/>
                <w:sz w:val="20"/>
                <w:szCs w:val="18"/>
              </w:rPr>
            </w:pPr>
            <w:r>
              <w:rPr>
                <w:rFonts w:ascii="Arial Narrow" w:hAnsi="Arial Narrow"/>
                <w:sz w:val="20"/>
                <w:szCs w:val="18"/>
              </w:rPr>
              <w:t>8.5 (5.8, 11.2)</w:t>
            </w:r>
          </w:p>
        </w:tc>
      </w:tr>
      <w:tr w:rsidR="00430608" w:rsidRPr="00E2771E" w:rsidTr="00FF3C3E">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430608" w:rsidRDefault="00430608" w:rsidP="00FF3C3E">
            <w:pPr>
              <w:rPr>
                <w:rFonts w:ascii="Arial Narrow" w:hAnsi="Arial Narrow"/>
                <w:color w:val="000000"/>
                <w:sz w:val="20"/>
                <w:szCs w:val="18"/>
              </w:rPr>
            </w:pPr>
            <w:r>
              <w:rPr>
                <w:rFonts w:ascii="Arial Narrow" w:hAnsi="Arial Narrow"/>
                <w:color w:val="000000"/>
                <w:sz w:val="20"/>
                <w:szCs w:val="18"/>
              </w:rPr>
              <w:t>BRILLIANCE</w:t>
            </w:r>
          </w:p>
        </w:tc>
        <w:tc>
          <w:tcPr>
            <w:tcW w:w="392"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47"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6"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65"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2"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302"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sz w:val="20"/>
                <w:szCs w:val="18"/>
                <w:highlight w:val="black"/>
              </w:rPr>
            </w:pPr>
            <w:r>
              <w:rPr>
                <w:rFonts w:ascii="Arial Narrow" w:hAnsi="Arial Narrow"/>
                <w:noProof/>
                <w:color w:val="000000"/>
                <w:sz w:val="20"/>
                <w:szCs w:val="18"/>
                <w:highlight w:val="black"/>
              </w:rPr>
              <w:t>''''''' '''''''''' '''''''''</w:t>
            </w:r>
          </w:p>
        </w:tc>
      </w:tr>
      <w:tr w:rsidR="00430608" w:rsidRPr="00E2771E" w:rsidTr="00FF3C3E">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430608" w:rsidRDefault="00430608" w:rsidP="00FF3C3E">
            <w:pPr>
              <w:jc w:val="left"/>
              <w:rPr>
                <w:rFonts w:ascii="Arial Narrow" w:hAnsi="Arial Narrow"/>
                <w:sz w:val="20"/>
                <w:szCs w:val="18"/>
              </w:rPr>
            </w:pPr>
            <w:r>
              <w:rPr>
                <w:rFonts w:ascii="Arial Narrow" w:hAnsi="Arial Narrow"/>
                <w:sz w:val="20"/>
                <w:szCs w:val="18"/>
              </w:rPr>
              <w:t>Ranibizumab by disease activity (Group II) vs vPDT</w:t>
            </w:r>
          </w:p>
        </w:tc>
      </w:tr>
      <w:tr w:rsidR="00430608" w:rsidRPr="00E2771E" w:rsidTr="00FF3C3E">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430608" w:rsidRDefault="00430608" w:rsidP="00FF3C3E">
            <w:pPr>
              <w:rPr>
                <w:rFonts w:ascii="Arial Narrow" w:hAnsi="Arial Narrow"/>
                <w:color w:val="000000"/>
                <w:sz w:val="20"/>
                <w:szCs w:val="18"/>
              </w:rPr>
            </w:pPr>
            <w:r>
              <w:rPr>
                <w:rFonts w:ascii="Arial Narrow" w:hAnsi="Arial Narrow"/>
                <w:color w:val="000000"/>
                <w:sz w:val="20"/>
                <w:szCs w:val="18"/>
              </w:rPr>
              <w:t>RADIANCE</w:t>
            </w:r>
          </w:p>
        </w:tc>
        <w:tc>
          <w:tcPr>
            <w:tcW w:w="392" w:type="pct"/>
            <w:tcBorders>
              <w:top w:val="single" w:sz="4" w:space="0" w:color="auto"/>
              <w:left w:val="single" w:sz="4" w:space="0" w:color="auto"/>
              <w:bottom w:val="single" w:sz="4" w:space="0" w:color="auto"/>
              <w:right w:val="single" w:sz="4" w:space="0" w:color="auto"/>
            </w:tcBorders>
            <w:vAlign w:val="center"/>
          </w:tcPr>
          <w:p w:rsidR="00430608" w:rsidRDefault="00430608" w:rsidP="00FF3C3E">
            <w:pPr>
              <w:jc w:val="center"/>
              <w:rPr>
                <w:rFonts w:ascii="Arial Narrow" w:hAnsi="Arial Narrow"/>
                <w:color w:val="000000"/>
                <w:sz w:val="20"/>
                <w:szCs w:val="18"/>
              </w:rPr>
            </w:pPr>
            <w:r>
              <w:rPr>
                <w:rFonts w:ascii="Arial Narrow" w:hAnsi="Arial Narrow"/>
                <w:color w:val="000000"/>
                <w:sz w:val="20"/>
                <w:szCs w:val="18"/>
              </w:rPr>
              <w:t>116</w:t>
            </w:r>
          </w:p>
        </w:tc>
        <w:tc>
          <w:tcPr>
            <w:tcW w:w="547" w:type="pct"/>
            <w:tcBorders>
              <w:top w:val="single" w:sz="4" w:space="0" w:color="auto"/>
              <w:left w:val="single" w:sz="4" w:space="0" w:color="auto"/>
              <w:bottom w:val="single" w:sz="4" w:space="0" w:color="auto"/>
              <w:right w:val="single" w:sz="4" w:space="0" w:color="auto"/>
            </w:tcBorders>
            <w:vAlign w:val="center"/>
          </w:tcPr>
          <w:p w:rsidR="00430608" w:rsidRDefault="00430608" w:rsidP="00FF3C3E">
            <w:pPr>
              <w:jc w:val="center"/>
              <w:rPr>
                <w:rFonts w:ascii="Arial Narrow" w:hAnsi="Arial Narrow"/>
                <w:color w:val="000000"/>
                <w:sz w:val="20"/>
                <w:szCs w:val="18"/>
              </w:rPr>
            </w:pPr>
            <w:r>
              <w:rPr>
                <w:rFonts w:ascii="Arial Narrow" w:hAnsi="Arial Narrow"/>
                <w:color w:val="000000"/>
                <w:sz w:val="20"/>
                <w:szCs w:val="18"/>
              </w:rPr>
              <w:t>10.6</w:t>
            </w:r>
          </w:p>
        </w:tc>
        <w:tc>
          <w:tcPr>
            <w:tcW w:w="556" w:type="pct"/>
            <w:tcBorders>
              <w:top w:val="single" w:sz="4" w:space="0" w:color="auto"/>
              <w:left w:val="single" w:sz="4" w:space="0" w:color="auto"/>
              <w:bottom w:val="single" w:sz="4" w:space="0" w:color="auto"/>
              <w:right w:val="single" w:sz="4" w:space="0" w:color="auto"/>
            </w:tcBorders>
            <w:vAlign w:val="center"/>
          </w:tcPr>
          <w:p w:rsidR="00430608" w:rsidRDefault="00430608" w:rsidP="00FF3C3E">
            <w:pPr>
              <w:jc w:val="center"/>
              <w:rPr>
                <w:rFonts w:ascii="Arial Narrow" w:hAnsi="Arial Narrow"/>
                <w:color w:val="000000"/>
                <w:sz w:val="20"/>
                <w:szCs w:val="18"/>
              </w:rPr>
            </w:pPr>
            <w:r>
              <w:rPr>
                <w:rFonts w:ascii="Arial Narrow" w:hAnsi="Arial Narrow"/>
                <w:color w:val="000000"/>
                <w:sz w:val="20"/>
                <w:szCs w:val="18"/>
              </w:rPr>
              <w:t>7.26</w:t>
            </w:r>
          </w:p>
        </w:tc>
        <w:tc>
          <w:tcPr>
            <w:tcW w:w="465" w:type="pct"/>
            <w:tcBorders>
              <w:top w:val="single" w:sz="4" w:space="0" w:color="auto"/>
              <w:left w:val="single" w:sz="4" w:space="0" w:color="auto"/>
              <w:bottom w:val="single" w:sz="4" w:space="0" w:color="auto"/>
              <w:right w:val="single" w:sz="4" w:space="0" w:color="auto"/>
            </w:tcBorders>
            <w:vAlign w:val="center"/>
          </w:tcPr>
          <w:p w:rsidR="00430608" w:rsidRDefault="00430608" w:rsidP="00FF3C3E">
            <w:pPr>
              <w:jc w:val="center"/>
              <w:rPr>
                <w:rFonts w:ascii="Arial Narrow" w:hAnsi="Arial Narrow"/>
                <w:color w:val="000000"/>
                <w:sz w:val="20"/>
                <w:szCs w:val="18"/>
              </w:rPr>
            </w:pPr>
            <w:r>
              <w:rPr>
                <w:rFonts w:ascii="Arial Narrow" w:hAnsi="Arial Narrow"/>
                <w:color w:val="000000"/>
                <w:sz w:val="20"/>
                <w:szCs w:val="18"/>
              </w:rPr>
              <w:t>55</w:t>
            </w:r>
          </w:p>
        </w:tc>
        <w:tc>
          <w:tcPr>
            <w:tcW w:w="551" w:type="pct"/>
            <w:tcBorders>
              <w:top w:val="single" w:sz="4" w:space="0" w:color="auto"/>
              <w:left w:val="single" w:sz="4" w:space="0" w:color="auto"/>
              <w:bottom w:val="single" w:sz="4" w:space="0" w:color="auto"/>
              <w:right w:val="single" w:sz="4" w:space="0" w:color="auto"/>
            </w:tcBorders>
            <w:vAlign w:val="center"/>
          </w:tcPr>
          <w:p w:rsidR="00430608" w:rsidRDefault="00430608" w:rsidP="00FF3C3E">
            <w:pPr>
              <w:jc w:val="center"/>
              <w:rPr>
                <w:rFonts w:ascii="Arial Narrow" w:hAnsi="Arial Narrow"/>
                <w:color w:val="000000"/>
                <w:sz w:val="20"/>
                <w:szCs w:val="18"/>
              </w:rPr>
            </w:pPr>
            <w:r>
              <w:rPr>
                <w:rFonts w:ascii="Arial Narrow" w:hAnsi="Arial Narrow"/>
                <w:color w:val="000000"/>
                <w:sz w:val="20"/>
                <w:szCs w:val="18"/>
              </w:rPr>
              <w:t>2.2</w:t>
            </w:r>
          </w:p>
        </w:tc>
        <w:tc>
          <w:tcPr>
            <w:tcW w:w="552" w:type="pct"/>
            <w:tcBorders>
              <w:top w:val="single" w:sz="4" w:space="0" w:color="auto"/>
              <w:left w:val="single" w:sz="4" w:space="0" w:color="auto"/>
              <w:bottom w:val="single" w:sz="4" w:space="0" w:color="auto"/>
              <w:right w:val="single" w:sz="4" w:space="0" w:color="auto"/>
            </w:tcBorders>
            <w:vAlign w:val="center"/>
          </w:tcPr>
          <w:p w:rsidR="00430608" w:rsidRDefault="00430608" w:rsidP="00FF3C3E">
            <w:pPr>
              <w:jc w:val="center"/>
              <w:rPr>
                <w:rFonts w:ascii="Arial Narrow" w:hAnsi="Arial Narrow"/>
                <w:color w:val="000000"/>
                <w:sz w:val="20"/>
                <w:szCs w:val="18"/>
              </w:rPr>
            </w:pPr>
            <w:r>
              <w:rPr>
                <w:rFonts w:ascii="Arial Narrow" w:hAnsi="Arial Narrow"/>
                <w:color w:val="000000"/>
                <w:sz w:val="20"/>
                <w:szCs w:val="18"/>
              </w:rPr>
              <w:t>9.47</w:t>
            </w:r>
          </w:p>
        </w:tc>
        <w:tc>
          <w:tcPr>
            <w:tcW w:w="1302" w:type="pct"/>
            <w:tcBorders>
              <w:top w:val="single" w:sz="4" w:space="0" w:color="auto"/>
              <w:left w:val="single" w:sz="4" w:space="0" w:color="auto"/>
              <w:bottom w:val="single" w:sz="4" w:space="0" w:color="auto"/>
              <w:right w:val="single" w:sz="4" w:space="0" w:color="auto"/>
            </w:tcBorders>
            <w:vAlign w:val="center"/>
          </w:tcPr>
          <w:p w:rsidR="00430608" w:rsidRDefault="00430608" w:rsidP="00FF3C3E">
            <w:pPr>
              <w:jc w:val="center"/>
              <w:rPr>
                <w:rFonts w:ascii="Arial Narrow" w:hAnsi="Arial Narrow"/>
                <w:sz w:val="20"/>
                <w:szCs w:val="18"/>
              </w:rPr>
            </w:pPr>
            <w:r>
              <w:rPr>
                <w:rFonts w:ascii="Arial Narrow" w:hAnsi="Arial Narrow"/>
                <w:sz w:val="20"/>
                <w:szCs w:val="18"/>
              </w:rPr>
              <w:t>8.6 (6.1, 11.1)</w:t>
            </w:r>
          </w:p>
        </w:tc>
      </w:tr>
      <w:tr w:rsidR="00430608" w:rsidRPr="00E2771E" w:rsidTr="00FF3C3E">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430608" w:rsidRPr="00E2771E" w:rsidRDefault="00430608" w:rsidP="00FF3C3E">
            <w:pPr>
              <w:rPr>
                <w:rFonts w:ascii="Arial Narrow" w:hAnsi="Arial Narrow"/>
                <w:color w:val="000000"/>
                <w:sz w:val="20"/>
                <w:szCs w:val="18"/>
              </w:rPr>
            </w:pPr>
            <w:r>
              <w:rPr>
                <w:rFonts w:ascii="Arial Narrow" w:hAnsi="Arial Narrow"/>
                <w:color w:val="000000"/>
                <w:sz w:val="20"/>
                <w:szCs w:val="18"/>
              </w:rPr>
              <w:t>BRILLIANCE</w:t>
            </w:r>
          </w:p>
        </w:tc>
        <w:tc>
          <w:tcPr>
            <w:tcW w:w="392"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47"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6"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65"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2"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302" w:type="pct"/>
            <w:tcBorders>
              <w:top w:val="single" w:sz="4" w:space="0" w:color="auto"/>
              <w:left w:val="single" w:sz="4" w:space="0" w:color="auto"/>
              <w:bottom w:val="single" w:sz="4" w:space="0" w:color="auto"/>
              <w:right w:val="single" w:sz="4" w:space="0" w:color="auto"/>
            </w:tcBorders>
            <w:vAlign w:val="center"/>
          </w:tcPr>
          <w:p w:rsidR="00430608" w:rsidRPr="00042B67" w:rsidRDefault="00042B67" w:rsidP="00FF3C3E">
            <w:pPr>
              <w:jc w:val="center"/>
              <w:rPr>
                <w:rFonts w:ascii="Arial Narrow" w:hAnsi="Arial Narrow"/>
                <w:sz w:val="20"/>
                <w:szCs w:val="18"/>
                <w:highlight w:val="black"/>
              </w:rPr>
            </w:pPr>
            <w:r>
              <w:rPr>
                <w:rFonts w:ascii="Arial Narrow" w:hAnsi="Arial Narrow"/>
                <w:noProof/>
                <w:color w:val="000000"/>
                <w:sz w:val="20"/>
                <w:szCs w:val="18"/>
                <w:highlight w:val="black"/>
              </w:rPr>
              <w:t>'''''''' '''''''''''' '''''''''</w:t>
            </w:r>
          </w:p>
        </w:tc>
      </w:tr>
    </w:tbl>
    <w:p w:rsidR="00430608" w:rsidRPr="00FB1B56" w:rsidRDefault="00430608" w:rsidP="00430608">
      <w:pPr>
        <w:pStyle w:val="TableFooter"/>
        <w:rPr>
          <w:sz w:val="16"/>
          <w:szCs w:val="16"/>
        </w:rPr>
      </w:pPr>
      <w:r w:rsidRPr="00FB1B56">
        <w:rPr>
          <w:sz w:val="16"/>
          <w:szCs w:val="16"/>
        </w:rPr>
        <w:t>AE = adverse events; RD = risk difference; RR = risk ratio; SD = standard deviation; VA = visual acuity; vPDT = verteporfin photodynamic therapy</w:t>
      </w:r>
    </w:p>
    <w:p w:rsidR="00430608" w:rsidRPr="00FB1B56" w:rsidRDefault="00430608" w:rsidP="00430608">
      <w:pPr>
        <w:pStyle w:val="TableFooter"/>
        <w:rPr>
          <w:sz w:val="16"/>
          <w:szCs w:val="16"/>
        </w:rPr>
      </w:pPr>
      <w:r w:rsidRPr="00FB1B56">
        <w:rPr>
          <w:sz w:val="16"/>
          <w:szCs w:val="16"/>
        </w:rPr>
        <w:t xml:space="preserve">* </w:t>
      </w:r>
      <w:r w:rsidR="00042B67">
        <w:rPr>
          <w:noProof/>
          <w:color w:val="000000"/>
          <w:sz w:val="16"/>
          <w:szCs w:val="16"/>
          <w:highlight w:val="black"/>
        </w:rPr>
        <w:t>''''''''''''' '''''''''''''''''' '''' '''''''''''''''''''''''' '''''' '''' ''''''''''''' ''' '''''''''''''''' '''''''''' '''''''''''''''''''''''''''' ''''''''''''''' '' ''' ''''''' '''''''''''''''''''''' ''''''''''''''''''''''''''' ''''''''''''' '''' '''' '''''''' ''''''''''''''''''''' '''''''''''''''''''''''''''''' '''''''''''''' ''''' ''' '''''''' '''''''''''' ''''''''''''''''''''''' ''''''''''''''''''''''''''''' '''''''''''''' '' ''' '''''''' ''''''''''''''''''''''''''''''' ''''''''''''''''''''' '''''''''''''' ''' ''' '''''''' '''''''''''''''''''''''''' ''''''''''''''''''''''' '''''''''''''''' ''''' '''' ''''''''' ''''''''''''' '''''''''''''''''''''''</w:t>
      </w:r>
    </w:p>
    <w:p w:rsidR="002C4792" w:rsidRPr="00FB1B56" w:rsidRDefault="002C4792" w:rsidP="002C4792">
      <w:pPr>
        <w:pStyle w:val="TableFooter"/>
        <w:rPr>
          <w:sz w:val="16"/>
          <w:szCs w:val="16"/>
        </w:rPr>
      </w:pPr>
      <w:r w:rsidRPr="00FB1B56">
        <w:rPr>
          <w:sz w:val="16"/>
          <w:szCs w:val="16"/>
          <w:vertAlign w:val="superscript"/>
        </w:rPr>
        <w:t>a</w:t>
      </w:r>
      <w:r w:rsidRPr="00FB1B56">
        <w:rPr>
          <w:sz w:val="16"/>
          <w:szCs w:val="16"/>
        </w:rPr>
        <w:t xml:space="preserve"> Difference in LS means estimated from pairwise ANOVA (stratified) model.</w:t>
      </w:r>
    </w:p>
    <w:p w:rsidR="00430608" w:rsidRPr="00FB1B56" w:rsidRDefault="00430608" w:rsidP="00430608">
      <w:pPr>
        <w:pStyle w:val="TableFooter"/>
        <w:rPr>
          <w:sz w:val="16"/>
          <w:szCs w:val="16"/>
        </w:rPr>
      </w:pPr>
      <w:r w:rsidRPr="00FB1B56">
        <w:rPr>
          <w:sz w:val="16"/>
          <w:szCs w:val="16"/>
        </w:rPr>
        <w:t xml:space="preserve">Source: Tables 2.5-1 and 2.5-2, p60 of the submission; Table 12-1 p155 and Table 12-5 p159 RADIANCE CSR; Table 12-1 p100 and </w:t>
      </w:r>
      <w:r w:rsidR="00570FF3" w:rsidRPr="00FB1B56">
        <w:rPr>
          <w:sz w:val="16"/>
          <w:szCs w:val="16"/>
        </w:rPr>
        <w:t>Table 12-4 p103 BRILLIANCE CSR.</w:t>
      </w:r>
    </w:p>
    <w:p w:rsidR="00430608" w:rsidRPr="00AA1344" w:rsidRDefault="00430608" w:rsidP="00E567E7">
      <w:pPr>
        <w:pStyle w:val="ListParagraph"/>
        <w:widowControl/>
        <w:numPr>
          <w:ilvl w:val="1"/>
          <w:numId w:val="1"/>
        </w:numPr>
        <w:spacing w:before="160"/>
        <w:ind w:left="709"/>
      </w:pPr>
      <w:r w:rsidRPr="00AA1344">
        <w:t>On the basis of the direct evidence presented by the submission, the comparison of ranibizumab and vPDT</w:t>
      </w:r>
      <w:r w:rsidR="00570FF3" w:rsidRPr="00AA1344">
        <w:t xml:space="preserve"> resulted in a</w:t>
      </w:r>
      <w:r w:rsidRPr="00AA1344">
        <w:t xml:space="preserve">pproximately a 5 to </w:t>
      </w:r>
      <w:r w:rsidR="00CF663C">
        <w:t>9</w:t>
      </w:r>
      <w:r w:rsidRPr="00AA1344">
        <w:t xml:space="preserve"> letter improvement in </w:t>
      </w:r>
      <w:r w:rsidRPr="00763859">
        <w:t xml:space="preserve">mean average change in </w:t>
      </w:r>
      <w:r w:rsidR="004270FB" w:rsidRPr="00763859">
        <w:t>best corrected v</w:t>
      </w:r>
      <w:r w:rsidR="00FB1F6A" w:rsidRPr="00763859">
        <w:t xml:space="preserve">isual acuity </w:t>
      </w:r>
      <w:r w:rsidRPr="00763859">
        <w:t xml:space="preserve">of the study eye from baseline to Month 1 through Month 3. </w:t>
      </w:r>
      <w:r w:rsidRPr="00763859">
        <w:rPr>
          <w:rFonts w:cs="Calibri"/>
          <w:snapToGrid/>
          <w:szCs w:val="24"/>
          <w:lang w:val="en-US" w:eastAsia="en-AU"/>
        </w:rPr>
        <w:t xml:space="preserve">The PBAC previously considered </w:t>
      </w:r>
      <w:r w:rsidRPr="00763859">
        <w:t xml:space="preserve">that the overall clinical meaningfulness of an improvement of 5 or more letters in the treated eye will depend on the baseline </w:t>
      </w:r>
      <w:r w:rsidR="00FB1F6A" w:rsidRPr="00763859">
        <w:t xml:space="preserve">visual acuity </w:t>
      </w:r>
      <w:r w:rsidRPr="00763859">
        <w:t xml:space="preserve">of the patient in both eyes and on the subsequent overall </w:t>
      </w:r>
      <w:r w:rsidR="00FB1F6A" w:rsidRPr="00763859">
        <w:t xml:space="preserve">visual acuity </w:t>
      </w:r>
      <w:r w:rsidRPr="00763859">
        <w:t xml:space="preserve">during and after treatment. Those with well-preserved vision at baseline may experience a less clinically meaningful outcome </w:t>
      </w:r>
      <w:r w:rsidRPr="00763859">
        <w:lastRenderedPageBreak/>
        <w:t>than those patients with poorer vision at baseline (Ranibizumab-DME PSD, November 2013 PBAC Meeting).</w:t>
      </w:r>
      <w:r w:rsidR="00CF663C" w:rsidRPr="00763859">
        <w:t xml:space="preserve"> The mean BCVA at baseline was 55 letters </w:t>
      </w:r>
      <w:r w:rsidR="00A019A0" w:rsidRPr="00763859">
        <w:t xml:space="preserve">in the RADIANCE trial and </w:t>
      </w:r>
      <w:r w:rsidR="00042B67">
        <w:rPr>
          <w:noProof/>
          <w:color w:val="000000"/>
          <w:highlight w:val="black"/>
        </w:rPr>
        <w:t>''''' ''''''''''''</w:t>
      </w:r>
      <w:r w:rsidR="00A019A0" w:rsidRPr="00763859">
        <w:t xml:space="preserve"> in the BRILLIANCE trial, with</w:t>
      </w:r>
      <w:r w:rsidR="00CF663C" w:rsidRPr="00763859">
        <w:t xml:space="preserve"> </w:t>
      </w:r>
      <w:r w:rsidR="00A20678" w:rsidRPr="00763859">
        <w:t xml:space="preserve">having greater than </w:t>
      </w:r>
      <w:r w:rsidR="00CF663C" w:rsidRPr="00763859">
        <w:t xml:space="preserve">70 letters </w:t>
      </w:r>
      <w:r w:rsidR="00A32445" w:rsidRPr="00763859">
        <w:t xml:space="preserve">across </w:t>
      </w:r>
      <w:r w:rsidR="00A20678" w:rsidRPr="00763859">
        <w:t xml:space="preserve">both eyes </w:t>
      </w:r>
      <w:r w:rsidR="00A019A0" w:rsidRPr="00763859">
        <w:t>being</w:t>
      </w:r>
      <w:r w:rsidR="00CF663C" w:rsidRPr="00763859">
        <w:t xml:space="preserve"> the legal </w:t>
      </w:r>
      <w:r w:rsidR="00A20678" w:rsidRPr="00763859">
        <w:t xml:space="preserve">requirement </w:t>
      </w:r>
      <w:r w:rsidR="00590BF0" w:rsidRPr="00763859">
        <w:t>to hold a driver’s licence</w:t>
      </w:r>
      <w:r w:rsidR="00CF663C" w:rsidRPr="00763859">
        <w:t>.</w:t>
      </w:r>
    </w:p>
    <w:p w:rsidR="00430608" w:rsidRPr="00124360" w:rsidRDefault="00430608" w:rsidP="00AC1DDD">
      <w:pPr>
        <w:pStyle w:val="Heading2"/>
      </w:pPr>
      <w:bookmarkStart w:id="21" w:name="_Toc500424306"/>
      <w:bookmarkStart w:id="22" w:name="_Toc503188228"/>
      <w:r w:rsidRPr="00124360">
        <w:t>Clinical claim</w:t>
      </w:r>
      <w:bookmarkEnd w:id="21"/>
      <w:bookmarkEnd w:id="22"/>
    </w:p>
    <w:p w:rsidR="00430608" w:rsidRPr="000C0DFF" w:rsidRDefault="00430608" w:rsidP="00E567E7">
      <w:pPr>
        <w:pStyle w:val="ListParagraph"/>
        <w:widowControl/>
        <w:numPr>
          <w:ilvl w:val="1"/>
          <w:numId w:val="1"/>
        </w:numPr>
        <w:spacing w:before="160"/>
        <w:ind w:left="709"/>
      </w:pPr>
      <w:r w:rsidRPr="000C0DFF">
        <w:t xml:space="preserve">The submission described ranibizumab as superior in terms of effectiveness and non-inferior in terms of safety </w:t>
      </w:r>
      <w:r w:rsidR="00570FF3" w:rsidRPr="000C0DFF">
        <w:t>compared to vPDT.</w:t>
      </w:r>
    </w:p>
    <w:p w:rsidR="00430608" w:rsidRPr="000C0DFF" w:rsidRDefault="00430608" w:rsidP="006234B2">
      <w:pPr>
        <w:pStyle w:val="ListParagraph"/>
        <w:widowControl/>
        <w:numPr>
          <w:ilvl w:val="1"/>
          <w:numId w:val="1"/>
        </w:numPr>
      </w:pPr>
      <w:r w:rsidRPr="000C0DFF">
        <w:t>The evidence presented in the submission supported the conclusion that ranibizumab is statistically superior to vPDT in terms of the mean average improvement in BCVA of the study eye from baseline to Month 1 through Month 3.</w:t>
      </w:r>
      <w:r w:rsidR="00A608E8">
        <w:t xml:space="preserve"> The PBAC considered that the claim of superior efficacy </w:t>
      </w:r>
      <w:r w:rsidR="00114908">
        <w:t>over</w:t>
      </w:r>
      <w:r w:rsidR="00124360">
        <w:t xml:space="preserve"> vPDT was reasonable.</w:t>
      </w:r>
    </w:p>
    <w:p w:rsidR="00E72EBE" w:rsidRPr="000C0DFF" w:rsidRDefault="00430608" w:rsidP="00E567E7">
      <w:pPr>
        <w:pStyle w:val="ListParagraph"/>
        <w:widowControl/>
        <w:numPr>
          <w:ilvl w:val="1"/>
          <w:numId w:val="1"/>
        </w:numPr>
        <w:ind w:left="709"/>
      </w:pPr>
      <w:r w:rsidRPr="000C0DFF">
        <w:t>There were no randomised comparative effectiveness data beyond 3 months, and the submission did not present any data on the long-term effectiveness of ranibizumab beyond the 12</w:t>
      </w:r>
      <w:r w:rsidR="009F3BA4" w:rsidRPr="000C0DFF">
        <w:t>-</w:t>
      </w:r>
      <w:r w:rsidRPr="000C0DFF">
        <w:t>month duration of the trials.</w:t>
      </w:r>
      <w:r w:rsidR="00E72EBE" w:rsidRPr="000C0DFF">
        <w:t xml:space="preserve"> The Pre-Sub-Committee response (PSCR) highlighted the observational study by Tan </w:t>
      </w:r>
      <w:r w:rsidR="00917226" w:rsidRPr="00A83BF2">
        <w:t>et al</w:t>
      </w:r>
      <w:r w:rsidR="00917226" w:rsidRPr="000C0DFF">
        <w:t xml:space="preserve"> </w:t>
      </w:r>
      <w:r w:rsidR="00E72EBE" w:rsidRPr="000C0DFF">
        <w:t>2017,</w:t>
      </w:r>
      <w:r w:rsidR="00E72EBE" w:rsidRPr="000C0DFF">
        <w:rPr>
          <w:vertAlign w:val="superscript"/>
        </w:rPr>
        <w:footnoteReference w:id="4"/>
      </w:r>
      <w:r w:rsidR="00E72EBE" w:rsidRPr="000C0DFF">
        <w:t xml:space="preserve"> which </w:t>
      </w:r>
      <w:r w:rsidR="00A32445" w:rsidRPr="000C0DFF">
        <w:t xml:space="preserve">reported ranibizumab outcomes in </w:t>
      </w:r>
      <w:r w:rsidR="00E72EBE" w:rsidRPr="000C0DFF">
        <w:t xml:space="preserve">the east-Asian cohort of the RADIANCE trial to 48 months (n=16), </w:t>
      </w:r>
      <w:r w:rsidR="00E72EBE" w:rsidRPr="000C0DFF">
        <w:rPr>
          <w:lang w:val="en-US"/>
        </w:rPr>
        <w:t>supported the long-term safety and efficacy of ranibizumab.</w:t>
      </w:r>
      <w:r w:rsidR="006234B2">
        <w:rPr>
          <w:lang w:val="en-US"/>
        </w:rPr>
        <w:t xml:space="preserve"> </w:t>
      </w:r>
      <w:r w:rsidR="00FD1A4B">
        <w:rPr>
          <w:lang w:val="en-US"/>
        </w:rPr>
        <w:t>The PBAC considered that data from Tan et al 2017 provided some support of the long-term safe</w:t>
      </w:r>
      <w:r w:rsidR="00124360">
        <w:rPr>
          <w:lang w:val="en-US"/>
        </w:rPr>
        <w:t>ty and efficacy of ranibizumab.</w:t>
      </w:r>
    </w:p>
    <w:p w:rsidR="0059586A" w:rsidRPr="000C0DFF" w:rsidRDefault="002C4792" w:rsidP="00E567E7">
      <w:pPr>
        <w:pStyle w:val="ListParagraph"/>
        <w:widowControl/>
        <w:numPr>
          <w:ilvl w:val="1"/>
          <w:numId w:val="1"/>
        </w:numPr>
      </w:pPr>
      <w:r w:rsidRPr="000C0DFF">
        <w:t xml:space="preserve">The safety profile of ranibizumab </w:t>
      </w:r>
      <w:r w:rsidR="006A550E" w:rsidRPr="000C0DFF">
        <w:t xml:space="preserve">in patients with CNV due to PM </w:t>
      </w:r>
      <w:r w:rsidRPr="000C0DFF">
        <w:t xml:space="preserve">was consistent with that </w:t>
      </w:r>
      <w:r w:rsidR="006A550E" w:rsidRPr="000C0DFF">
        <w:t xml:space="preserve">observed </w:t>
      </w:r>
      <w:r w:rsidRPr="000C0DFF">
        <w:t xml:space="preserve">in other indications. </w:t>
      </w:r>
      <w:r w:rsidR="00431FD4" w:rsidRPr="000C0DFF">
        <w:t xml:space="preserve">As </w:t>
      </w:r>
      <w:r w:rsidR="002400F8" w:rsidRPr="000C0DFF">
        <w:t>randomised comparative safety data were only available over the first 3 months of the study,</w:t>
      </w:r>
      <w:r w:rsidR="00431FD4" w:rsidRPr="000C0DFF">
        <w:t xml:space="preserve"> </w:t>
      </w:r>
      <w:r w:rsidR="0059586A" w:rsidRPr="000C0DFF">
        <w:t xml:space="preserve">the </w:t>
      </w:r>
      <w:r w:rsidR="00D61087" w:rsidRPr="000C0DFF">
        <w:t xml:space="preserve">comparative </w:t>
      </w:r>
      <w:r w:rsidR="0059586A" w:rsidRPr="000C0DFF">
        <w:t xml:space="preserve">safety of ranibizumab </w:t>
      </w:r>
      <w:r w:rsidR="00D61087" w:rsidRPr="000C0DFF">
        <w:t>versus</w:t>
      </w:r>
      <w:r w:rsidR="0059586A" w:rsidRPr="000C0DFF">
        <w:t xml:space="preserve"> vPDT for the treatment of CNV due to PM</w:t>
      </w:r>
      <w:r w:rsidR="002400F8" w:rsidRPr="000C0DFF">
        <w:t xml:space="preserve"> </w:t>
      </w:r>
      <w:r w:rsidR="003131EC" w:rsidRPr="000C0DFF">
        <w:t xml:space="preserve">beyond 3 months </w:t>
      </w:r>
      <w:r w:rsidR="002400F8" w:rsidRPr="000C0DFF">
        <w:t>could not be reliably determined</w:t>
      </w:r>
      <w:r w:rsidR="0059586A" w:rsidRPr="000C0DFF">
        <w:t>.</w:t>
      </w:r>
      <w:r w:rsidR="00B53216" w:rsidRPr="000C0DFF">
        <w:t xml:space="preserve"> The ESC noted </w:t>
      </w:r>
      <w:r w:rsidR="00A32445" w:rsidRPr="000C0DFF">
        <w:t xml:space="preserve">that </w:t>
      </w:r>
      <w:r w:rsidR="00B53216" w:rsidRPr="000C0DFF">
        <w:t xml:space="preserve">there </w:t>
      </w:r>
      <w:r w:rsidR="00A32445" w:rsidRPr="000C0DFF">
        <w:t>we</w:t>
      </w:r>
      <w:r w:rsidR="00B53216" w:rsidRPr="000C0DFF">
        <w:t>re no new safety signals with use of ranibizumab in CNV due to PM</w:t>
      </w:r>
      <w:r w:rsidR="00CF663C" w:rsidRPr="000C0DFF">
        <w:t>.</w:t>
      </w:r>
      <w:r w:rsidR="00521965" w:rsidRPr="00124360">
        <w:t xml:space="preserve"> </w:t>
      </w:r>
      <w:r w:rsidR="00124360">
        <w:t xml:space="preserve">Although </w:t>
      </w:r>
      <w:r w:rsidR="005F236B">
        <w:t>insufficient data were available to adequately evaluate the safety of ranibizumab compared with vPDT</w:t>
      </w:r>
      <w:r w:rsidR="00124360">
        <w:t>,</w:t>
      </w:r>
      <w:r w:rsidR="005F236B">
        <w:t xml:space="preserve"> </w:t>
      </w:r>
      <w:r w:rsidR="00124360">
        <w:t>t</w:t>
      </w:r>
      <w:r w:rsidR="00124360" w:rsidRPr="008F3AC3">
        <w:t xml:space="preserve">he </w:t>
      </w:r>
      <w:r w:rsidR="00124360">
        <w:t>PBAC considered that,</w:t>
      </w:r>
      <w:r w:rsidR="005B0EA7">
        <w:t xml:space="preserve"> based on the available data and supporting data from Tan </w:t>
      </w:r>
      <w:r w:rsidR="005B0EA7" w:rsidRPr="00A83BF2">
        <w:t xml:space="preserve">et al 2017, it </w:t>
      </w:r>
      <w:r w:rsidR="00124360" w:rsidRPr="00A83BF2">
        <w:t xml:space="preserve">was </w:t>
      </w:r>
      <w:r w:rsidR="005B0EA7" w:rsidRPr="00A83BF2">
        <w:t xml:space="preserve">reasonable to </w:t>
      </w:r>
      <w:r w:rsidR="00124360" w:rsidRPr="00A83BF2">
        <w:t>accept</w:t>
      </w:r>
      <w:r w:rsidR="005B0EA7" w:rsidRPr="00A83BF2">
        <w:t xml:space="preserve"> that the safety profile of ranibizumab </w:t>
      </w:r>
      <w:r w:rsidR="00124360" w:rsidRPr="00A83BF2">
        <w:t xml:space="preserve">in this indication </w:t>
      </w:r>
      <w:r w:rsidR="005B0EA7" w:rsidRPr="00A83BF2">
        <w:t>is consistent with its safety prof</w:t>
      </w:r>
      <w:r w:rsidR="005B0EA7">
        <w:t xml:space="preserve">ile for </w:t>
      </w:r>
      <w:r w:rsidR="00124360">
        <w:t>its other indications.</w:t>
      </w:r>
    </w:p>
    <w:p w:rsidR="00DE4233" w:rsidRPr="000C0DFF" w:rsidRDefault="009F3BA4" w:rsidP="000C0DFF">
      <w:pPr>
        <w:pStyle w:val="ListParagraph"/>
        <w:widowControl/>
        <w:numPr>
          <w:ilvl w:val="1"/>
          <w:numId w:val="1"/>
        </w:numPr>
        <w:spacing w:before="160"/>
      </w:pPr>
      <w:r w:rsidRPr="000C0DFF">
        <w:t xml:space="preserve">This clinical claim </w:t>
      </w:r>
      <w:r w:rsidR="000465B6" w:rsidRPr="000C0DFF">
        <w:t xml:space="preserve">against vPDT </w:t>
      </w:r>
      <w:r w:rsidRPr="000C0DFF">
        <w:t xml:space="preserve">is not </w:t>
      </w:r>
      <w:r w:rsidR="000465B6" w:rsidRPr="000C0DFF">
        <w:t xml:space="preserve">directly </w:t>
      </w:r>
      <w:r w:rsidRPr="000C0DFF">
        <w:t xml:space="preserve">informative to the </w:t>
      </w:r>
      <w:r w:rsidR="009C3934" w:rsidRPr="000C0DFF">
        <w:t xml:space="preserve">assessment of cost-effectiveness </w:t>
      </w:r>
      <w:r w:rsidRPr="000C0DFF">
        <w:t>if vPDT is not the appropriate comparator for ranibizumab in this population.</w:t>
      </w:r>
      <w:r w:rsidR="005B0EA7">
        <w:t xml:space="preserve"> The PBAC considered that the claim of superior efficacy </w:t>
      </w:r>
      <w:r w:rsidR="00124360">
        <w:t>over</w:t>
      </w:r>
      <w:r w:rsidR="005B0EA7">
        <w:t xml:space="preserve"> vPDT could be reasonably extended </w:t>
      </w:r>
      <w:r w:rsidR="00A30AD6">
        <w:t xml:space="preserve">to include </w:t>
      </w:r>
      <w:r w:rsidR="0077080E">
        <w:t xml:space="preserve">superior efficacy </w:t>
      </w:r>
      <w:r w:rsidR="00124360">
        <w:t>over</w:t>
      </w:r>
      <w:r w:rsidR="0077080E">
        <w:t xml:space="preserve"> sham injection</w:t>
      </w:r>
      <w:r w:rsidR="00124360">
        <w:t xml:space="preserve"> (no treatment).</w:t>
      </w:r>
    </w:p>
    <w:p w:rsidR="004B4385" w:rsidRPr="00124360" w:rsidRDefault="004B4385" w:rsidP="00AC1DDD">
      <w:pPr>
        <w:pStyle w:val="Heading2"/>
        <w:keepNext/>
      </w:pPr>
      <w:bookmarkStart w:id="23" w:name="_Toc500757994"/>
      <w:bookmarkStart w:id="24" w:name="_Toc503188229"/>
      <w:bookmarkStart w:id="25" w:name="_Toc500424309"/>
      <w:r w:rsidRPr="00124360">
        <w:lastRenderedPageBreak/>
        <w:t>Economic analysis</w:t>
      </w:r>
      <w:bookmarkEnd w:id="23"/>
      <w:bookmarkEnd w:id="24"/>
    </w:p>
    <w:p w:rsidR="00FB1B56" w:rsidRPr="00D811C4" w:rsidRDefault="004B4385" w:rsidP="00E567E7">
      <w:pPr>
        <w:pStyle w:val="ListParagraph"/>
        <w:widowControl/>
        <w:numPr>
          <w:ilvl w:val="1"/>
          <w:numId w:val="1"/>
        </w:numPr>
        <w:spacing w:before="160"/>
        <w:rPr>
          <w:rStyle w:val="CommentReference"/>
          <w:rFonts w:ascii="Calibri" w:hAnsi="Calibri"/>
          <w:b w:val="0"/>
          <w:sz w:val="24"/>
          <w:szCs w:val="22"/>
        </w:rPr>
      </w:pPr>
      <w:r w:rsidRPr="009D7394">
        <w:t>The submission presented a stepped economic evaluation based on a direct randomised trial (RADIANCE) and implementing a modelled evaluation. The type of economic</w:t>
      </w:r>
      <w:r>
        <w:t xml:space="preserve"> evaluation presented was a cost-utility analysis. The model structure and rationale are summarised below.</w:t>
      </w:r>
    </w:p>
    <w:p w:rsidR="004B4385" w:rsidRDefault="004B4385" w:rsidP="004B4385">
      <w:pPr>
        <w:rPr>
          <w:rStyle w:val="CommentReference"/>
        </w:rPr>
      </w:pPr>
      <w:r w:rsidRPr="00A56B6A">
        <w:rPr>
          <w:rStyle w:val="CommentReference"/>
        </w:rPr>
        <w:t xml:space="preserve">Table </w:t>
      </w:r>
      <w:r>
        <w:rPr>
          <w:rStyle w:val="CommentReference"/>
        </w:rPr>
        <w:t>9</w:t>
      </w:r>
      <w:r w:rsidRPr="00A56B6A">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6"/>
        <w:gridCol w:w="6547"/>
      </w:tblGrid>
      <w:tr w:rsidR="004B4385" w:rsidRPr="003D1DE4" w:rsidTr="00955865">
        <w:trPr>
          <w:tblHeader/>
        </w:trPr>
        <w:tc>
          <w:tcPr>
            <w:tcW w:w="1396" w:type="pct"/>
            <w:shd w:val="clear" w:color="auto" w:fill="auto"/>
            <w:vAlign w:val="center"/>
          </w:tcPr>
          <w:p w:rsidR="004B4385" w:rsidRPr="003D1DE4" w:rsidRDefault="004B4385" w:rsidP="00955865">
            <w:pPr>
              <w:pStyle w:val="Tabletext"/>
              <w:rPr>
                <w:b/>
              </w:rPr>
            </w:pPr>
            <w:r w:rsidRPr="003D1DE4">
              <w:rPr>
                <w:b/>
              </w:rPr>
              <w:t>Component</w:t>
            </w:r>
          </w:p>
        </w:tc>
        <w:tc>
          <w:tcPr>
            <w:tcW w:w="3604" w:type="pct"/>
            <w:shd w:val="clear" w:color="auto" w:fill="auto"/>
            <w:vAlign w:val="center"/>
          </w:tcPr>
          <w:p w:rsidR="004B4385" w:rsidRPr="003D1DE4" w:rsidRDefault="004B4385" w:rsidP="00955865">
            <w:pPr>
              <w:pStyle w:val="Tabletext"/>
              <w:jc w:val="center"/>
              <w:rPr>
                <w:b/>
              </w:rPr>
            </w:pPr>
            <w:r w:rsidRPr="003D1DE4">
              <w:rPr>
                <w:b/>
              </w:rPr>
              <w:t>Summary</w:t>
            </w:r>
          </w:p>
        </w:tc>
      </w:tr>
      <w:tr w:rsidR="004B4385" w:rsidRPr="00E2771E" w:rsidTr="00955865">
        <w:tc>
          <w:tcPr>
            <w:tcW w:w="1396" w:type="pct"/>
            <w:shd w:val="clear" w:color="auto" w:fill="auto"/>
            <w:vAlign w:val="center"/>
          </w:tcPr>
          <w:p w:rsidR="004B4385" w:rsidRPr="00E2771E" w:rsidRDefault="004B4385" w:rsidP="00955865">
            <w:pPr>
              <w:pStyle w:val="Tabletext"/>
            </w:pPr>
            <w:r w:rsidRPr="00E2771E">
              <w:t>Time horizon</w:t>
            </w:r>
          </w:p>
        </w:tc>
        <w:tc>
          <w:tcPr>
            <w:tcW w:w="3604" w:type="pct"/>
            <w:shd w:val="clear" w:color="auto" w:fill="auto"/>
            <w:vAlign w:val="center"/>
          </w:tcPr>
          <w:p w:rsidR="004B4385" w:rsidRPr="00E2771E" w:rsidRDefault="004B4385" w:rsidP="00955865">
            <w:pPr>
              <w:pStyle w:val="Tabletext"/>
            </w:pPr>
            <w:r w:rsidRPr="00032695">
              <w:t xml:space="preserve">A 10 year time horizon </w:t>
            </w:r>
            <w:r>
              <w:t>was</w:t>
            </w:r>
            <w:r w:rsidRPr="00E2771E">
              <w:t xml:space="preserve"> </w:t>
            </w:r>
            <w:r>
              <w:t xml:space="preserve">presented in the base case. </w:t>
            </w:r>
            <w:r w:rsidRPr="00BC08C4">
              <w:t xml:space="preserve">This is compared with 12 months in the trial, with comparative efficacy data being available for only 3 months. </w:t>
            </w:r>
            <w:r w:rsidRPr="00032695">
              <w:t>A 5 year time horizon and a lifetime horizon are tested in sensitivity analyse</w:t>
            </w:r>
            <w:r>
              <w:t>s.</w:t>
            </w:r>
          </w:p>
        </w:tc>
      </w:tr>
      <w:tr w:rsidR="004B4385" w:rsidRPr="00E2771E" w:rsidTr="00955865">
        <w:tc>
          <w:tcPr>
            <w:tcW w:w="1396" w:type="pct"/>
            <w:shd w:val="clear" w:color="auto" w:fill="auto"/>
            <w:vAlign w:val="center"/>
          </w:tcPr>
          <w:p w:rsidR="004B4385" w:rsidRPr="00E2771E" w:rsidRDefault="004B4385" w:rsidP="00955865">
            <w:pPr>
              <w:pStyle w:val="Tabletext"/>
            </w:pPr>
            <w:r w:rsidRPr="00E2771E">
              <w:t>Outcomes</w:t>
            </w:r>
          </w:p>
        </w:tc>
        <w:tc>
          <w:tcPr>
            <w:tcW w:w="3604" w:type="pct"/>
            <w:shd w:val="clear" w:color="auto" w:fill="auto"/>
            <w:vAlign w:val="center"/>
          </w:tcPr>
          <w:p w:rsidR="004B4385" w:rsidRPr="00E2771E" w:rsidRDefault="004B4385" w:rsidP="00955865">
            <w:pPr>
              <w:pStyle w:val="Tabletext"/>
            </w:pPr>
            <w:r w:rsidRPr="00E2771E">
              <w:t>LYG and QALYs</w:t>
            </w:r>
          </w:p>
        </w:tc>
      </w:tr>
      <w:tr w:rsidR="004B4385" w:rsidRPr="00E2771E" w:rsidTr="00955865">
        <w:tc>
          <w:tcPr>
            <w:tcW w:w="1396" w:type="pct"/>
            <w:shd w:val="clear" w:color="auto" w:fill="auto"/>
            <w:vAlign w:val="center"/>
          </w:tcPr>
          <w:p w:rsidR="004B4385" w:rsidRPr="00E2771E" w:rsidRDefault="004B4385" w:rsidP="00955865">
            <w:pPr>
              <w:pStyle w:val="Tabletext"/>
            </w:pPr>
            <w:r w:rsidRPr="00E2771E">
              <w:t>Methods used to generate results</w:t>
            </w:r>
          </w:p>
        </w:tc>
        <w:tc>
          <w:tcPr>
            <w:tcW w:w="3604" w:type="pct"/>
            <w:shd w:val="clear" w:color="auto" w:fill="auto"/>
            <w:vAlign w:val="center"/>
          </w:tcPr>
          <w:p w:rsidR="004B4385" w:rsidRPr="00E2771E" w:rsidRDefault="004B4385" w:rsidP="00955865">
            <w:pPr>
              <w:pStyle w:val="Tabletext"/>
            </w:pPr>
            <w:r>
              <w:t>C</w:t>
            </w:r>
            <w:r w:rsidRPr="00E2771E">
              <w:t>ohort expected value analysis</w:t>
            </w:r>
          </w:p>
        </w:tc>
      </w:tr>
      <w:tr w:rsidR="004B4385" w:rsidRPr="00E2771E" w:rsidTr="00955865">
        <w:tc>
          <w:tcPr>
            <w:tcW w:w="1396" w:type="pct"/>
            <w:shd w:val="clear" w:color="auto" w:fill="auto"/>
            <w:vAlign w:val="center"/>
          </w:tcPr>
          <w:p w:rsidR="004B4385" w:rsidRPr="00E2771E" w:rsidRDefault="004B4385" w:rsidP="00955865">
            <w:pPr>
              <w:pStyle w:val="Tabletext"/>
            </w:pPr>
            <w:r w:rsidRPr="00E2771E">
              <w:t>Health states</w:t>
            </w:r>
          </w:p>
        </w:tc>
        <w:tc>
          <w:tcPr>
            <w:tcW w:w="3604" w:type="pct"/>
            <w:shd w:val="clear" w:color="auto" w:fill="auto"/>
            <w:vAlign w:val="center"/>
          </w:tcPr>
          <w:p w:rsidR="004B4385" w:rsidRPr="00042B67" w:rsidRDefault="00042B67" w:rsidP="00955865">
            <w:pPr>
              <w:pStyle w:val="Tabletext"/>
              <w:rPr>
                <w:highlight w:val="black"/>
              </w:rPr>
            </w:pPr>
            <w:r>
              <w:rPr>
                <w:noProof/>
                <w:color w:val="000000"/>
                <w:highlight w:val="black"/>
              </w:rPr>
              <w:t>'''''''''' '''''''''''''''' ''''''''''''''' ''''''' '''''''''''''''''''' '''' ''''''' ''''''''''''' ''''''''''''''''''''''''''''''''''' ''''' '''''''''''''''''' '''''''''''''''''''''''' ''''''''''''''' ''''''''''''' ''' ''''''''''''' '''' ''''''''''''''''' '''''''''''''''' ''''''''''''''' '''''''''''''''' ''' ''''''''''''' ''' ''''''''''''''' '''''''''''''''''' ''''''''''''''' ''''''''''''''' '''' ''''''''''''' '''' ''''''''''''''' '''''''''''''''' '''''''''''''' ''''''''''''''' '''' '''''''''''' '''' ''''''''''' ''''''''''''''' ''''''''' '''''''''''''</w:t>
            </w:r>
          </w:p>
        </w:tc>
      </w:tr>
      <w:tr w:rsidR="004B4385" w:rsidRPr="00E2771E" w:rsidTr="00955865">
        <w:tc>
          <w:tcPr>
            <w:tcW w:w="1396" w:type="pct"/>
            <w:shd w:val="clear" w:color="auto" w:fill="auto"/>
            <w:vAlign w:val="center"/>
          </w:tcPr>
          <w:p w:rsidR="004B4385" w:rsidRPr="00E2771E" w:rsidRDefault="004B4385" w:rsidP="00955865">
            <w:pPr>
              <w:pStyle w:val="Tabletext"/>
            </w:pPr>
            <w:r w:rsidRPr="00E2771E">
              <w:t>Cycle length</w:t>
            </w:r>
          </w:p>
        </w:tc>
        <w:tc>
          <w:tcPr>
            <w:tcW w:w="3604" w:type="pct"/>
            <w:shd w:val="clear" w:color="auto" w:fill="auto"/>
            <w:vAlign w:val="center"/>
          </w:tcPr>
          <w:p w:rsidR="004B4385" w:rsidRPr="00E2771E" w:rsidRDefault="004B4385" w:rsidP="00955865">
            <w:pPr>
              <w:pStyle w:val="Tabletext"/>
            </w:pPr>
            <w:r>
              <w:t>1 month</w:t>
            </w:r>
          </w:p>
        </w:tc>
      </w:tr>
      <w:tr w:rsidR="004B4385" w:rsidRPr="00E2771E" w:rsidTr="00955865">
        <w:tc>
          <w:tcPr>
            <w:tcW w:w="1396" w:type="pct"/>
            <w:shd w:val="clear" w:color="auto" w:fill="auto"/>
            <w:vAlign w:val="center"/>
          </w:tcPr>
          <w:p w:rsidR="004B4385" w:rsidRPr="00E2771E" w:rsidRDefault="004B4385" w:rsidP="00955865">
            <w:pPr>
              <w:pStyle w:val="Tabletext"/>
            </w:pPr>
            <w:r w:rsidRPr="00E2771E">
              <w:t>Transition probabilities</w:t>
            </w:r>
          </w:p>
        </w:tc>
        <w:tc>
          <w:tcPr>
            <w:tcW w:w="3604" w:type="pct"/>
            <w:shd w:val="clear" w:color="auto" w:fill="auto"/>
            <w:vAlign w:val="center"/>
          </w:tcPr>
          <w:p w:rsidR="004B4385" w:rsidRPr="00E2771E" w:rsidRDefault="004B4385" w:rsidP="00955865">
            <w:pPr>
              <w:pStyle w:val="Tabletext"/>
            </w:pPr>
            <w:r w:rsidRPr="00032695">
              <w:t xml:space="preserve">Transition probabilities for the first year were sourced from the key trial (RADIANCE); transition probabilities for the subsequent years were </w:t>
            </w:r>
            <w:r>
              <w:t xml:space="preserve">assumed to be constant over the entire model time horizon. The long term transition probabilities were </w:t>
            </w:r>
            <w:r w:rsidRPr="00032695">
              <w:t xml:space="preserve">extrapolated </w:t>
            </w:r>
            <w:r>
              <w:t>based on within</w:t>
            </w:r>
            <w:r w:rsidRPr="00032695">
              <w:t xml:space="preserve"> trial data, assuming </w:t>
            </w:r>
            <w:r>
              <w:t xml:space="preserve">the rate of worsening being the average of worsening rate in Month 3-12 of the trial; and the rate of improving being 50% of the average of improvement rate in Month 3-12 of the trial. </w:t>
            </w:r>
          </w:p>
        </w:tc>
      </w:tr>
    </w:tbl>
    <w:p w:rsidR="004B4385" w:rsidRDefault="004B4385" w:rsidP="004B4385">
      <w:pPr>
        <w:pStyle w:val="TableFooter"/>
      </w:pPr>
      <w:r>
        <w:t>LYG = life years gained; QALY = quality-adjusted life years; ETDRS = Early Treatment D</w:t>
      </w:r>
      <w:r w:rsidRPr="00741020">
        <w:t>iabetic Retinopathy Study</w:t>
      </w:r>
      <w:r>
        <w:t>; VA = visual acuity.</w:t>
      </w:r>
    </w:p>
    <w:p w:rsidR="004B4385" w:rsidRPr="0072416F" w:rsidRDefault="004B4385" w:rsidP="004B4385">
      <w:pPr>
        <w:pStyle w:val="TableFooter"/>
      </w:pPr>
      <w:r>
        <w:t xml:space="preserve">Source: </w:t>
      </w:r>
      <w:r w:rsidRPr="00032695">
        <w:t>Table 3.1-1, p81 of the Submission</w:t>
      </w:r>
      <w:r>
        <w:t>.</w:t>
      </w:r>
    </w:p>
    <w:p w:rsidR="004B4385" w:rsidRPr="000C0DFF" w:rsidRDefault="004B4385" w:rsidP="00E567E7">
      <w:pPr>
        <w:pStyle w:val="ListParagraph"/>
        <w:widowControl/>
        <w:numPr>
          <w:ilvl w:val="1"/>
          <w:numId w:val="1"/>
        </w:numPr>
        <w:spacing w:before="160" w:after="0"/>
      </w:pPr>
      <w:r w:rsidRPr="000C0DFF">
        <w:t xml:space="preserve">This economic evaluation </w:t>
      </w:r>
      <w:r w:rsidR="007F1C59">
        <w:t>wa</w:t>
      </w:r>
      <w:r w:rsidRPr="000C0DFF">
        <w:t xml:space="preserve">s </w:t>
      </w:r>
      <w:r w:rsidR="007F1C59">
        <w:t>not</w:t>
      </w:r>
      <w:r w:rsidRPr="000C0DFF">
        <w:t xml:space="preserve"> informative to the PBAC given that:</w:t>
      </w:r>
    </w:p>
    <w:p w:rsidR="004B4385" w:rsidRPr="000C0DFF" w:rsidRDefault="004B4385" w:rsidP="00E567E7">
      <w:pPr>
        <w:pStyle w:val="ListParagraph"/>
        <w:widowControl/>
        <w:numPr>
          <w:ilvl w:val="0"/>
          <w:numId w:val="6"/>
        </w:numPr>
        <w:spacing w:after="0"/>
        <w:ind w:left="1434" w:hanging="357"/>
      </w:pPr>
      <w:r w:rsidRPr="000C0DFF">
        <w:t xml:space="preserve">vPDT </w:t>
      </w:r>
      <w:r w:rsidR="00BC08C4" w:rsidRPr="000C0DFF">
        <w:t xml:space="preserve">is </w:t>
      </w:r>
      <w:r w:rsidRPr="000C0DFF">
        <w:t xml:space="preserve">not the appropriate comparator for ranibizumab in this </w:t>
      </w:r>
      <w:r w:rsidR="009F3BA4" w:rsidRPr="000C0DFF">
        <w:t>population</w:t>
      </w:r>
      <w:r w:rsidRPr="000C0DFF">
        <w:t>;</w:t>
      </w:r>
      <w:r w:rsidR="007E57F1" w:rsidRPr="000C0DFF">
        <w:t xml:space="preserve"> and</w:t>
      </w:r>
    </w:p>
    <w:p w:rsidR="004B4385" w:rsidRPr="000C0DFF" w:rsidRDefault="009F3BA4" w:rsidP="00E567E7">
      <w:pPr>
        <w:pStyle w:val="ListParagraph"/>
        <w:widowControl/>
        <w:numPr>
          <w:ilvl w:val="0"/>
          <w:numId w:val="6"/>
        </w:numPr>
      </w:pPr>
      <w:r w:rsidRPr="000C0DFF">
        <w:t xml:space="preserve">the </w:t>
      </w:r>
      <w:r w:rsidR="004B4385" w:rsidRPr="000C0DFF">
        <w:t>PBAC ha</w:t>
      </w:r>
      <w:r w:rsidRPr="000C0DFF">
        <w:t>s</w:t>
      </w:r>
      <w:r w:rsidR="004B4385" w:rsidRPr="000C0DFF">
        <w:t xml:space="preserve"> previously considered that vPDT was not cost-effective for this </w:t>
      </w:r>
      <w:r w:rsidRPr="000C0DFF">
        <w:t>population</w:t>
      </w:r>
      <w:r w:rsidR="004B4385" w:rsidRPr="000C0DFF">
        <w:t xml:space="preserve">, with an incremental cost effectiveness ratio (ICER) of </w:t>
      </w:r>
      <w:r w:rsidRPr="000C0DFF">
        <w:t>more than</w:t>
      </w:r>
      <w:r w:rsidR="004B4385" w:rsidRPr="000C0DFF">
        <w:t xml:space="preserve"> $200,000/QALY compared with placebo (Section 12, Verteporfin PSD, November 2015 PBAC Meeting)</w:t>
      </w:r>
      <w:r w:rsidRPr="000C0DFF">
        <w:t>.</w:t>
      </w:r>
    </w:p>
    <w:p w:rsidR="004B4385" w:rsidRPr="000C0DFF" w:rsidRDefault="004B4385" w:rsidP="00E567E7">
      <w:pPr>
        <w:pStyle w:val="ListParagraph"/>
        <w:widowControl/>
        <w:numPr>
          <w:ilvl w:val="1"/>
          <w:numId w:val="1"/>
        </w:numPr>
      </w:pPr>
      <w:r w:rsidRPr="000C0DFF">
        <w:t>The economic model used evidence from Group II (ranibizumab arm, re-treatment determined by disease activity) and a subgroup of Group III (vPDT arm) of the RADIANCE trial to model the efficacy of treatment. Using results from RADIANCE may be reasonable given that a multicultural population was included in the trial</w:t>
      </w:r>
      <w:r w:rsidR="0012108E" w:rsidRPr="000C0DFF">
        <w:t xml:space="preserve">, although analysis of RADIANCE trial data did not indicate evidence of treatment effect modification by race (Caucasian vs Asian). </w:t>
      </w:r>
      <w:r w:rsidR="00BF7438" w:rsidRPr="004B33CD">
        <w:t>In addition, t</w:t>
      </w:r>
      <w:r w:rsidR="0012108E" w:rsidRPr="004B33CD">
        <w:t xml:space="preserve">he BRILLIANCE trial </w:t>
      </w:r>
      <w:r w:rsidR="00A34031" w:rsidRPr="004B33CD">
        <w:t>showed</w:t>
      </w:r>
      <w:r w:rsidR="0012108E" w:rsidRPr="004B33CD">
        <w:t xml:space="preserve"> a </w:t>
      </w:r>
      <w:r w:rsidR="00042B67">
        <w:rPr>
          <w:noProof/>
          <w:color w:val="000000"/>
          <w:highlight w:val="black"/>
        </w:rPr>
        <w:t>'''''''''''''''</w:t>
      </w:r>
      <w:r w:rsidR="0012108E" w:rsidRPr="004B33CD">
        <w:t xml:space="preserve"> comparative </w:t>
      </w:r>
      <w:r w:rsidR="00A34031" w:rsidRPr="004B33CD">
        <w:t>benefit for ranibizumab relative to vPDT</w:t>
      </w:r>
      <w:r w:rsidRPr="000C0DFF">
        <w:t>. In both ranibizumab trials, the mean number of ranibizumab injections per patient was higher when retreatment was guided by VA stabilisation (Group I; 4.6 injections</w:t>
      </w:r>
      <w:r w:rsidR="00963DF0" w:rsidRPr="000C0DFF">
        <w:t xml:space="preserve"> for </w:t>
      </w:r>
      <w:r w:rsidRPr="000C0DFF">
        <w:t xml:space="preserve">both RADIANCE and BRILLIANCE) compared with retreatment being guided by disease stabilisation (Group II; RADIANCE 3.5 injections; BRILLIANCE </w:t>
      </w:r>
      <w:r w:rsidR="00042B67">
        <w:rPr>
          <w:noProof/>
          <w:color w:val="000000"/>
          <w:highlight w:val="black"/>
        </w:rPr>
        <w:t>'''''' '''''''''''''''''''</w:t>
      </w:r>
      <w:r w:rsidRPr="000C0DFF">
        <w:t>). If clinicians use a mixture of these two methods in clinical practice, the number of injections of ranibizumab may have been underestimated in the model. Nonetheless, the model</w:t>
      </w:r>
      <w:r w:rsidR="00BF7438" w:rsidRPr="000C0DFF">
        <w:t>led health</w:t>
      </w:r>
      <w:r w:rsidRPr="000C0DFF">
        <w:t xml:space="preserve"> </w:t>
      </w:r>
      <w:r w:rsidR="00BC08C4" w:rsidRPr="000C0DFF">
        <w:t>outcomes are</w:t>
      </w:r>
      <w:r w:rsidRPr="000C0DFF">
        <w:t xml:space="preserve"> not particularly sensitive to this variable</w:t>
      </w:r>
      <w:r w:rsidR="00BC08C4" w:rsidRPr="000C0DFF">
        <w:t xml:space="preserve">, although </w:t>
      </w:r>
      <w:r w:rsidR="00BC08C4" w:rsidRPr="000C0DFF">
        <w:lastRenderedPageBreak/>
        <w:t xml:space="preserve">the </w:t>
      </w:r>
      <w:r w:rsidR="00BF7438" w:rsidRPr="000C0DFF">
        <w:t xml:space="preserve">incremental </w:t>
      </w:r>
      <w:r w:rsidR="00BC08C4" w:rsidRPr="000C0DFF">
        <w:t xml:space="preserve">costs would </w:t>
      </w:r>
      <w:r w:rsidR="00BF7438" w:rsidRPr="000C0DFF">
        <w:t>increase substantially with longer duration of ranibizumab therapy</w:t>
      </w:r>
      <w:r w:rsidRPr="000C0DFF">
        <w:t>.</w:t>
      </w:r>
      <w:r w:rsidR="00356554" w:rsidRPr="000C0DFF">
        <w:t xml:space="preserve"> By relying on the RADIANCE trial only</w:t>
      </w:r>
      <w:r w:rsidR="00D96CAC" w:rsidRPr="000C0DFF">
        <w:t xml:space="preserve">, </w:t>
      </w:r>
      <w:r w:rsidR="00356554" w:rsidRPr="000C0DFF">
        <w:t xml:space="preserve">with </w:t>
      </w:r>
      <w:r w:rsidR="007A1D8F" w:rsidRPr="000C0DFF">
        <w:t>its</w:t>
      </w:r>
      <w:r w:rsidR="00356554" w:rsidRPr="000C0DFF">
        <w:t xml:space="preserve"> numerically larger incremental effectiveness and numerically fewer subsequent injections, a more favourable ICER </w:t>
      </w:r>
      <w:r w:rsidR="00D96CAC" w:rsidRPr="000C0DFF">
        <w:t>w</w:t>
      </w:r>
      <w:r w:rsidR="00356554" w:rsidRPr="000C0DFF">
        <w:t>as generated than if the model had relied on a synthesis of the two trials.</w:t>
      </w:r>
      <w:r w:rsidR="007056C4" w:rsidRPr="000C0DFF">
        <w:t xml:space="preserve"> </w:t>
      </w:r>
      <w:r w:rsidR="007A1D8F" w:rsidRPr="000C0DFF">
        <w:t xml:space="preserve">The </w:t>
      </w:r>
      <w:r w:rsidR="007056C4" w:rsidRPr="000C0DFF">
        <w:t xml:space="preserve">ESC </w:t>
      </w:r>
      <w:r w:rsidR="007A1D8F" w:rsidRPr="000C0DFF">
        <w:t>considered that the submission did not provide a strong justification for not also relying on the BRI</w:t>
      </w:r>
      <w:r w:rsidR="00737103">
        <w:t>LLIANCE trial for its modelling</w:t>
      </w:r>
      <w:r w:rsidR="007A1D8F" w:rsidRPr="000C0DFF">
        <w:t xml:space="preserve">, however the ESC also advised </w:t>
      </w:r>
      <w:r w:rsidR="007056C4" w:rsidRPr="000C0DFF">
        <w:t xml:space="preserve">that a number of sensitivity analyses varying the frequency of injections and duration of therapy showed the ICER was </w:t>
      </w:r>
      <w:r w:rsidR="00D96CAC" w:rsidRPr="000C0DFF">
        <w:t>more</w:t>
      </w:r>
      <w:r w:rsidR="007056C4" w:rsidRPr="000C0DFF">
        <w:t xml:space="preserve"> sensitive to the assumed number of ranibizumab injections per patient</w:t>
      </w:r>
      <w:r w:rsidR="00D96CAC" w:rsidRPr="000C0DFF">
        <w:t xml:space="preserve"> (see Table 14)</w:t>
      </w:r>
      <w:r w:rsidR="007056C4" w:rsidRPr="000C0DFF">
        <w:t>.</w:t>
      </w:r>
    </w:p>
    <w:p w:rsidR="004B4385" w:rsidRPr="000C0DFF" w:rsidRDefault="004B4385" w:rsidP="00E567E7">
      <w:pPr>
        <w:pStyle w:val="ListParagraph"/>
        <w:widowControl/>
        <w:numPr>
          <w:ilvl w:val="1"/>
          <w:numId w:val="1"/>
        </w:numPr>
        <w:spacing w:after="0"/>
      </w:pPr>
      <w:r w:rsidRPr="000C0DFF">
        <w:t>The submission considered the following scenarios:</w:t>
      </w:r>
    </w:p>
    <w:p w:rsidR="004B4385" w:rsidRPr="000C0DFF" w:rsidRDefault="004B4385" w:rsidP="00E567E7">
      <w:pPr>
        <w:pStyle w:val="ListParagraph"/>
        <w:widowControl/>
        <w:numPr>
          <w:ilvl w:val="0"/>
          <w:numId w:val="5"/>
        </w:numPr>
        <w:ind w:hanging="357"/>
        <w:contextualSpacing/>
      </w:pPr>
      <w:r w:rsidRPr="000C0DFF">
        <w:t>Patients</w:t>
      </w:r>
      <w:r w:rsidR="009F0653" w:rsidRPr="000C0DFF">
        <w:t xml:space="preserve"> receiving treatment in the better</w:t>
      </w:r>
      <w:r w:rsidRPr="000C0DFF">
        <w:t xml:space="preserve"> seeing eye (BSE)</w:t>
      </w:r>
    </w:p>
    <w:p w:rsidR="004B4385" w:rsidRPr="000C0DFF" w:rsidRDefault="004B4385" w:rsidP="00E567E7">
      <w:pPr>
        <w:pStyle w:val="ListParagraph"/>
        <w:widowControl/>
        <w:numPr>
          <w:ilvl w:val="0"/>
          <w:numId w:val="5"/>
        </w:numPr>
        <w:ind w:hanging="357"/>
        <w:contextualSpacing/>
      </w:pPr>
      <w:r w:rsidRPr="000C0DFF">
        <w:t xml:space="preserve">Patients </w:t>
      </w:r>
      <w:r w:rsidR="009F0653" w:rsidRPr="000C0DFF">
        <w:t>receiving treatment in the worse</w:t>
      </w:r>
      <w:r w:rsidRPr="000C0DFF">
        <w:t xml:space="preserve"> seeing eye (WSE)</w:t>
      </w:r>
    </w:p>
    <w:p w:rsidR="004B4385" w:rsidRPr="000C0DFF" w:rsidRDefault="004B4385" w:rsidP="00E567E7">
      <w:pPr>
        <w:pStyle w:val="ListParagraph"/>
        <w:widowControl/>
        <w:numPr>
          <w:ilvl w:val="1"/>
          <w:numId w:val="5"/>
        </w:numPr>
        <w:ind w:hanging="357"/>
        <w:contextualSpacing/>
      </w:pPr>
      <w:r w:rsidRPr="000C0DFF">
        <w:t>where the treated eye remains the WSE</w:t>
      </w:r>
    </w:p>
    <w:p w:rsidR="004B4385" w:rsidRPr="000C0DFF" w:rsidRDefault="004B4385" w:rsidP="00E567E7">
      <w:pPr>
        <w:pStyle w:val="ListParagraph"/>
        <w:widowControl/>
        <w:numPr>
          <w:ilvl w:val="1"/>
          <w:numId w:val="5"/>
        </w:numPr>
        <w:ind w:hanging="357"/>
        <w:contextualSpacing/>
      </w:pPr>
      <w:r w:rsidRPr="000C0DFF">
        <w:t>where the treated eye becomes the BSE</w:t>
      </w:r>
    </w:p>
    <w:p w:rsidR="004B4385" w:rsidRPr="000C0DFF" w:rsidRDefault="004B4385" w:rsidP="00E567E7">
      <w:pPr>
        <w:pStyle w:val="ListParagraph"/>
        <w:widowControl/>
        <w:numPr>
          <w:ilvl w:val="0"/>
          <w:numId w:val="5"/>
        </w:numPr>
        <w:ind w:hanging="357"/>
        <w:contextualSpacing/>
      </w:pPr>
      <w:r w:rsidRPr="000C0DFF">
        <w:t>Patients receiving treatment in both eyes</w:t>
      </w:r>
    </w:p>
    <w:p w:rsidR="004B4385" w:rsidRPr="000C0DFF" w:rsidRDefault="004B4385" w:rsidP="004B4385">
      <w:pPr>
        <w:pStyle w:val="ListParagraph"/>
        <w:widowControl/>
      </w:pPr>
      <w:r w:rsidRPr="000C0DFF">
        <w:t>The model presented ICERs for each scena</w:t>
      </w:r>
      <w:r w:rsidR="009F3BA4" w:rsidRPr="000C0DFF">
        <w:t>rio as well as a weighted ICER.</w:t>
      </w:r>
    </w:p>
    <w:p w:rsidR="004B4385" w:rsidRPr="000C0DFF" w:rsidRDefault="004B4385" w:rsidP="00E567E7">
      <w:pPr>
        <w:pStyle w:val="ListParagraph"/>
        <w:widowControl/>
        <w:numPr>
          <w:ilvl w:val="1"/>
          <w:numId w:val="1"/>
        </w:numPr>
      </w:pPr>
      <w:r w:rsidRPr="000C0DFF">
        <w:t>The model did not include the cost or quality of life impact of treatment-related adverse events. This may not be reasonable. However, there were very limited comparative safety data available from the trial.</w:t>
      </w:r>
    </w:p>
    <w:p w:rsidR="004B4385" w:rsidRPr="000C0DFF" w:rsidRDefault="004B4385" w:rsidP="00E567E7">
      <w:pPr>
        <w:pStyle w:val="ListParagraph"/>
        <w:widowControl/>
        <w:numPr>
          <w:ilvl w:val="1"/>
          <w:numId w:val="1"/>
        </w:numPr>
      </w:pPr>
      <w:r w:rsidRPr="000C0DFF">
        <w:t xml:space="preserve">The transition probabilities between the VA health states are highly uncertain. In the first year, the transition probabilities between health states were as observed from 116 patients in the ranibizumab arm (Group II) and 15 patients in the vPDT arm of RADIANCE. For patients receiving vPDT, transition probabilities were only based on 15 patients who did not switch to ranibizumab treatment in the first 12 months. The vast majority of these 15 patients did not actually receive any further treatment (only 2/15 received a second treatment with vPDT). Nearly all patients in the vPDT arm who met the re-treatment criteria received ranibizumab. Therefore, these 15 patients are likely to only represent the subgroup of patients who did not meet the re-treatment criteria. </w:t>
      </w:r>
      <w:r w:rsidRPr="004B33CD">
        <w:t xml:space="preserve">In contrast, </w:t>
      </w:r>
      <w:r w:rsidR="00042B67">
        <w:rPr>
          <w:noProof/>
          <w:color w:val="000000"/>
          <w:highlight w:val="black"/>
        </w:rPr>
        <w:t xml:space="preserve">'''''''''''''' ''''''''''' </w:t>
      </w:r>
      <w:r w:rsidRPr="004B33CD">
        <w:t>patients in the ranibizumab arm met the re-treatment criteria and received further treatment</w:t>
      </w:r>
      <w:r w:rsidRPr="000C0DFF">
        <w:t xml:space="preserve">. Transition probabilities for ranibizumab and for vPDT were likely derived from two incomparable populations from the RADIANCE trial. </w:t>
      </w:r>
      <w:r w:rsidR="00A97355" w:rsidRPr="000C0DFF">
        <w:t>Additionally</w:t>
      </w:r>
      <w:r w:rsidRPr="000C0DFF">
        <w:t>, as these transition probabilities were derived from a small number of patients they were unlikely to be reliable.</w:t>
      </w:r>
      <w:r w:rsidR="00F576F1" w:rsidRPr="000C0DFF">
        <w:t xml:space="preserve"> Alternative approach</w:t>
      </w:r>
      <w:r w:rsidR="00356554" w:rsidRPr="000C0DFF">
        <w:t>es</w:t>
      </w:r>
      <w:r w:rsidR="00F576F1" w:rsidRPr="000C0DFF">
        <w:t xml:space="preserve"> may be</w:t>
      </w:r>
      <w:r w:rsidR="004D233E" w:rsidRPr="000C0DFF">
        <w:t xml:space="preserve"> used</w:t>
      </w:r>
      <w:r w:rsidR="00F576F1" w:rsidRPr="000C0DFF">
        <w:t xml:space="preserve"> to </w:t>
      </w:r>
      <w:r w:rsidR="00126E14" w:rsidRPr="000C0DFF">
        <w:t xml:space="preserve">calculate transition probabilities </w:t>
      </w:r>
      <w:r w:rsidR="00071C5D" w:rsidRPr="000C0DFF">
        <w:t>in the comparator arm</w:t>
      </w:r>
      <w:r w:rsidR="00126E14" w:rsidRPr="000C0DFF">
        <w:t xml:space="preserve"> based on the vPDT ITT population </w:t>
      </w:r>
      <w:r w:rsidR="00356554" w:rsidRPr="000C0DFF">
        <w:t>(as recommended for the base case in the PBAC Guidelines) or</w:t>
      </w:r>
      <w:r w:rsidR="00126E14" w:rsidRPr="000C0DFF">
        <w:t xml:space="preserve"> an adjustment for switching using appropriate methods such as the Rank Preserving Structural Failure Time (RPSFT) model, or the Inverse Probabili</w:t>
      </w:r>
      <w:r w:rsidR="000465B6" w:rsidRPr="000C0DFF">
        <w:t>ty of Censoring Weights (IPCW).</w:t>
      </w:r>
    </w:p>
    <w:p w:rsidR="00BC08C4" w:rsidRPr="000C0DFF" w:rsidRDefault="00BC08C4" w:rsidP="00E567E7">
      <w:pPr>
        <w:pStyle w:val="ListParagraph"/>
        <w:widowControl/>
        <w:numPr>
          <w:ilvl w:val="1"/>
          <w:numId w:val="1"/>
        </w:numPr>
      </w:pPr>
      <w:r w:rsidRPr="000C0DFF">
        <w:t>The PSCR suggest</w:t>
      </w:r>
      <w:r w:rsidR="009F65E5" w:rsidRPr="000C0DFF">
        <w:t>ed</w:t>
      </w:r>
      <w:r w:rsidRPr="000C0DFF">
        <w:t xml:space="preserve"> that randomisation-based adjustment methods and observational-based methods such RPSFT model or the IPCW and structural nested models (SNM) are particularly sensitive to bias when the switching proportion is very </w:t>
      </w:r>
      <w:r w:rsidRPr="000C0DFF">
        <w:lastRenderedPageBreak/>
        <w:t xml:space="preserve">high and the RCT dataset is of relative small size. </w:t>
      </w:r>
      <w:r w:rsidR="00F84B73" w:rsidRPr="000C0DFF">
        <w:t>The ESC noted that this response did not address the recommended use of the vPDT ITT population, and advised that the biases involved with censoring out patients as adopted for the model had been shown through simulation modelling</w:t>
      </w:r>
      <w:r w:rsidR="00B452FA" w:rsidRPr="000C0DFF">
        <w:rPr>
          <w:rStyle w:val="FootnoteReference"/>
        </w:rPr>
        <w:footnoteReference w:id="5"/>
      </w:r>
      <w:r w:rsidR="00F84B73" w:rsidRPr="000C0DFF">
        <w:t xml:space="preserve"> to be associated with greater biases than the statistical adjustment methods dismissed by the sponsor.</w:t>
      </w:r>
    </w:p>
    <w:p w:rsidR="004B4385" w:rsidRPr="000C0DFF" w:rsidRDefault="004B4385" w:rsidP="00E567E7">
      <w:pPr>
        <w:pStyle w:val="ListParagraph"/>
        <w:widowControl/>
        <w:numPr>
          <w:ilvl w:val="1"/>
          <w:numId w:val="1"/>
        </w:numPr>
        <w:spacing w:after="0"/>
      </w:pPr>
      <w:r w:rsidRPr="000C0DFF">
        <w:t>The submission assumed constant transition probabilities beyond Month 12 for the entire model time horizon. The</w:t>
      </w:r>
      <w:r w:rsidR="00AC4D1D" w:rsidRPr="000C0DFF">
        <w:t>se</w:t>
      </w:r>
      <w:r w:rsidRPr="000C0DFF">
        <w:t xml:space="preserve"> long-term transition probabilities for both arms were estimated using the short term probabilities observed from RADIANCE under two main assumptions:</w:t>
      </w:r>
    </w:p>
    <w:p w:rsidR="004B4385" w:rsidRPr="000C0DFF" w:rsidRDefault="009F3BA4" w:rsidP="00E567E7">
      <w:pPr>
        <w:pStyle w:val="ListParagraph"/>
        <w:widowControl/>
        <w:numPr>
          <w:ilvl w:val="0"/>
          <w:numId w:val="7"/>
        </w:numPr>
        <w:spacing w:after="0"/>
        <w:ind w:left="1434" w:hanging="357"/>
      </w:pPr>
      <w:r w:rsidRPr="000C0DFF">
        <w:t>t</w:t>
      </w:r>
      <w:r w:rsidR="004B4385" w:rsidRPr="000C0DFF">
        <w:t xml:space="preserve">he rate of worsening beyond Month 12, </w:t>
      </w:r>
      <w:r w:rsidR="00AC4D1D" w:rsidRPr="000C0DFF">
        <w:t xml:space="preserve">is </w:t>
      </w:r>
      <w:r w:rsidR="004B4385" w:rsidRPr="000C0DFF">
        <w:t>calculated</w:t>
      </w:r>
      <w:r w:rsidR="00AC4D1D" w:rsidRPr="000C0DFF">
        <w:t xml:space="preserve"> as</w:t>
      </w:r>
      <w:r w:rsidR="004B4385" w:rsidRPr="000C0DFF">
        <w:t xml:space="preserve"> being the average of worsening rate in Month 3-12 of the trial;</w:t>
      </w:r>
      <w:r w:rsidR="007E57F1" w:rsidRPr="000C0DFF">
        <w:t xml:space="preserve"> and</w:t>
      </w:r>
    </w:p>
    <w:p w:rsidR="004B4385" w:rsidRPr="000C0DFF" w:rsidRDefault="009F3BA4" w:rsidP="00E567E7">
      <w:pPr>
        <w:pStyle w:val="ListParagraph"/>
        <w:widowControl/>
        <w:numPr>
          <w:ilvl w:val="0"/>
          <w:numId w:val="7"/>
        </w:numPr>
        <w:spacing w:after="0"/>
        <w:ind w:left="1434" w:hanging="357"/>
      </w:pPr>
      <w:r w:rsidRPr="000C0DFF">
        <w:t>t</w:t>
      </w:r>
      <w:r w:rsidR="004B4385" w:rsidRPr="000C0DFF">
        <w:t xml:space="preserve">he rate of improving beyond Month 12, </w:t>
      </w:r>
      <w:r w:rsidR="00AC4D1D" w:rsidRPr="000C0DFF">
        <w:t>is</w:t>
      </w:r>
      <w:r w:rsidR="004B4385" w:rsidRPr="000C0DFF">
        <w:t xml:space="preserve"> calculated</w:t>
      </w:r>
      <w:r w:rsidR="00AC4D1D" w:rsidRPr="000C0DFF">
        <w:t xml:space="preserve"> as</w:t>
      </w:r>
      <w:r w:rsidR="004B4385" w:rsidRPr="000C0DFF">
        <w:t xml:space="preserve"> being 50% of the average of </w:t>
      </w:r>
      <w:r w:rsidR="00AC4D1D" w:rsidRPr="000C0DFF">
        <w:t xml:space="preserve">the </w:t>
      </w:r>
      <w:r w:rsidR="004B4385" w:rsidRPr="000C0DFF">
        <w:t>improvement rate in months 3-12 of the trial.</w:t>
      </w:r>
    </w:p>
    <w:p w:rsidR="004B4385" w:rsidRPr="000C0DFF" w:rsidRDefault="004B4385" w:rsidP="00E567E7">
      <w:pPr>
        <w:pStyle w:val="ListParagraph"/>
        <w:widowControl/>
        <w:numPr>
          <w:ilvl w:val="1"/>
          <w:numId w:val="1"/>
        </w:numPr>
        <w:spacing w:before="160"/>
      </w:pPr>
      <w:r w:rsidRPr="000C0DFF">
        <w:t>Long-term outcomes of ranibizumab treatment of myopic CNV in east-Asian patients from the RADIANCE trial have been available for up to 48 months (Tan et al, 2017, provided with the submission). It is unclear whether the long term data for the ITT population of RADIANCE are available. Long term data from RADIANCE were not used in the model.</w:t>
      </w:r>
      <w:r w:rsidR="007A1D8F" w:rsidRPr="000C0DFF">
        <w:t xml:space="preserve"> The PSCR defended the approach to modelling long-term transition probabilities based on assumptions (using clinical advice and long-term data in east-Asian patients from RADIANCE reported in Tan et al (2017)) that the rate of improvement from 2 years onwards would reduce over time and the rate of worsening would stay constant, with a net decline in vision.</w:t>
      </w:r>
      <w:r w:rsidR="00311FBE" w:rsidRPr="000C0DFF">
        <w:t xml:space="preserve"> The ESC noted that that the PSCR also reported improvements in visual acuity </w:t>
      </w:r>
      <w:r w:rsidR="00F84B73" w:rsidRPr="000C0DFF">
        <w:t xml:space="preserve">from Tan </w:t>
      </w:r>
      <w:r w:rsidR="00F84B73" w:rsidRPr="00A83BF2">
        <w:t>et al</w:t>
      </w:r>
      <w:r w:rsidR="00F84B73" w:rsidRPr="000C0DFF">
        <w:t xml:space="preserve"> (2017) </w:t>
      </w:r>
      <w:r w:rsidR="00311FBE" w:rsidRPr="000C0DFF">
        <w:t xml:space="preserve">of +10.4 ±22.3 letters at 24 months and +16.3 ±18.7 letters at 48 months, which provided </w:t>
      </w:r>
      <w:r w:rsidR="00F84B73" w:rsidRPr="000C0DFF">
        <w:t xml:space="preserve">some support </w:t>
      </w:r>
      <w:r w:rsidR="009F2117" w:rsidRPr="000C0DFF">
        <w:t>to assume that</w:t>
      </w:r>
      <w:r w:rsidR="00F84B73" w:rsidRPr="000C0DFF">
        <w:t xml:space="preserve"> a net decline in vision was a conservative approach in the modelling</w:t>
      </w:r>
      <w:r w:rsidR="00311FBE" w:rsidRPr="000C0DFF">
        <w:t>.</w:t>
      </w:r>
    </w:p>
    <w:p w:rsidR="004B4385" w:rsidRPr="000C0DFF" w:rsidRDefault="004B4385" w:rsidP="00E567E7">
      <w:pPr>
        <w:pStyle w:val="ListParagraph"/>
        <w:widowControl/>
        <w:numPr>
          <w:ilvl w:val="1"/>
          <w:numId w:val="1"/>
        </w:numPr>
      </w:pPr>
      <w:r w:rsidRPr="000C0DFF">
        <w:t>The number of treatments for both ranibizumab and vPDT is uncertain given the lack of long term data.</w:t>
      </w:r>
    </w:p>
    <w:p w:rsidR="00E51748" w:rsidRPr="000C0DFF" w:rsidRDefault="004B4385" w:rsidP="00E567E7">
      <w:pPr>
        <w:pStyle w:val="ListParagraph"/>
        <w:widowControl/>
        <w:numPr>
          <w:ilvl w:val="1"/>
          <w:numId w:val="1"/>
        </w:numPr>
      </w:pPr>
      <w:r w:rsidRPr="000C0DFF">
        <w:t>The model included the cost of falls that was associated with the VA3 and VA4 health states and the cost of blindness that was associated with VA4 health state. These</w:t>
      </w:r>
      <w:r w:rsidR="0094323E" w:rsidRPr="000C0DFF">
        <w:t xml:space="preserve"> costs</w:t>
      </w:r>
      <w:r w:rsidRPr="000C0DFF">
        <w:t xml:space="preserve"> are consistent with those used in the previous ranibizumab submissions for both </w:t>
      </w:r>
      <w:r w:rsidR="007E57F1" w:rsidRPr="000C0DFF">
        <w:t>DME</w:t>
      </w:r>
      <w:r w:rsidRPr="000C0DFF">
        <w:t xml:space="preserve"> and retinal vein occlusion (RVO). The PBAC previously considered that, as the costs of blindness included any medical expenditure associated with blindness, it was likely that this approach also included the cost of falls. </w:t>
      </w:r>
      <w:r w:rsidR="00917226" w:rsidRPr="000C0DFF">
        <w:t>The ESC a</w:t>
      </w:r>
      <w:r w:rsidR="000431FB" w:rsidRPr="000C0DFF">
        <w:t>dvised</w:t>
      </w:r>
      <w:r w:rsidR="00917226" w:rsidRPr="000C0DFF">
        <w:t xml:space="preserve"> that including the costs of </w:t>
      </w:r>
      <w:r w:rsidR="000757CF" w:rsidRPr="000C0DFF">
        <w:t xml:space="preserve">both </w:t>
      </w:r>
      <w:r w:rsidR="00917226" w:rsidRPr="000C0DFF">
        <w:t>falls and blindness would be double counting</w:t>
      </w:r>
      <w:r w:rsidR="000757CF" w:rsidRPr="000C0DFF">
        <w:t xml:space="preserve"> and the costs of falls should be removed from the economic </w:t>
      </w:r>
      <w:r w:rsidR="00B733D3" w:rsidRPr="000C0DFF">
        <w:t>evaluation</w:t>
      </w:r>
      <w:r w:rsidR="00917226" w:rsidRPr="000C0DFF">
        <w:t xml:space="preserve">. </w:t>
      </w:r>
      <w:r w:rsidRPr="000C0DFF">
        <w:t xml:space="preserve">Since the model </w:t>
      </w:r>
      <w:r w:rsidRPr="000C0DFF">
        <w:lastRenderedPageBreak/>
        <w:t>estimated more blindness in the vPDT arm than in the ranibizumab arm, the cost of blindness contributed substantially to the cost-offsets and may have underestimated the incremental cost of ranibizumab compared with vPDT.</w:t>
      </w:r>
    </w:p>
    <w:p w:rsidR="004B4385" w:rsidRPr="00B50DB8" w:rsidRDefault="004B4385" w:rsidP="00E567E7">
      <w:pPr>
        <w:pStyle w:val="ListParagraph"/>
        <w:widowControl/>
        <w:numPr>
          <w:ilvl w:val="1"/>
          <w:numId w:val="1"/>
        </w:numPr>
      </w:pPr>
      <w:r>
        <w:rPr>
          <w:color w:val="000000" w:themeColor="text1"/>
        </w:rPr>
        <w:t>The key drivers of the model are summarised below.</w:t>
      </w:r>
    </w:p>
    <w:p w:rsidR="004B4385" w:rsidRDefault="004B4385" w:rsidP="004B4385">
      <w:pPr>
        <w:rPr>
          <w:rStyle w:val="CommentReference"/>
        </w:rPr>
      </w:pPr>
      <w:r w:rsidRPr="00A56B6A">
        <w:rPr>
          <w:rStyle w:val="CommentReference"/>
        </w:rPr>
        <w:t xml:space="preserve">Table </w:t>
      </w:r>
      <w:r>
        <w:rPr>
          <w:rStyle w:val="CommentReference"/>
        </w:rPr>
        <w:t>10</w:t>
      </w:r>
      <w:r w:rsidRPr="00A56B6A">
        <w:rPr>
          <w:rStyle w:val="CommentReference"/>
        </w:rPr>
        <w:t>: Key drivers of the model</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8"/>
        <w:gridCol w:w="4961"/>
        <w:gridCol w:w="2410"/>
      </w:tblGrid>
      <w:tr w:rsidR="004B4385" w:rsidRPr="003D1DE4" w:rsidTr="00E33AAD">
        <w:trPr>
          <w:tblHeader/>
        </w:trPr>
        <w:tc>
          <w:tcPr>
            <w:tcW w:w="886" w:type="pct"/>
            <w:shd w:val="clear" w:color="auto" w:fill="auto"/>
            <w:vAlign w:val="center"/>
          </w:tcPr>
          <w:p w:rsidR="004B4385" w:rsidRPr="003D1DE4" w:rsidRDefault="004B4385" w:rsidP="00955865">
            <w:pPr>
              <w:pStyle w:val="Tabletext"/>
              <w:rPr>
                <w:b/>
                <w:lang w:val="en-US"/>
              </w:rPr>
            </w:pPr>
            <w:r w:rsidRPr="003D1DE4">
              <w:rPr>
                <w:b/>
                <w:lang w:val="en-US"/>
              </w:rPr>
              <w:t>Description</w:t>
            </w:r>
          </w:p>
        </w:tc>
        <w:tc>
          <w:tcPr>
            <w:tcW w:w="2769" w:type="pct"/>
            <w:shd w:val="clear" w:color="auto" w:fill="auto"/>
            <w:vAlign w:val="center"/>
          </w:tcPr>
          <w:p w:rsidR="004B4385" w:rsidRPr="003D1DE4" w:rsidRDefault="004B4385" w:rsidP="00955865">
            <w:pPr>
              <w:pStyle w:val="Tabletext"/>
              <w:jc w:val="center"/>
              <w:rPr>
                <w:b/>
                <w:lang w:val="en-US"/>
              </w:rPr>
            </w:pPr>
            <w:r w:rsidRPr="003D1DE4">
              <w:rPr>
                <w:b/>
                <w:lang w:val="en-US"/>
              </w:rPr>
              <w:t>Method/Value</w:t>
            </w:r>
          </w:p>
        </w:tc>
        <w:tc>
          <w:tcPr>
            <w:tcW w:w="1345" w:type="pct"/>
            <w:shd w:val="clear" w:color="auto" w:fill="auto"/>
            <w:vAlign w:val="center"/>
          </w:tcPr>
          <w:p w:rsidR="004B4385" w:rsidRPr="003D1DE4" w:rsidRDefault="004B4385" w:rsidP="00955865">
            <w:pPr>
              <w:pStyle w:val="Tabletext"/>
              <w:jc w:val="center"/>
              <w:rPr>
                <w:b/>
                <w:lang w:val="en-US"/>
              </w:rPr>
            </w:pPr>
            <w:r w:rsidRPr="003D1DE4">
              <w:rPr>
                <w:b/>
                <w:lang w:val="en-US"/>
              </w:rPr>
              <w:t>Impact</w:t>
            </w:r>
          </w:p>
        </w:tc>
      </w:tr>
      <w:tr w:rsidR="004B4385" w:rsidRPr="00E2771E" w:rsidTr="00E33AAD">
        <w:tc>
          <w:tcPr>
            <w:tcW w:w="886" w:type="pct"/>
            <w:shd w:val="clear" w:color="auto" w:fill="auto"/>
            <w:vAlign w:val="center"/>
          </w:tcPr>
          <w:p w:rsidR="004B4385" w:rsidRDefault="004B4385" w:rsidP="00955865">
            <w:pPr>
              <w:pStyle w:val="Tabletext"/>
              <w:rPr>
                <w:lang w:val="en-US"/>
              </w:rPr>
            </w:pPr>
            <w:r>
              <w:rPr>
                <w:lang w:val="en-US"/>
              </w:rPr>
              <w:t>Comparator</w:t>
            </w:r>
          </w:p>
        </w:tc>
        <w:tc>
          <w:tcPr>
            <w:tcW w:w="2769" w:type="pct"/>
            <w:shd w:val="clear" w:color="auto" w:fill="auto"/>
            <w:vAlign w:val="center"/>
          </w:tcPr>
          <w:p w:rsidR="004B4385" w:rsidRDefault="004B4385" w:rsidP="00955865">
            <w:pPr>
              <w:pStyle w:val="Tabletext"/>
              <w:rPr>
                <w:lang w:val="en-US"/>
              </w:rPr>
            </w:pPr>
            <w:r>
              <w:rPr>
                <w:lang w:val="en-US"/>
              </w:rPr>
              <w:t>vPDT</w:t>
            </w:r>
          </w:p>
        </w:tc>
        <w:tc>
          <w:tcPr>
            <w:tcW w:w="1345" w:type="pct"/>
            <w:shd w:val="clear" w:color="auto" w:fill="auto"/>
            <w:vAlign w:val="center"/>
          </w:tcPr>
          <w:p w:rsidR="004B4385" w:rsidRPr="00E2771E" w:rsidRDefault="004B4385" w:rsidP="00955865">
            <w:pPr>
              <w:pStyle w:val="Tabletext"/>
              <w:rPr>
                <w:lang w:val="en-US"/>
              </w:rPr>
            </w:pPr>
            <w:r>
              <w:rPr>
                <w:lang w:val="en-US"/>
              </w:rPr>
              <w:t>High, favours ranibizumab</w:t>
            </w:r>
          </w:p>
        </w:tc>
      </w:tr>
      <w:tr w:rsidR="004B4385" w:rsidRPr="00E2771E" w:rsidTr="00E33AAD">
        <w:tc>
          <w:tcPr>
            <w:tcW w:w="886" w:type="pct"/>
            <w:shd w:val="clear" w:color="auto" w:fill="auto"/>
            <w:vAlign w:val="center"/>
          </w:tcPr>
          <w:p w:rsidR="004B4385" w:rsidRPr="00E2771E" w:rsidRDefault="004B4385" w:rsidP="00955865">
            <w:pPr>
              <w:pStyle w:val="Tabletext"/>
              <w:rPr>
                <w:lang w:val="en-US"/>
              </w:rPr>
            </w:pPr>
            <w:r>
              <w:rPr>
                <w:lang w:val="en-US"/>
              </w:rPr>
              <w:t>Extrapolation</w:t>
            </w:r>
          </w:p>
        </w:tc>
        <w:tc>
          <w:tcPr>
            <w:tcW w:w="2769" w:type="pct"/>
            <w:shd w:val="clear" w:color="auto" w:fill="auto"/>
            <w:vAlign w:val="center"/>
          </w:tcPr>
          <w:p w:rsidR="004B4385" w:rsidRPr="00E2771E" w:rsidRDefault="004B4385" w:rsidP="00955865">
            <w:pPr>
              <w:pStyle w:val="Tabletext"/>
              <w:rPr>
                <w:lang w:val="en-US"/>
              </w:rPr>
            </w:pPr>
            <w:r>
              <w:rPr>
                <w:lang w:val="en-US"/>
              </w:rPr>
              <w:t>Based on a small subgroup of the trial for the vPDT arm</w:t>
            </w:r>
          </w:p>
        </w:tc>
        <w:tc>
          <w:tcPr>
            <w:tcW w:w="1345" w:type="pct"/>
            <w:shd w:val="clear" w:color="auto" w:fill="auto"/>
            <w:vAlign w:val="center"/>
          </w:tcPr>
          <w:p w:rsidR="004B4385" w:rsidRPr="00E2771E" w:rsidRDefault="004B4385" w:rsidP="00955865">
            <w:pPr>
              <w:pStyle w:val="Tabletext"/>
              <w:rPr>
                <w:lang w:val="en-US"/>
              </w:rPr>
            </w:pPr>
            <w:r>
              <w:rPr>
                <w:lang w:val="en-US"/>
              </w:rPr>
              <w:t>Uncertain</w:t>
            </w:r>
          </w:p>
        </w:tc>
      </w:tr>
      <w:tr w:rsidR="004B4385" w:rsidRPr="00E2771E" w:rsidTr="00E33AAD">
        <w:tc>
          <w:tcPr>
            <w:tcW w:w="886" w:type="pct"/>
            <w:shd w:val="clear" w:color="auto" w:fill="auto"/>
            <w:vAlign w:val="center"/>
          </w:tcPr>
          <w:p w:rsidR="004B4385" w:rsidRPr="00E2771E" w:rsidRDefault="004B4385" w:rsidP="00955865">
            <w:pPr>
              <w:pStyle w:val="Tabletext"/>
              <w:rPr>
                <w:lang w:val="en-US"/>
              </w:rPr>
            </w:pPr>
            <w:r>
              <w:rPr>
                <w:lang w:val="en-US"/>
              </w:rPr>
              <w:t>Cost of blindness</w:t>
            </w:r>
          </w:p>
        </w:tc>
        <w:tc>
          <w:tcPr>
            <w:tcW w:w="2769" w:type="pct"/>
            <w:shd w:val="clear" w:color="auto" w:fill="auto"/>
            <w:vAlign w:val="center"/>
          </w:tcPr>
          <w:p w:rsidR="004B4385" w:rsidRPr="00E2771E" w:rsidRDefault="004B4385" w:rsidP="00955865">
            <w:pPr>
              <w:pStyle w:val="Tabletext"/>
              <w:rPr>
                <w:lang w:val="en-US"/>
              </w:rPr>
            </w:pPr>
            <w:r>
              <w:rPr>
                <w:lang w:val="en-US"/>
              </w:rPr>
              <w:t>Cost of blindness associated with VA4 in addition to cost of fall</w:t>
            </w:r>
            <w:r w:rsidR="00EC6777">
              <w:rPr>
                <w:lang w:val="en-US"/>
              </w:rPr>
              <w:t>s</w:t>
            </w:r>
          </w:p>
        </w:tc>
        <w:tc>
          <w:tcPr>
            <w:tcW w:w="1345" w:type="pct"/>
            <w:shd w:val="clear" w:color="auto" w:fill="auto"/>
            <w:vAlign w:val="center"/>
          </w:tcPr>
          <w:p w:rsidR="004B4385" w:rsidRPr="00E2771E" w:rsidRDefault="004B4385" w:rsidP="00955865">
            <w:pPr>
              <w:pStyle w:val="Tabletext"/>
              <w:rPr>
                <w:lang w:val="en-US"/>
              </w:rPr>
            </w:pPr>
            <w:r>
              <w:rPr>
                <w:lang w:val="en-US"/>
              </w:rPr>
              <w:t>Moderate, favours ranibizumab</w:t>
            </w:r>
          </w:p>
        </w:tc>
      </w:tr>
    </w:tbl>
    <w:p w:rsidR="004B4385" w:rsidRDefault="004B4385" w:rsidP="004B4385">
      <w:pPr>
        <w:pStyle w:val="TableFooter"/>
      </w:pPr>
      <w:r>
        <w:t>vPDT = verteporfin photodynamic therapy.</w:t>
      </w:r>
    </w:p>
    <w:p w:rsidR="004B4385" w:rsidRDefault="004B4385" w:rsidP="004B4385">
      <w:pPr>
        <w:pStyle w:val="TableFooter"/>
      </w:pPr>
      <w:r>
        <w:t>Source: compiled during the evaluation based on Sections 3.4, 3.6 and 3.9 of the submission.</w:t>
      </w:r>
    </w:p>
    <w:p w:rsidR="004B4385" w:rsidRPr="00933D51" w:rsidRDefault="004B4385" w:rsidP="00E567E7">
      <w:pPr>
        <w:pStyle w:val="ListParagraph"/>
        <w:widowControl/>
        <w:numPr>
          <w:ilvl w:val="1"/>
          <w:numId w:val="1"/>
        </w:numPr>
        <w:spacing w:before="160"/>
      </w:pPr>
      <w:r w:rsidRPr="00933D51">
        <w:t xml:space="preserve">The </w:t>
      </w:r>
      <w:r>
        <w:t>results of stepped economic evaluation are presented in the table below.</w:t>
      </w:r>
    </w:p>
    <w:p w:rsidR="004B4385" w:rsidRPr="00AC14F0" w:rsidRDefault="004B4385" w:rsidP="004B4385">
      <w:pPr>
        <w:rPr>
          <w:rStyle w:val="CommentReference"/>
        </w:rPr>
      </w:pPr>
      <w:r w:rsidRPr="004A5A61">
        <w:rPr>
          <w:rStyle w:val="CommentReference"/>
        </w:rPr>
        <w:t xml:space="preserve">Table 11: </w:t>
      </w:r>
      <w:r w:rsidRPr="00AC14F0">
        <w:rPr>
          <w:rStyle w:val="CommentReference"/>
        </w:rPr>
        <w:t>Presentation of the stepped economic evaluation (weighted</w:t>
      </w:r>
      <w:r>
        <w:rPr>
          <w:rStyle w:val="CommentReference"/>
        </w:rPr>
        <w:t xml:space="preserve"> for treatment scenarios of bilateral treatment, treatment in BSE and WSE</w:t>
      </w:r>
      <w:r w:rsidRPr="00AC14F0">
        <w:rPr>
          <w:rStyle w:val="CommentReference"/>
        </w:rPr>
        <w:t>)</w:t>
      </w:r>
    </w:p>
    <w:tbl>
      <w:tblPr>
        <w:tblStyle w:val="TableGrid"/>
        <w:tblW w:w="0" w:type="auto"/>
        <w:tblInd w:w="108" w:type="dxa"/>
        <w:tblLook w:val="04A0" w:firstRow="1" w:lastRow="0" w:firstColumn="1" w:lastColumn="0" w:noHBand="0" w:noVBand="1"/>
        <w:tblCaption w:val="Table 11: Presentation of the stepped economic evaluation (weighted for treatment scenarios of bilateral treatment, treatment in BSE and WSE)"/>
      </w:tblPr>
      <w:tblGrid>
        <w:gridCol w:w="3156"/>
        <w:gridCol w:w="1920"/>
        <w:gridCol w:w="1920"/>
        <w:gridCol w:w="1922"/>
      </w:tblGrid>
      <w:tr w:rsidR="004B4385" w:rsidRPr="00AC14F0" w:rsidTr="006B6F11">
        <w:trPr>
          <w:tblHeader/>
        </w:trPr>
        <w:tc>
          <w:tcPr>
            <w:tcW w:w="3156" w:type="dxa"/>
          </w:tcPr>
          <w:p w:rsidR="004B4385" w:rsidRPr="00AC14F0" w:rsidRDefault="004B4385" w:rsidP="00955865">
            <w:pPr>
              <w:pStyle w:val="Tabletext"/>
            </w:pPr>
          </w:p>
        </w:tc>
        <w:tc>
          <w:tcPr>
            <w:tcW w:w="1920" w:type="dxa"/>
          </w:tcPr>
          <w:p w:rsidR="004B4385" w:rsidRPr="00AC14F0" w:rsidRDefault="004B4385" w:rsidP="00955865">
            <w:pPr>
              <w:pStyle w:val="Tabletext"/>
              <w:jc w:val="center"/>
              <w:rPr>
                <w:b/>
              </w:rPr>
            </w:pPr>
            <w:r w:rsidRPr="00AC14F0">
              <w:rPr>
                <w:b/>
              </w:rPr>
              <w:t>Ranibizumab</w:t>
            </w:r>
          </w:p>
        </w:tc>
        <w:tc>
          <w:tcPr>
            <w:tcW w:w="1920" w:type="dxa"/>
          </w:tcPr>
          <w:p w:rsidR="004B4385" w:rsidRPr="00AC14F0" w:rsidRDefault="004B4385" w:rsidP="00955865">
            <w:pPr>
              <w:pStyle w:val="Tabletext"/>
              <w:jc w:val="center"/>
              <w:rPr>
                <w:b/>
              </w:rPr>
            </w:pPr>
            <w:r w:rsidRPr="00AC14F0">
              <w:rPr>
                <w:b/>
              </w:rPr>
              <w:t>vPDT</w:t>
            </w:r>
          </w:p>
        </w:tc>
        <w:tc>
          <w:tcPr>
            <w:tcW w:w="1922" w:type="dxa"/>
          </w:tcPr>
          <w:p w:rsidR="004B4385" w:rsidRPr="00AC14F0" w:rsidRDefault="004B4385" w:rsidP="00955865">
            <w:pPr>
              <w:pStyle w:val="Tabletext"/>
              <w:jc w:val="center"/>
              <w:rPr>
                <w:b/>
              </w:rPr>
            </w:pPr>
            <w:r w:rsidRPr="00AC14F0">
              <w:rPr>
                <w:b/>
              </w:rPr>
              <w:t>Incremental</w:t>
            </w:r>
          </w:p>
        </w:tc>
      </w:tr>
      <w:tr w:rsidR="004B4385" w:rsidRPr="00AC14F0" w:rsidTr="00E33AAD">
        <w:tc>
          <w:tcPr>
            <w:tcW w:w="8918" w:type="dxa"/>
            <w:gridSpan w:val="4"/>
          </w:tcPr>
          <w:p w:rsidR="004B4385" w:rsidRPr="00AC14F0" w:rsidRDefault="004B4385" w:rsidP="00955865">
            <w:pPr>
              <w:pStyle w:val="Tabletext"/>
              <w:rPr>
                <w:b/>
              </w:rPr>
            </w:pPr>
            <w:r w:rsidRPr="00AC14F0">
              <w:rPr>
                <w:b/>
              </w:rPr>
              <w:t>Step 1 – trial based analysis</w:t>
            </w:r>
          </w:p>
        </w:tc>
      </w:tr>
      <w:tr w:rsidR="004B4385" w:rsidRPr="00AC14F0" w:rsidTr="00E33AAD">
        <w:tc>
          <w:tcPr>
            <w:tcW w:w="3156" w:type="dxa"/>
          </w:tcPr>
          <w:p w:rsidR="004B4385" w:rsidRPr="00AC14F0" w:rsidRDefault="004B4385" w:rsidP="00955865">
            <w:pPr>
              <w:pStyle w:val="Tabletext"/>
            </w:pPr>
            <w:r w:rsidRPr="00AC14F0">
              <w:t>Cost</w:t>
            </w:r>
          </w:p>
        </w:tc>
        <w:tc>
          <w:tcPr>
            <w:tcW w:w="1920" w:type="dxa"/>
          </w:tcPr>
          <w:p w:rsidR="004B4385" w:rsidRPr="00AC14F0" w:rsidRDefault="004B4385" w:rsidP="00955865">
            <w:pPr>
              <w:pStyle w:val="Tabletext"/>
              <w:jc w:val="center"/>
            </w:pPr>
            <w:r w:rsidRPr="00AC14F0">
              <w:t>$</w:t>
            </w:r>
            <w:r w:rsidR="00042B67">
              <w:rPr>
                <w:noProof/>
                <w:color w:val="000000"/>
                <w:highlight w:val="black"/>
              </w:rPr>
              <w:t>'''''''''''''''''''</w:t>
            </w:r>
          </w:p>
        </w:tc>
        <w:tc>
          <w:tcPr>
            <w:tcW w:w="1920" w:type="dxa"/>
          </w:tcPr>
          <w:p w:rsidR="004B4385" w:rsidRPr="00AC14F0" w:rsidRDefault="004B4385" w:rsidP="00955865">
            <w:pPr>
              <w:pStyle w:val="Tabletext"/>
              <w:jc w:val="center"/>
            </w:pPr>
            <w:r w:rsidRPr="00AC14F0">
              <w:t>$</w:t>
            </w:r>
            <w:r w:rsidR="00042B67">
              <w:rPr>
                <w:noProof/>
                <w:color w:val="000000"/>
                <w:highlight w:val="black"/>
              </w:rPr>
              <w:t>''''''''''''''''''''''</w:t>
            </w:r>
          </w:p>
        </w:tc>
        <w:tc>
          <w:tcPr>
            <w:tcW w:w="1922" w:type="dxa"/>
          </w:tcPr>
          <w:p w:rsidR="004B4385" w:rsidRPr="00AC14F0" w:rsidRDefault="004B4385" w:rsidP="00955865">
            <w:pPr>
              <w:pStyle w:val="Tabletext"/>
              <w:jc w:val="center"/>
            </w:pPr>
            <w:r w:rsidRPr="00AC14F0">
              <w:t>-$</w:t>
            </w:r>
            <w:r w:rsidR="00042B67">
              <w:rPr>
                <w:noProof/>
                <w:color w:val="000000"/>
                <w:highlight w:val="black"/>
              </w:rPr>
              <w:t>''''''''''''''''''''''</w:t>
            </w:r>
          </w:p>
        </w:tc>
      </w:tr>
      <w:tr w:rsidR="004B4385" w:rsidRPr="00AC14F0" w:rsidTr="00E33AAD">
        <w:tc>
          <w:tcPr>
            <w:tcW w:w="3156" w:type="dxa"/>
          </w:tcPr>
          <w:p w:rsidR="004B4385" w:rsidRPr="00AC14F0" w:rsidRDefault="004B4385" w:rsidP="00955865">
            <w:pPr>
              <w:pStyle w:val="Tabletext"/>
            </w:pPr>
            <w:r w:rsidRPr="00AC14F0">
              <w:t>Mean change in BCVA at Month 12*</w:t>
            </w:r>
          </w:p>
        </w:tc>
        <w:tc>
          <w:tcPr>
            <w:tcW w:w="1920" w:type="dxa"/>
          </w:tcPr>
          <w:p w:rsidR="004B4385" w:rsidRPr="00042B67" w:rsidRDefault="00042B67" w:rsidP="00955865">
            <w:pPr>
              <w:pStyle w:val="Tabletext"/>
              <w:jc w:val="center"/>
              <w:rPr>
                <w:highlight w:val="black"/>
              </w:rPr>
            </w:pPr>
            <w:r>
              <w:rPr>
                <w:noProof/>
                <w:color w:val="000000"/>
                <w:highlight w:val="black"/>
              </w:rPr>
              <w:t>''''''''''</w:t>
            </w:r>
          </w:p>
        </w:tc>
        <w:tc>
          <w:tcPr>
            <w:tcW w:w="1920" w:type="dxa"/>
          </w:tcPr>
          <w:p w:rsidR="004B4385" w:rsidRPr="00042B67" w:rsidRDefault="00042B67" w:rsidP="00955865">
            <w:pPr>
              <w:pStyle w:val="Tabletext"/>
              <w:jc w:val="center"/>
              <w:rPr>
                <w:highlight w:val="black"/>
              </w:rPr>
            </w:pPr>
            <w:r>
              <w:rPr>
                <w:noProof/>
                <w:color w:val="000000"/>
                <w:highlight w:val="black"/>
              </w:rPr>
              <w:t>'''''''</w:t>
            </w:r>
          </w:p>
        </w:tc>
        <w:tc>
          <w:tcPr>
            <w:tcW w:w="1922" w:type="dxa"/>
          </w:tcPr>
          <w:p w:rsidR="004B4385" w:rsidRPr="00042B67" w:rsidRDefault="00042B67" w:rsidP="00955865">
            <w:pPr>
              <w:pStyle w:val="Tabletext"/>
              <w:jc w:val="center"/>
              <w:rPr>
                <w:highlight w:val="black"/>
              </w:rPr>
            </w:pPr>
            <w:r>
              <w:rPr>
                <w:noProof/>
                <w:color w:val="000000"/>
                <w:highlight w:val="black"/>
              </w:rPr>
              <w:t>''''''''</w:t>
            </w:r>
          </w:p>
        </w:tc>
      </w:tr>
      <w:tr w:rsidR="004B4385" w:rsidRPr="00AC14F0" w:rsidTr="00E33AAD">
        <w:tc>
          <w:tcPr>
            <w:tcW w:w="6996" w:type="dxa"/>
            <w:gridSpan w:val="3"/>
          </w:tcPr>
          <w:p w:rsidR="004B4385" w:rsidRPr="00AC14F0" w:rsidRDefault="004B4385" w:rsidP="00955865">
            <w:pPr>
              <w:pStyle w:val="Tabletext"/>
            </w:pPr>
            <w:r w:rsidRPr="00AC14F0">
              <w:t>Cost per additional letter gained</w:t>
            </w:r>
          </w:p>
        </w:tc>
        <w:tc>
          <w:tcPr>
            <w:tcW w:w="1922" w:type="dxa"/>
          </w:tcPr>
          <w:p w:rsidR="004B4385" w:rsidRPr="00042B67" w:rsidRDefault="00042B67" w:rsidP="00955865">
            <w:pPr>
              <w:pStyle w:val="Tabletext"/>
              <w:jc w:val="center"/>
              <w:rPr>
                <w:b/>
                <w:bCs/>
                <w:highlight w:val="black"/>
              </w:rPr>
            </w:pPr>
            <w:r>
              <w:rPr>
                <w:b/>
                <w:bCs/>
                <w:noProof/>
                <w:color w:val="000000"/>
                <w:highlight w:val="black"/>
              </w:rPr>
              <w:t>'''''''''''''''''''''''''</w:t>
            </w:r>
          </w:p>
        </w:tc>
      </w:tr>
      <w:tr w:rsidR="004B4385" w:rsidRPr="00AC14F0" w:rsidTr="00E33AAD">
        <w:trPr>
          <w:trHeight w:val="241"/>
        </w:trPr>
        <w:tc>
          <w:tcPr>
            <w:tcW w:w="8918" w:type="dxa"/>
            <w:gridSpan w:val="4"/>
          </w:tcPr>
          <w:p w:rsidR="004B4385" w:rsidRPr="00AC14F0" w:rsidRDefault="004B4385" w:rsidP="00955865">
            <w:pPr>
              <w:pStyle w:val="Tabletext"/>
              <w:rPr>
                <w:b/>
              </w:rPr>
            </w:pPr>
            <w:r w:rsidRPr="00AC14F0">
              <w:rPr>
                <w:b/>
              </w:rPr>
              <w:t xml:space="preserve">Step 2 – Cost utility analysis at Month 12 including drug cost only </w:t>
            </w:r>
          </w:p>
        </w:tc>
      </w:tr>
      <w:tr w:rsidR="004B4385" w:rsidRPr="00AC14F0" w:rsidTr="00E33AAD">
        <w:tc>
          <w:tcPr>
            <w:tcW w:w="3156" w:type="dxa"/>
          </w:tcPr>
          <w:p w:rsidR="004B4385" w:rsidRPr="00AC14F0" w:rsidRDefault="004B4385" w:rsidP="00955865">
            <w:pPr>
              <w:pStyle w:val="Tabletext"/>
            </w:pPr>
            <w:r w:rsidRPr="00AC14F0">
              <w:t>Cost</w:t>
            </w:r>
          </w:p>
        </w:tc>
        <w:tc>
          <w:tcPr>
            <w:tcW w:w="1920" w:type="dxa"/>
          </w:tcPr>
          <w:p w:rsidR="004B4385" w:rsidRPr="00AC14F0" w:rsidRDefault="004B4385" w:rsidP="00955865">
            <w:pPr>
              <w:pStyle w:val="Tabletext"/>
              <w:jc w:val="center"/>
            </w:pPr>
            <w:r w:rsidRPr="00AC14F0">
              <w:t>$</w:t>
            </w:r>
            <w:r w:rsidR="00042B67">
              <w:rPr>
                <w:noProof/>
                <w:color w:val="000000"/>
                <w:highlight w:val="black"/>
              </w:rPr>
              <w:t>'''''''''''''''</w:t>
            </w:r>
          </w:p>
        </w:tc>
        <w:tc>
          <w:tcPr>
            <w:tcW w:w="1920" w:type="dxa"/>
          </w:tcPr>
          <w:p w:rsidR="004B4385" w:rsidRPr="00AC14F0" w:rsidRDefault="004B4385" w:rsidP="00955865">
            <w:pPr>
              <w:pStyle w:val="Tabletext"/>
              <w:jc w:val="center"/>
            </w:pPr>
            <w:r w:rsidRPr="00AC14F0">
              <w:t>$</w:t>
            </w:r>
            <w:r w:rsidR="00042B67">
              <w:rPr>
                <w:noProof/>
                <w:color w:val="000000"/>
                <w:highlight w:val="black"/>
              </w:rPr>
              <w:t>'''''''''''''</w:t>
            </w:r>
          </w:p>
        </w:tc>
        <w:tc>
          <w:tcPr>
            <w:tcW w:w="1922" w:type="dxa"/>
          </w:tcPr>
          <w:p w:rsidR="004B4385" w:rsidRPr="00AC14F0" w:rsidRDefault="004B4385" w:rsidP="00955865">
            <w:pPr>
              <w:pStyle w:val="Tabletext"/>
              <w:jc w:val="center"/>
            </w:pPr>
            <w:r w:rsidRPr="00AC14F0">
              <w:t>-$</w:t>
            </w:r>
            <w:r w:rsidR="00042B67">
              <w:rPr>
                <w:noProof/>
                <w:color w:val="000000"/>
                <w:highlight w:val="black"/>
              </w:rPr>
              <w:t>''''''''''''''</w:t>
            </w:r>
          </w:p>
        </w:tc>
      </w:tr>
      <w:tr w:rsidR="004B4385" w:rsidRPr="00AC14F0" w:rsidTr="00E33AAD">
        <w:tc>
          <w:tcPr>
            <w:tcW w:w="3156" w:type="dxa"/>
          </w:tcPr>
          <w:p w:rsidR="004B4385" w:rsidRPr="00AC14F0" w:rsidRDefault="004B4385" w:rsidP="00955865">
            <w:pPr>
              <w:pStyle w:val="Tabletext"/>
            </w:pPr>
            <w:r w:rsidRPr="00AC14F0">
              <w:t>QALYs</w:t>
            </w:r>
          </w:p>
        </w:tc>
        <w:tc>
          <w:tcPr>
            <w:tcW w:w="1920" w:type="dxa"/>
          </w:tcPr>
          <w:p w:rsidR="004B4385" w:rsidRPr="00042B67" w:rsidRDefault="00042B67" w:rsidP="00955865">
            <w:pPr>
              <w:pStyle w:val="Tabletext"/>
              <w:jc w:val="center"/>
              <w:rPr>
                <w:highlight w:val="black"/>
              </w:rPr>
            </w:pPr>
            <w:r>
              <w:rPr>
                <w:noProof/>
                <w:color w:val="000000"/>
                <w:highlight w:val="black"/>
              </w:rPr>
              <w:t>'''''''''''</w:t>
            </w:r>
          </w:p>
        </w:tc>
        <w:tc>
          <w:tcPr>
            <w:tcW w:w="1920" w:type="dxa"/>
          </w:tcPr>
          <w:p w:rsidR="004B4385" w:rsidRPr="00042B67" w:rsidRDefault="00042B67" w:rsidP="00955865">
            <w:pPr>
              <w:pStyle w:val="Tabletext"/>
              <w:jc w:val="center"/>
              <w:rPr>
                <w:highlight w:val="black"/>
              </w:rPr>
            </w:pPr>
            <w:r>
              <w:rPr>
                <w:noProof/>
                <w:color w:val="000000"/>
                <w:highlight w:val="black"/>
              </w:rPr>
              <w:t>''''''''''</w:t>
            </w:r>
          </w:p>
        </w:tc>
        <w:tc>
          <w:tcPr>
            <w:tcW w:w="1922" w:type="dxa"/>
          </w:tcPr>
          <w:p w:rsidR="004B4385" w:rsidRPr="00042B67" w:rsidRDefault="00042B67" w:rsidP="00955865">
            <w:pPr>
              <w:pStyle w:val="Tabletext"/>
              <w:jc w:val="center"/>
              <w:rPr>
                <w:highlight w:val="black"/>
              </w:rPr>
            </w:pPr>
            <w:r>
              <w:rPr>
                <w:noProof/>
                <w:color w:val="000000"/>
                <w:highlight w:val="black"/>
              </w:rPr>
              <w:t>'''''''''''</w:t>
            </w:r>
          </w:p>
        </w:tc>
      </w:tr>
      <w:tr w:rsidR="004B4385" w:rsidRPr="00AC14F0" w:rsidTr="00E33AAD">
        <w:tc>
          <w:tcPr>
            <w:tcW w:w="6996" w:type="dxa"/>
            <w:gridSpan w:val="3"/>
          </w:tcPr>
          <w:p w:rsidR="004B4385" w:rsidRPr="00AC14F0" w:rsidRDefault="004B4385" w:rsidP="00955865">
            <w:pPr>
              <w:pStyle w:val="Tabletext"/>
            </w:pPr>
            <w:r w:rsidRPr="00AC14F0">
              <w:t>Cost per QALY gained</w:t>
            </w:r>
          </w:p>
        </w:tc>
        <w:tc>
          <w:tcPr>
            <w:tcW w:w="1922" w:type="dxa"/>
          </w:tcPr>
          <w:p w:rsidR="004B4385" w:rsidRPr="00042B67" w:rsidRDefault="00042B67" w:rsidP="00955865">
            <w:pPr>
              <w:pStyle w:val="Tabletext"/>
              <w:jc w:val="center"/>
              <w:rPr>
                <w:b/>
                <w:bCs/>
                <w:highlight w:val="black"/>
              </w:rPr>
            </w:pPr>
            <w:r>
              <w:rPr>
                <w:b/>
                <w:bCs/>
                <w:noProof/>
                <w:color w:val="000000"/>
                <w:highlight w:val="black"/>
              </w:rPr>
              <w:t>'''''''''''''''''''''''''</w:t>
            </w:r>
          </w:p>
        </w:tc>
      </w:tr>
      <w:tr w:rsidR="004B4385" w:rsidRPr="00AC14F0" w:rsidTr="00E33AAD">
        <w:tc>
          <w:tcPr>
            <w:tcW w:w="8918" w:type="dxa"/>
            <w:gridSpan w:val="4"/>
          </w:tcPr>
          <w:p w:rsidR="004B4385" w:rsidRPr="00AC14F0" w:rsidRDefault="004B4385" w:rsidP="00955865">
            <w:pPr>
              <w:pStyle w:val="Tabletext"/>
              <w:rPr>
                <w:b/>
              </w:rPr>
            </w:pPr>
            <w:r w:rsidRPr="00AC14F0">
              <w:rPr>
                <w:b/>
              </w:rPr>
              <w:t>Step 3 – Cost utility analysis at Year 10 including administration and monitoring costs</w:t>
            </w:r>
          </w:p>
        </w:tc>
      </w:tr>
      <w:tr w:rsidR="004B4385" w:rsidRPr="00AC14F0" w:rsidTr="00E33AAD">
        <w:tc>
          <w:tcPr>
            <w:tcW w:w="3156" w:type="dxa"/>
          </w:tcPr>
          <w:p w:rsidR="004B4385" w:rsidRPr="00AC14F0" w:rsidRDefault="004B4385" w:rsidP="00955865">
            <w:pPr>
              <w:pStyle w:val="Tabletext"/>
            </w:pPr>
            <w:r w:rsidRPr="00AC14F0">
              <w:t>Cost</w:t>
            </w:r>
          </w:p>
        </w:tc>
        <w:tc>
          <w:tcPr>
            <w:tcW w:w="1920" w:type="dxa"/>
          </w:tcPr>
          <w:p w:rsidR="004B4385" w:rsidRPr="00AC14F0" w:rsidRDefault="004B4385" w:rsidP="00955865">
            <w:pPr>
              <w:pStyle w:val="Tabletext"/>
              <w:jc w:val="center"/>
            </w:pPr>
            <w:r w:rsidRPr="00AC14F0">
              <w:t>$</w:t>
            </w:r>
            <w:r w:rsidR="00042B67">
              <w:rPr>
                <w:noProof/>
                <w:color w:val="000000"/>
                <w:highlight w:val="black"/>
              </w:rPr>
              <w:t>''''''''''''''''''''''</w:t>
            </w:r>
          </w:p>
        </w:tc>
        <w:tc>
          <w:tcPr>
            <w:tcW w:w="1920" w:type="dxa"/>
          </w:tcPr>
          <w:p w:rsidR="004B4385" w:rsidRPr="00AC14F0" w:rsidRDefault="004B4385" w:rsidP="00955865">
            <w:pPr>
              <w:pStyle w:val="Tabletext"/>
              <w:jc w:val="center"/>
            </w:pPr>
            <w:r w:rsidRPr="00AC14F0">
              <w:t>$</w:t>
            </w:r>
            <w:r w:rsidR="00042B67">
              <w:rPr>
                <w:noProof/>
                <w:color w:val="000000"/>
                <w:highlight w:val="black"/>
              </w:rPr>
              <w:t>'''''''''''''''''''''''</w:t>
            </w:r>
          </w:p>
        </w:tc>
        <w:tc>
          <w:tcPr>
            <w:tcW w:w="1922" w:type="dxa"/>
          </w:tcPr>
          <w:p w:rsidR="004B4385" w:rsidRPr="00AC14F0" w:rsidRDefault="004B4385" w:rsidP="00955865">
            <w:pPr>
              <w:pStyle w:val="Tabletext"/>
              <w:jc w:val="center"/>
            </w:pPr>
            <w:r w:rsidRPr="00AC14F0">
              <w:t>-$</w:t>
            </w:r>
            <w:r w:rsidR="00042B67">
              <w:rPr>
                <w:noProof/>
                <w:color w:val="000000"/>
                <w:highlight w:val="black"/>
              </w:rPr>
              <w:t>''''''''''''''''''''</w:t>
            </w:r>
          </w:p>
        </w:tc>
      </w:tr>
      <w:tr w:rsidR="004B4385" w:rsidRPr="00AC14F0" w:rsidTr="00E33AAD">
        <w:tc>
          <w:tcPr>
            <w:tcW w:w="3156" w:type="dxa"/>
          </w:tcPr>
          <w:p w:rsidR="004B4385" w:rsidRPr="00AC14F0" w:rsidRDefault="004B4385" w:rsidP="00955865">
            <w:pPr>
              <w:pStyle w:val="Tabletext"/>
            </w:pPr>
            <w:r w:rsidRPr="00AC14F0">
              <w:t>QALYs</w:t>
            </w:r>
          </w:p>
        </w:tc>
        <w:tc>
          <w:tcPr>
            <w:tcW w:w="1920" w:type="dxa"/>
          </w:tcPr>
          <w:p w:rsidR="004B4385" w:rsidRPr="00042B67" w:rsidRDefault="00042B67" w:rsidP="00955865">
            <w:pPr>
              <w:pStyle w:val="Tabletext"/>
              <w:jc w:val="center"/>
              <w:rPr>
                <w:highlight w:val="black"/>
              </w:rPr>
            </w:pPr>
            <w:r>
              <w:rPr>
                <w:noProof/>
                <w:color w:val="000000"/>
                <w:highlight w:val="black"/>
              </w:rPr>
              <w:t>'''''''''''</w:t>
            </w:r>
          </w:p>
        </w:tc>
        <w:tc>
          <w:tcPr>
            <w:tcW w:w="1920" w:type="dxa"/>
          </w:tcPr>
          <w:p w:rsidR="004B4385" w:rsidRPr="00042B67" w:rsidRDefault="00042B67" w:rsidP="00955865">
            <w:pPr>
              <w:pStyle w:val="Tabletext"/>
              <w:jc w:val="center"/>
              <w:rPr>
                <w:highlight w:val="black"/>
              </w:rPr>
            </w:pPr>
            <w:r>
              <w:rPr>
                <w:noProof/>
                <w:color w:val="000000"/>
                <w:highlight w:val="black"/>
              </w:rPr>
              <w:t>''''''''''</w:t>
            </w:r>
          </w:p>
        </w:tc>
        <w:tc>
          <w:tcPr>
            <w:tcW w:w="1922" w:type="dxa"/>
          </w:tcPr>
          <w:p w:rsidR="004B4385" w:rsidRPr="00042B67" w:rsidRDefault="00042B67" w:rsidP="00955865">
            <w:pPr>
              <w:pStyle w:val="Tabletext"/>
              <w:jc w:val="center"/>
              <w:rPr>
                <w:highlight w:val="black"/>
              </w:rPr>
            </w:pPr>
            <w:r>
              <w:rPr>
                <w:noProof/>
                <w:color w:val="000000"/>
                <w:highlight w:val="black"/>
              </w:rPr>
              <w:t>''''''''''</w:t>
            </w:r>
          </w:p>
        </w:tc>
      </w:tr>
      <w:tr w:rsidR="004B4385" w:rsidRPr="00AC14F0" w:rsidTr="00E33AAD">
        <w:tc>
          <w:tcPr>
            <w:tcW w:w="6996" w:type="dxa"/>
            <w:gridSpan w:val="3"/>
          </w:tcPr>
          <w:p w:rsidR="004B4385" w:rsidRPr="00AC14F0" w:rsidRDefault="004B4385" w:rsidP="00955865">
            <w:pPr>
              <w:pStyle w:val="Tabletext"/>
            </w:pPr>
            <w:r w:rsidRPr="00AC14F0">
              <w:t>Cost per QALY gained</w:t>
            </w:r>
          </w:p>
        </w:tc>
        <w:tc>
          <w:tcPr>
            <w:tcW w:w="1922" w:type="dxa"/>
          </w:tcPr>
          <w:p w:rsidR="004B4385" w:rsidRPr="00042B67" w:rsidRDefault="00042B67" w:rsidP="00955865">
            <w:pPr>
              <w:pStyle w:val="Tabletext"/>
              <w:jc w:val="center"/>
              <w:rPr>
                <w:b/>
                <w:bCs/>
                <w:highlight w:val="black"/>
              </w:rPr>
            </w:pPr>
            <w:r>
              <w:rPr>
                <w:b/>
                <w:bCs/>
                <w:noProof/>
                <w:color w:val="000000"/>
                <w:highlight w:val="black"/>
              </w:rPr>
              <w:t>''''''''''''''''''''''''</w:t>
            </w:r>
          </w:p>
        </w:tc>
      </w:tr>
      <w:tr w:rsidR="004B4385" w:rsidRPr="00AC14F0" w:rsidTr="00E33AAD">
        <w:trPr>
          <w:trHeight w:val="269"/>
        </w:trPr>
        <w:tc>
          <w:tcPr>
            <w:tcW w:w="8918" w:type="dxa"/>
            <w:gridSpan w:val="4"/>
          </w:tcPr>
          <w:p w:rsidR="004B4385" w:rsidRPr="00AC14F0" w:rsidRDefault="004B4385" w:rsidP="00955865">
            <w:pPr>
              <w:pStyle w:val="Tabletext"/>
              <w:rPr>
                <w:b/>
              </w:rPr>
            </w:pPr>
            <w:r w:rsidRPr="00AC14F0">
              <w:rPr>
                <w:b/>
              </w:rPr>
              <w:t>Step 4 – Cost utility analysis at Year 10 including all costs</w:t>
            </w:r>
          </w:p>
        </w:tc>
      </w:tr>
      <w:tr w:rsidR="004B4385" w:rsidRPr="00AC14F0" w:rsidTr="00E33AAD">
        <w:trPr>
          <w:trHeight w:val="241"/>
        </w:trPr>
        <w:tc>
          <w:tcPr>
            <w:tcW w:w="3156" w:type="dxa"/>
            <w:tcBorders>
              <w:bottom w:val="nil"/>
            </w:tcBorders>
          </w:tcPr>
          <w:p w:rsidR="004B4385" w:rsidRPr="00AC14F0" w:rsidRDefault="004B4385" w:rsidP="00955865">
            <w:pPr>
              <w:pStyle w:val="Tabletext"/>
            </w:pPr>
            <w:r w:rsidRPr="00AC14F0">
              <w:t>Cost</w:t>
            </w:r>
          </w:p>
        </w:tc>
        <w:tc>
          <w:tcPr>
            <w:tcW w:w="1920" w:type="dxa"/>
            <w:tcBorders>
              <w:bottom w:val="nil"/>
            </w:tcBorders>
          </w:tcPr>
          <w:p w:rsidR="004B4385" w:rsidRPr="00AC14F0" w:rsidRDefault="004B4385" w:rsidP="00955865">
            <w:pPr>
              <w:pStyle w:val="Tabletext"/>
              <w:jc w:val="center"/>
            </w:pPr>
            <w:r w:rsidRPr="00AC14F0">
              <w:t>$</w:t>
            </w:r>
            <w:r w:rsidR="00042B67">
              <w:rPr>
                <w:noProof/>
                <w:color w:val="000000"/>
                <w:highlight w:val="black"/>
              </w:rPr>
              <w:t>''''''''''''''</w:t>
            </w:r>
          </w:p>
        </w:tc>
        <w:tc>
          <w:tcPr>
            <w:tcW w:w="1920" w:type="dxa"/>
            <w:tcBorders>
              <w:bottom w:val="nil"/>
            </w:tcBorders>
          </w:tcPr>
          <w:p w:rsidR="004B4385" w:rsidRPr="00AC14F0" w:rsidRDefault="004B4385" w:rsidP="00955865">
            <w:pPr>
              <w:pStyle w:val="Tabletext"/>
              <w:jc w:val="center"/>
            </w:pPr>
            <w:r w:rsidRPr="00AC14F0">
              <w:t>$</w:t>
            </w:r>
            <w:r w:rsidR="00042B67">
              <w:rPr>
                <w:noProof/>
                <w:color w:val="000000"/>
                <w:highlight w:val="black"/>
              </w:rPr>
              <w:t>''''''''''''''''</w:t>
            </w:r>
          </w:p>
        </w:tc>
        <w:tc>
          <w:tcPr>
            <w:tcW w:w="1922" w:type="dxa"/>
            <w:tcBorders>
              <w:bottom w:val="nil"/>
            </w:tcBorders>
          </w:tcPr>
          <w:p w:rsidR="004B4385" w:rsidRPr="00AC14F0" w:rsidRDefault="004B4385" w:rsidP="00955865">
            <w:pPr>
              <w:pStyle w:val="Tabletext"/>
              <w:jc w:val="center"/>
            </w:pPr>
            <w:r w:rsidRPr="00AC14F0">
              <w:t>-$</w:t>
            </w:r>
            <w:r w:rsidR="00042B67">
              <w:rPr>
                <w:noProof/>
                <w:color w:val="000000"/>
                <w:highlight w:val="black"/>
              </w:rPr>
              <w:t>'''''''''''''''''</w:t>
            </w:r>
          </w:p>
        </w:tc>
      </w:tr>
      <w:tr w:rsidR="004B4385" w:rsidRPr="00AC14F0" w:rsidTr="00E33AAD">
        <w:trPr>
          <w:trHeight w:val="241"/>
        </w:trPr>
        <w:tc>
          <w:tcPr>
            <w:tcW w:w="3156" w:type="dxa"/>
            <w:tcBorders>
              <w:top w:val="nil"/>
            </w:tcBorders>
          </w:tcPr>
          <w:p w:rsidR="004B4385" w:rsidRPr="00AC14F0" w:rsidRDefault="004B4385" w:rsidP="00955865">
            <w:pPr>
              <w:pStyle w:val="Tabletext"/>
              <w:rPr>
                <w:i/>
              </w:rPr>
            </w:pPr>
            <w:r w:rsidRPr="00AC14F0">
              <w:rPr>
                <w:i/>
              </w:rPr>
              <w:t>Revised^</w:t>
            </w:r>
          </w:p>
        </w:tc>
        <w:tc>
          <w:tcPr>
            <w:tcW w:w="1920" w:type="dxa"/>
            <w:tcBorders>
              <w:top w:val="nil"/>
            </w:tcBorders>
          </w:tcPr>
          <w:p w:rsidR="004B4385" w:rsidRPr="00AC14F0" w:rsidRDefault="004B4385" w:rsidP="00955865">
            <w:pPr>
              <w:pStyle w:val="Tabletext"/>
              <w:jc w:val="center"/>
              <w:rPr>
                <w:i/>
              </w:rPr>
            </w:pPr>
            <w:r w:rsidRPr="00AC14F0">
              <w:rPr>
                <w:i/>
                <w:color w:val="000000"/>
              </w:rPr>
              <w:t>$</w:t>
            </w:r>
            <w:r w:rsidR="00042B67">
              <w:rPr>
                <w:i/>
                <w:noProof/>
                <w:color w:val="000000"/>
                <w:highlight w:val="black"/>
              </w:rPr>
              <w:t>'''''''''''''''</w:t>
            </w:r>
          </w:p>
        </w:tc>
        <w:tc>
          <w:tcPr>
            <w:tcW w:w="1920" w:type="dxa"/>
            <w:tcBorders>
              <w:top w:val="nil"/>
            </w:tcBorders>
          </w:tcPr>
          <w:p w:rsidR="004B4385" w:rsidRPr="00AC14F0" w:rsidRDefault="004B4385" w:rsidP="00955865">
            <w:pPr>
              <w:pStyle w:val="Tabletext"/>
              <w:jc w:val="center"/>
              <w:rPr>
                <w:i/>
              </w:rPr>
            </w:pPr>
            <w:r w:rsidRPr="00AC14F0">
              <w:rPr>
                <w:i/>
                <w:color w:val="000000"/>
              </w:rPr>
              <w:t>$</w:t>
            </w:r>
            <w:r w:rsidR="00042B67">
              <w:rPr>
                <w:i/>
                <w:noProof/>
                <w:color w:val="000000"/>
                <w:highlight w:val="black"/>
              </w:rPr>
              <w:t>''''''''''''''''</w:t>
            </w:r>
          </w:p>
        </w:tc>
        <w:tc>
          <w:tcPr>
            <w:tcW w:w="1922" w:type="dxa"/>
            <w:tcBorders>
              <w:top w:val="nil"/>
            </w:tcBorders>
          </w:tcPr>
          <w:p w:rsidR="004B4385" w:rsidRPr="00AC14F0" w:rsidRDefault="004B4385" w:rsidP="00955865">
            <w:pPr>
              <w:pStyle w:val="Tabletext"/>
              <w:jc w:val="center"/>
              <w:rPr>
                <w:i/>
              </w:rPr>
            </w:pPr>
            <w:r w:rsidRPr="00AC14F0">
              <w:rPr>
                <w:i/>
                <w:color w:val="000000"/>
              </w:rPr>
              <w:t>-$</w:t>
            </w:r>
            <w:r w:rsidR="00042B67">
              <w:rPr>
                <w:i/>
                <w:noProof/>
                <w:color w:val="000000"/>
                <w:highlight w:val="black"/>
              </w:rPr>
              <w:t>'''''''''''''''''</w:t>
            </w:r>
          </w:p>
        </w:tc>
      </w:tr>
      <w:tr w:rsidR="004B4385" w:rsidRPr="00AC14F0" w:rsidTr="00E33AAD">
        <w:trPr>
          <w:trHeight w:val="199"/>
        </w:trPr>
        <w:tc>
          <w:tcPr>
            <w:tcW w:w="3156" w:type="dxa"/>
            <w:tcBorders>
              <w:bottom w:val="single" w:sz="4" w:space="0" w:color="auto"/>
            </w:tcBorders>
          </w:tcPr>
          <w:p w:rsidR="004B4385" w:rsidRPr="00AC14F0" w:rsidRDefault="004B4385" w:rsidP="00955865">
            <w:pPr>
              <w:pStyle w:val="Tabletext"/>
            </w:pPr>
            <w:r w:rsidRPr="00AC14F0">
              <w:t>QALYs</w:t>
            </w:r>
          </w:p>
        </w:tc>
        <w:tc>
          <w:tcPr>
            <w:tcW w:w="1920" w:type="dxa"/>
            <w:tcBorders>
              <w:bottom w:val="single" w:sz="4" w:space="0" w:color="auto"/>
            </w:tcBorders>
          </w:tcPr>
          <w:p w:rsidR="004B4385" w:rsidRPr="00042B67" w:rsidRDefault="00042B67" w:rsidP="00955865">
            <w:pPr>
              <w:pStyle w:val="Tabletext"/>
              <w:jc w:val="center"/>
              <w:rPr>
                <w:highlight w:val="black"/>
              </w:rPr>
            </w:pPr>
            <w:r>
              <w:rPr>
                <w:noProof/>
                <w:color w:val="000000"/>
                <w:highlight w:val="black"/>
              </w:rPr>
              <w:t>''''''''''''</w:t>
            </w:r>
          </w:p>
        </w:tc>
        <w:tc>
          <w:tcPr>
            <w:tcW w:w="1920" w:type="dxa"/>
            <w:tcBorders>
              <w:bottom w:val="single" w:sz="4" w:space="0" w:color="auto"/>
            </w:tcBorders>
          </w:tcPr>
          <w:p w:rsidR="004B4385" w:rsidRPr="00042B67" w:rsidRDefault="00042B67" w:rsidP="00955865">
            <w:pPr>
              <w:pStyle w:val="Tabletext"/>
              <w:jc w:val="center"/>
              <w:rPr>
                <w:highlight w:val="black"/>
              </w:rPr>
            </w:pPr>
            <w:r>
              <w:rPr>
                <w:noProof/>
                <w:color w:val="000000"/>
                <w:highlight w:val="black"/>
              </w:rPr>
              <w:t>''''''''''''</w:t>
            </w:r>
          </w:p>
        </w:tc>
        <w:tc>
          <w:tcPr>
            <w:tcW w:w="1922" w:type="dxa"/>
            <w:tcBorders>
              <w:bottom w:val="single" w:sz="4" w:space="0" w:color="auto"/>
            </w:tcBorders>
          </w:tcPr>
          <w:p w:rsidR="004B4385" w:rsidRPr="00042B67" w:rsidRDefault="00042B67" w:rsidP="00955865">
            <w:pPr>
              <w:pStyle w:val="Tabletext"/>
              <w:jc w:val="center"/>
              <w:rPr>
                <w:highlight w:val="black"/>
              </w:rPr>
            </w:pPr>
            <w:r>
              <w:rPr>
                <w:noProof/>
                <w:color w:val="000000"/>
                <w:highlight w:val="black"/>
              </w:rPr>
              <w:t>'''''''''''</w:t>
            </w:r>
          </w:p>
        </w:tc>
      </w:tr>
      <w:tr w:rsidR="004B4385" w:rsidRPr="00AC14F0" w:rsidTr="00E33AAD">
        <w:trPr>
          <w:trHeight w:val="75"/>
        </w:trPr>
        <w:tc>
          <w:tcPr>
            <w:tcW w:w="6996" w:type="dxa"/>
            <w:gridSpan w:val="3"/>
            <w:tcBorders>
              <w:bottom w:val="single" w:sz="4" w:space="0" w:color="auto"/>
            </w:tcBorders>
          </w:tcPr>
          <w:p w:rsidR="004B4385" w:rsidRPr="00AC14F0" w:rsidRDefault="004B4385" w:rsidP="00955865">
            <w:pPr>
              <w:pStyle w:val="Tabletext"/>
            </w:pPr>
            <w:r w:rsidRPr="00AC14F0">
              <w:t>Cost per QALY gained</w:t>
            </w:r>
          </w:p>
        </w:tc>
        <w:tc>
          <w:tcPr>
            <w:tcW w:w="1922" w:type="dxa"/>
            <w:tcBorders>
              <w:bottom w:val="single" w:sz="4" w:space="0" w:color="auto"/>
            </w:tcBorders>
          </w:tcPr>
          <w:p w:rsidR="004B4385" w:rsidRPr="00042B67" w:rsidRDefault="00042B67" w:rsidP="00955865">
            <w:pPr>
              <w:pStyle w:val="Tabletext"/>
              <w:jc w:val="center"/>
              <w:rPr>
                <w:b/>
                <w:bCs/>
                <w:highlight w:val="black"/>
              </w:rPr>
            </w:pPr>
            <w:r>
              <w:rPr>
                <w:b/>
                <w:bCs/>
                <w:noProof/>
                <w:color w:val="000000"/>
                <w:highlight w:val="black"/>
              </w:rPr>
              <w:t>''''''''''''''''''''''''</w:t>
            </w:r>
          </w:p>
        </w:tc>
      </w:tr>
    </w:tbl>
    <w:p w:rsidR="004B4385" w:rsidRPr="00AC14F0" w:rsidRDefault="004B4385" w:rsidP="004B4385">
      <w:pPr>
        <w:pStyle w:val="TableFooter"/>
      </w:pPr>
      <w:r w:rsidRPr="00AC14F0">
        <w:t>*Results for Group II and vPDT treatment arms from RADIANCE</w:t>
      </w:r>
    </w:p>
    <w:p w:rsidR="004B4385" w:rsidRDefault="004B4385" w:rsidP="004B4385">
      <w:pPr>
        <w:pStyle w:val="TableFooter"/>
      </w:pPr>
      <w:r w:rsidRPr="00AC14F0">
        <w:t>^ This table in the submission was inconsistent with the results provided in other tables, and the results provided in EconomicModel_Rani</w:t>
      </w:r>
      <w:r w:rsidR="0026690A">
        <w:t>bizumab_PM.xlsx, Results sheet.</w:t>
      </w:r>
    </w:p>
    <w:p w:rsidR="00D04008" w:rsidRPr="00AC14F0" w:rsidRDefault="00D04008" w:rsidP="004B4385">
      <w:pPr>
        <w:pStyle w:val="TableFooter"/>
      </w:pPr>
      <w:r>
        <w:t>vPDT = verteporfin photodynamic therapy; BCVA = best corrected visual acuity; QA</w:t>
      </w:r>
      <w:r w:rsidR="0026690A">
        <w:t>LY = quality-adjusted life year.</w:t>
      </w:r>
    </w:p>
    <w:p w:rsidR="004B4385" w:rsidRPr="00AC14F0" w:rsidRDefault="004B4385" w:rsidP="004B4385">
      <w:pPr>
        <w:pStyle w:val="TableFooter"/>
      </w:pPr>
      <w:r w:rsidRPr="00AC14F0">
        <w:t>Source: Table 3.8-2, p 1</w:t>
      </w:r>
      <w:r w:rsidR="00EC6777">
        <w:t>09, Section 3 of the submission</w:t>
      </w:r>
    </w:p>
    <w:p w:rsidR="004B4385" w:rsidRPr="000C0DFF" w:rsidRDefault="004B4385" w:rsidP="00E567E7">
      <w:pPr>
        <w:pStyle w:val="ListParagraph"/>
        <w:widowControl/>
        <w:numPr>
          <w:ilvl w:val="1"/>
          <w:numId w:val="1"/>
        </w:numPr>
        <w:spacing w:before="160"/>
      </w:pPr>
      <w:r w:rsidRPr="000C0DFF">
        <w:t>The results of the economic evaluation indicated that ranibizumab dominated vPDT for the treatment of CNV secondary to PM. This is primarily due to the higher cost and lower effect of vPDT than ranibizumab. The PBAC had previously considered that vPDT is not cost-effective compared with placebo in the treatment of CNV secondary to PM.</w:t>
      </w:r>
    </w:p>
    <w:p w:rsidR="004270FB" w:rsidRPr="000C0DFF" w:rsidRDefault="004B4385" w:rsidP="004270FB">
      <w:pPr>
        <w:pStyle w:val="ListParagraph"/>
        <w:widowControl/>
        <w:numPr>
          <w:ilvl w:val="1"/>
          <w:numId w:val="1"/>
        </w:numPr>
      </w:pPr>
      <w:r w:rsidRPr="000C0DFF">
        <w:t>The submission has conducted a range of sensitivity analyses, but none of them could address the concern regarding the inappropriateness of the comparator.</w:t>
      </w:r>
    </w:p>
    <w:p w:rsidR="00406B98" w:rsidRPr="000C0DFF" w:rsidRDefault="00731975" w:rsidP="00AC1DDD">
      <w:pPr>
        <w:keepNext/>
        <w:rPr>
          <w:b/>
        </w:rPr>
      </w:pPr>
      <w:bookmarkStart w:id="26" w:name="_Toc371170711"/>
      <w:bookmarkStart w:id="27" w:name="_Toc500757995"/>
      <w:r w:rsidRPr="000C0DFF">
        <w:rPr>
          <w:b/>
        </w:rPr>
        <w:lastRenderedPageBreak/>
        <w:t>Additional analys</w:t>
      </w:r>
      <w:r w:rsidR="0026690A">
        <w:rPr>
          <w:b/>
        </w:rPr>
        <w:t>e</w:t>
      </w:r>
      <w:r w:rsidRPr="000C0DFF">
        <w:rPr>
          <w:b/>
        </w:rPr>
        <w:t>s for PBAC</w:t>
      </w:r>
      <w:r w:rsidR="004A7351" w:rsidRPr="000C0DFF">
        <w:rPr>
          <w:b/>
        </w:rPr>
        <w:t xml:space="preserve"> </w:t>
      </w:r>
      <w:r w:rsidR="00356554" w:rsidRPr="000C0DFF">
        <w:rPr>
          <w:b/>
        </w:rPr>
        <w:t>c</w:t>
      </w:r>
      <w:r w:rsidR="004A7351" w:rsidRPr="000C0DFF">
        <w:rPr>
          <w:b/>
        </w:rPr>
        <w:t>onsideration</w:t>
      </w:r>
    </w:p>
    <w:p w:rsidR="00406B98" w:rsidRPr="000C0DFF" w:rsidRDefault="00406B98" w:rsidP="00E567E7">
      <w:pPr>
        <w:pStyle w:val="ListParagraph"/>
        <w:widowControl/>
        <w:numPr>
          <w:ilvl w:val="1"/>
          <w:numId w:val="1"/>
        </w:numPr>
      </w:pPr>
      <w:r w:rsidRPr="000C0DFF">
        <w:t xml:space="preserve">The appropriateness of the comparator (vPDT) was noted as a major concern, given the lack of cost-effectiveness of vPDT (large cost and small effect). In its consideration of verteporfin for PM in November 2005, the PBAC noted that the statistically significant reduction in risk of visual loss at 12 months did not persist at 24 months. Thus, it is not clear that there is a worthwhile verteporfin treatment effect in this population. Small modelled incremental benefits for this population resulted in a highly uncertain and unacceptably high cost-effectiveness ratio (Section 10, Verteporfin </w:t>
      </w:r>
      <w:r w:rsidR="00A83BF2">
        <w:t>PSD</w:t>
      </w:r>
      <w:r w:rsidRPr="000C0DFF">
        <w:t>, November 2005 Meeting).</w:t>
      </w:r>
    </w:p>
    <w:p w:rsidR="00406B98" w:rsidRPr="000C0DFF" w:rsidRDefault="00406B98" w:rsidP="00E567E7">
      <w:pPr>
        <w:pStyle w:val="ListParagraph"/>
        <w:widowControl/>
        <w:numPr>
          <w:ilvl w:val="1"/>
          <w:numId w:val="1"/>
        </w:numPr>
      </w:pPr>
      <w:r w:rsidRPr="000C0DFF">
        <w:t>If PBAC accepts other parameters in the economic model as reasonable, a pragmatic (and possibly conservative) approach would be to model the cost-effectiveness of ranibizumab versus sham injection, by removing the cost associated with vPDT and its administration, while assuming the same treatment effect and healthcare resource consequences as originally modelled for the vPDT arm (see analysis #1 in Table</w:t>
      </w:r>
      <w:r w:rsidR="00071C5D" w:rsidRPr="000C0DFF">
        <w:t xml:space="preserve"> 12</w:t>
      </w:r>
      <w:r w:rsidRPr="000C0DFF">
        <w:t xml:space="preserve"> below). It is noted that this is likely to overestimate the health outcomes associated with sham for this indication if the PBAC accepts the submission’s approach to modelling the vPDT arm, but may be informative to the PBAC. It </w:t>
      </w:r>
      <w:r w:rsidR="007F1C59">
        <w:t>wa</w:t>
      </w:r>
      <w:r w:rsidRPr="000C0DFF">
        <w:t xml:space="preserve">s acknowledged that the effect of vPDT estimated in the model is highly uncertain, given that they were derived from only 15 patients and 13 of them were not eligible for re-treatment (guided by disease activity) as observed in RADIANCE. </w:t>
      </w:r>
      <w:r w:rsidR="00DF040A" w:rsidRPr="000C0DFF">
        <w:t xml:space="preserve">Thus if the PBAC accepted this general approach, but would prefer the transition probabilities to be driven by the ITT population of the vPDT arm, this </w:t>
      </w:r>
      <w:r w:rsidR="00071C5D" w:rsidRPr="000C0DFF">
        <w:t>analysis could have been provided by the submission</w:t>
      </w:r>
      <w:r w:rsidR="00DF040A" w:rsidRPr="000C0DFF">
        <w:t>.</w:t>
      </w:r>
    </w:p>
    <w:p w:rsidR="00637883" w:rsidRPr="000C0DFF" w:rsidRDefault="00892A27" w:rsidP="00E567E7">
      <w:pPr>
        <w:pStyle w:val="ListParagraph"/>
        <w:widowControl/>
        <w:numPr>
          <w:ilvl w:val="1"/>
          <w:numId w:val="1"/>
        </w:numPr>
      </w:pPr>
      <w:r w:rsidRPr="000C0DFF">
        <w:t>The PSCR provided a revised ICER using the sham arm of the VIP trial</w:t>
      </w:r>
      <w:r w:rsidR="00637883" w:rsidRPr="000C0DFF">
        <w:rPr>
          <w:rStyle w:val="FootnoteReference"/>
        </w:rPr>
        <w:footnoteReference w:id="6"/>
      </w:r>
      <w:r w:rsidR="00D9596E">
        <w:t xml:space="preserve"> </w:t>
      </w:r>
      <w:r w:rsidR="00637883" w:rsidRPr="000C0DFF">
        <w:t>which compared vPDT and sham</w:t>
      </w:r>
      <w:r w:rsidR="00917226" w:rsidRPr="000C0DFF">
        <w:t xml:space="preserve">. This revised ICER </w:t>
      </w:r>
      <w:r w:rsidR="00637883" w:rsidRPr="000C0DFF">
        <w:t>maintained the dominance of ranibizumab over sham. However, the ESC w</w:t>
      </w:r>
      <w:r w:rsidR="00C64414" w:rsidRPr="000C0DFF">
        <w:t>as</w:t>
      </w:r>
      <w:r w:rsidR="00637883" w:rsidRPr="000C0DFF">
        <w:t xml:space="preserve"> unable to verify the indirect comparison </w:t>
      </w:r>
      <w:r w:rsidR="00C64414" w:rsidRPr="000C0DFF">
        <w:t>between</w:t>
      </w:r>
      <w:r w:rsidR="00917226" w:rsidRPr="000C0DFF">
        <w:t xml:space="preserve"> the RADIANCE and VIP trials </w:t>
      </w:r>
      <w:r w:rsidR="00637883" w:rsidRPr="000C0DFF">
        <w:t>and the revised ICER. Nonetheless, even under the conservative assumptions of no vPDT costs and no risk of falls using the modelled RADIANCE trial data, the ICER</w:t>
      </w:r>
      <w:r w:rsidR="00BF7438" w:rsidRPr="000C0DFF">
        <w:t xml:space="preserve"> remained </w:t>
      </w:r>
      <w:r w:rsidR="00D9596E">
        <w:t xml:space="preserve">less than $15,000 per </w:t>
      </w:r>
      <w:r w:rsidR="00BF7438" w:rsidRPr="000C0DFF">
        <w:t>QALY gained.</w:t>
      </w:r>
      <w:r w:rsidR="006D7DEE" w:rsidRPr="000C0DFF">
        <w:t xml:space="preserve"> This was, however, still sensitive to the frequency of injections and duration of therapy with</w:t>
      </w:r>
      <w:r w:rsidR="0049455A" w:rsidRPr="000C0DFF">
        <w:t xml:space="preserve"> ranibizumab (see Table 14</w:t>
      </w:r>
      <w:r w:rsidR="006D7DEE" w:rsidRPr="000C0DFF">
        <w:t>).</w:t>
      </w:r>
    </w:p>
    <w:p w:rsidR="00D71ECC" w:rsidRPr="000C0DFF" w:rsidRDefault="00D71ECC" w:rsidP="00E567E7">
      <w:pPr>
        <w:pStyle w:val="ListParagraph"/>
        <w:widowControl/>
        <w:numPr>
          <w:ilvl w:val="1"/>
          <w:numId w:val="1"/>
        </w:numPr>
      </w:pPr>
      <w:r w:rsidRPr="000C0DFF">
        <w:t>In the consideration of ranibizumab for both DME and</w:t>
      </w:r>
      <w:r w:rsidR="00071C5D" w:rsidRPr="000C0DFF">
        <w:t xml:space="preserve"> </w:t>
      </w:r>
      <w:r w:rsidRPr="000C0DFF">
        <w:t>RVO, the Commentary, ESC and PBAC each provided a different revised base case. A summary of differences in key variables between the current submission, and the revised base case estimates for the ranibizumab submissions for DME and RVO (July 2014 PBAC meeting) a</w:t>
      </w:r>
      <w:r w:rsidR="00D811C4" w:rsidRPr="000C0DFF">
        <w:t>re provided in Table 12</w:t>
      </w:r>
      <w:r w:rsidR="00BF7438" w:rsidRPr="000C0DFF">
        <w:t>.</w:t>
      </w:r>
    </w:p>
    <w:p w:rsidR="00D71ECC" w:rsidRPr="00926266" w:rsidRDefault="00D71ECC" w:rsidP="00954388">
      <w:pPr>
        <w:keepNext/>
        <w:widowControl/>
        <w:rPr>
          <w:rStyle w:val="CommentReference"/>
        </w:rPr>
      </w:pPr>
      <w:r w:rsidRPr="00071C5D">
        <w:rPr>
          <w:rStyle w:val="CommentReference"/>
        </w:rPr>
        <w:lastRenderedPageBreak/>
        <w:t>T</w:t>
      </w:r>
      <w:r w:rsidR="00071C5D" w:rsidRPr="00071C5D">
        <w:rPr>
          <w:rStyle w:val="CommentReference"/>
        </w:rPr>
        <w:t>able 12</w:t>
      </w:r>
      <w:r w:rsidRPr="00071C5D">
        <w:rPr>
          <w:rStyle w:val="CommentReference"/>
        </w:rPr>
        <w:t>: Differences</w:t>
      </w:r>
      <w:r w:rsidRPr="00926266">
        <w:rPr>
          <w:rStyle w:val="CommentReference"/>
        </w:rPr>
        <w:t xml:space="preserve"> in key variables: Current submission vs respecified base cases in the Commentary, ESC advice and PBAC minutes for ranibizumab for DME and RVO (July 2014 PBAC Meeting)</w:t>
      </w:r>
    </w:p>
    <w:tbl>
      <w:tblPr>
        <w:tblStyle w:val="TableGrid"/>
        <w:tblW w:w="5000" w:type="pct"/>
        <w:tblCellMar>
          <w:left w:w="28" w:type="dxa"/>
          <w:right w:w="28" w:type="dxa"/>
        </w:tblCellMar>
        <w:tblLook w:val="04A0" w:firstRow="1" w:lastRow="0" w:firstColumn="1" w:lastColumn="0" w:noHBand="0" w:noVBand="1"/>
        <w:tblCaption w:val="Table 12: Differences in key variables: Current submission vs respecified base cases in the Commentary, ESC advice and PBAC minutes for ranibizumab for DME and RVO (July 2014 PBAC Meeting)"/>
      </w:tblPr>
      <w:tblGrid>
        <w:gridCol w:w="2297"/>
        <w:gridCol w:w="1842"/>
        <w:gridCol w:w="1560"/>
        <w:gridCol w:w="2267"/>
        <w:gridCol w:w="1117"/>
      </w:tblGrid>
      <w:tr w:rsidR="00D71ECC" w:rsidRPr="00C126AD" w:rsidTr="006B6F11">
        <w:trPr>
          <w:tblHeader/>
        </w:trPr>
        <w:tc>
          <w:tcPr>
            <w:tcW w:w="1264" w:type="pct"/>
            <w:vMerge w:val="restart"/>
            <w:vAlign w:val="center"/>
          </w:tcPr>
          <w:p w:rsidR="00D71ECC" w:rsidRPr="00C126AD" w:rsidRDefault="00D71ECC" w:rsidP="00954388">
            <w:pPr>
              <w:keepNext/>
              <w:rPr>
                <w:rFonts w:ascii="Arial Narrow" w:hAnsi="Arial Narrow"/>
                <w:b/>
                <w:sz w:val="20"/>
              </w:rPr>
            </w:pPr>
            <w:r>
              <w:rPr>
                <w:rFonts w:ascii="Arial Narrow" w:hAnsi="Arial Narrow"/>
                <w:b/>
                <w:sz w:val="20"/>
              </w:rPr>
              <w:t>Base case</w:t>
            </w:r>
          </w:p>
        </w:tc>
        <w:tc>
          <w:tcPr>
            <w:tcW w:w="3736" w:type="pct"/>
            <w:gridSpan w:val="4"/>
          </w:tcPr>
          <w:p w:rsidR="00D71ECC" w:rsidRPr="00C126AD" w:rsidRDefault="00D71ECC" w:rsidP="00954388">
            <w:pPr>
              <w:keepNext/>
              <w:jc w:val="center"/>
              <w:rPr>
                <w:rFonts w:ascii="Arial Narrow" w:hAnsi="Arial Narrow"/>
                <w:b/>
                <w:sz w:val="20"/>
              </w:rPr>
            </w:pPr>
            <w:r w:rsidRPr="00C126AD">
              <w:rPr>
                <w:rFonts w:ascii="Arial Narrow" w:hAnsi="Arial Narrow"/>
                <w:b/>
                <w:sz w:val="20"/>
              </w:rPr>
              <w:t>Variables</w:t>
            </w:r>
          </w:p>
        </w:tc>
      </w:tr>
      <w:tr w:rsidR="00D71ECC" w:rsidRPr="00C126AD" w:rsidTr="006B6F11">
        <w:trPr>
          <w:tblHeader/>
        </w:trPr>
        <w:tc>
          <w:tcPr>
            <w:tcW w:w="1264" w:type="pct"/>
            <w:vMerge/>
            <w:vAlign w:val="center"/>
          </w:tcPr>
          <w:p w:rsidR="00D71ECC" w:rsidRPr="00C126AD" w:rsidRDefault="00D71ECC" w:rsidP="00954388">
            <w:pPr>
              <w:keepNext/>
              <w:rPr>
                <w:rFonts w:ascii="Arial Narrow" w:hAnsi="Arial Narrow"/>
                <w:b/>
                <w:sz w:val="20"/>
              </w:rPr>
            </w:pPr>
          </w:p>
        </w:tc>
        <w:tc>
          <w:tcPr>
            <w:tcW w:w="1014" w:type="pct"/>
          </w:tcPr>
          <w:p w:rsidR="00D71ECC" w:rsidRPr="00C126AD" w:rsidRDefault="00D71ECC" w:rsidP="00954388">
            <w:pPr>
              <w:keepNext/>
              <w:jc w:val="center"/>
              <w:rPr>
                <w:rFonts w:ascii="Arial Narrow" w:hAnsi="Arial Narrow"/>
                <w:b/>
                <w:sz w:val="20"/>
              </w:rPr>
            </w:pPr>
            <w:r>
              <w:rPr>
                <w:rFonts w:ascii="Arial Narrow" w:hAnsi="Arial Narrow"/>
                <w:b/>
                <w:sz w:val="20"/>
              </w:rPr>
              <w:t>Utilities</w:t>
            </w:r>
          </w:p>
        </w:tc>
        <w:tc>
          <w:tcPr>
            <w:tcW w:w="859" w:type="pct"/>
            <w:vAlign w:val="center"/>
          </w:tcPr>
          <w:p w:rsidR="00D71ECC" w:rsidRPr="00C126AD" w:rsidRDefault="00D71ECC" w:rsidP="00954388">
            <w:pPr>
              <w:keepNext/>
              <w:jc w:val="center"/>
              <w:rPr>
                <w:rFonts w:ascii="Arial Narrow" w:hAnsi="Arial Narrow"/>
                <w:b/>
                <w:sz w:val="20"/>
              </w:rPr>
            </w:pPr>
            <w:r w:rsidRPr="00C126AD">
              <w:rPr>
                <w:rFonts w:ascii="Arial Narrow" w:hAnsi="Arial Narrow"/>
                <w:b/>
                <w:sz w:val="20"/>
              </w:rPr>
              <w:t>Cost of blindness</w:t>
            </w:r>
          </w:p>
        </w:tc>
        <w:tc>
          <w:tcPr>
            <w:tcW w:w="1248" w:type="pct"/>
            <w:vAlign w:val="center"/>
          </w:tcPr>
          <w:p w:rsidR="00D71ECC" w:rsidRPr="00C126AD" w:rsidRDefault="00D71ECC" w:rsidP="00954388">
            <w:pPr>
              <w:keepNext/>
              <w:jc w:val="center"/>
              <w:rPr>
                <w:rFonts w:ascii="Arial Narrow" w:hAnsi="Arial Narrow"/>
                <w:b/>
                <w:sz w:val="20"/>
              </w:rPr>
            </w:pPr>
            <w:r>
              <w:rPr>
                <w:rFonts w:ascii="Arial Narrow" w:hAnsi="Arial Narrow"/>
                <w:b/>
                <w:sz w:val="20"/>
              </w:rPr>
              <w:t>Risk/c</w:t>
            </w:r>
            <w:r w:rsidRPr="00C126AD">
              <w:rPr>
                <w:rFonts w:ascii="Arial Narrow" w:hAnsi="Arial Narrow"/>
                <w:b/>
                <w:sz w:val="20"/>
              </w:rPr>
              <w:t>ost of falls</w:t>
            </w:r>
          </w:p>
        </w:tc>
        <w:tc>
          <w:tcPr>
            <w:tcW w:w="615" w:type="pct"/>
            <w:vAlign w:val="center"/>
          </w:tcPr>
          <w:p w:rsidR="00D71ECC" w:rsidRPr="00C126AD" w:rsidRDefault="00D71ECC" w:rsidP="00954388">
            <w:pPr>
              <w:keepNext/>
              <w:jc w:val="center"/>
              <w:rPr>
                <w:rFonts w:ascii="Arial Narrow" w:hAnsi="Arial Narrow"/>
                <w:b/>
                <w:sz w:val="20"/>
              </w:rPr>
            </w:pPr>
            <w:r>
              <w:rPr>
                <w:rFonts w:ascii="Arial Narrow" w:hAnsi="Arial Narrow"/>
                <w:b/>
                <w:sz w:val="20"/>
              </w:rPr>
              <w:t>Mortality</w:t>
            </w:r>
          </w:p>
        </w:tc>
      </w:tr>
      <w:tr w:rsidR="00D71ECC" w:rsidRPr="00C126AD" w:rsidTr="00BF7438">
        <w:tc>
          <w:tcPr>
            <w:tcW w:w="1264" w:type="pct"/>
            <w:vAlign w:val="center"/>
          </w:tcPr>
          <w:p w:rsidR="00D71ECC" w:rsidRPr="00053D79" w:rsidRDefault="00D71ECC" w:rsidP="00954388">
            <w:pPr>
              <w:keepNext/>
              <w:jc w:val="left"/>
              <w:rPr>
                <w:rFonts w:ascii="Arial Narrow" w:hAnsi="Arial Narrow"/>
                <w:sz w:val="20"/>
              </w:rPr>
            </w:pPr>
            <w:r w:rsidRPr="00053D79">
              <w:rPr>
                <w:rFonts w:ascii="Arial Narrow" w:hAnsi="Arial Narrow"/>
                <w:sz w:val="20"/>
              </w:rPr>
              <w:t>Current submission</w:t>
            </w:r>
          </w:p>
        </w:tc>
        <w:tc>
          <w:tcPr>
            <w:tcW w:w="1014" w:type="pct"/>
          </w:tcPr>
          <w:p w:rsidR="00D71ECC" w:rsidRPr="00053D79" w:rsidRDefault="00D71ECC" w:rsidP="00954388">
            <w:pPr>
              <w:keepNext/>
              <w:jc w:val="left"/>
              <w:rPr>
                <w:rFonts w:ascii="Arial Narrow" w:hAnsi="Arial Narrow"/>
                <w:sz w:val="20"/>
              </w:rPr>
            </w:pPr>
            <w:r w:rsidRPr="00053D79">
              <w:rPr>
                <w:rFonts w:ascii="Arial Narrow" w:hAnsi="Arial Narrow"/>
                <w:sz w:val="20"/>
              </w:rPr>
              <w:t>AQoL-7D: econometric transformation</w:t>
            </w:r>
          </w:p>
        </w:tc>
        <w:tc>
          <w:tcPr>
            <w:tcW w:w="859" w:type="pct"/>
            <w:vAlign w:val="center"/>
          </w:tcPr>
          <w:p w:rsidR="00D71ECC" w:rsidRPr="00053D79" w:rsidRDefault="00D71ECC" w:rsidP="00954388">
            <w:pPr>
              <w:keepNext/>
              <w:jc w:val="left"/>
              <w:rPr>
                <w:rFonts w:ascii="Arial Narrow" w:hAnsi="Arial Narrow"/>
                <w:sz w:val="20"/>
              </w:rPr>
            </w:pPr>
            <w:r w:rsidRPr="00053D79">
              <w:rPr>
                <w:rFonts w:ascii="Arial Narrow" w:hAnsi="Arial Narrow"/>
                <w:sz w:val="20"/>
              </w:rPr>
              <w:t>Clarke 2008</w:t>
            </w:r>
          </w:p>
        </w:tc>
        <w:tc>
          <w:tcPr>
            <w:tcW w:w="1248" w:type="pct"/>
            <w:vAlign w:val="center"/>
          </w:tcPr>
          <w:p w:rsidR="00D71ECC" w:rsidRDefault="00D71ECC" w:rsidP="00954388">
            <w:pPr>
              <w:keepNext/>
              <w:jc w:val="left"/>
              <w:rPr>
                <w:rFonts w:ascii="Arial Narrow" w:hAnsi="Arial Narrow"/>
                <w:sz w:val="20"/>
              </w:rPr>
            </w:pPr>
            <w:r>
              <w:rPr>
                <w:rFonts w:ascii="Arial Narrow" w:hAnsi="Arial Narrow"/>
                <w:sz w:val="20"/>
              </w:rPr>
              <w:t>Risk: BMES</w:t>
            </w:r>
          </w:p>
          <w:p w:rsidR="00D71ECC" w:rsidRPr="00053D79" w:rsidRDefault="00D71ECC" w:rsidP="00954388">
            <w:pPr>
              <w:keepNext/>
              <w:jc w:val="left"/>
              <w:rPr>
                <w:rFonts w:ascii="Arial Narrow" w:hAnsi="Arial Narrow"/>
                <w:sz w:val="20"/>
              </w:rPr>
            </w:pPr>
            <w:r>
              <w:rPr>
                <w:rFonts w:ascii="Arial Narrow" w:hAnsi="Arial Narrow"/>
                <w:sz w:val="20"/>
              </w:rPr>
              <w:t>Cost: Watson et al, 2011 inflated to current prices</w:t>
            </w:r>
          </w:p>
        </w:tc>
        <w:tc>
          <w:tcPr>
            <w:tcW w:w="615" w:type="pct"/>
            <w:vAlign w:val="center"/>
          </w:tcPr>
          <w:p w:rsidR="00D71ECC" w:rsidRDefault="00D71ECC" w:rsidP="00954388">
            <w:pPr>
              <w:keepNext/>
              <w:jc w:val="left"/>
              <w:rPr>
                <w:rFonts w:ascii="Arial Narrow" w:hAnsi="Arial Narrow"/>
                <w:sz w:val="20"/>
              </w:rPr>
            </w:pPr>
            <w:r w:rsidRPr="00053D79">
              <w:rPr>
                <w:rFonts w:ascii="Arial Narrow" w:hAnsi="Arial Narrow"/>
                <w:sz w:val="20"/>
              </w:rPr>
              <w:t xml:space="preserve">Christ 2008 </w:t>
            </w:r>
          </w:p>
          <w:p w:rsidR="00D71ECC" w:rsidRPr="00053D79" w:rsidRDefault="00D71ECC" w:rsidP="00954388">
            <w:pPr>
              <w:keepNext/>
              <w:jc w:val="left"/>
              <w:rPr>
                <w:rFonts w:ascii="Arial Narrow" w:hAnsi="Arial Narrow"/>
                <w:sz w:val="20"/>
              </w:rPr>
            </w:pPr>
            <w:r w:rsidRPr="00053D79">
              <w:rPr>
                <w:rFonts w:ascii="Arial Narrow" w:hAnsi="Arial Narrow"/>
                <w:sz w:val="20"/>
              </w:rPr>
              <w:t>(RR=1.13)</w:t>
            </w:r>
          </w:p>
        </w:tc>
      </w:tr>
      <w:tr w:rsidR="00D71ECC" w:rsidRPr="00C126AD" w:rsidTr="00BF7438">
        <w:tc>
          <w:tcPr>
            <w:tcW w:w="1264" w:type="pct"/>
            <w:vAlign w:val="center"/>
          </w:tcPr>
          <w:p w:rsidR="00D71ECC" w:rsidRPr="00053D79" w:rsidRDefault="00D71ECC" w:rsidP="00954388">
            <w:pPr>
              <w:keepNext/>
              <w:jc w:val="left"/>
              <w:rPr>
                <w:rFonts w:ascii="Arial Narrow" w:hAnsi="Arial Narrow"/>
                <w:sz w:val="20"/>
              </w:rPr>
            </w:pPr>
            <w:r w:rsidRPr="00053D79">
              <w:rPr>
                <w:rFonts w:ascii="Arial Narrow" w:hAnsi="Arial Narrow"/>
                <w:sz w:val="20"/>
              </w:rPr>
              <w:t>July 2014 ranibizumab submissions: Commentary</w:t>
            </w:r>
          </w:p>
        </w:tc>
        <w:tc>
          <w:tcPr>
            <w:tcW w:w="1014" w:type="pct"/>
          </w:tcPr>
          <w:p w:rsidR="00D71ECC" w:rsidRPr="00053D79" w:rsidRDefault="00D71ECC" w:rsidP="00954388">
            <w:pPr>
              <w:keepNext/>
              <w:jc w:val="left"/>
              <w:rPr>
                <w:rFonts w:ascii="Arial Narrow" w:hAnsi="Arial Narrow"/>
                <w:sz w:val="20"/>
              </w:rPr>
            </w:pPr>
            <w:r w:rsidRPr="00053D79">
              <w:rPr>
                <w:rFonts w:ascii="Arial Narrow" w:hAnsi="Arial Narrow"/>
                <w:sz w:val="20"/>
              </w:rPr>
              <w:t>AQoL-7D: econometric transformation</w:t>
            </w:r>
          </w:p>
        </w:tc>
        <w:tc>
          <w:tcPr>
            <w:tcW w:w="859" w:type="pct"/>
            <w:vAlign w:val="center"/>
          </w:tcPr>
          <w:p w:rsidR="00D71ECC" w:rsidRPr="00053D79" w:rsidRDefault="00D71ECC" w:rsidP="00954388">
            <w:pPr>
              <w:keepNext/>
              <w:jc w:val="left"/>
              <w:rPr>
                <w:rFonts w:ascii="Arial Narrow" w:hAnsi="Arial Narrow"/>
                <w:sz w:val="20"/>
              </w:rPr>
            </w:pPr>
            <w:r w:rsidRPr="00053D79">
              <w:rPr>
                <w:rFonts w:ascii="Arial Narrow" w:hAnsi="Arial Narrow"/>
                <w:sz w:val="20"/>
              </w:rPr>
              <w:t>Clarke 2008</w:t>
            </w:r>
          </w:p>
        </w:tc>
        <w:tc>
          <w:tcPr>
            <w:tcW w:w="1248" w:type="pct"/>
            <w:vAlign w:val="center"/>
          </w:tcPr>
          <w:p w:rsidR="00BF7438" w:rsidRDefault="00D71ECC" w:rsidP="00954388">
            <w:pPr>
              <w:keepNext/>
              <w:jc w:val="left"/>
              <w:rPr>
                <w:rFonts w:ascii="Arial Narrow" w:hAnsi="Arial Narrow"/>
                <w:sz w:val="20"/>
              </w:rPr>
            </w:pPr>
            <w:r>
              <w:rPr>
                <w:rFonts w:ascii="Arial Narrow" w:hAnsi="Arial Narrow"/>
                <w:sz w:val="20"/>
              </w:rPr>
              <w:t>Risk: BMES</w:t>
            </w:r>
          </w:p>
          <w:p w:rsidR="00D71ECC" w:rsidRPr="00053D79" w:rsidRDefault="00D71ECC" w:rsidP="00954388">
            <w:pPr>
              <w:keepNext/>
              <w:jc w:val="left"/>
              <w:rPr>
                <w:rFonts w:ascii="Arial Narrow" w:hAnsi="Arial Narrow"/>
                <w:sz w:val="20"/>
              </w:rPr>
            </w:pPr>
            <w:r w:rsidRPr="0041799A">
              <w:rPr>
                <w:rFonts w:ascii="Arial Narrow" w:hAnsi="Arial Narrow"/>
                <w:sz w:val="20"/>
              </w:rPr>
              <w:t>Cost: Mathers and Penn 1999 inflated to current prices</w:t>
            </w:r>
          </w:p>
        </w:tc>
        <w:tc>
          <w:tcPr>
            <w:tcW w:w="615" w:type="pct"/>
            <w:vAlign w:val="center"/>
          </w:tcPr>
          <w:p w:rsidR="00D71ECC" w:rsidRDefault="00D71ECC" w:rsidP="00954388">
            <w:pPr>
              <w:keepNext/>
              <w:jc w:val="left"/>
              <w:rPr>
                <w:rFonts w:ascii="Arial Narrow" w:hAnsi="Arial Narrow"/>
                <w:sz w:val="20"/>
              </w:rPr>
            </w:pPr>
            <w:r>
              <w:rPr>
                <w:rFonts w:ascii="Arial Narrow" w:hAnsi="Arial Narrow"/>
                <w:sz w:val="20"/>
              </w:rPr>
              <w:t xml:space="preserve">BMES </w:t>
            </w:r>
          </w:p>
          <w:p w:rsidR="00D71ECC" w:rsidRPr="00053D79" w:rsidRDefault="00D71ECC" w:rsidP="00954388">
            <w:pPr>
              <w:keepNext/>
              <w:jc w:val="left"/>
              <w:rPr>
                <w:rFonts w:ascii="Arial Narrow" w:hAnsi="Arial Narrow"/>
                <w:sz w:val="20"/>
              </w:rPr>
            </w:pPr>
            <w:r>
              <w:rPr>
                <w:rFonts w:ascii="Arial Narrow" w:hAnsi="Arial Narrow"/>
                <w:sz w:val="20"/>
              </w:rPr>
              <w:t>(RR=1.32)</w:t>
            </w:r>
          </w:p>
        </w:tc>
      </w:tr>
      <w:tr w:rsidR="00D71ECC" w:rsidRPr="00C126AD" w:rsidTr="00BF7438">
        <w:tc>
          <w:tcPr>
            <w:tcW w:w="1264" w:type="pct"/>
            <w:vAlign w:val="center"/>
          </w:tcPr>
          <w:p w:rsidR="00D71ECC" w:rsidRPr="00053D79" w:rsidRDefault="00D71ECC" w:rsidP="00954388">
            <w:pPr>
              <w:keepNext/>
              <w:jc w:val="left"/>
              <w:rPr>
                <w:rFonts w:ascii="Arial Narrow" w:hAnsi="Arial Narrow"/>
                <w:sz w:val="20"/>
              </w:rPr>
            </w:pPr>
            <w:r w:rsidRPr="00053D79">
              <w:rPr>
                <w:rFonts w:ascii="Arial Narrow" w:hAnsi="Arial Narrow"/>
                <w:sz w:val="20"/>
              </w:rPr>
              <w:t>July 2014 ranibizumab submissions: ESC Advice</w:t>
            </w:r>
          </w:p>
        </w:tc>
        <w:tc>
          <w:tcPr>
            <w:tcW w:w="1014" w:type="pct"/>
          </w:tcPr>
          <w:p w:rsidR="00D71ECC" w:rsidRPr="00053D79" w:rsidRDefault="00D71ECC" w:rsidP="00954388">
            <w:pPr>
              <w:keepNext/>
              <w:jc w:val="left"/>
              <w:rPr>
                <w:rFonts w:ascii="Arial Narrow" w:hAnsi="Arial Narrow"/>
                <w:sz w:val="20"/>
              </w:rPr>
            </w:pPr>
            <w:r w:rsidRPr="00053D79">
              <w:rPr>
                <w:rFonts w:ascii="Arial Narrow" w:hAnsi="Arial Narrow"/>
                <w:sz w:val="20"/>
              </w:rPr>
              <w:t>AQoL-7D: econometric transformation</w:t>
            </w:r>
          </w:p>
        </w:tc>
        <w:tc>
          <w:tcPr>
            <w:tcW w:w="859" w:type="pct"/>
            <w:vAlign w:val="center"/>
          </w:tcPr>
          <w:p w:rsidR="00D71ECC" w:rsidRPr="00053D79" w:rsidRDefault="00D71ECC" w:rsidP="00954388">
            <w:pPr>
              <w:keepNext/>
              <w:jc w:val="left"/>
              <w:rPr>
                <w:rFonts w:ascii="Arial Narrow" w:hAnsi="Arial Narrow"/>
                <w:sz w:val="20"/>
              </w:rPr>
            </w:pPr>
            <w:r w:rsidRPr="00053D79">
              <w:rPr>
                <w:rFonts w:ascii="Arial Narrow" w:hAnsi="Arial Narrow"/>
                <w:sz w:val="20"/>
              </w:rPr>
              <w:t>Not included</w:t>
            </w:r>
          </w:p>
        </w:tc>
        <w:tc>
          <w:tcPr>
            <w:tcW w:w="1248" w:type="pct"/>
            <w:vAlign w:val="center"/>
          </w:tcPr>
          <w:p w:rsidR="00D71ECC" w:rsidRPr="00053D79" w:rsidRDefault="00D71ECC" w:rsidP="00954388">
            <w:pPr>
              <w:keepNext/>
              <w:jc w:val="left"/>
              <w:rPr>
                <w:rFonts w:ascii="Arial Narrow" w:hAnsi="Arial Narrow"/>
                <w:sz w:val="20"/>
              </w:rPr>
            </w:pPr>
            <w:r w:rsidRPr="00053D79">
              <w:rPr>
                <w:rFonts w:ascii="Arial Narrow" w:hAnsi="Arial Narrow"/>
                <w:sz w:val="20"/>
              </w:rPr>
              <w:t>Not included</w:t>
            </w:r>
          </w:p>
        </w:tc>
        <w:tc>
          <w:tcPr>
            <w:tcW w:w="615" w:type="pct"/>
            <w:vAlign w:val="center"/>
          </w:tcPr>
          <w:p w:rsidR="00D71ECC" w:rsidRDefault="00D71ECC" w:rsidP="00954388">
            <w:pPr>
              <w:keepNext/>
              <w:jc w:val="left"/>
              <w:rPr>
                <w:rFonts w:ascii="Arial Narrow" w:hAnsi="Arial Narrow"/>
                <w:sz w:val="20"/>
              </w:rPr>
            </w:pPr>
            <w:r w:rsidRPr="00053D79">
              <w:rPr>
                <w:rFonts w:ascii="Arial Narrow" w:hAnsi="Arial Narrow"/>
                <w:sz w:val="20"/>
              </w:rPr>
              <w:t xml:space="preserve">Christ 2008 </w:t>
            </w:r>
          </w:p>
          <w:p w:rsidR="00D71ECC" w:rsidRPr="00053D79" w:rsidRDefault="00D71ECC" w:rsidP="00954388">
            <w:pPr>
              <w:keepNext/>
              <w:jc w:val="left"/>
              <w:rPr>
                <w:rFonts w:ascii="Arial Narrow" w:hAnsi="Arial Narrow"/>
                <w:sz w:val="20"/>
              </w:rPr>
            </w:pPr>
            <w:r w:rsidRPr="00053D79">
              <w:rPr>
                <w:rFonts w:ascii="Arial Narrow" w:hAnsi="Arial Narrow"/>
                <w:sz w:val="20"/>
              </w:rPr>
              <w:t>(RR=1.13)</w:t>
            </w:r>
          </w:p>
        </w:tc>
      </w:tr>
      <w:tr w:rsidR="00D71ECC" w:rsidRPr="00C126AD" w:rsidTr="00BF7438">
        <w:tc>
          <w:tcPr>
            <w:tcW w:w="1264" w:type="pct"/>
            <w:vAlign w:val="center"/>
          </w:tcPr>
          <w:p w:rsidR="00D71ECC" w:rsidRPr="00053D79" w:rsidRDefault="00D71ECC" w:rsidP="00954388">
            <w:pPr>
              <w:keepNext/>
              <w:jc w:val="left"/>
              <w:rPr>
                <w:rFonts w:ascii="Arial Narrow" w:hAnsi="Arial Narrow"/>
                <w:sz w:val="20"/>
              </w:rPr>
            </w:pPr>
            <w:r w:rsidRPr="00053D79">
              <w:rPr>
                <w:rFonts w:ascii="Arial Narrow" w:hAnsi="Arial Narrow"/>
                <w:sz w:val="20"/>
              </w:rPr>
              <w:t xml:space="preserve">July 2014 ranibizumab submissions: PBAC </w:t>
            </w:r>
            <w:r w:rsidR="00FA5077">
              <w:rPr>
                <w:rFonts w:ascii="Arial Narrow" w:hAnsi="Arial Narrow"/>
                <w:sz w:val="20"/>
              </w:rPr>
              <w:t>m</w:t>
            </w:r>
            <w:r w:rsidR="003A0B86">
              <w:rPr>
                <w:rFonts w:ascii="Arial Narrow" w:hAnsi="Arial Narrow"/>
                <w:sz w:val="20"/>
              </w:rPr>
              <w:t>inutes</w:t>
            </w:r>
          </w:p>
        </w:tc>
        <w:tc>
          <w:tcPr>
            <w:tcW w:w="1014" w:type="pct"/>
          </w:tcPr>
          <w:p w:rsidR="00D71ECC" w:rsidRPr="00053D79" w:rsidRDefault="00D71ECC" w:rsidP="00954388">
            <w:pPr>
              <w:keepNext/>
              <w:jc w:val="left"/>
              <w:rPr>
                <w:rFonts w:ascii="Arial Narrow" w:hAnsi="Arial Narrow"/>
                <w:sz w:val="20"/>
              </w:rPr>
            </w:pPr>
            <w:r w:rsidRPr="00053D79">
              <w:rPr>
                <w:rFonts w:ascii="Arial Narrow" w:hAnsi="Arial Narrow"/>
                <w:sz w:val="20"/>
              </w:rPr>
              <w:t>AQoL-7D: econometric transformation</w:t>
            </w:r>
          </w:p>
        </w:tc>
        <w:tc>
          <w:tcPr>
            <w:tcW w:w="859" w:type="pct"/>
            <w:vAlign w:val="center"/>
          </w:tcPr>
          <w:p w:rsidR="00D71ECC" w:rsidRPr="00053D79" w:rsidRDefault="00D71ECC" w:rsidP="00954388">
            <w:pPr>
              <w:keepNext/>
              <w:jc w:val="left"/>
              <w:rPr>
                <w:rFonts w:ascii="Arial Narrow" w:hAnsi="Arial Narrow"/>
                <w:sz w:val="20"/>
              </w:rPr>
            </w:pPr>
            <w:r w:rsidRPr="00053D79">
              <w:rPr>
                <w:rFonts w:ascii="Arial Narrow" w:hAnsi="Arial Narrow"/>
                <w:sz w:val="20"/>
              </w:rPr>
              <w:t>Clarke 2008</w:t>
            </w:r>
          </w:p>
        </w:tc>
        <w:tc>
          <w:tcPr>
            <w:tcW w:w="1248" w:type="pct"/>
            <w:vAlign w:val="center"/>
          </w:tcPr>
          <w:p w:rsidR="00D71ECC" w:rsidRPr="00053D79" w:rsidRDefault="00D71ECC" w:rsidP="00954388">
            <w:pPr>
              <w:keepNext/>
              <w:jc w:val="left"/>
              <w:rPr>
                <w:rFonts w:ascii="Arial Narrow" w:hAnsi="Arial Narrow"/>
                <w:sz w:val="20"/>
              </w:rPr>
            </w:pPr>
            <w:r w:rsidRPr="00053D79">
              <w:rPr>
                <w:rFonts w:ascii="Arial Narrow" w:hAnsi="Arial Narrow"/>
                <w:sz w:val="20"/>
              </w:rPr>
              <w:t>Not included</w:t>
            </w:r>
          </w:p>
        </w:tc>
        <w:tc>
          <w:tcPr>
            <w:tcW w:w="615" w:type="pct"/>
            <w:vAlign w:val="center"/>
          </w:tcPr>
          <w:p w:rsidR="00D71ECC" w:rsidRDefault="00D71ECC" w:rsidP="00954388">
            <w:pPr>
              <w:keepNext/>
              <w:jc w:val="left"/>
              <w:rPr>
                <w:rFonts w:ascii="Arial Narrow" w:hAnsi="Arial Narrow"/>
                <w:sz w:val="20"/>
              </w:rPr>
            </w:pPr>
            <w:r w:rsidRPr="00053D79">
              <w:rPr>
                <w:rFonts w:ascii="Arial Narrow" w:hAnsi="Arial Narrow"/>
                <w:sz w:val="20"/>
              </w:rPr>
              <w:t xml:space="preserve">Christ 2008 </w:t>
            </w:r>
          </w:p>
          <w:p w:rsidR="00D71ECC" w:rsidRPr="00053D79" w:rsidRDefault="00D71ECC" w:rsidP="00954388">
            <w:pPr>
              <w:keepNext/>
              <w:jc w:val="left"/>
              <w:rPr>
                <w:rFonts w:ascii="Arial Narrow" w:hAnsi="Arial Narrow"/>
                <w:sz w:val="20"/>
              </w:rPr>
            </w:pPr>
            <w:r w:rsidRPr="00053D79">
              <w:rPr>
                <w:rFonts w:ascii="Arial Narrow" w:hAnsi="Arial Narrow"/>
                <w:sz w:val="20"/>
              </w:rPr>
              <w:t>(RR=1.13</w:t>
            </w:r>
            <w:r>
              <w:rPr>
                <w:rFonts w:ascii="Arial Narrow" w:hAnsi="Arial Narrow"/>
                <w:sz w:val="20"/>
              </w:rPr>
              <w:t>)</w:t>
            </w:r>
          </w:p>
        </w:tc>
      </w:tr>
    </w:tbl>
    <w:p w:rsidR="00D71ECC" w:rsidRDefault="009618C4" w:rsidP="009618C4">
      <w:pPr>
        <w:pStyle w:val="TableFooter"/>
      </w:pPr>
      <w:r>
        <w:t>RR</w:t>
      </w:r>
      <w:r w:rsidR="0026690A">
        <w:t xml:space="preserve"> </w:t>
      </w:r>
      <w:r>
        <w:t>=</w:t>
      </w:r>
      <w:r w:rsidR="0026690A">
        <w:t xml:space="preserve"> r</w:t>
      </w:r>
      <w:r>
        <w:t xml:space="preserve">elative </w:t>
      </w:r>
      <w:r w:rsidR="0026690A">
        <w:t>r</w:t>
      </w:r>
      <w:r>
        <w:t xml:space="preserve">isk; </w:t>
      </w:r>
      <w:r w:rsidR="0026690A">
        <w:t>BMES = Blue Mountains Eye Study.</w:t>
      </w:r>
    </w:p>
    <w:p w:rsidR="009618C4" w:rsidRDefault="009618C4" w:rsidP="00BF7438">
      <w:pPr>
        <w:pStyle w:val="TableFooter"/>
        <w:spacing w:after="160"/>
      </w:pPr>
      <w:r>
        <w:t>Source: Compiled during the evaluation</w:t>
      </w:r>
    </w:p>
    <w:p w:rsidR="004270FB" w:rsidRPr="000C0DFF" w:rsidRDefault="00406B98" w:rsidP="00E567E7">
      <w:pPr>
        <w:pStyle w:val="ListParagraph"/>
        <w:widowControl/>
        <w:numPr>
          <w:ilvl w:val="1"/>
          <w:numId w:val="1"/>
        </w:numPr>
      </w:pPr>
      <w:r w:rsidRPr="000C0DFF">
        <w:t>The additional sensitivity analyses</w:t>
      </w:r>
      <w:r w:rsidR="003333AE" w:rsidRPr="000C0DFF">
        <w:t xml:space="preserve"> in Table 13</w:t>
      </w:r>
      <w:r w:rsidR="00C64414" w:rsidRPr="000C0DFF">
        <w:t xml:space="preserve"> we</w:t>
      </w:r>
      <w:r w:rsidRPr="000C0DFF">
        <w:t>re provided for the PBAC’s consideration</w:t>
      </w:r>
      <w:r w:rsidR="00071C5D" w:rsidRPr="000C0DFF">
        <w:t>, aligned with variable</w:t>
      </w:r>
      <w:r w:rsidR="00C64414" w:rsidRPr="000C0DFF">
        <w:t>s</w:t>
      </w:r>
      <w:r w:rsidR="00071C5D" w:rsidRPr="000C0DFF">
        <w:t xml:space="preserve"> suggested by the previous </w:t>
      </w:r>
      <w:r w:rsidR="00D71ECC" w:rsidRPr="000C0DFF">
        <w:t>Commentary, ESC</w:t>
      </w:r>
      <w:r w:rsidR="00071C5D" w:rsidRPr="000C0DFF">
        <w:t xml:space="preserve"> </w:t>
      </w:r>
      <w:r w:rsidR="00FA5077" w:rsidRPr="000C0DFF">
        <w:t>A</w:t>
      </w:r>
      <w:r w:rsidR="00071C5D" w:rsidRPr="000C0DFF">
        <w:t>dvice</w:t>
      </w:r>
      <w:r w:rsidR="00D71ECC" w:rsidRPr="000C0DFF">
        <w:t xml:space="preserve"> and PBAC </w:t>
      </w:r>
      <w:r w:rsidR="00071C5D" w:rsidRPr="000C0DFF">
        <w:t xml:space="preserve">minutes </w:t>
      </w:r>
      <w:r w:rsidR="00204153" w:rsidRPr="000C0DFF">
        <w:t xml:space="preserve">as described in the table above. </w:t>
      </w:r>
      <w:r w:rsidR="00E0089E" w:rsidRPr="000C0DFF">
        <w:t xml:space="preserve">The ICER ranged from </w:t>
      </w:r>
      <w:r w:rsidR="00D9596E">
        <w:t>less than</w:t>
      </w:r>
      <w:r w:rsidR="00E0089E" w:rsidRPr="000C0DFF">
        <w:t xml:space="preserve"> </w:t>
      </w:r>
      <w:r w:rsidR="00D9596E">
        <w:t xml:space="preserve">$15,000/QALY </w:t>
      </w:r>
      <w:r w:rsidR="00E0089E" w:rsidRPr="000C0DFF">
        <w:t xml:space="preserve">when removing the costs associated with the administration of vPDT, to </w:t>
      </w:r>
      <w:r w:rsidR="00D9596E">
        <w:t xml:space="preserve">less than $15,000/QALY </w:t>
      </w:r>
      <w:r w:rsidR="00E0089E" w:rsidRPr="000C0DFF">
        <w:t xml:space="preserve">using the variables from the July 2014 PBAC </w:t>
      </w:r>
      <w:r w:rsidR="007F23F1" w:rsidRPr="000C0DFF">
        <w:t xml:space="preserve">minutes </w:t>
      </w:r>
      <w:r w:rsidR="00E0089E" w:rsidRPr="000C0DFF">
        <w:t xml:space="preserve">and </w:t>
      </w:r>
      <w:r w:rsidR="00D9596E">
        <w:t xml:space="preserve">$15,000/QALY - $45,000/QALY </w:t>
      </w:r>
      <w:r w:rsidR="00E0089E" w:rsidRPr="000C0DFF">
        <w:t>using the variables in the July 2014 ESC Advice for the ranibizumab submissions. When removing the costs associated with blindness, costs of falls, monitoring costs and increased risk of mortality, the ICER increased to</w:t>
      </w:r>
      <w:r w:rsidR="00D9596E">
        <w:t>$45,000/QALY - $75,000/QALY</w:t>
      </w:r>
      <w:r w:rsidR="00E0089E" w:rsidRPr="000C0DFF">
        <w:t>. These sensitivity analyses show that the model is most sensitive to the exclusion of cost offsets associated with blindness.</w:t>
      </w:r>
      <w:r w:rsidR="009E0ECF" w:rsidRPr="000C0DFF">
        <w:t xml:space="preserve"> The ESC considered </w:t>
      </w:r>
      <w:r w:rsidR="00DB0ED2" w:rsidRPr="000C0DFF">
        <w:t xml:space="preserve">that </w:t>
      </w:r>
      <w:r w:rsidR="009E0ECF" w:rsidRPr="000C0DFF">
        <w:t>the costs associated with blindness were appropriate, but th</w:t>
      </w:r>
      <w:r w:rsidR="00DB0ED2" w:rsidRPr="000C0DFF">
        <w:t xml:space="preserve">at also </w:t>
      </w:r>
      <w:r w:rsidR="009E0ECF" w:rsidRPr="000C0DFF">
        <w:t>inclu</w:t>
      </w:r>
      <w:r w:rsidR="00DB0ED2" w:rsidRPr="000C0DFF">
        <w:t xml:space="preserve">ding </w:t>
      </w:r>
      <w:r w:rsidR="009E0ECF" w:rsidRPr="000C0DFF">
        <w:t xml:space="preserve">the cost of falls </w:t>
      </w:r>
      <w:r w:rsidR="00DB0ED2" w:rsidRPr="000C0DFF">
        <w:t xml:space="preserve">represented </w:t>
      </w:r>
      <w:r w:rsidR="009E0ECF" w:rsidRPr="000C0DFF">
        <w:t xml:space="preserve">double counting. The ICER with the removal of the cost of vPDT and the risk of falls was calculated to be </w:t>
      </w:r>
      <w:r w:rsidR="00D9596E">
        <w:t xml:space="preserve">less than $15,000/QALY </w:t>
      </w:r>
      <w:r w:rsidR="009E0ECF" w:rsidRPr="000C0DFF">
        <w:t>gained.</w:t>
      </w:r>
    </w:p>
    <w:p w:rsidR="0007599B" w:rsidRDefault="0007599B">
      <w:pPr>
        <w:widowControl/>
        <w:jc w:val="left"/>
        <w:rPr>
          <w:rStyle w:val="CommentReference"/>
        </w:rPr>
      </w:pPr>
      <w:r>
        <w:rPr>
          <w:rStyle w:val="CommentReference"/>
        </w:rPr>
        <w:br w:type="page"/>
      </w:r>
    </w:p>
    <w:p w:rsidR="00C64414" w:rsidRPr="00C64414" w:rsidRDefault="00C64414" w:rsidP="00C64414">
      <w:pPr>
        <w:rPr>
          <w:rFonts w:ascii="Arial Narrow" w:hAnsi="Arial Narrow"/>
          <w:b/>
          <w:sz w:val="20"/>
          <w:szCs w:val="16"/>
        </w:rPr>
      </w:pPr>
      <w:r w:rsidRPr="00C64414">
        <w:rPr>
          <w:rStyle w:val="CommentReference"/>
        </w:rPr>
        <w:lastRenderedPageBreak/>
        <w:t>Table 13: Results of additional univariate and multivariate sensitivity analyses conducted during the evaluation</w:t>
      </w:r>
    </w:p>
    <w:tbl>
      <w:tblPr>
        <w:tblStyle w:val="TableGrid"/>
        <w:tblW w:w="5000" w:type="pct"/>
        <w:tblCellMar>
          <w:left w:w="57" w:type="dxa"/>
          <w:right w:w="57" w:type="dxa"/>
        </w:tblCellMar>
        <w:tblLook w:val="04A0" w:firstRow="1" w:lastRow="0" w:firstColumn="1" w:lastColumn="0" w:noHBand="0" w:noVBand="1"/>
        <w:tblCaption w:val="Table 13: Results of additional univariate and multivariate sensitivity analyses conducted during the evaluation"/>
      </w:tblPr>
      <w:tblGrid>
        <w:gridCol w:w="444"/>
        <w:gridCol w:w="1380"/>
        <w:gridCol w:w="1661"/>
        <w:gridCol w:w="1994"/>
        <w:gridCol w:w="1041"/>
        <w:gridCol w:w="766"/>
        <w:gridCol w:w="766"/>
        <w:gridCol w:w="1089"/>
      </w:tblGrid>
      <w:tr w:rsidR="00C64414" w:rsidRPr="00C64414" w:rsidTr="006B6F11">
        <w:trPr>
          <w:tblHeader/>
        </w:trPr>
        <w:tc>
          <w:tcPr>
            <w:tcW w:w="247" w:type="pct"/>
          </w:tcPr>
          <w:p w:rsidR="00C64414" w:rsidRPr="00C64414" w:rsidRDefault="00C64414" w:rsidP="007243F9">
            <w:pPr>
              <w:pStyle w:val="Tabletext"/>
              <w:rPr>
                <w:b/>
              </w:rPr>
            </w:pPr>
            <w:r w:rsidRPr="00C64414">
              <w:rPr>
                <w:b/>
              </w:rPr>
              <w:t>#</w:t>
            </w:r>
          </w:p>
        </w:tc>
        <w:tc>
          <w:tcPr>
            <w:tcW w:w="759" w:type="pct"/>
          </w:tcPr>
          <w:p w:rsidR="00C64414" w:rsidRPr="00C64414" w:rsidRDefault="00C64414" w:rsidP="007243F9">
            <w:pPr>
              <w:pStyle w:val="Tabletext"/>
              <w:rPr>
                <w:b/>
              </w:rPr>
            </w:pPr>
            <w:r w:rsidRPr="00C64414">
              <w:rPr>
                <w:b/>
              </w:rPr>
              <w:t>Aspect</w:t>
            </w:r>
          </w:p>
        </w:tc>
        <w:tc>
          <w:tcPr>
            <w:tcW w:w="913" w:type="pct"/>
            <w:hideMark/>
          </w:tcPr>
          <w:p w:rsidR="00C64414" w:rsidRPr="00C64414" w:rsidRDefault="00C64414" w:rsidP="007243F9">
            <w:pPr>
              <w:pStyle w:val="Tabletext"/>
              <w:rPr>
                <w:b/>
              </w:rPr>
            </w:pPr>
            <w:r w:rsidRPr="00C64414">
              <w:rPr>
                <w:b/>
              </w:rPr>
              <w:t> Base case value</w:t>
            </w:r>
          </w:p>
        </w:tc>
        <w:tc>
          <w:tcPr>
            <w:tcW w:w="1095" w:type="pct"/>
            <w:hideMark/>
          </w:tcPr>
          <w:p w:rsidR="00C64414" w:rsidRPr="00C64414" w:rsidRDefault="00C64414" w:rsidP="007243F9">
            <w:pPr>
              <w:pStyle w:val="Tabletext"/>
              <w:rPr>
                <w:b/>
              </w:rPr>
            </w:pPr>
            <w:r w:rsidRPr="00C64414">
              <w:rPr>
                <w:b/>
              </w:rPr>
              <w:t>Tested value or range</w:t>
            </w:r>
          </w:p>
        </w:tc>
        <w:tc>
          <w:tcPr>
            <w:tcW w:w="574" w:type="pct"/>
          </w:tcPr>
          <w:p w:rsidR="00C64414" w:rsidRPr="00C64414" w:rsidRDefault="00C64414" w:rsidP="007243F9">
            <w:pPr>
              <w:pStyle w:val="Tabletext"/>
              <w:rPr>
                <w:b/>
              </w:rPr>
            </w:pPr>
          </w:p>
        </w:tc>
        <w:tc>
          <w:tcPr>
            <w:tcW w:w="423" w:type="pct"/>
            <w:hideMark/>
          </w:tcPr>
          <w:p w:rsidR="00C64414" w:rsidRPr="00C64414" w:rsidRDefault="00C64414" w:rsidP="007243F9">
            <w:pPr>
              <w:pStyle w:val="Tabletext"/>
              <w:jc w:val="center"/>
              <w:rPr>
                <w:b/>
              </w:rPr>
            </w:pPr>
            <w:r w:rsidRPr="00C64414">
              <w:rPr>
                <w:b/>
              </w:rPr>
              <w:t>Rani</w:t>
            </w:r>
          </w:p>
        </w:tc>
        <w:tc>
          <w:tcPr>
            <w:tcW w:w="423" w:type="pct"/>
            <w:hideMark/>
          </w:tcPr>
          <w:p w:rsidR="00C64414" w:rsidRPr="00C64414" w:rsidRDefault="00C64414" w:rsidP="007243F9">
            <w:pPr>
              <w:pStyle w:val="Tabletext"/>
              <w:jc w:val="center"/>
              <w:rPr>
                <w:b/>
              </w:rPr>
            </w:pPr>
            <w:r w:rsidRPr="00C64414">
              <w:rPr>
                <w:b/>
              </w:rPr>
              <w:t>vPDT</w:t>
            </w:r>
          </w:p>
        </w:tc>
        <w:tc>
          <w:tcPr>
            <w:tcW w:w="566" w:type="pct"/>
            <w:hideMark/>
          </w:tcPr>
          <w:p w:rsidR="00C64414" w:rsidRPr="00C64414" w:rsidRDefault="00C64414" w:rsidP="007243F9">
            <w:pPr>
              <w:pStyle w:val="Tabletext"/>
              <w:jc w:val="center"/>
              <w:rPr>
                <w:b/>
              </w:rPr>
            </w:pPr>
            <w:r w:rsidRPr="00C64414">
              <w:rPr>
                <w:b/>
              </w:rPr>
              <w:t>Incremental</w:t>
            </w:r>
          </w:p>
        </w:tc>
      </w:tr>
      <w:tr w:rsidR="00C64414" w:rsidRPr="00C64414" w:rsidTr="007243F9">
        <w:tc>
          <w:tcPr>
            <w:tcW w:w="247" w:type="pct"/>
            <w:vMerge w:val="restart"/>
          </w:tcPr>
          <w:p w:rsidR="00C64414" w:rsidRPr="00C64414" w:rsidRDefault="00C64414" w:rsidP="007243F9">
            <w:pPr>
              <w:pStyle w:val="Tabletext"/>
              <w:rPr>
                <w:b/>
                <w:bCs/>
              </w:rPr>
            </w:pPr>
          </w:p>
        </w:tc>
        <w:tc>
          <w:tcPr>
            <w:tcW w:w="759" w:type="pct"/>
            <w:vMerge w:val="restart"/>
          </w:tcPr>
          <w:p w:rsidR="00C64414" w:rsidRPr="00C64414" w:rsidRDefault="00C64414" w:rsidP="007243F9">
            <w:pPr>
              <w:pStyle w:val="Tabletext"/>
              <w:rPr>
                <w:bCs/>
              </w:rPr>
            </w:pPr>
            <w:r w:rsidRPr="00C64414">
              <w:rPr>
                <w:bCs/>
              </w:rPr>
              <w:t>Base case</w:t>
            </w:r>
          </w:p>
          <w:p w:rsidR="00C64414" w:rsidRPr="00C64414" w:rsidRDefault="00C64414" w:rsidP="007243F9">
            <w:pPr>
              <w:pStyle w:val="Tabletext"/>
            </w:pPr>
            <w:r w:rsidRPr="00C64414">
              <w:rPr>
                <w:bCs/>
              </w:rPr>
              <w:t>(as per submission)</w:t>
            </w:r>
          </w:p>
        </w:tc>
        <w:tc>
          <w:tcPr>
            <w:tcW w:w="2582" w:type="pct"/>
            <w:gridSpan w:val="3"/>
            <w:hideMark/>
          </w:tcPr>
          <w:p w:rsidR="00C64414" w:rsidRPr="00C64414" w:rsidRDefault="00C64414" w:rsidP="007243F9">
            <w:pPr>
              <w:pStyle w:val="Tabletext"/>
            </w:pPr>
            <w:r w:rsidRPr="00C64414">
              <w:t>Costs</w:t>
            </w:r>
          </w:p>
        </w:tc>
        <w:tc>
          <w:tcPr>
            <w:tcW w:w="423" w:type="pct"/>
            <w:hideMark/>
          </w:tcPr>
          <w:p w:rsidR="00C64414" w:rsidRPr="00C64414" w:rsidRDefault="00C64414" w:rsidP="007243F9">
            <w:pPr>
              <w:pStyle w:val="Tabletext"/>
              <w:jc w:val="center"/>
            </w:pPr>
            <w:r w:rsidRPr="00C64414">
              <w:t>$</w:t>
            </w:r>
            <w:r w:rsidR="00042B67">
              <w:rPr>
                <w:noProof/>
                <w:color w:val="000000"/>
                <w:highlight w:val="black"/>
              </w:rPr>
              <w:t>''''''''''''''</w:t>
            </w:r>
          </w:p>
        </w:tc>
        <w:tc>
          <w:tcPr>
            <w:tcW w:w="423" w:type="pct"/>
            <w:hideMark/>
          </w:tcPr>
          <w:p w:rsidR="00C64414" w:rsidRPr="00C64414" w:rsidRDefault="00C64414" w:rsidP="007243F9">
            <w:pPr>
              <w:pStyle w:val="Tabletext"/>
              <w:jc w:val="center"/>
            </w:pPr>
            <w:r w:rsidRPr="00C64414">
              <w:t>$</w:t>
            </w:r>
            <w:r w:rsidR="00042B67">
              <w:rPr>
                <w:noProof/>
                <w:color w:val="000000"/>
                <w:highlight w:val="black"/>
              </w:rPr>
              <w:t>'''''''''''''''''</w:t>
            </w:r>
          </w:p>
        </w:tc>
        <w:tc>
          <w:tcPr>
            <w:tcW w:w="566" w:type="pct"/>
            <w:hideMark/>
          </w:tcPr>
          <w:p w:rsidR="00C64414" w:rsidRPr="00C64414" w:rsidRDefault="00C64414" w:rsidP="007243F9">
            <w:pPr>
              <w:pStyle w:val="Tabletext"/>
              <w:jc w:val="center"/>
            </w:pPr>
            <w:r w:rsidRPr="00C64414">
              <w:t>-$</w:t>
            </w:r>
            <w:r w:rsidR="00042B67">
              <w:rPr>
                <w:noProof/>
                <w:color w:val="000000"/>
                <w:highlight w:val="black"/>
              </w:rPr>
              <w:t>'''''''''''''''</w:t>
            </w:r>
          </w:p>
        </w:tc>
      </w:tr>
      <w:tr w:rsidR="00C64414" w:rsidRPr="00C64414" w:rsidTr="007243F9">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2582" w:type="pct"/>
            <w:gridSpan w:val="3"/>
            <w:hideMark/>
          </w:tcPr>
          <w:p w:rsidR="00C64414" w:rsidRPr="00C64414" w:rsidRDefault="00C64414" w:rsidP="007243F9">
            <w:pPr>
              <w:pStyle w:val="Tabletext"/>
            </w:pPr>
            <w:r w:rsidRPr="00C64414">
              <w:t>QALYs</w:t>
            </w:r>
          </w:p>
        </w:tc>
        <w:tc>
          <w:tcPr>
            <w:tcW w:w="423" w:type="pct"/>
            <w:hideMark/>
          </w:tcPr>
          <w:p w:rsidR="00C64414" w:rsidRPr="00042B67" w:rsidRDefault="00042B67" w:rsidP="007243F9">
            <w:pPr>
              <w:pStyle w:val="Tabletext"/>
              <w:jc w:val="center"/>
              <w:rPr>
                <w:highlight w:val="black"/>
              </w:rPr>
            </w:pPr>
            <w:r>
              <w:rPr>
                <w:noProof/>
                <w:color w:val="000000"/>
                <w:highlight w:val="black"/>
              </w:rPr>
              <w:t>''''''''''</w:t>
            </w:r>
          </w:p>
        </w:tc>
        <w:tc>
          <w:tcPr>
            <w:tcW w:w="423" w:type="pct"/>
            <w:hideMark/>
          </w:tcPr>
          <w:p w:rsidR="00C64414" w:rsidRPr="00042B67" w:rsidRDefault="00042B67" w:rsidP="007243F9">
            <w:pPr>
              <w:pStyle w:val="Tabletext"/>
              <w:jc w:val="center"/>
              <w:rPr>
                <w:highlight w:val="black"/>
              </w:rPr>
            </w:pPr>
            <w:r>
              <w:rPr>
                <w:noProof/>
                <w:color w:val="000000"/>
                <w:highlight w:val="black"/>
              </w:rPr>
              <w:t>''''''''''</w:t>
            </w:r>
          </w:p>
        </w:tc>
        <w:tc>
          <w:tcPr>
            <w:tcW w:w="566" w:type="pct"/>
            <w:hideMark/>
          </w:tcPr>
          <w:p w:rsidR="00C64414" w:rsidRPr="00042B67" w:rsidRDefault="00042B67" w:rsidP="007243F9">
            <w:pPr>
              <w:pStyle w:val="Tabletext"/>
              <w:jc w:val="center"/>
              <w:rPr>
                <w:highlight w:val="black"/>
              </w:rPr>
            </w:pPr>
            <w:r>
              <w:rPr>
                <w:noProof/>
                <w:color w:val="000000"/>
                <w:highlight w:val="black"/>
              </w:rPr>
              <w:t>''''''''''</w:t>
            </w:r>
          </w:p>
        </w:tc>
      </w:tr>
      <w:tr w:rsidR="00C64414" w:rsidRPr="00C64414" w:rsidTr="00C41328">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2582" w:type="pct"/>
            <w:gridSpan w:val="3"/>
            <w:hideMark/>
          </w:tcPr>
          <w:p w:rsidR="00C64414" w:rsidRPr="00C64414" w:rsidRDefault="00C64414" w:rsidP="007243F9">
            <w:pPr>
              <w:pStyle w:val="Tabletext"/>
            </w:pPr>
            <w:r w:rsidRPr="00C64414">
              <w:t>Cost per QALY</w:t>
            </w:r>
          </w:p>
        </w:tc>
        <w:tc>
          <w:tcPr>
            <w:tcW w:w="423" w:type="pct"/>
          </w:tcPr>
          <w:p w:rsidR="00C64414" w:rsidRPr="00C64414" w:rsidRDefault="00C64414" w:rsidP="007243F9">
            <w:pPr>
              <w:pStyle w:val="Tabletext"/>
              <w:jc w:val="center"/>
            </w:pPr>
          </w:p>
        </w:tc>
        <w:tc>
          <w:tcPr>
            <w:tcW w:w="423" w:type="pct"/>
          </w:tcPr>
          <w:p w:rsidR="00C64414" w:rsidRPr="00C64414" w:rsidRDefault="00C64414" w:rsidP="007243F9">
            <w:pPr>
              <w:pStyle w:val="Tabletext"/>
              <w:jc w:val="center"/>
            </w:pPr>
          </w:p>
        </w:tc>
        <w:tc>
          <w:tcPr>
            <w:tcW w:w="566" w:type="pct"/>
            <w:hideMark/>
          </w:tcPr>
          <w:p w:rsidR="00C64414" w:rsidRPr="00042B67" w:rsidRDefault="00042B67" w:rsidP="007243F9">
            <w:pPr>
              <w:pStyle w:val="Tabletext"/>
              <w:jc w:val="center"/>
              <w:rPr>
                <w:b/>
                <w:bCs/>
                <w:highlight w:val="black"/>
              </w:rPr>
            </w:pPr>
            <w:r>
              <w:rPr>
                <w:b/>
                <w:bCs/>
                <w:noProof/>
                <w:color w:val="000000"/>
                <w:highlight w:val="black"/>
              </w:rPr>
              <w:t>'''''''''''''''''''''''''</w:t>
            </w:r>
          </w:p>
        </w:tc>
      </w:tr>
      <w:tr w:rsidR="00C64414" w:rsidRPr="00C64414" w:rsidTr="007243F9">
        <w:tc>
          <w:tcPr>
            <w:tcW w:w="247" w:type="pct"/>
          </w:tcPr>
          <w:p w:rsidR="00C64414" w:rsidRPr="00C64414" w:rsidRDefault="00C64414" w:rsidP="007243F9">
            <w:pPr>
              <w:pStyle w:val="Tabletext"/>
              <w:jc w:val="center"/>
              <w:rPr>
                <w:b/>
                <w:bCs/>
              </w:rPr>
            </w:pPr>
          </w:p>
        </w:tc>
        <w:tc>
          <w:tcPr>
            <w:tcW w:w="4753" w:type="pct"/>
            <w:gridSpan w:val="7"/>
          </w:tcPr>
          <w:p w:rsidR="00C64414" w:rsidRPr="00C64414" w:rsidRDefault="00C64414" w:rsidP="007243F9">
            <w:pPr>
              <w:pStyle w:val="Tabletext"/>
              <w:jc w:val="center"/>
              <w:rPr>
                <w:b/>
                <w:bCs/>
              </w:rPr>
            </w:pPr>
            <w:r w:rsidRPr="00C64414">
              <w:rPr>
                <w:b/>
                <w:bCs/>
              </w:rPr>
              <w:t>Sensitivity analyses</w:t>
            </w:r>
          </w:p>
        </w:tc>
      </w:tr>
      <w:tr w:rsidR="00C64414" w:rsidRPr="00C64414" w:rsidTr="007243F9">
        <w:tc>
          <w:tcPr>
            <w:tcW w:w="247" w:type="pct"/>
          </w:tcPr>
          <w:p w:rsidR="00C64414" w:rsidRPr="00C64414" w:rsidRDefault="00C64414" w:rsidP="007243F9">
            <w:pPr>
              <w:pStyle w:val="Tabletext"/>
            </w:pPr>
            <w:r w:rsidRPr="00C64414">
              <w:rPr>
                <w:b/>
              </w:rPr>
              <w:t>#</w:t>
            </w:r>
          </w:p>
        </w:tc>
        <w:tc>
          <w:tcPr>
            <w:tcW w:w="759" w:type="pct"/>
          </w:tcPr>
          <w:p w:rsidR="00C64414" w:rsidRPr="00C64414" w:rsidRDefault="00C64414" w:rsidP="007243F9">
            <w:pPr>
              <w:pStyle w:val="Tabletext"/>
            </w:pPr>
            <w:r w:rsidRPr="00C64414">
              <w:rPr>
                <w:b/>
              </w:rPr>
              <w:t>Aspect</w:t>
            </w:r>
          </w:p>
        </w:tc>
        <w:tc>
          <w:tcPr>
            <w:tcW w:w="913" w:type="pct"/>
          </w:tcPr>
          <w:p w:rsidR="00C64414" w:rsidRPr="00C64414" w:rsidRDefault="00C64414" w:rsidP="007243F9">
            <w:pPr>
              <w:pStyle w:val="Tabletext"/>
            </w:pPr>
            <w:r w:rsidRPr="00C64414">
              <w:rPr>
                <w:b/>
              </w:rPr>
              <w:t> Base case value</w:t>
            </w:r>
          </w:p>
        </w:tc>
        <w:tc>
          <w:tcPr>
            <w:tcW w:w="1095" w:type="pct"/>
          </w:tcPr>
          <w:p w:rsidR="00C64414" w:rsidRPr="00C64414" w:rsidRDefault="00C64414" w:rsidP="007243F9">
            <w:pPr>
              <w:pStyle w:val="Tabletext"/>
            </w:pPr>
            <w:r w:rsidRPr="00C64414">
              <w:rPr>
                <w:b/>
              </w:rPr>
              <w:t>Tested value or range</w:t>
            </w:r>
          </w:p>
        </w:tc>
        <w:tc>
          <w:tcPr>
            <w:tcW w:w="574" w:type="pct"/>
          </w:tcPr>
          <w:p w:rsidR="00C64414" w:rsidRPr="00C64414" w:rsidRDefault="00C64414" w:rsidP="007243F9">
            <w:pPr>
              <w:pStyle w:val="Tabletext"/>
            </w:pPr>
          </w:p>
        </w:tc>
        <w:tc>
          <w:tcPr>
            <w:tcW w:w="423" w:type="pct"/>
          </w:tcPr>
          <w:p w:rsidR="00C64414" w:rsidRPr="00C64414" w:rsidRDefault="00C64414" w:rsidP="007243F9">
            <w:pPr>
              <w:pStyle w:val="Tabletext"/>
              <w:jc w:val="center"/>
            </w:pPr>
            <w:r w:rsidRPr="00C64414">
              <w:rPr>
                <w:b/>
              </w:rPr>
              <w:t>Rani</w:t>
            </w:r>
          </w:p>
        </w:tc>
        <w:tc>
          <w:tcPr>
            <w:tcW w:w="423" w:type="pct"/>
          </w:tcPr>
          <w:p w:rsidR="00C64414" w:rsidRPr="00C64414" w:rsidRDefault="0026690A" w:rsidP="007243F9">
            <w:pPr>
              <w:pStyle w:val="Tabletext"/>
              <w:jc w:val="center"/>
            </w:pPr>
            <w:r>
              <w:rPr>
                <w:b/>
              </w:rPr>
              <w:t>Sham</w:t>
            </w:r>
          </w:p>
        </w:tc>
        <w:tc>
          <w:tcPr>
            <w:tcW w:w="566" w:type="pct"/>
          </w:tcPr>
          <w:p w:rsidR="00C64414" w:rsidRPr="00C64414" w:rsidRDefault="00C64414" w:rsidP="007243F9">
            <w:pPr>
              <w:pStyle w:val="Tabletext"/>
              <w:jc w:val="center"/>
            </w:pPr>
            <w:r w:rsidRPr="00C64414">
              <w:rPr>
                <w:b/>
              </w:rPr>
              <w:t>Incremental</w:t>
            </w:r>
          </w:p>
        </w:tc>
      </w:tr>
      <w:tr w:rsidR="00C64414" w:rsidRPr="00C64414" w:rsidTr="007243F9">
        <w:tc>
          <w:tcPr>
            <w:tcW w:w="247" w:type="pct"/>
            <w:vMerge w:val="restart"/>
          </w:tcPr>
          <w:p w:rsidR="00C64414" w:rsidRPr="00C64414" w:rsidRDefault="00C64414" w:rsidP="007243F9">
            <w:pPr>
              <w:pStyle w:val="Tabletext"/>
            </w:pPr>
            <w:r w:rsidRPr="00C64414">
              <w:t>1</w:t>
            </w:r>
          </w:p>
        </w:tc>
        <w:tc>
          <w:tcPr>
            <w:tcW w:w="759" w:type="pct"/>
            <w:vMerge w:val="restart"/>
          </w:tcPr>
          <w:p w:rsidR="00C64414" w:rsidRPr="00C64414" w:rsidRDefault="00C64414" w:rsidP="007243F9">
            <w:pPr>
              <w:pStyle w:val="Tabletext"/>
            </w:pPr>
            <w:r w:rsidRPr="00C64414">
              <w:t>Cost associated with vPDT</w:t>
            </w:r>
          </w:p>
        </w:tc>
        <w:tc>
          <w:tcPr>
            <w:tcW w:w="913" w:type="pct"/>
            <w:vMerge w:val="restart"/>
          </w:tcPr>
          <w:p w:rsidR="00C64414" w:rsidRPr="00C64414" w:rsidRDefault="00C64414" w:rsidP="007243F9">
            <w:pPr>
              <w:pStyle w:val="Tabletext"/>
            </w:pPr>
            <w:r w:rsidRPr="00C64414">
              <w:t>Assume 3.4 administrations in year 1, and</w:t>
            </w:r>
            <w:r w:rsidR="0026690A">
              <w:t xml:space="preserve"> 1.7 administrations in year 2.</w:t>
            </w:r>
          </w:p>
        </w:tc>
        <w:tc>
          <w:tcPr>
            <w:tcW w:w="1095" w:type="pct"/>
            <w:vMerge w:val="restart"/>
          </w:tcPr>
          <w:p w:rsidR="00C64414" w:rsidRPr="00C64414" w:rsidRDefault="00C64414" w:rsidP="007243F9">
            <w:pPr>
              <w:pStyle w:val="Tabletext"/>
            </w:pPr>
            <w:r w:rsidRPr="00C64414">
              <w:t>Assume no administrations of vPDT (and holding efficacy constant)</w:t>
            </w:r>
          </w:p>
        </w:tc>
        <w:tc>
          <w:tcPr>
            <w:tcW w:w="574" w:type="pct"/>
          </w:tcPr>
          <w:p w:rsidR="00C64414" w:rsidRPr="00C64414" w:rsidRDefault="00C64414" w:rsidP="007243F9">
            <w:pPr>
              <w:pStyle w:val="Tabletext"/>
            </w:pPr>
            <w:r w:rsidRPr="00C64414">
              <w:t>Costs</w:t>
            </w:r>
          </w:p>
        </w:tc>
        <w:tc>
          <w:tcPr>
            <w:tcW w:w="423" w:type="pct"/>
            <w:vAlign w:val="center"/>
          </w:tcPr>
          <w:p w:rsidR="00C64414" w:rsidRPr="00C64414" w:rsidRDefault="00C64414" w:rsidP="007243F9">
            <w:pPr>
              <w:pStyle w:val="Tabletext"/>
              <w:jc w:val="center"/>
            </w:pPr>
            <w:r w:rsidRPr="00C64414">
              <w:t>$</w:t>
            </w:r>
            <w:r w:rsidR="00042B67">
              <w:rPr>
                <w:noProof/>
                <w:color w:val="000000"/>
                <w:highlight w:val="black"/>
              </w:rPr>
              <w:t>''''''''''''''</w:t>
            </w:r>
          </w:p>
        </w:tc>
        <w:tc>
          <w:tcPr>
            <w:tcW w:w="423" w:type="pct"/>
            <w:vAlign w:val="center"/>
          </w:tcPr>
          <w:p w:rsidR="00C64414" w:rsidRPr="00C64414" w:rsidRDefault="00C64414" w:rsidP="007243F9">
            <w:pPr>
              <w:pStyle w:val="Tabletext"/>
              <w:jc w:val="center"/>
            </w:pPr>
            <w:r w:rsidRPr="00C64414">
              <w:t>$</w:t>
            </w:r>
            <w:r w:rsidR="00042B67">
              <w:rPr>
                <w:noProof/>
                <w:color w:val="000000"/>
                <w:highlight w:val="black"/>
              </w:rPr>
              <w:t>'''''''''''''''</w:t>
            </w:r>
          </w:p>
        </w:tc>
        <w:tc>
          <w:tcPr>
            <w:tcW w:w="566" w:type="pct"/>
            <w:vAlign w:val="center"/>
          </w:tcPr>
          <w:p w:rsidR="00C64414" w:rsidRPr="00C64414" w:rsidRDefault="00C64414" w:rsidP="007243F9">
            <w:pPr>
              <w:pStyle w:val="Tabletext"/>
              <w:jc w:val="center"/>
            </w:pPr>
            <w:r w:rsidRPr="00C64414">
              <w:t>$</w:t>
            </w:r>
            <w:r w:rsidR="00042B67">
              <w:rPr>
                <w:noProof/>
                <w:color w:val="000000"/>
                <w:highlight w:val="black"/>
              </w:rPr>
              <w:t>'''''''''''''''</w:t>
            </w:r>
          </w:p>
        </w:tc>
      </w:tr>
      <w:tr w:rsidR="00C64414" w:rsidRPr="00C64414" w:rsidTr="007243F9">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913" w:type="pct"/>
            <w:vMerge/>
          </w:tcPr>
          <w:p w:rsidR="00C64414" w:rsidRPr="00C64414" w:rsidRDefault="00C64414" w:rsidP="007243F9">
            <w:pPr>
              <w:pStyle w:val="Tabletext"/>
            </w:pPr>
          </w:p>
        </w:tc>
        <w:tc>
          <w:tcPr>
            <w:tcW w:w="1095" w:type="pct"/>
            <w:vMerge/>
          </w:tcPr>
          <w:p w:rsidR="00C64414" w:rsidRPr="00C64414" w:rsidRDefault="00C64414" w:rsidP="007243F9">
            <w:pPr>
              <w:pStyle w:val="Tabletext"/>
            </w:pPr>
          </w:p>
        </w:tc>
        <w:tc>
          <w:tcPr>
            <w:tcW w:w="574" w:type="pct"/>
          </w:tcPr>
          <w:p w:rsidR="00C64414" w:rsidRPr="00C64414" w:rsidRDefault="00C64414" w:rsidP="007243F9">
            <w:pPr>
              <w:pStyle w:val="Tabletext"/>
            </w:pPr>
            <w:r w:rsidRPr="00C64414">
              <w:t>QALYs</w:t>
            </w:r>
          </w:p>
        </w:tc>
        <w:tc>
          <w:tcPr>
            <w:tcW w:w="423" w:type="pct"/>
            <w:vAlign w:val="center"/>
          </w:tcPr>
          <w:p w:rsidR="00C64414" w:rsidRPr="00042B67" w:rsidRDefault="00042B67" w:rsidP="007243F9">
            <w:pPr>
              <w:pStyle w:val="Tabletext"/>
              <w:jc w:val="center"/>
              <w:rPr>
                <w:highlight w:val="black"/>
              </w:rPr>
            </w:pPr>
            <w:r>
              <w:rPr>
                <w:noProof/>
                <w:color w:val="000000"/>
                <w:highlight w:val="black"/>
              </w:rPr>
              <w:t>''''''''''</w:t>
            </w:r>
          </w:p>
        </w:tc>
        <w:tc>
          <w:tcPr>
            <w:tcW w:w="423" w:type="pct"/>
            <w:vAlign w:val="center"/>
          </w:tcPr>
          <w:p w:rsidR="00C64414" w:rsidRPr="00042B67" w:rsidRDefault="00042B67" w:rsidP="007243F9">
            <w:pPr>
              <w:pStyle w:val="Tabletext"/>
              <w:jc w:val="center"/>
              <w:rPr>
                <w:highlight w:val="black"/>
              </w:rPr>
            </w:pPr>
            <w:r>
              <w:rPr>
                <w:noProof/>
                <w:color w:val="000000"/>
                <w:highlight w:val="black"/>
              </w:rPr>
              <w:t>''''''''''</w:t>
            </w:r>
          </w:p>
        </w:tc>
        <w:tc>
          <w:tcPr>
            <w:tcW w:w="566" w:type="pct"/>
            <w:vAlign w:val="center"/>
          </w:tcPr>
          <w:p w:rsidR="00C64414" w:rsidRPr="00042B67" w:rsidRDefault="00042B67" w:rsidP="007243F9">
            <w:pPr>
              <w:pStyle w:val="Tabletext"/>
              <w:jc w:val="center"/>
              <w:rPr>
                <w:highlight w:val="black"/>
              </w:rPr>
            </w:pPr>
            <w:r>
              <w:rPr>
                <w:noProof/>
                <w:color w:val="000000"/>
                <w:highlight w:val="black"/>
              </w:rPr>
              <w:t>''''''''''</w:t>
            </w:r>
          </w:p>
        </w:tc>
      </w:tr>
      <w:tr w:rsidR="00C64414" w:rsidRPr="00C64414" w:rsidTr="007243F9">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913" w:type="pct"/>
            <w:vMerge/>
          </w:tcPr>
          <w:p w:rsidR="00C64414" w:rsidRPr="00C64414" w:rsidRDefault="00C64414" w:rsidP="007243F9">
            <w:pPr>
              <w:pStyle w:val="Tabletext"/>
            </w:pPr>
          </w:p>
        </w:tc>
        <w:tc>
          <w:tcPr>
            <w:tcW w:w="1095" w:type="pct"/>
            <w:vMerge/>
          </w:tcPr>
          <w:p w:rsidR="00C64414" w:rsidRPr="00C64414" w:rsidRDefault="00C64414" w:rsidP="007243F9">
            <w:pPr>
              <w:pStyle w:val="Tabletext"/>
            </w:pPr>
          </w:p>
        </w:tc>
        <w:tc>
          <w:tcPr>
            <w:tcW w:w="574" w:type="pct"/>
          </w:tcPr>
          <w:p w:rsidR="00C64414" w:rsidRPr="00C64414" w:rsidRDefault="00C64414" w:rsidP="007243F9">
            <w:pPr>
              <w:pStyle w:val="Tabletext"/>
            </w:pPr>
            <w:r w:rsidRPr="00C64414">
              <w:t>Cost per QALY</w:t>
            </w:r>
          </w:p>
        </w:tc>
        <w:tc>
          <w:tcPr>
            <w:tcW w:w="423" w:type="pct"/>
            <w:vAlign w:val="center"/>
          </w:tcPr>
          <w:p w:rsidR="00C64414" w:rsidRPr="00C64414" w:rsidRDefault="00C64414" w:rsidP="007243F9">
            <w:pPr>
              <w:pStyle w:val="Tabletext"/>
              <w:jc w:val="center"/>
            </w:pPr>
          </w:p>
        </w:tc>
        <w:tc>
          <w:tcPr>
            <w:tcW w:w="423" w:type="pct"/>
            <w:vAlign w:val="center"/>
          </w:tcPr>
          <w:p w:rsidR="00C64414" w:rsidRPr="00C64414" w:rsidRDefault="00C64414" w:rsidP="007243F9">
            <w:pPr>
              <w:pStyle w:val="Tabletext"/>
              <w:jc w:val="center"/>
            </w:pPr>
          </w:p>
        </w:tc>
        <w:tc>
          <w:tcPr>
            <w:tcW w:w="566" w:type="pct"/>
            <w:vAlign w:val="center"/>
          </w:tcPr>
          <w:p w:rsidR="00C64414" w:rsidRPr="00C64414" w:rsidRDefault="00C64414" w:rsidP="007243F9">
            <w:pPr>
              <w:pStyle w:val="Tabletext"/>
              <w:jc w:val="center"/>
            </w:pPr>
            <w:r w:rsidRPr="00C64414">
              <w:t>$</w:t>
            </w:r>
            <w:r w:rsidR="00042B67">
              <w:rPr>
                <w:noProof/>
                <w:color w:val="000000"/>
                <w:highlight w:val="black"/>
              </w:rPr>
              <w:t>'''''''''''''''''</w:t>
            </w:r>
          </w:p>
        </w:tc>
      </w:tr>
      <w:tr w:rsidR="00C64414" w:rsidRPr="00C64414" w:rsidTr="007243F9">
        <w:tc>
          <w:tcPr>
            <w:tcW w:w="247" w:type="pct"/>
            <w:vMerge w:val="restart"/>
          </w:tcPr>
          <w:p w:rsidR="00C64414" w:rsidRPr="00C64414" w:rsidRDefault="00C64414" w:rsidP="007243F9">
            <w:pPr>
              <w:pStyle w:val="Tabletext"/>
            </w:pPr>
            <w:r w:rsidRPr="00C64414">
              <w:t>2</w:t>
            </w:r>
          </w:p>
        </w:tc>
        <w:tc>
          <w:tcPr>
            <w:tcW w:w="759" w:type="pct"/>
            <w:vMerge w:val="restart"/>
          </w:tcPr>
          <w:p w:rsidR="00C64414" w:rsidRPr="00C64414" w:rsidRDefault="00C64414" w:rsidP="007243F9">
            <w:pPr>
              <w:pStyle w:val="Tabletext"/>
            </w:pPr>
            <w:r w:rsidRPr="00C64414">
              <w:t>#1 AND relative risk of falls (consistent with PBAC base case in July 2014 ranibizumab submissions)</w:t>
            </w:r>
          </w:p>
        </w:tc>
        <w:tc>
          <w:tcPr>
            <w:tcW w:w="913" w:type="pct"/>
            <w:vMerge w:val="restart"/>
          </w:tcPr>
          <w:p w:rsidR="00C64414" w:rsidRPr="00C64414" w:rsidRDefault="00C64414" w:rsidP="007243F9">
            <w:pPr>
              <w:pStyle w:val="Tabletext"/>
            </w:pPr>
            <w:r w:rsidRPr="00C64414">
              <w:t>As per #1 above, and</w:t>
            </w:r>
          </w:p>
          <w:p w:rsidR="00C64414" w:rsidRPr="00C64414" w:rsidRDefault="00C64414" w:rsidP="007243F9">
            <w:pPr>
              <w:pStyle w:val="Tabletext"/>
            </w:pPr>
            <w:r w:rsidRPr="00C64414">
              <w:rPr>
                <w:lang w:val="it-IT"/>
              </w:rPr>
              <w:t>RR VA1 = 1</w:t>
            </w:r>
            <w:r w:rsidRPr="00C64414">
              <w:rPr>
                <w:lang w:val="it-IT"/>
              </w:rPr>
              <w:br/>
              <w:t>RR VA2 = 1</w:t>
            </w:r>
            <w:r w:rsidRPr="00C64414">
              <w:rPr>
                <w:lang w:val="it-IT"/>
              </w:rPr>
              <w:br/>
              <w:t>RR VA3 BSE = 1.55</w:t>
            </w:r>
            <w:r w:rsidRPr="00C64414">
              <w:rPr>
                <w:lang w:val="it-IT"/>
              </w:rPr>
              <w:br/>
              <w:t>RR VA3 WSE = 1</w:t>
            </w:r>
            <w:r w:rsidRPr="00C64414">
              <w:rPr>
                <w:lang w:val="it-IT"/>
              </w:rPr>
              <w:br/>
              <w:t>RR VA4 BSE = 1.55</w:t>
            </w:r>
            <w:r w:rsidRPr="00C64414">
              <w:rPr>
                <w:lang w:val="it-IT"/>
              </w:rPr>
              <w:br/>
              <w:t>RR VA4 WSE = 1</w:t>
            </w:r>
            <w:r w:rsidRPr="00C64414">
              <w:t xml:space="preserve"> </w:t>
            </w:r>
          </w:p>
        </w:tc>
        <w:tc>
          <w:tcPr>
            <w:tcW w:w="1095" w:type="pct"/>
            <w:vMerge w:val="restart"/>
          </w:tcPr>
          <w:p w:rsidR="00C64414" w:rsidRPr="00C64414" w:rsidRDefault="00C64414" w:rsidP="007243F9">
            <w:pPr>
              <w:pStyle w:val="Tabletext"/>
            </w:pPr>
            <w:r w:rsidRPr="00C64414">
              <w:t>As per #1 above, and</w:t>
            </w:r>
          </w:p>
          <w:p w:rsidR="00C64414" w:rsidRPr="00C64414" w:rsidRDefault="00C64414" w:rsidP="007243F9">
            <w:pPr>
              <w:pStyle w:val="Tabletext"/>
            </w:pPr>
            <w:r w:rsidRPr="00C64414">
              <w:t xml:space="preserve">RR = 1 </w:t>
            </w:r>
          </w:p>
        </w:tc>
        <w:tc>
          <w:tcPr>
            <w:tcW w:w="574" w:type="pct"/>
          </w:tcPr>
          <w:p w:rsidR="00C64414" w:rsidRPr="00C64414" w:rsidRDefault="00C64414" w:rsidP="007243F9">
            <w:pPr>
              <w:pStyle w:val="Tabletext"/>
            </w:pPr>
            <w:r w:rsidRPr="00C64414">
              <w:t>Costs</w:t>
            </w:r>
          </w:p>
        </w:tc>
        <w:tc>
          <w:tcPr>
            <w:tcW w:w="423" w:type="pct"/>
            <w:vAlign w:val="center"/>
          </w:tcPr>
          <w:p w:rsidR="00C64414" w:rsidRPr="00C64414" w:rsidRDefault="00C64414" w:rsidP="007243F9">
            <w:pPr>
              <w:pStyle w:val="Tabletext"/>
              <w:jc w:val="center"/>
            </w:pPr>
            <w:r w:rsidRPr="00C64414">
              <w:t>$</w:t>
            </w:r>
            <w:r w:rsidR="00042B67">
              <w:rPr>
                <w:noProof/>
                <w:color w:val="000000"/>
                <w:highlight w:val="black"/>
              </w:rPr>
              <w:t>''''''''''''''</w:t>
            </w:r>
          </w:p>
        </w:tc>
        <w:tc>
          <w:tcPr>
            <w:tcW w:w="423" w:type="pct"/>
            <w:vAlign w:val="center"/>
          </w:tcPr>
          <w:p w:rsidR="00C64414" w:rsidRPr="00C64414" w:rsidRDefault="00C64414" w:rsidP="007243F9">
            <w:pPr>
              <w:pStyle w:val="Tabletext"/>
              <w:jc w:val="center"/>
            </w:pPr>
            <w:r w:rsidRPr="00C64414">
              <w:t>$</w:t>
            </w:r>
            <w:r w:rsidR="00042B67">
              <w:rPr>
                <w:noProof/>
                <w:color w:val="000000"/>
                <w:highlight w:val="black"/>
              </w:rPr>
              <w:t>''''''''''''</w:t>
            </w:r>
          </w:p>
        </w:tc>
        <w:tc>
          <w:tcPr>
            <w:tcW w:w="566" w:type="pct"/>
            <w:vAlign w:val="center"/>
          </w:tcPr>
          <w:p w:rsidR="00C64414" w:rsidRPr="00C64414" w:rsidRDefault="00C64414" w:rsidP="007243F9">
            <w:pPr>
              <w:pStyle w:val="Tabletext"/>
              <w:jc w:val="center"/>
            </w:pPr>
            <w:r w:rsidRPr="00C64414">
              <w:t>$</w:t>
            </w:r>
            <w:r w:rsidR="00042B67">
              <w:rPr>
                <w:noProof/>
                <w:color w:val="000000"/>
                <w:highlight w:val="black"/>
              </w:rPr>
              <w:t>'''''''''''''''</w:t>
            </w:r>
          </w:p>
        </w:tc>
      </w:tr>
      <w:tr w:rsidR="00C64414" w:rsidRPr="00C64414" w:rsidTr="007243F9">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913" w:type="pct"/>
            <w:vMerge/>
          </w:tcPr>
          <w:p w:rsidR="00C64414" w:rsidRPr="00C64414" w:rsidRDefault="00C64414" w:rsidP="007243F9">
            <w:pPr>
              <w:pStyle w:val="Tabletext"/>
            </w:pPr>
          </w:p>
        </w:tc>
        <w:tc>
          <w:tcPr>
            <w:tcW w:w="1095" w:type="pct"/>
            <w:vMerge/>
          </w:tcPr>
          <w:p w:rsidR="00C64414" w:rsidRPr="00C64414" w:rsidRDefault="00C64414" w:rsidP="007243F9">
            <w:pPr>
              <w:pStyle w:val="Tabletext"/>
            </w:pPr>
          </w:p>
        </w:tc>
        <w:tc>
          <w:tcPr>
            <w:tcW w:w="574" w:type="pct"/>
          </w:tcPr>
          <w:p w:rsidR="00C64414" w:rsidRPr="00C64414" w:rsidRDefault="00C64414" w:rsidP="007243F9">
            <w:pPr>
              <w:pStyle w:val="Tabletext"/>
            </w:pPr>
            <w:r w:rsidRPr="00C64414">
              <w:t>QALYs</w:t>
            </w:r>
          </w:p>
        </w:tc>
        <w:tc>
          <w:tcPr>
            <w:tcW w:w="423" w:type="pct"/>
            <w:vAlign w:val="center"/>
          </w:tcPr>
          <w:p w:rsidR="00C64414" w:rsidRPr="00042B67" w:rsidRDefault="00042B67" w:rsidP="007243F9">
            <w:pPr>
              <w:pStyle w:val="Tabletext"/>
              <w:jc w:val="center"/>
              <w:rPr>
                <w:highlight w:val="black"/>
              </w:rPr>
            </w:pPr>
            <w:r>
              <w:rPr>
                <w:noProof/>
                <w:color w:val="000000"/>
                <w:highlight w:val="black"/>
              </w:rPr>
              <w:t>''''''''''</w:t>
            </w:r>
          </w:p>
        </w:tc>
        <w:tc>
          <w:tcPr>
            <w:tcW w:w="423" w:type="pct"/>
            <w:vAlign w:val="center"/>
          </w:tcPr>
          <w:p w:rsidR="00C64414" w:rsidRPr="00042B67" w:rsidRDefault="00042B67" w:rsidP="007243F9">
            <w:pPr>
              <w:pStyle w:val="Tabletext"/>
              <w:jc w:val="center"/>
              <w:rPr>
                <w:highlight w:val="black"/>
              </w:rPr>
            </w:pPr>
            <w:r>
              <w:rPr>
                <w:noProof/>
                <w:color w:val="000000"/>
                <w:highlight w:val="black"/>
              </w:rPr>
              <w:t>''''''''''''</w:t>
            </w:r>
          </w:p>
        </w:tc>
        <w:tc>
          <w:tcPr>
            <w:tcW w:w="566" w:type="pct"/>
            <w:vAlign w:val="center"/>
          </w:tcPr>
          <w:p w:rsidR="00C64414" w:rsidRPr="003B1529" w:rsidRDefault="00C64414" w:rsidP="007243F9">
            <w:pPr>
              <w:pStyle w:val="Tabletext"/>
              <w:jc w:val="center"/>
            </w:pPr>
            <w:r w:rsidRPr="003B1529">
              <w:t>0.17</w:t>
            </w:r>
          </w:p>
        </w:tc>
      </w:tr>
      <w:tr w:rsidR="00C64414" w:rsidRPr="00C64414" w:rsidTr="007243F9">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913" w:type="pct"/>
            <w:vMerge/>
          </w:tcPr>
          <w:p w:rsidR="00C64414" w:rsidRPr="00C64414" w:rsidRDefault="00C64414" w:rsidP="007243F9">
            <w:pPr>
              <w:pStyle w:val="Tabletext"/>
            </w:pPr>
          </w:p>
        </w:tc>
        <w:tc>
          <w:tcPr>
            <w:tcW w:w="1095" w:type="pct"/>
            <w:vMerge/>
          </w:tcPr>
          <w:p w:rsidR="00C64414" w:rsidRPr="00C64414" w:rsidRDefault="00C64414" w:rsidP="007243F9">
            <w:pPr>
              <w:pStyle w:val="Tabletext"/>
            </w:pPr>
          </w:p>
        </w:tc>
        <w:tc>
          <w:tcPr>
            <w:tcW w:w="574" w:type="pct"/>
          </w:tcPr>
          <w:p w:rsidR="00C64414" w:rsidRPr="00C64414" w:rsidRDefault="00C64414" w:rsidP="007243F9">
            <w:pPr>
              <w:pStyle w:val="Tabletext"/>
            </w:pPr>
            <w:r w:rsidRPr="00C64414">
              <w:t>Cost per QALY</w:t>
            </w:r>
          </w:p>
        </w:tc>
        <w:tc>
          <w:tcPr>
            <w:tcW w:w="423" w:type="pct"/>
            <w:vAlign w:val="center"/>
          </w:tcPr>
          <w:p w:rsidR="00C64414" w:rsidRPr="00C64414" w:rsidRDefault="00C64414" w:rsidP="007243F9">
            <w:pPr>
              <w:pStyle w:val="Tabletext"/>
              <w:jc w:val="center"/>
            </w:pPr>
          </w:p>
        </w:tc>
        <w:tc>
          <w:tcPr>
            <w:tcW w:w="423" w:type="pct"/>
            <w:vAlign w:val="center"/>
          </w:tcPr>
          <w:p w:rsidR="00C64414" w:rsidRPr="00C64414" w:rsidRDefault="00C64414" w:rsidP="007243F9">
            <w:pPr>
              <w:pStyle w:val="Tabletext"/>
              <w:jc w:val="center"/>
            </w:pPr>
          </w:p>
        </w:tc>
        <w:tc>
          <w:tcPr>
            <w:tcW w:w="566" w:type="pct"/>
            <w:vAlign w:val="center"/>
          </w:tcPr>
          <w:p w:rsidR="00C64414" w:rsidRPr="00C64414" w:rsidRDefault="00C64414" w:rsidP="007243F9">
            <w:pPr>
              <w:pStyle w:val="Tabletext"/>
              <w:jc w:val="center"/>
            </w:pPr>
            <w:r w:rsidRPr="00C64414">
              <w:t>$</w:t>
            </w:r>
            <w:r w:rsidR="00042B67">
              <w:rPr>
                <w:noProof/>
                <w:color w:val="000000"/>
                <w:highlight w:val="black"/>
              </w:rPr>
              <w:t>'''''''''''''''''</w:t>
            </w:r>
          </w:p>
        </w:tc>
      </w:tr>
      <w:tr w:rsidR="00C64414" w:rsidRPr="00C64414" w:rsidTr="007243F9">
        <w:tc>
          <w:tcPr>
            <w:tcW w:w="247" w:type="pct"/>
            <w:vMerge w:val="restart"/>
          </w:tcPr>
          <w:p w:rsidR="00C64414" w:rsidRPr="00C64414" w:rsidRDefault="00C64414" w:rsidP="007243F9">
            <w:pPr>
              <w:pStyle w:val="Tabletext"/>
            </w:pPr>
            <w:r w:rsidRPr="00C64414">
              <w:t>3</w:t>
            </w:r>
          </w:p>
        </w:tc>
        <w:tc>
          <w:tcPr>
            <w:tcW w:w="759" w:type="pct"/>
            <w:vMerge w:val="restart"/>
          </w:tcPr>
          <w:p w:rsidR="00C64414" w:rsidRPr="00C64414" w:rsidRDefault="00C64414" w:rsidP="007243F9">
            <w:pPr>
              <w:pStyle w:val="Tabletext"/>
            </w:pPr>
            <w:r w:rsidRPr="00C64414">
              <w:t>#1 and cost associated with blindness</w:t>
            </w:r>
          </w:p>
        </w:tc>
        <w:tc>
          <w:tcPr>
            <w:tcW w:w="913" w:type="pct"/>
            <w:vMerge w:val="restart"/>
          </w:tcPr>
          <w:p w:rsidR="00C64414" w:rsidRPr="00C64414" w:rsidRDefault="00C64414" w:rsidP="007243F9">
            <w:pPr>
              <w:pStyle w:val="Tabletext"/>
            </w:pPr>
            <w:r w:rsidRPr="00C64414">
              <w:t>As per #1 above, and</w:t>
            </w:r>
          </w:p>
          <w:p w:rsidR="00C64414" w:rsidRPr="00C64414" w:rsidRDefault="00C64414" w:rsidP="007243F9">
            <w:pPr>
              <w:pStyle w:val="Tabletext"/>
            </w:pPr>
          </w:p>
          <w:p w:rsidR="00C64414" w:rsidRPr="00C64414" w:rsidRDefault="00C64414" w:rsidP="007243F9">
            <w:pPr>
              <w:pStyle w:val="Tabletext"/>
            </w:pPr>
            <w:r w:rsidRPr="00C64414">
              <w:t>Year 1 - $</w:t>
            </w:r>
            <w:r w:rsidR="00042B67">
              <w:rPr>
                <w:noProof/>
                <w:color w:val="000000"/>
                <w:highlight w:val="black"/>
              </w:rPr>
              <w:t>''''''''''''''''''''''</w:t>
            </w:r>
            <w:r w:rsidRPr="00C64414">
              <w:t xml:space="preserve"> per month</w:t>
            </w:r>
            <w:r w:rsidRPr="00C64414">
              <w:br/>
              <w:t>Subsequent years - $</w:t>
            </w:r>
            <w:r w:rsidR="00042B67">
              <w:rPr>
                <w:noProof/>
                <w:color w:val="000000"/>
                <w:highlight w:val="black"/>
              </w:rPr>
              <w:t>'''''''''''''''</w:t>
            </w:r>
            <w:r w:rsidRPr="00C64414">
              <w:t xml:space="preserve"> per month</w:t>
            </w:r>
          </w:p>
        </w:tc>
        <w:tc>
          <w:tcPr>
            <w:tcW w:w="1095" w:type="pct"/>
            <w:vMerge w:val="restart"/>
          </w:tcPr>
          <w:p w:rsidR="00C64414" w:rsidRPr="00C64414" w:rsidRDefault="00C64414" w:rsidP="007243F9">
            <w:pPr>
              <w:pStyle w:val="Tabletext"/>
            </w:pPr>
            <w:r w:rsidRPr="00C64414">
              <w:t>As per #1 above, and</w:t>
            </w:r>
          </w:p>
          <w:p w:rsidR="00C64414" w:rsidRPr="00C64414" w:rsidRDefault="00C64414" w:rsidP="007243F9">
            <w:pPr>
              <w:pStyle w:val="Tabletext"/>
            </w:pPr>
          </w:p>
          <w:p w:rsidR="00C64414" w:rsidRPr="00C64414" w:rsidRDefault="00C64414" w:rsidP="007243F9">
            <w:pPr>
              <w:pStyle w:val="Tabletext"/>
            </w:pPr>
            <w:r w:rsidRPr="00C64414">
              <w:t>$0.00</w:t>
            </w:r>
          </w:p>
        </w:tc>
        <w:tc>
          <w:tcPr>
            <w:tcW w:w="574" w:type="pct"/>
          </w:tcPr>
          <w:p w:rsidR="00C64414" w:rsidRPr="00C64414" w:rsidRDefault="00C64414" w:rsidP="007243F9">
            <w:pPr>
              <w:pStyle w:val="Tabletext"/>
            </w:pPr>
            <w:r w:rsidRPr="00C64414">
              <w:t>Costs</w:t>
            </w:r>
          </w:p>
        </w:tc>
        <w:tc>
          <w:tcPr>
            <w:tcW w:w="423" w:type="pct"/>
            <w:vAlign w:val="center"/>
          </w:tcPr>
          <w:p w:rsidR="00C64414" w:rsidRPr="00C64414" w:rsidRDefault="00C64414" w:rsidP="007243F9">
            <w:pPr>
              <w:pStyle w:val="Tabletext"/>
              <w:jc w:val="center"/>
            </w:pPr>
            <w:r w:rsidRPr="00C64414">
              <w:t>$</w:t>
            </w:r>
            <w:r w:rsidR="00042B67">
              <w:rPr>
                <w:noProof/>
                <w:color w:val="000000"/>
                <w:highlight w:val="black"/>
              </w:rPr>
              <w:t>''''''''''''</w:t>
            </w:r>
          </w:p>
        </w:tc>
        <w:tc>
          <w:tcPr>
            <w:tcW w:w="423" w:type="pct"/>
            <w:vAlign w:val="center"/>
          </w:tcPr>
          <w:p w:rsidR="00C64414" w:rsidRPr="00C64414" w:rsidRDefault="00C64414" w:rsidP="007243F9">
            <w:pPr>
              <w:pStyle w:val="Tabletext"/>
              <w:jc w:val="center"/>
            </w:pPr>
            <w:r w:rsidRPr="00C64414">
              <w:t>$</w:t>
            </w:r>
            <w:r w:rsidR="00042B67">
              <w:rPr>
                <w:noProof/>
                <w:color w:val="000000"/>
                <w:highlight w:val="black"/>
              </w:rPr>
              <w:t>''''''''''''''</w:t>
            </w:r>
          </w:p>
        </w:tc>
        <w:tc>
          <w:tcPr>
            <w:tcW w:w="566" w:type="pct"/>
            <w:vAlign w:val="center"/>
          </w:tcPr>
          <w:p w:rsidR="00C64414" w:rsidRPr="00C64414" w:rsidRDefault="00C64414" w:rsidP="007243F9">
            <w:pPr>
              <w:pStyle w:val="Tabletext"/>
              <w:jc w:val="center"/>
            </w:pPr>
            <w:r w:rsidRPr="00C64414">
              <w:t>$</w:t>
            </w:r>
            <w:r w:rsidR="00042B67">
              <w:rPr>
                <w:noProof/>
                <w:color w:val="000000"/>
                <w:highlight w:val="black"/>
              </w:rPr>
              <w:t>'''''''''''''</w:t>
            </w:r>
          </w:p>
        </w:tc>
      </w:tr>
      <w:tr w:rsidR="00C64414" w:rsidRPr="00C64414" w:rsidTr="007243F9">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913" w:type="pct"/>
            <w:vMerge/>
          </w:tcPr>
          <w:p w:rsidR="00C64414" w:rsidRPr="00C64414" w:rsidRDefault="00C64414" w:rsidP="007243F9">
            <w:pPr>
              <w:pStyle w:val="Tabletext"/>
            </w:pPr>
          </w:p>
        </w:tc>
        <w:tc>
          <w:tcPr>
            <w:tcW w:w="1095" w:type="pct"/>
            <w:vMerge/>
          </w:tcPr>
          <w:p w:rsidR="00C64414" w:rsidRPr="00C64414" w:rsidRDefault="00C64414" w:rsidP="007243F9">
            <w:pPr>
              <w:pStyle w:val="Tabletext"/>
            </w:pPr>
          </w:p>
        </w:tc>
        <w:tc>
          <w:tcPr>
            <w:tcW w:w="574" w:type="pct"/>
          </w:tcPr>
          <w:p w:rsidR="00C64414" w:rsidRPr="00C64414" w:rsidRDefault="00C64414" w:rsidP="007243F9">
            <w:pPr>
              <w:pStyle w:val="Tabletext"/>
            </w:pPr>
            <w:r w:rsidRPr="00C64414">
              <w:t>QALYs</w:t>
            </w:r>
          </w:p>
        </w:tc>
        <w:tc>
          <w:tcPr>
            <w:tcW w:w="423" w:type="pct"/>
            <w:vAlign w:val="center"/>
          </w:tcPr>
          <w:p w:rsidR="00C64414" w:rsidRPr="00042B67" w:rsidRDefault="00042B67" w:rsidP="007243F9">
            <w:pPr>
              <w:pStyle w:val="Tabletext"/>
              <w:jc w:val="center"/>
              <w:rPr>
                <w:highlight w:val="black"/>
              </w:rPr>
            </w:pPr>
            <w:r>
              <w:rPr>
                <w:noProof/>
                <w:color w:val="000000"/>
                <w:highlight w:val="black"/>
              </w:rPr>
              <w:t>''''''''''</w:t>
            </w:r>
          </w:p>
        </w:tc>
        <w:tc>
          <w:tcPr>
            <w:tcW w:w="423" w:type="pct"/>
            <w:vAlign w:val="center"/>
          </w:tcPr>
          <w:p w:rsidR="00C64414" w:rsidRPr="00042B67" w:rsidRDefault="00042B67" w:rsidP="007243F9">
            <w:pPr>
              <w:pStyle w:val="Tabletext"/>
              <w:jc w:val="center"/>
              <w:rPr>
                <w:highlight w:val="black"/>
              </w:rPr>
            </w:pPr>
            <w:r>
              <w:rPr>
                <w:noProof/>
                <w:color w:val="000000"/>
                <w:highlight w:val="black"/>
              </w:rPr>
              <w:t>'''''''''''</w:t>
            </w:r>
          </w:p>
        </w:tc>
        <w:tc>
          <w:tcPr>
            <w:tcW w:w="566" w:type="pct"/>
            <w:vAlign w:val="center"/>
          </w:tcPr>
          <w:p w:rsidR="00C64414" w:rsidRPr="00042B67" w:rsidRDefault="00042B67" w:rsidP="007243F9">
            <w:pPr>
              <w:pStyle w:val="Tabletext"/>
              <w:jc w:val="center"/>
              <w:rPr>
                <w:highlight w:val="black"/>
              </w:rPr>
            </w:pPr>
            <w:r>
              <w:rPr>
                <w:noProof/>
                <w:color w:val="000000"/>
                <w:highlight w:val="black"/>
              </w:rPr>
              <w:t>''''''''''</w:t>
            </w:r>
          </w:p>
        </w:tc>
      </w:tr>
      <w:tr w:rsidR="00C64414" w:rsidRPr="00C64414" w:rsidTr="007243F9">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913" w:type="pct"/>
            <w:vMerge/>
          </w:tcPr>
          <w:p w:rsidR="00C64414" w:rsidRPr="00C64414" w:rsidRDefault="00C64414" w:rsidP="007243F9">
            <w:pPr>
              <w:pStyle w:val="Tabletext"/>
            </w:pPr>
          </w:p>
        </w:tc>
        <w:tc>
          <w:tcPr>
            <w:tcW w:w="1095" w:type="pct"/>
            <w:vMerge/>
          </w:tcPr>
          <w:p w:rsidR="00C64414" w:rsidRPr="00C64414" w:rsidRDefault="00C64414" w:rsidP="007243F9">
            <w:pPr>
              <w:pStyle w:val="Tabletext"/>
            </w:pPr>
          </w:p>
        </w:tc>
        <w:tc>
          <w:tcPr>
            <w:tcW w:w="574" w:type="pct"/>
          </w:tcPr>
          <w:p w:rsidR="00C64414" w:rsidRPr="00C64414" w:rsidRDefault="00C64414" w:rsidP="007243F9">
            <w:pPr>
              <w:pStyle w:val="Tabletext"/>
            </w:pPr>
            <w:r w:rsidRPr="00C64414">
              <w:t>Cost per QALY</w:t>
            </w:r>
          </w:p>
        </w:tc>
        <w:tc>
          <w:tcPr>
            <w:tcW w:w="423" w:type="pct"/>
            <w:vAlign w:val="center"/>
          </w:tcPr>
          <w:p w:rsidR="00C64414" w:rsidRPr="00C64414" w:rsidRDefault="00C64414" w:rsidP="007243F9">
            <w:pPr>
              <w:pStyle w:val="Tabletext"/>
              <w:jc w:val="center"/>
            </w:pPr>
          </w:p>
        </w:tc>
        <w:tc>
          <w:tcPr>
            <w:tcW w:w="423" w:type="pct"/>
            <w:vAlign w:val="center"/>
          </w:tcPr>
          <w:p w:rsidR="00C64414" w:rsidRPr="00C64414" w:rsidRDefault="00C64414" w:rsidP="007243F9">
            <w:pPr>
              <w:pStyle w:val="Tabletext"/>
              <w:jc w:val="center"/>
            </w:pPr>
          </w:p>
        </w:tc>
        <w:tc>
          <w:tcPr>
            <w:tcW w:w="566" w:type="pct"/>
            <w:vAlign w:val="center"/>
          </w:tcPr>
          <w:p w:rsidR="00C64414" w:rsidRPr="00C64414" w:rsidRDefault="00C64414" w:rsidP="007243F9">
            <w:pPr>
              <w:pStyle w:val="Tabletext"/>
              <w:jc w:val="center"/>
            </w:pPr>
            <w:r w:rsidRPr="00C64414">
              <w:t>$</w:t>
            </w:r>
            <w:r w:rsidR="00042B67">
              <w:rPr>
                <w:noProof/>
                <w:color w:val="000000"/>
                <w:highlight w:val="black"/>
              </w:rPr>
              <w:t>'''''''''''''''</w:t>
            </w:r>
          </w:p>
        </w:tc>
      </w:tr>
      <w:tr w:rsidR="00C64414" w:rsidRPr="00C64414" w:rsidTr="007243F9">
        <w:tblPrEx>
          <w:tblCellMar>
            <w:left w:w="108" w:type="dxa"/>
            <w:right w:w="108" w:type="dxa"/>
          </w:tblCellMar>
        </w:tblPrEx>
        <w:tc>
          <w:tcPr>
            <w:tcW w:w="247" w:type="pct"/>
            <w:vMerge w:val="restart"/>
          </w:tcPr>
          <w:p w:rsidR="00C64414" w:rsidRPr="00C64414" w:rsidRDefault="00C64414" w:rsidP="007243F9">
            <w:pPr>
              <w:pStyle w:val="Tabletext"/>
            </w:pPr>
            <w:r w:rsidRPr="00C64414">
              <w:t>4</w:t>
            </w:r>
          </w:p>
        </w:tc>
        <w:tc>
          <w:tcPr>
            <w:tcW w:w="759" w:type="pct"/>
            <w:vMerge w:val="restart"/>
          </w:tcPr>
          <w:p w:rsidR="00C64414" w:rsidRPr="00C64414" w:rsidRDefault="00C64414" w:rsidP="007243F9">
            <w:pPr>
              <w:pStyle w:val="Tabletext"/>
            </w:pPr>
            <w:r w:rsidRPr="00C64414">
              <w:t>#1 and #2 and #3 (consistent with ESC base case in July 2014 PBAC submissions)</w:t>
            </w:r>
          </w:p>
        </w:tc>
        <w:tc>
          <w:tcPr>
            <w:tcW w:w="913" w:type="pct"/>
            <w:vMerge w:val="restart"/>
          </w:tcPr>
          <w:p w:rsidR="00C64414" w:rsidRPr="00C64414" w:rsidRDefault="00C64414" w:rsidP="007243F9">
            <w:pPr>
              <w:pStyle w:val="Tabletext"/>
            </w:pPr>
            <w:r w:rsidRPr="00C64414">
              <w:t>As per #1, #2 and #3 above</w:t>
            </w:r>
          </w:p>
        </w:tc>
        <w:tc>
          <w:tcPr>
            <w:tcW w:w="1095" w:type="pct"/>
            <w:vMerge w:val="restart"/>
          </w:tcPr>
          <w:p w:rsidR="00C64414" w:rsidRPr="00C64414" w:rsidRDefault="00C64414" w:rsidP="007243F9">
            <w:pPr>
              <w:pStyle w:val="Tabletext"/>
            </w:pPr>
            <w:r w:rsidRPr="00C64414">
              <w:t>As per #1, #2 and #3 above</w:t>
            </w:r>
          </w:p>
        </w:tc>
        <w:tc>
          <w:tcPr>
            <w:tcW w:w="574" w:type="pct"/>
          </w:tcPr>
          <w:p w:rsidR="00C64414" w:rsidRPr="00C64414" w:rsidRDefault="00C64414" w:rsidP="007243F9">
            <w:pPr>
              <w:pStyle w:val="Tabletext"/>
            </w:pPr>
            <w:r w:rsidRPr="00C64414">
              <w:t>Costs</w:t>
            </w:r>
          </w:p>
        </w:tc>
        <w:tc>
          <w:tcPr>
            <w:tcW w:w="423" w:type="pct"/>
            <w:vAlign w:val="center"/>
          </w:tcPr>
          <w:p w:rsidR="00C64414" w:rsidRPr="00C64414" w:rsidRDefault="00C64414" w:rsidP="007243F9">
            <w:pPr>
              <w:pStyle w:val="Tabletext"/>
              <w:jc w:val="center"/>
            </w:pPr>
            <w:r w:rsidRPr="00C64414">
              <w:t>$</w:t>
            </w:r>
            <w:r w:rsidR="00042B67">
              <w:rPr>
                <w:noProof/>
                <w:color w:val="000000"/>
                <w:highlight w:val="black"/>
              </w:rPr>
              <w:t>''''''''''''''</w:t>
            </w:r>
          </w:p>
        </w:tc>
        <w:tc>
          <w:tcPr>
            <w:tcW w:w="423" w:type="pct"/>
            <w:vAlign w:val="center"/>
          </w:tcPr>
          <w:p w:rsidR="00C64414" w:rsidRPr="00C64414" w:rsidRDefault="00C64414" w:rsidP="007243F9">
            <w:pPr>
              <w:pStyle w:val="Tabletext"/>
              <w:jc w:val="center"/>
            </w:pPr>
            <w:r w:rsidRPr="00C64414">
              <w:t>$</w:t>
            </w:r>
            <w:r w:rsidR="00042B67">
              <w:rPr>
                <w:noProof/>
                <w:color w:val="000000"/>
                <w:highlight w:val="black"/>
              </w:rPr>
              <w:t>''''''''''''''</w:t>
            </w:r>
          </w:p>
        </w:tc>
        <w:tc>
          <w:tcPr>
            <w:tcW w:w="566" w:type="pct"/>
            <w:vAlign w:val="center"/>
          </w:tcPr>
          <w:p w:rsidR="00C64414" w:rsidRPr="00C64414" w:rsidRDefault="00C64414" w:rsidP="007243F9">
            <w:pPr>
              <w:pStyle w:val="Tabletext"/>
              <w:jc w:val="center"/>
            </w:pPr>
            <w:r w:rsidRPr="00C64414">
              <w:t>$</w:t>
            </w:r>
            <w:r w:rsidR="00042B67">
              <w:rPr>
                <w:noProof/>
                <w:color w:val="000000"/>
                <w:highlight w:val="black"/>
              </w:rPr>
              <w:t>'''''''''''''</w:t>
            </w:r>
          </w:p>
        </w:tc>
      </w:tr>
      <w:tr w:rsidR="00C64414" w:rsidRPr="00C64414" w:rsidTr="007243F9">
        <w:tblPrEx>
          <w:tblCellMar>
            <w:left w:w="108" w:type="dxa"/>
            <w:right w:w="108" w:type="dxa"/>
          </w:tblCellMar>
        </w:tblPrEx>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913" w:type="pct"/>
            <w:vMerge/>
          </w:tcPr>
          <w:p w:rsidR="00C64414" w:rsidRPr="00C64414" w:rsidRDefault="00C64414" w:rsidP="007243F9">
            <w:pPr>
              <w:pStyle w:val="Tabletext"/>
            </w:pPr>
          </w:p>
        </w:tc>
        <w:tc>
          <w:tcPr>
            <w:tcW w:w="1095" w:type="pct"/>
            <w:vMerge/>
          </w:tcPr>
          <w:p w:rsidR="00C64414" w:rsidRPr="00C64414" w:rsidRDefault="00C64414" w:rsidP="007243F9">
            <w:pPr>
              <w:pStyle w:val="Tabletext"/>
            </w:pPr>
          </w:p>
        </w:tc>
        <w:tc>
          <w:tcPr>
            <w:tcW w:w="574" w:type="pct"/>
          </w:tcPr>
          <w:p w:rsidR="00C64414" w:rsidRPr="00C64414" w:rsidRDefault="00C64414" w:rsidP="007243F9">
            <w:pPr>
              <w:pStyle w:val="Tabletext"/>
            </w:pPr>
            <w:r w:rsidRPr="00C64414">
              <w:t>QALYs</w:t>
            </w:r>
          </w:p>
        </w:tc>
        <w:tc>
          <w:tcPr>
            <w:tcW w:w="423" w:type="pct"/>
            <w:vAlign w:val="center"/>
          </w:tcPr>
          <w:p w:rsidR="00C64414" w:rsidRPr="00042B67" w:rsidRDefault="00042B67" w:rsidP="007243F9">
            <w:pPr>
              <w:pStyle w:val="Tabletext"/>
              <w:jc w:val="center"/>
              <w:rPr>
                <w:highlight w:val="black"/>
              </w:rPr>
            </w:pPr>
            <w:r>
              <w:rPr>
                <w:noProof/>
                <w:color w:val="000000"/>
                <w:highlight w:val="black"/>
              </w:rPr>
              <w:t>'''''''''''</w:t>
            </w:r>
          </w:p>
        </w:tc>
        <w:tc>
          <w:tcPr>
            <w:tcW w:w="423" w:type="pct"/>
            <w:vAlign w:val="center"/>
          </w:tcPr>
          <w:p w:rsidR="00C64414" w:rsidRPr="00042B67" w:rsidRDefault="00042B67" w:rsidP="007243F9">
            <w:pPr>
              <w:pStyle w:val="Tabletext"/>
              <w:jc w:val="center"/>
              <w:rPr>
                <w:highlight w:val="black"/>
              </w:rPr>
            </w:pPr>
            <w:r>
              <w:rPr>
                <w:noProof/>
                <w:color w:val="000000"/>
                <w:highlight w:val="black"/>
              </w:rPr>
              <w:t>''''''''''</w:t>
            </w:r>
          </w:p>
        </w:tc>
        <w:tc>
          <w:tcPr>
            <w:tcW w:w="566" w:type="pct"/>
            <w:vAlign w:val="center"/>
          </w:tcPr>
          <w:p w:rsidR="00C64414" w:rsidRPr="00042B67" w:rsidRDefault="00042B67" w:rsidP="007243F9">
            <w:pPr>
              <w:pStyle w:val="Tabletext"/>
              <w:jc w:val="center"/>
              <w:rPr>
                <w:highlight w:val="black"/>
              </w:rPr>
            </w:pPr>
            <w:r>
              <w:rPr>
                <w:noProof/>
                <w:color w:val="000000"/>
                <w:highlight w:val="black"/>
              </w:rPr>
              <w:t>'''''''''''</w:t>
            </w:r>
          </w:p>
        </w:tc>
      </w:tr>
      <w:tr w:rsidR="00C64414" w:rsidRPr="00C64414" w:rsidTr="007243F9">
        <w:tblPrEx>
          <w:tblCellMar>
            <w:left w:w="108" w:type="dxa"/>
            <w:right w:w="108" w:type="dxa"/>
          </w:tblCellMar>
        </w:tblPrEx>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913" w:type="pct"/>
            <w:vMerge/>
          </w:tcPr>
          <w:p w:rsidR="00C64414" w:rsidRPr="00C64414" w:rsidRDefault="00C64414" w:rsidP="007243F9">
            <w:pPr>
              <w:pStyle w:val="Tabletext"/>
            </w:pPr>
          </w:p>
        </w:tc>
        <w:tc>
          <w:tcPr>
            <w:tcW w:w="1095" w:type="pct"/>
            <w:vMerge/>
          </w:tcPr>
          <w:p w:rsidR="00C64414" w:rsidRPr="00C64414" w:rsidRDefault="00C64414" w:rsidP="007243F9">
            <w:pPr>
              <w:pStyle w:val="Tabletext"/>
            </w:pPr>
          </w:p>
        </w:tc>
        <w:tc>
          <w:tcPr>
            <w:tcW w:w="574" w:type="pct"/>
          </w:tcPr>
          <w:p w:rsidR="00C64414" w:rsidRPr="00C64414" w:rsidRDefault="00C64414" w:rsidP="007243F9">
            <w:pPr>
              <w:pStyle w:val="Tabletext"/>
            </w:pPr>
            <w:r w:rsidRPr="00C64414">
              <w:t>Cost per QALY</w:t>
            </w:r>
          </w:p>
        </w:tc>
        <w:tc>
          <w:tcPr>
            <w:tcW w:w="423" w:type="pct"/>
            <w:vAlign w:val="center"/>
          </w:tcPr>
          <w:p w:rsidR="00C64414" w:rsidRPr="00C64414" w:rsidRDefault="00C64414" w:rsidP="007243F9">
            <w:pPr>
              <w:pStyle w:val="Tabletext"/>
              <w:jc w:val="center"/>
            </w:pPr>
          </w:p>
        </w:tc>
        <w:tc>
          <w:tcPr>
            <w:tcW w:w="423" w:type="pct"/>
            <w:vAlign w:val="center"/>
          </w:tcPr>
          <w:p w:rsidR="00C64414" w:rsidRPr="00C64414" w:rsidRDefault="00C64414" w:rsidP="007243F9">
            <w:pPr>
              <w:pStyle w:val="Tabletext"/>
              <w:jc w:val="center"/>
            </w:pPr>
          </w:p>
        </w:tc>
        <w:tc>
          <w:tcPr>
            <w:tcW w:w="566" w:type="pct"/>
            <w:vAlign w:val="center"/>
          </w:tcPr>
          <w:p w:rsidR="00C64414" w:rsidRPr="00C64414" w:rsidRDefault="00C64414" w:rsidP="007243F9">
            <w:pPr>
              <w:pStyle w:val="Tabletext"/>
              <w:jc w:val="center"/>
            </w:pPr>
            <w:r w:rsidRPr="00C64414">
              <w:t>$</w:t>
            </w:r>
            <w:r w:rsidR="00042B67">
              <w:rPr>
                <w:noProof/>
                <w:color w:val="000000"/>
                <w:highlight w:val="black"/>
              </w:rPr>
              <w:t>'''''''''''''''''</w:t>
            </w:r>
          </w:p>
        </w:tc>
      </w:tr>
      <w:tr w:rsidR="00C64414" w:rsidRPr="00C64414" w:rsidTr="007243F9">
        <w:tblPrEx>
          <w:tblCellMar>
            <w:left w:w="108" w:type="dxa"/>
            <w:right w:w="108" w:type="dxa"/>
          </w:tblCellMar>
        </w:tblPrEx>
        <w:tc>
          <w:tcPr>
            <w:tcW w:w="247" w:type="pct"/>
            <w:vMerge w:val="restart"/>
          </w:tcPr>
          <w:p w:rsidR="00C64414" w:rsidRPr="00C64414" w:rsidRDefault="00C64414" w:rsidP="007243F9">
            <w:pPr>
              <w:pStyle w:val="Tabletext"/>
            </w:pPr>
            <w:r w:rsidRPr="00C64414">
              <w:t>5</w:t>
            </w:r>
          </w:p>
        </w:tc>
        <w:tc>
          <w:tcPr>
            <w:tcW w:w="759" w:type="pct"/>
            <w:vMerge w:val="restart"/>
          </w:tcPr>
          <w:p w:rsidR="00C64414" w:rsidRPr="00C64414" w:rsidRDefault="00C64414" w:rsidP="007243F9">
            <w:pPr>
              <w:pStyle w:val="Tabletext"/>
            </w:pPr>
            <w:r w:rsidRPr="00C64414">
              <w:t>#1 and number of visits for monitoring</w:t>
            </w:r>
          </w:p>
        </w:tc>
        <w:tc>
          <w:tcPr>
            <w:tcW w:w="913" w:type="pct"/>
            <w:vMerge w:val="restart"/>
          </w:tcPr>
          <w:p w:rsidR="00C64414" w:rsidRPr="00C64414" w:rsidRDefault="00C64414" w:rsidP="007243F9">
            <w:pPr>
              <w:pStyle w:val="Tabletext"/>
            </w:pPr>
            <w:r w:rsidRPr="00C64414">
              <w:t>As per #1 above, and</w:t>
            </w:r>
          </w:p>
          <w:p w:rsidR="00C64414" w:rsidRPr="00C64414" w:rsidRDefault="00C64414" w:rsidP="007243F9">
            <w:pPr>
              <w:pStyle w:val="Tabletext"/>
            </w:pPr>
          </w:p>
          <w:p w:rsidR="00C64414" w:rsidRPr="00C64414" w:rsidRDefault="00C64414" w:rsidP="007243F9">
            <w:pPr>
              <w:pStyle w:val="Tabletext"/>
            </w:pPr>
            <w:r w:rsidRPr="00C64414">
              <w:t>Year 1: 8</w:t>
            </w:r>
          </w:p>
          <w:p w:rsidR="00C64414" w:rsidRPr="00C64414" w:rsidRDefault="00C64414" w:rsidP="007243F9">
            <w:pPr>
              <w:pStyle w:val="Tabletext"/>
            </w:pPr>
            <w:r w:rsidRPr="00C64414">
              <w:t>Year 2: 4</w:t>
            </w:r>
          </w:p>
          <w:p w:rsidR="00C64414" w:rsidRPr="00C64414" w:rsidRDefault="00C64414" w:rsidP="007243F9">
            <w:pPr>
              <w:pStyle w:val="Tabletext"/>
            </w:pPr>
            <w:r w:rsidRPr="00C64414">
              <w:t>Year 3: 1</w:t>
            </w:r>
          </w:p>
          <w:p w:rsidR="00C64414" w:rsidRPr="00C64414" w:rsidRDefault="00C64414" w:rsidP="007243F9">
            <w:pPr>
              <w:pStyle w:val="Tabletext"/>
            </w:pPr>
            <w:r w:rsidRPr="00C64414">
              <w:t>Year 4: 1</w:t>
            </w:r>
          </w:p>
          <w:p w:rsidR="00C64414" w:rsidRPr="00C64414" w:rsidRDefault="00C64414" w:rsidP="007243F9">
            <w:pPr>
              <w:pStyle w:val="Tabletext"/>
            </w:pPr>
            <w:r w:rsidRPr="00C64414">
              <w:t>Year 5: 1</w:t>
            </w:r>
          </w:p>
        </w:tc>
        <w:tc>
          <w:tcPr>
            <w:tcW w:w="1095" w:type="pct"/>
            <w:vMerge w:val="restart"/>
          </w:tcPr>
          <w:p w:rsidR="00C64414" w:rsidRPr="00C64414" w:rsidRDefault="00C64414" w:rsidP="007243F9">
            <w:pPr>
              <w:pStyle w:val="Tabletext"/>
            </w:pPr>
            <w:r w:rsidRPr="00C64414">
              <w:t>As per #1 above, and</w:t>
            </w:r>
          </w:p>
          <w:p w:rsidR="00C64414" w:rsidRPr="00C64414" w:rsidRDefault="00C64414" w:rsidP="007243F9">
            <w:pPr>
              <w:pStyle w:val="Tabletext"/>
            </w:pPr>
          </w:p>
          <w:p w:rsidR="00C64414" w:rsidRPr="00C64414" w:rsidRDefault="00C64414" w:rsidP="007243F9">
            <w:pPr>
              <w:pStyle w:val="Tabletext"/>
            </w:pPr>
            <w:r w:rsidRPr="00C64414">
              <w:t>Number of visits over time horizon of the model: 0</w:t>
            </w:r>
          </w:p>
        </w:tc>
        <w:tc>
          <w:tcPr>
            <w:tcW w:w="574" w:type="pct"/>
          </w:tcPr>
          <w:p w:rsidR="00C64414" w:rsidRPr="00C64414" w:rsidRDefault="00C64414" w:rsidP="007243F9">
            <w:pPr>
              <w:pStyle w:val="Tabletext"/>
            </w:pPr>
            <w:r w:rsidRPr="00C64414">
              <w:t>Costs</w:t>
            </w:r>
          </w:p>
        </w:tc>
        <w:tc>
          <w:tcPr>
            <w:tcW w:w="423" w:type="pct"/>
            <w:vAlign w:val="center"/>
          </w:tcPr>
          <w:p w:rsidR="00C64414" w:rsidRPr="00C64414" w:rsidRDefault="00C64414" w:rsidP="007243F9">
            <w:pPr>
              <w:pStyle w:val="Tabletext"/>
              <w:jc w:val="center"/>
            </w:pPr>
            <w:r w:rsidRPr="00C64414">
              <w:t>$</w:t>
            </w:r>
            <w:r w:rsidR="00042B67">
              <w:rPr>
                <w:noProof/>
                <w:color w:val="000000"/>
                <w:highlight w:val="black"/>
              </w:rPr>
              <w:t>'''''''''''''</w:t>
            </w:r>
          </w:p>
        </w:tc>
        <w:tc>
          <w:tcPr>
            <w:tcW w:w="423" w:type="pct"/>
            <w:vAlign w:val="center"/>
          </w:tcPr>
          <w:p w:rsidR="00C64414" w:rsidRPr="00C64414" w:rsidRDefault="00C64414" w:rsidP="007243F9">
            <w:pPr>
              <w:pStyle w:val="Tabletext"/>
              <w:jc w:val="center"/>
            </w:pPr>
            <w:r w:rsidRPr="00C64414">
              <w:t>$</w:t>
            </w:r>
            <w:r w:rsidR="00042B67">
              <w:rPr>
                <w:noProof/>
                <w:color w:val="000000"/>
                <w:highlight w:val="black"/>
              </w:rPr>
              <w:t>'''''''''''''</w:t>
            </w:r>
          </w:p>
        </w:tc>
        <w:tc>
          <w:tcPr>
            <w:tcW w:w="566" w:type="pct"/>
            <w:vAlign w:val="center"/>
          </w:tcPr>
          <w:p w:rsidR="00C64414" w:rsidRPr="00C64414" w:rsidRDefault="00C64414" w:rsidP="007243F9">
            <w:pPr>
              <w:pStyle w:val="Tabletext"/>
              <w:jc w:val="center"/>
            </w:pPr>
            <w:r w:rsidRPr="00C64414">
              <w:t>$</w:t>
            </w:r>
            <w:r w:rsidR="00042B67">
              <w:rPr>
                <w:noProof/>
                <w:color w:val="000000"/>
                <w:highlight w:val="black"/>
              </w:rPr>
              <w:t>''''''''''''''</w:t>
            </w:r>
          </w:p>
        </w:tc>
      </w:tr>
      <w:tr w:rsidR="00C64414" w:rsidRPr="00C64414" w:rsidTr="007243F9">
        <w:tblPrEx>
          <w:tblCellMar>
            <w:left w:w="108" w:type="dxa"/>
            <w:right w:w="108" w:type="dxa"/>
          </w:tblCellMar>
        </w:tblPrEx>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913" w:type="pct"/>
            <w:vMerge/>
          </w:tcPr>
          <w:p w:rsidR="00C64414" w:rsidRPr="00C64414" w:rsidRDefault="00C64414" w:rsidP="007243F9">
            <w:pPr>
              <w:pStyle w:val="Tabletext"/>
            </w:pPr>
          </w:p>
        </w:tc>
        <w:tc>
          <w:tcPr>
            <w:tcW w:w="1095" w:type="pct"/>
            <w:vMerge/>
          </w:tcPr>
          <w:p w:rsidR="00C64414" w:rsidRPr="00C64414" w:rsidRDefault="00C64414" w:rsidP="007243F9">
            <w:pPr>
              <w:pStyle w:val="Tabletext"/>
            </w:pPr>
          </w:p>
        </w:tc>
        <w:tc>
          <w:tcPr>
            <w:tcW w:w="574" w:type="pct"/>
          </w:tcPr>
          <w:p w:rsidR="00C64414" w:rsidRPr="00C64414" w:rsidRDefault="00C64414" w:rsidP="007243F9">
            <w:pPr>
              <w:pStyle w:val="Tabletext"/>
            </w:pPr>
            <w:r w:rsidRPr="00C64414">
              <w:t>QALYs</w:t>
            </w:r>
          </w:p>
        </w:tc>
        <w:tc>
          <w:tcPr>
            <w:tcW w:w="423" w:type="pct"/>
            <w:vAlign w:val="center"/>
          </w:tcPr>
          <w:p w:rsidR="00C64414" w:rsidRPr="00042B67" w:rsidRDefault="00042B67" w:rsidP="007243F9">
            <w:pPr>
              <w:pStyle w:val="Tabletext"/>
              <w:jc w:val="center"/>
              <w:rPr>
                <w:highlight w:val="black"/>
              </w:rPr>
            </w:pPr>
            <w:r>
              <w:rPr>
                <w:noProof/>
                <w:color w:val="000000"/>
                <w:highlight w:val="black"/>
              </w:rPr>
              <w:t>'''''''''''</w:t>
            </w:r>
          </w:p>
        </w:tc>
        <w:tc>
          <w:tcPr>
            <w:tcW w:w="423" w:type="pct"/>
            <w:vAlign w:val="center"/>
          </w:tcPr>
          <w:p w:rsidR="00C64414" w:rsidRPr="00042B67" w:rsidRDefault="00042B67" w:rsidP="007243F9">
            <w:pPr>
              <w:pStyle w:val="Tabletext"/>
              <w:jc w:val="center"/>
              <w:rPr>
                <w:highlight w:val="black"/>
              </w:rPr>
            </w:pPr>
            <w:r>
              <w:rPr>
                <w:noProof/>
                <w:color w:val="000000"/>
                <w:highlight w:val="black"/>
              </w:rPr>
              <w:t>''''''''''</w:t>
            </w:r>
          </w:p>
        </w:tc>
        <w:tc>
          <w:tcPr>
            <w:tcW w:w="566" w:type="pct"/>
            <w:vAlign w:val="center"/>
          </w:tcPr>
          <w:p w:rsidR="00C64414" w:rsidRPr="00042B67" w:rsidRDefault="00042B67" w:rsidP="007243F9">
            <w:pPr>
              <w:pStyle w:val="Tabletext"/>
              <w:jc w:val="center"/>
              <w:rPr>
                <w:highlight w:val="black"/>
              </w:rPr>
            </w:pPr>
            <w:r>
              <w:rPr>
                <w:noProof/>
                <w:color w:val="000000"/>
                <w:highlight w:val="black"/>
              </w:rPr>
              <w:t>''''''''''</w:t>
            </w:r>
          </w:p>
        </w:tc>
      </w:tr>
      <w:tr w:rsidR="00C64414" w:rsidRPr="00C64414" w:rsidTr="007243F9">
        <w:tblPrEx>
          <w:tblCellMar>
            <w:left w:w="108" w:type="dxa"/>
            <w:right w:w="108" w:type="dxa"/>
          </w:tblCellMar>
        </w:tblPrEx>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913" w:type="pct"/>
            <w:vMerge/>
          </w:tcPr>
          <w:p w:rsidR="00C64414" w:rsidRPr="00C64414" w:rsidRDefault="00C64414" w:rsidP="007243F9">
            <w:pPr>
              <w:pStyle w:val="Tabletext"/>
            </w:pPr>
          </w:p>
        </w:tc>
        <w:tc>
          <w:tcPr>
            <w:tcW w:w="1095" w:type="pct"/>
            <w:vMerge/>
          </w:tcPr>
          <w:p w:rsidR="00C64414" w:rsidRPr="00C64414" w:rsidRDefault="00C64414" w:rsidP="007243F9">
            <w:pPr>
              <w:pStyle w:val="Tabletext"/>
            </w:pPr>
          </w:p>
        </w:tc>
        <w:tc>
          <w:tcPr>
            <w:tcW w:w="574" w:type="pct"/>
          </w:tcPr>
          <w:p w:rsidR="00C64414" w:rsidRPr="00C64414" w:rsidRDefault="00C64414" w:rsidP="007243F9">
            <w:pPr>
              <w:pStyle w:val="Tabletext"/>
            </w:pPr>
            <w:r w:rsidRPr="00C64414">
              <w:t>Cost per QALY</w:t>
            </w:r>
          </w:p>
        </w:tc>
        <w:tc>
          <w:tcPr>
            <w:tcW w:w="423" w:type="pct"/>
            <w:vAlign w:val="center"/>
          </w:tcPr>
          <w:p w:rsidR="00C64414" w:rsidRPr="00C64414" w:rsidRDefault="00C64414" w:rsidP="007243F9">
            <w:pPr>
              <w:pStyle w:val="Tabletext"/>
              <w:jc w:val="center"/>
            </w:pPr>
          </w:p>
        </w:tc>
        <w:tc>
          <w:tcPr>
            <w:tcW w:w="423" w:type="pct"/>
            <w:vAlign w:val="center"/>
          </w:tcPr>
          <w:p w:rsidR="00C64414" w:rsidRPr="00C64414" w:rsidRDefault="00C64414" w:rsidP="007243F9">
            <w:pPr>
              <w:pStyle w:val="Tabletext"/>
              <w:jc w:val="center"/>
            </w:pPr>
          </w:p>
        </w:tc>
        <w:tc>
          <w:tcPr>
            <w:tcW w:w="566" w:type="pct"/>
            <w:vAlign w:val="center"/>
          </w:tcPr>
          <w:p w:rsidR="00C64414" w:rsidRPr="00C64414" w:rsidRDefault="00C64414" w:rsidP="007243F9">
            <w:pPr>
              <w:pStyle w:val="Tabletext"/>
              <w:jc w:val="center"/>
            </w:pPr>
            <w:r w:rsidRPr="00C64414">
              <w:t>$</w:t>
            </w:r>
            <w:r w:rsidR="00042B67">
              <w:rPr>
                <w:noProof/>
                <w:color w:val="000000"/>
                <w:highlight w:val="black"/>
              </w:rPr>
              <w:t>'''''''''''''''''</w:t>
            </w:r>
          </w:p>
        </w:tc>
      </w:tr>
      <w:tr w:rsidR="00C64414" w:rsidRPr="00C64414" w:rsidTr="007243F9">
        <w:tblPrEx>
          <w:tblCellMar>
            <w:left w:w="108" w:type="dxa"/>
            <w:right w:w="108" w:type="dxa"/>
          </w:tblCellMar>
        </w:tblPrEx>
        <w:tc>
          <w:tcPr>
            <w:tcW w:w="247" w:type="pct"/>
            <w:vMerge w:val="restart"/>
          </w:tcPr>
          <w:p w:rsidR="00C64414" w:rsidRPr="00C64414" w:rsidRDefault="00C64414" w:rsidP="007243F9">
            <w:pPr>
              <w:pStyle w:val="Tabletext"/>
            </w:pPr>
            <w:r w:rsidRPr="00C64414">
              <w:t>6</w:t>
            </w:r>
          </w:p>
        </w:tc>
        <w:tc>
          <w:tcPr>
            <w:tcW w:w="759" w:type="pct"/>
            <w:vMerge w:val="restart"/>
          </w:tcPr>
          <w:p w:rsidR="00C64414" w:rsidRPr="00C64414" w:rsidRDefault="00C64414" w:rsidP="007243F9">
            <w:pPr>
              <w:pStyle w:val="Tabletext"/>
            </w:pPr>
            <w:r w:rsidRPr="00C64414">
              <w:t>All of the above</w:t>
            </w:r>
          </w:p>
        </w:tc>
        <w:tc>
          <w:tcPr>
            <w:tcW w:w="913" w:type="pct"/>
            <w:vMerge w:val="restart"/>
          </w:tcPr>
          <w:p w:rsidR="00C64414" w:rsidRPr="00C64414" w:rsidRDefault="00C64414" w:rsidP="007243F9">
            <w:pPr>
              <w:pStyle w:val="Tabletext"/>
            </w:pPr>
            <w:r w:rsidRPr="00C64414">
              <w:t xml:space="preserve">As per #1, #2, #3, and #5 </w:t>
            </w:r>
          </w:p>
        </w:tc>
        <w:tc>
          <w:tcPr>
            <w:tcW w:w="1095" w:type="pct"/>
            <w:vMerge w:val="restart"/>
          </w:tcPr>
          <w:p w:rsidR="00C64414" w:rsidRPr="00C64414" w:rsidRDefault="00C64414" w:rsidP="007243F9">
            <w:pPr>
              <w:pStyle w:val="Tabletext"/>
            </w:pPr>
            <w:r w:rsidRPr="00C64414">
              <w:t>As per #1, #2, #3, and #5</w:t>
            </w:r>
          </w:p>
        </w:tc>
        <w:tc>
          <w:tcPr>
            <w:tcW w:w="574" w:type="pct"/>
          </w:tcPr>
          <w:p w:rsidR="00C64414" w:rsidRPr="00C64414" w:rsidRDefault="00C64414" w:rsidP="007243F9">
            <w:pPr>
              <w:pStyle w:val="Tabletext"/>
            </w:pPr>
            <w:r w:rsidRPr="00C64414">
              <w:t>Costs</w:t>
            </w:r>
          </w:p>
        </w:tc>
        <w:tc>
          <w:tcPr>
            <w:tcW w:w="423" w:type="pct"/>
            <w:vAlign w:val="center"/>
          </w:tcPr>
          <w:p w:rsidR="00C64414" w:rsidRPr="00C64414" w:rsidRDefault="00C64414" w:rsidP="007243F9">
            <w:pPr>
              <w:pStyle w:val="Tabletext"/>
              <w:jc w:val="center"/>
            </w:pPr>
            <w:r w:rsidRPr="00C64414">
              <w:t>$</w:t>
            </w:r>
            <w:r w:rsidR="00042B67">
              <w:rPr>
                <w:noProof/>
                <w:color w:val="000000"/>
                <w:highlight w:val="black"/>
              </w:rPr>
              <w:t>'''''''''''''</w:t>
            </w:r>
          </w:p>
        </w:tc>
        <w:tc>
          <w:tcPr>
            <w:tcW w:w="423" w:type="pct"/>
            <w:vAlign w:val="center"/>
          </w:tcPr>
          <w:p w:rsidR="00C64414" w:rsidRPr="00C64414" w:rsidRDefault="00C64414" w:rsidP="007243F9">
            <w:pPr>
              <w:pStyle w:val="Tabletext"/>
              <w:jc w:val="center"/>
            </w:pPr>
            <w:r w:rsidRPr="00C64414">
              <w:t>$</w:t>
            </w:r>
            <w:r w:rsidR="00042B67">
              <w:rPr>
                <w:noProof/>
                <w:color w:val="000000"/>
                <w:highlight w:val="black"/>
              </w:rPr>
              <w:t>'''''''''''''</w:t>
            </w:r>
          </w:p>
        </w:tc>
        <w:tc>
          <w:tcPr>
            <w:tcW w:w="566" w:type="pct"/>
            <w:vAlign w:val="center"/>
          </w:tcPr>
          <w:p w:rsidR="00C64414" w:rsidRPr="00C64414" w:rsidRDefault="00C64414" w:rsidP="007243F9">
            <w:pPr>
              <w:pStyle w:val="Tabletext"/>
              <w:jc w:val="center"/>
            </w:pPr>
            <w:r w:rsidRPr="00C64414">
              <w:t>$</w:t>
            </w:r>
            <w:r w:rsidR="00042B67">
              <w:rPr>
                <w:noProof/>
                <w:color w:val="000000"/>
                <w:highlight w:val="black"/>
              </w:rPr>
              <w:t>'''''''''''''</w:t>
            </w:r>
          </w:p>
        </w:tc>
      </w:tr>
      <w:tr w:rsidR="00C64414" w:rsidRPr="00C64414" w:rsidTr="007243F9">
        <w:tblPrEx>
          <w:tblCellMar>
            <w:left w:w="108" w:type="dxa"/>
            <w:right w:w="108" w:type="dxa"/>
          </w:tblCellMar>
        </w:tblPrEx>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913" w:type="pct"/>
            <w:vMerge/>
          </w:tcPr>
          <w:p w:rsidR="00C64414" w:rsidRPr="00C64414" w:rsidRDefault="00C64414" w:rsidP="007243F9">
            <w:pPr>
              <w:pStyle w:val="Tabletext"/>
            </w:pPr>
          </w:p>
        </w:tc>
        <w:tc>
          <w:tcPr>
            <w:tcW w:w="1095" w:type="pct"/>
            <w:vMerge/>
          </w:tcPr>
          <w:p w:rsidR="00C64414" w:rsidRPr="00C64414" w:rsidRDefault="00C64414" w:rsidP="007243F9">
            <w:pPr>
              <w:pStyle w:val="Tabletext"/>
            </w:pPr>
          </w:p>
        </w:tc>
        <w:tc>
          <w:tcPr>
            <w:tcW w:w="574" w:type="pct"/>
          </w:tcPr>
          <w:p w:rsidR="00C64414" w:rsidRPr="00C64414" w:rsidRDefault="00C64414" w:rsidP="007243F9">
            <w:pPr>
              <w:pStyle w:val="Tabletext"/>
            </w:pPr>
            <w:r w:rsidRPr="00C64414">
              <w:t>QALYs</w:t>
            </w:r>
          </w:p>
        </w:tc>
        <w:tc>
          <w:tcPr>
            <w:tcW w:w="423" w:type="pct"/>
            <w:vAlign w:val="center"/>
          </w:tcPr>
          <w:p w:rsidR="00C64414" w:rsidRPr="00042B67" w:rsidRDefault="00042B67" w:rsidP="007243F9">
            <w:pPr>
              <w:pStyle w:val="Tabletext"/>
              <w:jc w:val="center"/>
              <w:rPr>
                <w:highlight w:val="black"/>
              </w:rPr>
            </w:pPr>
            <w:r>
              <w:rPr>
                <w:noProof/>
                <w:color w:val="000000"/>
                <w:highlight w:val="black"/>
              </w:rPr>
              <w:t>'''''''''''</w:t>
            </w:r>
          </w:p>
        </w:tc>
        <w:tc>
          <w:tcPr>
            <w:tcW w:w="423" w:type="pct"/>
            <w:vAlign w:val="center"/>
          </w:tcPr>
          <w:p w:rsidR="00C64414" w:rsidRPr="00042B67" w:rsidRDefault="00042B67" w:rsidP="007243F9">
            <w:pPr>
              <w:pStyle w:val="Tabletext"/>
              <w:jc w:val="center"/>
              <w:rPr>
                <w:highlight w:val="black"/>
              </w:rPr>
            </w:pPr>
            <w:r>
              <w:rPr>
                <w:noProof/>
                <w:color w:val="000000"/>
                <w:highlight w:val="black"/>
              </w:rPr>
              <w:t>'''''''''''</w:t>
            </w:r>
          </w:p>
        </w:tc>
        <w:tc>
          <w:tcPr>
            <w:tcW w:w="566" w:type="pct"/>
            <w:vAlign w:val="center"/>
          </w:tcPr>
          <w:p w:rsidR="00C64414" w:rsidRPr="00042B67" w:rsidRDefault="00042B67" w:rsidP="007243F9">
            <w:pPr>
              <w:pStyle w:val="Tabletext"/>
              <w:jc w:val="center"/>
              <w:rPr>
                <w:highlight w:val="black"/>
              </w:rPr>
            </w:pPr>
            <w:r>
              <w:rPr>
                <w:noProof/>
                <w:color w:val="000000"/>
                <w:highlight w:val="black"/>
              </w:rPr>
              <w:t>'''''''''''</w:t>
            </w:r>
          </w:p>
        </w:tc>
      </w:tr>
      <w:tr w:rsidR="00C64414" w:rsidRPr="00C64414" w:rsidTr="007243F9">
        <w:tblPrEx>
          <w:tblCellMar>
            <w:left w:w="108" w:type="dxa"/>
            <w:right w:w="108" w:type="dxa"/>
          </w:tblCellMar>
        </w:tblPrEx>
        <w:tc>
          <w:tcPr>
            <w:tcW w:w="247" w:type="pct"/>
            <w:vMerge/>
          </w:tcPr>
          <w:p w:rsidR="00C64414" w:rsidRPr="00C64414" w:rsidRDefault="00C64414" w:rsidP="007243F9">
            <w:pPr>
              <w:pStyle w:val="Tabletext"/>
            </w:pPr>
          </w:p>
        </w:tc>
        <w:tc>
          <w:tcPr>
            <w:tcW w:w="759" w:type="pct"/>
            <w:vMerge/>
          </w:tcPr>
          <w:p w:rsidR="00C64414" w:rsidRPr="00C64414" w:rsidRDefault="00C64414" w:rsidP="007243F9">
            <w:pPr>
              <w:pStyle w:val="Tabletext"/>
            </w:pPr>
          </w:p>
        </w:tc>
        <w:tc>
          <w:tcPr>
            <w:tcW w:w="913" w:type="pct"/>
            <w:vMerge/>
          </w:tcPr>
          <w:p w:rsidR="00C64414" w:rsidRPr="00C64414" w:rsidRDefault="00C64414" w:rsidP="007243F9">
            <w:pPr>
              <w:pStyle w:val="Tabletext"/>
            </w:pPr>
          </w:p>
        </w:tc>
        <w:tc>
          <w:tcPr>
            <w:tcW w:w="1095" w:type="pct"/>
            <w:vMerge/>
          </w:tcPr>
          <w:p w:rsidR="00C64414" w:rsidRPr="00C64414" w:rsidRDefault="00C64414" w:rsidP="007243F9">
            <w:pPr>
              <w:pStyle w:val="Tabletext"/>
            </w:pPr>
          </w:p>
        </w:tc>
        <w:tc>
          <w:tcPr>
            <w:tcW w:w="574" w:type="pct"/>
          </w:tcPr>
          <w:p w:rsidR="00C64414" w:rsidRPr="00C64414" w:rsidRDefault="00C64414" w:rsidP="007243F9">
            <w:pPr>
              <w:pStyle w:val="Tabletext"/>
            </w:pPr>
            <w:r w:rsidRPr="00C64414">
              <w:t>Cost per QALY</w:t>
            </w:r>
          </w:p>
        </w:tc>
        <w:tc>
          <w:tcPr>
            <w:tcW w:w="423" w:type="pct"/>
            <w:vAlign w:val="center"/>
          </w:tcPr>
          <w:p w:rsidR="00C64414" w:rsidRPr="00C64414" w:rsidRDefault="00C64414" w:rsidP="007243F9">
            <w:pPr>
              <w:pStyle w:val="Tabletext"/>
              <w:jc w:val="center"/>
            </w:pPr>
          </w:p>
        </w:tc>
        <w:tc>
          <w:tcPr>
            <w:tcW w:w="423" w:type="pct"/>
            <w:vAlign w:val="center"/>
          </w:tcPr>
          <w:p w:rsidR="00C64414" w:rsidRPr="00C64414" w:rsidRDefault="00C64414" w:rsidP="007243F9">
            <w:pPr>
              <w:pStyle w:val="Tabletext"/>
              <w:jc w:val="center"/>
            </w:pPr>
          </w:p>
        </w:tc>
        <w:tc>
          <w:tcPr>
            <w:tcW w:w="566" w:type="pct"/>
            <w:vAlign w:val="center"/>
          </w:tcPr>
          <w:p w:rsidR="00C64414" w:rsidRPr="00C64414" w:rsidRDefault="00C64414" w:rsidP="007243F9">
            <w:pPr>
              <w:pStyle w:val="Tabletext"/>
              <w:jc w:val="center"/>
            </w:pPr>
            <w:r w:rsidRPr="00C64414">
              <w:t>$</w:t>
            </w:r>
            <w:r w:rsidR="00042B67">
              <w:rPr>
                <w:noProof/>
                <w:color w:val="000000"/>
                <w:highlight w:val="black"/>
              </w:rPr>
              <w:t>'''''''''''''''''</w:t>
            </w:r>
          </w:p>
        </w:tc>
      </w:tr>
    </w:tbl>
    <w:p w:rsidR="00C64414" w:rsidRPr="00C64414" w:rsidRDefault="0026690A" w:rsidP="00C64414">
      <w:pPr>
        <w:pStyle w:val="TableFooter"/>
      </w:pPr>
      <w:r>
        <w:t xml:space="preserve">Rani = ranibizumab; </w:t>
      </w:r>
      <w:r w:rsidR="00C64414" w:rsidRPr="00C64414">
        <w:t>QALY = quality adjusted life years; RR = relative risk; vPDT = verteporfin photo dynamic therapy; BSE = better-seein</w:t>
      </w:r>
      <w:r>
        <w:t>g eye; WSE = worse-seeing eye.</w:t>
      </w:r>
    </w:p>
    <w:p w:rsidR="0007599B" w:rsidRDefault="00C64414" w:rsidP="00DB0ED2">
      <w:pPr>
        <w:pStyle w:val="TableFooter"/>
        <w:spacing w:after="160"/>
      </w:pPr>
      <w:r w:rsidRPr="00C64414">
        <w:t>Source: compiled during the evaluation, based on EconomicModel_ranibizumab_PM.xlsx as provided by the submission.</w:t>
      </w:r>
    </w:p>
    <w:p w:rsidR="005474B9" w:rsidRDefault="003A17C7" w:rsidP="00121EF5">
      <w:pPr>
        <w:widowControl/>
        <w:spacing w:after="120"/>
        <w:jc w:val="left"/>
      </w:pPr>
      <w:r>
        <w:t xml:space="preserve">The redacted table shows ICERs in the range of less than $15,000/QALY to </w:t>
      </w:r>
      <w:r w:rsidR="000472F8">
        <w:t>$75,000/QALY.</w:t>
      </w:r>
    </w:p>
    <w:p w:rsidR="00E33AAD" w:rsidRPr="0007599B" w:rsidRDefault="008B0767" w:rsidP="00121EF5">
      <w:pPr>
        <w:pStyle w:val="ListParagraph"/>
        <w:widowControl/>
        <w:numPr>
          <w:ilvl w:val="1"/>
          <w:numId w:val="1"/>
        </w:numPr>
        <w:spacing w:before="120" w:after="120"/>
        <w:rPr>
          <w:rFonts w:ascii="Arial Narrow" w:hAnsi="Arial Narrow"/>
          <w:b/>
          <w:sz w:val="20"/>
          <w:szCs w:val="16"/>
        </w:rPr>
      </w:pPr>
      <w:r w:rsidRPr="000C0DFF">
        <w:t>The</w:t>
      </w:r>
      <w:r w:rsidRPr="00DC07E1">
        <w:rPr>
          <w:rFonts w:eastAsia="MS Gothic" w:cs="Times New Roman"/>
          <w:szCs w:val="24"/>
        </w:rPr>
        <w:t xml:space="preserve"> ESC also considered there was considerable uncertainty in the frequency and duration of injections of ranibizumab, with the number of injections varying between trials and whether treatment was guided by visual acuity stabilisation or by disease </w:t>
      </w:r>
      <w:r w:rsidRPr="00DC07E1">
        <w:rPr>
          <w:rFonts w:eastAsia="MS Gothic" w:cs="Times New Roman"/>
          <w:szCs w:val="24"/>
        </w:rPr>
        <w:lastRenderedPageBreak/>
        <w:t xml:space="preserve">activity (see Table 6). The ESC noted </w:t>
      </w:r>
      <w:r w:rsidR="00C64414" w:rsidRPr="00DC07E1">
        <w:rPr>
          <w:rFonts w:eastAsia="MS Gothic" w:cs="Times New Roman"/>
          <w:szCs w:val="24"/>
        </w:rPr>
        <w:t>that the PBAC recommendation for ranibizumab in AMD was based on a monthly dosing schedule and up to 15 injections per patient. T</w:t>
      </w:r>
      <w:r w:rsidR="00B760F6" w:rsidRPr="00DC07E1">
        <w:rPr>
          <w:rFonts w:eastAsia="MS Gothic" w:cs="Times New Roman"/>
          <w:szCs w:val="24"/>
        </w:rPr>
        <w:t xml:space="preserve">he June 2015 DUSC </w:t>
      </w:r>
      <w:r w:rsidR="00557E7B" w:rsidRPr="00DC07E1">
        <w:rPr>
          <w:rFonts w:eastAsia="MS Gothic" w:cs="Times New Roman"/>
          <w:szCs w:val="24"/>
        </w:rPr>
        <w:t xml:space="preserve">utilisation </w:t>
      </w:r>
      <w:r w:rsidR="00B760F6" w:rsidRPr="00DC07E1">
        <w:rPr>
          <w:rFonts w:eastAsia="MS Gothic" w:cs="Times New Roman"/>
          <w:szCs w:val="24"/>
        </w:rPr>
        <w:t>review of AMD</w:t>
      </w:r>
      <w:r w:rsidR="00557E7B" w:rsidRPr="000C0DFF">
        <w:rPr>
          <w:rStyle w:val="FootnoteReference"/>
          <w:rFonts w:eastAsia="MS Gothic" w:cs="Times New Roman"/>
          <w:szCs w:val="24"/>
        </w:rPr>
        <w:footnoteReference w:id="7"/>
      </w:r>
      <w:r w:rsidR="00B760F6" w:rsidRPr="00DC07E1">
        <w:rPr>
          <w:rFonts w:eastAsia="MS Gothic" w:cs="Times New Roman"/>
          <w:szCs w:val="24"/>
        </w:rPr>
        <w:t xml:space="preserve"> revealed </w:t>
      </w:r>
      <w:r w:rsidRPr="00DC07E1">
        <w:rPr>
          <w:rFonts w:eastAsia="MS Gothic" w:cs="Times New Roman"/>
          <w:szCs w:val="24"/>
        </w:rPr>
        <w:t xml:space="preserve">that experience with ranibizumab in treating AMD showed in clinical practice the number of injections may be greater than anticipated. </w:t>
      </w:r>
      <w:r w:rsidR="00557E7B" w:rsidRPr="00DC07E1">
        <w:rPr>
          <w:rFonts w:eastAsia="MS Gothic" w:cs="Times New Roman"/>
          <w:szCs w:val="24"/>
        </w:rPr>
        <w:t xml:space="preserve">The review </w:t>
      </w:r>
      <w:r w:rsidR="00C64414" w:rsidRPr="00DC07E1">
        <w:rPr>
          <w:rFonts w:eastAsia="MS Gothic" w:cs="Times New Roman"/>
          <w:szCs w:val="24"/>
        </w:rPr>
        <w:t>found</w:t>
      </w:r>
      <w:r w:rsidR="00557E7B" w:rsidRPr="00DC07E1">
        <w:rPr>
          <w:rFonts w:eastAsia="MS Gothic" w:cs="Times New Roman"/>
          <w:szCs w:val="24"/>
        </w:rPr>
        <w:t xml:space="preserve"> f</w:t>
      </w:r>
      <w:r w:rsidR="00B760F6" w:rsidRPr="00DC07E1">
        <w:rPr>
          <w:rFonts w:eastAsia="MS Gothic" w:cs="Times New Roman"/>
          <w:szCs w:val="24"/>
        </w:rPr>
        <w:t xml:space="preserve">rom 2011 onwards the number of injections per patient appeared to have stabilised, with new patients receiving an average of 8.4 injections in their first year of treatment, and continuing patients receiving an average of 7.1 injections per year. </w:t>
      </w:r>
      <w:r w:rsidR="00557E7B" w:rsidRPr="00DC07E1">
        <w:rPr>
          <w:rFonts w:eastAsia="MS Gothic" w:cs="Times New Roman"/>
          <w:szCs w:val="24"/>
        </w:rPr>
        <w:t>The majority of patients remain</w:t>
      </w:r>
      <w:r w:rsidR="00C64414" w:rsidRPr="00DC07E1">
        <w:rPr>
          <w:rFonts w:eastAsia="MS Gothic" w:cs="Times New Roman"/>
          <w:szCs w:val="24"/>
        </w:rPr>
        <w:t>ed</w:t>
      </w:r>
      <w:r w:rsidR="00557E7B" w:rsidRPr="00DC07E1">
        <w:rPr>
          <w:rFonts w:eastAsia="MS Gothic" w:cs="Times New Roman"/>
          <w:szCs w:val="24"/>
        </w:rPr>
        <w:t xml:space="preserve"> on treatment for many years. Approximately half of patients are treated for at least 4 years, with 40% of patients still treated 6-7 years after initiation. </w:t>
      </w:r>
      <w:r w:rsidRPr="00DC07E1">
        <w:rPr>
          <w:rFonts w:eastAsia="MS Gothic" w:cs="Times New Roman"/>
          <w:szCs w:val="24"/>
        </w:rPr>
        <w:t xml:space="preserve">Therefore, the ESC provided a number of </w:t>
      </w:r>
      <w:r w:rsidR="002954ED" w:rsidRPr="00DC07E1">
        <w:rPr>
          <w:rFonts w:eastAsia="MS Gothic" w:cs="Times New Roman"/>
          <w:szCs w:val="24"/>
        </w:rPr>
        <w:t xml:space="preserve">further </w:t>
      </w:r>
      <w:r w:rsidRPr="00DC07E1">
        <w:rPr>
          <w:rFonts w:eastAsia="MS Gothic" w:cs="Times New Roman"/>
          <w:szCs w:val="24"/>
        </w:rPr>
        <w:t>sensitivity analyses to test how much changing the frequency and duration was driving the overall cost-effectiveness (see Table</w:t>
      </w:r>
      <w:r w:rsidR="00C64414" w:rsidRPr="00DC07E1">
        <w:rPr>
          <w:rFonts w:eastAsia="MS Gothic" w:cs="Times New Roman"/>
          <w:szCs w:val="24"/>
        </w:rPr>
        <w:t xml:space="preserve"> 14</w:t>
      </w:r>
      <w:r w:rsidRPr="00DC07E1">
        <w:rPr>
          <w:rFonts w:eastAsia="MS Gothic" w:cs="Times New Roman"/>
          <w:szCs w:val="24"/>
        </w:rPr>
        <w:t xml:space="preserve"> below).</w:t>
      </w:r>
      <w:r w:rsidR="007D337A" w:rsidRPr="00DC07E1">
        <w:rPr>
          <w:rFonts w:eastAsia="MS Gothic" w:cs="Times New Roman"/>
          <w:szCs w:val="24"/>
        </w:rPr>
        <w:t xml:space="preserve"> It should be noted </w:t>
      </w:r>
      <w:r w:rsidR="00C64414" w:rsidRPr="00DC07E1">
        <w:rPr>
          <w:rFonts w:eastAsia="MS Gothic" w:cs="Times New Roman"/>
          <w:szCs w:val="24"/>
        </w:rPr>
        <w:t xml:space="preserve">that </w:t>
      </w:r>
      <w:r w:rsidR="007D337A" w:rsidRPr="00DC07E1">
        <w:rPr>
          <w:rFonts w:eastAsia="MS Gothic" w:cs="Times New Roman"/>
          <w:szCs w:val="24"/>
        </w:rPr>
        <w:t>only the impact on costs has been assessed i</w:t>
      </w:r>
      <w:r w:rsidR="008E2B06" w:rsidRPr="00DC07E1">
        <w:rPr>
          <w:rFonts w:eastAsia="MS Gothic" w:cs="Times New Roman"/>
          <w:szCs w:val="24"/>
        </w:rPr>
        <w:t xml:space="preserve">n the sensitivity analyses </w:t>
      </w:r>
      <w:r w:rsidR="002954ED" w:rsidRPr="00DC07E1">
        <w:rPr>
          <w:rFonts w:eastAsia="MS Gothic" w:cs="Times New Roman"/>
          <w:szCs w:val="24"/>
        </w:rPr>
        <w:t xml:space="preserve">presented </w:t>
      </w:r>
      <w:r w:rsidR="008E2B06" w:rsidRPr="00DC07E1">
        <w:rPr>
          <w:rFonts w:eastAsia="MS Gothic" w:cs="Times New Roman"/>
          <w:szCs w:val="24"/>
        </w:rPr>
        <w:t>in Table 14</w:t>
      </w:r>
      <w:r w:rsidR="007D337A" w:rsidRPr="00DC07E1">
        <w:rPr>
          <w:rFonts w:eastAsia="MS Gothic" w:cs="Times New Roman"/>
          <w:szCs w:val="24"/>
        </w:rPr>
        <w:t>.</w:t>
      </w:r>
    </w:p>
    <w:p w:rsidR="00406B98" w:rsidRPr="00F94759" w:rsidRDefault="00406B98" w:rsidP="00121EF5">
      <w:pPr>
        <w:keepNext/>
        <w:jc w:val="left"/>
        <w:rPr>
          <w:rFonts w:ascii="Arial Narrow" w:hAnsi="Arial Narrow"/>
          <w:b/>
          <w:sz w:val="20"/>
          <w:szCs w:val="16"/>
        </w:rPr>
      </w:pPr>
      <w:r w:rsidRPr="00F94759">
        <w:rPr>
          <w:rStyle w:val="CommentReference"/>
        </w:rPr>
        <w:lastRenderedPageBreak/>
        <w:t>Table 1</w:t>
      </w:r>
      <w:r w:rsidR="00C64414" w:rsidRPr="00F94759">
        <w:rPr>
          <w:rStyle w:val="CommentReference"/>
        </w:rPr>
        <w:t>4</w:t>
      </w:r>
      <w:r w:rsidRPr="00F94759">
        <w:rPr>
          <w:rStyle w:val="CommentReference"/>
        </w:rPr>
        <w:t xml:space="preserve">: Results of additional univariate and multivariate sensitivity analyses </w:t>
      </w:r>
      <w:r w:rsidR="002954ED">
        <w:rPr>
          <w:rStyle w:val="CommentReference"/>
        </w:rPr>
        <w:t xml:space="preserve">provided by </w:t>
      </w:r>
      <w:r w:rsidRPr="00F94759">
        <w:rPr>
          <w:rStyle w:val="CommentReference"/>
        </w:rPr>
        <w:t xml:space="preserve">the </w:t>
      </w:r>
      <w:r w:rsidR="002954ED">
        <w:rPr>
          <w:rStyle w:val="CommentReference"/>
        </w:rPr>
        <w:t>ESC</w:t>
      </w:r>
    </w:p>
    <w:tbl>
      <w:tblPr>
        <w:tblStyle w:val="newstyle1"/>
        <w:tblW w:w="4999" w:type="pct"/>
        <w:tblCellMar>
          <w:left w:w="57" w:type="dxa"/>
          <w:right w:w="57" w:type="dxa"/>
        </w:tblCellMar>
        <w:tblLook w:val="04A0" w:firstRow="1" w:lastRow="0" w:firstColumn="1" w:lastColumn="0" w:noHBand="0" w:noVBand="1"/>
        <w:tblCaption w:val="Table 14: Results of additional univariate and multivariate sensitivity analyses provided by the ESC"/>
      </w:tblPr>
      <w:tblGrid>
        <w:gridCol w:w="407"/>
        <w:gridCol w:w="1349"/>
        <w:gridCol w:w="1630"/>
        <w:gridCol w:w="1963"/>
        <w:gridCol w:w="1013"/>
        <w:gridCol w:w="876"/>
        <w:gridCol w:w="863"/>
        <w:gridCol w:w="1038"/>
      </w:tblGrid>
      <w:tr w:rsidR="007D337A" w:rsidRPr="00F94759" w:rsidTr="006B6F11">
        <w:trPr>
          <w:tblHeader/>
        </w:trPr>
        <w:tc>
          <w:tcPr>
            <w:tcW w:w="223" w:type="pct"/>
          </w:tcPr>
          <w:p w:rsidR="007D337A" w:rsidRPr="00F94759" w:rsidRDefault="007D337A" w:rsidP="00121EF5">
            <w:pPr>
              <w:pStyle w:val="Tabletext"/>
              <w:keepNext/>
              <w:widowControl w:val="0"/>
              <w:rPr>
                <w:b/>
              </w:rPr>
            </w:pPr>
            <w:r w:rsidRPr="00F94759">
              <w:rPr>
                <w:b/>
              </w:rPr>
              <w:t>#</w:t>
            </w:r>
          </w:p>
        </w:tc>
        <w:tc>
          <w:tcPr>
            <w:tcW w:w="738" w:type="pct"/>
          </w:tcPr>
          <w:p w:rsidR="007D337A" w:rsidRPr="00F94759" w:rsidRDefault="007D337A" w:rsidP="00121EF5">
            <w:pPr>
              <w:pStyle w:val="Tabletext"/>
              <w:keepNext/>
              <w:widowControl w:val="0"/>
              <w:rPr>
                <w:b/>
              </w:rPr>
            </w:pPr>
            <w:r w:rsidRPr="00F94759">
              <w:rPr>
                <w:b/>
              </w:rPr>
              <w:t>Aspect</w:t>
            </w:r>
          </w:p>
        </w:tc>
        <w:tc>
          <w:tcPr>
            <w:tcW w:w="892" w:type="pct"/>
            <w:hideMark/>
          </w:tcPr>
          <w:p w:rsidR="007D337A" w:rsidRPr="00F94759" w:rsidRDefault="007D337A" w:rsidP="00121EF5">
            <w:pPr>
              <w:pStyle w:val="Tabletext"/>
              <w:keepNext/>
              <w:widowControl w:val="0"/>
              <w:rPr>
                <w:b/>
              </w:rPr>
            </w:pPr>
            <w:r w:rsidRPr="00F94759">
              <w:rPr>
                <w:b/>
              </w:rPr>
              <w:t> Base case value</w:t>
            </w:r>
          </w:p>
        </w:tc>
        <w:tc>
          <w:tcPr>
            <w:tcW w:w="1074" w:type="pct"/>
            <w:hideMark/>
          </w:tcPr>
          <w:p w:rsidR="007D337A" w:rsidRPr="00F94759" w:rsidRDefault="007D337A" w:rsidP="00121EF5">
            <w:pPr>
              <w:pStyle w:val="Tabletext"/>
              <w:keepNext/>
              <w:widowControl w:val="0"/>
              <w:rPr>
                <w:b/>
              </w:rPr>
            </w:pPr>
            <w:r w:rsidRPr="00F94759">
              <w:rPr>
                <w:b/>
              </w:rPr>
              <w:t>Tested value or range</w:t>
            </w:r>
          </w:p>
        </w:tc>
        <w:tc>
          <w:tcPr>
            <w:tcW w:w="554" w:type="pct"/>
          </w:tcPr>
          <w:p w:rsidR="007D337A" w:rsidRPr="00F94759" w:rsidRDefault="007D337A" w:rsidP="00121EF5">
            <w:pPr>
              <w:pStyle w:val="Tabletext"/>
              <w:keepNext/>
              <w:widowControl w:val="0"/>
              <w:rPr>
                <w:b/>
              </w:rPr>
            </w:pPr>
          </w:p>
        </w:tc>
        <w:tc>
          <w:tcPr>
            <w:tcW w:w="479" w:type="pct"/>
            <w:hideMark/>
          </w:tcPr>
          <w:p w:rsidR="007D337A" w:rsidRPr="00F94759" w:rsidRDefault="007D337A" w:rsidP="00121EF5">
            <w:pPr>
              <w:pStyle w:val="Tabletext"/>
              <w:keepNext/>
              <w:widowControl w:val="0"/>
              <w:jc w:val="center"/>
              <w:rPr>
                <w:b/>
              </w:rPr>
            </w:pPr>
            <w:r w:rsidRPr="00F94759">
              <w:rPr>
                <w:b/>
              </w:rPr>
              <w:t>Rani</w:t>
            </w:r>
          </w:p>
        </w:tc>
        <w:tc>
          <w:tcPr>
            <w:tcW w:w="472" w:type="pct"/>
            <w:hideMark/>
          </w:tcPr>
          <w:p w:rsidR="007D337A" w:rsidRPr="00F94759" w:rsidRDefault="007D337A" w:rsidP="00121EF5">
            <w:pPr>
              <w:pStyle w:val="Tabletext"/>
              <w:keepNext/>
              <w:widowControl w:val="0"/>
              <w:jc w:val="center"/>
              <w:rPr>
                <w:b/>
              </w:rPr>
            </w:pPr>
            <w:r w:rsidRPr="00F94759">
              <w:rPr>
                <w:b/>
              </w:rPr>
              <w:t>vPDT</w:t>
            </w:r>
          </w:p>
        </w:tc>
        <w:tc>
          <w:tcPr>
            <w:tcW w:w="568" w:type="pct"/>
            <w:hideMark/>
          </w:tcPr>
          <w:p w:rsidR="007D337A" w:rsidRPr="00F94759" w:rsidRDefault="007D337A" w:rsidP="00121EF5">
            <w:pPr>
              <w:pStyle w:val="Tabletext"/>
              <w:keepNext/>
              <w:widowControl w:val="0"/>
              <w:jc w:val="center"/>
              <w:rPr>
                <w:b/>
              </w:rPr>
            </w:pPr>
            <w:r w:rsidRPr="00F94759">
              <w:rPr>
                <w:b/>
              </w:rPr>
              <w:t>Incremental</w:t>
            </w:r>
          </w:p>
        </w:tc>
      </w:tr>
      <w:tr w:rsidR="007D337A" w:rsidRPr="00F94759" w:rsidTr="007D337A">
        <w:tc>
          <w:tcPr>
            <w:tcW w:w="223" w:type="pct"/>
            <w:vMerge w:val="restart"/>
          </w:tcPr>
          <w:p w:rsidR="007D337A" w:rsidRPr="00F94759" w:rsidRDefault="007D337A" w:rsidP="00121EF5">
            <w:pPr>
              <w:pStyle w:val="Tabletext"/>
              <w:keepNext/>
              <w:widowControl w:val="0"/>
              <w:rPr>
                <w:b/>
                <w:bCs/>
              </w:rPr>
            </w:pPr>
          </w:p>
        </w:tc>
        <w:tc>
          <w:tcPr>
            <w:tcW w:w="738" w:type="pct"/>
            <w:vMerge w:val="restart"/>
          </w:tcPr>
          <w:p w:rsidR="007D337A" w:rsidRPr="00F94759" w:rsidRDefault="007D337A" w:rsidP="00121EF5">
            <w:pPr>
              <w:pStyle w:val="Tabletext"/>
              <w:keepNext/>
              <w:widowControl w:val="0"/>
              <w:rPr>
                <w:bCs/>
              </w:rPr>
            </w:pPr>
            <w:r w:rsidRPr="00F94759">
              <w:rPr>
                <w:bCs/>
              </w:rPr>
              <w:t>Base case</w:t>
            </w:r>
          </w:p>
          <w:p w:rsidR="007D337A" w:rsidRPr="00F94759" w:rsidRDefault="007D337A" w:rsidP="00121EF5">
            <w:pPr>
              <w:pStyle w:val="Tabletext"/>
              <w:keepNext/>
              <w:widowControl w:val="0"/>
            </w:pPr>
            <w:r w:rsidRPr="00F94759">
              <w:rPr>
                <w:bCs/>
              </w:rPr>
              <w:t>(as per submission)</w:t>
            </w:r>
          </w:p>
        </w:tc>
        <w:tc>
          <w:tcPr>
            <w:tcW w:w="2520" w:type="pct"/>
            <w:gridSpan w:val="3"/>
            <w:hideMark/>
          </w:tcPr>
          <w:p w:rsidR="007D337A" w:rsidRPr="00F94759" w:rsidRDefault="007D337A" w:rsidP="00121EF5">
            <w:pPr>
              <w:pStyle w:val="Tabletext"/>
              <w:keepNext/>
              <w:widowControl w:val="0"/>
            </w:pPr>
            <w:r w:rsidRPr="00F94759">
              <w:t>Costs</w:t>
            </w:r>
          </w:p>
        </w:tc>
        <w:tc>
          <w:tcPr>
            <w:tcW w:w="479" w:type="pct"/>
            <w:hideMark/>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472" w:type="pct"/>
            <w:hideMark/>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568" w:type="pct"/>
            <w:hideMark/>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2520" w:type="pct"/>
            <w:gridSpan w:val="3"/>
            <w:hideMark/>
          </w:tcPr>
          <w:p w:rsidR="007D337A" w:rsidRPr="00F94759" w:rsidRDefault="007D337A" w:rsidP="00121EF5">
            <w:pPr>
              <w:pStyle w:val="Tabletext"/>
              <w:keepNext/>
              <w:widowControl w:val="0"/>
            </w:pPr>
            <w:r w:rsidRPr="00F94759">
              <w:t>QALYs</w:t>
            </w:r>
          </w:p>
        </w:tc>
        <w:tc>
          <w:tcPr>
            <w:tcW w:w="479" w:type="pct"/>
            <w:hideMark/>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472" w:type="pct"/>
            <w:hideMark/>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568" w:type="pct"/>
            <w:hideMark/>
          </w:tcPr>
          <w:p w:rsidR="007D337A" w:rsidRPr="00042B67" w:rsidRDefault="00042B67" w:rsidP="00121EF5">
            <w:pPr>
              <w:pStyle w:val="Tabletext"/>
              <w:keepNext/>
              <w:widowControl w:val="0"/>
              <w:jc w:val="right"/>
              <w:rPr>
                <w:bCs/>
                <w:highlight w:val="black"/>
              </w:rPr>
            </w:pPr>
            <w:r>
              <w:rPr>
                <w:bCs/>
                <w:noProof/>
                <w:color w:val="000000"/>
                <w:highlight w:val="black"/>
              </w:rPr>
              <w:t>'''''''''''</w:t>
            </w:r>
          </w:p>
        </w:tc>
      </w:tr>
      <w:tr w:rsidR="007D337A" w:rsidRPr="00F94759" w:rsidTr="007D337A">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2520" w:type="pct"/>
            <w:gridSpan w:val="3"/>
            <w:hideMark/>
          </w:tcPr>
          <w:p w:rsidR="007D337A" w:rsidRPr="00F94759" w:rsidRDefault="007D337A" w:rsidP="00121EF5">
            <w:pPr>
              <w:pStyle w:val="Tabletext"/>
              <w:keepNext/>
              <w:widowControl w:val="0"/>
            </w:pPr>
            <w:r w:rsidRPr="00F94759">
              <w:t>Cost per QALY</w:t>
            </w:r>
          </w:p>
        </w:tc>
        <w:tc>
          <w:tcPr>
            <w:tcW w:w="479" w:type="pct"/>
          </w:tcPr>
          <w:p w:rsidR="007D337A" w:rsidRPr="00F94759" w:rsidRDefault="007D337A" w:rsidP="00121EF5">
            <w:pPr>
              <w:pStyle w:val="Tabletext"/>
              <w:keepNext/>
              <w:widowControl w:val="0"/>
              <w:jc w:val="right"/>
              <w:rPr>
                <w:bCs/>
              </w:rPr>
            </w:pPr>
          </w:p>
        </w:tc>
        <w:tc>
          <w:tcPr>
            <w:tcW w:w="472" w:type="pct"/>
          </w:tcPr>
          <w:p w:rsidR="007D337A" w:rsidRPr="00F94759" w:rsidRDefault="007D337A" w:rsidP="00121EF5">
            <w:pPr>
              <w:pStyle w:val="Tabletext"/>
              <w:keepNext/>
              <w:widowControl w:val="0"/>
              <w:jc w:val="right"/>
              <w:rPr>
                <w:bCs/>
              </w:rPr>
            </w:pPr>
          </w:p>
        </w:tc>
        <w:tc>
          <w:tcPr>
            <w:tcW w:w="568" w:type="pct"/>
            <w:hideMark/>
          </w:tcPr>
          <w:p w:rsidR="007D337A" w:rsidRPr="00042B67" w:rsidRDefault="00042B67" w:rsidP="00121EF5">
            <w:pPr>
              <w:pStyle w:val="Tabletext"/>
              <w:keepNext/>
              <w:widowControl w:val="0"/>
              <w:jc w:val="right"/>
              <w:rPr>
                <w:bCs/>
                <w:highlight w:val="black"/>
              </w:rPr>
            </w:pPr>
            <w:r>
              <w:rPr>
                <w:bCs/>
                <w:noProof/>
                <w:color w:val="000000"/>
                <w:highlight w:val="black"/>
              </w:rPr>
              <w:t>'''''''''''''''''''''''''</w:t>
            </w:r>
          </w:p>
        </w:tc>
      </w:tr>
      <w:tr w:rsidR="007D337A" w:rsidRPr="00F94759" w:rsidTr="007D337A">
        <w:tc>
          <w:tcPr>
            <w:tcW w:w="5000" w:type="pct"/>
            <w:gridSpan w:val="8"/>
          </w:tcPr>
          <w:p w:rsidR="007D337A" w:rsidRPr="00F94759" w:rsidRDefault="007D337A" w:rsidP="00121EF5">
            <w:pPr>
              <w:pStyle w:val="Tabletext"/>
              <w:keepNext/>
              <w:widowControl w:val="0"/>
              <w:jc w:val="center"/>
              <w:rPr>
                <w:b/>
                <w:bCs/>
              </w:rPr>
            </w:pPr>
            <w:r w:rsidRPr="00F94759">
              <w:rPr>
                <w:b/>
                <w:bCs/>
              </w:rPr>
              <w:t>Exploratory analyses</w:t>
            </w:r>
          </w:p>
        </w:tc>
      </w:tr>
      <w:tr w:rsidR="007D337A" w:rsidRPr="00F94759" w:rsidTr="007D337A">
        <w:tc>
          <w:tcPr>
            <w:tcW w:w="223" w:type="pct"/>
          </w:tcPr>
          <w:p w:rsidR="007D337A" w:rsidRPr="00F94759" w:rsidRDefault="007D337A" w:rsidP="00121EF5">
            <w:pPr>
              <w:pStyle w:val="Tabletext"/>
              <w:keepNext/>
              <w:widowControl w:val="0"/>
            </w:pPr>
            <w:r w:rsidRPr="00F94759">
              <w:rPr>
                <w:b/>
              </w:rPr>
              <w:t>#</w:t>
            </w:r>
          </w:p>
        </w:tc>
        <w:tc>
          <w:tcPr>
            <w:tcW w:w="738" w:type="pct"/>
          </w:tcPr>
          <w:p w:rsidR="007D337A" w:rsidRPr="00F94759" w:rsidRDefault="007D337A" w:rsidP="00121EF5">
            <w:pPr>
              <w:pStyle w:val="Tabletext"/>
              <w:keepNext/>
              <w:widowControl w:val="0"/>
            </w:pPr>
            <w:r w:rsidRPr="00F94759">
              <w:rPr>
                <w:b/>
              </w:rPr>
              <w:t>Aspect</w:t>
            </w:r>
          </w:p>
        </w:tc>
        <w:tc>
          <w:tcPr>
            <w:tcW w:w="892" w:type="pct"/>
          </w:tcPr>
          <w:p w:rsidR="007D337A" w:rsidRPr="00F94759" w:rsidRDefault="007D337A" w:rsidP="00121EF5">
            <w:pPr>
              <w:pStyle w:val="Tabletext"/>
              <w:keepNext/>
              <w:widowControl w:val="0"/>
            </w:pPr>
            <w:r w:rsidRPr="00F94759">
              <w:rPr>
                <w:b/>
              </w:rPr>
              <w:t> Base case value</w:t>
            </w:r>
          </w:p>
        </w:tc>
        <w:tc>
          <w:tcPr>
            <w:tcW w:w="1074" w:type="pct"/>
          </w:tcPr>
          <w:p w:rsidR="007D337A" w:rsidRPr="00F94759" w:rsidRDefault="007D337A" w:rsidP="00121EF5">
            <w:pPr>
              <w:pStyle w:val="Tabletext"/>
              <w:keepNext/>
              <w:widowControl w:val="0"/>
            </w:pPr>
            <w:r w:rsidRPr="00F94759">
              <w:rPr>
                <w:b/>
              </w:rPr>
              <w:t>Tested value or range</w:t>
            </w:r>
          </w:p>
        </w:tc>
        <w:tc>
          <w:tcPr>
            <w:tcW w:w="554" w:type="pct"/>
          </w:tcPr>
          <w:p w:rsidR="007D337A" w:rsidRPr="00F94759" w:rsidRDefault="007D337A" w:rsidP="00121EF5">
            <w:pPr>
              <w:pStyle w:val="Tabletext"/>
              <w:keepNext/>
              <w:widowControl w:val="0"/>
            </w:pPr>
          </w:p>
        </w:tc>
        <w:tc>
          <w:tcPr>
            <w:tcW w:w="479" w:type="pct"/>
          </w:tcPr>
          <w:p w:rsidR="007D337A" w:rsidRPr="00F94759" w:rsidRDefault="007D337A" w:rsidP="00121EF5">
            <w:pPr>
              <w:pStyle w:val="Tabletext"/>
              <w:keepNext/>
              <w:widowControl w:val="0"/>
              <w:jc w:val="center"/>
            </w:pPr>
            <w:r w:rsidRPr="00F94759">
              <w:rPr>
                <w:b/>
              </w:rPr>
              <w:t>Rani</w:t>
            </w:r>
          </w:p>
        </w:tc>
        <w:tc>
          <w:tcPr>
            <w:tcW w:w="472" w:type="pct"/>
          </w:tcPr>
          <w:p w:rsidR="007D337A" w:rsidRPr="00F94759" w:rsidRDefault="007D337A" w:rsidP="00121EF5">
            <w:pPr>
              <w:pStyle w:val="Tabletext"/>
              <w:keepNext/>
              <w:widowControl w:val="0"/>
              <w:jc w:val="center"/>
            </w:pPr>
            <w:r w:rsidRPr="00F94759">
              <w:rPr>
                <w:b/>
              </w:rPr>
              <w:t>No active treatment</w:t>
            </w:r>
          </w:p>
        </w:tc>
        <w:tc>
          <w:tcPr>
            <w:tcW w:w="568" w:type="pct"/>
          </w:tcPr>
          <w:p w:rsidR="007D337A" w:rsidRPr="00F94759" w:rsidRDefault="007D337A" w:rsidP="00121EF5">
            <w:pPr>
              <w:pStyle w:val="Tabletext"/>
              <w:keepNext/>
              <w:widowControl w:val="0"/>
              <w:jc w:val="center"/>
            </w:pPr>
            <w:r w:rsidRPr="00F94759">
              <w:rPr>
                <w:b/>
              </w:rPr>
              <w:t>Incremental</w:t>
            </w:r>
          </w:p>
        </w:tc>
      </w:tr>
      <w:tr w:rsidR="007D337A" w:rsidRPr="00F94759" w:rsidTr="007D337A">
        <w:tc>
          <w:tcPr>
            <w:tcW w:w="223" w:type="pct"/>
            <w:vMerge w:val="restart"/>
          </w:tcPr>
          <w:p w:rsidR="007D337A" w:rsidRPr="00F94759" w:rsidRDefault="007D337A" w:rsidP="00121EF5">
            <w:pPr>
              <w:pStyle w:val="Tabletext"/>
              <w:keepNext/>
              <w:widowControl w:val="0"/>
            </w:pPr>
            <w:r w:rsidRPr="00F94759">
              <w:t>1</w:t>
            </w:r>
          </w:p>
        </w:tc>
        <w:tc>
          <w:tcPr>
            <w:tcW w:w="738" w:type="pct"/>
            <w:vMerge w:val="restart"/>
          </w:tcPr>
          <w:p w:rsidR="007D337A" w:rsidRPr="00F94759" w:rsidRDefault="007D337A" w:rsidP="00121EF5">
            <w:pPr>
              <w:pStyle w:val="Tabletext"/>
              <w:keepNext/>
              <w:widowControl w:val="0"/>
            </w:pPr>
            <w:r w:rsidRPr="00F94759">
              <w:t>Cost associated with vPDT</w:t>
            </w:r>
          </w:p>
        </w:tc>
        <w:tc>
          <w:tcPr>
            <w:tcW w:w="892" w:type="pct"/>
            <w:vMerge w:val="restart"/>
          </w:tcPr>
          <w:p w:rsidR="007D337A" w:rsidRPr="00F94759" w:rsidRDefault="007D337A" w:rsidP="00121EF5">
            <w:pPr>
              <w:pStyle w:val="Tabletext"/>
              <w:keepNext/>
              <w:widowControl w:val="0"/>
            </w:pPr>
            <w:r w:rsidRPr="00F94759">
              <w:t xml:space="preserve">Assume 3.4 administrations in year 1, and 1.7 administrations in year 2. </w:t>
            </w:r>
          </w:p>
        </w:tc>
        <w:tc>
          <w:tcPr>
            <w:tcW w:w="1074" w:type="pct"/>
            <w:vMerge w:val="restart"/>
          </w:tcPr>
          <w:p w:rsidR="007D337A" w:rsidRPr="00F94759" w:rsidRDefault="007D337A" w:rsidP="00121EF5">
            <w:pPr>
              <w:pStyle w:val="Tabletext"/>
              <w:keepNext/>
              <w:widowControl w:val="0"/>
            </w:pPr>
            <w:r w:rsidRPr="00F94759">
              <w:t>Assume no administrations of vPDT (and holding efficacy constant)</w:t>
            </w:r>
          </w:p>
        </w:tc>
        <w:tc>
          <w:tcPr>
            <w:tcW w:w="554" w:type="pct"/>
          </w:tcPr>
          <w:p w:rsidR="007D337A" w:rsidRPr="00F94759" w:rsidRDefault="007D337A" w:rsidP="00121EF5">
            <w:pPr>
              <w:pStyle w:val="Tabletext"/>
              <w:keepNext/>
              <w:widowControl w:val="0"/>
            </w:pPr>
            <w:r w:rsidRPr="00F94759">
              <w:t>Costs</w:t>
            </w:r>
          </w:p>
        </w:tc>
        <w:tc>
          <w:tcPr>
            <w:tcW w:w="479"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472"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QALYs</w:t>
            </w:r>
          </w:p>
        </w:tc>
        <w:tc>
          <w:tcPr>
            <w:tcW w:w="479"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472"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568"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r>
      <w:tr w:rsidR="007D337A" w:rsidRPr="00F94759" w:rsidTr="007D337A">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Cost per QALY</w:t>
            </w:r>
          </w:p>
        </w:tc>
        <w:tc>
          <w:tcPr>
            <w:tcW w:w="479" w:type="pct"/>
            <w:vAlign w:val="center"/>
          </w:tcPr>
          <w:p w:rsidR="007D337A" w:rsidRPr="00F94759" w:rsidRDefault="007D337A" w:rsidP="00121EF5">
            <w:pPr>
              <w:pStyle w:val="Tabletext"/>
              <w:keepNext/>
              <w:widowControl w:val="0"/>
              <w:jc w:val="right"/>
              <w:rPr>
                <w:bCs/>
              </w:rPr>
            </w:pPr>
          </w:p>
        </w:tc>
        <w:tc>
          <w:tcPr>
            <w:tcW w:w="472" w:type="pct"/>
            <w:vAlign w:val="center"/>
          </w:tcPr>
          <w:p w:rsidR="007D337A" w:rsidRPr="00F94759" w:rsidRDefault="007D337A" w:rsidP="00121EF5">
            <w:pPr>
              <w:pStyle w:val="Tabletext"/>
              <w:keepNext/>
              <w:widowControl w:val="0"/>
              <w:jc w:val="right"/>
              <w:rPr>
                <w:bCs/>
              </w:rPr>
            </w:pP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c>
          <w:tcPr>
            <w:tcW w:w="223" w:type="pct"/>
            <w:vMerge w:val="restart"/>
          </w:tcPr>
          <w:p w:rsidR="007D337A" w:rsidRPr="00F94759" w:rsidRDefault="007D337A" w:rsidP="00121EF5">
            <w:pPr>
              <w:pStyle w:val="Tabletext"/>
              <w:keepNext/>
              <w:widowControl w:val="0"/>
            </w:pPr>
            <w:r w:rsidRPr="00F94759">
              <w:t>2</w:t>
            </w:r>
          </w:p>
        </w:tc>
        <w:tc>
          <w:tcPr>
            <w:tcW w:w="738" w:type="pct"/>
            <w:vMerge w:val="restart"/>
          </w:tcPr>
          <w:p w:rsidR="007D337A" w:rsidRPr="00F94759" w:rsidRDefault="007D337A" w:rsidP="00121EF5">
            <w:pPr>
              <w:pStyle w:val="Tabletext"/>
              <w:keepNext/>
              <w:widowControl w:val="0"/>
            </w:pPr>
            <w:r w:rsidRPr="00F94759">
              <w:t>#1 AND relative risk of falls (consistent with PBAC base case in July 2014 ranibizumab submissions)</w:t>
            </w:r>
          </w:p>
        </w:tc>
        <w:tc>
          <w:tcPr>
            <w:tcW w:w="892" w:type="pct"/>
            <w:vMerge w:val="restart"/>
          </w:tcPr>
          <w:p w:rsidR="007D337A" w:rsidRPr="00F94759" w:rsidRDefault="007D337A" w:rsidP="00121EF5">
            <w:pPr>
              <w:pStyle w:val="Tabletext"/>
              <w:keepNext/>
              <w:widowControl w:val="0"/>
            </w:pPr>
            <w:r w:rsidRPr="00F94759">
              <w:t>As per #1 above, and</w:t>
            </w:r>
          </w:p>
          <w:p w:rsidR="007D337A" w:rsidRPr="00F94759" w:rsidRDefault="007D337A" w:rsidP="00121EF5">
            <w:pPr>
              <w:pStyle w:val="Tabletext"/>
              <w:keepNext/>
              <w:widowControl w:val="0"/>
            </w:pPr>
            <w:r w:rsidRPr="00F94759">
              <w:t>RR VA1 = 1</w:t>
            </w:r>
            <w:r w:rsidRPr="00F94759">
              <w:br/>
              <w:t>RR VA2 = 1</w:t>
            </w:r>
            <w:r w:rsidRPr="00F94759">
              <w:br/>
              <w:t>RR VA3 BSE = 1.55</w:t>
            </w:r>
            <w:r w:rsidRPr="00F94759">
              <w:br/>
              <w:t>RR VA3 WSE = 1</w:t>
            </w:r>
            <w:r w:rsidRPr="00F94759">
              <w:br/>
              <w:t>RR VA4 BSE = 1.55</w:t>
            </w:r>
            <w:r w:rsidRPr="00F94759">
              <w:br/>
              <w:t xml:space="preserve">RR VA4 WSE = 1 </w:t>
            </w:r>
          </w:p>
        </w:tc>
        <w:tc>
          <w:tcPr>
            <w:tcW w:w="1074" w:type="pct"/>
            <w:vMerge w:val="restart"/>
          </w:tcPr>
          <w:p w:rsidR="007D337A" w:rsidRPr="00F94759" w:rsidRDefault="007D337A" w:rsidP="00121EF5">
            <w:pPr>
              <w:pStyle w:val="Tabletext"/>
              <w:keepNext/>
              <w:widowControl w:val="0"/>
            </w:pPr>
            <w:r w:rsidRPr="00F94759">
              <w:t>As per #1 above, and</w:t>
            </w:r>
          </w:p>
          <w:p w:rsidR="007D337A" w:rsidRPr="00F94759" w:rsidRDefault="007D337A" w:rsidP="00121EF5">
            <w:pPr>
              <w:pStyle w:val="Tabletext"/>
              <w:keepNext/>
              <w:widowControl w:val="0"/>
            </w:pPr>
            <w:r w:rsidRPr="00F94759">
              <w:t xml:space="preserve">RR = 1 </w:t>
            </w:r>
          </w:p>
        </w:tc>
        <w:tc>
          <w:tcPr>
            <w:tcW w:w="554" w:type="pct"/>
          </w:tcPr>
          <w:p w:rsidR="007D337A" w:rsidRPr="00F94759" w:rsidRDefault="007D337A" w:rsidP="00121EF5">
            <w:pPr>
              <w:pStyle w:val="Tabletext"/>
              <w:keepNext/>
              <w:widowControl w:val="0"/>
            </w:pPr>
            <w:r w:rsidRPr="00F94759">
              <w:t>Costs</w:t>
            </w:r>
          </w:p>
        </w:tc>
        <w:tc>
          <w:tcPr>
            <w:tcW w:w="479"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472"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QALYs</w:t>
            </w:r>
          </w:p>
        </w:tc>
        <w:tc>
          <w:tcPr>
            <w:tcW w:w="479"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472"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568"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r>
      <w:tr w:rsidR="007D337A" w:rsidRPr="00F94759" w:rsidTr="007D337A">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Cost per QALY</w:t>
            </w:r>
          </w:p>
        </w:tc>
        <w:tc>
          <w:tcPr>
            <w:tcW w:w="479" w:type="pct"/>
            <w:vAlign w:val="center"/>
          </w:tcPr>
          <w:p w:rsidR="007D337A" w:rsidRPr="00F94759" w:rsidRDefault="007D337A" w:rsidP="00121EF5">
            <w:pPr>
              <w:pStyle w:val="Tabletext"/>
              <w:keepNext/>
              <w:widowControl w:val="0"/>
              <w:jc w:val="right"/>
              <w:rPr>
                <w:bCs/>
              </w:rPr>
            </w:pPr>
          </w:p>
        </w:tc>
        <w:tc>
          <w:tcPr>
            <w:tcW w:w="472" w:type="pct"/>
            <w:vAlign w:val="center"/>
          </w:tcPr>
          <w:p w:rsidR="007D337A" w:rsidRPr="00F94759" w:rsidRDefault="007D337A" w:rsidP="00121EF5">
            <w:pPr>
              <w:pStyle w:val="Tabletext"/>
              <w:keepNext/>
              <w:widowControl w:val="0"/>
              <w:jc w:val="right"/>
              <w:rPr>
                <w:bCs/>
              </w:rPr>
            </w:pP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c>
          <w:tcPr>
            <w:tcW w:w="223" w:type="pct"/>
            <w:vMerge w:val="restart"/>
          </w:tcPr>
          <w:p w:rsidR="007D337A" w:rsidRPr="00F94759" w:rsidRDefault="007D337A" w:rsidP="00121EF5">
            <w:pPr>
              <w:pStyle w:val="Tabletext"/>
              <w:keepNext/>
              <w:widowControl w:val="0"/>
            </w:pPr>
            <w:r w:rsidRPr="00F94759">
              <w:t>3</w:t>
            </w:r>
          </w:p>
        </w:tc>
        <w:tc>
          <w:tcPr>
            <w:tcW w:w="738" w:type="pct"/>
            <w:vMerge w:val="restart"/>
          </w:tcPr>
          <w:p w:rsidR="007D337A" w:rsidRPr="00F94759" w:rsidRDefault="007D337A" w:rsidP="00121EF5">
            <w:pPr>
              <w:pStyle w:val="Tabletext"/>
              <w:keepNext/>
              <w:widowControl w:val="0"/>
            </w:pPr>
            <w:r w:rsidRPr="00F94759">
              <w:t>#1 AND number of ranibizumab administrations</w:t>
            </w:r>
          </w:p>
        </w:tc>
        <w:tc>
          <w:tcPr>
            <w:tcW w:w="892" w:type="pct"/>
            <w:vMerge w:val="restart"/>
          </w:tcPr>
          <w:p w:rsidR="007D337A" w:rsidRPr="00F94759" w:rsidRDefault="007D337A" w:rsidP="00121EF5">
            <w:pPr>
              <w:pStyle w:val="Tabletext"/>
              <w:keepNext/>
              <w:widowControl w:val="0"/>
            </w:pPr>
            <w:r w:rsidRPr="00F94759">
              <w:t>As per #1 above and assume 3.5 administrations in year 1 and 1 administration in year 2.</w:t>
            </w:r>
          </w:p>
        </w:tc>
        <w:tc>
          <w:tcPr>
            <w:tcW w:w="1074" w:type="pct"/>
            <w:vMerge w:val="restart"/>
          </w:tcPr>
          <w:p w:rsidR="007D337A" w:rsidRPr="00F94759" w:rsidRDefault="007D337A" w:rsidP="00121EF5">
            <w:pPr>
              <w:pStyle w:val="Tabletext"/>
              <w:keepNext/>
              <w:widowControl w:val="0"/>
            </w:pPr>
            <w:r w:rsidRPr="00F94759">
              <w:t>Assume 3.5 administrations in all years</w:t>
            </w:r>
          </w:p>
        </w:tc>
        <w:tc>
          <w:tcPr>
            <w:tcW w:w="554" w:type="pct"/>
          </w:tcPr>
          <w:p w:rsidR="007D337A" w:rsidRPr="00F94759" w:rsidRDefault="007D337A" w:rsidP="00121EF5">
            <w:pPr>
              <w:pStyle w:val="Tabletext"/>
              <w:keepNext/>
              <w:widowControl w:val="0"/>
            </w:pPr>
            <w:r w:rsidRPr="00F94759">
              <w:t>Costs</w:t>
            </w:r>
          </w:p>
        </w:tc>
        <w:tc>
          <w:tcPr>
            <w:tcW w:w="479"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472"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QALYs</w:t>
            </w:r>
          </w:p>
        </w:tc>
        <w:tc>
          <w:tcPr>
            <w:tcW w:w="479"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472"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568"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r>
      <w:tr w:rsidR="007D337A" w:rsidRPr="00F94759" w:rsidTr="007D337A">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Cost per QALY</w:t>
            </w:r>
          </w:p>
        </w:tc>
        <w:tc>
          <w:tcPr>
            <w:tcW w:w="479" w:type="pct"/>
            <w:vAlign w:val="center"/>
          </w:tcPr>
          <w:p w:rsidR="007D337A" w:rsidRPr="00F94759" w:rsidRDefault="007D337A" w:rsidP="00121EF5">
            <w:pPr>
              <w:pStyle w:val="Tabletext"/>
              <w:keepNext/>
              <w:widowControl w:val="0"/>
              <w:jc w:val="right"/>
              <w:rPr>
                <w:bCs/>
              </w:rPr>
            </w:pPr>
          </w:p>
        </w:tc>
        <w:tc>
          <w:tcPr>
            <w:tcW w:w="472" w:type="pct"/>
            <w:vAlign w:val="center"/>
          </w:tcPr>
          <w:p w:rsidR="007D337A" w:rsidRPr="00F94759" w:rsidRDefault="007D337A" w:rsidP="00121EF5">
            <w:pPr>
              <w:pStyle w:val="Tabletext"/>
              <w:keepNext/>
              <w:widowControl w:val="0"/>
              <w:jc w:val="right"/>
              <w:rPr>
                <w:bCs/>
              </w:rPr>
            </w:pP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c>
          <w:tcPr>
            <w:tcW w:w="223" w:type="pct"/>
            <w:vMerge w:val="restart"/>
          </w:tcPr>
          <w:p w:rsidR="007D337A" w:rsidRPr="00F94759" w:rsidRDefault="007D337A" w:rsidP="00121EF5">
            <w:pPr>
              <w:pStyle w:val="Tabletext"/>
              <w:keepNext/>
              <w:widowControl w:val="0"/>
            </w:pPr>
            <w:r w:rsidRPr="00F94759">
              <w:t>4</w:t>
            </w:r>
          </w:p>
        </w:tc>
        <w:tc>
          <w:tcPr>
            <w:tcW w:w="738" w:type="pct"/>
            <w:vMerge w:val="restart"/>
          </w:tcPr>
          <w:p w:rsidR="007D337A" w:rsidRPr="00F94759" w:rsidRDefault="007D337A" w:rsidP="00121EF5">
            <w:pPr>
              <w:pStyle w:val="Tabletext"/>
              <w:keepNext/>
              <w:widowControl w:val="0"/>
            </w:pPr>
            <w:r w:rsidRPr="00F94759">
              <w:t>#1 AND #2 AND #3</w:t>
            </w:r>
          </w:p>
        </w:tc>
        <w:tc>
          <w:tcPr>
            <w:tcW w:w="892" w:type="pct"/>
            <w:vMerge w:val="restart"/>
          </w:tcPr>
          <w:p w:rsidR="007D337A" w:rsidRPr="00F94759" w:rsidRDefault="007D337A" w:rsidP="00121EF5">
            <w:pPr>
              <w:pStyle w:val="Tabletext"/>
              <w:keepNext/>
              <w:widowControl w:val="0"/>
            </w:pPr>
            <w:r w:rsidRPr="00F94759">
              <w:t>See above.</w:t>
            </w:r>
          </w:p>
        </w:tc>
        <w:tc>
          <w:tcPr>
            <w:tcW w:w="1074" w:type="pct"/>
            <w:vMerge w:val="restart"/>
          </w:tcPr>
          <w:p w:rsidR="007D337A" w:rsidRPr="00F94759" w:rsidRDefault="007D337A" w:rsidP="00121EF5">
            <w:pPr>
              <w:pStyle w:val="Tabletext"/>
              <w:keepNext/>
              <w:widowControl w:val="0"/>
            </w:pPr>
            <w:r w:rsidRPr="00F94759">
              <w:t>See above.</w:t>
            </w:r>
          </w:p>
        </w:tc>
        <w:tc>
          <w:tcPr>
            <w:tcW w:w="554" w:type="pct"/>
          </w:tcPr>
          <w:p w:rsidR="007D337A" w:rsidRPr="00F94759" w:rsidRDefault="007D337A" w:rsidP="00121EF5">
            <w:pPr>
              <w:pStyle w:val="Tabletext"/>
              <w:keepNext/>
              <w:widowControl w:val="0"/>
            </w:pPr>
            <w:r w:rsidRPr="00F94759">
              <w:t>Costs</w:t>
            </w:r>
          </w:p>
        </w:tc>
        <w:tc>
          <w:tcPr>
            <w:tcW w:w="479"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472"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QALYs</w:t>
            </w:r>
          </w:p>
        </w:tc>
        <w:tc>
          <w:tcPr>
            <w:tcW w:w="479"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472"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568"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r>
      <w:tr w:rsidR="007D337A" w:rsidRPr="00F94759" w:rsidTr="007D337A">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Cost per QALY</w:t>
            </w:r>
          </w:p>
        </w:tc>
        <w:tc>
          <w:tcPr>
            <w:tcW w:w="479" w:type="pct"/>
            <w:vAlign w:val="center"/>
          </w:tcPr>
          <w:p w:rsidR="007D337A" w:rsidRPr="00F94759" w:rsidRDefault="007D337A" w:rsidP="00121EF5">
            <w:pPr>
              <w:pStyle w:val="Tabletext"/>
              <w:keepNext/>
              <w:widowControl w:val="0"/>
              <w:jc w:val="right"/>
              <w:rPr>
                <w:bCs/>
              </w:rPr>
            </w:pPr>
          </w:p>
        </w:tc>
        <w:tc>
          <w:tcPr>
            <w:tcW w:w="472" w:type="pct"/>
            <w:vAlign w:val="center"/>
          </w:tcPr>
          <w:p w:rsidR="007D337A" w:rsidRPr="00F94759" w:rsidRDefault="007D337A" w:rsidP="00121EF5">
            <w:pPr>
              <w:pStyle w:val="Tabletext"/>
              <w:keepNext/>
              <w:widowControl w:val="0"/>
              <w:jc w:val="right"/>
              <w:rPr>
                <w:bCs/>
              </w:rPr>
            </w:pP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blPrEx>
          <w:tblCellMar>
            <w:left w:w="108" w:type="dxa"/>
            <w:right w:w="108" w:type="dxa"/>
          </w:tblCellMar>
        </w:tblPrEx>
        <w:tc>
          <w:tcPr>
            <w:tcW w:w="223" w:type="pct"/>
            <w:vMerge w:val="restart"/>
          </w:tcPr>
          <w:p w:rsidR="007D337A" w:rsidRPr="00F94759" w:rsidRDefault="007D337A" w:rsidP="00121EF5">
            <w:pPr>
              <w:pStyle w:val="Tabletext"/>
              <w:keepNext/>
              <w:widowControl w:val="0"/>
            </w:pPr>
            <w:r w:rsidRPr="00F94759">
              <w:t>5</w:t>
            </w:r>
          </w:p>
        </w:tc>
        <w:tc>
          <w:tcPr>
            <w:tcW w:w="738" w:type="pct"/>
            <w:vMerge w:val="restart"/>
          </w:tcPr>
          <w:p w:rsidR="007D337A" w:rsidRPr="00F94759" w:rsidRDefault="007D337A" w:rsidP="00121EF5">
            <w:pPr>
              <w:pStyle w:val="Tabletext"/>
              <w:keepNext/>
              <w:widowControl w:val="0"/>
            </w:pPr>
            <w:r w:rsidRPr="00F94759">
              <w:t>#1 AND number of ranibizumab administrations</w:t>
            </w:r>
          </w:p>
        </w:tc>
        <w:tc>
          <w:tcPr>
            <w:tcW w:w="892" w:type="pct"/>
            <w:vMerge w:val="restart"/>
          </w:tcPr>
          <w:p w:rsidR="007D337A" w:rsidRPr="00F94759" w:rsidRDefault="007D337A" w:rsidP="00121EF5">
            <w:pPr>
              <w:pStyle w:val="Tabletext"/>
              <w:keepNext/>
              <w:widowControl w:val="0"/>
            </w:pPr>
            <w:r w:rsidRPr="00F94759">
              <w:t>As per #1 above and assume 8.4 administrations in year 1 and 7.1 administrations in year 2</w:t>
            </w:r>
          </w:p>
        </w:tc>
        <w:tc>
          <w:tcPr>
            <w:tcW w:w="1074" w:type="pct"/>
            <w:vMerge w:val="restart"/>
          </w:tcPr>
          <w:p w:rsidR="007D337A" w:rsidRPr="00F94759" w:rsidRDefault="007D337A" w:rsidP="00121EF5">
            <w:pPr>
              <w:pStyle w:val="Tabletext"/>
              <w:keepNext/>
              <w:widowControl w:val="0"/>
            </w:pPr>
            <w:r w:rsidRPr="00F94759">
              <w:t>Assume 8.4 administrations in year 1 and 7.1 administrations in year 2</w:t>
            </w:r>
          </w:p>
        </w:tc>
        <w:tc>
          <w:tcPr>
            <w:tcW w:w="554" w:type="pct"/>
          </w:tcPr>
          <w:p w:rsidR="007D337A" w:rsidRPr="00F94759" w:rsidRDefault="007D337A" w:rsidP="00121EF5">
            <w:pPr>
              <w:pStyle w:val="Tabletext"/>
              <w:keepNext/>
              <w:widowControl w:val="0"/>
            </w:pPr>
            <w:r w:rsidRPr="00F94759">
              <w:t>Costs</w:t>
            </w:r>
          </w:p>
        </w:tc>
        <w:tc>
          <w:tcPr>
            <w:tcW w:w="479"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472"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blPrEx>
          <w:tblCellMar>
            <w:left w:w="108" w:type="dxa"/>
            <w:right w:w="108" w:type="dxa"/>
          </w:tblCellMar>
        </w:tblPrEx>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QALYs</w:t>
            </w:r>
          </w:p>
        </w:tc>
        <w:tc>
          <w:tcPr>
            <w:tcW w:w="479"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472"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568"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r>
      <w:tr w:rsidR="007D337A" w:rsidRPr="00F94759" w:rsidTr="007D337A">
        <w:tblPrEx>
          <w:tblCellMar>
            <w:left w:w="108" w:type="dxa"/>
            <w:right w:w="108" w:type="dxa"/>
          </w:tblCellMar>
        </w:tblPrEx>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Cost per QALY</w:t>
            </w:r>
          </w:p>
        </w:tc>
        <w:tc>
          <w:tcPr>
            <w:tcW w:w="479" w:type="pct"/>
            <w:vAlign w:val="center"/>
          </w:tcPr>
          <w:p w:rsidR="007D337A" w:rsidRPr="00F94759" w:rsidRDefault="007D337A" w:rsidP="00121EF5">
            <w:pPr>
              <w:pStyle w:val="Tabletext"/>
              <w:keepNext/>
              <w:widowControl w:val="0"/>
              <w:jc w:val="right"/>
              <w:rPr>
                <w:bCs/>
              </w:rPr>
            </w:pPr>
          </w:p>
        </w:tc>
        <w:tc>
          <w:tcPr>
            <w:tcW w:w="472" w:type="pct"/>
            <w:vAlign w:val="center"/>
          </w:tcPr>
          <w:p w:rsidR="007D337A" w:rsidRPr="00F94759" w:rsidRDefault="007D337A" w:rsidP="00121EF5">
            <w:pPr>
              <w:pStyle w:val="Tabletext"/>
              <w:keepNext/>
              <w:widowControl w:val="0"/>
              <w:jc w:val="right"/>
              <w:rPr>
                <w:bCs/>
              </w:rPr>
            </w:pP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blPrEx>
          <w:tblCellMar>
            <w:left w:w="108" w:type="dxa"/>
            <w:right w:w="108" w:type="dxa"/>
          </w:tblCellMar>
        </w:tblPrEx>
        <w:tc>
          <w:tcPr>
            <w:tcW w:w="223" w:type="pct"/>
            <w:vMerge w:val="restart"/>
          </w:tcPr>
          <w:p w:rsidR="007D337A" w:rsidRPr="00F94759" w:rsidRDefault="007D337A" w:rsidP="00121EF5">
            <w:pPr>
              <w:pStyle w:val="Tabletext"/>
              <w:keepNext/>
              <w:widowControl w:val="0"/>
            </w:pPr>
            <w:r w:rsidRPr="00F94759">
              <w:t>6</w:t>
            </w:r>
          </w:p>
        </w:tc>
        <w:tc>
          <w:tcPr>
            <w:tcW w:w="738" w:type="pct"/>
            <w:vMerge w:val="restart"/>
          </w:tcPr>
          <w:p w:rsidR="007D337A" w:rsidRPr="00F94759" w:rsidRDefault="007D337A" w:rsidP="00121EF5">
            <w:pPr>
              <w:pStyle w:val="Tabletext"/>
              <w:keepNext/>
              <w:widowControl w:val="0"/>
            </w:pPr>
            <w:r w:rsidRPr="00F94759">
              <w:t>#1 AND #2 AND #5</w:t>
            </w:r>
          </w:p>
        </w:tc>
        <w:tc>
          <w:tcPr>
            <w:tcW w:w="892" w:type="pct"/>
            <w:vMerge w:val="restart"/>
          </w:tcPr>
          <w:p w:rsidR="007D337A" w:rsidRPr="00F94759" w:rsidRDefault="007D337A" w:rsidP="00121EF5">
            <w:pPr>
              <w:pStyle w:val="Tabletext"/>
              <w:keepNext/>
              <w:widowControl w:val="0"/>
            </w:pPr>
            <w:r w:rsidRPr="00F94759">
              <w:t>See above.</w:t>
            </w:r>
          </w:p>
        </w:tc>
        <w:tc>
          <w:tcPr>
            <w:tcW w:w="1074" w:type="pct"/>
            <w:vMerge w:val="restart"/>
          </w:tcPr>
          <w:p w:rsidR="007D337A" w:rsidRPr="00F94759" w:rsidRDefault="007D337A" w:rsidP="00121EF5">
            <w:pPr>
              <w:pStyle w:val="Tabletext"/>
              <w:keepNext/>
              <w:widowControl w:val="0"/>
            </w:pPr>
            <w:r w:rsidRPr="00F94759">
              <w:t>See above.</w:t>
            </w:r>
          </w:p>
        </w:tc>
        <w:tc>
          <w:tcPr>
            <w:tcW w:w="554" w:type="pct"/>
          </w:tcPr>
          <w:p w:rsidR="007D337A" w:rsidRPr="00F94759" w:rsidRDefault="007D337A" w:rsidP="00121EF5">
            <w:pPr>
              <w:pStyle w:val="Tabletext"/>
              <w:keepNext/>
              <w:widowControl w:val="0"/>
            </w:pPr>
            <w:r w:rsidRPr="00F94759">
              <w:t>Costs</w:t>
            </w:r>
          </w:p>
        </w:tc>
        <w:tc>
          <w:tcPr>
            <w:tcW w:w="479"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472"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blPrEx>
          <w:tblCellMar>
            <w:left w:w="108" w:type="dxa"/>
            <w:right w:w="108" w:type="dxa"/>
          </w:tblCellMar>
        </w:tblPrEx>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QALYs</w:t>
            </w:r>
          </w:p>
        </w:tc>
        <w:tc>
          <w:tcPr>
            <w:tcW w:w="479"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472"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568"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r>
      <w:tr w:rsidR="007D337A" w:rsidRPr="00F94759" w:rsidTr="007D337A">
        <w:tblPrEx>
          <w:tblCellMar>
            <w:left w:w="108" w:type="dxa"/>
            <w:right w:w="108" w:type="dxa"/>
          </w:tblCellMar>
        </w:tblPrEx>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Cost per QALY</w:t>
            </w:r>
          </w:p>
        </w:tc>
        <w:tc>
          <w:tcPr>
            <w:tcW w:w="479" w:type="pct"/>
            <w:vAlign w:val="center"/>
          </w:tcPr>
          <w:p w:rsidR="007D337A" w:rsidRPr="00F94759" w:rsidRDefault="007D337A" w:rsidP="00121EF5">
            <w:pPr>
              <w:pStyle w:val="Tabletext"/>
              <w:keepNext/>
              <w:widowControl w:val="0"/>
              <w:jc w:val="right"/>
              <w:rPr>
                <w:bCs/>
              </w:rPr>
            </w:pPr>
          </w:p>
        </w:tc>
        <w:tc>
          <w:tcPr>
            <w:tcW w:w="472" w:type="pct"/>
            <w:vAlign w:val="center"/>
          </w:tcPr>
          <w:p w:rsidR="007D337A" w:rsidRPr="00F94759" w:rsidRDefault="007D337A" w:rsidP="00121EF5">
            <w:pPr>
              <w:pStyle w:val="Tabletext"/>
              <w:keepNext/>
              <w:widowControl w:val="0"/>
              <w:jc w:val="right"/>
              <w:rPr>
                <w:bCs/>
              </w:rPr>
            </w:pP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blPrEx>
          <w:tblCellMar>
            <w:left w:w="108" w:type="dxa"/>
            <w:right w:w="108" w:type="dxa"/>
          </w:tblCellMar>
        </w:tblPrEx>
        <w:tc>
          <w:tcPr>
            <w:tcW w:w="223" w:type="pct"/>
            <w:vMerge w:val="restart"/>
          </w:tcPr>
          <w:p w:rsidR="007D337A" w:rsidRPr="00F94759" w:rsidRDefault="007D337A" w:rsidP="00121EF5">
            <w:pPr>
              <w:pStyle w:val="Tabletext"/>
              <w:keepNext/>
              <w:widowControl w:val="0"/>
            </w:pPr>
            <w:r w:rsidRPr="00F94759">
              <w:t>7</w:t>
            </w:r>
          </w:p>
        </w:tc>
        <w:tc>
          <w:tcPr>
            <w:tcW w:w="738" w:type="pct"/>
            <w:vMerge w:val="restart"/>
          </w:tcPr>
          <w:p w:rsidR="007D337A" w:rsidRPr="00F94759" w:rsidRDefault="007D337A" w:rsidP="00121EF5">
            <w:pPr>
              <w:pStyle w:val="Tabletext"/>
              <w:keepNext/>
              <w:widowControl w:val="0"/>
            </w:pPr>
            <w:r w:rsidRPr="00F94759">
              <w:t>#1 AND number of ranibizumab administrations</w:t>
            </w:r>
          </w:p>
        </w:tc>
        <w:tc>
          <w:tcPr>
            <w:tcW w:w="892" w:type="pct"/>
            <w:vMerge w:val="restart"/>
          </w:tcPr>
          <w:p w:rsidR="007D337A" w:rsidRPr="00F94759" w:rsidRDefault="007D337A" w:rsidP="00121EF5">
            <w:pPr>
              <w:pStyle w:val="Tabletext"/>
              <w:keepNext/>
              <w:widowControl w:val="0"/>
            </w:pPr>
            <w:r w:rsidRPr="00F94759">
              <w:t>As per #1 above and assume 8.4 administrations in year 1 and 7.1 administrations in year 2</w:t>
            </w:r>
          </w:p>
        </w:tc>
        <w:tc>
          <w:tcPr>
            <w:tcW w:w="1074" w:type="pct"/>
            <w:vMerge w:val="restart"/>
          </w:tcPr>
          <w:p w:rsidR="007D337A" w:rsidRPr="00F94759" w:rsidRDefault="007D337A" w:rsidP="00121EF5">
            <w:pPr>
              <w:pStyle w:val="Tabletext"/>
              <w:keepNext/>
              <w:widowControl w:val="0"/>
            </w:pPr>
            <w:r w:rsidRPr="00F94759">
              <w:t>Assume 8.4 administrations in year 1 and 7.1 administrations in all subsequent years</w:t>
            </w:r>
          </w:p>
        </w:tc>
        <w:tc>
          <w:tcPr>
            <w:tcW w:w="554" w:type="pct"/>
          </w:tcPr>
          <w:p w:rsidR="007D337A" w:rsidRPr="00F94759" w:rsidRDefault="007D337A" w:rsidP="00121EF5">
            <w:pPr>
              <w:pStyle w:val="Tabletext"/>
              <w:keepNext/>
              <w:widowControl w:val="0"/>
            </w:pPr>
            <w:r w:rsidRPr="00F94759">
              <w:t>Costs</w:t>
            </w:r>
          </w:p>
        </w:tc>
        <w:tc>
          <w:tcPr>
            <w:tcW w:w="479"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472"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blPrEx>
          <w:tblCellMar>
            <w:left w:w="108" w:type="dxa"/>
            <w:right w:w="108" w:type="dxa"/>
          </w:tblCellMar>
        </w:tblPrEx>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QALYs</w:t>
            </w:r>
          </w:p>
        </w:tc>
        <w:tc>
          <w:tcPr>
            <w:tcW w:w="479"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472"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568"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r>
      <w:tr w:rsidR="007D337A" w:rsidRPr="00F94759" w:rsidTr="007D337A">
        <w:tblPrEx>
          <w:tblCellMar>
            <w:left w:w="108" w:type="dxa"/>
            <w:right w:w="108" w:type="dxa"/>
          </w:tblCellMar>
        </w:tblPrEx>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Cost per QALY</w:t>
            </w:r>
          </w:p>
        </w:tc>
        <w:tc>
          <w:tcPr>
            <w:tcW w:w="479" w:type="pct"/>
            <w:vAlign w:val="center"/>
          </w:tcPr>
          <w:p w:rsidR="007D337A" w:rsidRPr="00F94759" w:rsidRDefault="007D337A" w:rsidP="00121EF5">
            <w:pPr>
              <w:pStyle w:val="Tabletext"/>
              <w:keepNext/>
              <w:widowControl w:val="0"/>
              <w:jc w:val="right"/>
              <w:rPr>
                <w:bCs/>
              </w:rPr>
            </w:pPr>
          </w:p>
        </w:tc>
        <w:tc>
          <w:tcPr>
            <w:tcW w:w="472" w:type="pct"/>
            <w:vAlign w:val="center"/>
          </w:tcPr>
          <w:p w:rsidR="007D337A" w:rsidRPr="00F94759" w:rsidRDefault="007D337A" w:rsidP="00121EF5">
            <w:pPr>
              <w:pStyle w:val="Tabletext"/>
              <w:keepNext/>
              <w:widowControl w:val="0"/>
              <w:jc w:val="right"/>
              <w:rPr>
                <w:bCs/>
              </w:rPr>
            </w:pP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blPrEx>
          <w:tblCellMar>
            <w:left w:w="108" w:type="dxa"/>
            <w:right w:w="108" w:type="dxa"/>
          </w:tblCellMar>
        </w:tblPrEx>
        <w:tc>
          <w:tcPr>
            <w:tcW w:w="223" w:type="pct"/>
            <w:vMerge w:val="restart"/>
          </w:tcPr>
          <w:p w:rsidR="007D337A" w:rsidRPr="00F94759" w:rsidRDefault="007D337A" w:rsidP="00121EF5">
            <w:pPr>
              <w:pStyle w:val="Tabletext"/>
              <w:keepNext/>
              <w:widowControl w:val="0"/>
            </w:pPr>
            <w:r w:rsidRPr="00F94759">
              <w:t>8</w:t>
            </w:r>
          </w:p>
        </w:tc>
        <w:tc>
          <w:tcPr>
            <w:tcW w:w="738" w:type="pct"/>
            <w:vMerge w:val="restart"/>
          </w:tcPr>
          <w:p w:rsidR="007D337A" w:rsidRPr="00F94759" w:rsidRDefault="007D337A" w:rsidP="00121EF5">
            <w:pPr>
              <w:pStyle w:val="Tabletext"/>
              <w:keepNext/>
              <w:widowControl w:val="0"/>
            </w:pPr>
            <w:r w:rsidRPr="00F94759">
              <w:t>#1 AND #2 AND #7</w:t>
            </w:r>
          </w:p>
        </w:tc>
        <w:tc>
          <w:tcPr>
            <w:tcW w:w="892" w:type="pct"/>
            <w:vMerge w:val="restart"/>
          </w:tcPr>
          <w:p w:rsidR="007D337A" w:rsidRPr="00F94759" w:rsidRDefault="007D337A" w:rsidP="00121EF5">
            <w:pPr>
              <w:pStyle w:val="Tabletext"/>
              <w:keepNext/>
              <w:widowControl w:val="0"/>
            </w:pPr>
            <w:r w:rsidRPr="00F94759">
              <w:t>See above.</w:t>
            </w:r>
          </w:p>
        </w:tc>
        <w:tc>
          <w:tcPr>
            <w:tcW w:w="1074" w:type="pct"/>
            <w:vMerge w:val="restart"/>
          </w:tcPr>
          <w:p w:rsidR="007D337A" w:rsidRPr="00F94759" w:rsidRDefault="007D337A" w:rsidP="00121EF5">
            <w:pPr>
              <w:pStyle w:val="Tabletext"/>
              <w:keepNext/>
              <w:widowControl w:val="0"/>
            </w:pPr>
            <w:r w:rsidRPr="00F94759">
              <w:t>See above.</w:t>
            </w:r>
          </w:p>
        </w:tc>
        <w:tc>
          <w:tcPr>
            <w:tcW w:w="554" w:type="pct"/>
          </w:tcPr>
          <w:p w:rsidR="007D337A" w:rsidRPr="00F94759" w:rsidRDefault="007D337A" w:rsidP="00121EF5">
            <w:pPr>
              <w:pStyle w:val="Tabletext"/>
              <w:keepNext/>
              <w:widowControl w:val="0"/>
            </w:pPr>
            <w:r w:rsidRPr="00F94759">
              <w:t>Costs</w:t>
            </w:r>
          </w:p>
        </w:tc>
        <w:tc>
          <w:tcPr>
            <w:tcW w:w="479"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472"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r w:rsidR="007D337A" w:rsidRPr="00F94759" w:rsidTr="007D337A">
        <w:tblPrEx>
          <w:tblCellMar>
            <w:left w:w="108" w:type="dxa"/>
            <w:right w:w="108" w:type="dxa"/>
          </w:tblCellMar>
        </w:tblPrEx>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QALYs</w:t>
            </w:r>
          </w:p>
        </w:tc>
        <w:tc>
          <w:tcPr>
            <w:tcW w:w="479"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472"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c>
          <w:tcPr>
            <w:tcW w:w="568" w:type="pct"/>
            <w:vAlign w:val="center"/>
          </w:tcPr>
          <w:p w:rsidR="007D337A" w:rsidRPr="00042B67" w:rsidRDefault="00042B67" w:rsidP="00121EF5">
            <w:pPr>
              <w:pStyle w:val="Tabletext"/>
              <w:keepNext/>
              <w:widowControl w:val="0"/>
              <w:jc w:val="right"/>
              <w:rPr>
                <w:bCs/>
                <w:highlight w:val="black"/>
              </w:rPr>
            </w:pPr>
            <w:r>
              <w:rPr>
                <w:bCs/>
                <w:noProof/>
                <w:color w:val="000000"/>
                <w:highlight w:val="black"/>
              </w:rPr>
              <w:t>'''''''''''''</w:t>
            </w:r>
          </w:p>
        </w:tc>
      </w:tr>
      <w:tr w:rsidR="007D337A" w:rsidRPr="00F94759" w:rsidTr="007D337A">
        <w:tblPrEx>
          <w:tblCellMar>
            <w:left w:w="108" w:type="dxa"/>
            <w:right w:w="108" w:type="dxa"/>
          </w:tblCellMar>
        </w:tblPrEx>
        <w:tc>
          <w:tcPr>
            <w:tcW w:w="223" w:type="pct"/>
            <w:vMerge/>
          </w:tcPr>
          <w:p w:rsidR="007D337A" w:rsidRPr="00F94759" w:rsidRDefault="007D337A" w:rsidP="00121EF5">
            <w:pPr>
              <w:pStyle w:val="Tabletext"/>
              <w:keepNext/>
              <w:widowControl w:val="0"/>
            </w:pPr>
          </w:p>
        </w:tc>
        <w:tc>
          <w:tcPr>
            <w:tcW w:w="738" w:type="pct"/>
            <w:vMerge/>
          </w:tcPr>
          <w:p w:rsidR="007D337A" w:rsidRPr="00F94759" w:rsidRDefault="007D337A" w:rsidP="00121EF5">
            <w:pPr>
              <w:pStyle w:val="Tabletext"/>
              <w:keepNext/>
              <w:widowControl w:val="0"/>
            </w:pPr>
          </w:p>
        </w:tc>
        <w:tc>
          <w:tcPr>
            <w:tcW w:w="892" w:type="pct"/>
            <w:vMerge/>
          </w:tcPr>
          <w:p w:rsidR="007D337A" w:rsidRPr="00F94759" w:rsidRDefault="007D337A" w:rsidP="00121EF5">
            <w:pPr>
              <w:pStyle w:val="Tabletext"/>
              <w:keepNext/>
              <w:widowControl w:val="0"/>
            </w:pPr>
          </w:p>
        </w:tc>
        <w:tc>
          <w:tcPr>
            <w:tcW w:w="1074" w:type="pct"/>
            <w:vMerge/>
          </w:tcPr>
          <w:p w:rsidR="007D337A" w:rsidRPr="00F94759" w:rsidRDefault="007D337A" w:rsidP="00121EF5">
            <w:pPr>
              <w:pStyle w:val="Tabletext"/>
              <w:keepNext/>
              <w:widowControl w:val="0"/>
            </w:pPr>
          </w:p>
        </w:tc>
        <w:tc>
          <w:tcPr>
            <w:tcW w:w="554" w:type="pct"/>
          </w:tcPr>
          <w:p w:rsidR="007D337A" w:rsidRPr="00F94759" w:rsidRDefault="007D337A" w:rsidP="00121EF5">
            <w:pPr>
              <w:pStyle w:val="Tabletext"/>
              <w:keepNext/>
              <w:widowControl w:val="0"/>
            </w:pPr>
            <w:r w:rsidRPr="00F94759">
              <w:t>Cost per QALY</w:t>
            </w:r>
          </w:p>
        </w:tc>
        <w:tc>
          <w:tcPr>
            <w:tcW w:w="479" w:type="pct"/>
            <w:vAlign w:val="center"/>
          </w:tcPr>
          <w:p w:rsidR="007D337A" w:rsidRPr="00F94759" w:rsidRDefault="007D337A" w:rsidP="00121EF5">
            <w:pPr>
              <w:pStyle w:val="Tabletext"/>
              <w:keepNext/>
              <w:widowControl w:val="0"/>
              <w:jc w:val="right"/>
              <w:rPr>
                <w:bCs/>
              </w:rPr>
            </w:pPr>
          </w:p>
        </w:tc>
        <w:tc>
          <w:tcPr>
            <w:tcW w:w="472" w:type="pct"/>
            <w:vAlign w:val="center"/>
          </w:tcPr>
          <w:p w:rsidR="007D337A" w:rsidRPr="00F94759" w:rsidRDefault="007D337A" w:rsidP="00121EF5">
            <w:pPr>
              <w:pStyle w:val="Tabletext"/>
              <w:keepNext/>
              <w:widowControl w:val="0"/>
              <w:jc w:val="right"/>
              <w:rPr>
                <w:bCs/>
              </w:rPr>
            </w:pPr>
          </w:p>
        </w:tc>
        <w:tc>
          <w:tcPr>
            <w:tcW w:w="568" w:type="pct"/>
            <w:vAlign w:val="center"/>
          </w:tcPr>
          <w:p w:rsidR="007D337A" w:rsidRPr="00F94759" w:rsidRDefault="007D337A" w:rsidP="00121EF5">
            <w:pPr>
              <w:pStyle w:val="Tabletext"/>
              <w:keepNext/>
              <w:widowControl w:val="0"/>
              <w:jc w:val="right"/>
              <w:rPr>
                <w:bCs/>
              </w:rPr>
            </w:pPr>
            <w:r w:rsidRPr="00F94759">
              <w:rPr>
                <w:bCs/>
              </w:rPr>
              <w:t>$</w:t>
            </w:r>
            <w:r w:rsidR="00042B67">
              <w:rPr>
                <w:bCs/>
                <w:noProof/>
                <w:color w:val="000000"/>
                <w:highlight w:val="black"/>
              </w:rPr>
              <w:t>'''''''''''''''''''</w:t>
            </w:r>
          </w:p>
        </w:tc>
      </w:tr>
    </w:tbl>
    <w:p w:rsidR="00406B98" w:rsidRPr="00F94759" w:rsidRDefault="0026690A" w:rsidP="00406B98">
      <w:pPr>
        <w:pStyle w:val="TableFooter"/>
      </w:pPr>
      <w:r>
        <w:t xml:space="preserve">Rani = ranibizumab; </w:t>
      </w:r>
      <w:r w:rsidR="00406B98" w:rsidRPr="00F94759">
        <w:t>QALY = quality adjusted life years; RR = relative risk; vPDT = verteporfin phot</w:t>
      </w:r>
      <w:r w:rsidR="00181396" w:rsidRPr="00F94759">
        <w:t>o dynamic therapy; BSE = better-</w:t>
      </w:r>
      <w:r w:rsidR="00406B98" w:rsidRPr="00F94759">
        <w:t>seei</w:t>
      </w:r>
      <w:r>
        <w:t>ng eye; WSE = worse-seeing eye.</w:t>
      </w:r>
    </w:p>
    <w:p w:rsidR="00406B98" w:rsidRDefault="00406B98" w:rsidP="007F23F1">
      <w:pPr>
        <w:pStyle w:val="TableFooter"/>
        <w:spacing w:after="160"/>
      </w:pPr>
      <w:r w:rsidRPr="00F94759">
        <w:t>Source</w:t>
      </w:r>
      <w:r w:rsidR="007D337A" w:rsidRPr="00F94759">
        <w:t>: compiled during the evaluation</w:t>
      </w:r>
      <w:r w:rsidR="00006AC6" w:rsidRPr="00F94759">
        <w:t>, based on EconomicModel_ranibizumab_PM.xlsx as provided by the submission.</w:t>
      </w:r>
    </w:p>
    <w:p w:rsidR="000472F8" w:rsidRPr="000472F8" w:rsidRDefault="000472F8" w:rsidP="007F23F1">
      <w:pPr>
        <w:pStyle w:val="TableFooter"/>
        <w:spacing w:after="160"/>
        <w:rPr>
          <w:rFonts w:asciiTheme="minorHAnsi" w:hAnsiTheme="minorHAnsi"/>
          <w:sz w:val="24"/>
          <w:szCs w:val="24"/>
        </w:rPr>
      </w:pPr>
      <w:r>
        <w:rPr>
          <w:rFonts w:asciiTheme="minorHAnsi" w:hAnsiTheme="minorHAnsi"/>
          <w:sz w:val="24"/>
          <w:szCs w:val="24"/>
        </w:rPr>
        <w:lastRenderedPageBreak/>
        <w:t>The redacted table shows ICERs in the range of less than $15,000/QALY to more than $200,000/QALY.</w:t>
      </w:r>
    </w:p>
    <w:p w:rsidR="00D0357E" w:rsidRDefault="00B45A32" w:rsidP="00D0357E">
      <w:pPr>
        <w:pStyle w:val="ListParagraph"/>
        <w:widowControl/>
        <w:numPr>
          <w:ilvl w:val="1"/>
          <w:numId w:val="1"/>
        </w:numPr>
      </w:pPr>
      <w:bookmarkStart w:id="28" w:name="_Toc503188230"/>
      <w:r>
        <w:t xml:space="preserve">The pre-PBAC Response argued that the sensitivity analyses </w:t>
      </w:r>
      <w:r w:rsidR="002954ED">
        <w:t xml:space="preserve">provided </w:t>
      </w:r>
      <w:r>
        <w:t xml:space="preserve">by </w:t>
      </w:r>
      <w:r w:rsidR="002954ED">
        <w:t xml:space="preserve">the </w:t>
      </w:r>
      <w:r>
        <w:t xml:space="preserve">ESC </w:t>
      </w:r>
      <w:r w:rsidR="00F94759">
        <w:t>were</w:t>
      </w:r>
      <w:r>
        <w:t xml:space="preserve"> conservative </w:t>
      </w:r>
      <w:r w:rsidR="009901B7">
        <w:t xml:space="preserve">as </w:t>
      </w:r>
      <w:r w:rsidR="00F94759">
        <w:t>they</w:t>
      </w:r>
      <w:r w:rsidR="009901B7">
        <w:t xml:space="preserve"> </w:t>
      </w:r>
      <w:r w:rsidR="00F94759">
        <w:t>assumed</w:t>
      </w:r>
      <w:r w:rsidR="004E6867">
        <w:t xml:space="preserve"> no treatment effect beyond Year 1 and clinicians </w:t>
      </w:r>
      <w:r w:rsidR="00F94759">
        <w:t>would b</w:t>
      </w:r>
      <w:r w:rsidR="004E6867">
        <w:t xml:space="preserve">e unlikely to continue treatment with ranibizumab in the </w:t>
      </w:r>
      <w:r w:rsidR="005548E5">
        <w:t xml:space="preserve">absence of a treatment effect. The pre-PBAC Response provided additional sensitivity analyses applying the number of injections for the treatment of CNV secondary to PM </w:t>
      </w:r>
      <w:r w:rsidR="0090313B">
        <w:t xml:space="preserve">sourced from a literature search where the ICER ranged from </w:t>
      </w:r>
      <w:r w:rsidR="00042B67">
        <w:rPr>
          <w:noProof/>
          <w:color w:val="000000"/>
          <w:highlight w:val="black"/>
        </w:rPr>
        <w:t>''''''''''''''''''''</w:t>
      </w:r>
      <w:r w:rsidR="0090313B">
        <w:t xml:space="preserve"> to </w:t>
      </w:r>
      <w:r w:rsidR="000472F8">
        <w:t xml:space="preserve">less than $15,000 </w:t>
      </w:r>
      <w:r w:rsidR="0090313B">
        <w:t>per QALY gained.</w:t>
      </w:r>
      <w:r w:rsidR="00CD0956">
        <w:t xml:space="preserve"> The PBAC noted </w:t>
      </w:r>
      <w:r w:rsidR="00F94759">
        <w:t xml:space="preserve">that </w:t>
      </w:r>
      <w:r w:rsidR="00CD0956">
        <w:t>the data used to inform th</w:t>
      </w:r>
      <w:r w:rsidR="00F94759">
        <w:t>ese</w:t>
      </w:r>
      <w:r w:rsidR="00CD0956">
        <w:t xml:space="preserve"> alternative </w:t>
      </w:r>
      <w:r w:rsidR="00F94759">
        <w:t xml:space="preserve">sensitivity </w:t>
      </w:r>
      <w:r w:rsidR="00CD0956">
        <w:t>analys</w:t>
      </w:r>
      <w:r w:rsidR="00F94759">
        <w:t>e</w:t>
      </w:r>
      <w:r w:rsidR="00CD0956">
        <w:t>s had not been evaluated.</w:t>
      </w:r>
    </w:p>
    <w:p w:rsidR="004B4385" w:rsidRPr="00F94759" w:rsidRDefault="004B4385" w:rsidP="00AC1DDD">
      <w:pPr>
        <w:pStyle w:val="Heading2"/>
      </w:pPr>
      <w:r w:rsidRPr="00F94759">
        <w:t>Drug cost/patient/year</w:t>
      </w:r>
      <w:bookmarkEnd w:id="26"/>
      <w:bookmarkEnd w:id="27"/>
      <w:r w:rsidR="00D45FF4" w:rsidRPr="00F94759">
        <w:t>: $</w:t>
      </w:r>
      <w:bookmarkEnd w:id="28"/>
      <w:r w:rsidR="00042B67">
        <w:rPr>
          <w:noProof/>
          <w:color w:val="000000"/>
          <w:highlight w:val="black"/>
        </w:rPr>
        <w:t>'''''''''</w:t>
      </w:r>
    </w:p>
    <w:p w:rsidR="004B4385" w:rsidRPr="000C0DFF" w:rsidRDefault="004B4385" w:rsidP="00E567E7">
      <w:pPr>
        <w:pStyle w:val="ListParagraph"/>
        <w:keepNext/>
        <w:widowControl/>
        <w:numPr>
          <w:ilvl w:val="1"/>
          <w:numId w:val="1"/>
        </w:numPr>
        <w:spacing w:before="160"/>
      </w:pPr>
      <w:r w:rsidRPr="000C0DFF">
        <w:t xml:space="preserve">The cost/patient/year </w:t>
      </w:r>
      <w:r w:rsidR="00DB0ED2" w:rsidRPr="000C0DFF">
        <w:t>wa</w:t>
      </w:r>
      <w:r w:rsidRPr="000C0DFF">
        <w:t>s estimated to be $</w:t>
      </w:r>
      <w:r w:rsidR="00042B67">
        <w:rPr>
          <w:noProof/>
          <w:color w:val="000000"/>
          <w:highlight w:val="black"/>
        </w:rPr>
        <w:t>''''''''''</w:t>
      </w:r>
      <w:r w:rsidRPr="000C0DFF">
        <w:t xml:space="preserve">. This </w:t>
      </w:r>
      <w:r w:rsidR="00DB0ED2" w:rsidRPr="000C0DFF">
        <w:t>wa</w:t>
      </w:r>
      <w:r w:rsidRPr="000C0DFF">
        <w:t>s calculated assuming an average of 3.5 treatments per patient for unilateral treatment, as was observed over the 12 months following randomisation for Group II in the RADIANCE trial, and a cost per treatment of $</w:t>
      </w:r>
      <w:r w:rsidR="00042B67">
        <w:rPr>
          <w:noProof/>
          <w:color w:val="000000"/>
          <w:highlight w:val="black"/>
        </w:rPr>
        <w:t>''''''''''''''</w:t>
      </w:r>
      <w:r w:rsidR="007F523F" w:rsidRPr="000C0DFF">
        <w:t>.</w:t>
      </w:r>
    </w:p>
    <w:p w:rsidR="000E14F8" w:rsidRPr="00F94759" w:rsidRDefault="000E14F8" w:rsidP="00AC1DDD">
      <w:pPr>
        <w:pStyle w:val="Heading2"/>
      </w:pPr>
      <w:bookmarkStart w:id="29" w:name="_Toc503188231"/>
      <w:r w:rsidRPr="00F94759">
        <w:t>Estimated PBS usage &amp; financial implications</w:t>
      </w:r>
      <w:bookmarkEnd w:id="25"/>
      <w:bookmarkEnd w:id="29"/>
    </w:p>
    <w:p w:rsidR="000E14F8" w:rsidRPr="000C0DFF" w:rsidRDefault="000E14F8" w:rsidP="00E567E7">
      <w:pPr>
        <w:pStyle w:val="ListParagraph"/>
        <w:widowControl/>
        <w:numPr>
          <w:ilvl w:val="1"/>
          <w:numId w:val="1"/>
        </w:numPr>
        <w:spacing w:before="160"/>
      </w:pPr>
      <w:r w:rsidRPr="000C0DFF">
        <w:t>This submission was not considered by DUSC. The submission used an epidemiological approach to estimate the use and financial impact of listing ranibizumab fo</w:t>
      </w:r>
      <w:r w:rsidR="0059586A" w:rsidRPr="000C0DFF">
        <w:t>r the treatment of subfoveal CNV</w:t>
      </w:r>
      <w:r w:rsidRPr="000C0DFF">
        <w:t xml:space="preserve"> due to PM.</w:t>
      </w:r>
    </w:p>
    <w:p w:rsidR="000E14F8" w:rsidRPr="000C0DFF" w:rsidRDefault="000E14F8" w:rsidP="00E567E7">
      <w:pPr>
        <w:pStyle w:val="ListParagraph"/>
        <w:widowControl/>
        <w:numPr>
          <w:ilvl w:val="1"/>
          <w:numId w:val="1"/>
        </w:numPr>
      </w:pPr>
      <w:r w:rsidRPr="000C0DFF">
        <w:t>The prevalence of PM in the Australian population aged ≥40 years was assumed to be 1.18%. The submission stated that this was the average of Au</w:t>
      </w:r>
      <w:r w:rsidR="0059586A" w:rsidRPr="000C0DFF">
        <w:t>stralian/European/US prevalence rates</w:t>
      </w:r>
      <w:r w:rsidRPr="000C0DFF">
        <w:t xml:space="preserve"> reported in the published literature. This was a major source of uncertainty in the financial estimates. The </w:t>
      </w:r>
      <w:r w:rsidR="00077985" w:rsidRPr="000C0DFF">
        <w:t xml:space="preserve">reported </w:t>
      </w:r>
      <w:r w:rsidRPr="000C0DFF">
        <w:t>prevalence</w:t>
      </w:r>
      <w:r w:rsidR="00077985" w:rsidRPr="000C0DFF">
        <w:t xml:space="preserve"> rates</w:t>
      </w:r>
      <w:r w:rsidRPr="000C0DFF">
        <w:t xml:space="preserve"> </w:t>
      </w:r>
      <w:r w:rsidR="00D2740E" w:rsidRPr="000C0DFF">
        <w:t xml:space="preserve">used </w:t>
      </w:r>
      <w:r w:rsidR="00077985" w:rsidRPr="000C0DFF">
        <w:t>in the submission’s estimate</w:t>
      </w:r>
      <w:r w:rsidR="00D2740E" w:rsidRPr="000C0DFF">
        <w:t xml:space="preserve"> </w:t>
      </w:r>
      <w:r w:rsidRPr="000C0DFF">
        <w:t xml:space="preserve">ranged from 0.05% to 4.0% </w:t>
      </w:r>
      <w:r w:rsidR="00D2740E" w:rsidRPr="000C0DFF">
        <w:t>and were based on populations varying in both age range and ethnicity</w:t>
      </w:r>
      <w:r w:rsidRPr="000C0DFF">
        <w:t>.</w:t>
      </w:r>
    </w:p>
    <w:p w:rsidR="000E14F8" w:rsidRPr="000C0DFF" w:rsidRDefault="000E14F8" w:rsidP="00E567E7">
      <w:pPr>
        <w:pStyle w:val="ListParagraph"/>
        <w:widowControl/>
        <w:numPr>
          <w:ilvl w:val="1"/>
          <w:numId w:val="1"/>
        </w:numPr>
      </w:pPr>
      <w:r w:rsidRPr="000C0DFF">
        <w:t>The incidence of CNV in patients with PM was sourced from Ohno-Matsui et al (2003). Ohno-Matsui et al (2003) was a retrospective study using clinical records from 218 consecutive patients</w:t>
      </w:r>
      <w:r w:rsidR="00BA5DBD" w:rsidRPr="000C0DFF">
        <w:t xml:space="preserve"> (325 eyes)</w:t>
      </w:r>
      <w:r w:rsidRPr="000C0DFF">
        <w:t xml:space="preserve">. </w:t>
      </w:r>
      <w:r w:rsidR="00951C38" w:rsidRPr="000C0DFF">
        <w:t xml:space="preserve">As eyes/patients with a follow up of less than 3 years were excluded from the study, </w:t>
      </w:r>
      <w:r w:rsidR="00025455" w:rsidRPr="000C0DFF">
        <w:t xml:space="preserve">there was considerable risk of selection bias. </w:t>
      </w:r>
      <w:r w:rsidR="00963B11" w:rsidRPr="000C0DFF">
        <w:t xml:space="preserve">The number excluded on this basis was not reported. </w:t>
      </w:r>
      <w:r w:rsidR="005C1C0D" w:rsidRPr="000C0DFF">
        <w:t xml:space="preserve">The potential effect of this bias on the estimated probability of </w:t>
      </w:r>
      <w:r w:rsidR="005C2E7D" w:rsidRPr="000C0DFF">
        <w:t xml:space="preserve">patients with PM </w:t>
      </w:r>
      <w:r w:rsidR="005C1C0D" w:rsidRPr="000C0DFF">
        <w:t>developing CNV was uncertain</w:t>
      </w:r>
      <w:r w:rsidR="00951C38" w:rsidRPr="000C0DFF">
        <w:t>.</w:t>
      </w:r>
    </w:p>
    <w:p w:rsidR="000E14F8" w:rsidRPr="000C0DFF" w:rsidRDefault="000E14F8" w:rsidP="00E567E7">
      <w:pPr>
        <w:pStyle w:val="ListParagraph"/>
        <w:widowControl/>
        <w:numPr>
          <w:ilvl w:val="1"/>
          <w:numId w:val="1"/>
        </w:numPr>
      </w:pPr>
      <w:r w:rsidRPr="000C0DFF">
        <w:t xml:space="preserve">The average number of ranibizumab injections per patient was consistent with that used in the cost-effectiveness analysis, </w:t>
      </w:r>
      <w:r w:rsidR="003D2176" w:rsidRPr="000C0DFF">
        <w:t>but also</w:t>
      </w:r>
      <w:r w:rsidRPr="000C0DFF">
        <w:t xml:space="preserve"> incorporated the assumption that </w:t>
      </w:r>
      <w:r w:rsidR="00042B67">
        <w:rPr>
          <w:noProof/>
          <w:color w:val="000000"/>
          <w:highlight w:val="black"/>
        </w:rPr>
        <w:t>'''''</w:t>
      </w:r>
      <w:r w:rsidRPr="000C0DFF">
        <w:t>% of incident patients require bilateral treatment</w:t>
      </w:r>
      <w:r w:rsidR="003D2176" w:rsidRPr="000C0DFF">
        <w:t xml:space="preserve"> (increasing the number of injections from 4.5 in the economic analysis to 5.5 in the financial estimates)</w:t>
      </w:r>
      <w:r w:rsidRPr="000C0DFF">
        <w:t>. Patients were assumed to receive all treatment in their incident year; patients receiving treatment beyond 12 months were not carried forward to the following year as prevalent cases.</w:t>
      </w:r>
    </w:p>
    <w:p w:rsidR="00F646A5" w:rsidRPr="00081A92" w:rsidRDefault="000E14F8" w:rsidP="00E567E7">
      <w:pPr>
        <w:pStyle w:val="ListParagraph"/>
        <w:widowControl/>
        <w:numPr>
          <w:ilvl w:val="1"/>
          <w:numId w:val="1"/>
        </w:numPr>
      </w:pPr>
      <w:r w:rsidRPr="000C0DFF">
        <w:lastRenderedPageBreak/>
        <w:t xml:space="preserve">The submission assumed that PBS-subsidised verteporfin, ranibizumab and aflibercept are currently being accessed for </w:t>
      </w:r>
      <w:r w:rsidR="00A31009" w:rsidRPr="000C0DFF">
        <w:t xml:space="preserve">the </w:t>
      </w:r>
      <w:r w:rsidRPr="000C0DFF">
        <w:t xml:space="preserve">treatment of CNV due to PM </w:t>
      </w:r>
      <w:r w:rsidR="00E9588B" w:rsidRPr="000C0DFF">
        <w:t>outside the PBS restriction for CNV due to</w:t>
      </w:r>
      <w:r w:rsidRPr="000C0DFF">
        <w:t xml:space="preserve"> AMD. The </w:t>
      </w:r>
      <w:r w:rsidR="0059586A" w:rsidRPr="000C0DFF">
        <w:t xml:space="preserve">submission offset the estimated costs </w:t>
      </w:r>
      <w:r w:rsidRPr="000C0DFF">
        <w:t xml:space="preserve">associated with this use of ranibizumab, aflibercept and verteporfin outside of their current restrictions, </w:t>
      </w:r>
      <w:r w:rsidR="0088456E" w:rsidRPr="000C0DFF">
        <w:t xml:space="preserve">on the basis that this would no longer occur once a legitimate PBS option was available. </w:t>
      </w:r>
      <w:r w:rsidR="00CE176A" w:rsidRPr="000C0DFF">
        <w:t xml:space="preserve">No substantive evidence to support the </w:t>
      </w:r>
      <w:r w:rsidR="00174247" w:rsidRPr="000C0DFF">
        <w:t xml:space="preserve">frequency </w:t>
      </w:r>
      <w:r w:rsidR="00CE176A" w:rsidRPr="000C0DFF">
        <w:t>of use outside the current restrictions was provided in the submission.</w:t>
      </w:r>
      <w:r w:rsidR="00380D4B" w:rsidRPr="000C0DFF">
        <w:t xml:space="preserve"> There was</w:t>
      </w:r>
      <w:r w:rsidR="00380D4B" w:rsidRPr="00AA1344">
        <w:t xml:space="preserve"> </w:t>
      </w:r>
      <w:r w:rsidR="00380D4B" w:rsidRPr="000C0DFF">
        <w:t>insufficient information provided in the submission to determine whether the clinicians informing the assumption are representative of current prescribers</w:t>
      </w:r>
      <w:r w:rsidR="00174247" w:rsidRPr="000C0DFF">
        <w:t xml:space="preserve"> or have knowledge of prescribing patterns</w:t>
      </w:r>
      <w:r w:rsidR="00CE176A" w:rsidRPr="000C0DFF">
        <w:t xml:space="preserve">. Importantly, it would </w:t>
      </w:r>
      <w:r w:rsidR="00174247" w:rsidRPr="000C0DFF">
        <w:t xml:space="preserve">be difficult </w:t>
      </w:r>
      <w:r w:rsidR="00CE176A" w:rsidRPr="000C0DFF">
        <w:t xml:space="preserve">for a sample of clinicians to be able to accurately report on the extent of prescribing outside the PBS restrictions in clinical practice. This could only be </w:t>
      </w:r>
      <w:r w:rsidR="00174247" w:rsidRPr="000C0DFF">
        <w:t xml:space="preserve">accurately </w:t>
      </w:r>
      <w:r w:rsidR="00CE176A" w:rsidRPr="000C0DFF">
        <w:t>achieved through a formal</w:t>
      </w:r>
      <w:r w:rsidR="00DB0ED2" w:rsidRPr="000C0DFF">
        <w:t xml:space="preserve"> audit of all RPBS/PBS claims.</w:t>
      </w:r>
      <w:r w:rsidR="00F646A5" w:rsidRPr="000C0DFF">
        <w:t xml:space="preserve"> The PSCR did not agree that it was inappropriate to include cost offsets for existing treatments and argued that it is very unlikely that the condition would be left untreated on the basis that it is highly symptomatic and affects a relatively young population. The ESC considered that in the absence of any data that reports on the extent of prescribing with relative accuracy, it would not be appropriate to include cost offsets for prescribing of PBS listed medicine</w:t>
      </w:r>
      <w:r w:rsidR="000431FB" w:rsidRPr="000C0DFF">
        <w:t>s outside the</w:t>
      </w:r>
      <w:r w:rsidR="00F354A8" w:rsidRPr="000C0DFF">
        <w:t>ir</w:t>
      </w:r>
      <w:r w:rsidR="000431FB" w:rsidRPr="000C0DFF">
        <w:t xml:space="preserve"> PBS restrictions.</w:t>
      </w:r>
    </w:p>
    <w:p w:rsidR="00DC07E1" w:rsidRDefault="000E14F8" w:rsidP="0007599B">
      <w:pPr>
        <w:pStyle w:val="ListParagraph"/>
        <w:widowControl/>
        <w:numPr>
          <w:ilvl w:val="1"/>
          <w:numId w:val="1"/>
        </w:numPr>
        <w:jc w:val="left"/>
        <w:rPr>
          <w:rStyle w:val="CommentReference"/>
        </w:rPr>
      </w:pPr>
      <w:r w:rsidRPr="0007599B">
        <w:rPr>
          <w:color w:val="000000" w:themeColor="text1"/>
        </w:rPr>
        <w:t>The estimated use and financial implications to the PBS/RPBS and the MBS of listing ranibizumab for the treatment of CNV secondary to</w:t>
      </w:r>
      <w:r w:rsidR="00662730" w:rsidRPr="0007599B">
        <w:rPr>
          <w:color w:val="000000" w:themeColor="text1"/>
        </w:rPr>
        <w:t xml:space="preserve"> PM are summarised in Table </w:t>
      </w:r>
      <w:r w:rsidR="009802CE" w:rsidRPr="0007599B">
        <w:rPr>
          <w:color w:val="000000" w:themeColor="text1"/>
        </w:rPr>
        <w:t>1</w:t>
      </w:r>
      <w:r w:rsidR="00F94759" w:rsidRPr="0007599B">
        <w:rPr>
          <w:color w:val="000000" w:themeColor="text1"/>
        </w:rPr>
        <w:t>5</w:t>
      </w:r>
      <w:r w:rsidR="00662730" w:rsidRPr="0007599B">
        <w:rPr>
          <w:color w:val="000000" w:themeColor="text1"/>
        </w:rPr>
        <w:t>.</w:t>
      </w:r>
    </w:p>
    <w:p w:rsidR="000E14F8" w:rsidRPr="00C25D9C" w:rsidRDefault="000E14F8" w:rsidP="000E14F8">
      <w:r w:rsidRPr="001222FC">
        <w:rPr>
          <w:rStyle w:val="CommentReference"/>
        </w:rPr>
        <w:t xml:space="preserve">Table </w:t>
      </w:r>
      <w:r w:rsidR="009802CE">
        <w:rPr>
          <w:rStyle w:val="CommentReference"/>
        </w:rPr>
        <w:t>1</w:t>
      </w:r>
      <w:r w:rsidR="00D96CAC">
        <w:rPr>
          <w:rStyle w:val="CommentReference"/>
        </w:rPr>
        <w:t>5</w:t>
      </w:r>
      <w:r w:rsidR="00853B8E">
        <w:rPr>
          <w:rStyle w:val="CommentReference"/>
        </w:rPr>
        <w:t>:</w:t>
      </w:r>
      <w:r w:rsidRPr="001222FC">
        <w:rPr>
          <w:rStyle w:val="CommentReference"/>
        </w:rPr>
        <w:t xml:space="preserve"> Estimated use and financial implications</w:t>
      </w:r>
      <w:r>
        <w:rPr>
          <w:rStyle w:val="CommentReference"/>
        </w:rPr>
        <w:t xml:space="preserve"> (effective prices)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6"/>
        <w:gridCol w:w="1166"/>
        <w:gridCol w:w="1165"/>
        <w:gridCol w:w="1165"/>
        <w:gridCol w:w="1165"/>
        <w:gridCol w:w="1165"/>
        <w:gridCol w:w="1163"/>
      </w:tblGrid>
      <w:tr w:rsidR="000E14F8" w:rsidRPr="00D1078F" w:rsidTr="00E33AAD">
        <w:trPr>
          <w:tblHeader/>
        </w:trPr>
        <w:tc>
          <w:tcPr>
            <w:tcW w:w="1119" w:type="pct"/>
            <w:shd w:val="clear" w:color="auto" w:fill="auto"/>
            <w:vAlign w:val="center"/>
          </w:tcPr>
          <w:p w:rsidR="000E14F8" w:rsidRPr="003639A6" w:rsidRDefault="000E14F8" w:rsidP="00FF3C3E">
            <w:pPr>
              <w:pStyle w:val="Tabletext"/>
            </w:pPr>
          </w:p>
        </w:tc>
        <w:tc>
          <w:tcPr>
            <w:tcW w:w="647" w:type="pct"/>
            <w:shd w:val="clear" w:color="auto" w:fill="auto"/>
            <w:vAlign w:val="center"/>
          </w:tcPr>
          <w:p w:rsidR="000E14F8" w:rsidRPr="00D1078F" w:rsidRDefault="000E14F8" w:rsidP="00FF3C3E">
            <w:pPr>
              <w:pStyle w:val="Tabletext"/>
              <w:jc w:val="center"/>
              <w:rPr>
                <w:b/>
              </w:rPr>
            </w:pPr>
            <w:r w:rsidRPr="00D1078F">
              <w:rPr>
                <w:b/>
              </w:rPr>
              <w:t>Year 1</w:t>
            </w:r>
          </w:p>
        </w:tc>
        <w:tc>
          <w:tcPr>
            <w:tcW w:w="647" w:type="pct"/>
            <w:shd w:val="clear" w:color="auto" w:fill="auto"/>
            <w:vAlign w:val="center"/>
          </w:tcPr>
          <w:p w:rsidR="000E14F8" w:rsidRPr="00D1078F" w:rsidRDefault="000E14F8" w:rsidP="00FF3C3E">
            <w:pPr>
              <w:pStyle w:val="Tabletext"/>
              <w:jc w:val="center"/>
              <w:rPr>
                <w:b/>
              </w:rPr>
            </w:pPr>
            <w:r w:rsidRPr="00D1078F">
              <w:rPr>
                <w:b/>
              </w:rPr>
              <w:t>Year 2</w:t>
            </w:r>
          </w:p>
        </w:tc>
        <w:tc>
          <w:tcPr>
            <w:tcW w:w="647" w:type="pct"/>
            <w:shd w:val="clear" w:color="auto" w:fill="auto"/>
            <w:vAlign w:val="center"/>
          </w:tcPr>
          <w:p w:rsidR="000E14F8" w:rsidRPr="00D1078F" w:rsidRDefault="000E14F8" w:rsidP="00FF3C3E">
            <w:pPr>
              <w:pStyle w:val="Tabletext"/>
              <w:jc w:val="center"/>
              <w:rPr>
                <w:b/>
              </w:rPr>
            </w:pPr>
            <w:r w:rsidRPr="00D1078F">
              <w:rPr>
                <w:b/>
              </w:rPr>
              <w:t>Year 3</w:t>
            </w:r>
          </w:p>
        </w:tc>
        <w:tc>
          <w:tcPr>
            <w:tcW w:w="647" w:type="pct"/>
            <w:shd w:val="clear" w:color="auto" w:fill="auto"/>
            <w:vAlign w:val="center"/>
          </w:tcPr>
          <w:p w:rsidR="000E14F8" w:rsidRPr="00D1078F" w:rsidRDefault="000E14F8" w:rsidP="00FF3C3E">
            <w:pPr>
              <w:pStyle w:val="Tabletext"/>
              <w:jc w:val="center"/>
              <w:rPr>
                <w:b/>
              </w:rPr>
            </w:pPr>
            <w:r w:rsidRPr="00D1078F">
              <w:rPr>
                <w:b/>
              </w:rPr>
              <w:t>Year 4</w:t>
            </w:r>
          </w:p>
        </w:tc>
        <w:tc>
          <w:tcPr>
            <w:tcW w:w="647" w:type="pct"/>
            <w:shd w:val="clear" w:color="auto" w:fill="auto"/>
            <w:vAlign w:val="center"/>
          </w:tcPr>
          <w:p w:rsidR="000E14F8" w:rsidRPr="00D1078F" w:rsidRDefault="000E14F8" w:rsidP="00FF3C3E">
            <w:pPr>
              <w:pStyle w:val="Tabletext"/>
              <w:jc w:val="center"/>
              <w:rPr>
                <w:b/>
              </w:rPr>
            </w:pPr>
            <w:r w:rsidRPr="00D1078F">
              <w:rPr>
                <w:b/>
              </w:rPr>
              <w:t>Year 5</w:t>
            </w:r>
          </w:p>
        </w:tc>
        <w:tc>
          <w:tcPr>
            <w:tcW w:w="646" w:type="pct"/>
          </w:tcPr>
          <w:p w:rsidR="000E14F8" w:rsidRPr="00D1078F" w:rsidRDefault="000E14F8" w:rsidP="00FF3C3E">
            <w:pPr>
              <w:pStyle w:val="Tabletext"/>
              <w:jc w:val="center"/>
              <w:rPr>
                <w:b/>
              </w:rPr>
            </w:pPr>
            <w:r w:rsidRPr="00D1078F">
              <w:rPr>
                <w:b/>
              </w:rPr>
              <w:t>Year 6</w:t>
            </w:r>
          </w:p>
        </w:tc>
      </w:tr>
      <w:tr w:rsidR="000E14F8" w:rsidRPr="00D1078F" w:rsidTr="00E33AAD">
        <w:tc>
          <w:tcPr>
            <w:tcW w:w="5000" w:type="pct"/>
            <w:gridSpan w:val="7"/>
            <w:shd w:val="clear" w:color="auto" w:fill="auto"/>
            <w:vAlign w:val="center"/>
          </w:tcPr>
          <w:p w:rsidR="000E14F8" w:rsidRPr="00D1078F" w:rsidRDefault="000E14F8" w:rsidP="00FF3C3E">
            <w:pPr>
              <w:pStyle w:val="Tabletext"/>
              <w:rPr>
                <w:b/>
                <w:bCs/>
                <w:color w:val="000000"/>
              </w:rPr>
            </w:pPr>
            <w:r w:rsidRPr="00D1078F">
              <w:rPr>
                <w:b/>
                <w:bCs/>
                <w:color w:val="000000"/>
              </w:rPr>
              <w:t>Estimated extent of use</w:t>
            </w:r>
            <w:r>
              <w:rPr>
                <w:b/>
                <w:bCs/>
                <w:color w:val="000000"/>
              </w:rPr>
              <w:t xml:space="preserve"> of ranibizumab for CNV secondary to PM</w:t>
            </w:r>
          </w:p>
        </w:tc>
      </w:tr>
      <w:tr w:rsidR="000E14F8" w:rsidRPr="003639A6" w:rsidTr="00E33AAD">
        <w:tc>
          <w:tcPr>
            <w:tcW w:w="1119" w:type="pct"/>
            <w:shd w:val="clear" w:color="auto" w:fill="auto"/>
            <w:vAlign w:val="center"/>
          </w:tcPr>
          <w:p w:rsidR="000E14F8" w:rsidRPr="003639A6" w:rsidRDefault="000E14F8" w:rsidP="00FF3C3E">
            <w:pPr>
              <w:pStyle w:val="Tabletext"/>
              <w:rPr>
                <w:rFonts w:ascii="Times" w:hAnsi="Times"/>
              </w:rPr>
            </w:pPr>
            <w:r w:rsidRPr="003639A6">
              <w:t>Number of patients treated</w:t>
            </w:r>
          </w:p>
        </w:tc>
        <w:tc>
          <w:tcPr>
            <w:tcW w:w="647" w:type="pct"/>
            <w:shd w:val="clear" w:color="auto" w:fill="auto"/>
            <w:vAlign w:val="center"/>
          </w:tcPr>
          <w:p w:rsidR="000E14F8" w:rsidRPr="00042B67" w:rsidRDefault="00042B67" w:rsidP="00FF3C3E">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0E14F8" w:rsidRPr="00042B67" w:rsidRDefault="00042B67" w:rsidP="00FF3C3E">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0E14F8" w:rsidRPr="00042B67" w:rsidRDefault="00042B67" w:rsidP="00FF3C3E">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0E14F8" w:rsidRPr="00042B67" w:rsidRDefault="00042B67" w:rsidP="00FF3C3E">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0E14F8" w:rsidRPr="00042B67" w:rsidRDefault="00042B67" w:rsidP="00FF3C3E">
            <w:pPr>
              <w:pStyle w:val="Tabletext"/>
              <w:jc w:val="center"/>
              <w:rPr>
                <w:bCs/>
                <w:color w:val="000000"/>
                <w:highlight w:val="black"/>
              </w:rPr>
            </w:pPr>
            <w:r>
              <w:rPr>
                <w:noProof/>
                <w:color w:val="000000"/>
                <w:highlight w:val="black"/>
              </w:rPr>
              <w:t>''''''''''''</w:t>
            </w:r>
          </w:p>
        </w:tc>
        <w:tc>
          <w:tcPr>
            <w:tcW w:w="646" w:type="pct"/>
            <w:vAlign w:val="center"/>
          </w:tcPr>
          <w:p w:rsidR="000E14F8" w:rsidRPr="00042B67" w:rsidRDefault="00042B67" w:rsidP="00FF3C3E">
            <w:pPr>
              <w:pStyle w:val="Tabletext"/>
              <w:jc w:val="center"/>
              <w:rPr>
                <w:bCs/>
                <w:color w:val="000000"/>
                <w:highlight w:val="black"/>
              </w:rPr>
            </w:pPr>
            <w:r>
              <w:rPr>
                <w:noProof/>
                <w:color w:val="000000"/>
                <w:highlight w:val="black"/>
              </w:rPr>
              <w:t>'''''''''''''</w:t>
            </w:r>
          </w:p>
        </w:tc>
      </w:tr>
      <w:tr w:rsidR="000E14F8" w:rsidRPr="003639A6" w:rsidTr="00E33AAD">
        <w:tc>
          <w:tcPr>
            <w:tcW w:w="1119" w:type="pct"/>
            <w:shd w:val="clear" w:color="auto" w:fill="auto"/>
            <w:vAlign w:val="center"/>
          </w:tcPr>
          <w:p w:rsidR="000E14F8" w:rsidRPr="003639A6" w:rsidRDefault="000E14F8" w:rsidP="00FF3C3E">
            <w:pPr>
              <w:pStyle w:val="Tabletext"/>
              <w:rPr>
                <w:rFonts w:ascii="Times" w:hAnsi="Times"/>
              </w:rPr>
            </w:pPr>
            <w:r w:rsidRPr="003639A6">
              <w:t xml:space="preserve">Number of </w:t>
            </w:r>
            <w:r>
              <w:t>scripts</w:t>
            </w:r>
            <w:r w:rsidRPr="003639A6">
              <w:t xml:space="preserve"> dispensed</w:t>
            </w:r>
            <w:r w:rsidRPr="003639A6">
              <w:rPr>
                <w:vertAlign w:val="superscript"/>
              </w:rPr>
              <w:t>a</w:t>
            </w:r>
          </w:p>
        </w:tc>
        <w:tc>
          <w:tcPr>
            <w:tcW w:w="647" w:type="pct"/>
            <w:shd w:val="clear" w:color="auto" w:fill="auto"/>
            <w:vAlign w:val="center"/>
          </w:tcPr>
          <w:p w:rsidR="000E14F8" w:rsidRPr="00042B67" w:rsidRDefault="00042B67" w:rsidP="00FF3C3E">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0E14F8" w:rsidRPr="00042B67" w:rsidRDefault="00042B67" w:rsidP="00FF3C3E">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0E14F8" w:rsidRPr="00042B67" w:rsidRDefault="00042B67" w:rsidP="00FF3C3E">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0E14F8" w:rsidRPr="00042B67" w:rsidRDefault="00042B67" w:rsidP="00FF3C3E">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0E14F8" w:rsidRPr="00042B67" w:rsidRDefault="00042B67" w:rsidP="00FF3C3E">
            <w:pPr>
              <w:pStyle w:val="Tabletext"/>
              <w:jc w:val="center"/>
              <w:rPr>
                <w:bCs/>
                <w:color w:val="000000"/>
                <w:highlight w:val="black"/>
              </w:rPr>
            </w:pPr>
            <w:r>
              <w:rPr>
                <w:noProof/>
                <w:color w:val="000000"/>
                <w:highlight w:val="black"/>
              </w:rPr>
              <w:t>''''''''''''''</w:t>
            </w:r>
          </w:p>
        </w:tc>
        <w:tc>
          <w:tcPr>
            <w:tcW w:w="646" w:type="pct"/>
            <w:vAlign w:val="center"/>
          </w:tcPr>
          <w:p w:rsidR="000E14F8" w:rsidRPr="00042B67" w:rsidRDefault="00042B67" w:rsidP="00FF3C3E">
            <w:pPr>
              <w:pStyle w:val="Tabletext"/>
              <w:jc w:val="center"/>
              <w:rPr>
                <w:bCs/>
                <w:color w:val="000000"/>
                <w:highlight w:val="black"/>
              </w:rPr>
            </w:pPr>
            <w:r>
              <w:rPr>
                <w:noProof/>
                <w:color w:val="000000"/>
                <w:highlight w:val="black"/>
              </w:rPr>
              <w:t>'''''''''''''</w:t>
            </w:r>
          </w:p>
        </w:tc>
      </w:tr>
      <w:tr w:rsidR="000E14F8" w:rsidRPr="00D1078F" w:rsidTr="00E33AAD">
        <w:tc>
          <w:tcPr>
            <w:tcW w:w="5000" w:type="pct"/>
            <w:gridSpan w:val="7"/>
            <w:shd w:val="clear" w:color="auto" w:fill="auto"/>
            <w:vAlign w:val="center"/>
          </w:tcPr>
          <w:p w:rsidR="000E14F8" w:rsidRPr="00D1078F" w:rsidRDefault="000E14F8" w:rsidP="00FF3C3E">
            <w:pPr>
              <w:pStyle w:val="Tabletext"/>
              <w:rPr>
                <w:b/>
                <w:bCs/>
                <w:color w:val="000000"/>
              </w:rPr>
            </w:pPr>
            <w:r w:rsidRPr="00D1078F">
              <w:rPr>
                <w:b/>
                <w:bCs/>
                <w:color w:val="000000"/>
              </w:rPr>
              <w:t xml:space="preserve">Estimated </w:t>
            </w:r>
            <w:r>
              <w:rPr>
                <w:b/>
                <w:bCs/>
                <w:color w:val="000000"/>
              </w:rPr>
              <w:t>financial implications of ranibizumab for CNV secondary to PM</w:t>
            </w:r>
          </w:p>
        </w:tc>
      </w:tr>
      <w:tr w:rsidR="000E14F8" w:rsidRPr="003639A6" w:rsidTr="00E33AAD">
        <w:tc>
          <w:tcPr>
            <w:tcW w:w="1119" w:type="pct"/>
            <w:shd w:val="clear" w:color="auto" w:fill="auto"/>
            <w:vAlign w:val="center"/>
          </w:tcPr>
          <w:p w:rsidR="000E14F8" w:rsidRPr="003639A6" w:rsidRDefault="000E14F8" w:rsidP="00FF3C3E">
            <w:pPr>
              <w:pStyle w:val="Tabletext"/>
              <w:rPr>
                <w:rFonts w:ascii="Times" w:hAnsi="Times"/>
              </w:rPr>
            </w:pPr>
            <w:r>
              <w:rPr>
                <w:sz w:val="19"/>
                <w:szCs w:val="19"/>
              </w:rPr>
              <w:t>C</w:t>
            </w:r>
            <w:r w:rsidRPr="003639A6">
              <w:rPr>
                <w:sz w:val="19"/>
                <w:szCs w:val="19"/>
              </w:rPr>
              <w:t>ost to PBS/RPBS</w:t>
            </w:r>
          </w:p>
        </w:tc>
        <w:tc>
          <w:tcPr>
            <w:tcW w:w="647" w:type="pct"/>
            <w:shd w:val="clear" w:color="auto" w:fill="auto"/>
            <w:vAlign w:val="center"/>
          </w:tcPr>
          <w:p w:rsidR="000E14F8" w:rsidRPr="003639A6" w:rsidRDefault="000E14F8" w:rsidP="00FF3C3E">
            <w:pPr>
              <w:pStyle w:val="Tabletext"/>
              <w:ind w:right="149"/>
              <w:jc w:val="right"/>
              <w:rPr>
                <w:bCs/>
                <w:color w:val="000000"/>
              </w:rPr>
            </w:pPr>
            <w:r w:rsidRPr="00E204FF">
              <w:t>$</w:t>
            </w:r>
            <w:r w:rsidR="00042B67">
              <w:rPr>
                <w:noProof/>
                <w:color w:val="000000"/>
                <w:highlight w:val="black"/>
              </w:rPr>
              <w:t>''''''''''''''''''''''</w:t>
            </w:r>
          </w:p>
        </w:tc>
        <w:tc>
          <w:tcPr>
            <w:tcW w:w="647" w:type="pct"/>
            <w:shd w:val="clear" w:color="auto" w:fill="auto"/>
            <w:vAlign w:val="center"/>
          </w:tcPr>
          <w:p w:rsidR="000E14F8" w:rsidRPr="003639A6" w:rsidRDefault="000E14F8" w:rsidP="00FF3C3E">
            <w:pPr>
              <w:pStyle w:val="Tabletext"/>
              <w:ind w:right="149"/>
              <w:jc w:val="right"/>
              <w:rPr>
                <w:bCs/>
                <w:color w:val="000000"/>
              </w:rPr>
            </w:pPr>
            <w:r w:rsidRPr="00E204FF">
              <w:t>$</w:t>
            </w:r>
            <w:r w:rsidR="00042B67">
              <w:rPr>
                <w:noProof/>
                <w:color w:val="000000"/>
                <w:highlight w:val="black"/>
              </w:rPr>
              <w:t>''''''''''''''''''''''</w:t>
            </w:r>
          </w:p>
        </w:tc>
        <w:tc>
          <w:tcPr>
            <w:tcW w:w="647" w:type="pct"/>
            <w:shd w:val="clear" w:color="auto" w:fill="auto"/>
            <w:vAlign w:val="center"/>
          </w:tcPr>
          <w:p w:rsidR="000E14F8" w:rsidRPr="003639A6" w:rsidRDefault="000E14F8" w:rsidP="00FF3C3E">
            <w:pPr>
              <w:pStyle w:val="Tabletext"/>
              <w:ind w:right="149"/>
              <w:jc w:val="right"/>
              <w:rPr>
                <w:bCs/>
                <w:color w:val="000000"/>
              </w:rPr>
            </w:pPr>
            <w:r w:rsidRPr="00E204FF">
              <w:t>$</w:t>
            </w:r>
            <w:r w:rsidR="00042B67">
              <w:rPr>
                <w:noProof/>
                <w:color w:val="000000"/>
                <w:highlight w:val="black"/>
              </w:rPr>
              <w:t>''''''''''''''''''''''''</w:t>
            </w:r>
          </w:p>
        </w:tc>
        <w:tc>
          <w:tcPr>
            <w:tcW w:w="647" w:type="pct"/>
            <w:shd w:val="clear" w:color="auto" w:fill="auto"/>
            <w:vAlign w:val="center"/>
          </w:tcPr>
          <w:p w:rsidR="000E14F8" w:rsidRPr="003639A6" w:rsidRDefault="000E14F8" w:rsidP="00FF3C3E">
            <w:pPr>
              <w:pStyle w:val="Tabletext"/>
              <w:ind w:right="149"/>
              <w:jc w:val="right"/>
              <w:rPr>
                <w:bCs/>
                <w:color w:val="000000"/>
              </w:rPr>
            </w:pPr>
            <w:r w:rsidRPr="00E204FF">
              <w:t>$</w:t>
            </w:r>
            <w:r w:rsidR="00042B67">
              <w:rPr>
                <w:noProof/>
                <w:color w:val="000000"/>
                <w:highlight w:val="black"/>
              </w:rPr>
              <w:t>'''''''''''''''''''''''</w:t>
            </w:r>
          </w:p>
        </w:tc>
        <w:tc>
          <w:tcPr>
            <w:tcW w:w="647" w:type="pct"/>
            <w:shd w:val="clear" w:color="auto" w:fill="auto"/>
            <w:vAlign w:val="center"/>
          </w:tcPr>
          <w:p w:rsidR="000E14F8" w:rsidRPr="003639A6" w:rsidRDefault="000E14F8" w:rsidP="00FF3C3E">
            <w:pPr>
              <w:pStyle w:val="Tabletext"/>
              <w:ind w:right="149"/>
              <w:jc w:val="right"/>
              <w:rPr>
                <w:bCs/>
                <w:color w:val="000000"/>
              </w:rPr>
            </w:pPr>
            <w:r w:rsidRPr="00E204FF">
              <w:t>$</w:t>
            </w:r>
            <w:r w:rsidR="00042B67">
              <w:rPr>
                <w:noProof/>
                <w:color w:val="000000"/>
                <w:highlight w:val="black"/>
              </w:rPr>
              <w:t>'''''''''''''''''''''''</w:t>
            </w:r>
          </w:p>
        </w:tc>
        <w:tc>
          <w:tcPr>
            <w:tcW w:w="646" w:type="pct"/>
            <w:vAlign w:val="center"/>
          </w:tcPr>
          <w:p w:rsidR="000E14F8" w:rsidRPr="003639A6" w:rsidRDefault="000E14F8" w:rsidP="00FF3C3E">
            <w:pPr>
              <w:pStyle w:val="Tabletext"/>
              <w:ind w:right="149"/>
              <w:jc w:val="right"/>
              <w:rPr>
                <w:bCs/>
                <w:color w:val="000000"/>
              </w:rPr>
            </w:pPr>
            <w:r w:rsidRPr="00E204FF">
              <w:t>$</w:t>
            </w:r>
            <w:r w:rsidR="00042B67">
              <w:rPr>
                <w:noProof/>
                <w:color w:val="000000"/>
                <w:highlight w:val="black"/>
              </w:rPr>
              <w:t>''''''''''''''''''''''''''</w:t>
            </w:r>
          </w:p>
        </w:tc>
      </w:tr>
      <w:tr w:rsidR="000E14F8" w:rsidRPr="003639A6" w:rsidTr="00E33AAD">
        <w:tc>
          <w:tcPr>
            <w:tcW w:w="1119" w:type="pct"/>
            <w:shd w:val="clear" w:color="auto" w:fill="auto"/>
            <w:vAlign w:val="center"/>
          </w:tcPr>
          <w:p w:rsidR="000E14F8" w:rsidRDefault="000E14F8" w:rsidP="00FF3C3E">
            <w:pPr>
              <w:pStyle w:val="Tabletext"/>
              <w:rPr>
                <w:sz w:val="19"/>
                <w:szCs w:val="19"/>
              </w:rPr>
            </w:pPr>
            <w:r>
              <w:rPr>
                <w:sz w:val="19"/>
                <w:szCs w:val="19"/>
              </w:rPr>
              <w:t>Copayments</w:t>
            </w:r>
          </w:p>
        </w:tc>
        <w:tc>
          <w:tcPr>
            <w:tcW w:w="647" w:type="pct"/>
            <w:shd w:val="clear" w:color="auto" w:fill="auto"/>
            <w:vAlign w:val="center"/>
          </w:tcPr>
          <w:p w:rsidR="000E14F8" w:rsidRPr="003639A6" w:rsidRDefault="000E14F8" w:rsidP="00FF3C3E">
            <w:pPr>
              <w:pStyle w:val="Tabletext"/>
              <w:ind w:right="149"/>
              <w:jc w:val="right"/>
              <w:rPr>
                <w:bCs/>
                <w:color w:val="000000"/>
              </w:rPr>
            </w:pPr>
            <w:r w:rsidRPr="00E204FF">
              <w:t>-$</w:t>
            </w:r>
            <w:r w:rsidR="00042B67">
              <w:rPr>
                <w:noProof/>
                <w:color w:val="000000"/>
                <w:highlight w:val="black"/>
              </w:rPr>
              <w:t>'''''''''''''''''''''</w:t>
            </w:r>
          </w:p>
        </w:tc>
        <w:tc>
          <w:tcPr>
            <w:tcW w:w="647" w:type="pct"/>
            <w:shd w:val="clear" w:color="auto" w:fill="auto"/>
            <w:vAlign w:val="center"/>
          </w:tcPr>
          <w:p w:rsidR="000E14F8" w:rsidRPr="003639A6" w:rsidRDefault="000E14F8" w:rsidP="00FF3C3E">
            <w:pPr>
              <w:pStyle w:val="Tabletext"/>
              <w:ind w:right="149"/>
              <w:jc w:val="right"/>
              <w:rPr>
                <w:bCs/>
                <w:color w:val="000000"/>
              </w:rPr>
            </w:pPr>
            <w:r w:rsidRPr="00E204FF">
              <w:t>-$</w:t>
            </w:r>
            <w:r w:rsidR="00042B67">
              <w:rPr>
                <w:noProof/>
                <w:color w:val="000000"/>
                <w:highlight w:val="black"/>
              </w:rPr>
              <w:t>'''''''''''''''''''</w:t>
            </w:r>
          </w:p>
        </w:tc>
        <w:tc>
          <w:tcPr>
            <w:tcW w:w="647" w:type="pct"/>
            <w:shd w:val="clear" w:color="auto" w:fill="auto"/>
            <w:vAlign w:val="center"/>
          </w:tcPr>
          <w:p w:rsidR="000E14F8" w:rsidRPr="003639A6" w:rsidRDefault="000E14F8" w:rsidP="00FF3C3E">
            <w:pPr>
              <w:pStyle w:val="Tabletext"/>
              <w:ind w:right="149"/>
              <w:jc w:val="right"/>
              <w:rPr>
                <w:bCs/>
                <w:color w:val="000000"/>
              </w:rPr>
            </w:pPr>
            <w:r w:rsidRPr="00E204FF">
              <w:t>-$</w:t>
            </w:r>
            <w:r w:rsidR="00042B67">
              <w:rPr>
                <w:noProof/>
                <w:color w:val="000000"/>
                <w:highlight w:val="black"/>
              </w:rPr>
              <w:t>'''''''''''''''''''</w:t>
            </w:r>
          </w:p>
        </w:tc>
        <w:tc>
          <w:tcPr>
            <w:tcW w:w="647" w:type="pct"/>
            <w:shd w:val="clear" w:color="auto" w:fill="auto"/>
            <w:vAlign w:val="center"/>
          </w:tcPr>
          <w:p w:rsidR="000E14F8" w:rsidRPr="003639A6" w:rsidRDefault="000E14F8" w:rsidP="00FF3C3E">
            <w:pPr>
              <w:pStyle w:val="Tabletext"/>
              <w:ind w:right="149"/>
              <w:jc w:val="right"/>
              <w:rPr>
                <w:bCs/>
                <w:color w:val="000000"/>
              </w:rPr>
            </w:pPr>
            <w:r w:rsidRPr="00E204FF">
              <w:t>-$</w:t>
            </w:r>
            <w:r w:rsidR="00042B67">
              <w:rPr>
                <w:noProof/>
                <w:color w:val="000000"/>
                <w:highlight w:val="black"/>
              </w:rPr>
              <w:t>''''''''''''''''''</w:t>
            </w:r>
          </w:p>
        </w:tc>
        <w:tc>
          <w:tcPr>
            <w:tcW w:w="647" w:type="pct"/>
            <w:shd w:val="clear" w:color="auto" w:fill="auto"/>
            <w:vAlign w:val="center"/>
          </w:tcPr>
          <w:p w:rsidR="000E14F8" w:rsidRPr="003639A6" w:rsidRDefault="000E14F8" w:rsidP="00FF3C3E">
            <w:pPr>
              <w:pStyle w:val="Tabletext"/>
              <w:ind w:right="149"/>
              <w:jc w:val="right"/>
              <w:rPr>
                <w:bCs/>
                <w:color w:val="000000"/>
              </w:rPr>
            </w:pPr>
            <w:r w:rsidRPr="00E204FF">
              <w:t>-$</w:t>
            </w:r>
            <w:r w:rsidR="00042B67">
              <w:rPr>
                <w:noProof/>
                <w:color w:val="000000"/>
                <w:highlight w:val="black"/>
              </w:rPr>
              <w:t>''''''''''''''''''</w:t>
            </w:r>
          </w:p>
        </w:tc>
        <w:tc>
          <w:tcPr>
            <w:tcW w:w="646" w:type="pct"/>
            <w:vAlign w:val="center"/>
          </w:tcPr>
          <w:p w:rsidR="000E14F8" w:rsidRPr="003639A6" w:rsidRDefault="000E14F8" w:rsidP="00FF3C3E">
            <w:pPr>
              <w:pStyle w:val="Tabletext"/>
              <w:ind w:right="149"/>
              <w:jc w:val="right"/>
              <w:rPr>
                <w:bCs/>
                <w:color w:val="000000"/>
              </w:rPr>
            </w:pPr>
            <w:r w:rsidRPr="00E204FF">
              <w:t>-$</w:t>
            </w:r>
            <w:r w:rsidR="00042B67">
              <w:rPr>
                <w:noProof/>
                <w:color w:val="000000"/>
                <w:highlight w:val="black"/>
              </w:rPr>
              <w:t>'''''''''''''''''''''</w:t>
            </w:r>
          </w:p>
        </w:tc>
      </w:tr>
      <w:tr w:rsidR="000E14F8" w:rsidRPr="003639A6" w:rsidTr="00E33AAD">
        <w:tc>
          <w:tcPr>
            <w:tcW w:w="1119" w:type="pct"/>
            <w:shd w:val="clear" w:color="auto" w:fill="auto"/>
            <w:vAlign w:val="center"/>
          </w:tcPr>
          <w:p w:rsidR="000E14F8" w:rsidRDefault="000E14F8" w:rsidP="00FF3C3E">
            <w:pPr>
              <w:pStyle w:val="Tabletext"/>
              <w:rPr>
                <w:sz w:val="19"/>
                <w:szCs w:val="19"/>
              </w:rPr>
            </w:pPr>
            <w:r>
              <w:rPr>
                <w:sz w:val="19"/>
                <w:szCs w:val="19"/>
              </w:rPr>
              <w:t>Cost to PBS/RPBS less copayments</w:t>
            </w:r>
          </w:p>
        </w:tc>
        <w:tc>
          <w:tcPr>
            <w:tcW w:w="647" w:type="pct"/>
            <w:shd w:val="clear" w:color="auto" w:fill="auto"/>
            <w:vAlign w:val="center"/>
          </w:tcPr>
          <w:p w:rsidR="000E14F8" w:rsidRPr="00B15043" w:rsidRDefault="000E14F8" w:rsidP="00FF3C3E">
            <w:pPr>
              <w:pStyle w:val="Tabletext"/>
              <w:ind w:right="149"/>
              <w:jc w:val="right"/>
              <w:rPr>
                <w:bCs/>
                <w:color w:val="000000"/>
              </w:rPr>
            </w:pPr>
            <w:r w:rsidRPr="00B15043">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rPr>
                <w:bCs/>
                <w:color w:val="000000"/>
              </w:rPr>
            </w:pPr>
            <w:r w:rsidRPr="00B15043">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rPr>
                <w:bCs/>
                <w:color w:val="000000"/>
              </w:rPr>
            </w:pPr>
            <w:r w:rsidRPr="00B15043">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rPr>
                <w:bCs/>
                <w:color w:val="000000"/>
              </w:rPr>
            </w:pPr>
            <w:r w:rsidRPr="00B15043">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rPr>
                <w:bCs/>
                <w:color w:val="000000"/>
              </w:rPr>
            </w:pPr>
            <w:r w:rsidRPr="00B15043">
              <w:t>$</w:t>
            </w:r>
            <w:r w:rsidR="00042B67">
              <w:rPr>
                <w:noProof/>
                <w:color w:val="000000"/>
                <w:highlight w:val="black"/>
              </w:rPr>
              <w:t>'''''''''''''''''''''''</w:t>
            </w:r>
          </w:p>
        </w:tc>
        <w:tc>
          <w:tcPr>
            <w:tcW w:w="646" w:type="pct"/>
            <w:vAlign w:val="center"/>
          </w:tcPr>
          <w:p w:rsidR="000E14F8" w:rsidRPr="00B15043" w:rsidRDefault="000E14F8" w:rsidP="00FF3C3E">
            <w:pPr>
              <w:pStyle w:val="Tabletext"/>
              <w:ind w:right="149"/>
              <w:jc w:val="right"/>
              <w:rPr>
                <w:bCs/>
                <w:color w:val="000000"/>
              </w:rPr>
            </w:pPr>
            <w:r w:rsidRPr="00B15043">
              <w:t>$</w:t>
            </w:r>
            <w:r w:rsidR="00042B67">
              <w:rPr>
                <w:noProof/>
                <w:color w:val="000000"/>
                <w:highlight w:val="black"/>
              </w:rPr>
              <w:t>''''''''''''''''''''''</w:t>
            </w:r>
          </w:p>
        </w:tc>
      </w:tr>
      <w:tr w:rsidR="000E14F8" w:rsidRPr="003639A6" w:rsidTr="00E33AAD">
        <w:tc>
          <w:tcPr>
            <w:tcW w:w="5000" w:type="pct"/>
            <w:gridSpan w:val="7"/>
            <w:shd w:val="clear" w:color="auto" w:fill="auto"/>
            <w:vAlign w:val="center"/>
          </w:tcPr>
          <w:p w:rsidR="000E14F8" w:rsidRPr="003639A6" w:rsidRDefault="000E14F8" w:rsidP="00FF3C3E">
            <w:pPr>
              <w:pStyle w:val="Tabletext"/>
              <w:rPr>
                <w:bCs/>
                <w:color w:val="000000"/>
              </w:rPr>
            </w:pPr>
            <w:r w:rsidRPr="00D1078F">
              <w:rPr>
                <w:b/>
                <w:bCs/>
                <w:color w:val="000000"/>
              </w:rPr>
              <w:t xml:space="preserve">Estimated </w:t>
            </w:r>
            <w:r>
              <w:rPr>
                <w:b/>
                <w:bCs/>
                <w:color w:val="000000"/>
              </w:rPr>
              <w:t>financial implications for current use of ranibizumab, aflib</w:t>
            </w:r>
            <w:r w:rsidR="00E3758F">
              <w:rPr>
                <w:b/>
                <w:bCs/>
                <w:color w:val="000000"/>
              </w:rPr>
              <w:t>ercept and verteporfin</w:t>
            </w:r>
          </w:p>
        </w:tc>
      </w:tr>
      <w:tr w:rsidR="000E14F8" w:rsidRPr="003639A6" w:rsidTr="00E33AAD">
        <w:tc>
          <w:tcPr>
            <w:tcW w:w="1119" w:type="pct"/>
            <w:shd w:val="clear" w:color="auto" w:fill="auto"/>
            <w:vAlign w:val="center"/>
          </w:tcPr>
          <w:p w:rsidR="000E14F8" w:rsidRDefault="000E14F8" w:rsidP="00FF3C3E">
            <w:pPr>
              <w:pStyle w:val="Tabletext"/>
              <w:rPr>
                <w:sz w:val="19"/>
                <w:szCs w:val="19"/>
              </w:rPr>
            </w:pPr>
            <w:r>
              <w:rPr>
                <w:sz w:val="19"/>
                <w:szCs w:val="19"/>
              </w:rPr>
              <w:t>C</w:t>
            </w:r>
            <w:r w:rsidRPr="003639A6">
              <w:rPr>
                <w:sz w:val="19"/>
                <w:szCs w:val="19"/>
              </w:rPr>
              <w:t>ost to PBS/RPBS</w:t>
            </w:r>
          </w:p>
        </w:tc>
        <w:tc>
          <w:tcPr>
            <w:tcW w:w="647" w:type="pct"/>
            <w:shd w:val="clear" w:color="auto" w:fill="auto"/>
            <w:vAlign w:val="center"/>
          </w:tcPr>
          <w:p w:rsidR="000E14F8" w:rsidRPr="00B15043" w:rsidRDefault="000E14F8" w:rsidP="00FF3C3E">
            <w:pPr>
              <w:pStyle w:val="Tabletext"/>
              <w:ind w:right="149"/>
              <w:jc w:val="right"/>
            </w:pPr>
            <w:r w:rsidRPr="00991E6D">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pPr>
            <w:r w:rsidRPr="00991E6D">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pPr>
            <w:r w:rsidRPr="00991E6D">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pPr>
            <w:r w:rsidRPr="00991E6D">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pPr>
            <w:r w:rsidRPr="00991E6D">
              <w:t>$</w:t>
            </w:r>
            <w:r w:rsidR="00042B67">
              <w:rPr>
                <w:noProof/>
                <w:color w:val="000000"/>
                <w:highlight w:val="black"/>
              </w:rPr>
              <w:t>'''''''''''''''''''''''''</w:t>
            </w:r>
          </w:p>
        </w:tc>
        <w:tc>
          <w:tcPr>
            <w:tcW w:w="646" w:type="pct"/>
            <w:vAlign w:val="center"/>
          </w:tcPr>
          <w:p w:rsidR="000E14F8" w:rsidRPr="00B15043" w:rsidRDefault="000E14F8" w:rsidP="00FF3C3E">
            <w:pPr>
              <w:pStyle w:val="Tabletext"/>
              <w:ind w:right="149"/>
              <w:jc w:val="right"/>
            </w:pPr>
            <w:r w:rsidRPr="00991E6D">
              <w:t>$</w:t>
            </w:r>
            <w:r w:rsidR="00042B67">
              <w:rPr>
                <w:noProof/>
                <w:color w:val="000000"/>
                <w:highlight w:val="black"/>
              </w:rPr>
              <w:t>'''''''''''''''''''''''</w:t>
            </w:r>
          </w:p>
        </w:tc>
      </w:tr>
      <w:tr w:rsidR="000E14F8" w:rsidRPr="003639A6" w:rsidTr="00E33AAD">
        <w:tc>
          <w:tcPr>
            <w:tcW w:w="1119" w:type="pct"/>
            <w:shd w:val="clear" w:color="auto" w:fill="auto"/>
            <w:vAlign w:val="center"/>
          </w:tcPr>
          <w:p w:rsidR="000E14F8" w:rsidRDefault="000E14F8" w:rsidP="00FF3C3E">
            <w:pPr>
              <w:pStyle w:val="Tabletext"/>
              <w:rPr>
                <w:sz w:val="19"/>
                <w:szCs w:val="19"/>
              </w:rPr>
            </w:pPr>
            <w:r>
              <w:rPr>
                <w:sz w:val="19"/>
                <w:szCs w:val="19"/>
              </w:rPr>
              <w:t>Copayments</w:t>
            </w:r>
          </w:p>
        </w:tc>
        <w:tc>
          <w:tcPr>
            <w:tcW w:w="647" w:type="pct"/>
            <w:shd w:val="clear" w:color="auto" w:fill="auto"/>
            <w:vAlign w:val="center"/>
          </w:tcPr>
          <w:p w:rsidR="000E14F8" w:rsidRPr="00B15043" w:rsidRDefault="000E14F8" w:rsidP="00FF3C3E">
            <w:pPr>
              <w:pStyle w:val="Tabletext"/>
              <w:ind w:right="149"/>
              <w:jc w:val="right"/>
            </w:pPr>
            <w:r w:rsidRPr="00991E6D">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pPr>
            <w:r w:rsidRPr="00991E6D">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pPr>
            <w:r w:rsidRPr="00991E6D">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pPr>
            <w:r w:rsidRPr="00991E6D">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pPr>
            <w:r w:rsidRPr="00991E6D">
              <w:t>-$</w:t>
            </w:r>
            <w:r w:rsidR="00042B67">
              <w:rPr>
                <w:noProof/>
                <w:color w:val="000000"/>
                <w:highlight w:val="black"/>
              </w:rPr>
              <w:t>''''''''''''''''</w:t>
            </w:r>
          </w:p>
        </w:tc>
        <w:tc>
          <w:tcPr>
            <w:tcW w:w="646" w:type="pct"/>
            <w:vAlign w:val="center"/>
          </w:tcPr>
          <w:p w:rsidR="000E14F8" w:rsidRPr="00B15043" w:rsidRDefault="000E14F8" w:rsidP="00FF3C3E">
            <w:pPr>
              <w:pStyle w:val="Tabletext"/>
              <w:ind w:right="149"/>
              <w:jc w:val="right"/>
            </w:pPr>
            <w:r w:rsidRPr="00991E6D">
              <w:t>-$</w:t>
            </w:r>
            <w:r w:rsidR="00042B67">
              <w:rPr>
                <w:noProof/>
                <w:color w:val="000000"/>
                <w:highlight w:val="black"/>
              </w:rPr>
              <w:t>''''''''''''''''</w:t>
            </w:r>
          </w:p>
        </w:tc>
      </w:tr>
      <w:tr w:rsidR="000E14F8" w:rsidRPr="003639A6" w:rsidTr="00E33AAD">
        <w:tc>
          <w:tcPr>
            <w:tcW w:w="1119" w:type="pct"/>
            <w:shd w:val="clear" w:color="auto" w:fill="auto"/>
            <w:vAlign w:val="center"/>
          </w:tcPr>
          <w:p w:rsidR="000E14F8" w:rsidRDefault="000E14F8" w:rsidP="00FF3C3E">
            <w:pPr>
              <w:pStyle w:val="Tabletext"/>
              <w:rPr>
                <w:sz w:val="19"/>
                <w:szCs w:val="19"/>
              </w:rPr>
            </w:pPr>
            <w:r>
              <w:rPr>
                <w:sz w:val="19"/>
                <w:szCs w:val="19"/>
              </w:rPr>
              <w:t>Cost to PBS/RPBS less copayments</w:t>
            </w:r>
          </w:p>
        </w:tc>
        <w:tc>
          <w:tcPr>
            <w:tcW w:w="647" w:type="pct"/>
            <w:shd w:val="clear" w:color="auto" w:fill="auto"/>
            <w:vAlign w:val="center"/>
          </w:tcPr>
          <w:p w:rsidR="000E14F8" w:rsidRPr="00B15043" w:rsidRDefault="000E14F8" w:rsidP="00FF3C3E">
            <w:pPr>
              <w:pStyle w:val="Tabletext"/>
              <w:ind w:right="149"/>
              <w:jc w:val="right"/>
            </w:pPr>
            <w:r w:rsidRPr="00B15043">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pPr>
            <w:r w:rsidRPr="00B15043">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pPr>
            <w:r w:rsidRPr="00B15043">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pPr>
            <w:r w:rsidRPr="00B15043">
              <w:t>$</w:t>
            </w:r>
            <w:r w:rsidR="00042B67">
              <w:rPr>
                <w:noProof/>
                <w:color w:val="000000"/>
                <w:highlight w:val="black"/>
              </w:rPr>
              <w:t>''''''''''''''''''''''</w:t>
            </w:r>
          </w:p>
        </w:tc>
        <w:tc>
          <w:tcPr>
            <w:tcW w:w="647" w:type="pct"/>
            <w:shd w:val="clear" w:color="auto" w:fill="auto"/>
            <w:vAlign w:val="center"/>
          </w:tcPr>
          <w:p w:rsidR="000E14F8" w:rsidRPr="00B15043" w:rsidRDefault="000E14F8" w:rsidP="00FF3C3E">
            <w:pPr>
              <w:pStyle w:val="Tabletext"/>
              <w:ind w:right="149"/>
              <w:jc w:val="right"/>
            </w:pPr>
            <w:r w:rsidRPr="00B15043">
              <w:t>$</w:t>
            </w:r>
            <w:r w:rsidR="00042B67">
              <w:rPr>
                <w:noProof/>
                <w:color w:val="000000"/>
                <w:highlight w:val="black"/>
              </w:rPr>
              <w:t>'''''''''''''''''''''''</w:t>
            </w:r>
          </w:p>
        </w:tc>
        <w:tc>
          <w:tcPr>
            <w:tcW w:w="646" w:type="pct"/>
            <w:vAlign w:val="center"/>
          </w:tcPr>
          <w:p w:rsidR="000E14F8" w:rsidRPr="00B15043" w:rsidRDefault="000E14F8" w:rsidP="00FF3C3E">
            <w:pPr>
              <w:pStyle w:val="Tabletext"/>
              <w:ind w:right="149"/>
              <w:jc w:val="right"/>
            </w:pPr>
            <w:r w:rsidRPr="00B15043">
              <w:t>$</w:t>
            </w:r>
            <w:r w:rsidR="00042B67">
              <w:rPr>
                <w:noProof/>
                <w:color w:val="000000"/>
                <w:highlight w:val="black"/>
              </w:rPr>
              <w:t>''''''''''''''''''''''''''</w:t>
            </w:r>
          </w:p>
        </w:tc>
      </w:tr>
      <w:tr w:rsidR="000E14F8" w:rsidRPr="00FC22AB" w:rsidTr="00E33AAD">
        <w:tc>
          <w:tcPr>
            <w:tcW w:w="5000" w:type="pct"/>
            <w:gridSpan w:val="7"/>
            <w:tcBorders>
              <w:bottom w:val="single" w:sz="4" w:space="0" w:color="auto"/>
            </w:tcBorders>
            <w:shd w:val="clear" w:color="auto" w:fill="auto"/>
            <w:vAlign w:val="center"/>
          </w:tcPr>
          <w:p w:rsidR="000E14F8" w:rsidRPr="00FC22AB" w:rsidRDefault="000E14F8" w:rsidP="00FF3C3E">
            <w:pPr>
              <w:pStyle w:val="Tabletext"/>
              <w:rPr>
                <w:b/>
                <w:bCs/>
                <w:color w:val="000000"/>
              </w:rPr>
            </w:pPr>
            <w:r w:rsidRPr="00FC22AB">
              <w:rPr>
                <w:b/>
                <w:bCs/>
                <w:color w:val="000000"/>
              </w:rPr>
              <w:t>Net financial implications</w:t>
            </w:r>
            <w:r>
              <w:rPr>
                <w:b/>
                <w:bCs/>
                <w:color w:val="000000"/>
              </w:rPr>
              <w:t xml:space="preserve"> to the Australian government health </w:t>
            </w:r>
            <w:r w:rsidR="0059586A">
              <w:rPr>
                <w:b/>
                <w:bCs/>
                <w:color w:val="000000"/>
              </w:rPr>
              <w:t>budget</w:t>
            </w:r>
          </w:p>
        </w:tc>
      </w:tr>
      <w:tr w:rsidR="000E14F8" w:rsidRPr="00CA4080" w:rsidTr="00E33AAD">
        <w:tc>
          <w:tcPr>
            <w:tcW w:w="1119" w:type="pct"/>
            <w:tcBorders>
              <w:bottom w:val="nil"/>
            </w:tcBorders>
            <w:shd w:val="clear" w:color="auto" w:fill="auto"/>
            <w:vAlign w:val="center"/>
          </w:tcPr>
          <w:p w:rsidR="000E14F8" w:rsidRPr="00CA4080" w:rsidRDefault="000E14F8" w:rsidP="00FF3C3E">
            <w:pPr>
              <w:pStyle w:val="Tabletext"/>
              <w:rPr>
                <w:sz w:val="19"/>
                <w:szCs w:val="19"/>
              </w:rPr>
            </w:pPr>
            <w:r w:rsidRPr="00CA4080">
              <w:rPr>
                <w:sz w:val="19"/>
                <w:szCs w:val="19"/>
              </w:rPr>
              <w:t>Net cost to PBS/RPBS</w:t>
            </w:r>
          </w:p>
        </w:tc>
        <w:tc>
          <w:tcPr>
            <w:tcW w:w="647" w:type="pct"/>
            <w:tcBorders>
              <w:bottom w:val="nil"/>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7" w:type="pct"/>
            <w:tcBorders>
              <w:bottom w:val="nil"/>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7" w:type="pct"/>
            <w:tcBorders>
              <w:bottom w:val="nil"/>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7" w:type="pct"/>
            <w:tcBorders>
              <w:bottom w:val="nil"/>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7" w:type="pct"/>
            <w:tcBorders>
              <w:bottom w:val="nil"/>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6" w:type="pct"/>
            <w:tcBorders>
              <w:bottom w:val="nil"/>
            </w:tcBorders>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r>
      <w:tr w:rsidR="004416AA" w:rsidRPr="00CA4080" w:rsidTr="00E33AAD">
        <w:tc>
          <w:tcPr>
            <w:tcW w:w="1119" w:type="pct"/>
            <w:tcBorders>
              <w:top w:val="nil"/>
            </w:tcBorders>
            <w:shd w:val="clear" w:color="auto" w:fill="auto"/>
            <w:vAlign w:val="center"/>
          </w:tcPr>
          <w:p w:rsidR="004416AA" w:rsidRPr="00CA4080" w:rsidRDefault="00B65A7D" w:rsidP="004416AA">
            <w:pPr>
              <w:pStyle w:val="Tabletext"/>
              <w:rPr>
                <w:i/>
                <w:sz w:val="19"/>
                <w:szCs w:val="19"/>
              </w:rPr>
            </w:pPr>
            <w:r w:rsidRPr="00CA4080">
              <w:rPr>
                <w:i/>
                <w:sz w:val="19"/>
                <w:szCs w:val="19"/>
              </w:rPr>
              <w:t>Cost without offsets</w:t>
            </w:r>
            <w:r>
              <w:rPr>
                <w:i/>
                <w:sz w:val="19"/>
                <w:szCs w:val="19"/>
              </w:rPr>
              <w:t xml:space="preserve"> due to use of PBS-listed drugs outside the </w:t>
            </w:r>
            <w:r w:rsidR="00025455">
              <w:rPr>
                <w:i/>
                <w:sz w:val="19"/>
                <w:szCs w:val="19"/>
              </w:rPr>
              <w:t xml:space="preserve">PBS </w:t>
            </w:r>
            <w:r>
              <w:rPr>
                <w:i/>
                <w:sz w:val="19"/>
                <w:szCs w:val="19"/>
              </w:rPr>
              <w:t>restriction.</w:t>
            </w:r>
          </w:p>
        </w:tc>
        <w:tc>
          <w:tcPr>
            <w:tcW w:w="647" w:type="pct"/>
            <w:tcBorders>
              <w:top w:val="nil"/>
            </w:tcBorders>
            <w:shd w:val="clear" w:color="auto" w:fill="auto"/>
            <w:vAlign w:val="center"/>
          </w:tcPr>
          <w:p w:rsidR="004416AA" w:rsidRPr="00CA4080" w:rsidRDefault="004416AA" w:rsidP="004416AA">
            <w:pPr>
              <w:pStyle w:val="Tabletext"/>
              <w:ind w:right="149"/>
              <w:jc w:val="right"/>
              <w:rPr>
                <w:i/>
              </w:rPr>
            </w:pPr>
            <w:r w:rsidRPr="00CA4080">
              <w:rPr>
                <w:i/>
              </w:rPr>
              <w:t>$</w:t>
            </w:r>
            <w:r w:rsidR="00042B67">
              <w:rPr>
                <w:i/>
                <w:noProof/>
                <w:color w:val="000000"/>
                <w:highlight w:val="black"/>
              </w:rPr>
              <w:t>'''''''''''''''''''''''</w:t>
            </w:r>
          </w:p>
        </w:tc>
        <w:tc>
          <w:tcPr>
            <w:tcW w:w="647" w:type="pct"/>
            <w:tcBorders>
              <w:top w:val="nil"/>
            </w:tcBorders>
            <w:shd w:val="clear" w:color="auto" w:fill="auto"/>
            <w:vAlign w:val="center"/>
          </w:tcPr>
          <w:p w:rsidR="004416AA" w:rsidRPr="00CA4080" w:rsidRDefault="004416AA" w:rsidP="004416AA">
            <w:pPr>
              <w:pStyle w:val="Tabletext"/>
              <w:ind w:right="149"/>
              <w:jc w:val="right"/>
              <w:rPr>
                <w:i/>
              </w:rPr>
            </w:pPr>
            <w:r w:rsidRPr="00CA4080">
              <w:rPr>
                <w:i/>
              </w:rPr>
              <w:t>$</w:t>
            </w:r>
            <w:r w:rsidR="00042B67">
              <w:rPr>
                <w:i/>
                <w:noProof/>
                <w:color w:val="000000"/>
                <w:highlight w:val="black"/>
              </w:rPr>
              <w:t>''''''''''''''''''''''''</w:t>
            </w:r>
          </w:p>
        </w:tc>
        <w:tc>
          <w:tcPr>
            <w:tcW w:w="647" w:type="pct"/>
            <w:tcBorders>
              <w:top w:val="nil"/>
            </w:tcBorders>
            <w:shd w:val="clear" w:color="auto" w:fill="auto"/>
            <w:vAlign w:val="center"/>
          </w:tcPr>
          <w:p w:rsidR="004416AA" w:rsidRPr="00CA4080" w:rsidRDefault="004416AA" w:rsidP="004416AA">
            <w:pPr>
              <w:pStyle w:val="Tabletext"/>
              <w:ind w:right="149"/>
              <w:jc w:val="right"/>
              <w:rPr>
                <w:i/>
              </w:rPr>
            </w:pPr>
            <w:r w:rsidRPr="00CA4080">
              <w:rPr>
                <w:i/>
              </w:rPr>
              <w:t>$</w:t>
            </w:r>
            <w:r w:rsidR="00042B67">
              <w:rPr>
                <w:i/>
                <w:noProof/>
                <w:color w:val="000000"/>
                <w:highlight w:val="black"/>
              </w:rPr>
              <w:t>'''''''''''''''''''''''</w:t>
            </w:r>
          </w:p>
        </w:tc>
        <w:tc>
          <w:tcPr>
            <w:tcW w:w="647" w:type="pct"/>
            <w:tcBorders>
              <w:top w:val="nil"/>
            </w:tcBorders>
            <w:shd w:val="clear" w:color="auto" w:fill="auto"/>
            <w:vAlign w:val="center"/>
          </w:tcPr>
          <w:p w:rsidR="004416AA" w:rsidRPr="00CA4080" w:rsidRDefault="004416AA" w:rsidP="004416AA">
            <w:pPr>
              <w:pStyle w:val="Tabletext"/>
              <w:ind w:right="149"/>
              <w:jc w:val="right"/>
              <w:rPr>
                <w:i/>
              </w:rPr>
            </w:pPr>
            <w:r w:rsidRPr="00CA4080">
              <w:rPr>
                <w:i/>
              </w:rPr>
              <w:t>$</w:t>
            </w:r>
            <w:r w:rsidR="00042B67">
              <w:rPr>
                <w:i/>
                <w:noProof/>
                <w:color w:val="000000"/>
                <w:highlight w:val="black"/>
              </w:rPr>
              <w:t>'''''''''''''''''''''''</w:t>
            </w:r>
          </w:p>
        </w:tc>
        <w:tc>
          <w:tcPr>
            <w:tcW w:w="647" w:type="pct"/>
            <w:tcBorders>
              <w:top w:val="nil"/>
            </w:tcBorders>
            <w:shd w:val="clear" w:color="auto" w:fill="auto"/>
            <w:vAlign w:val="center"/>
          </w:tcPr>
          <w:p w:rsidR="004416AA" w:rsidRPr="00CA4080" w:rsidRDefault="004416AA" w:rsidP="004416AA">
            <w:pPr>
              <w:pStyle w:val="Tabletext"/>
              <w:ind w:right="149"/>
              <w:jc w:val="right"/>
              <w:rPr>
                <w:i/>
              </w:rPr>
            </w:pPr>
            <w:r w:rsidRPr="00CA4080">
              <w:rPr>
                <w:i/>
              </w:rPr>
              <w:t>$</w:t>
            </w:r>
            <w:r w:rsidR="00042B67">
              <w:rPr>
                <w:i/>
                <w:noProof/>
                <w:color w:val="000000"/>
                <w:highlight w:val="black"/>
              </w:rPr>
              <w:t>'''''''''''''''''''''''''</w:t>
            </w:r>
          </w:p>
        </w:tc>
        <w:tc>
          <w:tcPr>
            <w:tcW w:w="646" w:type="pct"/>
            <w:tcBorders>
              <w:top w:val="nil"/>
            </w:tcBorders>
            <w:vAlign w:val="center"/>
          </w:tcPr>
          <w:p w:rsidR="004416AA" w:rsidRPr="00CA4080" w:rsidRDefault="004416AA" w:rsidP="004416AA">
            <w:pPr>
              <w:pStyle w:val="Tabletext"/>
              <w:ind w:right="149"/>
              <w:jc w:val="right"/>
              <w:rPr>
                <w:i/>
              </w:rPr>
            </w:pPr>
            <w:r w:rsidRPr="00CA4080">
              <w:rPr>
                <w:i/>
              </w:rPr>
              <w:t>$</w:t>
            </w:r>
            <w:r w:rsidR="00042B67">
              <w:rPr>
                <w:i/>
                <w:noProof/>
                <w:color w:val="000000"/>
                <w:highlight w:val="black"/>
              </w:rPr>
              <w:t>''''''''''''''''''''''''</w:t>
            </w:r>
          </w:p>
        </w:tc>
      </w:tr>
      <w:tr w:rsidR="000E14F8" w:rsidRPr="00CA4080" w:rsidTr="00E33AAD">
        <w:tc>
          <w:tcPr>
            <w:tcW w:w="1119" w:type="pct"/>
            <w:tcBorders>
              <w:bottom w:val="single" w:sz="4" w:space="0" w:color="auto"/>
            </w:tcBorders>
            <w:shd w:val="clear" w:color="auto" w:fill="auto"/>
            <w:vAlign w:val="center"/>
          </w:tcPr>
          <w:p w:rsidR="000E14F8" w:rsidRPr="00CA4080" w:rsidRDefault="000E14F8" w:rsidP="00FF3C3E">
            <w:pPr>
              <w:pStyle w:val="Tabletext"/>
              <w:rPr>
                <w:rFonts w:ascii="Times" w:hAnsi="Times"/>
              </w:rPr>
            </w:pPr>
            <w:r w:rsidRPr="00CA4080">
              <w:rPr>
                <w:sz w:val="19"/>
                <w:szCs w:val="19"/>
              </w:rPr>
              <w:t>Net cost to MBS</w:t>
            </w:r>
          </w:p>
        </w:tc>
        <w:tc>
          <w:tcPr>
            <w:tcW w:w="647" w:type="pct"/>
            <w:tcBorders>
              <w:bottom w:val="single" w:sz="4" w:space="0" w:color="auto"/>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7" w:type="pct"/>
            <w:tcBorders>
              <w:bottom w:val="single" w:sz="4" w:space="0" w:color="auto"/>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7" w:type="pct"/>
            <w:tcBorders>
              <w:bottom w:val="single" w:sz="4" w:space="0" w:color="auto"/>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7" w:type="pct"/>
            <w:tcBorders>
              <w:bottom w:val="single" w:sz="4" w:space="0" w:color="auto"/>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7" w:type="pct"/>
            <w:tcBorders>
              <w:bottom w:val="single" w:sz="4" w:space="0" w:color="auto"/>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6" w:type="pct"/>
            <w:tcBorders>
              <w:bottom w:val="single" w:sz="4" w:space="0" w:color="auto"/>
            </w:tcBorders>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r>
      <w:tr w:rsidR="000E14F8" w:rsidRPr="00CA4080" w:rsidTr="00E33AAD">
        <w:tc>
          <w:tcPr>
            <w:tcW w:w="1119" w:type="pct"/>
            <w:tcBorders>
              <w:bottom w:val="nil"/>
            </w:tcBorders>
            <w:shd w:val="clear" w:color="auto" w:fill="auto"/>
            <w:vAlign w:val="center"/>
          </w:tcPr>
          <w:p w:rsidR="000E14F8" w:rsidRPr="00CA4080" w:rsidRDefault="000E14F8" w:rsidP="00FF3C3E">
            <w:pPr>
              <w:pStyle w:val="Tabletext"/>
              <w:rPr>
                <w:sz w:val="19"/>
                <w:szCs w:val="19"/>
              </w:rPr>
            </w:pPr>
            <w:r w:rsidRPr="00CA4080">
              <w:rPr>
                <w:sz w:val="19"/>
                <w:szCs w:val="19"/>
              </w:rPr>
              <w:t>Net cost to PBS/RPBS/MBS</w:t>
            </w:r>
          </w:p>
        </w:tc>
        <w:tc>
          <w:tcPr>
            <w:tcW w:w="647" w:type="pct"/>
            <w:tcBorders>
              <w:bottom w:val="nil"/>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7" w:type="pct"/>
            <w:tcBorders>
              <w:bottom w:val="nil"/>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7" w:type="pct"/>
            <w:tcBorders>
              <w:bottom w:val="nil"/>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7" w:type="pct"/>
            <w:tcBorders>
              <w:bottom w:val="nil"/>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7" w:type="pct"/>
            <w:tcBorders>
              <w:bottom w:val="nil"/>
            </w:tcBorders>
            <w:shd w:val="clear" w:color="auto" w:fill="auto"/>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c>
          <w:tcPr>
            <w:tcW w:w="646" w:type="pct"/>
            <w:tcBorders>
              <w:bottom w:val="nil"/>
            </w:tcBorders>
            <w:vAlign w:val="center"/>
          </w:tcPr>
          <w:p w:rsidR="000E14F8" w:rsidRPr="00CA4080" w:rsidRDefault="000E14F8" w:rsidP="00FF3C3E">
            <w:pPr>
              <w:pStyle w:val="Tabletext"/>
              <w:ind w:right="149"/>
              <w:jc w:val="right"/>
            </w:pPr>
            <w:r w:rsidRPr="00CA4080">
              <w:t>$</w:t>
            </w:r>
            <w:r w:rsidR="00042B67">
              <w:rPr>
                <w:noProof/>
                <w:color w:val="000000"/>
                <w:highlight w:val="black"/>
              </w:rPr>
              <w:t>'''''''''''''''''''''''</w:t>
            </w:r>
          </w:p>
        </w:tc>
      </w:tr>
      <w:tr w:rsidR="004416AA" w:rsidRPr="00CA4080" w:rsidTr="00E33AAD">
        <w:tc>
          <w:tcPr>
            <w:tcW w:w="1119" w:type="pct"/>
            <w:tcBorders>
              <w:top w:val="nil"/>
            </w:tcBorders>
            <w:shd w:val="clear" w:color="auto" w:fill="auto"/>
            <w:vAlign w:val="center"/>
          </w:tcPr>
          <w:p w:rsidR="004416AA" w:rsidRPr="00CA4080" w:rsidRDefault="004416AA" w:rsidP="00B65A7D">
            <w:pPr>
              <w:pStyle w:val="Tabletext"/>
              <w:rPr>
                <w:i/>
                <w:sz w:val="19"/>
                <w:szCs w:val="19"/>
              </w:rPr>
            </w:pPr>
            <w:r w:rsidRPr="00CA4080">
              <w:rPr>
                <w:i/>
                <w:sz w:val="19"/>
                <w:szCs w:val="19"/>
              </w:rPr>
              <w:t>Cost without offsets</w:t>
            </w:r>
            <w:r w:rsidR="00B65A7D">
              <w:rPr>
                <w:i/>
                <w:sz w:val="19"/>
                <w:szCs w:val="19"/>
              </w:rPr>
              <w:t xml:space="preserve"> due to use of PBS-listed drugs outside the </w:t>
            </w:r>
            <w:r w:rsidR="00025455">
              <w:rPr>
                <w:i/>
                <w:sz w:val="19"/>
                <w:szCs w:val="19"/>
              </w:rPr>
              <w:t xml:space="preserve">PBS </w:t>
            </w:r>
            <w:r w:rsidR="00B65A7D">
              <w:rPr>
                <w:i/>
                <w:sz w:val="19"/>
                <w:szCs w:val="19"/>
              </w:rPr>
              <w:t>restriction.</w:t>
            </w:r>
          </w:p>
        </w:tc>
        <w:tc>
          <w:tcPr>
            <w:tcW w:w="647" w:type="pct"/>
            <w:tcBorders>
              <w:top w:val="nil"/>
            </w:tcBorders>
            <w:shd w:val="clear" w:color="auto" w:fill="auto"/>
            <w:vAlign w:val="center"/>
          </w:tcPr>
          <w:p w:rsidR="004416AA" w:rsidRPr="00CA4080" w:rsidRDefault="004416AA" w:rsidP="00B65A7D">
            <w:pPr>
              <w:pStyle w:val="Tabletext"/>
              <w:ind w:right="149"/>
              <w:jc w:val="right"/>
              <w:rPr>
                <w:i/>
              </w:rPr>
            </w:pPr>
            <w:r w:rsidRPr="00CA4080">
              <w:rPr>
                <w:i/>
              </w:rPr>
              <w:t>$</w:t>
            </w:r>
            <w:r w:rsidR="00042B67">
              <w:rPr>
                <w:i/>
                <w:noProof/>
                <w:color w:val="000000"/>
                <w:highlight w:val="black"/>
              </w:rPr>
              <w:t>'''''''''''''''''''''''''</w:t>
            </w:r>
          </w:p>
        </w:tc>
        <w:tc>
          <w:tcPr>
            <w:tcW w:w="647" w:type="pct"/>
            <w:tcBorders>
              <w:top w:val="nil"/>
            </w:tcBorders>
            <w:shd w:val="clear" w:color="auto" w:fill="auto"/>
            <w:vAlign w:val="center"/>
          </w:tcPr>
          <w:p w:rsidR="004416AA" w:rsidRPr="00CA4080" w:rsidRDefault="004416AA" w:rsidP="00B65A7D">
            <w:pPr>
              <w:pStyle w:val="Tabletext"/>
              <w:ind w:right="149"/>
              <w:jc w:val="right"/>
              <w:rPr>
                <w:i/>
              </w:rPr>
            </w:pPr>
            <w:r w:rsidRPr="00CA4080">
              <w:rPr>
                <w:i/>
              </w:rPr>
              <w:t>$</w:t>
            </w:r>
            <w:r w:rsidR="00042B67">
              <w:rPr>
                <w:i/>
                <w:noProof/>
                <w:color w:val="000000"/>
                <w:highlight w:val="black"/>
              </w:rPr>
              <w:t>''''''''''''''''''''''</w:t>
            </w:r>
          </w:p>
        </w:tc>
        <w:tc>
          <w:tcPr>
            <w:tcW w:w="647" w:type="pct"/>
            <w:tcBorders>
              <w:top w:val="nil"/>
            </w:tcBorders>
            <w:shd w:val="clear" w:color="auto" w:fill="auto"/>
            <w:vAlign w:val="center"/>
          </w:tcPr>
          <w:p w:rsidR="004416AA" w:rsidRPr="00CA4080" w:rsidRDefault="004416AA" w:rsidP="00B65A7D">
            <w:pPr>
              <w:pStyle w:val="Tabletext"/>
              <w:ind w:right="149"/>
              <w:jc w:val="right"/>
              <w:rPr>
                <w:i/>
              </w:rPr>
            </w:pPr>
            <w:r w:rsidRPr="00CA4080">
              <w:rPr>
                <w:i/>
              </w:rPr>
              <w:t>$</w:t>
            </w:r>
            <w:r w:rsidR="00042B67">
              <w:rPr>
                <w:i/>
                <w:noProof/>
                <w:color w:val="000000"/>
                <w:highlight w:val="black"/>
              </w:rPr>
              <w:t>'''''''''''''''''''''''</w:t>
            </w:r>
          </w:p>
        </w:tc>
        <w:tc>
          <w:tcPr>
            <w:tcW w:w="647" w:type="pct"/>
            <w:tcBorders>
              <w:top w:val="nil"/>
            </w:tcBorders>
            <w:shd w:val="clear" w:color="auto" w:fill="auto"/>
            <w:vAlign w:val="center"/>
          </w:tcPr>
          <w:p w:rsidR="004416AA" w:rsidRPr="00CA4080" w:rsidRDefault="004416AA" w:rsidP="00B65A7D">
            <w:pPr>
              <w:pStyle w:val="Tabletext"/>
              <w:ind w:right="149"/>
              <w:jc w:val="right"/>
              <w:rPr>
                <w:i/>
              </w:rPr>
            </w:pPr>
            <w:r w:rsidRPr="00CA4080">
              <w:rPr>
                <w:i/>
              </w:rPr>
              <w:t>$</w:t>
            </w:r>
            <w:r w:rsidR="00042B67">
              <w:rPr>
                <w:i/>
                <w:noProof/>
                <w:color w:val="000000"/>
                <w:highlight w:val="black"/>
              </w:rPr>
              <w:t>''''''''''''''''''''''''</w:t>
            </w:r>
          </w:p>
        </w:tc>
        <w:tc>
          <w:tcPr>
            <w:tcW w:w="647" w:type="pct"/>
            <w:tcBorders>
              <w:top w:val="nil"/>
            </w:tcBorders>
            <w:shd w:val="clear" w:color="auto" w:fill="auto"/>
            <w:vAlign w:val="center"/>
          </w:tcPr>
          <w:p w:rsidR="004416AA" w:rsidRPr="00CA4080" w:rsidRDefault="004416AA" w:rsidP="00B65A7D">
            <w:pPr>
              <w:pStyle w:val="Tabletext"/>
              <w:ind w:right="149"/>
              <w:jc w:val="right"/>
              <w:rPr>
                <w:i/>
              </w:rPr>
            </w:pPr>
            <w:r w:rsidRPr="00CA4080">
              <w:rPr>
                <w:i/>
              </w:rPr>
              <w:t>$</w:t>
            </w:r>
            <w:r w:rsidR="00042B67">
              <w:rPr>
                <w:i/>
                <w:noProof/>
                <w:color w:val="000000"/>
                <w:highlight w:val="black"/>
              </w:rPr>
              <w:t>'''''''''''''''''''''''</w:t>
            </w:r>
          </w:p>
        </w:tc>
        <w:tc>
          <w:tcPr>
            <w:tcW w:w="646" w:type="pct"/>
            <w:tcBorders>
              <w:top w:val="nil"/>
            </w:tcBorders>
            <w:vAlign w:val="center"/>
          </w:tcPr>
          <w:p w:rsidR="004416AA" w:rsidRPr="00CA4080" w:rsidRDefault="004416AA" w:rsidP="00B65A7D">
            <w:pPr>
              <w:pStyle w:val="Tabletext"/>
              <w:ind w:right="149"/>
              <w:jc w:val="right"/>
              <w:rPr>
                <w:i/>
              </w:rPr>
            </w:pPr>
            <w:r w:rsidRPr="00CA4080">
              <w:rPr>
                <w:i/>
              </w:rPr>
              <w:t>$</w:t>
            </w:r>
            <w:r w:rsidR="00042B67">
              <w:rPr>
                <w:i/>
                <w:noProof/>
                <w:color w:val="000000"/>
                <w:highlight w:val="black"/>
              </w:rPr>
              <w:t>'''''''''''''''''''''''</w:t>
            </w:r>
          </w:p>
        </w:tc>
      </w:tr>
    </w:tbl>
    <w:p w:rsidR="000E14F8" w:rsidRPr="00CA4080" w:rsidRDefault="000E14F8" w:rsidP="000E14F8">
      <w:pPr>
        <w:pStyle w:val="TableFooter"/>
        <w:tabs>
          <w:tab w:val="left" w:pos="142"/>
        </w:tabs>
      </w:pPr>
      <w:r w:rsidRPr="00CA4080">
        <w:rPr>
          <w:vertAlign w:val="superscript"/>
        </w:rPr>
        <w:t>a</w:t>
      </w:r>
      <w:r w:rsidRPr="00CA4080">
        <w:t xml:space="preserve"> Assuming 5.5 scripts per year as estimated by the submission.</w:t>
      </w:r>
    </w:p>
    <w:p w:rsidR="004416AA" w:rsidRPr="00CA4080" w:rsidRDefault="004416AA" w:rsidP="000E14F8">
      <w:pPr>
        <w:pStyle w:val="TableFooter"/>
        <w:tabs>
          <w:tab w:val="left" w:pos="142"/>
        </w:tabs>
        <w:rPr>
          <w:i/>
        </w:rPr>
      </w:pPr>
      <w:r w:rsidRPr="00CA4080">
        <w:rPr>
          <w:i/>
        </w:rPr>
        <w:lastRenderedPageBreak/>
        <w:t>Figures in italics were calculated during the evaluation</w:t>
      </w:r>
      <w:r w:rsidR="00287ED3" w:rsidRPr="00CA4080">
        <w:rPr>
          <w:i/>
        </w:rPr>
        <w:t xml:space="preserve">, excluding cost offsets associated with </w:t>
      </w:r>
      <w:r w:rsidR="00B65A7D">
        <w:rPr>
          <w:i/>
        </w:rPr>
        <w:t>use of</w:t>
      </w:r>
      <w:r w:rsidR="00287ED3" w:rsidRPr="00CA4080">
        <w:rPr>
          <w:i/>
        </w:rPr>
        <w:t xml:space="preserve"> PBS-listed medicines</w:t>
      </w:r>
      <w:r w:rsidR="00B65A7D">
        <w:rPr>
          <w:i/>
        </w:rPr>
        <w:t xml:space="preserve"> outside the PBS restriction</w:t>
      </w:r>
      <w:r w:rsidR="00972F81">
        <w:rPr>
          <w:i/>
        </w:rPr>
        <w:t xml:space="preserve"> for </w:t>
      </w:r>
      <w:r w:rsidR="00FB23D8">
        <w:rPr>
          <w:i/>
        </w:rPr>
        <w:t xml:space="preserve">CNV due to </w:t>
      </w:r>
      <w:r w:rsidR="00972F81">
        <w:rPr>
          <w:i/>
        </w:rPr>
        <w:t>AMD</w:t>
      </w:r>
      <w:r w:rsidR="00B65A7D">
        <w:rPr>
          <w:i/>
        </w:rPr>
        <w:t>.</w:t>
      </w:r>
    </w:p>
    <w:p w:rsidR="000E14F8" w:rsidRDefault="000E14F8" w:rsidP="000E14F8">
      <w:pPr>
        <w:pStyle w:val="TableFooter"/>
      </w:pPr>
      <w:r w:rsidRPr="00CA4080">
        <w:t xml:space="preserve">Source: Table 4.2-2 p122, </w:t>
      </w:r>
      <w:r w:rsidRPr="00CA4080">
        <w:rPr>
          <w:snapToGrid/>
          <w:lang w:val="en-US" w:eastAsia="en-AU"/>
        </w:rPr>
        <w:t>Table 4.5-4, p137 and Table 4.5-6, p138 of the submission</w:t>
      </w:r>
      <w:r w:rsidRPr="00CA4080">
        <w:t>.</w:t>
      </w:r>
    </w:p>
    <w:p w:rsidR="00BC1567" w:rsidRPr="00BC1567" w:rsidRDefault="00BC1567" w:rsidP="00444855">
      <w:pPr>
        <w:pStyle w:val="TableFooter"/>
        <w:spacing w:before="120"/>
        <w:rPr>
          <w:rStyle w:val="CommentReference"/>
          <w:rFonts w:asciiTheme="minorHAnsi" w:hAnsiTheme="minorHAnsi"/>
          <w:sz w:val="24"/>
          <w:szCs w:val="24"/>
        </w:rPr>
      </w:pPr>
      <w:r>
        <w:rPr>
          <w:rFonts w:asciiTheme="minorHAnsi" w:hAnsiTheme="minorHAnsi"/>
          <w:sz w:val="24"/>
          <w:szCs w:val="24"/>
        </w:rPr>
        <w:t>The redacted table shows that at Year 6 the estimated number of patients was less than 10,000 per year, and the net cost to the PBS would be less than $10 million per year.</w:t>
      </w:r>
    </w:p>
    <w:p w:rsidR="000E14F8" w:rsidRPr="000C0DFF" w:rsidRDefault="000E14F8" w:rsidP="00E567E7">
      <w:pPr>
        <w:pStyle w:val="ListParagraph"/>
        <w:widowControl/>
        <w:numPr>
          <w:ilvl w:val="1"/>
          <w:numId w:val="1"/>
        </w:numPr>
        <w:spacing w:before="160"/>
      </w:pPr>
      <w:r w:rsidRPr="000C0DFF">
        <w:t>The main source of uncertainty in the financial estimates was the size of the eligible patient population. The estimated net cost to the PBS/RPBS could be e</w:t>
      </w:r>
      <w:r w:rsidR="00EC6777" w:rsidRPr="000C0DFF">
        <w:t>ither over- or under-estimated.</w:t>
      </w:r>
      <w:r w:rsidR="00AA64DD" w:rsidRPr="000C0DFF">
        <w:t xml:space="preserve"> The ESC also considered that the financial implications would be</w:t>
      </w:r>
      <w:r w:rsidR="00AA64DD">
        <w:rPr>
          <w:i/>
        </w:rPr>
        <w:t xml:space="preserve"> </w:t>
      </w:r>
      <w:r w:rsidR="00AA64DD" w:rsidRPr="000C0DFF">
        <w:t>sensitive to the number of injections per patient, but was unsure whether the sponsor’s offer in relation to the Risk Sharing Arrangements might address this source of uncertainty.</w:t>
      </w:r>
    </w:p>
    <w:p w:rsidR="00576972" w:rsidRPr="00F94759" w:rsidRDefault="00576972" w:rsidP="00AC1DDD">
      <w:pPr>
        <w:pStyle w:val="Heading2"/>
      </w:pPr>
      <w:bookmarkStart w:id="30" w:name="_Toc503188232"/>
      <w:r w:rsidRPr="00F94759">
        <w:t>Financial Management – Risk Sharing Arrangements</w:t>
      </w:r>
      <w:bookmarkEnd w:id="30"/>
    </w:p>
    <w:p w:rsidR="00576972" w:rsidRPr="000C0DFF" w:rsidRDefault="00055E55" w:rsidP="00E567E7">
      <w:pPr>
        <w:pStyle w:val="ListParagraph"/>
        <w:widowControl/>
        <w:numPr>
          <w:ilvl w:val="1"/>
          <w:numId w:val="1"/>
        </w:numPr>
        <w:spacing w:before="160"/>
      </w:pPr>
      <w:r w:rsidRPr="000C0DFF">
        <w:t>The sponsor proposed that ranibizumab usage in CNV due to PM should be listed at the same published and effective price as the AMD indication and should be incorporated into the RSA negotiated to cover that indication.</w:t>
      </w:r>
    </w:p>
    <w:p w:rsidR="00251495" w:rsidRPr="000C0DFF" w:rsidRDefault="00445228" w:rsidP="00E567E7">
      <w:pPr>
        <w:pStyle w:val="ListParagraph"/>
        <w:widowControl/>
        <w:numPr>
          <w:ilvl w:val="1"/>
          <w:numId w:val="1"/>
        </w:numPr>
        <w:spacing w:before="160" w:after="0"/>
      </w:pPr>
      <w:r w:rsidRPr="00A81CFE">
        <w:t xml:space="preserve">The proposal in the submission, which </w:t>
      </w:r>
      <w:r w:rsidR="00AA64DD" w:rsidRPr="00A81CFE">
        <w:t>wa</w:t>
      </w:r>
      <w:r w:rsidRPr="00A81CFE">
        <w:t xml:space="preserve">s restated in the PSCR, </w:t>
      </w:r>
      <w:r w:rsidR="00AA64DD" w:rsidRPr="00002CD5">
        <w:t>wa</w:t>
      </w:r>
      <w:r w:rsidRPr="00002CD5">
        <w:t>s to have the requested indication in CNV due to PM included in the existing Deed of Agreement for ranibizumab used in AMD,</w:t>
      </w:r>
      <w:r w:rsidRPr="00A81CFE">
        <w:t xml:space="preserve"> to mitigate the risk to the Australian Government of inaccuracies in the estimates.</w:t>
      </w:r>
      <w:r w:rsidRPr="000C0DFF">
        <w:t xml:space="preserve"> </w:t>
      </w:r>
      <w:r w:rsidR="00251495" w:rsidRPr="000C0DFF">
        <w:t>The submission state</w:t>
      </w:r>
      <w:r w:rsidR="00AA64DD" w:rsidRPr="000C0DFF">
        <w:t>d</w:t>
      </w:r>
      <w:r w:rsidR="00251495" w:rsidRPr="000C0DFF">
        <w:t xml:space="preserve"> that further discussion between the sponsor and the Department of Health </w:t>
      </w:r>
      <w:r w:rsidR="00AA64DD" w:rsidRPr="000C0DFF">
        <w:t xml:space="preserve">would be </w:t>
      </w:r>
      <w:r w:rsidR="00251495" w:rsidRPr="000C0DFF">
        <w:t>required for a number of log</w:t>
      </w:r>
      <w:r w:rsidR="00270B3A" w:rsidRPr="000C0DFF">
        <w:t>istical arrangements including:</w:t>
      </w:r>
    </w:p>
    <w:p w:rsidR="00251495" w:rsidRPr="000C0DFF" w:rsidRDefault="00AA64DD" w:rsidP="00E567E7">
      <w:pPr>
        <w:pStyle w:val="ListParagraph"/>
        <w:widowControl/>
        <w:numPr>
          <w:ilvl w:val="0"/>
          <w:numId w:val="6"/>
        </w:numPr>
        <w:spacing w:after="0"/>
        <w:ind w:left="1434" w:hanging="357"/>
      </w:pPr>
      <w:r w:rsidRPr="000C0DFF">
        <w:t>future capping arrangements</w:t>
      </w:r>
    </w:p>
    <w:p w:rsidR="00251495" w:rsidRPr="000C0DFF" w:rsidRDefault="00251495" w:rsidP="00E567E7">
      <w:pPr>
        <w:pStyle w:val="ListParagraph"/>
        <w:widowControl/>
        <w:numPr>
          <w:ilvl w:val="0"/>
          <w:numId w:val="6"/>
        </w:numPr>
        <w:spacing w:after="0"/>
        <w:ind w:left="1434" w:hanging="357"/>
      </w:pPr>
      <w:r w:rsidRPr="000C0DFF">
        <w:t>possible means of identifying CNV secondary to PM usage separate of AMD and RVO usage (such as separate PBS item numbers for each indication)</w:t>
      </w:r>
    </w:p>
    <w:p w:rsidR="00251495" w:rsidRPr="000C0DFF" w:rsidRDefault="00251495" w:rsidP="00F94759">
      <w:pPr>
        <w:pStyle w:val="ListParagraph"/>
        <w:widowControl/>
        <w:numPr>
          <w:ilvl w:val="0"/>
          <w:numId w:val="6"/>
        </w:numPr>
        <w:ind w:left="1434" w:hanging="357"/>
      </w:pPr>
      <w:r w:rsidRPr="000C0DFF">
        <w:t xml:space="preserve">ways in which ranibizumab usage in CNV secondary to PM can be differentiated from aflibercept usage </w:t>
      </w:r>
      <w:r w:rsidRPr="00097B38">
        <w:t>which currently shares the same expenditure cap</w:t>
      </w:r>
      <w:r w:rsidRPr="000C0DFF">
        <w:t>.</w:t>
      </w:r>
    </w:p>
    <w:p w:rsidR="00B9060C" w:rsidRDefault="00B9060C" w:rsidP="00F94759">
      <w:pPr>
        <w:pStyle w:val="PBACHeading1"/>
        <w:numPr>
          <w:ilvl w:val="0"/>
          <w:numId w:val="0"/>
        </w:numPr>
        <w:spacing w:after="160"/>
        <w:ind w:left="720"/>
        <w:rPr>
          <w:b w:val="0"/>
          <w:i/>
          <w:sz w:val="24"/>
          <w:szCs w:val="24"/>
        </w:rPr>
      </w:pPr>
      <w:r w:rsidRPr="00171648">
        <w:rPr>
          <w:b w:val="0"/>
          <w:i/>
          <w:sz w:val="24"/>
          <w:szCs w:val="24"/>
        </w:rPr>
        <w:t>For more detail on PBAC’s view, see section 7 PBAC outcome.</w:t>
      </w:r>
    </w:p>
    <w:p w:rsidR="00E567E7" w:rsidRPr="00DC07E1" w:rsidRDefault="00E567E7" w:rsidP="00AA518B">
      <w:pPr>
        <w:pStyle w:val="PBACHeading1"/>
        <w:spacing w:before="240" w:after="120"/>
        <w:outlineLvl w:val="0"/>
        <w:rPr>
          <w:rFonts w:cs="Times New Roman"/>
          <w:snapToGrid/>
          <w:color w:val="000000" w:themeColor="text1"/>
          <w:sz w:val="24"/>
        </w:rPr>
      </w:pPr>
      <w:r w:rsidRPr="00AE7C93">
        <w:t xml:space="preserve">PBAC </w:t>
      </w:r>
      <w:r w:rsidR="00F94759">
        <w:t>o</w:t>
      </w:r>
      <w:r w:rsidRPr="00AE7C93">
        <w:t>utcome</w:t>
      </w:r>
    </w:p>
    <w:p w:rsidR="002468F5" w:rsidRDefault="00363777" w:rsidP="002468F5">
      <w:pPr>
        <w:numPr>
          <w:ilvl w:val="1"/>
          <w:numId w:val="1"/>
        </w:numPr>
        <w:spacing w:after="120"/>
        <w:rPr>
          <w:rFonts w:asciiTheme="minorHAnsi" w:hAnsiTheme="minorHAnsi"/>
          <w:bCs/>
          <w:lang w:val="en-GB"/>
        </w:rPr>
      </w:pPr>
      <w:r w:rsidRPr="00363777">
        <w:rPr>
          <w:rFonts w:asciiTheme="minorHAnsi" w:hAnsiTheme="minorHAnsi"/>
          <w:bCs/>
          <w:lang w:val="en-GB"/>
        </w:rPr>
        <w:t>The PBAC recommended extending the listing of ranibizumab as</w:t>
      </w:r>
      <w:r w:rsidR="00AA6016">
        <w:rPr>
          <w:rFonts w:asciiTheme="minorHAnsi" w:hAnsiTheme="minorHAnsi"/>
          <w:bCs/>
          <w:lang w:val="en-GB"/>
        </w:rPr>
        <w:t xml:space="preserve"> </w:t>
      </w:r>
      <w:r w:rsidR="003E211D">
        <w:rPr>
          <w:rFonts w:asciiTheme="minorHAnsi" w:hAnsiTheme="minorHAnsi"/>
          <w:bCs/>
          <w:lang w:val="en-GB"/>
        </w:rPr>
        <w:t xml:space="preserve">an </w:t>
      </w:r>
      <w:r w:rsidR="00E06E4D" w:rsidRPr="00363777">
        <w:rPr>
          <w:rFonts w:asciiTheme="minorHAnsi" w:hAnsiTheme="minorHAnsi"/>
          <w:bCs/>
          <w:lang w:val="en-GB"/>
        </w:rPr>
        <w:t>Authority</w:t>
      </w:r>
      <w:r w:rsidRPr="00363777">
        <w:rPr>
          <w:rFonts w:asciiTheme="minorHAnsi" w:hAnsiTheme="minorHAnsi"/>
          <w:bCs/>
          <w:lang w:val="en-GB"/>
        </w:rPr>
        <w:t xml:space="preserve"> required benefit to include treatment </w:t>
      </w:r>
      <w:r w:rsidR="007F6AA0" w:rsidRPr="00363777">
        <w:rPr>
          <w:rFonts w:asciiTheme="minorHAnsi" w:hAnsiTheme="minorHAnsi"/>
          <w:bCs/>
          <w:lang w:val="en-GB"/>
        </w:rPr>
        <w:t xml:space="preserve">of </w:t>
      </w:r>
      <w:r w:rsidR="007F6AA0">
        <w:rPr>
          <w:rFonts w:asciiTheme="minorHAnsi" w:hAnsiTheme="minorHAnsi"/>
          <w:bCs/>
          <w:lang w:val="en-GB"/>
        </w:rPr>
        <w:t xml:space="preserve">subfoveal </w:t>
      </w:r>
      <w:r w:rsidRPr="00363777">
        <w:rPr>
          <w:rFonts w:asciiTheme="minorHAnsi" w:hAnsiTheme="minorHAnsi"/>
          <w:bCs/>
          <w:lang w:val="en-GB"/>
        </w:rPr>
        <w:t>choroidal neovascularisation</w:t>
      </w:r>
      <w:r>
        <w:rPr>
          <w:rFonts w:asciiTheme="minorHAnsi" w:hAnsiTheme="minorHAnsi"/>
          <w:bCs/>
          <w:lang w:val="en-GB"/>
        </w:rPr>
        <w:t xml:space="preserve"> (CNV)</w:t>
      </w:r>
      <w:r w:rsidR="00A86877">
        <w:rPr>
          <w:rFonts w:asciiTheme="minorHAnsi" w:hAnsiTheme="minorHAnsi"/>
          <w:bCs/>
          <w:lang w:val="en-GB"/>
        </w:rPr>
        <w:t xml:space="preserve"> </w:t>
      </w:r>
      <w:r w:rsidR="003E211D">
        <w:rPr>
          <w:rFonts w:asciiTheme="minorHAnsi" w:hAnsiTheme="minorHAnsi"/>
          <w:bCs/>
          <w:lang w:val="en-GB"/>
        </w:rPr>
        <w:t>secondary</w:t>
      </w:r>
      <w:r w:rsidR="00A86877">
        <w:rPr>
          <w:rFonts w:asciiTheme="minorHAnsi" w:hAnsiTheme="minorHAnsi"/>
          <w:bCs/>
          <w:lang w:val="en-GB"/>
        </w:rPr>
        <w:t xml:space="preserve"> to pathologic myopia (PM). </w:t>
      </w:r>
      <w:r w:rsidR="002468F5">
        <w:rPr>
          <w:rFonts w:asciiTheme="minorHAnsi" w:hAnsiTheme="minorHAnsi"/>
          <w:bCs/>
          <w:lang w:val="en-GB"/>
        </w:rPr>
        <w:t xml:space="preserve">The PBAC </w:t>
      </w:r>
      <w:r w:rsidR="00F94759">
        <w:rPr>
          <w:rFonts w:asciiTheme="minorHAnsi" w:hAnsiTheme="minorHAnsi"/>
          <w:bCs/>
          <w:lang w:val="en-GB"/>
        </w:rPr>
        <w:t>wa</w:t>
      </w:r>
      <w:r w:rsidR="002468F5">
        <w:rPr>
          <w:rFonts w:asciiTheme="minorHAnsi" w:hAnsiTheme="minorHAnsi"/>
          <w:bCs/>
          <w:lang w:val="en-GB"/>
        </w:rPr>
        <w:t xml:space="preserve">s satisfied that ranibizumab provides, for some patients, a significant improvement in efficacy compared with no treatment. The PBAC’s recommendation for listing was </w:t>
      </w:r>
      <w:r w:rsidR="00F94759">
        <w:rPr>
          <w:rFonts w:asciiTheme="minorHAnsi" w:hAnsiTheme="minorHAnsi"/>
          <w:bCs/>
          <w:lang w:val="en-GB"/>
        </w:rPr>
        <w:t xml:space="preserve">primarily </w:t>
      </w:r>
      <w:r w:rsidR="002468F5">
        <w:rPr>
          <w:rFonts w:asciiTheme="minorHAnsi" w:hAnsiTheme="minorHAnsi"/>
          <w:bCs/>
          <w:lang w:val="en-GB"/>
        </w:rPr>
        <w:t>based on its assessment that the cost-effectiveness of ranibizumab would be acceptable at the price proposed in the submission</w:t>
      </w:r>
      <w:r w:rsidR="00F94759">
        <w:rPr>
          <w:rFonts w:asciiTheme="minorHAnsi" w:hAnsiTheme="minorHAnsi"/>
          <w:bCs/>
          <w:lang w:val="en-GB"/>
        </w:rPr>
        <w:t xml:space="preserve"> across a wide range of scenario and sensitivity analyses.</w:t>
      </w:r>
    </w:p>
    <w:p w:rsidR="00B1795F" w:rsidRDefault="00B1795F" w:rsidP="00B1795F">
      <w:pPr>
        <w:numPr>
          <w:ilvl w:val="1"/>
          <w:numId w:val="1"/>
        </w:numPr>
        <w:spacing w:after="120"/>
        <w:rPr>
          <w:rFonts w:asciiTheme="minorHAnsi" w:hAnsiTheme="minorHAnsi"/>
          <w:bCs/>
          <w:lang w:val="en-GB"/>
        </w:rPr>
      </w:pPr>
      <w:r>
        <w:rPr>
          <w:rFonts w:asciiTheme="minorHAnsi" w:hAnsiTheme="minorHAnsi"/>
          <w:bCs/>
          <w:lang w:val="en-GB"/>
        </w:rPr>
        <w:t>The PBAC considered there was a clinical need for PBS subsidised treatments for CNV secondary to PM noting that there are currently no PBS listed therapies for t</w:t>
      </w:r>
      <w:r w:rsidR="00F94759">
        <w:rPr>
          <w:rFonts w:asciiTheme="minorHAnsi" w:hAnsiTheme="minorHAnsi"/>
          <w:bCs/>
          <w:lang w:val="en-GB"/>
        </w:rPr>
        <w:t xml:space="preserve">he </w:t>
      </w:r>
      <w:r w:rsidR="00F94759">
        <w:rPr>
          <w:rFonts w:asciiTheme="minorHAnsi" w:hAnsiTheme="minorHAnsi"/>
          <w:bCs/>
          <w:lang w:val="en-GB"/>
        </w:rPr>
        <w:lastRenderedPageBreak/>
        <w:t>treatment of this condition.</w:t>
      </w:r>
    </w:p>
    <w:p w:rsidR="00275145" w:rsidRDefault="00EF6AA3" w:rsidP="00275145">
      <w:pPr>
        <w:numPr>
          <w:ilvl w:val="1"/>
          <w:numId w:val="1"/>
        </w:numPr>
        <w:spacing w:after="120"/>
        <w:rPr>
          <w:rFonts w:asciiTheme="minorHAnsi" w:hAnsiTheme="minorHAnsi"/>
          <w:bCs/>
          <w:lang w:val="en-GB"/>
        </w:rPr>
      </w:pPr>
      <w:r>
        <w:rPr>
          <w:rFonts w:asciiTheme="minorHAnsi" w:hAnsiTheme="minorHAnsi"/>
          <w:bCs/>
          <w:lang w:val="en-GB"/>
        </w:rPr>
        <w:t>The PBAC considered that</w:t>
      </w:r>
      <w:r w:rsidR="00F94759">
        <w:rPr>
          <w:rFonts w:asciiTheme="minorHAnsi" w:hAnsiTheme="minorHAnsi"/>
          <w:bCs/>
          <w:lang w:val="en-GB"/>
        </w:rPr>
        <w:t>,</w:t>
      </w:r>
      <w:r>
        <w:rPr>
          <w:rFonts w:asciiTheme="minorHAnsi" w:hAnsiTheme="minorHAnsi"/>
          <w:bCs/>
          <w:lang w:val="en-GB"/>
        </w:rPr>
        <w:t xml:space="preserve"> consistent with existing administrative arrangements for </w:t>
      </w:r>
      <w:r w:rsidR="00AA6016">
        <w:rPr>
          <w:rFonts w:asciiTheme="minorHAnsi" w:hAnsiTheme="minorHAnsi"/>
          <w:bCs/>
          <w:lang w:val="en-GB"/>
        </w:rPr>
        <w:t>ranibizumab and aflibercept in</w:t>
      </w:r>
      <w:r w:rsidR="007F6AA0">
        <w:rPr>
          <w:rFonts w:asciiTheme="minorHAnsi" w:hAnsiTheme="minorHAnsi"/>
          <w:bCs/>
          <w:lang w:val="en-GB"/>
        </w:rPr>
        <w:t xml:space="preserve"> subfoveal</w:t>
      </w:r>
      <w:r w:rsidR="00AA6016">
        <w:rPr>
          <w:rFonts w:asciiTheme="minorHAnsi" w:hAnsiTheme="minorHAnsi"/>
          <w:bCs/>
          <w:lang w:val="en-GB"/>
        </w:rPr>
        <w:t xml:space="preserve"> CNV due to age-related macular degeneration</w:t>
      </w:r>
      <w:r w:rsidR="00B77DC7">
        <w:rPr>
          <w:rFonts w:asciiTheme="minorHAnsi" w:hAnsiTheme="minorHAnsi"/>
          <w:bCs/>
          <w:lang w:val="en-GB"/>
        </w:rPr>
        <w:t xml:space="preserve"> (AMD)</w:t>
      </w:r>
      <w:r w:rsidR="00AA6016">
        <w:rPr>
          <w:rFonts w:asciiTheme="minorHAnsi" w:hAnsiTheme="minorHAnsi"/>
          <w:bCs/>
          <w:lang w:val="en-GB"/>
        </w:rPr>
        <w:t xml:space="preserve">, </w:t>
      </w:r>
      <w:r w:rsidR="00D82CA7">
        <w:rPr>
          <w:rFonts w:asciiTheme="minorHAnsi" w:hAnsiTheme="minorHAnsi"/>
          <w:bCs/>
          <w:lang w:val="en-GB"/>
        </w:rPr>
        <w:t xml:space="preserve">authority applications would be appropriate. </w:t>
      </w:r>
      <w:r w:rsidR="00EE61A4">
        <w:rPr>
          <w:rFonts w:asciiTheme="minorHAnsi" w:hAnsiTheme="minorHAnsi"/>
          <w:bCs/>
          <w:lang w:val="en-GB"/>
        </w:rPr>
        <w:t xml:space="preserve">The PBAC </w:t>
      </w:r>
      <w:r w:rsidR="00F94759">
        <w:rPr>
          <w:rFonts w:asciiTheme="minorHAnsi" w:hAnsiTheme="minorHAnsi"/>
          <w:bCs/>
          <w:lang w:val="en-GB"/>
        </w:rPr>
        <w:t>advised that</w:t>
      </w:r>
      <w:r w:rsidR="00EE61A4">
        <w:rPr>
          <w:rFonts w:asciiTheme="minorHAnsi" w:hAnsiTheme="minorHAnsi"/>
          <w:bCs/>
          <w:lang w:val="en-GB"/>
        </w:rPr>
        <w:t xml:space="preserve"> the current PBS listing for CNV due to AMD could be amended to allow for a single listing for CNV (due to AMD, PM, or rare conditio</w:t>
      </w:r>
      <w:r w:rsidR="00275145">
        <w:rPr>
          <w:rFonts w:asciiTheme="minorHAnsi" w:hAnsiTheme="minorHAnsi"/>
          <w:bCs/>
          <w:lang w:val="en-GB"/>
        </w:rPr>
        <w:t>ns – see also PSD Item 6.05 ranibizumab, M</w:t>
      </w:r>
      <w:r w:rsidR="00EE61A4">
        <w:rPr>
          <w:rFonts w:asciiTheme="minorHAnsi" w:hAnsiTheme="minorHAnsi"/>
          <w:bCs/>
          <w:lang w:val="en-GB"/>
        </w:rPr>
        <w:t>arch</w:t>
      </w:r>
      <w:r w:rsidR="00275145">
        <w:rPr>
          <w:rFonts w:asciiTheme="minorHAnsi" w:hAnsiTheme="minorHAnsi"/>
          <w:bCs/>
          <w:lang w:val="en-GB"/>
        </w:rPr>
        <w:t xml:space="preserve"> </w:t>
      </w:r>
      <w:r w:rsidR="00EE61A4">
        <w:rPr>
          <w:rFonts w:asciiTheme="minorHAnsi" w:hAnsiTheme="minorHAnsi"/>
          <w:bCs/>
          <w:lang w:val="en-GB"/>
        </w:rPr>
        <w:t>2018</w:t>
      </w:r>
      <w:r w:rsidR="00275145" w:rsidRPr="00275145">
        <w:rPr>
          <w:rFonts w:asciiTheme="minorHAnsi" w:hAnsiTheme="minorHAnsi"/>
          <w:bCs/>
          <w:lang w:val="en-GB"/>
        </w:rPr>
        <w:t xml:space="preserve"> </w:t>
      </w:r>
      <w:r w:rsidR="00275145">
        <w:rPr>
          <w:rFonts w:asciiTheme="minorHAnsi" w:hAnsiTheme="minorHAnsi"/>
          <w:bCs/>
          <w:lang w:val="en-GB"/>
        </w:rPr>
        <w:t>PBAC meeting</w:t>
      </w:r>
      <w:r w:rsidR="00EE61A4">
        <w:rPr>
          <w:rFonts w:asciiTheme="minorHAnsi" w:hAnsiTheme="minorHAnsi"/>
          <w:bCs/>
          <w:lang w:val="en-GB"/>
        </w:rPr>
        <w:t>)</w:t>
      </w:r>
      <w:r w:rsidR="00275145">
        <w:rPr>
          <w:rFonts w:asciiTheme="minorHAnsi" w:hAnsiTheme="minorHAnsi"/>
          <w:bCs/>
          <w:lang w:val="en-GB"/>
        </w:rPr>
        <w:t>.</w:t>
      </w:r>
      <w:r w:rsidR="00EE61A4">
        <w:rPr>
          <w:rFonts w:asciiTheme="minorHAnsi" w:hAnsiTheme="minorHAnsi"/>
          <w:bCs/>
          <w:lang w:val="en-GB"/>
        </w:rPr>
        <w:t xml:space="preserve"> </w:t>
      </w:r>
      <w:r w:rsidR="00AA52F2">
        <w:rPr>
          <w:rFonts w:asciiTheme="minorHAnsi" w:hAnsiTheme="minorHAnsi"/>
          <w:bCs/>
          <w:lang w:val="en-GB"/>
        </w:rPr>
        <w:t>The PBAC also noted that appropriate coordination was in place to amend the MBS item for the codependent technology of OCT</w:t>
      </w:r>
      <w:r w:rsidR="00AA52F2">
        <w:t>.</w:t>
      </w:r>
    </w:p>
    <w:p w:rsidR="00C80488" w:rsidRDefault="00C80488" w:rsidP="00C80488">
      <w:pPr>
        <w:numPr>
          <w:ilvl w:val="1"/>
          <w:numId w:val="1"/>
        </w:numPr>
        <w:spacing w:after="120"/>
        <w:rPr>
          <w:rFonts w:asciiTheme="minorHAnsi" w:hAnsiTheme="minorHAnsi"/>
          <w:bCs/>
          <w:lang w:val="en-GB"/>
        </w:rPr>
      </w:pPr>
      <w:r>
        <w:rPr>
          <w:rFonts w:asciiTheme="minorHAnsi" w:hAnsiTheme="minorHAnsi"/>
          <w:bCs/>
          <w:lang w:val="en-GB"/>
        </w:rPr>
        <w:t>The PBAC considered that the nominated comparator of verteporfin photodynamic therapy (vPDT) is not appropriate to assess the cost-effectiveness of ranibizumab for this condition in this instance. The PBAC noted that</w:t>
      </w:r>
      <w:r w:rsidR="00AA52F2">
        <w:rPr>
          <w:rFonts w:asciiTheme="minorHAnsi" w:hAnsiTheme="minorHAnsi"/>
          <w:bCs/>
          <w:lang w:val="en-GB"/>
        </w:rPr>
        <w:t>,</w:t>
      </w:r>
      <w:r>
        <w:rPr>
          <w:rFonts w:asciiTheme="minorHAnsi" w:hAnsiTheme="minorHAnsi"/>
          <w:bCs/>
          <w:lang w:val="en-GB"/>
        </w:rPr>
        <w:t xml:space="preserve"> although vPDT (subsidised as a medical procedure through the Medical Benefits Sche</w:t>
      </w:r>
      <w:r w:rsidR="00AA52F2">
        <w:rPr>
          <w:rFonts w:asciiTheme="minorHAnsi" w:hAnsiTheme="minorHAnsi"/>
          <w:bCs/>
          <w:lang w:val="en-GB"/>
        </w:rPr>
        <w:t>dul</w:t>
      </w:r>
      <w:r>
        <w:rPr>
          <w:rFonts w:asciiTheme="minorHAnsi" w:hAnsiTheme="minorHAnsi"/>
          <w:bCs/>
          <w:lang w:val="en-GB"/>
        </w:rPr>
        <w:t xml:space="preserve">e) is currently the only subsidised therapy for subfoveal CNV secondary to PM, the cost-effectiveness of verteporfin for the treatment of CNV due to PM has not been previously accepted by the PBAC. Further, the PBAC </w:t>
      </w:r>
      <w:r w:rsidR="00AA52F2">
        <w:rPr>
          <w:rFonts w:asciiTheme="minorHAnsi" w:hAnsiTheme="minorHAnsi"/>
          <w:bCs/>
          <w:lang w:val="en-GB"/>
        </w:rPr>
        <w:t>recalled</w:t>
      </w:r>
      <w:r>
        <w:rPr>
          <w:rFonts w:asciiTheme="minorHAnsi" w:hAnsiTheme="minorHAnsi"/>
          <w:bCs/>
          <w:lang w:val="en-GB"/>
        </w:rPr>
        <w:t xml:space="preserve"> that</w:t>
      </w:r>
      <w:r w:rsidR="00AA52F2">
        <w:rPr>
          <w:rFonts w:asciiTheme="minorHAnsi" w:hAnsiTheme="minorHAnsi"/>
          <w:bCs/>
          <w:lang w:val="en-GB"/>
        </w:rPr>
        <w:t>,</w:t>
      </w:r>
      <w:r>
        <w:rPr>
          <w:rFonts w:asciiTheme="minorHAnsi" w:hAnsiTheme="minorHAnsi"/>
          <w:bCs/>
          <w:lang w:val="en-GB"/>
        </w:rPr>
        <w:t xml:space="preserve"> at its November 2005 meeting, it did not recommend </w:t>
      </w:r>
      <w:r w:rsidR="00AA52F2">
        <w:rPr>
          <w:rFonts w:asciiTheme="minorHAnsi" w:hAnsiTheme="minorHAnsi"/>
          <w:bCs/>
          <w:lang w:val="en-GB"/>
        </w:rPr>
        <w:t xml:space="preserve">the </w:t>
      </w:r>
      <w:r>
        <w:rPr>
          <w:rFonts w:asciiTheme="minorHAnsi" w:hAnsiTheme="minorHAnsi"/>
          <w:bCs/>
          <w:lang w:val="en-GB"/>
        </w:rPr>
        <w:t xml:space="preserve">listing of verteporfin for the treatment of CNV due to other macular diseases because of unacceptable cost-effectiveness. The PBAC agreed with </w:t>
      </w:r>
      <w:r w:rsidR="00BE3FB6">
        <w:rPr>
          <w:rFonts w:asciiTheme="minorHAnsi" w:hAnsiTheme="minorHAnsi"/>
          <w:bCs/>
          <w:lang w:val="en-GB"/>
        </w:rPr>
        <w:t>the</w:t>
      </w:r>
      <w:r>
        <w:rPr>
          <w:rFonts w:asciiTheme="minorHAnsi" w:hAnsiTheme="minorHAnsi"/>
          <w:bCs/>
          <w:lang w:val="en-GB"/>
        </w:rPr>
        <w:t xml:space="preserve"> ESC that</w:t>
      </w:r>
      <w:r w:rsidR="00AA52F2">
        <w:rPr>
          <w:rFonts w:asciiTheme="minorHAnsi" w:hAnsiTheme="minorHAnsi"/>
          <w:bCs/>
          <w:lang w:val="en-GB"/>
        </w:rPr>
        <w:t>,</w:t>
      </w:r>
      <w:r>
        <w:rPr>
          <w:rFonts w:asciiTheme="minorHAnsi" w:hAnsiTheme="minorHAnsi"/>
          <w:bCs/>
          <w:lang w:val="en-GB"/>
        </w:rPr>
        <w:t xml:space="preserve"> in the absence of a treatment that has been determined to be cost-effective for this indication, sham injection (for no treatment) </w:t>
      </w:r>
      <w:r w:rsidR="00AA52F2">
        <w:rPr>
          <w:rFonts w:asciiTheme="minorHAnsi" w:hAnsiTheme="minorHAnsi"/>
          <w:bCs/>
          <w:lang w:val="en-GB"/>
        </w:rPr>
        <w:t>wa</w:t>
      </w:r>
      <w:r>
        <w:rPr>
          <w:rFonts w:asciiTheme="minorHAnsi" w:hAnsiTheme="minorHAnsi"/>
          <w:bCs/>
          <w:lang w:val="en-GB"/>
        </w:rPr>
        <w:t xml:space="preserve">s the most appropriate comparator for assessing the cost-effectiveness of ranibizumab for the treatment of CNV due to PM. As such, the PBAC considered that the economic evaluation presented in the submission, claiming dominance of ranibizumab compared to vPDT was not </w:t>
      </w:r>
      <w:r w:rsidR="00AA52F2">
        <w:rPr>
          <w:rFonts w:asciiTheme="minorHAnsi" w:hAnsiTheme="minorHAnsi"/>
          <w:bCs/>
          <w:lang w:val="en-GB"/>
        </w:rPr>
        <w:t xml:space="preserve">directly </w:t>
      </w:r>
      <w:r>
        <w:rPr>
          <w:rFonts w:asciiTheme="minorHAnsi" w:hAnsiTheme="minorHAnsi"/>
          <w:bCs/>
          <w:lang w:val="en-GB"/>
        </w:rPr>
        <w:t>informative.</w:t>
      </w:r>
    </w:p>
    <w:p w:rsidR="00D30983" w:rsidRDefault="00D30983" w:rsidP="00363777">
      <w:pPr>
        <w:numPr>
          <w:ilvl w:val="1"/>
          <w:numId w:val="1"/>
        </w:numPr>
        <w:spacing w:after="120"/>
        <w:rPr>
          <w:rFonts w:asciiTheme="minorHAnsi" w:hAnsiTheme="minorHAnsi"/>
          <w:bCs/>
          <w:lang w:val="en-GB"/>
        </w:rPr>
      </w:pPr>
      <w:r>
        <w:rPr>
          <w:rFonts w:asciiTheme="minorHAnsi" w:hAnsiTheme="minorHAnsi"/>
          <w:bCs/>
          <w:lang w:val="en-GB"/>
        </w:rPr>
        <w:t>The PBAC noted that the submission was based on two head-to-head randomised trials, RADIANCE and BRILLIANCE, comparing ranibizumab</w:t>
      </w:r>
      <w:r w:rsidR="007B7491">
        <w:rPr>
          <w:rFonts w:asciiTheme="minorHAnsi" w:hAnsiTheme="minorHAnsi"/>
          <w:bCs/>
          <w:lang w:val="en-GB"/>
        </w:rPr>
        <w:t xml:space="preserve"> treatment guided by visual acuity stabilisation or disease activity</w:t>
      </w:r>
      <w:r>
        <w:rPr>
          <w:rFonts w:asciiTheme="minorHAnsi" w:hAnsiTheme="minorHAnsi"/>
          <w:bCs/>
          <w:lang w:val="en-GB"/>
        </w:rPr>
        <w:t xml:space="preserve"> to vPDT in adult patients with CNV secondary to PM. </w:t>
      </w:r>
      <w:r w:rsidR="008B7A78">
        <w:rPr>
          <w:rFonts w:asciiTheme="minorHAnsi" w:hAnsiTheme="minorHAnsi"/>
          <w:bCs/>
          <w:lang w:val="en-GB"/>
        </w:rPr>
        <w:t>The PBAC</w:t>
      </w:r>
      <w:r w:rsidR="00145999">
        <w:rPr>
          <w:rFonts w:asciiTheme="minorHAnsi" w:hAnsiTheme="minorHAnsi"/>
          <w:bCs/>
          <w:lang w:val="en-GB"/>
        </w:rPr>
        <w:t xml:space="preserve"> noted that</w:t>
      </w:r>
      <w:r w:rsidR="00AA52F2">
        <w:rPr>
          <w:rFonts w:asciiTheme="minorHAnsi" w:hAnsiTheme="minorHAnsi"/>
          <w:bCs/>
          <w:lang w:val="en-GB"/>
        </w:rPr>
        <w:t>, f</w:t>
      </w:r>
      <w:r w:rsidR="00705817">
        <w:rPr>
          <w:rFonts w:asciiTheme="minorHAnsi" w:hAnsiTheme="minorHAnsi"/>
          <w:bCs/>
          <w:lang w:val="en-GB"/>
        </w:rPr>
        <w:t xml:space="preserve">or both trials, there </w:t>
      </w:r>
      <w:r w:rsidR="00AA52F2">
        <w:rPr>
          <w:rFonts w:asciiTheme="minorHAnsi" w:hAnsiTheme="minorHAnsi"/>
          <w:bCs/>
          <w:lang w:val="en-GB"/>
        </w:rPr>
        <w:t>wa</w:t>
      </w:r>
      <w:r w:rsidR="00272DCC">
        <w:rPr>
          <w:rFonts w:asciiTheme="minorHAnsi" w:hAnsiTheme="minorHAnsi"/>
          <w:bCs/>
          <w:lang w:val="en-GB"/>
        </w:rPr>
        <w:t xml:space="preserve">s </w:t>
      </w:r>
      <w:r w:rsidR="00705817">
        <w:rPr>
          <w:rFonts w:asciiTheme="minorHAnsi" w:hAnsiTheme="minorHAnsi"/>
          <w:bCs/>
          <w:lang w:val="en-GB"/>
        </w:rPr>
        <w:t xml:space="preserve">only 3 months of </w:t>
      </w:r>
      <w:r w:rsidR="00F05EF3">
        <w:rPr>
          <w:rFonts w:asciiTheme="minorHAnsi" w:hAnsiTheme="minorHAnsi"/>
          <w:bCs/>
          <w:lang w:val="en-GB"/>
        </w:rPr>
        <w:t xml:space="preserve">randomised </w:t>
      </w:r>
      <w:r w:rsidR="00705817">
        <w:rPr>
          <w:rFonts w:asciiTheme="minorHAnsi" w:hAnsiTheme="minorHAnsi"/>
          <w:bCs/>
          <w:lang w:val="en-GB"/>
        </w:rPr>
        <w:t>comparative data</w:t>
      </w:r>
      <w:r w:rsidR="00272DCC">
        <w:rPr>
          <w:rFonts w:asciiTheme="minorHAnsi" w:hAnsiTheme="minorHAnsi"/>
          <w:bCs/>
          <w:lang w:val="en-GB"/>
        </w:rPr>
        <w:t xml:space="preserve"> available</w:t>
      </w:r>
      <w:r w:rsidR="00705817">
        <w:rPr>
          <w:rFonts w:asciiTheme="minorHAnsi" w:hAnsiTheme="minorHAnsi"/>
          <w:bCs/>
          <w:lang w:val="en-GB"/>
        </w:rPr>
        <w:t xml:space="preserve"> due to the majority of patients in the vPDT arms switching to ran</w:t>
      </w:r>
      <w:r w:rsidR="00AA52F2">
        <w:rPr>
          <w:rFonts w:asciiTheme="minorHAnsi" w:hAnsiTheme="minorHAnsi"/>
          <w:bCs/>
          <w:lang w:val="en-GB"/>
        </w:rPr>
        <w:t>ibizumab at the end of month 3.</w:t>
      </w:r>
    </w:p>
    <w:p w:rsidR="00805DD7" w:rsidRDefault="00DB3916" w:rsidP="00363777">
      <w:pPr>
        <w:numPr>
          <w:ilvl w:val="1"/>
          <w:numId w:val="1"/>
        </w:numPr>
        <w:spacing w:after="120"/>
        <w:rPr>
          <w:rFonts w:asciiTheme="minorHAnsi" w:hAnsiTheme="minorHAnsi"/>
          <w:bCs/>
          <w:lang w:val="en-GB"/>
        </w:rPr>
      </w:pPr>
      <w:r>
        <w:rPr>
          <w:rFonts w:asciiTheme="minorHAnsi" w:hAnsiTheme="minorHAnsi"/>
          <w:bCs/>
          <w:lang w:val="en-GB"/>
        </w:rPr>
        <w:t xml:space="preserve">The PBAC noted </w:t>
      </w:r>
      <w:r w:rsidR="00160BDE">
        <w:rPr>
          <w:rFonts w:asciiTheme="minorHAnsi" w:hAnsiTheme="minorHAnsi"/>
          <w:bCs/>
          <w:lang w:val="en-GB"/>
        </w:rPr>
        <w:t xml:space="preserve">that </w:t>
      </w:r>
      <w:r w:rsidR="003C3510">
        <w:rPr>
          <w:rFonts w:asciiTheme="minorHAnsi" w:hAnsiTheme="minorHAnsi"/>
          <w:bCs/>
          <w:lang w:val="en-GB"/>
        </w:rPr>
        <w:t xml:space="preserve">the </w:t>
      </w:r>
      <w:r w:rsidR="005F7266">
        <w:rPr>
          <w:rFonts w:asciiTheme="minorHAnsi" w:hAnsiTheme="minorHAnsi"/>
          <w:bCs/>
          <w:lang w:val="en-GB"/>
        </w:rPr>
        <w:t xml:space="preserve">mean differences </w:t>
      </w:r>
      <w:r w:rsidR="003C3510">
        <w:rPr>
          <w:rFonts w:asciiTheme="minorHAnsi" w:hAnsiTheme="minorHAnsi"/>
          <w:bCs/>
          <w:lang w:val="en-GB"/>
        </w:rPr>
        <w:t xml:space="preserve">in </w:t>
      </w:r>
      <w:r w:rsidR="00683B78">
        <w:rPr>
          <w:rFonts w:asciiTheme="minorHAnsi" w:hAnsiTheme="minorHAnsi"/>
          <w:bCs/>
          <w:lang w:val="en-GB"/>
        </w:rPr>
        <w:t xml:space="preserve">mean average </w:t>
      </w:r>
      <w:r w:rsidR="00055B7B">
        <w:rPr>
          <w:rFonts w:asciiTheme="minorHAnsi" w:hAnsiTheme="minorHAnsi"/>
          <w:bCs/>
          <w:lang w:val="en-GB"/>
        </w:rPr>
        <w:t xml:space="preserve">change </w:t>
      </w:r>
      <w:r>
        <w:rPr>
          <w:rFonts w:asciiTheme="minorHAnsi" w:hAnsiTheme="minorHAnsi"/>
          <w:bCs/>
          <w:lang w:val="en-GB"/>
        </w:rPr>
        <w:t>from baseline</w:t>
      </w:r>
      <w:r w:rsidR="00DA3356">
        <w:rPr>
          <w:rFonts w:asciiTheme="minorHAnsi" w:hAnsiTheme="minorHAnsi"/>
          <w:bCs/>
          <w:lang w:val="en-GB"/>
        </w:rPr>
        <w:t xml:space="preserve"> to Month 1 through Month 3 in</w:t>
      </w:r>
      <w:r>
        <w:rPr>
          <w:rFonts w:asciiTheme="minorHAnsi" w:hAnsiTheme="minorHAnsi"/>
          <w:bCs/>
          <w:lang w:val="en-GB"/>
        </w:rPr>
        <w:t xml:space="preserve"> best corrected visual acuity (BCVA)</w:t>
      </w:r>
      <w:r w:rsidR="003C3510">
        <w:rPr>
          <w:rFonts w:asciiTheme="minorHAnsi" w:hAnsiTheme="minorHAnsi"/>
          <w:bCs/>
          <w:lang w:val="en-GB"/>
        </w:rPr>
        <w:t xml:space="preserve"> </w:t>
      </w:r>
      <w:r w:rsidR="005F7266">
        <w:rPr>
          <w:rFonts w:asciiTheme="minorHAnsi" w:hAnsiTheme="minorHAnsi"/>
          <w:bCs/>
          <w:lang w:val="en-GB"/>
        </w:rPr>
        <w:t xml:space="preserve">for ranibizumab over vPDT </w:t>
      </w:r>
      <w:r w:rsidR="003C3510">
        <w:rPr>
          <w:rFonts w:asciiTheme="minorHAnsi" w:hAnsiTheme="minorHAnsi"/>
          <w:bCs/>
          <w:lang w:val="en-GB"/>
        </w:rPr>
        <w:t xml:space="preserve">of </w:t>
      </w:r>
      <w:r w:rsidR="005F7266">
        <w:rPr>
          <w:rFonts w:asciiTheme="minorHAnsi" w:hAnsiTheme="minorHAnsi"/>
          <w:bCs/>
          <w:lang w:val="en-GB"/>
        </w:rPr>
        <w:t>8.5</w:t>
      </w:r>
      <w:r w:rsidR="003C3510">
        <w:rPr>
          <w:rFonts w:asciiTheme="minorHAnsi" w:hAnsiTheme="minorHAnsi"/>
          <w:bCs/>
          <w:lang w:val="en-GB"/>
        </w:rPr>
        <w:t xml:space="preserve"> to </w:t>
      </w:r>
      <w:r w:rsidR="005F7266">
        <w:rPr>
          <w:rFonts w:asciiTheme="minorHAnsi" w:hAnsiTheme="minorHAnsi"/>
          <w:bCs/>
          <w:lang w:val="en-GB"/>
        </w:rPr>
        <w:t>8.6</w:t>
      </w:r>
      <w:r w:rsidR="003C3510">
        <w:rPr>
          <w:rFonts w:asciiTheme="minorHAnsi" w:hAnsiTheme="minorHAnsi"/>
          <w:bCs/>
          <w:lang w:val="en-GB"/>
        </w:rPr>
        <w:t xml:space="preserve"> letters</w:t>
      </w:r>
      <w:r w:rsidR="00DA3356">
        <w:rPr>
          <w:rFonts w:asciiTheme="minorHAnsi" w:hAnsiTheme="minorHAnsi"/>
          <w:bCs/>
          <w:lang w:val="en-GB"/>
        </w:rPr>
        <w:t xml:space="preserve"> in the </w:t>
      </w:r>
      <w:r w:rsidR="005F7266">
        <w:rPr>
          <w:rFonts w:asciiTheme="minorHAnsi" w:hAnsiTheme="minorHAnsi"/>
          <w:bCs/>
          <w:lang w:val="en-GB"/>
        </w:rPr>
        <w:t xml:space="preserve">RADIANCE trial and </w:t>
      </w:r>
      <w:r w:rsidR="00042B67">
        <w:rPr>
          <w:rFonts w:asciiTheme="minorHAnsi" w:hAnsiTheme="minorHAnsi"/>
          <w:bCs/>
          <w:noProof/>
          <w:color w:val="000000"/>
          <w:highlight w:val="black"/>
          <w:lang w:val="en-GB"/>
        </w:rPr>
        <w:t xml:space="preserve">''''''' ''''' '''''' </w:t>
      </w:r>
      <w:r w:rsidR="003C3510" w:rsidRPr="00914A5D">
        <w:rPr>
          <w:rFonts w:asciiTheme="minorHAnsi" w:hAnsiTheme="minorHAnsi"/>
          <w:bCs/>
          <w:lang w:val="en-GB"/>
        </w:rPr>
        <w:t>letters</w:t>
      </w:r>
      <w:r w:rsidR="003C3510">
        <w:rPr>
          <w:rFonts w:asciiTheme="minorHAnsi" w:hAnsiTheme="minorHAnsi"/>
          <w:bCs/>
          <w:lang w:val="en-GB"/>
        </w:rPr>
        <w:t xml:space="preserve"> in the </w:t>
      </w:r>
      <w:r w:rsidR="009E599F">
        <w:rPr>
          <w:rFonts w:asciiTheme="minorHAnsi" w:hAnsiTheme="minorHAnsi"/>
          <w:bCs/>
          <w:lang w:val="en-GB"/>
        </w:rPr>
        <w:t>BRILLIANCE</w:t>
      </w:r>
      <w:r w:rsidR="003C3510">
        <w:rPr>
          <w:rFonts w:asciiTheme="minorHAnsi" w:hAnsiTheme="minorHAnsi"/>
          <w:bCs/>
          <w:lang w:val="en-GB"/>
        </w:rPr>
        <w:t xml:space="preserve"> trial</w:t>
      </w:r>
      <w:r w:rsidR="00055B7B">
        <w:rPr>
          <w:rFonts w:asciiTheme="minorHAnsi" w:hAnsiTheme="minorHAnsi"/>
          <w:bCs/>
          <w:lang w:val="en-GB"/>
        </w:rPr>
        <w:t xml:space="preserve">. </w:t>
      </w:r>
      <w:r w:rsidR="00E2059A">
        <w:rPr>
          <w:rFonts w:asciiTheme="minorHAnsi" w:hAnsiTheme="minorHAnsi"/>
          <w:bCs/>
          <w:lang w:val="en-GB"/>
        </w:rPr>
        <w:t>The PBAC recalled</w:t>
      </w:r>
      <w:r w:rsidR="00FC3494">
        <w:rPr>
          <w:rFonts w:asciiTheme="minorHAnsi" w:hAnsiTheme="minorHAnsi"/>
          <w:bCs/>
          <w:lang w:val="en-GB"/>
        </w:rPr>
        <w:t xml:space="preserve"> that it previously recommended extending the listing of ranibizumab to include treatment </w:t>
      </w:r>
      <w:r w:rsidR="005B285C">
        <w:rPr>
          <w:rFonts w:asciiTheme="minorHAnsi" w:hAnsiTheme="minorHAnsi"/>
          <w:bCs/>
          <w:lang w:val="en-GB"/>
        </w:rPr>
        <w:t>of diabetic</w:t>
      </w:r>
      <w:r w:rsidR="00FC3494">
        <w:rPr>
          <w:rFonts w:asciiTheme="minorHAnsi" w:hAnsiTheme="minorHAnsi"/>
          <w:bCs/>
          <w:lang w:val="en-GB"/>
        </w:rPr>
        <w:t xml:space="preserve"> macula</w:t>
      </w:r>
      <w:r w:rsidR="00AA52F2">
        <w:rPr>
          <w:rFonts w:asciiTheme="minorHAnsi" w:hAnsiTheme="minorHAnsi"/>
          <w:bCs/>
          <w:lang w:val="en-GB"/>
        </w:rPr>
        <w:t>r</w:t>
      </w:r>
      <w:r w:rsidR="00FC3494">
        <w:rPr>
          <w:rFonts w:asciiTheme="minorHAnsi" w:hAnsiTheme="minorHAnsi"/>
          <w:bCs/>
          <w:lang w:val="en-GB"/>
        </w:rPr>
        <w:t xml:space="preserve"> oedema (DME) on the basis of </w:t>
      </w:r>
      <w:r w:rsidR="005B285C">
        <w:rPr>
          <w:rFonts w:asciiTheme="minorHAnsi" w:hAnsiTheme="minorHAnsi"/>
          <w:bCs/>
          <w:lang w:val="en-GB"/>
        </w:rPr>
        <w:t xml:space="preserve">an improvement of 5 letters or more. The PBAC also recalled that it previously considered that the overall clinical meaningfulness of an improvement of 5 or more letters in the treated eye will depend on the baseline visual acuity of the patient in both eyes and on the subsequent overall visual acuity during and after treatment. </w:t>
      </w:r>
      <w:r w:rsidR="00B85021">
        <w:rPr>
          <w:rFonts w:asciiTheme="minorHAnsi" w:hAnsiTheme="minorHAnsi"/>
          <w:bCs/>
          <w:lang w:val="en-GB"/>
        </w:rPr>
        <w:t>The PBAC accepted the submission’s proposed</w:t>
      </w:r>
      <w:r w:rsidR="009E599F">
        <w:rPr>
          <w:rFonts w:asciiTheme="minorHAnsi" w:hAnsiTheme="minorHAnsi"/>
          <w:bCs/>
          <w:lang w:val="en-GB"/>
        </w:rPr>
        <w:t xml:space="preserve"> </w:t>
      </w:r>
      <w:r w:rsidR="005F7266">
        <w:rPr>
          <w:rFonts w:asciiTheme="minorHAnsi" w:hAnsiTheme="minorHAnsi"/>
          <w:bCs/>
          <w:lang w:val="en-GB"/>
        </w:rPr>
        <w:t xml:space="preserve">minimally important clinical </w:t>
      </w:r>
      <w:r w:rsidR="00B85021">
        <w:rPr>
          <w:rFonts w:asciiTheme="minorHAnsi" w:hAnsiTheme="minorHAnsi"/>
          <w:bCs/>
          <w:lang w:val="en-GB"/>
        </w:rPr>
        <w:t>differen</w:t>
      </w:r>
      <w:r w:rsidR="009E599F">
        <w:rPr>
          <w:rFonts w:asciiTheme="minorHAnsi" w:hAnsiTheme="minorHAnsi"/>
          <w:bCs/>
          <w:lang w:val="en-GB"/>
        </w:rPr>
        <w:t xml:space="preserve">ce of at least 5 letters in </w:t>
      </w:r>
      <w:r w:rsidR="00B85021">
        <w:rPr>
          <w:rFonts w:asciiTheme="minorHAnsi" w:hAnsiTheme="minorHAnsi"/>
          <w:bCs/>
          <w:lang w:val="en-GB"/>
        </w:rPr>
        <w:t>BCVA</w:t>
      </w:r>
      <w:r w:rsidR="00AC201E">
        <w:rPr>
          <w:rFonts w:asciiTheme="minorHAnsi" w:hAnsiTheme="minorHAnsi"/>
          <w:bCs/>
          <w:lang w:val="en-GB"/>
        </w:rPr>
        <w:t xml:space="preserve"> </w:t>
      </w:r>
      <w:r w:rsidR="00B85021">
        <w:rPr>
          <w:rFonts w:asciiTheme="minorHAnsi" w:hAnsiTheme="minorHAnsi"/>
          <w:bCs/>
          <w:lang w:val="en-GB"/>
        </w:rPr>
        <w:t>based on the evidence presented</w:t>
      </w:r>
      <w:r w:rsidR="00AC201E">
        <w:rPr>
          <w:rFonts w:asciiTheme="minorHAnsi" w:hAnsiTheme="minorHAnsi"/>
          <w:bCs/>
          <w:lang w:val="en-GB"/>
        </w:rPr>
        <w:t>,</w:t>
      </w:r>
      <w:r w:rsidR="009E599F">
        <w:rPr>
          <w:rFonts w:asciiTheme="minorHAnsi" w:hAnsiTheme="minorHAnsi"/>
          <w:bCs/>
          <w:lang w:val="en-GB"/>
        </w:rPr>
        <w:t xml:space="preserve"> noting that mean BCVA at baseline was 55 letters and </w:t>
      </w:r>
      <w:r w:rsidR="00042B67">
        <w:rPr>
          <w:rFonts w:asciiTheme="minorHAnsi" w:hAnsiTheme="minorHAnsi"/>
          <w:bCs/>
          <w:noProof/>
          <w:color w:val="000000"/>
          <w:highlight w:val="black"/>
          <w:lang w:val="en-GB"/>
        </w:rPr>
        <w:t>''''''</w:t>
      </w:r>
      <w:r w:rsidR="009E599F">
        <w:rPr>
          <w:rFonts w:asciiTheme="minorHAnsi" w:hAnsiTheme="minorHAnsi"/>
          <w:bCs/>
          <w:lang w:val="en-GB"/>
        </w:rPr>
        <w:t xml:space="preserve"> letters in the RADIANCE </w:t>
      </w:r>
      <w:r w:rsidR="009E599F">
        <w:rPr>
          <w:rFonts w:asciiTheme="minorHAnsi" w:hAnsiTheme="minorHAnsi"/>
          <w:bCs/>
          <w:lang w:val="en-GB"/>
        </w:rPr>
        <w:lastRenderedPageBreak/>
        <w:t>and</w:t>
      </w:r>
      <w:r w:rsidR="0026690A">
        <w:rPr>
          <w:rFonts w:asciiTheme="minorHAnsi" w:hAnsiTheme="minorHAnsi"/>
          <w:bCs/>
          <w:lang w:val="en-GB"/>
        </w:rPr>
        <w:t xml:space="preserve"> BRILLIANCE trial respectively.</w:t>
      </w:r>
    </w:p>
    <w:p w:rsidR="00A64D45" w:rsidRDefault="006D6936" w:rsidP="00363777">
      <w:pPr>
        <w:numPr>
          <w:ilvl w:val="1"/>
          <w:numId w:val="1"/>
        </w:numPr>
        <w:spacing w:after="120"/>
        <w:rPr>
          <w:rFonts w:asciiTheme="minorHAnsi" w:hAnsiTheme="minorHAnsi"/>
          <w:bCs/>
          <w:lang w:val="en-GB"/>
        </w:rPr>
      </w:pPr>
      <w:r w:rsidRPr="00A64D45">
        <w:rPr>
          <w:rFonts w:asciiTheme="minorHAnsi" w:hAnsiTheme="minorHAnsi"/>
          <w:bCs/>
          <w:lang w:val="en-GB"/>
        </w:rPr>
        <w:t xml:space="preserve">The PBAC </w:t>
      </w:r>
      <w:r w:rsidR="005F7266">
        <w:rPr>
          <w:rFonts w:asciiTheme="minorHAnsi" w:hAnsiTheme="minorHAnsi"/>
          <w:bCs/>
          <w:lang w:val="en-GB"/>
        </w:rPr>
        <w:t xml:space="preserve">therefore </w:t>
      </w:r>
      <w:r w:rsidRPr="00A64D45">
        <w:rPr>
          <w:rFonts w:asciiTheme="minorHAnsi" w:hAnsiTheme="minorHAnsi"/>
          <w:bCs/>
          <w:lang w:val="en-GB"/>
        </w:rPr>
        <w:t xml:space="preserve">considered </w:t>
      </w:r>
      <w:r w:rsidR="00AB4883">
        <w:rPr>
          <w:rFonts w:asciiTheme="minorHAnsi" w:hAnsiTheme="minorHAnsi"/>
          <w:bCs/>
          <w:lang w:val="en-GB"/>
        </w:rPr>
        <w:t xml:space="preserve">that </w:t>
      </w:r>
      <w:r w:rsidRPr="00A64D45">
        <w:rPr>
          <w:rFonts w:asciiTheme="minorHAnsi" w:hAnsiTheme="minorHAnsi"/>
          <w:bCs/>
          <w:lang w:val="en-GB"/>
        </w:rPr>
        <w:t xml:space="preserve">the claim of superior efficacy </w:t>
      </w:r>
      <w:r w:rsidR="00AB4883">
        <w:rPr>
          <w:rFonts w:asciiTheme="minorHAnsi" w:hAnsiTheme="minorHAnsi"/>
          <w:bCs/>
          <w:lang w:val="en-GB"/>
        </w:rPr>
        <w:t>over</w:t>
      </w:r>
      <w:r w:rsidRPr="00A64D45">
        <w:rPr>
          <w:rFonts w:asciiTheme="minorHAnsi" w:hAnsiTheme="minorHAnsi"/>
          <w:bCs/>
          <w:lang w:val="en-GB"/>
        </w:rPr>
        <w:t xml:space="preserve"> vPDT was reasonable</w:t>
      </w:r>
      <w:r w:rsidR="003D2B35" w:rsidRPr="00A64D45">
        <w:rPr>
          <w:rFonts w:asciiTheme="minorHAnsi" w:hAnsiTheme="minorHAnsi"/>
          <w:bCs/>
          <w:lang w:val="en-GB"/>
        </w:rPr>
        <w:t xml:space="preserve">. </w:t>
      </w:r>
      <w:r w:rsidR="00A64D45">
        <w:rPr>
          <w:rFonts w:asciiTheme="minorHAnsi" w:hAnsiTheme="minorHAnsi"/>
          <w:bCs/>
          <w:lang w:val="en-GB"/>
        </w:rPr>
        <w:t>The PBAC</w:t>
      </w:r>
      <w:r w:rsidR="00A64D45" w:rsidRPr="00A64D45">
        <w:rPr>
          <w:rFonts w:asciiTheme="minorHAnsi" w:hAnsiTheme="minorHAnsi"/>
          <w:bCs/>
          <w:lang w:val="en-GB"/>
        </w:rPr>
        <w:t xml:space="preserve"> </w:t>
      </w:r>
      <w:r w:rsidR="005F7266">
        <w:rPr>
          <w:rFonts w:asciiTheme="minorHAnsi" w:hAnsiTheme="minorHAnsi"/>
          <w:bCs/>
          <w:lang w:val="en-GB"/>
        </w:rPr>
        <w:t xml:space="preserve">also </w:t>
      </w:r>
      <w:r w:rsidR="00A64D45">
        <w:rPr>
          <w:rFonts w:asciiTheme="minorHAnsi" w:hAnsiTheme="minorHAnsi"/>
          <w:bCs/>
          <w:lang w:val="en-GB"/>
        </w:rPr>
        <w:t>noted</w:t>
      </w:r>
      <w:r w:rsidR="00A64D45" w:rsidRPr="00A64D45">
        <w:rPr>
          <w:rFonts w:asciiTheme="minorHAnsi" w:hAnsiTheme="minorHAnsi"/>
          <w:bCs/>
          <w:lang w:val="en-GB"/>
        </w:rPr>
        <w:t xml:space="preserve"> that data from Tan et al 2017 provided some support of the long-term safe</w:t>
      </w:r>
      <w:r w:rsidR="005F7266">
        <w:rPr>
          <w:rFonts w:asciiTheme="minorHAnsi" w:hAnsiTheme="minorHAnsi"/>
          <w:bCs/>
          <w:lang w:val="en-GB"/>
        </w:rPr>
        <w:t>ty and efficacy of ranibizumab.</w:t>
      </w:r>
    </w:p>
    <w:p w:rsidR="00AC201E" w:rsidRPr="00A64D45" w:rsidRDefault="00A64D45" w:rsidP="00363777">
      <w:pPr>
        <w:numPr>
          <w:ilvl w:val="1"/>
          <w:numId w:val="1"/>
        </w:numPr>
        <w:spacing w:after="120"/>
        <w:rPr>
          <w:rFonts w:asciiTheme="minorHAnsi" w:hAnsiTheme="minorHAnsi"/>
          <w:bCs/>
          <w:lang w:val="en-GB"/>
        </w:rPr>
      </w:pPr>
      <w:r w:rsidRPr="00A64D45">
        <w:rPr>
          <w:rFonts w:asciiTheme="minorHAnsi" w:hAnsiTheme="minorHAnsi"/>
          <w:bCs/>
          <w:lang w:val="en-GB"/>
        </w:rPr>
        <w:t>The</w:t>
      </w:r>
      <w:r w:rsidR="0049445C" w:rsidRPr="00A64D45">
        <w:rPr>
          <w:rFonts w:asciiTheme="minorHAnsi" w:hAnsiTheme="minorHAnsi"/>
          <w:bCs/>
          <w:lang w:val="en-GB"/>
        </w:rPr>
        <w:t xml:space="preserve"> PBAC </w:t>
      </w:r>
      <w:r w:rsidR="005F236B" w:rsidRPr="00A64D45">
        <w:rPr>
          <w:rFonts w:asciiTheme="minorHAnsi" w:hAnsiTheme="minorHAnsi"/>
          <w:bCs/>
          <w:lang w:val="en-GB"/>
        </w:rPr>
        <w:t xml:space="preserve">noted </w:t>
      </w:r>
      <w:r w:rsidR="0049445C" w:rsidRPr="00A64D45">
        <w:rPr>
          <w:rFonts w:asciiTheme="minorHAnsi" w:hAnsiTheme="minorHAnsi"/>
          <w:bCs/>
          <w:lang w:val="en-GB"/>
        </w:rPr>
        <w:t xml:space="preserve">there was insufficient data to </w:t>
      </w:r>
      <w:r w:rsidR="000F055D" w:rsidRPr="00A64D45">
        <w:rPr>
          <w:rFonts w:asciiTheme="minorHAnsi" w:hAnsiTheme="minorHAnsi"/>
          <w:bCs/>
          <w:lang w:val="en-GB"/>
        </w:rPr>
        <w:t>adequately evaluate</w:t>
      </w:r>
      <w:r w:rsidR="006F522E" w:rsidRPr="00A64D45">
        <w:rPr>
          <w:rFonts w:asciiTheme="minorHAnsi" w:hAnsiTheme="minorHAnsi"/>
          <w:bCs/>
          <w:lang w:val="en-GB"/>
        </w:rPr>
        <w:t xml:space="preserve"> the safety of ranibizumab compared with vPDT. However, the PBAC noted</w:t>
      </w:r>
      <w:r w:rsidR="000F055D" w:rsidRPr="00A64D45">
        <w:rPr>
          <w:rFonts w:asciiTheme="minorHAnsi" w:hAnsiTheme="minorHAnsi"/>
          <w:bCs/>
          <w:lang w:val="en-GB"/>
        </w:rPr>
        <w:t xml:space="preserve"> there were no major safety signals in the trials and </w:t>
      </w:r>
      <w:r w:rsidR="006F522E" w:rsidRPr="00A64D45">
        <w:rPr>
          <w:rFonts w:asciiTheme="minorHAnsi" w:hAnsiTheme="minorHAnsi"/>
          <w:bCs/>
          <w:lang w:val="en-GB"/>
        </w:rPr>
        <w:t xml:space="preserve">that the adverse event profile of ranibizumab was consistent with its profile for </w:t>
      </w:r>
      <w:r w:rsidR="000F055D" w:rsidRPr="00A64D45">
        <w:rPr>
          <w:rFonts w:asciiTheme="minorHAnsi" w:hAnsiTheme="minorHAnsi"/>
          <w:bCs/>
          <w:lang w:val="en-GB"/>
        </w:rPr>
        <w:t>current indications.</w:t>
      </w:r>
    </w:p>
    <w:p w:rsidR="00897B12" w:rsidRDefault="00897B12" w:rsidP="00363777">
      <w:pPr>
        <w:numPr>
          <w:ilvl w:val="1"/>
          <w:numId w:val="1"/>
        </w:numPr>
        <w:spacing w:after="120"/>
        <w:rPr>
          <w:rFonts w:asciiTheme="minorHAnsi" w:hAnsiTheme="minorHAnsi"/>
          <w:bCs/>
          <w:lang w:val="en-GB"/>
        </w:rPr>
      </w:pPr>
      <w:r>
        <w:rPr>
          <w:rFonts w:asciiTheme="minorHAnsi" w:hAnsiTheme="minorHAnsi"/>
          <w:bCs/>
          <w:lang w:val="en-GB"/>
        </w:rPr>
        <w:t xml:space="preserve">The PBAC noted that the mean number of ranibizumab injections per patient in both RADIANCE and BRILLIANCE trials was higher in the ranibizumab arm with retreatment guided by VA stabilisation (4.6 injections in both trials) compared with the ranibizumab arm with retreatment guided by </w:t>
      </w:r>
      <w:r w:rsidR="00B24170">
        <w:rPr>
          <w:rFonts w:asciiTheme="minorHAnsi" w:hAnsiTheme="minorHAnsi"/>
          <w:bCs/>
          <w:lang w:val="en-GB"/>
        </w:rPr>
        <w:t xml:space="preserve">disease stabilisation (RADIANCE 3.5 injections, BRILLIANCE </w:t>
      </w:r>
      <w:r w:rsidR="00042B67">
        <w:rPr>
          <w:rFonts w:asciiTheme="minorHAnsi" w:hAnsiTheme="minorHAnsi"/>
          <w:bCs/>
          <w:noProof/>
          <w:color w:val="000000"/>
          <w:highlight w:val="black"/>
          <w:lang w:val="en-GB"/>
        </w:rPr>
        <w:t xml:space="preserve">''''''' </w:t>
      </w:r>
      <w:r w:rsidR="00B24170" w:rsidRPr="003B1529">
        <w:rPr>
          <w:rFonts w:asciiTheme="minorHAnsi" w:hAnsiTheme="minorHAnsi"/>
          <w:bCs/>
          <w:lang w:val="en-GB"/>
        </w:rPr>
        <w:t>injections</w:t>
      </w:r>
      <w:r w:rsidR="00B24170">
        <w:rPr>
          <w:rFonts w:asciiTheme="minorHAnsi" w:hAnsiTheme="minorHAnsi"/>
          <w:bCs/>
          <w:lang w:val="en-GB"/>
        </w:rPr>
        <w:t>). The PBAC considered that in clinical practice, a mix of both methods may be used</w:t>
      </w:r>
      <w:r w:rsidR="005F7266">
        <w:rPr>
          <w:rFonts w:asciiTheme="minorHAnsi" w:hAnsiTheme="minorHAnsi"/>
          <w:bCs/>
          <w:lang w:val="en-GB"/>
        </w:rPr>
        <w:t>,</w:t>
      </w:r>
      <w:r w:rsidR="00B24170">
        <w:rPr>
          <w:rFonts w:asciiTheme="minorHAnsi" w:hAnsiTheme="minorHAnsi"/>
          <w:bCs/>
          <w:lang w:val="en-GB"/>
        </w:rPr>
        <w:t xml:space="preserve"> which may result in a higher average number of ranibizumab injec</w:t>
      </w:r>
      <w:r w:rsidR="001D3CBB">
        <w:rPr>
          <w:rFonts w:asciiTheme="minorHAnsi" w:hAnsiTheme="minorHAnsi"/>
          <w:bCs/>
          <w:lang w:val="en-GB"/>
        </w:rPr>
        <w:t xml:space="preserve">tions compared with the trials. </w:t>
      </w:r>
      <w:r w:rsidR="00FA2556">
        <w:rPr>
          <w:rFonts w:asciiTheme="minorHAnsi" w:hAnsiTheme="minorHAnsi"/>
          <w:bCs/>
          <w:lang w:val="en-GB"/>
        </w:rPr>
        <w:t xml:space="preserve">The PBAC also </w:t>
      </w:r>
      <w:r w:rsidR="005F7266">
        <w:rPr>
          <w:rFonts w:asciiTheme="minorHAnsi" w:hAnsiTheme="minorHAnsi"/>
          <w:bCs/>
          <w:lang w:val="en-GB"/>
        </w:rPr>
        <w:t xml:space="preserve">noted </w:t>
      </w:r>
      <w:r w:rsidR="00FA2556">
        <w:rPr>
          <w:rFonts w:asciiTheme="minorHAnsi" w:hAnsiTheme="minorHAnsi"/>
          <w:bCs/>
          <w:lang w:val="en-GB"/>
        </w:rPr>
        <w:t>that</w:t>
      </w:r>
      <w:r w:rsidR="00F55DA9">
        <w:rPr>
          <w:rFonts w:asciiTheme="minorHAnsi" w:hAnsiTheme="minorHAnsi"/>
          <w:bCs/>
          <w:lang w:val="en-GB"/>
        </w:rPr>
        <w:t>,</w:t>
      </w:r>
      <w:r w:rsidR="00FA2556">
        <w:rPr>
          <w:rFonts w:asciiTheme="minorHAnsi" w:hAnsiTheme="minorHAnsi"/>
          <w:bCs/>
          <w:lang w:val="en-GB"/>
        </w:rPr>
        <w:t xml:space="preserve"> </w:t>
      </w:r>
      <w:r w:rsidR="00F55DA9">
        <w:rPr>
          <w:rFonts w:asciiTheme="minorHAnsi" w:hAnsiTheme="minorHAnsi"/>
          <w:bCs/>
          <w:lang w:val="en-GB"/>
        </w:rPr>
        <w:t>al</w:t>
      </w:r>
      <w:r w:rsidR="00FA2556">
        <w:rPr>
          <w:rFonts w:asciiTheme="minorHAnsi" w:hAnsiTheme="minorHAnsi"/>
          <w:bCs/>
          <w:lang w:val="en-GB"/>
        </w:rPr>
        <w:t>though</w:t>
      </w:r>
      <w:r w:rsidR="001D3CBB">
        <w:rPr>
          <w:rFonts w:asciiTheme="minorHAnsi" w:hAnsiTheme="minorHAnsi"/>
          <w:bCs/>
          <w:lang w:val="en-GB"/>
        </w:rPr>
        <w:t xml:space="preserve"> the submission stated that </w:t>
      </w:r>
      <w:r w:rsidR="00042B67">
        <w:rPr>
          <w:rFonts w:asciiTheme="minorHAnsi" w:hAnsiTheme="minorHAnsi"/>
          <w:bCs/>
          <w:noProof/>
          <w:color w:val="000000"/>
          <w:highlight w:val="black"/>
          <w:lang w:val="en-GB"/>
        </w:rPr>
        <w:t>'''''</w:t>
      </w:r>
      <w:r w:rsidR="001D3CBB">
        <w:rPr>
          <w:rFonts w:asciiTheme="minorHAnsi" w:hAnsiTheme="minorHAnsi"/>
          <w:bCs/>
          <w:lang w:val="en-GB"/>
        </w:rPr>
        <w:t xml:space="preserve">% of patients would receive an additional injection after the first year, no information </w:t>
      </w:r>
      <w:r w:rsidR="00F55DA9">
        <w:rPr>
          <w:rFonts w:asciiTheme="minorHAnsi" w:hAnsiTheme="minorHAnsi"/>
          <w:bCs/>
          <w:lang w:val="en-GB"/>
        </w:rPr>
        <w:t>wa</w:t>
      </w:r>
      <w:r w:rsidR="001D3CBB">
        <w:rPr>
          <w:rFonts w:asciiTheme="minorHAnsi" w:hAnsiTheme="minorHAnsi"/>
          <w:bCs/>
          <w:lang w:val="en-GB"/>
        </w:rPr>
        <w:t>s provided on how this estimate was derived</w:t>
      </w:r>
      <w:r w:rsidR="00F55DA9">
        <w:rPr>
          <w:rFonts w:asciiTheme="minorHAnsi" w:hAnsiTheme="minorHAnsi"/>
          <w:bCs/>
          <w:lang w:val="en-GB"/>
        </w:rPr>
        <w:t xml:space="preserve"> beyond a statement that it was based on clinical expert opinion</w:t>
      </w:r>
      <w:r w:rsidR="001D3CBB">
        <w:rPr>
          <w:rFonts w:asciiTheme="minorHAnsi" w:hAnsiTheme="minorHAnsi"/>
          <w:bCs/>
          <w:lang w:val="en-GB"/>
        </w:rPr>
        <w:t xml:space="preserve">. </w:t>
      </w:r>
      <w:r w:rsidR="00062E3A">
        <w:rPr>
          <w:rFonts w:asciiTheme="minorHAnsi" w:hAnsiTheme="minorHAnsi"/>
          <w:bCs/>
          <w:lang w:val="en-GB"/>
        </w:rPr>
        <w:t>Taken together with the lack of long-term data beyond 12 months</w:t>
      </w:r>
      <w:r w:rsidR="00FA2556">
        <w:rPr>
          <w:rFonts w:asciiTheme="minorHAnsi" w:hAnsiTheme="minorHAnsi"/>
          <w:bCs/>
          <w:lang w:val="en-GB"/>
        </w:rPr>
        <w:t>, the PBAC considered there was uncertainty in the average number of ranibizumab injections for the treatment of CNV due to PM which would be adm</w:t>
      </w:r>
      <w:r w:rsidR="00F55DA9">
        <w:rPr>
          <w:rFonts w:asciiTheme="minorHAnsi" w:hAnsiTheme="minorHAnsi"/>
          <w:bCs/>
          <w:lang w:val="en-GB"/>
        </w:rPr>
        <w:t>inistered in clinical practice.</w:t>
      </w:r>
    </w:p>
    <w:p w:rsidR="00F35EC3" w:rsidRDefault="00612760" w:rsidP="006C0B35">
      <w:pPr>
        <w:numPr>
          <w:ilvl w:val="1"/>
          <w:numId w:val="1"/>
        </w:numPr>
        <w:spacing w:after="120"/>
        <w:rPr>
          <w:rFonts w:asciiTheme="minorHAnsi" w:hAnsiTheme="minorHAnsi"/>
          <w:bCs/>
          <w:lang w:val="en-GB"/>
        </w:rPr>
      </w:pPr>
      <w:r>
        <w:rPr>
          <w:rFonts w:asciiTheme="minorHAnsi" w:hAnsiTheme="minorHAnsi"/>
          <w:bCs/>
          <w:lang w:val="en-GB"/>
        </w:rPr>
        <w:t xml:space="preserve">The PBAC noted that the economic evaluation </w:t>
      </w:r>
      <w:r w:rsidR="006F68F7">
        <w:rPr>
          <w:rFonts w:asciiTheme="minorHAnsi" w:hAnsiTheme="minorHAnsi"/>
          <w:bCs/>
          <w:lang w:val="en-GB"/>
        </w:rPr>
        <w:t xml:space="preserve">relied </w:t>
      </w:r>
      <w:r w:rsidR="00E56F90">
        <w:rPr>
          <w:rFonts w:asciiTheme="minorHAnsi" w:hAnsiTheme="minorHAnsi"/>
          <w:bCs/>
          <w:lang w:val="en-GB"/>
        </w:rPr>
        <w:t xml:space="preserve">only </w:t>
      </w:r>
      <w:r w:rsidR="00E807BF">
        <w:rPr>
          <w:rFonts w:asciiTheme="minorHAnsi" w:hAnsiTheme="minorHAnsi"/>
          <w:bCs/>
          <w:lang w:val="en-GB"/>
        </w:rPr>
        <w:t>on the RADIANCE trial</w:t>
      </w:r>
      <w:r w:rsidR="006F68F7">
        <w:rPr>
          <w:rFonts w:asciiTheme="minorHAnsi" w:hAnsiTheme="minorHAnsi"/>
          <w:bCs/>
          <w:lang w:val="en-GB"/>
        </w:rPr>
        <w:t>,</w:t>
      </w:r>
      <w:r w:rsidR="00E807BF">
        <w:rPr>
          <w:rFonts w:asciiTheme="minorHAnsi" w:hAnsiTheme="minorHAnsi"/>
          <w:bCs/>
          <w:lang w:val="en-GB"/>
        </w:rPr>
        <w:t xml:space="preserve"> on the basis that </w:t>
      </w:r>
      <w:r w:rsidR="00A053DB">
        <w:rPr>
          <w:rFonts w:asciiTheme="minorHAnsi" w:hAnsiTheme="minorHAnsi"/>
          <w:bCs/>
          <w:lang w:val="en-GB"/>
        </w:rPr>
        <w:t>the multicultural</w:t>
      </w:r>
      <w:r w:rsidR="00E56F90">
        <w:rPr>
          <w:rFonts w:asciiTheme="minorHAnsi" w:hAnsiTheme="minorHAnsi"/>
          <w:bCs/>
          <w:lang w:val="en-GB"/>
        </w:rPr>
        <w:t xml:space="preserve"> </w:t>
      </w:r>
      <w:r w:rsidR="00A053DB">
        <w:rPr>
          <w:rFonts w:asciiTheme="minorHAnsi" w:hAnsiTheme="minorHAnsi"/>
          <w:bCs/>
          <w:lang w:val="en-GB"/>
        </w:rPr>
        <w:t>population</w:t>
      </w:r>
      <w:r w:rsidR="006C0B35">
        <w:rPr>
          <w:rFonts w:asciiTheme="minorHAnsi" w:hAnsiTheme="minorHAnsi"/>
          <w:bCs/>
          <w:lang w:val="en-GB"/>
        </w:rPr>
        <w:t xml:space="preserve"> </w:t>
      </w:r>
      <w:r w:rsidR="006C0B35" w:rsidRPr="006C0B35">
        <w:rPr>
          <w:rFonts w:asciiTheme="minorHAnsi" w:hAnsiTheme="minorHAnsi"/>
          <w:bCs/>
          <w:lang w:val="en-GB"/>
        </w:rPr>
        <w:t>(</w:t>
      </w:r>
      <w:r w:rsidR="006C0B35">
        <w:rPr>
          <w:rFonts w:asciiTheme="minorHAnsi" w:hAnsiTheme="minorHAnsi"/>
          <w:bCs/>
          <w:lang w:val="en-GB"/>
        </w:rPr>
        <w:t xml:space="preserve">consisting of </w:t>
      </w:r>
      <w:r w:rsidR="006C0B35" w:rsidRPr="006C0B35">
        <w:rPr>
          <w:rFonts w:asciiTheme="minorHAnsi" w:hAnsiTheme="minorHAnsi"/>
          <w:bCs/>
          <w:lang w:val="en-GB"/>
        </w:rPr>
        <w:t xml:space="preserve">40% Asian and 60% Caucasian patients) </w:t>
      </w:r>
      <w:r w:rsidR="00A053DB">
        <w:rPr>
          <w:rFonts w:asciiTheme="minorHAnsi" w:hAnsiTheme="minorHAnsi"/>
          <w:bCs/>
          <w:lang w:val="en-GB"/>
        </w:rPr>
        <w:t>included in the</w:t>
      </w:r>
      <w:r w:rsidR="00E807BF">
        <w:rPr>
          <w:rFonts w:asciiTheme="minorHAnsi" w:hAnsiTheme="minorHAnsi"/>
          <w:bCs/>
          <w:lang w:val="en-GB"/>
        </w:rPr>
        <w:t xml:space="preserve"> trial is more likely </w:t>
      </w:r>
      <w:r w:rsidR="00A053DB">
        <w:rPr>
          <w:rFonts w:asciiTheme="minorHAnsi" w:hAnsiTheme="minorHAnsi"/>
          <w:bCs/>
          <w:lang w:val="en-GB"/>
        </w:rPr>
        <w:t>to</w:t>
      </w:r>
      <w:r w:rsidR="00E807BF">
        <w:rPr>
          <w:rFonts w:asciiTheme="minorHAnsi" w:hAnsiTheme="minorHAnsi"/>
          <w:bCs/>
          <w:lang w:val="en-GB"/>
        </w:rPr>
        <w:t xml:space="preserve"> </w:t>
      </w:r>
      <w:r w:rsidR="00A053DB">
        <w:rPr>
          <w:rFonts w:asciiTheme="minorHAnsi" w:hAnsiTheme="minorHAnsi"/>
          <w:bCs/>
          <w:lang w:val="en-GB"/>
        </w:rPr>
        <w:t>reflect the Australian population. The PBAC considered the exclusion of the BRILLIANCE trial from the economic analysis</w:t>
      </w:r>
      <w:r w:rsidR="00E56F90">
        <w:rPr>
          <w:rFonts w:asciiTheme="minorHAnsi" w:hAnsiTheme="minorHAnsi"/>
          <w:bCs/>
          <w:lang w:val="en-GB"/>
        </w:rPr>
        <w:t>,</w:t>
      </w:r>
      <w:r w:rsidR="00A053DB">
        <w:rPr>
          <w:rFonts w:asciiTheme="minorHAnsi" w:hAnsiTheme="minorHAnsi"/>
          <w:bCs/>
          <w:lang w:val="en-GB"/>
        </w:rPr>
        <w:t xml:space="preserve"> </w:t>
      </w:r>
      <w:r w:rsidR="00F35EC3">
        <w:rPr>
          <w:rFonts w:asciiTheme="minorHAnsi" w:hAnsiTheme="minorHAnsi"/>
          <w:bCs/>
          <w:lang w:val="en-GB"/>
        </w:rPr>
        <w:t xml:space="preserve">on the basis that </w:t>
      </w:r>
      <w:r w:rsidR="00042B67">
        <w:rPr>
          <w:rFonts w:asciiTheme="minorHAnsi" w:hAnsiTheme="minorHAnsi"/>
          <w:bCs/>
          <w:noProof/>
          <w:color w:val="000000"/>
          <w:highlight w:val="black"/>
          <w:lang w:val="en-GB"/>
        </w:rPr>
        <w:t>'''''''</w:t>
      </w:r>
      <w:r w:rsidR="00A053DB">
        <w:rPr>
          <w:rFonts w:asciiTheme="minorHAnsi" w:hAnsiTheme="minorHAnsi"/>
          <w:bCs/>
          <w:lang w:val="en-GB"/>
        </w:rPr>
        <w:t>% of the patients in the trial were Asian</w:t>
      </w:r>
      <w:r w:rsidR="00F55DA9">
        <w:rPr>
          <w:rFonts w:asciiTheme="minorHAnsi" w:hAnsiTheme="minorHAnsi"/>
          <w:bCs/>
          <w:lang w:val="en-GB"/>
        </w:rPr>
        <w:t>,</w:t>
      </w:r>
      <w:r w:rsidR="00A053DB">
        <w:rPr>
          <w:rFonts w:asciiTheme="minorHAnsi" w:hAnsiTheme="minorHAnsi"/>
          <w:bCs/>
          <w:lang w:val="en-GB"/>
        </w:rPr>
        <w:t xml:space="preserve"> was not justified</w:t>
      </w:r>
      <w:r w:rsidR="00E56F90">
        <w:rPr>
          <w:rFonts w:asciiTheme="minorHAnsi" w:hAnsiTheme="minorHAnsi"/>
          <w:bCs/>
          <w:lang w:val="en-GB"/>
        </w:rPr>
        <w:t xml:space="preserve"> </w:t>
      </w:r>
      <w:r w:rsidR="00F35EC3">
        <w:rPr>
          <w:rFonts w:asciiTheme="minorHAnsi" w:hAnsiTheme="minorHAnsi"/>
          <w:bCs/>
          <w:lang w:val="en-GB"/>
        </w:rPr>
        <w:t xml:space="preserve">noting there was no evidence that race was a treatment effect modifier. </w:t>
      </w:r>
      <w:r w:rsidR="007F1C59">
        <w:rPr>
          <w:rFonts w:asciiTheme="minorHAnsi" w:hAnsiTheme="minorHAnsi"/>
          <w:bCs/>
          <w:lang w:val="en-GB"/>
        </w:rPr>
        <w:t xml:space="preserve">However, </w:t>
      </w:r>
      <w:r w:rsidR="00F55DA9">
        <w:rPr>
          <w:rFonts w:asciiTheme="minorHAnsi" w:hAnsiTheme="minorHAnsi"/>
          <w:bCs/>
          <w:lang w:val="en-GB"/>
        </w:rPr>
        <w:t xml:space="preserve">the PBAC also </w:t>
      </w:r>
      <w:r w:rsidR="007F1C59">
        <w:rPr>
          <w:rFonts w:asciiTheme="minorHAnsi" w:hAnsiTheme="minorHAnsi"/>
          <w:bCs/>
          <w:lang w:val="en-GB"/>
        </w:rPr>
        <w:t>noted that the model was more sensitive to other assumptions tha</w:t>
      </w:r>
      <w:r w:rsidR="00057DFF">
        <w:rPr>
          <w:rFonts w:asciiTheme="minorHAnsi" w:hAnsiTheme="minorHAnsi"/>
          <w:bCs/>
          <w:lang w:val="en-GB"/>
        </w:rPr>
        <w:t>n</w:t>
      </w:r>
      <w:r w:rsidR="007F1C59">
        <w:rPr>
          <w:rFonts w:asciiTheme="minorHAnsi" w:hAnsiTheme="minorHAnsi"/>
          <w:bCs/>
          <w:lang w:val="en-GB"/>
        </w:rPr>
        <w:t xml:space="preserve"> </w:t>
      </w:r>
      <w:r w:rsidR="006F68F7">
        <w:rPr>
          <w:rFonts w:asciiTheme="minorHAnsi" w:hAnsiTheme="minorHAnsi"/>
          <w:bCs/>
          <w:lang w:val="en-GB"/>
        </w:rPr>
        <w:t xml:space="preserve">the </w:t>
      </w:r>
      <w:r w:rsidR="007F1C59">
        <w:rPr>
          <w:rFonts w:asciiTheme="minorHAnsi" w:hAnsiTheme="minorHAnsi"/>
          <w:bCs/>
          <w:lang w:val="en-GB"/>
        </w:rPr>
        <w:t xml:space="preserve">selection of the trial </w:t>
      </w:r>
      <w:r w:rsidR="006F68F7">
        <w:rPr>
          <w:rFonts w:asciiTheme="minorHAnsi" w:hAnsiTheme="minorHAnsi"/>
          <w:bCs/>
          <w:lang w:val="en-GB"/>
        </w:rPr>
        <w:t>basis for the model</w:t>
      </w:r>
      <w:r w:rsidR="007F1C59">
        <w:rPr>
          <w:rFonts w:asciiTheme="minorHAnsi" w:hAnsiTheme="minorHAnsi"/>
          <w:bCs/>
          <w:lang w:val="en-GB"/>
        </w:rPr>
        <w:t>.</w:t>
      </w:r>
    </w:p>
    <w:p w:rsidR="000F055D" w:rsidRDefault="00E9657C" w:rsidP="00363777">
      <w:pPr>
        <w:numPr>
          <w:ilvl w:val="1"/>
          <w:numId w:val="1"/>
        </w:numPr>
        <w:spacing w:after="120"/>
        <w:rPr>
          <w:rFonts w:asciiTheme="minorHAnsi" w:hAnsiTheme="minorHAnsi"/>
          <w:bCs/>
          <w:lang w:val="en-GB"/>
        </w:rPr>
      </w:pPr>
      <w:r>
        <w:rPr>
          <w:rFonts w:asciiTheme="minorHAnsi" w:hAnsiTheme="minorHAnsi"/>
          <w:bCs/>
          <w:lang w:val="en-GB"/>
        </w:rPr>
        <w:t xml:space="preserve">The PBAC </w:t>
      </w:r>
      <w:r w:rsidR="003977CD">
        <w:rPr>
          <w:rFonts w:asciiTheme="minorHAnsi" w:hAnsiTheme="minorHAnsi"/>
          <w:bCs/>
          <w:lang w:val="en-GB"/>
        </w:rPr>
        <w:t>considered the transition probabilities between</w:t>
      </w:r>
      <w:r w:rsidR="00F65236">
        <w:rPr>
          <w:rFonts w:asciiTheme="minorHAnsi" w:hAnsiTheme="minorHAnsi"/>
          <w:bCs/>
          <w:lang w:val="en-GB"/>
        </w:rPr>
        <w:t xml:space="preserve"> visual acuity</w:t>
      </w:r>
      <w:r w:rsidR="003977CD">
        <w:rPr>
          <w:rFonts w:asciiTheme="minorHAnsi" w:hAnsiTheme="minorHAnsi"/>
          <w:bCs/>
          <w:lang w:val="en-GB"/>
        </w:rPr>
        <w:t xml:space="preserve"> health states applied in the</w:t>
      </w:r>
      <w:r w:rsidR="0001779D">
        <w:rPr>
          <w:rFonts w:asciiTheme="minorHAnsi" w:hAnsiTheme="minorHAnsi"/>
          <w:bCs/>
          <w:lang w:val="en-GB"/>
        </w:rPr>
        <w:t xml:space="preserve"> economic</w:t>
      </w:r>
      <w:r w:rsidR="003977CD">
        <w:rPr>
          <w:rFonts w:asciiTheme="minorHAnsi" w:hAnsiTheme="minorHAnsi"/>
          <w:bCs/>
          <w:lang w:val="en-GB"/>
        </w:rPr>
        <w:t xml:space="preserve"> model </w:t>
      </w:r>
      <w:r w:rsidR="00F65236">
        <w:rPr>
          <w:rFonts w:asciiTheme="minorHAnsi" w:hAnsiTheme="minorHAnsi"/>
          <w:bCs/>
          <w:lang w:val="en-GB"/>
        </w:rPr>
        <w:t xml:space="preserve">to be </w:t>
      </w:r>
      <w:r w:rsidR="003977CD">
        <w:rPr>
          <w:rFonts w:asciiTheme="minorHAnsi" w:hAnsiTheme="minorHAnsi"/>
          <w:bCs/>
          <w:lang w:val="en-GB"/>
        </w:rPr>
        <w:t>uncertain because:</w:t>
      </w:r>
    </w:p>
    <w:p w:rsidR="00E83ACF" w:rsidRDefault="00F65236" w:rsidP="003977CD">
      <w:pPr>
        <w:pStyle w:val="ListParagraph"/>
        <w:numPr>
          <w:ilvl w:val="0"/>
          <w:numId w:val="14"/>
        </w:numPr>
        <w:spacing w:after="120"/>
        <w:rPr>
          <w:rFonts w:asciiTheme="minorHAnsi" w:hAnsiTheme="minorHAnsi"/>
          <w:bCs/>
          <w:lang w:val="en-GB"/>
        </w:rPr>
      </w:pPr>
      <w:r>
        <w:rPr>
          <w:rFonts w:asciiTheme="minorHAnsi" w:hAnsiTheme="minorHAnsi"/>
          <w:bCs/>
          <w:lang w:val="en-GB"/>
        </w:rPr>
        <w:t xml:space="preserve">The transition probabilities </w:t>
      </w:r>
      <w:r w:rsidR="00E83ACF">
        <w:rPr>
          <w:rFonts w:asciiTheme="minorHAnsi" w:hAnsiTheme="minorHAnsi"/>
          <w:bCs/>
          <w:lang w:val="en-GB"/>
        </w:rPr>
        <w:t>for the vPDT arm in the first 12 months were estimated from the 15 patients in the vPDT arm who did not switch to ranibizumab treatment within the first 12 months. The majority of these patients (13/15) did not meet the re-treatment criteria</w:t>
      </w:r>
      <w:r w:rsidR="008D1BF5">
        <w:rPr>
          <w:rFonts w:asciiTheme="minorHAnsi" w:hAnsiTheme="minorHAnsi"/>
          <w:bCs/>
          <w:lang w:val="en-GB"/>
        </w:rPr>
        <w:t xml:space="preserve"> guided by disease activity</w:t>
      </w:r>
      <w:r w:rsidR="00E83ACF">
        <w:rPr>
          <w:rFonts w:asciiTheme="minorHAnsi" w:hAnsiTheme="minorHAnsi"/>
          <w:bCs/>
          <w:lang w:val="en-GB"/>
        </w:rPr>
        <w:t xml:space="preserve"> and did not receive any further treatment</w:t>
      </w:r>
      <w:r w:rsidR="008D1BF5">
        <w:rPr>
          <w:rFonts w:asciiTheme="minorHAnsi" w:hAnsiTheme="minorHAnsi"/>
          <w:bCs/>
          <w:lang w:val="en-GB"/>
        </w:rPr>
        <w:t>, and so were unlikely to be reflective of patients receiving vPDT in the absence of treatment with ranibizumab</w:t>
      </w:r>
      <w:r w:rsidR="00F55DA9">
        <w:rPr>
          <w:rFonts w:asciiTheme="minorHAnsi" w:hAnsiTheme="minorHAnsi"/>
          <w:bCs/>
          <w:lang w:val="en-GB"/>
        </w:rPr>
        <w:t>.</w:t>
      </w:r>
    </w:p>
    <w:p w:rsidR="003977CD" w:rsidRDefault="00E83ACF" w:rsidP="003977CD">
      <w:pPr>
        <w:pStyle w:val="ListParagraph"/>
        <w:numPr>
          <w:ilvl w:val="0"/>
          <w:numId w:val="14"/>
        </w:numPr>
        <w:spacing w:after="120"/>
        <w:rPr>
          <w:rFonts w:asciiTheme="minorHAnsi" w:hAnsiTheme="minorHAnsi"/>
          <w:bCs/>
          <w:lang w:val="en-GB"/>
        </w:rPr>
      </w:pPr>
      <w:r>
        <w:rPr>
          <w:rFonts w:asciiTheme="minorHAnsi" w:hAnsiTheme="minorHAnsi"/>
          <w:bCs/>
          <w:lang w:val="en-GB"/>
        </w:rPr>
        <w:t xml:space="preserve">The same yearly transition probabilities were assumed beyond Month 12 for the entire time horizon. These were estimated using short term probabilities </w:t>
      </w:r>
      <w:r>
        <w:rPr>
          <w:rFonts w:asciiTheme="minorHAnsi" w:hAnsiTheme="minorHAnsi"/>
          <w:bCs/>
          <w:lang w:val="en-GB"/>
        </w:rPr>
        <w:lastRenderedPageBreak/>
        <w:t>observed from the RADIANCE tr</w:t>
      </w:r>
      <w:r w:rsidR="000B43E4">
        <w:rPr>
          <w:rFonts w:asciiTheme="minorHAnsi" w:hAnsiTheme="minorHAnsi"/>
          <w:bCs/>
          <w:lang w:val="en-GB"/>
        </w:rPr>
        <w:t xml:space="preserve">ial </w:t>
      </w:r>
      <w:r w:rsidR="0001779D">
        <w:rPr>
          <w:rFonts w:asciiTheme="minorHAnsi" w:hAnsiTheme="minorHAnsi"/>
          <w:bCs/>
          <w:lang w:val="en-GB"/>
        </w:rPr>
        <w:t>assuming a constant rate for both improving</w:t>
      </w:r>
      <w:r w:rsidR="00F55DA9">
        <w:rPr>
          <w:rFonts w:asciiTheme="minorHAnsi" w:hAnsiTheme="minorHAnsi"/>
          <w:bCs/>
          <w:lang w:val="en-GB"/>
        </w:rPr>
        <w:t xml:space="preserve"> and worsening beyond Month 12.</w:t>
      </w:r>
    </w:p>
    <w:p w:rsidR="001D0C46" w:rsidRPr="0001779D" w:rsidRDefault="0034651C" w:rsidP="001D0C46">
      <w:pPr>
        <w:spacing w:after="120"/>
        <w:ind w:left="720"/>
        <w:rPr>
          <w:rFonts w:asciiTheme="minorHAnsi" w:hAnsiTheme="minorHAnsi"/>
          <w:bCs/>
          <w:lang w:val="en-GB"/>
        </w:rPr>
      </w:pPr>
      <w:r>
        <w:rPr>
          <w:rFonts w:asciiTheme="minorHAnsi" w:hAnsiTheme="minorHAnsi"/>
          <w:bCs/>
          <w:lang w:val="en-GB"/>
        </w:rPr>
        <w:t>However, the PBAC considered that the</w:t>
      </w:r>
      <w:r w:rsidR="00E31C3B">
        <w:rPr>
          <w:rFonts w:asciiTheme="minorHAnsi" w:hAnsiTheme="minorHAnsi"/>
          <w:bCs/>
          <w:lang w:val="en-GB"/>
        </w:rPr>
        <w:t xml:space="preserve"> estimated transition probabilities beyond Month 12 </w:t>
      </w:r>
      <w:r w:rsidR="006F68F7">
        <w:rPr>
          <w:rFonts w:asciiTheme="minorHAnsi" w:hAnsiTheme="minorHAnsi"/>
          <w:bCs/>
          <w:lang w:val="en-GB"/>
        </w:rPr>
        <w:t>we</w:t>
      </w:r>
      <w:r w:rsidR="00E31C3B">
        <w:rPr>
          <w:rFonts w:asciiTheme="minorHAnsi" w:hAnsiTheme="minorHAnsi"/>
          <w:bCs/>
          <w:lang w:val="en-GB"/>
        </w:rPr>
        <w:t xml:space="preserve">re likely to </w:t>
      </w:r>
      <w:r w:rsidR="006F68F7">
        <w:rPr>
          <w:rFonts w:asciiTheme="minorHAnsi" w:hAnsiTheme="minorHAnsi"/>
          <w:bCs/>
          <w:lang w:val="en-GB"/>
        </w:rPr>
        <w:t xml:space="preserve">represent a </w:t>
      </w:r>
      <w:r w:rsidR="00E31C3B">
        <w:rPr>
          <w:rFonts w:asciiTheme="minorHAnsi" w:hAnsiTheme="minorHAnsi"/>
          <w:bCs/>
          <w:lang w:val="en-GB"/>
        </w:rPr>
        <w:t xml:space="preserve">conservative </w:t>
      </w:r>
      <w:r w:rsidR="006F68F7">
        <w:rPr>
          <w:rFonts w:asciiTheme="minorHAnsi" w:hAnsiTheme="minorHAnsi"/>
          <w:bCs/>
          <w:lang w:val="en-GB"/>
        </w:rPr>
        <w:t xml:space="preserve">approach in the modelling </w:t>
      </w:r>
      <w:r w:rsidR="00E31C3B">
        <w:rPr>
          <w:rFonts w:asciiTheme="minorHAnsi" w:hAnsiTheme="minorHAnsi"/>
          <w:bCs/>
          <w:lang w:val="en-GB"/>
        </w:rPr>
        <w:t>as the</w:t>
      </w:r>
      <w:r>
        <w:rPr>
          <w:rFonts w:asciiTheme="minorHAnsi" w:hAnsiTheme="minorHAnsi"/>
          <w:bCs/>
          <w:lang w:val="en-GB"/>
        </w:rPr>
        <w:t xml:space="preserve"> overall effect of the extrapolated transition probabilities </w:t>
      </w:r>
      <w:r w:rsidR="00E31C3B">
        <w:rPr>
          <w:rFonts w:asciiTheme="minorHAnsi" w:hAnsiTheme="minorHAnsi"/>
          <w:bCs/>
          <w:lang w:val="en-GB"/>
        </w:rPr>
        <w:t>result</w:t>
      </w:r>
      <w:r w:rsidR="006F68F7">
        <w:rPr>
          <w:rFonts w:asciiTheme="minorHAnsi" w:hAnsiTheme="minorHAnsi"/>
          <w:bCs/>
          <w:lang w:val="en-GB"/>
        </w:rPr>
        <w:t>ed</w:t>
      </w:r>
      <w:r w:rsidR="00E31C3B">
        <w:rPr>
          <w:rFonts w:asciiTheme="minorHAnsi" w:hAnsiTheme="minorHAnsi"/>
          <w:bCs/>
          <w:lang w:val="en-GB"/>
        </w:rPr>
        <w:t xml:space="preserve"> in a </w:t>
      </w:r>
      <w:r w:rsidR="006F68F7">
        <w:rPr>
          <w:rFonts w:asciiTheme="minorHAnsi" w:hAnsiTheme="minorHAnsi"/>
          <w:bCs/>
          <w:lang w:val="en-GB"/>
        </w:rPr>
        <w:t xml:space="preserve">net decline </w:t>
      </w:r>
      <w:r w:rsidR="00E31C3B">
        <w:rPr>
          <w:rFonts w:asciiTheme="minorHAnsi" w:hAnsiTheme="minorHAnsi"/>
          <w:bCs/>
          <w:lang w:val="en-GB"/>
        </w:rPr>
        <w:t>in visual acuity over time</w:t>
      </w:r>
      <w:r w:rsidR="006F68F7">
        <w:rPr>
          <w:rFonts w:asciiTheme="minorHAnsi" w:hAnsiTheme="minorHAnsi"/>
          <w:bCs/>
          <w:lang w:val="en-GB"/>
        </w:rPr>
        <w:t xml:space="preserve"> in both arms of the model</w:t>
      </w:r>
      <w:r w:rsidR="00E31C3B">
        <w:rPr>
          <w:rFonts w:asciiTheme="minorHAnsi" w:hAnsiTheme="minorHAnsi"/>
          <w:bCs/>
          <w:lang w:val="en-GB"/>
        </w:rPr>
        <w:t>.</w:t>
      </w:r>
      <w:r>
        <w:rPr>
          <w:rFonts w:asciiTheme="minorHAnsi" w:hAnsiTheme="minorHAnsi"/>
          <w:bCs/>
          <w:lang w:val="en-GB"/>
        </w:rPr>
        <w:t xml:space="preserve"> </w:t>
      </w:r>
      <w:r w:rsidR="006F68F7">
        <w:rPr>
          <w:rFonts w:asciiTheme="minorHAnsi" w:hAnsiTheme="minorHAnsi"/>
          <w:bCs/>
          <w:lang w:val="en-GB"/>
        </w:rPr>
        <w:t>By comparison, t</w:t>
      </w:r>
      <w:r w:rsidR="0081146E">
        <w:rPr>
          <w:rFonts w:asciiTheme="minorHAnsi" w:hAnsiTheme="minorHAnsi"/>
          <w:bCs/>
          <w:lang w:val="en-GB"/>
        </w:rPr>
        <w:t xml:space="preserve">he PBAC noted that the results of long-term outcomes of ranibizumab treatment of myopic CNV in east-Asian patients from the RADIANCE trial reported in Tan et al (2017) of </w:t>
      </w:r>
      <w:r w:rsidR="0081146E" w:rsidRPr="0081146E">
        <w:rPr>
          <w:rFonts w:asciiTheme="minorHAnsi" w:hAnsiTheme="minorHAnsi"/>
          <w:bCs/>
          <w:lang w:val="en-GB"/>
        </w:rPr>
        <w:t>+10.4 ±22.3 letters at 24 months and +16.3 ±18.7 letters at 48 months.</w:t>
      </w:r>
    </w:p>
    <w:p w:rsidR="001D0C46" w:rsidRDefault="00746670" w:rsidP="00363777">
      <w:pPr>
        <w:numPr>
          <w:ilvl w:val="1"/>
          <w:numId w:val="1"/>
        </w:numPr>
        <w:spacing w:after="120"/>
        <w:rPr>
          <w:rFonts w:asciiTheme="minorHAnsi" w:hAnsiTheme="minorHAnsi"/>
          <w:bCs/>
          <w:lang w:val="en-GB"/>
        </w:rPr>
      </w:pPr>
      <w:r>
        <w:rPr>
          <w:rFonts w:asciiTheme="minorHAnsi" w:hAnsiTheme="minorHAnsi"/>
          <w:bCs/>
          <w:lang w:val="en-GB"/>
        </w:rPr>
        <w:t xml:space="preserve">The PBAC agreed with its ESC that the submission’s approach to include both cost of falls and cost of blindness in the economic evaluation </w:t>
      </w:r>
      <w:r w:rsidR="006F68F7">
        <w:rPr>
          <w:rFonts w:asciiTheme="minorHAnsi" w:hAnsiTheme="minorHAnsi"/>
          <w:bCs/>
          <w:lang w:val="en-GB"/>
        </w:rPr>
        <w:t>represented a</w:t>
      </w:r>
      <w:r>
        <w:rPr>
          <w:rFonts w:asciiTheme="minorHAnsi" w:hAnsiTheme="minorHAnsi"/>
          <w:bCs/>
          <w:lang w:val="en-GB"/>
        </w:rPr>
        <w:t xml:space="preserve"> double counting the cost of falls. </w:t>
      </w:r>
      <w:r w:rsidR="001D0C46">
        <w:rPr>
          <w:rFonts w:asciiTheme="minorHAnsi" w:hAnsiTheme="minorHAnsi"/>
          <w:bCs/>
          <w:lang w:val="en-GB"/>
        </w:rPr>
        <w:t>The PBAC recalled that</w:t>
      </w:r>
      <w:r w:rsidR="006F68F7">
        <w:rPr>
          <w:rFonts w:asciiTheme="minorHAnsi" w:hAnsiTheme="minorHAnsi"/>
          <w:bCs/>
          <w:lang w:val="en-GB"/>
        </w:rPr>
        <w:t>,</w:t>
      </w:r>
      <w:r w:rsidR="001D0C46">
        <w:rPr>
          <w:rFonts w:asciiTheme="minorHAnsi" w:hAnsiTheme="minorHAnsi"/>
          <w:bCs/>
          <w:lang w:val="en-GB"/>
        </w:rPr>
        <w:t xml:space="preserve"> at its</w:t>
      </w:r>
      <w:r>
        <w:rPr>
          <w:rFonts w:asciiTheme="minorHAnsi" w:hAnsiTheme="minorHAnsi"/>
          <w:bCs/>
          <w:lang w:val="en-GB"/>
        </w:rPr>
        <w:t xml:space="preserve"> July 2014 consideration of ranibizumab for the treatment of RVO and DME, it had accepted a base case in both instances which did not include the cost of falls. However, </w:t>
      </w:r>
      <w:r w:rsidR="002954ED">
        <w:rPr>
          <w:rFonts w:asciiTheme="minorHAnsi" w:hAnsiTheme="minorHAnsi"/>
          <w:bCs/>
          <w:lang w:val="en-GB"/>
        </w:rPr>
        <w:t xml:space="preserve">the sensitivity analyses showed that </w:t>
      </w:r>
      <w:r>
        <w:rPr>
          <w:rFonts w:asciiTheme="minorHAnsi" w:hAnsiTheme="minorHAnsi"/>
          <w:bCs/>
          <w:lang w:val="en-GB"/>
        </w:rPr>
        <w:t>the estimated consequences for fall</w:t>
      </w:r>
      <w:r w:rsidR="002954ED">
        <w:rPr>
          <w:rFonts w:asciiTheme="minorHAnsi" w:hAnsiTheme="minorHAnsi"/>
          <w:bCs/>
          <w:lang w:val="en-GB"/>
        </w:rPr>
        <w:t xml:space="preserve"> cost offset</w:t>
      </w:r>
      <w:r>
        <w:rPr>
          <w:rFonts w:asciiTheme="minorHAnsi" w:hAnsiTheme="minorHAnsi"/>
          <w:bCs/>
          <w:lang w:val="en-GB"/>
        </w:rPr>
        <w:t xml:space="preserve">s had little effect on </w:t>
      </w:r>
      <w:r w:rsidR="002954ED">
        <w:rPr>
          <w:rFonts w:asciiTheme="minorHAnsi" w:hAnsiTheme="minorHAnsi"/>
          <w:bCs/>
          <w:lang w:val="en-GB"/>
        </w:rPr>
        <w:t xml:space="preserve">varying </w:t>
      </w:r>
      <w:r>
        <w:rPr>
          <w:rFonts w:asciiTheme="minorHAnsi" w:hAnsiTheme="minorHAnsi"/>
          <w:bCs/>
          <w:lang w:val="en-GB"/>
        </w:rPr>
        <w:t>the ICER</w:t>
      </w:r>
      <w:r w:rsidR="002954ED">
        <w:rPr>
          <w:rFonts w:asciiTheme="minorHAnsi" w:hAnsiTheme="minorHAnsi"/>
          <w:bCs/>
          <w:lang w:val="en-GB"/>
        </w:rPr>
        <w:t xml:space="preserve"> results.</w:t>
      </w:r>
    </w:p>
    <w:p w:rsidR="00F35499" w:rsidRDefault="009D7F6E" w:rsidP="00E501B5">
      <w:pPr>
        <w:numPr>
          <w:ilvl w:val="1"/>
          <w:numId w:val="1"/>
        </w:numPr>
        <w:spacing w:after="120"/>
        <w:rPr>
          <w:rFonts w:asciiTheme="minorHAnsi" w:hAnsiTheme="minorHAnsi"/>
          <w:bCs/>
          <w:lang w:val="en-GB"/>
        </w:rPr>
      </w:pPr>
      <w:r>
        <w:rPr>
          <w:rFonts w:asciiTheme="minorHAnsi" w:hAnsiTheme="minorHAnsi"/>
          <w:bCs/>
          <w:lang w:val="en-GB"/>
        </w:rPr>
        <w:t>The PBAC considered that</w:t>
      </w:r>
      <w:r w:rsidR="002954ED">
        <w:rPr>
          <w:rFonts w:asciiTheme="minorHAnsi" w:hAnsiTheme="minorHAnsi"/>
          <w:bCs/>
          <w:lang w:val="en-GB"/>
        </w:rPr>
        <w:t>,</w:t>
      </w:r>
      <w:r>
        <w:rPr>
          <w:rFonts w:asciiTheme="minorHAnsi" w:hAnsiTheme="minorHAnsi"/>
          <w:bCs/>
          <w:lang w:val="en-GB"/>
        </w:rPr>
        <w:t xml:space="preserve"> given the issues regarding the use of vPDT as a comparator</w:t>
      </w:r>
      <w:r w:rsidR="002F6324">
        <w:rPr>
          <w:rFonts w:asciiTheme="minorHAnsi" w:hAnsiTheme="minorHAnsi"/>
          <w:bCs/>
          <w:lang w:val="en-GB"/>
        </w:rPr>
        <w:t xml:space="preserve"> in the economic evaluation</w:t>
      </w:r>
      <w:r>
        <w:rPr>
          <w:rFonts w:asciiTheme="minorHAnsi" w:hAnsiTheme="minorHAnsi"/>
          <w:bCs/>
          <w:lang w:val="en-GB"/>
        </w:rPr>
        <w:t xml:space="preserve"> </w:t>
      </w:r>
      <w:r w:rsidRPr="00095A2D">
        <w:rPr>
          <w:rFonts w:asciiTheme="minorHAnsi" w:hAnsiTheme="minorHAnsi"/>
          <w:bCs/>
          <w:lang w:val="en-GB"/>
        </w:rPr>
        <w:t>(see paragraph 7.</w:t>
      </w:r>
      <w:r w:rsidR="00C163B4" w:rsidRPr="00095A2D">
        <w:rPr>
          <w:rFonts w:asciiTheme="minorHAnsi" w:hAnsiTheme="minorHAnsi"/>
          <w:bCs/>
          <w:lang w:val="en-GB"/>
        </w:rPr>
        <w:t>4</w:t>
      </w:r>
      <w:r w:rsidRPr="00095A2D">
        <w:rPr>
          <w:rFonts w:asciiTheme="minorHAnsi" w:hAnsiTheme="minorHAnsi"/>
          <w:bCs/>
          <w:lang w:val="en-GB"/>
        </w:rPr>
        <w:t xml:space="preserve"> above)</w:t>
      </w:r>
      <w:r w:rsidR="000D31B5">
        <w:rPr>
          <w:rFonts w:asciiTheme="minorHAnsi" w:hAnsiTheme="minorHAnsi"/>
          <w:bCs/>
          <w:lang w:val="en-GB"/>
        </w:rPr>
        <w:t xml:space="preserve"> and the absence of any other treatment which has been assessed to be cost-effective for this indication</w:t>
      </w:r>
      <w:r w:rsidR="002F6324">
        <w:rPr>
          <w:rFonts w:asciiTheme="minorHAnsi" w:hAnsiTheme="minorHAnsi"/>
          <w:bCs/>
          <w:lang w:val="en-GB"/>
        </w:rPr>
        <w:t xml:space="preserve">, it would be </w:t>
      </w:r>
      <w:r w:rsidR="00081CFA">
        <w:rPr>
          <w:rFonts w:asciiTheme="minorHAnsi" w:hAnsiTheme="minorHAnsi"/>
          <w:bCs/>
          <w:lang w:val="en-GB"/>
        </w:rPr>
        <w:t xml:space="preserve">informative </w:t>
      </w:r>
      <w:r w:rsidR="002F6324">
        <w:rPr>
          <w:rFonts w:asciiTheme="minorHAnsi" w:hAnsiTheme="minorHAnsi"/>
          <w:bCs/>
          <w:lang w:val="en-GB"/>
        </w:rPr>
        <w:t xml:space="preserve">to estimate the cost-effectiveness of ranibizumab </w:t>
      </w:r>
      <w:r w:rsidR="000D31B5">
        <w:rPr>
          <w:rFonts w:asciiTheme="minorHAnsi" w:hAnsiTheme="minorHAnsi"/>
          <w:bCs/>
          <w:lang w:val="en-GB"/>
        </w:rPr>
        <w:t>for this indication</w:t>
      </w:r>
      <w:r w:rsidR="00FD1D51">
        <w:rPr>
          <w:rFonts w:asciiTheme="minorHAnsi" w:hAnsiTheme="minorHAnsi"/>
          <w:bCs/>
          <w:lang w:val="en-GB"/>
        </w:rPr>
        <w:t xml:space="preserve"> </w:t>
      </w:r>
      <w:r w:rsidR="002F6324">
        <w:rPr>
          <w:rFonts w:asciiTheme="minorHAnsi" w:hAnsiTheme="minorHAnsi"/>
          <w:bCs/>
          <w:lang w:val="en-GB"/>
        </w:rPr>
        <w:t>using the vPDT arm as a proxy for sham injection</w:t>
      </w:r>
      <w:r w:rsidR="00FD1D51">
        <w:rPr>
          <w:rFonts w:asciiTheme="minorHAnsi" w:hAnsiTheme="minorHAnsi"/>
          <w:bCs/>
          <w:lang w:val="en-GB"/>
        </w:rPr>
        <w:t xml:space="preserve"> (no treatment)</w:t>
      </w:r>
      <w:r w:rsidR="002F6324">
        <w:rPr>
          <w:rFonts w:asciiTheme="minorHAnsi" w:hAnsiTheme="minorHAnsi"/>
          <w:bCs/>
          <w:lang w:val="en-GB"/>
        </w:rPr>
        <w:t xml:space="preserve"> by removing the costs associated with </w:t>
      </w:r>
      <w:r w:rsidR="000D31B5">
        <w:rPr>
          <w:rFonts w:asciiTheme="minorHAnsi" w:hAnsiTheme="minorHAnsi"/>
          <w:bCs/>
          <w:lang w:val="en-GB"/>
        </w:rPr>
        <w:t>the administration of</w:t>
      </w:r>
      <w:r w:rsidR="002F6324">
        <w:rPr>
          <w:rFonts w:asciiTheme="minorHAnsi" w:hAnsiTheme="minorHAnsi"/>
          <w:bCs/>
          <w:lang w:val="en-GB"/>
        </w:rPr>
        <w:t xml:space="preserve"> vPDT </w:t>
      </w:r>
      <w:r w:rsidR="00FD1D51">
        <w:rPr>
          <w:rFonts w:asciiTheme="minorHAnsi" w:hAnsiTheme="minorHAnsi"/>
          <w:bCs/>
          <w:lang w:val="en-GB"/>
        </w:rPr>
        <w:t>from the model</w:t>
      </w:r>
      <w:r w:rsidR="002F6324">
        <w:rPr>
          <w:rFonts w:asciiTheme="minorHAnsi" w:hAnsiTheme="minorHAnsi"/>
          <w:bCs/>
          <w:lang w:val="en-GB"/>
        </w:rPr>
        <w:t xml:space="preserve">. </w:t>
      </w:r>
      <w:r w:rsidR="00E501B5">
        <w:rPr>
          <w:rFonts w:asciiTheme="minorHAnsi" w:hAnsiTheme="minorHAnsi"/>
          <w:bCs/>
          <w:lang w:val="en-GB"/>
        </w:rPr>
        <w:t>However, t</w:t>
      </w:r>
      <w:r w:rsidR="00FD1D51" w:rsidRPr="00E501B5">
        <w:rPr>
          <w:rFonts w:asciiTheme="minorHAnsi" w:hAnsiTheme="minorHAnsi"/>
          <w:bCs/>
          <w:lang w:val="en-GB"/>
        </w:rPr>
        <w:t xml:space="preserve">he PBAC </w:t>
      </w:r>
      <w:r w:rsidR="00042EBA">
        <w:rPr>
          <w:rFonts w:asciiTheme="minorHAnsi" w:hAnsiTheme="minorHAnsi"/>
          <w:bCs/>
          <w:lang w:val="en-GB"/>
        </w:rPr>
        <w:t>considered</w:t>
      </w:r>
      <w:r w:rsidR="00FD1D51" w:rsidRPr="00E501B5">
        <w:rPr>
          <w:rFonts w:asciiTheme="minorHAnsi" w:hAnsiTheme="minorHAnsi"/>
          <w:bCs/>
          <w:lang w:val="en-GB"/>
        </w:rPr>
        <w:t xml:space="preserve"> that removing costs associated with vPDT treatment </w:t>
      </w:r>
      <w:r w:rsidR="001D0C46" w:rsidRPr="00E501B5">
        <w:rPr>
          <w:rFonts w:asciiTheme="minorHAnsi" w:hAnsiTheme="minorHAnsi"/>
          <w:bCs/>
          <w:lang w:val="en-GB"/>
        </w:rPr>
        <w:t xml:space="preserve">while </w:t>
      </w:r>
      <w:r w:rsidR="00FD1D51" w:rsidRPr="00E501B5">
        <w:rPr>
          <w:rFonts w:asciiTheme="minorHAnsi" w:hAnsiTheme="minorHAnsi"/>
          <w:bCs/>
          <w:lang w:val="en-GB"/>
        </w:rPr>
        <w:t>assuming</w:t>
      </w:r>
      <w:r w:rsidR="001D0C46" w:rsidRPr="00E501B5">
        <w:rPr>
          <w:rFonts w:asciiTheme="minorHAnsi" w:hAnsiTheme="minorHAnsi"/>
          <w:bCs/>
          <w:lang w:val="en-GB"/>
        </w:rPr>
        <w:t xml:space="preserve"> the same treatment effect and healthcare resources originally modelled for vPDT, was likely to overestimate health outcomes associated with sham injection (no treatment) and was therefore likely </w:t>
      </w:r>
      <w:r w:rsidR="002954ED">
        <w:rPr>
          <w:rFonts w:asciiTheme="minorHAnsi" w:hAnsiTheme="minorHAnsi"/>
          <w:bCs/>
          <w:lang w:val="en-GB"/>
        </w:rPr>
        <w:t>a conservative approach.</w:t>
      </w:r>
    </w:p>
    <w:p w:rsidR="00E501B5" w:rsidRPr="0074659A" w:rsidRDefault="008C709F" w:rsidP="00E501B5">
      <w:pPr>
        <w:numPr>
          <w:ilvl w:val="1"/>
          <w:numId w:val="1"/>
        </w:numPr>
        <w:spacing w:after="120"/>
        <w:rPr>
          <w:rFonts w:asciiTheme="minorHAnsi" w:hAnsiTheme="minorHAnsi"/>
          <w:bCs/>
          <w:lang w:val="en-GB"/>
        </w:rPr>
      </w:pPr>
      <w:r>
        <w:rPr>
          <w:rFonts w:asciiTheme="minorHAnsi" w:hAnsiTheme="minorHAnsi"/>
          <w:bCs/>
          <w:lang w:val="en-GB"/>
        </w:rPr>
        <w:t xml:space="preserve">The PBAC noted that removing costs associated with administration of vPDT and the cost of falls from the model resulted in an ICER of </w:t>
      </w:r>
      <w:r w:rsidR="00A81CFE">
        <w:rPr>
          <w:rFonts w:asciiTheme="minorHAnsi" w:hAnsiTheme="minorHAnsi"/>
          <w:bCs/>
          <w:lang w:val="en-GB"/>
        </w:rPr>
        <w:t xml:space="preserve">less than $15,000 </w:t>
      </w:r>
      <w:r w:rsidR="00B56423">
        <w:rPr>
          <w:rFonts w:asciiTheme="minorHAnsi" w:hAnsiTheme="minorHAnsi"/>
          <w:bCs/>
          <w:lang w:val="en-GB"/>
        </w:rPr>
        <w:t>per QALY gained.</w:t>
      </w:r>
      <w:r w:rsidR="001912CC">
        <w:rPr>
          <w:rFonts w:asciiTheme="minorHAnsi" w:hAnsiTheme="minorHAnsi"/>
          <w:bCs/>
          <w:lang w:val="en-GB"/>
        </w:rPr>
        <w:t xml:space="preserve"> The PBAC noted that the </w:t>
      </w:r>
      <w:r w:rsidR="002954ED">
        <w:rPr>
          <w:rFonts w:asciiTheme="minorHAnsi" w:hAnsiTheme="minorHAnsi"/>
          <w:bCs/>
          <w:lang w:val="en-GB"/>
        </w:rPr>
        <w:t xml:space="preserve">further </w:t>
      </w:r>
      <w:r w:rsidR="001912CC">
        <w:rPr>
          <w:rFonts w:asciiTheme="minorHAnsi" w:hAnsiTheme="minorHAnsi"/>
          <w:bCs/>
          <w:lang w:val="en-GB"/>
        </w:rPr>
        <w:t>sensitivity analyses pr</w:t>
      </w:r>
      <w:r w:rsidR="002954ED">
        <w:rPr>
          <w:rFonts w:asciiTheme="minorHAnsi" w:hAnsiTheme="minorHAnsi"/>
          <w:bCs/>
          <w:lang w:val="en-GB"/>
        </w:rPr>
        <w:t>ovid</w:t>
      </w:r>
      <w:r w:rsidR="001912CC">
        <w:rPr>
          <w:rFonts w:asciiTheme="minorHAnsi" w:hAnsiTheme="minorHAnsi"/>
          <w:bCs/>
          <w:lang w:val="en-GB"/>
        </w:rPr>
        <w:t xml:space="preserve">ed by its ESC (see </w:t>
      </w:r>
      <w:r w:rsidR="002954ED">
        <w:rPr>
          <w:rFonts w:asciiTheme="minorHAnsi" w:hAnsiTheme="minorHAnsi"/>
          <w:bCs/>
          <w:lang w:val="en-GB"/>
        </w:rPr>
        <w:t>T</w:t>
      </w:r>
      <w:r w:rsidR="001912CC">
        <w:rPr>
          <w:rFonts w:asciiTheme="minorHAnsi" w:hAnsiTheme="minorHAnsi"/>
          <w:bCs/>
          <w:lang w:val="en-GB"/>
        </w:rPr>
        <w:t>able 14)</w:t>
      </w:r>
      <w:r w:rsidR="002954ED">
        <w:rPr>
          <w:rFonts w:asciiTheme="minorHAnsi" w:hAnsiTheme="minorHAnsi"/>
          <w:bCs/>
          <w:lang w:val="en-GB"/>
        </w:rPr>
        <w:t>,</w:t>
      </w:r>
      <w:r w:rsidR="001912CC">
        <w:rPr>
          <w:rFonts w:asciiTheme="minorHAnsi" w:hAnsiTheme="minorHAnsi"/>
          <w:bCs/>
          <w:lang w:val="en-GB"/>
        </w:rPr>
        <w:t xml:space="preserve"> which tested the effect of the number of </w:t>
      </w:r>
      <w:r w:rsidR="00446E5E">
        <w:rPr>
          <w:rFonts w:asciiTheme="minorHAnsi" w:hAnsiTheme="minorHAnsi"/>
          <w:bCs/>
          <w:lang w:val="en-GB"/>
        </w:rPr>
        <w:t xml:space="preserve">ranibizumab </w:t>
      </w:r>
      <w:r w:rsidR="001912CC">
        <w:rPr>
          <w:rFonts w:asciiTheme="minorHAnsi" w:hAnsiTheme="minorHAnsi"/>
          <w:bCs/>
          <w:lang w:val="en-GB"/>
        </w:rPr>
        <w:t xml:space="preserve">injections and duration of therapy </w:t>
      </w:r>
      <w:r w:rsidR="00446E5E">
        <w:rPr>
          <w:rFonts w:asciiTheme="minorHAnsi" w:hAnsiTheme="minorHAnsi"/>
          <w:bCs/>
          <w:lang w:val="en-GB"/>
        </w:rPr>
        <w:t xml:space="preserve">per patient </w:t>
      </w:r>
      <w:r w:rsidR="001912CC">
        <w:rPr>
          <w:rFonts w:asciiTheme="minorHAnsi" w:hAnsiTheme="minorHAnsi"/>
          <w:bCs/>
          <w:lang w:val="en-GB"/>
        </w:rPr>
        <w:t xml:space="preserve">on the overall cost-effectiveness of ranibizumab for the treatment of CNV due to PM, indicated that the model was sensitive to the </w:t>
      </w:r>
      <w:r w:rsidR="002954ED">
        <w:rPr>
          <w:rFonts w:asciiTheme="minorHAnsi" w:hAnsiTheme="minorHAnsi"/>
          <w:bCs/>
          <w:lang w:val="en-GB"/>
        </w:rPr>
        <w:t xml:space="preserve">overall </w:t>
      </w:r>
      <w:r w:rsidR="001912CC">
        <w:rPr>
          <w:rFonts w:asciiTheme="minorHAnsi" w:hAnsiTheme="minorHAnsi"/>
          <w:bCs/>
          <w:lang w:val="en-GB"/>
        </w:rPr>
        <w:t>number of ranibizumab injections</w:t>
      </w:r>
      <w:r w:rsidR="002954ED">
        <w:rPr>
          <w:rFonts w:asciiTheme="minorHAnsi" w:hAnsiTheme="minorHAnsi"/>
          <w:bCs/>
          <w:lang w:val="en-GB"/>
        </w:rPr>
        <w:t xml:space="preserve"> per patient</w:t>
      </w:r>
      <w:r w:rsidR="001912CC">
        <w:rPr>
          <w:rFonts w:asciiTheme="minorHAnsi" w:hAnsiTheme="minorHAnsi"/>
          <w:bCs/>
          <w:lang w:val="en-GB"/>
        </w:rPr>
        <w:t>. W</w:t>
      </w:r>
      <w:r w:rsidR="00A03D25">
        <w:rPr>
          <w:rFonts w:asciiTheme="minorHAnsi" w:hAnsiTheme="minorHAnsi"/>
          <w:bCs/>
          <w:lang w:val="en-GB"/>
        </w:rPr>
        <w:t xml:space="preserve">hen the </w:t>
      </w:r>
      <w:r w:rsidR="004F661F">
        <w:rPr>
          <w:rFonts w:asciiTheme="minorHAnsi" w:hAnsiTheme="minorHAnsi"/>
          <w:bCs/>
          <w:lang w:val="en-GB"/>
        </w:rPr>
        <w:t xml:space="preserve">average </w:t>
      </w:r>
      <w:r w:rsidR="00A03D25">
        <w:rPr>
          <w:rFonts w:asciiTheme="minorHAnsi" w:hAnsiTheme="minorHAnsi"/>
          <w:bCs/>
          <w:lang w:val="en-GB"/>
        </w:rPr>
        <w:t xml:space="preserve">number of ranibizumab injections </w:t>
      </w:r>
      <w:r w:rsidR="002954ED">
        <w:rPr>
          <w:rFonts w:asciiTheme="minorHAnsi" w:hAnsiTheme="minorHAnsi"/>
          <w:bCs/>
          <w:lang w:val="en-GB"/>
        </w:rPr>
        <w:t xml:space="preserve">per patient </w:t>
      </w:r>
      <w:r w:rsidR="00A03D25">
        <w:rPr>
          <w:rFonts w:asciiTheme="minorHAnsi" w:hAnsiTheme="minorHAnsi"/>
          <w:bCs/>
          <w:lang w:val="en-GB"/>
        </w:rPr>
        <w:t>applied in the model was increased</w:t>
      </w:r>
      <w:r w:rsidR="004F661F">
        <w:rPr>
          <w:rFonts w:asciiTheme="minorHAnsi" w:hAnsiTheme="minorHAnsi"/>
          <w:bCs/>
          <w:lang w:val="en-GB"/>
        </w:rPr>
        <w:t xml:space="preserve"> to the average number of injections of ranibizumab</w:t>
      </w:r>
      <w:r w:rsidR="007E5CA2">
        <w:rPr>
          <w:rFonts w:asciiTheme="minorHAnsi" w:hAnsiTheme="minorHAnsi"/>
          <w:bCs/>
          <w:lang w:val="en-GB"/>
        </w:rPr>
        <w:t xml:space="preserve"> </w:t>
      </w:r>
      <w:r w:rsidR="002954ED">
        <w:rPr>
          <w:rFonts w:asciiTheme="minorHAnsi" w:hAnsiTheme="minorHAnsi"/>
          <w:bCs/>
          <w:lang w:val="en-GB"/>
        </w:rPr>
        <w:t xml:space="preserve">per patient </w:t>
      </w:r>
      <w:r w:rsidR="007E5CA2">
        <w:rPr>
          <w:rFonts w:asciiTheme="minorHAnsi" w:hAnsiTheme="minorHAnsi"/>
          <w:bCs/>
          <w:lang w:val="en-GB"/>
        </w:rPr>
        <w:t>administered</w:t>
      </w:r>
      <w:r w:rsidR="004F661F">
        <w:rPr>
          <w:rFonts w:asciiTheme="minorHAnsi" w:hAnsiTheme="minorHAnsi"/>
          <w:bCs/>
          <w:lang w:val="en-GB"/>
        </w:rPr>
        <w:t xml:space="preserve"> in treating AMD </w:t>
      </w:r>
      <w:r w:rsidR="00020802">
        <w:rPr>
          <w:rFonts w:asciiTheme="minorHAnsi" w:hAnsiTheme="minorHAnsi"/>
          <w:bCs/>
          <w:lang w:val="en-GB"/>
        </w:rPr>
        <w:t xml:space="preserve">found </w:t>
      </w:r>
      <w:r w:rsidR="002E7AA7">
        <w:rPr>
          <w:rFonts w:asciiTheme="minorHAnsi" w:hAnsiTheme="minorHAnsi"/>
          <w:bCs/>
          <w:lang w:val="en-GB"/>
        </w:rPr>
        <w:t>in the</w:t>
      </w:r>
      <w:r w:rsidR="004F661F">
        <w:rPr>
          <w:rFonts w:asciiTheme="minorHAnsi" w:hAnsiTheme="minorHAnsi"/>
          <w:bCs/>
          <w:lang w:val="en-GB"/>
        </w:rPr>
        <w:t xml:space="preserve"> June 2015 DUSC utilisation review (</w:t>
      </w:r>
      <w:r w:rsidR="00A03D25">
        <w:rPr>
          <w:rFonts w:asciiTheme="minorHAnsi" w:hAnsiTheme="minorHAnsi"/>
          <w:bCs/>
          <w:lang w:val="en-GB"/>
        </w:rPr>
        <w:t xml:space="preserve">8.4 injections in the first year and 7.1 injections </w:t>
      </w:r>
      <w:r w:rsidR="004F661F">
        <w:rPr>
          <w:rFonts w:asciiTheme="minorHAnsi" w:hAnsiTheme="minorHAnsi"/>
          <w:bCs/>
          <w:lang w:val="en-GB"/>
        </w:rPr>
        <w:t xml:space="preserve">in </w:t>
      </w:r>
      <w:r w:rsidR="002E7AA7">
        <w:rPr>
          <w:rFonts w:asciiTheme="minorHAnsi" w:hAnsiTheme="minorHAnsi"/>
          <w:bCs/>
          <w:lang w:val="en-GB"/>
        </w:rPr>
        <w:t>subsequent years</w:t>
      </w:r>
      <w:r w:rsidR="00D16BEF">
        <w:rPr>
          <w:rFonts w:asciiTheme="minorHAnsi" w:hAnsiTheme="minorHAnsi"/>
          <w:bCs/>
          <w:lang w:val="en-GB"/>
        </w:rPr>
        <w:t>),</w:t>
      </w:r>
      <w:r w:rsidR="00A03D25">
        <w:rPr>
          <w:rFonts w:asciiTheme="minorHAnsi" w:hAnsiTheme="minorHAnsi"/>
          <w:bCs/>
          <w:lang w:val="en-GB"/>
        </w:rPr>
        <w:t xml:space="preserve"> the ICER increased</w:t>
      </w:r>
      <w:r w:rsidR="00FA2556">
        <w:rPr>
          <w:rFonts w:asciiTheme="minorHAnsi" w:hAnsiTheme="minorHAnsi"/>
          <w:bCs/>
          <w:lang w:val="en-GB"/>
        </w:rPr>
        <w:t xml:space="preserve"> substantially</w:t>
      </w:r>
      <w:r w:rsidR="00A03D25">
        <w:rPr>
          <w:rFonts w:asciiTheme="minorHAnsi" w:hAnsiTheme="minorHAnsi"/>
          <w:bCs/>
          <w:lang w:val="en-GB"/>
        </w:rPr>
        <w:t xml:space="preserve"> to </w:t>
      </w:r>
      <w:r w:rsidR="00DF19E0">
        <w:rPr>
          <w:rFonts w:asciiTheme="minorHAnsi" w:hAnsiTheme="minorHAnsi"/>
          <w:bCs/>
          <w:lang w:val="en-GB"/>
        </w:rPr>
        <w:t xml:space="preserve">more than $200,000 </w:t>
      </w:r>
      <w:r w:rsidR="00FA2556">
        <w:rPr>
          <w:rFonts w:asciiTheme="minorHAnsi" w:hAnsiTheme="minorHAnsi"/>
          <w:bCs/>
          <w:lang w:val="en-GB"/>
        </w:rPr>
        <w:t xml:space="preserve">per QALY gained. </w:t>
      </w:r>
      <w:r w:rsidR="00753D0B">
        <w:rPr>
          <w:rFonts w:asciiTheme="minorHAnsi" w:hAnsiTheme="minorHAnsi"/>
          <w:bCs/>
          <w:lang w:val="en-GB"/>
        </w:rPr>
        <w:t>The PBAC therefore</w:t>
      </w:r>
      <w:r w:rsidR="00020802">
        <w:rPr>
          <w:rFonts w:asciiTheme="minorHAnsi" w:hAnsiTheme="minorHAnsi"/>
          <w:bCs/>
          <w:lang w:val="en-GB"/>
        </w:rPr>
        <w:t xml:space="preserve"> considered that ranibizumab would not be cost-effective</w:t>
      </w:r>
      <w:r w:rsidR="00C0208D">
        <w:rPr>
          <w:rFonts w:asciiTheme="minorHAnsi" w:hAnsiTheme="minorHAnsi"/>
          <w:bCs/>
          <w:lang w:val="en-GB"/>
        </w:rPr>
        <w:t xml:space="preserve"> for the treatment of CNV due to PM</w:t>
      </w:r>
      <w:r w:rsidR="00020802">
        <w:rPr>
          <w:rFonts w:asciiTheme="minorHAnsi" w:hAnsiTheme="minorHAnsi"/>
          <w:bCs/>
          <w:lang w:val="en-GB"/>
        </w:rPr>
        <w:t xml:space="preserve"> if </w:t>
      </w:r>
      <w:r w:rsidR="00C0208D">
        <w:rPr>
          <w:rFonts w:asciiTheme="minorHAnsi" w:hAnsiTheme="minorHAnsi"/>
          <w:bCs/>
          <w:lang w:val="en-GB"/>
        </w:rPr>
        <w:t>the number of injections per year approached those similar to the number of injections of ranibizumab for the treatment of AMD. However</w:t>
      </w:r>
      <w:r w:rsidR="00C4615D">
        <w:rPr>
          <w:rFonts w:asciiTheme="minorHAnsi" w:hAnsiTheme="minorHAnsi"/>
          <w:bCs/>
          <w:lang w:val="en-GB"/>
        </w:rPr>
        <w:t>, the</w:t>
      </w:r>
      <w:r w:rsidR="00C0208D">
        <w:rPr>
          <w:rFonts w:asciiTheme="minorHAnsi" w:hAnsiTheme="minorHAnsi"/>
          <w:bCs/>
          <w:lang w:val="en-GB"/>
        </w:rPr>
        <w:t xml:space="preserve"> PBAC considered that an ICER of </w:t>
      </w:r>
      <w:r w:rsidR="00DF19E0">
        <w:rPr>
          <w:rFonts w:asciiTheme="minorHAnsi" w:hAnsiTheme="minorHAnsi"/>
          <w:bCs/>
          <w:lang w:val="en-GB"/>
        </w:rPr>
        <w:t xml:space="preserve">more than $200,000 </w:t>
      </w:r>
      <w:r w:rsidR="00C0208D">
        <w:rPr>
          <w:rFonts w:asciiTheme="minorHAnsi" w:hAnsiTheme="minorHAnsi"/>
          <w:bCs/>
          <w:lang w:val="en-GB"/>
        </w:rPr>
        <w:t>per QALY</w:t>
      </w:r>
      <w:r w:rsidR="00753D0B">
        <w:rPr>
          <w:rFonts w:asciiTheme="minorHAnsi" w:hAnsiTheme="minorHAnsi"/>
          <w:bCs/>
          <w:lang w:val="en-GB"/>
        </w:rPr>
        <w:t xml:space="preserve"> was representative of a </w:t>
      </w:r>
      <w:r w:rsidR="00861F53">
        <w:rPr>
          <w:rFonts w:asciiTheme="minorHAnsi" w:hAnsiTheme="minorHAnsi"/>
          <w:bCs/>
          <w:lang w:val="en-GB"/>
        </w:rPr>
        <w:t>‘worst</w:t>
      </w:r>
      <w:r w:rsidR="00753D0B">
        <w:rPr>
          <w:rFonts w:asciiTheme="minorHAnsi" w:hAnsiTheme="minorHAnsi"/>
          <w:bCs/>
          <w:lang w:val="en-GB"/>
        </w:rPr>
        <w:t xml:space="preserve">-case’ scenario and </w:t>
      </w:r>
      <w:r w:rsidR="00753D0B">
        <w:rPr>
          <w:rFonts w:asciiTheme="minorHAnsi" w:hAnsiTheme="minorHAnsi"/>
          <w:bCs/>
          <w:lang w:val="en-GB"/>
        </w:rPr>
        <w:lastRenderedPageBreak/>
        <w:t>that</w:t>
      </w:r>
      <w:r w:rsidR="002954ED">
        <w:rPr>
          <w:rFonts w:asciiTheme="minorHAnsi" w:hAnsiTheme="minorHAnsi"/>
          <w:bCs/>
          <w:lang w:val="en-GB"/>
        </w:rPr>
        <w:t>,</w:t>
      </w:r>
      <w:r w:rsidR="00753D0B">
        <w:rPr>
          <w:rFonts w:asciiTheme="minorHAnsi" w:hAnsiTheme="minorHAnsi"/>
          <w:bCs/>
          <w:lang w:val="en-GB"/>
        </w:rPr>
        <w:t xml:space="preserve"> based on the available evidence, the number of injections in clinical practice would likely be lower. </w:t>
      </w:r>
      <w:r w:rsidR="00A9017E">
        <w:rPr>
          <w:rFonts w:asciiTheme="minorHAnsi" w:hAnsiTheme="minorHAnsi"/>
          <w:bCs/>
          <w:lang w:val="en-GB"/>
        </w:rPr>
        <w:t>The PBAC considered that</w:t>
      </w:r>
      <w:r w:rsidR="00D15E22">
        <w:rPr>
          <w:rFonts w:asciiTheme="minorHAnsi" w:hAnsiTheme="minorHAnsi"/>
          <w:bCs/>
          <w:lang w:val="en-GB"/>
        </w:rPr>
        <w:t xml:space="preserve"> any</w:t>
      </w:r>
      <w:r w:rsidR="00416AAC">
        <w:rPr>
          <w:rFonts w:asciiTheme="minorHAnsi" w:hAnsiTheme="minorHAnsi"/>
          <w:bCs/>
          <w:lang w:val="en-GB"/>
        </w:rPr>
        <w:t xml:space="preserve"> risk associated with </w:t>
      </w:r>
      <w:r w:rsidR="00F7401A">
        <w:rPr>
          <w:rFonts w:asciiTheme="minorHAnsi" w:hAnsiTheme="minorHAnsi"/>
          <w:bCs/>
          <w:lang w:val="en-GB"/>
        </w:rPr>
        <w:t xml:space="preserve">uncertainty </w:t>
      </w:r>
      <w:r w:rsidR="002C4461">
        <w:rPr>
          <w:rFonts w:asciiTheme="minorHAnsi" w:hAnsiTheme="minorHAnsi"/>
          <w:bCs/>
          <w:lang w:val="en-GB"/>
        </w:rPr>
        <w:t>around the n</w:t>
      </w:r>
      <w:r w:rsidR="00416AAC">
        <w:rPr>
          <w:rFonts w:asciiTheme="minorHAnsi" w:hAnsiTheme="minorHAnsi"/>
          <w:bCs/>
          <w:lang w:val="en-GB"/>
        </w:rPr>
        <w:t xml:space="preserve">umber of ranibizumab injections may </w:t>
      </w:r>
      <w:r w:rsidR="005F4564">
        <w:rPr>
          <w:rFonts w:asciiTheme="minorHAnsi" w:hAnsiTheme="minorHAnsi"/>
          <w:bCs/>
          <w:lang w:val="en-GB"/>
        </w:rPr>
        <w:t xml:space="preserve">be adequately </w:t>
      </w:r>
      <w:r w:rsidR="00416AAC" w:rsidRPr="0074659A">
        <w:rPr>
          <w:rFonts w:asciiTheme="minorHAnsi" w:hAnsiTheme="minorHAnsi"/>
          <w:bCs/>
          <w:lang w:val="en-GB"/>
        </w:rPr>
        <w:t>managed if the requested indication was included in the existing Deed of Agreement for ranibiz</w:t>
      </w:r>
      <w:r w:rsidR="002954ED" w:rsidRPr="0074659A">
        <w:rPr>
          <w:rFonts w:asciiTheme="minorHAnsi" w:hAnsiTheme="minorHAnsi"/>
          <w:bCs/>
          <w:lang w:val="en-GB"/>
        </w:rPr>
        <w:t>umab used in AMD.</w:t>
      </w:r>
    </w:p>
    <w:p w:rsidR="005F4564" w:rsidRDefault="00000E47" w:rsidP="00E501B5">
      <w:pPr>
        <w:numPr>
          <w:ilvl w:val="1"/>
          <w:numId w:val="1"/>
        </w:numPr>
        <w:spacing w:after="120"/>
        <w:rPr>
          <w:rFonts w:asciiTheme="minorHAnsi" w:hAnsiTheme="minorHAnsi"/>
          <w:bCs/>
          <w:lang w:val="en-GB"/>
        </w:rPr>
      </w:pPr>
      <w:r>
        <w:rPr>
          <w:rFonts w:asciiTheme="minorHAnsi" w:hAnsiTheme="minorHAnsi"/>
          <w:bCs/>
          <w:lang w:val="en-GB"/>
        </w:rPr>
        <w:t>The PBAC considered that</w:t>
      </w:r>
      <w:r w:rsidR="002954ED">
        <w:rPr>
          <w:rFonts w:asciiTheme="minorHAnsi" w:hAnsiTheme="minorHAnsi"/>
          <w:bCs/>
          <w:lang w:val="en-GB"/>
        </w:rPr>
        <w:t>,</w:t>
      </w:r>
      <w:r>
        <w:rPr>
          <w:rFonts w:asciiTheme="minorHAnsi" w:hAnsiTheme="minorHAnsi"/>
          <w:bCs/>
          <w:lang w:val="en-GB"/>
        </w:rPr>
        <w:t xml:space="preserve"> although it was possible that a proportion of patients with </w:t>
      </w:r>
      <w:r w:rsidR="00466A59">
        <w:rPr>
          <w:rFonts w:asciiTheme="minorHAnsi" w:hAnsiTheme="minorHAnsi"/>
          <w:bCs/>
          <w:lang w:val="en-GB"/>
        </w:rPr>
        <w:t xml:space="preserve">subfoveal </w:t>
      </w:r>
      <w:r>
        <w:rPr>
          <w:rFonts w:asciiTheme="minorHAnsi" w:hAnsiTheme="minorHAnsi"/>
          <w:bCs/>
          <w:lang w:val="en-GB"/>
        </w:rPr>
        <w:t xml:space="preserve">CNV due to PM are currently receiving PBS-subsidised VEGF </w:t>
      </w:r>
      <w:r w:rsidR="00466A59">
        <w:rPr>
          <w:rFonts w:asciiTheme="minorHAnsi" w:hAnsiTheme="minorHAnsi"/>
          <w:bCs/>
          <w:lang w:val="en-GB"/>
        </w:rPr>
        <w:t xml:space="preserve">inhibitor </w:t>
      </w:r>
      <w:r>
        <w:rPr>
          <w:rFonts w:asciiTheme="minorHAnsi" w:hAnsiTheme="minorHAnsi"/>
          <w:bCs/>
          <w:lang w:val="en-GB"/>
        </w:rPr>
        <w:t>therapy outside the</w:t>
      </w:r>
      <w:r w:rsidR="00466A59">
        <w:rPr>
          <w:rFonts w:asciiTheme="minorHAnsi" w:hAnsiTheme="minorHAnsi"/>
          <w:bCs/>
          <w:lang w:val="en-GB"/>
        </w:rPr>
        <w:t>ir</w:t>
      </w:r>
      <w:r>
        <w:rPr>
          <w:rFonts w:asciiTheme="minorHAnsi" w:hAnsiTheme="minorHAnsi"/>
          <w:bCs/>
          <w:lang w:val="en-GB"/>
        </w:rPr>
        <w:t xml:space="preserve"> PBS restriction</w:t>
      </w:r>
      <w:r w:rsidR="00466A59">
        <w:rPr>
          <w:rFonts w:asciiTheme="minorHAnsi" w:hAnsiTheme="minorHAnsi"/>
          <w:bCs/>
          <w:lang w:val="en-GB"/>
        </w:rPr>
        <w:t>s</w:t>
      </w:r>
      <w:r w:rsidR="00081CFA">
        <w:rPr>
          <w:rFonts w:asciiTheme="minorHAnsi" w:hAnsiTheme="minorHAnsi"/>
          <w:bCs/>
          <w:lang w:val="en-GB"/>
        </w:rPr>
        <w:t xml:space="preserve"> ( i.e. </w:t>
      </w:r>
      <w:r>
        <w:rPr>
          <w:rFonts w:asciiTheme="minorHAnsi" w:hAnsiTheme="minorHAnsi"/>
          <w:bCs/>
          <w:lang w:val="en-GB"/>
        </w:rPr>
        <w:t xml:space="preserve">for </w:t>
      </w:r>
      <w:r w:rsidR="00466A59">
        <w:rPr>
          <w:rFonts w:asciiTheme="minorHAnsi" w:hAnsiTheme="minorHAnsi"/>
          <w:bCs/>
          <w:lang w:val="en-GB"/>
        </w:rPr>
        <w:t xml:space="preserve">subfoveal </w:t>
      </w:r>
      <w:r>
        <w:rPr>
          <w:rFonts w:asciiTheme="minorHAnsi" w:hAnsiTheme="minorHAnsi"/>
          <w:bCs/>
          <w:lang w:val="en-GB"/>
        </w:rPr>
        <w:t>CNV due to AMD</w:t>
      </w:r>
      <w:r w:rsidR="00081CFA">
        <w:rPr>
          <w:rFonts w:asciiTheme="minorHAnsi" w:hAnsiTheme="minorHAnsi"/>
          <w:bCs/>
          <w:lang w:val="en-GB"/>
        </w:rPr>
        <w:t>)</w:t>
      </w:r>
      <w:r>
        <w:rPr>
          <w:rFonts w:asciiTheme="minorHAnsi" w:hAnsiTheme="minorHAnsi"/>
          <w:bCs/>
          <w:lang w:val="en-GB"/>
        </w:rPr>
        <w:t xml:space="preserve">, it was not justified to include cost offsets for </w:t>
      </w:r>
      <w:r w:rsidR="0087077E">
        <w:rPr>
          <w:rFonts w:asciiTheme="minorHAnsi" w:hAnsiTheme="minorHAnsi"/>
          <w:bCs/>
          <w:lang w:val="en-GB"/>
        </w:rPr>
        <w:t>this utilisation without any substantive evidence quantifying</w:t>
      </w:r>
      <w:r w:rsidR="00466A59">
        <w:rPr>
          <w:rFonts w:asciiTheme="minorHAnsi" w:hAnsiTheme="minorHAnsi"/>
          <w:bCs/>
          <w:lang w:val="en-GB"/>
        </w:rPr>
        <w:t xml:space="preserve"> the extent of this occurrence.</w:t>
      </w:r>
    </w:p>
    <w:p w:rsidR="00C7383D" w:rsidRPr="0074659A" w:rsidRDefault="00416AAC" w:rsidP="00742992">
      <w:pPr>
        <w:numPr>
          <w:ilvl w:val="1"/>
          <w:numId w:val="1"/>
        </w:numPr>
        <w:spacing w:after="120"/>
        <w:rPr>
          <w:rFonts w:asciiTheme="minorHAnsi" w:hAnsiTheme="minorHAnsi"/>
          <w:bCs/>
          <w:lang w:val="en-GB"/>
        </w:rPr>
      </w:pPr>
      <w:r w:rsidRPr="0074659A">
        <w:rPr>
          <w:rFonts w:asciiTheme="minorHAnsi" w:hAnsiTheme="minorHAnsi"/>
          <w:bCs/>
          <w:lang w:val="en-GB"/>
        </w:rPr>
        <w:t>The PBAC considered that the estimated financial implications (without cost offsets due to use of PBS-listed drugs outside the</w:t>
      </w:r>
      <w:r w:rsidR="00466A59" w:rsidRPr="0074659A">
        <w:rPr>
          <w:rFonts w:asciiTheme="minorHAnsi" w:hAnsiTheme="minorHAnsi"/>
          <w:bCs/>
          <w:lang w:val="en-GB"/>
        </w:rPr>
        <w:t>ir</w:t>
      </w:r>
      <w:r w:rsidRPr="0074659A">
        <w:rPr>
          <w:rFonts w:asciiTheme="minorHAnsi" w:hAnsiTheme="minorHAnsi"/>
          <w:bCs/>
          <w:lang w:val="en-GB"/>
        </w:rPr>
        <w:t xml:space="preserve"> PBS restriction</w:t>
      </w:r>
      <w:r w:rsidR="00466A59" w:rsidRPr="0074659A">
        <w:rPr>
          <w:rFonts w:asciiTheme="minorHAnsi" w:hAnsiTheme="minorHAnsi"/>
          <w:bCs/>
          <w:lang w:val="en-GB"/>
        </w:rPr>
        <w:t>s</w:t>
      </w:r>
      <w:r w:rsidRPr="0074659A">
        <w:rPr>
          <w:rFonts w:asciiTheme="minorHAnsi" w:hAnsiTheme="minorHAnsi"/>
          <w:bCs/>
          <w:lang w:val="en-GB"/>
        </w:rPr>
        <w:t xml:space="preserve">) </w:t>
      </w:r>
      <w:r w:rsidR="00925E38" w:rsidRPr="0074659A">
        <w:rPr>
          <w:rFonts w:asciiTheme="minorHAnsi" w:hAnsiTheme="minorHAnsi"/>
          <w:bCs/>
          <w:lang w:val="en-GB"/>
        </w:rPr>
        <w:t xml:space="preserve">of </w:t>
      </w:r>
      <w:r w:rsidR="00721099" w:rsidRPr="0074659A">
        <w:rPr>
          <w:rFonts w:asciiTheme="minorHAnsi" w:hAnsiTheme="minorHAnsi"/>
          <w:bCs/>
          <w:lang w:val="en-GB"/>
        </w:rPr>
        <w:t xml:space="preserve">less than $10 million </w:t>
      </w:r>
      <w:r w:rsidR="00925E38" w:rsidRPr="0074659A">
        <w:rPr>
          <w:rFonts w:asciiTheme="minorHAnsi" w:hAnsiTheme="minorHAnsi"/>
          <w:bCs/>
          <w:lang w:val="en-GB"/>
        </w:rPr>
        <w:t xml:space="preserve">in Year 6 was reasonable and there was a low risk of use outside the </w:t>
      </w:r>
      <w:r w:rsidR="00466A59" w:rsidRPr="0074659A">
        <w:rPr>
          <w:rFonts w:asciiTheme="minorHAnsi" w:hAnsiTheme="minorHAnsi"/>
          <w:bCs/>
          <w:lang w:val="en-GB"/>
        </w:rPr>
        <w:t>proposed restriction</w:t>
      </w:r>
      <w:r w:rsidR="00925E38" w:rsidRPr="0074659A">
        <w:rPr>
          <w:rFonts w:asciiTheme="minorHAnsi" w:hAnsiTheme="minorHAnsi"/>
          <w:bCs/>
          <w:lang w:val="en-GB"/>
        </w:rPr>
        <w:t>.</w:t>
      </w:r>
      <w:r w:rsidR="002B1A1C" w:rsidRPr="0074659A">
        <w:rPr>
          <w:rFonts w:asciiTheme="minorHAnsi" w:hAnsiTheme="minorHAnsi"/>
          <w:bCs/>
          <w:lang w:val="en-GB"/>
        </w:rPr>
        <w:t xml:space="preserve"> </w:t>
      </w:r>
      <w:r w:rsidR="00C163B4" w:rsidRPr="0074659A">
        <w:rPr>
          <w:rFonts w:asciiTheme="minorHAnsi" w:hAnsiTheme="minorHAnsi"/>
          <w:bCs/>
          <w:lang w:val="en-GB"/>
        </w:rPr>
        <w:t xml:space="preserve">The PBAC </w:t>
      </w:r>
      <w:r w:rsidR="00270798" w:rsidRPr="0074659A">
        <w:rPr>
          <w:rFonts w:asciiTheme="minorHAnsi" w:hAnsiTheme="minorHAnsi"/>
          <w:bCs/>
          <w:lang w:val="en-GB"/>
        </w:rPr>
        <w:t xml:space="preserve">advised </w:t>
      </w:r>
      <w:r w:rsidR="00C163B4" w:rsidRPr="0074659A">
        <w:rPr>
          <w:rFonts w:asciiTheme="minorHAnsi" w:hAnsiTheme="minorHAnsi"/>
          <w:bCs/>
          <w:lang w:val="en-GB"/>
        </w:rPr>
        <w:t xml:space="preserve">that the inclusion of the </w:t>
      </w:r>
      <w:r w:rsidR="00641497" w:rsidRPr="0074659A">
        <w:rPr>
          <w:rFonts w:asciiTheme="minorHAnsi" w:hAnsiTheme="minorHAnsi"/>
          <w:bCs/>
          <w:lang w:val="en-GB"/>
        </w:rPr>
        <w:t>extended indication</w:t>
      </w:r>
      <w:r w:rsidR="00C163B4" w:rsidRPr="0074659A">
        <w:rPr>
          <w:rFonts w:asciiTheme="minorHAnsi" w:hAnsiTheme="minorHAnsi"/>
          <w:bCs/>
          <w:lang w:val="en-GB"/>
        </w:rPr>
        <w:t xml:space="preserve"> </w:t>
      </w:r>
      <w:r w:rsidR="00641497" w:rsidRPr="0074659A">
        <w:rPr>
          <w:rFonts w:asciiTheme="minorHAnsi" w:hAnsiTheme="minorHAnsi"/>
          <w:bCs/>
          <w:lang w:val="en-GB"/>
        </w:rPr>
        <w:t xml:space="preserve">as part of </w:t>
      </w:r>
      <w:r w:rsidR="00C163B4" w:rsidRPr="0074659A">
        <w:rPr>
          <w:rFonts w:asciiTheme="minorHAnsi" w:hAnsiTheme="minorHAnsi"/>
          <w:bCs/>
          <w:lang w:val="en-GB"/>
        </w:rPr>
        <w:t xml:space="preserve">the existing Deed of Agreement </w:t>
      </w:r>
      <w:r w:rsidR="00641497" w:rsidRPr="0074659A">
        <w:rPr>
          <w:rFonts w:asciiTheme="minorHAnsi" w:hAnsiTheme="minorHAnsi"/>
          <w:bCs/>
          <w:lang w:val="en-GB"/>
        </w:rPr>
        <w:t xml:space="preserve">for CNV, </w:t>
      </w:r>
      <w:r w:rsidR="00042B67">
        <w:rPr>
          <w:rFonts w:asciiTheme="minorHAnsi" w:hAnsiTheme="minorHAnsi"/>
          <w:bCs/>
          <w:noProof/>
          <w:color w:val="000000"/>
          <w:highlight w:val="black"/>
          <w:lang w:val="en-GB"/>
        </w:rPr>
        <w:t>'''''''''''''' '''''''''''''''''''' '''''' ''''''''''''''''''''''''' '''''''' '''' ''''''''''''''''</w:t>
      </w:r>
      <w:r w:rsidR="00641497" w:rsidRPr="0074659A">
        <w:rPr>
          <w:rFonts w:asciiTheme="minorHAnsi" w:hAnsiTheme="minorHAnsi"/>
          <w:bCs/>
          <w:lang w:val="en-GB"/>
        </w:rPr>
        <w:t>,</w:t>
      </w:r>
      <w:r w:rsidR="00270798" w:rsidRPr="0074659A">
        <w:rPr>
          <w:rFonts w:asciiTheme="minorHAnsi" w:hAnsiTheme="minorHAnsi"/>
          <w:bCs/>
          <w:lang w:val="en-GB"/>
        </w:rPr>
        <w:t xml:space="preserve"> was essential to </w:t>
      </w:r>
      <w:r w:rsidR="00641497" w:rsidRPr="0074659A">
        <w:rPr>
          <w:rFonts w:asciiTheme="minorHAnsi" w:hAnsiTheme="minorHAnsi"/>
          <w:bCs/>
          <w:lang w:val="en-GB"/>
        </w:rPr>
        <w:t>containing the overall cost</w:t>
      </w:r>
      <w:r w:rsidR="00270798" w:rsidRPr="0074659A">
        <w:rPr>
          <w:rFonts w:asciiTheme="minorHAnsi" w:hAnsiTheme="minorHAnsi"/>
          <w:bCs/>
          <w:lang w:val="en-GB"/>
        </w:rPr>
        <w:t xml:space="preserve"> of ranibizumab</w:t>
      </w:r>
      <w:r w:rsidR="00641497" w:rsidRPr="0074659A">
        <w:rPr>
          <w:rFonts w:asciiTheme="minorHAnsi" w:hAnsiTheme="minorHAnsi"/>
          <w:bCs/>
          <w:lang w:val="en-GB"/>
        </w:rPr>
        <w:t xml:space="preserve"> in CNV.</w:t>
      </w:r>
      <w:r w:rsidR="00270798" w:rsidRPr="0074659A">
        <w:rPr>
          <w:rFonts w:asciiTheme="minorHAnsi" w:hAnsiTheme="minorHAnsi"/>
          <w:bCs/>
          <w:lang w:val="en-GB"/>
        </w:rPr>
        <w:t xml:space="preserve"> </w:t>
      </w:r>
      <w:r w:rsidR="00042B67">
        <w:rPr>
          <w:rFonts w:asciiTheme="minorHAnsi" w:hAnsiTheme="minorHAnsi"/>
          <w:bCs/>
          <w:noProof/>
          <w:color w:val="000000"/>
          <w:highlight w:val="black"/>
          <w:lang w:val="en-GB"/>
        </w:rPr>
        <w:t>''''''' ''''''''' ''''''''''' ''''''''''''''''' '''''''' '''''''' ''''' ''''''''''''''''''''''' ''''''''''' '''''''''' '''' '''''' ''''''''''''''''''' '''''''' '''''''''' ''''''''''''''''''' ''''''''''''' '''' '''''' ''''''''''' '''''''''''' ''''''''''''''''''' ''''' ''''''' ''''''''''''''''''' '''' '''''''''''' ''''' ''''''''''''''''''''''' ''''''''''' ''''''''''''''' '''''' ''''''''' '''''''''''''''''''''''''''' '''''''''''''''''''''''' ''''''''' '''''' ''''''''' '''''''''' ''''''' ''' '''''''' '''''''''' ''''''' '''''''''''''''''''''''''''' '''''''''''''''' ''''' '''''''''''' '''''''''''''''''''</w:t>
      </w:r>
      <w:r w:rsidR="00742992" w:rsidRPr="00742992">
        <w:t xml:space="preserve"> </w:t>
      </w:r>
      <w:r w:rsidR="00742992" w:rsidRPr="00742992">
        <w:rPr>
          <w:rFonts w:asciiTheme="minorHAnsi" w:hAnsiTheme="minorHAnsi"/>
          <w:bCs/>
          <w:noProof/>
          <w:color w:val="000000"/>
          <w:lang w:val="en-GB"/>
        </w:rPr>
        <w:t xml:space="preserve">As such, the PBAC considered that an alternative arrangement </w:t>
      </w:r>
      <w:r w:rsidR="007D4943">
        <w:rPr>
          <w:rFonts w:asciiTheme="minorHAnsi" w:hAnsiTheme="minorHAnsi"/>
          <w:bCs/>
          <w:noProof/>
          <w:color w:val="000000"/>
          <w:highlight w:val="black"/>
          <w:lang w:val="en-GB"/>
        </w:rPr>
        <w:t>'''''''''''' ''''''''' ''''''' '''''''' ''''''' ''''''''''' ''''' '''''''''''''''''' ''''''' ''''''''''''''''''''''' ''''''''' '''''''''''' '''''' '''''''''''''' '''''''''' '''' ''''''''''''''''''' '''''' '''''''''</w:t>
      </w:r>
      <w:r w:rsidR="00742992" w:rsidRPr="00742992">
        <w:rPr>
          <w:rFonts w:asciiTheme="minorHAnsi" w:hAnsiTheme="minorHAnsi"/>
          <w:bCs/>
          <w:noProof/>
          <w:color w:val="000000"/>
          <w:lang w:val="en-GB"/>
        </w:rPr>
        <w:t xml:space="preserve"> would also be appropriate.</w:t>
      </w:r>
      <w:r w:rsidR="00742992">
        <w:rPr>
          <w:rFonts w:asciiTheme="minorHAnsi" w:hAnsiTheme="minorHAnsi"/>
          <w:bCs/>
          <w:noProof/>
          <w:color w:val="000000"/>
          <w:lang w:val="en-GB"/>
        </w:rPr>
        <w:t xml:space="preserve"> </w:t>
      </w:r>
    </w:p>
    <w:p w:rsidR="001E3062" w:rsidRPr="0074659A" w:rsidRDefault="001E3062" w:rsidP="00C7383D">
      <w:pPr>
        <w:numPr>
          <w:ilvl w:val="1"/>
          <w:numId w:val="1"/>
        </w:numPr>
        <w:spacing w:after="120"/>
        <w:rPr>
          <w:rFonts w:asciiTheme="minorHAnsi" w:hAnsiTheme="minorHAnsi"/>
          <w:bCs/>
          <w:lang w:val="en-GB"/>
        </w:rPr>
      </w:pPr>
      <w:r w:rsidRPr="00C7383D">
        <w:rPr>
          <w:rFonts w:asciiTheme="minorHAnsi" w:hAnsiTheme="minorHAnsi"/>
          <w:bCs/>
          <w:lang w:val="en-GB"/>
        </w:rPr>
        <w:t xml:space="preserve">The PBAC </w:t>
      </w:r>
      <w:r w:rsidR="000A2544" w:rsidRPr="00C7383D">
        <w:rPr>
          <w:rFonts w:asciiTheme="minorHAnsi" w:hAnsiTheme="minorHAnsi"/>
          <w:bCs/>
          <w:lang w:val="en-GB"/>
        </w:rPr>
        <w:t xml:space="preserve">noted that it had also made a positive recommendation for the listing of ranibizumab due to rare causes. The PBAC considered that it </w:t>
      </w:r>
      <w:r w:rsidR="00B14502">
        <w:rPr>
          <w:rFonts w:asciiTheme="minorHAnsi" w:hAnsiTheme="minorHAnsi"/>
          <w:bCs/>
          <w:lang w:val="en-GB"/>
        </w:rPr>
        <w:t>may be</w:t>
      </w:r>
      <w:r w:rsidR="000A2544" w:rsidRPr="00C7383D">
        <w:rPr>
          <w:rFonts w:asciiTheme="minorHAnsi" w:hAnsiTheme="minorHAnsi"/>
          <w:bCs/>
          <w:lang w:val="en-GB"/>
        </w:rPr>
        <w:t xml:space="preserve"> appropriate to amend the existing restriction </w:t>
      </w:r>
      <w:r w:rsidR="00C30C38" w:rsidRPr="00C7383D">
        <w:rPr>
          <w:rFonts w:asciiTheme="minorHAnsi" w:hAnsiTheme="minorHAnsi"/>
          <w:bCs/>
          <w:lang w:val="en-GB"/>
        </w:rPr>
        <w:t xml:space="preserve">for ranibizumab for the treatment of subfoveal CNV due to AMD to include these </w:t>
      </w:r>
      <w:r w:rsidR="00466A59">
        <w:rPr>
          <w:rFonts w:asciiTheme="minorHAnsi" w:hAnsiTheme="minorHAnsi"/>
          <w:bCs/>
          <w:lang w:val="en-GB"/>
        </w:rPr>
        <w:t xml:space="preserve">two </w:t>
      </w:r>
      <w:r w:rsidR="00C30C38" w:rsidRPr="00C7383D">
        <w:rPr>
          <w:rFonts w:asciiTheme="minorHAnsi" w:hAnsiTheme="minorHAnsi"/>
          <w:bCs/>
          <w:lang w:val="en-GB"/>
        </w:rPr>
        <w:t xml:space="preserve">additional patient </w:t>
      </w:r>
      <w:r w:rsidR="00C30C38" w:rsidRPr="0074659A">
        <w:rPr>
          <w:rFonts w:asciiTheme="minorHAnsi" w:hAnsiTheme="minorHAnsi"/>
          <w:bCs/>
          <w:lang w:val="en-GB"/>
        </w:rPr>
        <w:t>populations</w:t>
      </w:r>
      <w:r w:rsidR="00870A8B" w:rsidRPr="0074659A">
        <w:rPr>
          <w:rFonts w:asciiTheme="minorHAnsi" w:hAnsiTheme="minorHAnsi"/>
          <w:bCs/>
          <w:lang w:val="en-GB"/>
        </w:rPr>
        <w:t xml:space="preserve"> if the indications were included in the existing Deed of Agreement for CNV</w:t>
      </w:r>
      <w:r w:rsidR="00C30C38" w:rsidRPr="0074659A">
        <w:rPr>
          <w:rFonts w:asciiTheme="minorHAnsi" w:hAnsiTheme="minorHAnsi"/>
          <w:bCs/>
          <w:lang w:val="en-GB"/>
        </w:rPr>
        <w:t>.</w:t>
      </w:r>
    </w:p>
    <w:p w:rsidR="00895CFF" w:rsidRDefault="006424DA" w:rsidP="00363777">
      <w:pPr>
        <w:numPr>
          <w:ilvl w:val="1"/>
          <w:numId w:val="1"/>
        </w:numPr>
        <w:spacing w:after="120"/>
        <w:rPr>
          <w:rFonts w:asciiTheme="minorHAnsi" w:hAnsiTheme="minorHAnsi"/>
          <w:bCs/>
          <w:lang w:val="en-GB"/>
        </w:rPr>
      </w:pPr>
      <w:r>
        <w:rPr>
          <w:rFonts w:asciiTheme="minorHAnsi" w:hAnsiTheme="minorHAnsi"/>
          <w:bCs/>
          <w:lang w:val="en-GB"/>
        </w:rPr>
        <w:t xml:space="preserve">The PBAC </w:t>
      </w:r>
      <w:r w:rsidR="00466A59">
        <w:rPr>
          <w:rFonts w:asciiTheme="minorHAnsi" w:hAnsiTheme="minorHAnsi"/>
          <w:bCs/>
          <w:lang w:val="en-GB"/>
        </w:rPr>
        <w:t>confirmed</w:t>
      </w:r>
      <w:r w:rsidR="00D839CC">
        <w:rPr>
          <w:rFonts w:asciiTheme="minorHAnsi" w:hAnsiTheme="minorHAnsi"/>
          <w:bCs/>
          <w:lang w:val="en-GB"/>
        </w:rPr>
        <w:t xml:space="preserve"> that ranibizumab is not suitable for pres</w:t>
      </w:r>
      <w:r w:rsidR="00466A59">
        <w:rPr>
          <w:rFonts w:asciiTheme="minorHAnsi" w:hAnsiTheme="minorHAnsi"/>
          <w:bCs/>
          <w:lang w:val="en-GB"/>
        </w:rPr>
        <w:t>cribing by nurse practitioners.</w:t>
      </w:r>
    </w:p>
    <w:p w:rsidR="006424DA" w:rsidRPr="0065444C" w:rsidRDefault="00895CFF" w:rsidP="0065444C">
      <w:pPr>
        <w:numPr>
          <w:ilvl w:val="1"/>
          <w:numId w:val="1"/>
        </w:numPr>
        <w:spacing w:after="120"/>
        <w:rPr>
          <w:rFonts w:asciiTheme="minorHAnsi" w:hAnsiTheme="minorHAnsi"/>
          <w:bCs/>
          <w:lang w:val="en-GB"/>
        </w:rPr>
      </w:pPr>
      <w:r>
        <w:rPr>
          <w:rFonts w:asciiTheme="minorHAnsi" w:hAnsiTheme="minorHAnsi"/>
          <w:bCs/>
          <w:lang w:val="en-GB"/>
        </w:rPr>
        <w:t xml:space="preserve">The PBAC </w:t>
      </w:r>
      <w:r w:rsidR="00466A59">
        <w:rPr>
          <w:rFonts w:asciiTheme="minorHAnsi" w:hAnsiTheme="minorHAnsi"/>
          <w:bCs/>
          <w:lang w:val="en-GB"/>
        </w:rPr>
        <w:t>confirmed</w:t>
      </w:r>
      <w:r>
        <w:rPr>
          <w:rFonts w:asciiTheme="minorHAnsi" w:hAnsiTheme="minorHAnsi"/>
          <w:bCs/>
          <w:lang w:val="en-GB"/>
        </w:rPr>
        <w:t xml:space="preserve"> that the Early Supply Rule should not apply</w:t>
      </w:r>
      <w:r w:rsidR="00D839CC">
        <w:rPr>
          <w:rFonts w:asciiTheme="minorHAnsi" w:hAnsiTheme="minorHAnsi"/>
          <w:bCs/>
          <w:lang w:val="en-GB"/>
        </w:rPr>
        <w:t xml:space="preserve"> to ranibizumab</w:t>
      </w:r>
      <w:r>
        <w:rPr>
          <w:rFonts w:asciiTheme="minorHAnsi" w:hAnsiTheme="minorHAnsi"/>
          <w:bCs/>
          <w:lang w:val="en-GB"/>
        </w:rPr>
        <w:t>.</w:t>
      </w:r>
    </w:p>
    <w:p w:rsidR="00895CFF" w:rsidRPr="00363777" w:rsidRDefault="00895CFF" w:rsidP="00363777">
      <w:pPr>
        <w:numPr>
          <w:ilvl w:val="1"/>
          <w:numId w:val="1"/>
        </w:numPr>
        <w:spacing w:after="120"/>
        <w:rPr>
          <w:rFonts w:asciiTheme="minorHAnsi" w:hAnsiTheme="minorHAnsi"/>
          <w:bCs/>
          <w:lang w:val="en-GB"/>
        </w:rPr>
      </w:pPr>
      <w:r>
        <w:rPr>
          <w:rFonts w:asciiTheme="minorHAnsi" w:hAnsiTheme="minorHAnsi"/>
          <w:bCs/>
          <w:lang w:val="en-GB"/>
        </w:rPr>
        <w:t>The PBAC noted that this submission is not eligible for an Independent Review because the PBAC has made a positive recommendation.</w:t>
      </w:r>
    </w:p>
    <w:p w:rsidR="00E567E7" w:rsidRPr="00F94759" w:rsidRDefault="00E567E7" w:rsidP="00E567E7">
      <w:pPr>
        <w:spacing w:before="240"/>
        <w:rPr>
          <w:rFonts w:asciiTheme="minorHAnsi" w:hAnsiTheme="minorHAnsi"/>
          <w:b/>
          <w:bCs/>
          <w:lang w:val="en-GB"/>
        </w:rPr>
      </w:pPr>
      <w:r w:rsidRPr="00F94759">
        <w:rPr>
          <w:rFonts w:asciiTheme="minorHAnsi" w:hAnsiTheme="minorHAnsi"/>
          <w:b/>
          <w:bCs/>
          <w:lang w:val="en-GB"/>
        </w:rPr>
        <w:t>Outcome:</w:t>
      </w:r>
    </w:p>
    <w:p w:rsidR="00A40E79" w:rsidRPr="00121EF5" w:rsidRDefault="00466A59" w:rsidP="00121EF5">
      <w:pPr>
        <w:rPr>
          <w:rFonts w:asciiTheme="minorHAnsi" w:hAnsiTheme="minorHAnsi"/>
          <w:bCs/>
          <w:lang w:val="en-GB"/>
        </w:rPr>
      </w:pPr>
      <w:r>
        <w:rPr>
          <w:rFonts w:asciiTheme="minorHAnsi" w:hAnsiTheme="minorHAnsi"/>
          <w:bCs/>
          <w:lang w:val="en-GB"/>
        </w:rPr>
        <w:t>Recommended</w:t>
      </w:r>
      <w:r w:rsidR="00A40E79">
        <w:br w:type="page"/>
      </w:r>
    </w:p>
    <w:p w:rsidR="00B55439" w:rsidRPr="00DC07E1" w:rsidRDefault="00B55439" w:rsidP="00B55439">
      <w:pPr>
        <w:pStyle w:val="PBACHeading1"/>
        <w:spacing w:before="240" w:after="120"/>
        <w:outlineLvl w:val="0"/>
        <w:rPr>
          <w:rFonts w:cs="Times New Roman"/>
          <w:snapToGrid/>
          <w:color w:val="000000" w:themeColor="text1"/>
          <w:sz w:val="24"/>
        </w:rPr>
      </w:pPr>
      <w:r>
        <w:lastRenderedPageBreak/>
        <w:t>Recommended listing</w:t>
      </w:r>
    </w:p>
    <w:p w:rsidR="00742992" w:rsidRDefault="00742992" w:rsidP="00742992">
      <w:pPr>
        <w:numPr>
          <w:ilvl w:val="1"/>
          <w:numId w:val="1"/>
        </w:numPr>
        <w:spacing w:after="120"/>
        <w:rPr>
          <w:rFonts w:asciiTheme="minorHAnsi" w:hAnsiTheme="minorHAnsi"/>
          <w:bCs/>
        </w:rPr>
      </w:pPr>
      <w:r w:rsidRPr="003E20DB">
        <w:rPr>
          <w:rFonts w:asciiTheme="minorHAnsi" w:hAnsiTheme="minorHAnsi"/>
          <w:bCs/>
        </w:rPr>
        <w:t>Extend the existing listing to include</w:t>
      </w:r>
      <w:r w:rsidRPr="00716F40">
        <w:rPr>
          <w:rFonts w:asciiTheme="minorHAnsi" w:hAnsiTheme="minorHAnsi"/>
          <w:bCs/>
        </w:rPr>
        <w:t>:</w:t>
      </w:r>
    </w:p>
    <w:tbl>
      <w:tblPr>
        <w:tblW w:w="8363" w:type="dxa"/>
        <w:tblInd w:w="817" w:type="dxa"/>
        <w:tblLayout w:type="fixed"/>
        <w:tblLook w:val="04A0" w:firstRow="1" w:lastRow="0" w:firstColumn="1" w:lastColumn="0" w:noHBand="0" w:noVBand="1"/>
      </w:tblPr>
      <w:tblGrid>
        <w:gridCol w:w="2268"/>
        <w:gridCol w:w="992"/>
        <w:gridCol w:w="993"/>
        <w:gridCol w:w="850"/>
        <w:gridCol w:w="1559"/>
        <w:gridCol w:w="1701"/>
      </w:tblGrid>
      <w:tr w:rsidR="00742992" w:rsidRPr="004C3366" w:rsidTr="003621ED">
        <w:trPr>
          <w:trHeight w:val="471"/>
        </w:trPr>
        <w:tc>
          <w:tcPr>
            <w:tcW w:w="3260" w:type="dxa"/>
            <w:gridSpan w:val="2"/>
            <w:tcBorders>
              <w:top w:val="nil"/>
              <w:left w:val="nil"/>
              <w:bottom w:val="single" w:sz="4" w:space="0" w:color="auto"/>
              <w:right w:val="nil"/>
            </w:tcBorders>
          </w:tcPr>
          <w:p w:rsidR="00742992" w:rsidRPr="004C3366" w:rsidRDefault="00742992" w:rsidP="003621ED">
            <w:pPr>
              <w:keepNext/>
              <w:ind w:left="-108"/>
              <w:rPr>
                <w:rFonts w:ascii="Arial Narrow" w:hAnsi="Arial Narrow"/>
                <w:sz w:val="20"/>
                <w:szCs w:val="20"/>
              </w:rPr>
            </w:pPr>
            <w:r w:rsidRPr="004C3366">
              <w:rPr>
                <w:rFonts w:ascii="Arial Narrow" w:hAnsi="Arial Narrow"/>
                <w:sz w:val="20"/>
                <w:szCs w:val="20"/>
              </w:rPr>
              <w:t>Name, Restriction,</w:t>
            </w:r>
          </w:p>
          <w:p w:rsidR="00742992" w:rsidRPr="004C3366" w:rsidRDefault="00742992" w:rsidP="003621ED">
            <w:pPr>
              <w:keepNext/>
              <w:ind w:left="-108"/>
              <w:rPr>
                <w:rFonts w:ascii="Arial Narrow" w:hAnsi="Arial Narrow"/>
                <w:sz w:val="20"/>
                <w:szCs w:val="20"/>
              </w:rPr>
            </w:pPr>
            <w:r w:rsidRPr="004C3366">
              <w:rPr>
                <w:rFonts w:ascii="Arial Narrow" w:hAnsi="Arial Narrow"/>
                <w:sz w:val="20"/>
                <w:szCs w:val="20"/>
              </w:rPr>
              <w:t>Manner of administration and form</w:t>
            </w:r>
          </w:p>
        </w:tc>
        <w:tc>
          <w:tcPr>
            <w:tcW w:w="993" w:type="dxa"/>
            <w:tcBorders>
              <w:top w:val="nil"/>
              <w:left w:val="nil"/>
              <w:bottom w:val="single" w:sz="4" w:space="0" w:color="auto"/>
              <w:right w:val="nil"/>
            </w:tcBorders>
            <w:hideMark/>
          </w:tcPr>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Max.</w:t>
            </w:r>
          </w:p>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Qty</w:t>
            </w:r>
          </w:p>
        </w:tc>
        <w:tc>
          <w:tcPr>
            <w:tcW w:w="850" w:type="dxa"/>
            <w:tcBorders>
              <w:top w:val="nil"/>
              <w:left w:val="nil"/>
              <w:bottom w:val="single" w:sz="4" w:space="0" w:color="auto"/>
              <w:right w:val="nil"/>
            </w:tcBorders>
            <w:hideMark/>
          </w:tcPr>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№.of</w:t>
            </w:r>
          </w:p>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Rpts</w:t>
            </w:r>
          </w:p>
        </w:tc>
        <w:tc>
          <w:tcPr>
            <w:tcW w:w="3260" w:type="dxa"/>
            <w:gridSpan w:val="2"/>
            <w:tcBorders>
              <w:top w:val="nil"/>
              <w:left w:val="nil"/>
              <w:bottom w:val="single" w:sz="4" w:space="0" w:color="auto"/>
              <w:right w:val="nil"/>
            </w:tcBorders>
            <w:hideMark/>
          </w:tcPr>
          <w:p w:rsidR="00742992" w:rsidRPr="004C3366" w:rsidRDefault="00742992" w:rsidP="003621ED">
            <w:pPr>
              <w:keepNext/>
              <w:rPr>
                <w:rFonts w:ascii="Arial Narrow" w:hAnsi="Arial Narrow"/>
                <w:sz w:val="20"/>
                <w:szCs w:val="20"/>
                <w:lang w:val="fr-FR"/>
              </w:rPr>
            </w:pPr>
            <w:r w:rsidRPr="004C3366">
              <w:rPr>
                <w:rFonts w:ascii="Arial Narrow" w:hAnsi="Arial Narrow"/>
                <w:sz w:val="20"/>
                <w:szCs w:val="20"/>
              </w:rPr>
              <w:t>Proprietary Name and Manufacturer</w:t>
            </w:r>
          </w:p>
        </w:tc>
      </w:tr>
      <w:tr w:rsidR="00742992" w:rsidRPr="004C3366" w:rsidTr="003621ED">
        <w:trPr>
          <w:trHeight w:val="577"/>
        </w:trPr>
        <w:tc>
          <w:tcPr>
            <w:tcW w:w="3260" w:type="dxa"/>
            <w:gridSpan w:val="2"/>
          </w:tcPr>
          <w:p w:rsidR="00742992" w:rsidRPr="004C3366" w:rsidRDefault="00742992" w:rsidP="003621ED">
            <w:pPr>
              <w:keepNext/>
              <w:ind w:left="-108"/>
              <w:rPr>
                <w:rFonts w:ascii="Arial Narrow" w:hAnsi="Arial Narrow"/>
                <w:sz w:val="20"/>
                <w:szCs w:val="20"/>
              </w:rPr>
            </w:pPr>
            <w:r w:rsidRPr="004C3366">
              <w:rPr>
                <w:rFonts w:ascii="Arial Narrow" w:hAnsi="Arial Narrow"/>
                <w:smallCaps/>
                <w:sz w:val="20"/>
                <w:szCs w:val="20"/>
              </w:rPr>
              <w:t>RANIBIZUMAB</w:t>
            </w:r>
          </w:p>
          <w:p w:rsidR="00742992" w:rsidRDefault="00742992" w:rsidP="003621ED">
            <w:pPr>
              <w:keepNext/>
              <w:ind w:left="-108"/>
              <w:rPr>
                <w:rFonts w:ascii="Arial Narrow" w:hAnsi="Arial Narrow"/>
                <w:sz w:val="20"/>
                <w:szCs w:val="20"/>
              </w:rPr>
            </w:pPr>
            <w:r w:rsidRPr="004C3366">
              <w:rPr>
                <w:rFonts w:ascii="Arial Narrow" w:hAnsi="Arial Narrow"/>
                <w:sz w:val="20"/>
                <w:szCs w:val="20"/>
              </w:rPr>
              <w:t>2.3 mg/0.23 mL injection, 1 x 0.23 mL vial</w:t>
            </w:r>
          </w:p>
          <w:p w:rsidR="00742992" w:rsidRDefault="00742992" w:rsidP="003621ED">
            <w:pPr>
              <w:keepNext/>
              <w:ind w:left="-108"/>
              <w:rPr>
                <w:rFonts w:ascii="Arial Narrow" w:hAnsi="Arial Narrow"/>
                <w:sz w:val="20"/>
                <w:szCs w:val="20"/>
              </w:rPr>
            </w:pPr>
          </w:p>
          <w:p w:rsidR="00742992" w:rsidRPr="004C3366" w:rsidRDefault="00742992" w:rsidP="003621ED">
            <w:pPr>
              <w:keepNext/>
              <w:ind w:left="-108"/>
              <w:rPr>
                <w:rFonts w:ascii="Arial Narrow" w:hAnsi="Arial Narrow"/>
                <w:sz w:val="20"/>
                <w:szCs w:val="20"/>
              </w:rPr>
            </w:pPr>
            <w:r w:rsidRPr="004C3366">
              <w:rPr>
                <w:rFonts w:ascii="Arial Narrow" w:hAnsi="Arial Narrow"/>
                <w:sz w:val="20"/>
                <w:szCs w:val="20"/>
              </w:rPr>
              <w:t xml:space="preserve">1.65 mg/0.165 mL injection, </w:t>
            </w:r>
          </w:p>
          <w:p w:rsidR="00742992" w:rsidRPr="004C3366" w:rsidRDefault="00742992" w:rsidP="003621ED">
            <w:pPr>
              <w:keepNext/>
              <w:ind w:left="-108"/>
              <w:rPr>
                <w:rFonts w:ascii="Arial Narrow" w:hAnsi="Arial Narrow"/>
                <w:sz w:val="20"/>
                <w:szCs w:val="20"/>
              </w:rPr>
            </w:pPr>
            <w:r w:rsidRPr="004C3366">
              <w:rPr>
                <w:rFonts w:ascii="Arial Narrow" w:hAnsi="Arial Narrow"/>
                <w:sz w:val="20"/>
                <w:szCs w:val="20"/>
              </w:rPr>
              <w:t>1 x 0.165 mL syringe</w:t>
            </w:r>
          </w:p>
          <w:p w:rsidR="00742992" w:rsidRPr="004C3366" w:rsidRDefault="00742992" w:rsidP="003621ED">
            <w:pPr>
              <w:keepNext/>
              <w:ind w:left="-108"/>
              <w:rPr>
                <w:rFonts w:ascii="Arial Narrow" w:hAnsi="Arial Narrow"/>
                <w:sz w:val="20"/>
                <w:szCs w:val="20"/>
              </w:rPr>
            </w:pPr>
          </w:p>
        </w:tc>
        <w:tc>
          <w:tcPr>
            <w:tcW w:w="993" w:type="dxa"/>
          </w:tcPr>
          <w:p w:rsidR="00742992" w:rsidRPr="004C3366" w:rsidRDefault="00742992" w:rsidP="003621ED">
            <w:pPr>
              <w:keepNext/>
              <w:ind w:left="-108"/>
              <w:jc w:val="center"/>
              <w:rPr>
                <w:rFonts w:ascii="Arial Narrow" w:hAnsi="Arial Narrow"/>
                <w:sz w:val="20"/>
                <w:szCs w:val="20"/>
              </w:rPr>
            </w:pPr>
          </w:p>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1</w:t>
            </w:r>
          </w:p>
        </w:tc>
        <w:tc>
          <w:tcPr>
            <w:tcW w:w="850" w:type="dxa"/>
          </w:tcPr>
          <w:p w:rsidR="00742992" w:rsidRPr="004C3366" w:rsidRDefault="00742992" w:rsidP="003621ED">
            <w:pPr>
              <w:keepNext/>
              <w:ind w:left="-108"/>
              <w:jc w:val="center"/>
              <w:rPr>
                <w:rFonts w:ascii="Arial Narrow" w:hAnsi="Arial Narrow"/>
                <w:sz w:val="20"/>
                <w:szCs w:val="20"/>
              </w:rPr>
            </w:pPr>
          </w:p>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2</w:t>
            </w:r>
          </w:p>
        </w:tc>
        <w:tc>
          <w:tcPr>
            <w:tcW w:w="1559" w:type="dxa"/>
          </w:tcPr>
          <w:p w:rsidR="00742992" w:rsidRPr="004C3366" w:rsidRDefault="00742992" w:rsidP="003621ED">
            <w:pPr>
              <w:keepNext/>
              <w:rPr>
                <w:rFonts w:ascii="Arial Narrow" w:hAnsi="Arial Narrow"/>
                <w:sz w:val="20"/>
                <w:szCs w:val="20"/>
              </w:rPr>
            </w:pPr>
          </w:p>
          <w:p w:rsidR="00742992" w:rsidRPr="004C3366" w:rsidRDefault="00742992" w:rsidP="003621ED">
            <w:pPr>
              <w:keepNext/>
              <w:rPr>
                <w:rFonts w:ascii="Arial Narrow" w:hAnsi="Arial Narrow"/>
                <w:sz w:val="20"/>
                <w:szCs w:val="20"/>
              </w:rPr>
            </w:pPr>
            <w:r w:rsidRPr="004C3366">
              <w:rPr>
                <w:rFonts w:ascii="Arial Narrow" w:hAnsi="Arial Narrow"/>
                <w:sz w:val="20"/>
                <w:szCs w:val="20"/>
              </w:rPr>
              <w:t>Lucentis®</w:t>
            </w:r>
          </w:p>
        </w:tc>
        <w:tc>
          <w:tcPr>
            <w:tcW w:w="1701" w:type="dxa"/>
          </w:tcPr>
          <w:p w:rsidR="00742992" w:rsidRPr="004C3366" w:rsidRDefault="00742992" w:rsidP="003621ED">
            <w:pPr>
              <w:keepNext/>
              <w:rPr>
                <w:rFonts w:ascii="Arial Narrow" w:hAnsi="Arial Narrow"/>
                <w:sz w:val="20"/>
                <w:szCs w:val="20"/>
              </w:rPr>
            </w:pPr>
          </w:p>
          <w:p w:rsidR="00742992" w:rsidRPr="004C3366" w:rsidRDefault="00742992" w:rsidP="003621ED">
            <w:pPr>
              <w:keepNext/>
              <w:rPr>
                <w:rFonts w:ascii="Arial Narrow" w:hAnsi="Arial Narrow"/>
                <w:sz w:val="20"/>
                <w:szCs w:val="20"/>
              </w:rPr>
            </w:pPr>
            <w:r w:rsidRPr="004C3366">
              <w:rPr>
                <w:rFonts w:ascii="Arial Narrow" w:hAnsi="Arial Narrow"/>
                <w:sz w:val="20"/>
                <w:szCs w:val="20"/>
              </w:rPr>
              <w:t>Novartis Australia Pty. Ltd.</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hideMark/>
          </w:tcPr>
          <w:p w:rsidR="00742992" w:rsidRPr="004C3366" w:rsidRDefault="00742992" w:rsidP="003621ED">
            <w:pPr>
              <w:rPr>
                <w:rFonts w:ascii="Arial Narrow" w:hAnsi="Arial Narrow"/>
                <w:b/>
                <w:sz w:val="20"/>
                <w:szCs w:val="20"/>
              </w:rPr>
            </w:pPr>
            <w:r w:rsidRPr="004C3366">
              <w:rPr>
                <w:rFonts w:ascii="Arial Narrow" w:hAnsi="Arial Narrow"/>
                <w:b/>
                <w:sz w:val="20"/>
                <w:szCs w:val="20"/>
              </w:rPr>
              <w:t>Condition:</w:t>
            </w:r>
          </w:p>
        </w:tc>
        <w:tc>
          <w:tcPr>
            <w:tcW w:w="6095" w:type="dxa"/>
            <w:gridSpan w:val="5"/>
            <w:tcBorders>
              <w:top w:val="single" w:sz="4" w:space="0" w:color="auto"/>
              <w:left w:val="single" w:sz="4" w:space="0" w:color="auto"/>
              <w:bottom w:val="single" w:sz="4" w:space="0" w:color="auto"/>
              <w:right w:val="single" w:sz="4" w:space="0" w:color="auto"/>
            </w:tcBorders>
            <w:hideMark/>
          </w:tcPr>
          <w:p w:rsidR="00742992" w:rsidRPr="004C3366" w:rsidRDefault="00742992" w:rsidP="003621ED">
            <w:pPr>
              <w:rPr>
                <w:rFonts w:ascii="Arial Narrow" w:hAnsi="Arial Narrow"/>
                <w:sz w:val="20"/>
                <w:szCs w:val="20"/>
              </w:rPr>
            </w:pPr>
            <w:r>
              <w:rPr>
                <w:rFonts w:ascii="Arial Narrow" w:hAnsi="Arial Narrow"/>
                <w:sz w:val="20"/>
                <w:szCs w:val="20"/>
              </w:rPr>
              <w:t>Subfoveal choroidal neovascularisation</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i/>
                <w:sz w:val="20"/>
                <w:szCs w:val="20"/>
              </w:rPr>
            </w:pPr>
            <w:r w:rsidRPr="004C3366">
              <w:rPr>
                <w:rFonts w:ascii="Arial Narrow" w:hAnsi="Arial Narrow"/>
                <w:b/>
                <w:sz w:val="20"/>
                <w:szCs w:val="20"/>
              </w:rPr>
              <w:t>Treatment phase:</w:t>
            </w:r>
          </w:p>
        </w:tc>
        <w:tc>
          <w:tcPr>
            <w:tcW w:w="6095" w:type="dxa"/>
            <w:gridSpan w:val="5"/>
            <w:tcBorders>
              <w:top w:val="single" w:sz="4" w:space="0" w:color="auto"/>
              <w:left w:val="single" w:sz="4" w:space="0" w:color="auto"/>
              <w:bottom w:val="single" w:sz="4" w:space="0" w:color="auto"/>
              <w:right w:val="single" w:sz="4" w:space="0" w:color="auto"/>
            </w:tcBorders>
            <w:hideMark/>
          </w:tcPr>
          <w:p w:rsidR="00742992" w:rsidRPr="004C3366" w:rsidRDefault="00742992" w:rsidP="003621ED">
            <w:pPr>
              <w:rPr>
                <w:rFonts w:ascii="Arial Narrow" w:hAnsi="Arial Narrow"/>
                <w:sz w:val="20"/>
                <w:szCs w:val="20"/>
              </w:rPr>
            </w:pPr>
            <w:r>
              <w:rPr>
                <w:rFonts w:ascii="Arial Narrow" w:hAnsi="Arial Narrow"/>
                <w:sz w:val="20"/>
                <w:szCs w:val="20"/>
              </w:rPr>
              <w:t xml:space="preserve">Grandfathering treatment </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jc w:val="left"/>
              <w:rPr>
                <w:rFonts w:ascii="Arial Narrow" w:hAnsi="Arial Narrow"/>
                <w:sz w:val="20"/>
                <w:szCs w:val="20"/>
              </w:rPr>
            </w:pPr>
            <w:r w:rsidRPr="004C3366">
              <w:rPr>
                <w:rFonts w:ascii="Arial Narrow" w:hAnsi="Arial Narrow"/>
                <w:b/>
                <w:sz w:val="20"/>
                <w:szCs w:val="20"/>
              </w:rPr>
              <w:t>Restriction</w:t>
            </w:r>
            <w:r>
              <w:rPr>
                <w:rFonts w:ascii="Arial Narrow" w:hAnsi="Arial Narrow"/>
                <w:b/>
                <w:sz w:val="20"/>
                <w:szCs w:val="20"/>
              </w:rPr>
              <w:t xml:space="preserve"> Level / Method</w:t>
            </w:r>
            <w:r w:rsidRPr="004C3366">
              <w:rPr>
                <w:rFonts w:ascii="Arial Narrow" w:hAnsi="Arial Narrow"/>
                <w:b/>
                <w:sz w:val="20"/>
                <w:szCs w:val="20"/>
              </w:rPr>
              <w:t>:</w:t>
            </w:r>
          </w:p>
        </w:tc>
        <w:tc>
          <w:tcPr>
            <w:tcW w:w="6095" w:type="dxa"/>
            <w:gridSpan w:val="5"/>
            <w:tcBorders>
              <w:top w:val="single" w:sz="4" w:space="0" w:color="auto"/>
              <w:left w:val="single" w:sz="4" w:space="0" w:color="auto"/>
              <w:bottom w:val="single" w:sz="4" w:space="0" w:color="auto"/>
              <w:right w:val="single" w:sz="4" w:space="0" w:color="auto"/>
            </w:tcBorders>
            <w:hideMark/>
          </w:tcPr>
          <w:p w:rsidR="00742992" w:rsidRPr="00707F1D" w:rsidRDefault="00742992" w:rsidP="003621ED">
            <w:pPr>
              <w:widowControl/>
              <w:jc w:val="left"/>
              <w:rPr>
                <w:snapToGrid/>
                <w:sz w:val="20"/>
                <w:szCs w:val="20"/>
                <w:lang w:eastAsia="en-AU"/>
              </w:rPr>
            </w:pPr>
            <w:r w:rsidRPr="00707F1D">
              <w:rPr>
                <w:snapToGrid/>
                <w:sz w:val="20"/>
                <w:szCs w:val="20"/>
                <w:lang w:eastAsia="en-AU"/>
              </w:rPr>
              <w:fldChar w:fldCharType="begin">
                <w:ffData>
                  <w:name w:val="Check1"/>
                  <w:enabled/>
                  <w:calcOnExit w:val="0"/>
                  <w:checkBox>
                    <w:sizeAuto/>
                    <w:default w:val="0"/>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Restricted benefit</w:t>
            </w:r>
          </w:p>
          <w:p w:rsidR="00742992" w:rsidRPr="00707F1D" w:rsidRDefault="00742992" w:rsidP="003621ED">
            <w:pPr>
              <w:widowControl/>
              <w:jc w:val="left"/>
              <w:rPr>
                <w:snapToGrid/>
                <w:sz w:val="20"/>
                <w:szCs w:val="20"/>
                <w:lang w:eastAsia="en-AU"/>
              </w:rPr>
            </w:pPr>
            <w:r w:rsidRPr="00707F1D">
              <w:rPr>
                <w:snapToGrid/>
                <w:sz w:val="20"/>
                <w:szCs w:val="20"/>
                <w:lang w:eastAsia="en-AU"/>
              </w:rPr>
              <w:fldChar w:fldCharType="begin">
                <w:ffData>
                  <w:name w:val=""/>
                  <w:enabled/>
                  <w:calcOnExit w:val="0"/>
                  <w:checkBox>
                    <w:sizeAuto/>
                    <w:default w:val="1"/>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Authority Required - In Writing</w:t>
            </w:r>
          </w:p>
          <w:p w:rsidR="00742992" w:rsidRPr="00707F1D" w:rsidRDefault="00742992" w:rsidP="003621ED">
            <w:pPr>
              <w:widowControl/>
              <w:jc w:val="left"/>
              <w:rPr>
                <w:snapToGrid/>
                <w:sz w:val="20"/>
                <w:szCs w:val="20"/>
                <w:lang w:eastAsia="en-AU"/>
              </w:rPr>
            </w:pPr>
            <w:r>
              <w:rPr>
                <w:snapToGrid/>
                <w:sz w:val="20"/>
                <w:szCs w:val="20"/>
                <w:lang w:eastAsia="en-AU"/>
              </w:rPr>
              <w:fldChar w:fldCharType="begin">
                <w:ffData>
                  <w:name w:val="Check3"/>
                  <w:enabled/>
                  <w:calcOnExit w:val="0"/>
                  <w:checkBox>
                    <w:sizeAuto/>
                    <w:default w:val="1"/>
                  </w:checkBox>
                </w:ffData>
              </w:fldChar>
            </w:r>
            <w:r>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Pr>
                <w:snapToGrid/>
                <w:sz w:val="20"/>
                <w:szCs w:val="20"/>
                <w:lang w:eastAsia="en-AU"/>
              </w:rPr>
              <w:fldChar w:fldCharType="end"/>
            </w:r>
            <w:r w:rsidRPr="00707F1D">
              <w:rPr>
                <w:snapToGrid/>
                <w:sz w:val="20"/>
                <w:szCs w:val="20"/>
                <w:lang w:eastAsia="en-AU"/>
              </w:rPr>
              <w:t>Authority Required - Telephone</w:t>
            </w:r>
          </w:p>
          <w:p w:rsidR="00742992" w:rsidRPr="00707F1D" w:rsidRDefault="00742992" w:rsidP="003621ED">
            <w:pPr>
              <w:widowControl/>
              <w:jc w:val="left"/>
              <w:rPr>
                <w:snapToGrid/>
                <w:sz w:val="20"/>
                <w:szCs w:val="20"/>
                <w:lang w:eastAsia="en-AU"/>
              </w:rPr>
            </w:pPr>
            <w:r w:rsidRPr="00707F1D">
              <w:rPr>
                <w:snapToGrid/>
                <w:sz w:val="20"/>
                <w:szCs w:val="20"/>
                <w:lang w:eastAsia="en-AU"/>
              </w:rPr>
              <w:fldChar w:fldCharType="begin">
                <w:ffData>
                  <w:name w:val=""/>
                  <w:enabled/>
                  <w:calcOnExit w:val="0"/>
                  <w:checkBox>
                    <w:sizeAuto/>
                    <w:default w:val="0"/>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Authority Required - Emergency</w:t>
            </w:r>
          </w:p>
          <w:p w:rsidR="00742992" w:rsidRPr="00707F1D" w:rsidRDefault="00742992" w:rsidP="003621ED">
            <w:pPr>
              <w:widowControl/>
              <w:jc w:val="left"/>
              <w:rPr>
                <w:snapToGrid/>
                <w:sz w:val="20"/>
                <w:szCs w:val="20"/>
                <w:lang w:eastAsia="en-AU"/>
              </w:rPr>
            </w:pPr>
            <w:r w:rsidRPr="00707F1D">
              <w:rPr>
                <w:snapToGrid/>
                <w:sz w:val="20"/>
                <w:szCs w:val="20"/>
                <w:lang w:eastAsia="en-AU"/>
              </w:rPr>
              <w:fldChar w:fldCharType="begin">
                <w:ffData>
                  <w:name w:val="Check5"/>
                  <w:enabled/>
                  <w:calcOnExit w:val="0"/>
                  <w:checkBox>
                    <w:sizeAuto/>
                    <w:default w:val="0"/>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Authority Required - Electronic</w:t>
            </w:r>
          </w:p>
          <w:p w:rsidR="00742992" w:rsidRPr="004C3366" w:rsidRDefault="00742992" w:rsidP="003621ED">
            <w:pPr>
              <w:rPr>
                <w:rFonts w:ascii="Arial Narrow" w:hAnsi="Arial Narrow"/>
                <w:sz w:val="20"/>
                <w:szCs w:val="20"/>
              </w:rPr>
            </w:pPr>
            <w:r w:rsidRPr="00707F1D">
              <w:rPr>
                <w:snapToGrid/>
                <w:sz w:val="20"/>
                <w:szCs w:val="20"/>
                <w:lang w:eastAsia="en-AU"/>
              </w:rPr>
              <w:fldChar w:fldCharType="begin">
                <w:ffData>
                  <w:name w:val="Check5"/>
                  <w:enabled/>
                  <w:calcOnExit w:val="0"/>
                  <w:checkBox>
                    <w:sizeAuto/>
                    <w:default w:val="0"/>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Streamlined</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b/>
                <w:sz w:val="20"/>
                <w:szCs w:val="20"/>
              </w:rPr>
              <w:t>Treatment criteria:</w:t>
            </w:r>
          </w:p>
        </w:tc>
        <w:tc>
          <w:tcPr>
            <w:tcW w:w="6095" w:type="dxa"/>
            <w:gridSpan w:val="5"/>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sz w:val="20"/>
                <w:szCs w:val="20"/>
              </w:rPr>
              <w:t>Must be treated by an ophthalmologist</w:t>
            </w:r>
            <w:r w:rsidRPr="00EC1512">
              <w:rPr>
                <w:rFonts w:ascii="Arial Narrow" w:hAnsi="Arial Narrow"/>
                <w:sz w:val="20"/>
                <w:szCs w:val="20"/>
              </w:rPr>
              <w:t xml:space="preserve"> or in consultation with an ophthalmologist.</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b/>
                <w:sz w:val="20"/>
                <w:szCs w:val="20"/>
              </w:rPr>
              <w:t>Clinical criteria:</w:t>
            </w:r>
          </w:p>
        </w:tc>
        <w:tc>
          <w:tcPr>
            <w:tcW w:w="6095" w:type="dxa"/>
            <w:gridSpan w:val="5"/>
            <w:tcBorders>
              <w:top w:val="single" w:sz="4" w:space="0" w:color="auto"/>
              <w:left w:val="single" w:sz="4" w:space="0" w:color="auto"/>
              <w:bottom w:val="single" w:sz="4" w:space="0" w:color="auto"/>
              <w:right w:val="single" w:sz="4" w:space="0" w:color="auto"/>
            </w:tcBorders>
          </w:tcPr>
          <w:p w:rsidR="00742992" w:rsidRDefault="00742992" w:rsidP="003621ED">
            <w:pPr>
              <w:rPr>
                <w:rFonts w:ascii="Arial Narrow" w:hAnsi="Arial Narrow"/>
                <w:sz w:val="20"/>
                <w:szCs w:val="20"/>
              </w:rPr>
            </w:pPr>
            <w:r>
              <w:rPr>
                <w:rFonts w:ascii="Arial Narrow" w:hAnsi="Arial Narrow"/>
                <w:sz w:val="20"/>
                <w:szCs w:val="20"/>
              </w:rPr>
              <w:t xml:space="preserve">The condition must be due to pathologic myopia, </w:t>
            </w:r>
          </w:p>
          <w:p w:rsidR="00742992" w:rsidRDefault="00742992" w:rsidP="003621ED">
            <w:pPr>
              <w:rPr>
                <w:rFonts w:ascii="Arial Narrow" w:hAnsi="Arial Narrow"/>
                <w:sz w:val="20"/>
                <w:szCs w:val="20"/>
              </w:rPr>
            </w:pPr>
          </w:p>
          <w:p w:rsidR="00742992" w:rsidRDefault="00742992" w:rsidP="003621ED">
            <w:pPr>
              <w:rPr>
                <w:rFonts w:ascii="Arial Narrow" w:hAnsi="Arial Narrow"/>
                <w:sz w:val="20"/>
                <w:szCs w:val="20"/>
              </w:rPr>
            </w:pPr>
            <w:r>
              <w:rPr>
                <w:rFonts w:ascii="Arial Narrow" w:hAnsi="Arial Narrow"/>
                <w:sz w:val="20"/>
                <w:szCs w:val="20"/>
              </w:rPr>
              <w:t xml:space="preserve">AND </w:t>
            </w:r>
          </w:p>
          <w:p w:rsidR="00742992" w:rsidRDefault="00742992" w:rsidP="003621ED">
            <w:pPr>
              <w:rPr>
                <w:rFonts w:ascii="Arial Narrow" w:hAnsi="Arial Narrow"/>
                <w:sz w:val="20"/>
                <w:szCs w:val="20"/>
              </w:rPr>
            </w:pPr>
          </w:p>
          <w:p w:rsidR="00742992" w:rsidRDefault="00742992" w:rsidP="003621ED">
            <w:pPr>
              <w:rPr>
                <w:rFonts w:ascii="Arial Narrow" w:hAnsi="Arial Narrow"/>
                <w:sz w:val="20"/>
                <w:szCs w:val="20"/>
              </w:rPr>
            </w:pPr>
            <w:r>
              <w:rPr>
                <w:rFonts w:ascii="Arial Narrow" w:hAnsi="Arial Narrow"/>
                <w:sz w:val="20"/>
                <w:szCs w:val="20"/>
              </w:rPr>
              <w:t>Patient must have previously received non-PBS subsidised treatment with this drug for this condition prior to [listing date],</w:t>
            </w:r>
          </w:p>
          <w:p w:rsidR="00742992" w:rsidRDefault="00742992" w:rsidP="003621ED">
            <w:pPr>
              <w:rPr>
                <w:rFonts w:ascii="Arial Narrow" w:hAnsi="Arial Narrow"/>
                <w:sz w:val="20"/>
                <w:szCs w:val="20"/>
              </w:rPr>
            </w:pPr>
          </w:p>
          <w:p w:rsidR="00742992" w:rsidRPr="004C3366" w:rsidRDefault="00742992" w:rsidP="003621ED">
            <w:pPr>
              <w:rPr>
                <w:rFonts w:ascii="Arial Narrow" w:hAnsi="Arial Narrow"/>
                <w:sz w:val="20"/>
                <w:szCs w:val="20"/>
              </w:rPr>
            </w:pPr>
            <w:r>
              <w:rPr>
                <w:rFonts w:ascii="Arial Narrow" w:hAnsi="Arial Narrow"/>
                <w:sz w:val="20"/>
                <w:szCs w:val="20"/>
              </w:rPr>
              <w:t>AND</w:t>
            </w:r>
          </w:p>
          <w:p w:rsidR="00742992" w:rsidRPr="004C3366" w:rsidRDefault="00742992" w:rsidP="003621ED">
            <w:pPr>
              <w:rPr>
                <w:rFonts w:ascii="Arial Narrow" w:hAnsi="Arial Narrow"/>
                <w:sz w:val="20"/>
                <w:szCs w:val="20"/>
              </w:rPr>
            </w:pPr>
          </w:p>
          <w:p w:rsidR="00742992" w:rsidRPr="004C3366" w:rsidRDefault="00742992" w:rsidP="003621ED">
            <w:pPr>
              <w:rPr>
                <w:rFonts w:ascii="Arial Narrow" w:hAnsi="Arial Narrow"/>
                <w:sz w:val="20"/>
                <w:szCs w:val="20"/>
              </w:rPr>
            </w:pPr>
            <w:r w:rsidRPr="00A524CA">
              <w:rPr>
                <w:rFonts w:ascii="Arial Narrow" w:hAnsi="Arial Narrow"/>
                <w:sz w:val="20"/>
                <w:szCs w:val="20"/>
              </w:rPr>
              <w:t>The condition must be diagnosed by optical coherence tomography; OR</w:t>
            </w:r>
          </w:p>
          <w:p w:rsidR="00742992" w:rsidRDefault="00742992" w:rsidP="003621ED">
            <w:pPr>
              <w:rPr>
                <w:rFonts w:ascii="Arial Narrow" w:hAnsi="Arial Narrow"/>
                <w:sz w:val="20"/>
                <w:szCs w:val="20"/>
              </w:rPr>
            </w:pPr>
            <w:r w:rsidRPr="00A524CA">
              <w:rPr>
                <w:rFonts w:ascii="Arial Narrow" w:hAnsi="Arial Narrow"/>
                <w:sz w:val="20"/>
                <w:szCs w:val="20"/>
              </w:rPr>
              <w:t>The condition must be diagnosed by fluorescein angiography,</w:t>
            </w:r>
          </w:p>
          <w:p w:rsidR="00742992" w:rsidRDefault="00742992" w:rsidP="003621ED">
            <w:pPr>
              <w:rPr>
                <w:rFonts w:ascii="Arial Narrow" w:hAnsi="Arial Narrow"/>
                <w:sz w:val="20"/>
                <w:szCs w:val="20"/>
              </w:rPr>
            </w:pPr>
          </w:p>
          <w:p w:rsidR="00742992" w:rsidRDefault="00742992" w:rsidP="003621ED">
            <w:pPr>
              <w:rPr>
                <w:rFonts w:ascii="Arial Narrow" w:hAnsi="Arial Narrow"/>
                <w:sz w:val="20"/>
                <w:szCs w:val="20"/>
              </w:rPr>
            </w:pPr>
            <w:r>
              <w:rPr>
                <w:rFonts w:ascii="Arial Narrow" w:hAnsi="Arial Narrow"/>
                <w:sz w:val="20"/>
                <w:szCs w:val="20"/>
              </w:rPr>
              <w:t>AND</w:t>
            </w:r>
          </w:p>
          <w:p w:rsidR="00742992" w:rsidRDefault="00742992" w:rsidP="003621ED">
            <w:pPr>
              <w:rPr>
                <w:rFonts w:ascii="Arial Narrow" w:hAnsi="Arial Narrow"/>
                <w:sz w:val="20"/>
                <w:szCs w:val="20"/>
              </w:rPr>
            </w:pPr>
          </w:p>
          <w:p w:rsidR="00742992" w:rsidRPr="004C3366" w:rsidRDefault="00742992" w:rsidP="003621ED">
            <w:pPr>
              <w:rPr>
                <w:rFonts w:ascii="Arial Narrow" w:hAnsi="Arial Narrow"/>
                <w:sz w:val="20"/>
                <w:szCs w:val="20"/>
              </w:rPr>
            </w:pPr>
            <w:r w:rsidRPr="00A524CA">
              <w:rPr>
                <w:rFonts w:ascii="Arial Narrow" w:hAnsi="Arial Narrow"/>
                <w:sz w:val="20"/>
                <w:szCs w:val="20"/>
              </w:rPr>
              <w:t>The treatment must be the sole PBS-subsidised therapy for this condition.</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b/>
                <w:sz w:val="20"/>
                <w:szCs w:val="20"/>
              </w:rPr>
              <w:t>Prescriber Instructions</w:t>
            </w:r>
          </w:p>
        </w:tc>
        <w:tc>
          <w:tcPr>
            <w:tcW w:w="6095" w:type="dxa"/>
            <w:gridSpan w:val="5"/>
            <w:tcBorders>
              <w:top w:val="single" w:sz="4" w:space="0" w:color="auto"/>
              <w:left w:val="single" w:sz="4" w:space="0" w:color="auto"/>
              <w:bottom w:val="single" w:sz="4" w:space="0" w:color="auto"/>
              <w:right w:val="single" w:sz="4" w:space="0" w:color="auto"/>
            </w:tcBorders>
          </w:tcPr>
          <w:p w:rsidR="00742992" w:rsidRDefault="00742992" w:rsidP="003621ED">
            <w:pPr>
              <w:rPr>
                <w:rFonts w:ascii="Arial Narrow" w:hAnsi="Arial Narrow"/>
                <w:sz w:val="20"/>
                <w:szCs w:val="20"/>
              </w:rPr>
            </w:pPr>
            <w:r w:rsidRPr="00C719E2">
              <w:rPr>
                <w:rFonts w:ascii="Arial Narrow" w:hAnsi="Arial Narrow"/>
                <w:sz w:val="20"/>
                <w:szCs w:val="20"/>
              </w:rPr>
              <w:t>Authority approval for initial treatment of each eye must be sought.</w:t>
            </w:r>
          </w:p>
          <w:p w:rsidR="00742992"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The first authority application for each eye must be made in writing or by telephone.</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A written application must include:</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a) a completed authority prescription form;</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b) a completed Subfoveal Choroidal Neovascularisation (CNV) - PBS Supporting Information Form; and</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c) a copy of the optical coherence tomography or fluorescein angiogram report.</w:t>
            </w:r>
          </w:p>
          <w:p w:rsidR="00742992" w:rsidRPr="00A759E3" w:rsidRDefault="00742992" w:rsidP="003621ED">
            <w:pPr>
              <w:rPr>
                <w:rFonts w:ascii="Arial Narrow" w:hAnsi="Arial Narrow"/>
                <w:sz w:val="20"/>
                <w:szCs w:val="20"/>
              </w:rPr>
            </w:pPr>
          </w:p>
          <w:p w:rsidR="00742992" w:rsidRDefault="00742992" w:rsidP="003621ED">
            <w:pPr>
              <w:rPr>
                <w:rFonts w:ascii="Arial Narrow" w:hAnsi="Arial Narrow"/>
                <w:sz w:val="20"/>
                <w:szCs w:val="20"/>
              </w:rPr>
            </w:pPr>
            <w:r w:rsidRPr="00A759E3">
              <w:rPr>
                <w:rFonts w:ascii="Arial Narrow" w:hAnsi="Arial Narrow"/>
                <w:sz w:val="20"/>
                <w:szCs w:val="20"/>
              </w:rPr>
              <w:t xml:space="preserve">A telephone application must be made following submission by facsimile of a copy of a completed Subfoveal Choroidal Neovascularisation (CNV) - PBS Supporting Information Form and a copy of the optical coherence tomography or </w:t>
            </w:r>
            <w:r w:rsidRPr="00A759E3">
              <w:rPr>
                <w:rFonts w:ascii="Arial Narrow" w:hAnsi="Arial Narrow"/>
                <w:sz w:val="20"/>
                <w:szCs w:val="20"/>
              </w:rPr>
              <w:lastRenderedPageBreak/>
              <w:t>fluorescein angiogram report.</w:t>
            </w:r>
          </w:p>
          <w:p w:rsidR="00742992" w:rsidRDefault="00742992" w:rsidP="003621ED">
            <w:pPr>
              <w:rPr>
                <w:rFonts w:ascii="Arial Narrow" w:hAnsi="Arial Narrow"/>
                <w:sz w:val="20"/>
                <w:szCs w:val="20"/>
              </w:rPr>
            </w:pPr>
          </w:p>
          <w:p w:rsidR="00742992" w:rsidRPr="002E1077" w:rsidRDefault="00742992" w:rsidP="003621ED">
            <w:pPr>
              <w:rPr>
                <w:rFonts w:ascii="Arial Narrow" w:hAnsi="Arial Narrow"/>
                <w:sz w:val="20"/>
                <w:szCs w:val="20"/>
              </w:rPr>
            </w:pPr>
            <w:r w:rsidRPr="002E1077">
              <w:rPr>
                <w:rFonts w:ascii="Arial Narrow" w:hAnsi="Arial Narrow"/>
                <w:sz w:val="20"/>
                <w:szCs w:val="20"/>
              </w:rPr>
              <w:t xml:space="preserve">A patient may qualify for PBS-subsidised treatment under this restriction once only. </w:t>
            </w:r>
          </w:p>
          <w:p w:rsidR="00742992" w:rsidRPr="004C3366" w:rsidRDefault="00742992" w:rsidP="003621ED">
            <w:pPr>
              <w:rPr>
                <w:rFonts w:ascii="Arial Narrow" w:hAnsi="Arial Narrow"/>
                <w:sz w:val="20"/>
                <w:szCs w:val="20"/>
              </w:rPr>
            </w:pPr>
            <w:r w:rsidRPr="002E1077">
              <w:rPr>
                <w:rFonts w:ascii="Arial Narrow" w:hAnsi="Arial Narrow"/>
                <w:sz w:val="20"/>
                <w:szCs w:val="20"/>
              </w:rPr>
              <w:t>For continuing PBS-subsidised treatment, a Grandfathered patient must qualify under the Continuing treatment criteria.</w:t>
            </w:r>
            <w:r>
              <w:rPr>
                <w:rFonts w:ascii="Arial Narrow" w:hAnsi="Arial Narrow"/>
                <w:sz w:val="20"/>
                <w:szCs w:val="20"/>
              </w:rPr>
              <w:t xml:space="preserve"> </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b/>
                <w:sz w:val="20"/>
                <w:szCs w:val="20"/>
              </w:rPr>
              <w:lastRenderedPageBreak/>
              <w:t>Administrative Advice</w:t>
            </w:r>
          </w:p>
        </w:tc>
        <w:tc>
          <w:tcPr>
            <w:tcW w:w="6095" w:type="dxa"/>
            <w:gridSpan w:val="5"/>
            <w:tcBorders>
              <w:top w:val="single" w:sz="4" w:space="0" w:color="auto"/>
              <w:left w:val="single" w:sz="4" w:space="0" w:color="auto"/>
              <w:bottom w:val="single" w:sz="4" w:space="0" w:color="auto"/>
              <w:right w:val="single" w:sz="4" w:space="0" w:color="auto"/>
            </w:tcBorders>
          </w:tcPr>
          <w:p w:rsidR="00742992" w:rsidRDefault="00742992" w:rsidP="003621ED">
            <w:pPr>
              <w:rPr>
                <w:rFonts w:ascii="Arial Narrow" w:hAnsi="Arial Narrow"/>
                <w:sz w:val="20"/>
                <w:szCs w:val="20"/>
              </w:rPr>
            </w:pPr>
            <w:r w:rsidRPr="00A759E3">
              <w:rPr>
                <w:rFonts w:ascii="Arial Narrow" w:hAnsi="Arial Narrow"/>
                <w:sz w:val="20"/>
                <w:szCs w:val="20"/>
              </w:rPr>
              <w:t>The first authority application may be faxed to the Department of Human Services on 1300 093 177 (hours of operation 8 a.m. to 5 p.m. EST Monday to Friday). The Department will then contact the prescriber by telephone.</w:t>
            </w:r>
          </w:p>
          <w:p w:rsidR="00742992"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Any queries concerning the arrangements to prescribe may be directed to the Department of Human Services on 1800 700 270 (hours of operation 8 a.m. to 5 p.m. EST Monday to Friday).</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Applications for authority to prescribe should be forwarded to:</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Department of Human Services</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Complex Drugs</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Reply Paid 9826</w:t>
            </w:r>
          </w:p>
          <w:p w:rsidR="00742992" w:rsidRPr="00A759E3" w:rsidRDefault="00742992" w:rsidP="003621ED">
            <w:pPr>
              <w:rPr>
                <w:rFonts w:ascii="Arial Narrow" w:hAnsi="Arial Narrow"/>
                <w:sz w:val="20"/>
                <w:szCs w:val="20"/>
              </w:rPr>
            </w:pPr>
          </w:p>
          <w:p w:rsidR="00742992" w:rsidRDefault="00742992" w:rsidP="003621ED">
            <w:pPr>
              <w:rPr>
                <w:rFonts w:ascii="Arial Narrow" w:hAnsi="Arial Narrow"/>
                <w:sz w:val="20"/>
                <w:szCs w:val="20"/>
              </w:rPr>
            </w:pPr>
            <w:r w:rsidRPr="00A759E3">
              <w:rPr>
                <w:rFonts w:ascii="Arial Narrow" w:hAnsi="Arial Narrow"/>
                <w:sz w:val="20"/>
                <w:szCs w:val="20"/>
              </w:rPr>
              <w:t>HOBART TAS 7001</w:t>
            </w:r>
          </w:p>
          <w:p w:rsidR="00742992" w:rsidRDefault="00742992" w:rsidP="003621ED">
            <w:pPr>
              <w:rPr>
                <w:rFonts w:ascii="Arial Narrow" w:hAnsi="Arial Narrow"/>
                <w:sz w:val="20"/>
                <w:szCs w:val="20"/>
              </w:rPr>
            </w:pPr>
          </w:p>
          <w:p w:rsidR="00742992" w:rsidRDefault="00742992" w:rsidP="003621ED">
            <w:pPr>
              <w:rPr>
                <w:rFonts w:ascii="Arial Narrow" w:hAnsi="Arial Narrow"/>
                <w:sz w:val="20"/>
                <w:szCs w:val="20"/>
              </w:rPr>
            </w:pPr>
            <w:r w:rsidRPr="00A759E3">
              <w:rPr>
                <w:rFonts w:ascii="Arial Narrow" w:hAnsi="Arial Narrow"/>
                <w:sz w:val="20"/>
                <w:szCs w:val="20"/>
              </w:rPr>
              <w:t>Special Pricing Arrangements apply.</w:t>
            </w:r>
          </w:p>
          <w:p w:rsidR="00742992" w:rsidRDefault="00742992" w:rsidP="003621ED">
            <w:pPr>
              <w:rPr>
                <w:rFonts w:ascii="Arial Narrow" w:hAnsi="Arial Narrow"/>
                <w:sz w:val="20"/>
                <w:szCs w:val="20"/>
              </w:rPr>
            </w:pPr>
          </w:p>
          <w:p w:rsidR="00742992" w:rsidRPr="004C3366" w:rsidRDefault="00742992" w:rsidP="003621ED">
            <w:pPr>
              <w:rPr>
                <w:rFonts w:ascii="Arial Narrow" w:hAnsi="Arial Narrow"/>
                <w:sz w:val="20"/>
                <w:szCs w:val="20"/>
              </w:rPr>
            </w:pPr>
            <w:r w:rsidRPr="00A759E3">
              <w:rPr>
                <w:rFonts w:ascii="Arial Narrow" w:hAnsi="Arial Narrow"/>
                <w:sz w:val="20"/>
                <w:szCs w:val="20"/>
              </w:rPr>
              <w:t>Pharmaceutical benefits that have the form ranibizumab 0.165 mL injection syringe and pharmaceutical benefits that have the form ranibizumab 0.23 mL injection vial are equivalent for the purposes of substituti</w:t>
            </w:r>
            <w:r>
              <w:rPr>
                <w:rFonts w:ascii="Arial Narrow" w:hAnsi="Arial Narrow"/>
                <w:sz w:val="20"/>
                <w:szCs w:val="20"/>
              </w:rPr>
              <w:t>on.</w:t>
            </w:r>
          </w:p>
        </w:tc>
      </w:tr>
    </w:tbl>
    <w:p w:rsidR="00742992" w:rsidRPr="00716F40" w:rsidRDefault="00742992" w:rsidP="00742992">
      <w:pPr>
        <w:spacing w:after="120"/>
        <w:ind w:left="720"/>
        <w:rPr>
          <w:rFonts w:asciiTheme="minorHAnsi" w:hAnsiTheme="minorHAnsi"/>
          <w:bCs/>
        </w:rPr>
      </w:pPr>
    </w:p>
    <w:p w:rsidR="00742992" w:rsidRDefault="00742992" w:rsidP="00742992">
      <w:pPr>
        <w:spacing w:line="360" w:lineRule="auto"/>
        <w:ind w:firstLine="720"/>
        <w:rPr>
          <w:rFonts w:asciiTheme="minorHAnsi" w:hAnsiTheme="minorHAnsi"/>
          <w:bCs/>
        </w:rPr>
      </w:pPr>
    </w:p>
    <w:tbl>
      <w:tblPr>
        <w:tblW w:w="8363" w:type="dxa"/>
        <w:tblInd w:w="817" w:type="dxa"/>
        <w:tblLayout w:type="fixed"/>
        <w:tblLook w:val="04A0" w:firstRow="1" w:lastRow="0" w:firstColumn="1" w:lastColumn="0" w:noHBand="0" w:noVBand="1"/>
      </w:tblPr>
      <w:tblGrid>
        <w:gridCol w:w="2268"/>
        <w:gridCol w:w="992"/>
        <w:gridCol w:w="993"/>
        <w:gridCol w:w="850"/>
        <w:gridCol w:w="1559"/>
        <w:gridCol w:w="1701"/>
      </w:tblGrid>
      <w:tr w:rsidR="00742992" w:rsidRPr="004C3366" w:rsidTr="003621ED">
        <w:trPr>
          <w:trHeight w:val="471"/>
        </w:trPr>
        <w:tc>
          <w:tcPr>
            <w:tcW w:w="3260" w:type="dxa"/>
            <w:gridSpan w:val="2"/>
            <w:tcBorders>
              <w:top w:val="nil"/>
              <w:left w:val="nil"/>
              <w:bottom w:val="single" w:sz="4" w:space="0" w:color="auto"/>
              <w:right w:val="nil"/>
            </w:tcBorders>
          </w:tcPr>
          <w:p w:rsidR="00742992" w:rsidRPr="004C3366" w:rsidRDefault="00742992" w:rsidP="003621ED">
            <w:pPr>
              <w:keepNext/>
              <w:ind w:left="-108"/>
              <w:rPr>
                <w:rFonts w:ascii="Arial Narrow" w:hAnsi="Arial Narrow"/>
                <w:sz w:val="20"/>
                <w:szCs w:val="20"/>
              </w:rPr>
            </w:pPr>
            <w:r w:rsidRPr="004C3366">
              <w:rPr>
                <w:rFonts w:ascii="Arial Narrow" w:hAnsi="Arial Narrow"/>
                <w:sz w:val="20"/>
                <w:szCs w:val="20"/>
              </w:rPr>
              <w:t>Name, Restriction,</w:t>
            </w:r>
          </w:p>
          <w:p w:rsidR="00742992" w:rsidRPr="004C3366" w:rsidRDefault="00742992" w:rsidP="003621ED">
            <w:pPr>
              <w:keepNext/>
              <w:ind w:left="-108"/>
              <w:rPr>
                <w:rFonts w:ascii="Arial Narrow" w:hAnsi="Arial Narrow"/>
                <w:sz w:val="20"/>
                <w:szCs w:val="20"/>
              </w:rPr>
            </w:pPr>
            <w:r w:rsidRPr="004C3366">
              <w:rPr>
                <w:rFonts w:ascii="Arial Narrow" w:hAnsi="Arial Narrow"/>
                <w:sz w:val="20"/>
                <w:szCs w:val="20"/>
              </w:rPr>
              <w:t>Manner of administration and form</w:t>
            </w:r>
          </w:p>
        </w:tc>
        <w:tc>
          <w:tcPr>
            <w:tcW w:w="993" w:type="dxa"/>
            <w:tcBorders>
              <w:top w:val="nil"/>
              <w:left w:val="nil"/>
              <w:bottom w:val="single" w:sz="4" w:space="0" w:color="auto"/>
              <w:right w:val="nil"/>
            </w:tcBorders>
            <w:hideMark/>
          </w:tcPr>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Max.</w:t>
            </w:r>
          </w:p>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Qty</w:t>
            </w:r>
          </w:p>
        </w:tc>
        <w:tc>
          <w:tcPr>
            <w:tcW w:w="850" w:type="dxa"/>
            <w:tcBorders>
              <w:top w:val="nil"/>
              <w:left w:val="nil"/>
              <w:bottom w:val="single" w:sz="4" w:space="0" w:color="auto"/>
              <w:right w:val="nil"/>
            </w:tcBorders>
            <w:hideMark/>
          </w:tcPr>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№.of</w:t>
            </w:r>
          </w:p>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Rpts</w:t>
            </w:r>
          </w:p>
        </w:tc>
        <w:tc>
          <w:tcPr>
            <w:tcW w:w="3260" w:type="dxa"/>
            <w:gridSpan w:val="2"/>
            <w:tcBorders>
              <w:top w:val="nil"/>
              <w:left w:val="nil"/>
              <w:bottom w:val="single" w:sz="4" w:space="0" w:color="auto"/>
              <w:right w:val="nil"/>
            </w:tcBorders>
            <w:hideMark/>
          </w:tcPr>
          <w:p w:rsidR="00742992" w:rsidRPr="004C3366" w:rsidRDefault="00742992" w:rsidP="003621ED">
            <w:pPr>
              <w:keepNext/>
              <w:rPr>
                <w:rFonts w:ascii="Arial Narrow" w:hAnsi="Arial Narrow"/>
                <w:sz w:val="20"/>
                <w:szCs w:val="20"/>
                <w:lang w:val="fr-FR"/>
              </w:rPr>
            </w:pPr>
            <w:r w:rsidRPr="004C3366">
              <w:rPr>
                <w:rFonts w:ascii="Arial Narrow" w:hAnsi="Arial Narrow"/>
                <w:sz w:val="20"/>
                <w:szCs w:val="20"/>
              </w:rPr>
              <w:t>Proprietary Name and Manufacturer</w:t>
            </w:r>
          </w:p>
        </w:tc>
      </w:tr>
      <w:tr w:rsidR="00742992" w:rsidRPr="004C3366" w:rsidTr="003621ED">
        <w:trPr>
          <w:trHeight w:val="577"/>
        </w:trPr>
        <w:tc>
          <w:tcPr>
            <w:tcW w:w="3260" w:type="dxa"/>
            <w:gridSpan w:val="2"/>
          </w:tcPr>
          <w:p w:rsidR="00742992" w:rsidRPr="004C3366" w:rsidRDefault="00742992" w:rsidP="003621ED">
            <w:pPr>
              <w:keepNext/>
              <w:ind w:left="-108"/>
              <w:rPr>
                <w:rFonts w:ascii="Arial Narrow" w:hAnsi="Arial Narrow"/>
                <w:sz w:val="20"/>
                <w:szCs w:val="20"/>
              </w:rPr>
            </w:pPr>
            <w:r w:rsidRPr="004C3366">
              <w:rPr>
                <w:rFonts w:ascii="Arial Narrow" w:hAnsi="Arial Narrow"/>
                <w:smallCaps/>
                <w:sz w:val="20"/>
                <w:szCs w:val="20"/>
              </w:rPr>
              <w:t>RANIBIZUMAB</w:t>
            </w:r>
          </w:p>
          <w:p w:rsidR="00742992" w:rsidRDefault="00742992" w:rsidP="003621ED">
            <w:pPr>
              <w:keepNext/>
              <w:ind w:left="-108"/>
              <w:rPr>
                <w:rFonts w:ascii="Arial Narrow" w:hAnsi="Arial Narrow"/>
                <w:sz w:val="20"/>
                <w:szCs w:val="20"/>
              </w:rPr>
            </w:pPr>
            <w:r w:rsidRPr="004C3366">
              <w:rPr>
                <w:rFonts w:ascii="Arial Narrow" w:hAnsi="Arial Narrow"/>
                <w:sz w:val="20"/>
                <w:szCs w:val="20"/>
              </w:rPr>
              <w:t>2.3 mg/0.23 mL injection, 1 x 0.23 mL vial</w:t>
            </w:r>
          </w:p>
          <w:p w:rsidR="00742992" w:rsidRDefault="00742992" w:rsidP="003621ED">
            <w:pPr>
              <w:keepNext/>
              <w:ind w:left="-108"/>
              <w:rPr>
                <w:rFonts w:ascii="Arial Narrow" w:hAnsi="Arial Narrow"/>
                <w:sz w:val="20"/>
                <w:szCs w:val="20"/>
              </w:rPr>
            </w:pPr>
          </w:p>
          <w:p w:rsidR="00742992" w:rsidRPr="004C3366" w:rsidRDefault="00742992" w:rsidP="003621ED">
            <w:pPr>
              <w:keepNext/>
              <w:ind w:left="-108"/>
              <w:rPr>
                <w:rFonts w:ascii="Arial Narrow" w:hAnsi="Arial Narrow"/>
                <w:sz w:val="20"/>
                <w:szCs w:val="20"/>
              </w:rPr>
            </w:pPr>
            <w:r w:rsidRPr="004C3366">
              <w:rPr>
                <w:rFonts w:ascii="Arial Narrow" w:hAnsi="Arial Narrow"/>
                <w:sz w:val="20"/>
                <w:szCs w:val="20"/>
              </w:rPr>
              <w:t xml:space="preserve">1.65 mg/0.165 mL injection, </w:t>
            </w:r>
          </w:p>
          <w:p w:rsidR="00742992" w:rsidRPr="004C3366" w:rsidRDefault="00742992" w:rsidP="003621ED">
            <w:pPr>
              <w:keepNext/>
              <w:ind w:left="-108"/>
              <w:rPr>
                <w:rFonts w:ascii="Arial Narrow" w:hAnsi="Arial Narrow"/>
                <w:sz w:val="20"/>
                <w:szCs w:val="20"/>
              </w:rPr>
            </w:pPr>
            <w:r w:rsidRPr="004C3366">
              <w:rPr>
                <w:rFonts w:ascii="Arial Narrow" w:hAnsi="Arial Narrow"/>
                <w:sz w:val="20"/>
                <w:szCs w:val="20"/>
              </w:rPr>
              <w:t>1 x 0.165 mL syringe</w:t>
            </w:r>
            <w:r>
              <w:rPr>
                <w:rFonts w:ascii="Arial Narrow" w:hAnsi="Arial Narrow"/>
                <w:sz w:val="20"/>
                <w:szCs w:val="20"/>
              </w:rPr>
              <w:t xml:space="preserve"> </w:t>
            </w:r>
          </w:p>
          <w:p w:rsidR="00742992" w:rsidRPr="004C3366" w:rsidRDefault="00742992" w:rsidP="003621ED">
            <w:pPr>
              <w:keepNext/>
              <w:ind w:left="-108"/>
              <w:rPr>
                <w:rFonts w:ascii="Arial Narrow" w:hAnsi="Arial Narrow"/>
                <w:sz w:val="20"/>
                <w:szCs w:val="20"/>
              </w:rPr>
            </w:pPr>
          </w:p>
        </w:tc>
        <w:tc>
          <w:tcPr>
            <w:tcW w:w="993" w:type="dxa"/>
          </w:tcPr>
          <w:p w:rsidR="00742992" w:rsidRPr="004C3366" w:rsidRDefault="00742992" w:rsidP="003621ED">
            <w:pPr>
              <w:keepNext/>
              <w:ind w:left="-108"/>
              <w:jc w:val="center"/>
              <w:rPr>
                <w:rFonts w:ascii="Arial Narrow" w:hAnsi="Arial Narrow"/>
                <w:sz w:val="20"/>
                <w:szCs w:val="20"/>
              </w:rPr>
            </w:pPr>
          </w:p>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1</w:t>
            </w:r>
          </w:p>
        </w:tc>
        <w:tc>
          <w:tcPr>
            <w:tcW w:w="850" w:type="dxa"/>
          </w:tcPr>
          <w:p w:rsidR="00742992" w:rsidRPr="004C3366" w:rsidRDefault="00742992" w:rsidP="003621ED">
            <w:pPr>
              <w:keepNext/>
              <w:ind w:left="-108"/>
              <w:jc w:val="center"/>
              <w:rPr>
                <w:rFonts w:ascii="Arial Narrow" w:hAnsi="Arial Narrow"/>
                <w:sz w:val="20"/>
                <w:szCs w:val="20"/>
              </w:rPr>
            </w:pPr>
          </w:p>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2</w:t>
            </w:r>
          </w:p>
        </w:tc>
        <w:tc>
          <w:tcPr>
            <w:tcW w:w="1559" w:type="dxa"/>
          </w:tcPr>
          <w:p w:rsidR="00742992" w:rsidRPr="004C3366" w:rsidRDefault="00742992" w:rsidP="003621ED">
            <w:pPr>
              <w:keepNext/>
              <w:rPr>
                <w:rFonts w:ascii="Arial Narrow" w:hAnsi="Arial Narrow"/>
                <w:sz w:val="20"/>
                <w:szCs w:val="20"/>
              </w:rPr>
            </w:pPr>
          </w:p>
          <w:p w:rsidR="00742992" w:rsidRPr="004C3366" w:rsidRDefault="00742992" w:rsidP="003621ED">
            <w:pPr>
              <w:keepNext/>
              <w:rPr>
                <w:rFonts w:ascii="Arial Narrow" w:hAnsi="Arial Narrow"/>
                <w:sz w:val="20"/>
                <w:szCs w:val="20"/>
              </w:rPr>
            </w:pPr>
            <w:r w:rsidRPr="004C3366">
              <w:rPr>
                <w:rFonts w:ascii="Arial Narrow" w:hAnsi="Arial Narrow"/>
                <w:sz w:val="20"/>
                <w:szCs w:val="20"/>
              </w:rPr>
              <w:t>Lucentis®</w:t>
            </w:r>
          </w:p>
        </w:tc>
        <w:tc>
          <w:tcPr>
            <w:tcW w:w="1701" w:type="dxa"/>
          </w:tcPr>
          <w:p w:rsidR="00742992" w:rsidRPr="004C3366" w:rsidRDefault="00742992" w:rsidP="003621ED">
            <w:pPr>
              <w:keepNext/>
              <w:rPr>
                <w:rFonts w:ascii="Arial Narrow" w:hAnsi="Arial Narrow"/>
                <w:sz w:val="20"/>
                <w:szCs w:val="20"/>
              </w:rPr>
            </w:pPr>
          </w:p>
          <w:p w:rsidR="00742992" w:rsidRPr="004C3366" w:rsidRDefault="00742992" w:rsidP="003621ED">
            <w:pPr>
              <w:keepNext/>
              <w:rPr>
                <w:rFonts w:ascii="Arial Narrow" w:hAnsi="Arial Narrow"/>
                <w:sz w:val="20"/>
                <w:szCs w:val="20"/>
              </w:rPr>
            </w:pPr>
            <w:r w:rsidRPr="004C3366">
              <w:rPr>
                <w:rFonts w:ascii="Arial Narrow" w:hAnsi="Arial Narrow"/>
                <w:sz w:val="20"/>
                <w:szCs w:val="20"/>
              </w:rPr>
              <w:t>Novartis Australia Pty. Ltd.</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hideMark/>
          </w:tcPr>
          <w:p w:rsidR="00742992" w:rsidRPr="004C3366" w:rsidRDefault="00742992" w:rsidP="003621ED">
            <w:pPr>
              <w:rPr>
                <w:rFonts w:ascii="Arial Narrow" w:hAnsi="Arial Narrow"/>
                <w:b/>
                <w:sz w:val="20"/>
                <w:szCs w:val="20"/>
              </w:rPr>
            </w:pPr>
            <w:r w:rsidRPr="004C3366">
              <w:rPr>
                <w:rFonts w:ascii="Arial Narrow" w:hAnsi="Arial Narrow"/>
                <w:b/>
                <w:sz w:val="20"/>
                <w:szCs w:val="20"/>
              </w:rPr>
              <w:t>Condition:</w:t>
            </w:r>
          </w:p>
        </w:tc>
        <w:tc>
          <w:tcPr>
            <w:tcW w:w="6095" w:type="dxa"/>
            <w:gridSpan w:val="5"/>
            <w:tcBorders>
              <w:top w:val="single" w:sz="4" w:space="0" w:color="auto"/>
              <w:left w:val="single" w:sz="4" w:space="0" w:color="auto"/>
              <w:bottom w:val="single" w:sz="4" w:space="0" w:color="auto"/>
              <w:right w:val="single" w:sz="4" w:space="0" w:color="auto"/>
            </w:tcBorders>
            <w:hideMark/>
          </w:tcPr>
          <w:p w:rsidR="00742992" w:rsidRPr="004C3366" w:rsidRDefault="00742992" w:rsidP="003621ED">
            <w:pPr>
              <w:rPr>
                <w:rFonts w:ascii="Arial Narrow" w:hAnsi="Arial Narrow"/>
                <w:sz w:val="20"/>
                <w:szCs w:val="20"/>
              </w:rPr>
            </w:pPr>
            <w:r>
              <w:rPr>
                <w:rFonts w:ascii="Arial Narrow" w:hAnsi="Arial Narrow"/>
                <w:sz w:val="20"/>
                <w:szCs w:val="20"/>
              </w:rPr>
              <w:t>Subfoveal choroidal neovascularisation</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i/>
                <w:sz w:val="20"/>
                <w:szCs w:val="20"/>
              </w:rPr>
            </w:pPr>
            <w:r w:rsidRPr="004C3366">
              <w:rPr>
                <w:rFonts w:ascii="Arial Narrow" w:hAnsi="Arial Narrow"/>
                <w:b/>
                <w:sz w:val="20"/>
                <w:szCs w:val="20"/>
              </w:rPr>
              <w:t>Treatment phase:</w:t>
            </w:r>
          </w:p>
        </w:tc>
        <w:tc>
          <w:tcPr>
            <w:tcW w:w="6095" w:type="dxa"/>
            <w:gridSpan w:val="5"/>
            <w:tcBorders>
              <w:top w:val="single" w:sz="4" w:space="0" w:color="auto"/>
              <w:left w:val="single" w:sz="4" w:space="0" w:color="auto"/>
              <w:bottom w:val="single" w:sz="4" w:space="0" w:color="auto"/>
              <w:right w:val="single" w:sz="4" w:space="0" w:color="auto"/>
            </w:tcBorders>
            <w:hideMark/>
          </w:tcPr>
          <w:p w:rsidR="00742992" w:rsidRPr="004C3366" w:rsidRDefault="00742992" w:rsidP="003621ED">
            <w:pPr>
              <w:rPr>
                <w:rFonts w:ascii="Arial Narrow" w:hAnsi="Arial Narrow"/>
                <w:sz w:val="20"/>
                <w:szCs w:val="20"/>
              </w:rPr>
            </w:pPr>
            <w:r w:rsidRPr="004C3366">
              <w:rPr>
                <w:rFonts w:ascii="Arial Narrow" w:hAnsi="Arial Narrow"/>
                <w:sz w:val="20"/>
                <w:szCs w:val="20"/>
              </w:rPr>
              <w:t>Initial treatment</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b/>
                <w:sz w:val="20"/>
                <w:szCs w:val="20"/>
              </w:rPr>
              <w:t>Restriction</w:t>
            </w:r>
            <w:r>
              <w:rPr>
                <w:rFonts w:ascii="Arial Narrow" w:hAnsi="Arial Narrow"/>
                <w:b/>
                <w:sz w:val="20"/>
                <w:szCs w:val="20"/>
              </w:rPr>
              <w:t xml:space="preserve"> Level / Method</w:t>
            </w:r>
            <w:r w:rsidRPr="004C3366">
              <w:rPr>
                <w:rFonts w:ascii="Arial Narrow" w:hAnsi="Arial Narrow"/>
                <w:b/>
                <w:sz w:val="20"/>
                <w:szCs w:val="20"/>
              </w:rPr>
              <w:t>:</w:t>
            </w:r>
          </w:p>
        </w:tc>
        <w:tc>
          <w:tcPr>
            <w:tcW w:w="6095" w:type="dxa"/>
            <w:gridSpan w:val="5"/>
            <w:tcBorders>
              <w:top w:val="single" w:sz="4" w:space="0" w:color="auto"/>
              <w:left w:val="single" w:sz="4" w:space="0" w:color="auto"/>
              <w:bottom w:val="single" w:sz="4" w:space="0" w:color="auto"/>
              <w:right w:val="single" w:sz="4" w:space="0" w:color="auto"/>
            </w:tcBorders>
            <w:hideMark/>
          </w:tcPr>
          <w:p w:rsidR="00742992" w:rsidRPr="00707F1D" w:rsidRDefault="00742992" w:rsidP="003621ED">
            <w:pPr>
              <w:widowControl/>
              <w:jc w:val="left"/>
              <w:rPr>
                <w:snapToGrid/>
                <w:sz w:val="20"/>
                <w:szCs w:val="20"/>
                <w:lang w:eastAsia="en-AU"/>
              </w:rPr>
            </w:pPr>
            <w:r w:rsidRPr="00707F1D">
              <w:rPr>
                <w:snapToGrid/>
                <w:sz w:val="20"/>
                <w:szCs w:val="20"/>
                <w:lang w:eastAsia="en-AU"/>
              </w:rPr>
              <w:fldChar w:fldCharType="begin">
                <w:ffData>
                  <w:name w:val="Check1"/>
                  <w:enabled/>
                  <w:calcOnExit w:val="0"/>
                  <w:checkBox>
                    <w:sizeAuto/>
                    <w:default w:val="0"/>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Restricted benefit</w:t>
            </w:r>
          </w:p>
          <w:p w:rsidR="00742992" w:rsidRPr="00707F1D" w:rsidRDefault="00742992" w:rsidP="003621ED">
            <w:pPr>
              <w:widowControl/>
              <w:jc w:val="left"/>
              <w:rPr>
                <w:snapToGrid/>
                <w:sz w:val="20"/>
                <w:szCs w:val="20"/>
                <w:lang w:eastAsia="en-AU"/>
              </w:rPr>
            </w:pPr>
            <w:r w:rsidRPr="00707F1D">
              <w:rPr>
                <w:snapToGrid/>
                <w:sz w:val="20"/>
                <w:szCs w:val="20"/>
                <w:lang w:eastAsia="en-AU"/>
              </w:rPr>
              <w:fldChar w:fldCharType="begin">
                <w:ffData>
                  <w:name w:val=""/>
                  <w:enabled/>
                  <w:calcOnExit w:val="0"/>
                  <w:checkBox>
                    <w:sizeAuto/>
                    <w:default w:val="1"/>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Authority Required - In Writing</w:t>
            </w:r>
          </w:p>
          <w:p w:rsidR="00742992" w:rsidRPr="00707F1D" w:rsidRDefault="00742992" w:rsidP="003621ED">
            <w:pPr>
              <w:widowControl/>
              <w:jc w:val="left"/>
              <w:rPr>
                <w:snapToGrid/>
                <w:sz w:val="20"/>
                <w:szCs w:val="20"/>
                <w:lang w:eastAsia="en-AU"/>
              </w:rPr>
            </w:pPr>
            <w:r>
              <w:rPr>
                <w:snapToGrid/>
                <w:sz w:val="20"/>
                <w:szCs w:val="20"/>
                <w:lang w:eastAsia="en-AU"/>
              </w:rPr>
              <w:fldChar w:fldCharType="begin">
                <w:ffData>
                  <w:name w:val="Check3"/>
                  <w:enabled/>
                  <w:calcOnExit w:val="0"/>
                  <w:checkBox>
                    <w:sizeAuto/>
                    <w:default w:val="1"/>
                  </w:checkBox>
                </w:ffData>
              </w:fldChar>
            </w:r>
            <w:bookmarkStart w:id="31" w:name="Check3"/>
            <w:r>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Pr>
                <w:snapToGrid/>
                <w:sz w:val="20"/>
                <w:szCs w:val="20"/>
                <w:lang w:eastAsia="en-AU"/>
              </w:rPr>
              <w:fldChar w:fldCharType="end"/>
            </w:r>
            <w:bookmarkEnd w:id="31"/>
            <w:r w:rsidRPr="00707F1D">
              <w:rPr>
                <w:snapToGrid/>
                <w:sz w:val="20"/>
                <w:szCs w:val="20"/>
                <w:lang w:eastAsia="en-AU"/>
              </w:rPr>
              <w:t>Authority Required - Telephone</w:t>
            </w:r>
          </w:p>
          <w:p w:rsidR="00742992" w:rsidRPr="00707F1D" w:rsidRDefault="00742992" w:rsidP="003621ED">
            <w:pPr>
              <w:widowControl/>
              <w:jc w:val="left"/>
              <w:rPr>
                <w:snapToGrid/>
                <w:sz w:val="20"/>
                <w:szCs w:val="20"/>
                <w:lang w:eastAsia="en-AU"/>
              </w:rPr>
            </w:pPr>
            <w:r w:rsidRPr="00707F1D">
              <w:rPr>
                <w:snapToGrid/>
                <w:sz w:val="20"/>
                <w:szCs w:val="20"/>
                <w:lang w:eastAsia="en-AU"/>
              </w:rPr>
              <w:fldChar w:fldCharType="begin">
                <w:ffData>
                  <w:name w:val=""/>
                  <w:enabled/>
                  <w:calcOnExit w:val="0"/>
                  <w:checkBox>
                    <w:sizeAuto/>
                    <w:default w:val="0"/>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Authority Required - Emergency</w:t>
            </w:r>
          </w:p>
          <w:p w:rsidR="00742992" w:rsidRPr="00707F1D" w:rsidRDefault="00742992" w:rsidP="003621ED">
            <w:pPr>
              <w:widowControl/>
              <w:jc w:val="left"/>
              <w:rPr>
                <w:snapToGrid/>
                <w:sz w:val="20"/>
                <w:szCs w:val="20"/>
                <w:lang w:eastAsia="en-AU"/>
              </w:rPr>
            </w:pPr>
            <w:r w:rsidRPr="00707F1D">
              <w:rPr>
                <w:snapToGrid/>
                <w:sz w:val="20"/>
                <w:szCs w:val="20"/>
                <w:lang w:eastAsia="en-AU"/>
              </w:rPr>
              <w:fldChar w:fldCharType="begin">
                <w:ffData>
                  <w:name w:val="Check5"/>
                  <w:enabled/>
                  <w:calcOnExit w:val="0"/>
                  <w:checkBox>
                    <w:sizeAuto/>
                    <w:default w:val="0"/>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Authority Required - Electronic</w:t>
            </w:r>
          </w:p>
          <w:p w:rsidR="00742992" w:rsidRPr="004C3366" w:rsidRDefault="00742992" w:rsidP="003621ED">
            <w:pPr>
              <w:rPr>
                <w:rFonts w:ascii="Arial Narrow" w:hAnsi="Arial Narrow"/>
                <w:sz w:val="20"/>
                <w:szCs w:val="20"/>
              </w:rPr>
            </w:pPr>
            <w:r w:rsidRPr="00707F1D">
              <w:rPr>
                <w:snapToGrid/>
                <w:sz w:val="20"/>
                <w:szCs w:val="20"/>
                <w:lang w:eastAsia="en-AU"/>
              </w:rPr>
              <w:fldChar w:fldCharType="begin">
                <w:ffData>
                  <w:name w:val="Check5"/>
                  <w:enabled/>
                  <w:calcOnExit w:val="0"/>
                  <w:checkBox>
                    <w:sizeAuto/>
                    <w:default w:val="0"/>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Streamlined</w:t>
            </w:r>
          </w:p>
        </w:tc>
      </w:tr>
      <w:tr w:rsidR="00742992" w:rsidRPr="004C3366" w:rsidTr="003621ED">
        <w:trPr>
          <w:trHeight w:val="377"/>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b/>
                <w:sz w:val="20"/>
                <w:szCs w:val="20"/>
              </w:rPr>
              <w:lastRenderedPageBreak/>
              <w:t>Treatment criteria:</w:t>
            </w:r>
          </w:p>
        </w:tc>
        <w:tc>
          <w:tcPr>
            <w:tcW w:w="6095" w:type="dxa"/>
            <w:gridSpan w:val="5"/>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sz w:val="20"/>
                <w:szCs w:val="20"/>
              </w:rPr>
              <w:t>Must be treated by an ophthalmologist</w:t>
            </w:r>
            <w:r>
              <w:rPr>
                <w:rFonts w:ascii="Arial Narrow" w:hAnsi="Arial Narrow"/>
                <w:sz w:val="20"/>
                <w:szCs w:val="20"/>
              </w:rPr>
              <w:t xml:space="preserve"> </w:t>
            </w:r>
            <w:r w:rsidRPr="00615F2B">
              <w:rPr>
                <w:rFonts w:ascii="Arial Narrow" w:hAnsi="Arial Narrow"/>
                <w:sz w:val="20"/>
                <w:szCs w:val="20"/>
              </w:rPr>
              <w:t>or in consultation with an ophthalmologist.</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b/>
                <w:sz w:val="20"/>
                <w:szCs w:val="20"/>
              </w:rPr>
              <w:t>Clinical criteria:</w:t>
            </w:r>
          </w:p>
        </w:tc>
        <w:tc>
          <w:tcPr>
            <w:tcW w:w="6095" w:type="dxa"/>
            <w:gridSpan w:val="5"/>
            <w:tcBorders>
              <w:top w:val="single" w:sz="4" w:space="0" w:color="auto"/>
              <w:left w:val="single" w:sz="4" w:space="0" w:color="auto"/>
              <w:bottom w:val="single" w:sz="4" w:space="0" w:color="auto"/>
              <w:right w:val="single" w:sz="4" w:space="0" w:color="auto"/>
            </w:tcBorders>
          </w:tcPr>
          <w:p w:rsidR="00742992" w:rsidRDefault="00742992" w:rsidP="003621ED">
            <w:pPr>
              <w:rPr>
                <w:rFonts w:ascii="Arial Narrow" w:hAnsi="Arial Narrow"/>
                <w:strike/>
                <w:sz w:val="20"/>
                <w:szCs w:val="20"/>
              </w:rPr>
            </w:pPr>
            <w:r>
              <w:rPr>
                <w:rFonts w:ascii="Arial Narrow" w:hAnsi="Arial Narrow"/>
                <w:sz w:val="20"/>
                <w:szCs w:val="20"/>
              </w:rPr>
              <w:t xml:space="preserve">The condition must be due to pathologic </w:t>
            </w:r>
            <w:r w:rsidRPr="00282C4E">
              <w:rPr>
                <w:rFonts w:ascii="Arial Narrow" w:hAnsi="Arial Narrow"/>
                <w:sz w:val="20"/>
                <w:szCs w:val="20"/>
              </w:rPr>
              <w:t>myopia,</w:t>
            </w:r>
          </w:p>
          <w:p w:rsidR="00742992" w:rsidRPr="004C3366" w:rsidRDefault="00742992" w:rsidP="003621ED">
            <w:pPr>
              <w:rPr>
                <w:rFonts w:ascii="Arial Narrow" w:hAnsi="Arial Narrow"/>
                <w:sz w:val="20"/>
                <w:szCs w:val="20"/>
              </w:rPr>
            </w:pPr>
          </w:p>
          <w:p w:rsidR="00742992" w:rsidRPr="00236F57" w:rsidRDefault="00742992" w:rsidP="003621ED">
            <w:pPr>
              <w:rPr>
                <w:rFonts w:ascii="Arial Narrow" w:hAnsi="Arial Narrow"/>
                <w:sz w:val="20"/>
                <w:szCs w:val="20"/>
              </w:rPr>
            </w:pPr>
            <w:r w:rsidRPr="00236F57">
              <w:rPr>
                <w:rFonts w:ascii="Arial Narrow" w:hAnsi="Arial Narrow"/>
                <w:sz w:val="20"/>
                <w:szCs w:val="20"/>
              </w:rPr>
              <w:t>AND</w:t>
            </w:r>
          </w:p>
          <w:p w:rsidR="00742992" w:rsidRPr="004C3366" w:rsidRDefault="00742992" w:rsidP="003621ED">
            <w:pPr>
              <w:rPr>
                <w:rFonts w:ascii="Arial Narrow" w:hAnsi="Arial Narrow"/>
                <w:sz w:val="20"/>
                <w:szCs w:val="20"/>
              </w:rPr>
            </w:pPr>
          </w:p>
          <w:p w:rsidR="00742992" w:rsidRPr="004C3366" w:rsidRDefault="00742992" w:rsidP="003621ED">
            <w:pPr>
              <w:rPr>
                <w:rFonts w:ascii="Arial Narrow" w:hAnsi="Arial Narrow"/>
                <w:sz w:val="20"/>
                <w:szCs w:val="20"/>
              </w:rPr>
            </w:pPr>
            <w:r w:rsidRPr="00A524CA">
              <w:rPr>
                <w:rFonts w:ascii="Arial Narrow" w:hAnsi="Arial Narrow"/>
                <w:sz w:val="20"/>
                <w:szCs w:val="20"/>
              </w:rPr>
              <w:t>The condition must be diagnosed by optical coherence tomography; OR</w:t>
            </w:r>
          </w:p>
          <w:p w:rsidR="00742992" w:rsidRDefault="00742992" w:rsidP="003621ED">
            <w:pPr>
              <w:rPr>
                <w:rFonts w:ascii="Arial Narrow" w:hAnsi="Arial Narrow"/>
                <w:sz w:val="20"/>
                <w:szCs w:val="20"/>
              </w:rPr>
            </w:pPr>
            <w:r w:rsidRPr="00A524CA">
              <w:rPr>
                <w:rFonts w:ascii="Arial Narrow" w:hAnsi="Arial Narrow"/>
                <w:sz w:val="20"/>
                <w:szCs w:val="20"/>
              </w:rPr>
              <w:t>The condition must be diagnosed by fluorescein angiography,</w:t>
            </w:r>
          </w:p>
          <w:p w:rsidR="00742992" w:rsidRDefault="00742992" w:rsidP="003621ED">
            <w:pPr>
              <w:rPr>
                <w:rFonts w:ascii="Arial Narrow" w:hAnsi="Arial Narrow"/>
                <w:sz w:val="20"/>
                <w:szCs w:val="20"/>
              </w:rPr>
            </w:pPr>
          </w:p>
          <w:p w:rsidR="00742992" w:rsidRDefault="00742992" w:rsidP="003621ED">
            <w:pPr>
              <w:rPr>
                <w:rFonts w:ascii="Arial Narrow" w:hAnsi="Arial Narrow"/>
                <w:sz w:val="20"/>
                <w:szCs w:val="20"/>
              </w:rPr>
            </w:pPr>
            <w:r>
              <w:rPr>
                <w:rFonts w:ascii="Arial Narrow" w:hAnsi="Arial Narrow"/>
                <w:sz w:val="20"/>
                <w:szCs w:val="20"/>
              </w:rPr>
              <w:t>AND</w:t>
            </w:r>
          </w:p>
          <w:p w:rsidR="00742992" w:rsidRDefault="00742992" w:rsidP="003621ED">
            <w:pPr>
              <w:rPr>
                <w:rFonts w:ascii="Arial Narrow" w:hAnsi="Arial Narrow"/>
                <w:sz w:val="20"/>
                <w:szCs w:val="20"/>
              </w:rPr>
            </w:pPr>
          </w:p>
          <w:p w:rsidR="00742992" w:rsidRPr="004C3366" w:rsidRDefault="00742992" w:rsidP="003621ED">
            <w:pPr>
              <w:rPr>
                <w:rFonts w:ascii="Arial Narrow" w:hAnsi="Arial Narrow"/>
                <w:sz w:val="20"/>
                <w:szCs w:val="20"/>
              </w:rPr>
            </w:pPr>
            <w:r w:rsidRPr="00A524CA">
              <w:rPr>
                <w:rFonts w:ascii="Arial Narrow" w:hAnsi="Arial Narrow"/>
                <w:sz w:val="20"/>
                <w:szCs w:val="20"/>
              </w:rPr>
              <w:t>The treatment must be the sole PBS-subsidised therapy for this condition.</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b/>
                <w:sz w:val="20"/>
                <w:szCs w:val="20"/>
              </w:rPr>
              <w:t>Prescriber Instructions</w:t>
            </w:r>
          </w:p>
        </w:tc>
        <w:tc>
          <w:tcPr>
            <w:tcW w:w="6095" w:type="dxa"/>
            <w:gridSpan w:val="5"/>
            <w:tcBorders>
              <w:top w:val="single" w:sz="4" w:space="0" w:color="auto"/>
              <w:left w:val="single" w:sz="4" w:space="0" w:color="auto"/>
              <w:bottom w:val="single" w:sz="4" w:space="0" w:color="auto"/>
              <w:right w:val="single" w:sz="4" w:space="0" w:color="auto"/>
            </w:tcBorders>
          </w:tcPr>
          <w:p w:rsidR="00742992" w:rsidRDefault="00742992" w:rsidP="003621ED">
            <w:pPr>
              <w:rPr>
                <w:rFonts w:ascii="Arial Narrow" w:hAnsi="Arial Narrow"/>
                <w:sz w:val="20"/>
                <w:szCs w:val="20"/>
              </w:rPr>
            </w:pPr>
            <w:r w:rsidRPr="00615F2B">
              <w:rPr>
                <w:rFonts w:ascii="Arial Narrow" w:hAnsi="Arial Narrow"/>
                <w:sz w:val="20"/>
                <w:szCs w:val="20"/>
              </w:rPr>
              <w:t>Authority approval for initial treatment of each eye must be sought.</w:t>
            </w:r>
            <w:r>
              <w:rPr>
                <w:rFonts w:ascii="Arial Narrow" w:hAnsi="Arial Narrow"/>
                <w:sz w:val="20"/>
                <w:szCs w:val="20"/>
              </w:rPr>
              <w:t xml:space="preserve"> </w:t>
            </w:r>
          </w:p>
          <w:p w:rsidR="00742992"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The first authority application for each eye must be made in writing or by telephone.</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A written application must include:</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a) a completed authority prescription form;</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b) a completed Subfoveal Choroidal Neovascularisation (CNV) - PBS Supporting Information Form; and</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c) a copy of the optical coherence tomography or fluorescein angiogram report.</w:t>
            </w:r>
          </w:p>
          <w:p w:rsidR="00742992" w:rsidRPr="00A759E3" w:rsidRDefault="00742992" w:rsidP="003621ED">
            <w:pPr>
              <w:rPr>
                <w:rFonts w:ascii="Arial Narrow" w:hAnsi="Arial Narrow"/>
                <w:sz w:val="20"/>
                <w:szCs w:val="20"/>
              </w:rPr>
            </w:pPr>
          </w:p>
          <w:p w:rsidR="00742992" w:rsidRPr="004C3366" w:rsidRDefault="00742992" w:rsidP="003621ED">
            <w:pPr>
              <w:rPr>
                <w:rFonts w:ascii="Arial Narrow" w:hAnsi="Arial Narrow"/>
                <w:sz w:val="20"/>
                <w:szCs w:val="20"/>
              </w:rPr>
            </w:pPr>
            <w:r w:rsidRPr="00A759E3">
              <w:rPr>
                <w:rFonts w:ascii="Arial Narrow" w:hAnsi="Arial Narrow"/>
                <w:sz w:val="20"/>
                <w:szCs w:val="20"/>
              </w:rPr>
              <w:t>A telephone application must be made following submission by facsimile of a copy of a completed Subfoveal Choroidal Neovascularisation (CNV) - PBS Supporting Information Form and a copy of the optical coherence tomography or fluorescein angiogram report.</w:t>
            </w:r>
          </w:p>
        </w:tc>
      </w:tr>
      <w:tr w:rsidR="00742992" w:rsidRPr="004C3366" w:rsidTr="003621ED">
        <w:trPr>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b/>
                <w:sz w:val="20"/>
                <w:szCs w:val="20"/>
              </w:rPr>
              <w:t>Administrative Advice</w:t>
            </w:r>
          </w:p>
        </w:tc>
        <w:tc>
          <w:tcPr>
            <w:tcW w:w="6095" w:type="dxa"/>
            <w:gridSpan w:val="5"/>
            <w:tcBorders>
              <w:top w:val="single" w:sz="4" w:space="0" w:color="auto"/>
              <w:left w:val="single" w:sz="4" w:space="0" w:color="auto"/>
              <w:bottom w:val="single" w:sz="4" w:space="0" w:color="auto"/>
              <w:right w:val="single" w:sz="4" w:space="0" w:color="auto"/>
            </w:tcBorders>
          </w:tcPr>
          <w:p w:rsidR="00742992" w:rsidRDefault="00742992" w:rsidP="003621ED">
            <w:pPr>
              <w:rPr>
                <w:rFonts w:ascii="Arial Narrow" w:hAnsi="Arial Narrow"/>
                <w:sz w:val="20"/>
                <w:szCs w:val="20"/>
              </w:rPr>
            </w:pPr>
            <w:r w:rsidRPr="00A759E3">
              <w:rPr>
                <w:rFonts w:ascii="Arial Narrow" w:hAnsi="Arial Narrow"/>
                <w:sz w:val="20"/>
                <w:szCs w:val="20"/>
              </w:rPr>
              <w:t>The first authority application may be faxed to the Department of Human Services on 1300 093 177 (hours of operation 8 a.m. to 5 p.m. EST Monday to Friday). The Department will then contact the prescriber by telephone.</w:t>
            </w:r>
          </w:p>
          <w:p w:rsidR="00742992"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Any queries concerning the arrangements to prescribe may be directed to the Department of Human Services on 1800 700 270 (hours of operation 8 a.m. to 5 p.m. EST Monday to Friday).</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Applications for authority to prescribe should be forwarded to:</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Department of Human Services</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Complex Drugs</w:t>
            </w:r>
          </w:p>
          <w:p w:rsidR="00742992" w:rsidRPr="00A759E3" w:rsidRDefault="00742992" w:rsidP="003621ED">
            <w:pPr>
              <w:rPr>
                <w:rFonts w:ascii="Arial Narrow" w:hAnsi="Arial Narrow"/>
                <w:sz w:val="20"/>
                <w:szCs w:val="20"/>
              </w:rPr>
            </w:pPr>
          </w:p>
          <w:p w:rsidR="00742992" w:rsidRPr="00A759E3" w:rsidRDefault="00742992" w:rsidP="003621ED">
            <w:pPr>
              <w:rPr>
                <w:rFonts w:ascii="Arial Narrow" w:hAnsi="Arial Narrow"/>
                <w:sz w:val="20"/>
                <w:szCs w:val="20"/>
              </w:rPr>
            </w:pPr>
            <w:r w:rsidRPr="00A759E3">
              <w:rPr>
                <w:rFonts w:ascii="Arial Narrow" w:hAnsi="Arial Narrow"/>
                <w:sz w:val="20"/>
                <w:szCs w:val="20"/>
              </w:rPr>
              <w:t>Reply Paid 9826</w:t>
            </w:r>
          </w:p>
          <w:p w:rsidR="00742992" w:rsidRPr="00A759E3" w:rsidRDefault="00742992" w:rsidP="003621ED">
            <w:pPr>
              <w:rPr>
                <w:rFonts w:ascii="Arial Narrow" w:hAnsi="Arial Narrow"/>
                <w:sz w:val="20"/>
                <w:szCs w:val="20"/>
              </w:rPr>
            </w:pPr>
          </w:p>
          <w:p w:rsidR="00742992" w:rsidRDefault="00742992" w:rsidP="003621ED">
            <w:pPr>
              <w:rPr>
                <w:rFonts w:ascii="Arial Narrow" w:hAnsi="Arial Narrow"/>
                <w:sz w:val="20"/>
                <w:szCs w:val="20"/>
              </w:rPr>
            </w:pPr>
            <w:r w:rsidRPr="00A759E3">
              <w:rPr>
                <w:rFonts w:ascii="Arial Narrow" w:hAnsi="Arial Narrow"/>
                <w:sz w:val="20"/>
                <w:szCs w:val="20"/>
              </w:rPr>
              <w:t>HOBART TAS 7001</w:t>
            </w:r>
          </w:p>
          <w:p w:rsidR="00742992" w:rsidRDefault="00742992" w:rsidP="003621ED">
            <w:pPr>
              <w:rPr>
                <w:rFonts w:ascii="Arial Narrow" w:hAnsi="Arial Narrow"/>
                <w:sz w:val="20"/>
                <w:szCs w:val="20"/>
              </w:rPr>
            </w:pPr>
          </w:p>
          <w:p w:rsidR="00742992" w:rsidRDefault="00742992" w:rsidP="003621ED">
            <w:pPr>
              <w:rPr>
                <w:rFonts w:ascii="Arial Narrow" w:hAnsi="Arial Narrow"/>
                <w:sz w:val="20"/>
                <w:szCs w:val="20"/>
              </w:rPr>
            </w:pPr>
            <w:r w:rsidRPr="00A759E3">
              <w:rPr>
                <w:rFonts w:ascii="Arial Narrow" w:hAnsi="Arial Narrow"/>
                <w:sz w:val="20"/>
                <w:szCs w:val="20"/>
              </w:rPr>
              <w:t>Special Pricing Arrangements apply.</w:t>
            </w:r>
          </w:p>
          <w:p w:rsidR="00742992" w:rsidRDefault="00742992" w:rsidP="003621ED">
            <w:pPr>
              <w:rPr>
                <w:rFonts w:ascii="Arial Narrow" w:hAnsi="Arial Narrow"/>
                <w:sz w:val="20"/>
                <w:szCs w:val="20"/>
              </w:rPr>
            </w:pPr>
          </w:p>
          <w:p w:rsidR="00742992" w:rsidRPr="004C3366" w:rsidRDefault="00742992" w:rsidP="003621ED">
            <w:pPr>
              <w:rPr>
                <w:rFonts w:ascii="Arial Narrow" w:hAnsi="Arial Narrow"/>
                <w:sz w:val="20"/>
                <w:szCs w:val="20"/>
              </w:rPr>
            </w:pPr>
            <w:r w:rsidRPr="00A759E3">
              <w:rPr>
                <w:rFonts w:ascii="Arial Narrow" w:hAnsi="Arial Narrow"/>
                <w:sz w:val="20"/>
                <w:szCs w:val="20"/>
              </w:rPr>
              <w:t xml:space="preserve">Pharmaceutical benefits that have the form ranibizumab 0.165 mL injection </w:t>
            </w:r>
            <w:r w:rsidRPr="00A759E3">
              <w:rPr>
                <w:rFonts w:ascii="Arial Narrow" w:hAnsi="Arial Narrow"/>
                <w:sz w:val="20"/>
                <w:szCs w:val="20"/>
              </w:rPr>
              <w:lastRenderedPageBreak/>
              <w:t>syringe and pharmaceutical benefits that have the form ranibizumab 0.23 mL injection vial are equivalent for the purposes of substituti</w:t>
            </w:r>
            <w:r>
              <w:rPr>
                <w:rFonts w:ascii="Arial Narrow" w:hAnsi="Arial Narrow"/>
                <w:sz w:val="20"/>
                <w:szCs w:val="20"/>
              </w:rPr>
              <w:t>on.</w:t>
            </w:r>
          </w:p>
        </w:tc>
      </w:tr>
    </w:tbl>
    <w:p w:rsidR="00742992" w:rsidRPr="004C3366" w:rsidRDefault="00742992" w:rsidP="00742992">
      <w:pPr>
        <w:rPr>
          <w:rFonts w:ascii="Arial" w:hAnsi="Arial"/>
          <w:sz w:val="22"/>
        </w:rPr>
      </w:pPr>
    </w:p>
    <w:tbl>
      <w:tblPr>
        <w:tblW w:w="8363" w:type="dxa"/>
        <w:tblInd w:w="817" w:type="dxa"/>
        <w:tblLayout w:type="fixed"/>
        <w:tblLook w:val="04A0" w:firstRow="1" w:lastRow="0" w:firstColumn="1" w:lastColumn="0" w:noHBand="0" w:noVBand="1"/>
      </w:tblPr>
      <w:tblGrid>
        <w:gridCol w:w="2268"/>
        <w:gridCol w:w="992"/>
        <w:gridCol w:w="993"/>
        <w:gridCol w:w="850"/>
        <w:gridCol w:w="1559"/>
        <w:gridCol w:w="1701"/>
      </w:tblGrid>
      <w:tr w:rsidR="00742992" w:rsidRPr="004C3366" w:rsidTr="003621ED">
        <w:trPr>
          <w:trHeight w:val="471"/>
        </w:trPr>
        <w:tc>
          <w:tcPr>
            <w:tcW w:w="3260" w:type="dxa"/>
            <w:gridSpan w:val="2"/>
            <w:tcBorders>
              <w:top w:val="nil"/>
              <w:left w:val="nil"/>
              <w:bottom w:val="single" w:sz="4" w:space="0" w:color="auto"/>
              <w:right w:val="nil"/>
            </w:tcBorders>
          </w:tcPr>
          <w:p w:rsidR="00742992" w:rsidRPr="004C3366" w:rsidRDefault="00742992" w:rsidP="003621ED">
            <w:pPr>
              <w:keepNext/>
              <w:ind w:left="-108"/>
              <w:rPr>
                <w:rFonts w:ascii="Arial Narrow" w:hAnsi="Arial Narrow"/>
                <w:sz w:val="20"/>
                <w:szCs w:val="20"/>
              </w:rPr>
            </w:pPr>
            <w:r w:rsidRPr="004C3366">
              <w:rPr>
                <w:rFonts w:ascii="Arial Narrow" w:hAnsi="Arial Narrow"/>
                <w:sz w:val="20"/>
                <w:szCs w:val="20"/>
              </w:rPr>
              <w:t>Name, Restriction,</w:t>
            </w:r>
          </w:p>
          <w:p w:rsidR="00742992" w:rsidRPr="004C3366" w:rsidRDefault="00742992" w:rsidP="003621ED">
            <w:pPr>
              <w:keepNext/>
              <w:ind w:left="-108"/>
              <w:rPr>
                <w:rFonts w:ascii="Arial Narrow" w:hAnsi="Arial Narrow"/>
                <w:sz w:val="20"/>
                <w:szCs w:val="20"/>
              </w:rPr>
            </w:pPr>
            <w:r w:rsidRPr="004C3366">
              <w:rPr>
                <w:rFonts w:ascii="Arial Narrow" w:hAnsi="Arial Narrow"/>
                <w:sz w:val="20"/>
                <w:szCs w:val="20"/>
              </w:rPr>
              <w:t>Manner of administration and form</w:t>
            </w:r>
          </w:p>
        </w:tc>
        <w:tc>
          <w:tcPr>
            <w:tcW w:w="993" w:type="dxa"/>
            <w:tcBorders>
              <w:top w:val="nil"/>
              <w:left w:val="nil"/>
              <w:bottom w:val="single" w:sz="4" w:space="0" w:color="auto"/>
              <w:right w:val="nil"/>
            </w:tcBorders>
            <w:hideMark/>
          </w:tcPr>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Max.</w:t>
            </w:r>
          </w:p>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Qty</w:t>
            </w:r>
          </w:p>
        </w:tc>
        <w:tc>
          <w:tcPr>
            <w:tcW w:w="850" w:type="dxa"/>
            <w:tcBorders>
              <w:top w:val="nil"/>
              <w:left w:val="nil"/>
              <w:bottom w:val="single" w:sz="4" w:space="0" w:color="auto"/>
              <w:right w:val="nil"/>
            </w:tcBorders>
            <w:hideMark/>
          </w:tcPr>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№.of</w:t>
            </w:r>
          </w:p>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Rpts</w:t>
            </w:r>
          </w:p>
        </w:tc>
        <w:tc>
          <w:tcPr>
            <w:tcW w:w="3260" w:type="dxa"/>
            <w:gridSpan w:val="2"/>
            <w:tcBorders>
              <w:top w:val="nil"/>
              <w:left w:val="nil"/>
              <w:bottom w:val="single" w:sz="4" w:space="0" w:color="auto"/>
              <w:right w:val="nil"/>
            </w:tcBorders>
            <w:hideMark/>
          </w:tcPr>
          <w:p w:rsidR="00742992" w:rsidRPr="004C3366" w:rsidRDefault="00742992" w:rsidP="003621ED">
            <w:pPr>
              <w:keepNext/>
              <w:rPr>
                <w:rFonts w:ascii="Arial Narrow" w:hAnsi="Arial Narrow"/>
                <w:sz w:val="20"/>
                <w:szCs w:val="20"/>
                <w:lang w:val="fr-FR"/>
              </w:rPr>
            </w:pPr>
            <w:r w:rsidRPr="004C3366">
              <w:rPr>
                <w:rFonts w:ascii="Arial Narrow" w:hAnsi="Arial Narrow"/>
                <w:sz w:val="20"/>
                <w:szCs w:val="20"/>
              </w:rPr>
              <w:t>Proprietary Name and Manufacturer</w:t>
            </w:r>
          </w:p>
        </w:tc>
      </w:tr>
      <w:tr w:rsidR="00742992" w:rsidRPr="004C3366" w:rsidTr="003621ED">
        <w:trPr>
          <w:trHeight w:val="577"/>
        </w:trPr>
        <w:tc>
          <w:tcPr>
            <w:tcW w:w="3260" w:type="dxa"/>
            <w:gridSpan w:val="2"/>
          </w:tcPr>
          <w:p w:rsidR="00742992" w:rsidRPr="004C3366" w:rsidRDefault="00742992" w:rsidP="003621ED">
            <w:pPr>
              <w:keepNext/>
              <w:ind w:left="-108"/>
              <w:rPr>
                <w:rFonts w:ascii="Arial Narrow" w:hAnsi="Arial Narrow"/>
                <w:sz w:val="20"/>
                <w:szCs w:val="20"/>
              </w:rPr>
            </w:pPr>
            <w:r w:rsidRPr="004C3366">
              <w:rPr>
                <w:rFonts w:ascii="Arial Narrow" w:hAnsi="Arial Narrow"/>
                <w:smallCaps/>
                <w:sz w:val="20"/>
                <w:szCs w:val="20"/>
              </w:rPr>
              <w:t>RANIBIZUMAB</w:t>
            </w:r>
          </w:p>
          <w:p w:rsidR="00742992" w:rsidRDefault="00742992" w:rsidP="003621ED">
            <w:pPr>
              <w:keepNext/>
              <w:ind w:left="-108"/>
              <w:rPr>
                <w:rFonts w:ascii="Arial Narrow" w:hAnsi="Arial Narrow"/>
                <w:sz w:val="20"/>
                <w:szCs w:val="20"/>
              </w:rPr>
            </w:pPr>
            <w:r w:rsidRPr="004C3366">
              <w:rPr>
                <w:rFonts w:ascii="Arial Narrow" w:hAnsi="Arial Narrow"/>
                <w:sz w:val="20"/>
                <w:szCs w:val="20"/>
              </w:rPr>
              <w:t>2.3 mg/0.23 mL injection, 1 x 0.23 mL vial</w:t>
            </w:r>
          </w:p>
          <w:p w:rsidR="00742992" w:rsidRDefault="00742992" w:rsidP="003621ED">
            <w:pPr>
              <w:keepNext/>
              <w:ind w:left="-108"/>
              <w:rPr>
                <w:rFonts w:ascii="Arial Narrow" w:hAnsi="Arial Narrow"/>
                <w:sz w:val="20"/>
                <w:szCs w:val="20"/>
              </w:rPr>
            </w:pPr>
          </w:p>
          <w:p w:rsidR="00742992" w:rsidRPr="004C3366" w:rsidRDefault="00742992" w:rsidP="003621ED">
            <w:pPr>
              <w:keepNext/>
              <w:ind w:left="-108"/>
              <w:rPr>
                <w:rFonts w:ascii="Arial Narrow" w:hAnsi="Arial Narrow"/>
                <w:sz w:val="20"/>
                <w:szCs w:val="20"/>
              </w:rPr>
            </w:pPr>
            <w:r w:rsidRPr="004C3366">
              <w:rPr>
                <w:rFonts w:ascii="Arial Narrow" w:hAnsi="Arial Narrow"/>
                <w:sz w:val="20"/>
                <w:szCs w:val="20"/>
              </w:rPr>
              <w:t xml:space="preserve">1.65 mg/0.165 mL injection, </w:t>
            </w:r>
          </w:p>
          <w:p w:rsidR="00742992" w:rsidRPr="004C3366" w:rsidRDefault="00742992" w:rsidP="003621ED">
            <w:pPr>
              <w:keepNext/>
              <w:ind w:left="-108"/>
              <w:rPr>
                <w:rFonts w:ascii="Arial Narrow" w:hAnsi="Arial Narrow"/>
                <w:sz w:val="20"/>
                <w:szCs w:val="20"/>
              </w:rPr>
            </w:pPr>
            <w:r w:rsidRPr="004C3366">
              <w:rPr>
                <w:rFonts w:ascii="Arial Narrow" w:hAnsi="Arial Narrow"/>
                <w:sz w:val="20"/>
                <w:szCs w:val="20"/>
              </w:rPr>
              <w:t>1 x 0.165 mL syringe</w:t>
            </w:r>
            <w:r>
              <w:rPr>
                <w:rFonts w:ascii="Arial Narrow" w:hAnsi="Arial Narrow"/>
                <w:sz w:val="20"/>
                <w:szCs w:val="20"/>
              </w:rPr>
              <w:t xml:space="preserve"> </w:t>
            </w:r>
          </w:p>
          <w:p w:rsidR="00742992" w:rsidRPr="004C3366" w:rsidRDefault="00742992" w:rsidP="003621ED">
            <w:pPr>
              <w:keepNext/>
              <w:ind w:left="-108"/>
              <w:rPr>
                <w:rFonts w:ascii="Arial Narrow" w:hAnsi="Arial Narrow"/>
                <w:sz w:val="20"/>
                <w:szCs w:val="20"/>
              </w:rPr>
            </w:pPr>
          </w:p>
        </w:tc>
        <w:tc>
          <w:tcPr>
            <w:tcW w:w="993" w:type="dxa"/>
          </w:tcPr>
          <w:p w:rsidR="00742992" w:rsidRPr="004C3366" w:rsidRDefault="00742992" w:rsidP="003621ED">
            <w:pPr>
              <w:keepNext/>
              <w:ind w:left="-108"/>
              <w:jc w:val="center"/>
              <w:rPr>
                <w:rFonts w:ascii="Arial Narrow" w:hAnsi="Arial Narrow"/>
                <w:sz w:val="20"/>
                <w:szCs w:val="20"/>
              </w:rPr>
            </w:pPr>
          </w:p>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1</w:t>
            </w:r>
          </w:p>
        </w:tc>
        <w:tc>
          <w:tcPr>
            <w:tcW w:w="850" w:type="dxa"/>
          </w:tcPr>
          <w:p w:rsidR="00742992" w:rsidRPr="004C3366" w:rsidRDefault="00742992" w:rsidP="003621ED">
            <w:pPr>
              <w:keepNext/>
              <w:ind w:left="-108"/>
              <w:jc w:val="center"/>
              <w:rPr>
                <w:rFonts w:ascii="Arial Narrow" w:hAnsi="Arial Narrow"/>
                <w:sz w:val="20"/>
                <w:szCs w:val="20"/>
              </w:rPr>
            </w:pPr>
          </w:p>
          <w:p w:rsidR="00742992" w:rsidRPr="004C3366" w:rsidRDefault="00742992" w:rsidP="003621ED">
            <w:pPr>
              <w:keepNext/>
              <w:ind w:left="-108"/>
              <w:jc w:val="center"/>
              <w:rPr>
                <w:rFonts w:ascii="Arial Narrow" w:hAnsi="Arial Narrow"/>
                <w:sz w:val="20"/>
                <w:szCs w:val="20"/>
              </w:rPr>
            </w:pPr>
            <w:r w:rsidRPr="004C3366">
              <w:rPr>
                <w:rFonts w:ascii="Arial Narrow" w:hAnsi="Arial Narrow"/>
                <w:sz w:val="20"/>
                <w:szCs w:val="20"/>
              </w:rPr>
              <w:t>2</w:t>
            </w:r>
          </w:p>
        </w:tc>
        <w:tc>
          <w:tcPr>
            <w:tcW w:w="1559" w:type="dxa"/>
          </w:tcPr>
          <w:p w:rsidR="00742992" w:rsidRPr="004C3366" w:rsidRDefault="00742992" w:rsidP="003621ED">
            <w:pPr>
              <w:keepNext/>
              <w:rPr>
                <w:rFonts w:ascii="Arial Narrow" w:hAnsi="Arial Narrow"/>
                <w:sz w:val="20"/>
                <w:szCs w:val="20"/>
              </w:rPr>
            </w:pPr>
          </w:p>
          <w:p w:rsidR="00742992" w:rsidRPr="004C3366" w:rsidRDefault="00742992" w:rsidP="003621ED">
            <w:pPr>
              <w:keepNext/>
              <w:rPr>
                <w:rFonts w:ascii="Arial Narrow" w:hAnsi="Arial Narrow"/>
                <w:sz w:val="20"/>
                <w:szCs w:val="20"/>
              </w:rPr>
            </w:pPr>
            <w:r w:rsidRPr="004C3366">
              <w:rPr>
                <w:rFonts w:ascii="Arial Narrow" w:hAnsi="Arial Narrow"/>
                <w:sz w:val="20"/>
                <w:szCs w:val="20"/>
              </w:rPr>
              <w:t>Lucentis®</w:t>
            </w:r>
          </w:p>
        </w:tc>
        <w:tc>
          <w:tcPr>
            <w:tcW w:w="1701" w:type="dxa"/>
          </w:tcPr>
          <w:p w:rsidR="00742992" w:rsidRPr="004C3366" w:rsidRDefault="00742992" w:rsidP="003621ED">
            <w:pPr>
              <w:keepNext/>
              <w:rPr>
                <w:rFonts w:ascii="Arial Narrow" w:hAnsi="Arial Narrow"/>
                <w:sz w:val="20"/>
                <w:szCs w:val="20"/>
              </w:rPr>
            </w:pPr>
          </w:p>
          <w:p w:rsidR="00742992" w:rsidRPr="004C3366" w:rsidRDefault="00742992" w:rsidP="003621ED">
            <w:pPr>
              <w:keepNext/>
              <w:rPr>
                <w:rFonts w:ascii="Arial Narrow" w:hAnsi="Arial Narrow"/>
                <w:sz w:val="20"/>
                <w:szCs w:val="20"/>
              </w:rPr>
            </w:pPr>
            <w:r w:rsidRPr="004C3366">
              <w:rPr>
                <w:rFonts w:ascii="Arial Narrow" w:hAnsi="Arial Narrow"/>
                <w:sz w:val="20"/>
                <w:szCs w:val="20"/>
              </w:rPr>
              <w:t>Novartis Australia Pty. Ltd.</w:t>
            </w:r>
          </w:p>
        </w:tc>
      </w:tr>
      <w:tr w:rsidR="00742992" w:rsidRPr="004C3366" w:rsidTr="003621ED">
        <w:trPr>
          <w:cantSplit/>
          <w:trHeight w:val="360"/>
        </w:trPr>
        <w:tc>
          <w:tcPr>
            <w:tcW w:w="2268" w:type="dxa"/>
            <w:tcBorders>
              <w:top w:val="single" w:sz="4" w:space="0" w:color="auto"/>
              <w:left w:val="single" w:sz="4" w:space="0" w:color="auto"/>
              <w:bottom w:val="single" w:sz="4" w:space="0" w:color="auto"/>
              <w:right w:val="single" w:sz="4" w:space="0" w:color="auto"/>
            </w:tcBorders>
            <w:hideMark/>
          </w:tcPr>
          <w:p w:rsidR="00742992" w:rsidRPr="004C3366" w:rsidRDefault="00742992" w:rsidP="003621ED">
            <w:pPr>
              <w:rPr>
                <w:rFonts w:ascii="Arial Narrow" w:hAnsi="Arial Narrow"/>
                <w:b/>
                <w:sz w:val="20"/>
                <w:szCs w:val="20"/>
              </w:rPr>
            </w:pPr>
            <w:r w:rsidRPr="004C3366">
              <w:rPr>
                <w:rFonts w:ascii="Arial Narrow" w:hAnsi="Arial Narrow"/>
                <w:b/>
                <w:sz w:val="20"/>
                <w:szCs w:val="20"/>
              </w:rPr>
              <w:t>Condition:</w:t>
            </w:r>
          </w:p>
        </w:tc>
        <w:tc>
          <w:tcPr>
            <w:tcW w:w="6095" w:type="dxa"/>
            <w:gridSpan w:val="5"/>
            <w:tcBorders>
              <w:top w:val="single" w:sz="4" w:space="0" w:color="auto"/>
              <w:left w:val="single" w:sz="4" w:space="0" w:color="auto"/>
              <w:bottom w:val="single" w:sz="4" w:space="0" w:color="auto"/>
              <w:right w:val="single" w:sz="4" w:space="0" w:color="auto"/>
            </w:tcBorders>
            <w:hideMark/>
          </w:tcPr>
          <w:p w:rsidR="00742992" w:rsidRPr="004C3366" w:rsidRDefault="00742992" w:rsidP="003621ED">
            <w:pPr>
              <w:rPr>
                <w:rFonts w:ascii="Arial Narrow" w:hAnsi="Arial Narrow"/>
                <w:sz w:val="20"/>
                <w:szCs w:val="20"/>
              </w:rPr>
            </w:pPr>
            <w:r>
              <w:rPr>
                <w:rFonts w:ascii="Arial Narrow" w:hAnsi="Arial Narrow"/>
                <w:sz w:val="20"/>
                <w:szCs w:val="20"/>
              </w:rPr>
              <w:t>subfoveal choroidal neovascularisation</w:t>
            </w:r>
          </w:p>
        </w:tc>
      </w:tr>
      <w:tr w:rsidR="00742992" w:rsidRPr="004C3366" w:rsidTr="003621ED">
        <w:trPr>
          <w:cantSplit/>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i/>
                <w:sz w:val="20"/>
                <w:szCs w:val="20"/>
              </w:rPr>
            </w:pPr>
            <w:r w:rsidRPr="004C3366">
              <w:rPr>
                <w:rFonts w:ascii="Arial Narrow" w:hAnsi="Arial Narrow"/>
                <w:b/>
                <w:sz w:val="20"/>
                <w:szCs w:val="20"/>
              </w:rPr>
              <w:t>Treatment phase:</w:t>
            </w:r>
          </w:p>
        </w:tc>
        <w:tc>
          <w:tcPr>
            <w:tcW w:w="6095" w:type="dxa"/>
            <w:gridSpan w:val="5"/>
            <w:tcBorders>
              <w:top w:val="single" w:sz="4" w:space="0" w:color="auto"/>
              <w:left w:val="single" w:sz="4" w:space="0" w:color="auto"/>
              <w:bottom w:val="single" w:sz="4" w:space="0" w:color="auto"/>
              <w:right w:val="single" w:sz="4" w:space="0" w:color="auto"/>
            </w:tcBorders>
            <w:hideMark/>
          </w:tcPr>
          <w:p w:rsidR="00742992" w:rsidRPr="004C3366" w:rsidRDefault="00742992" w:rsidP="003621ED">
            <w:pPr>
              <w:rPr>
                <w:rFonts w:ascii="Arial Narrow" w:hAnsi="Arial Narrow"/>
                <w:sz w:val="20"/>
                <w:szCs w:val="20"/>
              </w:rPr>
            </w:pPr>
            <w:r w:rsidRPr="004C3366">
              <w:rPr>
                <w:rFonts w:ascii="Arial Narrow" w:hAnsi="Arial Narrow"/>
                <w:sz w:val="20"/>
                <w:szCs w:val="20"/>
              </w:rPr>
              <w:t>Continuing treatment</w:t>
            </w:r>
          </w:p>
        </w:tc>
      </w:tr>
      <w:tr w:rsidR="00742992" w:rsidRPr="004C3366" w:rsidTr="003621ED">
        <w:trPr>
          <w:cantSplit/>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b/>
                <w:sz w:val="20"/>
                <w:szCs w:val="20"/>
              </w:rPr>
              <w:t>Restriction</w:t>
            </w:r>
            <w:r>
              <w:rPr>
                <w:rFonts w:ascii="Arial Narrow" w:hAnsi="Arial Narrow"/>
                <w:b/>
                <w:sz w:val="20"/>
                <w:szCs w:val="20"/>
              </w:rPr>
              <w:t xml:space="preserve"> Level / Method</w:t>
            </w:r>
            <w:r w:rsidRPr="004C3366">
              <w:rPr>
                <w:rFonts w:ascii="Arial Narrow" w:hAnsi="Arial Narrow"/>
                <w:b/>
                <w:sz w:val="20"/>
                <w:szCs w:val="20"/>
              </w:rPr>
              <w:t>:</w:t>
            </w:r>
          </w:p>
        </w:tc>
        <w:tc>
          <w:tcPr>
            <w:tcW w:w="6095" w:type="dxa"/>
            <w:gridSpan w:val="5"/>
            <w:tcBorders>
              <w:top w:val="single" w:sz="4" w:space="0" w:color="auto"/>
              <w:left w:val="single" w:sz="4" w:space="0" w:color="auto"/>
              <w:bottom w:val="single" w:sz="4" w:space="0" w:color="auto"/>
              <w:right w:val="single" w:sz="4" w:space="0" w:color="auto"/>
            </w:tcBorders>
            <w:hideMark/>
          </w:tcPr>
          <w:p w:rsidR="00742992" w:rsidRPr="00707F1D" w:rsidRDefault="00742992" w:rsidP="003621ED">
            <w:pPr>
              <w:widowControl/>
              <w:jc w:val="left"/>
              <w:rPr>
                <w:snapToGrid/>
                <w:sz w:val="20"/>
                <w:szCs w:val="20"/>
                <w:lang w:eastAsia="en-AU"/>
              </w:rPr>
            </w:pPr>
            <w:r w:rsidRPr="00707F1D">
              <w:rPr>
                <w:snapToGrid/>
                <w:sz w:val="20"/>
                <w:szCs w:val="20"/>
                <w:lang w:eastAsia="en-AU"/>
              </w:rPr>
              <w:fldChar w:fldCharType="begin">
                <w:ffData>
                  <w:name w:val="Check1"/>
                  <w:enabled/>
                  <w:calcOnExit w:val="0"/>
                  <w:checkBox>
                    <w:sizeAuto/>
                    <w:default w:val="0"/>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Restricted benefit</w:t>
            </w:r>
          </w:p>
          <w:p w:rsidR="00742992" w:rsidRPr="00707F1D" w:rsidRDefault="00742992" w:rsidP="003621ED">
            <w:pPr>
              <w:widowControl/>
              <w:jc w:val="left"/>
              <w:rPr>
                <w:snapToGrid/>
                <w:sz w:val="20"/>
                <w:szCs w:val="20"/>
                <w:lang w:eastAsia="en-AU"/>
              </w:rPr>
            </w:pPr>
            <w:r>
              <w:rPr>
                <w:snapToGrid/>
                <w:sz w:val="20"/>
                <w:szCs w:val="20"/>
                <w:lang w:eastAsia="en-AU"/>
              </w:rPr>
              <w:fldChar w:fldCharType="begin">
                <w:ffData>
                  <w:name w:val=""/>
                  <w:enabled/>
                  <w:calcOnExit w:val="0"/>
                  <w:checkBox>
                    <w:sizeAuto/>
                    <w:default w:val="0"/>
                  </w:checkBox>
                </w:ffData>
              </w:fldChar>
            </w:r>
            <w:r>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Pr>
                <w:snapToGrid/>
                <w:sz w:val="20"/>
                <w:szCs w:val="20"/>
                <w:lang w:eastAsia="en-AU"/>
              </w:rPr>
              <w:fldChar w:fldCharType="end"/>
            </w:r>
            <w:r w:rsidRPr="00707F1D">
              <w:rPr>
                <w:snapToGrid/>
                <w:sz w:val="20"/>
                <w:szCs w:val="20"/>
                <w:lang w:eastAsia="en-AU"/>
              </w:rPr>
              <w:t>Authority Required - In Writing</w:t>
            </w:r>
          </w:p>
          <w:p w:rsidR="00742992" w:rsidRPr="00707F1D" w:rsidRDefault="00742992" w:rsidP="003621ED">
            <w:pPr>
              <w:widowControl/>
              <w:jc w:val="left"/>
              <w:rPr>
                <w:snapToGrid/>
                <w:sz w:val="20"/>
                <w:szCs w:val="20"/>
                <w:lang w:eastAsia="en-AU"/>
              </w:rPr>
            </w:pPr>
            <w:r>
              <w:rPr>
                <w:snapToGrid/>
                <w:sz w:val="20"/>
                <w:szCs w:val="20"/>
                <w:lang w:eastAsia="en-AU"/>
              </w:rPr>
              <w:fldChar w:fldCharType="begin">
                <w:ffData>
                  <w:name w:val="Check3"/>
                  <w:enabled/>
                  <w:calcOnExit w:val="0"/>
                  <w:checkBox>
                    <w:sizeAuto/>
                    <w:default w:val="1"/>
                  </w:checkBox>
                </w:ffData>
              </w:fldChar>
            </w:r>
            <w:r>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Pr>
                <w:snapToGrid/>
                <w:sz w:val="20"/>
                <w:szCs w:val="20"/>
                <w:lang w:eastAsia="en-AU"/>
              </w:rPr>
              <w:fldChar w:fldCharType="end"/>
            </w:r>
            <w:r w:rsidRPr="00707F1D">
              <w:rPr>
                <w:snapToGrid/>
                <w:sz w:val="20"/>
                <w:szCs w:val="20"/>
                <w:lang w:eastAsia="en-AU"/>
              </w:rPr>
              <w:t>Authority Required - Telephone</w:t>
            </w:r>
          </w:p>
          <w:p w:rsidR="00742992" w:rsidRPr="00707F1D" w:rsidRDefault="00742992" w:rsidP="003621ED">
            <w:pPr>
              <w:widowControl/>
              <w:jc w:val="left"/>
              <w:rPr>
                <w:snapToGrid/>
                <w:sz w:val="20"/>
                <w:szCs w:val="20"/>
                <w:lang w:eastAsia="en-AU"/>
              </w:rPr>
            </w:pPr>
            <w:r w:rsidRPr="00707F1D">
              <w:rPr>
                <w:snapToGrid/>
                <w:sz w:val="20"/>
                <w:szCs w:val="20"/>
                <w:lang w:eastAsia="en-AU"/>
              </w:rPr>
              <w:fldChar w:fldCharType="begin">
                <w:ffData>
                  <w:name w:val=""/>
                  <w:enabled/>
                  <w:calcOnExit w:val="0"/>
                  <w:checkBox>
                    <w:sizeAuto/>
                    <w:default w:val="0"/>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Authority Required - Emergency</w:t>
            </w:r>
          </w:p>
          <w:p w:rsidR="00742992" w:rsidRPr="00707F1D" w:rsidRDefault="00742992" w:rsidP="003621ED">
            <w:pPr>
              <w:widowControl/>
              <w:jc w:val="left"/>
              <w:rPr>
                <w:snapToGrid/>
                <w:sz w:val="20"/>
                <w:szCs w:val="20"/>
                <w:lang w:eastAsia="en-AU"/>
              </w:rPr>
            </w:pPr>
            <w:r w:rsidRPr="00707F1D">
              <w:rPr>
                <w:snapToGrid/>
                <w:sz w:val="20"/>
                <w:szCs w:val="20"/>
                <w:lang w:eastAsia="en-AU"/>
              </w:rPr>
              <w:fldChar w:fldCharType="begin">
                <w:ffData>
                  <w:name w:val="Check5"/>
                  <w:enabled/>
                  <w:calcOnExit w:val="0"/>
                  <w:checkBox>
                    <w:sizeAuto/>
                    <w:default w:val="0"/>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Authority Required - Electronic</w:t>
            </w:r>
          </w:p>
          <w:p w:rsidR="00742992" w:rsidRPr="004C3366" w:rsidRDefault="00742992" w:rsidP="003621ED">
            <w:pPr>
              <w:rPr>
                <w:rFonts w:ascii="Arial Narrow" w:hAnsi="Arial Narrow"/>
                <w:sz w:val="20"/>
                <w:szCs w:val="20"/>
              </w:rPr>
            </w:pPr>
            <w:r w:rsidRPr="00707F1D">
              <w:rPr>
                <w:snapToGrid/>
                <w:sz w:val="20"/>
                <w:szCs w:val="20"/>
                <w:lang w:eastAsia="en-AU"/>
              </w:rPr>
              <w:fldChar w:fldCharType="begin">
                <w:ffData>
                  <w:name w:val="Check5"/>
                  <w:enabled/>
                  <w:calcOnExit w:val="0"/>
                  <w:checkBox>
                    <w:sizeAuto/>
                    <w:default w:val="0"/>
                  </w:checkBox>
                </w:ffData>
              </w:fldChar>
            </w:r>
            <w:r w:rsidRPr="00707F1D">
              <w:rPr>
                <w:snapToGrid/>
                <w:sz w:val="20"/>
                <w:szCs w:val="20"/>
                <w:lang w:eastAsia="en-AU"/>
              </w:rPr>
              <w:instrText xml:space="preserve"> FORMCHECKBOX </w:instrText>
            </w:r>
            <w:r w:rsidR="007D4943">
              <w:rPr>
                <w:snapToGrid/>
                <w:sz w:val="20"/>
                <w:szCs w:val="20"/>
                <w:lang w:eastAsia="en-AU"/>
              </w:rPr>
            </w:r>
            <w:r w:rsidR="007D4943">
              <w:rPr>
                <w:snapToGrid/>
                <w:sz w:val="20"/>
                <w:szCs w:val="20"/>
                <w:lang w:eastAsia="en-AU"/>
              </w:rPr>
              <w:fldChar w:fldCharType="separate"/>
            </w:r>
            <w:r w:rsidRPr="00707F1D">
              <w:rPr>
                <w:snapToGrid/>
                <w:sz w:val="20"/>
                <w:szCs w:val="20"/>
                <w:lang w:eastAsia="en-AU"/>
              </w:rPr>
              <w:fldChar w:fldCharType="end"/>
            </w:r>
            <w:r w:rsidRPr="00707F1D">
              <w:rPr>
                <w:snapToGrid/>
                <w:sz w:val="20"/>
                <w:szCs w:val="20"/>
                <w:lang w:eastAsia="en-AU"/>
              </w:rPr>
              <w:t>Streamlined</w:t>
            </w:r>
            <w:r>
              <w:rPr>
                <w:snapToGrid/>
                <w:sz w:val="20"/>
                <w:szCs w:val="20"/>
                <w:lang w:eastAsia="en-AU"/>
              </w:rPr>
              <w:t xml:space="preserve"> </w:t>
            </w:r>
          </w:p>
        </w:tc>
      </w:tr>
      <w:tr w:rsidR="00742992" w:rsidRPr="004C3366" w:rsidTr="003621ED">
        <w:trPr>
          <w:cantSplit/>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b/>
                <w:sz w:val="20"/>
                <w:szCs w:val="20"/>
              </w:rPr>
              <w:t>Treatment criteria:</w:t>
            </w:r>
            <w:r w:rsidRPr="004C3366">
              <w:rPr>
                <w:rFonts w:ascii="Arial Narrow" w:hAnsi="Arial Narrow"/>
                <w:sz w:val="20"/>
                <w:szCs w:val="20"/>
              </w:rPr>
              <w:t xml:space="preserve"> </w:t>
            </w:r>
          </w:p>
        </w:tc>
        <w:tc>
          <w:tcPr>
            <w:tcW w:w="6095" w:type="dxa"/>
            <w:gridSpan w:val="5"/>
            <w:tcBorders>
              <w:top w:val="single" w:sz="4" w:space="0" w:color="auto"/>
              <w:left w:val="single" w:sz="4" w:space="0" w:color="auto"/>
              <w:bottom w:val="single" w:sz="4" w:space="0" w:color="auto"/>
              <w:right w:val="single" w:sz="4" w:space="0" w:color="auto"/>
            </w:tcBorders>
            <w:hideMark/>
          </w:tcPr>
          <w:p w:rsidR="00742992" w:rsidRPr="004C3366" w:rsidRDefault="00742992" w:rsidP="003621ED">
            <w:pPr>
              <w:rPr>
                <w:rFonts w:ascii="Arial Narrow" w:hAnsi="Arial Narrow"/>
                <w:sz w:val="20"/>
                <w:szCs w:val="20"/>
              </w:rPr>
            </w:pPr>
            <w:r w:rsidRPr="004C3366">
              <w:rPr>
                <w:rFonts w:ascii="Arial Narrow" w:hAnsi="Arial Narrow"/>
                <w:sz w:val="20"/>
                <w:szCs w:val="20"/>
              </w:rPr>
              <w:t>Must be treated by an ophthalmologist</w:t>
            </w:r>
            <w:r>
              <w:rPr>
                <w:rFonts w:ascii="Arial Narrow" w:hAnsi="Arial Narrow"/>
                <w:sz w:val="20"/>
                <w:szCs w:val="20"/>
              </w:rPr>
              <w:t xml:space="preserve"> </w:t>
            </w:r>
            <w:r w:rsidRPr="00282C4E">
              <w:rPr>
                <w:rFonts w:ascii="Arial Narrow" w:hAnsi="Arial Narrow"/>
                <w:sz w:val="20"/>
                <w:szCs w:val="20"/>
              </w:rPr>
              <w:t>or in consultation with an ophthalmologist.</w:t>
            </w:r>
          </w:p>
        </w:tc>
      </w:tr>
      <w:tr w:rsidR="00742992" w:rsidRPr="004C3366" w:rsidTr="003621ED">
        <w:trPr>
          <w:cantSplit/>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sz w:val="20"/>
                <w:szCs w:val="20"/>
              </w:rPr>
            </w:pPr>
            <w:r w:rsidRPr="004C3366">
              <w:rPr>
                <w:rFonts w:ascii="Arial Narrow" w:hAnsi="Arial Narrow"/>
                <w:b/>
                <w:sz w:val="20"/>
                <w:szCs w:val="20"/>
              </w:rPr>
              <w:t>Clinical criteria:</w:t>
            </w:r>
          </w:p>
        </w:tc>
        <w:tc>
          <w:tcPr>
            <w:tcW w:w="6095" w:type="dxa"/>
            <w:gridSpan w:val="5"/>
            <w:tcBorders>
              <w:top w:val="single" w:sz="4" w:space="0" w:color="auto"/>
              <w:left w:val="single" w:sz="4" w:space="0" w:color="auto"/>
              <w:bottom w:val="single" w:sz="4" w:space="0" w:color="auto"/>
              <w:right w:val="single" w:sz="4" w:space="0" w:color="auto"/>
            </w:tcBorders>
          </w:tcPr>
          <w:p w:rsidR="00742992" w:rsidRDefault="00742992" w:rsidP="003621ED">
            <w:pPr>
              <w:rPr>
                <w:rFonts w:ascii="Arial Narrow" w:hAnsi="Arial Narrow"/>
                <w:strike/>
                <w:sz w:val="20"/>
                <w:szCs w:val="20"/>
              </w:rPr>
            </w:pPr>
            <w:r>
              <w:rPr>
                <w:rFonts w:ascii="Arial Narrow" w:hAnsi="Arial Narrow"/>
                <w:sz w:val="20"/>
                <w:szCs w:val="20"/>
              </w:rPr>
              <w:t>The condition must be due to pathologic myopia,</w:t>
            </w:r>
          </w:p>
          <w:p w:rsidR="00742992" w:rsidRPr="004C3366" w:rsidRDefault="00742992" w:rsidP="003621ED">
            <w:pPr>
              <w:rPr>
                <w:rFonts w:ascii="Arial Narrow" w:hAnsi="Arial Narrow"/>
                <w:strike/>
                <w:sz w:val="20"/>
                <w:szCs w:val="20"/>
              </w:rPr>
            </w:pPr>
          </w:p>
          <w:p w:rsidR="00742992" w:rsidRPr="00236F57" w:rsidRDefault="00742992" w:rsidP="003621ED">
            <w:pPr>
              <w:rPr>
                <w:rFonts w:ascii="Arial Narrow" w:hAnsi="Arial Narrow"/>
                <w:sz w:val="20"/>
                <w:szCs w:val="20"/>
              </w:rPr>
            </w:pPr>
            <w:r w:rsidRPr="00236F57">
              <w:rPr>
                <w:rFonts w:ascii="Arial Narrow" w:hAnsi="Arial Narrow"/>
                <w:sz w:val="20"/>
                <w:szCs w:val="20"/>
              </w:rPr>
              <w:t>AND</w:t>
            </w:r>
          </w:p>
          <w:p w:rsidR="00742992" w:rsidRPr="004C3366" w:rsidRDefault="00742992" w:rsidP="003621ED">
            <w:pPr>
              <w:rPr>
                <w:rFonts w:ascii="Arial Narrow" w:hAnsi="Arial Narrow"/>
                <w:sz w:val="20"/>
                <w:szCs w:val="20"/>
              </w:rPr>
            </w:pPr>
          </w:p>
          <w:p w:rsidR="00742992" w:rsidRDefault="00742992" w:rsidP="003621ED">
            <w:pPr>
              <w:rPr>
                <w:rFonts w:ascii="Arial Narrow" w:hAnsi="Arial Narrow"/>
                <w:sz w:val="20"/>
                <w:szCs w:val="20"/>
              </w:rPr>
            </w:pPr>
            <w:r w:rsidRPr="00FE366B">
              <w:rPr>
                <w:rFonts w:ascii="Arial Narrow" w:hAnsi="Arial Narrow"/>
                <w:sz w:val="20"/>
                <w:szCs w:val="20"/>
              </w:rPr>
              <w:t>The treatment must be the sole PBS-subsidised therapy for this condition,</w:t>
            </w:r>
          </w:p>
          <w:p w:rsidR="00742992" w:rsidRPr="004C3366" w:rsidRDefault="00742992" w:rsidP="003621ED">
            <w:pPr>
              <w:rPr>
                <w:rFonts w:ascii="Arial Narrow" w:hAnsi="Arial Narrow"/>
                <w:sz w:val="20"/>
                <w:szCs w:val="20"/>
              </w:rPr>
            </w:pPr>
          </w:p>
          <w:p w:rsidR="00742992" w:rsidRPr="004C3366" w:rsidRDefault="00742992" w:rsidP="003621ED">
            <w:pPr>
              <w:rPr>
                <w:rFonts w:ascii="Arial Narrow" w:hAnsi="Arial Narrow"/>
                <w:sz w:val="20"/>
                <w:szCs w:val="20"/>
              </w:rPr>
            </w:pPr>
            <w:r w:rsidRPr="004C3366">
              <w:rPr>
                <w:rFonts w:ascii="Arial Narrow" w:hAnsi="Arial Narrow"/>
                <w:sz w:val="20"/>
                <w:szCs w:val="20"/>
              </w:rPr>
              <w:t>AND</w:t>
            </w:r>
          </w:p>
          <w:p w:rsidR="00742992" w:rsidRPr="004C3366" w:rsidRDefault="00742992" w:rsidP="003621ED">
            <w:pPr>
              <w:rPr>
                <w:rFonts w:ascii="Arial Narrow" w:hAnsi="Arial Narrow"/>
                <w:sz w:val="20"/>
                <w:szCs w:val="20"/>
              </w:rPr>
            </w:pPr>
          </w:p>
          <w:p w:rsidR="00742992" w:rsidRPr="004C3366" w:rsidRDefault="00742992" w:rsidP="003621ED">
            <w:pPr>
              <w:rPr>
                <w:rFonts w:ascii="Arial Narrow" w:hAnsi="Arial Narrow"/>
                <w:i/>
                <w:sz w:val="20"/>
                <w:szCs w:val="20"/>
              </w:rPr>
            </w:pPr>
            <w:r w:rsidRPr="00A0474E">
              <w:rPr>
                <w:rFonts w:ascii="Arial Narrow" w:hAnsi="Arial Narrow"/>
                <w:sz w:val="20"/>
                <w:szCs w:val="20"/>
              </w:rPr>
              <w:t xml:space="preserve">Patient must have previously received PBS-subsidised treatment with this drug </w:t>
            </w:r>
            <w:r>
              <w:rPr>
                <w:rFonts w:ascii="Arial Narrow" w:hAnsi="Arial Narrow"/>
                <w:sz w:val="20"/>
                <w:szCs w:val="20"/>
              </w:rPr>
              <w:t xml:space="preserve">for this condition </w:t>
            </w:r>
            <w:r w:rsidRPr="00A0474E">
              <w:rPr>
                <w:rFonts w:ascii="Arial Narrow" w:hAnsi="Arial Narrow"/>
                <w:sz w:val="20"/>
                <w:szCs w:val="20"/>
              </w:rPr>
              <w:t>for the same eye</w:t>
            </w:r>
          </w:p>
        </w:tc>
      </w:tr>
      <w:tr w:rsidR="00742992" w:rsidRPr="004C3366" w:rsidTr="003621ED">
        <w:trPr>
          <w:cantSplit/>
          <w:trHeight w:val="360"/>
        </w:trPr>
        <w:tc>
          <w:tcPr>
            <w:tcW w:w="2268" w:type="dxa"/>
            <w:tcBorders>
              <w:top w:val="single" w:sz="4" w:space="0" w:color="auto"/>
              <w:left w:val="single" w:sz="4" w:space="0" w:color="auto"/>
              <w:bottom w:val="single" w:sz="4" w:space="0" w:color="auto"/>
              <w:right w:val="single" w:sz="4" w:space="0" w:color="auto"/>
            </w:tcBorders>
          </w:tcPr>
          <w:p w:rsidR="00742992" w:rsidRPr="004C3366" w:rsidRDefault="00742992" w:rsidP="003621ED">
            <w:pPr>
              <w:rPr>
                <w:rFonts w:ascii="Arial Narrow" w:hAnsi="Arial Narrow"/>
                <w:i/>
                <w:sz w:val="20"/>
                <w:szCs w:val="20"/>
              </w:rPr>
            </w:pPr>
            <w:r w:rsidRPr="004C3366">
              <w:rPr>
                <w:rFonts w:ascii="Arial Narrow" w:hAnsi="Arial Narrow"/>
                <w:b/>
                <w:sz w:val="20"/>
                <w:szCs w:val="20"/>
              </w:rPr>
              <w:t>Administrative Advice</w:t>
            </w:r>
          </w:p>
        </w:tc>
        <w:tc>
          <w:tcPr>
            <w:tcW w:w="6095" w:type="dxa"/>
            <w:gridSpan w:val="5"/>
            <w:tcBorders>
              <w:top w:val="single" w:sz="4" w:space="0" w:color="auto"/>
              <w:left w:val="single" w:sz="4" w:space="0" w:color="auto"/>
              <w:bottom w:val="single" w:sz="4" w:space="0" w:color="auto"/>
              <w:right w:val="single" w:sz="4" w:space="0" w:color="auto"/>
            </w:tcBorders>
          </w:tcPr>
          <w:p w:rsidR="00742992" w:rsidRDefault="00742992" w:rsidP="003621ED">
            <w:pPr>
              <w:rPr>
                <w:rFonts w:ascii="Arial Narrow" w:hAnsi="Arial Narrow"/>
                <w:sz w:val="20"/>
                <w:szCs w:val="20"/>
              </w:rPr>
            </w:pPr>
            <w:r w:rsidRPr="005B1754">
              <w:rPr>
                <w:rFonts w:ascii="Arial Narrow" w:hAnsi="Arial Narrow"/>
                <w:sz w:val="20"/>
                <w:szCs w:val="20"/>
              </w:rPr>
              <w:t>Authority applications for continuing treatment in the same eye may be made by telephone on 1800 700 270 (hours of operation 8 a.m. to 5 p.m. EST Monday to Friday).</w:t>
            </w:r>
          </w:p>
          <w:p w:rsidR="00742992" w:rsidRDefault="00742992" w:rsidP="003621ED">
            <w:pPr>
              <w:rPr>
                <w:rFonts w:ascii="Arial Narrow" w:hAnsi="Arial Narrow"/>
                <w:sz w:val="20"/>
                <w:szCs w:val="20"/>
              </w:rPr>
            </w:pPr>
          </w:p>
          <w:p w:rsidR="00742992" w:rsidRDefault="00742992" w:rsidP="003621ED">
            <w:pPr>
              <w:rPr>
                <w:rFonts w:ascii="Arial Narrow" w:hAnsi="Arial Narrow"/>
                <w:sz w:val="20"/>
                <w:szCs w:val="20"/>
              </w:rPr>
            </w:pPr>
            <w:r w:rsidRPr="005B1754">
              <w:rPr>
                <w:rFonts w:ascii="Arial Narrow" w:hAnsi="Arial Narrow"/>
                <w:sz w:val="20"/>
                <w:szCs w:val="20"/>
              </w:rPr>
              <w:t>Special Pricing Arrangements apply.</w:t>
            </w:r>
          </w:p>
          <w:p w:rsidR="00742992" w:rsidRDefault="00742992" w:rsidP="003621ED">
            <w:pPr>
              <w:rPr>
                <w:rFonts w:ascii="Arial Narrow" w:hAnsi="Arial Narrow"/>
                <w:sz w:val="20"/>
                <w:szCs w:val="20"/>
              </w:rPr>
            </w:pPr>
          </w:p>
          <w:p w:rsidR="00742992" w:rsidRPr="004C3366" w:rsidRDefault="00742992" w:rsidP="003621ED">
            <w:pPr>
              <w:rPr>
                <w:rFonts w:ascii="Arial Narrow" w:hAnsi="Arial Narrow"/>
                <w:sz w:val="20"/>
                <w:szCs w:val="20"/>
              </w:rPr>
            </w:pPr>
            <w:r w:rsidRPr="005B1754">
              <w:rPr>
                <w:rFonts w:ascii="Arial Narrow" w:hAnsi="Arial Narrow"/>
                <w:sz w:val="20"/>
                <w:szCs w:val="20"/>
              </w:rPr>
              <w:t>Pharmaceutical benefits that have the form ranibizumab 0.165 mL injection syringe and pharmaceutical benefits that have the form ranibizumab 0.23 mL injection vial are equivalent for the purposes of substitution.</w:t>
            </w:r>
          </w:p>
        </w:tc>
      </w:tr>
    </w:tbl>
    <w:p w:rsidR="0075632B" w:rsidRPr="00D13A3E" w:rsidRDefault="0075632B" w:rsidP="00742992">
      <w:pPr>
        <w:spacing w:after="120"/>
        <w:ind w:left="720"/>
      </w:pPr>
    </w:p>
    <w:sectPr w:rsidR="0075632B" w:rsidRPr="00D13A3E" w:rsidSect="00A34E15">
      <w:headerReference w:type="even" r:id="rId11"/>
      <w:headerReference w:type="default" r:id="rId12"/>
      <w:footerReference w:type="even" r:id="rId13"/>
      <w:footerReference w:type="default" r:id="rId14"/>
      <w:headerReference w:type="first" r:id="rId15"/>
      <w:footerReference w:type="first" r:id="rId16"/>
      <w:footnotePr>
        <w:numFmt w:val="lowerRoman"/>
      </w:footnotePr>
      <w:type w:val="continuous"/>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C45169" w15:done="0"/>
  <w15:commentEx w15:paraId="2523DECC" w15:paraIdParent="30C45169" w15:done="0"/>
  <w15:commentEx w15:paraId="4B5843F2" w15:done="0"/>
  <w15:commentEx w15:paraId="6F1A2FA0" w15:done="0"/>
  <w15:commentEx w15:paraId="1C179A97" w15:done="0"/>
  <w15:commentEx w15:paraId="0B27585C" w15:done="0"/>
  <w15:commentEx w15:paraId="58C87342" w15:done="0"/>
  <w15:commentEx w15:paraId="7A004F2B" w15:paraIdParent="58C87342" w15:done="0"/>
  <w15:commentEx w15:paraId="1C278DC6" w15:done="0"/>
  <w15:commentEx w15:paraId="221F8ED2" w15:paraIdParent="1C278D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943" w:rsidRDefault="007D4943" w:rsidP="00124A51">
      <w:r>
        <w:separator/>
      </w:r>
    </w:p>
    <w:p w:rsidR="007D4943" w:rsidRDefault="007D4943"/>
  </w:endnote>
  <w:endnote w:type="continuationSeparator" w:id="0">
    <w:p w:rsidR="007D4943" w:rsidRDefault="007D4943" w:rsidP="00124A51">
      <w:r>
        <w:continuationSeparator/>
      </w:r>
    </w:p>
    <w:p w:rsidR="007D4943" w:rsidRDefault="007D4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DD" w:rsidRDefault="00AC1D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736738284"/>
      <w:docPartObj>
        <w:docPartGallery w:val="Page Numbers (Bottom of Page)"/>
        <w:docPartUnique/>
      </w:docPartObj>
    </w:sdtPr>
    <w:sdtEndPr>
      <w:rPr>
        <w:noProof/>
      </w:rPr>
    </w:sdtEndPr>
    <w:sdtContent>
      <w:p w:rsidR="00AC1DDD" w:rsidRPr="00D77934" w:rsidRDefault="00AC1DDD">
        <w:pPr>
          <w:pStyle w:val="Footer"/>
          <w:jc w:val="center"/>
          <w:rPr>
            <w:b/>
          </w:rPr>
        </w:pPr>
        <w:r w:rsidRPr="00D77934">
          <w:rPr>
            <w:b/>
          </w:rPr>
          <w:fldChar w:fldCharType="begin"/>
        </w:r>
        <w:r w:rsidRPr="00D77934">
          <w:rPr>
            <w:b/>
          </w:rPr>
          <w:instrText xml:space="preserve"> PAGE   \* MERGEFORMAT </w:instrText>
        </w:r>
        <w:r w:rsidRPr="00D77934">
          <w:rPr>
            <w:b/>
          </w:rPr>
          <w:fldChar w:fldCharType="separate"/>
        </w:r>
        <w:r w:rsidR="007D4943">
          <w:rPr>
            <w:b/>
            <w:noProof/>
          </w:rPr>
          <w:t>1</w:t>
        </w:r>
        <w:r w:rsidRPr="00D77934">
          <w:rPr>
            <w:b/>
            <w:noProof/>
          </w:rPr>
          <w:fldChar w:fldCharType="end"/>
        </w:r>
      </w:p>
    </w:sdtContent>
  </w:sdt>
  <w:p w:rsidR="00AC1DDD" w:rsidRDefault="00AC1D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DD" w:rsidRDefault="00AC1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943" w:rsidRDefault="007D4943" w:rsidP="00124A51">
      <w:r>
        <w:separator/>
      </w:r>
    </w:p>
    <w:p w:rsidR="007D4943" w:rsidRDefault="007D4943"/>
  </w:footnote>
  <w:footnote w:type="continuationSeparator" w:id="0">
    <w:p w:rsidR="007D4943" w:rsidRDefault="007D4943" w:rsidP="00124A51">
      <w:r>
        <w:continuationSeparator/>
      </w:r>
    </w:p>
    <w:p w:rsidR="007D4943" w:rsidRDefault="007D4943"/>
  </w:footnote>
  <w:footnote w:id="1">
    <w:p w:rsidR="00AC1DDD" w:rsidRDefault="00AC1DDD" w:rsidP="00A368F7">
      <w:pPr>
        <w:pStyle w:val="FootnoteText"/>
      </w:pPr>
      <w:r>
        <w:rPr>
          <w:rStyle w:val="FootnoteReference"/>
        </w:rPr>
        <w:footnoteRef/>
      </w:r>
      <w:r>
        <w:t xml:space="preserve"> The TGA approved indication for verteporfin is for the treatment of patients with predominantly classic or occult subfoveal CNV due to AMD, or with subfoveal CNV caused by other macular diseases.</w:t>
      </w:r>
    </w:p>
  </w:footnote>
  <w:footnote w:id="2">
    <w:p w:rsidR="00AC1DDD" w:rsidRDefault="00AC1DDD" w:rsidP="00430608">
      <w:pPr>
        <w:pStyle w:val="FootnoteText"/>
      </w:pPr>
      <w:r>
        <w:rPr>
          <w:rStyle w:val="FootnoteReference"/>
        </w:rPr>
        <w:footnoteRef/>
      </w:r>
      <w:r>
        <w:t xml:space="preserve"> </w:t>
      </w:r>
      <w:r w:rsidRPr="00FE14F4">
        <w:rPr>
          <w:noProof/>
        </w:rPr>
        <w:t>Wolf S, Balciuniene VJ</w:t>
      </w:r>
      <w:r w:rsidRPr="00FE14F4">
        <w:rPr>
          <w:i/>
          <w:noProof/>
        </w:rPr>
        <w:t>, et al.</w:t>
      </w:r>
      <w:r w:rsidRPr="00FE14F4">
        <w:rPr>
          <w:noProof/>
        </w:rPr>
        <w:t xml:space="preserve"> RADIANCE: A randomized controlled study of ranibizumab in patients with choroidal neovascularization secondary to pathologic myopia. </w:t>
      </w:r>
      <w:r w:rsidRPr="00FE14F4">
        <w:rPr>
          <w:i/>
          <w:noProof/>
        </w:rPr>
        <w:t>Ophthalmology</w:t>
      </w:r>
      <w:r w:rsidRPr="00FE14F4">
        <w:rPr>
          <w:noProof/>
        </w:rPr>
        <w:t>. 2014; 121 (3):682-92.</w:t>
      </w:r>
    </w:p>
  </w:footnote>
  <w:footnote w:id="3">
    <w:p w:rsidR="00AC1DDD" w:rsidRDefault="00AC1DDD" w:rsidP="000D2873">
      <w:pPr>
        <w:pStyle w:val="FootnoteText"/>
      </w:pPr>
      <w:r>
        <w:rPr>
          <w:rStyle w:val="FootnoteReference"/>
        </w:rPr>
        <w:footnoteRef/>
      </w:r>
      <w:r>
        <w:t xml:space="preserve"> Source: Table 14.3-1.4.2 of the RADIANCE and BRILLIANCE Clinical Study Reports.</w:t>
      </w:r>
    </w:p>
  </w:footnote>
  <w:footnote w:id="4">
    <w:p w:rsidR="00AC1DDD" w:rsidRDefault="00AC1DDD" w:rsidP="00E72EBE">
      <w:pPr>
        <w:pStyle w:val="FootnoteText"/>
      </w:pPr>
      <w:r w:rsidRPr="00E72EBE">
        <w:rPr>
          <w:rStyle w:val="FootnoteReference"/>
          <w:i/>
        </w:rPr>
        <w:footnoteRef/>
      </w:r>
      <w:r w:rsidRPr="00E72EBE">
        <w:rPr>
          <w:i/>
        </w:rPr>
        <w:t xml:space="preserve"> Tan NW, Ohno-Matsui K, Koh HJ, Nagai Y, Pedros M, Freitas RL, et al. </w:t>
      </w:r>
      <w:r>
        <w:rPr>
          <w:i/>
        </w:rPr>
        <w:t>‘L</w:t>
      </w:r>
      <w:r w:rsidRPr="00E72EBE">
        <w:rPr>
          <w:i/>
        </w:rPr>
        <w:t xml:space="preserve">ong-term outcomes of ranibizumab </w:t>
      </w:r>
      <w:r>
        <w:rPr>
          <w:i/>
        </w:rPr>
        <w:t>t</w:t>
      </w:r>
      <w:r w:rsidRPr="00E72EBE">
        <w:rPr>
          <w:i/>
        </w:rPr>
        <w:t>reatment of myopic choroidal neovascularization in east-Asian patients from the RADIANCE study</w:t>
      </w:r>
      <w:r>
        <w:rPr>
          <w:i/>
        </w:rPr>
        <w:t>’</w:t>
      </w:r>
      <w:r w:rsidRPr="00E72EBE">
        <w:rPr>
          <w:i/>
        </w:rPr>
        <w:t>. Retina (Philadelphia, Pa). 2017</w:t>
      </w:r>
      <w:r w:rsidRPr="00E366B1">
        <w:t>.</w:t>
      </w:r>
    </w:p>
  </w:footnote>
  <w:footnote w:id="5">
    <w:p w:rsidR="00AC1DDD" w:rsidRDefault="00AC1DDD">
      <w:pPr>
        <w:pStyle w:val="FootnoteText"/>
      </w:pPr>
      <w:r>
        <w:rPr>
          <w:rStyle w:val="FootnoteReference"/>
        </w:rPr>
        <w:footnoteRef/>
      </w:r>
      <w:r>
        <w:t xml:space="preserve"> Latimer N et al. Assessing methods for dealing with treatment crossover in clinical trials: a follow-up simulation study. Discussion paper 14.01, School of Health and Related Research, The University of Sheffield. 5 March 2014.</w:t>
      </w:r>
    </w:p>
  </w:footnote>
  <w:footnote w:id="6">
    <w:p w:rsidR="00AC1DDD" w:rsidRPr="00637883" w:rsidRDefault="00AC1DDD">
      <w:pPr>
        <w:pStyle w:val="FootnoteText"/>
        <w:rPr>
          <w:i/>
        </w:rPr>
      </w:pPr>
      <w:r w:rsidRPr="00637883">
        <w:rPr>
          <w:rStyle w:val="FootnoteReference"/>
          <w:i/>
        </w:rPr>
        <w:footnoteRef/>
      </w:r>
      <w:r w:rsidRPr="00637883">
        <w:rPr>
          <w:i/>
        </w:rPr>
        <w:t xml:space="preserve"> Verteporfin in Photodynamic Therapy Study Group. Photodynamic therapy of subfoveal choroidal neovascularization in pathologic myopia with verteporfin. 1-year results of a randomized clinical trial--VIP report no. 1. Ophthalmology. 2001;108(5):841-52.</w:t>
      </w:r>
    </w:p>
  </w:footnote>
  <w:footnote w:id="7">
    <w:p w:rsidR="00AC1DDD" w:rsidRDefault="00AC1DDD" w:rsidP="00557E7B">
      <w:pPr>
        <w:pStyle w:val="FootnoteText"/>
      </w:pPr>
      <w:r>
        <w:rPr>
          <w:rStyle w:val="FootnoteReference"/>
        </w:rPr>
        <w:footnoteRef/>
      </w:r>
      <w:r>
        <w:t xml:space="preserve"> </w:t>
      </w:r>
      <w:r w:rsidRPr="00B760F6">
        <w:t>http://www.pbs.gov.au/info/industry/listing/participants/public-release-docs/aflibercept-ranibizumab-prd-2015-06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DD" w:rsidRDefault="00AC1D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DD" w:rsidRPr="00F90A91" w:rsidRDefault="00AC1DDD" w:rsidP="00D77934">
    <w:pPr>
      <w:pStyle w:val="Header"/>
      <w:ind w:left="360"/>
      <w:jc w:val="center"/>
      <w:rPr>
        <w:rFonts w:asciiTheme="minorHAnsi" w:hAnsiTheme="minorHAnsi"/>
        <w:i/>
        <w:color w:val="808080"/>
        <w:sz w:val="22"/>
      </w:rPr>
    </w:pPr>
    <w:r>
      <w:rPr>
        <w:rFonts w:asciiTheme="minorHAnsi" w:hAnsiTheme="minorHAnsi"/>
        <w:i/>
        <w:color w:val="808080"/>
        <w:sz w:val="22"/>
      </w:rPr>
      <w:t>Public Summary Document</w:t>
    </w:r>
    <w:r w:rsidRPr="00F90A91">
      <w:rPr>
        <w:rFonts w:asciiTheme="minorHAnsi" w:hAnsiTheme="minorHAnsi"/>
        <w:i/>
        <w:color w:val="808080"/>
        <w:sz w:val="22"/>
      </w:rPr>
      <w:t xml:space="preserve"> – </w:t>
    </w:r>
    <w:r>
      <w:rPr>
        <w:rFonts w:asciiTheme="minorHAnsi" w:hAnsiTheme="minorHAnsi"/>
        <w:i/>
        <w:color w:val="808080"/>
        <w:sz w:val="22"/>
      </w:rPr>
      <w:t>March 2018</w:t>
    </w:r>
    <w:r w:rsidRPr="00F90A91">
      <w:rPr>
        <w:rFonts w:asciiTheme="minorHAnsi" w:hAnsiTheme="minorHAnsi"/>
        <w:i/>
        <w:color w:val="808080"/>
        <w:sz w:val="22"/>
      </w:rPr>
      <w:t xml:space="preserve"> PBAC Meeting</w:t>
    </w:r>
  </w:p>
  <w:p w:rsidR="00AC1DDD" w:rsidRPr="00D77934" w:rsidRDefault="00AC1DDD" w:rsidP="00D779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DD" w:rsidRDefault="00AC1D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702B61"/>
    <w:multiLevelType w:val="hybridMultilevel"/>
    <w:tmpl w:val="289C56FC"/>
    <w:lvl w:ilvl="0" w:tplc="F1F6F52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105138"/>
    <w:multiLevelType w:val="hybridMultilevel"/>
    <w:tmpl w:val="CA2CA0CE"/>
    <w:lvl w:ilvl="0" w:tplc="842865A6">
      <w:start w:val="1"/>
      <w:numFmt w:val="bullet"/>
      <w:pStyle w:val="Dash0"/>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94E2397"/>
    <w:multiLevelType w:val="hybridMultilevel"/>
    <w:tmpl w:val="1E18D98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64AA2AD6">
      <w:start w:val="1"/>
      <w:numFmt w:val="bullet"/>
      <w:lvlText w:val="-"/>
      <w:lvlJc w:val="left"/>
      <w:pPr>
        <w:ind w:left="2520" w:hanging="360"/>
      </w:pPr>
      <w:rPr>
        <w:rFonts w:ascii="Arial" w:hAnsi="Arial"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63F24B1"/>
    <w:multiLevelType w:val="hybridMultilevel"/>
    <w:tmpl w:val="9A86A20E"/>
    <w:lvl w:ilvl="0" w:tplc="C324F4FC">
      <w:start w:val="1"/>
      <w:numFmt w:val="bullet"/>
      <w:lvlText w:val=""/>
      <w:lvlJc w:val="left"/>
      <w:pPr>
        <w:ind w:left="720" w:hanging="360"/>
      </w:pPr>
      <w:rPr>
        <w:rFonts w:ascii="Symbol" w:hAnsi="Symbol" w:hint="default"/>
      </w:rPr>
    </w:lvl>
    <w:lvl w:ilvl="1" w:tplc="AFA87132">
      <w:start w:val="1"/>
      <w:numFmt w:val="bullet"/>
      <w:lvlText w:val="o"/>
      <w:lvlJc w:val="left"/>
      <w:pPr>
        <w:ind w:left="964" w:hanging="39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57AE8"/>
    <w:multiLevelType w:val="hybridMultilevel"/>
    <w:tmpl w:val="AF0E31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0387779"/>
    <w:multiLevelType w:val="hybridMultilevel"/>
    <w:tmpl w:val="57DAC0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0445F4"/>
    <w:multiLevelType w:val="multilevel"/>
    <w:tmpl w:val="24401002"/>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nsid w:val="51F264B0"/>
    <w:multiLevelType w:val="hybridMultilevel"/>
    <w:tmpl w:val="211A32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1C02754"/>
    <w:multiLevelType w:val="hybridMultilevel"/>
    <w:tmpl w:val="D146F3E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784D033C"/>
    <w:multiLevelType w:val="multilevel"/>
    <w:tmpl w:val="AEF8FDF4"/>
    <w:lvl w:ilvl="0">
      <w:start w:val="1"/>
      <w:numFmt w:val="decimal"/>
      <w:pStyle w:val="PBACHeading1"/>
      <w:lvlText w:val="%1"/>
      <w:lvlJc w:val="left"/>
      <w:pPr>
        <w:ind w:left="720" w:hanging="720"/>
      </w:pPr>
      <w:rPr>
        <w:rFonts w:hint="default"/>
        <w:b/>
        <w:i w:val="0"/>
        <w:sz w:val="32"/>
        <w:szCs w:val="32"/>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9"/>
  </w:num>
  <w:num w:numId="3">
    <w:abstractNumId w:val="2"/>
  </w:num>
  <w:num w:numId="4">
    <w:abstractNumId w:val="3"/>
  </w:num>
  <w:num w:numId="5">
    <w:abstractNumId w:val="13"/>
  </w:num>
  <w:num w:numId="6">
    <w:abstractNumId w:val="6"/>
  </w:num>
  <w:num w:numId="7">
    <w:abstractNumId w:val="8"/>
  </w:num>
  <w:num w:numId="8">
    <w:abstractNumId w:val="5"/>
  </w:num>
  <w:num w:numId="9">
    <w:abstractNumId w:val="10"/>
  </w:num>
  <w:num w:numId="10">
    <w:abstractNumId w:val="12"/>
  </w:num>
  <w:num w:numId="11">
    <w:abstractNumId w:val="4"/>
  </w:num>
  <w:num w:numId="12">
    <w:abstractNumId w:val="0"/>
  </w:num>
  <w:num w:numId="13">
    <w:abstractNumId w:val="7"/>
  </w:num>
  <w:num w:numId="14">
    <w:abstractNumId w:val="11"/>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
  </w:num>
  <w:num w:numId="27">
    <w:abstractNumId w:val="14"/>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G">
    <w15:presenceInfo w15:providerId="None" w15:userId="DG"/>
  </w15:person>
  <w15:person w15:author="Leesa Lerrel Pridham">
    <w15:presenceInfo w15:providerId="AD" w15:userId="S-1-5-21-1390582872-192029990-4074164785-2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720"/>
  <w:characterSpacingControl w:val="doNotCompress"/>
  <w:hdrShapeDefaults>
    <o:shapedefaults v:ext="edit" spidmax="2049"/>
  </w:hdrShapeDefault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Lees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vzdwaxa5ze9ueertmxx20hwfpzasz5rf9e&quot;&gt;CNV&lt;record-ids&gt;&lt;item&gt;2&lt;/item&gt;&lt;item&gt;13&lt;/item&gt;&lt;item&gt;32&lt;/item&gt;&lt;item&gt;33&lt;/item&gt;&lt;item&gt;34&lt;/item&gt;&lt;item&gt;41&lt;/item&gt;&lt;item&gt;62&lt;/item&gt;&lt;item&gt;74&lt;/item&gt;&lt;item&gt;75&lt;/item&gt;&lt;item&gt;77&lt;/item&gt;&lt;item&gt;78&lt;/item&gt;&lt;item&gt;79&lt;/item&gt;&lt;item&gt;81&lt;/item&gt;&lt;item&gt;83&lt;/item&gt;&lt;item&gt;133&lt;/item&gt;&lt;/record-ids&gt;&lt;/item&gt;&lt;/Libraries&gt;"/>
  </w:docVars>
  <w:rsids>
    <w:rsidRoot w:val="00E65E79"/>
    <w:rsid w:val="000001D5"/>
    <w:rsid w:val="00000594"/>
    <w:rsid w:val="00000790"/>
    <w:rsid w:val="00000DD4"/>
    <w:rsid w:val="00000E47"/>
    <w:rsid w:val="0000110B"/>
    <w:rsid w:val="000012F4"/>
    <w:rsid w:val="0000151D"/>
    <w:rsid w:val="00002455"/>
    <w:rsid w:val="00002CD5"/>
    <w:rsid w:val="000030F1"/>
    <w:rsid w:val="00003499"/>
    <w:rsid w:val="000039B7"/>
    <w:rsid w:val="00003B3D"/>
    <w:rsid w:val="00003F6D"/>
    <w:rsid w:val="00004869"/>
    <w:rsid w:val="000048A3"/>
    <w:rsid w:val="00006AC6"/>
    <w:rsid w:val="00010161"/>
    <w:rsid w:val="00011DB0"/>
    <w:rsid w:val="000129FD"/>
    <w:rsid w:val="00013247"/>
    <w:rsid w:val="00013A39"/>
    <w:rsid w:val="000142F5"/>
    <w:rsid w:val="000150A5"/>
    <w:rsid w:val="00015886"/>
    <w:rsid w:val="00015EF2"/>
    <w:rsid w:val="000162EF"/>
    <w:rsid w:val="0001779D"/>
    <w:rsid w:val="00017C37"/>
    <w:rsid w:val="00020593"/>
    <w:rsid w:val="00020802"/>
    <w:rsid w:val="00020A55"/>
    <w:rsid w:val="00020AF9"/>
    <w:rsid w:val="0002225F"/>
    <w:rsid w:val="00023763"/>
    <w:rsid w:val="00023BA6"/>
    <w:rsid w:val="00024D92"/>
    <w:rsid w:val="00025455"/>
    <w:rsid w:val="00027A5B"/>
    <w:rsid w:val="00033863"/>
    <w:rsid w:val="000345C0"/>
    <w:rsid w:val="00035DC0"/>
    <w:rsid w:val="00035F56"/>
    <w:rsid w:val="00036734"/>
    <w:rsid w:val="000367F2"/>
    <w:rsid w:val="0003681C"/>
    <w:rsid w:val="00036829"/>
    <w:rsid w:val="00036A47"/>
    <w:rsid w:val="00037592"/>
    <w:rsid w:val="00040895"/>
    <w:rsid w:val="00042B67"/>
    <w:rsid w:val="00042E08"/>
    <w:rsid w:val="00042EBA"/>
    <w:rsid w:val="000431FB"/>
    <w:rsid w:val="00043680"/>
    <w:rsid w:val="00043C37"/>
    <w:rsid w:val="00044DD7"/>
    <w:rsid w:val="00045017"/>
    <w:rsid w:val="00045A2B"/>
    <w:rsid w:val="00045ACE"/>
    <w:rsid w:val="000465B6"/>
    <w:rsid w:val="0004698F"/>
    <w:rsid w:val="000472F8"/>
    <w:rsid w:val="00047B57"/>
    <w:rsid w:val="000509AD"/>
    <w:rsid w:val="000516F6"/>
    <w:rsid w:val="000539D0"/>
    <w:rsid w:val="00053B39"/>
    <w:rsid w:val="00053D79"/>
    <w:rsid w:val="00054621"/>
    <w:rsid w:val="000546D7"/>
    <w:rsid w:val="00054A7B"/>
    <w:rsid w:val="000556D8"/>
    <w:rsid w:val="00055B7B"/>
    <w:rsid w:val="00055E55"/>
    <w:rsid w:val="00056027"/>
    <w:rsid w:val="000567F8"/>
    <w:rsid w:val="00057DFF"/>
    <w:rsid w:val="000604E7"/>
    <w:rsid w:val="00062E3A"/>
    <w:rsid w:val="00065700"/>
    <w:rsid w:val="00066360"/>
    <w:rsid w:val="000704E9"/>
    <w:rsid w:val="00071248"/>
    <w:rsid w:val="00071BD5"/>
    <w:rsid w:val="00071C5D"/>
    <w:rsid w:val="000720B9"/>
    <w:rsid w:val="00073547"/>
    <w:rsid w:val="0007373D"/>
    <w:rsid w:val="000737F7"/>
    <w:rsid w:val="00075159"/>
    <w:rsid w:val="000757CF"/>
    <w:rsid w:val="0007599B"/>
    <w:rsid w:val="00075F25"/>
    <w:rsid w:val="000766C8"/>
    <w:rsid w:val="0007672F"/>
    <w:rsid w:val="000774F0"/>
    <w:rsid w:val="0007788A"/>
    <w:rsid w:val="00077985"/>
    <w:rsid w:val="00080909"/>
    <w:rsid w:val="000812CA"/>
    <w:rsid w:val="00081853"/>
    <w:rsid w:val="0008185A"/>
    <w:rsid w:val="00081CFA"/>
    <w:rsid w:val="0008258D"/>
    <w:rsid w:val="000825E6"/>
    <w:rsid w:val="00083656"/>
    <w:rsid w:val="00083E99"/>
    <w:rsid w:val="000847F4"/>
    <w:rsid w:val="00084D28"/>
    <w:rsid w:val="00085021"/>
    <w:rsid w:val="0008565D"/>
    <w:rsid w:val="000856C5"/>
    <w:rsid w:val="00085F8D"/>
    <w:rsid w:val="000868D3"/>
    <w:rsid w:val="00086966"/>
    <w:rsid w:val="00086D68"/>
    <w:rsid w:val="00087E0B"/>
    <w:rsid w:val="00090C7E"/>
    <w:rsid w:val="000919EC"/>
    <w:rsid w:val="00092600"/>
    <w:rsid w:val="0009262B"/>
    <w:rsid w:val="0009290C"/>
    <w:rsid w:val="00093310"/>
    <w:rsid w:val="000939F4"/>
    <w:rsid w:val="00093AAC"/>
    <w:rsid w:val="0009445B"/>
    <w:rsid w:val="0009445C"/>
    <w:rsid w:val="000947A4"/>
    <w:rsid w:val="00094CD4"/>
    <w:rsid w:val="00095A2D"/>
    <w:rsid w:val="00095FE5"/>
    <w:rsid w:val="00096284"/>
    <w:rsid w:val="00096734"/>
    <w:rsid w:val="0009697E"/>
    <w:rsid w:val="00096D05"/>
    <w:rsid w:val="00097B38"/>
    <w:rsid w:val="000A00F4"/>
    <w:rsid w:val="000A1491"/>
    <w:rsid w:val="000A1BD0"/>
    <w:rsid w:val="000A2544"/>
    <w:rsid w:val="000A299E"/>
    <w:rsid w:val="000A3641"/>
    <w:rsid w:val="000A7D08"/>
    <w:rsid w:val="000B0670"/>
    <w:rsid w:val="000B0E75"/>
    <w:rsid w:val="000B313B"/>
    <w:rsid w:val="000B39EC"/>
    <w:rsid w:val="000B43E4"/>
    <w:rsid w:val="000B518E"/>
    <w:rsid w:val="000B65B3"/>
    <w:rsid w:val="000B6CAC"/>
    <w:rsid w:val="000B7612"/>
    <w:rsid w:val="000C0DFF"/>
    <w:rsid w:val="000C208C"/>
    <w:rsid w:val="000C233D"/>
    <w:rsid w:val="000C2E46"/>
    <w:rsid w:val="000C341F"/>
    <w:rsid w:val="000C3456"/>
    <w:rsid w:val="000C3DF9"/>
    <w:rsid w:val="000C3FE5"/>
    <w:rsid w:val="000C4D3E"/>
    <w:rsid w:val="000C4EBC"/>
    <w:rsid w:val="000C54E2"/>
    <w:rsid w:val="000C6713"/>
    <w:rsid w:val="000C6F98"/>
    <w:rsid w:val="000D03C0"/>
    <w:rsid w:val="000D0520"/>
    <w:rsid w:val="000D1339"/>
    <w:rsid w:val="000D176E"/>
    <w:rsid w:val="000D1BFC"/>
    <w:rsid w:val="000D281A"/>
    <w:rsid w:val="000D2873"/>
    <w:rsid w:val="000D31B5"/>
    <w:rsid w:val="000D326A"/>
    <w:rsid w:val="000D3699"/>
    <w:rsid w:val="000D51FB"/>
    <w:rsid w:val="000D679B"/>
    <w:rsid w:val="000D6EF5"/>
    <w:rsid w:val="000E0E3B"/>
    <w:rsid w:val="000E135D"/>
    <w:rsid w:val="000E14C4"/>
    <w:rsid w:val="000E14F8"/>
    <w:rsid w:val="000E1AC2"/>
    <w:rsid w:val="000E1FBF"/>
    <w:rsid w:val="000E2596"/>
    <w:rsid w:val="000E287C"/>
    <w:rsid w:val="000E3196"/>
    <w:rsid w:val="000E3C45"/>
    <w:rsid w:val="000E4492"/>
    <w:rsid w:val="000E47FF"/>
    <w:rsid w:val="000E50B7"/>
    <w:rsid w:val="000E573F"/>
    <w:rsid w:val="000E5B03"/>
    <w:rsid w:val="000E683E"/>
    <w:rsid w:val="000E6EE1"/>
    <w:rsid w:val="000F00BA"/>
    <w:rsid w:val="000F055D"/>
    <w:rsid w:val="000F21AF"/>
    <w:rsid w:val="000F2F3F"/>
    <w:rsid w:val="000F316A"/>
    <w:rsid w:val="000F3C74"/>
    <w:rsid w:val="000F3EA4"/>
    <w:rsid w:val="000F3EBC"/>
    <w:rsid w:val="000F4BB8"/>
    <w:rsid w:val="000F7127"/>
    <w:rsid w:val="000F7FB6"/>
    <w:rsid w:val="00100F8A"/>
    <w:rsid w:val="001019D2"/>
    <w:rsid w:val="00101B8C"/>
    <w:rsid w:val="00102357"/>
    <w:rsid w:val="001034B0"/>
    <w:rsid w:val="0010392E"/>
    <w:rsid w:val="00104083"/>
    <w:rsid w:val="0010412B"/>
    <w:rsid w:val="00105AE2"/>
    <w:rsid w:val="0010619F"/>
    <w:rsid w:val="001065E2"/>
    <w:rsid w:val="00106B80"/>
    <w:rsid w:val="0011032E"/>
    <w:rsid w:val="00110933"/>
    <w:rsid w:val="0011348B"/>
    <w:rsid w:val="001134AD"/>
    <w:rsid w:val="00113C7C"/>
    <w:rsid w:val="00114310"/>
    <w:rsid w:val="00114908"/>
    <w:rsid w:val="00114F77"/>
    <w:rsid w:val="00115982"/>
    <w:rsid w:val="00116C53"/>
    <w:rsid w:val="00117493"/>
    <w:rsid w:val="00117DF1"/>
    <w:rsid w:val="0012108E"/>
    <w:rsid w:val="00121799"/>
    <w:rsid w:val="00121EF5"/>
    <w:rsid w:val="001222FC"/>
    <w:rsid w:val="00124360"/>
    <w:rsid w:val="00124A51"/>
    <w:rsid w:val="00125173"/>
    <w:rsid w:val="00126621"/>
    <w:rsid w:val="00126E14"/>
    <w:rsid w:val="001301E9"/>
    <w:rsid w:val="0013021B"/>
    <w:rsid w:val="001302CC"/>
    <w:rsid w:val="0013034E"/>
    <w:rsid w:val="00130421"/>
    <w:rsid w:val="00131D82"/>
    <w:rsid w:val="00132C87"/>
    <w:rsid w:val="00133D36"/>
    <w:rsid w:val="00134105"/>
    <w:rsid w:val="00134B83"/>
    <w:rsid w:val="00136A34"/>
    <w:rsid w:val="00136C24"/>
    <w:rsid w:val="00137645"/>
    <w:rsid w:val="0014015A"/>
    <w:rsid w:val="00140E99"/>
    <w:rsid w:val="001416E9"/>
    <w:rsid w:val="00141F05"/>
    <w:rsid w:val="00142797"/>
    <w:rsid w:val="001451A4"/>
    <w:rsid w:val="00145447"/>
    <w:rsid w:val="00145540"/>
    <w:rsid w:val="001456B0"/>
    <w:rsid w:val="00145999"/>
    <w:rsid w:val="00147BF7"/>
    <w:rsid w:val="00150427"/>
    <w:rsid w:val="00151055"/>
    <w:rsid w:val="00153050"/>
    <w:rsid w:val="00153B1B"/>
    <w:rsid w:val="0015674F"/>
    <w:rsid w:val="00156BF2"/>
    <w:rsid w:val="00156F4D"/>
    <w:rsid w:val="00157130"/>
    <w:rsid w:val="001576B1"/>
    <w:rsid w:val="001578B2"/>
    <w:rsid w:val="00157F68"/>
    <w:rsid w:val="00157FC9"/>
    <w:rsid w:val="00160A4C"/>
    <w:rsid w:val="00160BDE"/>
    <w:rsid w:val="00161A33"/>
    <w:rsid w:val="00161B73"/>
    <w:rsid w:val="0016245E"/>
    <w:rsid w:val="00162913"/>
    <w:rsid w:val="00162E0A"/>
    <w:rsid w:val="00163255"/>
    <w:rsid w:val="00163EFF"/>
    <w:rsid w:val="001643BA"/>
    <w:rsid w:val="001661FB"/>
    <w:rsid w:val="00166210"/>
    <w:rsid w:val="0016663A"/>
    <w:rsid w:val="00166F3B"/>
    <w:rsid w:val="00170050"/>
    <w:rsid w:val="00170F3E"/>
    <w:rsid w:val="00171648"/>
    <w:rsid w:val="0017236F"/>
    <w:rsid w:val="00172456"/>
    <w:rsid w:val="00172A23"/>
    <w:rsid w:val="00172C73"/>
    <w:rsid w:val="00173565"/>
    <w:rsid w:val="00173B07"/>
    <w:rsid w:val="00174247"/>
    <w:rsid w:val="00174838"/>
    <w:rsid w:val="00175625"/>
    <w:rsid w:val="00175628"/>
    <w:rsid w:val="00176D96"/>
    <w:rsid w:val="001774D1"/>
    <w:rsid w:val="00181396"/>
    <w:rsid w:val="00181D9C"/>
    <w:rsid w:val="00181DD4"/>
    <w:rsid w:val="00181E84"/>
    <w:rsid w:val="0018366E"/>
    <w:rsid w:val="0018480B"/>
    <w:rsid w:val="00184BAF"/>
    <w:rsid w:val="00184FBF"/>
    <w:rsid w:val="0018752F"/>
    <w:rsid w:val="0018769E"/>
    <w:rsid w:val="00187914"/>
    <w:rsid w:val="0019004F"/>
    <w:rsid w:val="00190723"/>
    <w:rsid w:val="001912CC"/>
    <w:rsid w:val="00193216"/>
    <w:rsid w:val="00193592"/>
    <w:rsid w:val="001938E9"/>
    <w:rsid w:val="00194EFA"/>
    <w:rsid w:val="00195222"/>
    <w:rsid w:val="0019665E"/>
    <w:rsid w:val="001975D8"/>
    <w:rsid w:val="001A084A"/>
    <w:rsid w:val="001A0A3A"/>
    <w:rsid w:val="001A0A5F"/>
    <w:rsid w:val="001A43FA"/>
    <w:rsid w:val="001A59FB"/>
    <w:rsid w:val="001A6293"/>
    <w:rsid w:val="001A6354"/>
    <w:rsid w:val="001A6EFD"/>
    <w:rsid w:val="001A7AE8"/>
    <w:rsid w:val="001B0BEF"/>
    <w:rsid w:val="001B204E"/>
    <w:rsid w:val="001B3443"/>
    <w:rsid w:val="001B3C05"/>
    <w:rsid w:val="001B4B30"/>
    <w:rsid w:val="001B4D20"/>
    <w:rsid w:val="001B4FE2"/>
    <w:rsid w:val="001B66C1"/>
    <w:rsid w:val="001B72FB"/>
    <w:rsid w:val="001C14F5"/>
    <w:rsid w:val="001C1976"/>
    <w:rsid w:val="001C1E1C"/>
    <w:rsid w:val="001C2A9B"/>
    <w:rsid w:val="001C2D40"/>
    <w:rsid w:val="001C4299"/>
    <w:rsid w:val="001C44BA"/>
    <w:rsid w:val="001C5A70"/>
    <w:rsid w:val="001C5F94"/>
    <w:rsid w:val="001C612B"/>
    <w:rsid w:val="001C63B6"/>
    <w:rsid w:val="001C6E56"/>
    <w:rsid w:val="001C6E66"/>
    <w:rsid w:val="001C7FDA"/>
    <w:rsid w:val="001D014E"/>
    <w:rsid w:val="001D0C46"/>
    <w:rsid w:val="001D0FBA"/>
    <w:rsid w:val="001D1411"/>
    <w:rsid w:val="001D3CBB"/>
    <w:rsid w:val="001E238E"/>
    <w:rsid w:val="001E2483"/>
    <w:rsid w:val="001E2B1E"/>
    <w:rsid w:val="001E3062"/>
    <w:rsid w:val="001E30D4"/>
    <w:rsid w:val="001E4228"/>
    <w:rsid w:val="001E52EB"/>
    <w:rsid w:val="001E5323"/>
    <w:rsid w:val="001E61D2"/>
    <w:rsid w:val="001E69E1"/>
    <w:rsid w:val="001E6CA8"/>
    <w:rsid w:val="001E740C"/>
    <w:rsid w:val="001F1235"/>
    <w:rsid w:val="001F1CB3"/>
    <w:rsid w:val="001F2F5C"/>
    <w:rsid w:val="001F38B5"/>
    <w:rsid w:val="001F52A0"/>
    <w:rsid w:val="001F5528"/>
    <w:rsid w:val="001F70E8"/>
    <w:rsid w:val="001F7361"/>
    <w:rsid w:val="00200512"/>
    <w:rsid w:val="002011B0"/>
    <w:rsid w:val="00201686"/>
    <w:rsid w:val="0020269D"/>
    <w:rsid w:val="00203181"/>
    <w:rsid w:val="00203429"/>
    <w:rsid w:val="00203783"/>
    <w:rsid w:val="0020385F"/>
    <w:rsid w:val="00203E6C"/>
    <w:rsid w:val="00204153"/>
    <w:rsid w:val="0020583F"/>
    <w:rsid w:val="002064A7"/>
    <w:rsid w:val="00206522"/>
    <w:rsid w:val="00207021"/>
    <w:rsid w:val="0020732F"/>
    <w:rsid w:val="002076F1"/>
    <w:rsid w:val="002078DF"/>
    <w:rsid w:val="00207D00"/>
    <w:rsid w:val="002105C1"/>
    <w:rsid w:val="00210774"/>
    <w:rsid w:val="0021175E"/>
    <w:rsid w:val="002117B8"/>
    <w:rsid w:val="00211E04"/>
    <w:rsid w:val="00212A20"/>
    <w:rsid w:val="00214BA1"/>
    <w:rsid w:val="00216818"/>
    <w:rsid w:val="00216892"/>
    <w:rsid w:val="00216C66"/>
    <w:rsid w:val="00216F90"/>
    <w:rsid w:val="0021705B"/>
    <w:rsid w:val="002174F4"/>
    <w:rsid w:val="002200CF"/>
    <w:rsid w:val="00220165"/>
    <w:rsid w:val="0022280B"/>
    <w:rsid w:val="002231BD"/>
    <w:rsid w:val="00223B49"/>
    <w:rsid w:val="00224A78"/>
    <w:rsid w:val="00224DD4"/>
    <w:rsid w:val="002261D7"/>
    <w:rsid w:val="00227CCB"/>
    <w:rsid w:val="00227D07"/>
    <w:rsid w:val="002302E3"/>
    <w:rsid w:val="002309CC"/>
    <w:rsid w:val="0023170F"/>
    <w:rsid w:val="0023209F"/>
    <w:rsid w:val="0023287D"/>
    <w:rsid w:val="00232AF3"/>
    <w:rsid w:val="00233F36"/>
    <w:rsid w:val="00235C8A"/>
    <w:rsid w:val="0023629D"/>
    <w:rsid w:val="00236CE4"/>
    <w:rsid w:val="00237255"/>
    <w:rsid w:val="00237266"/>
    <w:rsid w:val="002400F8"/>
    <w:rsid w:val="00240C06"/>
    <w:rsid w:val="00240D4F"/>
    <w:rsid w:val="002413EF"/>
    <w:rsid w:val="0024155D"/>
    <w:rsid w:val="002424AF"/>
    <w:rsid w:val="00242A21"/>
    <w:rsid w:val="002431AA"/>
    <w:rsid w:val="00243565"/>
    <w:rsid w:val="002439DC"/>
    <w:rsid w:val="0024406F"/>
    <w:rsid w:val="00244DC8"/>
    <w:rsid w:val="002458BA"/>
    <w:rsid w:val="00245E48"/>
    <w:rsid w:val="0024636C"/>
    <w:rsid w:val="002468F5"/>
    <w:rsid w:val="0024755B"/>
    <w:rsid w:val="00247925"/>
    <w:rsid w:val="002505EC"/>
    <w:rsid w:val="00250AE3"/>
    <w:rsid w:val="002513EE"/>
    <w:rsid w:val="00251495"/>
    <w:rsid w:val="00254DCF"/>
    <w:rsid w:val="0025534B"/>
    <w:rsid w:val="00255BB7"/>
    <w:rsid w:val="00255D71"/>
    <w:rsid w:val="00257320"/>
    <w:rsid w:val="00257541"/>
    <w:rsid w:val="00260F8C"/>
    <w:rsid w:val="00261F82"/>
    <w:rsid w:val="00262A1A"/>
    <w:rsid w:val="00262A87"/>
    <w:rsid w:val="00264315"/>
    <w:rsid w:val="00264D26"/>
    <w:rsid w:val="00265F70"/>
    <w:rsid w:val="002661D8"/>
    <w:rsid w:val="0026690A"/>
    <w:rsid w:val="00267642"/>
    <w:rsid w:val="00267AEA"/>
    <w:rsid w:val="00267BA0"/>
    <w:rsid w:val="002700D5"/>
    <w:rsid w:val="002700E6"/>
    <w:rsid w:val="0027026A"/>
    <w:rsid w:val="00270798"/>
    <w:rsid w:val="00270B3A"/>
    <w:rsid w:val="00271B25"/>
    <w:rsid w:val="0027294B"/>
    <w:rsid w:val="00272DCC"/>
    <w:rsid w:val="00275145"/>
    <w:rsid w:val="00275258"/>
    <w:rsid w:val="00275BDC"/>
    <w:rsid w:val="00275C5A"/>
    <w:rsid w:val="00281014"/>
    <w:rsid w:val="00281B9A"/>
    <w:rsid w:val="00283330"/>
    <w:rsid w:val="00283844"/>
    <w:rsid w:val="00283F30"/>
    <w:rsid w:val="00284D5B"/>
    <w:rsid w:val="00285EE1"/>
    <w:rsid w:val="00286DE3"/>
    <w:rsid w:val="002872EE"/>
    <w:rsid w:val="00287AE7"/>
    <w:rsid w:val="00287ED3"/>
    <w:rsid w:val="002909E0"/>
    <w:rsid w:val="00290BA9"/>
    <w:rsid w:val="002915EC"/>
    <w:rsid w:val="00291BB8"/>
    <w:rsid w:val="00293277"/>
    <w:rsid w:val="002954ED"/>
    <w:rsid w:val="00295760"/>
    <w:rsid w:val="002963C8"/>
    <w:rsid w:val="002A14AB"/>
    <w:rsid w:val="002A1E3E"/>
    <w:rsid w:val="002A24D0"/>
    <w:rsid w:val="002A2F50"/>
    <w:rsid w:val="002A307D"/>
    <w:rsid w:val="002A3086"/>
    <w:rsid w:val="002A5058"/>
    <w:rsid w:val="002A5745"/>
    <w:rsid w:val="002A677D"/>
    <w:rsid w:val="002A71B2"/>
    <w:rsid w:val="002B09A4"/>
    <w:rsid w:val="002B1940"/>
    <w:rsid w:val="002B1A1C"/>
    <w:rsid w:val="002B1C1F"/>
    <w:rsid w:val="002B3B2B"/>
    <w:rsid w:val="002B432F"/>
    <w:rsid w:val="002B53AE"/>
    <w:rsid w:val="002B5769"/>
    <w:rsid w:val="002B5949"/>
    <w:rsid w:val="002B62B3"/>
    <w:rsid w:val="002B6754"/>
    <w:rsid w:val="002B6AA0"/>
    <w:rsid w:val="002B6B95"/>
    <w:rsid w:val="002B6CCE"/>
    <w:rsid w:val="002B7D84"/>
    <w:rsid w:val="002B7F7A"/>
    <w:rsid w:val="002C0EF1"/>
    <w:rsid w:val="002C2510"/>
    <w:rsid w:val="002C2760"/>
    <w:rsid w:val="002C2775"/>
    <w:rsid w:val="002C27C1"/>
    <w:rsid w:val="002C3D68"/>
    <w:rsid w:val="002C4461"/>
    <w:rsid w:val="002C4792"/>
    <w:rsid w:val="002C4BE3"/>
    <w:rsid w:val="002C4EB3"/>
    <w:rsid w:val="002C4F60"/>
    <w:rsid w:val="002C5099"/>
    <w:rsid w:val="002C5889"/>
    <w:rsid w:val="002C66D1"/>
    <w:rsid w:val="002C71CE"/>
    <w:rsid w:val="002C78E2"/>
    <w:rsid w:val="002D195E"/>
    <w:rsid w:val="002D3105"/>
    <w:rsid w:val="002D41AA"/>
    <w:rsid w:val="002D42C7"/>
    <w:rsid w:val="002D577C"/>
    <w:rsid w:val="002D5D9F"/>
    <w:rsid w:val="002D623D"/>
    <w:rsid w:val="002D6961"/>
    <w:rsid w:val="002D7E27"/>
    <w:rsid w:val="002E1077"/>
    <w:rsid w:val="002E15B9"/>
    <w:rsid w:val="002E1C96"/>
    <w:rsid w:val="002E1E6E"/>
    <w:rsid w:val="002E2158"/>
    <w:rsid w:val="002E3CA9"/>
    <w:rsid w:val="002E3D2D"/>
    <w:rsid w:val="002E49B8"/>
    <w:rsid w:val="002E7722"/>
    <w:rsid w:val="002E7AA7"/>
    <w:rsid w:val="002F07BA"/>
    <w:rsid w:val="002F0DA9"/>
    <w:rsid w:val="002F123D"/>
    <w:rsid w:val="002F1965"/>
    <w:rsid w:val="002F1E10"/>
    <w:rsid w:val="002F27F9"/>
    <w:rsid w:val="002F45DF"/>
    <w:rsid w:val="002F462E"/>
    <w:rsid w:val="002F579E"/>
    <w:rsid w:val="002F6324"/>
    <w:rsid w:val="002F643C"/>
    <w:rsid w:val="002F71C0"/>
    <w:rsid w:val="00301017"/>
    <w:rsid w:val="0030155F"/>
    <w:rsid w:val="00301ADB"/>
    <w:rsid w:val="003022DF"/>
    <w:rsid w:val="00302FC9"/>
    <w:rsid w:val="00303067"/>
    <w:rsid w:val="00303B41"/>
    <w:rsid w:val="00303C14"/>
    <w:rsid w:val="0030587B"/>
    <w:rsid w:val="00306177"/>
    <w:rsid w:val="00306D98"/>
    <w:rsid w:val="003073AC"/>
    <w:rsid w:val="0030786C"/>
    <w:rsid w:val="00307A60"/>
    <w:rsid w:val="0031031A"/>
    <w:rsid w:val="00310981"/>
    <w:rsid w:val="003111B3"/>
    <w:rsid w:val="00311FBE"/>
    <w:rsid w:val="00312CDC"/>
    <w:rsid w:val="003131EC"/>
    <w:rsid w:val="0031351E"/>
    <w:rsid w:val="00313894"/>
    <w:rsid w:val="00315498"/>
    <w:rsid w:val="003178DB"/>
    <w:rsid w:val="0032031E"/>
    <w:rsid w:val="00321E2F"/>
    <w:rsid w:val="00322107"/>
    <w:rsid w:val="00322846"/>
    <w:rsid w:val="00322B54"/>
    <w:rsid w:val="00323264"/>
    <w:rsid w:val="003234AC"/>
    <w:rsid w:val="00323519"/>
    <w:rsid w:val="00323C66"/>
    <w:rsid w:val="003249A3"/>
    <w:rsid w:val="00326533"/>
    <w:rsid w:val="00326DA7"/>
    <w:rsid w:val="003270E4"/>
    <w:rsid w:val="003275BA"/>
    <w:rsid w:val="00327BE1"/>
    <w:rsid w:val="00330389"/>
    <w:rsid w:val="003308AC"/>
    <w:rsid w:val="00330941"/>
    <w:rsid w:val="00330F5C"/>
    <w:rsid w:val="0033119D"/>
    <w:rsid w:val="0033257F"/>
    <w:rsid w:val="003333AE"/>
    <w:rsid w:val="0033346F"/>
    <w:rsid w:val="003366C9"/>
    <w:rsid w:val="00336E70"/>
    <w:rsid w:val="003371B0"/>
    <w:rsid w:val="003408F0"/>
    <w:rsid w:val="00340DF1"/>
    <w:rsid w:val="003425A6"/>
    <w:rsid w:val="003455C0"/>
    <w:rsid w:val="00345C35"/>
    <w:rsid w:val="00345CA4"/>
    <w:rsid w:val="0034651C"/>
    <w:rsid w:val="0034688B"/>
    <w:rsid w:val="00350172"/>
    <w:rsid w:val="003510E3"/>
    <w:rsid w:val="003517F9"/>
    <w:rsid w:val="00354AFE"/>
    <w:rsid w:val="00354E3F"/>
    <w:rsid w:val="00354EBF"/>
    <w:rsid w:val="00355A22"/>
    <w:rsid w:val="0035620E"/>
    <w:rsid w:val="00356554"/>
    <w:rsid w:val="003624C4"/>
    <w:rsid w:val="00363777"/>
    <w:rsid w:val="003653FA"/>
    <w:rsid w:val="003654AC"/>
    <w:rsid w:val="00366FA4"/>
    <w:rsid w:val="0036717D"/>
    <w:rsid w:val="00367DCA"/>
    <w:rsid w:val="00367DD9"/>
    <w:rsid w:val="003710CF"/>
    <w:rsid w:val="0037358A"/>
    <w:rsid w:val="003750F6"/>
    <w:rsid w:val="00375971"/>
    <w:rsid w:val="003760FC"/>
    <w:rsid w:val="00376448"/>
    <w:rsid w:val="00376E05"/>
    <w:rsid w:val="0037773A"/>
    <w:rsid w:val="00380B5F"/>
    <w:rsid w:val="00380D4B"/>
    <w:rsid w:val="003810AF"/>
    <w:rsid w:val="00382F2F"/>
    <w:rsid w:val="0038365C"/>
    <w:rsid w:val="0038369B"/>
    <w:rsid w:val="00383B78"/>
    <w:rsid w:val="00384A1A"/>
    <w:rsid w:val="00384F50"/>
    <w:rsid w:val="00385454"/>
    <w:rsid w:val="0038597E"/>
    <w:rsid w:val="00385A9D"/>
    <w:rsid w:val="0038620B"/>
    <w:rsid w:val="00386E1B"/>
    <w:rsid w:val="00387C41"/>
    <w:rsid w:val="00387DA4"/>
    <w:rsid w:val="003902B1"/>
    <w:rsid w:val="00391321"/>
    <w:rsid w:val="00391628"/>
    <w:rsid w:val="00391F2C"/>
    <w:rsid w:val="00393212"/>
    <w:rsid w:val="00395595"/>
    <w:rsid w:val="00395887"/>
    <w:rsid w:val="003961D9"/>
    <w:rsid w:val="00396896"/>
    <w:rsid w:val="00396DE9"/>
    <w:rsid w:val="00396FD0"/>
    <w:rsid w:val="003977CD"/>
    <w:rsid w:val="003A00A5"/>
    <w:rsid w:val="003A0AEB"/>
    <w:rsid w:val="003A0B86"/>
    <w:rsid w:val="003A1704"/>
    <w:rsid w:val="003A17C7"/>
    <w:rsid w:val="003A1A7A"/>
    <w:rsid w:val="003A2392"/>
    <w:rsid w:val="003A2459"/>
    <w:rsid w:val="003A2831"/>
    <w:rsid w:val="003A3ED1"/>
    <w:rsid w:val="003A4896"/>
    <w:rsid w:val="003A4FDF"/>
    <w:rsid w:val="003A55FF"/>
    <w:rsid w:val="003A761D"/>
    <w:rsid w:val="003A7A51"/>
    <w:rsid w:val="003B000E"/>
    <w:rsid w:val="003B000F"/>
    <w:rsid w:val="003B1529"/>
    <w:rsid w:val="003B241D"/>
    <w:rsid w:val="003B286E"/>
    <w:rsid w:val="003B4826"/>
    <w:rsid w:val="003B508F"/>
    <w:rsid w:val="003B574F"/>
    <w:rsid w:val="003B5B61"/>
    <w:rsid w:val="003B602A"/>
    <w:rsid w:val="003B674D"/>
    <w:rsid w:val="003C0689"/>
    <w:rsid w:val="003C0F06"/>
    <w:rsid w:val="003C163E"/>
    <w:rsid w:val="003C1654"/>
    <w:rsid w:val="003C2BB0"/>
    <w:rsid w:val="003C3510"/>
    <w:rsid w:val="003C3BB3"/>
    <w:rsid w:val="003C3D18"/>
    <w:rsid w:val="003C5485"/>
    <w:rsid w:val="003C5569"/>
    <w:rsid w:val="003C63C5"/>
    <w:rsid w:val="003C6B33"/>
    <w:rsid w:val="003C7D19"/>
    <w:rsid w:val="003C7F0B"/>
    <w:rsid w:val="003C7FF0"/>
    <w:rsid w:val="003D0DA1"/>
    <w:rsid w:val="003D1828"/>
    <w:rsid w:val="003D19CA"/>
    <w:rsid w:val="003D1DE4"/>
    <w:rsid w:val="003D2176"/>
    <w:rsid w:val="003D22C6"/>
    <w:rsid w:val="003D2422"/>
    <w:rsid w:val="003D2B35"/>
    <w:rsid w:val="003D2C95"/>
    <w:rsid w:val="003D389D"/>
    <w:rsid w:val="003D39A1"/>
    <w:rsid w:val="003D3FBF"/>
    <w:rsid w:val="003D4929"/>
    <w:rsid w:val="003D4A30"/>
    <w:rsid w:val="003D6787"/>
    <w:rsid w:val="003D6FBE"/>
    <w:rsid w:val="003D7322"/>
    <w:rsid w:val="003D79BB"/>
    <w:rsid w:val="003D7C98"/>
    <w:rsid w:val="003E0543"/>
    <w:rsid w:val="003E0D1B"/>
    <w:rsid w:val="003E1660"/>
    <w:rsid w:val="003E1B1F"/>
    <w:rsid w:val="003E211D"/>
    <w:rsid w:val="003E555C"/>
    <w:rsid w:val="003E5760"/>
    <w:rsid w:val="003E630E"/>
    <w:rsid w:val="003F34AE"/>
    <w:rsid w:val="003F4156"/>
    <w:rsid w:val="003F4AC7"/>
    <w:rsid w:val="003F5181"/>
    <w:rsid w:val="003F5B60"/>
    <w:rsid w:val="003F601C"/>
    <w:rsid w:val="003F6561"/>
    <w:rsid w:val="003F7148"/>
    <w:rsid w:val="00400A96"/>
    <w:rsid w:val="00400B29"/>
    <w:rsid w:val="00401568"/>
    <w:rsid w:val="0040297C"/>
    <w:rsid w:val="00403F37"/>
    <w:rsid w:val="00404915"/>
    <w:rsid w:val="0040504B"/>
    <w:rsid w:val="00405D38"/>
    <w:rsid w:val="00406B98"/>
    <w:rsid w:val="00406D4C"/>
    <w:rsid w:val="0040722B"/>
    <w:rsid w:val="00407CF1"/>
    <w:rsid w:val="00410708"/>
    <w:rsid w:val="00410EC7"/>
    <w:rsid w:val="00411560"/>
    <w:rsid w:val="004115E6"/>
    <w:rsid w:val="00411B39"/>
    <w:rsid w:val="00412367"/>
    <w:rsid w:val="00412884"/>
    <w:rsid w:val="00413A1E"/>
    <w:rsid w:val="00414476"/>
    <w:rsid w:val="00414C2E"/>
    <w:rsid w:val="004151CF"/>
    <w:rsid w:val="00416279"/>
    <w:rsid w:val="00416364"/>
    <w:rsid w:val="00416A77"/>
    <w:rsid w:val="00416AAC"/>
    <w:rsid w:val="0041799A"/>
    <w:rsid w:val="00417A08"/>
    <w:rsid w:val="004200F4"/>
    <w:rsid w:val="0042056A"/>
    <w:rsid w:val="004208DF"/>
    <w:rsid w:val="00420AA6"/>
    <w:rsid w:val="00420B77"/>
    <w:rsid w:val="00420B9F"/>
    <w:rsid w:val="00422260"/>
    <w:rsid w:val="0042413F"/>
    <w:rsid w:val="00424830"/>
    <w:rsid w:val="004263C2"/>
    <w:rsid w:val="004270FB"/>
    <w:rsid w:val="00427D0D"/>
    <w:rsid w:val="00430493"/>
    <w:rsid w:val="00430608"/>
    <w:rsid w:val="00431764"/>
    <w:rsid w:val="004319F8"/>
    <w:rsid w:val="00431E55"/>
    <w:rsid w:val="00431FD4"/>
    <w:rsid w:val="004321F6"/>
    <w:rsid w:val="00432F52"/>
    <w:rsid w:val="00433044"/>
    <w:rsid w:val="0043347E"/>
    <w:rsid w:val="0043712E"/>
    <w:rsid w:val="004375B9"/>
    <w:rsid w:val="00440AC5"/>
    <w:rsid w:val="00440B03"/>
    <w:rsid w:val="004416AA"/>
    <w:rsid w:val="004428D0"/>
    <w:rsid w:val="00442BD7"/>
    <w:rsid w:val="00442E10"/>
    <w:rsid w:val="004443A7"/>
    <w:rsid w:val="0044442C"/>
    <w:rsid w:val="00444855"/>
    <w:rsid w:val="00444D5C"/>
    <w:rsid w:val="00445228"/>
    <w:rsid w:val="00445941"/>
    <w:rsid w:val="004464EB"/>
    <w:rsid w:val="0044651E"/>
    <w:rsid w:val="00446E5E"/>
    <w:rsid w:val="00447277"/>
    <w:rsid w:val="0044791A"/>
    <w:rsid w:val="00447D26"/>
    <w:rsid w:val="00450DA2"/>
    <w:rsid w:val="00450DFC"/>
    <w:rsid w:val="0045147B"/>
    <w:rsid w:val="00451CC0"/>
    <w:rsid w:val="004522B6"/>
    <w:rsid w:val="004538D0"/>
    <w:rsid w:val="00453A23"/>
    <w:rsid w:val="00454ACE"/>
    <w:rsid w:val="00455C4A"/>
    <w:rsid w:val="00455D45"/>
    <w:rsid w:val="00456AEE"/>
    <w:rsid w:val="00464595"/>
    <w:rsid w:val="004646F2"/>
    <w:rsid w:val="0046690A"/>
    <w:rsid w:val="00466A59"/>
    <w:rsid w:val="0047003C"/>
    <w:rsid w:val="00472A79"/>
    <w:rsid w:val="00473B91"/>
    <w:rsid w:val="00473F19"/>
    <w:rsid w:val="00474FF2"/>
    <w:rsid w:val="00475857"/>
    <w:rsid w:val="00475E22"/>
    <w:rsid w:val="00476863"/>
    <w:rsid w:val="0048047E"/>
    <w:rsid w:val="0048088E"/>
    <w:rsid w:val="004811DB"/>
    <w:rsid w:val="00482720"/>
    <w:rsid w:val="004827FB"/>
    <w:rsid w:val="004835E7"/>
    <w:rsid w:val="004867E2"/>
    <w:rsid w:val="004873C6"/>
    <w:rsid w:val="00487B76"/>
    <w:rsid w:val="00491B3A"/>
    <w:rsid w:val="00492245"/>
    <w:rsid w:val="00492849"/>
    <w:rsid w:val="00492CFD"/>
    <w:rsid w:val="00493510"/>
    <w:rsid w:val="004943ED"/>
    <w:rsid w:val="0049445C"/>
    <w:rsid w:val="0049455A"/>
    <w:rsid w:val="00494C03"/>
    <w:rsid w:val="00494CB5"/>
    <w:rsid w:val="00494CF4"/>
    <w:rsid w:val="00494DD5"/>
    <w:rsid w:val="00494E31"/>
    <w:rsid w:val="004962D2"/>
    <w:rsid w:val="004975A4"/>
    <w:rsid w:val="004A0DA1"/>
    <w:rsid w:val="004A1C65"/>
    <w:rsid w:val="004A1CAD"/>
    <w:rsid w:val="004A2186"/>
    <w:rsid w:val="004A2282"/>
    <w:rsid w:val="004A3203"/>
    <w:rsid w:val="004A372B"/>
    <w:rsid w:val="004A3BF0"/>
    <w:rsid w:val="004A475C"/>
    <w:rsid w:val="004A52E9"/>
    <w:rsid w:val="004A5362"/>
    <w:rsid w:val="004A5A61"/>
    <w:rsid w:val="004A6597"/>
    <w:rsid w:val="004A6FD7"/>
    <w:rsid w:val="004A7351"/>
    <w:rsid w:val="004A7551"/>
    <w:rsid w:val="004A7848"/>
    <w:rsid w:val="004B0189"/>
    <w:rsid w:val="004B07B4"/>
    <w:rsid w:val="004B1CB2"/>
    <w:rsid w:val="004B1CB4"/>
    <w:rsid w:val="004B2F18"/>
    <w:rsid w:val="004B33CD"/>
    <w:rsid w:val="004B3DDB"/>
    <w:rsid w:val="004B3EAB"/>
    <w:rsid w:val="004B429A"/>
    <w:rsid w:val="004B4385"/>
    <w:rsid w:val="004B44FD"/>
    <w:rsid w:val="004B5CFC"/>
    <w:rsid w:val="004B774D"/>
    <w:rsid w:val="004C0D24"/>
    <w:rsid w:val="004C1780"/>
    <w:rsid w:val="004C2930"/>
    <w:rsid w:val="004C2E03"/>
    <w:rsid w:val="004C3366"/>
    <w:rsid w:val="004C4932"/>
    <w:rsid w:val="004C4AED"/>
    <w:rsid w:val="004C51EC"/>
    <w:rsid w:val="004C58F8"/>
    <w:rsid w:val="004C5C2D"/>
    <w:rsid w:val="004C605B"/>
    <w:rsid w:val="004C7574"/>
    <w:rsid w:val="004D1842"/>
    <w:rsid w:val="004D1B43"/>
    <w:rsid w:val="004D233E"/>
    <w:rsid w:val="004D2C2D"/>
    <w:rsid w:val="004D3556"/>
    <w:rsid w:val="004D4C01"/>
    <w:rsid w:val="004D7227"/>
    <w:rsid w:val="004D78DE"/>
    <w:rsid w:val="004E0E7F"/>
    <w:rsid w:val="004E0EB8"/>
    <w:rsid w:val="004E19B0"/>
    <w:rsid w:val="004E275B"/>
    <w:rsid w:val="004E2ADC"/>
    <w:rsid w:val="004E2FE5"/>
    <w:rsid w:val="004E3E3D"/>
    <w:rsid w:val="004E43B2"/>
    <w:rsid w:val="004E4FD1"/>
    <w:rsid w:val="004E6867"/>
    <w:rsid w:val="004E6B42"/>
    <w:rsid w:val="004F00DF"/>
    <w:rsid w:val="004F08A1"/>
    <w:rsid w:val="004F0A7F"/>
    <w:rsid w:val="004F0BE9"/>
    <w:rsid w:val="004F1D02"/>
    <w:rsid w:val="004F1EB0"/>
    <w:rsid w:val="004F25CF"/>
    <w:rsid w:val="004F2679"/>
    <w:rsid w:val="004F2919"/>
    <w:rsid w:val="004F2F21"/>
    <w:rsid w:val="004F39B3"/>
    <w:rsid w:val="004F41B4"/>
    <w:rsid w:val="004F661F"/>
    <w:rsid w:val="004F6913"/>
    <w:rsid w:val="004F7436"/>
    <w:rsid w:val="004F7865"/>
    <w:rsid w:val="0050219B"/>
    <w:rsid w:val="0050221A"/>
    <w:rsid w:val="0050248E"/>
    <w:rsid w:val="00502A24"/>
    <w:rsid w:val="005036D8"/>
    <w:rsid w:val="00503F17"/>
    <w:rsid w:val="00503F3D"/>
    <w:rsid w:val="00505B6B"/>
    <w:rsid w:val="00506928"/>
    <w:rsid w:val="00506CCA"/>
    <w:rsid w:val="005119BF"/>
    <w:rsid w:val="00511A18"/>
    <w:rsid w:val="00512201"/>
    <w:rsid w:val="00512532"/>
    <w:rsid w:val="00513A8B"/>
    <w:rsid w:val="00514918"/>
    <w:rsid w:val="005152B5"/>
    <w:rsid w:val="005155D6"/>
    <w:rsid w:val="00515721"/>
    <w:rsid w:val="005158C6"/>
    <w:rsid w:val="0051591A"/>
    <w:rsid w:val="005169F5"/>
    <w:rsid w:val="00516BDE"/>
    <w:rsid w:val="00521319"/>
    <w:rsid w:val="00521965"/>
    <w:rsid w:val="00522BC8"/>
    <w:rsid w:val="00522EBA"/>
    <w:rsid w:val="00523615"/>
    <w:rsid w:val="00523C28"/>
    <w:rsid w:val="00524AB5"/>
    <w:rsid w:val="00524B2C"/>
    <w:rsid w:val="00524FA7"/>
    <w:rsid w:val="005257D9"/>
    <w:rsid w:val="005262D6"/>
    <w:rsid w:val="005268CD"/>
    <w:rsid w:val="00527ABF"/>
    <w:rsid w:val="00527DFC"/>
    <w:rsid w:val="0053041D"/>
    <w:rsid w:val="00533305"/>
    <w:rsid w:val="00535DA4"/>
    <w:rsid w:val="00536A7D"/>
    <w:rsid w:val="00536F42"/>
    <w:rsid w:val="00537182"/>
    <w:rsid w:val="00541D0D"/>
    <w:rsid w:val="00542743"/>
    <w:rsid w:val="00542A7D"/>
    <w:rsid w:val="00542C1A"/>
    <w:rsid w:val="00542C2D"/>
    <w:rsid w:val="005430C9"/>
    <w:rsid w:val="00543953"/>
    <w:rsid w:val="005460F7"/>
    <w:rsid w:val="0054678E"/>
    <w:rsid w:val="00546C95"/>
    <w:rsid w:val="005474B9"/>
    <w:rsid w:val="005502A6"/>
    <w:rsid w:val="00550819"/>
    <w:rsid w:val="00551985"/>
    <w:rsid w:val="00552BD3"/>
    <w:rsid w:val="00552D37"/>
    <w:rsid w:val="00552D56"/>
    <w:rsid w:val="00553D77"/>
    <w:rsid w:val="00553FFC"/>
    <w:rsid w:val="005548E5"/>
    <w:rsid w:val="00554DEA"/>
    <w:rsid w:val="00554F50"/>
    <w:rsid w:val="00555109"/>
    <w:rsid w:val="005565BA"/>
    <w:rsid w:val="00556BC0"/>
    <w:rsid w:val="00557C1E"/>
    <w:rsid w:val="00557E7B"/>
    <w:rsid w:val="00557FEB"/>
    <w:rsid w:val="0056019B"/>
    <w:rsid w:val="00563414"/>
    <w:rsid w:val="005655D8"/>
    <w:rsid w:val="005667A2"/>
    <w:rsid w:val="0056696F"/>
    <w:rsid w:val="00566AA5"/>
    <w:rsid w:val="00570583"/>
    <w:rsid w:val="00570FF3"/>
    <w:rsid w:val="005712C3"/>
    <w:rsid w:val="00572269"/>
    <w:rsid w:val="0057244A"/>
    <w:rsid w:val="00572CB8"/>
    <w:rsid w:val="00572F21"/>
    <w:rsid w:val="00573B11"/>
    <w:rsid w:val="00575D8D"/>
    <w:rsid w:val="00576616"/>
    <w:rsid w:val="00576972"/>
    <w:rsid w:val="0058036E"/>
    <w:rsid w:val="00580746"/>
    <w:rsid w:val="005819FB"/>
    <w:rsid w:val="00581CAE"/>
    <w:rsid w:val="00583699"/>
    <w:rsid w:val="00584CB1"/>
    <w:rsid w:val="00585CDD"/>
    <w:rsid w:val="00587058"/>
    <w:rsid w:val="00590BF0"/>
    <w:rsid w:val="00590C95"/>
    <w:rsid w:val="005915E8"/>
    <w:rsid w:val="00591957"/>
    <w:rsid w:val="00595561"/>
    <w:rsid w:val="0059586A"/>
    <w:rsid w:val="00595BEE"/>
    <w:rsid w:val="0059697C"/>
    <w:rsid w:val="00596D2F"/>
    <w:rsid w:val="005979DE"/>
    <w:rsid w:val="00597BF9"/>
    <w:rsid w:val="00597E4E"/>
    <w:rsid w:val="005A0CB1"/>
    <w:rsid w:val="005A1A13"/>
    <w:rsid w:val="005A32DC"/>
    <w:rsid w:val="005A3607"/>
    <w:rsid w:val="005A373D"/>
    <w:rsid w:val="005A4EEF"/>
    <w:rsid w:val="005A6166"/>
    <w:rsid w:val="005A7C20"/>
    <w:rsid w:val="005B0EA7"/>
    <w:rsid w:val="005B1754"/>
    <w:rsid w:val="005B192E"/>
    <w:rsid w:val="005B1DDD"/>
    <w:rsid w:val="005B2546"/>
    <w:rsid w:val="005B285C"/>
    <w:rsid w:val="005B3236"/>
    <w:rsid w:val="005B36D2"/>
    <w:rsid w:val="005B3FE1"/>
    <w:rsid w:val="005B462E"/>
    <w:rsid w:val="005B4CF4"/>
    <w:rsid w:val="005B5857"/>
    <w:rsid w:val="005B6DD6"/>
    <w:rsid w:val="005B77CE"/>
    <w:rsid w:val="005B7B7F"/>
    <w:rsid w:val="005C016D"/>
    <w:rsid w:val="005C1956"/>
    <w:rsid w:val="005C1B83"/>
    <w:rsid w:val="005C1C0D"/>
    <w:rsid w:val="005C2D55"/>
    <w:rsid w:val="005C2E7D"/>
    <w:rsid w:val="005C2FF8"/>
    <w:rsid w:val="005C346B"/>
    <w:rsid w:val="005C36D9"/>
    <w:rsid w:val="005C4358"/>
    <w:rsid w:val="005C478C"/>
    <w:rsid w:val="005C4F72"/>
    <w:rsid w:val="005C501D"/>
    <w:rsid w:val="005C5BC6"/>
    <w:rsid w:val="005C6BD7"/>
    <w:rsid w:val="005C6F06"/>
    <w:rsid w:val="005C7D92"/>
    <w:rsid w:val="005D00A7"/>
    <w:rsid w:val="005D044D"/>
    <w:rsid w:val="005D06AC"/>
    <w:rsid w:val="005D0ABD"/>
    <w:rsid w:val="005D18AD"/>
    <w:rsid w:val="005D26B4"/>
    <w:rsid w:val="005D29D8"/>
    <w:rsid w:val="005D2D55"/>
    <w:rsid w:val="005D331C"/>
    <w:rsid w:val="005D36EA"/>
    <w:rsid w:val="005D3E0B"/>
    <w:rsid w:val="005E1244"/>
    <w:rsid w:val="005E2039"/>
    <w:rsid w:val="005E3F21"/>
    <w:rsid w:val="005E496D"/>
    <w:rsid w:val="005E4AD7"/>
    <w:rsid w:val="005E53B2"/>
    <w:rsid w:val="005E5E87"/>
    <w:rsid w:val="005E6CBC"/>
    <w:rsid w:val="005E73C0"/>
    <w:rsid w:val="005F0C48"/>
    <w:rsid w:val="005F14AD"/>
    <w:rsid w:val="005F15B2"/>
    <w:rsid w:val="005F236B"/>
    <w:rsid w:val="005F2706"/>
    <w:rsid w:val="005F2C55"/>
    <w:rsid w:val="005F4564"/>
    <w:rsid w:val="005F465B"/>
    <w:rsid w:val="005F5B05"/>
    <w:rsid w:val="005F5B33"/>
    <w:rsid w:val="005F67F8"/>
    <w:rsid w:val="005F6A8F"/>
    <w:rsid w:val="005F7266"/>
    <w:rsid w:val="006008DD"/>
    <w:rsid w:val="00600E22"/>
    <w:rsid w:val="006025AF"/>
    <w:rsid w:val="006035A1"/>
    <w:rsid w:val="00603DB9"/>
    <w:rsid w:val="006040FB"/>
    <w:rsid w:val="00606C61"/>
    <w:rsid w:val="00607669"/>
    <w:rsid w:val="00607AFD"/>
    <w:rsid w:val="0061244E"/>
    <w:rsid w:val="00612760"/>
    <w:rsid w:val="00612F97"/>
    <w:rsid w:val="00613204"/>
    <w:rsid w:val="0061345D"/>
    <w:rsid w:val="0061413D"/>
    <w:rsid w:val="00614346"/>
    <w:rsid w:val="00615422"/>
    <w:rsid w:val="00615798"/>
    <w:rsid w:val="0061673E"/>
    <w:rsid w:val="00616802"/>
    <w:rsid w:val="00616993"/>
    <w:rsid w:val="00617E12"/>
    <w:rsid w:val="00617FA3"/>
    <w:rsid w:val="00621477"/>
    <w:rsid w:val="0062159B"/>
    <w:rsid w:val="006234B2"/>
    <w:rsid w:val="0062657F"/>
    <w:rsid w:val="00630395"/>
    <w:rsid w:val="00630C62"/>
    <w:rsid w:val="0063158F"/>
    <w:rsid w:val="00631D6B"/>
    <w:rsid w:val="00632D61"/>
    <w:rsid w:val="006330A1"/>
    <w:rsid w:val="006331A7"/>
    <w:rsid w:val="00633AAE"/>
    <w:rsid w:val="00633DD3"/>
    <w:rsid w:val="00633EB5"/>
    <w:rsid w:val="0063479F"/>
    <w:rsid w:val="00634952"/>
    <w:rsid w:val="006353F0"/>
    <w:rsid w:val="00635A00"/>
    <w:rsid w:val="006364A1"/>
    <w:rsid w:val="006372AA"/>
    <w:rsid w:val="00637883"/>
    <w:rsid w:val="00637BFD"/>
    <w:rsid w:val="00641497"/>
    <w:rsid w:val="0064180E"/>
    <w:rsid w:val="00641C4E"/>
    <w:rsid w:val="00641E29"/>
    <w:rsid w:val="006421CC"/>
    <w:rsid w:val="006424DA"/>
    <w:rsid w:val="006431CB"/>
    <w:rsid w:val="00644E10"/>
    <w:rsid w:val="00645BCF"/>
    <w:rsid w:val="006469DE"/>
    <w:rsid w:val="00646DD7"/>
    <w:rsid w:val="006471CC"/>
    <w:rsid w:val="00647E58"/>
    <w:rsid w:val="0065079F"/>
    <w:rsid w:val="00650D8E"/>
    <w:rsid w:val="006514C9"/>
    <w:rsid w:val="0065160F"/>
    <w:rsid w:val="00652198"/>
    <w:rsid w:val="0065379F"/>
    <w:rsid w:val="0065437F"/>
    <w:rsid w:val="0065444C"/>
    <w:rsid w:val="0065514C"/>
    <w:rsid w:val="00655291"/>
    <w:rsid w:val="00655D5E"/>
    <w:rsid w:val="00656B05"/>
    <w:rsid w:val="00657E8E"/>
    <w:rsid w:val="0066154B"/>
    <w:rsid w:val="00661C6B"/>
    <w:rsid w:val="00662330"/>
    <w:rsid w:val="00662730"/>
    <w:rsid w:val="006654A2"/>
    <w:rsid w:val="00665A68"/>
    <w:rsid w:val="0066674B"/>
    <w:rsid w:val="006723F6"/>
    <w:rsid w:val="006746D2"/>
    <w:rsid w:val="0067494B"/>
    <w:rsid w:val="00674E42"/>
    <w:rsid w:val="0067541F"/>
    <w:rsid w:val="006764F9"/>
    <w:rsid w:val="00677AB1"/>
    <w:rsid w:val="006802FB"/>
    <w:rsid w:val="006808ED"/>
    <w:rsid w:val="00681BC8"/>
    <w:rsid w:val="00682112"/>
    <w:rsid w:val="00682C52"/>
    <w:rsid w:val="00683B78"/>
    <w:rsid w:val="0068409F"/>
    <w:rsid w:val="00685211"/>
    <w:rsid w:val="006857C5"/>
    <w:rsid w:val="006857FE"/>
    <w:rsid w:val="00685EE7"/>
    <w:rsid w:val="00685F7C"/>
    <w:rsid w:val="00686957"/>
    <w:rsid w:val="006872BA"/>
    <w:rsid w:val="00687963"/>
    <w:rsid w:val="00690708"/>
    <w:rsid w:val="00691648"/>
    <w:rsid w:val="006917D7"/>
    <w:rsid w:val="00693110"/>
    <w:rsid w:val="00694F44"/>
    <w:rsid w:val="00695681"/>
    <w:rsid w:val="0069622E"/>
    <w:rsid w:val="00696D60"/>
    <w:rsid w:val="006A08A0"/>
    <w:rsid w:val="006A1CE9"/>
    <w:rsid w:val="006A28BC"/>
    <w:rsid w:val="006A314C"/>
    <w:rsid w:val="006A44F1"/>
    <w:rsid w:val="006A4F6C"/>
    <w:rsid w:val="006A5355"/>
    <w:rsid w:val="006A550E"/>
    <w:rsid w:val="006A5B2C"/>
    <w:rsid w:val="006A659C"/>
    <w:rsid w:val="006A6EE7"/>
    <w:rsid w:val="006A71C8"/>
    <w:rsid w:val="006A7319"/>
    <w:rsid w:val="006A7E5F"/>
    <w:rsid w:val="006B0908"/>
    <w:rsid w:val="006B16D6"/>
    <w:rsid w:val="006B261B"/>
    <w:rsid w:val="006B2C90"/>
    <w:rsid w:val="006B52A2"/>
    <w:rsid w:val="006B5ADC"/>
    <w:rsid w:val="006B6DD0"/>
    <w:rsid w:val="006B6F11"/>
    <w:rsid w:val="006B70A8"/>
    <w:rsid w:val="006B7136"/>
    <w:rsid w:val="006C0B35"/>
    <w:rsid w:val="006C22D4"/>
    <w:rsid w:val="006C2352"/>
    <w:rsid w:val="006C2968"/>
    <w:rsid w:val="006C2A8E"/>
    <w:rsid w:val="006C77DA"/>
    <w:rsid w:val="006D1944"/>
    <w:rsid w:val="006D1E2B"/>
    <w:rsid w:val="006D2D76"/>
    <w:rsid w:val="006D3C7D"/>
    <w:rsid w:val="006D3E2E"/>
    <w:rsid w:val="006D5D5F"/>
    <w:rsid w:val="006D6936"/>
    <w:rsid w:val="006D7DEE"/>
    <w:rsid w:val="006E1A75"/>
    <w:rsid w:val="006E2ACB"/>
    <w:rsid w:val="006E33E9"/>
    <w:rsid w:val="006E3547"/>
    <w:rsid w:val="006E3725"/>
    <w:rsid w:val="006E6FE3"/>
    <w:rsid w:val="006E71DA"/>
    <w:rsid w:val="006F0F90"/>
    <w:rsid w:val="006F16FE"/>
    <w:rsid w:val="006F2892"/>
    <w:rsid w:val="006F29CA"/>
    <w:rsid w:val="006F306C"/>
    <w:rsid w:val="006F312D"/>
    <w:rsid w:val="006F40F0"/>
    <w:rsid w:val="006F4B72"/>
    <w:rsid w:val="006F4BA0"/>
    <w:rsid w:val="006F5149"/>
    <w:rsid w:val="006F522E"/>
    <w:rsid w:val="006F56C7"/>
    <w:rsid w:val="006F6225"/>
    <w:rsid w:val="006F63A5"/>
    <w:rsid w:val="006F68F7"/>
    <w:rsid w:val="006F7A06"/>
    <w:rsid w:val="006F7A4E"/>
    <w:rsid w:val="007004F5"/>
    <w:rsid w:val="0070142B"/>
    <w:rsid w:val="0070276E"/>
    <w:rsid w:val="00702F8F"/>
    <w:rsid w:val="0070315E"/>
    <w:rsid w:val="00704930"/>
    <w:rsid w:val="00705283"/>
    <w:rsid w:val="007056C4"/>
    <w:rsid w:val="00705817"/>
    <w:rsid w:val="00705A7A"/>
    <w:rsid w:val="00707C4A"/>
    <w:rsid w:val="00707F1D"/>
    <w:rsid w:val="00711A36"/>
    <w:rsid w:val="00712190"/>
    <w:rsid w:val="00713710"/>
    <w:rsid w:val="00714280"/>
    <w:rsid w:val="0071529C"/>
    <w:rsid w:val="00716F40"/>
    <w:rsid w:val="00716F4F"/>
    <w:rsid w:val="007172AD"/>
    <w:rsid w:val="007173DD"/>
    <w:rsid w:val="00717F7A"/>
    <w:rsid w:val="007207E1"/>
    <w:rsid w:val="007208C2"/>
    <w:rsid w:val="00721099"/>
    <w:rsid w:val="0072142D"/>
    <w:rsid w:val="00722906"/>
    <w:rsid w:val="00722B1B"/>
    <w:rsid w:val="00723B90"/>
    <w:rsid w:val="0072416F"/>
    <w:rsid w:val="007243F9"/>
    <w:rsid w:val="007248ED"/>
    <w:rsid w:val="00725E19"/>
    <w:rsid w:val="00727C94"/>
    <w:rsid w:val="007303E8"/>
    <w:rsid w:val="0073151C"/>
    <w:rsid w:val="00731975"/>
    <w:rsid w:val="00731EAE"/>
    <w:rsid w:val="007332DF"/>
    <w:rsid w:val="007333BE"/>
    <w:rsid w:val="00735033"/>
    <w:rsid w:val="00735328"/>
    <w:rsid w:val="00736209"/>
    <w:rsid w:val="007362B9"/>
    <w:rsid w:val="0073685B"/>
    <w:rsid w:val="00737103"/>
    <w:rsid w:val="0073768F"/>
    <w:rsid w:val="007379E7"/>
    <w:rsid w:val="007400B9"/>
    <w:rsid w:val="0074164D"/>
    <w:rsid w:val="0074172A"/>
    <w:rsid w:val="00742992"/>
    <w:rsid w:val="00743BB8"/>
    <w:rsid w:val="007445B3"/>
    <w:rsid w:val="007458BF"/>
    <w:rsid w:val="0074659A"/>
    <w:rsid w:val="00746670"/>
    <w:rsid w:val="007469CF"/>
    <w:rsid w:val="00747745"/>
    <w:rsid w:val="00751574"/>
    <w:rsid w:val="00751575"/>
    <w:rsid w:val="00751CB4"/>
    <w:rsid w:val="00751ED3"/>
    <w:rsid w:val="00752142"/>
    <w:rsid w:val="007521C4"/>
    <w:rsid w:val="007523F9"/>
    <w:rsid w:val="007526F3"/>
    <w:rsid w:val="00753D0B"/>
    <w:rsid w:val="0075632B"/>
    <w:rsid w:val="00757038"/>
    <w:rsid w:val="007573E8"/>
    <w:rsid w:val="00757500"/>
    <w:rsid w:val="0075774F"/>
    <w:rsid w:val="00760513"/>
    <w:rsid w:val="00760C4E"/>
    <w:rsid w:val="00763859"/>
    <w:rsid w:val="007659E1"/>
    <w:rsid w:val="00765B1A"/>
    <w:rsid w:val="00765E11"/>
    <w:rsid w:val="00766A29"/>
    <w:rsid w:val="0077080E"/>
    <w:rsid w:val="00770C32"/>
    <w:rsid w:val="00770FDB"/>
    <w:rsid w:val="0077148C"/>
    <w:rsid w:val="00771C1D"/>
    <w:rsid w:val="0077218C"/>
    <w:rsid w:val="00775F8E"/>
    <w:rsid w:val="00776596"/>
    <w:rsid w:val="00776E29"/>
    <w:rsid w:val="00777D50"/>
    <w:rsid w:val="00780DB4"/>
    <w:rsid w:val="00781D06"/>
    <w:rsid w:val="00781F45"/>
    <w:rsid w:val="00782560"/>
    <w:rsid w:val="0078303A"/>
    <w:rsid w:val="007832B4"/>
    <w:rsid w:val="007843F2"/>
    <w:rsid w:val="00784760"/>
    <w:rsid w:val="00790C2C"/>
    <w:rsid w:val="007911EB"/>
    <w:rsid w:val="00793700"/>
    <w:rsid w:val="00793909"/>
    <w:rsid w:val="00794A3D"/>
    <w:rsid w:val="00795495"/>
    <w:rsid w:val="007954B9"/>
    <w:rsid w:val="00796CE9"/>
    <w:rsid w:val="007A07D8"/>
    <w:rsid w:val="007A0A12"/>
    <w:rsid w:val="007A132D"/>
    <w:rsid w:val="007A1AA1"/>
    <w:rsid w:val="007A1D8F"/>
    <w:rsid w:val="007A2A2F"/>
    <w:rsid w:val="007A2CF9"/>
    <w:rsid w:val="007A2DD7"/>
    <w:rsid w:val="007A4179"/>
    <w:rsid w:val="007A4AF2"/>
    <w:rsid w:val="007A7005"/>
    <w:rsid w:val="007A7078"/>
    <w:rsid w:val="007A793B"/>
    <w:rsid w:val="007B0454"/>
    <w:rsid w:val="007B05D8"/>
    <w:rsid w:val="007B0D68"/>
    <w:rsid w:val="007B251D"/>
    <w:rsid w:val="007B2E88"/>
    <w:rsid w:val="007B3676"/>
    <w:rsid w:val="007B375B"/>
    <w:rsid w:val="007B38A4"/>
    <w:rsid w:val="007B4A16"/>
    <w:rsid w:val="007B4DC6"/>
    <w:rsid w:val="007B4F58"/>
    <w:rsid w:val="007B528D"/>
    <w:rsid w:val="007B683E"/>
    <w:rsid w:val="007B71DA"/>
    <w:rsid w:val="007B7491"/>
    <w:rsid w:val="007B77D1"/>
    <w:rsid w:val="007C1623"/>
    <w:rsid w:val="007C1CD9"/>
    <w:rsid w:val="007C332F"/>
    <w:rsid w:val="007C361D"/>
    <w:rsid w:val="007C4256"/>
    <w:rsid w:val="007C4B84"/>
    <w:rsid w:val="007C63B8"/>
    <w:rsid w:val="007C749D"/>
    <w:rsid w:val="007C766C"/>
    <w:rsid w:val="007D004F"/>
    <w:rsid w:val="007D0869"/>
    <w:rsid w:val="007D0B38"/>
    <w:rsid w:val="007D1EEF"/>
    <w:rsid w:val="007D2A81"/>
    <w:rsid w:val="007D337A"/>
    <w:rsid w:val="007D4673"/>
    <w:rsid w:val="007D4943"/>
    <w:rsid w:val="007D515C"/>
    <w:rsid w:val="007D5440"/>
    <w:rsid w:val="007D598A"/>
    <w:rsid w:val="007D7A4E"/>
    <w:rsid w:val="007D7C1A"/>
    <w:rsid w:val="007E1DFF"/>
    <w:rsid w:val="007E2C1D"/>
    <w:rsid w:val="007E46EA"/>
    <w:rsid w:val="007E49AF"/>
    <w:rsid w:val="007E57F1"/>
    <w:rsid w:val="007E5CA2"/>
    <w:rsid w:val="007E63B7"/>
    <w:rsid w:val="007E66F6"/>
    <w:rsid w:val="007E7CBB"/>
    <w:rsid w:val="007F0570"/>
    <w:rsid w:val="007F1017"/>
    <w:rsid w:val="007F1C59"/>
    <w:rsid w:val="007F23F1"/>
    <w:rsid w:val="007F2CBE"/>
    <w:rsid w:val="007F49D3"/>
    <w:rsid w:val="007F4A3F"/>
    <w:rsid w:val="007F4A61"/>
    <w:rsid w:val="007F523F"/>
    <w:rsid w:val="007F61C2"/>
    <w:rsid w:val="007F6AA0"/>
    <w:rsid w:val="007F6DD2"/>
    <w:rsid w:val="007F7043"/>
    <w:rsid w:val="007F7661"/>
    <w:rsid w:val="00800AFA"/>
    <w:rsid w:val="00801C4F"/>
    <w:rsid w:val="008035F8"/>
    <w:rsid w:val="008038AB"/>
    <w:rsid w:val="00805142"/>
    <w:rsid w:val="00805DD7"/>
    <w:rsid w:val="00806902"/>
    <w:rsid w:val="00806DA1"/>
    <w:rsid w:val="00807A8B"/>
    <w:rsid w:val="00811383"/>
    <w:rsid w:val="0081146E"/>
    <w:rsid w:val="008119DD"/>
    <w:rsid w:val="00812149"/>
    <w:rsid w:val="008122D3"/>
    <w:rsid w:val="00812CAC"/>
    <w:rsid w:val="00813097"/>
    <w:rsid w:val="00814726"/>
    <w:rsid w:val="008154CD"/>
    <w:rsid w:val="00815B73"/>
    <w:rsid w:val="008166EF"/>
    <w:rsid w:val="00816C86"/>
    <w:rsid w:val="00816FD9"/>
    <w:rsid w:val="008178AB"/>
    <w:rsid w:val="0082049C"/>
    <w:rsid w:val="00820EBC"/>
    <w:rsid w:val="00821C0D"/>
    <w:rsid w:val="00822633"/>
    <w:rsid w:val="008229CF"/>
    <w:rsid w:val="00823576"/>
    <w:rsid w:val="00823AD7"/>
    <w:rsid w:val="00825751"/>
    <w:rsid w:val="008264EB"/>
    <w:rsid w:val="00827705"/>
    <w:rsid w:val="0083030C"/>
    <w:rsid w:val="0083038D"/>
    <w:rsid w:val="00830DFF"/>
    <w:rsid w:val="00833B05"/>
    <w:rsid w:val="008359B4"/>
    <w:rsid w:val="00835C16"/>
    <w:rsid w:val="00835D16"/>
    <w:rsid w:val="0083605A"/>
    <w:rsid w:val="008362B4"/>
    <w:rsid w:val="00840414"/>
    <w:rsid w:val="00840CA2"/>
    <w:rsid w:val="00842299"/>
    <w:rsid w:val="008432E5"/>
    <w:rsid w:val="00843504"/>
    <w:rsid w:val="0084374F"/>
    <w:rsid w:val="0084592E"/>
    <w:rsid w:val="00847B2C"/>
    <w:rsid w:val="00847DF5"/>
    <w:rsid w:val="00850757"/>
    <w:rsid w:val="00850B46"/>
    <w:rsid w:val="00851879"/>
    <w:rsid w:val="0085272C"/>
    <w:rsid w:val="0085309D"/>
    <w:rsid w:val="00853826"/>
    <w:rsid w:val="00853B8E"/>
    <w:rsid w:val="00853FA8"/>
    <w:rsid w:val="00854038"/>
    <w:rsid w:val="00856897"/>
    <w:rsid w:val="00856AD9"/>
    <w:rsid w:val="00856E9A"/>
    <w:rsid w:val="00856F50"/>
    <w:rsid w:val="00857F9E"/>
    <w:rsid w:val="0086075D"/>
    <w:rsid w:val="00860814"/>
    <w:rsid w:val="00860869"/>
    <w:rsid w:val="00861F53"/>
    <w:rsid w:val="00862502"/>
    <w:rsid w:val="00865E1D"/>
    <w:rsid w:val="008660D4"/>
    <w:rsid w:val="00866493"/>
    <w:rsid w:val="00866596"/>
    <w:rsid w:val="008671CB"/>
    <w:rsid w:val="008673FD"/>
    <w:rsid w:val="008702E9"/>
    <w:rsid w:val="0087077E"/>
    <w:rsid w:val="00870A8B"/>
    <w:rsid w:val="00871A2C"/>
    <w:rsid w:val="00871FA9"/>
    <w:rsid w:val="00872554"/>
    <w:rsid w:val="008728E9"/>
    <w:rsid w:val="00873DA8"/>
    <w:rsid w:val="00874CFE"/>
    <w:rsid w:val="00875934"/>
    <w:rsid w:val="00877442"/>
    <w:rsid w:val="00880CC6"/>
    <w:rsid w:val="00881203"/>
    <w:rsid w:val="008813FC"/>
    <w:rsid w:val="008820C7"/>
    <w:rsid w:val="00882874"/>
    <w:rsid w:val="00882949"/>
    <w:rsid w:val="00883660"/>
    <w:rsid w:val="00883787"/>
    <w:rsid w:val="008841AE"/>
    <w:rsid w:val="0088456E"/>
    <w:rsid w:val="00886CD2"/>
    <w:rsid w:val="00886EDA"/>
    <w:rsid w:val="00887292"/>
    <w:rsid w:val="00887B0D"/>
    <w:rsid w:val="00887F92"/>
    <w:rsid w:val="00890E8E"/>
    <w:rsid w:val="00891E4D"/>
    <w:rsid w:val="00892034"/>
    <w:rsid w:val="00892A27"/>
    <w:rsid w:val="00892A36"/>
    <w:rsid w:val="00893239"/>
    <w:rsid w:val="00893BC3"/>
    <w:rsid w:val="0089422B"/>
    <w:rsid w:val="00894489"/>
    <w:rsid w:val="00894DC5"/>
    <w:rsid w:val="00895C0D"/>
    <w:rsid w:val="00895CFF"/>
    <w:rsid w:val="008963A5"/>
    <w:rsid w:val="00896757"/>
    <w:rsid w:val="00896860"/>
    <w:rsid w:val="00897B12"/>
    <w:rsid w:val="008A01FB"/>
    <w:rsid w:val="008A0395"/>
    <w:rsid w:val="008A2409"/>
    <w:rsid w:val="008A2DD1"/>
    <w:rsid w:val="008A3363"/>
    <w:rsid w:val="008A3371"/>
    <w:rsid w:val="008A3951"/>
    <w:rsid w:val="008A3C3E"/>
    <w:rsid w:val="008A4A8B"/>
    <w:rsid w:val="008A7497"/>
    <w:rsid w:val="008A79DE"/>
    <w:rsid w:val="008B0767"/>
    <w:rsid w:val="008B0F6D"/>
    <w:rsid w:val="008B1757"/>
    <w:rsid w:val="008B25A8"/>
    <w:rsid w:val="008B25F5"/>
    <w:rsid w:val="008B7A78"/>
    <w:rsid w:val="008B7D7E"/>
    <w:rsid w:val="008C38CA"/>
    <w:rsid w:val="008C44AB"/>
    <w:rsid w:val="008C517A"/>
    <w:rsid w:val="008C6792"/>
    <w:rsid w:val="008C6837"/>
    <w:rsid w:val="008C68D8"/>
    <w:rsid w:val="008C709F"/>
    <w:rsid w:val="008C7ECB"/>
    <w:rsid w:val="008D0455"/>
    <w:rsid w:val="008D1BF5"/>
    <w:rsid w:val="008D4755"/>
    <w:rsid w:val="008D49D9"/>
    <w:rsid w:val="008D4C3D"/>
    <w:rsid w:val="008D53DA"/>
    <w:rsid w:val="008D5A77"/>
    <w:rsid w:val="008D6353"/>
    <w:rsid w:val="008E0D3C"/>
    <w:rsid w:val="008E0D3E"/>
    <w:rsid w:val="008E185E"/>
    <w:rsid w:val="008E1B9E"/>
    <w:rsid w:val="008E27E1"/>
    <w:rsid w:val="008E2B06"/>
    <w:rsid w:val="008E3757"/>
    <w:rsid w:val="008E55AB"/>
    <w:rsid w:val="008E70B8"/>
    <w:rsid w:val="008F120A"/>
    <w:rsid w:val="008F20CC"/>
    <w:rsid w:val="008F2432"/>
    <w:rsid w:val="008F27E0"/>
    <w:rsid w:val="008F2824"/>
    <w:rsid w:val="008F28C6"/>
    <w:rsid w:val="008F2DB6"/>
    <w:rsid w:val="008F3AC3"/>
    <w:rsid w:val="008F3D3C"/>
    <w:rsid w:val="008F3E96"/>
    <w:rsid w:val="008F467F"/>
    <w:rsid w:val="008F46D1"/>
    <w:rsid w:val="008F48EB"/>
    <w:rsid w:val="008F4F0B"/>
    <w:rsid w:val="008F5968"/>
    <w:rsid w:val="008F5AD8"/>
    <w:rsid w:val="008F71BC"/>
    <w:rsid w:val="0090313B"/>
    <w:rsid w:val="00904614"/>
    <w:rsid w:val="009046C4"/>
    <w:rsid w:val="009052DC"/>
    <w:rsid w:val="00905984"/>
    <w:rsid w:val="0090617D"/>
    <w:rsid w:val="009062A5"/>
    <w:rsid w:val="00906F70"/>
    <w:rsid w:val="0090712B"/>
    <w:rsid w:val="00907A7E"/>
    <w:rsid w:val="00911272"/>
    <w:rsid w:val="009135D6"/>
    <w:rsid w:val="00914A5D"/>
    <w:rsid w:val="00914C77"/>
    <w:rsid w:val="0091521F"/>
    <w:rsid w:val="00916C4B"/>
    <w:rsid w:val="00917226"/>
    <w:rsid w:val="009178AC"/>
    <w:rsid w:val="009203D5"/>
    <w:rsid w:val="0092369B"/>
    <w:rsid w:val="00925E38"/>
    <w:rsid w:val="00925FCB"/>
    <w:rsid w:val="00926143"/>
    <w:rsid w:val="00926266"/>
    <w:rsid w:val="00926D8A"/>
    <w:rsid w:val="00927F10"/>
    <w:rsid w:val="009300E0"/>
    <w:rsid w:val="009306E9"/>
    <w:rsid w:val="00930FDE"/>
    <w:rsid w:val="00931615"/>
    <w:rsid w:val="00933CA5"/>
    <w:rsid w:val="009408FE"/>
    <w:rsid w:val="009426A3"/>
    <w:rsid w:val="00942AD9"/>
    <w:rsid w:val="0094323E"/>
    <w:rsid w:val="0094385C"/>
    <w:rsid w:val="009457CD"/>
    <w:rsid w:val="00946B7B"/>
    <w:rsid w:val="009505CA"/>
    <w:rsid w:val="009507A1"/>
    <w:rsid w:val="009510A2"/>
    <w:rsid w:val="00951C38"/>
    <w:rsid w:val="009527C0"/>
    <w:rsid w:val="00953257"/>
    <w:rsid w:val="0095359C"/>
    <w:rsid w:val="00954388"/>
    <w:rsid w:val="00954CE2"/>
    <w:rsid w:val="0095569E"/>
    <w:rsid w:val="00955719"/>
    <w:rsid w:val="00955865"/>
    <w:rsid w:val="00955F66"/>
    <w:rsid w:val="00955F8A"/>
    <w:rsid w:val="0095646E"/>
    <w:rsid w:val="00956559"/>
    <w:rsid w:val="00957230"/>
    <w:rsid w:val="00960091"/>
    <w:rsid w:val="009618C4"/>
    <w:rsid w:val="009622C7"/>
    <w:rsid w:val="00962CB9"/>
    <w:rsid w:val="009630AE"/>
    <w:rsid w:val="0096326F"/>
    <w:rsid w:val="00963AD6"/>
    <w:rsid w:val="00963B11"/>
    <w:rsid w:val="00963DF0"/>
    <w:rsid w:val="00964312"/>
    <w:rsid w:val="00965490"/>
    <w:rsid w:val="00965B8A"/>
    <w:rsid w:val="009675BD"/>
    <w:rsid w:val="009676F6"/>
    <w:rsid w:val="0097118D"/>
    <w:rsid w:val="009717AC"/>
    <w:rsid w:val="0097211B"/>
    <w:rsid w:val="00972BFA"/>
    <w:rsid w:val="00972F81"/>
    <w:rsid w:val="00975E28"/>
    <w:rsid w:val="00976A88"/>
    <w:rsid w:val="00977574"/>
    <w:rsid w:val="009802CE"/>
    <w:rsid w:val="009825CB"/>
    <w:rsid w:val="00983D39"/>
    <w:rsid w:val="00983E57"/>
    <w:rsid w:val="00984D7F"/>
    <w:rsid w:val="00985AE7"/>
    <w:rsid w:val="00986320"/>
    <w:rsid w:val="0098675D"/>
    <w:rsid w:val="0098688D"/>
    <w:rsid w:val="009901B7"/>
    <w:rsid w:val="0099024B"/>
    <w:rsid w:val="00990380"/>
    <w:rsid w:val="00991CF3"/>
    <w:rsid w:val="00991E6D"/>
    <w:rsid w:val="009968E0"/>
    <w:rsid w:val="00996B1A"/>
    <w:rsid w:val="0099706B"/>
    <w:rsid w:val="009A249E"/>
    <w:rsid w:val="009A260D"/>
    <w:rsid w:val="009A2656"/>
    <w:rsid w:val="009A2770"/>
    <w:rsid w:val="009A2EE4"/>
    <w:rsid w:val="009A362F"/>
    <w:rsid w:val="009A522B"/>
    <w:rsid w:val="009A6027"/>
    <w:rsid w:val="009A64E3"/>
    <w:rsid w:val="009A6926"/>
    <w:rsid w:val="009A7232"/>
    <w:rsid w:val="009A7CC2"/>
    <w:rsid w:val="009A7F10"/>
    <w:rsid w:val="009B0163"/>
    <w:rsid w:val="009B12C2"/>
    <w:rsid w:val="009B3B07"/>
    <w:rsid w:val="009B3E26"/>
    <w:rsid w:val="009B562D"/>
    <w:rsid w:val="009B7034"/>
    <w:rsid w:val="009B743B"/>
    <w:rsid w:val="009B7D42"/>
    <w:rsid w:val="009C1AE9"/>
    <w:rsid w:val="009C1F9A"/>
    <w:rsid w:val="009C2865"/>
    <w:rsid w:val="009C36CD"/>
    <w:rsid w:val="009C37B8"/>
    <w:rsid w:val="009C3934"/>
    <w:rsid w:val="009C410E"/>
    <w:rsid w:val="009C4707"/>
    <w:rsid w:val="009C52EF"/>
    <w:rsid w:val="009C6CEA"/>
    <w:rsid w:val="009C7B85"/>
    <w:rsid w:val="009D0237"/>
    <w:rsid w:val="009D0654"/>
    <w:rsid w:val="009D0870"/>
    <w:rsid w:val="009D37A8"/>
    <w:rsid w:val="009D5271"/>
    <w:rsid w:val="009D5651"/>
    <w:rsid w:val="009D5B91"/>
    <w:rsid w:val="009D61A2"/>
    <w:rsid w:val="009D661B"/>
    <w:rsid w:val="009D7394"/>
    <w:rsid w:val="009D792E"/>
    <w:rsid w:val="009D7F6E"/>
    <w:rsid w:val="009E0DFE"/>
    <w:rsid w:val="009E0ECF"/>
    <w:rsid w:val="009E19E7"/>
    <w:rsid w:val="009E3F01"/>
    <w:rsid w:val="009E4C07"/>
    <w:rsid w:val="009E5205"/>
    <w:rsid w:val="009E53C8"/>
    <w:rsid w:val="009E599F"/>
    <w:rsid w:val="009E6121"/>
    <w:rsid w:val="009E64CA"/>
    <w:rsid w:val="009E6C9D"/>
    <w:rsid w:val="009E7FBC"/>
    <w:rsid w:val="009F0653"/>
    <w:rsid w:val="009F1391"/>
    <w:rsid w:val="009F1C25"/>
    <w:rsid w:val="009F2117"/>
    <w:rsid w:val="009F3BA4"/>
    <w:rsid w:val="009F43A4"/>
    <w:rsid w:val="009F49D4"/>
    <w:rsid w:val="009F4D54"/>
    <w:rsid w:val="009F52A0"/>
    <w:rsid w:val="009F55A5"/>
    <w:rsid w:val="009F5CE3"/>
    <w:rsid w:val="009F61AA"/>
    <w:rsid w:val="009F65E5"/>
    <w:rsid w:val="009F7643"/>
    <w:rsid w:val="00A00232"/>
    <w:rsid w:val="00A0027C"/>
    <w:rsid w:val="00A00588"/>
    <w:rsid w:val="00A005AE"/>
    <w:rsid w:val="00A009FE"/>
    <w:rsid w:val="00A01184"/>
    <w:rsid w:val="00A019A0"/>
    <w:rsid w:val="00A01ECC"/>
    <w:rsid w:val="00A036B9"/>
    <w:rsid w:val="00A03D25"/>
    <w:rsid w:val="00A03D43"/>
    <w:rsid w:val="00A0417E"/>
    <w:rsid w:val="00A04380"/>
    <w:rsid w:val="00A04AF7"/>
    <w:rsid w:val="00A053DB"/>
    <w:rsid w:val="00A057AB"/>
    <w:rsid w:val="00A05C14"/>
    <w:rsid w:val="00A05D91"/>
    <w:rsid w:val="00A06D2A"/>
    <w:rsid w:val="00A11A23"/>
    <w:rsid w:val="00A11CD0"/>
    <w:rsid w:val="00A132BF"/>
    <w:rsid w:val="00A13423"/>
    <w:rsid w:val="00A13948"/>
    <w:rsid w:val="00A146CE"/>
    <w:rsid w:val="00A14AE5"/>
    <w:rsid w:val="00A1532E"/>
    <w:rsid w:val="00A153E4"/>
    <w:rsid w:val="00A1555B"/>
    <w:rsid w:val="00A155C5"/>
    <w:rsid w:val="00A16AD8"/>
    <w:rsid w:val="00A16F1E"/>
    <w:rsid w:val="00A20446"/>
    <w:rsid w:val="00A20678"/>
    <w:rsid w:val="00A21CF3"/>
    <w:rsid w:val="00A21F4A"/>
    <w:rsid w:val="00A225A4"/>
    <w:rsid w:val="00A22821"/>
    <w:rsid w:val="00A2585F"/>
    <w:rsid w:val="00A25BB7"/>
    <w:rsid w:val="00A2655C"/>
    <w:rsid w:val="00A26646"/>
    <w:rsid w:val="00A26B86"/>
    <w:rsid w:val="00A27AEC"/>
    <w:rsid w:val="00A30AD6"/>
    <w:rsid w:val="00A31009"/>
    <w:rsid w:val="00A320DB"/>
    <w:rsid w:val="00A32445"/>
    <w:rsid w:val="00A3287B"/>
    <w:rsid w:val="00A34031"/>
    <w:rsid w:val="00A34E15"/>
    <w:rsid w:val="00A35D16"/>
    <w:rsid w:val="00A368F7"/>
    <w:rsid w:val="00A36D76"/>
    <w:rsid w:val="00A37BCD"/>
    <w:rsid w:val="00A40E79"/>
    <w:rsid w:val="00A43195"/>
    <w:rsid w:val="00A43902"/>
    <w:rsid w:val="00A43C59"/>
    <w:rsid w:val="00A43C9C"/>
    <w:rsid w:val="00A4482F"/>
    <w:rsid w:val="00A4712B"/>
    <w:rsid w:val="00A47CFE"/>
    <w:rsid w:val="00A50ECD"/>
    <w:rsid w:val="00A50F69"/>
    <w:rsid w:val="00A5181B"/>
    <w:rsid w:val="00A518F3"/>
    <w:rsid w:val="00A524CA"/>
    <w:rsid w:val="00A52729"/>
    <w:rsid w:val="00A53675"/>
    <w:rsid w:val="00A55EA7"/>
    <w:rsid w:val="00A564D7"/>
    <w:rsid w:val="00A56B6A"/>
    <w:rsid w:val="00A578DC"/>
    <w:rsid w:val="00A608E8"/>
    <w:rsid w:val="00A618B9"/>
    <w:rsid w:val="00A64D45"/>
    <w:rsid w:val="00A65127"/>
    <w:rsid w:val="00A652A8"/>
    <w:rsid w:val="00A66554"/>
    <w:rsid w:val="00A67007"/>
    <w:rsid w:val="00A6725B"/>
    <w:rsid w:val="00A70605"/>
    <w:rsid w:val="00A7111E"/>
    <w:rsid w:val="00A71212"/>
    <w:rsid w:val="00A71301"/>
    <w:rsid w:val="00A7146D"/>
    <w:rsid w:val="00A72A3A"/>
    <w:rsid w:val="00A73134"/>
    <w:rsid w:val="00A73899"/>
    <w:rsid w:val="00A7397B"/>
    <w:rsid w:val="00A739DF"/>
    <w:rsid w:val="00A73F0C"/>
    <w:rsid w:val="00A74565"/>
    <w:rsid w:val="00A74846"/>
    <w:rsid w:val="00A74EC5"/>
    <w:rsid w:val="00A759E3"/>
    <w:rsid w:val="00A777B2"/>
    <w:rsid w:val="00A77E9E"/>
    <w:rsid w:val="00A80059"/>
    <w:rsid w:val="00A80E61"/>
    <w:rsid w:val="00A814CB"/>
    <w:rsid w:val="00A81CFE"/>
    <w:rsid w:val="00A81E04"/>
    <w:rsid w:val="00A82506"/>
    <w:rsid w:val="00A82567"/>
    <w:rsid w:val="00A83BF2"/>
    <w:rsid w:val="00A845DD"/>
    <w:rsid w:val="00A852A3"/>
    <w:rsid w:val="00A86818"/>
    <w:rsid w:val="00A86877"/>
    <w:rsid w:val="00A86E8B"/>
    <w:rsid w:val="00A87164"/>
    <w:rsid w:val="00A9017E"/>
    <w:rsid w:val="00A927CF"/>
    <w:rsid w:val="00A92C56"/>
    <w:rsid w:val="00A93072"/>
    <w:rsid w:val="00A93953"/>
    <w:rsid w:val="00A93CB7"/>
    <w:rsid w:val="00A948D1"/>
    <w:rsid w:val="00A959D8"/>
    <w:rsid w:val="00A97355"/>
    <w:rsid w:val="00AA052B"/>
    <w:rsid w:val="00AA0C51"/>
    <w:rsid w:val="00AA113D"/>
    <w:rsid w:val="00AA1344"/>
    <w:rsid w:val="00AA24AE"/>
    <w:rsid w:val="00AA2A82"/>
    <w:rsid w:val="00AA40DB"/>
    <w:rsid w:val="00AA4D1A"/>
    <w:rsid w:val="00AA4EC2"/>
    <w:rsid w:val="00AA518B"/>
    <w:rsid w:val="00AA52F2"/>
    <w:rsid w:val="00AA5437"/>
    <w:rsid w:val="00AA6016"/>
    <w:rsid w:val="00AA64DD"/>
    <w:rsid w:val="00AA6574"/>
    <w:rsid w:val="00AA6B8D"/>
    <w:rsid w:val="00AA6C7D"/>
    <w:rsid w:val="00AA6D55"/>
    <w:rsid w:val="00AA71C7"/>
    <w:rsid w:val="00AA73EB"/>
    <w:rsid w:val="00AA7FD6"/>
    <w:rsid w:val="00AB042A"/>
    <w:rsid w:val="00AB16FE"/>
    <w:rsid w:val="00AB1A06"/>
    <w:rsid w:val="00AB2438"/>
    <w:rsid w:val="00AB26D2"/>
    <w:rsid w:val="00AB2CDE"/>
    <w:rsid w:val="00AB2D34"/>
    <w:rsid w:val="00AB3430"/>
    <w:rsid w:val="00AB4883"/>
    <w:rsid w:val="00AB49C9"/>
    <w:rsid w:val="00AB4AD1"/>
    <w:rsid w:val="00AB7CFA"/>
    <w:rsid w:val="00AC0EA8"/>
    <w:rsid w:val="00AC0FA8"/>
    <w:rsid w:val="00AC1690"/>
    <w:rsid w:val="00AC1DDD"/>
    <w:rsid w:val="00AC201E"/>
    <w:rsid w:val="00AC3991"/>
    <w:rsid w:val="00AC489B"/>
    <w:rsid w:val="00AC4D1D"/>
    <w:rsid w:val="00AC5472"/>
    <w:rsid w:val="00AC5B48"/>
    <w:rsid w:val="00AD49F5"/>
    <w:rsid w:val="00AD5250"/>
    <w:rsid w:val="00AD5D54"/>
    <w:rsid w:val="00AD6502"/>
    <w:rsid w:val="00AD7686"/>
    <w:rsid w:val="00AD7929"/>
    <w:rsid w:val="00AE12CF"/>
    <w:rsid w:val="00AE19D0"/>
    <w:rsid w:val="00AE3507"/>
    <w:rsid w:val="00AE6CDA"/>
    <w:rsid w:val="00AE76CF"/>
    <w:rsid w:val="00AE78A6"/>
    <w:rsid w:val="00AE7C93"/>
    <w:rsid w:val="00AF05B0"/>
    <w:rsid w:val="00AF1073"/>
    <w:rsid w:val="00AF1136"/>
    <w:rsid w:val="00AF1315"/>
    <w:rsid w:val="00AF178F"/>
    <w:rsid w:val="00AF19BF"/>
    <w:rsid w:val="00AF2DC3"/>
    <w:rsid w:val="00AF380C"/>
    <w:rsid w:val="00AF6B30"/>
    <w:rsid w:val="00AF7299"/>
    <w:rsid w:val="00AF7CDC"/>
    <w:rsid w:val="00B00491"/>
    <w:rsid w:val="00B005D0"/>
    <w:rsid w:val="00B005DD"/>
    <w:rsid w:val="00B0174D"/>
    <w:rsid w:val="00B01ED0"/>
    <w:rsid w:val="00B033E5"/>
    <w:rsid w:val="00B03A63"/>
    <w:rsid w:val="00B05A88"/>
    <w:rsid w:val="00B0629A"/>
    <w:rsid w:val="00B0703F"/>
    <w:rsid w:val="00B07E8D"/>
    <w:rsid w:val="00B12520"/>
    <w:rsid w:val="00B136DC"/>
    <w:rsid w:val="00B14502"/>
    <w:rsid w:val="00B15043"/>
    <w:rsid w:val="00B150DE"/>
    <w:rsid w:val="00B16806"/>
    <w:rsid w:val="00B1795F"/>
    <w:rsid w:val="00B17AB1"/>
    <w:rsid w:val="00B17BAD"/>
    <w:rsid w:val="00B201A4"/>
    <w:rsid w:val="00B213A6"/>
    <w:rsid w:val="00B22879"/>
    <w:rsid w:val="00B232E5"/>
    <w:rsid w:val="00B2350B"/>
    <w:rsid w:val="00B24170"/>
    <w:rsid w:val="00B24957"/>
    <w:rsid w:val="00B24DF6"/>
    <w:rsid w:val="00B26543"/>
    <w:rsid w:val="00B30627"/>
    <w:rsid w:val="00B3104B"/>
    <w:rsid w:val="00B311ED"/>
    <w:rsid w:val="00B32020"/>
    <w:rsid w:val="00B328DC"/>
    <w:rsid w:val="00B33381"/>
    <w:rsid w:val="00B33627"/>
    <w:rsid w:val="00B342DD"/>
    <w:rsid w:val="00B34FE2"/>
    <w:rsid w:val="00B351B5"/>
    <w:rsid w:val="00B3566C"/>
    <w:rsid w:val="00B357D8"/>
    <w:rsid w:val="00B3594C"/>
    <w:rsid w:val="00B35CD1"/>
    <w:rsid w:val="00B3698C"/>
    <w:rsid w:val="00B37BFC"/>
    <w:rsid w:val="00B40358"/>
    <w:rsid w:val="00B41614"/>
    <w:rsid w:val="00B41A10"/>
    <w:rsid w:val="00B41C7D"/>
    <w:rsid w:val="00B42478"/>
    <w:rsid w:val="00B42851"/>
    <w:rsid w:val="00B42F80"/>
    <w:rsid w:val="00B435CB"/>
    <w:rsid w:val="00B44247"/>
    <w:rsid w:val="00B44898"/>
    <w:rsid w:val="00B45276"/>
    <w:rsid w:val="00B452FA"/>
    <w:rsid w:val="00B45A32"/>
    <w:rsid w:val="00B46CDD"/>
    <w:rsid w:val="00B472E5"/>
    <w:rsid w:val="00B47985"/>
    <w:rsid w:val="00B50DB8"/>
    <w:rsid w:val="00B52219"/>
    <w:rsid w:val="00B52412"/>
    <w:rsid w:val="00B52931"/>
    <w:rsid w:val="00B52CB9"/>
    <w:rsid w:val="00B53216"/>
    <w:rsid w:val="00B53654"/>
    <w:rsid w:val="00B53905"/>
    <w:rsid w:val="00B545DF"/>
    <w:rsid w:val="00B54B5B"/>
    <w:rsid w:val="00B54BA4"/>
    <w:rsid w:val="00B55439"/>
    <w:rsid w:val="00B5562E"/>
    <w:rsid w:val="00B56423"/>
    <w:rsid w:val="00B56E53"/>
    <w:rsid w:val="00B57000"/>
    <w:rsid w:val="00B578D6"/>
    <w:rsid w:val="00B60939"/>
    <w:rsid w:val="00B60AFD"/>
    <w:rsid w:val="00B60B95"/>
    <w:rsid w:val="00B62715"/>
    <w:rsid w:val="00B6414A"/>
    <w:rsid w:val="00B65A18"/>
    <w:rsid w:val="00B65A7D"/>
    <w:rsid w:val="00B70DE6"/>
    <w:rsid w:val="00B72CEF"/>
    <w:rsid w:val="00B733D3"/>
    <w:rsid w:val="00B74712"/>
    <w:rsid w:val="00B760F6"/>
    <w:rsid w:val="00B76A62"/>
    <w:rsid w:val="00B77DC7"/>
    <w:rsid w:val="00B80E02"/>
    <w:rsid w:val="00B81393"/>
    <w:rsid w:val="00B8154F"/>
    <w:rsid w:val="00B81842"/>
    <w:rsid w:val="00B818A4"/>
    <w:rsid w:val="00B81BC7"/>
    <w:rsid w:val="00B82D68"/>
    <w:rsid w:val="00B833DC"/>
    <w:rsid w:val="00B83873"/>
    <w:rsid w:val="00B8409E"/>
    <w:rsid w:val="00B84117"/>
    <w:rsid w:val="00B84858"/>
    <w:rsid w:val="00B85021"/>
    <w:rsid w:val="00B85AA2"/>
    <w:rsid w:val="00B8649C"/>
    <w:rsid w:val="00B8720E"/>
    <w:rsid w:val="00B87F0A"/>
    <w:rsid w:val="00B90601"/>
    <w:rsid w:val="00B9060C"/>
    <w:rsid w:val="00B918D8"/>
    <w:rsid w:val="00B92053"/>
    <w:rsid w:val="00B92D0B"/>
    <w:rsid w:val="00B94945"/>
    <w:rsid w:val="00B9579A"/>
    <w:rsid w:val="00B9790C"/>
    <w:rsid w:val="00B979D5"/>
    <w:rsid w:val="00B97FED"/>
    <w:rsid w:val="00BA18FC"/>
    <w:rsid w:val="00BA240B"/>
    <w:rsid w:val="00BA322D"/>
    <w:rsid w:val="00BA4209"/>
    <w:rsid w:val="00BA4AB8"/>
    <w:rsid w:val="00BA5DBD"/>
    <w:rsid w:val="00BA6388"/>
    <w:rsid w:val="00BA78FA"/>
    <w:rsid w:val="00BB0431"/>
    <w:rsid w:val="00BB0BDD"/>
    <w:rsid w:val="00BB0D7E"/>
    <w:rsid w:val="00BB2A73"/>
    <w:rsid w:val="00BB2FB3"/>
    <w:rsid w:val="00BB4ACC"/>
    <w:rsid w:val="00BB51A1"/>
    <w:rsid w:val="00BB6669"/>
    <w:rsid w:val="00BB6F16"/>
    <w:rsid w:val="00BB703E"/>
    <w:rsid w:val="00BB7405"/>
    <w:rsid w:val="00BB75D7"/>
    <w:rsid w:val="00BC0439"/>
    <w:rsid w:val="00BC08C4"/>
    <w:rsid w:val="00BC0BFE"/>
    <w:rsid w:val="00BC1567"/>
    <w:rsid w:val="00BC24E7"/>
    <w:rsid w:val="00BC2BBB"/>
    <w:rsid w:val="00BC3631"/>
    <w:rsid w:val="00BC3A3D"/>
    <w:rsid w:val="00BC47B7"/>
    <w:rsid w:val="00BC5052"/>
    <w:rsid w:val="00BC5B99"/>
    <w:rsid w:val="00BC6531"/>
    <w:rsid w:val="00BC6C0E"/>
    <w:rsid w:val="00BC7ED0"/>
    <w:rsid w:val="00BD3065"/>
    <w:rsid w:val="00BD5D18"/>
    <w:rsid w:val="00BD6600"/>
    <w:rsid w:val="00BD68A3"/>
    <w:rsid w:val="00BD6938"/>
    <w:rsid w:val="00BD6998"/>
    <w:rsid w:val="00BD6CF3"/>
    <w:rsid w:val="00BD7CA6"/>
    <w:rsid w:val="00BD7E94"/>
    <w:rsid w:val="00BE1836"/>
    <w:rsid w:val="00BE2180"/>
    <w:rsid w:val="00BE21F2"/>
    <w:rsid w:val="00BE3FB6"/>
    <w:rsid w:val="00BE4275"/>
    <w:rsid w:val="00BE4339"/>
    <w:rsid w:val="00BE5574"/>
    <w:rsid w:val="00BE6411"/>
    <w:rsid w:val="00BE6C3A"/>
    <w:rsid w:val="00BF0951"/>
    <w:rsid w:val="00BF0F95"/>
    <w:rsid w:val="00BF1A54"/>
    <w:rsid w:val="00BF2433"/>
    <w:rsid w:val="00BF37AF"/>
    <w:rsid w:val="00BF4193"/>
    <w:rsid w:val="00BF5B7C"/>
    <w:rsid w:val="00BF5DED"/>
    <w:rsid w:val="00BF615D"/>
    <w:rsid w:val="00BF61C9"/>
    <w:rsid w:val="00BF6A16"/>
    <w:rsid w:val="00BF6C94"/>
    <w:rsid w:val="00BF7438"/>
    <w:rsid w:val="00C00070"/>
    <w:rsid w:val="00C00424"/>
    <w:rsid w:val="00C0208D"/>
    <w:rsid w:val="00C0260E"/>
    <w:rsid w:val="00C0579B"/>
    <w:rsid w:val="00C07CF1"/>
    <w:rsid w:val="00C1245A"/>
    <w:rsid w:val="00C12C14"/>
    <w:rsid w:val="00C134E3"/>
    <w:rsid w:val="00C14CB3"/>
    <w:rsid w:val="00C163B4"/>
    <w:rsid w:val="00C16D49"/>
    <w:rsid w:val="00C1722A"/>
    <w:rsid w:val="00C200AA"/>
    <w:rsid w:val="00C20822"/>
    <w:rsid w:val="00C222E2"/>
    <w:rsid w:val="00C237ED"/>
    <w:rsid w:val="00C24632"/>
    <w:rsid w:val="00C25418"/>
    <w:rsid w:val="00C25A3F"/>
    <w:rsid w:val="00C25D9C"/>
    <w:rsid w:val="00C2778B"/>
    <w:rsid w:val="00C27CC7"/>
    <w:rsid w:val="00C30C38"/>
    <w:rsid w:val="00C31649"/>
    <w:rsid w:val="00C318F2"/>
    <w:rsid w:val="00C32163"/>
    <w:rsid w:val="00C34398"/>
    <w:rsid w:val="00C36D46"/>
    <w:rsid w:val="00C37287"/>
    <w:rsid w:val="00C375F2"/>
    <w:rsid w:val="00C37C21"/>
    <w:rsid w:val="00C40385"/>
    <w:rsid w:val="00C407BB"/>
    <w:rsid w:val="00C41328"/>
    <w:rsid w:val="00C424FA"/>
    <w:rsid w:val="00C44262"/>
    <w:rsid w:val="00C449D5"/>
    <w:rsid w:val="00C4615D"/>
    <w:rsid w:val="00C475AA"/>
    <w:rsid w:val="00C52D5A"/>
    <w:rsid w:val="00C54BBA"/>
    <w:rsid w:val="00C55695"/>
    <w:rsid w:val="00C60473"/>
    <w:rsid w:val="00C623D8"/>
    <w:rsid w:val="00C62722"/>
    <w:rsid w:val="00C6406A"/>
    <w:rsid w:val="00C64414"/>
    <w:rsid w:val="00C64666"/>
    <w:rsid w:val="00C652A2"/>
    <w:rsid w:val="00C65576"/>
    <w:rsid w:val="00C659A8"/>
    <w:rsid w:val="00C66165"/>
    <w:rsid w:val="00C6675F"/>
    <w:rsid w:val="00C674A4"/>
    <w:rsid w:val="00C7105C"/>
    <w:rsid w:val="00C7151A"/>
    <w:rsid w:val="00C71F60"/>
    <w:rsid w:val="00C72241"/>
    <w:rsid w:val="00C7383D"/>
    <w:rsid w:val="00C74051"/>
    <w:rsid w:val="00C750C8"/>
    <w:rsid w:val="00C75106"/>
    <w:rsid w:val="00C7560F"/>
    <w:rsid w:val="00C75B5D"/>
    <w:rsid w:val="00C768DB"/>
    <w:rsid w:val="00C80488"/>
    <w:rsid w:val="00C80A0E"/>
    <w:rsid w:val="00C80EA0"/>
    <w:rsid w:val="00C8114D"/>
    <w:rsid w:val="00C8213F"/>
    <w:rsid w:val="00C83916"/>
    <w:rsid w:val="00C839AB"/>
    <w:rsid w:val="00C84560"/>
    <w:rsid w:val="00C84B01"/>
    <w:rsid w:val="00C8687B"/>
    <w:rsid w:val="00C869B5"/>
    <w:rsid w:val="00C8797A"/>
    <w:rsid w:val="00C900B8"/>
    <w:rsid w:val="00C90A6D"/>
    <w:rsid w:val="00C90C71"/>
    <w:rsid w:val="00C91A0F"/>
    <w:rsid w:val="00C91E3D"/>
    <w:rsid w:val="00C92105"/>
    <w:rsid w:val="00C92A8C"/>
    <w:rsid w:val="00C931CF"/>
    <w:rsid w:val="00C9322F"/>
    <w:rsid w:val="00C938CF"/>
    <w:rsid w:val="00C951CF"/>
    <w:rsid w:val="00C9624D"/>
    <w:rsid w:val="00C96538"/>
    <w:rsid w:val="00C969DA"/>
    <w:rsid w:val="00C96ECC"/>
    <w:rsid w:val="00CA07A0"/>
    <w:rsid w:val="00CA11E4"/>
    <w:rsid w:val="00CA1392"/>
    <w:rsid w:val="00CA1A00"/>
    <w:rsid w:val="00CA2865"/>
    <w:rsid w:val="00CA2C77"/>
    <w:rsid w:val="00CA3E6E"/>
    <w:rsid w:val="00CA3FC9"/>
    <w:rsid w:val="00CA4080"/>
    <w:rsid w:val="00CA444F"/>
    <w:rsid w:val="00CA5245"/>
    <w:rsid w:val="00CA71F4"/>
    <w:rsid w:val="00CA7596"/>
    <w:rsid w:val="00CA7B09"/>
    <w:rsid w:val="00CB05A3"/>
    <w:rsid w:val="00CB0ECA"/>
    <w:rsid w:val="00CB2F2A"/>
    <w:rsid w:val="00CB37B2"/>
    <w:rsid w:val="00CB5B1A"/>
    <w:rsid w:val="00CB5B72"/>
    <w:rsid w:val="00CB621E"/>
    <w:rsid w:val="00CB65C6"/>
    <w:rsid w:val="00CB6B22"/>
    <w:rsid w:val="00CB6DB6"/>
    <w:rsid w:val="00CB7C9F"/>
    <w:rsid w:val="00CB7F5F"/>
    <w:rsid w:val="00CC01BC"/>
    <w:rsid w:val="00CC0444"/>
    <w:rsid w:val="00CC1B39"/>
    <w:rsid w:val="00CC2204"/>
    <w:rsid w:val="00CC4327"/>
    <w:rsid w:val="00CC7507"/>
    <w:rsid w:val="00CD0956"/>
    <w:rsid w:val="00CD0FFA"/>
    <w:rsid w:val="00CD2A25"/>
    <w:rsid w:val="00CD2E76"/>
    <w:rsid w:val="00CD30CA"/>
    <w:rsid w:val="00CD3384"/>
    <w:rsid w:val="00CD3F13"/>
    <w:rsid w:val="00CD3F1E"/>
    <w:rsid w:val="00CD4855"/>
    <w:rsid w:val="00CD5FFE"/>
    <w:rsid w:val="00CD69AD"/>
    <w:rsid w:val="00CD6ADC"/>
    <w:rsid w:val="00CD6CFC"/>
    <w:rsid w:val="00CE031C"/>
    <w:rsid w:val="00CE1330"/>
    <w:rsid w:val="00CE176A"/>
    <w:rsid w:val="00CE367D"/>
    <w:rsid w:val="00CE5A55"/>
    <w:rsid w:val="00CE5EC3"/>
    <w:rsid w:val="00CE6274"/>
    <w:rsid w:val="00CE67F4"/>
    <w:rsid w:val="00CE7AA0"/>
    <w:rsid w:val="00CE7FDA"/>
    <w:rsid w:val="00CF2B8D"/>
    <w:rsid w:val="00CF3AAF"/>
    <w:rsid w:val="00CF3D84"/>
    <w:rsid w:val="00CF453D"/>
    <w:rsid w:val="00CF456B"/>
    <w:rsid w:val="00CF5A22"/>
    <w:rsid w:val="00CF663C"/>
    <w:rsid w:val="00D01D21"/>
    <w:rsid w:val="00D0262E"/>
    <w:rsid w:val="00D0357E"/>
    <w:rsid w:val="00D03AC9"/>
    <w:rsid w:val="00D03C2D"/>
    <w:rsid w:val="00D04008"/>
    <w:rsid w:val="00D0453B"/>
    <w:rsid w:val="00D057C7"/>
    <w:rsid w:val="00D064A6"/>
    <w:rsid w:val="00D10638"/>
    <w:rsid w:val="00D110BD"/>
    <w:rsid w:val="00D11CF9"/>
    <w:rsid w:val="00D1241A"/>
    <w:rsid w:val="00D12D06"/>
    <w:rsid w:val="00D12E72"/>
    <w:rsid w:val="00D13675"/>
    <w:rsid w:val="00D13AB2"/>
    <w:rsid w:val="00D141E1"/>
    <w:rsid w:val="00D15AE2"/>
    <w:rsid w:val="00D15E22"/>
    <w:rsid w:val="00D16846"/>
    <w:rsid w:val="00D16BEF"/>
    <w:rsid w:val="00D17D23"/>
    <w:rsid w:val="00D17D6C"/>
    <w:rsid w:val="00D202B3"/>
    <w:rsid w:val="00D20A27"/>
    <w:rsid w:val="00D20BD0"/>
    <w:rsid w:val="00D20C73"/>
    <w:rsid w:val="00D2199E"/>
    <w:rsid w:val="00D21D87"/>
    <w:rsid w:val="00D23FF2"/>
    <w:rsid w:val="00D25934"/>
    <w:rsid w:val="00D25BCB"/>
    <w:rsid w:val="00D25EE1"/>
    <w:rsid w:val="00D26161"/>
    <w:rsid w:val="00D26222"/>
    <w:rsid w:val="00D2740E"/>
    <w:rsid w:val="00D2754D"/>
    <w:rsid w:val="00D279B3"/>
    <w:rsid w:val="00D27B27"/>
    <w:rsid w:val="00D306B4"/>
    <w:rsid w:val="00D3078B"/>
    <w:rsid w:val="00D30983"/>
    <w:rsid w:val="00D3148B"/>
    <w:rsid w:val="00D31D4B"/>
    <w:rsid w:val="00D31E5E"/>
    <w:rsid w:val="00D33BE9"/>
    <w:rsid w:val="00D357FF"/>
    <w:rsid w:val="00D366CD"/>
    <w:rsid w:val="00D416EE"/>
    <w:rsid w:val="00D41A66"/>
    <w:rsid w:val="00D424C7"/>
    <w:rsid w:val="00D42E3F"/>
    <w:rsid w:val="00D434FD"/>
    <w:rsid w:val="00D43B2A"/>
    <w:rsid w:val="00D44F42"/>
    <w:rsid w:val="00D44FDE"/>
    <w:rsid w:val="00D45673"/>
    <w:rsid w:val="00D45FF4"/>
    <w:rsid w:val="00D47575"/>
    <w:rsid w:val="00D477E7"/>
    <w:rsid w:val="00D509D6"/>
    <w:rsid w:val="00D51771"/>
    <w:rsid w:val="00D54471"/>
    <w:rsid w:val="00D5447C"/>
    <w:rsid w:val="00D5542C"/>
    <w:rsid w:val="00D56E97"/>
    <w:rsid w:val="00D6072C"/>
    <w:rsid w:val="00D61087"/>
    <w:rsid w:val="00D61682"/>
    <w:rsid w:val="00D61936"/>
    <w:rsid w:val="00D62019"/>
    <w:rsid w:val="00D6330A"/>
    <w:rsid w:val="00D635F1"/>
    <w:rsid w:val="00D63B98"/>
    <w:rsid w:val="00D66CFC"/>
    <w:rsid w:val="00D70F16"/>
    <w:rsid w:val="00D717BC"/>
    <w:rsid w:val="00D71ECC"/>
    <w:rsid w:val="00D7277D"/>
    <w:rsid w:val="00D767FF"/>
    <w:rsid w:val="00D76917"/>
    <w:rsid w:val="00D7699C"/>
    <w:rsid w:val="00D76A44"/>
    <w:rsid w:val="00D77934"/>
    <w:rsid w:val="00D80435"/>
    <w:rsid w:val="00D811C4"/>
    <w:rsid w:val="00D815EF"/>
    <w:rsid w:val="00D82CA7"/>
    <w:rsid w:val="00D832D7"/>
    <w:rsid w:val="00D839CC"/>
    <w:rsid w:val="00D852ED"/>
    <w:rsid w:val="00D85C64"/>
    <w:rsid w:val="00D9066F"/>
    <w:rsid w:val="00D9097E"/>
    <w:rsid w:val="00D90BF4"/>
    <w:rsid w:val="00D911E6"/>
    <w:rsid w:val="00D91923"/>
    <w:rsid w:val="00D91ADF"/>
    <w:rsid w:val="00D91CBC"/>
    <w:rsid w:val="00D9254A"/>
    <w:rsid w:val="00D93403"/>
    <w:rsid w:val="00D93753"/>
    <w:rsid w:val="00D9431D"/>
    <w:rsid w:val="00D955F5"/>
    <w:rsid w:val="00D9596E"/>
    <w:rsid w:val="00D96857"/>
    <w:rsid w:val="00D96CAC"/>
    <w:rsid w:val="00DA2267"/>
    <w:rsid w:val="00DA3167"/>
    <w:rsid w:val="00DA3356"/>
    <w:rsid w:val="00DA3365"/>
    <w:rsid w:val="00DA47F6"/>
    <w:rsid w:val="00DA4DC3"/>
    <w:rsid w:val="00DA4F0C"/>
    <w:rsid w:val="00DA77A5"/>
    <w:rsid w:val="00DA7F33"/>
    <w:rsid w:val="00DB0ED2"/>
    <w:rsid w:val="00DB101F"/>
    <w:rsid w:val="00DB19AA"/>
    <w:rsid w:val="00DB3916"/>
    <w:rsid w:val="00DB484F"/>
    <w:rsid w:val="00DB5472"/>
    <w:rsid w:val="00DB617F"/>
    <w:rsid w:val="00DC04F6"/>
    <w:rsid w:val="00DC07E1"/>
    <w:rsid w:val="00DC2E17"/>
    <w:rsid w:val="00DC3C57"/>
    <w:rsid w:val="00DC5501"/>
    <w:rsid w:val="00DC5B83"/>
    <w:rsid w:val="00DC6516"/>
    <w:rsid w:val="00DC7732"/>
    <w:rsid w:val="00DD273C"/>
    <w:rsid w:val="00DD30CF"/>
    <w:rsid w:val="00DD3132"/>
    <w:rsid w:val="00DD3CF6"/>
    <w:rsid w:val="00DD3F28"/>
    <w:rsid w:val="00DD4414"/>
    <w:rsid w:val="00DD4537"/>
    <w:rsid w:val="00DD4CFC"/>
    <w:rsid w:val="00DD4E15"/>
    <w:rsid w:val="00DD51A8"/>
    <w:rsid w:val="00DD6090"/>
    <w:rsid w:val="00DD749A"/>
    <w:rsid w:val="00DE061D"/>
    <w:rsid w:val="00DE1AF1"/>
    <w:rsid w:val="00DE3138"/>
    <w:rsid w:val="00DE364C"/>
    <w:rsid w:val="00DE37F8"/>
    <w:rsid w:val="00DE3B51"/>
    <w:rsid w:val="00DE4233"/>
    <w:rsid w:val="00DE4FCB"/>
    <w:rsid w:val="00DE7832"/>
    <w:rsid w:val="00DE7B15"/>
    <w:rsid w:val="00DE7C26"/>
    <w:rsid w:val="00DF040A"/>
    <w:rsid w:val="00DF050D"/>
    <w:rsid w:val="00DF0855"/>
    <w:rsid w:val="00DF18FC"/>
    <w:rsid w:val="00DF19E0"/>
    <w:rsid w:val="00DF36EA"/>
    <w:rsid w:val="00DF394D"/>
    <w:rsid w:val="00DF398A"/>
    <w:rsid w:val="00DF5D2B"/>
    <w:rsid w:val="00DF6077"/>
    <w:rsid w:val="00DF6F01"/>
    <w:rsid w:val="00E001DB"/>
    <w:rsid w:val="00E0089E"/>
    <w:rsid w:val="00E00E8E"/>
    <w:rsid w:val="00E03DAD"/>
    <w:rsid w:val="00E0537E"/>
    <w:rsid w:val="00E05429"/>
    <w:rsid w:val="00E05630"/>
    <w:rsid w:val="00E056A6"/>
    <w:rsid w:val="00E059C0"/>
    <w:rsid w:val="00E06DBB"/>
    <w:rsid w:val="00E06E4D"/>
    <w:rsid w:val="00E077F0"/>
    <w:rsid w:val="00E10149"/>
    <w:rsid w:val="00E11AE8"/>
    <w:rsid w:val="00E13B55"/>
    <w:rsid w:val="00E15108"/>
    <w:rsid w:val="00E152B1"/>
    <w:rsid w:val="00E161AB"/>
    <w:rsid w:val="00E16372"/>
    <w:rsid w:val="00E204FF"/>
    <w:rsid w:val="00E2059A"/>
    <w:rsid w:val="00E207D1"/>
    <w:rsid w:val="00E207EE"/>
    <w:rsid w:val="00E20DE0"/>
    <w:rsid w:val="00E20E4D"/>
    <w:rsid w:val="00E20ED6"/>
    <w:rsid w:val="00E21358"/>
    <w:rsid w:val="00E2249B"/>
    <w:rsid w:val="00E22894"/>
    <w:rsid w:val="00E22A0D"/>
    <w:rsid w:val="00E23657"/>
    <w:rsid w:val="00E24519"/>
    <w:rsid w:val="00E2771E"/>
    <w:rsid w:val="00E27A99"/>
    <w:rsid w:val="00E31C3B"/>
    <w:rsid w:val="00E32630"/>
    <w:rsid w:val="00E33AAD"/>
    <w:rsid w:val="00E33B0D"/>
    <w:rsid w:val="00E34948"/>
    <w:rsid w:val="00E3532B"/>
    <w:rsid w:val="00E37569"/>
    <w:rsid w:val="00E3758F"/>
    <w:rsid w:val="00E376ED"/>
    <w:rsid w:val="00E37964"/>
    <w:rsid w:val="00E41E30"/>
    <w:rsid w:val="00E43D70"/>
    <w:rsid w:val="00E44439"/>
    <w:rsid w:val="00E44E23"/>
    <w:rsid w:val="00E44FC8"/>
    <w:rsid w:val="00E45F2D"/>
    <w:rsid w:val="00E466F3"/>
    <w:rsid w:val="00E4730B"/>
    <w:rsid w:val="00E476AD"/>
    <w:rsid w:val="00E47B2C"/>
    <w:rsid w:val="00E501B5"/>
    <w:rsid w:val="00E51560"/>
    <w:rsid w:val="00E51748"/>
    <w:rsid w:val="00E51E62"/>
    <w:rsid w:val="00E52433"/>
    <w:rsid w:val="00E530A8"/>
    <w:rsid w:val="00E5316F"/>
    <w:rsid w:val="00E5322B"/>
    <w:rsid w:val="00E54347"/>
    <w:rsid w:val="00E54BE3"/>
    <w:rsid w:val="00E55424"/>
    <w:rsid w:val="00E55BB5"/>
    <w:rsid w:val="00E567E7"/>
    <w:rsid w:val="00E56F90"/>
    <w:rsid w:val="00E602A8"/>
    <w:rsid w:val="00E609C6"/>
    <w:rsid w:val="00E6322F"/>
    <w:rsid w:val="00E6351D"/>
    <w:rsid w:val="00E65604"/>
    <w:rsid w:val="00E65E79"/>
    <w:rsid w:val="00E66BA2"/>
    <w:rsid w:val="00E66E9A"/>
    <w:rsid w:val="00E67416"/>
    <w:rsid w:val="00E67C0A"/>
    <w:rsid w:val="00E67E62"/>
    <w:rsid w:val="00E71778"/>
    <w:rsid w:val="00E718B6"/>
    <w:rsid w:val="00E72063"/>
    <w:rsid w:val="00E723BA"/>
    <w:rsid w:val="00E72AF6"/>
    <w:rsid w:val="00E72EBE"/>
    <w:rsid w:val="00E73581"/>
    <w:rsid w:val="00E73A37"/>
    <w:rsid w:val="00E74152"/>
    <w:rsid w:val="00E807BF"/>
    <w:rsid w:val="00E80927"/>
    <w:rsid w:val="00E823F9"/>
    <w:rsid w:val="00E82AB2"/>
    <w:rsid w:val="00E833F7"/>
    <w:rsid w:val="00E83ACF"/>
    <w:rsid w:val="00E83BDF"/>
    <w:rsid w:val="00E83D3B"/>
    <w:rsid w:val="00E83FA7"/>
    <w:rsid w:val="00E84204"/>
    <w:rsid w:val="00E843B8"/>
    <w:rsid w:val="00E85298"/>
    <w:rsid w:val="00E8771F"/>
    <w:rsid w:val="00E87A1D"/>
    <w:rsid w:val="00E90FD0"/>
    <w:rsid w:val="00E91107"/>
    <w:rsid w:val="00E9248A"/>
    <w:rsid w:val="00E926A5"/>
    <w:rsid w:val="00E93354"/>
    <w:rsid w:val="00E9362F"/>
    <w:rsid w:val="00E94AB5"/>
    <w:rsid w:val="00E953D0"/>
    <w:rsid w:val="00E9588B"/>
    <w:rsid w:val="00E9657C"/>
    <w:rsid w:val="00E965A2"/>
    <w:rsid w:val="00E9749A"/>
    <w:rsid w:val="00E974D4"/>
    <w:rsid w:val="00EA17C3"/>
    <w:rsid w:val="00EA2CAA"/>
    <w:rsid w:val="00EA3864"/>
    <w:rsid w:val="00EA6079"/>
    <w:rsid w:val="00EA77C3"/>
    <w:rsid w:val="00EB15B6"/>
    <w:rsid w:val="00EB175C"/>
    <w:rsid w:val="00EB1CB3"/>
    <w:rsid w:val="00EB1D7E"/>
    <w:rsid w:val="00EB3F63"/>
    <w:rsid w:val="00EB46E9"/>
    <w:rsid w:val="00EB4916"/>
    <w:rsid w:val="00EC00C9"/>
    <w:rsid w:val="00EC01C0"/>
    <w:rsid w:val="00EC06A5"/>
    <w:rsid w:val="00EC1512"/>
    <w:rsid w:val="00EC181C"/>
    <w:rsid w:val="00EC1E82"/>
    <w:rsid w:val="00EC2649"/>
    <w:rsid w:val="00EC3949"/>
    <w:rsid w:val="00EC5159"/>
    <w:rsid w:val="00EC5293"/>
    <w:rsid w:val="00EC54D3"/>
    <w:rsid w:val="00EC6777"/>
    <w:rsid w:val="00EC70FA"/>
    <w:rsid w:val="00EC7BAB"/>
    <w:rsid w:val="00ED102A"/>
    <w:rsid w:val="00ED47FD"/>
    <w:rsid w:val="00ED5313"/>
    <w:rsid w:val="00ED57EA"/>
    <w:rsid w:val="00ED5BB3"/>
    <w:rsid w:val="00ED7BF0"/>
    <w:rsid w:val="00EE045D"/>
    <w:rsid w:val="00EE065B"/>
    <w:rsid w:val="00EE07D3"/>
    <w:rsid w:val="00EE11C5"/>
    <w:rsid w:val="00EE2077"/>
    <w:rsid w:val="00EE2171"/>
    <w:rsid w:val="00EE22AF"/>
    <w:rsid w:val="00EE4A0F"/>
    <w:rsid w:val="00EE4FBE"/>
    <w:rsid w:val="00EE54A4"/>
    <w:rsid w:val="00EE5B49"/>
    <w:rsid w:val="00EE61A4"/>
    <w:rsid w:val="00EE767D"/>
    <w:rsid w:val="00EF012D"/>
    <w:rsid w:val="00EF0171"/>
    <w:rsid w:val="00EF0FCA"/>
    <w:rsid w:val="00EF1B25"/>
    <w:rsid w:val="00EF2BCA"/>
    <w:rsid w:val="00EF3A0C"/>
    <w:rsid w:val="00EF4747"/>
    <w:rsid w:val="00EF4BF8"/>
    <w:rsid w:val="00EF527F"/>
    <w:rsid w:val="00EF552F"/>
    <w:rsid w:val="00EF578C"/>
    <w:rsid w:val="00EF57A1"/>
    <w:rsid w:val="00EF5C36"/>
    <w:rsid w:val="00EF6856"/>
    <w:rsid w:val="00EF6988"/>
    <w:rsid w:val="00EF6AA3"/>
    <w:rsid w:val="00EF7B6A"/>
    <w:rsid w:val="00F00F4F"/>
    <w:rsid w:val="00F021AC"/>
    <w:rsid w:val="00F02253"/>
    <w:rsid w:val="00F02D5C"/>
    <w:rsid w:val="00F02DFA"/>
    <w:rsid w:val="00F0397D"/>
    <w:rsid w:val="00F03ABF"/>
    <w:rsid w:val="00F03C2E"/>
    <w:rsid w:val="00F0466D"/>
    <w:rsid w:val="00F04A66"/>
    <w:rsid w:val="00F0516C"/>
    <w:rsid w:val="00F0531B"/>
    <w:rsid w:val="00F05417"/>
    <w:rsid w:val="00F05CFC"/>
    <w:rsid w:val="00F05EF3"/>
    <w:rsid w:val="00F067A2"/>
    <w:rsid w:val="00F11D8D"/>
    <w:rsid w:val="00F1263A"/>
    <w:rsid w:val="00F12A4C"/>
    <w:rsid w:val="00F12BED"/>
    <w:rsid w:val="00F12C28"/>
    <w:rsid w:val="00F14838"/>
    <w:rsid w:val="00F1573C"/>
    <w:rsid w:val="00F15E76"/>
    <w:rsid w:val="00F1673C"/>
    <w:rsid w:val="00F16E0F"/>
    <w:rsid w:val="00F16F4A"/>
    <w:rsid w:val="00F20B9B"/>
    <w:rsid w:val="00F212F3"/>
    <w:rsid w:val="00F23DB5"/>
    <w:rsid w:val="00F241F6"/>
    <w:rsid w:val="00F2446D"/>
    <w:rsid w:val="00F24837"/>
    <w:rsid w:val="00F2575F"/>
    <w:rsid w:val="00F25EA9"/>
    <w:rsid w:val="00F2701E"/>
    <w:rsid w:val="00F27565"/>
    <w:rsid w:val="00F302C5"/>
    <w:rsid w:val="00F310D4"/>
    <w:rsid w:val="00F31D54"/>
    <w:rsid w:val="00F31D5A"/>
    <w:rsid w:val="00F32079"/>
    <w:rsid w:val="00F333A9"/>
    <w:rsid w:val="00F33B91"/>
    <w:rsid w:val="00F33DE9"/>
    <w:rsid w:val="00F342D2"/>
    <w:rsid w:val="00F35499"/>
    <w:rsid w:val="00F354A5"/>
    <w:rsid w:val="00F354A8"/>
    <w:rsid w:val="00F35EC3"/>
    <w:rsid w:val="00F3619A"/>
    <w:rsid w:val="00F37CE2"/>
    <w:rsid w:val="00F37D8B"/>
    <w:rsid w:val="00F40AAA"/>
    <w:rsid w:val="00F40ADB"/>
    <w:rsid w:val="00F40BA7"/>
    <w:rsid w:val="00F410E5"/>
    <w:rsid w:val="00F4111F"/>
    <w:rsid w:val="00F4113E"/>
    <w:rsid w:val="00F43AFA"/>
    <w:rsid w:val="00F45970"/>
    <w:rsid w:val="00F46CAC"/>
    <w:rsid w:val="00F46CB6"/>
    <w:rsid w:val="00F47DE8"/>
    <w:rsid w:val="00F51C7C"/>
    <w:rsid w:val="00F536DE"/>
    <w:rsid w:val="00F540C6"/>
    <w:rsid w:val="00F542C1"/>
    <w:rsid w:val="00F55DA9"/>
    <w:rsid w:val="00F55E73"/>
    <w:rsid w:val="00F55EDA"/>
    <w:rsid w:val="00F576F1"/>
    <w:rsid w:val="00F60092"/>
    <w:rsid w:val="00F61B65"/>
    <w:rsid w:val="00F61F72"/>
    <w:rsid w:val="00F63C6D"/>
    <w:rsid w:val="00F6457C"/>
    <w:rsid w:val="00F646A5"/>
    <w:rsid w:val="00F65236"/>
    <w:rsid w:val="00F65F4B"/>
    <w:rsid w:val="00F662C2"/>
    <w:rsid w:val="00F668D7"/>
    <w:rsid w:val="00F66F82"/>
    <w:rsid w:val="00F70C9D"/>
    <w:rsid w:val="00F7100A"/>
    <w:rsid w:val="00F7140E"/>
    <w:rsid w:val="00F7401A"/>
    <w:rsid w:val="00F7425C"/>
    <w:rsid w:val="00F746E1"/>
    <w:rsid w:val="00F747BE"/>
    <w:rsid w:val="00F74CD9"/>
    <w:rsid w:val="00F75DC7"/>
    <w:rsid w:val="00F76429"/>
    <w:rsid w:val="00F7647F"/>
    <w:rsid w:val="00F77413"/>
    <w:rsid w:val="00F80A7B"/>
    <w:rsid w:val="00F80E5D"/>
    <w:rsid w:val="00F80FE8"/>
    <w:rsid w:val="00F8426F"/>
    <w:rsid w:val="00F84B73"/>
    <w:rsid w:val="00F851CA"/>
    <w:rsid w:val="00F851CE"/>
    <w:rsid w:val="00F858B7"/>
    <w:rsid w:val="00F90E15"/>
    <w:rsid w:val="00F91219"/>
    <w:rsid w:val="00F91B40"/>
    <w:rsid w:val="00F920C0"/>
    <w:rsid w:val="00F922E0"/>
    <w:rsid w:val="00F9263A"/>
    <w:rsid w:val="00F92BDF"/>
    <w:rsid w:val="00F932B8"/>
    <w:rsid w:val="00F93CDB"/>
    <w:rsid w:val="00F93EAD"/>
    <w:rsid w:val="00F94759"/>
    <w:rsid w:val="00F95B5E"/>
    <w:rsid w:val="00F96BE6"/>
    <w:rsid w:val="00F97A78"/>
    <w:rsid w:val="00FA0960"/>
    <w:rsid w:val="00FA0B20"/>
    <w:rsid w:val="00FA13FF"/>
    <w:rsid w:val="00FA1E54"/>
    <w:rsid w:val="00FA24E7"/>
    <w:rsid w:val="00FA2556"/>
    <w:rsid w:val="00FA2739"/>
    <w:rsid w:val="00FA5077"/>
    <w:rsid w:val="00FA52CE"/>
    <w:rsid w:val="00FA65F7"/>
    <w:rsid w:val="00FA66EC"/>
    <w:rsid w:val="00FB054A"/>
    <w:rsid w:val="00FB12B2"/>
    <w:rsid w:val="00FB1B56"/>
    <w:rsid w:val="00FB1F6A"/>
    <w:rsid w:val="00FB23D6"/>
    <w:rsid w:val="00FB23D8"/>
    <w:rsid w:val="00FB2FCB"/>
    <w:rsid w:val="00FB300F"/>
    <w:rsid w:val="00FB4A7B"/>
    <w:rsid w:val="00FC07C7"/>
    <w:rsid w:val="00FC0E0B"/>
    <w:rsid w:val="00FC1074"/>
    <w:rsid w:val="00FC1884"/>
    <w:rsid w:val="00FC226F"/>
    <w:rsid w:val="00FC2E30"/>
    <w:rsid w:val="00FC347E"/>
    <w:rsid w:val="00FC3494"/>
    <w:rsid w:val="00FC371D"/>
    <w:rsid w:val="00FC5F0B"/>
    <w:rsid w:val="00FC5FEF"/>
    <w:rsid w:val="00FC62CB"/>
    <w:rsid w:val="00FC670A"/>
    <w:rsid w:val="00FC6720"/>
    <w:rsid w:val="00FC77CC"/>
    <w:rsid w:val="00FC7908"/>
    <w:rsid w:val="00FD020A"/>
    <w:rsid w:val="00FD1A4B"/>
    <w:rsid w:val="00FD1D51"/>
    <w:rsid w:val="00FD2100"/>
    <w:rsid w:val="00FD2B80"/>
    <w:rsid w:val="00FD436C"/>
    <w:rsid w:val="00FD446D"/>
    <w:rsid w:val="00FD45AD"/>
    <w:rsid w:val="00FD502D"/>
    <w:rsid w:val="00FD6394"/>
    <w:rsid w:val="00FD6C0D"/>
    <w:rsid w:val="00FD7047"/>
    <w:rsid w:val="00FE0E6C"/>
    <w:rsid w:val="00FE1305"/>
    <w:rsid w:val="00FE14F4"/>
    <w:rsid w:val="00FE24E1"/>
    <w:rsid w:val="00FE3003"/>
    <w:rsid w:val="00FE366B"/>
    <w:rsid w:val="00FE51AD"/>
    <w:rsid w:val="00FE6183"/>
    <w:rsid w:val="00FE677D"/>
    <w:rsid w:val="00FE70C3"/>
    <w:rsid w:val="00FE7465"/>
    <w:rsid w:val="00FF0407"/>
    <w:rsid w:val="00FF3120"/>
    <w:rsid w:val="00FF3C3E"/>
    <w:rsid w:val="00FF3DCF"/>
    <w:rsid w:val="00FF492C"/>
    <w:rsid w:val="00FF4A21"/>
    <w:rsid w:val="00FF5AA3"/>
    <w:rsid w:val="00FF5AD8"/>
    <w:rsid w:val="00FF63D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832B4"/>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AC1DDD"/>
    <w:pPr>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C1DDD"/>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PBAC Caption Tables + Figures,Caption Char1 Char,Caption Char Char Char,Caption Char1 Char Char Char,Caption Char Char Char Char Char,Caption Char Char1 Char,Caption Char1 Char1,Caption Char Char Char1,Caption Char1,Caption Char Char,Bullet"/>
    <w:basedOn w:val="Normal"/>
    <w:next w:val="Normal"/>
    <w:link w:val="CaptionChar"/>
    <w:unhideWhenUsed/>
    <w:qFormat/>
    <w:rsid w:val="008D5A77"/>
    <w:pPr>
      <w:spacing w:after="200"/>
    </w:pPr>
    <w:rPr>
      <w:rFonts w:ascii="Arial Narrow" w:hAnsi="Arial Narrow"/>
      <w:b/>
      <w:bCs/>
      <w:color w:val="000000" w:themeColor="text1"/>
      <w:sz w:val="20"/>
      <w:szCs w:val="18"/>
    </w:rPr>
  </w:style>
  <w:style w:type="character" w:customStyle="1" w:styleId="CaptionChar">
    <w:name w:val="Caption Char"/>
    <w:aliases w:val="PBAC Caption Tables + Figures Char,Caption Char1 Char Char,Caption Char Char Char Char,Caption Char1 Char Char Char Char,Caption Char Char Char Char Char Char,Caption Char Char1 Char Char,Caption Char1 Char1 Char,Caption Char1 Char2"/>
    <w:link w:val="Caption"/>
    <w:rsid w:val="008D5A77"/>
    <w:rPr>
      <w:rFonts w:ascii="Arial Narrow" w:hAnsi="Arial Narrow" w:cs="Arial"/>
      <w:b/>
      <w:bCs/>
      <w:snapToGrid w:val="0"/>
      <w:color w:val="000000" w:themeColor="text1"/>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Bullet point,List Paragraph1,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Bullet point Char,List Paragraph1 Char,List Paragraph11 Char,Recommendation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new sty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9E6C9D"/>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rsid w:val="005A3607"/>
    <w:pPr>
      <w:widowControl/>
      <w:jc w:val="left"/>
    </w:pPr>
    <w:rPr>
      <w:rFonts w:ascii="Arial Narrow" w:eastAsiaTheme="minorHAnsi" w:hAnsi="Arial Narrow" w:cstheme="minorBidi"/>
      <w:snapToGrid/>
      <w:sz w:val="20"/>
    </w:rPr>
  </w:style>
  <w:style w:type="paragraph" w:customStyle="1" w:styleId="TableHeading0">
    <w:name w:val="Table Heading"/>
    <w:basedOn w:val="Normal"/>
    <w:rsid w:val="000E6EE1"/>
    <w:pPr>
      <w:keepNext/>
      <w:widowControl/>
      <w:spacing w:after="60"/>
      <w:jc w:val="left"/>
    </w:pPr>
    <w:rPr>
      <w:rFonts w:ascii="Arial Narrow" w:eastAsiaTheme="minorHAnsi" w:hAnsi="Arial Narrow" w:cstheme="minorBidi"/>
      <w:b/>
      <w:snapToGrid/>
      <w:sz w:val="20"/>
    </w:rPr>
  </w:style>
  <w:style w:type="paragraph" w:customStyle="1" w:styleId="V50Instructions">
    <w:name w:val="V5.0 Instructions"/>
    <w:basedOn w:val="Normal"/>
    <w:link w:val="V50InstructionsChar"/>
    <w:rsid w:val="000E6EE1"/>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0E6EE1"/>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semiHidden/>
    <w:unhideWhenUsed/>
    <w:rsid w:val="00C60473"/>
    <w:rPr>
      <w:sz w:val="20"/>
      <w:szCs w:val="20"/>
    </w:rPr>
  </w:style>
  <w:style w:type="character" w:customStyle="1" w:styleId="FootnoteTextChar">
    <w:name w:val="Footnote Text Char"/>
    <w:basedOn w:val="DefaultParagraphFont"/>
    <w:link w:val="FootnoteText"/>
    <w:semiHidden/>
    <w:rsid w:val="00C60473"/>
    <w:rPr>
      <w:rFonts w:ascii="Calibri" w:hAnsi="Calibri" w:cs="Arial"/>
      <w:snapToGrid w:val="0"/>
      <w:lang w:eastAsia="en-US"/>
    </w:rPr>
  </w:style>
  <w:style w:type="character" w:styleId="FootnoteReference">
    <w:name w:val="footnote reference"/>
    <w:basedOn w:val="DefaultParagraphFont"/>
    <w:semiHidden/>
    <w:unhideWhenUsed/>
    <w:rsid w:val="00C60473"/>
    <w:rPr>
      <w:vertAlign w:val="superscript"/>
    </w:rPr>
  </w:style>
  <w:style w:type="paragraph" w:customStyle="1" w:styleId="Dash0">
    <w:name w:val="Dash+0"/>
    <w:basedOn w:val="Normal"/>
    <w:uiPriority w:val="2"/>
    <w:rsid w:val="00B2350B"/>
    <w:pPr>
      <w:widowControl/>
      <w:numPr>
        <w:numId w:val="3"/>
      </w:numPr>
      <w:tabs>
        <w:tab w:val="left" w:pos="1134"/>
      </w:tabs>
      <w:spacing w:line="276" w:lineRule="auto"/>
      <w:jc w:val="left"/>
    </w:pPr>
    <w:rPr>
      <w:rFonts w:asciiTheme="minorHAnsi" w:eastAsiaTheme="minorHAnsi" w:hAnsiTheme="minorHAnsi" w:cs="Tahoma"/>
      <w:snapToGrid/>
      <w:color w:val="000000"/>
      <w:sz w:val="22"/>
      <w:lang w:eastAsia="en-AU"/>
    </w:rPr>
  </w:style>
  <w:style w:type="paragraph" w:customStyle="1" w:styleId="Tabletextleft">
    <w:name w:val="Table text left"/>
    <w:basedOn w:val="Normal"/>
    <w:link w:val="TabletextleftChar"/>
    <w:qFormat/>
    <w:rsid w:val="00B2350B"/>
    <w:pPr>
      <w:widowControl/>
      <w:spacing w:before="20" w:after="20"/>
      <w:jc w:val="left"/>
    </w:pPr>
    <w:rPr>
      <w:rFonts w:asciiTheme="minorHAnsi" w:hAnsiTheme="minorHAnsi" w:cs="Times New Roman"/>
      <w:snapToGrid/>
      <w:sz w:val="18"/>
      <w:szCs w:val="20"/>
      <w:lang w:eastAsia="en-AU"/>
    </w:rPr>
  </w:style>
  <w:style w:type="character" w:customStyle="1" w:styleId="TabletextleftChar">
    <w:name w:val="Table text left Char"/>
    <w:basedOn w:val="DefaultParagraphFont"/>
    <w:link w:val="Tabletextleft"/>
    <w:rsid w:val="00B2350B"/>
    <w:rPr>
      <w:rFonts w:asciiTheme="minorHAnsi" w:hAnsiTheme="minorHAnsi"/>
      <w:sz w:val="18"/>
    </w:rPr>
  </w:style>
  <w:style w:type="table" w:customStyle="1" w:styleId="TableHTAsimple">
    <w:name w:val="Table HTA simple"/>
    <w:basedOn w:val="TableNormal"/>
    <w:uiPriority w:val="99"/>
    <w:rsid w:val="003810AF"/>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Headingleft">
    <w:name w:val="Table Heading left"/>
    <w:basedOn w:val="Normal"/>
    <w:next w:val="Tabletextleft"/>
    <w:qFormat/>
    <w:rsid w:val="003810AF"/>
    <w:pPr>
      <w:widowControl/>
      <w:spacing w:before="40" w:after="40"/>
      <w:jc w:val="left"/>
    </w:pPr>
    <w:rPr>
      <w:rFonts w:asciiTheme="minorHAnsi" w:eastAsiaTheme="minorHAnsi" w:hAnsiTheme="minorHAnsi" w:cs="Tahoma"/>
      <w:b/>
      <w:snapToGrid/>
      <w:sz w:val="18"/>
      <w:szCs w:val="18"/>
      <w:lang w:val="de-DE"/>
    </w:rPr>
  </w:style>
  <w:style w:type="paragraph" w:customStyle="1" w:styleId="Tabletextcent">
    <w:name w:val="Table text cent"/>
    <w:basedOn w:val="Tabletextleft"/>
    <w:rsid w:val="003810AF"/>
    <w:pPr>
      <w:jc w:val="center"/>
    </w:pPr>
    <w:rPr>
      <w:lang w:val="de-DE"/>
    </w:rPr>
  </w:style>
  <w:style w:type="paragraph" w:customStyle="1" w:styleId="Tableheadingcent">
    <w:name w:val="Table heading cent"/>
    <w:basedOn w:val="TableHeadingleft"/>
    <w:qFormat/>
    <w:rsid w:val="003810AF"/>
    <w:pPr>
      <w:jc w:val="center"/>
    </w:pPr>
  </w:style>
  <w:style w:type="paragraph" w:styleId="PlainText">
    <w:name w:val="Plain Text"/>
    <w:basedOn w:val="Normal"/>
    <w:link w:val="PlainTextChar"/>
    <w:uiPriority w:val="99"/>
    <w:semiHidden/>
    <w:unhideWhenUsed/>
    <w:rsid w:val="00C92A8C"/>
    <w:pPr>
      <w:widowControl/>
      <w:jc w:val="left"/>
    </w:pPr>
    <w:rPr>
      <w:rFonts w:eastAsiaTheme="minorHAnsi" w:cstheme="minorBidi"/>
      <w:snapToGrid/>
      <w:sz w:val="22"/>
      <w:szCs w:val="21"/>
    </w:rPr>
  </w:style>
  <w:style w:type="character" w:customStyle="1" w:styleId="PlainTextChar">
    <w:name w:val="Plain Text Char"/>
    <w:basedOn w:val="DefaultParagraphFont"/>
    <w:link w:val="PlainText"/>
    <w:uiPriority w:val="99"/>
    <w:semiHidden/>
    <w:rsid w:val="00C92A8C"/>
    <w:rPr>
      <w:rFonts w:ascii="Calibri" w:eastAsiaTheme="minorHAnsi" w:hAnsi="Calibri" w:cstheme="minorBidi"/>
      <w:sz w:val="22"/>
      <w:szCs w:val="21"/>
      <w:lang w:eastAsia="en-US"/>
    </w:rPr>
  </w:style>
  <w:style w:type="paragraph" w:customStyle="1" w:styleId="EndNoteBibliographyTitle">
    <w:name w:val="EndNote Bibliography Title"/>
    <w:basedOn w:val="Normal"/>
    <w:link w:val="EndNoteBibliographyTitleChar"/>
    <w:rsid w:val="00644E10"/>
    <w:pPr>
      <w:jc w:val="center"/>
    </w:pPr>
    <w:rPr>
      <w:noProof/>
      <w:lang w:val="en-US"/>
    </w:rPr>
  </w:style>
  <w:style w:type="character" w:customStyle="1" w:styleId="EndNoteBibliographyTitleChar">
    <w:name w:val="EndNote Bibliography Title Char"/>
    <w:basedOn w:val="ListParagraphChar"/>
    <w:link w:val="EndNoteBibliographyTitle"/>
    <w:rsid w:val="00644E10"/>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644E10"/>
    <w:rPr>
      <w:noProof/>
      <w:lang w:val="en-US"/>
    </w:rPr>
  </w:style>
  <w:style w:type="character" w:customStyle="1" w:styleId="EndNoteBibliographyChar">
    <w:name w:val="EndNote Bibliography Char"/>
    <w:basedOn w:val="ListParagraphChar"/>
    <w:link w:val="EndNoteBibliography"/>
    <w:rsid w:val="00644E10"/>
    <w:rPr>
      <w:rFonts w:ascii="Calibri" w:hAnsi="Calibri" w:cs="Arial"/>
      <w:noProof/>
      <w:snapToGrid w:val="0"/>
      <w:sz w:val="24"/>
      <w:szCs w:val="22"/>
      <w:lang w:val="en-US" w:eastAsia="en-US"/>
    </w:rPr>
  </w:style>
  <w:style w:type="paragraph" w:customStyle="1" w:styleId="Tabletextbold">
    <w:name w:val="Table text bold"/>
    <w:basedOn w:val="Tabletextleft"/>
    <w:qFormat/>
    <w:rsid w:val="001A0A5F"/>
    <w:pPr>
      <w:ind w:left="57" w:right="57"/>
    </w:pPr>
    <w:rPr>
      <w:rFonts w:eastAsia="Arial"/>
      <w:b/>
      <w:lang w:val="de-DE"/>
    </w:rPr>
  </w:style>
  <w:style w:type="table" w:customStyle="1" w:styleId="MSDAustralia">
    <w:name w:val="MSD Australia"/>
    <w:basedOn w:val="TableGrid"/>
    <w:uiPriority w:val="99"/>
    <w:rsid w:val="001A0A5F"/>
    <w:pPr>
      <w:spacing w:before="57"/>
      <w:ind w:left="57" w:right="57"/>
    </w:pPr>
    <w:rPr>
      <w:rFonts w:ascii="Arial" w:eastAsia="Arial" w:hAnsi="Arial" w:cs="Cordia New"/>
      <w:lang w:eastAsia="en-US"/>
    </w:rPr>
    <w:tblPr>
      <w:tblBorders>
        <w:top w:val="single" w:sz="12" w:space="0" w:color="004540"/>
        <w:left w:val="none" w:sz="0" w:space="0" w:color="auto"/>
        <w:bottom w:val="single" w:sz="12" w:space="0" w:color="004540"/>
        <w:right w:val="none" w:sz="0" w:space="0" w:color="auto"/>
        <w:insideH w:val="single" w:sz="4" w:space="0" w:color="004540"/>
        <w:insideV w:val="none" w:sz="0" w:space="0" w:color="auto"/>
      </w:tblBorders>
      <w:tblCellMar>
        <w:top w:w="57" w:type="dxa"/>
        <w:left w:w="57" w:type="dxa"/>
        <w:bottom w:w="57" w:type="dxa"/>
        <w:right w:w="57" w:type="dxa"/>
      </w:tblCellMar>
    </w:tblPr>
    <w:trPr>
      <w:tblHeader/>
    </w:trPr>
    <w:tblStylePr w:type="firstRow">
      <w:pPr>
        <w:keepNext/>
        <w:wordWrap/>
        <w:spacing w:line="240" w:lineRule="auto"/>
      </w:pPr>
      <w:rPr>
        <w:rFonts w:asciiTheme="minorHAnsi" w:hAnsiTheme="minorHAnsi"/>
        <w:b/>
        <w:i w:val="0"/>
        <w:sz w:val="18"/>
        <w:szCs w:val="22"/>
      </w:rPr>
      <w:tblPr/>
      <w:trPr>
        <w:cantSplit/>
        <w:tblHeader/>
      </w:trPr>
      <w:tcPr>
        <w:tcBorders>
          <w:top w:val="single" w:sz="12" w:space="0" w:color="004540"/>
          <w:left w:val="nil"/>
          <w:bottom w:val="single" w:sz="12" w:space="0" w:color="004540"/>
          <w:right w:val="nil"/>
          <w:insideH w:val="nil"/>
          <w:insideV w:val="nil"/>
          <w:tl2br w:val="nil"/>
          <w:tr2bl w:val="nil"/>
        </w:tcBorders>
        <w:shd w:val="clear" w:color="auto" w:fill="BFBFBF" w:themeFill="background1" w:themeFillShade="BF"/>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paragraph" w:customStyle="1" w:styleId="TableFigNotes18">
    <w:name w:val="TableFigNotes+18"/>
    <w:basedOn w:val="BodyText"/>
    <w:next w:val="BodyText"/>
    <w:link w:val="TableFigNotes18Char"/>
    <w:uiPriority w:val="4"/>
    <w:qFormat/>
    <w:rsid w:val="001A0A5F"/>
    <w:pPr>
      <w:keepLines/>
      <w:widowControl/>
      <w:spacing w:after="360" w:line="276" w:lineRule="auto"/>
      <w:contextualSpacing/>
    </w:pPr>
    <w:rPr>
      <w:rFonts w:asciiTheme="minorHAnsi" w:eastAsiaTheme="minorHAnsi" w:hAnsiTheme="minorHAnsi" w:cs="Tahoma"/>
      <w:snapToGrid/>
      <w:color w:val="000000"/>
      <w:sz w:val="16"/>
      <w:szCs w:val="18"/>
      <w:lang w:eastAsia="en-AU"/>
    </w:rPr>
  </w:style>
  <w:style w:type="character" w:customStyle="1" w:styleId="TableFigNotes18Char">
    <w:name w:val="TableFigNotes+18 Char"/>
    <w:basedOn w:val="DefaultParagraphFont"/>
    <w:link w:val="TableFigNotes18"/>
    <w:uiPriority w:val="4"/>
    <w:rsid w:val="001A0A5F"/>
    <w:rPr>
      <w:rFonts w:asciiTheme="minorHAnsi" w:eastAsiaTheme="minorHAnsi" w:hAnsiTheme="minorHAnsi" w:cs="Tahoma"/>
      <w:color w:val="000000"/>
      <w:sz w:val="16"/>
      <w:szCs w:val="18"/>
    </w:rPr>
  </w:style>
  <w:style w:type="numbering" w:customStyle="1" w:styleId="Lists">
    <w:name w:val="Lists"/>
    <w:uiPriority w:val="99"/>
    <w:rsid w:val="001A0A5F"/>
    <w:pPr>
      <w:numPr>
        <w:numId w:val="9"/>
      </w:numPr>
    </w:pPr>
  </w:style>
  <w:style w:type="table" w:customStyle="1" w:styleId="newstyle1">
    <w:name w:val="new style1"/>
    <w:basedOn w:val="TableNormal"/>
    <w:next w:val="TableGrid"/>
    <w:rsid w:val="007D3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832B4"/>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AC1DDD"/>
    <w:pPr>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C1DDD"/>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PBAC Caption Tables + Figures,Caption Char1 Char,Caption Char Char Char,Caption Char1 Char Char Char,Caption Char Char Char Char Char,Caption Char Char1 Char,Caption Char1 Char1,Caption Char Char Char1,Caption Char1,Caption Char Char,Bullet"/>
    <w:basedOn w:val="Normal"/>
    <w:next w:val="Normal"/>
    <w:link w:val="CaptionChar"/>
    <w:unhideWhenUsed/>
    <w:qFormat/>
    <w:rsid w:val="008D5A77"/>
    <w:pPr>
      <w:spacing w:after="200"/>
    </w:pPr>
    <w:rPr>
      <w:rFonts w:ascii="Arial Narrow" w:hAnsi="Arial Narrow"/>
      <w:b/>
      <w:bCs/>
      <w:color w:val="000000" w:themeColor="text1"/>
      <w:sz w:val="20"/>
      <w:szCs w:val="18"/>
    </w:rPr>
  </w:style>
  <w:style w:type="character" w:customStyle="1" w:styleId="CaptionChar">
    <w:name w:val="Caption Char"/>
    <w:aliases w:val="PBAC Caption Tables + Figures Char,Caption Char1 Char Char,Caption Char Char Char Char,Caption Char1 Char Char Char Char,Caption Char Char Char Char Char Char,Caption Char Char1 Char Char,Caption Char1 Char1 Char,Caption Char1 Char2"/>
    <w:link w:val="Caption"/>
    <w:rsid w:val="008D5A77"/>
    <w:rPr>
      <w:rFonts w:ascii="Arial Narrow" w:hAnsi="Arial Narrow" w:cs="Arial"/>
      <w:b/>
      <w:bCs/>
      <w:snapToGrid w:val="0"/>
      <w:color w:val="000000" w:themeColor="text1"/>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Bullet point,List Paragraph1,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Bullet point Char,List Paragraph1 Char,List Paragraph11 Char,Recommendation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new sty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9E6C9D"/>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rsid w:val="005A3607"/>
    <w:pPr>
      <w:widowControl/>
      <w:jc w:val="left"/>
    </w:pPr>
    <w:rPr>
      <w:rFonts w:ascii="Arial Narrow" w:eastAsiaTheme="minorHAnsi" w:hAnsi="Arial Narrow" w:cstheme="minorBidi"/>
      <w:snapToGrid/>
      <w:sz w:val="20"/>
    </w:rPr>
  </w:style>
  <w:style w:type="paragraph" w:customStyle="1" w:styleId="TableHeading0">
    <w:name w:val="Table Heading"/>
    <w:basedOn w:val="Normal"/>
    <w:rsid w:val="000E6EE1"/>
    <w:pPr>
      <w:keepNext/>
      <w:widowControl/>
      <w:spacing w:after="60"/>
      <w:jc w:val="left"/>
    </w:pPr>
    <w:rPr>
      <w:rFonts w:ascii="Arial Narrow" w:eastAsiaTheme="minorHAnsi" w:hAnsi="Arial Narrow" w:cstheme="minorBidi"/>
      <w:b/>
      <w:snapToGrid/>
      <w:sz w:val="20"/>
    </w:rPr>
  </w:style>
  <w:style w:type="paragraph" w:customStyle="1" w:styleId="V50Instructions">
    <w:name w:val="V5.0 Instructions"/>
    <w:basedOn w:val="Normal"/>
    <w:link w:val="V50InstructionsChar"/>
    <w:rsid w:val="000E6EE1"/>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0E6EE1"/>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semiHidden/>
    <w:unhideWhenUsed/>
    <w:rsid w:val="00C60473"/>
    <w:rPr>
      <w:sz w:val="20"/>
      <w:szCs w:val="20"/>
    </w:rPr>
  </w:style>
  <w:style w:type="character" w:customStyle="1" w:styleId="FootnoteTextChar">
    <w:name w:val="Footnote Text Char"/>
    <w:basedOn w:val="DefaultParagraphFont"/>
    <w:link w:val="FootnoteText"/>
    <w:semiHidden/>
    <w:rsid w:val="00C60473"/>
    <w:rPr>
      <w:rFonts w:ascii="Calibri" w:hAnsi="Calibri" w:cs="Arial"/>
      <w:snapToGrid w:val="0"/>
      <w:lang w:eastAsia="en-US"/>
    </w:rPr>
  </w:style>
  <w:style w:type="character" w:styleId="FootnoteReference">
    <w:name w:val="footnote reference"/>
    <w:basedOn w:val="DefaultParagraphFont"/>
    <w:semiHidden/>
    <w:unhideWhenUsed/>
    <w:rsid w:val="00C60473"/>
    <w:rPr>
      <w:vertAlign w:val="superscript"/>
    </w:rPr>
  </w:style>
  <w:style w:type="paragraph" w:customStyle="1" w:styleId="Dash0">
    <w:name w:val="Dash+0"/>
    <w:basedOn w:val="Normal"/>
    <w:uiPriority w:val="2"/>
    <w:rsid w:val="00B2350B"/>
    <w:pPr>
      <w:widowControl/>
      <w:numPr>
        <w:numId w:val="3"/>
      </w:numPr>
      <w:tabs>
        <w:tab w:val="left" w:pos="1134"/>
      </w:tabs>
      <w:spacing w:line="276" w:lineRule="auto"/>
      <w:jc w:val="left"/>
    </w:pPr>
    <w:rPr>
      <w:rFonts w:asciiTheme="minorHAnsi" w:eastAsiaTheme="minorHAnsi" w:hAnsiTheme="minorHAnsi" w:cs="Tahoma"/>
      <w:snapToGrid/>
      <w:color w:val="000000"/>
      <w:sz w:val="22"/>
      <w:lang w:eastAsia="en-AU"/>
    </w:rPr>
  </w:style>
  <w:style w:type="paragraph" w:customStyle="1" w:styleId="Tabletextleft">
    <w:name w:val="Table text left"/>
    <w:basedOn w:val="Normal"/>
    <w:link w:val="TabletextleftChar"/>
    <w:qFormat/>
    <w:rsid w:val="00B2350B"/>
    <w:pPr>
      <w:widowControl/>
      <w:spacing w:before="20" w:after="20"/>
      <w:jc w:val="left"/>
    </w:pPr>
    <w:rPr>
      <w:rFonts w:asciiTheme="minorHAnsi" w:hAnsiTheme="minorHAnsi" w:cs="Times New Roman"/>
      <w:snapToGrid/>
      <w:sz w:val="18"/>
      <w:szCs w:val="20"/>
      <w:lang w:eastAsia="en-AU"/>
    </w:rPr>
  </w:style>
  <w:style w:type="character" w:customStyle="1" w:styleId="TabletextleftChar">
    <w:name w:val="Table text left Char"/>
    <w:basedOn w:val="DefaultParagraphFont"/>
    <w:link w:val="Tabletextleft"/>
    <w:rsid w:val="00B2350B"/>
    <w:rPr>
      <w:rFonts w:asciiTheme="minorHAnsi" w:hAnsiTheme="minorHAnsi"/>
      <w:sz w:val="18"/>
    </w:rPr>
  </w:style>
  <w:style w:type="table" w:customStyle="1" w:styleId="TableHTAsimple">
    <w:name w:val="Table HTA simple"/>
    <w:basedOn w:val="TableNormal"/>
    <w:uiPriority w:val="99"/>
    <w:rsid w:val="003810AF"/>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Headingleft">
    <w:name w:val="Table Heading left"/>
    <w:basedOn w:val="Normal"/>
    <w:next w:val="Tabletextleft"/>
    <w:qFormat/>
    <w:rsid w:val="003810AF"/>
    <w:pPr>
      <w:widowControl/>
      <w:spacing w:before="40" w:after="40"/>
      <w:jc w:val="left"/>
    </w:pPr>
    <w:rPr>
      <w:rFonts w:asciiTheme="minorHAnsi" w:eastAsiaTheme="minorHAnsi" w:hAnsiTheme="minorHAnsi" w:cs="Tahoma"/>
      <w:b/>
      <w:snapToGrid/>
      <w:sz w:val="18"/>
      <w:szCs w:val="18"/>
      <w:lang w:val="de-DE"/>
    </w:rPr>
  </w:style>
  <w:style w:type="paragraph" w:customStyle="1" w:styleId="Tabletextcent">
    <w:name w:val="Table text cent"/>
    <w:basedOn w:val="Tabletextleft"/>
    <w:rsid w:val="003810AF"/>
    <w:pPr>
      <w:jc w:val="center"/>
    </w:pPr>
    <w:rPr>
      <w:lang w:val="de-DE"/>
    </w:rPr>
  </w:style>
  <w:style w:type="paragraph" w:customStyle="1" w:styleId="Tableheadingcent">
    <w:name w:val="Table heading cent"/>
    <w:basedOn w:val="TableHeadingleft"/>
    <w:qFormat/>
    <w:rsid w:val="003810AF"/>
    <w:pPr>
      <w:jc w:val="center"/>
    </w:pPr>
  </w:style>
  <w:style w:type="paragraph" w:styleId="PlainText">
    <w:name w:val="Plain Text"/>
    <w:basedOn w:val="Normal"/>
    <w:link w:val="PlainTextChar"/>
    <w:uiPriority w:val="99"/>
    <w:semiHidden/>
    <w:unhideWhenUsed/>
    <w:rsid w:val="00C92A8C"/>
    <w:pPr>
      <w:widowControl/>
      <w:jc w:val="left"/>
    </w:pPr>
    <w:rPr>
      <w:rFonts w:eastAsiaTheme="minorHAnsi" w:cstheme="minorBidi"/>
      <w:snapToGrid/>
      <w:sz w:val="22"/>
      <w:szCs w:val="21"/>
    </w:rPr>
  </w:style>
  <w:style w:type="character" w:customStyle="1" w:styleId="PlainTextChar">
    <w:name w:val="Plain Text Char"/>
    <w:basedOn w:val="DefaultParagraphFont"/>
    <w:link w:val="PlainText"/>
    <w:uiPriority w:val="99"/>
    <w:semiHidden/>
    <w:rsid w:val="00C92A8C"/>
    <w:rPr>
      <w:rFonts w:ascii="Calibri" w:eastAsiaTheme="minorHAnsi" w:hAnsi="Calibri" w:cstheme="minorBidi"/>
      <w:sz w:val="22"/>
      <w:szCs w:val="21"/>
      <w:lang w:eastAsia="en-US"/>
    </w:rPr>
  </w:style>
  <w:style w:type="paragraph" w:customStyle="1" w:styleId="EndNoteBibliographyTitle">
    <w:name w:val="EndNote Bibliography Title"/>
    <w:basedOn w:val="Normal"/>
    <w:link w:val="EndNoteBibliographyTitleChar"/>
    <w:rsid w:val="00644E10"/>
    <w:pPr>
      <w:jc w:val="center"/>
    </w:pPr>
    <w:rPr>
      <w:noProof/>
      <w:lang w:val="en-US"/>
    </w:rPr>
  </w:style>
  <w:style w:type="character" w:customStyle="1" w:styleId="EndNoteBibliographyTitleChar">
    <w:name w:val="EndNote Bibliography Title Char"/>
    <w:basedOn w:val="ListParagraphChar"/>
    <w:link w:val="EndNoteBibliographyTitle"/>
    <w:rsid w:val="00644E10"/>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644E10"/>
    <w:rPr>
      <w:noProof/>
      <w:lang w:val="en-US"/>
    </w:rPr>
  </w:style>
  <w:style w:type="character" w:customStyle="1" w:styleId="EndNoteBibliographyChar">
    <w:name w:val="EndNote Bibliography Char"/>
    <w:basedOn w:val="ListParagraphChar"/>
    <w:link w:val="EndNoteBibliography"/>
    <w:rsid w:val="00644E10"/>
    <w:rPr>
      <w:rFonts w:ascii="Calibri" w:hAnsi="Calibri" w:cs="Arial"/>
      <w:noProof/>
      <w:snapToGrid w:val="0"/>
      <w:sz w:val="24"/>
      <w:szCs w:val="22"/>
      <w:lang w:val="en-US" w:eastAsia="en-US"/>
    </w:rPr>
  </w:style>
  <w:style w:type="paragraph" w:customStyle="1" w:styleId="Tabletextbold">
    <w:name w:val="Table text bold"/>
    <w:basedOn w:val="Tabletextleft"/>
    <w:qFormat/>
    <w:rsid w:val="001A0A5F"/>
    <w:pPr>
      <w:ind w:left="57" w:right="57"/>
    </w:pPr>
    <w:rPr>
      <w:rFonts w:eastAsia="Arial"/>
      <w:b/>
      <w:lang w:val="de-DE"/>
    </w:rPr>
  </w:style>
  <w:style w:type="table" w:customStyle="1" w:styleId="MSDAustralia">
    <w:name w:val="MSD Australia"/>
    <w:basedOn w:val="TableGrid"/>
    <w:uiPriority w:val="99"/>
    <w:rsid w:val="001A0A5F"/>
    <w:pPr>
      <w:spacing w:before="57"/>
      <w:ind w:left="57" w:right="57"/>
    </w:pPr>
    <w:rPr>
      <w:rFonts w:ascii="Arial" w:eastAsia="Arial" w:hAnsi="Arial" w:cs="Cordia New"/>
      <w:lang w:eastAsia="en-US"/>
    </w:rPr>
    <w:tblPr>
      <w:tblBorders>
        <w:top w:val="single" w:sz="12" w:space="0" w:color="004540"/>
        <w:left w:val="none" w:sz="0" w:space="0" w:color="auto"/>
        <w:bottom w:val="single" w:sz="12" w:space="0" w:color="004540"/>
        <w:right w:val="none" w:sz="0" w:space="0" w:color="auto"/>
        <w:insideH w:val="single" w:sz="4" w:space="0" w:color="004540"/>
        <w:insideV w:val="none" w:sz="0" w:space="0" w:color="auto"/>
      </w:tblBorders>
      <w:tblCellMar>
        <w:top w:w="57" w:type="dxa"/>
        <w:left w:w="57" w:type="dxa"/>
        <w:bottom w:w="57" w:type="dxa"/>
        <w:right w:w="57" w:type="dxa"/>
      </w:tblCellMar>
    </w:tblPr>
    <w:trPr>
      <w:tblHeader/>
    </w:trPr>
    <w:tblStylePr w:type="firstRow">
      <w:pPr>
        <w:keepNext/>
        <w:wordWrap/>
        <w:spacing w:line="240" w:lineRule="auto"/>
      </w:pPr>
      <w:rPr>
        <w:rFonts w:asciiTheme="minorHAnsi" w:hAnsiTheme="minorHAnsi"/>
        <w:b/>
        <w:i w:val="0"/>
        <w:sz w:val="18"/>
        <w:szCs w:val="22"/>
      </w:rPr>
      <w:tblPr/>
      <w:trPr>
        <w:cantSplit/>
        <w:tblHeader/>
      </w:trPr>
      <w:tcPr>
        <w:tcBorders>
          <w:top w:val="single" w:sz="12" w:space="0" w:color="004540"/>
          <w:left w:val="nil"/>
          <w:bottom w:val="single" w:sz="12" w:space="0" w:color="004540"/>
          <w:right w:val="nil"/>
          <w:insideH w:val="nil"/>
          <w:insideV w:val="nil"/>
          <w:tl2br w:val="nil"/>
          <w:tr2bl w:val="nil"/>
        </w:tcBorders>
        <w:shd w:val="clear" w:color="auto" w:fill="BFBFBF" w:themeFill="background1" w:themeFillShade="BF"/>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paragraph" w:customStyle="1" w:styleId="TableFigNotes18">
    <w:name w:val="TableFigNotes+18"/>
    <w:basedOn w:val="BodyText"/>
    <w:next w:val="BodyText"/>
    <w:link w:val="TableFigNotes18Char"/>
    <w:uiPriority w:val="4"/>
    <w:qFormat/>
    <w:rsid w:val="001A0A5F"/>
    <w:pPr>
      <w:keepLines/>
      <w:widowControl/>
      <w:spacing w:after="360" w:line="276" w:lineRule="auto"/>
      <w:contextualSpacing/>
    </w:pPr>
    <w:rPr>
      <w:rFonts w:asciiTheme="minorHAnsi" w:eastAsiaTheme="minorHAnsi" w:hAnsiTheme="minorHAnsi" w:cs="Tahoma"/>
      <w:snapToGrid/>
      <w:color w:val="000000"/>
      <w:sz w:val="16"/>
      <w:szCs w:val="18"/>
      <w:lang w:eastAsia="en-AU"/>
    </w:rPr>
  </w:style>
  <w:style w:type="character" w:customStyle="1" w:styleId="TableFigNotes18Char">
    <w:name w:val="TableFigNotes+18 Char"/>
    <w:basedOn w:val="DefaultParagraphFont"/>
    <w:link w:val="TableFigNotes18"/>
    <w:uiPriority w:val="4"/>
    <w:rsid w:val="001A0A5F"/>
    <w:rPr>
      <w:rFonts w:asciiTheme="minorHAnsi" w:eastAsiaTheme="minorHAnsi" w:hAnsiTheme="minorHAnsi" w:cs="Tahoma"/>
      <w:color w:val="000000"/>
      <w:sz w:val="16"/>
      <w:szCs w:val="18"/>
    </w:rPr>
  </w:style>
  <w:style w:type="numbering" w:customStyle="1" w:styleId="Lists">
    <w:name w:val="Lists"/>
    <w:uiPriority w:val="99"/>
    <w:rsid w:val="001A0A5F"/>
    <w:pPr>
      <w:numPr>
        <w:numId w:val="9"/>
      </w:numPr>
    </w:pPr>
  </w:style>
  <w:style w:type="table" w:customStyle="1" w:styleId="newstyle1">
    <w:name w:val="new style1"/>
    <w:basedOn w:val="TableNormal"/>
    <w:next w:val="TableGrid"/>
    <w:rsid w:val="007D3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377823">
      <w:bodyDiv w:val="1"/>
      <w:marLeft w:val="0"/>
      <w:marRight w:val="0"/>
      <w:marTop w:val="0"/>
      <w:marBottom w:val="0"/>
      <w:divBdr>
        <w:top w:val="none" w:sz="0" w:space="0" w:color="auto"/>
        <w:left w:val="none" w:sz="0" w:space="0" w:color="auto"/>
        <w:bottom w:val="none" w:sz="0" w:space="0" w:color="auto"/>
        <w:right w:val="none" w:sz="0" w:space="0" w:color="auto"/>
      </w:divBdr>
    </w:div>
    <w:div w:id="1608194777">
      <w:bodyDiv w:val="1"/>
      <w:marLeft w:val="0"/>
      <w:marRight w:val="0"/>
      <w:marTop w:val="0"/>
      <w:marBottom w:val="0"/>
      <w:divBdr>
        <w:top w:val="none" w:sz="0" w:space="0" w:color="auto"/>
        <w:left w:val="none" w:sz="0" w:space="0" w:color="auto"/>
        <w:bottom w:val="none" w:sz="0" w:space="0" w:color="auto"/>
        <w:right w:val="none" w:sz="0" w:space="0" w:color="auto"/>
      </w:divBdr>
      <w:divsChild>
        <w:div w:id="1098714802">
          <w:marLeft w:val="547"/>
          <w:marRight w:val="0"/>
          <w:marTop w:val="106"/>
          <w:marBottom w:val="0"/>
          <w:divBdr>
            <w:top w:val="none" w:sz="0" w:space="0" w:color="auto"/>
            <w:left w:val="none" w:sz="0" w:space="0" w:color="auto"/>
            <w:bottom w:val="none" w:sz="0" w:space="0" w:color="auto"/>
            <w:right w:val="none" w:sz="0" w:space="0" w:color="auto"/>
          </w:divBdr>
        </w:div>
      </w:divsChild>
    </w:div>
    <w:div w:id="1896039001">
      <w:bodyDiv w:val="1"/>
      <w:marLeft w:val="0"/>
      <w:marRight w:val="0"/>
      <w:marTop w:val="0"/>
      <w:marBottom w:val="0"/>
      <w:divBdr>
        <w:top w:val="none" w:sz="0" w:space="0" w:color="auto"/>
        <w:left w:val="none" w:sz="0" w:space="0" w:color="auto"/>
        <w:bottom w:val="none" w:sz="0" w:space="0" w:color="auto"/>
        <w:right w:val="none" w:sz="0" w:space="0" w:color="auto"/>
      </w:divBdr>
    </w:div>
    <w:div w:id="2055301989">
      <w:bodyDiv w:val="1"/>
      <w:marLeft w:val="0"/>
      <w:marRight w:val="0"/>
      <w:marTop w:val="0"/>
      <w:marBottom w:val="0"/>
      <w:divBdr>
        <w:top w:val="none" w:sz="0" w:space="0" w:color="auto"/>
        <w:left w:val="none" w:sz="0" w:space="0" w:color="auto"/>
        <w:bottom w:val="none" w:sz="0" w:space="0" w:color="auto"/>
        <w:right w:val="none" w:sz="0" w:space="0" w:color="auto"/>
      </w:divBdr>
      <w:divsChild>
        <w:div w:id="27804606">
          <w:marLeft w:val="547"/>
          <w:marRight w:val="0"/>
          <w:marTop w:val="106"/>
          <w:marBottom w:val="0"/>
          <w:divBdr>
            <w:top w:val="none" w:sz="0" w:space="0" w:color="auto"/>
            <w:left w:val="none" w:sz="0" w:space="0" w:color="auto"/>
            <w:bottom w:val="none" w:sz="0" w:space="0" w:color="auto"/>
            <w:right w:val="none" w:sz="0" w:space="0" w:color="auto"/>
          </w:divBdr>
        </w:div>
      </w:divsChild>
    </w:div>
    <w:div w:id="21224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FAEAE-592B-4D04-BBD2-CFD917C4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13981</Words>
  <Characters>79696</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2018-10-18T23:57:00Z</dcterms:created>
  <dcterms:modified xsi:type="dcterms:W3CDTF">2018-10-19T00:00:00Z</dcterms:modified>
</cp:coreProperties>
</file>