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F67" w:rsidRPr="00655231" w:rsidRDefault="00090F67" w:rsidP="00655231">
      <w:pPr>
        <w:pStyle w:val="Title"/>
        <w:spacing w:before="120" w:after="160"/>
        <w:ind w:left="720" w:hanging="720"/>
        <w:rPr>
          <w:rFonts w:asciiTheme="minorHAnsi" w:hAnsiTheme="minorHAnsi"/>
          <w:sz w:val="36"/>
          <w:szCs w:val="36"/>
        </w:rPr>
      </w:pPr>
      <w:r>
        <w:rPr>
          <w:rFonts w:asciiTheme="minorHAnsi" w:hAnsiTheme="minorHAnsi"/>
          <w:sz w:val="36"/>
          <w:szCs w:val="36"/>
        </w:rPr>
        <w:t>4.07</w:t>
      </w:r>
      <w:r w:rsidR="007C0F57" w:rsidRPr="002B5596">
        <w:rPr>
          <w:rFonts w:asciiTheme="minorHAnsi" w:hAnsiTheme="minorHAnsi"/>
          <w:sz w:val="36"/>
          <w:szCs w:val="36"/>
        </w:rPr>
        <w:tab/>
      </w:r>
      <w:r>
        <w:rPr>
          <w:rFonts w:asciiTheme="minorHAnsi" w:hAnsiTheme="minorHAnsi"/>
          <w:sz w:val="36"/>
          <w:szCs w:val="36"/>
        </w:rPr>
        <w:t>PEM</w:t>
      </w:r>
      <w:r w:rsidR="00BC3676">
        <w:rPr>
          <w:rFonts w:asciiTheme="minorHAnsi" w:hAnsiTheme="minorHAnsi"/>
          <w:sz w:val="36"/>
          <w:szCs w:val="36"/>
        </w:rPr>
        <w:t>B</w:t>
      </w:r>
      <w:r>
        <w:rPr>
          <w:rFonts w:asciiTheme="minorHAnsi" w:hAnsiTheme="minorHAnsi"/>
          <w:sz w:val="36"/>
          <w:szCs w:val="36"/>
        </w:rPr>
        <w:t>ROLIZUMAB</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Pr="00090F67">
        <w:rPr>
          <w:rFonts w:asciiTheme="minorHAnsi" w:hAnsiTheme="minorHAnsi"/>
          <w:sz w:val="36"/>
          <w:szCs w:val="36"/>
        </w:rPr>
        <w:t>Powder for injection 50 mg</w:t>
      </w:r>
      <w:r>
        <w:rPr>
          <w:rFonts w:asciiTheme="minorHAnsi" w:hAnsiTheme="minorHAnsi"/>
          <w:sz w:val="36"/>
          <w:szCs w:val="36"/>
        </w:rPr>
        <w:t>, s</w:t>
      </w:r>
      <w:r w:rsidRPr="00090F67">
        <w:rPr>
          <w:rFonts w:asciiTheme="minorHAnsi" w:hAnsiTheme="minorHAnsi"/>
          <w:sz w:val="36"/>
          <w:szCs w:val="36"/>
        </w:rPr>
        <w:t>olution concentrate for I.V. infusion 100 mg in 4 mL,</w:t>
      </w:r>
      <w:r w:rsidR="00655231">
        <w:rPr>
          <w:rFonts w:asciiTheme="minorHAnsi" w:hAnsiTheme="minorHAnsi"/>
          <w:sz w:val="36"/>
          <w:szCs w:val="36"/>
        </w:rPr>
        <w:br/>
      </w:r>
      <w:r w:rsidRPr="00090F67">
        <w:rPr>
          <w:rFonts w:asciiTheme="minorHAnsi" w:hAnsiTheme="minorHAnsi"/>
          <w:sz w:val="36"/>
          <w:szCs w:val="36"/>
        </w:rPr>
        <w:t>Keytruda</w:t>
      </w:r>
      <w:r w:rsidRPr="003C083B">
        <w:rPr>
          <w:rFonts w:asciiTheme="minorHAnsi" w:hAnsiTheme="minorHAnsi"/>
          <w:sz w:val="36"/>
          <w:szCs w:val="36"/>
        </w:rPr>
        <w:t>®</w:t>
      </w:r>
      <w:r w:rsidRPr="00090F67">
        <w:rPr>
          <w:rFonts w:asciiTheme="minorHAnsi" w:hAnsiTheme="minorHAnsi"/>
          <w:sz w:val="36"/>
          <w:szCs w:val="36"/>
        </w:rPr>
        <w:t>,</w:t>
      </w:r>
      <w:r>
        <w:rPr>
          <w:rFonts w:asciiTheme="minorHAnsi" w:hAnsiTheme="minorHAnsi"/>
          <w:sz w:val="36"/>
          <w:szCs w:val="36"/>
        </w:rPr>
        <w:t xml:space="preserve"> </w:t>
      </w:r>
      <w:r w:rsidRPr="00090F67">
        <w:rPr>
          <w:rFonts w:asciiTheme="minorHAnsi" w:hAnsiTheme="minorHAnsi"/>
          <w:sz w:val="36"/>
          <w:szCs w:val="36"/>
        </w:rPr>
        <w:t>Merck Sharp &amp; Dohme (Australia) Pty Ltd</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EF44A0" w:rsidRPr="005D3576" w:rsidRDefault="00E01B3E"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5D3576">
        <w:rPr>
          <w:rFonts w:asciiTheme="minorHAnsi" w:eastAsiaTheme="minorHAnsi" w:hAnsiTheme="minorHAnsi" w:cstheme="minorBidi"/>
          <w:snapToGrid/>
          <w:sz w:val="24"/>
          <w:szCs w:val="22"/>
        </w:rPr>
        <w:t xml:space="preserve">The minor </w:t>
      </w:r>
      <w:r w:rsidRPr="005D3576">
        <w:rPr>
          <w:rFonts w:asciiTheme="minorHAnsi" w:hAnsiTheme="minorHAnsi"/>
          <w:sz w:val="24"/>
          <w:szCs w:val="24"/>
        </w:rPr>
        <w:t>resubmission requested a Section 100 (Efficient Funding of Chemotherapy) (S100 EFC) Authority Required (Streamlined) listing of pembrolizumab for the first-line treatment of patients with metastatic (Stage IV) non-small cell lung cancer (NSCLC), whose tumours do not have an activating epidermal growth factor receptor (EGFR) gene mutation or an anaplastic lymphoma kinase (ALK) gene rearrangement in tumour material, and whose tumours express high levels of programmed cell death ligand 1 (PD-L1), defined as a tumour proportion score (TPS) of ≥50%.</w:t>
      </w:r>
    </w:p>
    <w:p w:rsidR="00E01B3E" w:rsidRPr="005D3576" w:rsidRDefault="00E01B3E" w:rsidP="00E01B3E">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5D3576">
        <w:rPr>
          <w:rFonts w:asciiTheme="minorHAnsi" w:eastAsiaTheme="minorHAnsi" w:hAnsiTheme="minorHAnsi" w:cstheme="minorBidi"/>
          <w:snapToGrid/>
          <w:sz w:val="24"/>
          <w:szCs w:val="22"/>
        </w:rPr>
        <w:t>The minor resubmission stated that the Medical Services Advisory Committee (MSAC) ha</w:t>
      </w:r>
      <w:r w:rsidR="00B021F1" w:rsidRPr="005D3576">
        <w:rPr>
          <w:rFonts w:asciiTheme="minorHAnsi" w:eastAsiaTheme="minorHAnsi" w:hAnsiTheme="minorHAnsi" w:cstheme="minorBidi"/>
          <w:snapToGrid/>
          <w:sz w:val="24"/>
          <w:szCs w:val="22"/>
        </w:rPr>
        <w:t>s</w:t>
      </w:r>
      <w:r w:rsidRPr="005D3576">
        <w:rPr>
          <w:rFonts w:asciiTheme="minorHAnsi" w:eastAsiaTheme="minorHAnsi" w:hAnsiTheme="minorHAnsi" w:cstheme="minorBidi"/>
          <w:snapToGrid/>
          <w:sz w:val="24"/>
          <w:szCs w:val="22"/>
        </w:rPr>
        <w:t xml:space="preserve"> endorsed use of PD-L1 testing for eligibility to pembrolizumab and that </w:t>
      </w:r>
      <w:r w:rsidR="00B021F1" w:rsidRPr="005D3576">
        <w:rPr>
          <w:rFonts w:asciiTheme="minorHAnsi" w:eastAsiaTheme="minorHAnsi" w:hAnsiTheme="minorHAnsi" w:cstheme="minorBidi"/>
          <w:snapToGrid/>
          <w:sz w:val="24"/>
          <w:szCs w:val="22"/>
        </w:rPr>
        <w:t>its</w:t>
      </w:r>
      <w:r w:rsidRPr="005D3576">
        <w:rPr>
          <w:rFonts w:asciiTheme="minorHAnsi" w:eastAsiaTheme="minorHAnsi" w:hAnsiTheme="minorHAnsi" w:cstheme="minorBidi"/>
          <w:snapToGrid/>
          <w:sz w:val="24"/>
          <w:szCs w:val="22"/>
        </w:rPr>
        <w:t xml:space="preserve"> final ratification is expected following a positive PBAC recommendation.</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E01B3E" w:rsidRPr="005D3576" w:rsidRDefault="00E01B3E" w:rsidP="00E01B3E">
      <w:pPr>
        <w:pStyle w:val="ListParagraph"/>
        <w:numPr>
          <w:ilvl w:val="1"/>
          <w:numId w:val="14"/>
        </w:numPr>
        <w:rPr>
          <w:rFonts w:asciiTheme="minorHAnsi" w:eastAsiaTheme="minorHAnsi" w:hAnsiTheme="minorHAnsi" w:cstheme="minorBidi"/>
          <w:snapToGrid/>
          <w:sz w:val="24"/>
          <w:szCs w:val="22"/>
        </w:rPr>
      </w:pPr>
      <w:r w:rsidRPr="005D3576">
        <w:rPr>
          <w:rFonts w:asciiTheme="minorHAnsi" w:eastAsiaTheme="minorHAnsi" w:hAnsiTheme="minorHAnsi" w:cstheme="minorBidi"/>
          <w:snapToGrid/>
          <w:sz w:val="24"/>
          <w:szCs w:val="22"/>
        </w:rPr>
        <w:t xml:space="preserve">The requested PBS listings are shown below. The </w:t>
      </w:r>
      <w:r w:rsidR="00657B1D" w:rsidRPr="005D3576">
        <w:rPr>
          <w:rFonts w:asciiTheme="minorHAnsi" w:eastAsiaTheme="minorHAnsi" w:hAnsiTheme="minorHAnsi" w:cstheme="minorBidi"/>
          <w:snapToGrid/>
          <w:sz w:val="24"/>
          <w:szCs w:val="22"/>
        </w:rPr>
        <w:t xml:space="preserve">minor </w:t>
      </w:r>
      <w:r w:rsidRPr="005D3576">
        <w:rPr>
          <w:rFonts w:asciiTheme="minorHAnsi" w:eastAsiaTheme="minorHAnsi" w:hAnsiTheme="minorHAnsi" w:cstheme="minorBidi"/>
          <w:snapToGrid/>
          <w:sz w:val="24"/>
          <w:szCs w:val="22"/>
        </w:rPr>
        <w:t>resubmission requested a Special Pricing Arrangement (SPA).</w:t>
      </w:r>
      <w:r w:rsidR="001B572F" w:rsidRPr="005D3576">
        <w:rPr>
          <w:rFonts w:asciiTheme="minorHAnsi" w:eastAsiaTheme="minorHAnsi" w:hAnsiTheme="minorHAnsi" w:cstheme="minorBidi"/>
          <w:snapToGrid/>
          <w:sz w:val="24"/>
          <w:szCs w:val="22"/>
        </w:rPr>
        <w:t xml:space="preserve"> Suggestions and additions proposed by the Secretariat to the requested listing are added in italics and suggested deletions are crossed out with strikethrough.</w:t>
      </w:r>
    </w:p>
    <w:p w:rsidR="00E01B3E" w:rsidRPr="00E01B3E" w:rsidRDefault="00E01B3E" w:rsidP="00E01B3E">
      <w:pPr>
        <w:keepNext/>
        <w:spacing w:before="120" w:after="160"/>
        <w:jc w:val="both"/>
        <w:rPr>
          <w:rFonts w:asciiTheme="minorHAnsi" w:eastAsiaTheme="minorHAnsi" w:hAnsiTheme="minorHAnsi" w:cstheme="minorBidi"/>
          <w:b/>
          <w:szCs w:val="22"/>
          <w:lang w:eastAsia="en-US"/>
        </w:rPr>
      </w:pPr>
      <w:r w:rsidRPr="00E01B3E">
        <w:rPr>
          <w:rFonts w:asciiTheme="minorHAnsi" w:eastAsiaTheme="minorHAnsi" w:hAnsiTheme="minorHAnsi" w:cstheme="minorBidi"/>
          <w:b/>
          <w:szCs w:val="22"/>
          <w:lang w:eastAsia="en-US"/>
        </w:rPr>
        <w:t>Proposed PBS Listing</w:t>
      </w:r>
    </w:p>
    <w:tbl>
      <w:tblPr>
        <w:tblW w:w="5000" w:type="pct"/>
        <w:tblLook w:val="0000" w:firstRow="0" w:lastRow="0" w:firstColumn="0" w:lastColumn="0" w:noHBand="0" w:noVBand="0"/>
      </w:tblPr>
      <w:tblGrid>
        <w:gridCol w:w="2375"/>
        <w:gridCol w:w="490"/>
        <w:gridCol w:w="850"/>
        <w:gridCol w:w="1336"/>
        <w:gridCol w:w="1871"/>
        <w:gridCol w:w="1065"/>
        <w:gridCol w:w="1255"/>
      </w:tblGrid>
      <w:tr w:rsidR="00E01B3E" w:rsidRPr="003B140D" w:rsidTr="00E01B3E">
        <w:trPr>
          <w:cantSplit/>
          <w:trHeight w:val="471"/>
        </w:trPr>
        <w:tc>
          <w:tcPr>
            <w:tcW w:w="1550" w:type="pct"/>
            <w:gridSpan w:val="2"/>
            <w:tcBorders>
              <w:bottom w:val="single" w:sz="4" w:space="0" w:color="auto"/>
            </w:tcBorders>
          </w:tcPr>
          <w:p w:rsidR="00E01B3E" w:rsidRPr="00E17531" w:rsidRDefault="00E01B3E" w:rsidP="00E01B3E">
            <w:pPr>
              <w:keepNext/>
              <w:spacing w:before="40" w:after="40"/>
              <w:rPr>
                <w:rFonts w:ascii="Arial Narrow" w:hAnsi="Arial Narrow"/>
                <w:sz w:val="20"/>
                <w:szCs w:val="20"/>
              </w:rPr>
            </w:pPr>
            <w:r w:rsidRPr="00E17531">
              <w:rPr>
                <w:rFonts w:ascii="Arial Narrow" w:hAnsi="Arial Narrow"/>
                <w:sz w:val="20"/>
                <w:szCs w:val="20"/>
              </w:rPr>
              <w:t>Name, Restriction,</w:t>
            </w:r>
          </w:p>
          <w:p w:rsidR="00E01B3E" w:rsidRPr="00E17531" w:rsidRDefault="00E01B3E" w:rsidP="00E01B3E">
            <w:pPr>
              <w:keepNext/>
              <w:spacing w:before="40" w:after="40"/>
              <w:rPr>
                <w:rFonts w:ascii="Arial Narrow" w:hAnsi="Arial Narrow"/>
                <w:sz w:val="20"/>
                <w:szCs w:val="20"/>
              </w:rPr>
            </w:pPr>
            <w:r w:rsidRPr="00E17531">
              <w:rPr>
                <w:rFonts w:ascii="Arial Narrow" w:hAnsi="Arial Narrow"/>
                <w:sz w:val="20"/>
                <w:szCs w:val="20"/>
              </w:rPr>
              <w:t>Manner of administration and form</w:t>
            </w:r>
          </w:p>
        </w:tc>
        <w:tc>
          <w:tcPr>
            <w:tcW w:w="460" w:type="pct"/>
            <w:tcBorders>
              <w:bottom w:val="single" w:sz="4" w:space="0" w:color="auto"/>
            </w:tcBorders>
          </w:tcPr>
          <w:p w:rsidR="00E01B3E" w:rsidRPr="00E17531" w:rsidRDefault="00E01B3E" w:rsidP="00E01B3E">
            <w:pPr>
              <w:keepNext/>
              <w:spacing w:before="40" w:after="40"/>
              <w:rPr>
                <w:rFonts w:ascii="Arial Narrow" w:hAnsi="Arial Narrow"/>
                <w:sz w:val="20"/>
                <w:szCs w:val="20"/>
              </w:rPr>
            </w:pPr>
            <w:r w:rsidRPr="00E17531">
              <w:rPr>
                <w:rFonts w:ascii="Arial Narrow" w:hAnsi="Arial Narrow"/>
                <w:sz w:val="20"/>
                <w:szCs w:val="20"/>
              </w:rPr>
              <w:t>Max.</w:t>
            </w:r>
          </w:p>
          <w:p w:rsidR="00E01B3E" w:rsidRPr="00E17531" w:rsidRDefault="00E01B3E" w:rsidP="00E01B3E">
            <w:pPr>
              <w:keepNext/>
              <w:spacing w:before="40" w:after="40"/>
              <w:rPr>
                <w:rFonts w:ascii="Arial Narrow" w:hAnsi="Arial Narrow"/>
                <w:sz w:val="20"/>
                <w:szCs w:val="20"/>
              </w:rPr>
            </w:pPr>
            <w:r w:rsidRPr="00E17531">
              <w:rPr>
                <w:rFonts w:ascii="Arial Narrow" w:hAnsi="Arial Narrow"/>
                <w:sz w:val="20"/>
                <w:szCs w:val="20"/>
              </w:rPr>
              <w:t>Qty</w:t>
            </w:r>
          </w:p>
        </w:tc>
        <w:tc>
          <w:tcPr>
            <w:tcW w:w="723" w:type="pct"/>
            <w:tcBorders>
              <w:bottom w:val="single" w:sz="4" w:space="0" w:color="auto"/>
            </w:tcBorders>
          </w:tcPr>
          <w:p w:rsidR="00E01B3E" w:rsidRPr="003B140D" w:rsidRDefault="00E01B3E" w:rsidP="00E01B3E">
            <w:pPr>
              <w:keepNext/>
              <w:spacing w:before="40" w:after="40"/>
              <w:rPr>
                <w:rFonts w:ascii="Arial Narrow" w:hAnsi="Arial Narrow"/>
                <w:sz w:val="20"/>
                <w:szCs w:val="20"/>
              </w:rPr>
            </w:pPr>
            <w:r w:rsidRPr="003B140D">
              <w:rPr>
                <w:rFonts w:ascii="Arial Narrow" w:hAnsi="Arial Narrow"/>
                <w:sz w:val="20"/>
                <w:szCs w:val="20"/>
              </w:rPr>
              <w:t>№.of</w:t>
            </w:r>
          </w:p>
          <w:p w:rsidR="00E01B3E" w:rsidRPr="003B140D" w:rsidRDefault="00E01B3E" w:rsidP="00E01B3E">
            <w:pPr>
              <w:keepNext/>
              <w:spacing w:before="40" w:after="40"/>
              <w:rPr>
                <w:rFonts w:ascii="Arial Narrow" w:hAnsi="Arial Narrow"/>
                <w:sz w:val="20"/>
                <w:szCs w:val="20"/>
              </w:rPr>
            </w:pPr>
            <w:r w:rsidRPr="003B140D">
              <w:rPr>
                <w:rFonts w:ascii="Arial Narrow" w:hAnsi="Arial Narrow"/>
                <w:sz w:val="20"/>
                <w:szCs w:val="20"/>
              </w:rPr>
              <w:t>Rpts</w:t>
            </w:r>
          </w:p>
        </w:tc>
        <w:tc>
          <w:tcPr>
            <w:tcW w:w="1012" w:type="pct"/>
            <w:tcBorders>
              <w:bottom w:val="single" w:sz="4" w:space="0" w:color="auto"/>
            </w:tcBorders>
          </w:tcPr>
          <w:p w:rsidR="00E01B3E" w:rsidRPr="003B140D" w:rsidRDefault="00E01B3E" w:rsidP="00E01B3E">
            <w:pPr>
              <w:keepNext/>
              <w:spacing w:before="40" w:after="40"/>
              <w:rPr>
                <w:rFonts w:ascii="Arial Narrow" w:hAnsi="Arial Narrow"/>
                <w:sz w:val="20"/>
                <w:szCs w:val="20"/>
                <w:vertAlign w:val="superscript"/>
              </w:rPr>
            </w:pPr>
            <w:r w:rsidRPr="003B140D">
              <w:rPr>
                <w:rFonts w:ascii="Arial Narrow" w:hAnsi="Arial Narrow"/>
                <w:sz w:val="20"/>
                <w:szCs w:val="20"/>
              </w:rPr>
              <w:t>Dispensed Price for Max. Amount</w:t>
            </w:r>
          </w:p>
        </w:tc>
        <w:tc>
          <w:tcPr>
            <w:tcW w:w="1255" w:type="pct"/>
            <w:gridSpan w:val="2"/>
            <w:tcBorders>
              <w:bottom w:val="single" w:sz="4" w:space="0" w:color="auto"/>
            </w:tcBorders>
          </w:tcPr>
          <w:p w:rsidR="00E01B3E" w:rsidRPr="003B140D" w:rsidRDefault="00E01B3E" w:rsidP="00E01B3E">
            <w:pPr>
              <w:keepNext/>
              <w:spacing w:before="40" w:after="40"/>
              <w:rPr>
                <w:rFonts w:ascii="Arial Narrow" w:hAnsi="Arial Narrow"/>
                <w:sz w:val="20"/>
                <w:szCs w:val="20"/>
              </w:rPr>
            </w:pPr>
            <w:r w:rsidRPr="003B140D">
              <w:rPr>
                <w:rFonts w:ascii="Arial Narrow" w:hAnsi="Arial Narrow"/>
                <w:sz w:val="20"/>
                <w:szCs w:val="20"/>
              </w:rPr>
              <w:t>Proprietary Name and Manufacturer</w:t>
            </w:r>
          </w:p>
        </w:tc>
      </w:tr>
      <w:tr w:rsidR="00E01B3E" w:rsidRPr="003B140D" w:rsidTr="00E01B3E">
        <w:trPr>
          <w:cantSplit/>
          <w:trHeight w:val="389"/>
        </w:trPr>
        <w:tc>
          <w:tcPr>
            <w:tcW w:w="1550" w:type="pct"/>
            <w:gridSpan w:val="2"/>
          </w:tcPr>
          <w:p w:rsidR="00E01B3E" w:rsidRPr="00E17531" w:rsidRDefault="00E01B3E" w:rsidP="00E01B3E">
            <w:pPr>
              <w:keepNext/>
              <w:spacing w:before="40" w:after="40"/>
              <w:ind w:right="-57"/>
              <w:rPr>
                <w:rFonts w:ascii="Arial Narrow" w:hAnsi="Arial Narrow"/>
                <w:sz w:val="20"/>
                <w:szCs w:val="20"/>
              </w:rPr>
            </w:pPr>
            <w:r w:rsidRPr="00E17531">
              <w:rPr>
                <w:rFonts w:ascii="Arial Narrow" w:hAnsi="Arial Narrow"/>
                <w:sz w:val="20"/>
                <w:szCs w:val="20"/>
              </w:rPr>
              <w:t>PEMBROLIZUMAB</w:t>
            </w:r>
          </w:p>
          <w:p w:rsidR="00E01B3E" w:rsidRPr="00E17531" w:rsidRDefault="00E01B3E" w:rsidP="00E01B3E">
            <w:pPr>
              <w:keepNext/>
              <w:spacing w:before="40" w:after="40"/>
              <w:ind w:right="-57"/>
              <w:rPr>
                <w:rFonts w:ascii="Arial Narrow" w:hAnsi="Arial Narrow"/>
                <w:sz w:val="20"/>
                <w:szCs w:val="20"/>
              </w:rPr>
            </w:pPr>
            <w:r w:rsidRPr="00E17531">
              <w:rPr>
                <w:rFonts w:ascii="Arial Narrow" w:hAnsi="Arial Narrow"/>
                <w:sz w:val="20"/>
                <w:szCs w:val="20"/>
              </w:rPr>
              <w:t>50 mg injection: powder for, 1 vial</w:t>
            </w:r>
            <w:r w:rsidRPr="00E17531">
              <w:rPr>
                <w:rFonts w:ascii="Arial Narrow" w:hAnsi="Arial Narrow"/>
                <w:sz w:val="20"/>
                <w:szCs w:val="20"/>
                <w:vertAlign w:val="superscript"/>
              </w:rPr>
              <w:t xml:space="preserve"> a</w:t>
            </w:r>
          </w:p>
          <w:p w:rsidR="00E01B3E" w:rsidRPr="00E17531" w:rsidRDefault="00E01B3E" w:rsidP="00E01B3E">
            <w:pPr>
              <w:keepNext/>
              <w:spacing w:before="40" w:after="40"/>
              <w:ind w:right="-57"/>
              <w:rPr>
                <w:rFonts w:ascii="Arial Narrow" w:hAnsi="Arial Narrow"/>
                <w:sz w:val="20"/>
                <w:szCs w:val="20"/>
              </w:rPr>
            </w:pPr>
            <w:r w:rsidRPr="00E17531">
              <w:rPr>
                <w:rFonts w:ascii="Arial Narrow" w:hAnsi="Arial Narrow"/>
                <w:sz w:val="20"/>
                <w:szCs w:val="20"/>
              </w:rPr>
              <w:t>100 mg/4 mL injection, 1 vial</w:t>
            </w:r>
            <w:r w:rsidRPr="00E17531">
              <w:rPr>
                <w:rFonts w:ascii="Arial Narrow" w:hAnsi="Arial Narrow"/>
                <w:sz w:val="20"/>
                <w:szCs w:val="20"/>
                <w:vertAlign w:val="superscript"/>
              </w:rPr>
              <w:t xml:space="preserve"> a</w:t>
            </w:r>
          </w:p>
        </w:tc>
        <w:tc>
          <w:tcPr>
            <w:tcW w:w="460" w:type="pct"/>
          </w:tcPr>
          <w:p w:rsidR="00E01B3E" w:rsidRPr="00E17531" w:rsidRDefault="00E01B3E" w:rsidP="00E01B3E">
            <w:pPr>
              <w:keepNext/>
              <w:spacing w:before="40" w:after="40"/>
              <w:ind w:right="-57"/>
              <w:rPr>
                <w:rFonts w:ascii="Arial Narrow" w:hAnsi="Arial Narrow"/>
                <w:sz w:val="20"/>
                <w:szCs w:val="20"/>
              </w:rPr>
            </w:pPr>
          </w:p>
          <w:p w:rsidR="00E01B3E" w:rsidRPr="00E17531" w:rsidRDefault="00E01B3E" w:rsidP="00E01B3E">
            <w:pPr>
              <w:keepNext/>
              <w:spacing w:before="40" w:after="40"/>
              <w:ind w:right="-57"/>
              <w:rPr>
                <w:rFonts w:ascii="Arial Narrow" w:hAnsi="Arial Narrow"/>
                <w:sz w:val="20"/>
                <w:szCs w:val="20"/>
              </w:rPr>
            </w:pPr>
            <w:r w:rsidRPr="00E17531">
              <w:rPr>
                <w:rFonts w:ascii="Arial Narrow" w:hAnsi="Arial Narrow"/>
                <w:sz w:val="20"/>
                <w:szCs w:val="20"/>
              </w:rPr>
              <w:t>200 mg</w:t>
            </w:r>
          </w:p>
        </w:tc>
        <w:tc>
          <w:tcPr>
            <w:tcW w:w="723" w:type="pct"/>
          </w:tcPr>
          <w:p w:rsidR="00E01B3E" w:rsidRPr="003B140D" w:rsidRDefault="00E01B3E" w:rsidP="00E01B3E">
            <w:pPr>
              <w:keepNext/>
              <w:spacing w:before="40" w:after="40"/>
              <w:ind w:right="-57"/>
              <w:rPr>
                <w:rFonts w:ascii="Arial Narrow" w:hAnsi="Arial Narrow"/>
                <w:sz w:val="20"/>
                <w:szCs w:val="20"/>
              </w:rPr>
            </w:pPr>
          </w:p>
          <w:p w:rsidR="00E01B3E" w:rsidRPr="003B140D" w:rsidRDefault="00E01B3E" w:rsidP="00E01B3E">
            <w:pPr>
              <w:keepNext/>
              <w:spacing w:before="40" w:after="40"/>
              <w:ind w:right="-57"/>
              <w:rPr>
                <w:rFonts w:ascii="Arial Narrow" w:hAnsi="Arial Narrow"/>
                <w:sz w:val="20"/>
                <w:szCs w:val="20"/>
                <w:vertAlign w:val="superscript"/>
              </w:rPr>
            </w:pPr>
            <w:r w:rsidRPr="003B140D">
              <w:rPr>
                <w:rFonts w:ascii="Arial Narrow" w:hAnsi="Arial Narrow"/>
                <w:strike/>
                <w:sz w:val="20"/>
                <w:szCs w:val="20"/>
              </w:rPr>
              <w:t>5</w:t>
            </w:r>
            <w:r w:rsidR="00483297" w:rsidRPr="003B140D">
              <w:rPr>
                <w:rFonts w:ascii="Arial Narrow" w:hAnsi="Arial Narrow"/>
                <w:sz w:val="20"/>
                <w:szCs w:val="20"/>
              </w:rPr>
              <w:t xml:space="preserve"> </w:t>
            </w:r>
            <w:r w:rsidR="00483297" w:rsidRPr="003B140D">
              <w:rPr>
                <w:rFonts w:ascii="Arial Narrow" w:hAnsi="Arial Narrow"/>
                <w:i/>
                <w:sz w:val="20"/>
                <w:szCs w:val="20"/>
              </w:rPr>
              <w:t>6</w:t>
            </w:r>
            <w:r w:rsidRPr="003B140D">
              <w:rPr>
                <w:rFonts w:ascii="Arial Narrow" w:hAnsi="Arial Narrow"/>
                <w:sz w:val="20"/>
                <w:szCs w:val="20"/>
              </w:rPr>
              <w:t xml:space="preserve"> (initial)</w:t>
            </w:r>
            <w:r w:rsidRPr="003B140D">
              <w:rPr>
                <w:rFonts w:ascii="Arial Narrow" w:hAnsi="Arial Narrow"/>
                <w:sz w:val="20"/>
                <w:szCs w:val="20"/>
                <w:vertAlign w:val="superscript"/>
              </w:rPr>
              <w:t>a</w:t>
            </w:r>
          </w:p>
          <w:p w:rsidR="00E01B3E" w:rsidRPr="003B140D" w:rsidRDefault="00E01B3E" w:rsidP="00E01B3E">
            <w:pPr>
              <w:keepNext/>
              <w:spacing w:before="40" w:after="40"/>
              <w:ind w:right="-57"/>
              <w:rPr>
                <w:rFonts w:ascii="Arial Narrow" w:hAnsi="Arial Narrow"/>
                <w:sz w:val="20"/>
                <w:szCs w:val="20"/>
              </w:rPr>
            </w:pPr>
            <w:r w:rsidRPr="003B140D">
              <w:rPr>
                <w:rFonts w:ascii="Arial Narrow" w:hAnsi="Arial Narrow"/>
                <w:strike/>
                <w:sz w:val="20"/>
                <w:szCs w:val="20"/>
              </w:rPr>
              <w:t>7</w:t>
            </w:r>
            <w:r w:rsidR="00483297" w:rsidRPr="003B140D">
              <w:rPr>
                <w:rFonts w:ascii="Arial Narrow" w:hAnsi="Arial Narrow"/>
                <w:sz w:val="20"/>
                <w:szCs w:val="20"/>
              </w:rPr>
              <w:t xml:space="preserve"> </w:t>
            </w:r>
            <w:r w:rsidR="00483297" w:rsidRPr="003B140D">
              <w:rPr>
                <w:rFonts w:ascii="Arial Narrow" w:hAnsi="Arial Narrow"/>
                <w:i/>
                <w:sz w:val="20"/>
                <w:szCs w:val="20"/>
              </w:rPr>
              <w:t>6</w:t>
            </w:r>
            <w:r w:rsidRPr="003B140D">
              <w:rPr>
                <w:rFonts w:ascii="Arial Narrow" w:hAnsi="Arial Narrow"/>
                <w:sz w:val="20"/>
                <w:szCs w:val="20"/>
              </w:rPr>
              <w:t xml:space="preserve"> (continuing)</w:t>
            </w:r>
          </w:p>
        </w:tc>
        <w:tc>
          <w:tcPr>
            <w:tcW w:w="1012" w:type="pct"/>
          </w:tcPr>
          <w:p w:rsidR="00E01B3E" w:rsidRPr="003B140D" w:rsidRDefault="00E01B3E" w:rsidP="00E01B3E">
            <w:pPr>
              <w:pStyle w:val="TableText0"/>
              <w:ind w:left="-57"/>
              <w:rPr>
                <w:szCs w:val="20"/>
              </w:rPr>
            </w:pPr>
            <w:r w:rsidRPr="003B140D">
              <w:rPr>
                <w:szCs w:val="20"/>
              </w:rPr>
              <w:t>Published price:</w:t>
            </w:r>
          </w:p>
          <w:p w:rsidR="00E01B3E" w:rsidRPr="003B140D" w:rsidRDefault="00E01B3E" w:rsidP="00E01B3E">
            <w:pPr>
              <w:pStyle w:val="TableText0"/>
              <w:ind w:left="-57"/>
              <w:rPr>
                <w:szCs w:val="20"/>
              </w:rPr>
            </w:pPr>
            <w:r w:rsidRPr="003B140D">
              <w:rPr>
                <w:szCs w:val="20"/>
              </w:rPr>
              <w:t>$9,023.83 (public)</w:t>
            </w:r>
            <w:r w:rsidRPr="003B140D">
              <w:rPr>
                <w:szCs w:val="20"/>
                <w:vertAlign w:val="superscript"/>
              </w:rPr>
              <w:t>b</w:t>
            </w:r>
          </w:p>
          <w:p w:rsidR="00E01B3E" w:rsidRPr="003B140D" w:rsidRDefault="00E01B3E" w:rsidP="00E01B3E">
            <w:pPr>
              <w:pStyle w:val="TableText0"/>
              <w:ind w:left="-57"/>
              <w:rPr>
                <w:szCs w:val="20"/>
              </w:rPr>
            </w:pPr>
            <w:r w:rsidRPr="003B140D">
              <w:rPr>
                <w:szCs w:val="20"/>
              </w:rPr>
              <w:t>$9,187.35 (private)</w:t>
            </w:r>
            <w:r w:rsidRPr="003B140D">
              <w:rPr>
                <w:szCs w:val="20"/>
                <w:vertAlign w:val="superscript"/>
              </w:rPr>
              <w:t>b</w:t>
            </w:r>
          </w:p>
          <w:p w:rsidR="00E01B3E" w:rsidRPr="003B140D" w:rsidRDefault="00E01B3E" w:rsidP="00E01B3E">
            <w:pPr>
              <w:pStyle w:val="TableText0"/>
              <w:ind w:left="-57"/>
              <w:rPr>
                <w:szCs w:val="20"/>
              </w:rPr>
            </w:pPr>
            <w:r w:rsidRPr="003B140D">
              <w:rPr>
                <w:szCs w:val="20"/>
              </w:rPr>
              <w:t>Effective price</w:t>
            </w:r>
            <w:r w:rsidRPr="003B140D">
              <w:rPr>
                <w:szCs w:val="20"/>
                <w:vertAlign w:val="superscript"/>
              </w:rPr>
              <w:t>c</w:t>
            </w:r>
            <w:r w:rsidRPr="003B140D">
              <w:rPr>
                <w:szCs w:val="20"/>
              </w:rPr>
              <w:t>:</w:t>
            </w:r>
          </w:p>
          <w:p w:rsidR="00E01B3E" w:rsidRPr="003B140D" w:rsidRDefault="00E01B3E" w:rsidP="00E01B3E">
            <w:pPr>
              <w:pStyle w:val="TableText0"/>
              <w:ind w:left="-57"/>
              <w:rPr>
                <w:szCs w:val="20"/>
              </w:rPr>
            </w:pPr>
            <w:r w:rsidRPr="003B140D">
              <w:rPr>
                <w:szCs w:val="20"/>
              </w:rPr>
              <w:t>$</w:t>
            </w:r>
            <w:r w:rsidR="00E964DA">
              <w:rPr>
                <w:noProof/>
                <w:color w:val="000000"/>
                <w:szCs w:val="20"/>
                <w:highlight w:val="black"/>
              </w:rPr>
              <w:t>''''''''''''''''''''</w:t>
            </w:r>
            <w:r w:rsidRPr="003B140D">
              <w:rPr>
                <w:szCs w:val="20"/>
              </w:rPr>
              <w:t xml:space="preserve"> (public)</w:t>
            </w:r>
            <w:r w:rsidRPr="003B140D">
              <w:rPr>
                <w:szCs w:val="20"/>
                <w:vertAlign w:val="superscript"/>
              </w:rPr>
              <w:t>b</w:t>
            </w:r>
          </w:p>
          <w:p w:rsidR="00E01B3E" w:rsidRPr="003B140D" w:rsidRDefault="00E01B3E" w:rsidP="00E01B3E">
            <w:pPr>
              <w:pStyle w:val="TableText0"/>
              <w:ind w:left="-57"/>
              <w:rPr>
                <w:rFonts w:eastAsia="Times New Roman" w:cs="Times New Roman"/>
                <w:szCs w:val="20"/>
                <w:vertAlign w:val="superscript"/>
              </w:rPr>
            </w:pPr>
            <w:r w:rsidRPr="003B140D">
              <w:rPr>
                <w:szCs w:val="20"/>
              </w:rPr>
              <w:t>$</w:t>
            </w:r>
            <w:r w:rsidR="00E964DA">
              <w:rPr>
                <w:noProof/>
                <w:color w:val="000000"/>
                <w:szCs w:val="20"/>
                <w:highlight w:val="black"/>
              </w:rPr>
              <w:t>'''''''''''''''''''''</w:t>
            </w:r>
            <w:r w:rsidRPr="003B140D">
              <w:rPr>
                <w:szCs w:val="20"/>
              </w:rPr>
              <w:t xml:space="preserve"> (private)</w:t>
            </w:r>
            <w:r w:rsidRPr="003B140D">
              <w:rPr>
                <w:szCs w:val="20"/>
                <w:vertAlign w:val="superscript"/>
              </w:rPr>
              <w:t>b</w:t>
            </w:r>
          </w:p>
        </w:tc>
        <w:tc>
          <w:tcPr>
            <w:tcW w:w="576" w:type="pct"/>
          </w:tcPr>
          <w:p w:rsidR="00E01B3E" w:rsidRPr="003B140D" w:rsidRDefault="00E01B3E" w:rsidP="00E01B3E">
            <w:pPr>
              <w:keepNext/>
              <w:spacing w:before="40" w:after="40"/>
              <w:ind w:right="-57"/>
              <w:rPr>
                <w:rFonts w:ascii="Arial Narrow" w:hAnsi="Arial Narrow"/>
                <w:sz w:val="20"/>
                <w:szCs w:val="20"/>
              </w:rPr>
            </w:pPr>
          </w:p>
          <w:p w:rsidR="00E01B3E" w:rsidRPr="003B140D" w:rsidRDefault="00E01B3E" w:rsidP="00E01B3E">
            <w:pPr>
              <w:keepNext/>
              <w:spacing w:before="40" w:after="40"/>
              <w:ind w:right="-57"/>
              <w:rPr>
                <w:rFonts w:ascii="Arial Narrow" w:hAnsi="Arial Narrow"/>
                <w:sz w:val="20"/>
                <w:szCs w:val="20"/>
              </w:rPr>
            </w:pPr>
            <w:r w:rsidRPr="003B140D">
              <w:rPr>
                <w:rFonts w:ascii="Arial Narrow" w:hAnsi="Arial Narrow"/>
                <w:sz w:val="20"/>
                <w:szCs w:val="20"/>
              </w:rPr>
              <w:t>Keytruda</w:t>
            </w:r>
            <w:r w:rsidRPr="003B140D">
              <w:rPr>
                <w:rFonts w:ascii="Arial Narrow" w:hAnsi="Arial Narrow"/>
                <w:sz w:val="20"/>
                <w:szCs w:val="20"/>
                <w:vertAlign w:val="superscript"/>
              </w:rPr>
              <w:t>®</w:t>
            </w:r>
          </w:p>
        </w:tc>
        <w:tc>
          <w:tcPr>
            <w:tcW w:w="679" w:type="pct"/>
          </w:tcPr>
          <w:p w:rsidR="00E01B3E" w:rsidRPr="003B140D" w:rsidRDefault="00E01B3E" w:rsidP="00E01B3E">
            <w:pPr>
              <w:keepNext/>
              <w:spacing w:before="40" w:after="40"/>
              <w:ind w:right="-57"/>
              <w:rPr>
                <w:rFonts w:ascii="Arial Narrow" w:hAnsi="Arial Narrow"/>
                <w:sz w:val="20"/>
                <w:szCs w:val="20"/>
              </w:rPr>
            </w:pPr>
            <w:r w:rsidRPr="003B140D">
              <w:rPr>
                <w:rFonts w:ascii="Arial Narrow" w:hAnsi="Arial Narrow"/>
                <w:sz w:val="20"/>
                <w:szCs w:val="20"/>
              </w:rPr>
              <w:t>Merck Sharp &amp; Dohme (AU) Pty Ltd</w:t>
            </w:r>
          </w:p>
        </w:tc>
      </w:tr>
      <w:tr w:rsidR="00E01B3E" w:rsidRPr="003B140D" w:rsidTr="00E01B3E">
        <w:tc>
          <w:tcPr>
            <w:tcW w:w="5000" w:type="pct"/>
            <w:gridSpan w:val="7"/>
          </w:tcPr>
          <w:p w:rsidR="00E01B3E" w:rsidRPr="003B140D" w:rsidRDefault="00E01B3E" w:rsidP="00E01B3E">
            <w:pPr>
              <w:keepNext/>
              <w:spacing w:after="40"/>
              <w:rPr>
                <w:rFonts w:ascii="Arial Narrow" w:hAnsi="Arial Narrow"/>
                <w:b/>
                <w:sz w:val="20"/>
                <w:szCs w:val="20"/>
                <w:u w:val="single"/>
              </w:rPr>
            </w:pPr>
            <w:r w:rsidRPr="003B140D">
              <w:rPr>
                <w:rFonts w:ascii="Arial Narrow" w:hAnsi="Arial Narrow"/>
                <w:sz w:val="20"/>
                <w:szCs w:val="20"/>
              </w:rPr>
              <w:br w:type="page"/>
            </w:r>
            <w:r w:rsidRPr="003B140D">
              <w:rPr>
                <w:rFonts w:ascii="Arial Narrow" w:hAnsi="Arial Narrow"/>
                <w:b/>
                <w:sz w:val="20"/>
                <w:szCs w:val="20"/>
                <w:u w:val="single"/>
              </w:rPr>
              <w:t>Treatment phase: Initial treatment</w:t>
            </w:r>
          </w:p>
        </w:tc>
      </w:tr>
      <w:tr w:rsidR="00E01B3E" w:rsidRPr="003B140D" w:rsidTr="000D472E">
        <w:trPr>
          <w:trHeight w:val="275"/>
        </w:trPr>
        <w:tc>
          <w:tcPr>
            <w:tcW w:w="1285" w:type="pct"/>
            <w:tcBorders>
              <w:top w:val="single" w:sz="4" w:space="0" w:color="auto"/>
              <w:left w:val="single" w:sz="4" w:space="0" w:color="auto"/>
              <w:bottom w:val="single" w:sz="4" w:space="0" w:color="auto"/>
              <w:right w:val="single" w:sz="4" w:space="0" w:color="auto"/>
            </w:tcBorders>
          </w:tcPr>
          <w:p w:rsidR="00E01B3E" w:rsidRPr="00E17531" w:rsidRDefault="00E01B3E" w:rsidP="00E01B3E">
            <w:pPr>
              <w:spacing w:before="40" w:after="40"/>
              <w:rPr>
                <w:rFonts w:ascii="Arial Narrow" w:hAnsi="Arial Narrow"/>
                <w:b/>
                <w:sz w:val="20"/>
              </w:rPr>
            </w:pPr>
            <w:r w:rsidRPr="00E17531">
              <w:rPr>
                <w:rFonts w:ascii="Arial Narrow" w:hAnsi="Arial Narrow"/>
                <w:b/>
                <w:sz w:val="20"/>
              </w:rPr>
              <w:t>Category / Program</w:t>
            </w:r>
          </w:p>
        </w:tc>
        <w:tc>
          <w:tcPr>
            <w:tcW w:w="3715" w:type="pct"/>
            <w:gridSpan w:val="6"/>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Section 100 – Efficient funding of chemotherapy</w:t>
            </w:r>
          </w:p>
        </w:tc>
      </w:tr>
      <w:tr w:rsidR="00E01B3E" w:rsidRPr="003B140D" w:rsidTr="000D472E">
        <w:trPr>
          <w:trHeight w:val="360"/>
        </w:trPr>
        <w:tc>
          <w:tcPr>
            <w:tcW w:w="1285" w:type="pct"/>
            <w:tcBorders>
              <w:top w:val="single" w:sz="4" w:space="0" w:color="auto"/>
              <w:left w:val="single" w:sz="4" w:space="0" w:color="auto"/>
              <w:bottom w:val="single" w:sz="4" w:space="0" w:color="auto"/>
              <w:right w:val="single" w:sz="4" w:space="0" w:color="auto"/>
            </w:tcBorders>
          </w:tcPr>
          <w:p w:rsidR="00E01B3E" w:rsidRPr="00E17531" w:rsidRDefault="00E01B3E" w:rsidP="00E01B3E">
            <w:pPr>
              <w:spacing w:before="40" w:after="40"/>
              <w:rPr>
                <w:rFonts w:ascii="Arial Narrow" w:hAnsi="Arial Narrow"/>
                <w:b/>
                <w:sz w:val="20"/>
              </w:rPr>
            </w:pPr>
            <w:r w:rsidRPr="00E17531">
              <w:rPr>
                <w:rFonts w:ascii="Arial Narrow" w:hAnsi="Arial Narrow"/>
                <w:b/>
                <w:sz w:val="20"/>
              </w:rPr>
              <w:t>Prescriber type:</w:t>
            </w:r>
          </w:p>
        </w:tc>
        <w:tc>
          <w:tcPr>
            <w:tcW w:w="3715" w:type="pct"/>
            <w:gridSpan w:val="6"/>
            <w:tcBorders>
              <w:top w:val="single" w:sz="4" w:space="0" w:color="auto"/>
              <w:left w:val="single" w:sz="4" w:space="0" w:color="auto"/>
              <w:bottom w:val="single" w:sz="4" w:space="0" w:color="auto"/>
              <w:right w:val="single" w:sz="4" w:space="0" w:color="auto"/>
            </w:tcBorders>
          </w:tcPr>
          <w:p w:rsidR="00E01B3E" w:rsidRPr="003B140D" w:rsidRDefault="00E01B3E" w:rsidP="000D472E">
            <w:pPr>
              <w:spacing w:before="40" w:after="40"/>
              <w:rPr>
                <w:rFonts w:ascii="Arial Narrow" w:hAnsi="Arial Narrow"/>
                <w:sz w:val="20"/>
                <w:szCs w:val="20"/>
              </w:rPr>
            </w:pPr>
            <w:r w:rsidRPr="003B140D">
              <w:rPr>
                <w:rFonts w:ascii="Arial Narrow" w:hAnsi="Arial Narrow"/>
                <w:sz w:val="20"/>
                <w:szCs w:val="20"/>
              </w:rPr>
              <w:fldChar w:fldCharType="begin">
                <w:ffData>
                  <w:name w:val="Check1"/>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 xml:space="preserve">Dental  </w:t>
            </w:r>
            <w:r w:rsidRPr="003B140D">
              <w:rPr>
                <w:rFonts w:ascii="Arial Narrow" w:hAnsi="Arial Narrow"/>
                <w:sz w:val="20"/>
                <w:szCs w:val="20"/>
              </w:rPr>
              <w:fldChar w:fldCharType="begin">
                <w:ffData>
                  <w:name w:val=""/>
                  <w:enabled/>
                  <w:calcOnExit w:val="0"/>
                  <w:checkBox>
                    <w:sizeAuto/>
                    <w:default w:val="1"/>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 xml:space="preserve">Medical Practitioners  </w:t>
            </w:r>
            <w:r w:rsidRPr="003B140D">
              <w:rPr>
                <w:rFonts w:ascii="Arial Narrow" w:hAnsi="Arial Narrow"/>
                <w:sz w:val="20"/>
                <w:szCs w:val="20"/>
              </w:rPr>
              <w:fldChar w:fldCharType="begin">
                <w:ffData>
                  <w:name w:val="Check3"/>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 xml:space="preserve">Nurse practitioners  </w:t>
            </w:r>
            <w:r w:rsidRPr="003B140D">
              <w:rPr>
                <w:rFonts w:ascii="Arial Narrow" w:hAnsi="Arial Narrow"/>
                <w:sz w:val="20"/>
                <w:szCs w:val="20"/>
              </w:rPr>
              <w:fldChar w:fldCharType="begin">
                <w:ffData>
                  <w:name w:val=""/>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Optometrists</w:t>
            </w:r>
            <w:r w:rsidR="000D472E" w:rsidRPr="003B140D">
              <w:rPr>
                <w:rFonts w:ascii="Arial Narrow" w:hAnsi="Arial Narrow"/>
                <w:sz w:val="20"/>
                <w:szCs w:val="20"/>
              </w:rPr>
              <w:t xml:space="preserve">  </w:t>
            </w:r>
            <w:r w:rsidRPr="003B140D">
              <w:rPr>
                <w:rFonts w:ascii="Arial Narrow" w:hAnsi="Arial Narrow"/>
                <w:sz w:val="20"/>
                <w:szCs w:val="20"/>
              </w:rPr>
              <w:fldChar w:fldCharType="begin">
                <w:ffData>
                  <w:name w:val="Check5"/>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Midwives</w:t>
            </w:r>
          </w:p>
        </w:tc>
      </w:tr>
      <w:tr w:rsidR="00E01B3E" w:rsidRPr="003B140D" w:rsidTr="000D472E">
        <w:trPr>
          <w:trHeight w:val="223"/>
        </w:trPr>
        <w:tc>
          <w:tcPr>
            <w:tcW w:w="1285" w:type="pct"/>
            <w:tcBorders>
              <w:top w:val="single" w:sz="4" w:space="0" w:color="auto"/>
              <w:left w:val="single" w:sz="4" w:space="0" w:color="auto"/>
              <w:bottom w:val="single" w:sz="4" w:space="0" w:color="auto"/>
              <w:right w:val="single" w:sz="4" w:space="0" w:color="auto"/>
            </w:tcBorders>
          </w:tcPr>
          <w:p w:rsidR="00E01B3E" w:rsidRPr="00E17531" w:rsidRDefault="00E01B3E" w:rsidP="00E01B3E">
            <w:pPr>
              <w:spacing w:before="40" w:after="40"/>
              <w:rPr>
                <w:rFonts w:ascii="Arial Narrow" w:hAnsi="Arial Narrow"/>
                <w:b/>
                <w:sz w:val="20"/>
              </w:rPr>
            </w:pPr>
            <w:r w:rsidRPr="00E17531">
              <w:rPr>
                <w:rFonts w:ascii="Arial Narrow" w:hAnsi="Arial Narrow"/>
                <w:b/>
                <w:sz w:val="20"/>
              </w:rPr>
              <w:t>Severity:</w:t>
            </w:r>
          </w:p>
        </w:tc>
        <w:tc>
          <w:tcPr>
            <w:tcW w:w="3715" w:type="pct"/>
            <w:gridSpan w:val="6"/>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Stage IV (metastatic) previously untreated</w:t>
            </w:r>
          </w:p>
        </w:tc>
      </w:tr>
      <w:tr w:rsidR="00E01B3E" w:rsidRPr="003B140D" w:rsidTr="000D472E">
        <w:trPr>
          <w:trHeight w:val="285"/>
        </w:trPr>
        <w:tc>
          <w:tcPr>
            <w:tcW w:w="1285" w:type="pct"/>
            <w:tcBorders>
              <w:top w:val="single" w:sz="4" w:space="0" w:color="auto"/>
              <w:left w:val="single" w:sz="4" w:space="0" w:color="auto"/>
              <w:bottom w:val="single" w:sz="4" w:space="0" w:color="auto"/>
              <w:right w:val="single" w:sz="4" w:space="0" w:color="auto"/>
            </w:tcBorders>
          </w:tcPr>
          <w:p w:rsidR="00E01B3E" w:rsidRPr="00E17531" w:rsidRDefault="00E01B3E" w:rsidP="00E01B3E">
            <w:pPr>
              <w:spacing w:before="40" w:after="40"/>
              <w:rPr>
                <w:rFonts w:ascii="Arial Narrow" w:hAnsi="Arial Narrow"/>
                <w:b/>
                <w:sz w:val="20"/>
              </w:rPr>
            </w:pPr>
            <w:r w:rsidRPr="00E17531">
              <w:rPr>
                <w:rFonts w:ascii="Arial Narrow" w:hAnsi="Arial Narrow"/>
                <w:b/>
                <w:sz w:val="20"/>
              </w:rPr>
              <w:t>Condition:</w:t>
            </w:r>
          </w:p>
        </w:tc>
        <w:tc>
          <w:tcPr>
            <w:tcW w:w="3715" w:type="pct"/>
            <w:gridSpan w:val="6"/>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Non-small cell lung cancer (NSCLC)</w:t>
            </w:r>
          </w:p>
        </w:tc>
      </w:tr>
      <w:tr w:rsidR="00E01B3E" w:rsidRPr="003B140D" w:rsidTr="000D472E">
        <w:trPr>
          <w:trHeight w:val="191"/>
        </w:trPr>
        <w:tc>
          <w:tcPr>
            <w:tcW w:w="1285" w:type="pct"/>
            <w:tcBorders>
              <w:top w:val="single" w:sz="4" w:space="0" w:color="auto"/>
              <w:left w:val="single" w:sz="4" w:space="0" w:color="auto"/>
              <w:bottom w:val="single" w:sz="4" w:space="0" w:color="auto"/>
              <w:right w:val="single" w:sz="4" w:space="0" w:color="auto"/>
            </w:tcBorders>
          </w:tcPr>
          <w:p w:rsidR="00E01B3E" w:rsidRPr="00E17531" w:rsidRDefault="00E01B3E" w:rsidP="00E01B3E">
            <w:pPr>
              <w:spacing w:before="40" w:after="40"/>
              <w:rPr>
                <w:rFonts w:ascii="Arial Narrow" w:hAnsi="Arial Narrow"/>
                <w:b/>
                <w:sz w:val="20"/>
              </w:rPr>
            </w:pPr>
            <w:r w:rsidRPr="00E17531">
              <w:rPr>
                <w:rFonts w:ascii="Arial Narrow" w:hAnsi="Arial Narrow"/>
                <w:b/>
                <w:sz w:val="20"/>
              </w:rPr>
              <w:t>PBS Indication:</w:t>
            </w:r>
          </w:p>
        </w:tc>
        <w:tc>
          <w:tcPr>
            <w:tcW w:w="3715" w:type="pct"/>
            <w:gridSpan w:val="6"/>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line="276" w:lineRule="auto"/>
              <w:rPr>
                <w:rFonts w:ascii="Arial Narrow" w:hAnsi="Arial Narrow"/>
                <w:sz w:val="20"/>
                <w:szCs w:val="20"/>
                <w:vertAlign w:val="superscript"/>
              </w:rPr>
            </w:pPr>
            <w:r w:rsidRPr="003B140D">
              <w:rPr>
                <w:rFonts w:ascii="Arial Narrow" w:hAnsi="Arial Narrow"/>
                <w:sz w:val="20"/>
                <w:szCs w:val="20"/>
              </w:rPr>
              <w:t>Stage IV (metastatic) previously untreated non-small cell lung cancer</w:t>
            </w:r>
          </w:p>
        </w:tc>
      </w:tr>
      <w:tr w:rsidR="00E01B3E" w:rsidRPr="003B140D" w:rsidTr="000D472E">
        <w:trPr>
          <w:trHeight w:val="239"/>
        </w:trPr>
        <w:tc>
          <w:tcPr>
            <w:tcW w:w="1285" w:type="pct"/>
            <w:tcBorders>
              <w:top w:val="single" w:sz="4" w:space="0" w:color="auto"/>
              <w:left w:val="single" w:sz="4" w:space="0" w:color="auto"/>
              <w:bottom w:val="single" w:sz="4" w:space="0" w:color="auto"/>
              <w:right w:val="single" w:sz="4" w:space="0" w:color="auto"/>
            </w:tcBorders>
          </w:tcPr>
          <w:p w:rsidR="00E01B3E" w:rsidRPr="00E17531" w:rsidRDefault="00E01B3E" w:rsidP="00E01B3E">
            <w:pPr>
              <w:spacing w:before="40" w:after="40"/>
              <w:rPr>
                <w:rFonts w:ascii="Arial Narrow" w:hAnsi="Arial Narrow"/>
                <w:sz w:val="20"/>
              </w:rPr>
            </w:pPr>
            <w:r w:rsidRPr="00E17531">
              <w:rPr>
                <w:rFonts w:ascii="Arial Narrow" w:hAnsi="Arial Narrow"/>
                <w:b/>
                <w:sz w:val="20"/>
              </w:rPr>
              <w:lastRenderedPageBreak/>
              <w:t>Treatment phase:</w:t>
            </w:r>
          </w:p>
        </w:tc>
        <w:tc>
          <w:tcPr>
            <w:tcW w:w="3715" w:type="pct"/>
            <w:gridSpan w:val="6"/>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 xml:space="preserve">Initial </w:t>
            </w:r>
          </w:p>
        </w:tc>
      </w:tr>
      <w:tr w:rsidR="00E01B3E" w:rsidRPr="003B140D" w:rsidTr="000D472E">
        <w:trPr>
          <w:trHeight w:val="360"/>
        </w:trPr>
        <w:tc>
          <w:tcPr>
            <w:tcW w:w="1285" w:type="pct"/>
            <w:tcBorders>
              <w:top w:val="single" w:sz="4" w:space="0" w:color="auto"/>
              <w:left w:val="single" w:sz="4" w:space="0" w:color="auto"/>
              <w:bottom w:val="single" w:sz="4" w:space="0" w:color="auto"/>
              <w:right w:val="single" w:sz="4" w:space="0" w:color="auto"/>
            </w:tcBorders>
          </w:tcPr>
          <w:p w:rsidR="00E01B3E" w:rsidRPr="00E17531" w:rsidRDefault="00E01B3E" w:rsidP="00E01B3E">
            <w:pPr>
              <w:spacing w:before="40" w:after="40"/>
              <w:rPr>
                <w:rFonts w:ascii="Arial Narrow" w:hAnsi="Arial Narrow"/>
                <w:b/>
                <w:sz w:val="20"/>
              </w:rPr>
            </w:pPr>
            <w:r w:rsidRPr="00E17531">
              <w:rPr>
                <w:rFonts w:ascii="Arial Narrow" w:hAnsi="Arial Narrow"/>
                <w:b/>
                <w:sz w:val="20"/>
              </w:rPr>
              <w:t>Restriction Level / Method:</w:t>
            </w:r>
          </w:p>
        </w:tc>
        <w:tc>
          <w:tcPr>
            <w:tcW w:w="3715" w:type="pct"/>
            <w:gridSpan w:val="6"/>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Check1"/>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Restricted benefit</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Authority Required - In Writing</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Check3"/>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Authority Required - Telephone</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Authority Required – Emergency</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Check5"/>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Authority Required - Electronic</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
                  <w:enabled/>
                  <w:calcOnExit w:val="0"/>
                  <w:checkBox>
                    <w:sizeAuto/>
                    <w:default w:val="1"/>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Streamlined</w:t>
            </w:r>
          </w:p>
        </w:tc>
      </w:tr>
      <w:tr w:rsidR="00E01B3E" w:rsidRPr="003B140D" w:rsidTr="000D472E">
        <w:trPr>
          <w:trHeight w:val="360"/>
        </w:trPr>
        <w:tc>
          <w:tcPr>
            <w:tcW w:w="1285" w:type="pct"/>
            <w:tcBorders>
              <w:top w:val="single" w:sz="4" w:space="0" w:color="auto"/>
              <w:left w:val="single" w:sz="4" w:space="0" w:color="auto"/>
              <w:bottom w:val="single" w:sz="4" w:space="0" w:color="auto"/>
              <w:right w:val="single" w:sz="4" w:space="0" w:color="auto"/>
            </w:tcBorders>
          </w:tcPr>
          <w:p w:rsidR="00E01B3E" w:rsidRPr="00E17531" w:rsidRDefault="00E01B3E" w:rsidP="00E01B3E">
            <w:pPr>
              <w:spacing w:before="40" w:after="40"/>
              <w:rPr>
                <w:rFonts w:ascii="Arial Narrow" w:hAnsi="Arial Narrow"/>
                <w:b/>
                <w:sz w:val="20"/>
              </w:rPr>
            </w:pPr>
            <w:r w:rsidRPr="00E17531">
              <w:rPr>
                <w:rFonts w:ascii="Arial Narrow" w:hAnsi="Arial Narrow"/>
                <w:b/>
                <w:sz w:val="20"/>
              </w:rPr>
              <w:t>Clinical criteria:</w:t>
            </w:r>
          </w:p>
        </w:tc>
        <w:tc>
          <w:tcPr>
            <w:tcW w:w="3715" w:type="pct"/>
            <w:gridSpan w:val="6"/>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trike/>
                <w:sz w:val="20"/>
                <w:szCs w:val="20"/>
              </w:rPr>
              <w:t>The condition must be previously untreated</w:t>
            </w:r>
            <w:r w:rsidR="000B32B0" w:rsidRPr="003B140D">
              <w:rPr>
                <w:rFonts w:ascii="Arial Narrow" w:hAnsi="Arial Narrow"/>
                <w:sz w:val="20"/>
                <w:szCs w:val="20"/>
              </w:rPr>
              <w:t xml:space="preserve"> </w:t>
            </w:r>
            <w:r w:rsidR="000B32B0" w:rsidRPr="003B140D">
              <w:rPr>
                <w:rFonts w:ascii="Arial Narrow" w:hAnsi="Arial Narrow"/>
                <w:i/>
                <w:sz w:val="20"/>
                <w:szCs w:val="20"/>
              </w:rPr>
              <w:t>Patient must not have been treated for this condition in the metastatic setting</w:t>
            </w:r>
            <w:r w:rsidRPr="003B140D">
              <w:rPr>
                <w:rFonts w:ascii="Arial Narrow" w:hAnsi="Arial Narrow"/>
                <w:sz w:val="20"/>
                <w:szCs w:val="20"/>
              </w:rPr>
              <w:t>,</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AND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The treatment must be the sole PBS-subsidised therapy for this condition,</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AND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Patient must have a WHO performance status score of 0 or 1,</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AND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 xml:space="preserve">The treatment must not exceed a total of </w:t>
            </w:r>
            <w:r w:rsidRPr="001D781D">
              <w:rPr>
                <w:rFonts w:ascii="Arial Narrow" w:hAnsi="Arial Narrow"/>
                <w:strike/>
                <w:sz w:val="20"/>
                <w:szCs w:val="20"/>
              </w:rPr>
              <w:t>6</w:t>
            </w:r>
            <w:r w:rsidRPr="003B140D">
              <w:rPr>
                <w:rFonts w:ascii="Arial Narrow" w:hAnsi="Arial Narrow"/>
                <w:sz w:val="20"/>
                <w:szCs w:val="20"/>
              </w:rPr>
              <w:t xml:space="preserve"> </w:t>
            </w:r>
            <w:r w:rsidR="001D781D" w:rsidRPr="001D781D">
              <w:rPr>
                <w:rFonts w:ascii="Arial Narrow" w:hAnsi="Arial Narrow"/>
                <w:i/>
                <w:sz w:val="20"/>
                <w:szCs w:val="20"/>
              </w:rPr>
              <w:t>7</w:t>
            </w:r>
            <w:r w:rsidR="001D781D">
              <w:rPr>
                <w:rFonts w:ascii="Arial Narrow" w:hAnsi="Arial Narrow"/>
                <w:sz w:val="20"/>
                <w:szCs w:val="20"/>
              </w:rPr>
              <w:t xml:space="preserve"> </w:t>
            </w:r>
            <w:r w:rsidRPr="003B140D">
              <w:rPr>
                <w:rFonts w:ascii="Arial Narrow" w:hAnsi="Arial Narrow"/>
                <w:sz w:val="20"/>
                <w:szCs w:val="20"/>
              </w:rPr>
              <w:t>doses at a maximum dose of 200 mg every 3 weeks.</w:t>
            </w:r>
          </w:p>
        </w:tc>
      </w:tr>
      <w:tr w:rsidR="00E01B3E" w:rsidRPr="003B140D" w:rsidTr="000D472E">
        <w:trPr>
          <w:trHeight w:val="360"/>
        </w:trPr>
        <w:tc>
          <w:tcPr>
            <w:tcW w:w="1285" w:type="pct"/>
            <w:tcBorders>
              <w:top w:val="single" w:sz="4" w:space="0" w:color="auto"/>
              <w:left w:val="single" w:sz="4" w:space="0" w:color="auto"/>
              <w:bottom w:val="single" w:sz="4" w:space="0" w:color="auto"/>
              <w:right w:val="single" w:sz="4" w:space="0" w:color="auto"/>
            </w:tcBorders>
          </w:tcPr>
          <w:p w:rsidR="00E01B3E" w:rsidRPr="00E17531" w:rsidRDefault="00E01B3E" w:rsidP="00E01B3E">
            <w:pPr>
              <w:spacing w:before="40" w:after="40"/>
              <w:rPr>
                <w:rFonts w:ascii="Arial Narrow" w:hAnsi="Arial Narrow"/>
                <w:b/>
                <w:sz w:val="20"/>
              </w:rPr>
            </w:pPr>
            <w:r w:rsidRPr="00E17531">
              <w:rPr>
                <w:rFonts w:ascii="Arial Narrow" w:hAnsi="Arial Narrow"/>
                <w:b/>
                <w:sz w:val="20"/>
              </w:rPr>
              <w:t>Population criteria:</w:t>
            </w:r>
          </w:p>
        </w:tc>
        <w:tc>
          <w:tcPr>
            <w:tcW w:w="3715" w:type="pct"/>
            <w:gridSpan w:val="6"/>
            <w:tcBorders>
              <w:top w:val="single" w:sz="4" w:space="0" w:color="auto"/>
              <w:left w:val="single" w:sz="4" w:space="0" w:color="auto"/>
              <w:bottom w:val="single" w:sz="4" w:space="0" w:color="auto"/>
              <w:right w:val="single" w:sz="4" w:space="0" w:color="auto"/>
            </w:tcBorders>
          </w:tcPr>
          <w:p w:rsidR="00E01B3E" w:rsidRPr="003B140D" w:rsidRDefault="00E06BD4" w:rsidP="00E01B3E">
            <w:pPr>
              <w:spacing w:before="40" w:after="40"/>
              <w:rPr>
                <w:rFonts w:ascii="Arial Narrow" w:hAnsi="Arial Narrow"/>
                <w:sz w:val="20"/>
                <w:szCs w:val="20"/>
              </w:rPr>
            </w:pPr>
            <w:r w:rsidRPr="003B140D">
              <w:rPr>
                <w:rFonts w:ascii="Arial Narrow" w:hAnsi="Arial Narrow"/>
                <w:sz w:val="20"/>
                <w:szCs w:val="20"/>
              </w:rPr>
              <w:t>Patient must have evidence of programmed cell death ligand 1 (PD-L1) expression in at least 50% of tumour cells in the tumour sample</w:t>
            </w:r>
            <w:r w:rsidR="00E01B3E" w:rsidRPr="003B140D">
              <w:rPr>
                <w:rFonts w:ascii="Arial Narrow" w:hAnsi="Arial Narrow"/>
                <w:sz w:val="20"/>
                <w:szCs w:val="20"/>
              </w:rPr>
              <w:t>,</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AND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Patient must have no evidence of an activating epidermal growth factor receptor (EGFR) gene or of an anaplastic lymphoma kinase (ALK) gene rearrangement in tumour material.</w:t>
            </w:r>
          </w:p>
        </w:tc>
      </w:tr>
      <w:tr w:rsidR="00E01B3E" w:rsidRPr="003B140D" w:rsidTr="000D472E">
        <w:trPr>
          <w:trHeight w:val="360"/>
        </w:trPr>
        <w:tc>
          <w:tcPr>
            <w:tcW w:w="1285" w:type="pct"/>
            <w:tcBorders>
              <w:top w:val="single" w:sz="4" w:space="0" w:color="auto"/>
              <w:left w:val="single" w:sz="4" w:space="0" w:color="auto"/>
              <w:bottom w:val="single" w:sz="4" w:space="0" w:color="auto"/>
              <w:right w:val="single" w:sz="4" w:space="0" w:color="auto"/>
            </w:tcBorders>
          </w:tcPr>
          <w:p w:rsidR="00E01B3E" w:rsidRPr="00E17531" w:rsidRDefault="00E01B3E" w:rsidP="00E01B3E">
            <w:pPr>
              <w:spacing w:before="40" w:after="40"/>
              <w:rPr>
                <w:rFonts w:ascii="Arial Narrow" w:hAnsi="Arial Narrow"/>
                <w:b/>
                <w:sz w:val="20"/>
              </w:rPr>
            </w:pPr>
            <w:r w:rsidRPr="00E17531">
              <w:rPr>
                <w:rFonts w:ascii="Arial Narrow" w:hAnsi="Arial Narrow"/>
                <w:b/>
                <w:sz w:val="20"/>
              </w:rPr>
              <w:t>Administrative Advice</w:t>
            </w:r>
          </w:p>
        </w:tc>
        <w:tc>
          <w:tcPr>
            <w:tcW w:w="3715" w:type="pct"/>
            <w:gridSpan w:val="6"/>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No increase in the maximum number of repeats will be authorised.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Special pricing arrangements apply.</w:t>
            </w:r>
          </w:p>
        </w:tc>
      </w:tr>
    </w:tbl>
    <w:p w:rsidR="00E01B3E" w:rsidRPr="00E17531" w:rsidRDefault="00E01B3E" w:rsidP="00E01B3E">
      <w:pPr>
        <w:pStyle w:val="TableFooter"/>
      </w:pPr>
      <w:r w:rsidRPr="00E17531">
        <w:rPr>
          <w:vertAlign w:val="superscript"/>
        </w:rPr>
        <w:t>a</w:t>
      </w:r>
      <w:r w:rsidRPr="00E17531">
        <w:t xml:space="preserve"> Both for initial treatment and continuing treatment</w:t>
      </w:r>
    </w:p>
    <w:p w:rsidR="00E01B3E" w:rsidRPr="00E17531" w:rsidRDefault="00E01B3E" w:rsidP="00E01B3E">
      <w:pPr>
        <w:pStyle w:val="TableFooter"/>
      </w:pPr>
      <w:r w:rsidRPr="00E17531">
        <w:rPr>
          <w:vertAlign w:val="superscript"/>
        </w:rPr>
        <w:t>b</w:t>
      </w:r>
      <w:r w:rsidRPr="00E17531">
        <w:t xml:space="preserve"> The dispensed prices have been recalculated using the Efficient Funding of Chemotherapy (EFC) fees as updated in July 2017.</w:t>
      </w:r>
    </w:p>
    <w:p w:rsidR="00E01B3E" w:rsidRDefault="00E01B3E" w:rsidP="00D62320">
      <w:pPr>
        <w:pStyle w:val="TableFooter"/>
      </w:pPr>
      <w:r w:rsidRPr="00E17531">
        <w:rPr>
          <w:vertAlign w:val="superscript"/>
        </w:rPr>
        <w:t>c</w:t>
      </w:r>
      <w:r w:rsidRPr="00E17531">
        <w:t xml:space="preserve"> Prices related to proposed special price arrangement</w:t>
      </w:r>
    </w:p>
    <w:tbl>
      <w:tblPr>
        <w:tblW w:w="5000" w:type="pct"/>
        <w:tblLook w:val="0000" w:firstRow="0" w:lastRow="0" w:firstColumn="0" w:lastColumn="0" w:noHBand="0" w:noVBand="0"/>
      </w:tblPr>
      <w:tblGrid>
        <w:gridCol w:w="2375"/>
        <w:gridCol w:w="6867"/>
      </w:tblGrid>
      <w:tr w:rsidR="00E01B3E" w:rsidRPr="003B140D" w:rsidTr="00E01B3E">
        <w:trPr>
          <w:cantSplit/>
        </w:trPr>
        <w:tc>
          <w:tcPr>
            <w:tcW w:w="5000" w:type="pct"/>
            <w:gridSpan w:val="2"/>
          </w:tcPr>
          <w:p w:rsidR="00E01B3E" w:rsidRPr="003B140D" w:rsidRDefault="00E01B3E" w:rsidP="00E01B3E">
            <w:pPr>
              <w:keepNext/>
              <w:spacing w:before="40" w:after="40"/>
              <w:rPr>
                <w:rFonts w:ascii="Arial Narrow" w:hAnsi="Arial Narrow"/>
                <w:b/>
                <w:sz w:val="20"/>
                <w:szCs w:val="20"/>
                <w:u w:val="single"/>
              </w:rPr>
            </w:pPr>
            <w:r w:rsidRPr="003B140D">
              <w:rPr>
                <w:rFonts w:ascii="Arial Narrow" w:hAnsi="Arial Narrow"/>
                <w:b/>
                <w:sz w:val="20"/>
                <w:szCs w:val="20"/>
                <w:u w:val="single"/>
              </w:rPr>
              <w:t>Treatment phase: Grandfathering</w:t>
            </w:r>
          </w:p>
        </w:tc>
      </w:tr>
      <w:tr w:rsidR="00E01B3E" w:rsidRPr="003B140D" w:rsidTr="000D472E">
        <w:trPr>
          <w:trHeight w:val="275"/>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Category / Program</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Section 100 – Efficient funding of chemotherapy</w:t>
            </w:r>
          </w:p>
        </w:tc>
      </w:tr>
      <w:tr w:rsidR="00E01B3E" w:rsidRPr="003B140D" w:rsidTr="000D472E">
        <w:trPr>
          <w:trHeight w:val="360"/>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0D472E">
            <w:pPr>
              <w:spacing w:before="40" w:after="40"/>
              <w:rPr>
                <w:rFonts w:ascii="Arial Narrow" w:hAnsi="Arial Narrow"/>
                <w:b/>
                <w:sz w:val="20"/>
                <w:szCs w:val="20"/>
              </w:rPr>
            </w:pPr>
            <w:r w:rsidRPr="003B140D">
              <w:rPr>
                <w:rFonts w:ascii="Arial Narrow" w:hAnsi="Arial Narrow"/>
                <w:b/>
                <w:sz w:val="20"/>
                <w:szCs w:val="20"/>
              </w:rPr>
              <w:t>Prescriber type:</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0D472E">
            <w:pPr>
              <w:spacing w:before="40" w:after="40"/>
              <w:rPr>
                <w:rFonts w:ascii="Arial Narrow" w:hAnsi="Arial Narrow"/>
                <w:sz w:val="20"/>
                <w:szCs w:val="20"/>
              </w:rPr>
            </w:pPr>
            <w:r w:rsidRPr="003B140D">
              <w:rPr>
                <w:rFonts w:ascii="Arial Narrow" w:hAnsi="Arial Narrow"/>
                <w:sz w:val="20"/>
                <w:szCs w:val="20"/>
              </w:rPr>
              <w:fldChar w:fldCharType="begin">
                <w:ffData>
                  <w:name w:val="Check1"/>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 xml:space="preserve">Dental  </w:t>
            </w:r>
            <w:r w:rsidRPr="003B140D">
              <w:rPr>
                <w:rFonts w:ascii="Arial Narrow" w:hAnsi="Arial Narrow"/>
                <w:sz w:val="20"/>
                <w:szCs w:val="20"/>
              </w:rPr>
              <w:fldChar w:fldCharType="begin">
                <w:ffData>
                  <w:name w:val=""/>
                  <w:enabled/>
                  <w:calcOnExit w:val="0"/>
                  <w:checkBox>
                    <w:sizeAuto/>
                    <w:default w:val="1"/>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 xml:space="preserve">Medical Practitioners  </w:t>
            </w:r>
            <w:r w:rsidRPr="003B140D">
              <w:rPr>
                <w:rFonts w:ascii="Arial Narrow" w:hAnsi="Arial Narrow"/>
                <w:sz w:val="20"/>
                <w:szCs w:val="20"/>
              </w:rPr>
              <w:fldChar w:fldCharType="begin">
                <w:ffData>
                  <w:name w:val="Check3"/>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 xml:space="preserve">Nurse practitioners  </w:t>
            </w:r>
            <w:r w:rsidRPr="003B140D">
              <w:rPr>
                <w:rFonts w:ascii="Arial Narrow" w:hAnsi="Arial Narrow"/>
                <w:sz w:val="20"/>
                <w:szCs w:val="20"/>
              </w:rPr>
              <w:fldChar w:fldCharType="begin">
                <w:ffData>
                  <w:name w:val=""/>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Optometrists</w:t>
            </w:r>
            <w:r w:rsidR="000D472E" w:rsidRPr="003B140D">
              <w:rPr>
                <w:rFonts w:ascii="Arial Narrow" w:hAnsi="Arial Narrow"/>
                <w:sz w:val="20"/>
                <w:szCs w:val="20"/>
              </w:rPr>
              <w:t xml:space="preserve">  </w:t>
            </w:r>
            <w:r w:rsidRPr="003B140D">
              <w:rPr>
                <w:rFonts w:ascii="Arial Narrow" w:hAnsi="Arial Narrow"/>
                <w:sz w:val="20"/>
                <w:szCs w:val="20"/>
              </w:rPr>
              <w:fldChar w:fldCharType="begin">
                <w:ffData>
                  <w:name w:val="Check5"/>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Midwives</w:t>
            </w:r>
          </w:p>
        </w:tc>
      </w:tr>
      <w:tr w:rsidR="00E01B3E" w:rsidRPr="003B140D" w:rsidTr="000D472E">
        <w:trPr>
          <w:trHeight w:val="223"/>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Severity:</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Stage IV (metastatic) previously untreated</w:t>
            </w:r>
          </w:p>
        </w:tc>
      </w:tr>
      <w:tr w:rsidR="00E01B3E" w:rsidRPr="003B140D" w:rsidTr="000D472E">
        <w:trPr>
          <w:trHeight w:val="285"/>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Condition:</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Non-small cell lung cancer (NSCLC)</w:t>
            </w:r>
          </w:p>
        </w:tc>
      </w:tr>
      <w:tr w:rsidR="00E01B3E" w:rsidRPr="003B140D" w:rsidTr="000D472E">
        <w:trPr>
          <w:trHeight w:val="191"/>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PBS Indication:</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Stage IV (metastatic) previously untreated non-small cell lung cancer</w:t>
            </w:r>
          </w:p>
        </w:tc>
      </w:tr>
      <w:tr w:rsidR="00E01B3E" w:rsidRPr="003B140D" w:rsidTr="000D472E">
        <w:trPr>
          <w:trHeight w:val="239"/>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b/>
                <w:sz w:val="20"/>
                <w:szCs w:val="20"/>
              </w:rPr>
              <w:t>Treatment phase:</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 xml:space="preserve">Initial </w:t>
            </w:r>
          </w:p>
        </w:tc>
      </w:tr>
      <w:tr w:rsidR="00E01B3E" w:rsidRPr="003B140D" w:rsidTr="000D472E">
        <w:trPr>
          <w:trHeight w:val="360"/>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Restriction Level / Method:</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Check1"/>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Restricted benefit</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Authority Required - In Writing</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Check3"/>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Authority Required - Telephone</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Authority Required – Emergency</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Check5"/>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Authority Required - Electronic</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
                  <w:enabled/>
                  <w:calcOnExit w:val="0"/>
                  <w:checkBox>
                    <w:sizeAuto/>
                    <w:default w:val="1"/>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Streamlined</w:t>
            </w:r>
          </w:p>
        </w:tc>
      </w:tr>
      <w:tr w:rsidR="00E01B3E" w:rsidRPr="003B140D" w:rsidTr="000D472E">
        <w:trPr>
          <w:trHeight w:val="360"/>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Clinical criteria:</w:t>
            </w:r>
          </w:p>
        </w:tc>
        <w:tc>
          <w:tcPr>
            <w:tcW w:w="3715" w:type="pct"/>
            <w:tcBorders>
              <w:top w:val="single" w:sz="4" w:space="0" w:color="auto"/>
              <w:left w:val="single" w:sz="4" w:space="0" w:color="auto"/>
              <w:bottom w:val="single" w:sz="4" w:space="0" w:color="auto"/>
              <w:right w:val="single" w:sz="4" w:space="0" w:color="auto"/>
            </w:tcBorders>
          </w:tcPr>
          <w:p w:rsidR="00483297" w:rsidRPr="003B140D" w:rsidRDefault="00483297" w:rsidP="00E01B3E">
            <w:pPr>
              <w:spacing w:before="40" w:after="40"/>
              <w:rPr>
                <w:rFonts w:ascii="Arial Narrow" w:hAnsi="Arial Narrow"/>
                <w:sz w:val="20"/>
                <w:szCs w:val="20"/>
              </w:rPr>
            </w:pPr>
            <w:r w:rsidRPr="003B140D">
              <w:rPr>
                <w:rFonts w:ascii="Arial Narrow" w:hAnsi="Arial Narrow"/>
                <w:i/>
                <w:sz w:val="20"/>
                <w:szCs w:val="20"/>
              </w:rPr>
              <w:t>Patient must have stable or responding disease</w:t>
            </w:r>
            <w:r w:rsidRPr="003B140D">
              <w:rPr>
                <w:rFonts w:ascii="Arial Narrow" w:hAnsi="Arial Narrow"/>
                <w:sz w:val="20"/>
                <w:szCs w:val="20"/>
              </w:rPr>
              <w:t>,</w:t>
            </w:r>
          </w:p>
          <w:p w:rsidR="00483297" w:rsidRPr="003B140D" w:rsidRDefault="00483297" w:rsidP="00E01B3E">
            <w:pPr>
              <w:spacing w:before="40" w:after="40"/>
              <w:rPr>
                <w:rFonts w:ascii="Arial Narrow" w:hAnsi="Arial Narrow"/>
                <w:i/>
                <w:sz w:val="20"/>
                <w:szCs w:val="20"/>
              </w:rPr>
            </w:pPr>
            <w:r w:rsidRPr="003B140D">
              <w:rPr>
                <w:rFonts w:ascii="Arial Narrow" w:hAnsi="Arial Narrow"/>
                <w:i/>
                <w:sz w:val="20"/>
                <w:szCs w:val="20"/>
              </w:rPr>
              <w:t>AND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The treatment must be the sole PBS-subsidised therapy for this condition,</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lastRenderedPageBreak/>
              <w:t>AND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Patient must have previously received non-PBS subsidised treatment with this drug for this condition prior to (date of listing),</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AND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 xml:space="preserve">Patient must have </w:t>
            </w:r>
            <w:r w:rsidR="001D781D">
              <w:rPr>
                <w:rFonts w:ascii="Arial Narrow" w:hAnsi="Arial Narrow"/>
                <w:sz w:val="20"/>
                <w:szCs w:val="20"/>
              </w:rPr>
              <w:t xml:space="preserve">had </w:t>
            </w:r>
            <w:r w:rsidRPr="003B140D">
              <w:rPr>
                <w:rFonts w:ascii="Arial Narrow" w:hAnsi="Arial Narrow"/>
                <w:sz w:val="20"/>
                <w:szCs w:val="20"/>
              </w:rPr>
              <w:t>a WHO performance status of 0 or 1</w:t>
            </w:r>
            <w:r w:rsidR="001D781D">
              <w:rPr>
                <w:rFonts w:ascii="Arial Narrow" w:hAnsi="Arial Narrow"/>
                <w:sz w:val="20"/>
                <w:szCs w:val="20"/>
              </w:rPr>
              <w:t xml:space="preserve"> at the time of treatment initiation</w:t>
            </w:r>
            <w:r w:rsidRPr="003B140D">
              <w:rPr>
                <w:rFonts w:ascii="Arial Narrow" w:hAnsi="Arial Narrow"/>
                <w:sz w:val="20"/>
                <w:szCs w:val="20"/>
              </w:rPr>
              <w:t>,</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AN</w:t>
            </w:r>
            <w:r w:rsidR="002E6857">
              <w:rPr>
                <w:rFonts w:ascii="Arial Narrow" w:hAnsi="Arial Narrow"/>
                <w:sz w:val="20"/>
                <w:szCs w:val="20"/>
              </w:rPr>
              <w:t>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The treatment must not exceed a total of 6 doses at a maximum dose of 200 mg every 3 weeks.</w:t>
            </w:r>
          </w:p>
        </w:tc>
      </w:tr>
      <w:tr w:rsidR="00E01B3E" w:rsidRPr="003B140D" w:rsidTr="000D472E">
        <w:trPr>
          <w:trHeight w:val="360"/>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lastRenderedPageBreak/>
              <w:t>Population criteria:</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6BD4" w:rsidP="00E01B3E">
            <w:pPr>
              <w:spacing w:before="40" w:after="40"/>
              <w:rPr>
                <w:rFonts w:ascii="Arial Narrow" w:hAnsi="Arial Narrow"/>
                <w:sz w:val="20"/>
                <w:szCs w:val="20"/>
              </w:rPr>
            </w:pPr>
            <w:r w:rsidRPr="003B140D">
              <w:rPr>
                <w:rFonts w:ascii="Arial Narrow" w:hAnsi="Arial Narrow"/>
                <w:sz w:val="20"/>
                <w:szCs w:val="20"/>
              </w:rPr>
              <w:t>Patient must have evidence of programmed cell death ligand 1 (PD-L1) expression in at least 50% of tumour cells in the tumour sample</w:t>
            </w:r>
            <w:r w:rsidR="00E01B3E" w:rsidRPr="003B140D">
              <w:rPr>
                <w:rFonts w:ascii="Arial Narrow" w:hAnsi="Arial Narrow"/>
                <w:sz w:val="20"/>
                <w:szCs w:val="20"/>
              </w:rPr>
              <w:t>,</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AND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Patient must have no evidence of an activating epidermal growth factor</w:t>
            </w:r>
            <w:r w:rsidR="00E06BD4" w:rsidRPr="003B140D">
              <w:rPr>
                <w:rFonts w:ascii="Arial Narrow" w:hAnsi="Arial Narrow"/>
                <w:sz w:val="20"/>
                <w:szCs w:val="20"/>
              </w:rPr>
              <w:t xml:space="preserve"> receptor (EGFR)</w:t>
            </w:r>
            <w:r w:rsidRPr="003B140D">
              <w:rPr>
                <w:rFonts w:ascii="Arial Narrow" w:hAnsi="Arial Narrow"/>
                <w:sz w:val="20"/>
                <w:szCs w:val="20"/>
              </w:rPr>
              <w:t xml:space="preserve"> gene or of an anaplastic lymphoma kinase (ALK) gene rearrangement in tumour material.</w:t>
            </w:r>
          </w:p>
        </w:tc>
      </w:tr>
      <w:tr w:rsidR="00E01B3E" w:rsidRPr="003B140D" w:rsidTr="000D472E">
        <w:trPr>
          <w:trHeight w:val="360"/>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Administrative Advice</w:t>
            </w:r>
          </w:p>
        </w:tc>
        <w:tc>
          <w:tcPr>
            <w:tcW w:w="3715" w:type="pct"/>
            <w:tcBorders>
              <w:top w:val="single" w:sz="4" w:space="0" w:color="auto"/>
              <w:left w:val="single" w:sz="4" w:space="0" w:color="auto"/>
              <w:bottom w:val="single" w:sz="4" w:space="0" w:color="auto"/>
              <w:right w:val="single" w:sz="4" w:space="0" w:color="auto"/>
            </w:tcBorders>
          </w:tcPr>
          <w:p w:rsidR="000278E6" w:rsidRPr="003B140D" w:rsidRDefault="000278E6" w:rsidP="000278E6">
            <w:pPr>
              <w:spacing w:before="40" w:after="40"/>
              <w:rPr>
                <w:rFonts w:ascii="Arial Narrow" w:hAnsi="Arial Narrow"/>
                <w:i/>
                <w:sz w:val="20"/>
                <w:szCs w:val="20"/>
              </w:rPr>
            </w:pPr>
            <w:r w:rsidRPr="003B140D">
              <w:rPr>
                <w:rFonts w:ascii="Arial Narrow" w:hAnsi="Arial Narrow"/>
                <w:i/>
                <w:sz w:val="20"/>
                <w:szCs w:val="20"/>
              </w:rPr>
              <w:t>No increase in the maximum number of repeats will be authorised.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Special Pricing Arrangements apply.</w:t>
            </w:r>
          </w:p>
        </w:tc>
      </w:tr>
    </w:tbl>
    <w:p w:rsidR="00E01B3E" w:rsidRPr="003B140D" w:rsidRDefault="00E01B3E" w:rsidP="00E01B3E">
      <w:pPr>
        <w:rPr>
          <w:rFonts w:asciiTheme="minorHAnsi" w:hAnsiTheme="minorHAnsi"/>
        </w:rPr>
      </w:pPr>
    </w:p>
    <w:tbl>
      <w:tblPr>
        <w:tblW w:w="5000" w:type="pct"/>
        <w:tblLook w:val="0000" w:firstRow="0" w:lastRow="0" w:firstColumn="0" w:lastColumn="0" w:noHBand="0" w:noVBand="0"/>
      </w:tblPr>
      <w:tblGrid>
        <w:gridCol w:w="2375"/>
        <w:gridCol w:w="6867"/>
      </w:tblGrid>
      <w:tr w:rsidR="00E01B3E" w:rsidRPr="003B140D" w:rsidTr="00E01B3E">
        <w:trPr>
          <w:cantSplit/>
        </w:trPr>
        <w:tc>
          <w:tcPr>
            <w:tcW w:w="5000" w:type="pct"/>
            <w:gridSpan w:val="2"/>
          </w:tcPr>
          <w:p w:rsidR="00E01B3E" w:rsidRPr="003B140D" w:rsidRDefault="00E01B3E" w:rsidP="00E01B3E">
            <w:pPr>
              <w:keepNext/>
              <w:spacing w:before="40" w:after="40"/>
              <w:rPr>
                <w:rFonts w:ascii="Arial Narrow" w:hAnsi="Arial Narrow"/>
                <w:b/>
                <w:sz w:val="20"/>
                <w:szCs w:val="20"/>
                <w:u w:val="single"/>
              </w:rPr>
            </w:pPr>
            <w:r w:rsidRPr="003B140D">
              <w:rPr>
                <w:rFonts w:ascii="Arial Narrow" w:hAnsi="Arial Narrow"/>
                <w:b/>
                <w:sz w:val="20"/>
                <w:szCs w:val="20"/>
                <w:u w:val="single"/>
              </w:rPr>
              <w:t>Treatment phase: Continuing treatment</w:t>
            </w:r>
          </w:p>
        </w:tc>
      </w:tr>
      <w:tr w:rsidR="00E01B3E" w:rsidRPr="003B140D" w:rsidTr="000D472E">
        <w:trPr>
          <w:trHeight w:val="201"/>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Category / Program</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Section 100 – Efficient funding of chemotherapy</w:t>
            </w:r>
          </w:p>
        </w:tc>
      </w:tr>
      <w:tr w:rsidR="00E01B3E" w:rsidRPr="003B140D" w:rsidTr="000D472E">
        <w:trPr>
          <w:trHeight w:val="360"/>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Prescriber type:</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0D472E">
            <w:pPr>
              <w:spacing w:before="40" w:after="40"/>
              <w:rPr>
                <w:rFonts w:ascii="Arial Narrow" w:hAnsi="Arial Narrow"/>
                <w:sz w:val="20"/>
                <w:szCs w:val="20"/>
              </w:rPr>
            </w:pPr>
            <w:r w:rsidRPr="003B140D">
              <w:rPr>
                <w:rFonts w:ascii="Arial Narrow" w:hAnsi="Arial Narrow"/>
                <w:sz w:val="20"/>
                <w:szCs w:val="20"/>
              </w:rPr>
              <w:fldChar w:fldCharType="begin">
                <w:ffData>
                  <w:name w:val="Check1"/>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 xml:space="preserve">Dental  </w:t>
            </w:r>
            <w:r w:rsidRPr="003B140D">
              <w:rPr>
                <w:rFonts w:ascii="Arial Narrow" w:hAnsi="Arial Narrow"/>
                <w:sz w:val="20"/>
                <w:szCs w:val="20"/>
              </w:rPr>
              <w:fldChar w:fldCharType="begin">
                <w:ffData>
                  <w:name w:val=""/>
                  <w:enabled/>
                  <w:calcOnExit w:val="0"/>
                  <w:checkBox>
                    <w:sizeAuto/>
                    <w:default w:val="1"/>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 xml:space="preserve">Medical Practitioners  </w:t>
            </w:r>
            <w:r w:rsidRPr="003B140D">
              <w:rPr>
                <w:rFonts w:ascii="Arial Narrow" w:hAnsi="Arial Narrow"/>
                <w:sz w:val="20"/>
                <w:szCs w:val="20"/>
              </w:rPr>
              <w:fldChar w:fldCharType="begin">
                <w:ffData>
                  <w:name w:val="Check3"/>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 xml:space="preserve">Nurse practitioners  </w:t>
            </w:r>
            <w:r w:rsidRPr="003B140D">
              <w:rPr>
                <w:rFonts w:ascii="Arial Narrow" w:hAnsi="Arial Narrow"/>
                <w:sz w:val="20"/>
                <w:szCs w:val="20"/>
              </w:rPr>
              <w:fldChar w:fldCharType="begin">
                <w:ffData>
                  <w:name w:val=""/>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Optometrists</w:t>
            </w:r>
            <w:r w:rsidR="000D472E" w:rsidRPr="003B140D">
              <w:rPr>
                <w:rFonts w:ascii="Arial Narrow" w:hAnsi="Arial Narrow"/>
                <w:sz w:val="20"/>
                <w:szCs w:val="20"/>
              </w:rPr>
              <w:t xml:space="preserve">  </w:t>
            </w:r>
            <w:r w:rsidRPr="003B140D">
              <w:rPr>
                <w:rFonts w:ascii="Arial Narrow" w:hAnsi="Arial Narrow"/>
                <w:sz w:val="20"/>
                <w:szCs w:val="20"/>
              </w:rPr>
              <w:fldChar w:fldCharType="begin">
                <w:ffData>
                  <w:name w:val="Check5"/>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Midwives</w:t>
            </w:r>
          </w:p>
        </w:tc>
      </w:tr>
      <w:tr w:rsidR="00E01B3E" w:rsidRPr="003B140D" w:rsidTr="000D472E">
        <w:trPr>
          <w:trHeight w:val="106"/>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Severity:</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Stage IV previously untreated</w:t>
            </w:r>
          </w:p>
        </w:tc>
      </w:tr>
      <w:tr w:rsidR="00E01B3E" w:rsidRPr="003B140D" w:rsidTr="000D472E">
        <w:trPr>
          <w:trHeight w:val="67"/>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Condition:</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Non-small cell lung cancer</w:t>
            </w:r>
          </w:p>
        </w:tc>
      </w:tr>
      <w:tr w:rsidR="00E01B3E" w:rsidRPr="003B140D" w:rsidTr="000D472E">
        <w:trPr>
          <w:trHeight w:val="171"/>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PBS Indication:</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Stage IV (metastatic) previously untreated non-small cell lung cancer</w:t>
            </w:r>
          </w:p>
        </w:tc>
      </w:tr>
      <w:tr w:rsidR="00E01B3E" w:rsidRPr="003B140D" w:rsidTr="000D472E">
        <w:trPr>
          <w:trHeight w:val="275"/>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b/>
                <w:sz w:val="20"/>
                <w:szCs w:val="20"/>
              </w:rPr>
              <w:t>Treatment phase:</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 xml:space="preserve">Continuing </w:t>
            </w:r>
          </w:p>
        </w:tc>
      </w:tr>
      <w:tr w:rsidR="00E01B3E" w:rsidRPr="003B140D" w:rsidTr="000D472E">
        <w:trPr>
          <w:trHeight w:val="360"/>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Restriction Level / Method:</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Check1"/>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Restricted benefit</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Authority Required - In Writing</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Check3"/>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Authority Required - Telephone</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Authority Required – Emergency</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Check5"/>
                  <w:enabled/>
                  <w:calcOnExit w:val="0"/>
                  <w:checkBox>
                    <w:sizeAuto/>
                    <w:default w:val="0"/>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Authority Required - Electronic</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fldChar w:fldCharType="begin">
                <w:ffData>
                  <w:name w:val=""/>
                  <w:enabled/>
                  <w:calcOnExit w:val="0"/>
                  <w:checkBox>
                    <w:sizeAuto/>
                    <w:default w:val="1"/>
                  </w:checkBox>
                </w:ffData>
              </w:fldChar>
            </w:r>
            <w:r w:rsidRPr="003B140D">
              <w:rPr>
                <w:rFonts w:ascii="Arial Narrow" w:hAnsi="Arial Narrow"/>
                <w:sz w:val="20"/>
                <w:szCs w:val="20"/>
              </w:rPr>
              <w:instrText xml:space="preserve"> FORMCHECKBOX </w:instrText>
            </w:r>
            <w:r w:rsidR="00E964DA">
              <w:rPr>
                <w:rFonts w:ascii="Arial Narrow" w:hAnsi="Arial Narrow"/>
                <w:sz w:val="20"/>
                <w:szCs w:val="20"/>
              </w:rPr>
            </w:r>
            <w:r w:rsidR="00E964DA">
              <w:rPr>
                <w:rFonts w:ascii="Arial Narrow" w:hAnsi="Arial Narrow"/>
                <w:sz w:val="20"/>
                <w:szCs w:val="20"/>
              </w:rPr>
              <w:fldChar w:fldCharType="separate"/>
            </w:r>
            <w:r w:rsidRPr="003B140D">
              <w:rPr>
                <w:rFonts w:ascii="Arial Narrow" w:hAnsi="Arial Narrow"/>
                <w:sz w:val="20"/>
                <w:szCs w:val="20"/>
              </w:rPr>
              <w:fldChar w:fldCharType="end"/>
            </w:r>
            <w:r w:rsidRPr="003B140D">
              <w:rPr>
                <w:rFonts w:ascii="Arial Narrow" w:hAnsi="Arial Narrow"/>
                <w:sz w:val="20"/>
                <w:szCs w:val="20"/>
              </w:rPr>
              <w:t>Streamlined</w:t>
            </w:r>
          </w:p>
        </w:tc>
      </w:tr>
      <w:tr w:rsidR="00E01B3E" w:rsidRPr="003B140D" w:rsidTr="000D472E">
        <w:trPr>
          <w:trHeight w:val="360"/>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Clinical criteria:</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trike/>
                <w:sz w:val="20"/>
                <w:szCs w:val="20"/>
              </w:rPr>
              <w:t>Patient must not have progressive disease</w:t>
            </w:r>
            <w:r w:rsidR="00483297" w:rsidRPr="003B140D">
              <w:rPr>
                <w:rFonts w:ascii="Arial Narrow" w:hAnsi="Arial Narrow"/>
                <w:sz w:val="20"/>
                <w:szCs w:val="20"/>
              </w:rPr>
              <w:t xml:space="preserve"> </w:t>
            </w:r>
            <w:r w:rsidR="00483297" w:rsidRPr="003B140D">
              <w:rPr>
                <w:rFonts w:ascii="Arial Narrow" w:hAnsi="Arial Narrow"/>
                <w:i/>
                <w:sz w:val="20"/>
                <w:szCs w:val="20"/>
              </w:rPr>
              <w:t>Patient must have stable or responding disease</w:t>
            </w:r>
            <w:r w:rsidRPr="003B140D">
              <w:rPr>
                <w:rFonts w:ascii="Arial Narrow" w:hAnsi="Arial Narrow"/>
                <w:sz w:val="20"/>
                <w:szCs w:val="20"/>
              </w:rPr>
              <w:t>,</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AND</w:t>
            </w:r>
          </w:p>
          <w:p w:rsidR="00483297" w:rsidRPr="003B140D" w:rsidRDefault="00483297" w:rsidP="00E01B3E">
            <w:pPr>
              <w:spacing w:before="40" w:after="40"/>
              <w:rPr>
                <w:rFonts w:ascii="Arial Narrow" w:hAnsi="Arial Narrow"/>
                <w:i/>
                <w:sz w:val="20"/>
                <w:szCs w:val="20"/>
              </w:rPr>
            </w:pPr>
            <w:r w:rsidRPr="003B140D">
              <w:rPr>
                <w:rFonts w:ascii="Arial Narrow" w:hAnsi="Arial Narrow"/>
                <w:i/>
                <w:sz w:val="20"/>
                <w:szCs w:val="20"/>
              </w:rPr>
              <w:t>The treatment must be the sole PBS-subsidised treatment for this condition,</w:t>
            </w:r>
          </w:p>
          <w:p w:rsidR="00483297" w:rsidRPr="003B140D" w:rsidRDefault="00483297" w:rsidP="00E01B3E">
            <w:pPr>
              <w:spacing w:before="40" w:after="40"/>
              <w:rPr>
                <w:rFonts w:ascii="Arial Narrow" w:hAnsi="Arial Narrow"/>
                <w:i/>
                <w:sz w:val="20"/>
                <w:szCs w:val="20"/>
              </w:rPr>
            </w:pPr>
            <w:r w:rsidRPr="003B140D">
              <w:rPr>
                <w:rFonts w:ascii="Arial Narrow" w:hAnsi="Arial Narrow"/>
                <w:i/>
                <w:sz w:val="20"/>
                <w:szCs w:val="20"/>
              </w:rPr>
              <w:t>AND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Patient must have previously been issued with an authority prescription for this drug for this indication,</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AND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The treatment must not exceed a dose of 200 mg every 3 weeks,</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AND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Treatment must not exceed 35 administrations or 2 years of continuous treatment.</w:t>
            </w:r>
          </w:p>
        </w:tc>
      </w:tr>
      <w:tr w:rsidR="00E01B3E" w:rsidRPr="003B140D" w:rsidTr="000D472E">
        <w:trPr>
          <w:trHeight w:val="360"/>
        </w:trPr>
        <w:tc>
          <w:tcPr>
            <w:tcW w:w="128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b/>
                <w:sz w:val="20"/>
                <w:szCs w:val="20"/>
              </w:rPr>
            </w:pPr>
            <w:r w:rsidRPr="003B140D">
              <w:rPr>
                <w:rFonts w:ascii="Arial Narrow" w:hAnsi="Arial Narrow"/>
                <w:b/>
                <w:sz w:val="20"/>
                <w:szCs w:val="20"/>
              </w:rPr>
              <w:t>Administrative Advice</w:t>
            </w:r>
          </w:p>
        </w:tc>
        <w:tc>
          <w:tcPr>
            <w:tcW w:w="3715" w:type="pct"/>
            <w:tcBorders>
              <w:top w:val="single" w:sz="4" w:space="0" w:color="auto"/>
              <w:left w:val="single" w:sz="4" w:space="0" w:color="auto"/>
              <w:bottom w:val="single" w:sz="4" w:space="0" w:color="auto"/>
              <w:right w:val="single" w:sz="4" w:space="0" w:color="auto"/>
            </w:tcBorders>
          </w:tcPr>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No increase in the maximum number of repeats will be authorised.</w:t>
            </w:r>
          </w:p>
          <w:p w:rsidR="00E01B3E" w:rsidRPr="003B140D" w:rsidRDefault="00E01B3E" w:rsidP="00E01B3E">
            <w:pPr>
              <w:spacing w:before="40" w:after="40"/>
              <w:rPr>
                <w:rFonts w:ascii="Arial Narrow" w:hAnsi="Arial Narrow"/>
                <w:sz w:val="20"/>
                <w:szCs w:val="20"/>
              </w:rPr>
            </w:pPr>
            <w:r w:rsidRPr="003B140D">
              <w:rPr>
                <w:rFonts w:ascii="Arial Narrow" w:hAnsi="Arial Narrow"/>
                <w:sz w:val="20"/>
                <w:szCs w:val="20"/>
              </w:rPr>
              <w:t>Special pricing arrangements apply</w:t>
            </w:r>
          </w:p>
        </w:tc>
      </w:tr>
    </w:tbl>
    <w:p w:rsidR="00655231" w:rsidRPr="00500E75" w:rsidRDefault="00D62320" w:rsidP="003B140D">
      <w:pPr>
        <w:pStyle w:val="ListParagraph"/>
        <w:widowControl/>
        <w:numPr>
          <w:ilvl w:val="1"/>
          <w:numId w:val="5"/>
        </w:numPr>
        <w:spacing w:before="120" w:after="120"/>
        <w:contextualSpacing w:val="0"/>
        <w:rPr>
          <w:rFonts w:asciiTheme="minorHAnsi" w:eastAsiaTheme="minorHAnsi" w:hAnsiTheme="minorHAnsi" w:cstheme="minorBidi"/>
          <w:snapToGrid/>
          <w:sz w:val="24"/>
          <w:szCs w:val="24"/>
        </w:rPr>
      </w:pPr>
      <w:r w:rsidRPr="00B517C9">
        <w:rPr>
          <w:rFonts w:asciiTheme="minorHAnsi" w:eastAsiaTheme="minorHAnsi" w:hAnsiTheme="minorHAnsi" w:cstheme="minorBidi"/>
          <w:snapToGrid/>
          <w:sz w:val="24"/>
          <w:szCs w:val="24"/>
        </w:rPr>
        <w:t>The pre-PBAC response stated that the sponsor d</w:t>
      </w:r>
      <w:r w:rsidR="003B140D">
        <w:rPr>
          <w:rFonts w:asciiTheme="minorHAnsi" w:eastAsiaTheme="minorHAnsi" w:hAnsiTheme="minorHAnsi" w:cstheme="minorBidi"/>
          <w:snapToGrid/>
          <w:sz w:val="24"/>
          <w:szCs w:val="24"/>
        </w:rPr>
        <w:t>id</w:t>
      </w:r>
      <w:r w:rsidRPr="00B517C9">
        <w:rPr>
          <w:rFonts w:asciiTheme="minorHAnsi" w:eastAsiaTheme="minorHAnsi" w:hAnsiTheme="minorHAnsi" w:cstheme="minorBidi"/>
          <w:snapToGrid/>
          <w:sz w:val="24"/>
          <w:szCs w:val="24"/>
        </w:rPr>
        <w:t xml:space="preserve"> not agree to include the criterion for performance status in the grandfathering restriction. The PBAC noted that this criterion was included in the sponsor’s proposed wording for the grandfathering restriction </w:t>
      </w:r>
      <w:r w:rsidR="001D781D">
        <w:rPr>
          <w:rFonts w:asciiTheme="minorHAnsi" w:eastAsiaTheme="minorHAnsi" w:hAnsiTheme="minorHAnsi" w:cstheme="minorBidi"/>
          <w:snapToGrid/>
          <w:sz w:val="24"/>
          <w:szCs w:val="24"/>
        </w:rPr>
        <w:t xml:space="preserve">and </w:t>
      </w:r>
      <w:r w:rsidR="00B7652F">
        <w:rPr>
          <w:rFonts w:asciiTheme="minorHAnsi" w:eastAsiaTheme="minorHAnsi" w:hAnsiTheme="minorHAnsi" w:cstheme="minorBidi"/>
          <w:snapToGrid/>
          <w:sz w:val="24"/>
          <w:szCs w:val="24"/>
        </w:rPr>
        <w:t>confirmed</w:t>
      </w:r>
      <w:r w:rsidRPr="00B517C9">
        <w:rPr>
          <w:rFonts w:asciiTheme="minorHAnsi" w:eastAsiaTheme="minorHAnsi" w:hAnsiTheme="minorHAnsi" w:cstheme="minorBidi"/>
          <w:snapToGrid/>
          <w:sz w:val="24"/>
          <w:szCs w:val="24"/>
        </w:rPr>
        <w:t xml:space="preserve"> that it </w:t>
      </w:r>
      <w:r w:rsidR="003B140D">
        <w:rPr>
          <w:rFonts w:asciiTheme="minorHAnsi" w:eastAsiaTheme="minorHAnsi" w:hAnsiTheme="minorHAnsi" w:cstheme="minorBidi"/>
          <w:snapToGrid/>
          <w:sz w:val="24"/>
          <w:szCs w:val="24"/>
        </w:rPr>
        <w:t xml:space="preserve">would be </w:t>
      </w:r>
      <w:r w:rsidRPr="00B517C9">
        <w:rPr>
          <w:rFonts w:asciiTheme="minorHAnsi" w:eastAsiaTheme="minorHAnsi" w:hAnsiTheme="minorHAnsi" w:cstheme="minorBidi"/>
          <w:snapToGrid/>
          <w:sz w:val="24"/>
          <w:szCs w:val="24"/>
        </w:rPr>
        <w:t xml:space="preserve">necessary to include a criterion for performance status in the grandfathering restriction. </w:t>
      </w:r>
      <w:r w:rsidR="0001726E" w:rsidRPr="00B517C9">
        <w:rPr>
          <w:rFonts w:asciiTheme="minorHAnsi" w:eastAsiaTheme="minorHAnsi" w:hAnsiTheme="minorHAnsi" w:cstheme="minorBidi"/>
          <w:snapToGrid/>
          <w:sz w:val="24"/>
          <w:szCs w:val="24"/>
        </w:rPr>
        <w:t>The pre-PBAC response agreed with all other changes to the restriction as proposed by the Secretariat.</w:t>
      </w:r>
    </w:p>
    <w:p w:rsidR="00655231" w:rsidRPr="00BC5649" w:rsidRDefault="008C6270" w:rsidP="00655231">
      <w:pPr>
        <w:spacing w:after="120"/>
        <w:rPr>
          <w:rFonts w:asciiTheme="minorHAnsi" w:eastAsiaTheme="minorHAnsi" w:hAnsiTheme="minorHAnsi" w:cstheme="minorBidi"/>
          <w:i/>
        </w:rPr>
      </w:pPr>
      <w:r w:rsidRPr="00BC5649">
        <w:rPr>
          <w:rFonts w:asciiTheme="minorHAnsi" w:hAnsiTheme="minorHAnsi"/>
          <w:i/>
        </w:rPr>
        <w:t xml:space="preserve">For more detail on PBAC’s view, see section </w:t>
      </w:r>
      <w:r w:rsidR="00A97CEC" w:rsidRPr="00BC5649">
        <w:rPr>
          <w:rFonts w:asciiTheme="minorHAnsi" w:hAnsiTheme="minorHAnsi"/>
          <w:i/>
        </w:rPr>
        <w:t>6</w:t>
      </w:r>
      <w:r w:rsidRPr="00BC5649">
        <w:rPr>
          <w:rFonts w:asciiTheme="minorHAnsi" w:hAnsiTheme="minorHAnsi"/>
          <w:i/>
        </w:rPr>
        <w:t xml:space="preserve"> PBAC outcome.</w:t>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6E6F72" w:rsidRPr="006E6F72" w:rsidRDefault="006E6F72" w:rsidP="000278E6">
      <w:pPr>
        <w:pStyle w:val="ESHeading2"/>
        <w:spacing w:before="240"/>
        <w:rPr>
          <w:rFonts w:asciiTheme="minorHAnsi" w:hAnsiTheme="minorHAnsi"/>
        </w:rPr>
      </w:pPr>
      <w:r w:rsidRPr="006E6F72">
        <w:rPr>
          <w:rFonts w:asciiTheme="minorHAnsi" w:hAnsiTheme="minorHAnsi"/>
        </w:rPr>
        <w:t>Registration Status</w:t>
      </w:r>
    </w:p>
    <w:p w:rsidR="006E6F72" w:rsidRPr="00482DAA" w:rsidRDefault="006E6F72" w:rsidP="00482DAA">
      <w:pPr>
        <w:pStyle w:val="ListParagraph"/>
        <w:widowControl/>
        <w:numPr>
          <w:ilvl w:val="1"/>
          <w:numId w:val="5"/>
        </w:numPr>
        <w:spacing w:after="120"/>
        <w:contextualSpacing w:val="0"/>
        <w:rPr>
          <w:rFonts w:asciiTheme="minorHAnsi" w:hAnsiTheme="minorHAnsi"/>
          <w:sz w:val="24"/>
          <w:szCs w:val="24"/>
        </w:rPr>
      </w:pPr>
      <w:r w:rsidRPr="00482DAA">
        <w:rPr>
          <w:rFonts w:asciiTheme="minorHAnsi" w:hAnsiTheme="minorHAnsi"/>
          <w:sz w:val="24"/>
          <w:szCs w:val="24"/>
        </w:rPr>
        <w:t>In March 2017, pembrolizumab was approved by the TGA for the treatment of previously untreated metastatic NSCLC patients with tumours that are PD-L1 TPS ≥50% (as determined by a validated test), EGFR wildtype and ALK translocation negative.</w:t>
      </w:r>
    </w:p>
    <w:p w:rsidR="006E6F72" w:rsidRPr="006E6F72" w:rsidRDefault="006E6F72" w:rsidP="00F07A41">
      <w:pPr>
        <w:pStyle w:val="ListParagraph"/>
        <w:widowControl/>
        <w:numPr>
          <w:ilvl w:val="1"/>
          <w:numId w:val="5"/>
        </w:numPr>
        <w:contextualSpacing w:val="0"/>
        <w:rPr>
          <w:rFonts w:asciiTheme="minorHAnsi" w:eastAsiaTheme="minorHAnsi" w:hAnsiTheme="minorHAnsi" w:cstheme="minorBidi"/>
          <w:snapToGrid/>
          <w:sz w:val="24"/>
          <w:szCs w:val="22"/>
        </w:rPr>
      </w:pPr>
      <w:r w:rsidRPr="00482DAA">
        <w:rPr>
          <w:rFonts w:asciiTheme="minorHAnsi" w:hAnsiTheme="minorHAnsi"/>
          <w:sz w:val="24"/>
          <w:szCs w:val="24"/>
        </w:rPr>
        <w:t>Other TGA-approved indications include</w:t>
      </w:r>
      <w:r w:rsidRPr="006E6F72">
        <w:rPr>
          <w:rFonts w:asciiTheme="minorHAnsi" w:eastAsiaTheme="minorHAnsi" w:hAnsiTheme="minorHAnsi" w:cstheme="minorBidi"/>
          <w:snapToGrid/>
          <w:sz w:val="24"/>
          <w:szCs w:val="22"/>
        </w:rPr>
        <w:t>:</w:t>
      </w:r>
    </w:p>
    <w:p w:rsidR="00B1671D" w:rsidRDefault="00A43BB0" w:rsidP="00B1671D">
      <w:pPr>
        <w:pStyle w:val="ListParagraph"/>
        <w:numPr>
          <w:ilvl w:val="0"/>
          <w:numId w:val="16"/>
        </w:numPr>
        <w:spacing w:before="120" w:after="16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w:t>
      </w:r>
      <w:r w:rsidR="006E6F72" w:rsidRPr="006E6F72">
        <w:rPr>
          <w:rFonts w:asciiTheme="minorHAnsi" w:eastAsiaTheme="minorHAnsi" w:hAnsiTheme="minorHAnsi" w:cstheme="minorBidi"/>
          <w:snapToGrid/>
          <w:sz w:val="24"/>
          <w:szCs w:val="22"/>
        </w:rPr>
        <w:t>dvanced NSCLC whose tumours express PD-L1 with a ≥1% TPS (as determined by a validated test) and who have received p</w:t>
      </w:r>
      <w:r>
        <w:rPr>
          <w:rFonts w:asciiTheme="minorHAnsi" w:eastAsiaTheme="minorHAnsi" w:hAnsiTheme="minorHAnsi" w:cstheme="minorBidi"/>
          <w:snapToGrid/>
          <w:sz w:val="24"/>
          <w:szCs w:val="22"/>
        </w:rPr>
        <w:t>latinum-containing chemotherapy</w:t>
      </w:r>
    </w:p>
    <w:p w:rsidR="00B1671D" w:rsidRDefault="00A43BB0" w:rsidP="00B1671D">
      <w:pPr>
        <w:pStyle w:val="ListParagraph"/>
        <w:numPr>
          <w:ilvl w:val="0"/>
          <w:numId w:val="16"/>
        </w:numPr>
        <w:spacing w:before="120" w:after="16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u</w:t>
      </w:r>
      <w:r w:rsidR="006E6F72" w:rsidRPr="00B1671D">
        <w:rPr>
          <w:rFonts w:asciiTheme="minorHAnsi" w:eastAsiaTheme="minorHAnsi" w:hAnsiTheme="minorHAnsi" w:cstheme="minorBidi"/>
          <w:snapToGrid/>
          <w:sz w:val="24"/>
          <w:szCs w:val="22"/>
        </w:rPr>
        <w:t>nresectable or metastatic mel</w:t>
      </w:r>
      <w:r>
        <w:rPr>
          <w:rFonts w:asciiTheme="minorHAnsi" w:eastAsiaTheme="minorHAnsi" w:hAnsiTheme="minorHAnsi" w:cstheme="minorBidi"/>
          <w:snapToGrid/>
          <w:sz w:val="24"/>
          <w:szCs w:val="22"/>
        </w:rPr>
        <w:t>anoma in adults, as monotherapy</w:t>
      </w:r>
    </w:p>
    <w:p w:rsidR="005C453A" w:rsidRDefault="00A43BB0" w:rsidP="005C453A">
      <w:pPr>
        <w:pStyle w:val="ListParagraph"/>
        <w:numPr>
          <w:ilvl w:val="0"/>
          <w:numId w:val="16"/>
        </w:numPr>
        <w:spacing w:before="120" w:after="16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r</w:t>
      </w:r>
      <w:r w:rsidR="006E6F72" w:rsidRPr="00B1671D">
        <w:rPr>
          <w:rFonts w:asciiTheme="minorHAnsi" w:eastAsiaTheme="minorHAnsi" w:hAnsiTheme="minorHAnsi" w:cstheme="minorBidi"/>
          <w:snapToGrid/>
          <w:sz w:val="24"/>
          <w:szCs w:val="22"/>
        </w:rPr>
        <w:t>ecurrent or metastatic head and neck squamous cell carcinoma with disease progression on or after platinum-containing chemotherapy</w:t>
      </w:r>
    </w:p>
    <w:p w:rsidR="005C453A" w:rsidRPr="006D4EC2" w:rsidRDefault="005C453A" w:rsidP="005C453A">
      <w:pPr>
        <w:pStyle w:val="ListParagraph"/>
        <w:numPr>
          <w:ilvl w:val="0"/>
          <w:numId w:val="16"/>
        </w:numPr>
        <w:spacing w:before="120" w:after="160"/>
        <w:rPr>
          <w:rFonts w:asciiTheme="minorHAnsi" w:eastAsiaTheme="minorHAnsi" w:hAnsiTheme="minorHAnsi" w:cstheme="minorBidi"/>
          <w:snapToGrid/>
          <w:sz w:val="24"/>
          <w:szCs w:val="22"/>
        </w:rPr>
      </w:pPr>
      <w:r w:rsidRPr="006D4EC2">
        <w:rPr>
          <w:rFonts w:asciiTheme="minorHAnsi" w:eastAsiaTheme="minorHAnsi" w:hAnsiTheme="minorHAnsi" w:cstheme="minorBidi"/>
          <w:snapToGrid/>
          <w:sz w:val="24"/>
          <w:szCs w:val="22"/>
        </w:rPr>
        <w:t>monotherapy for the treatment of adult patients with relapsed or refractory classical Hodgkin Lymphoma following autologous stem cell transplant or at least two prior therapies</w:t>
      </w:r>
    </w:p>
    <w:p w:rsidR="006E6F72" w:rsidRPr="00B1671D" w:rsidRDefault="005C453A" w:rsidP="005C453A">
      <w:pPr>
        <w:pStyle w:val="ListParagraph"/>
        <w:numPr>
          <w:ilvl w:val="0"/>
          <w:numId w:val="16"/>
        </w:numPr>
        <w:spacing w:before="120" w:after="16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l</w:t>
      </w:r>
      <w:r w:rsidRPr="00B04312">
        <w:rPr>
          <w:rFonts w:asciiTheme="minorHAnsi" w:eastAsiaTheme="minorHAnsi" w:hAnsiTheme="minorHAnsi" w:cstheme="minorBidi"/>
          <w:snapToGrid/>
          <w:sz w:val="24"/>
          <w:szCs w:val="22"/>
        </w:rPr>
        <w:t>ocally advanced or metastatic urothelial carcinoma who have received platinum-containing</w:t>
      </w:r>
      <w:r>
        <w:rPr>
          <w:rFonts w:asciiTheme="minorHAnsi" w:eastAsiaTheme="minorHAnsi" w:hAnsiTheme="minorHAnsi" w:cstheme="minorBidi"/>
          <w:snapToGrid/>
          <w:sz w:val="24"/>
          <w:szCs w:val="22"/>
        </w:rPr>
        <w:t xml:space="preserve"> </w:t>
      </w:r>
      <w:r w:rsidRPr="00B04312">
        <w:rPr>
          <w:rFonts w:asciiTheme="minorHAnsi" w:eastAsiaTheme="minorHAnsi" w:hAnsiTheme="minorHAnsi" w:cstheme="minorBidi"/>
          <w:snapToGrid/>
          <w:sz w:val="24"/>
          <w:szCs w:val="22"/>
        </w:rPr>
        <w:t>chemotherapy</w:t>
      </w:r>
      <w:r>
        <w:rPr>
          <w:rFonts w:asciiTheme="minorHAnsi" w:eastAsiaTheme="minorHAnsi" w:hAnsiTheme="minorHAnsi" w:cstheme="minorBidi"/>
          <w:snapToGrid/>
          <w:sz w:val="24"/>
          <w:szCs w:val="22"/>
        </w:rPr>
        <w:t xml:space="preserve"> or are not eligible for cisplatin-containing therapy</w:t>
      </w:r>
      <w:r w:rsidR="006E6F72" w:rsidRPr="00B1671D">
        <w:rPr>
          <w:rFonts w:asciiTheme="minorHAnsi" w:eastAsiaTheme="minorHAnsi" w:hAnsiTheme="minorHAnsi" w:cstheme="minorBidi"/>
          <w:snapToGrid/>
          <w:sz w:val="24"/>
          <w:szCs w:val="22"/>
        </w:rPr>
        <w:t>.</w:t>
      </w:r>
    </w:p>
    <w:p w:rsidR="006E6F72" w:rsidRPr="00B1671D" w:rsidRDefault="006E6F72" w:rsidP="000278E6">
      <w:pPr>
        <w:pStyle w:val="ESHeading2"/>
        <w:spacing w:before="240"/>
        <w:rPr>
          <w:rFonts w:asciiTheme="minorHAnsi" w:hAnsiTheme="minorHAnsi"/>
        </w:rPr>
      </w:pPr>
      <w:r w:rsidRPr="00B1671D">
        <w:rPr>
          <w:rFonts w:asciiTheme="minorHAnsi" w:hAnsiTheme="minorHAnsi"/>
        </w:rPr>
        <w:t>Previous PBAC consideration</w:t>
      </w:r>
      <w:r w:rsidR="00961CA3">
        <w:rPr>
          <w:rFonts w:asciiTheme="minorHAnsi" w:hAnsiTheme="minorHAnsi"/>
        </w:rPr>
        <w:t>s</w:t>
      </w:r>
    </w:p>
    <w:p w:rsidR="0048378D" w:rsidRPr="00482DAA" w:rsidRDefault="00B1671D" w:rsidP="00482DAA">
      <w:pPr>
        <w:pStyle w:val="ListParagraph"/>
        <w:widowControl/>
        <w:numPr>
          <w:ilvl w:val="1"/>
          <w:numId w:val="5"/>
        </w:numPr>
        <w:spacing w:after="120"/>
        <w:contextualSpacing w:val="0"/>
        <w:rPr>
          <w:rFonts w:asciiTheme="minorHAnsi" w:hAnsiTheme="minorHAnsi"/>
          <w:sz w:val="24"/>
          <w:szCs w:val="24"/>
        </w:rPr>
      </w:pPr>
      <w:r w:rsidRPr="00482DAA">
        <w:rPr>
          <w:rFonts w:asciiTheme="minorHAnsi" w:hAnsiTheme="minorHAnsi"/>
          <w:sz w:val="24"/>
          <w:szCs w:val="24"/>
        </w:rPr>
        <w:t xml:space="preserve">This </w:t>
      </w:r>
      <w:r w:rsidR="003B140D">
        <w:rPr>
          <w:rFonts w:asciiTheme="minorHAnsi" w:hAnsiTheme="minorHAnsi"/>
          <w:sz w:val="24"/>
          <w:szCs w:val="24"/>
        </w:rPr>
        <w:t>wa</w:t>
      </w:r>
      <w:r w:rsidRPr="00482DAA">
        <w:rPr>
          <w:rFonts w:asciiTheme="minorHAnsi" w:hAnsiTheme="minorHAnsi"/>
          <w:sz w:val="24"/>
          <w:szCs w:val="24"/>
        </w:rPr>
        <w:t>s the third</w:t>
      </w:r>
      <w:r w:rsidR="006E6F72" w:rsidRPr="00482DAA">
        <w:rPr>
          <w:rFonts w:asciiTheme="minorHAnsi" w:hAnsiTheme="minorHAnsi"/>
          <w:sz w:val="24"/>
          <w:szCs w:val="24"/>
        </w:rPr>
        <w:t xml:space="preserve"> submission to the PBAC </w:t>
      </w:r>
      <w:r w:rsidRPr="00482DAA">
        <w:rPr>
          <w:rFonts w:asciiTheme="minorHAnsi" w:hAnsiTheme="minorHAnsi"/>
          <w:sz w:val="24"/>
          <w:szCs w:val="24"/>
        </w:rPr>
        <w:t>for pembrolizumab for</w:t>
      </w:r>
      <w:r w:rsidR="006E6F72" w:rsidRPr="00482DAA">
        <w:rPr>
          <w:rFonts w:asciiTheme="minorHAnsi" w:hAnsiTheme="minorHAnsi"/>
          <w:sz w:val="24"/>
          <w:szCs w:val="24"/>
        </w:rPr>
        <w:t xml:space="preserve"> the first-line treatment of NSCLC in</w:t>
      </w:r>
      <w:r w:rsidRPr="00482DAA">
        <w:rPr>
          <w:rFonts w:asciiTheme="minorHAnsi" w:hAnsiTheme="minorHAnsi"/>
          <w:sz w:val="24"/>
          <w:szCs w:val="24"/>
        </w:rPr>
        <w:t xml:space="preserve"> patients whose tumour</w:t>
      </w:r>
      <w:r w:rsidR="006E6F72" w:rsidRPr="00482DAA">
        <w:rPr>
          <w:rFonts w:asciiTheme="minorHAnsi" w:hAnsiTheme="minorHAnsi"/>
          <w:sz w:val="24"/>
          <w:szCs w:val="24"/>
        </w:rPr>
        <w:t xml:space="preserve"> express PD-L1 at</w:t>
      </w:r>
      <w:r w:rsidRPr="00482DAA">
        <w:rPr>
          <w:rFonts w:asciiTheme="minorHAnsi" w:hAnsiTheme="minorHAnsi"/>
          <w:sz w:val="24"/>
          <w:szCs w:val="24"/>
        </w:rPr>
        <w:t xml:space="preserve"> TPS ≥50%</w:t>
      </w:r>
      <w:r w:rsidR="006E6F72" w:rsidRPr="00482DAA">
        <w:rPr>
          <w:rFonts w:asciiTheme="minorHAnsi" w:hAnsiTheme="minorHAnsi"/>
          <w:sz w:val="24"/>
          <w:szCs w:val="24"/>
        </w:rPr>
        <w:t>. The first</w:t>
      </w:r>
      <w:r w:rsidRPr="00482DAA">
        <w:rPr>
          <w:rFonts w:asciiTheme="minorHAnsi" w:hAnsiTheme="minorHAnsi"/>
          <w:sz w:val="24"/>
          <w:szCs w:val="24"/>
        </w:rPr>
        <w:t xml:space="preserve"> two PBAC submissions were part of </w:t>
      </w:r>
      <w:r w:rsidR="006E6F72" w:rsidRPr="00482DAA">
        <w:rPr>
          <w:rFonts w:asciiTheme="minorHAnsi" w:hAnsiTheme="minorHAnsi"/>
          <w:sz w:val="24"/>
          <w:szCs w:val="24"/>
        </w:rPr>
        <w:t>integ</w:t>
      </w:r>
      <w:r w:rsidRPr="00482DAA">
        <w:rPr>
          <w:rFonts w:asciiTheme="minorHAnsi" w:hAnsiTheme="minorHAnsi"/>
          <w:sz w:val="24"/>
          <w:szCs w:val="24"/>
        </w:rPr>
        <w:t>rated codependent submission</w:t>
      </w:r>
      <w:r w:rsidR="00A43BB0">
        <w:rPr>
          <w:rFonts w:asciiTheme="minorHAnsi" w:hAnsiTheme="minorHAnsi"/>
          <w:sz w:val="24"/>
          <w:szCs w:val="24"/>
        </w:rPr>
        <w:t>s</w:t>
      </w:r>
      <w:r w:rsidRPr="00482DAA">
        <w:rPr>
          <w:rFonts w:asciiTheme="minorHAnsi" w:hAnsiTheme="minorHAnsi"/>
          <w:sz w:val="24"/>
          <w:szCs w:val="24"/>
        </w:rPr>
        <w:t xml:space="preserve"> considered in March and November</w:t>
      </w:r>
      <w:r w:rsidR="006E6F72" w:rsidRPr="00482DAA">
        <w:rPr>
          <w:rFonts w:asciiTheme="minorHAnsi" w:hAnsiTheme="minorHAnsi"/>
          <w:sz w:val="24"/>
          <w:szCs w:val="24"/>
        </w:rPr>
        <w:t xml:space="preserve"> 2017.</w:t>
      </w:r>
    </w:p>
    <w:p w:rsidR="0048378D" w:rsidRPr="00482DAA" w:rsidRDefault="006E6F72" w:rsidP="00482DAA">
      <w:pPr>
        <w:pStyle w:val="ListParagraph"/>
        <w:widowControl/>
        <w:numPr>
          <w:ilvl w:val="1"/>
          <w:numId w:val="5"/>
        </w:numPr>
        <w:spacing w:after="120"/>
        <w:contextualSpacing w:val="0"/>
        <w:rPr>
          <w:rFonts w:asciiTheme="minorHAnsi" w:hAnsiTheme="minorHAnsi"/>
          <w:sz w:val="24"/>
          <w:szCs w:val="24"/>
        </w:rPr>
      </w:pPr>
      <w:r w:rsidRPr="00482DAA">
        <w:rPr>
          <w:rFonts w:asciiTheme="minorHAnsi" w:hAnsiTheme="minorHAnsi"/>
          <w:sz w:val="24"/>
          <w:szCs w:val="24"/>
        </w:rPr>
        <w:t>Pembrolizumab is currently listed on the PBS for unresectable Stage III or Stage IV malignant melanoma, regardless of PD-L1 expression.</w:t>
      </w:r>
    </w:p>
    <w:p w:rsidR="0048378D" w:rsidRPr="00482DAA" w:rsidRDefault="006E6F72" w:rsidP="00482DAA">
      <w:pPr>
        <w:pStyle w:val="ListParagraph"/>
        <w:widowControl/>
        <w:numPr>
          <w:ilvl w:val="1"/>
          <w:numId w:val="5"/>
        </w:numPr>
        <w:spacing w:after="120"/>
        <w:contextualSpacing w:val="0"/>
        <w:rPr>
          <w:rFonts w:asciiTheme="minorHAnsi" w:hAnsiTheme="minorHAnsi"/>
          <w:sz w:val="24"/>
          <w:szCs w:val="24"/>
        </w:rPr>
      </w:pPr>
      <w:r w:rsidRPr="00482DAA">
        <w:rPr>
          <w:rFonts w:asciiTheme="minorHAnsi" w:hAnsiTheme="minorHAnsi"/>
          <w:sz w:val="24"/>
          <w:szCs w:val="24"/>
        </w:rPr>
        <w:t>At the March 2017 PBAC meeting, an integrated codependent submission to list pembrolizumab as first-line treatment for patients with Stage IIIB/IV, PD-L1 TPS ≥50% NSCLC was rejected by the PBAC on the basis of unfavourable and uncertain cost-effectiveness. The PBAC also advised that there was uncertainty in selecting a PD-L1 expression threshold to define an optimal patient population mostly likely to respond to treatment (Item 6.04, public summary document (PSD), March 2017).</w:t>
      </w:r>
    </w:p>
    <w:p w:rsidR="00B126B8" w:rsidRPr="00482DAA" w:rsidRDefault="0048378D" w:rsidP="00482DAA">
      <w:pPr>
        <w:pStyle w:val="ListParagraph"/>
        <w:widowControl/>
        <w:numPr>
          <w:ilvl w:val="1"/>
          <w:numId w:val="5"/>
        </w:numPr>
        <w:spacing w:after="120"/>
        <w:contextualSpacing w:val="0"/>
        <w:rPr>
          <w:rFonts w:asciiTheme="minorHAnsi" w:hAnsiTheme="minorHAnsi"/>
          <w:sz w:val="24"/>
          <w:szCs w:val="24"/>
        </w:rPr>
      </w:pPr>
      <w:r w:rsidRPr="00482DAA">
        <w:rPr>
          <w:rFonts w:asciiTheme="minorHAnsi" w:hAnsiTheme="minorHAnsi"/>
          <w:sz w:val="24"/>
          <w:szCs w:val="24"/>
        </w:rPr>
        <w:t xml:space="preserve">At the November 2017 PBAC meeting, the integrated codependent resubmission for pembrolizumab </w:t>
      </w:r>
      <w:r w:rsidR="00B126B8" w:rsidRPr="00482DAA">
        <w:rPr>
          <w:rFonts w:asciiTheme="minorHAnsi" w:hAnsiTheme="minorHAnsi"/>
          <w:sz w:val="24"/>
          <w:szCs w:val="24"/>
        </w:rPr>
        <w:t xml:space="preserve">as first-line treatment for patients with Stage IV, PD-L1 TPS ≥50% NSCLC </w:t>
      </w:r>
      <w:r w:rsidRPr="00482DAA">
        <w:rPr>
          <w:rFonts w:asciiTheme="minorHAnsi" w:hAnsiTheme="minorHAnsi"/>
          <w:sz w:val="24"/>
          <w:szCs w:val="24"/>
        </w:rPr>
        <w:t>was deferred by the PBAC. In deciding to defer, the PBAC advised that (i) a further price reduction would be required for acceptable cost effectiveness once necessary changes are made to the economic evaluation; (ii) negotiations with the sponsor are required to determine the best approach for a Risk Sharing Agreement (RSA) in the context of the existing RSA for nivolumab in NSCLC; and (iii) updated</w:t>
      </w:r>
      <w:r w:rsidR="00482D8C" w:rsidRPr="00482DAA">
        <w:rPr>
          <w:rFonts w:asciiTheme="minorHAnsi" w:hAnsiTheme="minorHAnsi"/>
          <w:sz w:val="24"/>
          <w:szCs w:val="24"/>
        </w:rPr>
        <w:t xml:space="preserve"> advice is needed from MSAC</w:t>
      </w:r>
      <w:r w:rsidRPr="00482DAA">
        <w:rPr>
          <w:rFonts w:asciiTheme="minorHAnsi" w:hAnsiTheme="minorHAnsi"/>
          <w:sz w:val="24"/>
          <w:szCs w:val="24"/>
        </w:rPr>
        <w:t xml:space="preserve"> in relation to the codependent PD-L1 test. The PBAC also advised that, if MSAC subsequently decided to support the MBS listing for PD-L1, it would support the listing of pembrolizumab according to the circumstances supported by MSAC, once the PBAC</w:t>
      </w:r>
      <w:r w:rsidR="00482D8C" w:rsidRPr="00482DAA">
        <w:rPr>
          <w:rFonts w:asciiTheme="minorHAnsi" w:hAnsiTheme="minorHAnsi"/>
          <w:sz w:val="24"/>
          <w:szCs w:val="24"/>
        </w:rPr>
        <w:t>’s other concerns were resolved (paragraph 7.1, pembrolizum</w:t>
      </w:r>
      <w:r w:rsidR="00A43BB0">
        <w:rPr>
          <w:rFonts w:asciiTheme="minorHAnsi" w:hAnsiTheme="minorHAnsi"/>
          <w:sz w:val="24"/>
          <w:szCs w:val="24"/>
        </w:rPr>
        <w:t>ab November 2017 PBAC</w:t>
      </w:r>
      <w:r w:rsidR="00D631AF">
        <w:rPr>
          <w:rFonts w:asciiTheme="minorHAnsi" w:hAnsiTheme="minorHAnsi"/>
          <w:sz w:val="24"/>
          <w:szCs w:val="24"/>
        </w:rPr>
        <w:t xml:space="preserve"> </w:t>
      </w:r>
      <w:r w:rsidR="00BC5649">
        <w:rPr>
          <w:rFonts w:asciiTheme="minorHAnsi" w:hAnsiTheme="minorHAnsi"/>
          <w:sz w:val="24"/>
          <w:szCs w:val="24"/>
        </w:rPr>
        <w:t>PSD</w:t>
      </w:r>
      <w:r w:rsidR="00A43BB0">
        <w:rPr>
          <w:rFonts w:asciiTheme="minorHAnsi" w:hAnsiTheme="minorHAnsi"/>
          <w:sz w:val="24"/>
          <w:szCs w:val="24"/>
        </w:rPr>
        <w:t>).</w:t>
      </w:r>
    </w:p>
    <w:p w:rsidR="0007053C" w:rsidRPr="00482DAA" w:rsidRDefault="00482D8C" w:rsidP="00482DAA">
      <w:pPr>
        <w:pStyle w:val="ListParagraph"/>
        <w:widowControl/>
        <w:numPr>
          <w:ilvl w:val="1"/>
          <w:numId w:val="5"/>
        </w:numPr>
        <w:spacing w:after="120"/>
        <w:contextualSpacing w:val="0"/>
        <w:rPr>
          <w:rFonts w:asciiTheme="minorHAnsi" w:hAnsiTheme="minorHAnsi"/>
          <w:sz w:val="24"/>
          <w:szCs w:val="24"/>
        </w:rPr>
      </w:pPr>
      <w:r w:rsidRPr="00482DAA">
        <w:rPr>
          <w:rFonts w:asciiTheme="minorHAnsi" w:hAnsiTheme="minorHAnsi"/>
          <w:sz w:val="24"/>
          <w:szCs w:val="24"/>
        </w:rPr>
        <w:t>The minor resubmission stated that MSAC ha</w:t>
      </w:r>
      <w:r w:rsidR="00A43BB0">
        <w:rPr>
          <w:rFonts w:asciiTheme="minorHAnsi" w:hAnsiTheme="minorHAnsi"/>
          <w:sz w:val="24"/>
          <w:szCs w:val="24"/>
        </w:rPr>
        <w:t>s</w:t>
      </w:r>
      <w:r w:rsidRPr="00482DAA">
        <w:rPr>
          <w:rFonts w:asciiTheme="minorHAnsi" w:hAnsiTheme="minorHAnsi"/>
          <w:sz w:val="24"/>
          <w:szCs w:val="24"/>
        </w:rPr>
        <w:t xml:space="preserve"> endorsed use of PD-L1 testing for eligibility to pembrolizumab and that </w:t>
      </w:r>
      <w:r w:rsidR="00A43BB0">
        <w:rPr>
          <w:rFonts w:asciiTheme="minorHAnsi" w:hAnsiTheme="minorHAnsi"/>
          <w:sz w:val="24"/>
          <w:szCs w:val="24"/>
        </w:rPr>
        <w:t>its</w:t>
      </w:r>
      <w:r w:rsidRPr="00482DAA">
        <w:rPr>
          <w:rFonts w:asciiTheme="minorHAnsi" w:hAnsiTheme="minorHAnsi"/>
          <w:sz w:val="24"/>
          <w:szCs w:val="24"/>
        </w:rPr>
        <w:t xml:space="preserve"> final ratification is expected following a positive PBAC recommendation.</w:t>
      </w:r>
    </w:p>
    <w:p w:rsidR="00655231" w:rsidRPr="00BC5649" w:rsidRDefault="008C6270" w:rsidP="00655231">
      <w:pPr>
        <w:spacing w:after="120"/>
        <w:rPr>
          <w:rFonts w:asciiTheme="minorHAnsi" w:hAnsiTheme="minorHAnsi"/>
          <w:i/>
        </w:rPr>
      </w:pPr>
      <w:r w:rsidRPr="00BC5649">
        <w:rPr>
          <w:rFonts w:asciiTheme="minorHAnsi" w:hAnsiTheme="minorHAnsi"/>
          <w:i/>
        </w:rPr>
        <w:t xml:space="preserve">For more detail on PBAC’s view, see section </w:t>
      </w:r>
      <w:r w:rsidR="00A97CEC" w:rsidRPr="00BC5649">
        <w:rPr>
          <w:rFonts w:asciiTheme="minorHAnsi" w:hAnsiTheme="minorHAnsi"/>
          <w:i/>
        </w:rPr>
        <w:t>6</w:t>
      </w:r>
      <w:r w:rsidRPr="00BC5649">
        <w:rPr>
          <w:rFonts w:asciiTheme="minorHAnsi" w:hAnsiTheme="minorHAnsi"/>
          <w:i/>
        </w:rPr>
        <w:t xml:space="preserve"> PBAC outcome.</w:t>
      </w:r>
    </w:p>
    <w:p w:rsidR="005A3173" w:rsidRPr="00E42BDB" w:rsidRDefault="005A3173" w:rsidP="00D31150">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Comparator</w:t>
      </w:r>
    </w:p>
    <w:p w:rsidR="008A1956" w:rsidRDefault="00FF2801" w:rsidP="00620D3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minor </w:t>
      </w:r>
      <w:r w:rsidR="00E91753">
        <w:rPr>
          <w:rFonts w:asciiTheme="minorHAnsi" w:eastAsiaTheme="minorHAnsi" w:hAnsiTheme="minorHAnsi" w:cstheme="minorBidi"/>
          <w:snapToGrid/>
          <w:sz w:val="24"/>
          <w:szCs w:val="22"/>
        </w:rPr>
        <w:t>re</w:t>
      </w:r>
      <w:r w:rsidRPr="001B2BBC">
        <w:rPr>
          <w:rFonts w:asciiTheme="minorHAnsi" w:eastAsiaTheme="minorHAnsi" w:hAnsiTheme="minorHAnsi" w:cstheme="minorBidi"/>
          <w:snapToGrid/>
          <w:sz w:val="24"/>
          <w:szCs w:val="22"/>
        </w:rPr>
        <w:t xml:space="preserve">submission </w:t>
      </w:r>
      <w:r w:rsidR="00620D39">
        <w:rPr>
          <w:rFonts w:asciiTheme="minorHAnsi" w:eastAsiaTheme="minorHAnsi" w:hAnsiTheme="minorHAnsi" w:cstheme="minorBidi"/>
          <w:snapToGrid/>
          <w:sz w:val="24"/>
          <w:szCs w:val="22"/>
        </w:rPr>
        <w:t xml:space="preserve">did not change the main comparator nominated in the March and November 2017 codependent submissions: </w:t>
      </w:r>
      <w:r w:rsidR="00620D39" w:rsidRPr="00620D39">
        <w:rPr>
          <w:rFonts w:asciiTheme="minorHAnsi" w:eastAsiaTheme="minorHAnsi" w:hAnsiTheme="minorHAnsi" w:cstheme="minorBidi"/>
          <w:snapToGrid/>
          <w:sz w:val="24"/>
          <w:szCs w:val="22"/>
        </w:rPr>
        <w:t>no test and treatment with platinum-based doublet chemotherapy for all patients</w:t>
      </w:r>
      <w:r w:rsidR="00620D39">
        <w:rPr>
          <w:rFonts w:asciiTheme="minorHAnsi" w:eastAsiaTheme="minorHAnsi" w:hAnsiTheme="minorHAnsi" w:cstheme="minorBidi"/>
          <w:snapToGrid/>
          <w:sz w:val="24"/>
          <w:szCs w:val="22"/>
        </w:rPr>
        <w:t xml:space="preserve">. The PBAC previously accepted </w:t>
      </w:r>
      <w:r w:rsidR="00A43BB0" w:rsidRPr="00620D39">
        <w:rPr>
          <w:rFonts w:asciiTheme="minorHAnsi" w:eastAsiaTheme="minorHAnsi" w:hAnsiTheme="minorHAnsi" w:cstheme="minorBidi"/>
          <w:snapToGrid/>
          <w:sz w:val="24"/>
          <w:szCs w:val="22"/>
        </w:rPr>
        <w:t>platinum-based doublet chemotherapy</w:t>
      </w:r>
      <w:r w:rsidR="00620D39">
        <w:rPr>
          <w:rFonts w:asciiTheme="minorHAnsi" w:eastAsiaTheme="minorHAnsi" w:hAnsiTheme="minorHAnsi" w:cstheme="minorBidi"/>
          <w:snapToGrid/>
          <w:sz w:val="24"/>
          <w:szCs w:val="22"/>
        </w:rPr>
        <w:t xml:space="preserve"> as the appropriate comparator</w:t>
      </w:r>
      <w:r w:rsidR="00A43BB0">
        <w:rPr>
          <w:rFonts w:asciiTheme="minorHAnsi" w:eastAsiaTheme="minorHAnsi" w:hAnsiTheme="minorHAnsi" w:cstheme="minorBidi"/>
          <w:snapToGrid/>
          <w:sz w:val="24"/>
          <w:szCs w:val="22"/>
        </w:rPr>
        <w:t xml:space="preserve"> for pembrolizumab</w:t>
      </w:r>
      <w:r w:rsidR="00620D39">
        <w:rPr>
          <w:rFonts w:asciiTheme="minorHAnsi" w:eastAsiaTheme="minorHAnsi" w:hAnsiTheme="minorHAnsi" w:cstheme="minorBidi"/>
          <w:snapToGrid/>
          <w:sz w:val="24"/>
          <w:szCs w:val="22"/>
        </w:rPr>
        <w:t xml:space="preserve">, however, considered </w:t>
      </w:r>
      <w:r w:rsidR="003C0003">
        <w:rPr>
          <w:rFonts w:asciiTheme="minorHAnsi" w:eastAsiaTheme="minorHAnsi" w:hAnsiTheme="minorHAnsi" w:cstheme="minorBidi"/>
          <w:snapToGrid/>
          <w:sz w:val="24"/>
          <w:szCs w:val="22"/>
        </w:rPr>
        <w:t>that pembrolizumab may</w:t>
      </w:r>
      <w:r w:rsidR="00620D39" w:rsidRPr="00620D39">
        <w:rPr>
          <w:rFonts w:asciiTheme="minorHAnsi" w:eastAsiaTheme="minorHAnsi" w:hAnsiTheme="minorHAnsi" w:cstheme="minorBidi"/>
          <w:snapToGrid/>
          <w:sz w:val="24"/>
          <w:szCs w:val="22"/>
        </w:rPr>
        <w:t xml:space="preserve"> displace, not replace, use of platinum-based doublet </w:t>
      </w:r>
      <w:r w:rsidR="003C0003">
        <w:rPr>
          <w:rFonts w:asciiTheme="minorHAnsi" w:eastAsiaTheme="minorHAnsi" w:hAnsiTheme="minorHAnsi" w:cstheme="minorBidi"/>
          <w:snapToGrid/>
          <w:sz w:val="24"/>
          <w:szCs w:val="22"/>
        </w:rPr>
        <w:t>chemotherapy</w:t>
      </w:r>
      <w:r w:rsidR="00620D39" w:rsidRPr="00620D39">
        <w:rPr>
          <w:rFonts w:asciiTheme="minorHAnsi" w:eastAsiaTheme="minorHAnsi" w:hAnsiTheme="minorHAnsi" w:cstheme="minorBidi"/>
          <w:snapToGrid/>
          <w:sz w:val="24"/>
          <w:szCs w:val="22"/>
        </w:rPr>
        <w:t xml:space="preserve"> in the proposed target population</w:t>
      </w:r>
      <w:r w:rsidR="00620D39">
        <w:rPr>
          <w:rFonts w:asciiTheme="minorHAnsi" w:eastAsiaTheme="minorHAnsi" w:hAnsiTheme="minorHAnsi" w:cstheme="minorBidi"/>
          <w:snapToGrid/>
          <w:sz w:val="24"/>
          <w:szCs w:val="22"/>
        </w:rPr>
        <w:t xml:space="preserve"> (paragraph 7.5, pembrolizum</w:t>
      </w:r>
      <w:r w:rsidR="00F87320">
        <w:rPr>
          <w:rFonts w:asciiTheme="minorHAnsi" w:eastAsiaTheme="minorHAnsi" w:hAnsiTheme="minorHAnsi" w:cstheme="minorBidi"/>
          <w:snapToGrid/>
          <w:sz w:val="24"/>
          <w:szCs w:val="22"/>
        </w:rPr>
        <w:t>ab November 2017</w:t>
      </w:r>
      <w:r w:rsidR="00D631AF">
        <w:rPr>
          <w:rFonts w:asciiTheme="minorHAnsi" w:eastAsiaTheme="minorHAnsi" w:hAnsiTheme="minorHAnsi" w:cstheme="minorBidi"/>
          <w:snapToGrid/>
          <w:sz w:val="24"/>
          <w:szCs w:val="22"/>
        </w:rPr>
        <w:t xml:space="preserve"> </w:t>
      </w:r>
      <w:r w:rsidR="008A1430">
        <w:rPr>
          <w:rFonts w:asciiTheme="minorHAnsi" w:eastAsiaTheme="minorHAnsi" w:hAnsiTheme="minorHAnsi" w:cstheme="minorBidi"/>
          <w:snapToGrid/>
          <w:sz w:val="24"/>
          <w:szCs w:val="22"/>
        </w:rPr>
        <w:t>PSD</w:t>
      </w:r>
      <w:r w:rsidR="00F87320">
        <w:rPr>
          <w:rFonts w:asciiTheme="minorHAnsi" w:eastAsiaTheme="minorHAnsi" w:hAnsiTheme="minorHAnsi" w:cstheme="minorBidi"/>
          <w:snapToGrid/>
          <w:sz w:val="24"/>
          <w:szCs w:val="22"/>
        </w:rPr>
        <w:t>).</w:t>
      </w:r>
    </w:p>
    <w:p w:rsidR="00840FB8" w:rsidRPr="00BC5649" w:rsidRDefault="008C6270" w:rsidP="00BC5649">
      <w:pPr>
        <w:spacing w:before="120" w:after="160"/>
        <w:rPr>
          <w:rFonts w:asciiTheme="minorHAnsi" w:hAnsiTheme="minorHAnsi"/>
          <w:i/>
        </w:rPr>
      </w:pPr>
      <w:r w:rsidRPr="00BC5649">
        <w:rPr>
          <w:rFonts w:asciiTheme="minorHAnsi" w:hAnsiTheme="minorHAnsi"/>
          <w:i/>
        </w:rPr>
        <w:t>For more deta</w:t>
      </w:r>
      <w:r w:rsidR="00A97CEC" w:rsidRPr="00BC5649">
        <w:rPr>
          <w:rFonts w:asciiTheme="minorHAnsi" w:hAnsiTheme="minorHAnsi"/>
          <w:i/>
        </w:rPr>
        <w:t>il on PBAC’s view, see section 6</w:t>
      </w:r>
      <w:r w:rsidRPr="00BC5649">
        <w:rPr>
          <w:rFonts w:asciiTheme="minorHAnsi" w:hAnsiTheme="minorHAnsi"/>
          <w:i/>
        </w:rPr>
        <w:t xml:space="preserve"> PBAC outcome.</w:t>
      </w:r>
    </w:p>
    <w:p w:rsidR="000B558D"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8C6270" w:rsidRPr="00525B39" w:rsidRDefault="008C6270" w:rsidP="000225D6">
      <w:pPr>
        <w:widowControl w:val="0"/>
        <w:spacing w:before="240" w:line="276" w:lineRule="auto"/>
        <w:jc w:val="both"/>
        <w:rPr>
          <w:rFonts w:asciiTheme="minorHAnsi" w:hAnsiTheme="minorHAnsi" w:cs="Arial"/>
          <w:b/>
          <w:bCs/>
          <w:i/>
          <w:snapToGrid w:val="0"/>
          <w:sz w:val="28"/>
          <w:szCs w:val="28"/>
        </w:rPr>
      </w:pPr>
      <w:r w:rsidRPr="00525B39">
        <w:rPr>
          <w:rFonts w:asciiTheme="minorHAnsi" w:hAnsiTheme="minorHAnsi" w:cs="Arial"/>
          <w:b/>
          <w:bCs/>
          <w:i/>
          <w:snapToGrid w:val="0"/>
          <w:sz w:val="28"/>
          <w:szCs w:val="28"/>
        </w:rPr>
        <w:t>Sponsor hearing</w:t>
      </w:r>
    </w:p>
    <w:p w:rsidR="008C6270" w:rsidRPr="00525B39" w:rsidRDefault="008C6270" w:rsidP="008C6270">
      <w:pPr>
        <w:widowControl w:val="0"/>
        <w:numPr>
          <w:ilvl w:val="1"/>
          <w:numId w:val="5"/>
        </w:numPr>
        <w:spacing w:after="120"/>
        <w:jc w:val="both"/>
        <w:rPr>
          <w:rFonts w:asciiTheme="minorHAnsi" w:hAnsiTheme="minorHAnsi" w:cs="Arial"/>
          <w:bCs/>
          <w:snapToGrid w:val="0"/>
        </w:rPr>
      </w:pPr>
      <w:r w:rsidRPr="00525B39">
        <w:rPr>
          <w:rFonts w:asciiTheme="minorHAnsi" w:hAnsiTheme="minorHAnsi" w:cs="Arial"/>
          <w:bCs/>
          <w:snapToGrid w:val="0"/>
        </w:rPr>
        <w:t>There was no hearing for this item.</w:t>
      </w:r>
    </w:p>
    <w:p w:rsidR="008C6270" w:rsidRPr="00525B39" w:rsidRDefault="008C6270" w:rsidP="000225D6">
      <w:pPr>
        <w:widowControl w:val="0"/>
        <w:spacing w:before="240" w:line="276" w:lineRule="auto"/>
        <w:jc w:val="both"/>
        <w:rPr>
          <w:rFonts w:asciiTheme="minorHAnsi" w:hAnsiTheme="minorHAnsi" w:cs="Arial"/>
          <w:b/>
          <w:bCs/>
          <w:i/>
          <w:snapToGrid w:val="0"/>
          <w:sz w:val="28"/>
          <w:szCs w:val="28"/>
        </w:rPr>
      </w:pPr>
      <w:r w:rsidRPr="00525B39">
        <w:rPr>
          <w:rFonts w:asciiTheme="minorHAnsi" w:hAnsiTheme="minorHAnsi" w:cs="Arial"/>
          <w:b/>
          <w:bCs/>
          <w:i/>
          <w:snapToGrid w:val="0"/>
          <w:sz w:val="28"/>
          <w:szCs w:val="28"/>
        </w:rPr>
        <w:t>Consumer comments</w:t>
      </w:r>
    </w:p>
    <w:p w:rsidR="008C6270" w:rsidRPr="008A2FCD" w:rsidRDefault="008C6270" w:rsidP="008A2FCD">
      <w:pPr>
        <w:pStyle w:val="ListParagraph"/>
        <w:widowControl/>
        <w:numPr>
          <w:ilvl w:val="1"/>
          <w:numId w:val="5"/>
        </w:numPr>
        <w:spacing w:after="120"/>
        <w:contextualSpacing w:val="0"/>
        <w:rPr>
          <w:rFonts w:asciiTheme="minorHAnsi" w:hAnsiTheme="minorHAnsi"/>
          <w:sz w:val="24"/>
          <w:szCs w:val="24"/>
        </w:rPr>
      </w:pPr>
      <w:r w:rsidRPr="008A2FCD">
        <w:rPr>
          <w:rFonts w:asciiTheme="minorHAnsi" w:hAnsiTheme="minorHAnsi"/>
          <w:sz w:val="24"/>
          <w:szCs w:val="24"/>
        </w:rPr>
        <w:t>The PBAC noted and welcomed the input from individuals (4</w:t>
      </w:r>
      <w:r w:rsidR="00CE423A" w:rsidRPr="008A2FCD">
        <w:rPr>
          <w:rFonts w:asciiTheme="minorHAnsi" w:hAnsiTheme="minorHAnsi"/>
          <w:sz w:val="24"/>
          <w:szCs w:val="24"/>
        </w:rPr>
        <w:t>), health care professionals (3</w:t>
      </w:r>
      <w:r w:rsidRPr="008A2FCD">
        <w:rPr>
          <w:rFonts w:asciiTheme="minorHAnsi" w:hAnsiTheme="minorHAnsi"/>
          <w:sz w:val="24"/>
          <w:szCs w:val="24"/>
        </w:rPr>
        <w:t>) and organisations (</w:t>
      </w:r>
      <w:r w:rsidR="00CE423A" w:rsidRPr="008A2FCD">
        <w:rPr>
          <w:rFonts w:asciiTheme="minorHAnsi" w:hAnsiTheme="minorHAnsi"/>
          <w:sz w:val="24"/>
          <w:szCs w:val="24"/>
        </w:rPr>
        <w:t>2</w:t>
      </w:r>
      <w:r w:rsidRPr="008A2FCD">
        <w:rPr>
          <w:rFonts w:asciiTheme="minorHAnsi" w:hAnsiTheme="minorHAnsi"/>
          <w:sz w:val="24"/>
          <w:szCs w:val="24"/>
        </w:rPr>
        <w:t>) via the Consumer Comments facility on the PBS website. The comments described a range o</w:t>
      </w:r>
      <w:r w:rsidR="0040797E" w:rsidRPr="008A2FCD">
        <w:rPr>
          <w:rFonts w:asciiTheme="minorHAnsi" w:hAnsiTheme="minorHAnsi"/>
          <w:sz w:val="24"/>
          <w:szCs w:val="24"/>
        </w:rPr>
        <w:t>f benefits of treatment with pembrolizumab,</w:t>
      </w:r>
      <w:r w:rsidRPr="008A2FCD">
        <w:rPr>
          <w:rFonts w:asciiTheme="minorHAnsi" w:hAnsiTheme="minorHAnsi"/>
          <w:sz w:val="24"/>
          <w:szCs w:val="24"/>
        </w:rPr>
        <w:t xml:space="preserve"> includin</w:t>
      </w:r>
      <w:r w:rsidR="0040797E" w:rsidRPr="008A2FCD">
        <w:rPr>
          <w:rFonts w:asciiTheme="minorHAnsi" w:hAnsiTheme="minorHAnsi"/>
          <w:sz w:val="24"/>
          <w:szCs w:val="24"/>
        </w:rPr>
        <w:t>g fewer side effects and achieving better control of NSCLC, compared to chemotherapy. The comment supported the PBS listing of pembrolizumab for NS</w:t>
      </w:r>
      <w:r w:rsidR="00F87320">
        <w:rPr>
          <w:rFonts w:asciiTheme="minorHAnsi" w:hAnsiTheme="minorHAnsi"/>
          <w:sz w:val="24"/>
          <w:szCs w:val="24"/>
        </w:rPr>
        <w:t>CLC in patients with TPS ≥50%.</w:t>
      </w:r>
    </w:p>
    <w:p w:rsidR="009F12C6" w:rsidRPr="008A2FCD" w:rsidRDefault="009F12C6" w:rsidP="008A2FCD">
      <w:pPr>
        <w:pStyle w:val="ListParagraph"/>
        <w:widowControl/>
        <w:numPr>
          <w:ilvl w:val="1"/>
          <w:numId w:val="5"/>
        </w:numPr>
        <w:spacing w:after="120"/>
        <w:contextualSpacing w:val="0"/>
        <w:rPr>
          <w:rFonts w:asciiTheme="minorHAnsi" w:hAnsiTheme="minorHAnsi"/>
          <w:sz w:val="24"/>
          <w:szCs w:val="24"/>
        </w:rPr>
      </w:pPr>
      <w:r w:rsidRPr="008A2FCD">
        <w:rPr>
          <w:rFonts w:asciiTheme="minorHAnsi" w:hAnsiTheme="minorHAnsi"/>
          <w:sz w:val="24"/>
          <w:szCs w:val="24"/>
        </w:rPr>
        <w:t>The PBAC noted the letter from the Lung Foundation Australia, which provided epidemiological data on lung cancer and a patient account of the experience with pembrolizumab treatment. The Lung Foundation Australia described the benefits of treatment with pembrolizumab and express</w:t>
      </w:r>
      <w:r w:rsidR="00F87320">
        <w:rPr>
          <w:rFonts w:asciiTheme="minorHAnsi" w:hAnsiTheme="minorHAnsi"/>
          <w:sz w:val="24"/>
          <w:szCs w:val="24"/>
        </w:rPr>
        <w:t>ed support for its PBS listing.</w:t>
      </w:r>
    </w:p>
    <w:p w:rsidR="009F12C6" w:rsidRPr="008A2FCD" w:rsidRDefault="009F12C6" w:rsidP="008A2FCD">
      <w:pPr>
        <w:pStyle w:val="ListParagraph"/>
        <w:widowControl/>
        <w:numPr>
          <w:ilvl w:val="1"/>
          <w:numId w:val="5"/>
        </w:numPr>
        <w:spacing w:after="120"/>
        <w:contextualSpacing w:val="0"/>
        <w:rPr>
          <w:rFonts w:asciiTheme="minorHAnsi" w:hAnsiTheme="minorHAnsi"/>
          <w:sz w:val="24"/>
          <w:szCs w:val="24"/>
        </w:rPr>
      </w:pPr>
      <w:r w:rsidRPr="008A2FCD">
        <w:rPr>
          <w:rFonts w:asciiTheme="minorHAnsi" w:hAnsiTheme="minorHAnsi"/>
          <w:sz w:val="24"/>
          <w:szCs w:val="24"/>
        </w:rPr>
        <w:t xml:space="preserve">The Medical Oncology Group of Australia (MOGA) also expressed its support for the </w:t>
      </w:r>
      <w:r w:rsidR="003E1E3A">
        <w:rPr>
          <w:rFonts w:asciiTheme="minorHAnsi" w:hAnsiTheme="minorHAnsi"/>
          <w:sz w:val="24"/>
          <w:szCs w:val="24"/>
        </w:rPr>
        <w:t>minor re</w:t>
      </w:r>
      <w:r w:rsidRPr="008A2FCD">
        <w:rPr>
          <w:rFonts w:asciiTheme="minorHAnsi" w:hAnsiTheme="minorHAnsi"/>
          <w:sz w:val="24"/>
          <w:szCs w:val="24"/>
        </w:rPr>
        <w:t>submission, on the basis of increased PFS and OS benefit and decreased toxicity compared to platinum-based doublet chemotherapy. The PBAC noted that the MOGA presented the European Society for Medical Oncology Magnitude of Clinical Benefit Scale (ESMO-MCBS) in this context as being 5 (out of a maximum of 5, where 5 and 4 represent the grades with substantial improvement)</w:t>
      </w:r>
      <w:r w:rsidR="00E54E86">
        <w:rPr>
          <w:rStyle w:val="FootnoteReference"/>
          <w:rFonts w:asciiTheme="minorHAnsi" w:hAnsiTheme="minorHAnsi"/>
          <w:sz w:val="24"/>
          <w:szCs w:val="24"/>
        </w:rPr>
        <w:footnoteReference w:id="1"/>
      </w:r>
      <w:r w:rsidRPr="008A2FCD">
        <w:rPr>
          <w:rFonts w:asciiTheme="minorHAnsi" w:hAnsiTheme="minorHAnsi"/>
          <w:sz w:val="24"/>
          <w:szCs w:val="24"/>
        </w:rPr>
        <w:t xml:space="preserve">, based </w:t>
      </w:r>
      <w:r w:rsidR="00D53AF7">
        <w:rPr>
          <w:rFonts w:asciiTheme="minorHAnsi" w:hAnsiTheme="minorHAnsi"/>
          <w:sz w:val="24"/>
          <w:szCs w:val="24"/>
        </w:rPr>
        <w:t xml:space="preserve">on </w:t>
      </w:r>
      <w:r w:rsidRPr="008A2FCD">
        <w:rPr>
          <w:rFonts w:asciiTheme="minorHAnsi" w:hAnsiTheme="minorHAnsi"/>
          <w:sz w:val="24"/>
          <w:szCs w:val="24"/>
        </w:rPr>
        <w:t>the KN-024 trial.</w:t>
      </w:r>
    </w:p>
    <w:p w:rsidR="005A3173" w:rsidRPr="00966D0D" w:rsidRDefault="005A3173" w:rsidP="000225D6">
      <w:pPr>
        <w:pStyle w:val="Heading2"/>
        <w:keepLines/>
        <w:spacing w:before="240" w:line="276" w:lineRule="auto"/>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p>
    <w:p w:rsidR="009303CD" w:rsidRPr="00645788" w:rsidRDefault="009303CD" w:rsidP="00645788">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In the November 2017</w:t>
      </w:r>
      <w:r w:rsidR="009B0F67" w:rsidRPr="0039039B">
        <w:rPr>
          <w:rFonts w:asciiTheme="minorHAnsi" w:hAnsiTheme="minorHAnsi"/>
          <w:sz w:val="24"/>
          <w:szCs w:val="24"/>
        </w:rPr>
        <w:t xml:space="preserve"> major </w:t>
      </w:r>
      <w:r w:rsidR="0039039B" w:rsidRPr="0039039B">
        <w:rPr>
          <w:rFonts w:asciiTheme="minorHAnsi" w:hAnsiTheme="minorHAnsi"/>
          <w:sz w:val="24"/>
          <w:szCs w:val="24"/>
        </w:rPr>
        <w:t>re</w:t>
      </w:r>
      <w:r w:rsidR="009B0F67" w:rsidRPr="0039039B">
        <w:rPr>
          <w:rFonts w:asciiTheme="minorHAnsi" w:hAnsiTheme="minorHAnsi"/>
          <w:sz w:val="24"/>
          <w:szCs w:val="24"/>
        </w:rPr>
        <w:t>submis</w:t>
      </w:r>
      <w:r w:rsidR="0039039B" w:rsidRPr="0039039B">
        <w:rPr>
          <w:rFonts w:asciiTheme="minorHAnsi" w:hAnsiTheme="minorHAnsi"/>
          <w:sz w:val="24"/>
          <w:szCs w:val="24"/>
        </w:rPr>
        <w:t xml:space="preserve">sion, a </w:t>
      </w:r>
      <w:r w:rsidR="009B0F67" w:rsidRPr="0039039B">
        <w:rPr>
          <w:rFonts w:asciiTheme="minorHAnsi" w:hAnsiTheme="minorHAnsi"/>
          <w:sz w:val="24"/>
          <w:szCs w:val="24"/>
        </w:rPr>
        <w:t xml:space="preserve">cost-effectiveness analysis </w:t>
      </w:r>
      <w:r w:rsidR="0039039B" w:rsidRPr="0039039B">
        <w:rPr>
          <w:rFonts w:asciiTheme="minorHAnsi" w:hAnsiTheme="minorHAnsi"/>
          <w:sz w:val="24"/>
          <w:szCs w:val="24"/>
        </w:rPr>
        <w:t>and cost-utility analysis was presented</w:t>
      </w:r>
      <w:r>
        <w:rPr>
          <w:rFonts w:asciiTheme="minorHAnsi" w:hAnsiTheme="minorHAnsi"/>
          <w:sz w:val="24"/>
          <w:szCs w:val="24"/>
        </w:rPr>
        <w:t xml:space="preserve">, based on the claim of superior effectiveness and safety of pembrolizumab compared to platinum-based doublet chemotherapy </w:t>
      </w:r>
      <w:r w:rsidRPr="009303CD">
        <w:rPr>
          <w:rFonts w:asciiTheme="minorHAnsi" w:hAnsiTheme="minorHAnsi"/>
          <w:sz w:val="24"/>
          <w:szCs w:val="24"/>
        </w:rPr>
        <w:t>in treatment-naïve NSCLC patients whose tumours expressed high levels of PD-L1 (TPS ≥50%)</w:t>
      </w:r>
      <w:r w:rsidR="0039039B" w:rsidRPr="0039039B">
        <w:rPr>
          <w:rFonts w:asciiTheme="minorHAnsi" w:hAnsiTheme="minorHAnsi"/>
          <w:sz w:val="24"/>
          <w:szCs w:val="24"/>
        </w:rPr>
        <w:t xml:space="preserve">. </w:t>
      </w:r>
      <w:r>
        <w:rPr>
          <w:rFonts w:asciiTheme="minorHAnsi" w:hAnsiTheme="minorHAnsi"/>
          <w:sz w:val="24"/>
          <w:szCs w:val="24"/>
        </w:rPr>
        <w:t>The basic structure of the economic model was unchanged from the March 2017 submission, which</w:t>
      </w:r>
      <w:r w:rsidR="00A43BB0">
        <w:rPr>
          <w:rFonts w:asciiTheme="minorHAnsi" w:hAnsiTheme="minorHAnsi"/>
          <w:sz w:val="24"/>
          <w:szCs w:val="24"/>
        </w:rPr>
        <w:t xml:space="preserve"> the PBAC considered was sound.</w:t>
      </w:r>
    </w:p>
    <w:p w:rsidR="0039039B" w:rsidRPr="00645788" w:rsidRDefault="00E91753" w:rsidP="00645788">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The minor re</w:t>
      </w:r>
      <w:r w:rsidR="009B0F67" w:rsidRPr="0039039B">
        <w:rPr>
          <w:rFonts w:asciiTheme="minorHAnsi" w:hAnsiTheme="minorHAnsi"/>
          <w:sz w:val="24"/>
          <w:szCs w:val="24"/>
        </w:rPr>
        <w:t xml:space="preserve">submission </w:t>
      </w:r>
      <w:r w:rsidR="00FF2801" w:rsidRPr="0039039B">
        <w:rPr>
          <w:rFonts w:asciiTheme="minorHAnsi" w:hAnsiTheme="minorHAnsi"/>
          <w:sz w:val="24"/>
          <w:szCs w:val="24"/>
        </w:rPr>
        <w:t>did</w:t>
      </w:r>
      <w:r w:rsidR="009B0F67" w:rsidRPr="0039039B">
        <w:rPr>
          <w:rFonts w:asciiTheme="minorHAnsi" w:hAnsiTheme="minorHAnsi"/>
          <w:sz w:val="24"/>
          <w:szCs w:val="24"/>
        </w:rPr>
        <w:t xml:space="preserve"> not alter the economic model str</w:t>
      </w:r>
      <w:r w:rsidR="0039039B" w:rsidRPr="0039039B">
        <w:rPr>
          <w:rFonts w:asciiTheme="minorHAnsi" w:hAnsiTheme="minorHAnsi"/>
          <w:sz w:val="24"/>
          <w:szCs w:val="24"/>
        </w:rPr>
        <w:t>ucture from</w:t>
      </w:r>
      <w:r w:rsidR="009303CD">
        <w:rPr>
          <w:rFonts w:asciiTheme="minorHAnsi" w:hAnsiTheme="minorHAnsi"/>
          <w:sz w:val="24"/>
          <w:szCs w:val="24"/>
        </w:rPr>
        <w:t xml:space="preserve"> March/</w:t>
      </w:r>
      <w:r w:rsidR="0039039B" w:rsidRPr="0039039B">
        <w:rPr>
          <w:rFonts w:asciiTheme="minorHAnsi" w:hAnsiTheme="minorHAnsi"/>
          <w:sz w:val="24"/>
          <w:szCs w:val="24"/>
        </w:rPr>
        <w:t>November 2017, however it presented a respecified model.</w:t>
      </w:r>
      <w:r w:rsidR="009303CD">
        <w:rPr>
          <w:rFonts w:asciiTheme="minorHAnsi" w:hAnsiTheme="minorHAnsi"/>
          <w:sz w:val="24"/>
          <w:szCs w:val="24"/>
        </w:rPr>
        <w:t xml:space="preserve"> </w:t>
      </w:r>
      <w:r w:rsidR="0039039B" w:rsidRPr="0039039B">
        <w:rPr>
          <w:rFonts w:asciiTheme="minorHAnsi" w:hAnsiTheme="minorHAnsi"/>
          <w:sz w:val="24"/>
          <w:szCs w:val="24"/>
        </w:rPr>
        <w:t>The main changes in the model variables/assumptions</w:t>
      </w:r>
      <w:r w:rsidR="00021A5D">
        <w:rPr>
          <w:rFonts w:asciiTheme="minorHAnsi" w:hAnsiTheme="minorHAnsi"/>
          <w:sz w:val="24"/>
          <w:szCs w:val="24"/>
        </w:rPr>
        <w:t xml:space="preserve"> in </w:t>
      </w:r>
      <w:r w:rsidR="0039039B" w:rsidRPr="0039039B">
        <w:rPr>
          <w:rFonts w:asciiTheme="minorHAnsi" w:hAnsiTheme="minorHAnsi"/>
          <w:sz w:val="24"/>
          <w:szCs w:val="24"/>
        </w:rPr>
        <w:t>the minor resubmission</w:t>
      </w:r>
      <w:r w:rsidR="00021A5D">
        <w:rPr>
          <w:rFonts w:asciiTheme="minorHAnsi" w:hAnsiTheme="minorHAnsi"/>
          <w:sz w:val="24"/>
          <w:szCs w:val="24"/>
        </w:rPr>
        <w:t xml:space="preserve"> and remaining</w:t>
      </w:r>
      <w:r w:rsidR="00F017AD">
        <w:rPr>
          <w:rFonts w:asciiTheme="minorHAnsi" w:hAnsiTheme="minorHAnsi"/>
          <w:sz w:val="24"/>
          <w:szCs w:val="24"/>
        </w:rPr>
        <w:t xml:space="preserve"> economic</w:t>
      </w:r>
      <w:r w:rsidR="00021A5D">
        <w:rPr>
          <w:rFonts w:asciiTheme="minorHAnsi" w:hAnsiTheme="minorHAnsi"/>
          <w:sz w:val="24"/>
          <w:szCs w:val="24"/>
        </w:rPr>
        <w:t xml:space="preserve"> issues from the November 2017 </w:t>
      </w:r>
      <w:r w:rsidR="007665EB">
        <w:rPr>
          <w:rFonts w:asciiTheme="minorHAnsi" w:hAnsiTheme="minorHAnsi"/>
          <w:sz w:val="24"/>
          <w:szCs w:val="24"/>
        </w:rPr>
        <w:t xml:space="preserve">major </w:t>
      </w:r>
      <w:r w:rsidR="00021A5D">
        <w:rPr>
          <w:rFonts w:asciiTheme="minorHAnsi" w:hAnsiTheme="minorHAnsi"/>
          <w:sz w:val="24"/>
          <w:szCs w:val="24"/>
        </w:rPr>
        <w:t>resubmission</w:t>
      </w:r>
      <w:r w:rsidR="00A43BB0">
        <w:rPr>
          <w:rFonts w:asciiTheme="minorHAnsi" w:hAnsiTheme="minorHAnsi"/>
          <w:sz w:val="24"/>
          <w:szCs w:val="24"/>
        </w:rPr>
        <w:t xml:space="preserve"> are summarised below.</w:t>
      </w:r>
    </w:p>
    <w:p w:rsidR="00A34836" w:rsidRPr="00A34836" w:rsidRDefault="00A34836" w:rsidP="00D30EDD">
      <w:pPr>
        <w:pStyle w:val="Caption"/>
        <w:keepNext/>
        <w:spacing w:after="0"/>
        <w:rPr>
          <w:rStyle w:val="CommentReference"/>
          <w:rFonts w:ascii="Arial Narrow" w:hAnsi="Arial Narrow"/>
          <w:color w:val="auto"/>
          <w:sz w:val="20"/>
          <w:szCs w:val="20"/>
        </w:rPr>
      </w:pPr>
      <w:r w:rsidRPr="00A34836">
        <w:rPr>
          <w:rStyle w:val="CommentReference"/>
          <w:rFonts w:ascii="Arial Narrow" w:hAnsi="Arial Narrow"/>
          <w:color w:val="auto"/>
          <w:sz w:val="20"/>
          <w:szCs w:val="20"/>
        </w:rPr>
        <w:t xml:space="preserve">Table </w:t>
      </w:r>
      <w:r w:rsidR="006C6CBE">
        <w:rPr>
          <w:rStyle w:val="CommentReference"/>
          <w:rFonts w:ascii="Arial Narrow" w:hAnsi="Arial Narrow"/>
          <w:noProof/>
          <w:color w:val="auto"/>
          <w:sz w:val="20"/>
          <w:szCs w:val="20"/>
        </w:rPr>
        <w:t>1</w:t>
      </w:r>
      <w:r>
        <w:rPr>
          <w:rStyle w:val="CommentReference"/>
          <w:rFonts w:ascii="Arial Narrow" w:hAnsi="Arial Narrow"/>
          <w:color w:val="auto"/>
          <w:sz w:val="20"/>
          <w:szCs w:val="20"/>
        </w:rPr>
        <w:t>:</w:t>
      </w:r>
      <w:r w:rsidR="00ED0A7C">
        <w:rPr>
          <w:rStyle w:val="CommentReference"/>
          <w:rFonts w:ascii="Arial Narrow" w:hAnsi="Arial Narrow"/>
          <w:color w:val="auto"/>
          <w:sz w:val="20"/>
          <w:szCs w:val="20"/>
        </w:rPr>
        <w:t xml:space="preserve"> Comparison of the elements of the economic model in the November 2017 major resubmission and the March 2018 minor resubmission</w:t>
      </w:r>
    </w:p>
    <w:tbl>
      <w:tblPr>
        <w:tblStyle w:val="TableGrid"/>
        <w:tblW w:w="0" w:type="auto"/>
        <w:tblLayout w:type="fixed"/>
        <w:tblCellMar>
          <w:top w:w="28" w:type="dxa"/>
          <w:left w:w="28" w:type="dxa"/>
          <w:bottom w:w="28" w:type="dxa"/>
          <w:right w:w="28" w:type="dxa"/>
        </w:tblCellMar>
        <w:tblLook w:val="04A0" w:firstRow="1" w:lastRow="0" w:firstColumn="1" w:lastColumn="0" w:noHBand="0" w:noVBand="1"/>
      </w:tblPr>
      <w:tblGrid>
        <w:gridCol w:w="1162"/>
        <w:gridCol w:w="2127"/>
        <w:gridCol w:w="2693"/>
        <w:gridCol w:w="3100"/>
      </w:tblGrid>
      <w:tr w:rsidR="00B105BA" w:rsidRPr="00A85136" w:rsidTr="00360FED">
        <w:tc>
          <w:tcPr>
            <w:tcW w:w="1162" w:type="dxa"/>
            <w:vMerge w:val="restart"/>
            <w:vAlign w:val="center"/>
          </w:tcPr>
          <w:p w:rsidR="00B105BA" w:rsidRPr="00A97CEC" w:rsidRDefault="00B105BA" w:rsidP="00B105BA">
            <w:pPr>
              <w:pStyle w:val="TableText0"/>
              <w:jc w:val="left"/>
              <w:rPr>
                <w:b/>
                <w:szCs w:val="20"/>
              </w:rPr>
            </w:pPr>
            <w:r w:rsidRPr="00A97CEC">
              <w:rPr>
                <w:b/>
                <w:szCs w:val="20"/>
              </w:rPr>
              <w:t>Model variable</w:t>
            </w:r>
          </w:p>
        </w:tc>
        <w:tc>
          <w:tcPr>
            <w:tcW w:w="4820" w:type="dxa"/>
            <w:gridSpan w:val="2"/>
            <w:vAlign w:val="center"/>
          </w:tcPr>
          <w:p w:rsidR="00B105BA" w:rsidRPr="00A97CEC" w:rsidRDefault="00B105BA" w:rsidP="00B105BA">
            <w:pPr>
              <w:pStyle w:val="TableText0"/>
              <w:jc w:val="center"/>
              <w:rPr>
                <w:b/>
                <w:szCs w:val="20"/>
              </w:rPr>
            </w:pPr>
            <w:r w:rsidRPr="00A97CEC">
              <w:rPr>
                <w:b/>
                <w:szCs w:val="20"/>
              </w:rPr>
              <w:t>November 2017</w:t>
            </w:r>
          </w:p>
        </w:tc>
        <w:tc>
          <w:tcPr>
            <w:tcW w:w="3100" w:type="dxa"/>
            <w:vMerge w:val="restart"/>
            <w:vAlign w:val="center"/>
          </w:tcPr>
          <w:p w:rsidR="00B105BA" w:rsidRPr="00A97CEC" w:rsidRDefault="00B105BA" w:rsidP="00B105BA">
            <w:pPr>
              <w:pStyle w:val="TableText0"/>
              <w:jc w:val="center"/>
              <w:rPr>
                <w:b/>
                <w:szCs w:val="20"/>
              </w:rPr>
            </w:pPr>
            <w:r w:rsidRPr="00A97CEC">
              <w:rPr>
                <w:b/>
                <w:szCs w:val="20"/>
              </w:rPr>
              <w:t>March 2018 minor resubmission</w:t>
            </w:r>
          </w:p>
        </w:tc>
      </w:tr>
      <w:tr w:rsidR="00D019BA" w:rsidRPr="00A85136" w:rsidTr="00360FED">
        <w:tc>
          <w:tcPr>
            <w:tcW w:w="1162" w:type="dxa"/>
            <w:vMerge/>
            <w:vAlign w:val="center"/>
          </w:tcPr>
          <w:p w:rsidR="00B105BA" w:rsidRPr="00A97CEC" w:rsidRDefault="00B105BA" w:rsidP="00B105BA">
            <w:pPr>
              <w:pStyle w:val="TableText0"/>
              <w:jc w:val="center"/>
              <w:rPr>
                <w:b/>
                <w:szCs w:val="20"/>
              </w:rPr>
            </w:pPr>
          </w:p>
        </w:tc>
        <w:tc>
          <w:tcPr>
            <w:tcW w:w="2127" w:type="dxa"/>
            <w:vAlign w:val="center"/>
          </w:tcPr>
          <w:p w:rsidR="00B105BA" w:rsidRPr="00A97CEC" w:rsidRDefault="00B105BA" w:rsidP="00B105BA">
            <w:pPr>
              <w:pStyle w:val="TableText0"/>
              <w:jc w:val="center"/>
              <w:rPr>
                <w:b/>
                <w:szCs w:val="20"/>
              </w:rPr>
            </w:pPr>
            <w:r w:rsidRPr="00A97CEC">
              <w:rPr>
                <w:b/>
                <w:szCs w:val="20"/>
              </w:rPr>
              <w:t>Major resubmission</w:t>
            </w:r>
          </w:p>
        </w:tc>
        <w:tc>
          <w:tcPr>
            <w:tcW w:w="2693" w:type="dxa"/>
            <w:vAlign w:val="center"/>
          </w:tcPr>
          <w:p w:rsidR="00B105BA" w:rsidRPr="00A97CEC" w:rsidRDefault="00B105BA" w:rsidP="00B105BA">
            <w:pPr>
              <w:pStyle w:val="TableText0"/>
              <w:jc w:val="center"/>
              <w:rPr>
                <w:b/>
                <w:szCs w:val="20"/>
              </w:rPr>
            </w:pPr>
            <w:r w:rsidRPr="00A97CEC">
              <w:rPr>
                <w:b/>
                <w:szCs w:val="20"/>
              </w:rPr>
              <w:t>PBAC comments</w:t>
            </w:r>
          </w:p>
        </w:tc>
        <w:tc>
          <w:tcPr>
            <w:tcW w:w="3100" w:type="dxa"/>
            <w:vMerge/>
          </w:tcPr>
          <w:p w:rsidR="00B105BA" w:rsidRPr="00A97CEC" w:rsidRDefault="00B105BA" w:rsidP="00A85136">
            <w:pPr>
              <w:pStyle w:val="TableText0"/>
              <w:jc w:val="left"/>
              <w:rPr>
                <w:b/>
                <w:szCs w:val="20"/>
              </w:rPr>
            </w:pPr>
          </w:p>
        </w:tc>
      </w:tr>
      <w:tr w:rsidR="00D019BA" w:rsidRPr="00A85136" w:rsidTr="00360FED">
        <w:tc>
          <w:tcPr>
            <w:tcW w:w="1162" w:type="dxa"/>
          </w:tcPr>
          <w:p w:rsidR="00021A5D" w:rsidRPr="00A97CEC" w:rsidRDefault="00021A5D" w:rsidP="0068575C">
            <w:pPr>
              <w:pStyle w:val="TableText0"/>
              <w:jc w:val="left"/>
              <w:rPr>
                <w:szCs w:val="20"/>
              </w:rPr>
            </w:pPr>
            <w:r w:rsidRPr="00A97CEC">
              <w:rPr>
                <w:szCs w:val="20"/>
              </w:rPr>
              <w:t>Use of Kaplan-Meier trial data</w:t>
            </w:r>
          </w:p>
        </w:tc>
        <w:tc>
          <w:tcPr>
            <w:tcW w:w="2127" w:type="dxa"/>
          </w:tcPr>
          <w:p w:rsidR="00021A5D" w:rsidRPr="00A97CEC" w:rsidRDefault="004D5163" w:rsidP="0068575C">
            <w:pPr>
              <w:pStyle w:val="TableText0"/>
              <w:jc w:val="left"/>
              <w:rPr>
                <w:szCs w:val="20"/>
              </w:rPr>
            </w:pPr>
            <w:r w:rsidRPr="00A97CEC">
              <w:rPr>
                <w:szCs w:val="20"/>
              </w:rPr>
              <w:t xml:space="preserve">KM </w:t>
            </w:r>
            <w:r w:rsidR="00021A5D" w:rsidRPr="00A97CEC">
              <w:rPr>
                <w:szCs w:val="20"/>
              </w:rPr>
              <w:t xml:space="preserve">estimates from KN-024 were used up to a certain time point, after which the start point of </w:t>
            </w:r>
            <w:r w:rsidR="00021A5D" w:rsidRPr="00A97CEC">
              <w:t>the goodness of fit comparison</w:t>
            </w:r>
            <w:r w:rsidR="00021A5D" w:rsidRPr="00A97CEC">
              <w:rPr>
                <w:szCs w:val="20"/>
              </w:rPr>
              <w:t xml:space="preserve"> for the extrapolation was determined by the post hoc use of the Chow test:</w:t>
            </w:r>
          </w:p>
          <w:p w:rsidR="00021A5D" w:rsidRPr="00A97CEC" w:rsidRDefault="00021A5D" w:rsidP="0068575C">
            <w:pPr>
              <w:pStyle w:val="TableText0"/>
              <w:jc w:val="left"/>
              <w:rPr>
                <w:szCs w:val="20"/>
              </w:rPr>
            </w:pPr>
            <w:r w:rsidRPr="00A97CEC">
              <w:rPr>
                <w:szCs w:val="20"/>
              </w:rPr>
              <w:t>PFS: week 27</w:t>
            </w:r>
          </w:p>
          <w:p w:rsidR="004D5163" w:rsidRPr="00A97CEC" w:rsidRDefault="0068575C" w:rsidP="0068575C">
            <w:pPr>
              <w:pStyle w:val="TableText0"/>
              <w:jc w:val="left"/>
              <w:rPr>
                <w:szCs w:val="20"/>
              </w:rPr>
            </w:pPr>
            <w:r w:rsidRPr="00A97CEC">
              <w:rPr>
                <w:szCs w:val="20"/>
              </w:rPr>
              <w:t xml:space="preserve">OS: pembrolizumab: </w:t>
            </w:r>
            <w:r w:rsidR="00021A5D" w:rsidRPr="00A97CEC">
              <w:rPr>
                <w:szCs w:val="20"/>
              </w:rPr>
              <w:t>week 32</w:t>
            </w:r>
            <w:r w:rsidRPr="00A97CEC">
              <w:rPr>
                <w:szCs w:val="20"/>
              </w:rPr>
              <w:t xml:space="preserve">; chemotherapy: </w:t>
            </w:r>
            <w:r w:rsidR="00021A5D" w:rsidRPr="00A97CEC">
              <w:rPr>
                <w:szCs w:val="20"/>
              </w:rPr>
              <w:t>week 40</w:t>
            </w:r>
          </w:p>
          <w:p w:rsidR="004D5163" w:rsidRPr="00A97CEC" w:rsidRDefault="004D5163" w:rsidP="0068575C">
            <w:pPr>
              <w:pStyle w:val="TableText0"/>
              <w:jc w:val="left"/>
              <w:rPr>
                <w:szCs w:val="20"/>
              </w:rPr>
            </w:pPr>
            <w:r w:rsidRPr="00A97CEC">
              <w:rPr>
                <w:szCs w:val="20"/>
              </w:rPr>
              <w:t>The resubmission provided OS data with a median follow up of 19 months, which was updated to 25 months in the</w:t>
            </w:r>
            <w:r w:rsidR="000F7FA4" w:rsidRPr="00A97CEC">
              <w:rPr>
                <w:szCs w:val="20"/>
              </w:rPr>
              <w:t xml:space="preserve"> revised model accompanying the</w:t>
            </w:r>
            <w:r w:rsidRPr="00A97CEC">
              <w:rPr>
                <w:szCs w:val="20"/>
              </w:rPr>
              <w:t xml:space="preserve"> PSCR.</w:t>
            </w:r>
          </w:p>
        </w:tc>
        <w:tc>
          <w:tcPr>
            <w:tcW w:w="2693" w:type="dxa"/>
          </w:tcPr>
          <w:p w:rsidR="00021A5D" w:rsidRPr="00A97CEC" w:rsidRDefault="00021A5D" w:rsidP="0068575C">
            <w:pPr>
              <w:pStyle w:val="TableText0"/>
              <w:jc w:val="left"/>
              <w:rPr>
                <w:szCs w:val="20"/>
              </w:rPr>
            </w:pPr>
            <w:r w:rsidRPr="00A97CEC">
              <w:rPr>
                <w:szCs w:val="20"/>
              </w:rPr>
              <w:t xml:space="preserve">The PBAC considered that use of the Chow test was inappropriate and added a source of uncertainty to the modelled results. The PBAC advised that the base case of the economic model would need to be respecified to </w:t>
            </w:r>
            <w:r w:rsidR="004D5163" w:rsidRPr="00A97CEC">
              <w:rPr>
                <w:szCs w:val="20"/>
              </w:rPr>
              <w:t>use the observed KM</w:t>
            </w:r>
            <w:r w:rsidRPr="00A97CEC">
              <w:rPr>
                <w:szCs w:val="20"/>
              </w:rPr>
              <w:t xml:space="preserve"> results from the key trial in the model up to the median duration of follow-up. </w:t>
            </w:r>
          </w:p>
          <w:p w:rsidR="00CF1ECF" w:rsidRPr="00A97CEC" w:rsidRDefault="00CF1ECF" w:rsidP="0068575C">
            <w:pPr>
              <w:pStyle w:val="TableText0"/>
              <w:jc w:val="left"/>
              <w:rPr>
                <w:szCs w:val="20"/>
              </w:rPr>
            </w:pPr>
          </w:p>
          <w:p w:rsidR="00432CDE" w:rsidRPr="00A97CEC" w:rsidRDefault="00432CDE" w:rsidP="00432CDE">
            <w:pPr>
              <w:pStyle w:val="TableText0"/>
              <w:jc w:val="left"/>
              <w:rPr>
                <w:szCs w:val="20"/>
              </w:rPr>
            </w:pPr>
            <w:r w:rsidRPr="00A97CEC">
              <w:rPr>
                <w:szCs w:val="20"/>
              </w:rPr>
              <w:t>The PBAC considered that the trial data was robust, however considered that the OS data in the final analysis supplied in the PSCR remained immature to estimate reliably the magnitude of long-term survival benefits of pembrolizumab.</w:t>
            </w:r>
          </w:p>
        </w:tc>
        <w:tc>
          <w:tcPr>
            <w:tcW w:w="3100" w:type="dxa"/>
          </w:tcPr>
          <w:p w:rsidR="00021A5D" w:rsidRPr="00A97CEC" w:rsidRDefault="004D5163" w:rsidP="0068575C">
            <w:pPr>
              <w:pStyle w:val="TableText0"/>
              <w:jc w:val="left"/>
              <w:rPr>
                <w:szCs w:val="20"/>
              </w:rPr>
            </w:pPr>
            <w:r w:rsidRPr="00A97CEC">
              <w:rPr>
                <w:szCs w:val="20"/>
              </w:rPr>
              <w:t xml:space="preserve">The </w:t>
            </w:r>
            <w:r w:rsidR="00A91CE7" w:rsidRPr="00A97CEC">
              <w:rPr>
                <w:szCs w:val="20"/>
              </w:rPr>
              <w:t xml:space="preserve">minor resubmission stated that the </w:t>
            </w:r>
            <w:r w:rsidRPr="00A97CEC">
              <w:rPr>
                <w:szCs w:val="20"/>
              </w:rPr>
              <w:t>model used KM</w:t>
            </w:r>
            <w:r w:rsidR="00021A5D" w:rsidRPr="00A97CEC">
              <w:rPr>
                <w:szCs w:val="20"/>
              </w:rPr>
              <w:t xml:space="preserve"> results up to the median duration of follow up of 97 weeks.</w:t>
            </w:r>
            <w:r w:rsidR="00AE17BB" w:rsidRPr="00A97CEC">
              <w:rPr>
                <w:szCs w:val="20"/>
              </w:rPr>
              <w:t xml:space="preserve"> </w:t>
            </w:r>
            <w:r w:rsidR="00021A5D" w:rsidRPr="00A97CEC">
              <w:rPr>
                <w:szCs w:val="20"/>
              </w:rPr>
              <w:t xml:space="preserve">The start point of </w:t>
            </w:r>
            <w:r w:rsidR="00021A5D" w:rsidRPr="00A97CEC">
              <w:t>the goodness of fit comparison</w:t>
            </w:r>
            <w:r w:rsidR="00021A5D" w:rsidRPr="00A97CEC">
              <w:rPr>
                <w:szCs w:val="20"/>
              </w:rPr>
              <w:t xml:space="preserve"> for the extrapolation is:</w:t>
            </w:r>
          </w:p>
          <w:p w:rsidR="00021A5D" w:rsidRPr="00A97CEC" w:rsidRDefault="00021A5D" w:rsidP="0068575C">
            <w:pPr>
              <w:pStyle w:val="TableText0"/>
              <w:jc w:val="left"/>
              <w:rPr>
                <w:szCs w:val="20"/>
              </w:rPr>
            </w:pPr>
            <w:r w:rsidRPr="00A97CEC">
              <w:rPr>
                <w:szCs w:val="20"/>
              </w:rPr>
              <w:t>PFS: week 9</w:t>
            </w:r>
          </w:p>
          <w:p w:rsidR="00021A5D" w:rsidRPr="00A97CEC" w:rsidRDefault="00021A5D" w:rsidP="0068575C">
            <w:pPr>
              <w:pStyle w:val="TableText0"/>
              <w:jc w:val="left"/>
              <w:rPr>
                <w:szCs w:val="20"/>
              </w:rPr>
            </w:pPr>
            <w:r w:rsidRPr="00A97CEC">
              <w:rPr>
                <w:szCs w:val="20"/>
              </w:rPr>
              <w:t>OS: week zero</w:t>
            </w:r>
          </w:p>
          <w:p w:rsidR="004834F8" w:rsidRPr="00A97CEC" w:rsidRDefault="00CF1ECF" w:rsidP="00982397">
            <w:pPr>
              <w:pStyle w:val="TableText0"/>
              <w:jc w:val="left"/>
              <w:rPr>
                <w:szCs w:val="20"/>
              </w:rPr>
            </w:pPr>
            <w:r w:rsidRPr="00A97CEC">
              <w:rPr>
                <w:szCs w:val="20"/>
              </w:rPr>
              <w:t>The minor resubmission stated that the first radiologic tumour response assessment was performed at week 9 in KN-024, and that</w:t>
            </w:r>
            <w:r w:rsidR="00AE17BB" w:rsidRPr="00A97CEC">
              <w:rPr>
                <w:szCs w:val="20"/>
              </w:rPr>
              <w:t>,</w:t>
            </w:r>
            <w:r w:rsidRPr="00A97CEC">
              <w:rPr>
                <w:szCs w:val="20"/>
              </w:rPr>
              <w:t xml:space="preserve"> as data were not available prior to week 9, parametric functions were fitted from week 9 onwards for PFS. </w:t>
            </w:r>
            <w:r w:rsidR="00ED0A7C" w:rsidRPr="00A97CEC">
              <w:rPr>
                <w:szCs w:val="20"/>
              </w:rPr>
              <w:t>However, the workbook provided with the minor resubmission showed that PFS data were available prior to week 9. Approximately a third of patients were observed to have progressed by week 9. The exclusion of KM results prior to week 9 is inconsistent with the PBAC’s advice and does not appear to be adequately justified.</w:t>
            </w:r>
            <w:r w:rsidR="00AE17BB" w:rsidRPr="00A97CEC">
              <w:rPr>
                <w:szCs w:val="20"/>
              </w:rPr>
              <w:t xml:space="preserve"> A distinction may have to be drawn between when the event occurred, and when the event was confirmed (ie a progression event confirmed not to be a pseudo-progression event).</w:t>
            </w:r>
          </w:p>
        </w:tc>
      </w:tr>
      <w:tr w:rsidR="00D019BA" w:rsidRPr="00A85136" w:rsidTr="00360FED">
        <w:tc>
          <w:tcPr>
            <w:tcW w:w="1162" w:type="dxa"/>
          </w:tcPr>
          <w:p w:rsidR="00021A5D" w:rsidRPr="00A97CEC" w:rsidRDefault="00021A5D" w:rsidP="0068575C">
            <w:pPr>
              <w:pStyle w:val="TableText0"/>
              <w:jc w:val="left"/>
              <w:rPr>
                <w:szCs w:val="20"/>
              </w:rPr>
            </w:pPr>
            <w:r w:rsidRPr="00A97CEC">
              <w:rPr>
                <w:szCs w:val="20"/>
              </w:rPr>
              <w:t>Extrapolation</w:t>
            </w:r>
          </w:p>
        </w:tc>
        <w:tc>
          <w:tcPr>
            <w:tcW w:w="2127" w:type="dxa"/>
          </w:tcPr>
          <w:p w:rsidR="0068575C" w:rsidRPr="00A97CEC" w:rsidRDefault="00021A5D" w:rsidP="00565275">
            <w:pPr>
              <w:pStyle w:val="TableText0"/>
              <w:jc w:val="left"/>
              <w:rPr>
                <w:szCs w:val="20"/>
              </w:rPr>
            </w:pPr>
            <w:r w:rsidRPr="00A97CEC">
              <w:rPr>
                <w:szCs w:val="20"/>
              </w:rPr>
              <w:t xml:space="preserve">PFS: </w:t>
            </w:r>
          </w:p>
          <w:p w:rsidR="00021A5D" w:rsidRPr="00A97CEC" w:rsidRDefault="00021A5D" w:rsidP="0068575C">
            <w:pPr>
              <w:pStyle w:val="TableText0"/>
              <w:jc w:val="left"/>
              <w:rPr>
                <w:szCs w:val="20"/>
              </w:rPr>
            </w:pPr>
            <w:r w:rsidRPr="00A97CEC">
              <w:rPr>
                <w:szCs w:val="20"/>
              </w:rPr>
              <w:t>Pembro</w:t>
            </w:r>
            <w:r w:rsidR="0068575C" w:rsidRPr="00A97CEC">
              <w:rPr>
                <w:szCs w:val="20"/>
              </w:rPr>
              <w:t xml:space="preserve">lizumab: </w:t>
            </w:r>
            <w:r w:rsidRPr="00A97CEC">
              <w:rPr>
                <w:szCs w:val="20"/>
              </w:rPr>
              <w:t>exponential</w:t>
            </w:r>
          </w:p>
          <w:p w:rsidR="00021A5D" w:rsidRPr="00A97CEC" w:rsidRDefault="0068575C" w:rsidP="0068575C">
            <w:pPr>
              <w:pStyle w:val="TableText0"/>
              <w:jc w:val="left"/>
              <w:rPr>
                <w:szCs w:val="20"/>
              </w:rPr>
            </w:pPr>
            <w:r w:rsidRPr="00A97CEC">
              <w:rPr>
                <w:szCs w:val="20"/>
              </w:rPr>
              <w:t xml:space="preserve">Chemotherapy: </w:t>
            </w:r>
            <w:r w:rsidR="00AE17BB" w:rsidRPr="00A97CEC">
              <w:rPr>
                <w:szCs w:val="20"/>
              </w:rPr>
              <w:t>W</w:t>
            </w:r>
            <w:r w:rsidR="00021A5D" w:rsidRPr="00A97CEC">
              <w:rPr>
                <w:szCs w:val="20"/>
              </w:rPr>
              <w:t>eibull</w:t>
            </w:r>
          </w:p>
          <w:p w:rsidR="0068575C" w:rsidRPr="00A97CEC" w:rsidRDefault="00021A5D" w:rsidP="0068575C">
            <w:pPr>
              <w:pStyle w:val="TableText0"/>
              <w:jc w:val="left"/>
              <w:rPr>
                <w:szCs w:val="20"/>
              </w:rPr>
            </w:pPr>
            <w:r w:rsidRPr="00A97CEC">
              <w:rPr>
                <w:szCs w:val="20"/>
              </w:rPr>
              <w:t xml:space="preserve">OS: </w:t>
            </w:r>
          </w:p>
          <w:p w:rsidR="00021A5D" w:rsidRPr="00A97CEC" w:rsidRDefault="00021A5D" w:rsidP="0068575C">
            <w:pPr>
              <w:pStyle w:val="TableText0"/>
              <w:jc w:val="left"/>
              <w:rPr>
                <w:szCs w:val="20"/>
              </w:rPr>
            </w:pPr>
            <w:r w:rsidRPr="00A97CEC">
              <w:rPr>
                <w:szCs w:val="20"/>
              </w:rPr>
              <w:t>Pembr</w:t>
            </w:r>
            <w:r w:rsidR="0068575C" w:rsidRPr="00A97CEC">
              <w:rPr>
                <w:szCs w:val="20"/>
              </w:rPr>
              <w:t xml:space="preserve">olizumab: </w:t>
            </w:r>
            <w:r w:rsidRPr="00A97CEC">
              <w:rPr>
                <w:szCs w:val="20"/>
              </w:rPr>
              <w:t>log-logistic</w:t>
            </w:r>
          </w:p>
          <w:p w:rsidR="00021A5D" w:rsidRPr="00A97CEC" w:rsidRDefault="0068575C" w:rsidP="0068575C">
            <w:pPr>
              <w:pStyle w:val="TableText0"/>
              <w:jc w:val="left"/>
              <w:rPr>
                <w:rFonts w:eastAsia="Times New Roman"/>
                <w:szCs w:val="20"/>
              </w:rPr>
            </w:pPr>
            <w:r w:rsidRPr="00A97CEC">
              <w:rPr>
                <w:szCs w:val="20"/>
              </w:rPr>
              <w:t>Chemotherapy: e</w:t>
            </w:r>
            <w:r w:rsidR="00021A5D" w:rsidRPr="00A97CEC">
              <w:rPr>
                <w:szCs w:val="20"/>
              </w:rPr>
              <w:t>xponential</w:t>
            </w:r>
          </w:p>
        </w:tc>
        <w:tc>
          <w:tcPr>
            <w:tcW w:w="2693" w:type="dxa"/>
          </w:tcPr>
          <w:p w:rsidR="00021A5D" w:rsidRPr="00A97CEC" w:rsidRDefault="00021A5D" w:rsidP="00565275">
            <w:pPr>
              <w:spacing w:before="40"/>
              <w:rPr>
                <w:rFonts w:ascii="Arial Narrow" w:hAnsi="Arial Narrow"/>
                <w:sz w:val="20"/>
              </w:rPr>
            </w:pPr>
            <w:r w:rsidRPr="00A97CEC">
              <w:rPr>
                <w:rFonts w:ascii="Arial Narrow" w:hAnsi="Arial Narrow"/>
                <w:sz w:val="20"/>
              </w:rPr>
              <w:t>The PBAC advised that the base case of the economic model would need to be respecified to</w:t>
            </w:r>
            <w:r w:rsidR="00B105BA" w:rsidRPr="00A97CEC">
              <w:rPr>
                <w:rFonts w:ascii="Arial Narrow" w:hAnsi="Arial Narrow"/>
                <w:sz w:val="20"/>
              </w:rPr>
              <w:t xml:space="preserve"> apply</w:t>
            </w:r>
            <w:r w:rsidRPr="00A97CEC">
              <w:rPr>
                <w:rFonts w:ascii="Arial Narrow" w:hAnsi="Arial Narrow"/>
                <w:sz w:val="20"/>
              </w:rPr>
              <w:t>:</w:t>
            </w:r>
          </w:p>
          <w:p w:rsidR="00021A5D" w:rsidRPr="00A97CEC" w:rsidRDefault="00021A5D" w:rsidP="0068575C">
            <w:pPr>
              <w:pStyle w:val="ListParagraph"/>
              <w:widowControl/>
              <w:numPr>
                <w:ilvl w:val="0"/>
                <w:numId w:val="17"/>
              </w:numPr>
              <w:ind w:left="114" w:hanging="114"/>
              <w:jc w:val="left"/>
              <w:rPr>
                <w:rFonts w:ascii="Arial Narrow" w:hAnsi="Arial Narrow"/>
                <w:sz w:val="20"/>
              </w:rPr>
            </w:pPr>
            <w:r w:rsidRPr="00A97CEC">
              <w:rPr>
                <w:rFonts w:ascii="Arial Narrow" w:hAnsi="Arial Narrow"/>
                <w:sz w:val="20"/>
              </w:rPr>
              <w:t>the same extrapolation function between treatment arms for both PFS and OS;</w:t>
            </w:r>
          </w:p>
          <w:p w:rsidR="00021A5D" w:rsidRPr="00A97CEC" w:rsidRDefault="00021A5D" w:rsidP="0068575C">
            <w:pPr>
              <w:pStyle w:val="ListParagraph"/>
              <w:widowControl/>
              <w:numPr>
                <w:ilvl w:val="0"/>
                <w:numId w:val="17"/>
              </w:numPr>
              <w:ind w:left="114" w:hanging="114"/>
              <w:jc w:val="left"/>
              <w:rPr>
                <w:rFonts w:ascii="Arial Narrow" w:hAnsi="Arial Narrow"/>
                <w:sz w:val="20"/>
              </w:rPr>
            </w:pPr>
            <w:r w:rsidRPr="00A97CEC">
              <w:rPr>
                <w:rFonts w:ascii="Arial Narrow" w:hAnsi="Arial Narrow"/>
                <w:sz w:val="20"/>
              </w:rPr>
              <w:t>a conservative set of extrapolation curves after the median duration of follow-up that take into account the remaining uncertainty in the magnitude of PFS and OS benefit.</w:t>
            </w:r>
          </w:p>
        </w:tc>
        <w:tc>
          <w:tcPr>
            <w:tcW w:w="3100" w:type="dxa"/>
            <w:shd w:val="clear" w:color="auto" w:fill="auto"/>
          </w:tcPr>
          <w:p w:rsidR="00021A5D" w:rsidRPr="00A97CEC" w:rsidRDefault="00021A5D" w:rsidP="00565275">
            <w:pPr>
              <w:pStyle w:val="TableText0"/>
              <w:jc w:val="left"/>
              <w:rPr>
                <w:szCs w:val="20"/>
              </w:rPr>
            </w:pPr>
            <w:r w:rsidRPr="00A97CEC">
              <w:rPr>
                <w:szCs w:val="20"/>
              </w:rPr>
              <w:t>PFS: exponential (both arms)</w:t>
            </w:r>
          </w:p>
          <w:p w:rsidR="004834F8" w:rsidRPr="00A97CEC" w:rsidRDefault="00021A5D" w:rsidP="004834F8">
            <w:pPr>
              <w:pStyle w:val="TableText0"/>
              <w:jc w:val="left"/>
              <w:rPr>
                <w:szCs w:val="20"/>
              </w:rPr>
            </w:pPr>
            <w:r w:rsidRPr="00A97CEC">
              <w:rPr>
                <w:szCs w:val="20"/>
              </w:rPr>
              <w:t>OS: exponential (both arms)</w:t>
            </w:r>
          </w:p>
        </w:tc>
      </w:tr>
      <w:tr w:rsidR="00D019BA" w:rsidRPr="00A85136" w:rsidTr="00360FED">
        <w:tc>
          <w:tcPr>
            <w:tcW w:w="1162" w:type="dxa"/>
          </w:tcPr>
          <w:p w:rsidR="00021A5D" w:rsidRPr="00A97CEC" w:rsidRDefault="00021A5D" w:rsidP="0068575C">
            <w:pPr>
              <w:pStyle w:val="TableText0"/>
              <w:jc w:val="left"/>
              <w:rPr>
                <w:szCs w:val="20"/>
              </w:rPr>
            </w:pPr>
            <w:r w:rsidRPr="00A97CEC">
              <w:rPr>
                <w:szCs w:val="20"/>
              </w:rPr>
              <w:t>Convergence</w:t>
            </w:r>
          </w:p>
        </w:tc>
        <w:tc>
          <w:tcPr>
            <w:tcW w:w="2127" w:type="dxa"/>
          </w:tcPr>
          <w:p w:rsidR="00021A5D" w:rsidRPr="00A97CEC" w:rsidRDefault="00021A5D" w:rsidP="0068575C">
            <w:pPr>
              <w:pStyle w:val="TableText0"/>
              <w:jc w:val="left"/>
              <w:rPr>
                <w:szCs w:val="20"/>
              </w:rPr>
            </w:pPr>
            <w:r w:rsidRPr="00A97CEC">
              <w:rPr>
                <w:szCs w:val="20"/>
              </w:rPr>
              <w:t xml:space="preserve">No convergence of modelled survival curves. </w:t>
            </w:r>
          </w:p>
        </w:tc>
        <w:tc>
          <w:tcPr>
            <w:tcW w:w="2693" w:type="dxa"/>
          </w:tcPr>
          <w:p w:rsidR="00021A5D" w:rsidRPr="00A97CEC" w:rsidRDefault="00021A5D" w:rsidP="00565275">
            <w:pPr>
              <w:spacing w:before="40"/>
              <w:rPr>
                <w:lang w:eastAsia="en-US"/>
              </w:rPr>
            </w:pPr>
            <w:r w:rsidRPr="00A97CEC">
              <w:rPr>
                <w:rFonts w:ascii="Arial Narrow" w:hAnsi="Arial Narrow"/>
                <w:sz w:val="20"/>
              </w:rPr>
              <w:t>The PBAC advised that the base case of the economic model would need to converge the extrapolation curves to the base case time horizon of 7.5 years.</w:t>
            </w:r>
          </w:p>
        </w:tc>
        <w:tc>
          <w:tcPr>
            <w:tcW w:w="3100" w:type="dxa"/>
          </w:tcPr>
          <w:p w:rsidR="00021A5D" w:rsidRPr="00A97CEC" w:rsidRDefault="00021A5D" w:rsidP="0068575C">
            <w:pPr>
              <w:pStyle w:val="TableText0"/>
              <w:jc w:val="left"/>
              <w:rPr>
                <w:szCs w:val="20"/>
              </w:rPr>
            </w:pPr>
            <w:r w:rsidRPr="00A97CEC">
              <w:rPr>
                <w:szCs w:val="20"/>
              </w:rPr>
              <w:t>From year 5 (week 260) a proportional adjustment was made to the survival probabilities, to converge the modelled curves at 7.5 years (week 390).</w:t>
            </w:r>
          </w:p>
        </w:tc>
      </w:tr>
      <w:tr w:rsidR="00D019BA" w:rsidRPr="00A85136" w:rsidTr="00360FED">
        <w:tc>
          <w:tcPr>
            <w:tcW w:w="1162" w:type="dxa"/>
          </w:tcPr>
          <w:p w:rsidR="00021A5D" w:rsidRPr="00A97CEC" w:rsidRDefault="00021A5D" w:rsidP="0068575C">
            <w:pPr>
              <w:pStyle w:val="TableText0"/>
              <w:jc w:val="left"/>
              <w:rPr>
                <w:szCs w:val="20"/>
              </w:rPr>
            </w:pPr>
            <w:r w:rsidRPr="00A97CEC">
              <w:rPr>
                <w:szCs w:val="20"/>
              </w:rPr>
              <w:t>Drug acquisition costs</w:t>
            </w:r>
          </w:p>
        </w:tc>
        <w:tc>
          <w:tcPr>
            <w:tcW w:w="2127" w:type="dxa"/>
          </w:tcPr>
          <w:p w:rsidR="00021A5D" w:rsidRPr="00A97CEC" w:rsidRDefault="00021A5D" w:rsidP="0068575C">
            <w:pPr>
              <w:pStyle w:val="TableText0"/>
              <w:jc w:val="left"/>
              <w:rPr>
                <w:szCs w:val="20"/>
              </w:rPr>
            </w:pPr>
            <w:r w:rsidRPr="00A97CEC">
              <w:rPr>
                <w:szCs w:val="20"/>
              </w:rPr>
              <w:t>Based on the proposed price for pembrolizumab and the PBS listed prices for chemotherapies at the time of the resubmission.</w:t>
            </w:r>
          </w:p>
        </w:tc>
        <w:tc>
          <w:tcPr>
            <w:tcW w:w="2693" w:type="dxa"/>
          </w:tcPr>
          <w:p w:rsidR="00021A5D" w:rsidRPr="00A97CEC" w:rsidRDefault="00021A5D" w:rsidP="0068575C">
            <w:pPr>
              <w:pStyle w:val="TableText0"/>
              <w:jc w:val="left"/>
              <w:rPr>
                <w:szCs w:val="20"/>
              </w:rPr>
            </w:pPr>
            <w:r w:rsidRPr="00A97CEC">
              <w:t>The PBAC considered that a further price reduction was required for any PBS listing of pembrolizumab to be acceptably cost-effective.</w:t>
            </w:r>
          </w:p>
        </w:tc>
        <w:tc>
          <w:tcPr>
            <w:tcW w:w="3100" w:type="dxa"/>
          </w:tcPr>
          <w:p w:rsidR="00021A5D" w:rsidRPr="00A97CEC" w:rsidRDefault="00B644A8" w:rsidP="00B644A8">
            <w:pPr>
              <w:pStyle w:val="TableText0"/>
              <w:jc w:val="left"/>
              <w:rPr>
                <w:szCs w:val="20"/>
              </w:rPr>
            </w:pPr>
            <w:r>
              <w:rPr>
                <w:szCs w:val="20"/>
              </w:rPr>
              <w:t>Rather than a price reduction, a</w:t>
            </w:r>
            <w:r w:rsidR="00021A5D" w:rsidRPr="00A97CEC">
              <w:rPr>
                <w:szCs w:val="20"/>
              </w:rPr>
              <w:t xml:space="preserve"> </w:t>
            </w:r>
            <w:r w:rsidR="00E964DA">
              <w:rPr>
                <w:noProof/>
                <w:color w:val="000000"/>
                <w:szCs w:val="20"/>
                <w:highlight w:val="black"/>
              </w:rPr>
              <w:t>''''''</w:t>
            </w:r>
            <w:r w:rsidR="00021A5D" w:rsidRPr="00A97CEC">
              <w:rPr>
                <w:szCs w:val="20"/>
              </w:rPr>
              <w:t xml:space="preserve">% rebate on the pembrolizumab cost was applied </w:t>
            </w:r>
            <w:r w:rsidR="00E964DA">
              <w:rPr>
                <w:noProof/>
                <w:color w:val="000000"/>
                <w:szCs w:val="20"/>
                <w:highlight w:val="black"/>
              </w:rPr>
              <w:t>'''''''''' ''''''''''''' '''''' '''' '''''''''' '''''''''''''''' '''''' ''''''''''''''''' ''''''''' '''''''''''''''''''''''' '''' ''''''''''' '''''''''''''''''''''</w:t>
            </w:r>
            <w:r w:rsidR="00021A5D" w:rsidRPr="00A97CEC">
              <w:rPr>
                <w:szCs w:val="20"/>
              </w:rPr>
              <w:t>).</w:t>
            </w:r>
          </w:p>
        </w:tc>
      </w:tr>
      <w:tr w:rsidR="00E53FD7" w:rsidRPr="00A85136" w:rsidTr="00360FED">
        <w:tc>
          <w:tcPr>
            <w:tcW w:w="1162" w:type="dxa"/>
            <w:vMerge w:val="restart"/>
          </w:tcPr>
          <w:p w:rsidR="00E53FD7" w:rsidRPr="00A97CEC" w:rsidRDefault="00E53FD7" w:rsidP="00E53FD7">
            <w:pPr>
              <w:pStyle w:val="TableText0"/>
              <w:jc w:val="left"/>
              <w:rPr>
                <w:b/>
                <w:szCs w:val="20"/>
              </w:rPr>
            </w:pPr>
            <w:bookmarkStart w:id="0" w:name="_GoBack" w:colFirst="2" w:colLast="2"/>
            <w:r w:rsidRPr="00A97CEC">
              <w:rPr>
                <w:b/>
                <w:szCs w:val="20"/>
              </w:rPr>
              <w:t>Remaining issues</w:t>
            </w:r>
          </w:p>
        </w:tc>
        <w:tc>
          <w:tcPr>
            <w:tcW w:w="4820" w:type="dxa"/>
            <w:gridSpan w:val="2"/>
            <w:vAlign w:val="center"/>
          </w:tcPr>
          <w:p w:rsidR="00E53FD7" w:rsidRPr="00A97CEC" w:rsidRDefault="00E53FD7" w:rsidP="00D019BA">
            <w:pPr>
              <w:pStyle w:val="TableText0"/>
              <w:jc w:val="center"/>
              <w:rPr>
                <w:b/>
                <w:szCs w:val="20"/>
              </w:rPr>
            </w:pPr>
            <w:r w:rsidRPr="00A97CEC">
              <w:rPr>
                <w:b/>
                <w:szCs w:val="20"/>
              </w:rPr>
              <w:t>November 2017</w:t>
            </w:r>
          </w:p>
        </w:tc>
        <w:tc>
          <w:tcPr>
            <w:tcW w:w="3100" w:type="dxa"/>
            <w:vMerge w:val="restart"/>
            <w:vAlign w:val="center"/>
          </w:tcPr>
          <w:p w:rsidR="00E53FD7" w:rsidRPr="00A97CEC" w:rsidRDefault="00E53FD7" w:rsidP="00A1267B">
            <w:pPr>
              <w:pStyle w:val="TableText0"/>
              <w:jc w:val="center"/>
              <w:rPr>
                <w:szCs w:val="20"/>
              </w:rPr>
            </w:pPr>
            <w:r w:rsidRPr="00A97CEC">
              <w:rPr>
                <w:b/>
                <w:szCs w:val="20"/>
              </w:rPr>
              <w:t>March 2018 minor resubmission</w:t>
            </w:r>
          </w:p>
        </w:tc>
      </w:tr>
      <w:bookmarkEnd w:id="0"/>
      <w:tr w:rsidR="00E53FD7" w:rsidRPr="00A85136" w:rsidTr="00360FED">
        <w:tc>
          <w:tcPr>
            <w:tcW w:w="1162" w:type="dxa"/>
            <w:vMerge/>
          </w:tcPr>
          <w:p w:rsidR="00E53FD7" w:rsidRPr="00A97CEC" w:rsidRDefault="00E53FD7" w:rsidP="0068575C">
            <w:pPr>
              <w:pStyle w:val="TableText0"/>
              <w:jc w:val="left"/>
              <w:rPr>
                <w:b/>
                <w:szCs w:val="20"/>
              </w:rPr>
            </w:pPr>
          </w:p>
        </w:tc>
        <w:tc>
          <w:tcPr>
            <w:tcW w:w="2127" w:type="dxa"/>
            <w:vAlign w:val="center"/>
          </w:tcPr>
          <w:p w:rsidR="00E53FD7" w:rsidRPr="00A97CEC" w:rsidRDefault="00E53FD7" w:rsidP="00D019BA">
            <w:pPr>
              <w:pStyle w:val="TableText0"/>
              <w:jc w:val="center"/>
              <w:rPr>
                <w:b/>
                <w:szCs w:val="20"/>
              </w:rPr>
            </w:pPr>
            <w:r w:rsidRPr="00A97CEC">
              <w:rPr>
                <w:b/>
                <w:szCs w:val="20"/>
              </w:rPr>
              <w:t>Major resubmission</w:t>
            </w:r>
          </w:p>
        </w:tc>
        <w:tc>
          <w:tcPr>
            <w:tcW w:w="2693" w:type="dxa"/>
            <w:vAlign w:val="center"/>
          </w:tcPr>
          <w:p w:rsidR="00E53FD7" w:rsidRPr="00A97CEC" w:rsidRDefault="00E53FD7" w:rsidP="00D019BA">
            <w:pPr>
              <w:pStyle w:val="TableText0"/>
              <w:jc w:val="center"/>
              <w:rPr>
                <w:b/>
                <w:szCs w:val="20"/>
              </w:rPr>
            </w:pPr>
            <w:r w:rsidRPr="00A97CEC">
              <w:rPr>
                <w:b/>
                <w:szCs w:val="20"/>
              </w:rPr>
              <w:t>PBAC comments</w:t>
            </w:r>
          </w:p>
        </w:tc>
        <w:tc>
          <w:tcPr>
            <w:tcW w:w="3100" w:type="dxa"/>
            <w:vMerge/>
          </w:tcPr>
          <w:p w:rsidR="00E53FD7" w:rsidRPr="00A97CEC" w:rsidRDefault="00E53FD7" w:rsidP="0068575C">
            <w:pPr>
              <w:pStyle w:val="TableText0"/>
              <w:jc w:val="left"/>
              <w:rPr>
                <w:b/>
                <w:szCs w:val="20"/>
              </w:rPr>
            </w:pPr>
          </w:p>
        </w:tc>
      </w:tr>
      <w:tr w:rsidR="00987F0D" w:rsidRPr="00A85136" w:rsidTr="00360FED">
        <w:tc>
          <w:tcPr>
            <w:tcW w:w="1162" w:type="dxa"/>
          </w:tcPr>
          <w:p w:rsidR="00987F0D" w:rsidRPr="00A97CEC" w:rsidRDefault="00851F1E" w:rsidP="00851F1E">
            <w:pPr>
              <w:pStyle w:val="TableText0"/>
              <w:jc w:val="left"/>
              <w:rPr>
                <w:szCs w:val="20"/>
              </w:rPr>
            </w:pPr>
            <w:r w:rsidRPr="00A97CEC">
              <w:rPr>
                <w:szCs w:val="20"/>
              </w:rPr>
              <w:t>Cost of second-</w:t>
            </w:r>
            <w:r w:rsidR="00987F0D" w:rsidRPr="00A97CEC">
              <w:rPr>
                <w:szCs w:val="20"/>
              </w:rPr>
              <w:t>line nivolumab</w:t>
            </w:r>
          </w:p>
        </w:tc>
        <w:tc>
          <w:tcPr>
            <w:tcW w:w="2127" w:type="dxa"/>
          </w:tcPr>
          <w:p w:rsidR="00987F0D" w:rsidRPr="00A97CEC" w:rsidRDefault="00A61312" w:rsidP="00565275">
            <w:pPr>
              <w:pStyle w:val="TableText0"/>
              <w:jc w:val="left"/>
            </w:pPr>
            <w:r w:rsidRPr="00A97CEC">
              <w:t xml:space="preserve">The resubmission assumed that patients would receive </w:t>
            </w:r>
            <w:r w:rsidR="00E964DA">
              <w:rPr>
                <w:noProof/>
                <w:color w:val="000000"/>
                <w:highlight w:val="black"/>
              </w:rPr>
              <w:t>'''''</w:t>
            </w:r>
            <w:r w:rsidRPr="00A97CEC">
              <w:t xml:space="preserve"> 2-week cycles (approximately </w:t>
            </w:r>
            <w:r w:rsidR="00E964DA">
              <w:rPr>
                <w:noProof/>
                <w:color w:val="000000"/>
                <w:highlight w:val="black"/>
              </w:rPr>
              <w:t>''''''''</w:t>
            </w:r>
            <w:r w:rsidRPr="00A97CEC">
              <w:t xml:space="preserve"> months) of nivolumab treatment after they have failed first-line platinum-based doublet chemotherapy, based on the nivolumab </w:t>
            </w:r>
            <w:r w:rsidR="00F87320">
              <w:t>November 2016 PSD.</w:t>
            </w:r>
          </w:p>
          <w:p w:rsidR="00A61312" w:rsidRPr="00A97CEC" w:rsidRDefault="00A61312" w:rsidP="00A61312">
            <w:pPr>
              <w:pStyle w:val="TableText0"/>
              <w:jc w:val="left"/>
              <w:rPr>
                <w:szCs w:val="20"/>
              </w:rPr>
            </w:pPr>
            <w:r w:rsidRPr="00A97CEC">
              <w:t>The ESCs considered that the duration of second-line nivolumab following first-line platinum-based doublet chemotherapy was overestimated.</w:t>
            </w:r>
          </w:p>
        </w:tc>
        <w:tc>
          <w:tcPr>
            <w:tcW w:w="2693" w:type="dxa"/>
          </w:tcPr>
          <w:p w:rsidR="00987F0D" w:rsidRPr="00A97CEC" w:rsidRDefault="00987F0D" w:rsidP="00565275">
            <w:pPr>
              <w:spacing w:before="40"/>
              <w:rPr>
                <w:rFonts w:ascii="Arial Narrow" w:hAnsi="Arial Narrow"/>
                <w:sz w:val="20"/>
              </w:rPr>
            </w:pPr>
            <w:r w:rsidRPr="00A97CEC">
              <w:rPr>
                <w:rFonts w:ascii="Arial Narrow" w:hAnsi="Arial Narrow"/>
                <w:sz w:val="20"/>
              </w:rPr>
              <w:t>The PBAC advised that the base case of the economic model would need to be respecified to:</w:t>
            </w:r>
          </w:p>
          <w:p w:rsidR="00987F0D" w:rsidRPr="00A97CEC" w:rsidRDefault="00987F0D" w:rsidP="00987F0D">
            <w:pPr>
              <w:pStyle w:val="ListParagraph"/>
              <w:widowControl/>
              <w:numPr>
                <w:ilvl w:val="0"/>
                <w:numId w:val="17"/>
              </w:numPr>
              <w:ind w:left="114" w:hanging="114"/>
              <w:jc w:val="left"/>
              <w:rPr>
                <w:rFonts w:ascii="Arial Narrow" w:hAnsi="Arial Narrow"/>
                <w:sz w:val="20"/>
              </w:rPr>
            </w:pPr>
            <w:r w:rsidRPr="00A97CEC">
              <w:rPr>
                <w:rFonts w:ascii="Arial Narrow" w:hAnsi="Arial Narrow"/>
                <w:sz w:val="20"/>
              </w:rPr>
              <w:t>estimate the duration of post-chemotherapy nivolumab use following the approach advised by the ESCs; and</w:t>
            </w:r>
          </w:p>
          <w:p w:rsidR="00987F0D" w:rsidRPr="00A97CEC" w:rsidRDefault="00987F0D" w:rsidP="00987F0D">
            <w:pPr>
              <w:pStyle w:val="ListParagraph"/>
              <w:widowControl/>
              <w:numPr>
                <w:ilvl w:val="0"/>
                <w:numId w:val="17"/>
              </w:numPr>
              <w:ind w:left="114" w:hanging="114"/>
              <w:jc w:val="left"/>
              <w:rPr>
                <w:rFonts w:ascii="Arial Narrow" w:hAnsi="Arial Narrow"/>
                <w:sz w:val="20"/>
              </w:rPr>
            </w:pPr>
            <w:r w:rsidRPr="00A97CEC">
              <w:rPr>
                <w:rFonts w:ascii="Arial Narrow" w:hAnsi="Arial Narrow"/>
                <w:sz w:val="20"/>
              </w:rPr>
              <w:t>incorporate the effective price of nivolumab (in the case where pembrolizumab receives a positive PBAC recommendation so that the Deed of Agreement for nivolumab can then be disclosed to the sponsor of pembrolizumab).</w:t>
            </w:r>
          </w:p>
        </w:tc>
        <w:tc>
          <w:tcPr>
            <w:tcW w:w="3100" w:type="dxa"/>
          </w:tcPr>
          <w:p w:rsidR="00987F0D" w:rsidRPr="00A97CEC" w:rsidRDefault="00987F0D" w:rsidP="00565275">
            <w:pPr>
              <w:spacing w:before="40"/>
              <w:rPr>
                <w:rFonts w:ascii="Arial Narrow" w:hAnsi="Arial Narrow"/>
                <w:sz w:val="20"/>
                <w:szCs w:val="20"/>
              </w:rPr>
            </w:pPr>
            <w:r w:rsidRPr="00A97CEC">
              <w:rPr>
                <w:rFonts w:ascii="Arial Narrow" w:hAnsi="Arial Narrow"/>
                <w:sz w:val="20"/>
                <w:szCs w:val="20"/>
              </w:rPr>
              <w:t>The minor resubmission stated that the sponsor agrees to incorporate the effective price of nivolumab if pembrolizumab receives a positive recommendation.</w:t>
            </w:r>
          </w:p>
          <w:p w:rsidR="00987F0D" w:rsidRPr="00A97CEC" w:rsidRDefault="00987F0D" w:rsidP="00560542">
            <w:pPr>
              <w:pStyle w:val="TableText0"/>
              <w:jc w:val="left"/>
              <w:rPr>
                <w:szCs w:val="20"/>
              </w:rPr>
            </w:pPr>
            <w:r w:rsidRPr="00A97CEC">
              <w:rPr>
                <w:szCs w:val="20"/>
              </w:rPr>
              <w:t>However, the minor resubmission argued that the ESC</w:t>
            </w:r>
            <w:r w:rsidR="00A91CE7" w:rsidRPr="00A97CEC">
              <w:rPr>
                <w:szCs w:val="20"/>
              </w:rPr>
              <w:t>s’ approach of using median PFS2</w:t>
            </w:r>
            <w:r w:rsidRPr="00A97CEC">
              <w:rPr>
                <w:szCs w:val="20"/>
              </w:rPr>
              <w:t xml:space="preserve"> – median PFS1 as the basis for the nivolumab treatment duration is not accurate</w:t>
            </w:r>
            <w:r w:rsidR="00560542" w:rsidRPr="00A97CEC">
              <w:rPr>
                <w:szCs w:val="20"/>
              </w:rPr>
              <w:t>, and so</w:t>
            </w:r>
            <w:r w:rsidRPr="00A97CEC">
              <w:rPr>
                <w:szCs w:val="20"/>
              </w:rPr>
              <w:t xml:space="preserve"> maintained the same approach to calculating the nivolumab treatment duration as per the November 2017 major resubmission.</w:t>
            </w:r>
          </w:p>
          <w:p w:rsidR="00560542" w:rsidRPr="00A97CEC" w:rsidRDefault="00560542" w:rsidP="00560542">
            <w:pPr>
              <w:pStyle w:val="TableText0"/>
              <w:jc w:val="left"/>
              <w:rPr>
                <w:szCs w:val="20"/>
              </w:rPr>
            </w:pPr>
            <w:r w:rsidRPr="00A97CEC">
              <w:rPr>
                <w:szCs w:val="20"/>
              </w:rPr>
              <w:t>The arguments were:</w:t>
            </w:r>
          </w:p>
          <w:p w:rsidR="00560542" w:rsidRPr="00A97CEC" w:rsidRDefault="00560542" w:rsidP="00560542">
            <w:pPr>
              <w:pStyle w:val="ListParagraph"/>
              <w:widowControl/>
              <w:numPr>
                <w:ilvl w:val="0"/>
                <w:numId w:val="17"/>
              </w:numPr>
              <w:ind w:left="114" w:hanging="114"/>
              <w:jc w:val="left"/>
              <w:rPr>
                <w:rFonts w:ascii="Arial Narrow" w:hAnsi="Arial Narrow"/>
                <w:sz w:val="20"/>
              </w:rPr>
            </w:pPr>
            <w:r w:rsidRPr="00A97CEC">
              <w:rPr>
                <w:rFonts w:ascii="Arial Narrow" w:hAnsi="Arial Narrow"/>
                <w:sz w:val="20"/>
              </w:rPr>
              <w:t>PFS2 was defined in KN-024 from an ITT perspective as including progression events (including deaths) occurring before initiation of second-line therapy, thus shortening the time period from randomisation to PFS2 event compared to a</w:t>
            </w:r>
            <w:r w:rsidR="0084167C" w:rsidRPr="00A97CEC">
              <w:rPr>
                <w:rFonts w:ascii="Arial Narrow" w:hAnsi="Arial Narrow"/>
                <w:sz w:val="20"/>
              </w:rPr>
              <w:t xml:space="preserve"> definition which only include</w:t>
            </w:r>
            <w:r w:rsidRPr="00A97CEC">
              <w:rPr>
                <w:rFonts w:ascii="Arial Narrow" w:hAnsi="Arial Narrow"/>
                <w:sz w:val="20"/>
              </w:rPr>
              <w:t xml:space="preserve"> progression events occurring after initiation of second-line therapy</w:t>
            </w:r>
            <w:r w:rsidR="001A56A0" w:rsidRPr="00A97CEC">
              <w:rPr>
                <w:rFonts w:ascii="Arial Narrow" w:hAnsi="Arial Narrow"/>
                <w:sz w:val="20"/>
              </w:rPr>
              <w:t>. This is reasonable.</w:t>
            </w:r>
          </w:p>
          <w:p w:rsidR="001A56A0" w:rsidRPr="00A97CEC" w:rsidRDefault="001A56A0" w:rsidP="00D057D1">
            <w:pPr>
              <w:pStyle w:val="ListParagraph"/>
              <w:widowControl/>
              <w:numPr>
                <w:ilvl w:val="0"/>
                <w:numId w:val="17"/>
              </w:numPr>
              <w:ind w:left="114" w:hanging="114"/>
              <w:jc w:val="left"/>
              <w:rPr>
                <w:rFonts w:ascii="Arial Narrow" w:hAnsi="Arial Narrow"/>
                <w:sz w:val="20"/>
              </w:rPr>
            </w:pPr>
            <w:r w:rsidRPr="00A97CEC">
              <w:rPr>
                <w:rFonts w:ascii="Arial Narrow" w:hAnsi="Arial Narrow"/>
                <w:sz w:val="20"/>
              </w:rPr>
              <w:t>The mean is preferred to the median when estimating length of treatment</w:t>
            </w:r>
            <w:r w:rsidR="00D057D1" w:rsidRPr="00A97CEC">
              <w:rPr>
                <w:rFonts w:ascii="Arial Narrow" w:hAnsi="Arial Narrow"/>
                <w:sz w:val="20"/>
              </w:rPr>
              <w:t xml:space="preserve"> and the truncated mean, which underestimates the overall mean, is a conservative approach when estimating cost offsets. This is reasonable.</w:t>
            </w:r>
          </w:p>
          <w:p w:rsidR="00D057D1" w:rsidRPr="00A97CEC" w:rsidRDefault="00D057D1" w:rsidP="00B65D50">
            <w:pPr>
              <w:pStyle w:val="ListParagraph"/>
              <w:widowControl/>
              <w:numPr>
                <w:ilvl w:val="0"/>
                <w:numId w:val="17"/>
              </w:numPr>
              <w:ind w:left="114" w:hanging="114"/>
              <w:jc w:val="left"/>
              <w:rPr>
                <w:rFonts w:ascii="Arial Narrow" w:hAnsi="Arial Narrow"/>
                <w:sz w:val="20"/>
              </w:rPr>
            </w:pPr>
            <w:r w:rsidRPr="00A97CEC">
              <w:rPr>
                <w:rFonts w:ascii="Arial Narrow" w:hAnsi="Arial Narrow"/>
                <w:sz w:val="20"/>
              </w:rPr>
              <w:t xml:space="preserve">Treatment duration would be longer in patients whose </w:t>
            </w:r>
            <w:r w:rsidR="00873AF7" w:rsidRPr="00A97CEC">
              <w:rPr>
                <w:rFonts w:ascii="Arial Narrow" w:hAnsi="Arial Narrow"/>
                <w:sz w:val="20"/>
              </w:rPr>
              <w:t xml:space="preserve">NSCLC </w:t>
            </w:r>
            <w:r w:rsidRPr="00A97CEC">
              <w:rPr>
                <w:rFonts w:ascii="Arial Narrow" w:hAnsi="Arial Narrow"/>
                <w:sz w:val="20"/>
              </w:rPr>
              <w:t>tumours strongly express PD-L1</w:t>
            </w:r>
            <w:r w:rsidR="00B65D50">
              <w:rPr>
                <w:rFonts w:ascii="Arial Narrow" w:hAnsi="Arial Narrow"/>
                <w:sz w:val="20"/>
              </w:rPr>
              <w:t>, supported by observational data from a US post-market database</w:t>
            </w:r>
            <w:r w:rsidRPr="00A97CEC">
              <w:rPr>
                <w:rFonts w:ascii="Arial Narrow" w:hAnsi="Arial Narrow"/>
                <w:sz w:val="20"/>
              </w:rPr>
              <w:t>. This depends on whether it is accepted that PD-L1 status predicts treatment effect variation consistently across nivolumab and pembrolizumab</w:t>
            </w:r>
            <w:r w:rsidR="00873AF7" w:rsidRPr="00A97CEC">
              <w:rPr>
                <w:rFonts w:ascii="Arial Narrow" w:hAnsi="Arial Narrow"/>
                <w:sz w:val="20"/>
              </w:rPr>
              <w:t xml:space="preserve">, and thus a longer duration for second-line nivolumab treatment </w:t>
            </w:r>
            <w:r w:rsidR="00B65D50">
              <w:rPr>
                <w:rFonts w:ascii="Arial Narrow" w:hAnsi="Arial Narrow"/>
                <w:sz w:val="20"/>
              </w:rPr>
              <w:t>is reasonable</w:t>
            </w:r>
            <w:r w:rsidR="00873AF7" w:rsidRPr="00A97CEC">
              <w:rPr>
                <w:rFonts w:ascii="Arial Narrow" w:hAnsi="Arial Narrow"/>
                <w:sz w:val="20"/>
              </w:rPr>
              <w:t xml:space="preserve"> for this subgroup </w:t>
            </w:r>
            <w:r w:rsidR="00895DEA" w:rsidRPr="00A97CEC">
              <w:rPr>
                <w:rFonts w:ascii="Arial Narrow" w:hAnsi="Arial Narrow"/>
                <w:sz w:val="20"/>
              </w:rPr>
              <w:t>compared to all</w:t>
            </w:r>
            <w:r w:rsidR="00873AF7" w:rsidRPr="00A97CEC">
              <w:rPr>
                <w:rFonts w:ascii="Arial Narrow" w:hAnsi="Arial Narrow"/>
                <w:sz w:val="20"/>
              </w:rPr>
              <w:t xml:space="preserve"> patients who </w:t>
            </w:r>
            <w:r w:rsidR="00895DEA" w:rsidRPr="00A97CEC">
              <w:rPr>
                <w:rFonts w:ascii="Arial Narrow" w:hAnsi="Arial Narrow"/>
                <w:sz w:val="20"/>
              </w:rPr>
              <w:t>receive</w:t>
            </w:r>
            <w:r w:rsidR="00873AF7" w:rsidRPr="00A97CEC">
              <w:rPr>
                <w:rFonts w:ascii="Arial Narrow" w:hAnsi="Arial Narrow"/>
                <w:sz w:val="20"/>
              </w:rPr>
              <w:t xml:space="preserve"> </w:t>
            </w:r>
            <w:r w:rsidR="00895DEA" w:rsidRPr="00A97CEC">
              <w:rPr>
                <w:rFonts w:ascii="Arial Narrow" w:hAnsi="Arial Narrow"/>
                <w:sz w:val="20"/>
              </w:rPr>
              <w:t xml:space="preserve">PBS-subsidised </w:t>
            </w:r>
            <w:r w:rsidR="00873AF7" w:rsidRPr="00A97CEC">
              <w:rPr>
                <w:rFonts w:ascii="Arial Narrow" w:hAnsi="Arial Narrow"/>
                <w:sz w:val="20"/>
              </w:rPr>
              <w:t>nivolumab in second-line NSCLC</w:t>
            </w:r>
            <w:r w:rsidRPr="00A97CEC">
              <w:rPr>
                <w:rFonts w:ascii="Arial Narrow" w:hAnsi="Arial Narrow"/>
                <w:sz w:val="20"/>
              </w:rPr>
              <w:t>.</w:t>
            </w:r>
          </w:p>
        </w:tc>
      </w:tr>
    </w:tbl>
    <w:p w:rsidR="005963BB" w:rsidRPr="00891457" w:rsidRDefault="004D5163" w:rsidP="005368F5">
      <w:pPr>
        <w:pStyle w:val="TableFooter"/>
        <w:rPr>
          <w:rFonts w:eastAsiaTheme="minorHAnsi" w:cstheme="minorBidi"/>
          <w:szCs w:val="18"/>
        </w:rPr>
      </w:pPr>
      <w:r w:rsidRPr="00891457">
        <w:rPr>
          <w:rFonts w:eastAsiaTheme="minorHAnsi" w:cstheme="minorBidi"/>
          <w:szCs w:val="18"/>
        </w:rPr>
        <w:t>Abbreviations: KM=</w:t>
      </w:r>
      <w:r w:rsidRPr="00891457">
        <w:rPr>
          <w:szCs w:val="18"/>
        </w:rPr>
        <w:t xml:space="preserve">Kaplan-Meier; </w:t>
      </w:r>
      <w:r w:rsidR="00873AF7" w:rsidRPr="00891457">
        <w:rPr>
          <w:szCs w:val="18"/>
        </w:rPr>
        <w:t>PSCR=pre-Subcommittee Response</w:t>
      </w:r>
    </w:p>
    <w:p w:rsidR="0018636B" w:rsidRPr="008C6270" w:rsidRDefault="00A91CE7" w:rsidP="0018636B">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8C6270">
        <w:rPr>
          <w:rFonts w:asciiTheme="minorHAnsi" w:eastAsiaTheme="minorHAnsi" w:hAnsiTheme="minorHAnsi" w:cstheme="minorBidi"/>
          <w:snapToGrid/>
          <w:sz w:val="24"/>
          <w:szCs w:val="22"/>
        </w:rPr>
        <w:t>The KM data are the same in the workbook accompanying the November 2017 PSCR and the current minor resubmission. However, the PSCR stated that the median follow up was 25.2 months, whereas the minor resubmission stated that the median follow-up was 97 weeks (i.</w:t>
      </w:r>
      <w:r w:rsidR="008769DB" w:rsidRPr="008C6270">
        <w:rPr>
          <w:rFonts w:asciiTheme="minorHAnsi" w:eastAsiaTheme="minorHAnsi" w:hAnsiTheme="minorHAnsi" w:cstheme="minorBidi"/>
          <w:snapToGrid/>
          <w:sz w:val="24"/>
          <w:szCs w:val="22"/>
        </w:rPr>
        <w:t>e. 22.4 months). Without the Clinical Study Report</w:t>
      </w:r>
      <w:r w:rsidRPr="008C6270">
        <w:rPr>
          <w:rFonts w:asciiTheme="minorHAnsi" w:eastAsiaTheme="minorHAnsi" w:hAnsiTheme="minorHAnsi" w:cstheme="minorBidi"/>
          <w:snapToGrid/>
          <w:sz w:val="24"/>
          <w:szCs w:val="22"/>
        </w:rPr>
        <w:t xml:space="preserve"> for the final analysis</w:t>
      </w:r>
      <w:r w:rsidR="008769DB" w:rsidRPr="008C6270">
        <w:rPr>
          <w:rFonts w:asciiTheme="minorHAnsi" w:eastAsiaTheme="minorHAnsi" w:hAnsiTheme="minorHAnsi" w:cstheme="minorBidi"/>
          <w:snapToGrid/>
          <w:sz w:val="24"/>
          <w:szCs w:val="22"/>
        </w:rPr>
        <w:t xml:space="preserve"> of KN-024</w:t>
      </w:r>
      <w:r w:rsidRPr="008C6270">
        <w:rPr>
          <w:rFonts w:asciiTheme="minorHAnsi" w:eastAsiaTheme="minorHAnsi" w:hAnsiTheme="minorHAnsi" w:cstheme="minorBidi"/>
          <w:snapToGrid/>
          <w:sz w:val="24"/>
          <w:szCs w:val="22"/>
        </w:rPr>
        <w:t xml:space="preserve"> it</w:t>
      </w:r>
      <w:r w:rsidR="00AE17BB" w:rsidRPr="008C6270">
        <w:rPr>
          <w:rFonts w:asciiTheme="minorHAnsi" w:eastAsiaTheme="minorHAnsi" w:hAnsiTheme="minorHAnsi" w:cstheme="minorBidi"/>
          <w:snapToGrid/>
          <w:sz w:val="24"/>
          <w:szCs w:val="22"/>
        </w:rPr>
        <w:t xml:space="preserve"> wa</w:t>
      </w:r>
      <w:r w:rsidRPr="008C6270">
        <w:rPr>
          <w:rFonts w:asciiTheme="minorHAnsi" w:eastAsiaTheme="minorHAnsi" w:hAnsiTheme="minorHAnsi" w:cstheme="minorBidi"/>
          <w:snapToGrid/>
          <w:sz w:val="24"/>
          <w:szCs w:val="22"/>
        </w:rPr>
        <w:t xml:space="preserve">s not clear </w:t>
      </w:r>
      <w:r w:rsidR="0018636B" w:rsidRPr="008C6270">
        <w:rPr>
          <w:rFonts w:asciiTheme="minorHAnsi" w:eastAsiaTheme="minorHAnsi" w:hAnsiTheme="minorHAnsi" w:cstheme="minorBidi"/>
          <w:snapToGrid/>
          <w:sz w:val="24"/>
          <w:szCs w:val="22"/>
        </w:rPr>
        <w:t xml:space="preserve">during the evaluation </w:t>
      </w:r>
      <w:r w:rsidRPr="008C6270">
        <w:rPr>
          <w:rFonts w:asciiTheme="minorHAnsi" w:eastAsiaTheme="minorHAnsi" w:hAnsiTheme="minorHAnsi" w:cstheme="minorBidi"/>
          <w:snapToGrid/>
          <w:sz w:val="24"/>
          <w:szCs w:val="22"/>
        </w:rPr>
        <w:t xml:space="preserve">which </w:t>
      </w:r>
      <w:r w:rsidR="00891457">
        <w:rPr>
          <w:rFonts w:asciiTheme="minorHAnsi" w:eastAsiaTheme="minorHAnsi" w:hAnsiTheme="minorHAnsi" w:cstheme="minorBidi"/>
          <w:snapToGrid/>
          <w:sz w:val="24"/>
          <w:szCs w:val="22"/>
        </w:rPr>
        <w:t>was</w:t>
      </w:r>
      <w:r w:rsidR="00891457" w:rsidRPr="008C6270">
        <w:rPr>
          <w:rFonts w:asciiTheme="minorHAnsi" w:eastAsiaTheme="minorHAnsi" w:hAnsiTheme="minorHAnsi" w:cstheme="minorBidi"/>
          <w:snapToGrid/>
          <w:sz w:val="24"/>
          <w:szCs w:val="22"/>
        </w:rPr>
        <w:t xml:space="preserve"> </w:t>
      </w:r>
      <w:r w:rsidRPr="008C6270">
        <w:rPr>
          <w:rFonts w:asciiTheme="minorHAnsi" w:eastAsiaTheme="minorHAnsi" w:hAnsiTheme="minorHAnsi" w:cstheme="minorBidi"/>
          <w:snapToGrid/>
          <w:sz w:val="24"/>
          <w:szCs w:val="22"/>
        </w:rPr>
        <w:t xml:space="preserve">correct. </w:t>
      </w:r>
      <w:r w:rsidR="0018636B" w:rsidRPr="008C6270">
        <w:rPr>
          <w:rFonts w:asciiTheme="minorHAnsi" w:eastAsiaTheme="minorHAnsi" w:hAnsiTheme="minorHAnsi" w:cstheme="minorBidi"/>
          <w:snapToGrid/>
          <w:sz w:val="24"/>
          <w:szCs w:val="22"/>
        </w:rPr>
        <w:t xml:space="preserve">The pre-PBAC response </w:t>
      </w:r>
      <w:r w:rsidR="009018EC">
        <w:rPr>
          <w:rFonts w:asciiTheme="minorHAnsi" w:eastAsiaTheme="minorHAnsi" w:hAnsiTheme="minorHAnsi" w:cstheme="minorBidi"/>
          <w:snapToGrid/>
          <w:sz w:val="24"/>
          <w:szCs w:val="22"/>
        </w:rPr>
        <w:t xml:space="preserve">following the minor resubmission </w:t>
      </w:r>
      <w:r w:rsidR="0018636B" w:rsidRPr="008C6270">
        <w:rPr>
          <w:rFonts w:asciiTheme="minorHAnsi" w:eastAsiaTheme="minorHAnsi" w:hAnsiTheme="minorHAnsi" w:cstheme="minorBidi"/>
          <w:snapToGrid/>
          <w:sz w:val="24"/>
          <w:szCs w:val="22"/>
        </w:rPr>
        <w:t>stated that, “data included in the economic model had a median follow-up of 25.2 months (107 weeks). Kaplan-Meier curves to 97 weeks were used because the data are too sparse beyond 97 weeks for stable estimation across modelled outcomes.”</w:t>
      </w:r>
    </w:p>
    <w:p w:rsidR="00D019BA" w:rsidRDefault="00D019BA" w:rsidP="00A3483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Verification of the stepped economic analyses conducted by the minor r</w:t>
      </w:r>
      <w:r w:rsidR="00AE17BB">
        <w:rPr>
          <w:rFonts w:asciiTheme="minorHAnsi" w:eastAsiaTheme="minorHAnsi" w:hAnsiTheme="minorHAnsi" w:cstheme="minorBidi"/>
          <w:snapToGrid/>
          <w:sz w:val="24"/>
          <w:szCs w:val="22"/>
        </w:rPr>
        <w:t>esubmission is presented below.</w:t>
      </w:r>
    </w:p>
    <w:p w:rsidR="005012E1" w:rsidRPr="000F0233" w:rsidRDefault="005012E1" w:rsidP="006C4A8E">
      <w:pPr>
        <w:pStyle w:val="Caption"/>
        <w:keepNext/>
        <w:spacing w:after="0"/>
        <w:rPr>
          <w:rStyle w:val="CommentReference"/>
          <w:rFonts w:ascii="Arial Narrow" w:hAnsi="Arial Narrow"/>
          <w:color w:val="auto"/>
          <w:sz w:val="20"/>
          <w:szCs w:val="20"/>
        </w:rPr>
      </w:pPr>
      <w:r w:rsidRPr="000F0233">
        <w:rPr>
          <w:rStyle w:val="CommentReference"/>
          <w:rFonts w:ascii="Arial Narrow" w:hAnsi="Arial Narrow"/>
          <w:color w:val="auto"/>
          <w:sz w:val="20"/>
          <w:szCs w:val="20"/>
        </w:rPr>
        <w:t xml:space="preserve">Table </w:t>
      </w:r>
      <w:r w:rsidR="006C6CBE">
        <w:rPr>
          <w:rStyle w:val="CommentReference"/>
          <w:rFonts w:ascii="Arial Narrow" w:hAnsi="Arial Narrow"/>
          <w:noProof/>
          <w:color w:val="auto"/>
          <w:sz w:val="20"/>
          <w:szCs w:val="20"/>
        </w:rPr>
        <w:t>2</w:t>
      </w:r>
      <w:r w:rsidRPr="000F0233">
        <w:rPr>
          <w:rStyle w:val="CommentReference"/>
          <w:rFonts w:ascii="Arial Narrow" w:hAnsi="Arial Narrow"/>
          <w:color w:val="auto"/>
          <w:sz w:val="20"/>
          <w:szCs w:val="20"/>
        </w:rPr>
        <w:t xml:space="preserve">: </w:t>
      </w:r>
      <w:r w:rsidR="003A737C">
        <w:rPr>
          <w:rStyle w:val="CommentReference"/>
          <w:rFonts w:ascii="Arial Narrow" w:hAnsi="Arial Narrow"/>
          <w:color w:val="auto"/>
          <w:sz w:val="20"/>
          <w:szCs w:val="20"/>
        </w:rPr>
        <w:t>Revised stepped economic analyses</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8108"/>
        <w:gridCol w:w="974"/>
      </w:tblGrid>
      <w:tr w:rsidR="00D019BA" w:rsidRPr="00E20E39" w:rsidTr="00E20E39">
        <w:tc>
          <w:tcPr>
            <w:tcW w:w="8108" w:type="dxa"/>
          </w:tcPr>
          <w:p w:rsidR="00D019BA" w:rsidRPr="00A97CEC" w:rsidRDefault="00D019BA" w:rsidP="006C4A8E">
            <w:pPr>
              <w:pStyle w:val="TableText0"/>
              <w:keepNext/>
              <w:spacing w:before="0" w:after="0"/>
              <w:rPr>
                <w:b/>
              </w:rPr>
            </w:pPr>
            <w:r w:rsidRPr="00A97CEC">
              <w:rPr>
                <w:b/>
              </w:rPr>
              <w:t>Parameter</w:t>
            </w:r>
          </w:p>
        </w:tc>
        <w:tc>
          <w:tcPr>
            <w:tcW w:w="974" w:type="dxa"/>
            <w:vAlign w:val="center"/>
          </w:tcPr>
          <w:p w:rsidR="00D019BA" w:rsidRPr="00E20E39" w:rsidRDefault="00D019BA" w:rsidP="006C4A8E">
            <w:pPr>
              <w:pStyle w:val="TableText0"/>
              <w:keepNext/>
              <w:spacing w:before="0" w:after="0"/>
              <w:jc w:val="center"/>
              <w:rPr>
                <w:b/>
              </w:rPr>
            </w:pPr>
            <w:r w:rsidRPr="00E20E39">
              <w:rPr>
                <w:b/>
              </w:rPr>
              <w:t>ICER</w:t>
            </w:r>
          </w:p>
        </w:tc>
      </w:tr>
      <w:tr w:rsidR="00D019BA" w:rsidTr="00E20E39">
        <w:tc>
          <w:tcPr>
            <w:tcW w:w="8108" w:type="dxa"/>
          </w:tcPr>
          <w:p w:rsidR="00D019BA" w:rsidRPr="00A97CEC" w:rsidRDefault="00D30EDD" w:rsidP="006C4A8E">
            <w:pPr>
              <w:pStyle w:val="TableText0"/>
              <w:keepNext/>
              <w:spacing w:after="0"/>
            </w:pPr>
            <w:r w:rsidRPr="00A97CEC">
              <w:t xml:space="preserve">Base case </w:t>
            </w:r>
            <w:r w:rsidR="00D019BA" w:rsidRPr="00A97CEC">
              <w:t>ICER presented in the November 2017 PSCR</w:t>
            </w:r>
            <w:r w:rsidRPr="00A97CEC">
              <w:t>, with pembrolizumab cost $</w:t>
            </w:r>
            <w:r w:rsidR="00E964DA">
              <w:rPr>
                <w:noProof/>
                <w:color w:val="000000"/>
                <w:highlight w:val="black"/>
              </w:rPr>
              <w:t>'''''''''</w:t>
            </w:r>
            <w:r w:rsidRPr="00A97CEC">
              <w:t xml:space="preserve"> per 50 mg vial</w:t>
            </w:r>
            <w:r w:rsidR="00D019BA" w:rsidRPr="00A97CEC">
              <w:t>.</w:t>
            </w:r>
          </w:p>
        </w:tc>
        <w:tc>
          <w:tcPr>
            <w:tcW w:w="974" w:type="dxa"/>
            <w:vAlign w:val="center"/>
          </w:tcPr>
          <w:p w:rsidR="00D019BA" w:rsidRDefault="00D019BA" w:rsidP="006C4A8E">
            <w:pPr>
              <w:pStyle w:val="TableText0"/>
              <w:keepNext/>
              <w:spacing w:before="0" w:after="0"/>
              <w:jc w:val="center"/>
            </w:pPr>
            <w:r w:rsidRPr="00D019BA">
              <w:rPr>
                <w:iCs/>
                <w:szCs w:val="20"/>
              </w:rPr>
              <w:t>$</w:t>
            </w:r>
            <w:r w:rsidR="00E964DA">
              <w:rPr>
                <w:iCs/>
                <w:noProof/>
                <w:color w:val="000000"/>
                <w:szCs w:val="20"/>
                <w:highlight w:val="black"/>
              </w:rPr>
              <w:t>'''''''''''''''''</w:t>
            </w:r>
          </w:p>
        </w:tc>
      </w:tr>
      <w:tr w:rsidR="00D019BA" w:rsidTr="00E20E39">
        <w:tc>
          <w:tcPr>
            <w:tcW w:w="8108" w:type="dxa"/>
          </w:tcPr>
          <w:p w:rsidR="00D019BA" w:rsidRPr="00A97CEC" w:rsidRDefault="00D019BA" w:rsidP="006C4A8E">
            <w:pPr>
              <w:pStyle w:val="TableText0"/>
              <w:keepNext/>
              <w:spacing w:before="0" w:after="0"/>
              <w:rPr>
                <w:b/>
              </w:rPr>
            </w:pPr>
            <w:r w:rsidRPr="00A97CEC">
              <w:rPr>
                <w:b/>
              </w:rPr>
              <w:t>Minor resubmission changes</w:t>
            </w:r>
          </w:p>
        </w:tc>
        <w:tc>
          <w:tcPr>
            <w:tcW w:w="974" w:type="dxa"/>
            <w:vAlign w:val="center"/>
          </w:tcPr>
          <w:p w:rsidR="00D019BA" w:rsidRPr="00D019BA" w:rsidRDefault="00D019BA" w:rsidP="006C4A8E">
            <w:pPr>
              <w:pStyle w:val="TableText0"/>
              <w:keepNext/>
              <w:spacing w:before="0" w:after="0"/>
              <w:jc w:val="center"/>
              <w:rPr>
                <w:iCs/>
                <w:szCs w:val="20"/>
              </w:rPr>
            </w:pPr>
          </w:p>
        </w:tc>
      </w:tr>
      <w:tr w:rsidR="00D019BA" w:rsidTr="00E20E39">
        <w:tc>
          <w:tcPr>
            <w:tcW w:w="8108" w:type="dxa"/>
          </w:tcPr>
          <w:p w:rsidR="00D019BA" w:rsidRPr="00A97CEC" w:rsidRDefault="00D019BA" w:rsidP="006C4A8E">
            <w:pPr>
              <w:pStyle w:val="TableText0"/>
              <w:keepNext/>
              <w:spacing w:after="0"/>
            </w:pPr>
            <w:r w:rsidRPr="00A97CEC">
              <w:t>Extrapolations using the full sets of observed data</w:t>
            </w:r>
            <w:r w:rsidR="00E20E39" w:rsidRPr="00A97CEC">
              <w:t>.</w:t>
            </w:r>
          </w:p>
          <w:p w:rsidR="00D019BA" w:rsidRPr="00A97CEC" w:rsidRDefault="00E20E39" w:rsidP="006C4A8E">
            <w:pPr>
              <w:pStyle w:val="TableText0"/>
              <w:keepNext/>
              <w:spacing w:before="0" w:after="0"/>
            </w:pPr>
            <w:r w:rsidRPr="00A97CEC">
              <w:t>T</w:t>
            </w:r>
            <w:r w:rsidR="00D019BA" w:rsidRPr="00A97CEC">
              <w:t>his analysis does not use observed KM data in the model, rather these reflect parametric models fitted to all observed data.</w:t>
            </w:r>
          </w:p>
        </w:tc>
        <w:tc>
          <w:tcPr>
            <w:tcW w:w="974" w:type="dxa"/>
            <w:vAlign w:val="center"/>
          </w:tcPr>
          <w:p w:rsidR="00D019BA" w:rsidRDefault="00D019BA" w:rsidP="006C4A8E">
            <w:pPr>
              <w:pStyle w:val="TableText0"/>
              <w:keepNext/>
              <w:spacing w:before="0" w:after="0"/>
              <w:jc w:val="center"/>
            </w:pPr>
            <w:r w:rsidRPr="00D019BA">
              <w:rPr>
                <w:rFonts w:cs="Arial"/>
                <w:szCs w:val="20"/>
              </w:rPr>
              <w:t>$</w:t>
            </w:r>
            <w:r w:rsidR="00E964DA">
              <w:rPr>
                <w:rFonts w:cs="Arial"/>
                <w:noProof/>
                <w:color w:val="000000"/>
                <w:szCs w:val="20"/>
                <w:highlight w:val="black"/>
              </w:rPr>
              <w:t>''''''''''''''''''</w:t>
            </w:r>
          </w:p>
        </w:tc>
      </w:tr>
      <w:tr w:rsidR="00D019BA" w:rsidTr="00E20E39">
        <w:tc>
          <w:tcPr>
            <w:tcW w:w="8108" w:type="dxa"/>
          </w:tcPr>
          <w:p w:rsidR="00D019BA" w:rsidRPr="00A97CEC" w:rsidRDefault="00D019BA" w:rsidP="006C4A8E">
            <w:pPr>
              <w:pStyle w:val="TableText0"/>
              <w:keepNext/>
              <w:spacing w:after="0"/>
            </w:pPr>
            <w:r w:rsidRPr="00A97CEC">
              <w:t>KM curves to median duration of follow-up</w:t>
            </w:r>
            <w:r w:rsidR="00E20E39" w:rsidRPr="00A97CEC">
              <w:t>.</w:t>
            </w:r>
          </w:p>
          <w:p w:rsidR="00D019BA" w:rsidRPr="00A97CEC" w:rsidRDefault="00D019BA" w:rsidP="006C4A8E">
            <w:pPr>
              <w:pStyle w:val="TableText0"/>
              <w:keepNext/>
              <w:spacing w:before="0" w:after="0"/>
            </w:pPr>
            <w:r w:rsidRPr="00A97CEC">
              <w:t xml:space="preserve">Observed PFS and OS KM data are used until week 97, with extrapolation beyond week 97 based on all observed data. </w:t>
            </w:r>
          </w:p>
          <w:p w:rsidR="00D019BA" w:rsidRPr="00A97CEC" w:rsidRDefault="00D019BA" w:rsidP="006C4A8E">
            <w:pPr>
              <w:pStyle w:val="TableText0"/>
              <w:keepNext/>
              <w:spacing w:before="0" w:after="0"/>
            </w:pPr>
            <w:r w:rsidRPr="00A97CEC">
              <w:t>For PFS,</w:t>
            </w:r>
            <w:r w:rsidR="009E0AA4" w:rsidRPr="00A97CEC">
              <w:t xml:space="preserve"> the extrapolation was based only on data after week 9;</w:t>
            </w:r>
            <w:r w:rsidRPr="00A97CEC">
              <w:t xml:space="preserve"> the observed data approaching week 97 may not be reliable. However</w:t>
            </w:r>
            <w:r w:rsidR="00AE17BB" w:rsidRPr="00A97CEC">
              <w:t>, holding all other aspects constant,</w:t>
            </w:r>
            <w:r w:rsidRPr="00A97CEC">
              <w:t xml:space="preserve"> the model is not sensitive to changing the time point from which extrapolated data were used (extrapolation from time poin</w:t>
            </w:r>
            <w:r w:rsidR="00E20E39" w:rsidRPr="00A97CEC">
              <w:t>ts</w:t>
            </w:r>
            <w:r w:rsidR="00E20E39" w:rsidRPr="00A97CEC">
              <w:rPr>
                <w:vertAlign w:val="superscript"/>
              </w:rPr>
              <w:t>a</w:t>
            </w:r>
            <w:r w:rsidRPr="00A97CEC">
              <w:t xml:space="preserve"> closer to median PFS increases the ICER slightly to $</w:t>
            </w:r>
            <w:r w:rsidR="00E964DA">
              <w:rPr>
                <w:noProof/>
                <w:color w:val="000000"/>
                <w:highlight w:val="black"/>
              </w:rPr>
              <w:t>'''''''''''''''</w:t>
            </w:r>
            <w:r w:rsidRPr="00A97CEC">
              <w:t>).</w:t>
            </w:r>
          </w:p>
        </w:tc>
        <w:tc>
          <w:tcPr>
            <w:tcW w:w="974" w:type="dxa"/>
            <w:vAlign w:val="center"/>
          </w:tcPr>
          <w:p w:rsidR="00D019BA" w:rsidRPr="00D019BA" w:rsidRDefault="00D019BA" w:rsidP="006C4A8E">
            <w:pPr>
              <w:pStyle w:val="TableText0"/>
              <w:keepNext/>
              <w:spacing w:before="0" w:after="0"/>
              <w:jc w:val="center"/>
            </w:pPr>
            <w:r w:rsidRPr="00D019BA">
              <w:rPr>
                <w:rFonts w:cs="Arial"/>
                <w:szCs w:val="20"/>
              </w:rPr>
              <w:t>$</w:t>
            </w:r>
            <w:r w:rsidR="00E964DA">
              <w:rPr>
                <w:rFonts w:cs="Arial"/>
                <w:noProof/>
                <w:color w:val="000000"/>
                <w:szCs w:val="20"/>
                <w:highlight w:val="black"/>
              </w:rPr>
              <w:t>'''''''''''''''''</w:t>
            </w:r>
          </w:p>
        </w:tc>
      </w:tr>
      <w:tr w:rsidR="00D019BA" w:rsidTr="00E20E39">
        <w:tc>
          <w:tcPr>
            <w:tcW w:w="8108" w:type="dxa"/>
          </w:tcPr>
          <w:p w:rsidR="00D019BA" w:rsidRPr="00A97CEC" w:rsidRDefault="00D019BA" w:rsidP="006C4A8E">
            <w:pPr>
              <w:pStyle w:val="TableText0"/>
              <w:keepNext/>
              <w:spacing w:after="0"/>
            </w:pPr>
            <w:r w:rsidRPr="00A97CEC">
              <w:t>Conservative set of extrapolation curves for OS (exponential)</w:t>
            </w:r>
            <w:r w:rsidR="00E20E39" w:rsidRPr="00A97CEC">
              <w:t>.</w:t>
            </w:r>
          </w:p>
          <w:p w:rsidR="00D019BA" w:rsidRPr="00A97CEC" w:rsidRDefault="00E20E39" w:rsidP="006C4A8E">
            <w:pPr>
              <w:pStyle w:val="TableText0"/>
              <w:keepNext/>
              <w:spacing w:before="0" w:after="0"/>
            </w:pPr>
            <w:r w:rsidRPr="00A97CEC">
              <w:t>The exponential model was</w:t>
            </w:r>
            <w:r w:rsidR="00D019BA" w:rsidRPr="00A97CEC">
              <w:t xml:space="preserve"> the best fitting model (according to AIC/BIC) to all of the observed data</w:t>
            </w:r>
            <w:r w:rsidR="003A737C" w:rsidRPr="00A97CEC">
              <w:t>.</w:t>
            </w:r>
            <w:r w:rsidR="00B43EA1" w:rsidRPr="00A97CEC">
              <w:t xml:space="preserve"> However, the assessment of which set of extrapolated curves was the most conservative would have been assisted by traces of the area between the pembrolizumab and SOC OS curves for each extrapolation type. Visual inspection of Figure 2 is insufficient to draw a clear conclusion.</w:t>
            </w:r>
          </w:p>
        </w:tc>
        <w:tc>
          <w:tcPr>
            <w:tcW w:w="974" w:type="dxa"/>
            <w:vAlign w:val="center"/>
          </w:tcPr>
          <w:p w:rsidR="00D019BA" w:rsidRPr="00D019BA" w:rsidRDefault="00D019BA" w:rsidP="006C4A8E">
            <w:pPr>
              <w:pStyle w:val="TableText0"/>
              <w:keepNext/>
              <w:spacing w:before="0" w:after="0"/>
              <w:jc w:val="center"/>
            </w:pPr>
            <w:r w:rsidRPr="00D019BA">
              <w:rPr>
                <w:rFonts w:cs="Arial"/>
                <w:szCs w:val="20"/>
              </w:rPr>
              <w:t>$</w:t>
            </w:r>
            <w:r w:rsidR="00E964DA">
              <w:rPr>
                <w:rFonts w:cs="Arial"/>
                <w:noProof/>
                <w:color w:val="000000"/>
                <w:szCs w:val="20"/>
                <w:highlight w:val="black"/>
              </w:rPr>
              <w:t>''''''''''''''''''</w:t>
            </w:r>
          </w:p>
        </w:tc>
      </w:tr>
      <w:tr w:rsidR="00D019BA" w:rsidTr="00E20E39">
        <w:tc>
          <w:tcPr>
            <w:tcW w:w="8108" w:type="dxa"/>
          </w:tcPr>
          <w:p w:rsidR="00D019BA" w:rsidRPr="00A97CEC" w:rsidRDefault="00D019BA" w:rsidP="006C4A8E">
            <w:pPr>
              <w:pStyle w:val="TableText0"/>
              <w:keepNext/>
              <w:spacing w:after="0"/>
            </w:pPr>
            <w:r w:rsidRPr="00A97CEC">
              <w:t>Conservative set of extrapolation curves for PFS (exponential)</w:t>
            </w:r>
            <w:r w:rsidR="00E20E39" w:rsidRPr="00A97CEC">
              <w:t>.</w:t>
            </w:r>
          </w:p>
          <w:p w:rsidR="00D019BA" w:rsidRPr="00A97CEC" w:rsidRDefault="00D019BA" w:rsidP="006C4A8E">
            <w:pPr>
              <w:pStyle w:val="TableText0"/>
              <w:keepNext/>
              <w:spacing w:before="0" w:after="0"/>
            </w:pPr>
            <w:r w:rsidRPr="00A97CEC">
              <w:t>According to the AIC/BIC, the best fitting mod</w:t>
            </w:r>
            <w:r w:rsidR="003A737C" w:rsidRPr="00A97CEC">
              <w:t>els were not used in this step</w:t>
            </w:r>
            <w:r w:rsidRPr="00A97CEC">
              <w:t>, where Weibull may be more appropriate for pembrolizumab; and the exponential model may be more appropriate for the SOC arm. However this has only a minor effect on the ICER (reducing to $</w:t>
            </w:r>
            <w:r w:rsidR="00E964DA">
              <w:rPr>
                <w:noProof/>
                <w:color w:val="000000"/>
                <w:highlight w:val="black"/>
              </w:rPr>
              <w:t>'''''''''''''''</w:t>
            </w:r>
            <w:r w:rsidRPr="00A97CEC">
              <w:t>).</w:t>
            </w:r>
            <w:r w:rsidR="00B43EA1" w:rsidRPr="00A97CEC">
              <w:t xml:space="preserve"> However, the assessment of which set of extrapolated curves was the most conservative would have been assisted by traces of the area between the pembrolizumab and SOC PFS curves for each extrapolation type. Visual inspection of Figure 1 is insufficient to draw a clear conclusion.</w:t>
            </w:r>
          </w:p>
        </w:tc>
        <w:tc>
          <w:tcPr>
            <w:tcW w:w="974" w:type="dxa"/>
            <w:vAlign w:val="center"/>
          </w:tcPr>
          <w:p w:rsidR="00D019BA" w:rsidRPr="00D019BA" w:rsidRDefault="00D019BA" w:rsidP="006C4A8E">
            <w:pPr>
              <w:pStyle w:val="TableText0"/>
              <w:keepNext/>
              <w:spacing w:before="0" w:after="0"/>
              <w:jc w:val="center"/>
              <w:rPr>
                <w:rFonts w:cs="Arial"/>
                <w:szCs w:val="20"/>
              </w:rPr>
            </w:pPr>
            <w:r>
              <w:rPr>
                <w:rFonts w:cs="Arial"/>
                <w:szCs w:val="20"/>
              </w:rPr>
              <w:t>U</w:t>
            </w:r>
            <w:r w:rsidRPr="00D019BA">
              <w:rPr>
                <w:rFonts w:cs="Arial"/>
                <w:szCs w:val="20"/>
              </w:rPr>
              <w:t>nchanged</w:t>
            </w:r>
          </w:p>
        </w:tc>
      </w:tr>
      <w:tr w:rsidR="00D019BA" w:rsidTr="00E20E39">
        <w:tc>
          <w:tcPr>
            <w:tcW w:w="8108" w:type="dxa"/>
          </w:tcPr>
          <w:p w:rsidR="00D019BA" w:rsidRPr="00A97CEC" w:rsidRDefault="00D019BA" w:rsidP="006C4A8E">
            <w:pPr>
              <w:pStyle w:val="TableText0"/>
              <w:keepNext/>
              <w:spacing w:after="0"/>
            </w:pPr>
            <w:r w:rsidRPr="00A97CEC">
              <w:t>Apply the same extrapolation function between treatment arms</w:t>
            </w:r>
            <w:r w:rsidR="00E20E39" w:rsidRPr="00A97CEC">
              <w:t>.</w:t>
            </w:r>
          </w:p>
          <w:p w:rsidR="00D019BA" w:rsidRPr="00A97CEC" w:rsidRDefault="00D019BA" w:rsidP="006C4A8E">
            <w:pPr>
              <w:pStyle w:val="TableText0"/>
              <w:keepNext/>
              <w:spacing w:before="0" w:after="0"/>
            </w:pPr>
            <w:r w:rsidRPr="00A97CEC">
              <w:t>The parametric model for SOC PFS was changed from Weibull to exponential, for consistency with the pembrolizumab PFS arm. Selecting a Weibull distribution to extrapolate both PFS treatment arms had only a minor effect on the ICER (reducing to $</w:t>
            </w:r>
            <w:r w:rsidR="00E964DA">
              <w:rPr>
                <w:noProof/>
                <w:color w:val="000000"/>
                <w:highlight w:val="black"/>
              </w:rPr>
              <w:t>'''''''''''''''</w:t>
            </w:r>
            <w:r w:rsidRPr="00A97CEC">
              <w:t>).</w:t>
            </w:r>
          </w:p>
        </w:tc>
        <w:tc>
          <w:tcPr>
            <w:tcW w:w="974" w:type="dxa"/>
            <w:vAlign w:val="center"/>
          </w:tcPr>
          <w:p w:rsidR="00D019BA" w:rsidRDefault="00D019BA" w:rsidP="006C4A8E">
            <w:pPr>
              <w:pStyle w:val="TableText0"/>
              <w:keepNext/>
              <w:spacing w:before="0" w:after="0"/>
              <w:jc w:val="center"/>
            </w:pPr>
            <w:r w:rsidRPr="00D019BA">
              <w:rPr>
                <w:rFonts w:cs="Arial"/>
                <w:szCs w:val="20"/>
              </w:rPr>
              <w:t>$</w:t>
            </w:r>
            <w:r w:rsidR="00E964DA">
              <w:rPr>
                <w:rFonts w:cs="Arial"/>
                <w:noProof/>
                <w:color w:val="000000"/>
                <w:szCs w:val="20"/>
                <w:highlight w:val="black"/>
              </w:rPr>
              <w:t>'''''''''''''''''</w:t>
            </w:r>
          </w:p>
        </w:tc>
      </w:tr>
      <w:tr w:rsidR="00D019BA" w:rsidTr="00E20E39">
        <w:tc>
          <w:tcPr>
            <w:tcW w:w="8108" w:type="dxa"/>
          </w:tcPr>
          <w:p w:rsidR="00D019BA" w:rsidRPr="00A97CEC" w:rsidRDefault="00D019BA" w:rsidP="006C4A8E">
            <w:pPr>
              <w:pStyle w:val="TableText0"/>
              <w:keepNext/>
              <w:spacing w:after="0"/>
            </w:pPr>
            <w:r w:rsidRPr="00A97CEC">
              <w:t>Converge the curves at 7.5 years</w:t>
            </w:r>
            <w:r w:rsidR="00E20E39" w:rsidRPr="00A97CEC">
              <w:t>.</w:t>
            </w:r>
          </w:p>
          <w:p w:rsidR="00D019BA" w:rsidRPr="00A97CEC" w:rsidRDefault="00E20E39" w:rsidP="006C4A8E">
            <w:pPr>
              <w:pStyle w:val="TableText0"/>
              <w:keepNext/>
              <w:spacing w:before="0" w:after="0"/>
            </w:pPr>
            <w:r w:rsidRPr="00A97CEC">
              <w:t>The resubmission assumed</w:t>
            </w:r>
            <w:r w:rsidR="00D019BA" w:rsidRPr="00A97CEC">
              <w:t xml:space="preserve"> that the pembrolizumab PFS and OS curves begin to converge with the SOC PFS and OS curves, respectively, from 5 years, reaching convergence at the model time horizon of 7.5 years. The approach used to model convergence appears reasonable</w:t>
            </w:r>
            <w:r w:rsidR="003A737C" w:rsidRPr="00A97CEC">
              <w:t>.</w:t>
            </w:r>
          </w:p>
        </w:tc>
        <w:tc>
          <w:tcPr>
            <w:tcW w:w="974" w:type="dxa"/>
            <w:vAlign w:val="center"/>
          </w:tcPr>
          <w:p w:rsidR="00D019BA" w:rsidRDefault="00D019BA" w:rsidP="006C4A8E">
            <w:pPr>
              <w:pStyle w:val="TableText0"/>
              <w:keepNext/>
              <w:spacing w:before="0" w:after="0"/>
              <w:jc w:val="center"/>
            </w:pPr>
            <w:r w:rsidRPr="00D019BA">
              <w:rPr>
                <w:rFonts w:cs="Arial"/>
                <w:szCs w:val="20"/>
              </w:rPr>
              <w:t>$</w:t>
            </w:r>
            <w:r w:rsidR="00E964DA">
              <w:rPr>
                <w:rFonts w:cs="Arial"/>
                <w:noProof/>
                <w:color w:val="000000"/>
                <w:szCs w:val="20"/>
                <w:highlight w:val="black"/>
              </w:rPr>
              <w:t>'''''''''''''''</w:t>
            </w:r>
          </w:p>
        </w:tc>
      </w:tr>
      <w:tr w:rsidR="00D019BA" w:rsidTr="00E20E39">
        <w:tc>
          <w:tcPr>
            <w:tcW w:w="8108" w:type="dxa"/>
          </w:tcPr>
          <w:p w:rsidR="00D019BA" w:rsidRPr="00E964DA" w:rsidRDefault="00D019BA" w:rsidP="006C4A8E">
            <w:pPr>
              <w:pStyle w:val="TableText0"/>
              <w:keepNext/>
              <w:spacing w:after="0"/>
            </w:pPr>
            <w:r w:rsidRPr="00A97CEC">
              <w:t xml:space="preserve">Apply rebate of </w:t>
            </w:r>
            <w:r w:rsidR="00E964DA">
              <w:rPr>
                <w:noProof/>
                <w:color w:val="000000"/>
                <w:highlight w:val="black"/>
              </w:rPr>
              <w:t>'''''</w:t>
            </w:r>
            <w:r w:rsidRPr="00A97CEC">
              <w:t xml:space="preserve">% </w:t>
            </w:r>
            <w:r w:rsidR="00E964DA">
              <w:rPr>
                <w:noProof/>
                <w:color w:val="000000"/>
                <w:highlight w:val="black"/>
              </w:rPr>
              <w:t>''''''''''' ''''''''''''' '''''' ''''''' '''''''''''''''' ''''''''''''''''''''''</w:t>
            </w:r>
          </w:p>
          <w:p w:rsidR="00D019BA" w:rsidRPr="00A97CEC" w:rsidRDefault="00D019BA" w:rsidP="006C4A8E">
            <w:pPr>
              <w:pStyle w:val="TableText0"/>
              <w:keepNext/>
              <w:spacing w:before="0" w:after="0"/>
            </w:pPr>
            <w:r w:rsidRPr="00A97CEC">
              <w:t>The approach used to model the rebate is reasonable.</w:t>
            </w:r>
          </w:p>
        </w:tc>
        <w:tc>
          <w:tcPr>
            <w:tcW w:w="974" w:type="dxa"/>
            <w:vAlign w:val="center"/>
          </w:tcPr>
          <w:p w:rsidR="00D019BA" w:rsidRDefault="00D019BA" w:rsidP="006C4A8E">
            <w:pPr>
              <w:pStyle w:val="TableText0"/>
              <w:keepNext/>
              <w:spacing w:before="0" w:after="0"/>
              <w:jc w:val="center"/>
            </w:pPr>
            <w:r w:rsidRPr="00D019BA">
              <w:rPr>
                <w:rFonts w:cs="Arial"/>
                <w:szCs w:val="20"/>
              </w:rPr>
              <w:t>$</w:t>
            </w:r>
            <w:r w:rsidR="00E964DA">
              <w:rPr>
                <w:rFonts w:cs="Arial"/>
                <w:noProof/>
                <w:color w:val="000000"/>
                <w:szCs w:val="20"/>
                <w:highlight w:val="black"/>
              </w:rPr>
              <w:t>'''''''''''''''</w:t>
            </w:r>
          </w:p>
        </w:tc>
      </w:tr>
    </w:tbl>
    <w:p w:rsidR="00E20E39" w:rsidRDefault="00E20E39" w:rsidP="00E20E39">
      <w:pPr>
        <w:spacing w:line="259" w:lineRule="auto"/>
        <w:rPr>
          <w:rFonts w:ascii="Arial Narrow" w:eastAsia="Calibri" w:hAnsi="Arial Narrow"/>
          <w:sz w:val="18"/>
          <w:szCs w:val="18"/>
          <w:lang w:eastAsia="en-US"/>
        </w:rPr>
      </w:pPr>
      <w:r w:rsidRPr="00E20E39">
        <w:rPr>
          <w:rFonts w:ascii="Arial Narrow" w:eastAsia="Calibri" w:hAnsi="Arial Narrow"/>
          <w:sz w:val="18"/>
          <w:szCs w:val="18"/>
          <w:vertAlign w:val="superscript"/>
          <w:lang w:eastAsia="en-US"/>
        </w:rPr>
        <w:t>a</w:t>
      </w:r>
      <w:r w:rsidRPr="00E20E39">
        <w:rPr>
          <w:rFonts w:ascii="Arial Narrow" w:eastAsia="Calibri" w:hAnsi="Arial Narrow"/>
          <w:sz w:val="18"/>
          <w:szCs w:val="18"/>
          <w:lang w:eastAsia="en-US"/>
        </w:rPr>
        <w:t xml:space="preserve"> Week 55 for pembrolizumab and week 27 for SOC.</w:t>
      </w:r>
    </w:p>
    <w:p w:rsidR="003A737C" w:rsidRPr="00E20E39" w:rsidRDefault="003A737C" w:rsidP="00E20E39">
      <w:pPr>
        <w:spacing w:line="259" w:lineRule="auto"/>
        <w:rPr>
          <w:rFonts w:ascii="Arial Narrow" w:eastAsia="Calibri" w:hAnsi="Arial Narrow"/>
          <w:sz w:val="18"/>
          <w:szCs w:val="18"/>
          <w:lang w:eastAsia="en-US"/>
        </w:rPr>
      </w:pPr>
      <w:r>
        <w:rPr>
          <w:rFonts w:ascii="Arial Narrow" w:eastAsia="Calibri" w:hAnsi="Arial Narrow"/>
          <w:sz w:val="18"/>
          <w:szCs w:val="18"/>
          <w:lang w:eastAsia="en-US"/>
        </w:rPr>
        <w:t>ICER=incremental cost effectiveness ratio; KM=Kaplan-Meier; OS=overall survival; PFS=progression free survival; PSCR=Pre-Subcommittee response; SOC=standard of care</w:t>
      </w:r>
    </w:p>
    <w:p w:rsidR="000E6B16" w:rsidRDefault="00E20E39" w:rsidP="00E20E39">
      <w:pPr>
        <w:spacing w:after="160" w:line="259" w:lineRule="auto"/>
        <w:rPr>
          <w:rFonts w:ascii="Arial Narrow" w:eastAsia="Calibri" w:hAnsi="Arial Narrow"/>
          <w:sz w:val="18"/>
          <w:szCs w:val="18"/>
          <w:lang w:eastAsia="en-US"/>
        </w:rPr>
      </w:pPr>
      <w:r w:rsidRPr="00E20E39">
        <w:rPr>
          <w:rFonts w:ascii="Arial Narrow" w:eastAsia="Calibri" w:hAnsi="Arial Narrow"/>
          <w:sz w:val="18"/>
          <w:szCs w:val="18"/>
          <w:lang w:eastAsia="en-US"/>
        </w:rPr>
        <w:t>Source: Adapted from ‘Stepwise Analysis of Changes’ worksheet of the ‘Section 3 Workbook_ Minor Submission FINAL.xlsm’ workbook.</w:t>
      </w:r>
    </w:p>
    <w:p w:rsidR="00F26922" w:rsidRPr="00F26922" w:rsidRDefault="00F26922" w:rsidP="00E20E39">
      <w:pPr>
        <w:spacing w:after="160" w:line="259" w:lineRule="auto"/>
        <w:rPr>
          <w:rFonts w:asciiTheme="minorHAnsi" w:eastAsia="Calibri" w:hAnsiTheme="minorHAnsi"/>
          <w:lang w:eastAsia="en-US"/>
        </w:rPr>
      </w:pPr>
      <w:r>
        <w:rPr>
          <w:rFonts w:asciiTheme="minorHAnsi" w:eastAsia="Calibri" w:hAnsiTheme="minorHAnsi"/>
          <w:lang w:eastAsia="en-US"/>
        </w:rPr>
        <w:t>The redacted table shows ICERs in the range of $45,000 - $75,000.</w:t>
      </w:r>
    </w:p>
    <w:p w:rsidR="00324A5F" w:rsidRDefault="009018EC" w:rsidP="0064716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In relation to the modelling decision to </w:t>
      </w:r>
      <w:r w:rsidR="00911A00">
        <w:rPr>
          <w:rFonts w:asciiTheme="minorHAnsi" w:eastAsiaTheme="minorHAnsi" w:hAnsiTheme="minorHAnsi" w:cstheme="minorBidi"/>
          <w:snapToGrid/>
          <w:sz w:val="24"/>
          <w:szCs w:val="22"/>
        </w:rPr>
        <w:t>exclude</w:t>
      </w:r>
      <w:r>
        <w:rPr>
          <w:rFonts w:asciiTheme="minorHAnsi" w:eastAsiaTheme="minorHAnsi" w:hAnsiTheme="minorHAnsi" w:cstheme="minorBidi"/>
          <w:snapToGrid/>
          <w:sz w:val="24"/>
          <w:szCs w:val="22"/>
        </w:rPr>
        <w:t xml:space="preserve"> the Kaplan-Meier data from the first 9 weeks </w:t>
      </w:r>
      <w:r w:rsidR="00911A00">
        <w:rPr>
          <w:rFonts w:asciiTheme="minorHAnsi" w:hAnsiTheme="minorHAnsi"/>
          <w:sz w:val="24"/>
          <w:szCs w:val="24"/>
        </w:rPr>
        <w:t xml:space="preserve">when assessing </w:t>
      </w:r>
      <w:r w:rsidR="00911A00" w:rsidRPr="002266C9">
        <w:rPr>
          <w:rFonts w:asciiTheme="minorHAnsi" w:hAnsiTheme="minorHAnsi"/>
          <w:sz w:val="24"/>
          <w:szCs w:val="24"/>
        </w:rPr>
        <w:t>the goodness of fit comparison</w:t>
      </w:r>
      <w:r w:rsidR="00911A00">
        <w:rPr>
          <w:rFonts w:asciiTheme="minorHAnsi" w:hAnsiTheme="minorHAnsi"/>
          <w:sz w:val="24"/>
          <w:szCs w:val="24"/>
        </w:rPr>
        <w:t xml:space="preserve"> for the proposed basis of extrapolation beyond the duration of follow-up in the key trial,</w:t>
      </w:r>
      <w:r>
        <w:rPr>
          <w:rFonts w:asciiTheme="minorHAnsi" w:eastAsiaTheme="minorHAnsi" w:hAnsiTheme="minorHAnsi" w:cstheme="minorBidi"/>
          <w:snapToGrid/>
          <w:sz w:val="24"/>
          <w:szCs w:val="22"/>
        </w:rPr>
        <w:t xml:space="preserve"> the </w:t>
      </w:r>
      <w:r w:rsidR="00324A5F" w:rsidRPr="00324A5F">
        <w:rPr>
          <w:rFonts w:asciiTheme="minorHAnsi" w:eastAsiaTheme="minorHAnsi" w:hAnsiTheme="minorHAnsi" w:cstheme="minorBidi"/>
          <w:snapToGrid/>
          <w:sz w:val="24"/>
          <w:szCs w:val="22"/>
        </w:rPr>
        <w:t>pre-PBAC response stated that “the very early decline in the PFS (prior to week 9) was due to early mortality and not a radiologic assessment of progression. The protocol-driven drop of PFS around week 9 made the fitting of parametric curves prior to this time point very challenging in both treatment arms.” It also claimed that, “the model is not sensitive to the time point for deriving the PFS extrapolations, as later time points had</w:t>
      </w:r>
      <w:r>
        <w:rPr>
          <w:rFonts w:asciiTheme="minorHAnsi" w:eastAsiaTheme="minorHAnsi" w:hAnsiTheme="minorHAnsi" w:cstheme="minorBidi"/>
          <w:snapToGrid/>
          <w:sz w:val="24"/>
          <w:szCs w:val="22"/>
        </w:rPr>
        <w:t xml:space="preserve"> little influence on the ICER”</w:t>
      </w:r>
      <w:r w:rsidR="00911A00">
        <w:rPr>
          <w:rFonts w:asciiTheme="minorHAnsi" w:eastAsiaTheme="minorHAnsi" w:hAnsiTheme="minorHAnsi" w:cstheme="minorBidi"/>
          <w:snapToGrid/>
          <w:sz w:val="24"/>
          <w:szCs w:val="22"/>
        </w:rPr>
        <w:t>, which the PBAC considered to be irrelevant to the question of whether to exclude earlier data</w:t>
      </w:r>
      <w:r>
        <w:rPr>
          <w:rFonts w:asciiTheme="minorHAnsi" w:eastAsiaTheme="minorHAnsi" w:hAnsiTheme="minorHAnsi" w:cstheme="minorBidi"/>
          <w:snapToGrid/>
          <w:sz w:val="24"/>
          <w:szCs w:val="22"/>
        </w:rPr>
        <w:t>.</w:t>
      </w:r>
    </w:p>
    <w:p w:rsidR="00F13C8C" w:rsidRPr="00324A5F" w:rsidRDefault="00F13C8C" w:rsidP="0064716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noted the explanation provided by the pre-PBAC response regarding the exclusion of data prior to week 9, however considered that it would have been informative if a separate set of extrapolations were fitted to the Kaplan-Meier curves including weeks 0 – 9 </w:t>
      </w:r>
      <w:r>
        <w:rPr>
          <w:rFonts w:asciiTheme="minorHAnsi" w:hAnsiTheme="minorHAnsi"/>
          <w:sz w:val="24"/>
          <w:szCs w:val="24"/>
        </w:rPr>
        <w:t xml:space="preserve">in order to examine the consequence of the exclusion. The PBAC concluded </w:t>
      </w:r>
      <w:r w:rsidRPr="002266C9">
        <w:rPr>
          <w:rFonts w:asciiTheme="minorHAnsi" w:hAnsiTheme="minorHAnsi"/>
          <w:sz w:val="24"/>
          <w:szCs w:val="24"/>
        </w:rPr>
        <w:t xml:space="preserve">that the impact of </w:t>
      </w:r>
      <w:r>
        <w:rPr>
          <w:rFonts w:asciiTheme="minorHAnsi" w:hAnsiTheme="minorHAnsi"/>
          <w:sz w:val="24"/>
          <w:szCs w:val="24"/>
        </w:rPr>
        <w:t>ex</w:t>
      </w:r>
      <w:r w:rsidRPr="002266C9">
        <w:rPr>
          <w:rFonts w:asciiTheme="minorHAnsi" w:hAnsiTheme="minorHAnsi"/>
          <w:sz w:val="24"/>
          <w:szCs w:val="24"/>
        </w:rPr>
        <w:t>cluding the first 9 weeks of data on the ICER remain</w:t>
      </w:r>
      <w:r>
        <w:rPr>
          <w:rFonts w:asciiTheme="minorHAnsi" w:hAnsiTheme="minorHAnsi"/>
          <w:sz w:val="24"/>
          <w:szCs w:val="24"/>
        </w:rPr>
        <w:t>ed</w:t>
      </w:r>
      <w:r w:rsidRPr="002266C9">
        <w:rPr>
          <w:rFonts w:asciiTheme="minorHAnsi" w:hAnsiTheme="minorHAnsi"/>
          <w:sz w:val="24"/>
          <w:szCs w:val="24"/>
        </w:rPr>
        <w:t xml:space="preserve"> unknown. On this basis, the PBAC considered that the ICER presented by the minor </w:t>
      </w:r>
      <w:r>
        <w:rPr>
          <w:rFonts w:asciiTheme="minorHAnsi" w:hAnsiTheme="minorHAnsi"/>
          <w:sz w:val="24"/>
          <w:szCs w:val="24"/>
        </w:rPr>
        <w:t>re</w:t>
      </w:r>
      <w:r w:rsidRPr="002266C9">
        <w:rPr>
          <w:rFonts w:asciiTheme="minorHAnsi" w:hAnsiTheme="minorHAnsi"/>
          <w:sz w:val="24"/>
          <w:szCs w:val="24"/>
        </w:rPr>
        <w:t>submission was uncertain</w:t>
      </w:r>
      <w:r>
        <w:rPr>
          <w:rFonts w:asciiTheme="minorHAnsi" w:hAnsiTheme="minorHAnsi"/>
          <w:sz w:val="24"/>
          <w:szCs w:val="24"/>
        </w:rPr>
        <w:t>.</w:t>
      </w:r>
    </w:p>
    <w:p w:rsidR="00A34836" w:rsidRPr="00A34836" w:rsidRDefault="005875F5" w:rsidP="00A3483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64716C">
        <w:rPr>
          <w:rFonts w:asciiTheme="minorHAnsi" w:eastAsiaTheme="minorHAnsi" w:hAnsiTheme="minorHAnsi" w:cstheme="minorBidi"/>
          <w:snapToGrid/>
          <w:sz w:val="24"/>
          <w:szCs w:val="22"/>
        </w:rPr>
        <w:t>The trial based PFS and OS curves and the extrapola</w:t>
      </w:r>
      <w:r w:rsidR="00597173" w:rsidRPr="0064716C">
        <w:rPr>
          <w:rFonts w:asciiTheme="minorHAnsi" w:eastAsiaTheme="minorHAnsi" w:hAnsiTheme="minorHAnsi" w:cstheme="minorBidi"/>
          <w:snapToGrid/>
          <w:sz w:val="24"/>
          <w:szCs w:val="22"/>
        </w:rPr>
        <w:t>ted curves are presented below.</w:t>
      </w:r>
    </w:p>
    <w:p w:rsidR="00D660D2" w:rsidRPr="00D660D2" w:rsidRDefault="00D660D2" w:rsidP="00C50E27">
      <w:pPr>
        <w:keepNext/>
        <w:widowControl w:val="0"/>
        <w:snapToGrid w:val="0"/>
        <w:jc w:val="both"/>
        <w:rPr>
          <w:rFonts w:ascii="Arial Narrow" w:hAnsi="Arial Narrow" w:cs="Arial"/>
          <w:b/>
          <w:sz w:val="20"/>
          <w:szCs w:val="16"/>
          <w:lang w:eastAsia="en-US"/>
        </w:rPr>
      </w:pPr>
      <w:r w:rsidRPr="00D660D2">
        <w:rPr>
          <w:rFonts w:ascii="Arial Narrow" w:hAnsi="Arial Narrow" w:cs="Arial"/>
          <w:b/>
          <w:sz w:val="20"/>
          <w:szCs w:val="16"/>
          <w:lang w:eastAsia="en-US"/>
        </w:rPr>
        <w:t xml:space="preserve">Figure </w:t>
      </w:r>
      <w:r w:rsidR="006C6CBE">
        <w:rPr>
          <w:rFonts w:ascii="Arial Narrow" w:hAnsi="Arial Narrow" w:cs="Arial"/>
          <w:b/>
          <w:noProof/>
          <w:sz w:val="20"/>
          <w:szCs w:val="16"/>
          <w:lang w:eastAsia="en-US"/>
        </w:rPr>
        <w:t>1</w:t>
      </w:r>
      <w:r w:rsidR="00E100A1">
        <w:rPr>
          <w:rFonts w:ascii="Arial Narrow" w:hAnsi="Arial Narrow" w:cs="Arial"/>
          <w:b/>
          <w:sz w:val="20"/>
          <w:szCs w:val="16"/>
          <w:lang w:eastAsia="en-US"/>
        </w:rPr>
        <w:t>: Kaplan-Meier results and extrapolations (with convergence at 7.5 years) for progression free survival</w:t>
      </w:r>
    </w:p>
    <w:p w:rsidR="00A34836" w:rsidRPr="00745A1E" w:rsidRDefault="00745A1E" w:rsidP="00745A1E">
      <w:pPr>
        <w:spacing w:after="120"/>
        <w:rPr>
          <w:rFonts w:asciiTheme="minorHAnsi" w:eastAsiaTheme="minorHAnsi" w:hAnsiTheme="minorHAnsi" w:cstheme="minorBidi"/>
          <w:szCs w:val="22"/>
        </w:rPr>
      </w:pPr>
      <w:r>
        <w:rPr>
          <w:noProof/>
        </w:rPr>
        <w:drawing>
          <wp:inline distT="0" distB="0" distL="0" distR="0" wp14:anchorId="626E9118" wp14:editId="46C12135">
            <wp:extent cx="5731510" cy="4717422"/>
            <wp:effectExtent l="0" t="0" r="254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717422"/>
                    </a:xfrm>
                    <a:prstGeom prst="rect">
                      <a:avLst/>
                    </a:prstGeom>
                    <a:noFill/>
                  </pic:spPr>
                </pic:pic>
              </a:graphicData>
            </a:graphic>
          </wp:inline>
        </w:drawing>
      </w:r>
    </w:p>
    <w:p w:rsidR="00745A1E" w:rsidRPr="00EF06C5" w:rsidRDefault="00411161" w:rsidP="00411161">
      <w:pPr>
        <w:spacing w:after="120"/>
        <w:rPr>
          <w:rFonts w:ascii="Arial Narrow" w:eastAsiaTheme="minorHAnsi" w:hAnsi="Arial Narrow" w:cstheme="minorBidi"/>
          <w:sz w:val="20"/>
          <w:szCs w:val="20"/>
        </w:rPr>
      </w:pPr>
      <w:r w:rsidRPr="00EF06C5">
        <w:rPr>
          <w:rFonts w:ascii="Arial Narrow" w:eastAsiaTheme="minorHAnsi" w:hAnsi="Arial Narrow" w:cstheme="minorBidi"/>
          <w:sz w:val="20"/>
          <w:szCs w:val="20"/>
        </w:rPr>
        <w:t>* The pembrolizumab curves begin to converge towards the SOC (exponential) curve from 5 years (260 weeks). Convergence is achieved at the model time horizon of 7.5 years (390 weeks).</w:t>
      </w:r>
    </w:p>
    <w:p w:rsidR="00D660D2" w:rsidRPr="00D660D2" w:rsidRDefault="00D660D2" w:rsidP="00D80FA8">
      <w:pPr>
        <w:keepNext/>
        <w:widowControl w:val="0"/>
        <w:snapToGrid w:val="0"/>
        <w:jc w:val="both"/>
        <w:rPr>
          <w:rFonts w:ascii="Arial Narrow" w:hAnsi="Arial Narrow" w:cs="Arial"/>
          <w:b/>
          <w:sz w:val="20"/>
          <w:szCs w:val="16"/>
          <w:lang w:eastAsia="en-US"/>
        </w:rPr>
      </w:pPr>
      <w:r w:rsidRPr="00D660D2">
        <w:rPr>
          <w:rFonts w:ascii="Arial Narrow" w:hAnsi="Arial Narrow" w:cs="Arial"/>
          <w:b/>
          <w:sz w:val="20"/>
          <w:szCs w:val="16"/>
          <w:lang w:eastAsia="en-US"/>
        </w:rPr>
        <w:t xml:space="preserve">Figure </w:t>
      </w:r>
      <w:r w:rsidR="006C6CBE">
        <w:rPr>
          <w:rFonts w:ascii="Arial Narrow" w:hAnsi="Arial Narrow" w:cs="Arial"/>
          <w:b/>
          <w:noProof/>
          <w:sz w:val="20"/>
          <w:szCs w:val="16"/>
          <w:lang w:eastAsia="en-US"/>
        </w:rPr>
        <w:t>2</w:t>
      </w:r>
      <w:r w:rsidR="00E100A1">
        <w:rPr>
          <w:rFonts w:ascii="Arial Narrow" w:hAnsi="Arial Narrow" w:cs="Arial"/>
          <w:b/>
          <w:sz w:val="20"/>
          <w:szCs w:val="16"/>
          <w:lang w:eastAsia="en-US"/>
        </w:rPr>
        <w:t xml:space="preserve">: Kaplan-Meier results and extrapolations (with convergence at </w:t>
      </w:r>
      <w:r w:rsidR="00D30EDD">
        <w:rPr>
          <w:rFonts w:ascii="Arial Narrow" w:hAnsi="Arial Narrow" w:cs="Arial"/>
          <w:b/>
          <w:sz w:val="20"/>
          <w:szCs w:val="16"/>
          <w:lang w:eastAsia="en-US"/>
        </w:rPr>
        <w:t>7.5 years) for overall survival</w:t>
      </w:r>
    </w:p>
    <w:p w:rsidR="00A34836" w:rsidRPr="00745A1E" w:rsidRDefault="00745A1E" w:rsidP="00745A1E">
      <w:pPr>
        <w:spacing w:after="120"/>
        <w:rPr>
          <w:rFonts w:asciiTheme="minorHAnsi" w:eastAsiaTheme="minorHAnsi" w:hAnsiTheme="minorHAnsi" w:cstheme="minorBidi"/>
          <w:szCs w:val="22"/>
        </w:rPr>
      </w:pPr>
      <w:r>
        <w:rPr>
          <w:noProof/>
        </w:rPr>
        <w:drawing>
          <wp:inline distT="0" distB="0" distL="0" distR="0" wp14:anchorId="7A23BFC6" wp14:editId="488100BF">
            <wp:extent cx="5731510" cy="4705270"/>
            <wp:effectExtent l="0" t="0" r="254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705270"/>
                    </a:xfrm>
                    <a:prstGeom prst="rect">
                      <a:avLst/>
                    </a:prstGeom>
                    <a:noFill/>
                  </pic:spPr>
                </pic:pic>
              </a:graphicData>
            </a:graphic>
          </wp:inline>
        </w:drawing>
      </w:r>
    </w:p>
    <w:p w:rsidR="00745A1E" w:rsidRDefault="00411161" w:rsidP="00411161">
      <w:pPr>
        <w:spacing w:after="120"/>
        <w:rPr>
          <w:rFonts w:ascii="Arial Narrow" w:eastAsiaTheme="minorHAnsi" w:hAnsi="Arial Narrow" w:cstheme="minorBidi"/>
          <w:sz w:val="20"/>
          <w:szCs w:val="20"/>
        </w:rPr>
      </w:pPr>
      <w:r w:rsidRPr="00EF06C5">
        <w:rPr>
          <w:rFonts w:ascii="Arial Narrow" w:eastAsiaTheme="minorHAnsi" w:hAnsi="Arial Narrow" w:cstheme="minorBidi"/>
          <w:sz w:val="20"/>
          <w:szCs w:val="20"/>
        </w:rPr>
        <w:t>* The pembrolizumab curves begin to converge towards the SOC (exponential) curve from 5 years (260 weeks). Convergence is achieved at the model time horizon of 7.5 years (390 weeks).</w:t>
      </w:r>
    </w:p>
    <w:p w:rsidR="00684410" w:rsidRPr="00684410" w:rsidRDefault="00684410" w:rsidP="00684410">
      <w:pPr>
        <w:pStyle w:val="ListParagraph"/>
        <w:widowControl/>
        <w:numPr>
          <w:ilvl w:val="1"/>
          <w:numId w:val="5"/>
        </w:numPr>
        <w:spacing w:after="120"/>
        <w:contextualSpacing w:val="0"/>
        <w:rPr>
          <w:rFonts w:asciiTheme="minorHAnsi" w:hAnsiTheme="minorHAnsi"/>
          <w:sz w:val="24"/>
          <w:szCs w:val="24"/>
        </w:rPr>
      </w:pPr>
      <w:r w:rsidRPr="00684410">
        <w:rPr>
          <w:rFonts w:asciiTheme="minorHAnsi" w:hAnsiTheme="minorHAnsi"/>
          <w:sz w:val="24"/>
          <w:szCs w:val="24"/>
        </w:rPr>
        <w:t xml:space="preserve">The pre-PBAC response stated that the extrapolations for PFS and OS were selected based on the distributions with the most conservative estimates of OS and PFS for the pembrolizumab treatment group. The PBAC </w:t>
      </w:r>
      <w:r w:rsidR="00F13C8C">
        <w:rPr>
          <w:rFonts w:asciiTheme="minorHAnsi" w:hAnsiTheme="minorHAnsi"/>
          <w:sz w:val="24"/>
          <w:szCs w:val="24"/>
        </w:rPr>
        <w:t>considered</w:t>
      </w:r>
      <w:r w:rsidRPr="00684410">
        <w:rPr>
          <w:rFonts w:asciiTheme="minorHAnsi" w:hAnsiTheme="minorHAnsi"/>
          <w:sz w:val="24"/>
          <w:szCs w:val="24"/>
        </w:rPr>
        <w:t xml:space="preserve"> that</w:t>
      </w:r>
      <w:r w:rsidR="00F13C8C">
        <w:rPr>
          <w:rFonts w:asciiTheme="minorHAnsi" w:hAnsiTheme="minorHAnsi"/>
          <w:sz w:val="24"/>
          <w:szCs w:val="24"/>
        </w:rPr>
        <w:t>,</w:t>
      </w:r>
      <w:r w:rsidRPr="00684410">
        <w:rPr>
          <w:rFonts w:asciiTheme="minorHAnsi" w:hAnsiTheme="minorHAnsi"/>
          <w:sz w:val="24"/>
          <w:szCs w:val="24"/>
        </w:rPr>
        <w:t xml:space="preserve"> as the pre-PBAC response did not provide traces of the area between the pembrolizumab and SOC curves for each extrapolation type</w:t>
      </w:r>
      <w:r w:rsidR="007665EB">
        <w:rPr>
          <w:rFonts w:asciiTheme="minorHAnsi" w:hAnsiTheme="minorHAnsi"/>
          <w:sz w:val="24"/>
          <w:szCs w:val="24"/>
        </w:rPr>
        <w:t xml:space="preserve"> across PFS and OS</w:t>
      </w:r>
      <w:r w:rsidRPr="00684410">
        <w:rPr>
          <w:rFonts w:asciiTheme="minorHAnsi" w:hAnsiTheme="minorHAnsi"/>
          <w:sz w:val="24"/>
          <w:szCs w:val="24"/>
        </w:rPr>
        <w:t xml:space="preserve">, it </w:t>
      </w:r>
      <w:r w:rsidR="00F13C8C">
        <w:rPr>
          <w:rFonts w:asciiTheme="minorHAnsi" w:hAnsiTheme="minorHAnsi"/>
          <w:sz w:val="24"/>
          <w:szCs w:val="24"/>
        </w:rPr>
        <w:t xml:space="preserve">remained </w:t>
      </w:r>
      <w:r w:rsidRPr="00684410">
        <w:rPr>
          <w:rFonts w:asciiTheme="minorHAnsi" w:hAnsiTheme="minorHAnsi"/>
          <w:sz w:val="24"/>
          <w:szCs w:val="24"/>
        </w:rPr>
        <w:t>uncertain which extrapolati</w:t>
      </w:r>
      <w:r w:rsidR="007665EB">
        <w:rPr>
          <w:rFonts w:asciiTheme="minorHAnsi" w:hAnsiTheme="minorHAnsi"/>
          <w:sz w:val="24"/>
          <w:szCs w:val="24"/>
        </w:rPr>
        <w:t>ons were the most conservative from visual inspection of Figures 1 and 2.</w:t>
      </w:r>
    </w:p>
    <w:p w:rsidR="003C2FB5" w:rsidRPr="006A15C9" w:rsidRDefault="00A55FEE" w:rsidP="008306F3">
      <w:pPr>
        <w:pStyle w:val="Heading2"/>
        <w:keepLines/>
        <w:spacing w:before="240" w:after="120"/>
        <w:rPr>
          <w:rFonts w:asciiTheme="minorHAnsi" w:eastAsiaTheme="majorEastAsia" w:hAnsiTheme="minorHAnsi" w:cstheme="majorBidi"/>
          <w:b w:val="0"/>
          <w:sz w:val="28"/>
          <w:szCs w:val="28"/>
          <w:lang w:eastAsia="en-US"/>
        </w:rPr>
      </w:pPr>
      <w:r w:rsidRPr="003C2FB5">
        <w:rPr>
          <w:rFonts w:asciiTheme="minorHAnsi" w:eastAsiaTheme="majorEastAsia" w:hAnsiTheme="minorHAnsi" w:cstheme="majorBidi"/>
          <w:sz w:val="28"/>
          <w:szCs w:val="28"/>
          <w:lang w:eastAsia="en-US"/>
        </w:rPr>
        <w:t>Drug cost/patient/course</w:t>
      </w:r>
      <w:r w:rsidR="00C45738">
        <w:rPr>
          <w:rFonts w:asciiTheme="minorHAnsi" w:eastAsiaTheme="majorEastAsia" w:hAnsiTheme="minorHAnsi" w:cstheme="majorBidi"/>
          <w:sz w:val="28"/>
          <w:szCs w:val="28"/>
          <w:lang w:eastAsia="en-US"/>
        </w:rPr>
        <w:t>:</w:t>
      </w:r>
      <w:r w:rsidR="00FD5D84">
        <w:rPr>
          <w:rFonts w:asciiTheme="minorHAnsi" w:eastAsiaTheme="majorEastAsia" w:hAnsiTheme="minorHAnsi" w:cstheme="majorBidi"/>
          <w:sz w:val="28"/>
          <w:szCs w:val="28"/>
          <w:lang w:eastAsia="en-US"/>
        </w:rPr>
        <w:t xml:space="preserve"> $</w:t>
      </w:r>
      <w:r w:rsidR="00E964DA">
        <w:rPr>
          <w:rFonts w:asciiTheme="minorHAnsi" w:eastAsiaTheme="majorEastAsia" w:hAnsiTheme="minorHAnsi" w:cstheme="majorBidi"/>
          <w:noProof/>
          <w:color w:val="000000"/>
          <w:sz w:val="28"/>
          <w:szCs w:val="28"/>
          <w:highlight w:val="black"/>
          <w:lang w:eastAsia="en-US"/>
        </w:rPr>
        <w:t>'''''''''''''</w:t>
      </w:r>
      <w:r w:rsidR="00E97EA0" w:rsidRPr="006A15C9">
        <w:rPr>
          <w:rFonts w:asciiTheme="minorHAnsi" w:eastAsiaTheme="majorEastAsia" w:hAnsiTheme="minorHAnsi" w:cstheme="majorBidi"/>
          <w:b w:val="0"/>
          <w:sz w:val="28"/>
          <w:szCs w:val="28"/>
          <w:lang w:eastAsia="en-US"/>
        </w:rPr>
        <w:t xml:space="preserve"> (</w:t>
      </w:r>
      <w:r w:rsidR="009C4641">
        <w:rPr>
          <w:rFonts w:asciiTheme="minorHAnsi" w:eastAsiaTheme="majorEastAsia" w:hAnsiTheme="minorHAnsi" w:cstheme="majorBidi"/>
          <w:b w:val="0"/>
          <w:sz w:val="28"/>
          <w:szCs w:val="28"/>
          <w:lang w:eastAsia="en-US"/>
        </w:rPr>
        <w:t xml:space="preserve">reduced </w:t>
      </w:r>
      <w:r w:rsidR="00DA7521">
        <w:rPr>
          <w:rFonts w:asciiTheme="minorHAnsi" w:eastAsiaTheme="majorEastAsia" w:hAnsiTheme="minorHAnsi" w:cstheme="majorBidi"/>
          <w:b w:val="0"/>
          <w:sz w:val="28"/>
          <w:szCs w:val="28"/>
          <w:lang w:eastAsia="en-US"/>
        </w:rPr>
        <w:t xml:space="preserve">by </w:t>
      </w:r>
      <w:r w:rsidR="00E964DA">
        <w:rPr>
          <w:rFonts w:asciiTheme="minorHAnsi" w:eastAsiaTheme="majorEastAsia" w:hAnsiTheme="minorHAnsi" w:cstheme="majorBidi"/>
          <w:b w:val="0"/>
          <w:noProof/>
          <w:color w:val="000000"/>
          <w:sz w:val="28"/>
          <w:szCs w:val="28"/>
          <w:highlight w:val="black"/>
          <w:lang w:eastAsia="en-US"/>
        </w:rPr>
        <w:t>'''</w:t>
      </w:r>
      <w:r w:rsidR="00DA7521">
        <w:rPr>
          <w:rFonts w:asciiTheme="minorHAnsi" w:eastAsiaTheme="majorEastAsia" w:hAnsiTheme="minorHAnsi" w:cstheme="majorBidi"/>
          <w:b w:val="0"/>
          <w:sz w:val="28"/>
          <w:szCs w:val="28"/>
          <w:lang w:eastAsia="en-US"/>
        </w:rPr>
        <w:t xml:space="preserve">% </w:t>
      </w:r>
      <w:r w:rsidR="009C4641">
        <w:rPr>
          <w:rFonts w:asciiTheme="minorHAnsi" w:eastAsiaTheme="majorEastAsia" w:hAnsiTheme="minorHAnsi" w:cstheme="majorBidi"/>
          <w:b w:val="0"/>
          <w:sz w:val="28"/>
          <w:szCs w:val="28"/>
          <w:lang w:eastAsia="en-US"/>
        </w:rPr>
        <w:t>from $</w:t>
      </w:r>
      <w:r w:rsidR="00E964DA">
        <w:rPr>
          <w:rFonts w:asciiTheme="minorHAnsi" w:eastAsiaTheme="majorEastAsia" w:hAnsiTheme="minorHAnsi" w:cstheme="majorBidi"/>
          <w:b w:val="0"/>
          <w:noProof/>
          <w:color w:val="000000"/>
          <w:sz w:val="28"/>
          <w:szCs w:val="28"/>
          <w:highlight w:val="black"/>
          <w:lang w:eastAsia="en-US"/>
        </w:rPr>
        <w:t>'''''''''''''</w:t>
      </w:r>
      <w:r w:rsidR="009C4641">
        <w:rPr>
          <w:rFonts w:asciiTheme="minorHAnsi" w:eastAsiaTheme="majorEastAsia" w:hAnsiTheme="minorHAnsi" w:cstheme="majorBidi"/>
          <w:b w:val="0"/>
          <w:sz w:val="28"/>
          <w:szCs w:val="28"/>
          <w:lang w:eastAsia="en-US"/>
        </w:rPr>
        <w:t xml:space="preserve"> </w:t>
      </w:r>
      <w:r w:rsidR="00F07A41">
        <w:rPr>
          <w:rFonts w:asciiTheme="minorHAnsi" w:eastAsiaTheme="majorEastAsia" w:hAnsiTheme="minorHAnsi" w:cstheme="majorBidi"/>
          <w:b w:val="0"/>
          <w:sz w:val="28"/>
          <w:szCs w:val="28"/>
          <w:lang w:eastAsia="en-US"/>
        </w:rPr>
        <w:t>estimated in November 2017</w:t>
      </w:r>
      <w:r w:rsidR="0084167C">
        <w:rPr>
          <w:rFonts w:asciiTheme="minorHAnsi" w:eastAsiaTheme="majorEastAsia" w:hAnsiTheme="minorHAnsi" w:cstheme="majorBidi"/>
          <w:b w:val="0"/>
          <w:sz w:val="28"/>
          <w:szCs w:val="28"/>
          <w:lang w:eastAsia="en-US"/>
        </w:rPr>
        <w:t>,</w:t>
      </w:r>
      <w:r w:rsidR="00F07A41">
        <w:rPr>
          <w:rFonts w:asciiTheme="minorHAnsi" w:eastAsiaTheme="majorEastAsia" w:hAnsiTheme="minorHAnsi" w:cstheme="majorBidi"/>
          <w:b w:val="0"/>
          <w:sz w:val="28"/>
          <w:szCs w:val="28"/>
          <w:lang w:eastAsia="en-US"/>
        </w:rPr>
        <w:t xml:space="preserve"> </w:t>
      </w:r>
      <w:r w:rsidR="00E97EA0" w:rsidRPr="006A15C9">
        <w:rPr>
          <w:rFonts w:asciiTheme="minorHAnsi" w:eastAsiaTheme="majorEastAsia" w:hAnsiTheme="minorHAnsi" w:cstheme="majorBidi"/>
          <w:b w:val="0"/>
          <w:sz w:val="28"/>
          <w:szCs w:val="28"/>
          <w:lang w:eastAsia="en-US"/>
        </w:rPr>
        <w:t>based on an additional rebate)</w:t>
      </w:r>
    </w:p>
    <w:p w:rsidR="00267A78" w:rsidRPr="008C6270" w:rsidRDefault="00D63749" w:rsidP="00267A78">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8C6270">
        <w:rPr>
          <w:rFonts w:asciiTheme="minorHAnsi" w:eastAsiaTheme="minorHAnsi" w:hAnsiTheme="minorHAnsi" w:cstheme="minorBidi"/>
          <w:snapToGrid/>
          <w:sz w:val="24"/>
          <w:szCs w:val="22"/>
        </w:rPr>
        <w:t xml:space="preserve">The minor resubmission stated that, “to establish cost effectiveness, an </w:t>
      </w:r>
      <w:r w:rsidR="00E964DA">
        <w:rPr>
          <w:rFonts w:asciiTheme="minorHAnsi" w:eastAsiaTheme="minorHAnsi" w:hAnsiTheme="minorHAnsi" w:cstheme="minorBidi"/>
          <w:noProof/>
          <w:snapToGrid/>
          <w:color w:val="000000"/>
          <w:sz w:val="24"/>
          <w:szCs w:val="22"/>
          <w:highlight w:val="black"/>
        </w:rPr>
        <w:t>'''</w:t>
      </w:r>
      <w:r w:rsidRPr="008C6270">
        <w:rPr>
          <w:rFonts w:asciiTheme="minorHAnsi" w:eastAsiaTheme="minorHAnsi" w:hAnsiTheme="minorHAnsi" w:cstheme="minorBidi"/>
          <w:snapToGrid/>
          <w:sz w:val="24"/>
          <w:szCs w:val="22"/>
        </w:rPr>
        <w:t>% reduction in the average per patient drug treatment cost (from $</w:t>
      </w:r>
      <w:r w:rsidR="00E964DA">
        <w:rPr>
          <w:rFonts w:asciiTheme="minorHAnsi" w:eastAsiaTheme="minorHAnsi" w:hAnsiTheme="minorHAnsi" w:cstheme="minorBidi"/>
          <w:noProof/>
          <w:snapToGrid/>
          <w:color w:val="000000"/>
          <w:sz w:val="24"/>
          <w:szCs w:val="22"/>
          <w:highlight w:val="black"/>
        </w:rPr>
        <w:t>''''''''''''</w:t>
      </w:r>
      <w:r w:rsidRPr="008C6270">
        <w:rPr>
          <w:rFonts w:asciiTheme="minorHAnsi" w:eastAsiaTheme="minorHAnsi" w:hAnsiTheme="minorHAnsi" w:cstheme="minorBidi"/>
          <w:snapToGrid/>
          <w:sz w:val="24"/>
          <w:szCs w:val="22"/>
        </w:rPr>
        <w:t xml:space="preserve"> to $</w:t>
      </w:r>
      <w:r w:rsidR="00E964DA">
        <w:rPr>
          <w:rFonts w:asciiTheme="minorHAnsi" w:eastAsiaTheme="minorHAnsi" w:hAnsiTheme="minorHAnsi" w:cstheme="minorBidi"/>
          <w:noProof/>
          <w:snapToGrid/>
          <w:color w:val="000000"/>
          <w:sz w:val="24"/>
          <w:szCs w:val="22"/>
          <w:highlight w:val="black"/>
        </w:rPr>
        <w:t>''''''''''''''</w:t>
      </w:r>
      <w:r w:rsidRPr="008C6270">
        <w:rPr>
          <w:rFonts w:asciiTheme="minorHAnsi" w:eastAsiaTheme="minorHAnsi" w:hAnsiTheme="minorHAnsi" w:cstheme="minorBidi"/>
          <w:snapToGrid/>
          <w:sz w:val="24"/>
          <w:szCs w:val="22"/>
        </w:rPr>
        <w:t xml:space="preserve">) is being proposed, which would be achieved through an additional rebate that is linked to treatment duration, </w:t>
      </w:r>
      <w:r w:rsidR="00E964DA">
        <w:rPr>
          <w:rFonts w:asciiTheme="minorHAnsi" w:eastAsiaTheme="minorHAnsi" w:hAnsiTheme="minorHAnsi" w:cstheme="minorBidi"/>
          <w:noProof/>
          <w:snapToGrid/>
          <w:color w:val="000000"/>
          <w:sz w:val="24"/>
          <w:szCs w:val="22"/>
          <w:highlight w:val="black"/>
        </w:rPr>
        <w:t>''''''' ''' ''''''''''''''' ''''''''' ''''' '''''''''''''''' ''''''' '''''''''''''' ''''''''''''''''</w:t>
      </w:r>
      <w:r w:rsidRPr="008C6270">
        <w:rPr>
          <w:rFonts w:asciiTheme="minorHAnsi" w:eastAsiaTheme="minorHAnsi" w:hAnsiTheme="minorHAnsi" w:cstheme="minorBidi"/>
          <w:snapToGrid/>
          <w:sz w:val="24"/>
          <w:szCs w:val="22"/>
        </w:rPr>
        <w:t xml:space="preserve">”. </w:t>
      </w:r>
      <w:r w:rsidR="009A4A40" w:rsidRPr="008C6270">
        <w:rPr>
          <w:rFonts w:asciiTheme="minorHAnsi" w:eastAsiaTheme="minorHAnsi" w:hAnsiTheme="minorHAnsi" w:cstheme="minorBidi"/>
          <w:snapToGrid/>
          <w:sz w:val="24"/>
          <w:szCs w:val="22"/>
        </w:rPr>
        <w:t>Based on the Excel workbook</w:t>
      </w:r>
      <w:r w:rsidRPr="008C6270">
        <w:rPr>
          <w:rFonts w:asciiTheme="minorHAnsi" w:eastAsiaTheme="minorHAnsi" w:hAnsiTheme="minorHAnsi" w:cstheme="minorBidi"/>
          <w:snapToGrid/>
          <w:sz w:val="24"/>
          <w:szCs w:val="22"/>
        </w:rPr>
        <w:t xml:space="preserve"> provided with the minor resubmission, the estimated </w:t>
      </w:r>
      <w:r w:rsidR="00961CA3" w:rsidRPr="008C6270">
        <w:rPr>
          <w:rFonts w:asciiTheme="minorHAnsi" w:eastAsiaTheme="minorHAnsi" w:hAnsiTheme="minorHAnsi" w:cstheme="minorBidi"/>
          <w:snapToGrid/>
          <w:sz w:val="24"/>
          <w:szCs w:val="22"/>
        </w:rPr>
        <w:t xml:space="preserve">pembrolizumab </w:t>
      </w:r>
      <w:r w:rsidRPr="008C6270">
        <w:rPr>
          <w:rFonts w:asciiTheme="minorHAnsi" w:eastAsiaTheme="minorHAnsi" w:hAnsiTheme="minorHAnsi" w:cstheme="minorBidi"/>
          <w:snapToGrid/>
          <w:sz w:val="24"/>
          <w:szCs w:val="22"/>
        </w:rPr>
        <w:t>drug cost per patient per course was $</w:t>
      </w:r>
      <w:r w:rsidR="00E964DA">
        <w:rPr>
          <w:rFonts w:asciiTheme="minorHAnsi" w:eastAsiaTheme="minorHAnsi" w:hAnsiTheme="minorHAnsi" w:cstheme="minorBidi"/>
          <w:noProof/>
          <w:snapToGrid/>
          <w:color w:val="000000"/>
          <w:sz w:val="24"/>
          <w:szCs w:val="22"/>
          <w:highlight w:val="black"/>
        </w:rPr>
        <w:t>''''''''''''''</w:t>
      </w:r>
      <w:r w:rsidRPr="008C6270">
        <w:rPr>
          <w:rFonts w:asciiTheme="minorHAnsi" w:eastAsiaTheme="minorHAnsi" w:hAnsiTheme="minorHAnsi" w:cstheme="minorBidi"/>
          <w:snapToGrid/>
          <w:sz w:val="24"/>
          <w:szCs w:val="22"/>
        </w:rPr>
        <w:t>, which reduced to $</w:t>
      </w:r>
      <w:r w:rsidR="00E964DA">
        <w:rPr>
          <w:rFonts w:asciiTheme="minorHAnsi" w:eastAsiaTheme="minorHAnsi" w:hAnsiTheme="minorHAnsi" w:cstheme="minorBidi"/>
          <w:noProof/>
          <w:snapToGrid/>
          <w:color w:val="000000"/>
          <w:sz w:val="24"/>
          <w:szCs w:val="22"/>
          <w:highlight w:val="black"/>
        </w:rPr>
        <w:t>''''''''''''</w:t>
      </w:r>
      <w:r w:rsidRPr="008C6270">
        <w:rPr>
          <w:rFonts w:asciiTheme="minorHAnsi" w:eastAsiaTheme="minorHAnsi" w:hAnsiTheme="minorHAnsi" w:cstheme="minorBidi"/>
          <w:snapToGrid/>
          <w:sz w:val="24"/>
          <w:szCs w:val="22"/>
        </w:rPr>
        <w:t xml:space="preserve"> with the rebate. </w:t>
      </w:r>
      <w:r w:rsidR="00EB21ED" w:rsidRPr="008C6270">
        <w:rPr>
          <w:rFonts w:asciiTheme="minorHAnsi" w:eastAsiaTheme="minorHAnsi" w:hAnsiTheme="minorHAnsi" w:cstheme="minorBidi"/>
          <w:snapToGrid/>
          <w:sz w:val="24"/>
          <w:szCs w:val="22"/>
        </w:rPr>
        <w:t xml:space="preserve">Each patient was assumed to require an average of </w:t>
      </w:r>
      <w:r w:rsidR="00E964DA">
        <w:rPr>
          <w:rFonts w:asciiTheme="minorHAnsi" w:eastAsiaTheme="minorHAnsi" w:hAnsiTheme="minorHAnsi" w:cstheme="minorBidi"/>
          <w:noProof/>
          <w:snapToGrid/>
          <w:color w:val="000000"/>
          <w:sz w:val="24"/>
          <w:szCs w:val="22"/>
          <w:highlight w:val="black"/>
        </w:rPr>
        <w:t>''''''''''</w:t>
      </w:r>
      <w:r w:rsidR="00EB21ED" w:rsidRPr="008C6270">
        <w:rPr>
          <w:rFonts w:asciiTheme="minorHAnsi" w:eastAsiaTheme="minorHAnsi" w:hAnsiTheme="minorHAnsi" w:cstheme="minorBidi"/>
          <w:snapToGrid/>
          <w:sz w:val="24"/>
          <w:szCs w:val="22"/>
        </w:rPr>
        <w:t xml:space="preserve"> admi</w:t>
      </w:r>
      <w:r w:rsidR="00076CC8" w:rsidRPr="008C6270">
        <w:rPr>
          <w:rFonts w:asciiTheme="minorHAnsi" w:eastAsiaTheme="minorHAnsi" w:hAnsiTheme="minorHAnsi" w:cstheme="minorBidi"/>
          <w:snapToGrid/>
          <w:sz w:val="24"/>
          <w:szCs w:val="22"/>
        </w:rPr>
        <w:t xml:space="preserve">nistrations per </w:t>
      </w:r>
      <w:r w:rsidR="00EB21ED" w:rsidRPr="008C6270">
        <w:rPr>
          <w:rFonts w:asciiTheme="minorHAnsi" w:eastAsiaTheme="minorHAnsi" w:hAnsiTheme="minorHAnsi" w:cstheme="minorBidi"/>
          <w:snapToGrid/>
          <w:sz w:val="24"/>
          <w:szCs w:val="22"/>
        </w:rPr>
        <w:t>course</w:t>
      </w:r>
      <w:r w:rsidR="00076CC8" w:rsidRPr="008C6270">
        <w:rPr>
          <w:rFonts w:asciiTheme="minorHAnsi" w:eastAsiaTheme="minorHAnsi" w:hAnsiTheme="minorHAnsi" w:cstheme="minorBidi"/>
          <w:snapToGrid/>
          <w:sz w:val="24"/>
          <w:szCs w:val="22"/>
        </w:rPr>
        <w:t xml:space="preserve"> (approximately </w:t>
      </w:r>
      <w:r w:rsidR="00E964DA">
        <w:rPr>
          <w:rFonts w:asciiTheme="minorHAnsi" w:eastAsiaTheme="minorHAnsi" w:hAnsiTheme="minorHAnsi" w:cstheme="minorBidi"/>
          <w:noProof/>
          <w:snapToGrid/>
          <w:color w:val="000000"/>
          <w:sz w:val="24"/>
          <w:szCs w:val="22"/>
          <w:highlight w:val="black"/>
        </w:rPr>
        <w:t>''''''''''''</w:t>
      </w:r>
      <w:r w:rsidR="00076CC8" w:rsidRPr="008C6270">
        <w:rPr>
          <w:rFonts w:asciiTheme="minorHAnsi" w:eastAsiaTheme="minorHAnsi" w:hAnsiTheme="minorHAnsi" w:cstheme="minorBidi"/>
          <w:snapToGrid/>
          <w:sz w:val="24"/>
          <w:szCs w:val="22"/>
        </w:rPr>
        <w:t xml:space="preserve"> weeks)</w:t>
      </w:r>
      <w:r w:rsidR="00EB21ED" w:rsidRPr="008C6270">
        <w:rPr>
          <w:rFonts w:asciiTheme="minorHAnsi" w:eastAsiaTheme="minorHAnsi" w:hAnsiTheme="minorHAnsi" w:cstheme="minorBidi"/>
          <w:snapToGrid/>
          <w:sz w:val="24"/>
          <w:szCs w:val="22"/>
        </w:rPr>
        <w:t>, based on the modelled time on treatment</w:t>
      </w:r>
      <w:r w:rsidR="005B5043" w:rsidRPr="008C6270">
        <w:rPr>
          <w:rFonts w:asciiTheme="minorHAnsi" w:eastAsiaTheme="minorHAnsi" w:hAnsiTheme="minorHAnsi" w:cstheme="minorBidi"/>
          <w:snapToGrid/>
          <w:sz w:val="24"/>
          <w:szCs w:val="22"/>
        </w:rPr>
        <w:t xml:space="preserve"> (e.g. patients would receive pembrolizumab until they experience disease progression or reach the maximum </w:t>
      </w:r>
      <w:r w:rsidR="00E97EA0" w:rsidRPr="008C6270">
        <w:rPr>
          <w:rFonts w:asciiTheme="minorHAnsi" w:eastAsiaTheme="minorHAnsi" w:hAnsiTheme="minorHAnsi" w:cstheme="minorBidi"/>
          <w:snapToGrid/>
          <w:sz w:val="24"/>
          <w:szCs w:val="22"/>
        </w:rPr>
        <w:t xml:space="preserve">TGA-approved </w:t>
      </w:r>
      <w:r w:rsidR="005B5043" w:rsidRPr="008C6270">
        <w:rPr>
          <w:rFonts w:asciiTheme="minorHAnsi" w:eastAsiaTheme="minorHAnsi" w:hAnsiTheme="minorHAnsi" w:cstheme="minorBidi"/>
          <w:snapToGrid/>
          <w:sz w:val="24"/>
          <w:szCs w:val="22"/>
        </w:rPr>
        <w:t>treatment duration of 2 years)</w:t>
      </w:r>
      <w:r w:rsidR="00E97EA0" w:rsidRPr="008C6270">
        <w:rPr>
          <w:rFonts w:asciiTheme="minorHAnsi" w:eastAsiaTheme="minorHAnsi" w:hAnsiTheme="minorHAnsi" w:cstheme="minorBidi"/>
          <w:snapToGrid/>
          <w:sz w:val="24"/>
          <w:szCs w:val="22"/>
        </w:rPr>
        <w:t xml:space="preserve">, with the proposed rebate </w:t>
      </w:r>
      <w:r w:rsidR="009E61A6">
        <w:rPr>
          <w:rFonts w:asciiTheme="minorHAnsi" w:eastAsiaTheme="minorHAnsi" w:hAnsiTheme="minorHAnsi" w:cstheme="minorBidi"/>
          <w:snapToGrid/>
          <w:sz w:val="24"/>
          <w:szCs w:val="22"/>
        </w:rPr>
        <w:t>coming into effect</w:t>
      </w:r>
      <w:r w:rsidR="00E97EA0" w:rsidRPr="008C6270">
        <w:rPr>
          <w:rFonts w:asciiTheme="minorHAnsi" w:eastAsiaTheme="minorHAnsi" w:hAnsiTheme="minorHAnsi" w:cstheme="minorBidi"/>
          <w:snapToGrid/>
          <w:sz w:val="24"/>
          <w:szCs w:val="22"/>
        </w:rPr>
        <w:t xml:space="preserve"> about halfway between the </w:t>
      </w:r>
      <w:r w:rsidR="00267A78" w:rsidRPr="008C6270">
        <w:rPr>
          <w:rFonts w:asciiTheme="minorHAnsi" w:eastAsiaTheme="minorHAnsi" w:hAnsiTheme="minorHAnsi" w:cstheme="minorBidi"/>
          <w:snapToGrid/>
          <w:sz w:val="24"/>
          <w:szCs w:val="22"/>
        </w:rPr>
        <w:t>estimated</w:t>
      </w:r>
      <w:r w:rsidR="00E97EA0" w:rsidRPr="008C6270">
        <w:rPr>
          <w:rFonts w:asciiTheme="minorHAnsi" w:eastAsiaTheme="minorHAnsi" w:hAnsiTheme="minorHAnsi" w:cstheme="minorBidi"/>
          <w:snapToGrid/>
          <w:sz w:val="24"/>
          <w:szCs w:val="22"/>
        </w:rPr>
        <w:t xml:space="preserve"> mean duration of therapy and the maximum approved duration of therapy</w:t>
      </w:r>
      <w:r w:rsidR="005B5043" w:rsidRPr="008C6270">
        <w:rPr>
          <w:rFonts w:asciiTheme="minorHAnsi" w:eastAsiaTheme="minorHAnsi" w:hAnsiTheme="minorHAnsi" w:cstheme="minorBidi"/>
          <w:snapToGrid/>
          <w:sz w:val="24"/>
          <w:szCs w:val="22"/>
        </w:rPr>
        <w:t>.</w:t>
      </w:r>
      <w:r w:rsidRPr="008C6270">
        <w:rPr>
          <w:rFonts w:asciiTheme="minorHAnsi" w:eastAsiaTheme="minorHAnsi" w:hAnsiTheme="minorHAnsi" w:cstheme="minorBidi"/>
          <w:snapToGrid/>
          <w:sz w:val="24"/>
          <w:szCs w:val="22"/>
        </w:rPr>
        <w:t xml:space="preserve"> </w:t>
      </w:r>
      <w:r w:rsidR="009A4A40" w:rsidRPr="008C6270">
        <w:rPr>
          <w:rFonts w:asciiTheme="minorHAnsi" w:eastAsiaTheme="minorHAnsi" w:hAnsiTheme="minorHAnsi" w:cstheme="minorBidi"/>
          <w:snapToGrid/>
          <w:sz w:val="24"/>
          <w:szCs w:val="22"/>
        </w:rPr>
        <w:t xml:space="preserve">The difference in the </w:t>
      </w:r>
      <w:r w:rsidR="00267A78" w:rsidRPr="008C6270">
        <w:rPr>
          <w:rFonts w:asciiTheme="minorHAnsi" w:eastAsiaTheme="minorHAnsi" w:hAnsiTheme="minorHAnsi" w:cstheme="minorBidi"/>
          <w:snapToGrid/>
          <w:sz w:val="24"/>
          <w:szCs w:val="22"/>
        </w:rPr>
        <w:t xml:space="preserve">cost </w:t>
      </w:r>
      <w:r w:rsidR="009A4A40" w:rsidRPr="008C6270">
        <w:rPr>
          <w:rFonts w:asciiTheme="minorHAnsi" w:eastAsiaTheme="minorHAnsi" w:hAnsiTheme="minorHAnsi" w:cstheme="minorBidi"/>
          <w:snapToGrid/>
          <w:sz w:val="24"/>
          <w:szCs w:val="22"/>
        </w:rPr>
        <w:t>estimates be</w:t>
      </w:r>
      <w:r w:rsidR="008D2340" w:rsidRPr="008C6270">
        <w:rPr>
          <w:rFonts w:asciiTheme="minorHAnsi" w:eastAsiaTheme="minorHAnsi" w:hAnsiTheme="minorHAnsi" w:cstheme="minorBidi"/>
          <w:snapToGrid/>
          <w:sz w:val="24"/>
          <w:szCs w:val="22"/>
        </w:rPr>
        <w:t xml:space="preserve">tween </w:t>
      </w:r>
      <w:r w:rsidR="00E97EA0" w:rsidRPr="008C6270">
        <w:rPr>
          <w:rFonts w:asciiTheme="minorHAnsi" w:eastAsiaTheme="minorHAnsi" w:hAnsiTheme="minorHAnsi" w:cstheme="minorBidi"/>
          <w:snapToGrid/>
          <w:sz w:val="24"/>
          <w:szCs w:val="22"/>
        </w:rPr>
        <w:t xml:space="preserve">those given in </w:t>
      </w:r>
      <w:r w:rsidR="009A4A40" w:rsidRPr="008C6270">
        <w:rPr>
          <w:rFonts w:asciiTheme="minorHAnsi" w:eastAsiaTheme="minorHAnsi" w:hAnsiTheme="minorHAnsi" w:cstheme="minorBidi"/>
          <w:snapToGrid/>
          <w:sz w:val="24"/>
          <w:szCs w:val="22"/>
        </w:rPr>
        <w:t>the</w:t>
      </w:r>
      <w:r w:rsidR="008D2340" w:rsidRPr="008C6270">
        <w:rPr>
          <w:rFonts w:asciiTheme="minorHAnsi" w:eastAsiaTheme="minorHAnsi" w:hAnsiTheme="minorHAnsi" w:cstheme="minorBidi"/>
          <w:snapToGrid/>
          <w:sz w:val="24"/>
          <w:szCs w:val="22"/>
        </w:rPr>
        <w:t xml:space="preserve"> minor resubmission </w:t>
      </w:r>
      <w:r w:rsidR="00E97EA0" w:rsidRPr="008C6270">
        <w:rPr>
          <w:rFonts w:asciiTheme="minorHAnsi" w:eastAsiaTheme="minorHAnsi" w:hAnsiTheme="minorHAnsi" w:cstheme="minorBidi"/>
          <w:snapToGrid/>
          <w:sz w:val="24"/>
          <w:szCs w:val="22"/>
        </w:rPr>
        <w:t xml:space="preserve">and those derived </w:t>
      </w:r>
      <w:r w:rsidR="00961CA3" w:rsidRPr="008C6270">
        <w:rPr>
          <w:rFonts w:asciiTheme="minorHAnsi" w:eastAsiaTheme="minorHAnsi" w:hAnsiTheme="minorHAnsi" w:cstheme="minorBidi"/>
          <w:snapToGrid/>
          <w:sz w:val="24"/>
          <w:szCs w:val="22"/>
        </w:rPr>
        <w:t xml:space="preserve">above </w:t>
      </w:r>
      <w:r w:rsidR="00E97EA0" w:rsidRPr="008C6270">
        <w:rPr>
          <w:rFonts w:asciiTheme="minorHAnsi" w:eastAsiaTheme="minorHAnsi" w:hAnsiTheme="minorHAnsi" w:cstheme="minorBidi"/>
          <w:snapToGrid/>
          <w:sz w:val="24"/>
          <w:szCs w:val="22"/>
        </w:rPr>
        <w:t xml:space="preserve">from the Excel workbook </w:t>
      </w:r>
      <w:r w:rsidR="008D2340" w:rsidRPr="008C6270">
        <w:rPr>
          <w:rFonts w:asciiTheme="minorHAnsi" w:eastAsiaTheme="minorHAnsi" w:hAnsiTheme="minorHAnsi" w:cstheme="minorBidi"/>
          <w:snapToGrid/>
          <w:sz w:val="24"/>
          <w:szCs w:val="22"/>
        </w:rPr>
        <w:t xml:space="preserve">may be due to rounding in calculating the average number of administrations per patient. </w:t>
      </w:r>
      <w:r w:rsidR="00EB21ED" w:rsidRPr="008C6270">
        <w:rPr>
          <w:rFonts w:asciiTheme="minorHAnsi" w:eastAsiaTheme="minorHAnsi" w:hAnsiTheme="minorHAnsi" w:cstheme="minorBidi"/>
          <w:snapToGrid/>
          <w:sz w:val="24"/>
          <w:szCs w:val="22"/>
        </w:rPr>
        <w:t xml:space="preserve">In the November 2017 major resubmission, the estimated number of </w:t>
      </w:r>
      <w:r w:rsidR="00961CA3" w:rsidRPr="008C6270">
        <w:rPr>
          <w:rFonts w:asciiTheme="minorHAnsi" w:eastAsiaTheme="minorHAnsi" w:hAnsiTheme="minorHAnsi" w:cstheme="minorBidi"/>
          <w:snapToGrid/>
          <w:sz w:val="24"/>
          <w:szCs w:val="22"/>
        </w:rPr>
        <w:t xml:space="preserve">pembrolizumab </w:t>
      </w:r>
      <w:r w:rsidR="00EB21ED" w:rsidRPr="008C6270">
        <w:rPr>
          <w:rFonts w:asciiTheme="minorHAnsi" w:eastAsiaTheme="minorHAnsi" w:hAnsiTheme="minorHAnsi" w:cstheme="minorBidi"/>
          <w:snapToGrid/>
          <w:sz w:val="24"/>
          <w:szCs w:val="22"/>
        </w:rPr>
        <w:t xml:space="preserve">administrations and drug cost per course per patient were </w:t>
      </w:r>
      <w:r w:rsidR="00E964DA">
        <w:rPr>
          <w:rFonts w:asciiTheme="minorHAnsi" w:eastAsiaTheme="minorHAnsi" w:hAnsiTheme="minorHAnsi" w:cstheme="minorBidi"/>
          <w:noProof/>
          <w:snapToGrid/>
          <w:color w:val="000000"/>
          <w:sz w:val="24"/>
          <w:szCs w:val="22"/>
          <w:highlight w:val="black"/>
        </w:rPr>
        <w:t>'''''''''''</w:t>
      </w:r>
      <w:r w:rsidR="00EB21ED" w:rsidRPr="008C6270">
        <w:rPr>
          <w:rFonts w:asciiTheme="minorHAnsi" w:eastAsiaTheme="minorHAnsi" w:hAnsiTheme="minorHAnsi" w:cstheme="minorBidi"/>
          <w:snapToGrid/>
          <w:sz w:val="24"/>
          <w:szCs w:val="22"/>
        </w:rPr>
        <w:t xml:space="preserve"> administrations and $</w:t>
      </w:r>
      <w:r w:rsidR="00E964DA">
        <w:rPr>
          <w:rFonts w:asciiTheme="minorHAnsi" w:eastAsiaTheme="minorHAnsi" w:hAnsiTheme="minorHAnsi" w:cstheme="minorBidi"/>
          <w:noProof/>
          <w:snapToGrid/>
          <w:color w:val="000000"/>
          <w:sz w:val="24"/>
          <w:szCs w:val="22"/>
          <w:highlight w:val="black"/>
        </w:rPr>
        <w:t>'''''''''''''</w:t>
      </w:r>
      <w:r w:rsidR="00E97EA0" w:rsidRPr="008C6270">
        <w:rPr>
          <w:rFonts w:asciiTheme="minorHAnsi" w:eastAsiaTheme="minorHAnsi" w:hAnsiTheme="minorHAnsi" w:cstheme="minorBidi"/>
          <w:snapToGrid/>
          <w:sz w:val="24"/>
          <w:szCs w:val="22"/>
        </w:rPr>
        <w:t>,</w:t>
      </w:r>
      <w:r w:rsidR="00EB21ED" w:rsidRPr="008C6270">
        <w:rPr>
          <w:rFonts w:asciiTheme="minorHAnsi" w:eastAsiaTheme="minorHAnsi" w:hAnsiTheme="minorHAnsi" w:cstheme="minorBidi"/>
          <w:snapToGrid/>
          <w:sz w:val="24"/>
          <w:szCs w:val="22"/>
        </w:rPr>
        <w:t xml:space="preserve"> respectively</w:t>
      </w:r>
      <w:r w:rsidR="00EB21ED" w:rsidRPr="008C6270">
        <w:rPr>
          <w:rStyle w:val="FootnoteReference"/>
          <w:rFonts w:asciiTheme="minorHAnsi" w:eastAsiaTheme="minorHAnsi" w:hAnsiTheme="minorHAnsi" w:cstheme="minorBidi"/>
          <w:snapToGrid/>
          <w:sz w:val="24"/>
          <w:szCs w:val="22"/>
        </w:rPr>
        <w:footnoteReference w:id="2"/>
      </w:r>
      <w:r w:rsidR="00EB21ED" w:rsidRPr="008C6270">
        <w:rPr>
          <w:rFonts w:asciiTheme="minorHAnsi" w:eastAsiaTheme="minorHAnsi" w:hAnsiTheme="minorHAnsi" w:cstheme="minorBidi"/>
          <w:snapToGrid/>
          <w:sz w:val="24"/>
          <w:szCs w:val="22"/>
        </w:rPr>
        <w:t>.</w:t>
      </w:r>
    </w:p>
    <w:p w:rsidR="008D2340" w:rsidRPr="008C6270" w:rsidRDefault="00D80FA8" w:rsidP="00267A78">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8C6270">
        <w:rPr>
          <w:rFonts w:asciiTheme="minorHAnsi" w:eastAsiaTheme="minorHAnsi" w:hAnsiTheme="minorHAnsi" w:cstheme="minorBidi"/>
          <w:snapToGrid/>
          <w:sz w:val="24"/>
          <w:szCs w:val="22"/>
        </w:rPr>
        <w:t xml:space="preserve">As the basis of estimating drug cost per patient </w:t>
      </w:r>
      <w:r w:rsidR="00267A78" w:rsidRPr="008C6270">
        <w:rPr>
          <w:rFonts w:asciiTheme="minorHAnsi" w:eastAsiaTheme="minorHAnsi" w:hAnsiTheme="minorHAnsi" w:cstheme="minorBidi"/>
          <w:snapToGrid/>
          <w:sz w:val="24"/>
          <w:szCs w:val="22"/>
        </w:rPr>
        <w:t>wa</w:t>
      </w:r>
      <w:r w:rsidRPr="008C6270">
        <w:rPr>
          <w:rFonts w:asciiTheme="minorHAnsi" w:eastAsiaTheme="minorHAnsi" w:hAnsiTheme="minorHAnsi" w:cstheme="minorBidi"/>
          <w:snapToGrid/>
          <w:sz w:val="24"/>
          <w:szCs w:val="22"/>
        </w:rPr>
        <w:t xml:space="preserve">s based on assuming that time to progression equals time to treatment cessation, the more convincing basis for </w:t>
      </w:r>
      <w:r w:rsidR="00ED225A" w:rsidRPr="008C6270">
        <w:rPr>
          <w:rFonts w:asciiTheme="minorHAnsi" w:eastAsiaTheme="minorHAnsi" w:hAnsiTheme="minorHAnsi" w:cstheme="minorBidi"/>
          <w:snapToGrid/>
          <w:sz w:val="24"/>
          <w:szCs w:val="22"/>
        </w:rPr>
        <w:t>estimating the cost per patient would have been to use directly reported time to treatment cessation (as per the usual Kaplan-Meier approach), and then</w:t>
      </w:r>
      <w:r w:rsidR="00C50E27" w:rsidRPr="008C6270">
        <w:rPr>
          <w:rFonts w:asciiTheme="minorHAnsi" w:eastAsiaTheme="minorHAnsi" w:hAnsiTheme="minorHAnsi" w:cstheme="minorBidi"/>
          <w:snapToGrid/>
          <w:sz w:val="24"/>
          <w:szCs w:val="22"/>
        </w:rPr>
        <w:t>, as necessary,</w:t>
      </w:r>
      <w:r w:rsidR="00ED225A" w:rsidRPr="008C6270">
        <w:rPr>
          <w:rFonts w:asciiTheme="minorHAnsi" w:eastAsiaTheme="minorHAnsi" w:hAnsiTheme="minorHAnsi" w:cstheme="minorBidi"/>
          <w:snapToGrid/>
          <w:sz w:val="24"/>
          <w:szCs w:val="22"/>
        </w:rPr>
        <w:t xml:space="preserve"> </w:t>
      </w:r>
      <w:r w:rsidRPr="008C6270">
        <w:rPr>
          <w:rFonts w:asciiTheme="minorHAnsi" w:eastAsiaTheme="minorHAnsi" w:hAnsiTheme="minorHAnsi" w:cstheme="minorBidi"/>
          <w:snapToGrid/>
          <w:sz w:val="24"/>
          <w:szCs w:val="22"/>
        </w:rPr>
        <w:t xml:space="preserve">extrapolating </w:t>
      </w:r>
      <w:r w:rsidR="00ED225A" w:rsidRPr="008C6270">
        <w:rPr>
          <w:rFonts w:asciiTheme="minorHAnsi" w:eastAsiaTheme="minorHAnsi" w:hAnsiTheme="minorHAnsi" w:cstheme="minorBidi"/>
          <w:snapToGrid/>
          <w:sz w:val="24"/>
          <w:szCs w:val="22"/>
        </w:rPr>
        <w:t xml:space="preserve">this more direct measure of treatment duration </w:t>
      </w:r>
      <w:r w:rsidR="00C50E27" w:rsidRPr="008C6270">
        <w:rPr>
          <w:rFonts w:asciiTheme="minorHAnsi" w:eastAsiaTheme="minorHAnsi" w:hAnsiTheme="minorHAnsi" w:cstheme="minorBidi"/>
          <w:snapToGrid/>
          <w:sz w:val="24"/>
          <w:szCs w:val="22"/>
        </w:rPr>
        <w:t xml:space="preserve">to </w:t>
      </w:r>
      <w:r w:rsidR="00ED225A" w:rsidRPr="008C6270">
        <w:rPr>
          <w:rFonts w:asciiTheme="minorHAnsi" w:eastAsiaTheme="minorHAnsi" w:hAnsiTheme="minorHAnsi" w:cstheme="minorBidi"/>
          <w:snapToGrid/>
          <w:sz w:val="24"/>
          <w:szCs w:val="22"/>
        </w:rPr>
        <w:t xml:space="preserve">thus </w:t>
      </w:r>
      <w:r w:rsidR="00C50E27" w:rsidRPr="008C6270">
        <w:rPr>
          <w:rFonts w:asciiTheme="minorHAnsi" w:eastAsiaTheme="minorHAnsi" w:hAnsiTheme="minorHAnsi" w:cstheme="minorBidi"/>
          <w:snapToGrid/>
          <w:sz w:val="24"/>
          <w:szCs w:val="22"/>
        </w:rPr>
        <w:t xml:space="preserve">estimate </w:t>
      </w:r>
      <w:r w:rsidR="00ED225A" w:rsidRPr="008C6270">
        <w:rPr>
          <w:rFonts w:asciiTheme="minorHAnsi" w:eastAsiaTheme="minorHAnsi" w:hAnsiTheme="minorHAnsi" w:cstheme="minorBidi"/>
          <w:snapToGrid/>
          <w:sz w:val="24"/>
          <w:szCs w:val="22"/>
        </w:rPr>
        <w:t xml:space="preserve">treatment costs. </w:t>
      </w:r>
      <w:r w:rsidR="00C50E27" w:rsidRPr="008C6270">
        <w:rPr>
          <w:rFonts w:asciiTheme="minorHAnsi" w:eastAsiaTheme="minorHAnsi" w:hAnsiTheme="minorHAnsi" w:cstheme="minorBidi"/>
          <w:snapToGrid/>
          <w:sz w:val="24"/>
          <w:szCs w:val="22"/>
        </w:rPr>
        <w:t xml:space="preserve">The figure below shows that, on average, patients </w:t>
      </w:r>
      <w:r w:rsidR="00FD58C5" w:rsidRPr="008C6270">
        <w:rPr>
          <w:rFonts w:asciiTheme="minorHAnsi" w:eastAsiaTheme="minorHAnsi" w:hAnsiTheme="minorHAnsi" w:cstheme="minorBidi"/>
          <w:snapToGrid/>
          <w:sz w:val="24"/>
          <w:szCs w:val="22"/>
        </w:rPr>
        <w:t xml:space="preserve">in the key trial </w:t>
      </w:r>
      <w:r w:rsidR="00C50E27" w:rsidRPr="008C6270">
        <w:rPr>
          <w:rFonts w:asciiTheme="minorHAnsi" w:eastAsiaTheme="minorHAnsi" w:hAnsiTheme="minorHAnsi" w:cstheme="minorBidi"/>
          <w:snapToGrid/>
          <w:sz w:val="24"/>
          <w:szCs w:val="22"/>
        </w:rPr>
        <w:t xml:space="preserve">tended to stop pembrolizumab earlier than they experienced a progression event. As follow-up extended to up to two years, at which time pembrolizumab therapy should be stopped anyway, the </w:t>
      </w:r>
      <w:r w:rsidR="007521BA" w:rsidRPr="008C6270">
        <w:rPr>
          <w:rFonts w:asciiTheme="minorHAnsi" w:eastAsiaTheme="minorHAnsi" w:hAnsiTheme="minorHAnsi" w:cstheme="minorBidi"/>
          <w:snapToGrid/>
          <w:sz w:val="24"/>
          <w:szCs w:val="22"/>
        </w:rPr>
        <w:t xml:space="preserve">drug cost per patient per course </w:t>
      </w:r>
      <w:r w:rsidR="00FD58C5" w:rsidRPr="008C6270">
        <w:rPr>
          <w:rFonts w:asciiTheme="minorHAnsi" w:eastAsiaTheme="minorHAnsi" w:hAnsiTheme="minorHAnsi" w:cstheme="minorBidi"/>
          <w:snapToGrid/>
          <w:sz w:val="24"/>
          <w:szCs w:val="22"/>
        </w:rPr>
        <w:t xml:space="preserve">using the observed time to treatment cessation from the trial </w:t>
      </w:r>
      <w:r w:rsidR="007521BA" w:rsidRPr="008C6270">
        <w:rPr>
          <w:rFonts w:asciiTheme="minorHAnsi" w:eastAsiaTheme="minorHAnsi" w:hAnsiTheme="minorHAnsi" w:cstheme="minorBidi"/>
          <w:snapToGrid/>
          <w:sz w:val="24"/>
          <w:szCs w:val="22"/>
        </w:rPr>
        <w:t>becomes $</w:t>
      </w:r>
      <w:r w:rsidR="00E964DA">
        <w:rPr>
          <w:rFonts w:asciiTheme="minorHAnsi" w:eastAsiaTheme="minorHAnsi" w:hAnsiTheme="minorHAnsi" w:cstheme="minorBidi"/>
          <w:noProof/>
          <w:snapToGrid/>
          <w:color w:val="000000"/>
          <w:sz w:val="24"/>
          <w:szCs w:val="22"/>
          <w:highlight w:val="black"/>
        </w:rPr>
        <w:t>'''''''''''''''''</w:t>
      </w:r>
      <w:r w:rsidR="00267A78" w:rsidRPr="008C6270">
        <w:rPr>
          <w:rFonts w:asciiTheme="minorHAnsi" w:eastAsiaTheme="minorHAnsi" w:hAnsiTheme="minorHAnsi" w:cstheme="minorBidi"/>
          <w:snapToGrid/>
          <w:sz w:val="24"/>
          <w:szCs w:val="22"/>
        </w:rPr>
        <w:t xml:space="preserve"> (based on </w:t>
      </w:r>
      <w:r w:rsidR="00E964DA">
        <w:rPr>
          <w:rFonts w:asciiTheme="minorHAnsi" w:eastAsiaTheme="minorHAnsi" w:hAnsiTheme="minorHAnsi" w:cstheme="minorBidi"/>
          <w:noProof/>
          <w:snapToGrid/>
          <w:color w:val="000000"/>
          <w:sz w:val="24"/>
          <w:szCs w:val="22"/>
          <w:highlight w:val="black"/>
        </w:rPr>
        <w:t>'''''''''''</w:t>
      </w:r>
      <w:r w:rsidR="00267A78" w:rsidRPr="008C6270">
        <w:rPr>
          <w:rFonts w:asciiTheme="minorHAnsi" w:eastAsiaTheme="minorHAnsi" w:hAnsiTheme="minorHAnsi" w:cstheme="minorBidi"/>
          <w:snapToGrid/>
          <w:sz w:val="24"/>
          <w:szCs w:val="22"/>
        </w:rPr>
        <w:t xml:space="preserve"> administrations at $</w:t>
      </w:r>
      <w:r w:rsidR="00E964DA">
        <w:rPr>
          <w:rFonts w:asciiTheme="minorHAnsi" w:eastAsiaTheme="minorHAnsi" w:hAnsiTheme="minorHAnsi" w:cstheme="minorBidi"/>
          <w:noProof/>
          <w:snapToGrid/>
          <w:color w:val="000000"/>
          <w:sz w:val="24"/>
          <w:szCs w:val="22"/>
          <w:highlight w:val="black"/>
        </w:rPr>
        <w:t>'''''''''</w:t>
      </w:r>
      <w:r w:rsidR="00267A78" w:rsidRPr="008C6270">
        <w:rPr>
          <w:rFonts w:asciiTheme="minorHAnsi" w:eastAsiaTheme="minorHAnsi" w:hAnsiTheme="minorHAnsi" w:cstheme="minorBidi"/>
          <w:snapToGrid/>
          <w:sz w:val="24"/>
          <w:szCs w:val="22"/>
        </w:rPr>
        <w:t xml:space="preserve"> each), with the </w:t>
      </w:r>
      <w:r w:rsidR="00E964DA">
        <w:rPr>
          <w:rFonts w:asciiTheme="minorHAnsi" w:eastAsiaTheme="minorHAnsi" w:hAnsiTheme="minorHAnsi" w:cstheme="minorBidi"/>
          <w:noProof/>
          <w:snapToGrid/>
          <w:color w:val="000000"/>
          <w:sz w:val="24"/>
          <w:szCs w:val="22"/>
          <w:highlight w:val="black"/>
        </w:rPr>
        <w:t>'''''</w:t>
      </w:r>
      <w:r w:rsidR="00267A78" w:rsidRPr="008C6270">
        <w:rPr>
          <w:rFonts w:asciiTheme="minorHAnsi" w:eastAsiaTheme="minorHAnsi" w:hAnsiTheme="minorHAnsi" w:cstheme="minorBidi"/>
          <w:snapToGrid/>
          <w:sz w:val="24"/>
          <w:szCs w:val="22"/>
        </w:rPr>
        <w:t xml:space="preserve">% rebate </w:t>
      </w:r>
      <w:r w:rsidR="00E964DA">
        <w:rPr>
          <w:rFonts w:asciiTheme="minorHAnsi" w:eastAsiaTheme="minorHAnsi" w:hAnsiTheme="minorHAnsi" w:cstheme="minorBidi"/>
          <w:noProof/>
          <w:snapToGrid/>
          <w:color w:val="000000"/>
          <w:sz w:val="24"/>
          <w:szCs w:val="22"/>
          <w:highlight w:val="black"/>
        </w:rPr>
        <w:t>''''''''''''' ''''' '''''''''''''''''''''''''''''' '''''''''' '''''''''' ''''''</w:t>
      </w:r>
      <w:r w:rsidR="00267A78" w:rsidRPr="008C6270">
        <w:rPr>
          <w:rFonts w:asciiTheme="minorHAnsi" w:eastAsiaTheme="minorHAnsi" w:hAnsiTheme="minorHAnsi" w:cstheme="minorBidi"/>
          <w:snapToGrid/>
          <w:sz w:val="24"/>
          <w:szCs w:val="22"/>
        </w:rPr>
        <w:t>)</w:t>
      </w:r>
      <w:r w:rsidR="007521BA" w:rsidRPr="008C6270">
        <w:rPr>
          <w:rFonts w:asciiTheme="minorHAnsi" w:eastAsiaTheme="minorHAnsi" w:hAnsiTheme="minorHAnsi" w:cstheme="minorBidi"/>
          <w:snapToGrid/>
          <w:sz w:val="24"/>
          <w:szCs w:val="22"/>
        </w:rPr>
        <w:t xml:space="preserve">. The corresponding ICER/QALY </w:t>
      </w:r>
      <w:r w:rsidR="00FD58C5" w:rsidRPr="008C6270">
        <w:rPr>
          <w:rFonts w:asciiTheme="minorHAnsi" w:eastAsiaTheme="minorHAnsi" w:hAnsiTheme="minorHAnsi" w:cstheme="minorBidi"/>
          <w:snapToGrid/>
          <w:sz w:val="24"/>
          <w:szCs w:val="22"/>
        </w:rPr>
        <w:t xml:space="preserve">reduces to </w:t>
      </w:r>
      <w:r w:rsidR="005347E9">
        <w:rPr>
          <w:rFonts w:asciiTheme="minorHAnsi" w:eastAsiaTheme="minorHAnsi" w:hAnsiTheme="minorHAnsi" w:cstheme="minorBidi"/>
          <w:snapToGrid/>
          <w:sz w:val="24"/>
          <w:szCs w:val="22"/>
        </w:rPr>
        <w:t xml:space="preserve">$45,000 - $75,000 </w:t>
      </w:r>
      <w:r w:rsidR="00FD58C5" w:rsidRPr="008C6270">
        <w:rPr>
          <w:rFonts w:asciiTheme="minorHAnsi" w:eastAsiaTheme="minorHAnsi" w:hAnsiTheme="minorHAnsi" w:cstheme="minorBidi"/>
          <w:snapToGrid/>
          <w:sz w:val="24"/>
          <w:szCs w:val="22"/>
        </w:rPr>
        <w:t xml:space="preserve">from the minor resubmission’s base case of </w:t>
      </w:r>
      <w:r w:rsidR="005347E9" w:rsidRPr="005347E9">
        <w:rPr>
          <w:rFonts w:asciiTheme="minorHAnsi" w:eastAsiaTheme="minorHAnsi" w:hAnsiTheme="minorHAnsi" w:cstheme="minorBidi"/>
          <w:snapToGrid/>
          <w:sz w:val="24"/>
          <w:szCs w:val="22"/>
        </w:rPr>
        <w:t>$45,000 - $75,000</w:t>
      </w:r>
      <w:r w:rsidR="00ED225A" w:rsidRPr="008C6270">
        <w:rPr>
          <w:rFonts w:asciiTheme="minorHAnsi" w:eastAsiaTheme="minorHAnsi" w:hAnsiTheme="minorHAnsi" w:cstheme="minorBidi"/>
          <w:snapToGrid/>
          <w:sz w:val="24"/>
          <w:szCs w:val="22"/>
        </w:rPr>
        <w:t>.</w:t>
      </w:r>
    </w:p>
    <w:p w:rsidR="00360FED" w:rsidRDefault="00360FED" w:rsidP="009C4641">
      <w:pPr>
        <w:pStyle w:val="PBACHeading1"/>
        <w:numPr>
          <w:ilvl w:val="0"/>
          <w:numId w:val="0"/>
        </w:numPr>
        <w:outlineLvl w:val="9"/>
        <w:rPr>
          <w:rFonts w:ascii="Arial Narrow" w:hAnsi="Arial Narrow"/>
          <w:sz w:val="20"/>
          <w:szCs w:val="16"/>
        </w:rPr>
        <w:sectPr w:rsidR="00360FED" w:rsidSect="000E6B16">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cols w:space="708"/>
          <w:docGrid w:linePitch="360"/>
        </w:sectPr>
      </w:pPr>
    </w:p>
    <w:p w:rsidR="00C50E27" w:rsidRPr="00C50E27" w:rsidRDefault="00C50E27" w:rsidP="009C4641">
      <w:pPr>
        <w:pStyle w:val="PBACHeading1"/>
        <w:numPr>
          <w:ilvl w:val="0"/>
          <w:numId w:val="0"/>
        </w:numPr>
        <w:outlineLvl w:val="9"/>
        <w:rPr>
          <w:rFonts w:ascii="Arial Narrow" w:hAnsi="Arial Narrow"/>
          <w:sz w:val="20"/>
          <w:szCs w:val="20"/>
        </w:rPr>
      </w:pPr>
      <w:r w:rsidRPr="00D660D2">
        <w:rPr>
          <w:rFonts w:ascii="Arial Narrow" w:hAnsi="Arial Narrow"/>
          <w:sz w:val="20"/>
          <w:szCs w:val="16"/>
        </w:rPr>
        <w:t>Figure</w:t>
      </w:r>
      <w:r w:rsidR="00FD58C5">
        <w:rPr>
          <w:rFonts w:ascii="Arial Narrow" w:hAnsi="Arial Narrow"/>
          <w:sz w:val="20"/>
          <w:szCs w:val="16"/>
        </w:rPr>
        <w:t xml:space="preserve"> 3</w:t>
      </w:r>
      <w:r>
        <w:rPr>
          <w:rFonts w:ascii="Arial Narrow" w:hAnsi="Arial Narrow"/>
          <w:sz w:val="20"/>
          <w:szCs w:val="16"/>
        </w:rPr>
        <w:t xml:space="preserve">: </w:t>
      </w:r>
      <w:r w:rsidRPr="00C50E27">
        <w:rPr>
          <w:rFonts w:ascii="Arial Narrow" w:hAnsi="Arial Narrow"/>
          <w:sz w:val="20"/>
          <w:szCs w:val="20"/>
        </w:rPr>
        <w:t xml:space="preserve">Comparison of the </w:t>
      </w:r>
      <w:r>
        <w:rPr>
          <w:rFonts w:ascii="Arial Narrow" w:hAnsi="Arial Narrow"/>
          <w:sz w:val="20"/>
          <w:szCs w:val="20"/>
        </w:rPr>
        <w:t xml:space="preserve">time to treatment cessation (TOT) </w:t>
      </w:r>
      <w:r w:rsidRPr="00C50E27">
        <w:rPr>
          <w:rFonts w:ascii="Arial Narrow" w:hAnsi="Arial Narrow"/>
          <w:sz w:val="20"/>
          <w:szCs w:val="20"/>
        </w:rPr>
        <w:t>K</w:t>
      </w:r>
      <w:r>
        <w:rPr>
          <w:rFonts w:ascii="Arial Narrow" w:hAnsi="Arial Narrow"/>
          <w:sz w:val="20"/>
          <w:szCs w:val="20"/>
        </w:rPr>
        <w:t>aplan-</w:t>
      </w:r>
      <w:r w:rsidRPr="00C50E27">
        <w:rPr>
          <w:rFonts w:ascii="Arial Narrow" w:hAnsi="Arial Narrow"/>
          <w:sz w:val="20"/>
          <w:szCs w:val="20"/>
        </w:rPr>
        <w:t>M</w:t>
      </w:r>
      <w:r>
        <w:rPr>
          <w:rFonts w:ascii="Arial Narrow" w:hAnsi="Arial Narrow"/>
          <w:sz w:val="20"/>
          <w:szCs w:val="20"/>
        </w:rPr>
        <w:t>eier</w:t>
      </w:r>
      <w:r w:rsidRPr="00C50E27">
        <w:rPr>
          <w:rFonts w:ascii="Arial Narrow" w:hAnsi="Arial Narrow"/>
          <w:sz w:val="20"/>
          <w:szCs w:val="20"/>
        </w:rPr>
        <w:t xml:space="preserve"> curve and the </w:t>
      </w:r>
      <w:r>
        <w:rPr>
          <w:rFonts w:ascii="Arial Narrow" w:hAnsi="Arial Narrow"/>
          <w:sz w:val="20"/>
          <w:szCs w:val="20"/>
        </w:rPr>
        <w:t>progression free survival (</w:t>
      </w:r>
      <w:r w:rsidRPr="00C50E27">
        <w:rPr>
          <w:rFonts w:ascii="Arial Narrow" w:hAnsi="Arial Narrow"/>
          <w:sz w:val="20"/>
          <w:szCs w:val="20"/>
        </w:rPr>
        <w:t>PFS</w:t>
      </w:r>
      <w:r>
        <w:rPr>
          <w:rFonts w:ascii="Arial Narrow" w:hAnsi="Arial Narrow"/>
          <w:sz w:val="20"/>
          <w:szCs w:val="20"/>
        </w:rPr>
        <w:t>)</w:t>
      </w:r>
      <w:r w:rsidRPr="00C50E27">
        <w:rPr>
          <w:rFonts w:ascii="Arial Narrow" w:hAnsi="Arial Narrow"/>
          <w:sz w:val="20"/>
          <w:szCs w:val="20"/>
        </w:rPr>
        <w:t xml:space="preserve"> K</w:t>
      </w:r>
      <w:r>
        <w:rPr>
          <w:rFonts w:ascii="Arial Narrow" w:hAnsi="Arial Narrow"/>
          <w:sz w:val="20"/>
          <w:szCs w:val="20"/>
        </w:rPr>
        <w:t>aplan-</w:t>
      </w:r>
      <w:r w:rsidRPr="00C50E27">
        <w:rPr>
          <w:rFonts w:ascii="Arial Narrow" w:hAnsi="Arial Narrow"/>
          <w:sz w:val="20"/>
          <w:szCs w:val="20"/>
        </w:rPr>
        <w:t>M</w:t>
      </w:r>
      <w:r>
        <w:rPr>
          <w:rFonts w:ascii="Arial Narrow" w:hAnsi="Arial Narrow"/>
          <w:sz w:val="20"/>
          <w:szCs w:val="20"/>
        </w:rPr>
        <w:t>eier</w:t>
      </w:r>
      <w:r w:rsidRPr="00C50E27">
        <w:rPr>
          <w:rFonts w:ascii="Arial Narrow" w:hAnsi="Arial Narrow"/>
          <w:sz w:val="20"/>
          <w:szCs w:val="20"/>
        </w:rPr>
        <w:t xml:space="preserve"> curve</w:t>
      </w:r>
      <w:r>
        <w:rPr>
          <w:rFonts w:ascii="Arial Narrow" w:hAnsi="Arial Narrow"/>
          <w:sz w:val="20"/>
          <w:szCs w:val="20"/>
        </w:rPr>
        <w:t>s for pembrolizumab from KN-024</w:t>
      </w:r>
    </w:p>
    <w:p w:rsidR="00C50E27" w:rsidRDefault="00C50E27" w:rsidP="009C4641">
      <w:pPr>
        <w:pStyle w:val="PBACHeading1"/>
        <w:numPr>
          <w:ilvl w:val="0"/>
          <w:numId w:val="0"/>
        </w:numPr>
        <w:outlineLvl w:val="9"/>
      </w:pPr>
      <w:r>
        <w:rPr>
          <w:noProof/>
          <w:lang w:eastAsia="en-AU"/>
        </w:rPr>
        <w:drawing>
          <wp:inline distT="0" distB="0" distL="0" distR="0" wp14:anchorId="47DC5758" wp14:editId="6B0FB477">
            <wp:extent cx="5740400" cy="322418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2251" cy="3225222"/>
                    </a:xfrm>
                    <a:prstGeom prst="rect">
                      <a:avLst/>
                    </a:prstGeom>
                    <a:noFill/>
                  </pic:spPr>
                </pic:pic>
              </a:graphicData>
            </a:graphic>
          </wp:inline>
        </w:drawing>
      </w:r>
    </w:p>
    <w:p w:rsidR="0052471A" w:rsidRPr="008C6270" w:rsidRDefault="0052471A" w:rsidP="00267A78">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8C6270">
        <w:rPr>
          <w:rFonts w:asciiTheme="minorHAnsi" w:eastAsiaTheme="minorHAnsi" w:hAnsiTheme="minorHAnsi" w:cstheme="minorBidi"/>
          <w:snapToGrid/>
          <w:sz w:val="24"/>
          <w:szCs w:val="22"/>
        </w:rPr>
        <w:t>In comparison, the drug cost per patient per course for nivolumab for second-line NSCLC is $</w:t>
      </w:r>
      <w:r w:rsidR="00660757">
        <w:rPr>
          <w:rFonts w:asciiTheme="minorHAnsi" w:eastAsiaTheme="minorHAnsi" w:hAnsiTheme="minorHAnsi" w:cstheme="minorBidi"/>
          <w:noProof/>
          <w:snapToGrid/>
          <w:color w:val="000000"/>
          <w:sz w:val="24"/>
          <w:szCs w:val="22"/>
          <w:highlight w:val="black"/>
        </w:rPr>
        <w:t>'''''''''''''</w:t>
      </w:r>
      <w:r w:rsidRPr="008C6270">
        <w:rPr>
          <w:rFonts w:asciiTheme="minorHAnsi" w:eastAsiaTheme="minorHAnsi" w:hAnsiTheme="minorHAnsi" w:cstheme="minorBidi"/>
          <w:snapToGrid/>
          <w:sz w:val="24"/>
          <w:szCs w:val="22"/>
        </w:rPr>
        <w:t xml:space="preserve">. </w:t>
      </w:r>
      <w:r w:rsidR="00660757">
        <w:rPr>
          <w:rFonts w:asciiTheme="minorHAnsi" w:eastAsiaTheme="minorHAnsi" w:hAnsiTheme="minorHAnsi" w:cstheme="minorBidi"/>
          <w:noProof/>
          <w:snapToGrid/>
          <w:color w:val="000000"/>
          <w:sz w:val="24"/>
          <w:szCs w:val="22"/>
          <w:highlight w:val="black"/>
        </w:rPr>
        <w:t>''''''' ''''''''''' '''''''''''''''' '''' ''''''''''''''''''' ''''''''''''''''' ''''''' '''''''''''''' ''' '''''''''''''' '''' ''''' '''''''''''''''''''''''''''''' '''''''''''' '''''''' ''''''''''''' ''''''''''''''''' '''''' '''''''''''''''''''''''' '''''''' ''''''' '''''''''''''''' '''''' ''''''''''''''''''''' '''''' '''''' ''''''''''''''''''' '''' '''''' ''''''''</w:t>
      </w:r>
      <w:r w:rsidRPr="008C6270">
        <w:rPr>
          <w:rFonts w:asciiTheme="minorHAnsi" w:eastAsiaTheme="minorHAnsi" w:hAnsiTheme="minorHAnsi" w:cstheme="minorBidi"/>
          <w:snapToGrid/>
          <w:sz w:val="24"/>
          <w:szCs w:val="22"/>
        </w:rPr>
        <w:t>.</w:t>
      </w:r>
    </w:p>
    <w:p w:rsidR="00B14AD5" w:rsidRPr="00B14AD5" w:rsidRDefault="00F30D03" w:rsidP="00D062A5">
      <w:pPr>
        <w:pStyle w:val="ListParagraph"/>
        <w:widowControl/>
        <w:numPr>
          <w:ilvl w:val="1"/>
          <w:numId w:val="5"/>
        </w:numPr>
        <w:spacing w:after="120"/>
        <w:contextualSpacing w:val="0"/>
        <w:rPr>
          <w:rFonts w:asciiTheme="minorHAnsi" w:hAnsiTheme="minorHAnsi"/>
          <w:sz w:val="24"/>
          <w:szCs w:val="24"/>
        </w:rPr>
      </w:pPr>
      <w:r w:rsidRPr="008C6270">
        <w:rPr>
          <w:rFonts w:asciiTheme="minorHAnsi" w:eastAsiaTheme="minorHAnsi" w:hAnsiTheme="minorHAnsi" w:cstheme="minorBidi"/>
          <w:snapToGrid/>
          <w:sz w:val="24"/>
          <w:szCs w:val="22"/>
        </w:rPr>
        <w:t xml:space="preserve">At </w:t>
      </w:r>
      <w:r w:rsidR="007665EB">
        <w:rPr>
          <w:rFonts w:asciiTheme="minorHAnsi" w:eastAsiaTheme="minorHAnsi" w:hAnsiTheme="minorHAnsi" w:cstheme="minorBidi"/>
          <w:snapToGrid/>
          <w:sz w:val="24"/>
          <w:szCs w:val="22"/>
        </w:rPr>
        <w:t>its</w:t>
      </w:r>
      <w:r w:rsidRPr="008C6270">
        <w:rPr>
          <w:rFonts w:asciiTheme="minorHAnsi" w:hAnsiTheme="minorHAnsi"/>
          <w:sz w:val="24"/>
          <w:szCs w:val="24"/>
        </w:rPr>
        <w:t xml:space="preserve"> November 2017 meeting, the PBAC noted that increasing the average per patient cost of pembrolizumab by movin</w:t>
      </w:r>
      <w:r w:rsidR="00C3191E" w:rsidRPr="008C6270">
        <w:rPr>
          <w:rFonts w:asciiTheme="minorHAnsi" w:hAnsiTheme="minorHAnsi"/>
          <w:sz w:val="24"/>
          <w:szCs w:val="24"/>
        </w:rPr>
        <w:t>g the recommended dose from a 2 mg/kg basis to a fixed 200 </w:t>
      </w:r>
      <w:r w:rsidRPr="008C6270">
        <w:rPr>
          <w:rFonts w:asciiTheme="minorHAnsi" w:hAnsiTheme="minorHAnsi"/>
          <w:sz w:val="24"/>
          <w:szCs w:val="24"/>
        </w:rPr>
        <w:t>mg basis is likely associated with a</w:t>
      </w:r>
      <w:r w:rsidR="00840FB8">
        <w:rPr>
          <w:rFonts w:asciiTheme="minorHAnsi" w:hAnsiTheme="minorHAnsi"/>
          <w:sz w:val="24"/>
          <w:szCs w:val="24"/>
        </w:rPr>
        <w:t xml:space="preserve"> </w:t>
      </w:r>
      <w:r w:rsidRPr="008C6270">
        <w:rPr>
          <w:rFonts w:asciiTheme="minorHAnsi" w:hAnsiTheme="minorHAnsi"/>
          <w:sz w:val="24"/>
          <w:szCs w:val="24"/>
        </w:rPr>
        <w:t xml:space="preserve">25% wastage of pembrolizumab because corroborating evidence indicates that </w:t>
      </w:r>
      <w:r w:rsidR="009E61A6">
        <w:rPr>
          <w:rFonts w:asciiTheme="minorHAnsi" w:hAnsiTheme="minorHAnsi"/>
          <w:sz w:val="24"/>
          <w:szCs w:val="24"/>
        </w:rPr>
        <w:t>fixed dosing does not</w:t>
      </w:r>
      <w:r w:rsidRPr="008C6270">
        <w:rPr>
          <w:rFonts w:asciiTheme="minorHAnsi" w:hAnsiTheme="minorHAnsi"/>
          <w:sz w:val="24"/>
          <w:szCs w:val="24"/>
        </w:rPr>
        <w:t xml:space="preserve"> improve</w:t>
      </w:r>
      <w:r w:rsidR="009E61A6">
        <w:rPr>
          <w:rFonts w:asciiTheme="minorHAnsi" w:hAnsiTheme="minorHAnsi"/>
          <w:sz w:val="24"/>
          <w:szCs w:val="24"/>
        </w:rPr>
        <w:t xml:space="preserve"> </w:t>
      </w:r>
      <w:r w:rsidRPr="008C6270">
        <w:rPr>
          <w:rFonts w:asciiTheme="minorHAnsi" w:hAnsiTheme="minorHAnsi"/>
          <w:sz w:val="24"/>
          <w:szCs w:val="24"/>
        </w:rPr>
        <w:t xml:space="preserve">patient health outcomes. The PBAC </w:t>
      </w:r>
      <w:r w:rsidR="009E61A6">
        <w:rPr>
          <w:rFonts w:asciiTheme="minorHAnsi" w:hAnsiTheme="minorHAnsi"/>
          <w:sz w:val="24"/>
          <w:szCs w:val="24"/>
        </w:rPr>
        <w:t xml:space="preserve">recalled </w:t>
      </w:r>
      <w:r w:rsidRPr="008C6270">
        <w:rPr>
          <w:rFonts w:asciiTheme="minorHAnsi" w:hAnsiTheme="minorHAnsi"/>
          <w:sz w:val="24"/>
          <w:szCs w:val="24"/>
        </w:rPr>
        <w:t xml:space="preserve">that this </w:t>
      </w:r>
      <w:r w:rsidR="009E61A6">
        <w:rPr>
          <w:rFonts w:asciiTheme="minorHAnsi" w:hAnsiTheme="minorHAnsi"/>
          <w:sz w:val="24"/>
          <w:szCs w:val="24"/>
        </w:rPr>
        <w:t xml:space="preserve">had contributed to </w:t>
      </w:r>
      <w:r w:rsidRPr="008C6270">
        <w:rPr>
          <w:rFonts w:asciiTheme="minorHAnsi" w:hAnsiTheme="minorHAnsi"/>
          <w:sz w:val="24"/>
          <w:szCs w:val="24"/>
        </w:rPr>
        <w:t xml:space="preserve">its expectation of a price reduction, given that the TGA has </w:t>
      </w:r>
      <w:r w:rsidR="009E61A6">
        <w:rPr>
          <w:rFonts w:asciiTheme="minorHAnsi" w:hAnsiTheme="minorHAnsi"/>
          <w:sz w:val="24"/>
          <w:szCs w:val="24"/>
        </w:rPr>
        <w:t>accepted the sponsor’s submission of fixed</w:t>
      </w:r>
      <w:r w:rsidRPr="008C6270">
        <w:rPr>
          <w:rFonts w:asciiTheme="minorHAnsi" w:hAnsiTheme="minorHAnsi"/>
          <w:sz w:val="24"/>
          <w:szCs w:val="24"/>
        </w:rPr>
        <w:t xml:space="preserve"> dosing </w:t>
      </w:r>
      <w:r w:rsidR="009E61A6">
        <w:rPr>
          <w:rFonts w:asciiTheme="minorHAnsi" w:hAnsiTheme="minorHAnsi"/>
          <w:sz w:val="24"/>
          <w:szCs w:val="24"/>
        </w:rPr>
        <w:t>i</w:t>
      </w:r>
      <w:r w:rsidRPr="008C6270">
        <w:rPr>
          <w:rFonts w:asciiTheme="minorHAnsi" w:hAnsiTheme="minorHAnsi"/>
          <w:sz w:val="24"/>
          <w:szCs w:val="24"/>
        </w:rPr>
        <w:t xml:space="preserve">n </w:t>
      </w:r>
      <w:r w:rsidR="009E61A6">
        <w:rPr>
          <w:rFonts w:asciiTheme="minorHAnsi" w:hAnsiTheme="minorHAnsi"/>
          <w:sz w:val="24"/>
          <w:szCs w:val="24"/>
        </w:rPr>
        <w:t>the product information</w:t>
      </w:r>
      <w:r w:rsidRPr="008C6270">
        <w:rPr>
          <w:rFonts w:asciiTheme="minorHAnsi" w:hAnsiTheme="minorHAnsi"/>
          <w:sz w:val="24"/>
          <w:szCs w:val="24"/>
        </w:rPr>
        <w:t xml:space="preserve"> (paragraph 7.15, pembrolizumab November 2017 PBAC</w:t>
      </w:r>
      <w:r w:rsidR="00E45710">
        <w:rPr>
          <w:rFonts w:asciiTheme="minorHAnsi" w:hAnsiTheme="minorHAnsi"/>
          <w:sz w:val="24"/>
          <w:szCs w:val="24"/>
        </w:rPr>
        <w:t xml:space="preserve"> PSD</w:t>
      </w:r>
      <w:r w:rsidRPr="008C6270">
        <w:rPr>
          <w:rFonts w:asciiTheme="minorHAnsi" w:hAnsiTheme="minorHAnsi"/>
          <w:sz w:val="24"/>
          <w:szCs w:val="24"/>
        </w:rPr>
        <w:t xml:space="preserve">). </w:t>
      </w:r>
      <w:r w:rsidR="00AD1BB2" w:rsidRPr="008C6270">
        <w:rPr>
          <w:rFonts w:asciiTheme="minorHAnsi" w:hAnsiTheme="minorHAnsi"/>
          <w:sz w:val="24"/>
          <w:szCs w:val="24"/>
        </w:rPr>
        <w:t>At the same meeting in consideration of the major submission for pembrolizumab for urothelial cancer, the PBAC considered that the request for fixed dosing “</w:t>
      </w:r>
      <w:r w:rsidR="00AD1BB2" w:rsidRPr="008C6270">
        <w:rPr>
          <w:rFonts w:asciiTheme="minorHAnsi" w:hAnsiTheme="minorHAnsi"/>
          <w:bCs/>
          <w:sz w:val="24"/>
          <w:szCs w:val="24"/>
          <w:lang w:val="en-GB"/>
        </w:rPr>
        <w:t>results in a considerable proportion of patients with urothelial cancer being given a greater dose, at a greater cost, with no evidence of additional benefit. The PBAC therefore considered that it may be reasonable for the price paid for pembrolizumab in urothelial cancer to reflect the cost if weight-based 2 mg/kg dosing was used rather than fixed 200 mg dosing” (paragraph 7.12, pembrolizumab [Item 6.1</w:t>
      </w:r>
      <w:r w:rsidR="007665EB">
        <w:rPr>
          <w:rFonts w:asciiTheme="minorHAnsi" w:hAnsiTheme="minorHAnsi"/>
          <w:bCs/>
          <w:sz w:val="24"/>
          <w:szCs w:val="24"/>
          <w:lang w:val="en-GB"/>
        </w:rPr>
        <w:t>1] November 2017 PBAC</w:t>
      </w:r>
      <w:r w:rsidR="00D631AF">
        <w:rPr>
          <w:rFonts w:asciiTheme="minorHAnsi" w:hAnsiTheme="minorHAnsi"/>
          <w:bCs/>
          <w:sz w:val="24"/>
          <w:szCs w:val="24"/>
          <w:lang w:val="en-GB"/>
        </w:rPr>
        <w:t xml:space="preserve"> </w:t>
      </w:r>
      <w:r w:rsidR="006D54BB">
        <w:rPr>
          <w:rFonts w:asciiTheme="minorHAnsi" w:hAnsiTheme="minorHAnsi"/>
          <w:bCs/>
          <w:sz w:val="24"/>
          <w:szCs w:val="24"/>
          <w:lang w:val="en-GB"/>
        </w:rPr>
        <w:t>PSD</w:t>
      </w:r>
      <w:r w:rsidR="007665EB">
        <w:rPr>
          <w:rFonts w:asciiTheme="minorHAnsi" w:hAnsiTheme="minorHAnsi"/>
          <w:bCs/>
          <w:sz w:val="24"/>
          <w:szCs w:val="24"/>
          <w:lang w:val="en-GB"/>
        </w:rPr>
        <w:t>).</w:t>
      </w:r>
    </w:p>
    <w:p w:rsidR="00BF6CDA" w:rsidRDefault="00BF6CDA" w:rsidP="00D062A5">
      <w:pPr>
        <w:pStyle w:val="ListParagraph"/>
        <w:widowControl/>
        <w:numPr>
          <w:ilvl w:val="1"/>
          <w:numId w:val="5"/>
        </w:numPr>
        <w:spacing w:after="120"/>
        <w:contextualSpacing w:val="0"/>
        <w:rPr>
          <w:rFonts w:asciiTheme="minorHAnsi" w:hAnsiTheme="minorHAnsi"/>
          <w:sz w:val="24"/>
          <w:szCs w:val="24"/>
        </w:rPr>
      </w:pPr>
      <w:r w:rsidRPr="008C6270">
        <w:rPr>
          <w:rFonts w:asciiTheme="minorHAnsi" w:hAnsiTheme="minorHAnsi"/>
          <w:sz w:val="24"/>
          <w:szCs w:val="24"/>
        </w:rPr>
        <w:t>In a separate minor submission to the March 2018 PBAC meeting, the sponsor has requested changing the PBS listing of pembrolizumab for melanoma</w:t>
      </w:r>
      <w:r w:rsidR="00D062A5" w:rsidRPr="008C6270">
        <w:rPr>
          <w:rFonts w:asciiTheme="minorHAnsi" w:hAnsiTheme="minorHAnsi"/>
          <w:sz w:val="24"/>
          <w:szCs w:val="24"/>
        </w:rPr>
        <w:t xml:space="preserve"> from a dose of </w:t>
      </w:r>
      <w:r w:rsidR="00D062A5" w:rsidRPr="006D54BB">
        <w:rPr>
          <w:rFonts w:asciiTheme="minorHAnsi" w:hAnsiTheme="minorHAnsi"/>
          <w:sz w:val="24"/>
          <w:szCs w:val="24"/>
        </w:rPr>
        <w:t>2 mg/kg</w:t>
      </w:r>
      <w:r w:rsidRPr="006D54BB">
        <w:rPr>
          <w:rFonts w:asciiTheme="minorHAnsi" w:hAnsiTheme="minorHAnsi"/>
          <w:sz w:val="24"/>
          <w:szCs w:val="24"/>
        </w:rPr>
        <w:t xml:space="preserve"> to</w:t>
      </w:r>
      <w:r w:rsidRPr="008C6270">
        <w:rPr>
          <w:rFonts w:asciiTheme="minorHAnsi" w:hAnsiTheme="minorHAnsi"/>
          <w:sz w:val="24"/>
          <w:szCs w:val="24"/>
        </w:rPr>
        <w:t xml:space="preserve"> a fixed dose of 200</w:t>
      </w:r>
      <w:r w:rsidR="00C3191E" w:rsidRPr="008C6270">
        <w:rPr>
          <w:rFonts w:asciiTheme="minorHAnsi" w:hAnsiTheme="minorHAnsi"/>
          <w:sz w:val="24"/>
          <w:szCs w:val="24"/>
        </w:rPr>
        <w:t> </w:t>
      </w:r>
      <w:r w:rsidRPr="008C6270">
        <w:rPr>
          <w:rFonts w:asciiTheme="minorHAnsi" w:hAnsiTheme="minorHAnsi"/>
          <w:sz w:val="24"/>
          <w:szCs w:val="24"/>
        </w:rPr>
        <w:t xml:space="preserve">mg per dose. </w:t>
      </w:r>
      <w:r w:rsidR="00D062A5" w:rsidRPr="008C6270">
        <w:rPr>
          <w:rFonts w:asciiTheme="minorHAnsi" w:hAnsiTheme="minorHAnsi"/>
          <w:sz w:val="24"/>
          <w:szCs w:val="24"/>
        </w:rPr>
        <w:t xml:space="preserve">This request </w:t>
      </w:r>
      <w:r w:rsidR="00F07A41" w:rsidRPr="008C6270">
        <w:rPr>
          <w:rFonts w:asciiTheme="minorHAnsi" w:hAnsiTheme="minorHAnsi"/>
          <w:sz w:val="24"/>
          <w:szCs w:val="24"/>
        </w:rPr>
        <w:t xml:space="preserve">raised </w:t>
      </w:r>
      <w:r w:rsidR="00D062A5" w:rsidRPr="008C6270">
        <w:rPr>
          <w:rFonts w:asciiTheme="minorHAnsi" w:hAnsiTheme="minorHAnsi"/>
          <w:sz w:val="24"/>
          <w:szCs w:val="24"/>
        </w:rPr>
        <w:t xml:space="preserve">the same issue of wastage </w:t>
      </w:r>
      <w:r w:rsidR="00F07A41" w:rsidRPr="008C6270">
        <w:rPr>
          <w:rFonts w:asciiTheme="minorHAnsi" w:hAnsiTheme="minorHAnsi"/>
          <w:sz w:val="24"/>
          <w:szCs w:val="24"/>
        </w:rPr>
        <w:t xml:space="preserve">about </w:t>
      </w:r>
      <w:r w:rsidR="00D062A5" w:rsidRPr="008C6270">
        <w:rPr>
          <w:rFonts w:asciiTheme="minorHAnsi" w:hAnsiTheme="minorHAnsi"/>
          <w:sz w:val="24"/>
          <w:szCs w:val="24"/>
        </w:rPr>
        <w:t xml:space="preserve">which the PBAC had concerns for pembrolizumab for NSCLC. </w:t>
      </w:r>
      <w:r w:rsidR="00C3191E" w:rsidRPr="008C6270">
        <w:rPr>
          <w:rFonts w:asciiTheme="minorHAnsi" w:hAnsiTheme="minorHAnsi"/>
          <w:sz w:val="24"/>
          <w:szCs w:val="24"/>
        </w:rPr>
        <w:t xml:space="preserve">This </w:t>
      </w:r>
      <w:r w:rsidR="00F07A41" w:rsidRPr="008C6270">
        <w:rPr>
          <w:rFonts w:asciiTheme="minorHAnsi" w:hAnsiTheme="minorHAnsi"/>
          <w:sz w:val="24"/>
          <w:szCs w:val="24"/>
        </w:rPr>
        <w:t xml:space="preserve">separate </w:t>
      </w:r>
      <w:r w:rsidR="00C3191E" w:rsidRPr="008C6270">
        <w:rPr>
          <w:rFonts w:asciiTheme="minorHAnsi" w:hAnsiTheme="minorHAnsi"/>
          <w:sz w:val="24"/>
          <w:szCs w:val="24"/>
        </w:rPr>
        <w:t>minor submission concede</w:t>
      </w:r>
      <w:r w:rsidR="00F07A41" w:rsidRPr="008C6270">
        <w:rPr>
          <w:rFonts w:asciiTheme="minorHAnsi" w:hAnsiTheme="minorHAnsi"/>
          <w:sz w:val="24"/>
          <w:szCs w:val="24"/>
        </w:rPr>
        <w:t>d</w:t>
      </w:r>
      <w:r w:rsidR="00C3191E" w:rsidRPr="008C6270">
        <w:rPr>
          <w:rFonts w:asciiTheme="minorHAnsi" w:hAnsiTheme="minorHAnsi"/>
          <w:sz w:val="24"/>
          <w:szCs w:val="24"/>
        </w:rPr>
        <w:t xml:space="preserve"> that the available evidence indicates that there is no difference in pembrolizumab efficacy across the dose range of 2 mg/kg </w:t>
      </w:r>
      <w:r w:rsidR="00F07A41" w:rsidRPr="008C6270">
        <w:rPr>
          <w:rFonts w:asciiTheme="minorHAnsi" w:hAnsiTheme="minorHAnsi"/>
          <w:sz w:val="24"/>
          <w:szCs w:val="24"/>
        </w:rPr>
        <w:t>to</w:t>
      </w:r>
      <w:r w:rsidR="00C3191E" w:rsidRPr="008C6270">
        <w:rPr>
          <w:rFonts w:asciiTheme="minorHAnsi" w:hAnsiTheme="minorHAnsi"/>
          <w:sz w:val="24"/>
          <w:szCs w:val="24"/>
        </w:rPr>
        <w:t xml:space="preserve"> 10 mg/kg.</w:t>
      </w:r>
    </w:p>
    <w:p w:rsidR="00B14AD5" w:rsidRPr="00A97CEC" w:rsidRDefault="00B14AD5" w:rsidP="00A97CEC">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The pre-PBAC response argued that the TGA approved dose is 200 mg an</w:t>
      </w:r>
      <w:r w:rsidR="00C339C6">
        <w:rPr>
          <w:rFonts w:asciiTheme="minorHAnsi" w:hAnsiTheme="minorHAnsi"/>
          <w:sz w:val="24"/>
          <w:szCs w:val="24"/>
        </w:rPr>
        <w:t>d that no studies have been completed</w:t>
      </w:r>
      <w:r>
        <w:rPr>
          <w:rFonts w:asciiTheme="minorHAnsi" w:hAnsiTheme="minorHAnsi"/>
          <w:sz w:val="24"/>
          <w:szCs w:val="24"/>
        </w:rPr>
        <w:t xml:space="preserve"> using weight-based dosing. </w:t>
      </w:r>
      <w:r w:rsidR="00302C16">
        <w:rPr>
          <w:rFonts w:asciiTheme="minorHAnsi" w:hAnsiTheme="minorHAnsi"/>
          <w:sz w:val="24"/>
          <w:szCs w:val="24"/>
        </w:rPr>
        <w:t xml:space="preserve">The PBAC noted however, that </w:t>
      </w:r>
      <w:r w:rsidR="00984960">
        <w:rPr>
          <w:rFonts w:asciiTheme="minorHAnsi" w:hAnsiTheme="minorHAnsi"/>
          <w:sz w:val="24"/>
          <w:szCs w:val="24"/>
        </w:rPr>
        <w:t>the</w:t>
      </w:r>
      <w:r w:rsidR="00302C16">
        <w:rPr>
          <w:rFonts w:asciiTheme="minorHAnsi" w:hAnsiTheme="minorHAnsi"/>
          <w:sz w:val="24"/>
          <w:szCs w:val="24"/>
        </w:rPr>
        <w:t xml:space="preserve"> separate minor submission for pembrolizumab for melanoma claimed that “there is an essentially flat relationship between pembrolizumab exposure and efficacy or safety within the dose range of 2 to 10 mg/kg”. The PBAC considered that there </w:t>
      </w:r>
      <w:r w:rsidR="00C339C6">
        <w:rPr>
          <w:rFonts w:asciiTheme="minorHAnsi" w:hAnsiTheme="minorHAnsi"/>
          <w:sz w:val="24"/>
          <w:szCs w:val="24"/>
        </w:rPr>
        <w:t>is no evidence to suggest</w:t>
      </w:r>
      <w:r w:rsidR="00302C16">
        <w:rPr>
          <w:rFonts w:asciiTheme="minorHAnsi" w:hAnsiTheme="minorHAnsi"/>
          <w:sz w:val="24"/>
          <w:szCs w:val="24"/>
        </w:rPr>
        <w:t xml:space="preserve"> that th</w:t>
      </w:r>
      <w:r w:rsidR="007665EB">
        <w:rPr>
          <w:rFonts w:asciiTheme="minorHAnsi" w:hAnsiTheme="minorHAnsi"/>
          <w:sz w:val="24"/>
          <w:szCs w:val="24"/>
        </w:rPr>
        <w:t>ese</w:t>
      </w:r>
      <w:r w:rsidR="00302C16">
        <w:rPr>
          <w:rFonts w:asciiTheme="minorHAnsi" w:hAnsiTheme="minorHAnsi"/>
          <w:sz w:val="24"/>
          <w:szCs w:val="24"/>
        </w:rPr>
        <w:t xml:space="preserve"> dose-</w:t>
      </w:r>
      <w:r w:rsidR="007665EB">
        <w:rPr>
          <w:rFonts w:asciiTheme="minorHAnsi" w:hAnsiTheme="minorHAnsi"/>
          <w:sz w:val="24"/>
          <w:szCs w:val="24"/>
        </w:rPr>
        <w:t>response</w:t>
      </w:r>
      <w:r w:rsidR="00302C16">
        <w:rPr>
          <w:rFonts w:asciiTheme="minorHAnsi" w:hAnsiTheme="minorHAnsi"/>
          <w:sz w:val="24"/>
          <w:szCs w:val="24"/>
        </w:rPr>
        <w:t xml:space="preserve"> relationship</w:t>
      </w:r>
      <w:r w:rsidR="007665EB">
        <w:rPr>
          <w:rFonts w:asciiTheme="minorHAnsi" w:hAnsiTheme="minorHAnsi"/>
          <w:sz w:val="24"/>
          <w:szCs w:val="24"/>
        </w:rPr>
        <w:t>s</w:t>
      </w:r>
      <w:r w:rsidR="00302C16">
        <w:rPr>
          <w:rFonts w:asciiTheme="minorHAnsi" w:hAnsiTheme="minorHAnsi"/>
          <w:sz w:val="24"/>
          <w:szCs w:val="24"/>
        </w:rPr>
        <w:t xml:space="preserve"> for pembrolizumab </w:t>
      </w:r>
      <w:r w:rsidR="007665EB">
        <w:rPr>
          <w:rFonts w:asciiTheme="minorHAnsi" w:hAnsiTheme="minorHAnsi"/>
          <w:sz w:val="24"/>
          <w:szCs w:val="24"/>
        </w:rPr>
        <w:t>are</w:t>
      </w:r>
      <w:r w:rsidR="00302C16">
        <w:rPr>
          <w:rFonts w:asciiTheme="minorHAnsi" w:hAnsiTheme="minorHAnsi"/>
          <w:sz w:val="24"/>
          <w:szCs w:val="24"/>
        </w:rPr>
        <w:t xml:space="preserve"> specific to melanoma. Furthermore, the PBAC recalled its consideration of the pembrolizumab submission for second-line NSCLC at its November 2016 meeting</w:t>
      </w:r>
      <w:r w:rsidR="00C339C6">
        <w:rPr>
          <w:rFonts w:asciiTheme="minorHAnsi" w:hAnsiTheme="minorHAnsi"/>
          <w:sz w:val="24"/>
          <w:szCs w:val="24"/>
        </w:rPr>
        <w:t>, which requested a weight-based dosing regimen at 2 mg/kg</w:t>
      </w:r>
      <w:r w:rsidR="002F5F97">
        <w:rPr>
          <w:rFonts w:asciiTheme="minorHAnsi" w:hAnsiTheme="minorHAnsi"/>
          <w:sz w:val="24"/>
          <w:szCs w:val="24"/>
        </w:rPr>
        <w:t xml:space="preserve"> (pembrolizumab </w:t>
      </w:r>
      <w:r w:rsidR="006D54BB">
        <w:rPr>
          <w:rFonts w:asciiTheme="minorHAnsi" w:hAnsiTheme="minorHAnsi"/>
          <w:sz w:val="24"/>
          <w:szCs w:val="24"/>
        </w:rPr>
        <w:t>[Item 6.05]</w:t>
      </w:r>
      <w:r w:rsidR="002F5F97">
        <w:rPr>
          <w:rFonts w:asciiTheme="minorHAnsi" w:hAnsiTheme="minorHAnsi"/>
          <w:sz w:val="24"/>
          <w:szCs w:val="24"/>
        </w:rPr>
        <w:t xml:space="preserve"> November 2016</w:t>
      </w:r>
      <w:r w:rsidR="006D54BB">
        <w:rPr>
          <w:rFonts w:asciiTheme="minorHAnsi" w:hAnsiTheme="minorHAnsi"/>
          <w:sz w:val="24"/>
          <w:szCs w:val="24"/>
        </w:rPr>
        <w:t xml:space="preserve"> PBAC PSD</w:t>
      </w:r>
      <w:r w:rsidR="002F5F97">
        <w:rPr>
          <w:rFonts w:asciiTheme="minorHAnsi" w:hAnsiTheme="minorHAnsi"/>
          <w:sz w:val="24"/>
          <w:szCs w:val="24"/>
        </w:rPr>
        <w:t>)</w:t>
      </w:r>
      <w:r w:rsidR="00C339C6">
        <w:rPr>
          <w:rFonts w:asciiTheme="minorHAnsi" w:hAnsiTheme="minorHAnsi"/>
          <w:sz w:val="24"/>
          <w:szCs w:val="24"/>
        </w:rPr>
        <w:t xml:space="preserve">. The PBAC noted that the sponsor moved to a fixed 200 mg dosing regimen for later pembrolizumab trials across multiple indications, which included first-line NSCLC. However the PBAC noted that no clinical rationale </w:t>
      </w:r>
      <w:r w:rsidR="007665EB">
        <w:rPr>
          <w:rFonts w:asciiTheme="minorHAnsi" w:hAnsiTheme="minorHAnsi"/>
          <w:sz w:val="24"/>
          <w:szCs w:val="24"/>
        </w:rPr>
        <w:t xml:space="preserve">was provided </w:t>
      </w:r>
      <w:r w:rsidR="00C339C6">
        <w:rPr>
          <w:rFonts w:asciiTheme="minorHAnsi" w:hAnsiTheme="minorHAnsi"/>
          <w:sz w:val="24"/>
          <w:szCs w:val="24"/>
        </w:rPr>
        <w:t xml:space="preserve">for this </w:t>
      </w:r>
      <w:r w:rsidR="009E61A6">
        <w:rPr>
          <w:rFonts w:asciiTheme="minorHAnsi" w:hAnsiTheme="minorHAnsi"/>
          <w:sz w:val="24"/>
          <w:szCs w:val="24"/>
        </w:rPr>
        <w:t>change in dosing regimen</w:t>
      </w:r>
      <w:r w:rsidR="007665EB">
        <w:rPr>
          <w:rFonts w:asciiTheme="minorHAnsi" w:hAnsiTheme="minorHAnsi"/>
          <w:sz w:val="24"/>
          <w:szCs w:val="24"/>
        </w:rPr>
        <w:t xml:space="preserve"> </w:t>
      </w:r>
      <w:r w:rsidR="00C339C6">
        <w:rPr>
          <w:rFonts w:asciiTheme="minorHAnsi" w:hAnsiTheme="minorHAnsi"/>
          <w:sz w:val="24"/>
          <w:szCs w:val="24"/>
        </w:rPr>
        <w:t>and therefore considered th</w:t>
      </w:r>
      <w:r w:rsidR="00A97CEC">
        <w:rPr>
          <w:rFonts w:asciiTheme="minorHAnsi" w:hAnsiTheme="minorHAnsi"/>
          <w:sz w:val="24"/>
          <w:szCs w:val="24"/>
        </w:rPr>
        <w:t>at the</w:t>
      </w:r>
      <w:r w:rsidR="00C339C6">
        <w:rPr>
          <w:rFonts w:asciiTheme="minorHAnsi" w:hAnsiTheme="minorHAnsi"/>
          <w:sz w:val="24"/>
          <w:szCs w:val="24"/>
        </w:rPr>
        <w:t xml:space="preserve"> issues of wastage for pembrolizumab in first-line NSCLC</w:t>
      </w:r>
      <w:r w:rsidR="00A97CEC">
        <w:rPr>
          <w:rFonts w:asciiTheme="minorHAnsi" w:hAnsiTheme="minorHAnsi"/>
          <w:sz w:val="24"/>
          <w:szCs w:val="24"/>
        </w:rPr>
        <w:t xml:space="preserve"> remain</w:t>
      </w:r>
      <w:r w:rsidR="007665EB">
        <w:rPr>
          <w:rFonts w:asciiTheme="minorHAnsi" w:hAnsiTheme="minorHAnsi"/>
          <w:sz w:val="24"/>
          <w:szCs w:val="24"/>
        </w:rPr>
        <w:t>ed</w:t>
      </w:r>
      <w:r w:rsidR="00A97CEC">
        <w:rPr>
          <w:rFonts w:asciiTheme="minorHAnsi" w:hAnsiTheme="minorHAnsi"/>
          <w:sz w:val="24"/>
          <w:szCs w:val="24"/>
        </w:rPr>
        <w:t xml:space="preserve"> relevant</w:t>
      </w:r>
      <w:r w:rsidR="007665EB">
        <w:rPr>
          <w:rFonts w:asciiTheme="minorHAnsi" w:hAnsiTheme="minorHAnsi"/>
          <w:sz w:val="24"/>
          <w:szCs w:val="24"/>
        </w:rPr>
        <w:t>.</w:t>
      </w:r>
    </w:p>
    <w:p w:rsidR="005A3173"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222B3F" w:rsidRPr="00645788" w:rsidRDefault="00222B3F" w:rsidP="00645788">
      <w:pPr>
        <w:pStyle w:val="ListParagraph"/>
        <w:widowControl/>
        <w:numPr>
          <w:ilvl w:val="1"/>
          <w:numId w:val="5"/>
        </w:numPr>
        <w:spacing w:after="120"/>
        <w:contextualSpacing w:val="0"/>
        <w:rPr>
          <w:rFonts w:asciiTheme="minorHAnsi" w:hAnsiTheme="minorHAnsi"/>
          <w:sz w:val="24"/>
          <w:szCs w:val="24"/>
        </w:rPr>
      </w:pPr>
      <w:r w:rsidRPr="00645788">
        <w:rPr>
          <w:rFonts w:asciiTheme="minorHAnsi" w:hAnsiTheme="minorHAnsi"/>
          <w:sz w:val="24"/>
          <w:szCs w:val="24"/>
        </w:rPr>
        <w:t xml:space="preserve">At </w:t>
      </w:r>
      <w:r w:rsidR="007665EB">
        <w:rPr>
          <w:rFonts w:asciiTheme="minorHAnsi" w:hAnsiTheme="minorHAnsi"/>
          <w:sz w:val="24"/>
          <w:szCs w:val="24"/>
        </w:rPr>
        <w:t>its</w:t>
      </w:r>
      <w:r w:rsidRPr="00645788">
        <w:rPr>
          <w:rFonts w:asciiTheme="minorHAnsi" w:hAnsiTheme="minorHAnsi"/>
          <w:sz w:val="24"/>
          <w:szCs w:val="24"/>
        </w:rPr>
        <w:t xml:space="preserve"> November 2017 meeting, the PBAC considered that the submission’s estimates of substantial cost offsets from second-line nivolumab resulting from a PBS listing of first-line pembrolizumab in NSCLC would affect the risk sharing arrangements (RSA) in the Deed of Agreement for nivolumab in NSCLC. The PBAC considered that, if pembrolizumab was made available on the PBS, there would only be a minor increase in the overall number of patients treated for metastatic Stage IV NSCLC either in the first- or second-line setting, above what was accepted for the nivolumab caps at the time of the negotiations with the sponsor of nivolumab. However, as requested, the PBS listing of pembrolizumab would reduce the PBS expenditure on nivolumab, thus reducing the effect of its risk sharing arrangements, without necessarily providing similar risk sharing arrangements across both immunotherapies (paragraph 7.16, pembrolizumab November 2017 </w:t>
      </w:r>
      <w:r w:rsidR="006D54BB">
        <w:rPr>
          <w:rFonts w:asciiTheme="minorHAnsi" w:hAnsiTheme="minorHAnsi"/>
          <w:sz w:val="24"/>
          <w:szCs w:val="24"/>
        </w:rPr>
        <w:t>PSD</w:t>
      </w:r>
      <w:r w:rsidRPr="00645788">
        <w:rPr>
          <w:rFonts w:asciiTheme="minorHAnsi" w:hAnsiTheme="minorHAnsi"/>
          <w:sz w:val="24"/>
          <w:szCs w:val="24"/>
        </w:rPr>
        <w:t>).</w:t>
      </w:r>
    </w:p>
    <w:p w:rsidR="00222B3F" w:rsidRDefault="00222B3F" w:rsidP="00645788">
      <w:pPr>
        <w:pStyle w:val="ListParagraph"/>
        <w:widowControl/>
        <w:numPr>
          <w:ilvl w:val="1"/>
          <w:numId w:val="5"/>
        </w:numPr>
        <w:spacing w:after="120"/>
        <w:contextualSpacing w:val="0"/>
        <w:rPr>
          <w:rFonts w:asciiTheme="minorHAnsi" w:hAnsiTheme="minorHAnsi"/>
          <w:sz w:val="24"/>
          <w:szCs w:val="24"/>
        </w:rPr>
      </w:pPr>
      <w:r w:rsidRPr="00645788">
        <w:rPr>
          <w:rFonts w:asciiTheme="minorHAnsi" w:hAnsiTheme="minorHAnsi"/>
          <w:sz w:val="24"/>
          <w:szCs w:val="24"/>
        </w:rPr>
        <w:t xml:space="preserve">The minor resubmission </w:t>
      </w:r>
      <w:r w:rsidR="00645788">
        <w:rPr>
          <w:rFonts w:asciiTheme="minorHAnsi" w:hAnsiTheme="minorHAnsi"/>
          <w:sz w:val="24"/>
          <w:szCs w:val="24"/>
        </w:rPr>
        <w:t xml:space="preserve">maintained the same estimate of </w:t>
      </w:r>
      <w:r w:rsidRPr="00645788">
        <w:rPr>
          <w:rFonts w:asciiTheme="minorHAnsi" w:hAnsiTheme="minorHAnsi"/>
          <w:sz w:val="24"/>
          <w:szCs w:val="24"/>
        </w:rPr>
        <w:t>patient numbers as in the November 2017 major resubmission, however</w:t>
      </w:r>
      <w:r w:rsidR="00F478C9" w:rsidRPr="00645788">
        <w:rPr>
          <w:rFonts w:asciiTheme="minorHAnsi" w:hAnsiTheme="minorHAnsi"/>
          <w:sz w:val="24"/>
          <w:szCs w:val="24"/>
        </w:rPr>
        <w:t xml:space="preserve">, presented estimates on the proportion of </w:t>
      </w:r>
      <w:r w:rsidR="00645788">
        <w:rPr>
          <w:rFonts w:asciiTheme="minorHAnsi" w:hAnsiTheme="minorHAnsi"/>
          <w:sz w:val="24"/>
          <w:szCs w:val="24"/>
        </w:rPr>
        <w:t xml:space="preserve">these </w:t>
      </w:r>
      <w:r w:rsidR="00F478C9" w:rsidRPr="00645788">
        <w:rPr>
          <w:rFonts w:asciiTheme="minorHAnsi" w:hAnsiTheme="minorHAnsi"/>
          <w:sz w:val="24"/>
          <w:szCs w:val="24"/>
        </w:rPr>
        <w:t>patients who would replace the nivolumab (second-line NSCLC) market and the patients who would represent an incremental increase i</w:t>
      </w:r>
      <w:r w:rsidR="00007FE4">
        <w:rPr>
          <w:rFonts w:asciiTheme="minorHAnsi" w:hAnsiTheme="minorHAnsi"/>
          <w:sz w:val="24"/>
          <w:szCs w:val="24"/>
        </w:rPr>
        <w:t>n the overall NSCLC market as a result of the first-line</w:t>
      </w:r>
      <w:r w:rsidR="00F478C9" w:rsidRPr="00645788">
        <w:rPr>
          <w:rFonts w:asciiTheme="minorHAnsi" w:hAnsiTheme="minorHAnsi"/>
          <w:sz w:val="24"/>
          <w:szCs w:val="24"/>
        </w:rPr>
        <w:t xml:space="preserve"> pembrolizumab </w:t>
      </w:r>
      <w:r w:rsidR="00007FE4">
        <w:rPr>
          <w:rFonts w:asciiTheme="minorHAnsi" w:hAnsiTheme="minorHAnsi"/>
          <w:sz w:val="24"/>
          <w:szCs w:val="24"/>
        </w:rPr>
        <w:t>listing</w:t>
      </w:r>
      <w:r w:rsidR="00F478C9" w:rsidRPr="00645788">
        <w:rPr>
          <w:rFonts w:asciiTheme="minorHAnsi" w:hAnsiTheme="minorHAnsi"/>
          <w:sz w:val="24"/>
          <w:szCs w:val="24"/>
        </w:rPr>
        <w:t xml:space="preserve">. </w:t>
      </w:r>
      <w:r w:rsidR="00007FE4">
        <w:rPr>
          <w:rFonts w:asciiTheme="minorHAnsi" w:hAnsiTheme="minorHAnsi"/>
          <w:sz w:val="24"/>
          <w:szCs w:val="24"/>
        </w:rPr>
        <w:t xml:space="preserve">In approximating </w:t>
      </w:r>
      <w:r w:rsidR="002238A3">
        <w:rPr>
          <w:rFonts w:asciiTheme="minorHAnsi" w:hAnsiTheme="minorHAnsi"/>
          <w:sz w:val="24"/>
          <w:szCs w:val="24"/>
        </w:rPr>
        <w:t xml:space="preserve">the incremental increase </w:t>
      </w:r>
      <w:r w:rsidR="00007FE4">
        <w:rPr>
          <w:rFonts w:asciiTheme="minorHAnsi" w:hAnsiTheme="minorHAnsi"/>
          <w:sz w:val="24"/>
          <w:szCs w:val="24"/>
        </w:rPr>
        <w:t>in the overall</w:t>
      </w:r>
      <w:r w:rsidR="002238A3">
        <w:rPr>
          <w:rFonts w:asciiTheme="minorHAnsi" w:hAnsiTheme="minorHAnsi"/>
          <w:sz w:val="24"/>
          <w:szCs w:val="24"/>
        </w:rPr>
        <w:t xml:space="preserve"> NSCLC market, the minor resubmission presented estimates on the patients who uptake pembrolizumab as a result of changing from first-line chemotherapy, and estimates on the patients who uptake pembrolizumab but would not have re</w:t>
      </w:r>
      <w:r w:rsidR="003B7B75">
        <w:rPr>
          <w:rFonts w:asciiTheme="minorHAnsi" w:hAnsiTheme="minorHAnsi"/>
          <w:sz w:val="24"/>
          <w:szCs w:val="24"/>
        </w:rPr>
        <w:t>ceived first-line chemotherapy.</w:t>
      </w:r>
    </w:p>
    <w:p w:rsidR="00C93583" w:rsidRPr="00A97CEC" w:rsidRDefault="002D5FC3" w:rsidP="00A97CEC">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The minor resubmission estimated that 19.53% of the current second-line NSCLC nivolumab market would be replaced by pembrolizumab if it became PBS listed for first-line NSCLC. This was based on the following estimates:</w:t>
      </w:r>
    </w:p>
    <w:p w:rsidR="00B44949" w:rsidRPr="00B44949" w:rsidRDefault="00B44949" w:rsidP="00B44949">
      <w:pPr>
        <w:pStyle w:val="Caption"/>
        <w:keepNext/>
        <w:spacing w:after="0"/>
        <w:rPr>
          <w:rFonts w:ascii="Arial Narrow" w:hAnsi="Arial Narrow"/>
          <w:color w:val="auto"/>
          <w:sz w:val="20"/>
          <w:szCs w:val="20"/>
        </w:rPr>
      </w:pPr>
      <w:r w:rsidRPr="00B44949">
        <w:rPr>
          <w:rFonts w:ascii="Arial Narrow" w:hAnsi="Arial Narrow"/>
          <w:color w:val="auto"/>
          <w:sz w:val="20"/>
          <w:szCs w:val="20"/>
        </w:rPr>
        <w:t xml:space="preserve">Table </w:t>
      </w:r>
      <w:r w:rsidR="006C6CBE">
        <w:rPr>
          <w:rFonts w:ascii="Arial Narrow" w:hAnsi="Arial Narrow"/>
          <w:noProof/>
          <w:color w:val="auto"/>
          <w:sz w:val="20"/>
          <w:szCs w:val="20"/>
        </w:rPr>
        <w:t>3</w:t>
      </w:r>
      <w:r w:rsidRPr="00B44949">
        <w:rPr>
          <w:rFonts w:ascii="Arial Narrow" w:hAnsi="Arial Narrow"/>
          <w:color w:val="auto"/>
          <w:sz w:val="20"/>
          <w:szCs w:val="20"/>
        </w:rPr>
        <w:t xml:space="preserve">: </w:t>
      </w:r>
      <w:r w:rsidR="002052CE">
        <w:rPr>
          <w:rFonts w:ascii="Arial Narrow" w:hAnsi="Arial Narrow"/>
          <w:color w:val="auto"/>
          <w:sz w:val="20"/>
          <w:szCs w:val="20"/>
        </w:rPr>
        <w:t>Population assumptions and references presented by the minor resubmission</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438"/>
        <w:gridCol w:w="1134"/>
        <w:gridCol w:w="3969"/>
        <w:gridCol w:w="1541"/>
      </w:tblGrid>
      <w:tr w:rsidR="005F62A4" w:rsidRPr="00793C1A" w:rsidTr="00DE4CFE">
        <w:tc>
          <w:tcPr>
            <w:tcW w:w="2438" w:type="dxa"/>
            <w:vAlign w:val="center"/>
          </w:tcPr>
          <w:p w:rsidR="005F62A4" w:rsidRPr="00793C1A" w:rsidRDefault="005549DD" w:rsidP="00FE41DD">
            <w:pPr>
              <w:rPr>
                <w:rFonts w:ascii="Arial Narrow" w:hAnsi="Arial Narrow"/>
                <w:b/>
                <w:sz w:val="20"/>
                <w:szCs w:val="20"/>
              </w:rPr>
            </w:pPr>
            <w:r>
              <w:rPr>
                <w:rFonts w:ascii="Arial Narrow" w:hAnsi="Arial Narrow"/>
                <w:b/>
                <w:sz w:val="20"/>
                <w:szCs w:val="20"/>
              </w:rPr>
              <w:t>Variable</w:t>
            </w:r>
          </w:p>
        </w:tc>
        <w:tc>
          <w:tcPr>
            <w:tcW w:w="1134" w:type="dxa"/>
            <w:vAlign w:val="center"/>
          </w:tcPr>
          <w:p w:rsidR="005F62A4" w:rsidRPr="00793C1A" w:rsidRDefault="00A11609" w:rsidP="00FE41DD">
            <w:pPr>
              <w:rPr>
                <w:rFonts w:ascii="Arial Narrow" w:hAnsi="Arial Narrow"/>
                <w:b/>
                <w:sz w:val="20"/>
                <w:szCs w:val="20"/>
              </w:rPr>
            </w:pPr>
            <w:r w:rsidRPr="00793C1A">
              <w:rPr>
                <w:rFonts w:ascii="Arial Narrow" w:hAnsi="Arial Narrow"/>
                <w:b/>
                <w:sz w:val="20"/>
                <w:szCs w:val="20"/>
              </w:rPr>
              <w:t>Value</w:t>
            </w:r>
          </w:p>
        </w:tc>
        <w:tc>
          <w:tcPr>
            <w:tcW w:w="3969" w:type="dxa"/>
            <w:vAlign w:val="center"/>
          </w:tcPr>
          <w:p w:rsidR="005F62A4" w:rsidRPr="00793C1A" w:rsidRDefault="00A11609" w:rsidP="00FE41DD">
            <w:pPr>
              <w:rPr>
                <w:rFonts w:ascii="Arial Narrow" w:hAnsi="Arial Narrow"/>
                <w:b/>
                <w:sz w:val="20"/>
                <w:szCs w:val="20"/>
              </w:rPr>
            </w:pPr>
            <w:r w:rsidRPr="00793C1A">
              <w:rPr>
                <w:rFonts w:ascii="Arial Narrow" w:hAnsi="Arial Narrow"/>
                <w:b/>
                <w:sz w:val="20"/>
                <w:szCs w:val="20"/>
              </w:rPr>
              <w:t>Source</w:t>
            </w:r>
          </w:p>
        </w:tc>
        <w:tc>
          <w:tcPr>
            <w:tcW w:w="1541" w:type="dxa"/>
            <w:vAlign w:val="center"/>
          </w:tcPr>
          <w:p w:rsidR="005F62A4" w:rsidRPr="00793C1A" w:rsidRDefault="00A11609" w:rsidP="00FE41DD">
            <w:pPr>
              <w:rPr>
                <w:rFonts w:ascii="Arial Narrow" w:hAnsi="Arial Narrow"/>
                <w:b/>
                <w:sz w:val="20"/>
                <w:szCs w:val="20"/>
              </w:rPr>
            </w:pPr>
            <w:r w:rsidRPr="00793C1A">
              <w:rPr>
                <w:rFonts w:ascii="Arial Narrow" w:hAnsi="Arial Narrow"/>
                <w:b/>
                <w:sz w:val="20"/>
                <w:szCs w:val="20"/>
              </w:rPr>
              <w:t>Comments</w:t>
            </w:r>
          </w:p>
        </w:tc>
      </w:tr>
      <w:tr w:rsidR="005F62A4" w:rsidRPr="00B44949" w:rsidTr="00DE4CFE">
        <w:tc>
          <w:tcPr>
            <w:tcW w:w="2438" w:type="dxa"/>
            <w:vAlign w:val="center"/>
          </w:tcPr>
          <w:p w:rsidR="005F62A4" w:rsidRPr="00B44949" w:rsidRDefault="00A11609" w:rsidP="00FE41DD">
            <w:pPr>
              <w:rPr>
                <w:rFonts w:ascii="Arial Narrow" w:hAnsi="Arial Narrow"/>
                <w:sz w:val="20"/>
                <w:szCs w:val="20"/>
              </w:rPr>
            </w:pPr>
            <w:r w:rsidRPr="00B44949">
              <w:rPr>
                <w:rFonts w:ascii="Arial Narrow" w:hAnsi="Arial Narrow"/>
                <w:sz w:val="20"/>
                <w:szCs w:val="20"/>
              </w:rPr>
              <w:t xml:space="preserve">Proportion of Stage IV patients of </w:t>
            </w:r>
            <w:r w:rsidR="00C3191E">
              <w:rPr>
                <w:rFonts w:ascii="Arial Narrow" w:hAnsi="Arial Narrow"/>
                <w:sz w:val="20"/>
                <w:szCs w:val="20"/>
              </w:rPr>
              <w:t xml:space="preserve">all </w:t>
            </w:r>
            <w:r w:rsidRPr="00B44949">
              <w:rPr>
                <w:rFonts w:ascii="Arial Narrow" w:hAnsi="Arial Narrow"/>
                <w:sz w:val="20"/>
                <w:szCs w:val="20"/>
              </w:rPr>
              <w:t>Stage IIIB/IV patients</w:t>
            </w:r>
          </w:p>
        </w:tc>
        <w:tc>
          <w:tcPr>
            <w:tcW w:w="1134" w:type="dxa"/>
            <w:vAlign w:val="center"/>
          </w:tcPr>
          <w:p w:rsidR="005F62A4" w:rsidRPr="00B44949" w:rsidRDefault="00A11609" w:rsidP="00FE41DD">
            <w:pPr>
              <w:rPr>
                <w:rFonts w:ascii="Arial Narrow" w:hAnsi="Arial Narrow"/>
                <w:sz w:val="20"/>
                <w:szCs w:val="20"/>
              </w:rPr>
            </w:pPr>
            <w:r w:rsidRPr="00B44949">
              <w:rPr>
                <w:rFonts w:ascii="Arial Narrow" w:hAnsi="Arial Narrow"/>
                <w:sz w:val="20"/>
                <w:szCs w:val="20"/>
              </w:rPr>
              <w:t>78.6%</w:t>
            </w:r>
          </w:p>
        </w:tc>
        <w:tc>
          <w:tcPr>
            <w:tcW w:w="3969" w:type="dxa"/>
            <w:vAlign w:val="center"/>
          </w:tcPr>
          <w:p w:rsidR="005F62A4" w:rsidRPr="00B44949" w:rsidRDefault="00B44949" w:rsidP="00FE41DD">
            <w:pPr>
              <w:rPr>
                <w:rFonts w:ascii="Arial Narrow" w:hAnsi="Arial Narrow"/>
                <w:sz w:val="20"/>
                <w:szCs w:val="20"/>
              </w:rPr>
            </w:pPr>
            <w:r w:rsidRPr="00B44949">
              <w:rPr>
                <w:rFonts w:ascii="Arial Narrow" w:hAnsi="Arial Narrow" w:cs="Arial"/>
                <w:color w:val="000000"/>
                <w:sz w:val="20"/>
                <w:szCs w:val="20"/>
              </w:rPr>
              <w:t>Mitchell et al. Lung cancer in Victoria: are we making progress? MJA 199 (10)·18 November 2013.</w:t>
            </w:r>
          </w:p>
        </w:tc>
        <w:tc>
          <w:tcPr>
            <w:tcW w:w="1541" w:type="dxa"/>
            <w:vAlign w:val="center"/>
          </w:tcPr>
          <w:p w:rsidR="005F62A4" w:rsidRPr="00007FE4" w:rsidRDefault="00007FE4" w:rsidP="00FE41DD">
            <w:pPr>
              <w:rPr>
                <w:rFonts w:ascii="Arial Narrow" w:hAnsi="Arial Narrow"/>
                <w:i/>
                <w:sz w:val="20"/>
                <w:szCs w:val="20"/>
              </w:rPr>
            </w:pPr>
            <w:r>
              <w:rPr>
                <w:rFonts w:ascii="Arial Narrow" w:hAnsi="Arial Narrow"/>
                <w:i/>
                <w:sz w:val="20"/>
                <w:szCs w:val="20"/>
              </w:rPr>
              <w:t>This is reasonable</w:t>
            </w:r>
            <w:r w:rsidR="00DE4CFE">
              <w:rPr>
                <w:rFonts w:ascii="Arial Narrow" w:hAnsi="Arial Narrow"/>
                <w:i/>
                <w:sz w:val="20"/>
                <w:szCs w:val="20"/>
              </w:rPr>
              <w:t xml:space="preserve"> (but see para 5.15)</w:t>
            </w:r>
            <w:r>
              <w:rPr>
                <w:rFonts w:ascii="Arial Narrow" w:hAnsi="Arial Narrow"/>
                <w:i/>
                <w:sz w:val="20"/>
                <w:szCs w:val="20"/>
              </w:rPr>
              <w:t xml:space="preserve">. </w:t>
            </w:r>
          </w:p>
        </w:tc>
      </w:tr>
      <w:tr w:rsidR="005F62A4" w:rsidRPr="00B44949" w:rsidTr="00DE4CFE">
        <w:tc>
          <w:tcPr>
            <w:tcW w:w="2438" w:type="dxa"/>
            <w:vAlign w:val="center"/>
          </w:tcPr>
          <w:p w:rsidR="005F62A4" w:rsidRPr="00B44949" w:rsidRDefault="00A11609" w:rsidP="00FE41DD">
            <w:pPr>
              <w:rPr>
                <w:rFonts w:ascii="Arial Narrow" w:hAnsi="Arial Narrow"/>
                <w:sz w:val="20"/>
                <w:szCs w:val="20"/>
              </w:rPr>
            </w:pPr>
            <w:r w:rsidRPr="00B44949">
              <w:rPr>
                <w:rFonts w:ascii="Arial Narrow" w:hAnsi="Arial Narrow"/>
                <w:sz w:val="20"/>
                <w:szCs w:val="20"/>
              </w:rPr>
              <w:t>Proportion of NSCLC patients with squamous vs non-squamous histology</w:t>
            </w:r>
          </w:p>
        </w:tc>
        <w:tc>
          <w:tcPr>
            <w:tcW w:w="1134" w:type="dxa"/>
            <w:vAlign w:val="center"/>
          </w:tcPr>
          <w:p w:rsidR="005F62A4" w:rsidRPr="00B44949" w:rsidRDefault="00A11609" w:rsidP="00FE41DD">
            <w:pPr>
              <w:rPr>
                <w:rFonts w:ascii="Arial Narrow" w:hAnsi="Arial Narrow"/>
                <w:sz w:val="20"/>
                <w:szCs w:val="20"/>
              </w:rPr>
            </w:pPr>
            <w:r w:rsidRPr="00B44949">
              <w:rPr>
                <w:rFonts w:ascii="Arial Narrow" w:hAnsi="Arial Narrow"/>
                <w:sz w:val="20"/>
                <w:szCs w:val="20"/>
              </w:rPr>
              <w:t>22.4% (squamous)</w:t>
            </w:r>
          </w:p>
          <w:p w:rsidR="00A11609" w:rsidRPr="00B44949" w:rsidRDefault="001165FE" w:rsidP="00FE41DD">
            <w:pPr>
              <w:rPr>
                <w:rFonts w:ascii="Arial Narrow" w:hAnsi="Arial Narrow"/>
                <w:sz w:val="20"/>
                <w:szCs w:val="20"/>
              </w:rPr>
            </w:pPr>
            <w:r w:rsidRPr="00B44949">
              <w:rPr>
                <w:rFonts w:ascii="Arial Narrow" w:hAnsi="Arial Narrow"/>
                <w:sz w:val="20"/>
                <w:szCs w:val="20"/>
              </w:rPr>
              <w:t>77.6% (non-squamous)</w:t>
            </w:r>
          </w:p>
        </w:tc>
        <w:tc>
          <w:tcPr>
            <w:tcW w:w="3969" w:type="dxa"/>
            <w:vAlign w:val="center"/>
          </w:tcPr>
          <w:p w:rsidR="005F62A4" w:rsidRPr="00B44949" w:rsidRDefault="00B44949" w:rsidP="00FE41DD">
            <w:pPr>
              <w:rPr>
                <w:rFonts w:ascii="Arial Narrow" w:hAnsi="Arial Narrow"/>
                <w:sz w:val="20"/>
                <w:szCs w:val="20"/>
              </w:rPr>
            </w:pPr>
            <w:r w:rsidRPr="00B44949">
              <w:rPr>
                <w:rFonts w:ascii="Arial Narrow" w:hAnsi="Arial Narrow" w:cs="Arial"/>
                <w:color w:val="000000"/>
                <w:sz w:val="20"/>
                <w:szCs w:val="20"/>
              </w:rPr>
              <w:t>Systemic therapy treatment patterns in patients with</w:t>
            </w:r>
            <w:r w:rsidR="00007FE4">
              <w:rPr>
                <w:rFonts w:ascii="Arial Narrow" w:hAnsi="Arial Narrow" w:cs="Arial"/>
                <w:color w:val="000000"/>
                <w:sz w:val="20"/>
                <w:szCs w:val="20"/>
              </w:rPr>
              <w:t xml:space="preserve"> </w:t>
            </w:r>
            <w:r w:rsidRPr="00B44949">
              <w:rPr>
                <w:rFonts w:ascii="Arial Narrow" w:hAnsi="Arial Narrow" w:cs="Arial"/>
                <w:color w:val="000000"/>
                <w:sz w:val="20"/>
                <w:szCs w:val="20"/>
              </w:rPr>
              <w:t>advanced non-small cell lung cancer (NSCLC): PIvOTAL</w:t>
            </w:r>
            <w:r w:rsidR="00007FE4">
              <w:rPr>
                <w:rFonts w:ascii="Arial Narrow" w:hAnsi="Arial Narrow" w:cs="Arial"/>
                <w:color w:val="000000"/>
                <w:sz w:val="20"/>
                <w:szCs w:val="20"/>
              </w:rPr>
              <w:t xml:space="preserve"> </w:t>
            </w:r>
            <w:r w:rsidRPr="00B44949">
              <w:rPr>
                <w:rFonts w:ascii="Arial Narrow" w:hAnsi="Arial Narrow" w:cs="Arial"/>
                <w:color w:val="000000"/>
                <w:sz w:val="20"/>
                <w:szCs w:val="20"/>
              </w:rPr>
              <w:t>study. European Journal of Cancer Care, February 2017.</w:t>
            </w:r>
          </w:p>
        </w:tc>
        <w:tc>
          <w:tcPr>
            <w:tcW w:w="1541" w:type="dxa"/>
            <w:vAlign w:val="center"/>
          </w:tcPr>
          <w:p w:rsidR="005F62A4" w:rsidRPr="00B44949" w:rsidRDefault="00007FE4" w:rsidP="00FE41DD">
            <w:pPr>
              <w:rPr>
                <w:rFonts w:ascii="Arial Narrow" w:hAnsi="Arial Narrow"/>
                <w:sz w:val="20"/>
                <w:szCs w:val="20"/>
              </w:rPr>
            </w:pPr>
            <w:r>
              <w:rPr>
                <w:rFonts w:ascii="Arial Narrow" w:hAnsi="Arial Narrow"/>
                <w:i/>
                <w:sz w:val="20"/>
                <w:szCs w:val="20"/>
              </w:rPr>
              <w:t>This is reasonable.</w:t>
            </w:r>
          </w:p>
        </w:tc>
      </w:tr>
      <w:tr w:rsidR="005F62A4" w:rsidRPr="00B44949" w:rsidTr="00DE4CFE">
        <w:tc>
          <w:tcPr>
            <w:tcW w:w="2438" w:type="dxa"/>
            <w:tcBorders>
              <w:bottom w:val="single" w:sz="4" w:space="0" w:color="auto"/>
            </w:tcBorders>
            <w:vAlign w:val="center"/>
          </w:tcPr>
          <w:p w:rsidR="005F62A4" w:rsidRPr="00B44949" w:rsidRDefault="001165FE" w:rsidP="00FE41DD">
            <w:pPr>
              <w:rPr>
                <w:rFonts w:ascii="Arial Narrow" w:hAnsi="Arial Narrow"/>
                <w:sz w:val="20"/>
                <w:szCs w:val="20"/>
              </w:rPr>
            </w:pPr>
            <w:r w:rsidRPr="00B44949">
              <w:rPr>
                <w:rFonts w:ascii="Arial Narrow" w:hAnsi="Arial Narrow"/>
                <w:sz w:val="20"/>
                <w:szCs w:val="20"/>
              </w:rPr>
              <w:t>Proportion of non-squamous NSCLC patients who are EGFR or ALK negative</w:t>
            </w:r>
          </w:p>
        </w:tc>
        <w:tc>
          <w:tcPr>
            <w:tcW w:w="1134" w:type="dxa"/>
            <w:tcBorders>
              <w:bottom w:val="single" w:sz="4" w:space="0" w:color="auto"/>
            </w:tcBorders>
            <w:vAlign w:val="center"/>
          </w:tcPr>
          <w:p w:rsidR="005F62A4" w:rsidRPr="00B44949" w:rsidRDefault="001165FE" w:rsidP="00FE41DD">
            <w:pPr>
              <w:rPr>
                <w:rFonts w:ascii="Arial Narrow" w:hAnsi="Arial Narrow"/>
                <w:sz w:val="20"/>
                <w:szCs w:val="20"/>
              </w:rPr>
            </w:pPr>
            <w:r w:rsidRPr="00B44949">
              <w:rPr>
                <w:rFonts w:ascii="Arial Narrow" w:hAnsi="Arial Narrow"/>
                <w:sz w:val="20"/>
                <w:szCs w:val="20"/>
              </w:rPr>
              <w:t>= 12.5% (EGFR +ve) + 4% (ALK +ve)</w:t>
            </w:r>
          </w:p>
          <w:p w:rsidR="001165FE" w:rsidRPr="00B44949" w:rsidRDefault="001165FE" w:rsidP="00FE41DD">
            <w:pPr>
              <w:rPr>
                <w:rFonts w:ascii="Arial Narrow" w:hAnsi="Arial Narrow"/>
                <w:sz w:val="20"/>
                <w:szCs w:val="20"/>
              </w:rPr>
            </w:pPr>
            <w:r w:rsidRPr="00B44949">
              <w:rPr>
                <w:rFonts w:ascii="Arial Narrow" w:hAnsi="Arial Narrow"/>
                <w:sz w:val="20"/>
                <w:szCs w:val="20"/>
              </w:rPr>
              <w:t>= 16.5% total</w:t>
            </w:r>
          </w:p>
        </w:tc>
        <w:tc>
          <w:tcPr>
            <w:tcW w:w="3969" w:type="dxa"/>
            <w:tcBorders>
              <w:bottom w:val="single" w:sz="4" w:space="0" w:color="auto"/>
            </w:tcBorders>
            <w:vAlign w:val="center"/>
          </w:tcPr>
          <w:p w:rsidR="00B44949" w:rsidRPr="00B44949" w:rsidRDefault="00B44949" w:rsidP="00FE41DD">
            <w:pPr>
              <w:rPr>
                <w:rFonts w:ascii="Arial Narrow" w:hAnsi="Arial Narrow" w:cs="Arial"/>
                <w:color w:val="000000"/>
                <w:sz w:val="20"/>
                <w:szCs w:val="20"/>
              </w:rPr>
            </w:pPr>
            <w:r w:rsidRPr="00B44949">
              <w:rPr>
                <w:rFonts w:ascii="Arial Narrow" w:hAnsi="Arial Narrow" w:cs="Arial"/>
                <w:color w:val="000000"/>
                <w:sz w:val="20"/>
                <w:szCs w:val="20"/>
              </w:rPr>
              <w:t>10-15% of NSCLC patients are estimated to b</w:t>
            </w:r>
            <w:r w:rsidR="00007FE4">
              <w:rPr>
                <w:rFonts w:ascii="Arial Narrow" w:hAnsi="Arial Narrow" w:cs="Arial"/>
                <w:color w:val="000000"/>
                <w:sz w:val="20"/>
                <w:szCs w:val="20"/>
              </w:rPr>
              <w:t xml:space="preserve">e EGFR positive [Assche et al, </w:t>
            </w:r>
            <w:r w:rsidRPr="00B44949">
              <w:rPr>
                <w:rFonts w:ascii="Arial Narrow" w:hAnsi="Arial Narrow" w:cs="Arial"/>
                <w:color w:val="000000"/>
                <w:sz w:val="20"/>
                <w:szCs w:val="20"/>
              </w:rPr>
              <w:t>"EGFR Mutation Positive Stage IV Non-Small-Cell Lung Cancer: Treatment Beyond Progression", Front Oncol, 2014].</w:t>
            </w:r>
          </w:p>
          <w:p w:rsidR="005F62A4" w:rsidRPr="00B44949" w:rsidRDefault="00B44949" w:rsidP="00FE41DD">
            <w:pPr>
              <w:rPr>
                <w:rFonts w:ascii="Arial Narrow" w:hAnsi="Arial Narrow" w:cs="Arial"/>
                <w:color w:val="000000"/>
                <w:sz w:val="20"/>
                <w:szCs w:val="20"/>
              </w:rPr>
            </w:pPr>
            <w:r w:rsidRPr="00B44949">
              <w:rPr>
                <w:rFonts w:ascii="Arial Narrow" w:hAnsi="Arial Narrow" w:cs="Arial"/>
                <w:color w:val="000000"/>
                <w:sz w:val="20"/>
                <w:szCs w:val="20"/>
              </w:rPr>
              <w:t>3-5% of NSCLC patients are estimated to be ALK positive [Crizotinib PSD PBAC November 2013].</w:t>
            </w:r>
          </w:p>
        </w:tc>
        <w:tc>
          <w:tcPr>
            <w:tcW w:w="1541" w:type="dxa"/>
            <w:tcBorders>
              <w:bottom w:val="single" w:sz="4" w:space="0" w:color="auto"/>
            </w:tcBorders>
            <w:vAlign w:val="center"/>
          </w:tcPr>
          <w:p w:rsidR="005F62A4" w:rsidRPr="00B44949" w:rsidRDefault="00007FE4" w:rsidP="00FE41DD">
            <w:pPr>
              <w:rPr>
                <w:rFonts w:ascii="Arial Narrow" w:hAnsi="Arial Narrow"/>
                <w:sz w:val="20"/>
                <w:szCs w:val="20"/>
              </w:rPr>
            </w:pPr>
            <w:r>
              <w:rPr>
                <w:rFonts w:ascii="Arial Narrow" w:hAnsi="Arial Narrow"/>
                <w:i/>
                <w:sz w:val="20"/>
                <w:szCs w:val="20"/>
              </w:rPr>
              <w:t>This is reasonable.</w:t>
            </w:r>
          </w:p>
        </w:tc>
      </w:tr>
      <w:tr w:rsidR="005F62A4" w:rsidRPr="00B44949" w:rsidTr="00DE4CFE">
        <w:tc>
          <w:tcPr>
            <w:tcW w:w="2438" w:type="dxa"/>
            <w:tcBorders>
              <w:bottom w:val="double" w:sz="4" w:space="0" w:color="auto"/>
            </w:tcBorders>
            <w:vAlign w:val="center"/>
          </w:tcPr>
          <w:p w:rsidR="005F62A4" w:rsidRPr="00B44949" w:rsidRDefault="001165FE" w:rsidP="00B84385">
            <w:pPr>
              <w:rPr>
                <w:rFonts w:ascii="Arial Narrow" w:hAnsi="Arial Narrow"/>
                <w:sz w:val="20"/>
                <w:szCs w:val="20"/>
              </w:rPr>
            </w:pPr>
            <w:r w:rsidRPr="00B44949">
              <w:rPr>
                <w:rFonts w:ascii="Arial Narrow" w:hAnsi="Arial Narrow"/>
                <w:sz w:val="20"/>
                <w:szCs w:val="20"/>
              </w:rPr>
              <w:t>Prevalence of TPS ≥50%</w:t>
            </w:r>
          </w:p>
        </w:tc>
        <w:tc>
          <w:tcPr>
            <w:tcW w:w="1134" w:type="dxa"/>
            <w:tcBorders>
              <w:bottom w:val="double" w:sz="4" w:space="0" w:color="auto"/>
            </w:tcBorders>
            <w:vAlign w:val="center"/>
          </w:tcPr>
          <w:p w:rsidR="005F62A4" w:rsidRPr="00B44949" w:rsidRDefault="001165FE" w:rsidP="00FE41DD">
            <w:pPr>
              <w:rPr>
                <w:rFonts w:ascii="Arial Narrow" w:hAnsi="Arial Narrow"/>
                <w:sz w:val="20"/>
                <w:szCs w:val="20"/>
              </w:rPr>
            </w:pPr>
            <w:r w:rsidRPr="00B44949">
              <w:rPr>
                <w:rFonts w:ascii="Arial Narrow" w:hAnsi="Arial Narrow"/>
                <w:sz w:val="20"/>
                <w:szCs w:val="20"/>
              </w:rPr>
              <w:t>28.5%</w:t>
            </w:r>
          </w:p>
        </w:tc>
        <w:tc>
          <w:tcPr>
            <w:tcW w:w="3969" w:type="dxa"/>
            <w:tcBorders>
              <w:bottom w:val="double" w:sz="4" w:space="0" w:color="auto"/>
            </w:tcBorders>
            <w:vAlign w:val="center"/>
          </w:tcPr>
          <w:p w:rsidR="005F62A4" w:rsidRPr="00B44949" w:rsidRDefault="00B44949" w:rsidP="00FE41DD">
            <w:pPr>
              <w:rPr>
                <w:rFonts w:ascii="Arial Narrow" w:hAnsi="Arial Narrow"/>
                <w:sz w:val="20"/>
                <w:szCs w:val="20"/>
              </w:rPr>
            </w:pPr>
            <w:r w:rsidRPr="00B44949">
              <w:rPr>
                <w:rFonts w:ascii="Arial Narrow" w:hAnsi="Arial Narrow" w:cs="Arial"/>
                <w:color w:val="000000"/>
                <w:sz w:val="20"/>
                <w:szCs w:val="20"/>
              </w:rPr>
              <w:t>Data on cohort of Australian patients from the KN-024 study.</w:t>
            </w:r>
          </w:p>
        </w:tc>
        <w:tc>
          <w:tcPr>
            <w:tcW w:w="1541" w:type="dxa"/>
            <w:tcBorders>
              <w:bottom w:val="double" w:sz="4" w:space="0" w:color="auto"/>
            </w:tcBorders>
            <w:vAlign w:val="center"/>
          </w:tcPr>
          <w:p w:rsidR="005F62A4" w:rsidRPr="00B44949" w:rsidRDefault="00007FE4" w:rsidP="00FE41DD">
            <w:pPr>
              <w:rPr>
                <w:rFonts w:ascii="Arial Narrow" w:hAnsi="Arial Narrow"/>
                <w:sz w:val="20"/>
                <w:szCs w:val="20"/>
              </w:rPr>
            </w:pPr>
            <w:r>
              <w:rPr>
                <w:rFonts w:ascii="Arial Narrow" w:hAnsi="Arial Narrow"/>
                <w:i/>
                <w:sz w:val="20"/>
                <w:szCs w:val="20"/>
              </w:rPr>
              <w:t>This is reasonable.</w:t>
            </w:r>
          </w:p>
        </w:tc>
      </w:tr>
      <w:tr w:rsidR="005F62A4" w:rsidRPr="00B44949" w:rsidTr="00DE4CFE">
        <w:tc>
          <w:tcPr>
            <w:tcW w:w="2438" w:type="dxa"/>
            <w:tcBorders>
              <w:top w:val="double" w:sz="4" w:space="0" w:color="auto"/>
            </w:tcBorders>
            <w:vAlign w:val="center"/>
          </w:tcPr>
          <w:p w:rsidR="005F62A4" w:rsidRPr="00851952" w:rsidRDefault="001165FE" w:rsidP="00FE41DD">
            <w:pPr>
              <w:rPr>
                <w:rFonts w:ascii="Arial Narrow" w:hAnsi="Arial Narrow"/>
                <w:b/>
                <w:sz w:val="20"/>
                <w:szCs w:val="20"/>
              </w:rPr>
            </w:pPr>
            <w:r w:rsidRPr="00851952">
              <w:rPr>
                <w:rFonts w:ascii="Arial Narrow" w:hAnsi="Arial Narrow"/>
                <w:b/>
                <w:sz w:val="20"/>
                <w:szCs w:val="20"/>
              </w:rPr>
              <w:t>2L nivolumab market replaced by 1L pembrolizumab</w:t>
            </w:r>
          </w:p>
        </w:tc>
        <w:tc>
          <w:tcPr>
            <w:tcW w:w="1134" w:type="dxa"/>
            <w:tcBorders>
              <w:top w:val="double" w:sz="4" w:space="0" w:color="auto"/>
            </w:tcBorders>
            <w:vAlign w:val="center"/>
          </w:tcPr>
          <w:p w:rsidR="001165FE" w:rsidRPr="00851952" w:rsidRDefault="001165FE" w:rsidP="00FE41DD">
            <w:pPr>
              <w:rPr>
                <w:rFonts w:ascii="Arial Narrow" w:hAnsi="Arial Narrow"/>
                <w:b/>
                <w:sz w:val="20"/>
                <w:szCs w:val="20"/>
              </w:rPr>
            </w:pPr>
            <w:r w:rsidRPr="00851952">
              <w:rPr>
                <w:rFonts w:ascii="Arial Narrow" w:hAnsi="Arial Narrow"/>
                <w:b/>
                <w:sz w:val="20"/>
                <w:szCs w:val="20"/>
              </w:rPr>
              <w:t>19.53%</w:t>
            </w:r>
          </w:p>
        </w:tc>
        <w:tc>
          <w:tcPr>
            <w:tcW w:w="3969" w:type="dxa"/>
            <w:tcBorders>
              <w:top w:val="double" w:sz="4" w:space="0" w:color="auto"/>
            </w:tcBorders>
            <w:vAlign w:val="center"/>
          </w:tcPr>
          <w:p w:rsidR="005F62A4" w:rsidRDefault="00B44949" w:rsidP="00FE41DD">
            <w:pPr>
              <w:rPr>
                <w:rFonts w:ascii="Arial Narrow" w:hAnsi="Arial Narrow"/>
                <w:sz w:val="20"/>
                <w:szCs w:val="20"/>
              </w:rPr>
            </w:pPr>
            <w:r w:rsidRPr="00B44949">
              <w:rPr>
                <w:rFonts w:ascii="Arial Narrow" w:hAnsi="Arial Narrow"/>
                <w:sz w:val="20"/>
                <w:szCs w:val="20"/>
              </w:rPr>
              <w:t>Calculation</w:t>
            </w:r>
          </w:p>
          <w:p w:rsidR="00B44949" w:rsidRPr="00B44949" w:rsidRDefault="00B44949" w:rsidP="00FE41DD">
            <w:pPr>
              <w:rPr>
                <w:rFonts w:ascii="Arial Narrow" w:hAnsi="Arial Narrow"/>
                <w:sz w:val="20"/>
                <w:szCs w:val="20"/>
              </w:rPr>
            </w:pPr>
            <w:r w:rsidRPr="00B44949">
              <w:rPr>
                <w:rFonts w:ascii="Arial Narrow" w:hAnsi="Arial Narrow"/>
                <w:sz w:val="20"/>
                <w:szCs w:val="20"/>
              </w:rPr>
              <w:t xml:space="preserve">= 78.6% x </w:t>
            </w:r>
            <w:r w:rsidR="00ED225A">
              <w:rPr>
                <w:rFonts w:ascii="Arial Narrow" w:hAnsi="Arial Narrow"/>
                <w:sz w:val="20"/>
                <w:szCs w:val="20"/>
              </w:rPr>
              <w:t>(</w:t>
            </w:r>
            <w:r w:rsidRPr="00B44949">
              <w:rPr>
                <w:rFonts w:ascii="Arial Narrow" w:hAnsi="Arial Narrow"/>
                <w:sz w:val="20"/>
                <w:szCs w:val="20"/>
              </w:rPr>
              <w:t>(77.6% x 83.5%</w:t>
            </w:r>
            <w:r w:rsidR="00ED225A">
              <w:rPr>
                <w:rFonts w:ascii="Arial Narrow" w:hAnsi="Arial Narrow"/>
                <w:sz w:val="20"/>
                <w:szCs w:val="20"/>
              </w:rPr>
              <w:t>)</w:t>
            </w:r>
            <w:r w:rsidRPr="00B44949">
              <w:rPr>
                <w:rFonts w:ascii="Arial Narrow" w:hAnsi="Arial Narrow"/>
                <w:sz w:val="20"/>
                <w:szCs w:val="20"/>
              </w:rPr>
              <w:t xml:space="preserve"> + 22.4%) x 28.5%</w:t>
            </w:r>
          </w:p>
        </w:tc>
        <w:tc>
          <w:tcPr>
            <w:tcW w:w="1541" w:type="dxa"/>
            <w:tcBorders>
              <w:top w:val="double" w:sz="4" w:space="0" w:color="auto"/>
            </w:tcBorders>
            <w:vAlign w:val="center"/>
          </w:tcPr>
          <w:p w:rsidR="005F62A4" w:rsidRPr="00B44949" w:rsidRDefault="00076DBF" w:rsidP="00FE41DD">
            <w:pPr>
              <w:rPr>
                <w:rFonts w:ascii="Arial Narrow" w:hAnsi="Arial Narrow"/>
                <w:sz w:val="20"/>
                <w:szCs w:val="20"/>
              </w:rPr>
            </w:pPr>
            <w:r>
              <w:rPr>
                <w:rFonts w:ascii="Arial Narrow" w:hAnsi="Arial Narrow"/>
                <w:i/>
                <w:sz w:val="20"/>
                <w:szCs w:val="20"/>
              </w:rPr>
              <w:t>This is reasonable.</w:t>
            </w:r>
          </w:p>
        </w:tc>
      </w:tr>
    </w:tbl>
    <w:p w:rsidR="00593B92" w:rsidRDefault="00593B92" w:rsidP="00FE41DD">
      <w:pPr>
        <w:pStyle w:val="ListParagraph"/>
        <w:widowControl/>
        <w:numPr>
          <w:ilvl w:val="1"/>
          <w:numId w:val="5"/>
        </w:numPr>
        <w:spacing w:before="120" w:after="120"/>
        <w:contextualSpacing w:val="0"/>
        <w:rPr>
          <w:rFonts w:asciiTheme="minorHAnsi" w:hAnsiTheme="minorHAnsi"/>
          <w:sz w:val="24"/>
          <w:szCs w:val="24"/>
        </w:rPr>
      </w:pPr>
      <w:r w:rsidRPr="00593B92">
        <w:rPr>
          <w:rFonts w:asciiTheme="minorHAnsi" w:hAnsiTheme="minorHAnsi"/>
          <w:sz w:val="24"/>
          <w:szCs w:val="24"/>
        </w:rPr>
        <w:t xml:space="preserve">The </w:t>
      </w:r>
      <w:r w:rsidR="00EB16C5">
        <w:rPr>
          <w:rFonts w:asciiTheme="minorHAnsi" w:hAnsiTheme="minorHAnsi"/>
          <w:sz w:val="24"/>
          <w:szCs w:val="24"/>
        </w:rPr>
        <w:t xml:space="preserve">minor </w:t>
      </w:r>
      <w:r w:rsidRPr="00593B92">
        <w:rPr>
          <w:rFonts w:asciiTheme="minorHAnsi" w:hAnsiTheme="minorHAnsi"/>
          <w:sz w:val="24"/>
          <w:szCs w:val="24"/>
        </w:rPr>
        <w:t xml:space="preserve">resubmission did not estimate the number of patients who currently receive nivolumab second-line, nor estimate the number of patients that would uptake first-line pembrolizumab using its estimate of the nivolumab market share. However, </w:t>
      </w:r>
      <w:r w:rsidR="003B7B75">
        <w:rPr>
          <w:rFonts w:asciiTheme="minorHAnsi" w:hAnsiTheme="minorHAnsi"/>
          <w:sz w:val="24"/>
          <w:szCs w:val="24"/>
        </w:rPr>
        <w:t xml:space="preserve">the </w:t>
      </w:r>
      <w:r w:rsidR="0074367F">
        <w:rPr>
          <w:rFonts w:asciiTheme="minorHAnsi" w:hAnsiTheme="minorHAnsi"/>
          <w:sz w:val="24"/>
          <w:szCs w:val="24"/>
        </w:rPr>
        <w:t xml:space="preserve">economic and </w:t>
      </w:r>
      <w:r w:rsidR="003B7B75">
        <w:rPr>
          <w:rFonts w:asciiTheme="minorHAnsi" w:hAnsiTheme="minorHAnsi"/>
          <w:sz w:val="24"/>
          <w:szCs w:val="24"/>
        </w:rPr>
        <w:t xml:space="preserve">financial analyses estimated that </w:t>
      </w:r>
      <w:r w:rsidRPr="00593B92">
        <w:rPr>
          <w:rFonts w:asciiTheme="minorHAnsi" w:hAnsiTheme="minorHAnsi"/>
          <w:sz w:val="24"/>
          <w:szCs w:val="24"/>
        </w:rPr>
        <w:t>nivolumab cost</w:t>
      </w:r>
      <w:r w:rsidR="00F07A41">
        <w:rPr>
          <w:rFonts w:asciiTheme="minorHAnsi" w:hAnsiTheme="minorHAnsi"/>
          <w:sz w:val="24"/>
          <w:szCs w:val="24"/>
        </w:rPr>
        <w:t xml:space="preserve"> </w:t>
      </w:r>
      <w:r w:rsidRPr="00593B92">
        <w:rPr>
          <w:rFonts w:asciiTheme="minorHAnsi" w:hAnsiTheme="minorHAnsi"/>
          <w:sz w:val="24"/>
          <w:szCs w:val="24"/>
        </w:rPr>
        <w:t>offsets w</w:t>
      </w:r>
      <w:r w:rsidR="003B7B75">
        <w:rPr>
          <w:rFonts w:asciiTheme="minorHAnsi" w:hAnsiTheme="minorHAnsi"/>
          <w:sz w:val="24"/>
          <w:szCs w:val="24"/>
        </w:rPr>
        <w:t xml:space="preserve">ould accrue for </w:t>
      </w:r>
      <w:r w:rsidR="003B7B75" w:rsidRPr="00E24312">
        <w:rPr>
          <w:rFonts w:asciiTheme="minorHAnsi" w:hAnsiTheme="minorHAnsi"/>
          <w:sz w:val="24"/>
          <w:szCs w:val="24"/>
        </w:rPr>
        <w:t>64.2</w:t>
      </w:r>
      <w:r w:rsidR="003B7B75">
        <w:rPr>
          <w:rFonts w:asciiTheme="minorHAnsi" w:hAnsiTheme="minorHAnsi"/>
          <w:sz w:val="24"/>
          <w:szCs w:val="24"/>
        </w:rPr>
        <w:t>% of patients receiving pembrolizumab</w:t>
      </w:r>
      <w:r w:rsidRPr="00593B92">
        <w:rPr>
          <w:rFonts w:asciiTheme="minorHAnsi" w:hAnsiTheme="minorHAnsi"/>
          <w:sz w:val="24"/>
          <w:szCs w:val="24"/>
        </w:rPr>
        <w:t xml:space="preserve">. Nivolumab cost offsets were also assumed in </w:t>
      </w:r>
      <w:r w:rsidRPr="00E24312">
        <w:rPr>
          <w:rFonts w:asciiTheme="minorHAnsi" w:hAnsiTheme="minorHAnsi"/>
          <w:sz w:val="24"/>
          <w:szCs w:val="24"/>
        </w:rPr>
        <w:t>64.2</w:t>
      </w:r>
      <w:r w:rsidRPr="00593B92">
        <w:rPr>
          <w:rFonts w:asciiTheme="minorHAnsi" w:hAnsiTheme="minorHAnsi"/>
          <w:sz w:val="24"/>
          <w:szCs w:val="24"/>
        </w:rPr>
        <w:t>% of grandfathering patients who would have otherwise received first-line chemotherapy.</w:t>
      </w:r>
    </w:p>
    <w:p w:rsidR="00593B92" w:rsidRPr="00D660D2" w:rsidRDefault="00593B92" w:rsidP="00D660D2">
      <w:pPr>
        <w:widowControl w:val="0"/>
        <w:snapToGrid w:val="0"/>
        <w:jc w:val="both"/>
        <w:rPr>
          <w:rFonts w:ascii="Arial Narrow" w:hAnsi="Arial Narrow" w:cs="Arial"/>
          <w:b/>
          <w:sz w:val="20"/>
          <w:szCs w:val="16"/>
          <w:lang w:eastAsia="en-US"/>
        </w:rPr>
      </w:pPr>
      <w:r w:rsidRPr="00D660D2">
        <w:rPr>
          <w:rFonts w:ascii="Arial Narrow" w:hAnsi="Arial Narrow" w:cs="Arial"/>
          <w:b/>
          <w:sz w:val="20"/>
          <w:szCs w:val="16"/>
          <w:lang w:eastAsia="en-US"/>
        </w:rPr>
        <w:t xml:space="preserve">Table </w:t>
      </w:r>
      <w:r w:rsidR="006C6CBE">
        <w:rPr>
          <w:rFonts w:ascii="Arial Narrow" w:hAnsi="Arial Narrow" w:cs="Arial"/>
          <w:b/>
          <w:noProof/>
          <w:sz w:val="20"/>
          <w:szCs w:val="16"/>
          <w:lang w:eastAsia="en-US"/>
        </w:rPr>
        <w:t>4</w:t>
      </w:r>
      <w:r w:rsidRPr="00D660D2">
        <w:rPr>
          <w:rFonts w:ascii="Arial Narrow" w:hAnsi="Arial Narrow" w:cs="Arial"/>
          <w:b/>
          <w:sz w:val="20"/>
          <w:szCs w:val="16"/>
          <w:lang w:eastAsia="en-US"/>
        </w:rPr>
        <w:t xml:space="preserve">: </w:t>
      </w:r>
      <w:r w:rsidR="006D3E68">
        <w:rPr>
          <w:rFonts w:ascii="Arial Narrow" w:hAnsi="Arial Narrow" w:cs="Arial"/>
          <w:b/>
          <w:sz w:val="20"/>
          <w:szCs w:val="16"/>
          <w:lang w:eastAsia="en-US"/>
        </w:rPr>
        <w:t xml:space="preserve">Estimates of numbers and types of </w:t>
      </w:r>
      <w:r w:rsidR="00BC6FA4">
        <w:rPr>
          <w:rFonts w:ascii="Arial Narrow" w:hAnsi="Arial Narrow" w:cs="Arial"/>
          <w:b/>
          <w:sz w:val="20"/>
          <w:szCs w:val="16"/>
          <w:lang w:eastAsia="en-US"/>
        </w:rPr>
        <w:t xml:space="preserve">patients with Stage IV NSCLC </w:t>
      </w:r>
      <w:r w:rsidR="006D3E68">
        <w:rPr>
          <w:rFonts w:ascii="Arial Narrow" w:hAnsi="Arial Narrow" w:cs="Arial"/>
          <w:b/>
          <w:sz w:val="20"/>
          <w:szCs w:val="16"/>
          <w:lang w:eastAsia="en-US"/>
        </w:rPr>
        <w:t xml:space="preserve">treated with pembrolizumab as presented in the minor resubmission </w:t>
      </w:r>
      <w:r w:rsidR="006D3E68" w:rsidRPr="006D3E68">
        <w:rPr>
          <w:rFonts w:ascii="Arial Narrow" w:hAnsi="Arial Narrow" w:cs="Arial"/>
          <w:b/>
          <w:i/>
          <w:sz w:val="20"/>
          <w:szCs w:val="16"/>
          <w:lang w:eastAsia="en-US"/>
        </w:rPr>
        <w:t xml:space="preserve">with a comparison of these estimates </w:t>
      </w:r>
      <w:r w:rsidR="006D3E68">
        <w:rPr>
          <w:rFonts w:ascii="Arial Narrow" w:hAnsi="Arial Narrow" w:cs="Arial"/>
          <w:b/>
          <w:i/>
          <w:sz w:val="20"/>
          <w:szCs w:val="16"/>
          <w:lang w:eastAsia="en-US"/>
        </w:rPr>
        <w:t xml:space="preserve">generated </w:t>
      </w:r>
      <w:r w:rsidR="006D3E68" w:rsidRPr="006D3E68">
        <w:rPr>
          <w:rFonts w:ascii="Arial Narrow" w:hAnsi="Arial Narrow" w:cs="Arial"/>
          <w:b/>
          <w:i/>
          <w:sz w:val="20"/>
          <w:szCs w:val="16"/>
          <w:lang w:eastAsia="en-US"/>
        </w:rPr>
        <w:t>with reference to the economic and financial models</w:t>
      </w:r>
      <w:r w:rsidR="006D3E68">
        <w:rPr>
          <w:rFonts w:ascii="Arial Narrow" w:hAnsi="Arial Narrow" w:cs="Arial"/>
          <w:b/>
          <w:i/>
          <w:sz w:val="20"/>
          <w:szCs w:val="16"/>
          <w:lang w:eastAsia="en-US"/>
        </w:rPr>
        <w:t xml:space="preserve"> of the minor resubmission</w:t>
      </w:r>
    </w:p>
    <w:tbl>
      <w:tblPr>
        <w:tblStyle w:val="TableGrid"/>
        <w:tblW w:w="9100" w:type="dxa"/>
        <w:tblCellMar>
          <w:top w:w="28" w:type="dxa"/>
          <w:left w:w="28" w:type="dxa"/>
          <w:bottom w:w="28" w:type="dxa"/>
          <w:right w:w="28" w:type="dxa"/>
        </w:tblCellMar>
        <w:tblLook w:val="04A0" w:firstRow="1" w:lastRow="0" w:firstColumn="1" w:lastColumn="0" w:noHBand="0" w:noVBand="1"/>
      </w:tblPr>
      <w:tblGrid>
        <w:gridCol w:w="312"/>
        <w:gridCol w:w="1276"/>
        <w:gridCol w:w="3260"/>
        <w:gridCol w:w="709"/>
        <w:gridCol w:w="708"/>
        <w:gridCol w:w="709"/>
        <w:gridCol w:w="709"/>
        <w:gridCol w:w="709"/>
        <w:gridCol w:w="708"/>
      </w:tblGrid>
      <w:tr w:rsidR="00593B92" w:rsidRPr="00E24312" w:rsidTr="00B434BC">
        <w:tc>
          <w:tcPr>
            <w:tcW w:w="312" w:type="dxa"/>
          </w:tcPr>
          <w:p w:rsidR="00593B92" w:rsidRPr="00E964DA" w:rsidRDefault="00593B92" w:rsidP="00A91CE7">
            <w:pPr>
              <w:pStyle w:val="NoSpacing"/>
              <w:rPr>
                <w:rFonts w:ascii="Arial Narrow" w:hAnsi="Arial Narrow" w:cs="Arial"/>
                <w:b/>
                <w:sz w:val="20"/>
                <w:szCs w:val="20"/>
              </w:rPr>
            </w:pPr>
          </w:p>
        </w:tc>
        <w:tc>
          <w:tcPr>
            <w:tcW w:w="4536" w:type="dxa"/>
            <w:gridSpan w:val="2"/>
          </w:tcPr>
          <w:p w:rsidR="00593B92" w:rsidRPr="00E964DA" w:rsidRDefault="00593B92" w:rsidP="00A91CE7">
            <w:pPr>
              <w:pStyle w:val="NoSpacing"/>
              <w:jc w:val="left"/>
              <w:rPr>
                <w:rFonts w:ascii="Arial Narrow" w:hAnsi="Arial Narrow" w:cs="Arial"/>
                <w:b/>
                <w:sz w:val="20"/>
                <w:szCs w:val="20"/>
              </w:rPr>
            </w:pPr>
            <w:r w:rsidRPr="002F7C2E">
              <w:rPr>
                <w:rFonts w:ascii="Arial Narrow" w:hAnsi="Arial Narrow" w:cs="Arial"/>
                <w:b/>
                <w:sz w:val="20"/>
                <w:szCs w:val="20"/>
              </w:rPr>
              <w:t>Population assumptions</w:t>
            </w:r>
          </w:p>
        </w:tc>
        <w:tc>
          <w:tcPr>
            <w:tcW w:w="709" w:type="dxa"/>
            <w:vAlign w:val="center"/>
          </w:tcPr>
          <w:p w:rsidR="00593B92" w:rsidRPr="00E964DA" w:rsidRDefault="00593B92" w:rsidP="00A91CE7">
            <w:pPr>
              <w:pStyle w:val="NoSpacing"/>
              <w:jc w:val="center"/>
              <w:rPr>
                <w:rFonts w:ascii="Arial Narrow" w:hAnsi="Arial Narrow" w:cs="Arial"/>
                <w:b/>
                <w:sz w:val="20"/>
                <w:szCs w:val="20"/>
              </w:rPr>
            </w:pPr>
            <w:r w:rsidRPr="002F7C2E">
              <w:rPr>
                <w:rFonts w:ascii="Arial Narrow" w:hAnsi="Arial Narrow" w:cs="Arial"/>
                <w:b/>
                <w:sz w:val="20"/>
                <w:szCs w:val="20"/>
              </w:rPr>
              <w:t>Year 1</w:t>
            </w:r>
          </w:p>
        </w:tc>
        <w:tc>
          <w:tcPr>
            <w:tcW w:w="708" w:type="dxa"/>
            <w:vAlign w:val="center"/>
          </w:tcPr>
          <w:p w:rsidR="00593B92" w:rsidRPr="00E964DA" w:rsidRDefault="00593B92" w:rsidP="00A91CE7">
            <w:pPr>
              <w:pStyle w:val="NoSpacing"/>
              <w:jc w:val="center"/>
              <w:rPr>
                <w:rFonts w:ascii="Arial Narrow" w:hAnsi="Arial Narrow" w:cs="Arial"/>
                <w:b/>
                <w:sz w:val="20"/>
                <w:szCs w:val="20"/>
              </w:rPr>
            </w:pPr>
            <w:r w:rsidRPr="002F7C2E">
              <w:rPr>
                <w:rFonts w:ascii="Arial Narrow" w:hAnsi="Arial Narrow" w:cs="Arial"/>
                <w:b/>
                <w:sz w:val="20"/>
                <w:szCs w:val="20"/>
              </w:rPr>
              <w:t>Year 2</w:t>
            </w:r>
          </w:p>
        </w:tc>
        <w:tc>
          <w:tcPr>
            <w:tcW w:w="709" w:type="dxa"/>
            <w:vAlign w:val="center"/>
          </w:tcPr>
          <w:p w:rsidR="00593B92" w:rsidRPr="00E964DA" w:rsidRDefault="00593B92" w:rsidP="00A91CE7">
            <w:pPr>
              <w:pStyle w:val="NoSpacing"/>
              <w:jc w:val="center"/>
              <w:rPr>
                <w:rFonts w:ascii="Arial Narrow" w:hAnsi="Arial Narrow" w:cs="Arial"/>
                <w:b/>
                <w:sz w:val="20"/>
                <w:szCs w:val="20"/>
              </w:rPr>
            </w:pPr>
            <w:r w:rsidRPr="002F7C2E">
              <w:rPr>
                <w:rFonts w:ascii="Arial Narrow" w:hAnsi="Arial Narrow" w:cs="Arial"/>
                <w:b/>
                <w:sz w:val="20"/>
                <w:szCs w:val="20"/>
              </w:rPr>
              <w:t>Year 3</w:t>
            </w:r>
          </w:p>
        </w:tc>
        <w:tc>
          <w:tcPr>
            <w:tcW w:w="709" w:type="dxa"/>
            <w:vAlign w:val="center"/>
          </w:tcPr>
          <w:p w:rsidR="00593B92" w:rsidRPr="00E964DA" w:rsidRDefault="00593B92" w:rsidP="00A91CE7">
            <w:pPr>
              <w:pStyle w:val="NoSpacing"/>
              <w:jc w:val="center"/>
              <w:rPr>
                <w:rFonts w:ascii="Arial Narrow" w:hAnsi="Arial Narrow" w:cs="Arial"/>
                <w:b/>
                <w:sz w:val="20"/>
                <w:szCs w:val="20"/>
              </w:rPr>
            </w:pPr>
            <w:r w:rsidRPr="002F7C2E">
              <w:rPr>
                <w:rFonts w:ascii="Arial Narrow" w:hAnsi="Arial Narrow" w:cs="Arial"/>
                <w:b/>
                <w:sz w:val="20"/>
                <w:szCs w:val="20"/>
              </w:rPr>
              <w:t>Year 4</w:t>
            </w:r>
          </w:p>
        </w:tc>
        <w:tc>
          <w:tcPr>
            <w:tcW w:w="709" w:type="dxa"/>
            <w:vAlign w:val="center"/>
          </w:tcPr>
          <w:p w:rsidR="00593B92" w:rsidRPr="00E964DA" w:rsidRDefault="00593B92" w:rsidP="00A91CE7">
            <w:pPr>
              <w:pStyle w:val="NoSpacing"/>
              <w:jc w:val="center"/>
              <w:rPr>
                <w:rFonts w:ascii="Arial Narrow" w:hAnsi="Arial Narrow" w:cs="Arial"/>
                <w:b/>
                <w:sz w:val="20"/>
                <w:szCs w:val="20"/>
              </w:rPr>
            </w:pPr>
            <w:r w:rsidRPr="002F7C2E">
              <w:rPr>
                <w:rFonts w:ascii="Arial Narrow" w:hAnsi="Arial Narrow" w:cs="Arial"/>
                <w:b/>
                <w:sz w:val="20"/>
                <w:szCs w:val="20"/>
              </w:rPr>
              <w:t>Year 5</w:t>
            </w:r>
          </w:p>
        </w:tc>
        <w:tc>
          <w:tcPr>
            <w:tcW w:w="708" w:type="dxa"/>
            <w:vAlign w:val="center"/>
          </w:tcPr>
          <w:p w:rsidR="00593B92" w:rsidRPr="00E964DA" w:rsidRDefault="00593B92" w:rsidP="00A91CE7">
            <w:pPr>
              <w:pStyle w:val="NoSpacing"/>
              <w:jc w:val="center"/>
              <w:rPr>
                <w:rFonts w:ascii="Arial Narrow" w:hAnsi="Arial Narrow" w:cs="Arial"/>
                <w:b/>
                <w:sz w:val="20"/>
                <w:szCs w:val="20"/>
              </w:rPr>
            </w:pPr>
            <w:r w:rsidRPr="002F7C2E">
              <w:rPr>
                <w:rFonts w:ascii="Arial Narrow" w:hAnsi="Arial Narrow" w:cs="Arial"/>
                <w:b/>
                <w:sz w:val="20"/>
                <w:szCs w:val="20"/>
              </w:rPr>
              <w:t>Year 6</w:t>
            </w:r>
          </w:p>
        </w:tc>
      </w:tr>
      <w:tr w:rsidR="00593B92" w:rsidRPr="00E24312" w:rsidTr="00B434BC">
        <w:tc>
          <w:tcPr>
            <w:tcW w:w="312" w:type="dxa"/>
          </w:tcPr>
          <w:p w:rsidR="00593B92" w:rsidRPr="00E964DA" w:rsidRDefault="00593B92" w:rsidP="00A91CE7">
            <w:pPr>
              <w:pStyle w:val="NoSpacing"/>
              <w:rPr>
                <w:rFonts w:ascii="Arial Narrow" w:hAnsi="Arial Narrow" w:cs="Arial"/>
                <w:sz w:val="20"/>
                <w:szCs w:val="20"/>
              </w:rPr>
            </w:pPr>
            <w:r w:rsidRPr="002F7C2E">
              <w:rPr>
                <w:rFonts w:ascii="Arial Narrow" w:hAnsi="Arial Narrow" w:cs="Arial"/>
                <w:sz w:val="20"/>
                <w:szCs w:val="20"/>
              </w:rPr>
              <w:t>A</w:t>
            </w:r>
          </w:p>
        </w:tc>
        <w:tc>
          <w:tcPr>
            <w:tcW w:w="4536" w:type="dxa"/>
            <w:gridSpan w:val="2"/>
          </w:tcPr>
          <w:p w:rsidR="00593B92" w:rsidRPr="00E964DA" w:rsidRDefault="00593B92" w:rsidP="00A91CE7">
            <w:pPr>
              <w:pStyle w:val="NoSpacing"/>
              <w:jc w:val="left"/>
              <w:rPr>
                <w:rFonts w:ascii="Arial Narrow" w:hAnsi="Arial Narrow" w:cs="Arial"/>
                <w:sz w:val="20"/>
                <w:szCs w:val="20"/>
              </w:rPr>
            </w:pPr>
            <w:r w:rsidRPr="002F7C2E">
              <w:rPr>
                <w:rFonts w:ascii="Arial Narrow" w:hAnsi="Arial Narrow" w:cs="Arial"/>
                <w:sz w:val="20"/>
                <w:szCs w:val="20"/>
              </w:rPr>
              <w:t>Patients who switch from chemo to pembro</w:t>
            </w:r>
          </w:p>
        </w:tc>
        <w:tc>
          <w:tcPr>
            <w:tcW w:w="709" w:type="dxa"/>
            <w:vAlign w:val="center"/>
          </w:tcPr>
          <w:p w:rsidR="00593B92"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8" w:type="dxa"/>
            <w:vAlign w:val="center"/>
          </w:tcPr>
          <w:p w:rsidR="00593B92"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vAlign w:val="center"/>
          </w:tcPr>
          <w:p w:rsidR="00593B92"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vAlign w:val="center"/>
          </w:tcPr>
          <w:p w:rsidR="00593B92"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vAlign w:val="center"/>
          </w:tcPr>
          <w:p w:rsidR="00593B92"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8" w:type="dxa"/>
            <w:vAlign w:val="center"/>
          </w:tcPr>
          <w:p w:rsidR="00593B92"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593B92" w:rsidRPr="00E24312" w:rsidTr="00B434BC">
        <w:tc>
          <w:tcPr>
            <w:tcW w:w="312" w:type="dxa"/>
            <w:tcBorders>
              <w:bottom w:val="single" w:sz="4" w:space="0" w:color="auto"/>
            </w:tcBorders>
          </w:tcPr>
          <w:p w:rsidR="00593B92" w:rsidRPr="00E964DA" w:rsidRDefault="00593B92" w:rsidP="00A91CE7">
            <w:pPr>
              <w:pStyle w:val="NoSpacing"/>
              <w:rPr>
                <w:rFonts w:ascii="Arial Narrow" w:hAnsi="Arial Narrow" w:cs="Arial"/>
                <w:sz w:val="20"/>
                <w:szCs w:val="20"/>
              </w:rPr>
            </w:pPr>
            <w:r w:rsidRPr="002F7C2E">
              <w:rPr>
                <w:rFonts w:ascii="Arial Narrow" w:hAnsi="Arial Narrow" w:cs="Arial"/>
                <w:sz w:val="20"/>
                <w:szCs w:val="20"/>
              </w:rPr>
              <w:t>B</w:t>
            </w:r>
          </w:p>
        </w:tc>
        <w:tc>
          <w:tcPr>
            <w:tcW w:w="4536" w:type="dxa"/>
            <w:gridSpan w:val="2"/>
            <w:tcBorders>
              <w:bottom w:val="single" w:sz="4" w:space="0" w:color="auto"/>
            </w:tcBorders>
          </w:tcPr>
          <w:p w:rsidR="00593B92" w:rsidRPr="00E964DA" w:rsidRDefault="00593B92" w:rsidP="00A91CE7">
            <w:pPr>
              <w:pStyle w:val="NoSpacing"/>
              <w:jc w:val="left"/>
              <w:rPr>
                <w:rFonts w:ascii="Arial Narrow" w:hAnsi="Arial Narrow" w:cs="Arial"/>
                <w:sz w:val="20"/>
                <w:szCs w:val="20"/>
              </w:rPr>
            </w:pPr>
            <w:r w:rsidRPr="002F7C2E">
              <w:rPr>
                <w:rFonts w:ascii="Arial Narrow" w:hAnsi="Arial Narrow" w:cs="Arial"/>
                <w:sz w:val="20"/>
                <w:szCs w:val="20"/>
              </w:rPr>
              <w:t>Incremental pembro patients (would not have had chemo)</w:t>
            </w:r>
          </w:p>
        </w:tc>
        <w:tc>
          <w:tcPr>
            <w:tcW w:w="709" w:type="dxa"/>
            <w:tcBorders>
              <w:bottom w:val="single" w:sz="4" w:space="0" w:color="auto"/>
            </w:tcBorders>
            <w:vAlign w:val="center"/>
          </w:tcPr>
          <w:p w:rsidR="00593B92"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8" w:type="dxa"/>
            <w:tcBorders>
              <w:bottom w:val="single" w:sz="4" w:space="0" w:color="auto"/>
            </w:tcBorders>
            <w:vAlign w:val="center"/>
          </w:tcPr>
          <w:p w:rsidR="00593B92"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bottom w:val="single" w:sz="4" w:space="0" w:color="auto"/>
            </w:tcBorders>
            <w:vAlign w:val="center"/>
          </w:tcPr>
          <w:p w:rsidR="00593B92"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bottom w:val="single" w:sz="4" w:space="0" w:color="auto"/>
            </w:tcBorders>
            <w:vAlign w:val="center"/>
          </w:tcPr>
          <w:p w:rsidR="00593B92"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bottom w:val="single" w:sz="4" w:space="0" w:color="auto"/>
            </w:tcBorders>
            <w:vAlign w:val="center"/>
          </w:tcPr>
          <w:p w:rsidR="00593B92"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8" w:type="dxa"/>
            <w:tcBorders>
              <w:bottom w:val="single" w:sz="4" w:space="0" w:color="auto"/>
            </w:tcBorders>
            <w:vAlign w:val="center"/>
          </w:tcPr>
          <w:p w:rsidR="00593B92"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190BE7" w:rsidRPr="00E24312" w:rsidTr="00190BE7">
        <w:tc>
          <w:tcPr>
            <w:tcW w:w="312" w:type="dxa"/>
            <w:tcBorders>
              <w:bottom w:val="single" w:sz="4" w:space="0" w:color="auto"/>
            </w:tcBorders>
          </w:tcPr>
          <w:p w:rsidR="00190BE7" w:rsidRPr="00E964DA" w:rsidRDefault="00190BE7" w:rsidP="00A91CE7">
            <w:pPr>
              <w:rPr>
                <w:rFonts w:ascii="Arial Narrow" w:hAnsi="Arial Narrow"/>
                <w:sz w:val="20"/>
                <w:szCs w:val="20"/>
              </w:rPr>
            </w:pPr>
            <w:r w:rsidRPr="002F7C2E">
              <w:rPr>
                <w:rFonts w:ascii="Arial Narrow" w:hAnsi="Arial Narrow"/>
                <w:sz w:val="20"/>
                <w:szCs w:val="20"/>
              </w:rPr>
              <w:t>C1</w:t>
            </w:r>
          </w:p>
        </w:tc>
        <w:tc>
          <w:tcPr>
            <w:tcW w:w="1276" w:type="dxa"/>
            <w:vMerge w:val="restart"/>
            <w:vAlign w:val="center"/>
          </w:tcPr>
          <w:p w:rsidR="00190BE7" w:rsidRPr="00E964DA" w:rsidRDefault="00190BE7" w:rsidP="00190BE7">
            <w:pPr>
              <w:rPr>
                <w:rFonts w:ascii="Arial Narrow" w:hAnsi="Arial Narrow"/>
                <w:sz w:val="20"/>
                <w:szCs w:val="20"/>
                <w:vertAlign w:val="superscript"/>
              </w:rPr>
            </w:pPr>
            <w:r w:rsidRPr="002F7C2E">
              <w:rPr>
                <w:rFonts w:ascii="Arial Narrow" w:hAnsi="Arial Narrow"/>
                <w:sz w:val="20"/>
                <w:szCs w:val="20"/>
              </w:rPr>
              <w:t>Grandfathered patients</w:t>
            </w:r>
          </w:p>
        </w:tc>
        <w:tc>
          <w:tcPr>
            <w:tcW w:w="3260" w:type="dxa"/>
            <w:tcBorders>
              <w:bottom w:val="single" w:sz="4" w:space="0" w:color="auto"/>
            </w:tcBorders>
          </w:tcPr>
          <w:p w:rsidR="00190BE7" w:rsidRPr="00E964DA" w:rsidRDefault="00190BE7" w:rsidP="00A91CE7">
            <w:pPr>
              <w:rPr>
                <w:rFonts w:ascii="Arial Narrow" w:hAnsi="Arial Narrow"/>
                <w:sz w:val="20"/>
                <w:szCs w:val="20"/>
                <w:vertAlign w:val="superscript"/>
              </w:rPr>
            </w:pPr>
            <w:r w:rsidRPr="002F7C2E">
              <w:rPr>
                <w:rFonts w:ascii="Arial Narrow" w:hAnsi="Arial Narrow" w:cs="Arial"/>
                <w:sz w:val="20"/>
                <w:szCs w:val="20"/>
              </w:rPr>
              <w:t>Patients who switched from chemo to pembro</w:t>
            </w:r>
          </w:p>
        </w:tc>
        <w:tc>
          <w:tcPr>
            <w:tcW w:w="709" w:type="dxa"/>
            <w:tcBorders>
              <w:bottom w:val="single" w:sz="4" w:space="0" w:color="auto"/>
            </w:tcBorders>
            <w:vAlign w:val="center"/>
          </w:tcPr>
          <w:p w:rsidR="00190BE7" w:rsidRPr="00E964DA" w:rsidRDefault="00E964DA" w:rsidP="00A91CE7">
            <w:pPr>
              <w:jc w:val="center"/>
              <w:rPr>
                <w:rFonts w:ascii="Arial Narrow" w:hAnsi="Arial Narrow"/>
                <w:sz w:val="20"/>
                <w:szCs w:val="20"/>
                <w:highlight w:val="black"/>
                <w:vertAlign w:val="superscript"/>
              </w:rPr>
            </w:pPr>
            <w:r>
              <w:rPr>
                <w:rFonts w:ascii="Arial Narrow" w:hAnsi="Arial Narrow"/>
                <w:noProof/>
                <w:color w:val="000000"/>
                <w:sz w:val="20"/>
                <w:szCs w:val="20"/>
                <w:highlight w:val="black"/>
              </w:rPr>
              <w:t>'''''''''</w:t>
            </w:r>
          </w:p>
        </w:tc>
        <w:tc>
          <w:tcPr>
            <w:tcW w:w="708" w:type="dxa"/>
            <w:tcBorders>
              <w:bottom w:val="single" w:sz="4" w:space="0" w:color="auto"/>
            </w:tcBorders>
            <w:vAlign w:val="center"/>
          </w:tcPr>
          <w:p w:rsidR="00190BE7" w:rsidRPr="00E964DA" w:rsidRDefault="00E964DA" w:rsidP="00A91CE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9" w:type="dxa"/>
            <w:tcBorders>
              <w:bottom w:val="single" w:sz="4" w:space="0" w:color="auto"/>
            </w:tcBorders>
            <w:vAlign w:val="center"/>
          </w:tcPr>
          <w:p w:rsidR="00190BE7" w:rsidRPr="00E964DA" w:rsidRDefault="00E964DA" w:rsidP="00A91CE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9" w:type="dxa"/>
            <w:tcBorders>
              <w:bottom w:val="single" w:sz="4" w:space="0" w:color="auto"/>
            </w:tcBorders>
            <w:vAlign w:val="center"/>
          </w:tcPr>
          <w:p w:rsidR="00190BE7" w:rsidRPr="00E964DA" w:rsidRDefault="00E964DA" w:rsidP="00A91CE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9" w:type="dxa"/>
            <w:tcBorders>
              <w:bottom w:val="single" w:sz="4" w:space="0" w:color="auto"/>
            </w:tcBorders>
            <w:vAlign w:val="center"/>
          </w:tcPr>
          <w:p w:rsidR="00190BE7" w:rsidRPr="00E964DA" w:rsidRDefault="00E964DA" w:rsidP="00A91CE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8" w:type="dxa"/>
            <w:tcBorders>
              <w:bottom w:val="single" w:sz="4" w:space="0" w:color="auto"/>
            </w:tcBorders>
            <w:vAlign w:val="center"/>
          </w:tcPr>
          <w:p w:rsidR="00190BE7" w:rsidRPr="00E964DA" w:rsidRDefault="00E964DA" w:rsidP="00A91CE7">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90BE7" w:rsidRPr="00E24312" w:rsidTr="00190BE7">
        <w:trPr>
          <w:trHeight w:val="471"/>
        </w:trPr>
        <w:tc>
          <w:tcPr>
            <w:tcW w:w="312" w:type="dxa"/>
            <w:tcBorders>
              <w:top w:val="single" w:sz="4" w:space="0" w:color="auto"/>
              <w:bottom w:val="double" w:sz="4" w:space="0" w:color="auto"/>
            </w:tcBorders>
          </w:tcPr>
          <w:p w:rsidR="00190BE7" w:rsidRPr="00E964DA" w:rsidRDefault="00E964DA" w:rsidP="00A91CE7">
            <w:pP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tcBorders>
              <w:bottom w:val="double" w:sz="4" w:space="0" w:color="auto"/>
            </w:tcBorders>
          </w:tcPr>
          <w:p w:rsidR="00190BE7" w:rsidRPr="00E964DA" w:rsidRDefault="00190BE7" w:rsidP="00A91CE7">
            <w:pPr>
              <w:rPr>
                <w:rFonts w:ascii="Arial Narrow" w:hAnsi="Arial Narrow"/>
                <w:sz w:val="20"/>
                <w:szCs w:val="20"/>
              </w:rPr>
            </w:pPr>
          </w:p>
        </w:tc>
        <w:tc>
          <w:tcPr>
            <w:tcW w:w="3260" w:type="dxa"/>
            <w:tcBorders>
              <w:top w:val="single" w:sz="4" w:space="0" w:color="auto"/>
              <w:bottom w:val="double" w:sz="4" w:space="0" w:color="auto"/>
            </w:tcBorders>
          </w:tcPr>
          <w:p w:rsidR="00190BE7" w:rsidRPr="00E964DA" w:rsidRDefault="00190BE7" w:rsidP="00076DBF">
            <w:pPr>
              <w:rPr>
                <w:rFonts w:ascii="Arial Narrow" w:hAnsi="Arial Narrow"/>
                <w:sz w:val="20"/>
                <w:szCs w:val="20"/>
              </w:rPr>
            </w:pPr>
            <w:r w:rsidRPr="002F7C2E">
              <w:rPr>
                <w:rFonts w:ascii="Arial Narrow" w:hAnsi="Arial Narrow"/>
                <w:sz w:val="20"/>
                <w:szCs w:val="20"/>
              </w:rPr>
              <w:t>Patients who have taken pembro but would not have received chemo</w:t>
            </w:r>
          </w:p>
        </w:tc>
        <w:tc>
          <w:tcPr>
            <w:tcW w:w="709" w:type="dxa"/>
            <w:tcBorders>
              <w:top w:val="single" w:sz="4" w:space="0" w:color="auto"/>
              <w:bottom w:val="double" w:sz="4" w:space="0" w:color="auto"/>
            </w:tcBorders>
            <w:vAlign w:val="center"/>
          </w:tcPr>
          <w:p w:rsidR="00190BE7" w:rsidRPr="00E964DA" w:rsidRDefault="00E964DA" w:rsidP="00A91CE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8" w:type="dxa"/>
            <w:tcBorders>
              <w:top w:val="single" w:sz="4" w:space="0" w:color="auto"/>
              <w:bottom w:val="double" w:sz="4" w:space="0" w:color="auto"/>
            </w:tcBorders>
            <w:vAlign w:val="center"/>
          </w:tcPr>
          <w:p w:rsidR="00190BE7" w:rsidRPr="00E964DA" w:rsidRDefault="00E964DA" w:rsidP="00190BE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9" w:type="dxa"/>
            <w:tcBorders>
              <w:top w:val="single" w:sz="4" w:space="0" w:color="auto"/>
              <w:bottom w:val="double" w:sz="4" w:space="0" w:color="auto"/>
            </w:tcBorders>
            <w:vAlign w:val="center"/>
          </w:tcPr>
          <w:p w:rsidR="00190BE7" w:rsidRPr="00E964DA" w:rsidRDefault="00E964DA" w:rsidP="00190BE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9" w:type="dxa"/>
            <w:tcBorders>
              <w:top w:val="single" w:sz="4" w:space="0" w:color="auto"/>
              <w:bottom w:val="double" w:sz="4" w:space="0" w:color="auto"/>
            </w:tcBorders>
            <w:vAlign w:val="center"/>
          </w:tcPr>
          <w:p w:rsidR="00190BE7" w:rsidRPr="00E964DA" w:rsidRDefault="00E964DA" w:rsidP="00190BE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9" w:type="dxa"/>
            <w:tcBorders>
              <w:top w:val="single" w:sz="4" w:space="0" w:color="auto"/>
              <w:bottom w:val="double" w:sz="4" w:space="0" w:color="auto"/>
            </w:tcBorders>
            <w:vAlign w:val="center"/>
          </w:tcPr>
          <w:p w:rsidR="00190BE7" w:rsidRPr="00E964DA" w:rsidRDefault="00E964DA" w:rsidP="00190BE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8" w:type="dxa"/>
            <w:tcBorders>
              <w:top w:val="single" w:sz="4" w:space="0" w:color="auto"/>
              <w:bottom w:val="double" w:sz="4" w:space="0" w:color="auto"/>
            </w:tcBorders>
            <w:vAlign w:val="center"/>
          </w:tcPr>
          <w:p w:rsidR="00190BE7" w:rsidRPr="00E964DA" w:rsidRDefault="00E964DA" w:rsidP="00190BE7">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90BE7" w:rsidRPr="00E24312" w:rsidTr="00B434BC">
        <w:trPr>
          <w:trHeight w:val="26"/>
        </w:trPr>
        <w:tc>
          <w:tcPr>
            <w:tcW w:w="312" w:type="dxa"/>
            <w:tcBorders>
              <w:top w:val="double" w:sz="4" w:space="0" w:color="auto"/>
              <w:bottom w:val="double" w:sz="4" w:space="0" w:color="auto"/>
            </w:tcBorders>
            <w:shd w:val="clear" w:color="auto" w:fill="auto"/>
          </w:tcPr>
          <w:p w:rsidR="00190BE7" w:rsidRPr="00E964DA" w:rsidRDefault="00190BE7" w:rsidP="00A91CE7">
            <w:pPr>
              <w:rPr>
                <w:rFonts w:ascii="Arial Narrow" w:hAnsi="Arial Narrow"/>
                <w:b/>
                <w:sz w:val="20"/>
                <w:szCs w:val="20"/>
              </w:rPr>
            </w:pPr>
          </w:p>
        </w:tc>
        <w:tc>
          <w:tcPr>
            <w:tcW w:w="4536" w:type="dxa"/>
            <w:gridSpan w:val="2"/>
            <w:tcBorders>
              <w:top w:val="double" w:sz="4" w:space="0" w:color="auto"/>
              <w:bottom w:val="double" w:sz="4" w:space="0" w:color="auto"/>
            </w:tcBorders>
            <w:shd w:val="clear" w:color="auto" w:fill="auto"/>
          </w:tcPr>
          <w:p w:rsidR="00190BE7" w:rsidRPr="00E964DA" w:rsidRDefault="00190BE7" w:rsidP="00A91CE7">
            <w:pPr>
              <w:rPr>
                <w:rFonts w:ascii="Arial Narrow" w:hAnsi="Arial Narrow"/>
                <w:b/>
                <w:sz w:val="20"/>
                <w:szCs w:val="20"/>
              </w:rPr>
            </w:pPr>
            <w:r w:rsidRPr="002F7C2E">
              <w:rPr>
                <w:rFonts w:ascii="Arial Narrow" w:hAnsi="Arial Narrow"/>
                <w:b/>
                <w:sz w:val="20"/>
                <w:szCs w:val="20"/>
              </w:rPr>
              <w:t>Total pembro patients (A + B + C)</w:t>
            </w:r>
          </w:p>
        </w:tc>
        <w:tc>
          <w:tcPr>
            <w:tcW w:w="709" w:type="dxa"/>
            <w:tcBorders>
              <w:top w:val="double" w:sz="4" w:space="0" w:color="auto"/>
              <w:bottom w:val="double" w:sz="4" w:space="0" w:color="auto"/>
            </w:tcBorders>
            <w:shd w:val="clear" w:color="auto" w:fill="auto"/>
            <w:vAlign w:val="center"/>
          </w:tcPr>
          <w:p w:rsidR="00190BE7"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8" w:type="dxa"/>
            <w:tcBorders>
              <w:top w:val="double" w:sz="4" w:space="0" w:color="auto"/>
              <w:bottom w:val="double" w:sz="4" w:space="0" w:color="auto"/>
            </w:tcBorders>
            <w:shd w:val="clear" w:color="auto" w:fill="auto"/>
            <w:vAlign w:val="center"/>
          </w:tcPr>
          <w:p w:rsidR="00190BE7"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top w:val="double" w:sz="4" w:space="0" w:color="auto"/>
              <w:bottom w:val="double" w:sz="4" w:space="0" w:color="auto"/>
            </w:tcBorders>
            <w:shd w:val="clear" w:color="auto" w:fill="auto"/>
            <w:vAlign w:val="center"/>
          </w:tcPr>
          <w:p w:rsidR="00190BE7"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top w:val="double" w:sz="4" w:space="0" w:color="auto"/>
              <w:bottom w:val="double" w:sz="4" w:space="0" w:color="auto"/>
            </w:tcBorders>
            <w:shd w:val="clear" w:color="auto" w:fill="auto"/>
            <w:vAlign w:val="center"/>
          </w:tcPr>
          <w:p w:rsidR="00190BE7"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top w:val="double" w:sz="4" w:space="0" w:color="auto"/>
              <w:bottom w:val="double" w:sz="4" w:space="0" w:color="auto"/>
            </w:tcBorders>
            <w:shd w:val="clear" w:color="auto" w:fill="auto"/>
            <w:vAlign w:val="center"/>
          </w:tcPr>
          <w:p w:rsidR="00190BE7"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8" w:type="dxa"/>
            <w:tcBorders>
              <w:top w:val="double" w:sz="4" w:space="0" w:color="auto"/>
              <w:bottom w:val="double" w:sz="4" w:space="0" w:color="auto"/>
            </w:tcBorders>
            <w:shd w:val="clear" w:color="auto" w:fill="auto"/>
            <w:vAlign w:val="center"/>
          </w:tcPr>
          <w:p w:rsidR="00190BE7"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190BE7" w:rsidRPr="00E24312" w:rsidTr="00B434BC">
        <w:trPr>
          <w:trHeight w:val="26"/>
        </w:trPr>
        <w:tc>
          <w:tcPr>
            <w:tcW w:w="312" w:type="dxa"/>
            <w:tcBorders>
              <w:top w:val="double" w:sz="4" w:space="0" w:color="auto"/>
              <w:bottom w:val="single" w:sz="4" w:space="0" w:color="auto"/>
            </w:tcBorders>
          </w:tcPr>
          <w:p w:rsidR="00190BE7" w:rsidRPr="00E964DA" w:rsidRDefault="00190BE7" w:rsidP="00A91CE7">
            <w:pPr>
              <w:rPr>
                <w:rFonts w:ascii="Arial Narrow" w:hAnsi="Arial Narrow"/>
                <w:sz w:val="20"/>
                <w:szCs w:val="20"/>
              </w:rPr>
            </w:pPr>
            <w:r w:rsidRPr="002F7C2E">
              <w:rPr>
                <w:rFonts w:ascii="Arial Narrow" w:hAnsi="Arial Narrow"/>
                <w:sz w:val="20"/>
                <w:szCs w:val="20"/>
              </w:rPr>
              <w:t>D</w:t>
            </w:r>
          </w:p>
        </w:tc>
        <w:tc>
          <w:tcPr>
            <w:tcW w:w="4536" w:type="dxa"/>
            <w:gridSpan w:val="2"/>
            <w:tcBorders>
              <w:top w:val="double" w:sz="4" w:space="0" w:color="auto"/>
              <w:bottom w:val="single" w:sz="4" w:space="0" w:color="auto"/>
            </w:tcBorders>
          </w:tcPr>
          <w:p w:rsidR="00190BE7" w:rsidRPr="00E964DA" w:rsidRDefault="00190BE7" w:rsidP="006D3E68">
            <w:pPr>
              <w:rPr>
                <w:rFonts w:ascii="Arial Narrow" w:hAnsi="Arial Narrow"/>
                <w:sz w:val="20"/>
                <w:szCs w:val="20"/>
              </w:rPr>
            </w:pPr>
            <w:r w:rsidRPr="002F7C2E">
              <w:rPr>
                <w:rFonts w:ascii="Arial Narrow" w:hAnsi="Arial Narrow"/>
                <w:sz w:val="20"/>
                <w:szCs w:val="20"/>
              </w:rPr>
              <w:t>Patients for whom a cost offset for nivolumab was generated by the economic and financial models (64.2% of A)</w:t>
            </w:r>
          </w:p>
        </w:tc>
        <w:tc>
          <w:tcPr>
            <w:tcW w:w="709" w:type="dxa"/>
            <w:tcBorders>
              <w:top w:val="double" w:sz="4" w:space="0" w:color="auto"/>
              <w:bottom w:val="single" w:sz="4" w:space="0" w:color="auto"/>
            </w:tcBorders>
            <w:vAlign w:val="center"/>
          </w:tcPr>
          <w:p w:rsidR="00190BE7" w:rsidRPr="00E964DA" w:rsidRDefault="00E964DA" w:rsidP="00A91CE7">
            <w:pPr>
              <w:pStyle w:val="NoSpacing"/>
              <w:jc w:val="center"/>
              <w:rPr>
                <w:rFonts w:ascii="Arial Narrow" w:hAnsi="Arial Narrow" w:cs="Arial"/>
                <w:sz w:val="20"/>
                <w:szCs w:val="20"/>
                <w:highlight w:val="black"/>
                <w:vertAlign w:val="superscript"/>
              </w:rPr>
            </w:pPr>
            <w:r>
              <w:rPr>
                <w:rFonts w:ascii="Arial Narrow" w:hAnsi="Arial Narrow" w:cs="Arial"/>
                <w:noProof/>
                <w:color w:val="000000"/>
                <w:sz w:val="20"/>
                <w:szCs w:val="20"/>
                <w:highlight w:val="black"/>
              </w:rPr>
              <w:t>''''''''''''</w:t>
            </w:r>
          </w:p>
        </w:tc>
        <w:tc>
          <w:tcPr>
            <w:tcW w:w="708" w:type="dxa"/>
            <w:tcBorders>
              <w:top w:val="double" w:sz="4" w:space="0" w:color="auto"/>
              <w:bottom w:val="single" w:sz="4" w:space="0" w:color="auto"/>
            </w:tcBorders>
            <w:vAlign w:val="center"/>
          </w:tcPr>
          <w:p w:rsidR="00190BE7" w:rsidRPr="00E964DA" w:rsidRDefault="00E964DA" w:rsidP="00A91CE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9" w:type="dxa"/>
            <w:tcBorders>
              <w:top w:val="double" w:sz="4" w:space="0" w:color="auto"/>
              <w:bottom w:val="single" w:sz="4" w:space="0" w:color="auto"/>
            </w:tcBorders>
            <w:vAlign w:val="center"/>
          </w:tcPr>
          <w:p w:rsidR="00190BE7" w:rsidRPr="00E964DA" w:rsidRDefault="00E964DA" w:rsidP="00A91CE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9" w:type="dxa"/>
            <w:tcBorders>
              <w:top w:val="double" w:sz="4" w:space="0" w:color="auto"/>
              <w:bottom w:val="single" w:sz="4" w:space="0" w:color="auto"/>
            </w:tcBorders>
            <w:vAlign w:val="center"/>
          </w:tcPr>
          <w:p w:rsidR="00190BE7" w:rsidRPr="00E964DA" w:rsidRDefault="00E964DA" w:rsidP="00A91CE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9" w:type="dxa"/>
            <w:tcBorders>
              <w:top w:val="double" w:sz="4" w:space="0" w:color="auto"/>
              <w:bottom w:val="single" w:sz="4" w:space="0" w:color="auto"/>
            </w:tcBorders>
            <w:vAlign w:val="center"/>
          </w:tcPr>
          <w:p w:rsidR="00190BE7" w:rsidRPr="00E964DA" w:rsidRDefault="00E964DA" w:rsidP="00A91CE7">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8" w:type="dxa"/>
            <w:tcBorders>
              <w:top w:val="double" w:sz="4" w:space="0" w:color="auto"/>
              <w:bottom w:val="single" w:sz="4" w:space="0" w:color="auto"/>
            </w:tcBorders>
            <w:vAlign w:val="center"/>
          </w:tcPr>
          <w:p w:rsidR="00190BE7" w:rsidRPr="00E964DA" w:rsidRDefault="00E964DA" w:rsidP="00A91CE7">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90BE7" w:rsidRPr="00E24312" w:rsidTr="00B434BC">
        <w:trPr>
          <w:trHeight w:val="26"/>
        </w:trPr>
        <w:tc>
          <w:tcPr>
            <w:tcW w:w="312" w:type="dxa"/>
            <w:tcBorders>
              <w:top w:val="single" w:sz="4" w:space="0" w:color="auto"/>
              <w:bottom w:val="single" w:sz="4" w:space="0" w:color="auto"/>
            </w:tcBorders>
          </w:tcPr>
          <w:p w:rsidR="00190BE7" w:rsidRPr="00E964DA" w:rsidRDefault="00190BE7" w:rsidP="00A91CE7">
            <w:pPr>
              <w:rPr>
                <w:rFonts w:ascii="Arial Narrow" w:hAnsi="Arial Narrow"/>
                <w:sz w:val="20"/>
                <w:szCs w:val="20"/>
              </w:rPr>
            </w:pPr>
            <w:r w:rsidRPr="002F7C2E">
              <w:rPr>
                <w:rFonts w:ascii="Arial Narrow" w:hAnsi="Arial Narrow"/>
                <w:sz w:val="20"/>
                <w:szCs w:val="20"/>
              </w:rPr>
              <w:t>E</w:t>
            </w:r>
          </w:p>
        </w:tc>
        <w:tc>
          <w:tcPr>
            <w:tcW w:w="4536" w:type="dxa"/>
            <w:gridSpan w:val="2"/>
            <w:tcBorders>
              <w:top w:val="single" w:sz="4" w:space="0" w:color="auto"/>
              <w:bottom w:val="single" w:sz="4" w:space="0" w:color="auto"/>
            </w:tcBorders>
          </w:tcPr>
          <w:p w:rsidR="00190BE7" w:rsidRPr="00E964DA" w:rsidRDefault="00190BE7" w:rsidP="00A91CE7">
            <w:pPr>
              <w:rPr>
                <w:rFonts w:ascii="Arial Narrow" w:hAnsi="Arial Narrow"/>
                <w:sz w:val="20"/>
                <w:szCs w:val="20"/>
              </w:rPr>
            </w:pPr>
            <w:r w:rsidRPr="002F7C2E">
              <w:rPr>
                <w:rFonts w:ascii="Arial Narrow" w:hAnsi="Arial Narrow"/>
                <w:sz w:val="20"/>
                <w:szCs w:val="20"/>
              </w:rPr>
              <w:t>Patients who would not have received second-line immunotherapy after progression (A – D)</w:t>
            </w:r>
          </w:p>
        </w:tc>
        <w:tc>
          <w:tcPr>
            <w:tcW w:w="709" w:type="dxa"/>
            <w:tcBorders>
              <w:top w:val="single" w:sz="4" w:space="0" w:color="auto"/>
              <w:bottom w:val="single" w:sz="4" w:space="0" w:color="auto"/>
            </w:tcBorders>
            <w:vAlign w:val="center"/>
          </w:tcPr>
          <w:p w:rsidR="00190BE7" w:rsidRPr="00E964DA" w:rsidRDefault="00E964DA" w:rsidP="00A91CE7">
            <w:pPr>
              <w:jc w:val="center"/>
              <w:rPr>
                <w:rFonts w:ascii="Arial Narrow" w:hAnsi="Arial Narrow" w:cs="Arial"/>
                <w:sz w:val="20"/>
                <w:szCs w:val="20"/>
                <w:highlight w:val="black"/>
                <w:vertAlign w:val="superscript"/>
              </w:rPr>
            </w:pPr>
            <w:r>
              <w:rPr>
                <w:rFonts w:ascii="Arial Narrow" w:hAnsi="Arial Narrow" w:cs="Arial"/>
                <w:noProof/>
                <w:color w:val="000000"/>
                <w:sz w:val="20"/>
                <w:szCs w:val="20"/>
                <w:highlight w:val="black"/>
              </w:rPr>
              <w:t>''''''''''''</w:t>
            </w:r>
          </w:p>
        </w:tc>
        <w:tc>
          <w:tcPr>
            <w:tcW w:w="708" w:type="dxa"/>
            <w:tcBorders>
              <w:top w:val="single" w:sz="4" w:space="0" w:color="auto"/>
              <w:bottom w:val="single" w:sz="4" w:space="0" w:color="auto"/>
            </w:tcBorders>
            <w:vAlign w:val="center"/>
          </w:tcPr>
          <w:p w:rsidR="00190BE7" w:rsidRPr="00E964DA" w:rsidRDefault="00E964DA" w:rsidP="00A91CE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top w:val="single" w:sz="4" w:space="0" w:color="auto"/>
              <w:bottom w:val="single" w:sz="4" w:space="0" w:color="auto"/>
            </w:tcBorders>
            <w:vAlign w:val="center"/>
          </w:tcPr>
          <w:p w:rsidR="00190BE7" w:rsidRPr="00E964DA" w:rsidRDefault="00E964DA" w:rsidP="00A91CE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top w:val="single" w:sz="4" w:space="0" w:color="auto"/>
              <w:bottom w:val="single" w:sz="4" w:space="0" w:color="auto"/>
            </w:tcBorders>
            <w:vAlign w:val="center"/>
          </w:tcPr>
          <w:p w:rsidR="00190BE7" w:rsidRPr="00E964DA" w:rsidRDefault="00E964DA" w:rsidP="00A91CE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top w:val="single" w:sz="4" w:space="0" w:color="auto"/>
              <w:bottom w:val="single" w:sz="4" w:space="0" w:color="auto"/>
            </w:tcBorders>
            <w:vAlign w:val="center"/>
          </w:tcPr>
          <w:p w:rsidR="00190BE7" w:rsidRPr="00E964DA" w:rsidRDefault="00E964DA" w:rsidP="00A91CE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8" w:type="dxa"/>
            <w:tcBorders>
              <w:top w:val="single" w:sz="4" w:space="0" w:color="auto"/>
              <w:bottom w:val="single" w:sz="4" w:space="0" w:color="auto"/>
            </w:tcBorders>
            <w:vAlign w:val="center"/>
          </w:tcPr>
          <w:p w:rsidR="00190BE7" w:rsidRPr="00E964DA" w:rsidRDefault="00E964DA" w:rsidP="00A91CE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190BE7" w:rsidRPr="00E24312" w:rsidTr="00B434BC">
        <w:trPr>
          <w:trHeight w:val="26"/>
        </w:trPr>
        <w:tc>
          <w:tcPr>
            <w:tcW w:w="312" w:type="dxa"/>
            <w:tcBorders>
              <w:top w:val="single" w:sz="4" w:space="0" w:color="auto"/>
              <w:bottom w:val="double" w:sz="4" w:space="0" w:color="auto"/>
            </w:tcBorders>
          </w:tcPr>
          <w:p w:rsidR="00190BE7" w:rsidRPr="00E964DA" w:rsidRDefault="00190BE7" w:rsidP="00A91CE7">
            <w:pPr>
              <w:rPr>
                <w:rFonts w:ascii="Arial Narrow" w:hAnsi="Arial Narrow"/>
                <w:sz w:val="20"/>
                <w:szCs w:val="20"/>
              </w:rPr>
            </w:pPr>
            <w:r w:rsidRPr="002F7C2E">
              <w:rPr>
                <w:rFonts w:ascii="Arial Narrow" w:hAnsi="Arial Narrow"/>
                <w:sz w:val="20"/>
                <w:szCs w:val="20"/>
              </w:rPr>
              <w:t>F</w:t>
            </w:r>
          </w:p>
        </w:tc>
        <w:tc>
          <w:tcPr>
            <w:tcW w:w="4536" w:type="dxa"/>
            <w:gridSpan w:val="2"/>
            <w:tcBorders>
              <w:top w:val="single" w:sz="4" w:space="0" w:color="auto"/>
              <w:bottom w:val="double" w:sz="4" w:space="0" w:color="auto"/>
            </w:tcBorders>
          </w:tcPr>
          <w:p w:rsidR="00190BE7" w:rsidRPr="00E964DA" w:rsidRDefault="00190BE7" w:rsidP="00A91CE7">
            <w:pPr>
              <w:rPr>
                <w:rFonts w:ascii="Arial Narrow" w:hAnsi="Arial Narrow"/>
                <w:sz w:val="20"/>
                <w:szCs w:val="20"/>
              </w:rPr>
            </w:pPr>
            <w:r w:rsidRPr="002F7C2E">
              <w:rPr>
                <w:rFonts w:ascii="Arial Narrow" w:hAnsi="Arial Narrow"/>
                <w:sz w:val="20"/>
                <w:szCs w:val="20"/>
              </w:rPr>
              <w:t>New first-line pembrolizumab population (B + E)</w:t>
            </w:r>
          </w:p>
        </w:tc>
        <w:tc>
          <w:tcPr>
            <w:tcW w:w="709" w:type="dxa"/>
            <w:tcBorders>
              <w:top w:val="single" w:sz="4" w:space="0" w:color="auto"/>
              <w:bottom w:val="double" w:sz="4" w:space="0" w:color="auto"/>
            </w:tcBorders>
            <w:vAlign w:val="center"/>
          </w:tcPr>
          <w:p w:rsidR="00190BE7" w:rsidRPr="00E964DA" w:rsidRDefault="00E964DA" w:rsidP="00A91CE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8" w:type="dxa"/>
            <w:tcBorders>
              <w:top w:val="single" w:sz="4" w:space="0" w:color="auto"/>
              <w:bottom w:val="double" w:sz="4" w:space="0" w:color="auto"/>
            </w:tcBorders>
            <w:vAlign w:val="center"/>
          </w:tcPr>
          <w:p w:rsidR="00190BE7" w:rsidRPr="00E964DA" w:rsidRDefault="00E964DA" w:rsidP="00A91CE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top w:val="single" w:sz="4" w:space="0" w:color="auto"/>
              <w:bottom w:val="double" w:sz="4" w:space="0" w:color="auto"/>
            </w:tcBorders>
            <w:vAlign w:val="center"/>
          </w:tcPr>
          <w:p w:rsidR="00190BE7" w:rsidRPr="00E964DA" w:rsidRDefault="00E964DA" w:rsidP="00A91CE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top w:val="single" w:sz="4" w:space="0" w:color="auto"/>
              <w:bottom w:val="double" w:sz="4" w:space="0" w:color="auto"/>
            </w:tcBorders>
            <w:vAlign w:val="center"/>
          </w:tcPr>
          <w:p w:rsidR="00190BE7" w:rsidRPr="00E964DA" w:rsidRDefault="00E964DA" w:rsidP="00A91CE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top w:val="single" w:sz="4" w:space="0" w:color="auto"/>
              <w:bottom w:val="double" w:sz="4" w:space="0" w:color="auto"/>
            </w:tcBorders>
            <w:vAlign w:val="center"/>
          </w:tcPr>
          <w:p w:rsidR="00190BE7" w:rsidRPr="00E964DA" w:rsidRDefault="00E964DA" w:rsidP="00A91CE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8" w:type="dxa"/>
            <w:tcBorders>
              <w:top w:val="single" w:sz="4" w:space="0" w:color="auto"/>
              <w:bottom w:val="double" w:sz="4" w:space="0" w:color="auto"/>
            </w:tcBorders>
            <w:vAlign w:val="center"/>
          </w:tcPr>
          <w:p w:rsidR="00190BE7" w:rsidRPr="00E964DA" w:rsidRDefault="00E964DA" w:rsidP="00A91CE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190BE7" w:rsidRPr="00E24312" w:rsidTr="00190BE7">
        <w:trPr>
          <w:trHeight w:val="311"/>
        </w:trPr>
        <w:tc>
          <w:tcPr>
            <w:tcW w:w="312" w:type="dxa"/>
            <w:tcBorders>
              <w:top w:val="double" w:sz="4" w:space="0" w:color="auto"/>
            </w:tcBorders>
          </w:tcPr>
          <w:p w:rsidR="00190BE7" w:rsidRPr="00E964DA" w:rsidRDefault="00190BE7" w:rsidP="00A91CE7">
            <w:pPr>
              <w:rPr>
                <w:rFonts w:ascii="Arial Narrow" w:hAnsi="Arial Narrow"/>
                <w:sz w:val="20"/>
                <w:szCs w:val="20"/>
              </w:rPr>
            </w:pPr>
          </w:p>
        </w:tc>
        <w:tc>
          <w:tcPr>
            <w:tcW w:w="4536" w:type="dxa"/>
            <w:gridSpan w:val="2"/>
            <w:tcBorders>
              <w:top w:val="double" w:sz="4" w:space="0" w:color="auto"/>
            </w:tcBorders>
          </w:tcPr>
          <w:p w:rsidR="00190BE7" w:rsidRPr="00E964DA" w:rsidRDefault="00190BE7" w:rsidP="00A91CE7">
            <w:pPr>
              <w:rPr>
                <w:rFonts w:ascii="Arial Narrow" w:hAnsi="Arial Narrow"/>
                <w:b/>
                <w:sz w:val="20"/>
                <w:szCs w:val="20"/>
              </w:rPr>
            </w:pPr>
            <w:r w:rsidRPr="002F7C2E">
              <w:rPr>
                <w:rFonts w:ascii="Arial Narrow" w:hAnsi="Arial Narrow"/>
                <w:b/>
                <w:sz w:val="20"/>
                <w:szCs w:val="20"/>
              </w:rPr>
              <w:t>Total pembro patients (D + F)</w:t>
            </w:r>
          </w:p>
        </w:tc>
        <w:tc>
          <w:tcPr>
            <w:tcW w:w="709" w:type="dxa"/>
            <w:tcBorders>
              <w:top w:val="double" w:sz="4" w:space="0" w:color="auto"/>
            </w:tcBorders>
            <w:vAlign w:val="center"/>
          </w:tcPr>
          <w:p w:rsidR="00190BE7" w:rsidRPr="00E964DA" w:rsidRDefault="00E964DA" w:rsidP="00A91CE7">
            <w:pPr>
              <w:pStyle w:val="NoSpacing"/>
              <w:jc w:val="center"/>
              <w:rPr>
                <w:rFonts w:ascii="Arial Narrow" w:hAnsi="Arial Narrow" w:cs="Arial"/>
                <w:sz w:val="20"/>
                <w:szCs w:val="20"/>
                <w:highlight w:val="black"/>
                <w:vertAlign w:val="superscript"/>
              </w:rPr>
            </w:pPr>
            <w:r>
              <w:rPr>
                <w:rFonts w:ascii="Arial Narrow" w:hAnsi="Arial Narrow" w:cs="Arial"/>
                <w:noProof/>
                <w:color w:val="000000"/>
                <w:sz w:val="20"/>
                <w:szCs w:val="20"/>
                <w:highlight w:val="black"/>
              </w:rPr>
              <w:t>''''''''''''''''</w:t>
            </w:r>
          </w:p>
        </w:tc>
        <w:tc>
          <w:tcPr>
            <w:tcW w:w="708" w:type="dxa"/>
            <w:tcBorders>
              <w:top w:val="double" w:sz="4" w:space="0" w:color="auto"/>
            </w:tcBorders>
            <w:vAlign w:val="center"/>
          </w:tcPr>
          <w:p w:rsidR="00190BE7"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top w:val="double" w:sz="4" w:space="0" w:color="auto"/>
            </w:tcBorders>
            <w:vAlign w:val="center"/>
          </w:tcPr>
          <w:p w:rsidR="00190BE7"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top w:val="double" w:sz="4" w:space="0" w:color="auto"/>
            </w:tcBorders>
            <w:vAlign w:val="center"/>
          </w:tcPr>
          <w:p w:rsidR="00190BE7"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9" w:type="dxa"/>
            <w:tcBorders>
              <w:top w:val="double" w:sz="4" w:space="0" w:color="auto"/>
            </w:tcBorders>
            <w:vAlign w:val="center"/>
          </w:tcPr>
          <w:p w:rsidR="00190BE7"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708" w:type="dxa"/>
            <w:tcBorders>
              <w:top w:val="double" w:sz="4" w:space="0" w:color="auto"/>
            </w:tcBorders>
            <w:vAlign w:val="center"/>
          </w:tcPr>
          <w:p w:rsidR="00190BE7" w:rsidRPr="00E964DA" w:rsidRDefault="00E964DA" w:rsidP="00A91CE7">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bl>
    <w:p w:rsidR="00593B92" w:rsidRPr="00E964DA" w:rsidRDefault="00E964DA" w:rsidP="00593B92">
      <w:pPr>
        <w:rPr>
          <w:rFonts w:ascii="Arial Narrow" w:hAnsi="Arial Narrow"/>
          <w:sz w:val="20"/>
          <w:szCs w:val="20"/>
          <w:highlight w:val="black"/>
        </w:rPr>
      </w:pPr>
      <w:r>
        <w:rPr>
          <w:rFonts w:ascii="Arial Narrow" w:hAnsi="Arial Narrow"/>
          <w:noProof/>
          <w:color w:val="000000"/>
          <w:sz w:val="20"/>
          <w:szCs w:val="20"/>
          <w:highlight w:val="black"/>
          <w:vertAlign w:val="superscript"/>
        </w:rPr>
        <w:t>''' '''''''''' '''' ''''''''''' ''''''' ''' ''''''''' ''''''''''' ''' ''''''''''''''''</w:t>
      </w:r>
    </w:p>
    <w:p w:rsidR="00593B92" w:rsidRPr="00E964DA" w:rsidRDefault="00E964DA" w:rsidP="00593B92">
      <w:pPr>
        <w:rPr>
          <w:rFonts w:ascii="Arial Narrow" w:hAnsi="Arial Narrow"/>
          <w:sz w:val="20"/>
          <w:szCs w:val="20"/>
          <w:highlight w:val="black"/>
        </w:rPr>
      </w:pPr>
      <w:r>
        <w:rPr>
          <w:rFonts w:ascii="Arial Narrow" w:hAnsi="Arial Narrow"/>
          <w:noProof/>
          <w:color w:val="000000"/>
          <w:sz w:val="20"/>
          <w:szCs w:val="20"/>
          <w:highlight w:val="black"/>
          <w:vertAlign w:val="superscript"/>
        </w:rPr>
        <w:t>''' ''''''''' '''' ''''''''' '''''''' ''' ''''''''''''''''' '''' ''''''''' ''''''''</w:t>
      </w:r>
    </w:p>
    <w:p w:rsidR="00593B92" w:rsidRPr="00E964DA" w:rsidRDefault="00E964DA" w:rsidP="00593B92">
      <w:pPr>
        <w:rPr>
          <w:rFonts w:ascii="Arial Narrow" w:hAnsi="Arial Narrow"/>
          <w:sz w:val="20"/>
          <w:szCs w:val="20"/>
          <w:highlight w:val="black"/>
        </w:rPr>
      </w:pPr>
      <w:r>
        <w:rPr>
          <w:rFonts w:ascii="Arial Narrow" w:hAnsi="Arial Narrow"/>
          <w:noProof/>
          <w:color w:val="000000"/>
          <w:sz w:val="20"/>
          <w:szCs w:val="20"/>
          <w:highlight w:val="black"/>
          <w:vertAlign w:val="superscript"/>
        </w:rPr>
        <w:t>''' ''''''''''' '''' ''''''''' '''''''' '''' ''''' '''''''''' '''' '''''''''' '''''''</w:t>
      </w:r>
    </w:p>
    <w:p w:rsidR="002F7C2E" w:rsidRPr="00806261" w:rsidRDefault="00806261" w:rsidP="00806261">
      <w:pPr>
        <w:spacing w:before="120" w:after="160"/>
        <w:rPr>
          <w:rFonts w:asciiTheme="minorHAnsi" w:hAnsiTheme="minorHAnsi"/>
        </w:rPr>
      </w:pPr>
      <w:r w:rsidRPr="00806261">
        <w:rPr>
          <w:rFonts w:asciiTheme="minorHAnsi" w:hAnsiTheme="minorHAnsi"/>
        </w:rPr>
        <w:t xml:space="preserve">The redacted table shows that at </w:t>
      </w:r>
      <w:r w:rsidR="00E8320A">
        <w:rPr>
          <w:rFonts w:asciiTheme="minorHAnsi" w:hAnsiTheme="minorHAnsi"/>
        </w:rPr>
        <w:t>Y</w:t>
      </w:r>
      <w:r w:rsidRPr="00806261">
        <w:rPr>
          <w:rFonts w:asciiTheme="minorHAnsi" w:hAnsiTheme="minorHAnsi"/>
        </w:rPr>
        <w:t>ear 5, the estimated number of patients was less than 10,000 per year.</w:t>
      </w:r>
    </w:p>
    <w:p w:rsidR="000A69FC" w:rsidRPr="00B14AD5" w:rsidRDefault="00851952" w:rsidP="00B14AD5">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8C6270">
        <w:rPr>
          <w:rFonts w:asciiTheme="minorHAnsi" w:eastAsiaTheme="minorHAnsi" w:hAnsiTheme="minorHAnsi" w:cstheme="minorBidi"/>
          <w:snapToGrid/>
          <w:sz w:val="24"/>
          <w:szCs w:val="22"/>
        </w:rPr>
        <w:t>The “</w:t>
      </w:r>
      <w:r w:rsidR="00593B92" w:rsidRPr="008C6270">
        <w:rPr>
          <w:rFonts w:asciiTheme="minorHAnsi" w:eastAsiaTheme="minorHAnsi" w:hAnsiTheme="minorHAnsi" w:cstheme="minorBidi"/>
          <w:snapToGrid/>
          <w:sz w:val="24"/>
          <w:szCs w:val="22"/>
        </w:rPr>
        <w:t>new first-line pembrolizumab population</w:t>
      </w:r>
      <w:r w:rsidR="00593B92" w:rsidRPr="008C6270">
        <w:rPr>
          <w:rFonts w:asciiTheme="minorHAnsi" w:eastAsiaTheme="minorHAnsi" w:hAnsiTheme="minorHAnsi" w:cstheme="minorBidi"/>
          <w:snapToGrid/>
          <w:sz w:val="24"/>
          <w:szCs w:val="22"/>
          <w:vertAlign w:val="superscript"/>
        </w:rPr>
        <w:footnoteReference w:id="3"/>
      </w:r>
      <w:r w:rsidRPr="008C6270">
        <w:rPr>
          <w:rFonts w:asciiTheme="minorHAnsi" w:eastAsiaTheme="minorHAnsi" w:hAnsiTheme="minorHAnsi" w:cstheme="minorBidi"/>
          <w:snapToGrid/>
          <w:sz w:val="24"/>
          <w:szCs w:val="22"/>
        </w:rPr>
        <w:t>”</w:t>
      </w:r>
      <w:r w:rsidR="00593B92" w:rsidRPr="008C6270">
        <w:rPr>
          <w:rFonts w:asciiTheme="minorHAnsi" w:eastAsiaTheme="minorHAnsi" w:hAnsiTheme="minorHAnsi" w:cstheme="minorBidi"/>
          <w:snapToGrid/>
          <w:sz w:val="24"/>
          <w:szCs w:val="22"/>
        </w:rPr>
        <w:t xml:space="preserve"> </w:t>
      </w:r>
      <w:r w:rsidRPr="008C6270">
        <w:rPr>
          <w:rFonts w:asciiTheme="minorHAnsi" w:eastAsiaTheme="minorHAnsi" w:hAnsiTheme="minorHAnsi" w:cstheme="minorBidi"/>
          <w:snapToGrid/>
          <w:sz w:val="24"/>
          <w:szCs w:val="22"/>
        </w:rPr>
        <w:t xml:space="preserve">proposed by the minor resubmission </w:t>
      </w:r>
      <w:r w:rsidR="00593B92" w:rsidRPr="008C6270">
        <w:rPr>
          <w:rFonts w:asciiTheme="minorHAnsi" w:eastAsiaTheme="minorHAnsi" w:hAnsiTheme="minorHAnsi" w:cstheme="minorBidi"/>
          <w:snapToGrid/>
          <w:sz w:val="24"/>
          <w:szCs w:val="22"/>
        </w:rPr>
        <w:t xml:space="preserve">was </w:t>
      </w:r>
      <w:r w:rsidRPr="008C6270">
        <w:rPr>
          <w:rFonts w:asciiTheme="minorHAnsi" w:eastAsiaTheme="minorHAnsi" w:hAnsiTheme="minorHAnsi" w:cstheme="minorBidi"/>
          <w:snapToGrid/>
          <w:sz w:val="24"/>
          <w:szCs w:val="22"/>
        </w:rPr>
        <w:t>defined as</w:t>
      </w:r>
      <w:r w:rsidR="00593B92" w:rsidRPr="008C6270">
        <w:rPr>
          <w:rFonts w:asciiTheme="minorHAnsi" w:eastAsiaTheme="minorHAnsi" w:hAnsiTheme="minorHAnsi" w:cstheme="minorBidi"/>
          <w:snapToGrid/>
          <w:sz w:val="24"/>
          <w:szCs w:val="22"/>
        </w:rPr>
        <w:t xml:space="preserve"> the number of patients who were estimated to uptak</w:t>
      </w:r>
      <w:r w:rsidRPr="008C6270">
        <w:rPr>
          <w:rFonts w:asciiTheme="minorHAnsi" w:eastAsiaTheme="minorHAnsi" w:hAnsiTheme="minorHAnsi" w:cstheme="minorBidi"/>
          <w:snapToGrid/>
          <w:sz w:val="24"/>
          <w:szCs w:val="22"/>
        </w:rPr>
        <w:t>e first-line pembrolizumab, who</w:t>
      </w:r>
      <w:r w:rsidR="00593B92" w:rsidRPr="008C6270">
        <w:rPr>
          <w:rFonts w:asciiTheme="minorHAnsi" w:eastAsiaTheme="minorHAnsi" w:hAnsiTheme="minorHAnsi" w:cstheme="minorBidi"/>
          <w:snapToGrid/>
          <w:sz w:val="24"/>
          <w:szCs w:val="22"/>
        </w:rPr>
        <w:t xml:space="preserve"> otherwise would not have received first-line chemotherapy</w:t>
      </w:r>
      <w:r w:rsidRPr="008C6270">
        <w:rPr>
          <w:rFonts w:asciiTheme="minorHAnsi" w:eastAsiaTheme="minorHAnsi" w:hAnsiTheme="minorHAnsi" w:cstheme="minorBidi"/>
          <w:snapToGrid/>
          <w:sz w:val="24"/>
          <w:szCs w:val="22"/>
        </w:rPr>
        <w:t xml:space="preserve"> (Row B</w:t>
      </w:r>
      <w:r w:rsidR="00593B92" w:rsidRPr="008C6270">
        <w:rPr>
          <w:rFonts w:asciiTheme="minorHAnsi" w:eastAsiaTheme="minorHAnsi" w:hAnsiTheme="minorHAnsi" w:cstheme="minorBidi"/>
          <w:snapToGrid/>
          <w:sz w:val="24"/>
          <w:szCs w:val="22"/>
        </w:rPr>
        <w:t xml:space="preserve">, Table </w:t>
      </w:r>
      <w:r w:rsidRPr="008C6270">
        <w:rPr>
          <w:rFonts w:asciiTheme="minorHAnsi" w:eastAsiaTheme="minorHAnsi" w:hAnsiTheme="minorHAnsi" w:cstheme="minorBidi"/>
          <w:snapToGrid/>
          <w:sz w:val="24"/>
          <w:szCs w:val="22"/>
        </w:rPr>
        <w:t>4</w:t>
      </w:r>
      <w:r w:rsidR="00593B92" w:rsidRPr="008C6270">
        <w:rPr>
          <w:rFonts w:asciiTheme="minorHAnsi" w:eastAsiaTheme="minorHAnsi" w:hAnsiTheme="minorHAnsi" w:cstheme="minorBidi"/>
          <w:snapToGrid/>
          <w:sz w:val="24"/>
          <w:szCs w:val="22"/>
        </w:rPr>
        <w:t xml:space="preserve">). </w:t>
      </w:r>
      <w:r w:rsidRPr="008C6270">
        <w:rPr>
          <w:rFonts w:asciiTheme="minorHAnsi" w:eastAsiaTheme="minorHAnsi" w:hAnsiTheme="minorHAnsi" w:cstheme="minorBidi"/>
          <w:snapToGrid/>
          <w:sz w:val="24"/>
          <w:szCs w:val="22"/>
        </w:rPr>
        <w:t>T</w:t>
      </w:r>
      <w:r w:rsidR="00593B92" w:rsidRPr="008C6270">
        <w:rPr>
          <w:rFonts w:asciiTheme="minorHAnsi" w:eastAsiaTheme="minorHAnsi" w:hAnsiTheme="minorHAnsi" w:cstheme="minorBidi"/>
          <w:snapToGrid/>
          <w:sz w:val="24"/>
          <w:szCs w:val="22"/>
        </w:rPr>
        <w:t xml:space="preserve">his population should also include those patients who </w:t>
      </w:r>
      <w:r w:rsidR="008F6251" w:rsidRPr="008C6270">
        <w:rPr>
          <w:rFonts w:asciiTheme="minorHAnsi" w:eastAsiaTheme="minorHAnsi" w:hAnsiTheme="minorHAnsi" w:cstheme="minorBidi"/>
          <w:snapToGrid/>
          <w:sz w:val="24"/>
          <w:szCs w:val="22"/>
        </w:rPr>
        <w:t>would have received</w:t>
      </w:r>
      <w:r w:rsidR="00593B92" w:rsidRPr="008C6270">
        <w:rPr>
          <w:rFonts w:asciiTheme="minorHAnsi" w:eastAsiaTheme="minorHAnsi" w:hAnsiTheme="minorHAnsi" w:cstheme="minorBidi"/>
          <w:snapToGrid/>
          <w:sz w:val="24"/>
          <w:szCs w:val="22"/>
        </w:rPr>
        <w:t xml:space="preserve"> first-line chemotherapy</w:t>
      </w:r>
      <w:r w:rsidR="008F6251" w:rsidRPr="008C6270">
        <w:rPr>
          <w:rFonts w:asciiTheme="minorHAnsi" w:eastAsiaTheme="minorHAnsi" w:hAnsiTheme="minorHAnsi" w:cstheme="minorBidi"/>
          <w:snapToGrid/>
          <w:sz w:val="24"/>
          <w:szCs w:val="22"/>
        </w:rPr>
        <w:t>,</w:t>
      </w:r>
      <w:r w:rsidR="00593B92" w:rsidRPr="008C6270">
        <w:rPr>
          <w:rFonts w:asciiTheme="minorHAnsi" w:eastAsiaTheme="minorHAnsi" w:hAnsiTheme="minorHAnsi" w:cstheme="minorBidi"/>
          <w:snapToGrid/>
          <w:sz w:val="24"/>
          <w:szCs w:val="22"/>
        </w:rPr>
        <w:t xml:space="preserve"> but </w:t>
      </w:r>
      <w:r w:rsidR="008F6251" w:rsidRPr="008C6270">
        <w:rPr>
          <w:rFonts w:asciiTheme="minorHAnsi" w:eastAsiaTheme="minorHAnsi" w:hAnsiTheme="minorHAnsi" w:cstheme="minorBidi"/>
          <w:snapToGrid/>
          <w:sz w:val="24"/>
          <w:szCs w:val="22"/>
        </w:rPr>
        <w:t xml:space="preserve">would </w:t>
      </w:r>
      <w:r w:rsidR="00593B92" w:rsidRPr="008C6270">
        <w:rPr>
          <w:rFonts w:asciiTheme="minorHAnsi" w:eastAsiaTheme="minorHAnsi" w:hAnsiTheme="minorHAnsi" w:cstheme="minorBidi"/>
          <w:snapToGrid/>
          <w:sz w:val="24"/>
          <w:szCs w:val="22"/>
        </w:rPr>
        <w:t xml:space="preserve">not </w:t>
      </w:r>
      <w:r w:rsidR="008F6251" w:rsidRPr="008C6270">
        <w:rPr>
          <w:rFonts w:asciiTheme="minorHAnsi" w:eastAsiaTheme="minorHAnsi" w:hAnsiTheme="minorHAnsi" w:cstheme="minorBidi"/>
          <w:snapToGrid/>
          <w:sz w:val="24"/>
          <w:szCs w:val="22"/>
        </w:rPr>
        <w:t xml:space="preserve">have received </w:t>
      </w:r>
      <w:r w:rsidR="00593B92" w:rsidRPr="008C6270">
        <w:rPr>
          <w:rFonts w:asciiTheme="minorHAnsi" w:eastAsiaTheme="minorHAnsi" w:hAnsiTheme="minorHAnsi" w:cstheme="minorBidi"/>
          <w:snapToGrid/>
          <w:sz w:val="24"/>
          <w:szCs w:val="22"/>
        </w:rPr>
        <w:t>second-line nivolumab</w:t>
      </w:r>
      <w:r w:rsidRPr="008C6270">
        <w:rPr>
          <w:rFonts w:asciiTheme="minorHAnsi" w:eastAsiaTheme="minorHAnsi" w:hAnsiTheme="minorHAnsi" w:cstheme="minorBidi"/>
          <w:snapToGrid/>
          <w:sz w:val="24"/>
          <w:szCs w:val="22"/>
        </w:rPr>
        <w:t xml:space="preserve"> (</w:t>
      </w:r>
      <w:r w:rsidR="00593B92" w:rsidRPr="008C6270">
        <w:rPr>
          <w:rFonts w:asciiTheme="minorHAnsi" w:eastAsiaTheme="minorHAnsi" w:hAnsiTheme="minorHAnsi" w:cstheme="minorBidi"/>
          <w:snapToGrid/>
          <w:sz w:val="24"/>
          <w:szCs w:val="22"/>
        </w:rPr>
        <w:t xml:space="preserve">Row </w:t>
      </w:r>
      <w:r w:rsidRPr="008C6270">
        <w:rPr>
          <w:rFonts w:asciiTheme="minorHAnsi" w:eastAsiaTheme="minorHAnsi" w:hAnsiTheme="minorHAnsi" w:cstheme="minorBidi"/>
          <w:snapToGrid/>
          <w:sz w:val="24"/>
          <w:szCs w:val="22"/>
        </w:rPr>
        <w:t>E, Table 4</w:t>
      </w:r>
      <w:r w:rsidR="00593B92" w:rsidRPr="008C6270">
        <w:rPr>
          <w:rFonts w:asciiTheme="minorHAnsi" w:eastAsiaTheme="minorHAnsi" w:hAnsiTheme="minorHAnsi" w:cstheme="minorBidi"/>
          <w:snapToGrid/>
          <w:sz w:val="24"/>
          <w:szCs w:val="22"/>
        </w:rPr>
        <w:t>).</w:t>
      </w:r>
      <w:r w:rsidR="00B14AD5">
        <w:rPr>
          <w:rFonts w:asciiTheme="minorHAnsi" w:eastAsiaTheme="minorHAnsi" w:hAnsiTheme="minorHAnsi" w:cstheme="minorBidi"/>
          <w:snapToGrid/>
          <w:sz w:val="24"/>
          <w:szCs w:val="22"/>
        </w:rPr>
        <w:t xml:space="preserve"> </w:t>
      </w:r>
      <w:r w:rsidR="00593B92" w:rsidRPr="008C6270">
        <w:rPr>
          <w:rFonts w:asciiTheme="minorHAnsi" w:eastAsiaTheme="minorHAnsi" w:hAnsiTheme="minorHAnsi" w:cstheme="minorBidi"/>
          <w:snapToGrid/>
          <w:sz w:val="24"/>
          <w:szCs w:val="22"/>
        </w:rPr>
        <w:t xml:space="preserve">When these patients are included in </w:t>
      </w:r>
      <w:r w:rsidRPr="008C6270">
        <w:rPr>
          <w:rFonts w:asciiTheme="minorHAnsi" w:eastAsiaTheme="minorHAnsi" w:hAnsiTheme="minorHAnsi" w:cstheme="minorBidi"/>
          <w:snapToGrid/>
          <w:sz w:val="24"/>
          <w:szCs w:val="22"/>
        </w:rPr>
        <w:t>“new first-line pembrolizumab population”</w:t>
      </w:r>
      <w:r w:rsidR="00593B92" w:rsidRPr="008C6270">
        <w:rPr>
          <w:rFonts w:asciiTheme="minorHAnsi" w:eastAsiaTheme="minorHAnsi" w:hAnsiTheme="minorHAnsi" w:cstheme="minorBidi"/>
          <w:snapToGrid/>
          <w:sz w:val="24"/>
          <w:szCs w:val="22"/>
        </w:rPr>
        <w:t xml:space="preserve"> estimates, they account for approximately half of the estimated number of </w:t>
      </w:r>
      <w:r w:rsidR="008F6251" w:rsidRPr="008C6270">
        <w:rPr>
          <w:rFonts w:asciiTheme="minorHAnsi" w:eastAsiaTheme="minorHAnsi" w:hAnsiTheme="minorHAnsi" w:cstheme="minorBidi"/>
          <w:snapToGrid/>
          <w:sz w:val="24"/>
          <w:szCs w:val="22"/>
        </w:rPr>
        <w:t xml:space="preserve">all </w:t>
      </w:r>
      <w:r w:rsidR="00593B92" w:rsidRPr="008C6270">
        <w:rPr>
          <w:rFonts w:asciiTheme="minorHAnsi" w:eastAsiaTheme="minorHAnsi" w:hAnsiTheme="minorHAnsi" w:cstheme="minorBidi"/>
          <w:snapToGrid/>
          <w:sz w:val="24"/>
          <w:szCs w:val="22"/>
        </w:rPr>
        <w:t xml:space="preserve">patients who </w:t>
      </w:r>
      <w:r w:rsidR="008F6251" w:rsidRPr="008C6270">
        <w:rPr>
          <w:rFonts w:asciiTheme="minorHAnsi" w:eastAsiaTheme="minorHAnsi" w:hAnsiTheme="minorHAnsi" w:cstheme="minorBidi"/>
          <w:snapToGrid/>
          <w:sz w:val="24"/>
          <w:szCs w:val="22"/>
        </w:rPr>
        <w:t>would receive</w:t>
      </w:r>
      <w:r w:rsidR="00593B92" w:rsidRPr="008C6270">
        <w:rPr>
          <w:rFonts w:asciiTheme="minorHAnsi" w:eastAsiaTheme="minorHAnsi" w:hAnsiTheme="minorHAnsi" w:cstheme="minorBidi"/>
          <w:snapToGrid/>
          <w:sz w:val="24"/>
          <w:szCs w:val="22"/>
        </w:rPr>
        <w:t xml:space="preserve"> first</w:t>
      </w:r>
      <w:r w:rsidR="003B7B75" w:rsidRPr="008C6270">
        <w:rPr>
          <w:rFonts w:asciiTheme="minorHAnsi" w:eastAsiaTheme="minorHAnsi" w:hAnsiTheme="minorHAnsi" w:cstheme="minorBidi"/>
          <w:snapToGrid/>
          <w:sz w:val="24"/>
          <w:szCs w:val="22"/>
        </w:rPr>
        <w:t>-line pembrolizumab (R</w:t>
      </w:r>
      <w:r w:rsidRPr="008C6270">
        <w:rPr>
          <w:rFonts w:asciiTheme="minorHAnsi" w:eastAsiaTheme="minorHAnsi" w:hAnsiTheme="minorHAnsi" w:cstheme="minorBidi"/>
          <w:snapToGrid/>
          <w:sz w:val="24"/>
          <w:szCs w:val="22"/>
        </w:rPr>
        <w:t>ow F, Table 4</w:t>
      </w:r>
      <w:r w:rsidR="00593B92" w:rsidRPr="008C6270">
        <w:rPr>
          <w:rFonts w:asciiTheme="minorHAnsi" w:eastAsiaTheme="minorHAnsi" w:hAnsiTheme="minorHAnsi" w:cstheme="minorBidi"/>
          <w:snapToGrid/>
          <w:sz w:val="24"/>
          <w:szCs w:val="22"/>
        </w:rPr>
        <w:t xml:space="preserve">). </w:t>
      </w:r>
      <w:r w:rsidR="00B14AD5">
        <w:rPr>
          <w:rFonts w:asciiTheme="minorHAnsi" w:eastAsiaTheme="minorHAnsi" w:hAnsiTheme="minorHAnsi" w:cstheme="minorBidi"/>
          <w:snapToGrid/>
          <w:sz w:val="24"/>
          <w:szCs w:val="22"/>
        </w:rPr>
        <w:t>The pre-PBAC response agreed with the Minor Overview on this approach.</w:t>
      </w:r>
      <w:r w:rsidR="00B14AD5" w:rsidRPr="008C6270">
        <w:rPr>
          <w:rFonts w:asciiTheme="minorHAnsi" w:eastAsiaTheme="minorHAnsi" w:hAnsiTheme="minorHAnsi" w:cstheme="minorBidi"/>
          <w:snapToGrid/>
          <w:sz w:val="24"/>
          <w:szCs w:val="22"/>
        </w:rPr>
        <w:t xml:space="preserve"> </w:t>
      </w:r>
      <w:r w:rsidR="00B14AD5">
        <w:rPr>
          <w:rFonts w:asciiTheme="minorHAnsi" w:eastAsiaTheme="minorHAnsi" w:hAnsiTheme="minorHAnsi" w:cstheme="minorBidi"/>
          <w:snapToGrid/>
          <w:sz w:val="24"/>
          <w:szCs w:val="22"/>
        </w:rPr>
        <w:t>However, t</w:t>
      </w:r>
      <w:r w:rsidR="00593B92" w:rsidRPr="008C6270">
        <w:rPr>
          <w:rFonts w:asciiTheme="minorHAnsi" w:eastAsiaTheme="minorHAnsi" w:hAnsiTheme="minorHAnsi" w:cstheme="minorBidi"/>
          <w:snapToGrid/>
          <w:sz w:val="24"/>
          <w:szCs w:val="22"/>
        </w:rPr>
        <w:t>his is not consistent with the PBA</w:t>
      </w:r>
      <w:r w:rsidRPr="008C6270">
        <w:rPr>
          <w:rFonts w:asciiTheme="minorHAnsi" w:eastAsiaTheme="minorHAnsi" w:hAnsiTheme="minorHAnsi" w:cstheme="minorBidi"/>
          <w:snapToGrid/>
          <w:sz w:val="24"/>
          <w:szCs w:val="22"/>
        </w:rPr>
        <w:t xml:space="preserve">C’s consideration that if pembrolizumab was made available on the PBS, there would only be a minor increase in the overall number of patients treated for metastatic Stage IV NSCLC either in the first- or second-line setting. </w:t>
      </w:r>
      <w:r w:rsidR="003B7B75" w:rsidRPr="008C6270">
        <w:rPr>
          <w:rFonts w:asciiTheme="minorHAnsi" w:eastAsiaTheme="minorHAnsi" w:hAnsiTheme="minorHAnsi" w:cstheme="minorBidi"/>
          <w:snapToGrid/>
          <w:sz w:val="24"/>
          <w:szCs w:val="22"/>
        </w:rPr>
        <w:t>This is also not consistent with t</w:t>
      </w:r>
      <w:r w:rsidR="00F37856" w:rsidRPr="008C6270">
        <w:rPr>
          <w:rFonts w:asciiTheme="minorHAnsi" w:eastAsiaTheme="minorHAnsi" w:hAnsiTheme="minorHAnsi" w:cstheme="minorBidi"/>
          <w:snapToGrid/>
          <w:sz w:val="24"/>
          <w:szCs w:val="22"/>
        </w:rPr>
        <w:t>he minor resubmission</w:t>
      </w:r>
      <w:r w:rsidR="003B7B75" w:rsidRPr="008C6270">
        <w:rPr>
          <w:rFonts w:asciiTheme="minorHAnsi" w:eastAsiaTheme="minorHAnsi" w:hAnsiTheme="minorHAnsi" w:cstheme="minorBidi"/>
          <w:snapToGrid/>
          <w:sz w:val="24"/>
          <w:szCs w:val="22"/>
        </w:rPr>
        <w:t>, which stated</w:t>
      </w:r>
      <w:r w:rsidR="00F37856" w:rsidRPr="008C6270">
        <w:rPr>
          <w:rFonts w:asciiTheme="minorHAnsi" w:eastAsiaTheme="minorHAnsi" w:hAnsiTheme="minorHAnsi" w:cstheme="minorBidi"/>
          <w:snapToGrid/>
          <w:sz w:val="24"/>
          <w:szCs w:val="22"/>
        </w:rPr>
        <w:t xml:space="preserve"> that </w:t>
      </w:r>
      <w:r w:rsidR="00C75321" w:rsidRPr="008C6270">
        <w:rPr>
          <w:rFonts w:asciiTheme="minorHAnsi" w:eastAsiaTheme="minorHAnsi" w:hAnsiTheme="minorHAnsi" w:cstheme="minorBidi"/>
          <w:snapToGrid/>
          <w:sz w:val="24"/>
          <w:szCs w:val="22"/>
        </w:rPr>
        <w:t>“[</w:t>
      </w:r>
      <w:r w:rsidR="00F37856" w:rsidRPr="008C6270">
        <w:rPr>
          <w:rFonts w:asciiTheme="minorHAnsi" w:eastAsiaTheme="minorHAnsi" w:hAnsiTheme="minorHAnsi" w:cstheme="minorBidi"/>
          <w:snapToGrid/>
          <w:sz w:val="24"/>
          <w:szCs w:val="22"/>
        </w:rPr>
        <w:t>the new first-line pembrolizumab population</w:t>
      </w:r>
      <w:r w:rsidR="00C75321" w:rsidRPr="008C6270">
        <w:rPr>
          <w:rFonts w:asciiTheme="minorHAnsi" w:eastAsiaTheme="minorHAnsi" w:hAnsiTheme="minorHAnsi" w:cstheme="minorBidi"/>
          <w:snapToGrid/>
          <w:sz w:val="24"/>
          <w:szCs w:val="22"/>
        </w:rPr>
        <w:t>]</w:t>
      </w:r>
      <w:r w:rsidR="00F37856" w:rsidRPr="008C6270">
        <w:rPr>
          <w:rFonts w:asciiTheme="minorHAnsi" w:eastAsiaTheme="minorHAnsi" w:hAnsiTheme="minorHAnsi" w:cstheme="minorBidi"/>
          <w:snapToGrid/>
          <w:sz w:val="24"/>
          <w:szCs w:val="22"/>
        </w:rPr>
        <w:t xml:space="preserve"> equates to </w:t>
      </w:r>
      <w:r w:rsidR="00F37856" w:rsidRPr="00E24312">
        <w:rPr>
          <w:rFonts w:asciiTheme="minorHAnsi" w:eastAsiaTheme="minorHAnsi" w:hAnsiTheme="minorHAnsi" w:cstheme="minorBidi"/>
          <w:snapToGrid/>
          <w:sz w:val="24"/>
          <w:szCs w:val="22"/>
        </w:rPr>
        <w:t>23.5</w:t>
      </w:r>
      <w:r w:rsidR="00F37856" w:rsidRPr="008C6270">
        <w:rPr>
          <w:rFonts w:asciiTheme="minorHAnsi" w:eastAsiaTheme="minorHAnsi" w:hAnsiTheme="minorHAnsi" w:cstheme="minorBidi"/>
          <w:snapToGrid/>
          <w:sz w:val="24"/>
          <w:szCs w:val="22"/>
        </w:rPr>
        <w:t xml:space="preserve">% of any new pembrolizumab patients eligible for first line therapy (Years 1 and 2) and increases to </w:t>
      </w:r>
      <w:r w:rsidR="00F37856" w:rsidRPr="00E24312">
        <w:rPr>
          <w:rFonts w:asciiTheme="minorHAnsi" w:eastAsiaTheme="minorHAnsi" w:hAnsiTheme="minorHAnsi" w:cstheme="minorBidi"/>
          <w:snapToGrid/>
          <w:sz w:val="24"/>
          <w:szCs w:val="22"/>
        </w:rPr>
        <w:t>25</w:t>
      </w:r>
      <w:r w:rsidR="00F37856" w:rsidRPr="008C6270">
        <w:rPr>
          <w:rFonts w:asciiTheme="minorHAnsi" w:eastAsiaTheme="minorHAnsi" w:hAnsiTheme="minorHAnsi" w:cstheme="minorBidi"/>
          <w:snapToGrid/>
          <w:sz w:val="24"/>
          <w:szCs w:val="22"/>
        </w:rPr>
        <w:t>% (Year 3 onwards)</w:t>
      </w:r>
      <w:r w:rsidR="00C75321" w:rsidRPr="008C6270">
        <w:rPr>
          <w:rFonts w:asciiTheme="minorHAnsi" w:eastAsiaTheme="minorHAnsi" w:hAnsiTheme="minorHAnsi" w:cstheme="minorBidi"/>
          <w:snapToGrid/>
          <w:sz w:val="24"/>
          <w:szCs w:val="22"/>
        </w:rPr>
        <w:t>”</w:t>
      </w:r>
      <w:r w:rsidR="00F37856" w:rsidRPr="008C6270">
        <w:rPr>
          <w:rFonts w:asciiTheme="minorHAnsi" w:eastAsiaTheme="minorHAnsi" w:hAnsiTheme="minorHAnsi" w:cstheme="minorBidi"/>
          <w:snapToGrid/>
          <w:sz w:val="24"/>
          <w:szCs w:val="22"/>
        </w:rPr>
        <w:t>.</w:t>
      </w:r>
    </w:p>
    <w:p w:rsidR="004534FB" w:rsidRPr="00453574" w:rsidRDefault="001B1E0B" w:rsidP="001B1E0B">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53574">
        <w:rPr>
          <w:rFonts w:asciiTheme="minorHAnsi" w:eastAsiaTheme="minorHAnsi" w:hAnsiTheme="minorHAnsi" w:cstheme="minorBidi"/>
          <w:snapToGrid/>
          <w:sz w:val="24"/>
          <w:szCs w:val="22"/>
        </w:rPr>
        <w:t xml:space="preserve">The pre-PBAC response argued that the PBAC’s view “is at odds with the epidemiological estimates presented in the submission, which suggest a substantial increase of at least </w:t>
      </w:r>
      <w:r w:rsidR="00E964DA">
        <w:rPr>
          <w:rFonts w:asciiTheme="minorHAnsi" w:eastAsiaTheme="minorHAnsi" w:hAnsiTheme="minorHAnsi" w:cstheme="minorBidi"/>
          <w:noProof/>
          <w:snapToGrid/>
          <w:color w:val="000000"/>
          <w:sz w:val="24"/>
          <w:szCs w:val="22"/>
          <w:highlight w:val="black"/>
        </w:rPr>
        <w:t>''''''''</w:t>
      </w:r>
      <w:r w:rsidRPr="00453574">
        <w:rPr>
          <w:rFonts w:asciiTheme="minorHAnsi" w:eastAsiaTheme="minorHAnsi" w:hAnsiTheme="minorHAnsi" w:cstheme="minorBidi"/>
          <w:snapToGrid/>
          <w:sz w:val="24"/>
          <w:szCs w:val="22"/>
        </w:rPr>
        <w:t xml:space="preserve"> new patients.” It further argued that, “unless the estimates are aligned to those proposed in the submission, not all eligible patients would be accommodated”. </w:t>
      </w:r>
      <w:r w:rsidR="004534FB" w:rsidRPr="00453574">
        <w:rPr>
          <w:rFonts w:asciiTheme="minorHAnsi" w:eastAsiaTheme="minorHAnsi" w:hAnsiTheme="minorHAnsi" w:cstheme="minorBidi"/>
          <w:snapToGrid/>
          <w:sz w:val="24"/>
          <w:szCs w:val="22"/>
        </w:rPr>
        <w:t xml:space="preserve">The pre-PBAC response also presented an alternative approach to determination of new first-line pembrolizumab patients, with different estimates for rows D – F of Table 4, based on assuming </w:t>
      </w:r>
      <w:r w:rsidR="004534FB" w:rsidRPr="00E24312">
        <w:rPr>
          <w:rFonts w:asciiTheme="minorHAnsi" w:eastAsiaTheme="minorHAnsi" w:hAnsiTheme="minorHAnsi" w:cstheme="minorBidi"/>
          <w:snapToGrid/>
          <w:sz w:val="24"/>
          <w:szCs w:val="22"/>
        </w:rPr>
        <w:t>75</w:t>
      </w:r>
      <w:r w:rsidR="004534FB" w:rsidRPr="00453574">
        <w:rPr>
          <w:rFonts w:asciiTheme="minorHAnsi" w:eastAsiaTheme="minorHAnsi" w:hAnsiTheme="minorHAnsi" w:cstheme="minorBidi"/>
          <w:snapToGrid/>
          <w:sz w:val="24"/>
          <w:szCs w:val="22"/>
        </w:rPr>
        <w:t xml:space="preserve">% rather than </w:t>
      </w:r>
      <w:r w:rsidR="004534FB" w:rsidRPr="00E24312">
        <w:rPr>
          <w:rFonts w:asciiTheme="minorHAnsi" w:eastAsiaTheme="minorHAnsi" w:hAnsiTheme="minorHAnsi" w:cstheme="minorBidi"/>
          <w:snapToGrid/>
          <w:sz w:val="24"/>
          <w:szCs w:val="22"/>
        </w:rPr>
        <w:t>64.2</w:t>
      </w:r>
      <w:r w:rsidR="004534FB" w:rsidRPr="00453574">
        <w:rPr>
          <w:rFonts w:asciiTheme="minorHAnsi" w:eastAsiaTheme="minorHAnsi" w:hAnsiTheme="minorHAnsi" w:cstheme="minorBidi"/>
          <w:snapToGrid/>
          <w:sz w:val="24"/>
          <w:szCs w:val="22"/>
        </w:rPr>
        <w:t xml:space="preserve">% as the treatment rate with second-line nivolumab for patients initiated on chemotherapy. However, this did not change the total number of pembrolizumab patients proposed by the minor </w:t>
      </w:r>
      <w:r w:rsidR="00984960" w:rsidRPr="00453574">
        <w:rPr>
          <w:rFonts w:asciiTheme="minorHAnsi" w:eastAsiaTheme="minorHAnsi" w:hAnsiTheme="minorHAnsi" w:cstheme="minorBidi"/>
          <w:snapToGrid/>
          <w:sz w:val="24"/>
          <w:szCs w:val="22"/>
        </w:rPr>
        <w:t>re</w:t>
      </w:r>
      <w:r w:rsidR="00DE4A33" w:rsidRPr="00453574">
        <w:rPr>
          <w:rFonts w:asciiTheme="minorHAnsi" w:eastAsiaTheme="minorHAnsi" w:hAnsiTheme="minorHAnsi" w:cstheme="minorBidi"/>
          <w:snapToGrid/>
          <w:sz w:val="24"/>
          <w:szCs w:val="22"/>
        </w:rPr>
        <w:t>submission.</w:t>
      </w:r>
      <w:r w:rsidR="00937806">
        <w:rPr>
          <w:rFonts w:asciiTheme="minorHAnsi" w:eastAsiaTheme="minorHAnsi" w:hAnsiTheme="minorHAnsi" w:cstheme="minorBidi"/>
          <w:snapToGrid/>
          <w:sz w:val="24"/>
          <w:szCs w:val="22"/>
        </w:rPr>
        <w:t xml:space="preserve"> </w:t>
      </w:r>
      <w:r w:rsidR="00937806">
        <w:rPr>
          <w:rFonts w:asciiTheme="minorHAnsi" w:hAnsiTheme="minorHAnsi"/>
          <w:sz w:val="24"/>
          <w:szCs w:val="24"/>
        </w:rPr>
        <w:t>The PBAC noted that this alternative approach was not independently verified, but considered that the approach did not ameliorate its primary concerns over the large numbers of patients estimated to be eligible for pembrolizumab.</w:t>
      </w:r>
    </w:p>
    <w:p w:rsidR="00EB6B4F" w:rsidRDefault="00EB6B4F" w:rsidP="0085195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8C6270">
        <w:rPr>
          <w:rFonts w:asciiTheme="minorHAnsi" w:eastAsiaTheme="minorHAnsi" w:hAnsiTheme="minorHAnsi" w:cstheme="minorBidi"/>
          <w:snapToGrid/>
          <w:sz w:val="24"/>
          <w:szCs w:val="22"/>
        </w:rPr>
        <w:t>The minor resubmission also</w:t>
      </w:r>
      <w:r w:rsidR="00DE4CFE" w:rsidRPr="008C6270">
        <w:rPr>
          <w:rFonts w:asciiTheme="minorHAnsi" w:eastAsiaTheme="minorHAnsi" w:hAnsiTheme="minorHAnsi" w:cstheme="minorBidi"/>
          <w:snapToGrid/>
          <w:sz w:val="24"/>
          <w:szCs w:val="22"/>
        </w:rPr>
        <w:t xml:space="preserve"> separately</w:t>
      </w:r>
      <w:r w:rsidRPr="008C6270">
        <w:rPr>
          <w:rFonts w:asciiTheme="minorHAnsi" w:eastAsiaTheme="minorHAnsi" w:hAnsiTheme="minorHAnsi" w:cstheme="minorBidi"/>
          <w:snapToGrid/>
          <w:sz w:val="24"/>
          <w:szCs w:val="22"/>
        </w:rPr>
        <w:t xml:space="preserve"> presented population and</w:t>
      </w:r>
      <w:r w:rsidR="00FF140E" w:rsidRPr="008C6270">
        <w:rPr>
          <w:rFonts w:asciiTheme="minorHAnsi" w:eastAsiaTheme="minorHAnsi" w:hAnsiTheme="minorHAnsi" w:cstheme="minorBidi"/>
          <w:snapToGrid/>
          <w:sz w:val="24"/>
          <w:szCs w:val="22"/>
        </w:rPr>
        <w:t xml:space="preserve"> uptake estimates for Stage IIIB</w:t>
      </w:r>
      <w:r w:rsidRPr="008C6270">
        <w:rPr>
          <w:rFonts w:asciiTheme="minorHAnsi" w:eastAsiaTheme="minorHAnsi" w:hAnsiTheme="minorHAnsi" w:cstheme="minorBidi"/>
          <w:snapToGrid/>
          <w:sz w:val="24"/>
          <w:szCs w:val="22"/>
        </w:rPr>
        <w:t>/IV patients, “should the PBAC agree that Stage III</w:t>
      </w:r>
      <w:r w:rsidR="00FF140E" w:rsidRPr="008C6270">
        <w:rPr>
          <w:rFonts w:asciiTheme="minorHAnsi" w:eastAsiaTheme="minorHAnsi" w:hAnsiTheme="minorHAnsi" w:cstheme="minorBidi"/>
          <w:snapToGrid/>
          <w:sz w:val="24"/>
          <w:szCs w:val="22"/>
        </w:rPr>
        <w:t>B</w:t>
      </w:r>
      <w:r w:rsidRPr="008C6270">
        <w:rPr>
          <w:rFonts w:asciiTheme="minorHAnsi" w:eastAsiaTheme="minorHAnsi" w:hAnsiTheme="minorHAnsi" w:cstheme="minorBidi"/>
          <w:snapToGrid/>
          <w:sz w:val="24"/>
          <w:szCs w:val="22"/>
        </w:rPr>
        <w:t xml:space="preserve"> patients could access treatment with pembrolizumab”. </w:t>
      </w:r>
      <w:r w:rsidR="006C46FF" w:rsidRPr="008C6270">
        <w:rPr>
          <w:rFonts w:asciiTheme="minorHAnsi" w:eastAsiaTheme="minorHAnsi" w:hAnsiTheme="minorHAnsi" w:cstheme="minorBidi"/>
          <w:snapToGrid/>
          <w:sz w:val="24"/>
          <w:szCs w:val="22"/>
        </w:rPr>
        <w:t>However, t</w:t>
      </w:r>
      <w:r w:rsidRPr="008C6270">
        <w:rPr>
          <w:rFonts w:asciiTheme="minorHAnsi" w:eastAsiaTheme="minorHAnsi" w:hAnsiTheme="minorHAnsi" w:cstheme="minorBidi"/>
          <w:snapToGrid/>
          <w:sz w:val="24"/>
          <w:szCs w:val="22"/>
        </w:rPr>
        <w:t xml:space="preserve">he key trial, KN-024, only included patients with Stage IV NSCLC. </w:t>
      </w:r>
      <w:r w:rsidR="006C46FF" w:rsidRPr="008C6270">
        <w:rPr>
          <w:rFonts w:asciiTheme="minorHAnsi" w:eastAsiaTheme="minorHAnsi" w:hAnsiTheme="minorHAnsi" w:cstheme="minorBidi"/>
          <w:snapToGrid/>
          <w:sz w:val="24"/>
          <w:szCs w:val="22"/>
        </w:rPr>
        <w:t>Furthermore, the TGA product information restricts pembrolizumab treatment to patients with metastatic NSCLC. The PBAC consider</w:t>
      </w:r>
      <w:r w:rsidR="00496803">
        <w:rPr>
          <w:rFonts w:asciiTheme="minorHAnsi" w:eastAsiaTheme="minorHAnsi" w:hAnsiTheme="minorHAnsi" w:cstheme="minorBidi"/>
          <w:snapToGrid/>
          <w:sz w:val="24"/>
          <w:szCs w:val="22"/>
        </w:rPr>
        <w:t>ed</w:t>
      </w:r>
      <w:r w:rsidR="006C46FF" w:rsidRPr="008C6270">
        <w:rPr>
          <w:rFonts w:asciiTheme="minorHAnsi" w:eastAsiaTheme="minorHAnsi" w:hAnsiTheme="minorHAnsi" w:cstheme="minorBidi"/>
          <w:snapToGrid/>
          <w:sz w:val="24"/>
          <w:szCs w:val="22"/>
        </w:rPr>
        <w:t xml:space="preserve"> </w:t>
      </w:r>
      <w:r w:rsidR="00FC693B">
        <w:rPr>
          <w:rFonts w:asciiTheme="minorHAnsi" w:eastAsiaTheme="minorHAnsi" w:hAnsiTheme="minorHAnsi" w:cstheme="minorBidi"/>
          <w:snapToGrid/>
          <w:sz w:val="24"/>
          <w:szCs w:val="22"/>
        </w:rPr>
        <w:t xml:space="preserve">that </w:t>
      </w:r>
      <w:r w:rsidR="006C46FF" w:rsidRPr="008C6270">
        <w:rPr>
          <w:rFonts w:asciiTheme="minorHAnsi" w:eastAsiaTheme="minorHAnsi" w:hAnsiTheme="minorHAnsi" w:cstheme="minorBidi"/>
          <w:snapToGrid/>
          <w:sz w:val="24"/>
          <w:szCs w:val="22"/>
        </w:rPr>
        <w:t xml:space="preserve">there </w:t>
      </w:r>
      <w:r w:rsidR="00FC693B">
        <w:rPr>
          <w:rFonts w:asciiTheme="minorHAnsi" w:eastAsiaTheme="minorHAnsi" w:hAnsiTheme="minorHAnsi" w:cstheme="minorBidi"/>
          <w:snapToGrid/>
          <w:sz w:val="24"/>
          <w:szCs w:val="22"/>
        </w:rPr>
        <w:t>wa</w:t>
      </w:r>
      <w:r w:rsidR="006C46FF" w:rsidRPr="008C6270">
        <w:rPr>
          <w:rFonts w:asciiTheme="minorHAnsi" w:eastAsiaTheme="minorHAnsi" w:hAnsiTheme="minorHAnsi" w:cstheme="minorBidi"/>
          <w:snapToGrid/>
          <w:sz w:val="24"/>
          <w:szCs w:val="22"/>
        </w:rPr>
        <w:t xml:space="preserve">s </w:t>
      </w:r>
      <w:r w:rsidR="00496803">
        <w:rPr>
          <w:rFonts w:asciiTheme="minorHAnsi" w:eastAsiaTheme="minorHAnsi" w:hAnsiTheme="minorHAnsi" w:cstheme="minorBidi"/>
          <w:snapToGrid/>
          <w:sz w:val="24"/>
          <w:szCs w:val="22"/>
        </w:rPr>
        <w:t>no</w:t>
      </w:r>
      <w:r w:rsidR="006C46FF" w:rsidRPr="008C6270">
        <w:rPr>
          <w:rFonts w:asciiTheme="minorHAnsi" w:eastAsiaTheme="minorHAnsi" w:hAnsiTheme="minorHAnsi" w:cstheme="minorBidi"/>
          <w:snapToGrid/>
          <w:sz w:val="24"/>
          <w:szCs w:val="22"/>
        </w:rPr>
        <w:t xml:space="preserve"> justification for broadening the </w:t>
      </w:r>
      <w:r w:rsidR="00FC693B">
        <w:rPr>
          <w:rFonts w:asciiTheme="minorHAnsi" w:eastAsiaTheme="minorHAnsi" w:hAnsiTheme="minorHAnsi" w:cstheme="minorBidi"/>
          <w:snapToGrid/>
          <w:sz w:val="24"/>
          <w:szCs w:val="22"/>
        </w:rPr>
        <w:t xml:space="preserve">requested access </w:t>
      </w:r>
      <w:r w:rsidR="006C46FF" w:rsidRPr="008C6270">
        <w:rPr>
          <w:rFonts w:asciiTheme="minorHAnsi" w:eastAsiaTheme="minorHAnsi" w:hAnsiTheme="minorHAnsi" w:cstheme="minorBidi"/>
          <w:snapToGrid/>
          <w:sz w:val="24"/>
          <w:szCs w:val="22"/>
        </w:rPr>
        <w:t>of pembro</w:t>
      </w:r>
      <w:r w:rsidR="00DE4CFE" w:rsidRPr="008C6270">
        <w:rPr>
          <w:rFonts w:asciiTheme="minorHAnsi" w:eastAsiaTheme="minorHAnsi" w:hAnsiTheme="minorHAnsi" w:cstheme="minorBidi"/>
          <w:snapToGrid/>
          <w:sz w:val="24"/>
          <w:szCs w:val="22"/>
        </w:rPr>
        <w:t xml:space="preserve">lizumab to </w:t>
      </w:r>
      <w:r w:rsidR="008516F3" w:rsidRPr="008C6270">
        <w:rPr>
          <w:rFonts w:asciiTheme="minorHAnsi" w:eastAsiaTheme="minorHAnsi" w:hAnsiTheme="minorHAnsi" w:cstheme="minorBidi"/>
          <w:snapToGrid/>
          <w:sz w:val="24"/>
          <w:szCs w:val="22"/>
        </w:rPr>
        <w:t xml:space="preserve">include </w:t>
      </w:r>
      <w:r w:rsidR="00DE4CFE" w:rsidRPr="008C6270">
        <w:rPr>
          <w:rFonts w:asciiTheme="minorHAnsi" w:eastAsiaTheme="minorHAnsi" w:hAnsiTheme="minorHAnsi" w:cstheme="minorBidi"/>
          <w:snapToGrid/>
          <w:sz w:val="24"/>
          <w:szCs w:val="22"/>
        </w:rPr>
        <w:t>Stage III</w:t>
      </w:r>
      <w:r w:rsidR="00267A78" w:rsidRPr="008C6270">
        <w:rPr>
          <w:rFonts w:asciiTheme="minorHAnsi" w:eastAsiaTheme="minorHAnsi" w:hAnsiTheme="minorHAnsi" w:cstheme="minorBidi"/>
          <w:snapToGrid/>
          <w:sz w:val="24"/>
          <w:szCs w:val="22"/>
        </w:rPr>
        <w:t>B</w:t>
      </w:r>
      <w:r w:rsidR="00DE4CFE" w:rsidRPr="008C6270">
        <w:rPr>
          <w:rFonts w:asciiTheme="minorHAnsi" w:eastAsiaTheme="minorHAnsi" w:hAnsiTheme="minorHAnsi" w:cstheme="minorBidi"/>
          <w:snapToGrid/>
          <w:sz w:val="24"/>
          <w:szCs w:val="22"/>
        </w:rPr>
        <w:t xml:space="preserve"> patients.</w:t>
      </w:r>
    </w:p>
    <w:p w:rsidR="00526375" w:rsidRPr="008C6270" w:rsidRDefault="00526375" w:rsidP="0052637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noted that the minor </w:t>
      </w:r>
      <w:r w:rsidR="00984960">
        <w:rPr>
          <w:rFonts w:asciiTheme="minorHAnsi" w:eastAsiaTheme="minorHAnsi" w:hAnsiTheme="minorHAnsi" w:cstheme="minorBidi"/>
          <w:snapToGrid/>
          <w:sz w:val="24"/>
          <w:szCs w:val="22"/>
        </w:rPr>
        <w:t>re</w:t>
      </w:r>
      <w:r>
        <w:rPr>
          <w:rFonts w:asciiTheme="minorHAnsi" w:eastAsiaTheme="minorHAnsi" w:hAnsiTheme="minorHAnsi" w:cstheme="minorBidi"/>
          <w:snapToGrid/>
          <w:sz w:val="24"/>
          <w:szCs w:val="22"/>
        </w:rPr>
        <w:t xml:space="preserve">submission applied a treatment rate for pembrolizumab of 83.5% in Year 1 to 85% in Year 6 of listing, compared to 60% for </w:t>
      </w:r>
      <w:r w:rsidRPr="00620D39">
        <w:rPr>
          <w:rFonts w:asciiTheme="minorHAnsi" w:eastAsiaTheme="minorHAnsi" w:hAnsiTheme="minorHAnsi" w:cstheme="minorBidi"/>
          <w:snapToGrid/>
          <w:sz w:val="24"/>
          <w:szCs w:val="22"/>
        </w:rPr>
        <w:t xml:space="preserve">platinum-based doublet </w:t>
      </w:r>
      <w:r>
        <w:rPr>
          <w:rFonts w:asciiTheme="minorHAnsi" w:eastAsiaTheme="minorHAnsi" w:hAnsiTheme="minorHAnsi" w:cstheme="minorBidi"/>
          <w:snapToGrid/>
          <w:sz w:val="24"/>
          <w:szCs w:val="22"/>
        </w:rPr>
        <w:t xml:space="preserve">chemotherapy. The PBAC noted </w:t>
      </w:r>
      <w:r w:rsidR="000142E2">
        <w:rPr>
          <w:rFonts w:asciiTheme="minorHAnsi" w:eastAsiaTheme="minorHAnsi" w:hAnsiTheme="minorHAnsi" w:cstheme="minorBidi"/>
          <w:snapToGrid/>
          <w:sz w:val="24"/>
          <w:szCs w:val="22"/>
        </w:rPr>
        <w:t xml:space="preserve">that the pre-PBAC response referred to the DUSC advice in relation to the original March 2017 submission, in which DUSC did not </w:t>
      </w:r>
      <w:r w:rsidR="007310E6">
        <w:rPr>
          <w:rFonts w:asciiTheme="minorHAnsi" w:eastAsiaTheme="minorHAnsi" w:hAnsiTheme="minorHAnsi" w:cstheme="minorBidi"/>
          <w:snapToGrid/>
          <w:sz w:val="24"/>
          <w:szCs w:val="22"/>
        </w:rPr>
        <w:t>change</w:t>
      </w:r>
      <w:r w:rsidR="000142E2">
        <w:rPr>
          <w:rFonts w:asciiTheme="minorHAnsi" w:eastAsiaTheme="minorHAnsi" w:hAnsiTheme="minorHAnsi" w:cstheme="minorBidi"/>
          <w:snapToGrid/>
          <w:sz w:val="24"/>
          <w:szCs w:val="22"/>
        </w:rPr>
        <w:t xml:space="preserve"> the </w:t>
      </w:r>
      <w:r w:rsidR="007310E6">
        <w:rPr>
          <w:rFonts w:asciiTheme="minorHAnsi" w:eastAsiaTheme="minorHAnsi" w:hAnsiTheme="minorHAnsi" w:cstheme="minorBidi"/>
          <w:snapToGrid/>
          <w:sz w:val="24"/>
          <w:szCs w:val="22"/>
        </w:rPr>
        <w:t xml:space="preserve">greater </w:t>
      </w:r>
      <w:r w:rsidR="000142E2">
        <w:rPr>
          <w:rFonts w:asciiTheme="minorHAnsi" w:eastAsiaTheme="minorHAnsi" w:hAnsiTheme="minorHAnsi" w:cstheme="minorBidi"/>
          <w:snapToGrid/>
          <w:sz w:val="24"/>
          <w:szCs w:val="22"/>
        </w:rPr>
        <w:t xml:space="preserve">uptake rates </w:t>
      </w:r>
      <w:r w:rsidR="007310E6">
        <w:rPr>
          <w:rFonts w:asciiTheme="minorHAnsi" w:eastAsiaTheme="minorHAnsi" w:hAnsiTheme="minorHAnsi" w:cstheme="minorBidi"/>
          <w:snapToGrid/>
          <w:sz w:val="24"/>
          <w:szCs w:val="22"/>
        </w:rPr>
        <w:t xml:space="preserve">for pembrolizumab </w:t>
      </w:r>
      <w:r w:rsidR="000142E2">
        <w:rPr>
          <w:rFonts w:asciiTheme="minorHAnsi" w:eastAsiaTheme="minorHAnsi" w:hAnsiTheme="minorHAnsi" w:cstheme="minorBidi"/>
          <w:snapToGrid/>
          <w:sz w:val="24"/>
          <w:szCs w:val="22"/>
        </w:rPr>
        <w:t>provided in the pre sub-committee response for that submission</w:t>
      </w:r>
      <w:r w:rsidR="007310E6">
        <w:rPr>
          <w:rFonts w:asciiTheme="minorHAnsi" w:eastAsiaTheme="minorHAnsi" w:hAnsiTheme="minorHAnsi" w:cstheme="minorBidi"/>
          <w:snapToGrid/>
          <w:sz w:val="24"/>
          <w:szCs w:val="22"/>
        </w:rPr>
        <w:t xml:space="preserve">. The PBAC also noted </w:t>
      </w:r>
      <w:r>
        <w:rPr>
          <w:rFonts w:asciiTheme="minorHAnsi" w:eastAsiaTheme="minorHAnsi" w:hAnsiTheme="minorHAnsi" w:cstheme="minorBidi"/>
          <w:snapToGrid/>
          <w:sz w:val="24"/>
          <w:szCs w:val="22"/>
        </w:rPr>
        <w:t>the argument</w:t>
      </w:r>
      <w:r w:rsidR="007310E6">
        <w:rPr>
          <w:rFonts w:asciiTheme="minorHAnsi" w:eastAsiaTheme="minorHAnsi" w:hAnsiTheme="minorHAnsi" w:cstheme="minorBidi"/>
          <w:snapToGrid/>
          <w:sz w:val="24"/>
          <w:szCs w:val="22"/>
        </w:rPr>
        <w:t>s</w:t>
      </w:r>
      <w:r>
        <w:rPr>
          <w:rFonts w:asciiTheme="minorHAnsi" w:eastAsiaTheme="minorHAnsi" w:hAnsiTheme="minorHAnsi" w:cstheme="minorBidi"/>
          <w:snapToGrid/>
          <w:sz w:val="24"/>
          <w:szCs w:val="22"/>
        </w:rPr>
        <w:t xml:space="preserve"> provided in the pre-PBAC response that “t</w:t>
      </w:r>
      <w:r w:rsidRPr="00526375">
        <w:rPr>
          <w:rFonts w:asciiTheme="minorHAnsi" w:eastAsiaTheme="minorHAnsi" w:hAnsiTheme="minorHAnsi" w:cstheme="minorBidi"/>
          <w:snapToGrid/>
          <w:sz w:val="24"/>
          <w:szCs w:val="22"/>
        </w:rPr>
        <w:t>his increase in treatment rate is justified given the efficacy and toxicity benefits of pembro</w:t>
      </w:r>
      <w:r>
        <w:rPr>
          <w:rFonts w:asciiTheme="minorHAnsi" w:eastAsiaTheme="minorHAnsi" w:hAnsiTheme="minorHAnsi" w:cstheme="minorBidi"/>
          <w:snapToGrid/>
          <w:sz w:val="24"/>
          <w:szCs w:val="22"/>
        </w:rPr>
        <w:t xml:space="preserve">lizumab versus standard of care” and that similar treatment uptake rates were accepted in the brentuximab vedotin submission for the treatment of </w:t>
      </w:r>
      <w:r w:rsidRPr="00526375">
        <w:rPr>
          <w:rFonts w:asciiTheme="minorHAnsi" w:eastAsiaTheme="minorHAnsi" w:hAnsiTheme="minorHAnsi" w:cstheme="minorBidi"/>
          <w:snapToGrid/>
          <w:sz w:val="24"/>
          <w:szCs w:val="22"/>
        </w:rPr>
        <w:t>relapsed or refractory CD30+ Hodgkin lymphoma following autologous stem cell transplant</w:t>
      </w:r>
      <w:r>
        <w:rPr>
          <w:rFonts w:asciiTheme="minorHAnsi" w:eastAsiaTheme="minorHAnsi" w:hAnsiTheme="minorHAnsi" w:cstheme="minorBidi"/>
          <w:snapToGrid/>
          <w:sz w:val="24"/>
          <w:szCs w:val="22"/>
        </w:rPr>
        <w:t>. The PBAC considered that th</w:t>
      </w:r>
      <w:r w:rsidR="00DE4A33">
        <w:rPr>
          <w:rFonts w:asciiTheme="minorHAnsi" w:eastAsiaTheme="minorHAnsi" w:hAnsiTheme="minorHAnsi" w:cstheme="minorBidi"/>
          <w:snapToGrid/>
          <w:sz w:val="24"/>
          <w:szCs w:val="22"/>
        </w:rPr>
        <w:t xml:space="preserve">is </w:t>
      </w:r>
      <w:r w:rsidR="007310E6">
        <w:rPr>
          <w:rFonts w:asciiTheme="minorHAnsi" w:eastAsiaTheme="minorHAnsi" w:hAnsiTheme="minorHAnsi" w:cstheme="minorBidi"/>
          <w:snapToGrid/>
          <w:sz w:val="24"/>
          <w:szCs w:val="22"/>
        </w:rPr>
        <w:t xml:space="preserve">reference to brentuximab vedotin </w:t>
      </w:r>
      <w:r w:rsidR="00DE4A33">
        <w:rPr>
          <w:rFonts w:asciiTheme="minorHAnsi" w:eastAsiaTheme="minorHAnsi" w:hAnsiTheme="minorHAnsi" w:cstheme="minorBidi"/>
          <w:snapToGrid/>
          <w:sz w:val="24"/>
          <w:szCs w:val="22"/>
        </w:rPr>
        <w:t>wa</w:t>
      </w:r>
      <w:r>
        <w:rPr>
          <w:rFonts w:asciiTheme="minorHAnsi" w:eastAsiaTheme="minorHAnsi" w:hAnsiTheme="minorHAnsi" w:cstheme="minorBidi"/>
          <w:snapToGrid/>
          <w:sz w:val="24"/>
          <w:szCs w:val="22"/>
        </w:rPr>
        <w:t xml:space="preserve">s of no relevance to the </w:t>
      </w:r>
      <w:r w:rsidR="00DE4A33">
        <w:rPr>
          <w:rFonts w:asciiTheme="minorHAnsi" w:eastAsiaTheme="minorHAnsi" w:hAnsiTheme="minorHAnsi" w:cstheme="minorBidi"/>
          <w:snapToGrid/>
          <w:sz w:val="24"/>
          <w:szCs w:val="22"/>
        </w:rPr>
        <w:t xml:space="preserve">estimates of </w:t>
      </w:r>
      <w:r>
        <w:rPr>
          <w:rFonts w:asciiTheme="minorHAnsi" w:eastAsiaTheme="minorHAnsi" w:hAnsiTheme="minorHAnsi" w:cstheme="minorBidi"/>
          <w:snapToGrid/>
          <w:sz w:val="24"/>
          <w:szCs w:val="22"/>
        </w:rPr>
        <w:t xml:space="preserve">pembrolizumab </w:t>
      </w:r>
      <w:r w:rsidR="00DE4A33">
        <w:rPr>
          <w:rFonts w:asciiTheme="minorHAnsi" w:eastAsiaTheme="minorHAnsi" w:hAnsiTheme="minorHAnsi" w:cstheme="minorBidi"/>
          <w:snapToGrid/>
          <w:sz w:val="24"/>
          <w:szCs w:val="22"/>
        </w:rPr>
        <w:t xml:space="preserve">because it related to a different </w:t>
      </w:r>
      <w:r w:rsidR="007310E6">
        <w:rPr>
          <w:rFonts w:asciiTheme="minorHAnsi" w:eastAsiaTheme="minorHAnsi" w:hAnsiTheme="minorHAnsi" w:cstheme="minorBidi"/>
          <w:snapToGrid/>
          <w:sz w:val="24"/>
          <w:szCs w:val="22"/>
        </w:rPr>
        <w:t xml:space="preserve">proposed </w:t>
      </w:r>
      <w:r w:rsidR="00DE4A33">
        <w:rPr>
          <w:rFonts w:asciiTheme="minorHAnsi" w:eastAsiaTheme="minorHAnsi" w:hAnsiTheme="minorHAnsi" w:cstheme="minorBidi"/>
          <w:snapToGrid/>
          <w:sz w:val="24"/>
          <w:szCs w:val="22"/>
        </w:rPr>
        <w:t>medicine, with different alternative therapies in a different cancer</w:t>
      </w:r>
      <w:r>
        <w:rPr>
          <w:rFonts w:asciiTheme="minorHAnsi" w:eastAsiaTheme="minorHAnsi" w:hAnsiTheme="minorHAnsi" w:cstheme="minorBidi"/>
          <w:snapToGrid/>
          <w:sz w:val="24"/>
          <w:szCs w:val="22"/>
        </w:rPr>
        <w:t xml:space="preserve">. </w:t>
      </w:r>
      <w:r w:rsidR="007310E6">
        <w:rPr>
          <w:rFonts w:asciiTheme="minorHAnsi" w:eastAsiaTheme="minorHAnsi" w:hAnsiTheme="minorHAnsi" w:cstheme="minorBidi"/>
          <w:snapToGrid/>
          <w:sz w:val="24"/>
          <w:szCs w:val="22"/>
        </w:rPr>
        <w:t>However, overall, t</w:t>
      </w:r>
      <w:r>
        <w:rPr>
          <w:rFonts w:asciiTheme="minorHAnsi" w:eastAsiaTheme="minorHAnsi" w:hAnsiTheme="minorHAnsi" w:cstheme="minorBidi"/>
          <w:snapToGrid/>
          <w:sz w:val="24"/>
          <w:szCs w:val="22"/>
        </w:rPr>
        <w:t xml:space="preserve">he PBAC considered that the pembrolizumab treatment uptake rate assumed by the minor </w:t>
      </w:r>
      <w:r w:rsidR="00984960">
        <w:rPr>
          <w:rFonts w:asciiTheme="minorHAnsi" w:eastAsiaTheme="minorHAnsi" w:hAnsiTheme="minorHAnsi" w:cstheme="minorBidi"/>
          <w:snapToGrid/>
          <w:sz w:val="24"/>
          <w:szCs w:val="22"/>
        </w:rPr>
        <w:t>re</w:t>
      </w:r>
      <w:r>
        <w:rPr>
          <w:rFonts w:asciiTheme="minorHAnsi" w:eastAsiaTheme="minorHAnsi" w:hAnsiTheme="minorHAnsi" w:cstheme="minorBidi"/>
          <w:snapToGrid/>
          <w:sz w:val="24"/>
          <w:szCs w:val="22"/>
        </w:rPr>
        <w:t xml:space="preserve">submission was unrealistically high, given that a proportion of patients may not have </w:t>
      </w:r>
      <w:r w:rsidR="009E61A6">
        <w:rPr>
          <w:rFonts w:asciiTheme="minorHAnsi" w:eastAsiaTheme="minorHAnsi" w:hAnsiTheme="minorHAnsi" w:cstheme="minorBidi"/>
          <w:snapToGrid/>
          <w:sz w:val="24"/>
          <w:szCs w:val="22"/>
        </w:rPr>
        <w:t xml:space="preserve">tumour material </w:t>
      </w:r>
      <w:r>
        <w:rPr>
          <w:rFonts w:asciiTheme="minorHAnsi" w:eastAsiaTheme="minorHAnsi" w:hAnsiTheme="minorHAnsi" w:cstheme="minorBidi"/>
          <w:snapToGrid/>
          <w:sz w:val="24"/>
          <w:szCs w:val="22"/>
        </w:rPr>
        <w:t xml:space="preserve">suitable </w:t>
      </w:r>
      <w:r w:rsidR="009E61A6">
        <w:rPr>
          <w:rFonts w:asciiTheme="minorHAnsi" w:eastAsiaTheme="minorHAnsi" w:hAnsiTheme="minorHAnsi" w:cstheme="minorBidi"/>
          <w:snapToGrid/>
          <w:sz w:val="24"/>
          <w:szCs w:val="22"/>
        </w:rPr>
        <w:t>for PD-L1 expression determination</w:t>
      </w:r>
      <w:r>
        <w:rPr>
          <w:rFonts w:asciiTheme="minorHAnsi" w:eastAsiaTheme="minorHAnsi" w:hAnsiTheme="minorHAnsi" w:cstheme="minorBidi"/>
          <w:snapToGrid/>
          <w:sz w:val="24"/>
          <w:szCs w:val="22"/>
        </w:rPr>
        <w:t xml:space="preserve"> and may not meet the performance status requirements specified in the PBS restriction. </w:t>
      </w:r>
      <w:r w:rsidR="00497908">
        <w:rPr>
          <w:rFonts w:asciiTheme="minorHAnsi" w:eastAsiaTheme="minorHAnsi" w:hAnsiTheme="minorHAnsi" w:cstheme="minorBidi"/>
          <w:snapToGrid/>
          <w:sz w:val="24"/>
          <w:szCs w:val="22"/>
        </w:rPr>
        <w:t xml:space="preserve">Further, </w:t>
      </w:r>
      <w:r w:rsidR="00CB3F90">
        <w:rPr>
          <w:rFonts w:asciiTheme="minorHAnsi" w:eastAsiaTheme="minorHAnsi" w:hAnsiTheme="minorHAnsi" w:cstheme="minorBidi"/>
          <w:snapToGrid/>
          <w:sz w:val="24"/>
          <w:szCs w:val="22"/>
        </w:rPr>
        <w:t xml:space="preserve">the PBAC advised </w:t>
      </w:r>
      <w:r w:rsidR="00497908">
        <w:rPr>
          <w:rFonts w:asciiTheme="minorHAnsi" w:eastAsiaTheme="minorHAnsi" w:hAnsiTheme="minorHAnsi" w:cstheme="minorBidi"/>
          <w:snapToGrid/>
          <w:sz w:val="24"/>
          <w:szCs w:val="22"/>
        </w:rPr>
        <w:t xml:space="preserve">that clinicians may choose chemotherapy rather than immunotherapy for a proportion of patients. </w:t>
      </w:r>
      <w:r>
        <w:rPr>
          <w:rFonts w:asciiTheme="minorHAnsi" w:eastAsiaTheme="minorHAnsi" w:hAnsiTheme="minorHAnsi" w:cstheme="minorBidi"/>
          <w:snapToGrid/>
          <w:sz w:val="24"/>
          <w:szCs w:val="22"/>
        </w:rPr>
        <w:t xml:space="preserve">The PBAC </w:t>
      </w:r>
      <w:r w:rsidR="007310E6">
        <w:rPr>
          <w:rFonts w:asciiTheme="minorHAnsi" w:eastAsiaTheme="minorHAnsi" w:hAnsiTheme="minorHAnsi" w:cstheme="minorBidi"/>
          <w:snapToGrid/>
          <w:sz w:val="24"/>
          <w:szCs w:val="22"/>
        </w:rPr>
        <w:t xml:space="preserve">instead </w:t>
      </w:r>
      <w:r>
        <w:rPr>
          <w:rFonts w:asciiTheme="minorHAnsi" w:eastAsiaTheme="minorHAnsi" w:hAnsiTheme="minorHAnsi" w:cstheme="minorBidi"/>
          <w:snapToGrid/>
          <w:sz w:val="24"/>
          <w:szCs w:val="22"/>
        </w:rPr>
        <w:t>advised that a treatment uptake rate of approximately 65% would be mor</w:t>
      </w:r>
      <w:r w:rsidR="00DE4A33">
        <w:rPr>
          <w:rFonts w:asciiTheme="minorHAnsi" w:eastAsiaTheme="minorHAnsi" w:hAnsiTheme="minorHAnsi" w:cstheme="minorBidi"/>
          <w:snapToGrid/>
          <w:sz w:val="24"/>
          <w:szCs w:val="22"/>
        </w:rPr>
        <w:t>e reasonable for pembrolizumab.</w:t>
      </w:r>
    </w:p>
    <w:p w:rsidR="008F6251" w:rsidRDefault="008F6251" w:rsidP="00FF749D">
      <w:pPr>
        <w:pStyle w:val="ListParagraph"/>
        <w:widowControl/>
        <w:numPr>
          <w:ilvl w:val="1"/>
          <w:numId w:val="5"/>
        </w:numPr>
        <w:spacing w:after="120"/>
        <w:contextualSpacing w:val="0"/>
        <w:rPr>
          <w:rFonts w:asciiTheme="minorHAnsi" w:hAnsiTheme="minorHAnsi"/>
          <w:sz w:val="24"/>
          <w:szCs w:val="24"/>
        </w:rPr>
      </w:pPr>
      <w:r w:rsidRPr="008C6270">
        <w:rPr>
          <w:rFonts w:asciiTheme="minorHAnsi" w:hAnsiTheme="minorHAnsi"/>
          <w:sz w:val="24"/>
          <w:szCs w:val="24"/>
        </w:rPr>
        <w:t>The minor resubmission estimated the number of patients to be grandfathered based on the approach in the following table. This d</w:t>
      </w:r>
      <w:r w:rsidR="00DE4A33">
        <w:rPr>
          <w:rFonts w:asciiTheme="minorHAnsi" w:hAnsiTheme="minorHAnsi"/>
          <w:sz w:val="24"/>
          <w:szCs w:val="24"/>
        </w:rPr>
        <w:t>id</w:t>
      </w:r>
      <w:r w:rsidRPr="008C6270">
        <w:rPr>
          <w:rFonts w:asciiTheme="minorHAnsi" w:hAnsiTheme="minorHAnsi"/>
          <w:sz w:val="24"/>
          <w:szCs w:val="24"/>
        </w:rPr>
        <w:t xml:space="preserve"> not reflect a known number of patients currently taking pembrolizumab on a compassionate use program, but </w:t>
      </w:r>
      <w:r w:rsidR="00FF749D" w:rsidRPr="008C6270">
        <w:rPr>
          <w:rFonts w:asciiTheme="minorHAnsi" w:hAnsiTheme="minorHAnsi"/>
          <w:sz w:val="24"/>
          <w:szCs w:val="24"/>
        </w:rPr>
        <w:t>reflect</w:t>
      </w:r>
      <w:r w:rsidR="00DE4A33">
        <w:rPr>
          <w:rFonts w:asciiTheme="minorHAnsi" w:hAnsiTheme="minorHAnsi"/>
          <w:sz w:val="24"/>
          <w:szCs w:val="24"/>
        </w:rPr>
        <w:t>ed</w:t>
      </w:r>
      <w:r w:rsidR="00FF749D" w:rsidRPr="008C6270">
        <w:rPr>
          <w:rFonts w:asciiTheme="minorHAnsi" w:hAnsiTheme="minorHAnsi"/>
          <w:sz w:val="24"/>
          <w:szCs w:val="24"/>
        </w:rPr>
        <w:t xml:space="preserve"> the proposal in the minor resubmission that the sponsor would create “an early access program (EAP) between the time of a positive PBAC recommendation and the PBS listing date with eligibility criteria being identical to the proposed PBS restriction (March 2018 and August 2018)”. The calculations </w:t>
      </w:r>
      <w:r w:rsidRPr="008C6270">
        <w:rPr>
          <w:rFonts w:asciiTheme="minorHAnsi" w:hAnsiTheme="minorHAnsi"/>
          <w:sz w:val="24"/>
          <w:szCs w:val="24"/>
        </w:rPr>
        <w:t xml:space="preserve">assume that </w:t>
      </w:r>
      <w:r w:rsidR="002F7C2E">
        <w:rPr>
          <w:rFonts w:asciiTheme="minorHAnsi" w:hAnsiTheme="minorHAnsi"/>
          <w:sz w:val="24"/>
          <w:szCs w:val="24"/>
        </w:rPr>
        <w:t xml:space="preserve">a </w:t>
      </w:r>
      <w:r w:rsidRPr="008C6270">
        <w:rPr>
          <w:rFonts w:asciiTheme="minorHAnsi" w:hAnsiTheme="minorHAnsi"/>
          <w:sz w:val="24"/>
          <w:szCs w:val="24"/>
        </w:rPr>
        <w:t>full year</w:t>
      </w:r>
      <w:r w:rsidR="00FF749D" w:rsidRPr="008C6270">
        <w:rPr>
          <w:rFonts w:asciiTheme="minorHAnsi" w:hAnsiTheme="minorHAnsi"/>
          <w:sz w:val="24"/>
          <w:szCs w:val="24"/>
        </w:rPr>
        <w:t>’s worth of patients</w:t>
      </w:r>
      <w:r w:rsidRPr="008C6270">
        <w:rPr>
          <w:rFonts w:asciiTheme="minorHAnsi" w:hAnsiTheme="minorHAnsi"/>
          <w:sz w:val="24"/>
          <w:szCs w:val="24"/>
        </w:rPr>
        <w:t xml:space="preserve"> </w:t>
      </w:r>
      <w:r w:rsidR="00FF749D" w:rsidRPr="008C6270">
        <w:rPr>
          <w:rFonts w:asciiTheme="minorHAnsi" w:hAnsiTheme="minorHAnsi"/>
          <w:sz w:val="24"/>
          <w:szCs w:val="24"/>
        </w:rPr>
        <w:t xml:space="preserve">would be eligible for </w:t>
      </w:r>
      <w:r w:rsidR="00560542" w:rsidRPr="008C6270">
        <w:rPr>
          <w:rFonts w:asciiTheme="minorHAnsi" w:hAnsiTheme="minorHAnsi"/>
          <w:sz w:val="24"/>
          <w:szCs w:val="24"/>
        </w:rPr>
        <w:t>pembrolizumab in this seven month period</w:t>
      </w:r>
      <w:r w:rsidRPr="008C6270">
        <w:rPr>
          <w:rFonts w:asciiTheme="minorHAnsi" w:hAnsiTheme="minorHAnsi"/>
          <w:sz w:val="24"/>
          <w:szCs w:val="24"/>
        </w:rPr>
        <w:t>, and that all eligible patients would start pembrolizumab.</w:t>
      </w:r>
      <w:r w:rsidR="00560542" w:rsidRPr="008C6270">
        <w:rPr>
          <w:rFonts w:asciiTheme="minorHAnsi" w:hAnsiTheme="minorHAnsi"/>
          <w:sz w:val="24"/>
          <w:szCs w:val="24"/>
        </w:rPr>
        <w:t xml:space="preserve"> The minor resubmission d</w:t>
      </w:r>
      <w:r w:rsidR="003B6902">
        <w:rPr>
          <w:rFonts w:asciiTheme="minorHAnsi" w:hAnsiTheme="minorHAnsi"/>
          <w:sz w:val="24"/>
          <w:szCs w:val="24"/>
        </w:rPr>
        <w:t>id</w:t>
      </w:r>
      <w:r w:rsidR="00560542" w:rsidRPr="008C6270">
        <w:rPr>
          <w:rFonts w:asciiTheme="minorHAnsi" w:hAnsiTheme="minorHAnsi"/>
          <w:sz w:val="24"/>
          <w:szCs w:val="24"/>
        </w:rPr>
        <w:t xml:space="preserve"> not state what form of subsidy on the published price would be offered in this proposed EAP, which might affect uptake rates.</w:t>
      </w:r>
    </w:p>
    <w:p w:rsidR="003B6902" w:rsidRDefault="003B6902" w:rsidP="00FF749D">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 xml:space="preserve">The pre-PBAC response stated that the sponsor </w:t>
      </w:r>
      <w:r w:rsidR="00DE4A33">
        <w:rPr>
          <w:rFonts w:asciiTheme="minorHAnsi" w:hAnsiTheme="minorHAnsi"/>
          <w:sz w:val="24"/>
          <w:szCs w:val="24"/>
        </w:rPr>
        <w:t xml:space="preserve">had </w:t>
      </w:r>
      <w:r>
        <w:rPr>
          <w:rFonts w:asciiTheme="minorHAnsi" w:hAnsiTheme="minorHAnsi"/>
          <w:sz w:val="24"/>
          <w:szCs w:val="24"/>
        </w:rPr>
        <w:t xml:space="preserve">launched </w:t>
      </w:r>
      <w:r w:rsidR="00DE4A33">
        <w:rPr>
          <w:rFonts w:asciiTheme="minorHAnsi" w:hAnsiTheme="minorHAnsi"/>
          <w:sz w:val="24"/>
          <w:szCs w:val="24"/>
        </w:rPr>
        <w:t>its</w:t>
      </w:r>
      <w:r>
        <w:rPr>
          <w:rFonts w:asciiTheme="minorHAnsi" w:hAnsiTheme="minorHAnsi"/>
          <w:sz w:val="24"/>
          <w:szCs w:val="24"/>
        </w:rPr>
        <w:t xml:space="preserve"> EAP in February 2018, with eligibility criteria identical to the requested PBS restriction and the costs of pembrolizumab and PD-L1 testing completely subsidised by the sponsor. </w:t>
      </w:r>
      <w:r w:rsidR="002B3548">
        <w:rPr>
          <w:rFonts w:asciiTheme="minorHAnsi" w:hAnsiTheme="minorHAnsi"/>
          <w:sz w:val="24"/>
          <w:szCs w:val="24"/>
        </w:rPr>
        <w:t>It stated that 46 patients were enrolled in th</w:t>
      </w:r>
      <w:r w:rsidR="009018EC">
        <w:rPr>
          <w:rFonts w:asciiTheme="minorHAnsi" w:hAnsiTheme="minorHAnsi"/>
          <w:sz w:val="24"/>
          <w:szCs w:val="24"/>
        </w:rPr>
        <w:t>e first three weeks of the EAP.</w:t>
      </w:r>
    </w:p>
    <w:p w:rsidR="00C93583" w:rsidRPr="00BD4830" w:rsidRDefault="00132250" w:rsidP="00BD4830">
      <w:pPr>
        <w:pStyle w:val="ListParagraph"/>
        <w:widowControl/>
        <w:numPr>
          <w:ilvl w:val="1"/>
          <w:numId w:val="5"/>
        </w:numPr>
        <w:spacing w:after="120"/>
        <w:contextualSpacing w:val="0"/>
        <w:rPr>
          <w:rFonts w:asciiTheme="minorHAnsi" w:hAnsiTheme="minorHAnsi"/>
          <w:sz w:val="24"/>
          <w:szCs w:val="24"/>
        </w:rPr>
      </w:pPr>
      <w:r w:rsidRPr="002266C9">
        <w:rPr>
          <w:rFonts w:asciiTheme="minorHAnsi" w:hAnsiTheme="minorHAnsi"/>
          <w:sz w:val="24"/>
          <w:szCs w:val="24"/>
        </w:rPr>
        <w:t xml:space="preserve">The PBAC noted that the minor </w:t>
      </w:r>
      <w:r>
        <w:rPr>
          <w:rFonts w:asciiTheme="minorHAnsi" w:hAnsiTheme="minorHAnsi"/>
          <w:sz w:val="24"/>
          <w:szCs w:val="24"/>
        </w:rPr>
        <w:t>re</w:t>
      </w:r>
      <w:r w:rsidRPr="002266C9">
        <w:rPr>
          <w:rFonts w:asciiTheme="minorHAnsi" w:hAnsiTheme="minorHAnsi"/>
          <w:sz w:val="24"/>
          <w:szCs w:val="24"/>
        </w:rPr>
        <w:t xml:space="preserve">submission </w:t>
      </w:r>
      <w:r>
        <w:rPr>
          <w:rFonts w:asciiTheme="minorHAnsi" w:hAnsiTheme="minorHAnsi"/>
          <w:sz w:val="24"/>
          <w:szCs w:val="24"/>
        </w:rPr>
        <w:t xml:space="preserve">included </w:t>
      </w:r>
      <w:r w:rsidRPr="002266C9">
        <w:rPr>
          <w:rFonts w:asciiTheme="minorHAnsi" w:hAnsiTheme="minorHAnsi"/>
          <w:sz w:val="24"/>
          <w:szCs w:val="24"/>
        </w:rPr>
        <w:t xml:space="preserve">grandfathered patients </w:t>
      </w:r>
      <w:r w:rsidR="00B84385">
        <w:rPr>
          <w:rFonts w:asciiTheme="minorHAnsi" w:hAnsiTheme="minorHAnsi"/>
          <w:sz w:val="24"/>
          <w:szCs w:val="24"/>
        </w:rPr>
        <w:t>from</w:t>
      </w:r>
      <w:r w:rsidRPr="002266C9">
        <w:rPr>
          <w:rFonts w:asciiTheme="minorHAnsi" w:hAnsiTheme="minorHAnsi"/>
          <w:sz w:val="24"/>
          <w:szCs w:val="24"/>
        </w:rPr>
        <w:t xml:space="preserve"> th</w:t>
      </w:r>
      <w:r>
        <w:rPr>
          <w:rFonts w:asciiTheme="minorHAnsi" w:hAnsiTheme="minorHAnsi"/>
          <w:sz w:val="24"/>
          <w:szCs w:val="24"/>
        </w:rPr>
        <w:t>e prevalent</w:t>
      </w:r>
      <w:r w:rsidRPr="002266C9">
        <w:rPr>
          <w:rFonts w:asciiTheme="minorHAnsi" w:hAnsiTheme="minorHAnsi"/>
          <w:sz w:val="24"/>
          <w:szCs w:val="24"/>
        </w:rPr>
        <w:t xml:space="preserve"> pool</w:t>
      </w:r>
      <w:r>
        <w:rPr>
          <w:rFonts w:asciiTheme="minorHAnsi" w:hAnsiTheme="minorHAnsi"/>
          <w:sz w:val="24"/>
          <w:szCs w:val="24"/>
        </w:rPr>
        <w:t xml:space="preserve"> in its </w:t>
      </w:r>
      <w:r w:rsidRPr="002266C9">
        <w:rPr>
          <w:rFonts w:asciiTheme="minorHAnsi" w:hAnsiTheme="minorHAnsi"/>
          <w:sz w:val="24"/>
          <w:szCs w:val="24"/>
        </w:rPr>
        <w:t xml:space="preserve">epidemiological approach to estimate the </w:t>
      </w:r>
      <w:r>
        <w:rPr>
          <w:rFonts w:asciiTheme="minorHAnsi" w:hAnsiTheme="minorHAnsi"/>
          <w:sz w:val="24"/>
          <w:szCs w:val="24"/>
        </w:rPr>
        <w:t xml:space="preserve">size of the </w:t>
      </w:r>
      <w:r w:rsidRPr="002266C9">
        <w:rPr>
          <w:rFonts w:asciiTheme="minorHAnsi" w:hAnsiTheme="minorHAnsi"/>
          <w:sz w:val="24"/>
          <w:szCs w:val="24"/>
        </w:rPr>
        <w:t xml:space="preserve">PBS population </w:t>
      </w:r>
      <w:r>
        <w:rPr>
          <w:rFonts w:asciiTheme="minorHAnsi" w:hAnsiTheme="minorHAnsi"/>
          <w:sz w:val="24"/>
          <w:szCs w:val="24"/>
        </w:rPr>
        <w:t xml:space="preserve">which would be eligible for </w:t>
      </w:r>
      <w:r w:rsidRPr="002266C9">
        <w:rPr>
          <w:rFonts w:asciiTheme="minorHAnsi" w:hAnsiTheme="minorHAnsi"/>
          <w:sz w:val="24"/>
          <w:szCs w:val="24"/>
        </w:rPr>
        <w:t xml:space="preserve">pembrolizumab. The PBAC considered that this </w:t>
      </w:r>
      <w:r>
        <w:rPr>
          <w:rFonts w:asciiTheme="minorHAnsi" w:hAnsiTheme="minorHAnsi"/>
          <w:sz w:val="24"/>
          <w:szCs w:val="24"/>
        </w:rPr>
        <w:t>inclusion would affect any proposal to use a risk sharing arrangement to generate an upper cost per patient for pembrolizumab in order to achieve acceptable cost-effectiveness.</w:t>
      </w:r>
    </w:p>
    <w:p w:rsidR="00D939E9" w:rsidRDefault="00D939E9" w:rsidP="00FF749D">
      <w:pPr>
        <w:rPr>
          <w:rFonts w:ascii="Arial Narrow" w:hAnsi="Arial Narrow" w:cs="Arial"/>
          <w:b/>
          <w:sz w:val="20"/>
          <w:lang w:eastAsia="en-US"/>
        </w:rPr>
      </w:pPr>
      <w:r w:rsidRPr="00D660D2">
        <w:rPr>
          <w:rFonts w:ascii="Arial Narrow" w:hAnsi="Arial Narrow" w:cs="Arial"/>
          <w:b/>
          <w:sz w:val="20"/>
          <w:szCs w:val="16"/>
          <w:lang w:eastAsia="en-US"/>
        </w:rPr>
        <w:t>Table</w:t>
      </w:r>
      <w:r w:rsidRPr="00D660D2">
        <w:rPr>
          <w:rFonts w:ascii="Arial Narrow" w:hAnsi="Arial Narrow" w:cs="Arial"/>
          <w:b/>
          <w:sz w:val="20"/>
          <w:lang w:eastAsia="en-US"/>
        </w:rPr>
        <w:t xml:space="preserve"> </w:t>
      </w:r>
      <w:r w:rsidR="006C6CBE">
        <w:rPr>
          <w:rFonts w:ascii="Arial Narrow" w:hAnsi="Arial Narrow" w:cs="Arial"/>
          <w:b/>
          <w:noProof/>
          <w:sz w:val="20"/>
          <w:lang w:eastAsia="en-US"/>
        </w:rPr>
        <w:t>5</w:t>
      </w:r>
      <w:r w:rsidRPr="00D660D2">
        <w:rPr>
          <w:rFonts w:ascii="Arial Narrow" w:hAnsi="Arial Narrow" w:cs="Arial"/>
          <w:b/>
          <w:sz w:val="20"/>
          <w:lang w:eastAsia="en-US"/>
        </w:rPr>
        <w:t xml:space="preserve">: </w:t>
      </w:r>
      <w:r>
        <w:rPr>
          <w:rFonts w:ascii="Arial Narrow" w:hAnsi="Arial Narrow" w:cs="Arial"/>
          <w:b/>
          <w:sz w:val="20"/>
          <w:lang w:eastAsia="en-US"/>
        </w:rPr>
        <w:t>C</w:t>
      </w:r>
      <w:r w:rsidR="00FF749D">
        <w:rPr>
          <w:rFonts w:ascii="Arial Narrow" w:hAnsi="Arial Narrow" w:cs="Arial"/>
          <w:b/>
          <w:sz w:val="20"/>
          <w:lang w:eastAsia="en-US"/>
        </w:rPr>
        <w:t xml:space="preserve">alculation of the number of grandfathered patients </w:t>
      </w:r>
      <w:r>
        <w:rPr>
          <w:rFonts w:ascii="Arial Narrow" w:hAnsi="Arial Narrow" w:cs="Arial"/>
          <w:b/>
          <w:sz w:val="20"/>
          <w:lang w:eastAsia="en-US"/>
        </w:rPr>
        <w:t>in the current minor resubmission</w:t>
      </w:r>
    </w:p>
    <w:tbl>
      <w:tblPr>
        <w:tblW w:w="9072" w:type="dxa"/>
        <w:tblInd w:w="108" w:type="dxa"/>
        <w:tblCellMar>
          <w:left w:w="0" w:type="dxa"/>
          <w:right w:w="0" w:type="dxa"/>
        </w:tblCellMar>
        <w:tblLook w:val="04A0" w:firstRow="1" w:lastRow="0" w:firstColumn="1" w:lastColumn="0" w:noHBand="0" w:noVBand="1"/>
      </w:tblPr>
      <w:tblGrid>
        <w:gridCol w:w="709"/>
        <w:gridCol w:w="7513"/>
        <w:gridCol w:w="850"/>
      </w:tblGrid>
      <w:tr w:rsidR="00FF749D" w:rsidRPr="00FF749D" w:rsidTr="00FF749D">
        <w:trPr>
          <w:trHeight w:val="20"/>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749D" w:rsidRPr="00FF749D" w:rsidRDefault="00FF749D" w:rsidP="0051182F">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A</w:t>
            </w:r>
          </w:p>
        </w:tc>
        <w:tc>
          <w:tcPr>
            <w:tcW w:w="751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FF749D" w:rsidRPr="00FF749D" w:rsidRDefault="00FF749D" w:rsidP="0051182F">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Patients available for grandfathering (same in November sub &amp;PSCR and minor resub)</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749D" w:rsidRPr="00E964DA" w:rsidRDefault="00E964DA" w:rsidP="00FF749D">
            <w:pPr>
              <w:spacing w:line="20" w:lineRule="atLeast"/>
              <w:jc w:val="right"/>
              <w:rPr>
                <w:rFonts w:ascii="Arial Narrow" w:eastAsiaTheme="minorHAnsi" w:hAnsi="Arial Narrow"/>
                <w:sz w:val="20"/>
                <w:szCs w:val="20"/>
                <w:highlight w:val="black"/>
                <w:lang w:eastAsia="en-US"/>
              </w:rPr>
            </w:pPr>
            <w:r>
              <w:rPr>
                <w:rFonts w:ascii="Arial Narrow" w:hAnsi="Arial Narrow"/>
                <w:noProof/>
                <w:color w:val="000000"/>
                <w:sz w:val="20"/>
                <w:szCs w:val="20"/>
                <w:highlight w:val="black"/>
              </w:rPr>
              <w:t>'''''''''''''</w:t>
            </w:r>
          </w:p>
        </w:tc>
      </w:tr>
      <w:tr w:rsidR="00FF749D" w:rsidRPr="00FF749D" w:rsidTr="00FF749D">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49D" w:rsidRPr="00FF749D" w:rsidRDefault="00FF749D" w:rsidP="0051182F">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B</w:t>
            </w:r>
          </w:p>
        </w:tc>
        <w:tc>
          <w:tcPr>
            <w:tcW w:w="7513" w:type="dxa"/>
            <w:tcBorders>
              <w:top w:val="nil"/>
              <w:left w:val="nil"/>
              <w:bottom w:val="single" w:sz="8" w:space="0" w:color="auto"/>
              <w:right w:val="single" w:sz="8" w:space="0" w:color="auto"/>
            </w:tcBorders>
            <w:noWrap/>
            <w:tcMar>
              <w:top w:w="0" w:type="dxa"/>
              <w:left w:w="108" w:type="dxa"/>
              <w:bottom w:w="0" w:type="dxa"/>
              <w:right w:w="108" w:type="dxa"/>
            </w:tcMar>
            <w:hideMark/>
          </w:tcPr>
          <w:p w:rsidR="00FF749D" w:rsidRPr="00FF749D" w:rsidRDefault="00FF749D" w:rsidP="0051182F">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Number of patients that are PD-L1 positive (28.5% × 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F749D" w:rsidRPr="00E964DA" w:rsidRDefault="00E964DA" w:rsidP="00FF749D">
            <w:pPr>
              <w:spacing w:line="20" w:lineRule="atLeast"/>
              <w:jc w:val="right"/>
              <w:rPr>
                <w:rFonts w:ascii="Arial Narrow" w:eastAsiaTheme="minorHAnsi" w:hAnsi="Arial Narrow"/>
                <w:sz w:val="20"/>
                <w:szCs w:val="20"/>
                <w:highlight w:val="black"/>
                <w:lang w:eastAsia="en-US"/>
              </w:rPr>
            </w:pPr>
            <w:r>
              <w:rPr>
                <w:rFonts w:ascii="Arial Narrow" w:hAnsi="Arial Narrow"/>
                <w:noProof/>
                <w:color w:val="000000"/>
                <w:sz w:val="20"/>
                <w:szCs w:val="20"/>
                <w:highlight w:val="black"/>
              </w:rPr>
              <w:t>''''''''''</w:t>
            </w:r>
          </w:p>
        </w:tc>
      </w:tr>
      <w:tr w:rsidR="00FF749D" w:rsidRPr="00FF749D" w:rsidTr="00FF749D">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49D" w:rsidRPr="00FF749D" w:rsidRDefault="00FF749D" w:rsidP="0051182F">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C</w:t>
            </w:r>
          </w:p>
        </w:tc>
        <w:tc>
          <w:tcPr>
            <w:tcW w:w="7513" w:type="dxa"/>
            <w:tcBorders>
              <w:top w:val="nil"/>
              <w:left w:val="nil"/>
              <w:bottom w:val="single" w:sz="8" w:space="0" w:color="auto"/>
              <w:right w:val="single" w:sz="8" w:space="0" w:color="auto"/>
            </w:tcBorders>
            <w:noWrap/>
            <w:tcMar>
              <w:top w:w="0" w:type="dxa"/>
              <w:left w:w="108" w:type="dxa"/>
              <w:bottom w:w="0" w:type="dxa"/>
              <w:right w:w="108" w:type="dxa"/>
            </w:tcMar>
            <w:hideMark/>
          </w:tcPr>
          <w:p w:rsidR="00FF749D" w:rsidRPr="00FF749D" w:rsidRDefault="00FF749D" w:rsidP="0051182F">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PD-L1+ non-squamous (77.6% × B)</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F749D" w:rsidRPr="00E964DA" w:rsidRDefault="00E964DA" w:rsidP="00FF749D">
            <w:pPr>
              <w:spacing w:line="20" w:lineRule="atLeast"/>
              <w:jc w:val="right"/>
              <w:rPr>
                <w:rFonts w:ascii="Arial Narrow" w:eastAsiaTheme="minorHAnsi" w:hAnsi="Arial Narrow"/>
                <w:sz w:val="20"/>
                <w:szCs w:val="20"/>
                <w:highlight w:val="black"/>
                <w:lang w:eastAsia="en-US"/>
              </w:rPr>
            </w:pPr>
            <w:r>
              <w:rPr>
                <w:rFonts w:ascii="Arial Narrow" w:hAnsi="Arial Narrow"/>
                <w:noProof/>
                <w:color w:val="000000"/>
                <w:sz w:val="20"/>
                <w:szCs w:val="20"/>
                <w:highlight w:val="black"/>
              </w:rPr>
              <w:t>''''''''''</w:t>
            </w:r>
          </w:p>
        </w:tc>
      </w:tr>
      <w:tr w:rsidR="00FF749D" w:rsidRPr="00FF749D" w:rsidTr="00FF749D">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49D" w:rsidRPr="00FF749D" w:rsidRDefault="00FF749D" w:rsidP="0051182F">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D</w:t>
            </w:r>
          </w:p>
        </w:tc>
        <w:tc>
          <w:tcPr>
            <w:tcW w:w="7513" w:type="dxa"/>
            <w:tcBorders>
              <w:top w:val="nil"/>
              <w:left w:val="nil"/>
              <w:bottom w:val="single" w:sz="8" w:space="0" w:color="auto"/>
              <w:right w:val="single" w:sz="8" w:space="0" w:color="auto"/>
            </w:tcBorders>
            <w:noWrap/>
            <w:tcMar>
              <w:top w:w="0" w:type="dxa"/>
              <w:left w:w="108" w:type="dxa"/>
              <w:bottom w:w="0" w:type="dxa"/>
              <w:right w:w="108" w:type="dxa"/>
            </w:tcMar>
            <w:hideMark/>
          </w:tcPr>
          <w:p w:rsidR="00FF749D" w:rsidRPr="00FF749D" w:rsidRDefault="00FF749D" w:rsidP="0051182F">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PD-L1+ non-squamous, EGFR- and ALK- (83.5% × C)</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F749D" w:rsidRPr="00E964DA" w:rsidRDefault="00E964DA" w:rsidP="00FF749D">
            <w:pPr>
              <w:spacing w:line="20" w:lineRule="atLeast"/>
              <w:jc w:val="right"/>
              <w:rPr>
                <w:rFonts w:ascii="Arial Narrow" w:eastAsiaTheme="minorHAnsi" w:hAnsi="Arial Narrow"/>
                <w:sz w:val="20"/>
                <w:szCs w:val="20"/>
                <w:highlight w:val="black"/>
                <w:lang w:eastAsia="en-US"/>
              </w:rPr>
            </w:pPr>
            <w:r>
              <w:rPr>
                <w:rFonts w:ascii="Arial Narrow" w:hAnsi="Arial Narrow"/>
                <w:noProof/>
                <w:color w:val="000000"/>
                <w:sz w:val="20"/>
                <w:szCs w:val="20"/>
                <w:highlight w:val="black"/>
              </w:rPr>
              <w:t>'''''''''</w:t>
            </w:r>
          </w:p>
        </w:tc>
      </w:tr>
      <w:tr w:rsidR="00FF749D" w:rsidRPr="00FF749D" w:rsidTr="00FF749D">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49D" w:rsidRPr="00FF749D" w:rsidRDefault="00FF749D" w:rsidP="0051182F">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E</w:t>
            </w:r>
          </w:p>
        </w:tc>
        <w:tc>
          <w:tcPr>
            <w:tcW w:w="7513" w:type="dxa"/>
            <w:tcBorders>
              <w:top w:val="nil"/>
              <w:left w:val="nil"/>
              <w:bottom w:val="single" w:sz="8" w:space="0" w:color="auto"/>
              <w:right w:val="single" w:sz="8" w:space="0" w:color="auto"/>
            </w:tcBorders>
            <w:noWrap/>
            <w:tcMar>
              <w:top w:w="0" w:type="dxa"/>
              <w:left w:w="108" w:type="dxa"/>
              <w:bottom w:w="0" w:type="dxa"/>
              <w:right w:w="108" w:type="dxa"/>
            </w:tcMar>
            <w:hideMark/>
          </w:tcPr>
          <w:p w:rsidR="00FF749D" w:rsidRPr="00FF749D" w:rsidRDefault="00FF749D" w:rsidP="0051182F">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PD-L1+ squamous (22.4% × 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F749D" w:rsidRPr="00E964DA" w:rsidRDefault="00E964DA" w:rsidP="00FF749D">
            <w:pPr>
              <w:spacing w:line="20" w:lineRule="atLeast"/>
              <w:jc w:val="right"/>
              <w:rPr>
                <w:rFonts w:ascii="Arial Narrow" w:eastAsiaTheme="minorHAnsi" w:hAnsi="Arial Narrow"/>
                <w:sz w:val="20"/>
                <w:szCs w:val="20"/>
                <w:highlight w:val="black"/>
                <w:lang w:eastAsia="en-US"/>
              </w:rPr>
            </w:pPr>
            <w:r>
              <w:rPr>
                <w:rFonts w:ascii="Arial Narrow" w:hAnsi="Arial Narrow"/>
                <w:noProof/>
                <w:color w:val="000000"/>
                <w:sz w:val="20"/>
                <w:szCs w:val="20"/>
                <w:highlight w:val="black"/>
              </w:rPr>
              <w:t>'''''</w:t>
            </w:r>
          </w:p>
        </w:tc>
      </w:tr>
      <w:tr w:rsidR="00FF749D" w:rsidRPr="00FF749D" w:rsidTr="00FF749D">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49D" w:rsidRPr="00FF749D" w:rsidRDefault="00FF749D" w:rsidP="0051182F">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F</w:t>
            </w:r>
          </w:p>
        </w:tc>
        <w:tc>
          <w:tcPr>
            <w:tcW w:w="7513" w:type="dxa"/>
            <w:tcBorders>
              <w:top w:val="nil"/>
              <w:left w:val="nil"/>
              <w:bottom w:val="single" w:sz="8" w:space="0" w:color="auto"/>
              <w:right w:val="single" w:sz="8" w:space="0" w:color="auto"/>
            </w:tcBorders>
            <w:noWrap/>
            <w:tcMar>
              <w:top w:w="0" w:type="dxa"/>
              <w:left w:w="108" w:type="dxa"/>
              <w:bottom w:w="0" w:type="dxa"/>
              <w:right w:w="108" w:type="dxa"/>
            </w:tcMar>
            <w:hideMark/>
          </w:tcPr>
          <w:p w:rsidR="00FF749D" w:rsidRPr="00FF749D" w:rsidRDefault="00FF749D" w:rsidP="0051182F">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Patients that would have received chemo (60% × (D + E))</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F749D" w:rsidRPr="00E964DA" w:rsidRDefault="00E964DA" w:rsidP="00FF749D">
            <w:pPr>
              <w:spacing w:line="20" w:lineRule="atLeast"/>
              <w:jc w:val="right"/>
              <w:rPr>
                <w:rFonts w:ascii="Arial Narrow" w:eastAsiaTheme="minorHAnsi" w:hAnsi="Arial Narrow"/>
                <w:sz w:val="20"/>
                <w:szCs w:val="20"/>
                <w:highlight w:val="black"/>
                <w:lang w:eastAsia="en-US"/>
              </w:rPr>
            </w:pPr>
            <w:r>
              <w:rPr>
                <w:rFonts w:ascii="Arial Narrow" w:hAnsi="Arial Narrow"/>
                <w:noProof/>
                <w:color w:val="000000"/>
                <w:sz w:val="20"/>
                <w:szCs w:val="20"/>
                <w:highlight w:val="black"/>
              </w:rPr>
              <w:t>''''''''''</w:t>
            </w:r>
          </w:p>
        </w:tc>
      </w:tr>
      <w:tr w:rsidR="00FF749D" w:rsidRPr="00FF749D" w:rsidTr="00FF749D">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49D" w:rsidRPr="00FF749D" w:rsidRDefault="00FF749D" w:rsidP="0051182F">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G</w:t>
            </w:r>
          </w:p>
        </w:tc>
        <w:tc>
          <w:tcPr>
            <w:tcW w:w="7513" w:type="dxa"/>
            <w:tcBorders>
              <w:top w:val="nil"/>
              <w:left w:val="nil"/>
              <w:bottom w:val="single" w:sz="8" w:space="0" w:color="auto"/>
              <w:right w:val="single" w:sz="8" w:space="0" w:color="auto"/>
            </w:tcBorders>
            <w:noWrap/>
            <w:tcMar>
              <w:top w:w="0" w:type="dxa"/>
              <w:left w:w="108" w:type="dxa"/>
              <w:bottom w:w="0" w:type="dxa"/>
              <w:right w:w="108" w:type="dxa"/>
            </w:tcMar>
            <w:hideMark/>
          </w:tcPr>
          <w:p w:rsidR="00FF749D" w:rsidRPr="00FF749D" w:rsidRDefault="00FF749D" w:rsidP="00851F1E">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Patients that w</w:t>
            </w:r>
            <w:r w:rsidR="00851F1E">
              <w:rPr>
                <w:rFonts w:ascii="Arial Narrow" w:hAnsi="Arial Narrow"/>
                <w:color w:val="000000"/>
                <w:sz w:val="20"/>
                <w:szCs w:val="20"/>
              </w:rPr>
              <w:t>ould</w:t>
            </w:r>
            <w:r w:rsidRPr="00FF749D">
              <w:rPr>
                <w:rFonts w:ascii="Arial Narrow" w:hAnsi="Arial Narrow"/>
                <w:color w:val="000000"/>
                <w:sz w:val="20"/>
                <w:szCs w:val="20"/>
              </w:rPr>
              <w:t xml:space="preserve"> uptake pembro (83.5% × (D + E))</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F749D" w:rsidRPr="00E964DA" w:rsidRDefault="00E964DA" w:rsidP="00FF749D">
            <w:pPr>
              <w:spacing w:line="20" w:lineRule="atLeast"/>
              <w:jc w:val="right"/>
              <w:rPr>
                <w:rFonts w:ascii="Arial Narrow" w:eastAsiaTheme="minorHAnsi" w:hAnsi="Arial Narrow"/>
                <w:sz w:val="20"/>
                <w:szCs w:val="20"/>
                <w:highlight w:val="black"/>
                <w:lang w:eastAsia="en-US"/>
              </w:rPr>
            </w:pPr>
            <w:r>
              <w:rPr>
                <w:rFonts w:ascii="Arial Narrow" w:hAnsi="Arial Narrow"/>
                <w:noProof/>
                <w:color w:val="000000"/>
                <w:sz w:val="20"/>
                <w:szCs w:val="20"/>
                <w:highlight w:val="black"/>
              </w:rPr>
              <w:t>''''''''</w:t>
            </w:r>
          </w:p>
        </w:tc>
      </w:tr>
      <w:tr w:rsidR="00FF749D" w:rsidRPr="00FF749D" w:rsidTr="00FF749D">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749D" w:rsidRPr="00FF749D" w:rsidRDefault="00FF749D" w:rsidP="0051182F">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H</w:t>
            </w:r>
          </w:p>
        </w:tc>
        <w:tc>
          <w:tcPr>
            <w:tcW w:w="7513" w:type="dxa"/>
            <w:tcBorders>
              <w:top w:val="nil"/>
              <w:left w:val="nil"/>
              <w:bottom w:val="single" w:sz="8" w:space="0" w:color="auto"/>
              <w:right w:val="single" w:sz="8" w:space="0" w:color="auto"/>
            </w:tcBorders>
            <w:noWrap/>
            <w:tcMar>
              <w:top w:w="0" w:type="dxa"/>
              <w:left w:w="108" w:type="dxa"/>
              <w:bottom w:w="0" w:type="dxa"/>
              <w:right w:w="108" w:type="dxa"/>
            </w:tcMar>
            <w:hideMark/>
          </w:tcPr>
          <w:p w:rsidR="00FF749D" w:rsidRPr="00FF749D" w:rsidRDefault="00FF749D" w:rsidP="00851F1E">
            <w:pPr>
              <w:spacing w:line="20" w:lineRule="atLeast"/>
              <w:rPr>
                <w:rFonts w:ascii="Arial Narrow" w:eastAsiaTheme="minorHAnsi" w:hAnsi="Arial Narrow"/>
                <w:sz w:val="20"/>
                <w:szCs w:val="20"/>
                <w:lang w:eastAsia="en-US"/>
              </w:rPr>
            </w:pPr>
            <w:r w:rsidRPr="00FF749D">
              <w:rPr>
                <w:rFonts w:ascii="Arial Narrow" w:hAnsi="Arial Narrow"/>
                <w:color w:val="000000"/>
                <w:sz w:val="20"/>
                <w:szCs w:val="20"/>
              </w:rPr>
              <w:t>Therefore, patients who would uptake pembro, who would</w:t>
            </w:r>
            <w:r w:rsidR="00851F1E">
              <w:rPr>
                <w:rFonts w:ascii="Arial Narrow" w:hAnsi="Arial Narrow"/>
                <w:color w:val="000000"/>
                <w:sz w:val="20"/>
                <w:szCs w:val="20"/>
              </w:rPr>
              <w:t xml:space="preserve"> </w:t>
            </w:r>
            <w:r w:rsidRPr="00FF749D">
              <w:rPr>
                <w:rFonts w:ascii="Arial Narrow" w:hAnsi="Arial Narrow"/>
                <w:color w:val="000000"/>
                <w:sz w:val="20"/>
                <w:szCs w:val="20"/>
              </w:rPr>
              <w:t>n</w:t>
            </w:r>
            <w:r w:rsidR="00851F1E">
              <w:rPr>
                <w:rFonts w:ascii="Arial Narrow" w:hAnsi="Arial Narrow"/>
                <w:color w:val="000000"/>
                <w:sz w:val="20"/>
                <w:szCs w:val="20"/>
              </w:rPr>
              <w:t>o</w:t>
            </w:r>
            <w:r w:rsidRPr="00FF749D">
              <w:rPr>
                <w:rFonts w:ascii="Arial Narrow" w:hAnsi="Arial Narrow"/>
                <w:color w:val="000000"/>
                <w:sz w:val="20"/>
                <w:szCs w:val="20"/>
              </w:rPr>
              <w:t>t uptake chemo (G - F)</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F749D" w:rsidRPr="00E964DA" w:rsidRDefault="00E964DA" w:rsidP="00FF749D">
            <w:pPr>
              <w:spacing w:line="20" w:lineRule="atLeast"/>
              <w:jc w:val="right"/>
              <w:rPr>
                <w:rFonts w:ascii="Arial Narrow" w:eastAsiaTheme="minorHAnsi" w:hAnsi="Arial Narrow"/>
                <w:sz w:val="20"/>
                <w:szCs w:val="20"/>
                <w:highlight w:val="black"/>
                <w:lang w:eastAsia="en-US"/>
              </w:rPr>
            </w:pPr>
            <w:r>
              <w:rPr>
                <w:rFonts w:ascii="Arial Narrow" w:hAnsi="Arial Narrow"/>
                <w:noProof/>
                <w:color w:val="000000"/>
                <w:sz w:val="20"/>
                <w:szCs w:val="20"/>
                <w:highlight w:val="black"/>
              </w:rPr>
              <w:t>''''''</w:t>
            </w:r>
          </w:p>
        </w:tc>
      </w:tr>
    </w:tbl>
    <w:p w:rsidR="00593B92" w:rsidRDefault="00F249AF" w:rsidP="00FF749D">
      <w:pPr>
        <w:pStyle w:val="ListParagraph"/>
        <w:widowControl/>
        <w:numPr>
          <w:ilvl w:val="1"/>
          <w:numId w:val="5"/>
        </w:numPr>
        <w:spacing w:before="120" w:after="120"/>
        <w:contextualSpacing w:val="0"/>
        <w:rPr>
          <w:rFonts w:asciiTheme="minorHAnsi" w:hAnsiTheme="minorHAnsi"/>
          <w:sz w:val="24"/>
          <w:szCs w:val="24"/>
        </w:rPr>
      </w:pPr>
      <w:r>
        <w:rPr>
          <w:rFonts w:asciiTheme="minorHAnsi" w:hAnsiTheme="minorHAnsi"/>
          <w:sz w:val="24"/>
          <w:szCs w:val="24"/>
        </w:rPr>
        <w:t>A comparison of the net cost to the PBS as a result of listing pembrolizumab estimated in the November 2017 Pre-Subcommittee Response</w:t>
      </w:r>
      <w:r w:rsidR="0088784F">
        <w:rPr>
          <w:rFonts w:asciiTheme="minorHAnsi" w:hAnsiTheme="minorHAnsi"/>
          <w:sz w:val="24"/>
          <w:szCs w:val="24"/>
        </w:rPr>
        <w:t xml:space="preserve"> (PSCR)</w:t>
      </w:r>
      <w:r>
        <w:rPr>
          <w:rFonts w:asciiTheme="minorHAnsi" w:hAnsiTheme="minorHAnsi"/>
          <w:sz w:val="24"/>
          <w:szCs w:val="24"/>
        </w:rPr>
        <w:t xml:space="preserve"> and the current minor resubmission is presented below.</w:t>
      </w:r>
    </w:p>
    <w:p w:rsidR="0088784F" w:rsidRPr="003B0266" w:rsidRDefault="0088784F" w:rsidP="00D660D2">
      <w:pPr>
        <w:widowControl w:val="0"/>
        <w:snapToGrid w:val="0"/>
        <w:jc w:val="both"/>
        <w:rPr>
          <w:rFonts w:ascii="Arial Narrow" w:hAnsi="Arial Narrow" w:cs="Arial"/>
          <w:b/>
          <w:sz w:val="20"/>
          <w:vertAlign w:val="superscript"/>
          <w:lang w:eastAsia="en-US"/>
        </w:rPr>
      </w:pPr>
      <w:r w:rsidRPr="00D660D2">
        <w:rPr>
          <w:rFonts w:ascii="Arial Narrow" w:hAnsi="Arial Narrow" w:cs="Arial"/>
          <w:b/>
          <w:sz w:val="20"/>
          <w:szCs w:val="16"/>
          <w:lang w:eastAsia="en-US"/>
        </w:rPr>
        <w:t>Table</w:t>
      </w:r>
      <w:r w:rsidRPr="00D660D2">
        <w:rPr>
          <w:rFonts w:ascii="Arial Narrow" w:hAnsi="Arial Narrow" w:cs="Arial"/>
          <w:b/>
          <w:sz w:val="20"/>
          <w:lang w:eastAsia="en-US"/>
        </w:rPr>
        <w:t xml:space="preserve"> </w:t>
      </w:r>
      <w:r w:rsidR="00D939E9">
        <w:rPr>
          <w:rFonts w:ascii="Arial Narrow" w:hAnsi="Arial Narrow" w:cs="Arial"/>
          <w:b/>
          <w:sz w:val="20"/>
          <w:lang w:eastAsia="en-US"/>
        </w:rPr>
        <w:t>6</w:t>
      </w:r>
      <w:r w:rsidRPr="00D660D2">
        <w:rPr>
          <w:rFonts w:ascii="Arial Narrow" w:hAnsi="Arial Narrow" w:cs="Arial"/>
          <w:b/>
          <w:sz w:val="20"/>
          <w:lang w:eastAsia="en-US"/>
        </w:rPr>
        <w:t xml:space="preserve">: </w:t>
      </w:r>
      <w:r w:rsidR="00B97EF8">
        <w:rPr>
          <w:rFonts w:ascii="Arial Narrow" w:hAnsi="Arial Narrow" w:cs="Arial"/>
          <w:b/>
          <w:sz w:val="20"/>
          <w:lang w:eastAsia="en-US"/>
        </w:rPr>
        <w:t>Comparison of net cost to the PBS as presented in the PSCR to the November 2017 PBAC meeting and in</w:t>
      </w:r>
      <w:r w:rsidR="008F6251">
        <w:rPr>
          <w:rFonts w:ascii="Arial Narrow" w:hAnsi="Arial Narrow" w:cs="Arial"/>
          <w:b/>
          <w:sz w:val="20"/>
          <w:lang w:eastAsia="en-US"/>
        </w:rPr>
        <w:t xml:space="preserve"> the current minor resubmission</w:t>
      </w:r>
      <w:r w:rsidR="00D939E9">
        <w:rPr>
          <w:rFonts w:ascii="Arial Narrow" w:hAnsi="Arial Narrow" w:cs="Arial"/>
          <w:b/>
          <w:sz w:val="20"/>
          <w:lang w:eastAsia="en-US"/>
        </w:rPr>
        <w:t xml:space="preserve"> </w:t>
      </w:r>
      <w:r w:rsidR="00D939E9" w:rsidRPr="00D939E9">
        <w:rPr>
          <w:rFonts w:ascii="Arial Narrow" w:hAnsi="Arial Narrow" w:cs="Arial"/>
          <w:b/>
          <w:i/>
          <w:sz w:val="20"/>
          <w:lang w:eastAsia="en-US"/>
        </w:rPr>
        <w:t>and updated with fee changes occurring on 1 January 2018</w:t>
      </w:r>
      <w:r w:rsidR="003B0266">
        <w:rPr>
          <w:rFonts w:ascii="Arial Narrow" w:hAnsi="Arial Narrow" w:cs="Arial"/>
          <w:b/>
          <w:i/>
          <w:sz w:val="20"/>
          <w:vertAlign w:val="superscript"/>
          <w:lang w:eastAsia="en-US"/>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10"/>
        <w:gridCol w:w="1228"/>
        <w:gridCol w:w="1230"/>
        <w:gridCol w:w="1230"/>
        <w:gridCol w:w="1228"/>
        <w:gridCol w:w="1230"/>
        <w:gridCol w:w="1226"/>
      </w:tblGrid>
      <w:tr w:rsidR="00F249AF" w:rsidRPr="00534D45" w:rsidTr="0088784F">
        <w:trPr>
          <w:trHeight w:val="255"/>
        </w:trPr>
        <w:tc>
          <w:tcPr>
            <w:tcW w:w="941" w:type="pct"/>
            <w:tcBorders>
              <w:top w:val="single" w:sz="4" w:space="0" w:color="auto"/>
              <w:left w:val="single" w:sz="4" w:space="0" w:color="auto"/>
              <w:bottom w:val="single" w:sz="4" w:space="0" w:color="auto"/>
              <w:right w:val="single" w:sz="4" w:space="0" w:color="auto"/>
            </w:tcBorders>
            <w:noWrap/>
            <w:vAlign w:val="center"/>
            <w:hideMark/>
          </w:tcPr>
          <w:p w:rsidR="00F249AF" w:rsidRPr="00534D45" w:rsidRDefault="00F249AF" w:rsidP="00F249AF">
            <w:pPr>
              <w:pStyle w:val="NoSpacing"/>
              <w:jc w:val="left"/>
              <w:rPr>
                <w:rFonts w:ascii="Arial Narrow" w:hAnsi="Arial Narrow" w:cs="Arial"/>
                <w:b/>
                <w:sz w:val="20"/>
                <w:szCs w:val="20"/>
              </w:rPr>
            </w:pPr>
            <w:r w:rsidRPr="00534D45">
              <w:rPr>
                <w:rFonts w:ascii="Arial Narrow" w:hAnsi="Arial Narrow" w:cs="Arial"/>
                <w:b/>
                <w:sz w:val="20"/>
                <w:szCs w:val="20"/>
              </w:rPr>
              <w:t>Net cost to PBS</w:t>
            </w:r>
          </w:p>
        </w:tc>
        <w:tc>
          <w:tcPr>
            <w:tcW w:w="676" w:type="pct"/>
            <w:tcBorders>
              <w:top w:val="single" w:sz="4" w:space="0" w:color="auto"/>
              <w:left w:val="single" w:sz="4" w:space="0" w:color="auto"/>
              <w:bottom w:val="single" w:sz="4" w:space="0" w:color="auto"/>
              <w:right w:val="single" w:sz="4" w:space="0" w:color="auto"/>
            </w:tcBorders>
            <w:vAlign w:val="center"/>
            <w:hideMark/>
          </w:tcPr>
          <w:p w:rsidR="00F249AF" w:rsidRPr="00534D45" w:rsidRDefault="00F249AF" w:rsidP="00F249AF">
            <w:pPr>
              <w:pStyle w:val="NoSpacing"/>
              <w:jc w:val="center"/>
              <w:rPr>
                <w:rFonts w:ascii="Arial Narrow" w:hAnsi="Arial Narrow" w:cs="Arial"/>
                <w:b/>
                <w:sz w:val="20"/>
                <w:szCs w:val="20"/>
              </w:rPr>
            </w:pPr>
            <w:r w:rsidRPr="00534D45">
              <w:rPr>
                <w:rFonts w:ascii="Arial Narrow" w:hAnsi="Arial Narrow" w:cs="Arial"/>
                <w:b/>
                <w:sz w:val="20"/>
                <w:szCs w:val="20"/>
              </w:rPr>
              <w:t>Year 1</w:t>
            </w:r>
          </w:p>
        </w:tc>
        <w:tc>
          <w:tcPr>
            <w:tcW w:w="677" w:type="pct"/>
            <w:tcBorders>
              <w:top w:val="single" w:sz="4" w:space="0" w:color="auto"/>
              <w:left w:val="single" w:sz="4" w:space="0" w:color="auto"/>
              <w:bottom w:val="single" w:sz="4" w:space="0" w:color="auto"/>
              <w:right w:val="single" w:sz="4" w:space="0" w:color="auto"/>
            </w:tcBorders>
            <w:vAlign w:val="center"/>
            <w:hideMark/>
          </w:tcPr>
          <w:p w:rsidR="00F249AF" w:rsidRPr="00534D45" w:rsidRDefault="00F249AF" w:rsidP="00F249AF">
            <w:pPr>
              <w:pStyle w:val="NoSpacing"/>
              <w:jc w:val="center"/>
              <w:rPr>
                <w:rFonts w:ascii="Arial Narrow" w:hAnsi="Arial Narrow" w:cs="Arial"/>
                <w:b/>
                <w:sz w:val="20"/>
                <w:szCs w:val="20"/>
              </w:rPr>
            </w:pPr>
            <w:r w:rsidRPr="00534D45">
              <w:rPr>
                <w:rFonts w:ascii="Arial Narrow" w:hAnsi="Arial Narrow" w:cs="Arial"/>
                <w:b/>
                <w:sz w:val="20"/>
                <w:szCs w:val="20"/>
              </w:rPr>
              <w:t>Year 2</w:t>
            </w:r>
          </w:p>
        </w:tc>
        <w:tc>
          <w:tcPr>
            <w:tcW w:w="677" w:type="pct"/>
            <w:tcBorders>
              <w:top w:val="single" w:sz="4" w:space="0" w:color="auto"/>
              <w:left w:val="single" w:sz="4" w:space="0" w:color="auto"/>
              <w:bottom w:val="single" w:sz="4" w:space="0" w:color="auto"/>
              <w:right w:val="single" w:sz="4" w:space="0" w:color="auto"/>
            </w:tcBorders>
            <w:vAlign w:val="center"/>
            <w:hideMark/>
          </w:tcPr>
          <w:p w:rsidR="00F249AF" w:rsidRPr="00534D45" w:rsidRDefault="00F249AF" w:rsidP="00F249AF">
            <w:pPr>
              <w:pStyle w:val="NoSpacing"/>
              <w:jc w:val="center"/>
              <w:rPr>
                <w:rFonts w:ascii="Arial Narrow" w:hAnsi="Arial Narrow" w:cs="Arial"/>
                <w:b/>
                <w:sz w:val="20"/>
                <w:szCs w:val="20"/>
              </w:rPr>
            </w:pPr>
            <w:r w:rsidRPr="00534D45">
              <w:rPr>
                <w:rFonts w:ascii="Arial Narrow" w:hAnsi="Arial Narrow" w:cs="Arial"/>
                <w:b/>
                <w:sz w:val="20"/>
                <w:szCs w:val="20"/>
              </w:rPr>
              <w:t>Year 3</w:t>
            </w:r>
          </w:p>
        </w:tc>
        <w:tc>
          <w:tcPr>
            <w:tcW w:w="676" w:type="pct"/>
            <w:tcBorders>
              <w:top w:val="single" w:sz="4" w:space="0" w:color="auto"/>
              <w:left w:val="single" w:sz="4" w:space="0" w:color="auto"/>
              <w:bottom w:val="single" w:sz="4" w:space="0" w:color="auto"/>
              <w:right w:val="single" w:sz="4" w:space="0" w:color="auto"/>
            </w:tcBorders>
            <w:vAlign w:val="center"/>
            <w:hideMark/>
          </w:tcPr>
          <w:p w:rsidR="00F249AF" w:rsidRPr="00534D45" w:rsidRDefault="00F249AF" w:rsidP="00F249AF">
            <w:pPr>
              <w:pStyle w:val="NoSpacing"/>
              <w:jc w:val="center"/>
              <w:rPr>
                <w:rFonts w:ascii="Arial Narrow" w:hAnsi="Arial Narrow" w:cs="Arial"/>
                <w:b/>
                <w:sz w:val="20"/>
                <w:szCs w:val="20"/>
              </w:rPr>
            </w:pPr>
            <w:r w:rsidRPr="00534D45">
              <w:rPr>
                <w:rFonts w:ascii="Arial Narrow" w:hAnsi="Arial Narrow" w:cs="Arial"/>
                <w:b/>
                <w:sz w:val="20"/>
                <w:szCs w:val="20"/>
              </w:rPr>
              <w:t>Year 4</w:t>
            </w:r>
          </w:p>
        </w:tc>
        <w:tc>
          <w:tcPr>
            <w:tcW w:w="677" w:type="pct"/>
            <w:tcBorders>
              <w:top w:val="single" w:sz="4" w:space="0" w:color="auto"/>
              <w:left w:val="single" w:sz="4" w:space="0" w:color="auto"/>
              <w:bottom w:val="single" w:sz="4" w:space="0" w:color="auto"/>
              <w:right w:val="single" w:sz="4" w:space="0" w:color="auto"/>
            </w:tcBorders>
            <w:vAlign w:val="center"/>
            <w:hideMark/>
          </w:tcPr>
          <w:p w:rsidR="00F249AF" w:rsidRPr="00534D45" w:rsidRDefault="00F249AF" w:rsidP="00F249AF">
            <w:pPr>
              <w:pStyle w:val="NoSpacing"/>
              <w:jc w:val="center"/>
              <w:rPr>
                <w:rFonts w:ascii="Arial Narrow" w:hAnsi="Arial Narrow" w:cs="Arial"/>
                <w:b/>
                <w:sz w:val="20"/>
                <w:szCs w:val="20"/>
              </w:rPr>
            </w:pPr>
            <w:r w:rsidRPr="00534D45">
              <w:rPr>
                <w:rFonts w:ascii="Arial Narrow" w:hAnsi="Arial Narrow" w:cs="Arial"/>
                <w:b/>
                <w:sz w:val="20"/>
                <w:szCs w:val="20"/>
              </w:rPr>
              <w:t>Year 5</w:t>
            </w:r>
          </w:p>
        </w:tc>
        <w:tc>
          <w:tcPr>
            <w:tcW w:w="675" w:type="pct"/>
            <w:tcBorders>
              <w:top w:val="single" w:sz="4" w:space="0" w:color="auto"/>
              <w:left w:val="single" w:sz="4" w:space="0" w:color="auto"/>
              <w:bottom w:val="single" w:sz="4" w:space="0" w:color="auto"/>
              <w:right w:val="single" w:sz="4" w:space="0" w:color="auto"/>
            </w:tcBorders>
            <w:vAlign w:val="center"/>
            <w:hideMark/>
          </w:tcPr>
          <w:p w:rsidR="00F249AF" w:rsidRPr="00534D45" w:rsidRDefault="00F249AF" w:rsidP="00F249AF">
            <w:pPr>
              <w:pStyle w:val="NoSpacing"/>
              <w:jc w:val="center"/>
              <w:rPr>
                <w:rFonts w:ascii="Arial Narrow" w:hAnsi="Arial Narrow" w:cs="Arial"/>
                <w:b/>
                <w:sz w:val="20"/>
                <w:szCs w:val="20"/>
              </w:rPr>
            </w:pPr>
            <w:r w:rsidRPr="00534D45">
              <w:rPr>
                <w:rFonts w:ascii="Arial Narrow" w:hAnsi="Arial Narrow" w:cs="Arial"/>
                <w:b/>
                <w:sz w:val="20"/>
                <w:szCs w:val="20"/>
              </w:rPr>
              <w:t>Year 6</w:t>
            </w:r>
          </w:p>
        </w:tc>
      </w:tr>
      <w:tr w:rsidR="00534D45" w:rsidRPr="00534D45" w:rsidTr="00534D45">
        <w:trPr>
          <w:trHeight w:val="255"/>
        </w:trPr>
        <w:tc>
          <w:tcPr>
            <w:tcW w:w="941" w:type="pct"/>
            <w:tcBorders>
              <w:top w:val="single" w:sz="4" w:space="0" w:color="auto"/>
              <w:left w:val="single" w:sz="4" w:space="0" w:color="auto"/>
              <w:bottom w:val="single" w:sz="4" w:space="0" w:color="auto"/>
              <w:right w:val="single" w:sz="4" w:space="0" w:color="auto"/>
            </w:tcBorders>
            <w:noWrap/>
            <w:vAlign w:val="center"/>
            <w:hideMark/>
          </w:tcPr>
          <w:p w:rsidR="00534D45" w:rsidRPr="00534D45" w:rsidRDefault="00534D45" w:rsidP="00F249AF">
            <w:pPr>
              <w:pStyle w:val="NoSpacing"/>
              <w:jc w:val="left"/>
              <w:rPr>
                <w:rFonts w:ascii="Arial Narrow" w:hAnsi="Arial Narrow" w:cs="Arial"/>
                <w:sz w:val="20"/>
                <w:szCs w:val="20"/>
              </w:rPr>
            </w:pPr>
            <w:r w:rsidRPr="00534D45">
              <w:rPr>
                <w:rFonts w:ascii="Arial Narrow" w:hAnsi="Arial Narrow" w:cs="Arial"/>
                <w:sz w:val="20"/>
                <w:szCs w:val="20"/>
              </w:rPr>
              <w:t>Nov 2017 PSCR</w:t>
            </w:r>
            <w:r>
              <w:rPr>
                <w:rStyle w:val="FootnoteReference"/>
                <w:rFonts w:ascii="Arial Narrow" w:hAnsi="Arial Narrow" w:cs="Arial"/>
                <w:sz w:val="20"/>
                <w:szCs w:val="20"/>
              </w:rPr>
              <w:footnoteReference w:id="4"/>
            </w:r>
          </w:p>
        </w:tc>
        <w:tc>
          <w:tcPr>
            <w:tcW w:w="676" w:type="pct"/>
            <w:tcBorders>
              <w:top w:val="single" w:sz="4" w:space="0" w:color="auto"/>
              <w:left w:val="single" w:sz="4" w:space="0" w:color="auto"/>
              <w:bottom w:val="single" w:sz="4" w:space="0" w:color="auto"/>
              <w:right w:val="single" w:sz="4" w:space="0" w:color="auto"/>
            </w:tcBorders>
            <w:vAlign w:val="center"/>
            <w:hideMark/>
          </w:tcPr>
          <w:p w:rsidR="00534D45" w:rsidRPr="00E964DA" w:rsidRDefault="00E964DA" w:rsidP="00534D45">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534D45" w:rsidRPr="00E964DA" w:rsidRDefault="00E964DA" w:rsidP="00534D45">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534D45" w:rsidRPr="00E964DA" w:rsidRDefault="00E964DA" w:rsidP="00534D45">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6" w:type="pct"/>
            <w:tcBorders>
              <w:top w:val="single" w:sz="4" w:space="0" w:color="auto"/>
              <w:left w:val="single" w:sz="4" w:space="0" w:color="auto"/>
              <w:bottom w:val="single" w:sz="4" w:space="0" w:color="auto"/>
              <w:right w:val="single" w:sz="4" w:space="0" w:color="auto"/>
            </w:tcBorders>
            <w:vAlign w:val="center"/>
            <w:hideMark/>
          </w:tcPr>
          <w:p w:rsidR="00534D45" w:rsidRPr="00E964DA" w:rsidRDefault="00E964DA" w:rsidP="00534D45">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534D45" w:rsidRPr="00E964DA" w:rsidRDefault="00E964DA" w:rsidP="00534D45">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noWrap/>
            <w:vAlign w:val="center"/>
            <w:hideMark/>
          </w:tcPr>
          <w:p w:rsidR="00534D45" w:rsidRPr="00E964DA" w:rsidRDefault="00E964DA" w:rsidP="00534D45">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F249AF" w:rsidRPr="00534D45" w:rsidTr="0088784F">
        <w:trPr>
          <w:trHeight w:val="255"/>
        </w:trPr>
        <w:tc>
          <w:tcPr>
            <w:tcW w:w="941" w:type="pct"/>
            <w:tcBorders>
              <w:top w:val="single" w:sz="4" w:space="0" w:color="auto"/>
              <w:left w:val="single" w:sz="4" w:space="0" w:color="auto"/>
              <w:bottom w:val="single" w:sz="4" w:space="0" w:color="auto"/>
              <w:right w:val="single" w:sz="4" w:space="0" w:color="auto"/>
            </w:tcBorders>
            <w:noWrap/>
            <w:vAlign w:val="center"/>
          </w:tcPr>
          <w:p w:rsidR="00F249AF" w:rsidRPr="00534D45" w:rsidRDefault="00F249AF" w:rsidP="00F249AF">
            <w:pPr>
              <w:pStyle w:val="NoSpacing"/>
              <w:jc w:val="left"/>
              <w:rPr>
                <w:rFonts w:ascii="Arial Narrow" w:hAnsi="Arial Narrow" w:cs="Arial"/>
                <w:sz w:val="20"/>
                <w:szCs w:val="20"/>
              </w:rPr>
            </w:pPr>
            <w:r w:rsidRPr="00534D45">
              <w:rPr>
                <w:rFonts w:ascii="Arial Narrow" w:hAnsi="Arial Narrow" w:cs="Arial"/>
                <w:sz w:val="20"/>
                <w:szCs w:val="20"/>
              </w:rPr>
              <w:t>Minor resubmission</w:t>
            </w:r>
          </w:p>
        </w:tc>
        <w:tc>
          <w:tcPr>
            <w:tcW w:w="676" w:type="pct"/>
            <w:tcBorders>
              <w:top w:val="single" w:sz="4" w:space="0" w:color="auto"/>
              <w:left w:val="single" w:sz="4" w:space="0" w:color="auto"/>
              <w:bottom w:val="single" w:sz="4" w:space="0" w:color="auto"/>
              <w:right w:val="single" w:sz="4" w:space="0" w:color="auto"/>
            </w:tcBorders>
            <w:vAlign w:val="center"/>
          </w:tcPr>
          <w:p w:rsidR="00F249AF" w:rsidRPr="00E964DA" w:rsidRDefault="00E964DA" w:rsidP="00F249AF">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tcPr>
          <w:p w:rsidR="00F249AF" w:rsidRPr="00E964DA" w:rsidRDefault="00E964DA" w:rsidP="00F249AF">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tcPr>
          <w:p w:rsidR="00F249AF" w:rsidRPr="00E964DA" w:rsidRDefault="00E964DA" w:rsidP="00F249AF">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6" w:type="pct"/>
            <w:tcBorders>
              <w:top w:val="single" w:sz="4" w:space="0" w:color="auto"/>
              <w:left w:val="single" w:sz="4" w:space="0" w:color="auto"/>
              <w:bottom w:val="single" w:sz="4" w:space="0" w:color="auto"/>
              <w:right w:val="single" w:sz="4" w:space="0" w:color="auto"/>
            </w:tcBorders>
            <w:vAlign w:val="center"/>
          </w:tcPr>
          <w:p w:rsidR="00F249AF" w:rsidRPr="00E964DA" w:rsidRDefault="00E964DA" w:rsidP="00F249AF">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tcPr>
          <w:p w:rsidR="00F249AF" w:rsidRPr="00E964DA" w:rsidRDefault="00E964DA" w:rsidP="00F249AF">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noWrap/>
            <w:vAlign w:val="center"/>
          </w:tcPr>
          <w:p w:rsidR="00F249AF" w:rsidRPr="00E964DA" w:rsidRDefault="00E964DA" w:rsidP="00F249AF">
            <w:pPr>
              <w:pStyle w:val="NoSpacing"/>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D939E9" w:rsidTr="00D939E9">
        <w:trPr>
          <w:trHeight w:val="255"/>
        </w:trPr>
        <w:tc>
          <w:tcPr>
            <w:tcW w:w="941" w:type="pct"/>
            <w:tcBorders>
              <w:top w:val="single" w:sz="4" w:space="0" w:color="auto"/>
              <w:left w:val="single" w:sz="4" w:space="0" w:color="auto"/>
              <w:bottom w:val="single" w:sz="4" w:space="0" w:color="auto"/>
              <w:right w:val="single" w:sz="4" w:space="0" w:color="auto"/>
            </w:tcBorders>
            <w:noWrap/>
            <w:vAlign w:val="center"/>
          </w:tcPr>
          <w:p w:rsidR="00D939E9" w:rsidRPr="00D939E9" w:rsidRDefault="00D939E9" w:rsidP="00D939E9">
            <w:pPr>
              <w:pStyle w:val="NoSpacing"/>
              <w:jc w:val="left"/>
              <w:rPr>
                <w:rFonts w:ascii="Arial Narrow" w:hAnsi="Arial Narrow" w:cs="Arial"/>
                <w:i/>
                <w:sz w:val="20"/>
                <w:szCs w:val="20"/>
              </w:rPr>
            </w:pPr>
            <w:r w:rsidRPr="00D939E9">
              <w:rPr>
                <w:rFonts w:ascii="Arial Narrow" w:hAnsi="Arial Narrow" w:cs="Arial"/>
                <w:i/>
                <w:sz w:val="20"/>
                <w:szCs w:val="20"/>
              </w:rPr>
              <w:t>Updated copayment</w:t>
            </w:r>
          </w:p>
        </w:tc>
        <w:tc>
          <w:tcPr>
            <w:tcW w:w="676"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6"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noWrap/>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r>
      <w:tr w:rsidR="00D939E9" w:rsidTr="00D939E9">
        <w:trPr>
          <w:trHeight w:val="255"/>
        </w:trPr>
        <w:tc>
          <w:tcPr>
            <w:tcW w:w="941" w:type="pct"/>
            <w:tcBorders>
              <w:top w:val="single" w:sz="4" w:space="0" w:color="auto"/>
              <w:left w:val="single" w:sz="4" w:space="0" w:color="auto"/>
              <w:bottom w:val="single" w:sz="4" w:space="0" w:color="auto"/>
              <w:right w:val="single" w:sz="4" w:space="0" w:color="auto"/>
            </w:tcBorders>
            <w:noWrap/>
            <w:vAlign w:val="center"/>
          </w:tcPr>
          <w:p w:rsidR="00D939E9" w:rsidRPr="00D939E9" w:rsidRDefault="00D939E9">
            <w:pPr>
              <w:pStyle w:val="NoSpacing"/>
              <w:jc w:val="left"/>
              <w:rPr>
                <w:rFonts w:ascii="Arial Narrow" w:hAnsi="Arial Narrow" w:cs="Arial"/>
                <w:i/>
                <w:sz w:val="20"/>
                <w:szCs w:val="20"/>
              </w:rPr>
            </w:pPr>
            <w:r w:rsidRPr="00D939E9">
              <w:rPr>
                <w:rFonts w:ascii="Arial Narrow" w:hAnsi="Arial Narrow" w:cs="Arial"/>
                <w:i/>
                <w:sz w:val="20"/>
                <w:szCs w:val="20"/>
              </w:rPr>
              <w:t>Updated EFC fees</w:t>
            </w:r>
          </w:p>
        </w:tc>
        <w:tc>
          <w:tcPr>
            <w:tcW w:w="676"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6"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noWrap/>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r>
      <w:tr w:rsidR="00D939E9" w:rsidTr="00D939E9">
        <w:trPr>
          <w:trHeight w:val="255"/>
        </w:trPr>
        <w:tc>
          <w:tcPr>
            <w:tcW w:w="941" w:type="pct"/>
            <w:tcBorders>
              <w:top w:val="single" w:sz="4" w:space="0" w:color="auto"/>
              <w:left w:val="single" w:sz="4" w:space="0" w:color="auto"/>
              <w:bottom w:val="single" w:sz="4" w:space="0" w:color="auto"/>
              <w:right w:val="single" w:sz="4" w:space="0" w:color="auto"/>
            </w:tcBorders>
            <w:noWrap/>
            <w:vAlign w:val="center"/>
          </w:tcPr>
          <w:p w:rsidR="00D939E9" w:rsidRPr="00D939E9" w:rsidRDefault="00D939E9" w:rsidP="00D939E9">
            <w:pPr>
              <w:pStyle w:val="NoSpacing"/>
              <w:jc w:val="left"/>
              <w:rPr>
                <w:rFonts w:ascii="Arial Narrow" w:hAnsi="Arial Narrow" w:cs="Arial"/>
                <w:i/>
                <w:sz w:val="20"/>
                <w:szCs w:val="20"/>
              </w:rPr>
            </w:pPr>
            <w:r w:rsidRPr="00D939E9">
              <w:rPr>
                <w:rFonts w:ascii="Arial Narrow" w:hAnsi="Arial Narrow" w:cs="Arial"/>
                <w:i/>
                <w:sz w:val="20"/>
                <w:szCs w:val="20"/>
              </w:rPr>
              <w:t>Both updated</w:t>
            </w:r>
          </w:p>
        </w:tc>
        <w:tc>
          <w:tcPr>
            <w:tcW w:w="676"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6"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675" w:type="pct"/>
            <w:tcBorders>
              <w:top w:val="single" w:sz="4" w:space="0" w:color="auto"/>
              <w:left w:val="single" w:sz="4" w:space="0" w:color="auto"/>
              <w:bottom w:val="single" w:sz="4" w:space="0" w:color="auto"/>
              <w:right w:val="single" w:sz="4" w:space="0" w:color="auto"/>
            </w:tcBorders>
            <w:noWrap/>
            <w:vAlign w:val="center"/>
          </w:tcPr>
          <w:p w:rsidR="00D939E9" w:rsidRPr="00E964DA" w:rsidRDefault="00E964DA">
            <w:pPr>
              <w:pStyle w:val="NoSpacing"/>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r>
    </w:tbl>
    <w:p w:rsidR="0051182F" w:rsidRDefault="0051182F" w:rsidP="0051182F">
      <w:pPr>
        <w:spacing w:after="120"/>
        <w:rPr>
          <w:rFonts w:ascii="Arial Narrow" w:hAnsi="Arial Narrow"/>
          <w:i/>
          <w:sz w:val="20"/>
          <w:szCs w:val="20"/>
        </w:rPr>
      </w:pPr>
      <w:r w:rsidRPr="0051182F">
        <w:rPr>
          <w:rFonts w:ascii="Arial Narrow" w:hAnsi="Arial Narrow"/>
          <w:sz w:val="20"/>
          <w:szCs w:val="20"/>
          <w:vertAlign w:val="superscript"/>
        </w:rPr>
        <w:t>a</w:t>
      </w:r>
      <w:r w:rsidRPr="0051182F">
        <w:rPr>
          <w:rFonts w:ascii="Arial Narrow" w:hAnsi="Arial Narrow"/>
          <w:sz w:val="20"/>
          <w:szCs w:val="20"/>
        </w:rPr>
        <w:t xml:space="preserve"> The updates do not correct for residual errors in the </w:t>
      </w:r>
      <w:r w:rsidR="00F07A41">
        <w:rPr>
          <w:rFonts w:ascii="Arial Narrow" w:hAnsi="Arial Narrow"/>
          <w:sz w:val="20"/>
          <w:szCs w:val="20"/>
        </w:rPr>
        <w:t>approach to estimating cost off</w:t>
      </w:r>
      <w:r w:rsidRPr="0051182F">
        <w:rPr>
          <w:rFonts w:ascii="Arial Narrow" w:hAnsi="Arial Narrow"/>
          <w:sz w:val="20"/>
          <w:szCs w:val="20"/>
        </w:rPr>
        <w:t>sets as identified</w:t>
      </w:r>
      <w:r w:rsidR="003B0266">
        <w:rPr>
          <w:rFonts w:ascii="Arial Narrow" w:hAnsi="Arial Narrow"/>
          <w:sz w:val="20"/>
          <w:szCs w:val="20"/>
        </w:rPr>
        <w:t xml:space="preserve"> in Section 4.3 of the Commentary to the November 2017 major resubmission</w:t>
      </w:r>
      <w:r w:rsidRPr="0051182F">
        <w:rPr>
          <w:rFonts w:ascii="Arial Narrow" w:hAnsi="Arial Narrow"/>
          <w:sz w:val="20"/>
          <w:szCs w:val="20"/>
        </w:rPr>
        <w:t>.</w:t>
      </w:r>
      <w:r w:rsidR="003B0266">
        <w:rPr>
          <w:rFonts w:ascii="Arial Narrow" w:hAnsi="Arial Narrow"/>
          <w:sz w:val="20"/>
          <w:szCs w:val="20"/>
        </w:rPr>
        <w:t xml:space="preserve"> </w:t>
      </w:r>
      <w:r w:rsidR="003B0266" w:rsidRPr="003B0266">
        <w:rPr>
          <w:rFonts w:ascii="Arial Narrow" w:hAnsi="Arial Narrow"/>
          <w:i/>
          <w:sz w:val="20"/>
          <w:szCs w:val="20"/>
        </w:rPr>
        <w:t>A patient co-payment was erroneously assumed for each comparator medicine administration, rather than per original prescription. This was not corrected for in the minor resubmission, therefore updating the co-payment fees inflates the effect of this difference.</w:t>
      </w:r>
    </w:p>
    <w:p w:rsidR="00806261" w:rsidRPr="00806261" w:rsidRDefault="00806261" w:rsidP="00806261">
      <w:pPr>
        <w:spacing w:before="120" w:after="160"/>
        <w:rPr>
          <w:rFonts w:asciiTheme="minorHAnsi" w:hAnsiTheme="minorHAnsi"/>
          <w:vertAlign w:val="superscript"/>
        </w:rPr>
      </w:pPr>
      <w:r>
        <w:rPr>
          <w:rFonts w:asciiTheme="minorHAnsi" w:hAnsiTheme="minorHAnsi"/>
        </w:rPr>
        <w:t xml:space="preserve">The redacted table shows that at </w:t>
      </w:r>
      <w:r w:rsidR="00E8320A">
        <w:rPr>
          <w:rFonts w:asciiTheme="minorHAnsi" w:hAnsiTheme="minorHAnsi"/>
        </w:rPr>
        <w:t>Y</w:t>
      </w:r>
      <w:r>
        <w:rPr>
          <w:rFonts w:asciiTheme="minorHAnsi" w:hAnsiTheme="minorHAnsi"/>
        </w:rPr>
        <w:t xml:space="preserve">ear </w:t>
      </w:r>
      <w:r w:rsidR="003633DD">
        <w:rPr>
          <w:rFonts w:asciiTheme="minorHAnsi" w:hAnsiTheme="minorHAnsi"/>
        </w:rPr>
        <w:t>6</w:t>
      </w:r>
      <w:r>
        <w:rPr>
          <w:rFonts w:asciiTheme="minorHAnsi" w:hAnsiTheme="minorHAnsi"/>
        </w:rPr>
        <w:t>, the estimated net cost to the PBS would be $</w:t>
      </w:r>
      <w:r w:rsidR="003633DD">
        <w:rPr>
          <w:rFonts w:asciiTheme="minorHAnsi" w:hAnsiTheme="minorHAnsi"/>
        </w:rPr>
        <w:t>6</w:t>
      </w:r>
      <w:r>
        <w:rPr>
          <w:rFonts w:asciiTheme="minorHAnsi" w:hAnsiTheme="minorHAnsi"/>
        </w:rPr>
        <w:t>0 - $100 million.</w:t>
      </w:r>
    </w:p>
    <w:p w:rsidR="008F6E83" w:rsidRPr="008C6270" w:rsidRDefault="008F6E83" w:rsidP="00B434BC">
      <w:pPr>
        <w:pStyle w:val="ListParagraph"/>
        <w:widowControl/>
        <w:numPr>
          <w:ilvl w:val="1"/>
          <w:numId w:val="5"/>
        </w:numPr>
        <w:spacing w:before="120" w:after="120"/>
        <w:contextualSpacing w:val="0"/>
        <w:rPr>
          <w:rFonts w:asciiTheme="minorHAnsi" w:hAnsiTheme="minorHAnsi"/>
          <w:sz w:val="24"/>
          <w:szCs w:val="24"/>
        </w:rPr>
      </w:pPr>
      <w:r w:rsidRPr="008C6270">
        <w:rPr>
          <w:rFonts w:asciiTheme="minorHAnsi" w:hAnsiTheme="minorHAnsi"/>
          <w:sz w:val="24"/>
          <w:szCs w:val="24"/>
        </w:rPr>
        <w:t xml:space="preserve">The minor resubmission estimated a net cost to the PBS of </w:t>
      </w:r>
      <w:r w:rsidR="00E8320A">
        <w:rPr>
          <w:rFonts w:asciiTheme="minorHAnsi" w:hAnsiTheme="minorHAnsi"/>
          <w:sz w:val="24"/>
          <w:szCs w:val="24"/>
        </w:rPr>
        <w:t>$</w:t>
      </w:r>
      <w:r w:rsidR="00E255F4">
        <w:rPr>
          <w:rFonts w:asciiTheme="minorHAnsi" w:hAnsiTheme="minorHAnsi"/>
          <w:sz w:val="24"/>
          <w:szCs w:val="24"/>
        </w:rPr>
        <w:t>3</w:t>
      </w:r>
      <w:r w:rsidR="00E8320A">
        <w:rPr>
          <w:rFonts w:asciiTheme="minorHAnsi" w:hAnsiTheme="minorHAnsi"/>
          <w:sz w:val="24"/>
          <w:szCs w:val="24"/>
        </w:rPr>
        <w:t>0 – $</w:t>
      </w:r>
      <w:r w:rsidR="00E255F4">
        <w:rPr>
          <w:rFonts w:asciiTheme="minorHAnsi" w:hAnsiTheme="minorHAnsi"/>
          <w:sz w:val="24"/>
          <w:szCs w:val="24"/>
        </w:rPr>
        <w:t>6</w:t>
      </w:r>
      <w:r w:rsidR="00E8320A">
        <w:rPr>
          <w:rFonts w:asciiTheme="minorHAnsi" w:hAnsiTheme="minorHAnsi"/>
          <w:sz w:val="24"/>
          <w:szCs w:val="24"/>
        </w:rPr>
        <w:t xml:space="preserve">0 </w:t>
      </w:r>
      <w:r w:rsidRPr="008C6270">
        <w:rPr>
          <w:rFonts w:asciiTheme="minorHAnsi" w:hAnsiTheme="minorHAnsi"/>
          <w:sz w:val="24"/>
          <w:szCs w:val="24"/>
        </w:rPr>
        <w:t xml:space="preserve">million in Year </w:t>
      </w:r>
      <w:r w:rsidR="00E8320A">
        <w:rPr>
          <w:rFonts w:asciiTheme="minorHAnsi" w:hAnsiTheme="minorHAnsi"/>
          <w:sz w:val="24"/>
          <w:szCs w:val="24"/>
        </w:rPr>
        <w:t>1</w:t>
      </w:r>
      <w:r w:rsidR="00E8320A" w:rsidRPr="008C6270">
        <w:rPr>
          <w:rFonts w:asciiTheme="minorHAnsi" w:hAnsiTheme="minorHAnsi"/>
          <w:sz w:val="24"/>
          <w:szCs w:val="24"/>
        </w:rPr>
        <w:t xml:space="preserve"> </w:t>
      </w:r>
      <w:r w:rsidRPr="008C6270">
        <w:rPr>
          <w:rFonts w:asciiTheme="minorHAnsi" w:hAnsiTheme="minorHAnsi"/>
          <w:sz w:val="24"/>
          <w:szCs w:val="24"/>
        </w:rPr>
        <w:t xml:space="preserve">of listing, </w:t>
      </w:r>
      <w:r w:rsidR="00E8320A">
        <w:rPr>
          <w:rFonts w:asciiTheme="minorHAnsi" w:hAnsiTheme="minorHAnsi"/>
          <w:sz w:val="24"/>
          <w:szCs w:val="24"/>
        </w:rPr>
        <w:t xml:space="preserve">increasing to $60 - $100 </w:t>
      </w:r>
      <w:r w:rsidRPr="008C6270">
        <w:rPr>
          <w:rFonts w:asciiTheme="minorHAnsi" w:hAnsiTheme="minorHAnsi"/>
          <w:sz w:val="24"/>
          <w:szCs w:val="24"/>
        </w:rPr>
        <w:t xml:space="preserve">million </w:t>
      </w:r>
      <w:r w:rsidR="00E8320A">
        <w:rPr>
          <w:rFonts w:asciiTheme="minorHAnsi" w:hAnsiTheme="minorHAnsi"/>
          <w:sz w:val="24"/>
          <w:szCs w:val="24"/>
        </w:rPr>
        <w:t>per year in Year 6</w:t>
      </w:r>
      <w:r w:rsidRPr="008C6270">
        <w:rPr>
          <w:rFonts w:asciiTheme="minorHAnsi" w:hAnsiTheme="minorHAnsi"/>
          <w:sz w:val="24"/>
          <w:szCs w:val="24"/>
        </w:rPr>
        <w:t xml:space="preserve"> of listing. Compared to the November 2017 major submission, the</w:t>
      </w:r>
      <w:r w:rsidR="00437EC2" w:rsidRPr="008C6270">
        <w:rPr>
          <w:rFonts w:asciiTheme="minorHAnsi" w:hAnsiTheme="minorHAnsi"/>
          <w:sz w:val="24"/>
          <w:szCs w:val="24"/>
        </w:rPr>
        <w:t xml:space="preserve"> minor resubmission estimated </w:t>
      </w:r>
      <w:r w:rsidRPr="008C6270">
        <w:rPr>
          <w:rFonts w:asciiTheme="minorHAnsi" w:hAnsiTheme="minorHAnsi"/>
          <w:sz w:val="24"/>
          <w:szCs w:val="24"/>
        </w:rPr>
        <w:t xml:space="preserve">a </w:t>
      </w:r>
      <w:r w:rsidR="00E964DA">
        <w:rPr>
          <w:rFonts w:asciiTheme="minorHAnsi" w:hAnsiTheme="minorHAnsi"/>
          <w:noProof/>
          <w:color w:val="000000"/>
          <w:sz w:val="24"/>
          <w:szCs w:val="24"/>
          <w:highlight w:val="black"/>
        </w:rPr>
        <w:t>'''</w:t>
      </w:r>
      <w:r w:rsidRPr="008C6270">
        <w:rPr>
          <w:rFonts w:asciiTheme="minorHAnsi" w:hAnsiTheme="minorHAnsi"/>
          <w:sz w:val="24"/>
          <w:szCs w:val="24"/>
        </w:rPr>
        <w:t xml:space="preserve">% reduction in the net cost to the PBS </w:t>
      </w:r>
      <w:r w:rsidR="00E964DA">
        <w:rPr>
          <w:rFonts w:asciiTheme="minorHAnsi" w:hAnsiTheme="minorHAnsi"/>
          <w:noProof/>
          <w:color w:val="000000"/>
          <w:sz w:val="24"/>
          <w:szCs w:val="24"/>
          <w:highlight w:val="black"/>
        </w:rPr>
        <w:t>'''''''''''''' '''''''''''''' ''''' ''''''''''''' ''''''''''''''</w:t>
      </w:r>
      <w:r w:rsidRPr="008C6270">
        <w:rPr>
          <w:rFonts w:asciiTheme="minorHAnsi" w:hAnsiTheme="minorHAnsi"/>
          <w:sz w:val="24"/>
          <w:szCs w:val="24"/>
        </w:rPr>
        <w:t xml:space="preserve"> over six years.</w:t>
      </w:r>
      <w:r w:rsidR="008012D1" w:rsidRPr="008C6270">
        <w:rPr>
          <w:rFonts w:asciiTheme="minorHAnsi" w:hAnsiTheme="minorHAnsi"/>
          <w:sz w:val="24"/>
          <w:szCs w:val="24"/>
        </w:rPr>
        <w:t xml:space="preserve"> Although the minor resubmission anticipated the number of patients for whom a nivolumab cost offset might be expected, the extent of </w:t>
      </w:r>
      <w:r w:rsidR="00284042" w:rsidRPr="008C6270">
        <w:rPr>
          <w:rFonts w:asciiTheme="minorHAnsi" w:hAnsiTheme="minorHAnsi"/>
          <w:sz w:val="24"/>
          <w:szCs w:val="24"/>
        </w:rPr>
        <w:t xml:space="preserve">cost </w:t>
      </w:r>
      <w:r w:rsidR="008012D1" w:rsidRPr="008C6270">
        <w:rPr>
          <w:rFonts w:asciiTheme="minorHAnsi" w:hAnsiTheme="minorHAnsi"/>
          <w:sz w:val="24"/>
          <w:szCs w:val="24"/>
        </w:rPr>
        <w:t>offset per patient is the product of the price of nivolumab multiplied by the duration of therapy of nivolumab. The</w:t>
      </w:r>
      <w:r w:rsidR="00284042" w:rsidRPr="008C6270">
        <w:rPr>
          <w:rFonts w:asciiTheme="minorHAnsi" w:hAnsiTheme="minorHAnsi"/>
          <w:sz w:val="24"/>
          <w:szCs w:val="24"/>
        </w:rPr>
        <w:t xml:space="preserve"> full </w:t>
      </w:r>
      <w:r w:rsidR="008012D1" w:rsidRPr="008C6270">
        <w:rPr>
          <w:rFonts w:asciiTheme="minorHAnsi" w:hAnsiTheme="minorHAnsi"/>
          <w:sz w:val="24"/>
          <w:szCs w:val="24"/>
        </w:rPr>
        <w:t xml:space="preserve">details cannot be provided to the sponsor of pembrolizumab until such time as PBAC recommends listing pembrolizumab </w:t>
      </w:r>
      <w:r w:rsidR="005336ED">
        <w:rPr>
          <w:rFonts w:asciiTheme="minorHAnsi" w:hAnsiTheme="minorHAnsi"/>
          <w:sz w:val="24"/>
          <w:szCs w:val="24"/>
        </w:rPr>
        <w:t>for</w:t>
      </w:r>
      <w:r w:rsidR="005336ED" w:rsidRPr="008C6270">
        <w:rPr>
          <w:rFonts w:asciiTheme="minorHAnsi" w:hAnsiTheme="minorHAnsi"/>
          <w:sz w:val="24"/>
          <w:szCs w:val="24"/>
        </w:rPr>
        <w:t xml:space="preserve"> </w:t>
      </w:r>
      <w:r w:rsidR="008012D1" w:rsidRPr="008C6270">
        <w:rPr>
          <w:rFonts w:asciiTheme="minorHAnsi" w:hAnsiTheme="minorHAnsi"/>
          <w:sz w:val="24"/>
          <w:szCs w:val="24"/>
        </w:rPr>
        <w:t>NSCLC.</w:t>
      </w:r>
    </w:p>
    <w:p w:rsidR="009C4641" w:rsidRDefault="009C4641" w:rsidP="009C4641">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Risk Sharing Arrangement</w:t>
      </w:r>
    </w:p>
    <w:p w:rsidR="00A154CD" w:rsidRPr="005D455D" w:rsidRDefault="001B572F" w:rsidP="001B572F">
      <w:pPr>
        <w:pStyle w:val="ListParagraph"/>
        <w:numPr>
          <w:ilvl w:val="1"/>
          <w:numId w:val="14"/>
        </w:numPr>
        <w:rPr>
          <w:rFonts w:asciiTheme="minorHAnsi" w:hAnsiTheme="minorHAnsi"/>
          <w:sz w:val="24"/>
          <w:szCs w:val="24"/>
        </w:rPr>
      </w:pPr>
      <w:r w:rsidRPr="005D455D">
        <w:rPr>
          <w:rFonts w:asciiTheme="minorHAnsi" w:eastAsiaTheme="minorHAnsi" w:hAnsiTheme="minorHAnsi" w:cstheme="minorBidi"/>
          <w:snapToGrid/>
          <w:sz w:val="24"/>
          <w:szCs w:val="24"/>
        </w:rPr>
        <w:t>The</w:t>
      </w:r>
      <w:r w:rsidRPr="005D455D">
        <w:rPr>
          <w:rFonts w:asciiTheme="minorHAnsi" w:hAnsiTheme="minorHAnsi"/>
          <w:sz w:val="24"/>
          <w:szCs w:val="24"/>
        </w:rPr>
        <w:t xml:space="preserve"> minor resubmission proposed both a special pricing arrangement and a risk sharing arrangement (</w:t>
      </w:r>
      <w:r w:rsidR="00E964DA">
        <w:rPr>
          <w:rFonts w:asciiTheme="minorHAnsi" w:hAnsiTheme="minorHAnsi"/>
          <w:noProof/>
          <w:color w:val="000000"/>
          <w:sz w:val="24"/>
          <w:szCs w:val="24"/>
          <w:highlight w:val="black"/>
        </w:rPr>
        <w:t>''''''''' '''''''''''' ''''' '''''''''''''''''''' '''''''''''''''''''''''''''' ''''''''' ''''' ''''''''''' ''''''''''''''' '''''''' ''''''' '''''''''''''' ''''''''' '''''''''''''''''''''''''''''' ''''' ''''''''' '''''''' ''''' ''''''''''''</w:t>
      </w:r>
      <w:r w:rsidRPr="005D455D">
        <w:rPr>
          <w:rFonts w:asciiTheme="minorHAnsi" w:hAnsiTheme="minorHAnsi"/>
          <w:sz w:val="24"/>
          <w:szCs w:val="24"/>
        </w:rPr>
        <w:t>).</w:t>
      </w:r>
    </w:p>
    <w:p w:rsidR="00A154CD" w:rsidRDefault="00DA7521" w:rsidP="00A154CD">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Further assessments containing </w:t>
      </w:r>
      <w:r w:rsidR="00A154CD" w:rsidRPr="00CC650E">
        <w:rPr>
          <w:rFonts w:asciiTheme="minorHAnsi" w:eastAsiaTheme="majorEastAsia" w:hAnsiTheme="minorHAnsi" w:cstheme="majorBidi"/>
          <w:sz w:val="28"/>
          <w:szCs w:val="28"/>
          <w:lang w:eastAsia="en-US"/>
        </w:rPr>
        <w:t>Committee in Confidence</w:t>
      </w:r>
      <w:r>
        <w:rPr>
          <w:rFonts w:asciiTheme="minorHAnsi" w:eastAsiaTheme="majorEastAsia" w:hAnsiTheme="minorHAnsi" w:cstheme="majorBidi"/>
          <w:sz w:val="28"/>
          <w:szCs w:val="28"/>
          <w:lang w:eastAsia="en-US"/>
        </w:rPr>
        <w:t xml:space="preserve"> information</w:t>
      </w:r>
    </w:p>
    <w:p w:rsidR="00B17845" w:rsidRPr="003D6C80" w:rsidRDefault="00B17845" w:rsidP="00B17845">
      <w:pPr>
        <w:rPr>
          <w:rFonts w:ascii="Arial Narrow" w:hAnsi="Arial Narrow" w:cs="Arial"/>
          <w:b/>
          <w:sz w:val="20"/>
          <w:szCs w:val="16"/>
          <w:lang w:eastAsia="en-US"/>
        </w:rPr>
      </w:pPr>
      <w:r w:rsidRPr="003D6C80">
        <w:rPr>
          <w:rFonts w:ascii="Arial Narrow" w:hAnsi="Arial Narrow" w:cs="Arial"/>
          <w:b/>
          <w:sz w:val="20"/>
          <w:szCs w:val="16"/>
          <w:lang w:eastAsia="en-US"/>
        </w:rPr>
        <w:t xml:space="preserve">Table 7: </w:t>
      </w:r>
      <w:r>
        <w:rPr>
          <w:rFonts w:ascii="Arial Narrow" w:hAnsi="Arial Narrow" w:cs="Arial"/>
          <w:b/>
          <w:sz w:val="20"/>
          <w:szCs w:val="16"/>
          <w:lang w:eastAsia="en-US"/>
        </w:rPr>
        <w:t>Comparison of the minor resubmission’s estimates with the agreed patient numbers in the nivolumab deed</w:t>
      </w:r>
    </w:p>
    <w:tbl>
      <w:tblPr>
        <w:tblStyle w:val="TableGrid"/>
        <w:tblW w:w="5088" w:type="pct"/>
        <w:tblLayout w:type="fixed"/>
        <w:tblCellMar>
          <w:top w:w="28" w:type="dxa"/>
          <w:left w:w="28" w:type="dxa"/>
          <w:bottom w:w="28" w:type="dxa"/>
          <w:right w:w="28" w:type="dxa"/>
        </w:tblCellMar>
        <w:tblLook w:val="04A0" w:firstRow="1" w:lastRow="0" w:firstColumn="1" w:lastColumn="0" w:noHBand="0" w:noVBand="1"/>
      </w:tblPr>
      <w:tblGrid>
        <w:gridCol w:w="186"/>
        <w:gridCol w:w="4378"/>
        <w:gridCol w:w="566"/>
        <w:gridCol w:w="710"/>
        <w:gridCol w:w="710"/>
        <w:gridCol w:w="712"/>
        <w:gridCol w:w="713"/>
        <w:gridCol w:w="712"/>
        <w:gridCol w:w="555"/>
      </w:tblGrid>
      <w:tr w:rsidR="00B17845" w:rsidRPr="00752FB2" w:rsidTr="00851F1E">
        <w:tc>
          <w:tcPr>
            <w:tcW w:w="101" w:type="pct"/>
            <w:tcBorders>
              <w:top w:val="single" w:sz="8" w:space="0" w:color="auto"/>
              <w:left w:val="single" w:sz="8" w:space="0" w:color="auto"/>
              <w:bottom w:val="single" w:sz="8" w:space="0" w:color="auto"/>
            </w:tcBorders>
            <w:vAlign w:val="center"/>
          </w:tcPr>
          <w:p w:rsidR="00B17845" w:rsidRPr="00F74414" w:rsidRDefault="00B17845" w:rsidP="00B17845">
            <w:pPr>
              <w:jc w:val="center"/>
              <w:rPr>
                <w:rFonts w:ascii="Arial Narrow" w:hAnsi="Arial Narrow"/>
                <w:b/>
                <w:sz w:val="20"/>
                <w:szCs w:val="20"/>
              </w:rPr>
            </w:pPr>
          </w:p>
        </w:tc>
        <w:tc>
          <w:tcPr>
            <w:tcW w:w="2369" w:type="pct"/>
            <w:tcBorders>
              <w:top w:val="single" w:sz="8" w:space="0" w:color="auto"/>
              <w:bottom w:val="single" w:sz="8" w:space="0" w:color="auto"/>
            </w:tcBorders>
          </w:tcPr>
          <w:p w:rsidR="00B17845" w:rsidRPr="00AE5DC3" w:rsidRDefault="00B17845" w:rsidP="000546F6">
            <w:pPr>
              <w:rPr>
                <w:rFonts w:ascii="Arial Narrow" w:hAnsi="Arial Narrow"/>
                <w:b/>
                <w:sz w:val="20"/>
                <w:szCs w:val="20"/>
              </w:rPr>
            </w:pPr>
            <w:r w:rsidRPr="00AE5DC3">
              <w:rPr>
                <w:rFonts w:ascii="Arial Narrow" w:hAnsi="Arial Narrow"/>
                <w:b/>
                <w:sz w:val="20"/>
                <w:szCs w:val="20"/>
              </w:rPr>
              <w:t>Estimated patient numbers</w:t>
            </w:r>
          </w:p>
        </w:tc>
        <w:tc>
          <w:tcPr>
            <w:tcW w:w="2531" w:type="pct"/>
            <w:gridSpan w:val="7"/>
            <w:tcBorders>
              <w:top w:val="single" w:sz="8" w:space="0" w:color="auto"/>
              <w:bottom w:val="single" w:sz="8" w:space="0" w:color="auto"/>
              <w:right w:val="single" w:sz="8" w:space="0" w:color="auto"/>
            </w:tcBorders>
            <w:vAlign w:val="center"/>
          </w:tcPr>
          <w:p w:rsidR="00B17845" w:rsidRPr="00F74414" w:rsidRDefault="00B17845" w:rsidP="000546F6">
            <w:pPr>
              <w:jc w:val="center"/>
              <w:rPr>
                <w:rFonts w:ascii="Arial Narrow" w:hAnsi="Arial Narrow"/>
                <w:b/>
                <w:sz w:val="20"/>
                <w:szCs w:val="20"/>
              </w:rPr>
            </w:pPr>
            <w:r w:rsidRPr="00F74414">
              <w:rPr>
                <w:rFonts w:ascii="Arial Narrow" w:hAnsi="Arial Narrow"/>
                <w:b/>
                <w:sz w:val="20"/>
                <w:szCs w:val="20"/>
              </w:rPr>
              <w:t>Calendar years</w:t>
            </w:r>
          </w:p>
        </w:tc>
      </w:tr>
      <w:tr w:rsidR="00851F1E" w:rsidRPr="00752FB2" w:rsidTr="00851F1E">
        <w:tc>
          <w:tcPr>
            <w:tcW w:w="101" w:type="pct"/>
            <w:tcBorders>
              <w:top w:val="single" w:sz="8" w:space="0" w:color="auto"/>
              <w:left w:val="single" w:sz="8" w:space="0" w:color="auto"/>
            </w:tcBorders>
            <w:vAlign w:val="center"/>
          </w:tcPr>
          <w:p w:rsidR="00B17845" w:rsidRPr="002B0CF2" w:rsidRDefault="00B17845" w:rsidP="00B17845">
            <w:pPr>
              <w:jc w:val="center"/>
              <w:rPr>
                <w:rFonts w:ascii="Arial Narrow" w:hAnsi="Arial Narrow"/>
                <w:b/>
                <w:i/>
                <w:sz w:val="20"/>
                <w:szCs w:val="20"/>
              </w:rPr>
            </w:pPr>
          </w:p>
        </w:tc>
        <w:tc>
          <w:tcPr>
            <w:tcW w:w="2369" w:type="pct"/>
            <w:tcBorders>
              <w:top w:val="single" w:sz="8" w:space="0" w:color="auto"/>
            </w:tcBorders>
          </w:tcPr>
          <w:p w:rsidR="00B17845" w:rsidRPr="002B0CF2" w:rsidRDefault="00B17845" w:rsidP="002B0CF2">
            <w:pPr>
              <w:rPr>
                <w:rFonts w:ascii="Arial Narrow" w:hAnsi="Arial Narrow"/>
                <w:b/>
                <w:i/>
                <w:sz w:val="20"/>
                <w:szCs w:val="20"/>
              </w:rPr>
            </w:pPr>
            <w:r w:rsidRPr="002B0CF2">
              <w:rPr>
                <w:rFonts w:ascii="Arial Narrow" w:hAnsi="Arial Narrow"/>
                <w:b/>
                <w:i/>
                <w:sz w:val="20"/>
                <w:szCs w:val="20"/>
              </w:rPr>
              <w:t>Nivolumab (as per estimates for</w:t>
            </w:r>
            <w:r w:rsidR="0091030A" w:rsidRPr="002B0CF2">
              <w:rPr>
                <w:rFonts w:ascii="Arial Narrow" w:hAnsi="Arial Narrow"/>
                <w:b/>
                <w:i/>
                <w:sz w:val="20"/>
                <w:szCs w:val="20"/>
              </w:rPr>
              <w:t xml:space="preserve"> </w:t>
            </w:r>
            <w:r w:rsidR="002B0CF2" w:rsidRPr="002B0CF2">
              <w:rPr>
                <w:rFonts w:ascii="Arial Narrow" w:hAnsi="Arial Narrow"/>
                <w:b/>
                <w:i/>
                <w:sz w:val="20"/>
                <w:szCs w:val="20"/>
              </w:rPr>
              <w:t xml:space="preserve">the </w:t>
            </w:r>
            <w:r w:rsidR="0091030A" w:rsidRPr="002B0CF2">
              <w:rPr>
                <w:rFonts w:ascii="Arial Narrow" w:hAnsi="Arial Narrow"/>
                <w:b/>
                <w:i/>
                <w:sz w:val="20"/>
                <w:szCs w:val="20"/>
              </w:rPr>
              <w:t>PBS</w:t>
            </w:r>
            <w:r w:rsidRPr="002B0CF2">
              <w:rPr>
                <w:rFonts w:ascii="Arial Narrow" w:hAnsi="Arial Narrow"/>
                <w:b/>
                <w:i/>
                <w:sz w:val="20"/>
                <w:szCs w:val="20"/>
              </w:rPr>
              <w:t xml:space="preserve"> listing</w:t>
            </w:r>
            <w:r w:rsidR="002B0CF2" w:rsidRPr="002B0CF2">
              <w:rPr>
                <w:rFonts w:ascii="Arial Narrow" w:hAnsi="Arial Narrow"/>
                <w:b/>
                <w:i/>
                <w:sz w:val="20"/>
                <w:szCs w:val="20"/>
              </w:rPr>
              <w:t xml:space="preserve"> starting </w:t>
            </w:r>
            <w:r w:rsidRPr="002B0CF2">
              <w:rPr>
                <w:rFonts w:ascii="Arial Narrow" w:hAnsi="Arial Narrow"/>
                <w:b/>
                <w:i/>
                <w:sz w:val="20"/>
                <w:szCs w:val="20"/>
              </w:rPr>
              <w:t>1 Aug</w:t>
            </w:r>
            <w:r w:rsidR="0091030A" w:rsidRPr="002B0CF2">
              <w:rPr>
                <w:rFonts w:ascii="Arial Narrow" w:hAnsi="Arial Narrow"/>
                <w:b/>
                <w:i/>
                <w:sz w:val="20"/>
                <w:szCs w:val="20"/>
              </w:rPr>
              <w:t>ust</w:t>
            </w:r>
            <w:r w:rsidRPr="002B0CF2">
              <w:rPr>
                <w:rFonts w:ascii="Arial Narrow" w:hAnsi="Arial Narrow"/>
                <w:b/>
                <w:i/>
                <w:sz w:val="20"/>
                <w:szCs w:val="20"/>
              </w:rPr>
              <w:t xml:space="preserve"> 2017)</w:t>
            </w:r>
          </w:p>
        </w:tc>
        <w:tc>
          <w:tcPr>
            <w:tcW w:w="306" w:type="pct"/>
            <w:tcBorders>
              <w:top w:val="single" w:sz="8" w:space="0" w:color="auto"/>
            </w:tcBorders>
            <w:vAlign w:val="center"/>
          </w:tcPr>
          <w:p w:rsidR="00B17845" w:rsidRPr="00752FB2" w:rsidRDefault="00B17845" w:rsidP="000546F6">
            <w:pPr>
              <w:jc w:val="center"/>
              <w:rPr>
                <w:rFonts w:ascii="Arial Narrow" w:hAnsi="Arial Narrow"/>
                <w:b/>
                <w:sz w:val="20"/>
                <w:szCs w:val="20"/>
              </w:rPr>
            </w:pPr>
            <w:r w:rsidRPr="00752FB2">
              <w:rPr>
                <w:rFonts w:ascii="Arial Narrow" w:hAnsi="Arial Narrow"/>
                <w:b/>
                <w:sz w:val="20"/>
                <w:szCs w:val="20"/>
              </w:rPr>
              <w:t>1</w:t>
            </w:r>
          </w:p>
        </w:tc>
        <w:tc>
          <w:tcPr>
            <w:tcW w:w="384" w:type="pct"/>
            <w:tcBorders>
              <w:top w:val="single" w:sz="8" w:space="0" w:color="auto"/>
            </w:tcBorders>
            <w:vAlign w:val="center"/>
          </w:tcPr>
          <w:p w:rsidR="00B17845" w:rsidRPr="00752FB2" w:rsidRDefault="00B17845" w:rsidP="000546F6">
            <w:pPr>
              <w:jc w:val="center"/>
              <w:rPr>
                <w:rFonts w:ascii="Arial Narrow" w:hAnsi="Arial Narrow"/>
                <w:b/>
                <w:sz w:val="20"/>
                <w:szCs w:val="20"/>
              </w:rPr>
            </w:pPr>
            <w:r w:rsidRPr="00752FB2">
              <w:rPr>
                <w:rFonts w:ascii="Arial Narrow" w:hAnsi="Arial Narrow"/>
                <w:b/>
                <w:sz w:val="20"/>
                <w:szCs w:val="20"/>
              </w:rPr>
              <w:t>2</w:t>
            </w:r>
          </w:p>
        </w:tc>
        <w:tc>
          <w:tcPr>
            <w:tcW w:w="384" w:type="pct"/>
            <w:tcBorders>
              <w:top w:val="single" w:sz="8" w:space="0" w:color="auto"/>
            </w:tcBorders>
            <w:vAlign w:val="center"/>
          </w:tcPr>
          <w:p w:rsidR="00B17845" w:rsidRPr="00752FB2" w:rsidRDefault="00B17845" w:rsidP="000546F6">
            <w:pPr>
              <w:jc w:val="center"/>
              <w:rPr>
                <w:rFonts w:ascii="Arial Narrow" w:hAnsi="Arial Narrow"/>
                <w:b/>
                <w:sz w:val="20"/>
                <w:szCs w:val="20"/>
              </w:rPr>
            </w:pPr>
            <w:r w:rsidRPr="00752FB2">
              <w:rPr>
                <w:rFonts w:ascii="Arial Narrow" w:hAnsi="Arial Narrow"/>
                <w:b/>
                <w:sz w:val="20"/>
                <w:szCs w:val="20"/>
              </w:rPr>
              <w:t>3</w:t>
            </w:r>
          </w:p>
        </w:tc>
        <w:tc>
          <w:tcPr>
            <w:tcW w:w="385" w:type="pct"/>
            <w:tcBorders>
              <w:top w:val="single" w:sz="8" w:space="0" w:color="auto"/>
            </w:tcBorders>
            <w:vAlign w:val="center"/>
          </w:tcPr>
          <w:p w:rsidR="00B17845" w:rsidRPr="00752FB2" w:rsidRDefault="00B17845" w:rsidP="000546F6">
            <w:pPr>
              <w:jc w:val="center"/>
              <w:rPr>
                <w:rFonts w:ascii="Arial Narrow" w:hAnsi="Arial Narrow"/>
                <w:b/>
                <w:sz w:val="20"/>
                <w:szCs w:val="20"/>
              </w:rPr>
            </w:pPr>
            <w:r w:rsidRPr="00752FB2">
              <w:rPr>
                <w:rFonts w:ascii="Arial Narrow" w:hAnsi="Arial Narrow"/>
                <w:b/>
                <w:sz w:val="20"/>
                <w:szCs w:val="20"/>
              </w:rPr>
              <w:t>4</w:t>
            </w:r>
          </w:p>
        </w:tc>
        <w:tc>
          <w:tcPr>
            <w:tcW w:w="384" w:type="pct"/>
            <w:tcBorders>
              <w:top w:val="single" w:sz="8" w:space="0" w:color="auto"/>
            </w:tcBorders>
            <w:vAlign w:val="center"/>
          </w:tcPr>
          <w:p w:rsidR="00B17845" w:rsidRPr="00752FB2" w:rsidRDefault="00B17845" w:rsidP="000546F6">
            <w:pPr>
              <w:jc w:val="center"/>
              <w:rPr>
                <w:rFonts w:ascii="Arial Narrow" w:hAnsi="Arial Narrow"/>
                <w:b/>
                <w:sz w:val="20"/>
                <w:szCs w:val="20"/>
              </w:rPr>
            </w:pPr>
            <w:r w:rsidRPr="00752FB2">
              <w:rPr>
                <w:rFonts w:ascii="Arial Narrow" w:hAnsi="Arial Narrow"/>
                <w:b/>
                <w:sz w:val="20"/>
                <w:szCs w:val="20"/>
              </w:rPr>
              <w:t>5</w:t>
            </w:r>
          </w:p>
        </w:tc>
        <w:tc>
          <w:tcPr>
            <w:tcW w:w="385" w:type="pct"/>
            <w:tcBorders>
              <w:top w:val="single" w:sz="8" w:space="0" w:color="auto"/>
            </w:tcBorders>
            <w:vAlign w:val="center"/>
          </w:tcPr>
          <w:p w:rsidR="00B17845" w:rsidRPr="00752FB2" w:rsidRDefault="00B17845" w:rsidP="000546F6">
            <w:pPr>
              <w:jc w:val="center"/>
              <w:rPr>
                <w:rFonts w:ascii="Arial Narrow" w:hAnsi="Arial Narrow"/>
                <w:b/>
                <w:sz w:val="20"/>
                <w:szCs w:val="20"/>
              </w:rPr>
            </w:pPr>
            <w:r w:rsidRPr="00752FB2">
              <w:rPr>
                <w:rFonts w:ascii="Arial Narrow" w:hAnsi="Arial Narrow"/>
                <w:b/>
                <w:sz w:val="20"/>
                <w:szCs w:val="20"/>
              </w:rPr>
              <w:t>6</w:t>
            </w:r>
          </w:p>
        </w:tc>
        <w:tc>
          <w:tcPr>
            <w:tcW w:w="302" w:type="pct"/>
            <w:tcBorders>
              <w:top w:val="single" w:sz="8" w:space="0" w:color="auto"/>
              <w:right w:val="single" w:sz="8" w:space="0" w:color="auto"/>
            </w:tcBorders>
            <w:vAlign w:val="center"/>
          </w:tcPr>
          <w:p w:rsidR="00B17845" w:rsidRPr="00752FB2" w:rsidRDefault="00B17845" w:rsidP="000546F6">
            <w:pPr>
              <w:jc w:val="center"/>
              <w:rPr>
                <w:rFonts w:ascii="Arial Narrow" w:hAnsi="Arial Narrow"/>
                <w:b/>
                <w:sz w:val="20"/>
                <w:szCs w:val="20"/>
              </w:rPr>
            </w:pPr>
            <w:r w:rsidRPr="00752FB2">
              <w:rPr>
                <w:rFonts w:ascii="Arial Narrow" w:hAnsi="Arial Narrow"/>
                <w:b/>
                <w:sz w:val="20"/>
                <w:szCs w:val="20"/>
              </w:rPr>
              <w:t>–</w:t>
            </w:r>
          </w:p>
        </w:tc>
      </w:tr>
      <w:tr w:rsidR="00851F1E" w:rsidRPr="00752FB2" w:rsidTr="00851F1E">
        <w:tc>
          <w:tcPr>
            <w:tcW w:w="101" w:type="pct"/>
            <w:tcBorders>
              <w:left w:val="single" w:sz="8" w:space="0" w:color="auto"/>
              <w:bottom w:val="single" w:sz="4" w:space="0" w:color="auto"/>
            </w:tcBorders>
            <w:vAlign w:val="center"/>
          </w:tcPr>
          <w:p w:rsidR="00B17845" w:rsidRPr="002B0CF2" w:rsidRDefault="00B17845" w:rsidP="00B17845">
            <w:pPr>
              <w:jc w:val="center"/>
              <w:rPr>
                <w:rFonts w:ascii="Arial Narrow" w:hAnsi="Arial Narrow"/>
                <w:b/>
                <w:i/>
                <w:sz w:val="20"/>
                <w:szCs w:val="20"/>
              </w:rPr>
            </w:pPr>
          </w:p>
        </w:tc>
        <w:tc>
          <w:tcPr>
            <w:tcW w:w="2369" w:type="pct"/>
            <w:tcBorders>
              <w:bottom w:val="single" w:sz="4" w:space="0" w:color="auto"/>
            </w:tcBorders>
          </w:tcPr>
          <w:p w:rsidR="00B17845" w:rsidRPr="002B0CF2" w:rsidRDefault="00B17845" w:rsidP="000546F6">
            <w:pPr>
              <w:rPr>
                <w:rFonts w:ascii="Arial Narrow" w:hAnsi="Arial Narrow"/>
                <w:i/>
                <w:sz w:val="20"/>
                <w:szCs w:val="20"/>
              </w:rPr>
            </w:pPr>
            <w:r w:rsidRPr="002B0CF2">
              <w:rPr>
                <w:rFonts w:ascii="Arial Narrow" w:hAnsi="Arial Narrow"/>
                <w:i/>
                <w:sz w:val="20"/>
                <w:szCs w:val="20"/>
              </w:rPr>
              <w:t>Squamous</w:t>
            </w:r>
          </w:p>
        </w:tc>
        <w:tc>
          <w:tcPr>
            <w:tcW w:w="306" w:type="pct"/>
            <w:tcBorders>
              <w:bottom w:val="single" w:sz="4"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4" w:type="pct"/>
            <w:tcBorders>
              <w:bottom w:val="single" w:sz="4"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4" w:type="pct"/>
            <w:tcBorders>
              <w:bottom w:val="single" w:sz="4"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5" w:type="pct"/>
            <w:tcBorders>
              <w:bottom w:val="single" w:sz="4"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4" w:type="pct"/>
            <w:tcBorders>
              <w:bottom w:val="single" w:sz="4"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5" w:type="pct"/>
            <w:tcBorders>
              <w:bottom w:val="single" w:sz="4"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02" w:type="pct"/>
            <w:tcBorders>
              <w:bottom w:val="single" w:sz="4" w:space="0" w:color="auto"/>
              <w:right w:val="single" w:sz="8" w:space="0" w:color="auto"/>
            </w:tcBorders>
            <w:vAlign w:val="center"/>
          </w:tcPr>
          <w:p w:rsidR="00B17845" w:rsidRPr="00752FB2" w:rsidRDefault="00B17845" w:rsidP="000546F6">
            <w:pPr>
              <w:jc w:val="center"/>
              <w:rPr>
                <w:rFonts w:ascii="Arial Narrow" w:hAnsi="Arial Narrow"/>
                <w:sz w:val="20"/>
                <w:szCs w:val="20"/>
              </w:rPr>
            </w:pPr>
            <w:r w:rsidRPr="00752FB2">
              <w:rPr>
                <w:rFonts w:ascii="Arial Narrow" w:hAnsi="Arial Narrow"/>
                <w:sz w:val="20"/>
                <w:szCs w:val="20"/>
              </w:rPr>
              <w:t>–</w:t>
            </w:r>
          </w:p>
        </w:tc>
      </w:tr>
      <w:tr w:rsidR="00851F1E" w:rsidRPr="00752FB2" w:rsidTr="00851F1E">
        <w:tc>
          <w:tcPr>
            <w:tcW w:w="101" w:type="pct"/>
            <w:tcBorders>
              <w:left w:val="single" w:sz="8" w:space="0" w:color="auto"/>
              <w:bottom w:val="single" w:sz="8" w:space="0" w:color="auto"/>
            </w:tcBorders>
            <w:vAlign w:val="center"/>
          </w:tcPr>
          <w:p w:rsidR="00B17845" w:rsidRPr="002B0CF2" w:rsidRDefault="00B17845" w:rsidP="00B17845">
            <w:pPr>
              <w:jc w:val="center"/>
              <w:rPr>
                <w:rFonts w:ascii="Arial Narrow" w:hAnsi="Arial Narrow"/>
                <w:b/>
                <w:i/>
                <w:sz w:val="20"/>
                <w:szCs w:val="20"/>
              </w:rPr>
            </w:pPr>
          </w:p>
        </w:tc>
        <w:tc>
          <w:tcPr>
            <w:tcW w:w="2369" w:type="pct"/>
            <w:tcBorders>
              <w:bottom w:val="single" w:sz="8" w:space="0" w:color="auto"/>
            </w:tcBorders>
          </w:tcPr>
          <w:p w:rsidR="00B17845" w:rsidRPr="002B0CF2" w:rsidRDefault="00B17845" w:rsidP="000546F6">
            <w:pPr>
              <w:rPr>
                <w:rFonts w:ascii="Arial Narrow" w:hAnsi="Arial Narrow"/>
                <w:i/>
                <w:sz w:val="20"/>
                <w:szCs w:val="20"/>
              </w:rPr>
            </w:pPr>
            <w:r w:rsidRPr="002B0CF2">
              <w:rPr>
                <w:rFonts w:ascii="Arial Narrow" w:hAnsi="Arial Narrow"/>
                <w:i/>
                <w:sz w:val="20"/>
                <w:szCs w:val="20"/>
              </w:rPr>
              <w:t>Non-squamous</w:t>
            </w:r>
          </w:p>
        </w:tc>
        <w:tc>
          <w:tcPr>
            <w:tcW w:w="306" w:type="pct"/>
            <w:tcBorders>
              <w:bottom w:val="single" w:sz="8"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4" w:type="pct"/>
            <w:tcBorders>
              <w:bottom w:val="single" w:sz="8"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4" w:type="pct"/>
            <w:tcBorders>
              <w:bottom w:val="single" w:sz="8"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5" w:type="pct"/>
            <w:tcBorders>
              <w:bottom w:val="single" w:sz="8"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4" w:type="pct"/>
            <w:tcBorders>
              <w:bottom w:val="single" w:sz="8"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5" w:type="pct"/>
            <w:tcBorders>
              <w:bottom w:val="single" w:sz="8"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02" w:type="pct"/>
            <w:tcBorders>
              <w:bottom w:val="single" w:sz="8" w:space="0" w:color="auto"/>
              <w:right w:val="single" w:sz="8" w:space="0" w:color="auto"/>
            </w:tcBorders>
            <w:vAlign w:val="center"/>
          </w:tcPr>
          <w:p w:rsidR="00B17845" w:rsidRPr="00752FB2" w:rsidRDefault="00B17845" w:rsidP="000546F6">
            <w:pPr>
              <w:jc w:val="center"/>
              <w:rPr>
                <w:rFonts w:ascii="Arial Narrow" w:hAnsi="Arial Narrow"/>
                <w:sz w:val="20"/>
                <w:szCs w:val="20"/>
              </w:rPr>
            </w:pPr>
            <w:r w:rsidRPr="00752FB2">
              <w:rPr>
                <w:rFonts w:ascii="Arial Narrow" w:hAnsi="Arial Narrow"/>
                <w:sz w:val="20"/>
                <w:szCs w:val="20"/>
              </w:rPr>
              <w:t>–</w:t>
            </w:r>
          </w:p>
        </w:tc>
      </w:tr>
      <w:tr w:rsidR="00851F1E" w:rsidRPr="00752FB2" w:rsidTr="00851F1E">
        <w:tc>
          <w:tcPr>
            <w:tcW w:w="101" w:type="pct"/>
            <w:tcBorders>
              <w:top w:val="single" w:sz="8" w:space="0" w:color="auto"/>
              <w:left w:val="single" w:sz="8" w:space="0" w:color="auto"/>
              <w:bottom w:val="thinThickSmallGap" w:sz="12" w:space="0" w:color="auto"/>
            </w:tcBorders>
            <w:vAlign w:val="center"/>
          </w:tcPr>
          <w:p w:rsidR="00B17845" w:rsidRPr="002B0CF2" w:rsidRDefault="00B17845" w:rsidP="00B17845">
            <w:pPr>
              <w:jc w:val="center"/>
              <w:rPr>
                <w:rFonts w:ascii="Arial Narrow" w:hAnsi="Arial Narrow"/>
                <w:b/>
                <w:i/>
                <w:sz w:val="20"/>
                <w:szCs w:val="20"/>
              </w:rPr>
            </w:pPr>
            <w:r w:rsidRPr="002B0CF2">
              <w:rPr>
                <w:rFonts w:ascii="Arial Narrow" w:hAnsi="Arial Narrow"/>
                <w:b/>
                <w:i/>
                <w:sz w:val="20"/>
                <w:szCs w:val="20"/>
              </w:rPr>
              <w:t>A</w:t>
            </w:r>
          </w:p>
        </w:tc>
        <w:tc>
          <w:tcPr>
            <w:tcW w:w="2369" w:type="pct"/>
            <w:tcBorders>
              <w:top w:val="single" w:sz="8" w:space="0" w:color="auto"/>
              <w:bottom w:val="thinThickSmallGap" w:sz="12" w:space="0" w:color="auto"/>
            </w:tcBorders>
          </w:tcPr>
          <w:p w:rsidR="00B17845" w:rsidRPr="002B0CF2" w:rsidRDefault="00B17845" w:rsidP="000546F6">
            <w:pPr>
              <w:rPr>
                <w:rFonts w:ascii="Arial Narrow" w:hAnsi="Arial Narrow"/>
                <w:i/>
                <w:sz w:val="20"/>
                <w:szCs w:val="20"/>
              </w:rPr>
            </w:pPr>
            <w:r w:rsidRPr="002B0CF2">
              <w:rPr>
                <w:rFonts w:ascii="Arial Narrow" w:hAnsi="Arial Narrow"/>
                <w:i/>
                <w:sz w:val="20"/>
                <w:szCs w:val="20"/>
              </w:rPr>
              <w:t>Total</w:t>
            </w:r>
          </w:p>
        </w:tc>
        <w:tc>
          <w:tcPr>
            <w:tcW w:w="306" w:type="pct"/>
            <w:tcBorders>
              <w:top w:val="single" w:sz="8" w:space="0" w:color="auto"/>
              <w:bottom w:val="thinThickSmallGap" w:sz="12"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4" w:type="pct"/>
            <w:tcBorders>
              <w:top w:val="single" w:sz="8" w:space="0" w:color="auto"/>
              <w:bottom w:val="thinThickSmallGap" w:sz="12"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4" w:type="pct"/>
            <w:tcBorders>
              <w:top w:val="single" w:sz="8" w:space="0" w:color="auto"/>
              <w:bottom w:val="thinThickSmallGap" w:sz="12"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5" w:type="pct"/>
            <w:tcBorders>
              <w:top w:val="single" w:sz="8" w:space="0" w:color="auto"/>
              <w:bottom w:val="thinThickSmallGap" w:sz="12"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4" w:type="pct"/>
            <w:tcBorders>
              <w:top w:val="single" w:sz="8" w:space="0" w:color="auto"/>
              <w:bottom w:val="thinThickSmallGap" w:sz="12"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85" w:type="pct"/>
            <w:tcBorders>
              <w:top w:val="single" w:sz="8" w:space="0" w:color="auto"/>
              <w:bottom w:val="thinThickSmallGap" w:sz="12"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cs="Arial"/>
                <w:i/>
                <w:noProof/>
                <w:color w:val="000000"/>
                <w:sz w:val="20"/>
                <w:szCs w:val="20"/>
                <w:highlight w:val="black"/>
              </w:rPr>
              <w:t>'''''''''''''</w:t>
            </w:r>
          </w:p>
        </w:tc>
        <w:tc>
          <w:tcPr>
            <w:tcW w:w="302" w:type="pct"/>
            <w:tcBorders>
              <w:top w:val="single" w:sz="8" w:space="0" w:color="auto"/>
              <w:bottom w:val="thinThickSmallGap" w:sz="12" w:space="0" w:color="auto"/>
              <w:right w:val="single" w:sz="8" w:space="0" w:color="auto"/>
            </w:tcBorders>
            <w:vAlign w:val="center"/>
          </w:tcPr>
          <w:p w:rsidR="00B17845" w:rsidRPr="00752FB2" w:rsidRDefault="00B17845" w:rsidP="000546F6">
            <w:pPr>
              <w:jc w:val="center"/>
              <w:rPr>
                <w:rFonts w:ascii="Arial Narrow" w:hAnsi="Arial Narrow"/>
                <w:sz w:val="20"/>
                <w:szCs w:val="20"/>
              </w:rPr>
            </w:pPr>
            <w:r w:rsidRPr="00752FB2">
              <w:rPr>
                <w:rFonts w:ascii="Arial Narrow" w:hAnsi="Arial Narrow"/>
                <w:sz w:val="20"/>
                <w:szCs w:val="20"/>
              </w:rPr>
              <w:t>–</w:t>
            </w:r>
          </w:p>
        </w:tc>
      </w:tr>
      <w:tr w:rsidR="00851F1E" w:rsidRPr="00752FB2" w:rsidTr="00851F1E">
        <w:tc>
          <w:tcPr>
            <w:tcW w:w="101" w:type="pct"/>
            <w:tcBorders>
              <w:top w:val="thinThickSmallGap" w:sz="12" w:space="0" w:color="auto"/>
              <w:left w:val="single" w:sz="8" w:space="0" w:color="auto"/>
            </w:tcBorders>
            <w:vAlign w:val="center"/>
          </w:tcPr>
          <w:p w:rsidR="00B17845" w:rsidRPr="00F74414" w:rsidRDefault="00B17845" w:rsidP="00B17845">
            <w:pPr>
              <w:jc w:val="center"/>
              <w:rPr>
                <w:rFonts w:ascii="Arial Narrow" w:hAnsi="Arial Narrow"/>
                <w:b/>
                <w:sz w:val="20"/>
                <w:szCs w:val="20"/>
              </w:rPr>
            </w:pPr>
          </w:p>
        </w:tc>
        <w:tc>
          <w:tcPr>
            <w:tcW w:w="2369" w:type="pct"/>
            <w:tcBorders>
              <w:top w:val="thinThickSmallGap" w:sz="12" w:space="0" w:color="auto"/>
            </w:tcBorders>
          </w:tcPr>
          <w:p w:rsidR="00B17845" w:rsidRPr="00752FB2" w:rsidRDefault="00B17845" w:rsidP="000546F6">
            <w:pPr>
              <w:rPr>
                <w:rFonts w:ascii="Arial Narrow" w:hAnsi="Arial Narrow"/>
                <w:b/>
                <w:sz w:val="20"/>
                <w:szCs w:val="20"/>
              </w:rPr>
            </w:pPr>
            <w:r w:rsidRPr="00752FB2">
              <w:rPr>
                <w:rFonts w:ascii="Arial Narrow" w:hAnsi="Arial Narrow"/>
                <w:b/>
                <w:sz w:val="20"/>
                <w:szCs w:val="20"/>
              </w:rPr>
              <w:t>Pembrolizumab</w:t>
            </w:r>
            <w:r>
              <w:rPr>
                <w:rFonts w:ascii="Arial Narrow" w:hAnsi="Arial Narrow"/>
                <w:b/>
                <w:sz w:val="20"/>
                <w:szCs w:val="20"/>
              </w:rPr>
              <w:t xml:space="preserve"> (as per minor resubmission)</w:t>
            </w:r>
          </w:p>
        </w:tc>
        <w:tc>
          <w:tcPr>
            <w:tcW w:w="306" w:type="pct"/>
            <w:tcBorders>
              <w:top w:val="thinThickSmallGap" w:sz="12" w:space="0" w:color="auto"/>
            </w:tcBorders>
            <w:vAlign w:val="center"/>
          </w:tcPr>
          <w:p w:rsidR="00B17845" w:rsidRPr="00655231" w:rsidRDefault="00B17845" w:rsidP="000546F6">
            <w:pPr>
              <w:jc w:val="center"/>
              <w:rPr>
                <w:rFonts w:ascii="Arial Narrow" w:hAnsi="Arial Narrow"/>
                <w:b/>
                <w:sz w:val="20"/>
                <w:szCs w:val="20"/>
              </w:rPr>
            </w:pPr>
            <w:r w:rsidRPr="00655231">
              <w:rPr>
                <w:rFonts w:ascii="Arial Narrow" w:hAnsi="Arial Narrow"/>
                <w:b/>
                <w:sz w:val="20"/>
                <w:szCs w:val="20"/>
              </w:rPr>
              <w:t>–</w:t>
            </w:r>
          </w:p>
        </w:tc>
        <w:tc>
          <w:tcPr>
            <w:tcW w:w="384" w:type="pct"/>
            <w:tcBorders>
              <w:top w:val="thinThickSmallGap" w:sz="12" w:space="0" w:color="auto"/>
            </w:tcBorders>
            <w:vAlign w:val="center"/>
          </w:tcPr>
          <w:p w:rsidR="00B17845" w:rsidRPr="00655231" w:rsidRDefault="00B17845" w:rsidP="000546F6">
            <w:pPr>
              <w:jc w:val="center"/>
              <w:rPr>
                <w:rFonts w:ascii="Arial Narrow" w:hAnsi="Arial Narrow"/>
                <w:b/>
                <w:sz w:val="20"/>
                <w:szCs w:val="20"/>
              </w:rPr>
            </w:pPr>
            <w:r w:rsidRPr="00655231">
              <w:rPr>
                <w:rFonts w:ascii="Arial Narrow" w:hAnsi="Arial Narrow"/>
                <w:b/>
                <w:sz w:val="20"/>
                <w:szCs w:val="20"/>
              </w:rPr>
              <w:t>1</w:t>
            </w:r>
          </w:p>
        </w:tc>
        <w:tc>
          <w:tcPr>
            <w:tcW w:w="384" w:type="pct"/>
            <w:tcBorders>
              <w:top w:val="thinThickSmallGap" w:sz="12" w:space="0" w:color="auto"/>
            </w:tcBorders>
            <w:vAlign w:val="center"/>
          </w:tcPr>
          <w:p w:rsidR="00B17845" w:rsidRPr="00655231" w:rsidRDefault="00B17845" w:rsidP="000546F6">
            <w:pPr>
              <w:jc w:val="center"/>
              <w:rPr>
                <w:rFonts w:ascii="Arial Narrow" w:hAnsi="Arial Narrow"/>
                <w:b/>
                <w:sz w:val="20"/>
                <w:szCs w:val="20"/>
              </w:rPr>
            </w:pPr>
            <w:r w:rsidRPr="00655231">
              <w:rPr>
                <w:rFonts w:ascii="Arial Narrow" w:hAnsi="Arial Narrow"/>
                <w:b/>
                <w:sz w:val="20"/>
                <w:szCs w:val="20"/>
              </w:rPr>
              <w:t>2</w:t>
            </w:r>
          </w:p>
        </w:tc>
        <w:tc>
          <w:tcPr>
            <w:tcW w:w="385" w:type="pct"/>
            <w:tcBorders>
              <w:top w:val="thinThickSmallGap" w:sz="12" w:space="0" w:color="auto"/>
            </w:tcBorders>
            <w:vAlign w:val="center"/>
          </w:tcPr>
          <w:p w:rsidR="00B17845" w:rsidRPr="00655231" w:rsidRDefault="00B17845" w:rsidP="000546F6">
            <w:pPr>
              <w:jc w:val="center"/>
              <w:rPr>
                <w:rFonts w:ascii="Arial Narrow" w:hAnsi="Arial Narrow"/>
                <w:b/>
                <w:sz w:val="20"/>
                <w:szCs w:val="20"/>
              </w:rPr>
            </w:pPr>
            <w:r w:rsidRPr="00655231">
              <w:rPr>
                <w:rFonts w:ascii="Arial Narrow" w:hAnsi="Arial Narrow"/>
                <w:b/>
                <w:sz w:val="20"/>
                <w:szCs w:val="20"/>
              </w:rPr>
              <w:t>3</w:t>
            </w:r>
          </w:p>
        </w:tc>
        <w:tc>
          <w:tcPr>
            <w:tcW w:w="384" w:type="pct"/>
            <w:tcBorders>
              <w:top w:val="thinThickSmallGap" w:sz="12" w:space="0" w:color="auto"/>
            </w:tcBorders>
            <w:vAlign w:val="center"/>
          </w:tcPr>
          <w:p w:rsidR="00B17845" w:rsidRPr="00655231" w:rsidRDefault="00B17845" w:rsidP="000546F6">
            <w:pPr>
              <w:jc w:val="center"/>
              <w:rPr>
                <w:rFonts w:ascii="Arial Narrow" w:hAnsi="Arial Narrow"/>
                <w:b/>
                <w:sz w:val="20"/>
                <w:szCs w:val="20"/>
              </w:rPr>
            </w:pPr>
            <w:r w:rsidRPr="00655231">
              <w:rPr>
                <w:rFonts w:ascii="Arial Narrow" w:hAnsi="Arial Narrow"/>
                <w:b/>
                <w:sz w:val="20"/>
                <w:szCs w:val="20"/>
              </w:rPr>
              <w:t>4</w:t>
            </w:r>
          </w:p>
        </w:tc>
        <w:tc>
          <w:tcPr>
            <w:tcW w:w="385" w:type="pct"/>
            <w:tcBorders>
              <w:top w:val="thinThickSmallGap" w:sz="12" w:space="0" w:color="auto"/>
            </w:tcBorders>
            <w:vAlign w:val="center"/>
          </w:tcPr>
          <w:p w:rsidR="00B17845" w:rsidRPr="00655231" w:rsidRDefault="00B17845" w:rsidP="000546F6">
            <w:pPr>
              <w:jc w:val="center"/>
              <w:rPr>
                <w:rFonts w:ascii="Arial Narrow" w:hAnsi="Arial Narrow"/>
                <w:b/>
                <w:sz w:val="20"/>
                <w:szCs w:val="20"/>
              </w:rPr>
            </w:pPr>
            <w:r w:rsidRPr="00655231">
              <w:rPr>
                <w:rFonts w:ascii="Arial Narrow" w:hAnsi="Arial Narrow"/>
                <w:b/>
                <w:sz w:val="20"/>
                <w:szCs w:val="20"/>
              </w:rPr>
              <w:t>5</w:t>
            </w:r>
          </w:p>
        </w:tc>
        <w:tc>
          <w:tcPr>
            <w:tcW w:w="302" w:type="pct"/>
            <w:tcBorders>
              <w:top w:val="thinThickSmallGap" w:sz="12" w:space="0" w:color="auto"/>
              <w:right w:val="single" w:sz="8" w:space="0" w:color="auto"/>
            </w:tcBorders>
            <w:vAlign w:val="center"/>
          </w:tcPr>
          <w:p w:rsidR="00B17845" w:rsidRPr="00752FB2" w:rsidRDefault="00B17845" w:rsidP="000546F6">
            <w:pPr>
              <w:jc w:val="center"/>
              <w:rPr>
                <w:rFonts w:ascii="Arial Narrow" w:hAnsi="Arial Narrow"/>
                <w:b/>
                <w:sz w:val="20"/>
                <w:szCs w:val="20"/>
              </w:rPr>
            </w:pPr>
            <w:r w:rsidRPr="00752FB2">
              <w:rPr>
                <w:rFonts w:ascii="Arial Narrow" w:hAnsi="Arial Narrow"/>
                <w:b/>
                <w:sz w:val="20"/>
                <w:szCs w:val="20"/>
              </w:rPr>
              <w:t>6</w:t>
            </w:r>
          </w:p>
        </w:tc>
      </w:tr>
      <w:tr w:rsidR="00851F1E" w:rsidRPr="00752FB2" w:rsidTr="00851F1E">
        <w:tc>
          <w:tcPr>
            <w:tcW w:w="101" w:type="pct"/>
            <w:tcBorders>
              <w:left w:val="single" w:sz="8" w:space="0" w:color="auto"/>
              <w:bottom w:val="single" w:sz="4" w:space="0" w:color="auto"/>
            </w:tcBorders>
            <w:vAlign w:val="center"/>
          </w:tcPr>
          <w:p w:rsidR="00B17845" w:rsidRPr="00F74414" w:rsidRDefault="00B17845" w:rsidP="00B17845">
            <w:pPr>
              <w:jc w:val="center"/>
              <w:rPr>
                <w:rFonts w:ascii="Arial Narrow" w:hAnsi="Arial Narrow"/>
                <w:b/>
                <w:sz w:val="20"/>
                <w:szCs w:val="20"/>
              </w:rPr>
            </w:pPr>
            <w:r w:rsidRPr="00F74414">
              <w:rPr>
                <w:rFonts w:ascii="Arial Narrow" w:hAnsi="Arial Narrow"/>
                <w:b/>
                <w:sz w:val="20"/>
                <w:szCs w:val="20"/>
              </w:rPr>
              <w:t>B</w:t>
            </w:r>
          </w:p>
        </w:tc>
        <w:tc>
          <w:tcPr>
            <w:tcW w:w="2369" w:type="pct"/>
            <w:tcBorders>
              <w:bottom w:val="single" w:sz="4" w:space="0" w:color="auto"/>
            </w:tcBorders>
          </w:tcPr>
          <w:p w:rsidR="00B17845" w:rsidRPr="00AE5DC3" w:rsidRDefault="00B17845" w:rsidP="000546F6">
            <w:pPr>
              <w:rPr>
                <w:rFonts w:ascii="Arial Narrow" w:hAnsi="Arial Narrow"/>
                <w:sz w:val="20"/>
                <w:szCs w:val="20"/>
                <w:vertAlign w:val="superscript"/>
              </w:rPr>
            </w:pPr>
            <w:r w:rsidRPr="00752FB2">
              <w:rPr>
                <w:rFonts w:ascii="Arial Narrow" w:hAnsi="Arial Narrow"/>
                <w:sz w:val="20"/>
                <w:szCs w:val="20"/>
              </w:rPr>
              <w:t>Patients for whom a cost offset for nivolumab was generated by the economic and financial models</w:t>
            </w:r>
            <w:r>
              <w:rPr>
                <w:rFonts w:ascii="Arial Narrow" w:hAnsi="Arial Narrow"/>
                <w:sz w:val="20"/>
                <w:szCs w:val="20"/>
                <w:vertAlign w:val="superscript"/>
              </w:rPr>
              <w:t>a</w:t>
            </w:r>
          </w:p>
        </w:tc>
        <w:tc>
          <w:tcPr>
            <w:tcW w:w="306" w:type="pct"/>
            <w:tcBorders>
              <w:bottom w:val="single" w:sz="4" w:space="0" w:color="auto"/>
            </w:tcBorders>
            <w:vAlign w:val="center"/>
          </w:tcPr>
          <w:p w:rsidR="00B17845" w:rsidRPr="00655231" w:rsidRDefault="00B17845" w:rsidP="000546F6">
            <w:pPr>
              <w:jc w:val="center"/>
              <w:rPr>
                <w:rFonts w:ascii="Arial Narrow" w:hAnsi="Arial Narrow"/>
                <w:sz w:val="20"/>
                <w:szCs w:val="20"/>
              </w:rPr>
            </w:pPr>
            <w:r w:rsidRPr="00655231">
              <w:rPr>
                <w:rFonts w:ascii="Arial Narrow" w:hAnsi="Arial Narrow"/>
                <w:sz w:val="20"/>
                <w:szCs w:val="20"/>
              </w:rPr>
              <w:t>–</w:t>
            </w:r>
          </w:p>
        </w:tc>
        <w:tc>
          <w:tcPr>
            <w:tcW w:w="384" w:type="pct"/>
            <w:tcBorders>
              <w:bottom w:val="single" w:sz="4"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384" w:type="pct"/>
            <w:tcBorders>
              <w:bottom w:val="single" w:sz="4"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5" w:type="pct"/>
            <w:tcBorders>
              <w:bottom w:val="single" w:sz="4"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4" w:type="pct"/>
            <w:tcBorders>
              <w:bottom w:val="single" w:sz="4"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5" w:type="pct"/>
            <w:tcBorders>
              <w:bottom w:val="single" w:sz="4"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02" w:type="pct"/>
            <w:tcBorders>
              <w:bottom w:val="single" w:sz="4" w:space="0" w:color="auto"/>
              <w:right w:val="single" w:sz="8"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51F1E" w:rsidRPr="00752FB2" w:rsidTr="00851F1E">
        <w:tc>
          <w:tcPr>
            <w:tcW w:w="101" w:type="pct"/>
            <w:tcBorders>
              <w:left w:val="single" w:sz="8" w:space="0" w:color="auto"/>
              <w:bottom w:val="single" w:sz="8" w:space="0" w:color="auto"/>
            </w:tcBorders>
            <w:vAlign w:val="center"/>
          </w:tcPr>
          <w:p w:rsidR="00B17845" w:rsidRPr="00F74414" w:rsidRDefault="00B17845" w:rsidP="00B17845">
            <w:pPr>
              <w:jc w:val="center"/>
              <w:rPr>
                <w:rFonts w:ascii="Arial Narrow" w:hAnsi="Arial Narrow"/>
                <w:b/>
                <w:sz w:val="20"/>
                <w:szCs w:val="20"/>
              </w:rPr>
            </w:pPr>
            <w:r w:rsidRPr="00F74414">
              <w:rPr>
                <w:rFonts w:ascii="Arial Narrow" w:hAnsi="Arial Narrow"/>
                <w:b/>
                <w:sz w:val="20"/>
                <w:szCs w:val="20"/>
              </w:rPr>
              <w:t>C</w:t>
            </w:r>
          </w:p>
        </w:tc>
        <w:tc>
          <w:tcPr>
            <w:tcW w:w="2369" w:type="pct"/>
            <w:tcBorders>
              <w:bottom w:val="single" w:sz="8" w:space="0" w:color="auto"/>
            </w:tcBorders>
          </w:tcPr>
          <w:p w:rsidR="00B17845" w:rsidRPr="001D10B1" w:rsidRDefault="00B17845" w:rsidP="000546F6">
            <w:pPr>
              <w:rPr>
                <w:rFonts w:ascii="Arial Narrow" w:hAnsi="Arial Narrow"/>
                <w:sz w:val="20"/>
                <w:szCs w:val="20"/>
                <w:vertAlign w:val="superscript"/>
              </w:rPr>
            </w:pPr>
            <w:r w:rsidRPr="00752FB2">
              <w:rPr>
                <w:rFonts w:ascii="Arial Narrow" w:hAnsi="Arial Narrow"/>
                <w:sz w:val="20"/>
                <w:szCs w:val="20"/>
              </w:rPr>
              <w:t>New first-line pembrolizumab population</w:t>
            </w:r>
            <w:r>
              <w:rPr>
                <w:rFonts w:ascii="Arial Narrow" w:hAnsi="Arial Narrow"/>
                <w:sz w:val="20"/>
                <w:szCs w:val="20"/>
                <w:vertAlign w:val="superscript"/>
              </w:rPr>
              <w:t>b</w:t>
            </w:r>
          </w:p>
        </w:tc>
        <w:tc>
          <w:tcPr>
            <w:tcW w:w="306" w:type="pct"/>
            <w:tcBorders>
              <w:bottom w:val="single" w:sz="8" w:space="0" w:color="auto"/>
            </w:tcBorders>
            <w:vAlign w:val="center"/>
          </w:tcPr>
          <w:p w:rsidR="00B17845" w:rsidRPr="00655231" w:rsidRDefault="00B17845" w:rsidP="000546F6">
            <w:pPr>
              <w:jc w:val="center"/>
              <w:rPr>
                <w:rFonts w:ascii="Arial Narrow" w:hAnsi="Arial Narrow"/>
                <w:sz w:val="20"/>
                <w:szCs w:val="20"/>
              </w:rPr>
            </w:pPr>
            <w:r w:rsidRPr="00655231">
              <w:rPr>
                <w:rFonts w:ascii="Arial Narrow" w:hAnsi="Arial Narrow"/>
                <w:sz w:val="20"/>
                <w:szCs w:val="20"/>
              </w:rPr>
              <w:t>–</w:t>
            </w:r>
          </w:p>
        </w:tc>
        <w:tc>
          <w:tcPr>
            <w:tcW w:w="384" w:type="pct"/>
            <w:tcBorders>
              <w:bottom w:val="single" w:sz="8"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384" w:type="pct"/>
            <w:tcBorders>
              <w:bottom w:val="single" w:sz="8"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385" w:type="pct"/>
            <w:tcBorders>
              <w:bottom w:val="single" w:sz="8"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384" w:type="pct"/>
            <w:tcBorders>
              <w:bottom w:val="single" w:sz="8"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385" w:type="pct"/>
            <w:tcBorders>
              <w:bottom w:val="single" w:sz="8"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302" w:type="pct"/>
            <w:tcBorders>
              <w:bottom w:val="single" w:sz="8" w:space="0" w:color="auto"/>
              <w:right w:val="single" w:sz="8"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cs="Arial"/>
                <w:noProof/>
                <w:color w:val="000000"/>
                <w:sz w:val="20"/>
                <w:szCs w:val="20"/>
                <w:highlight w:val="black"/>
              </w:rPr>
              <w:t>'''''''''</w:t>
            </w:r>
          </w:p>
        </w:tc>
      </w:tr>
      <w:tr w:rsidR="00851F1E" w:rsidRPr="00752FB2" w:rsidTr="00851F1E">
        <w:tc>
          <w:tcPr>
            <w:tcW w:w="101" w:type="pct"/>
            <w:tcBorders>
              <w:top w:val="single" w:sz="8" w:space="0" w:color="auto"/>
              <w:left w:val="single" w:sz="8" w:space="0" w:color="auto"/>
              <w:bottom w:val="thinThickSmallGap" w:sz="12" w:space="0" w:color="auto"/>
            </w:tcBorders>
            <w:vAlign w:val="center"/>
          </w:tcPr>
          <w:p w:rsidR="00B17845" w:rsidRPr="00F74414" w:rsidRDefault="00B17845" w:rsidP="00B17845">
            <w:pPr>
              <w:jc w:val="center"/>
              <w:rPr>
                <w:rFonts w:ascii="Arial Narrow" w:hAnsi="Arial Narrow"/>
                <w:b/>
                <w:sz w:val="20"/>
                <w:szCs w:val="20"/>
              </w:rPr>
            </w:pPr>
            <w:r w:rsidRPr="00F74414">
              <w:rPr>
                <w:rFonts w:ascii="Arial Narrow" w:hAnsi="Arial Narrow"/>
                <w:b/>
                <w:sz w:val="20"/>
                <w:szCs w:val="20"/>
              </w:rPr>
              <w:t>D</w:t>
            </w:r>
          </w:p>
        </w:tc>
        <w:tc>
          <w:tcPr>
            <w:tcW w:w="2369" w:type="pct"/>
            <w:tcBorders>
              <w:top w:val="single" w:sz="8" w:space="0" w:color="auto"/>
              <w:bottom w:val="thinThickSmallGap" w:sz="12" w:space="0" w:color="auto"/>
            </w:tcBorders>
          </w:tcPr>
          <w:p w:rsidR="00B17845" w:rsidRPr="00752FB2" w:rsidRDefault="00851F1E" w:rsidP="000546F6">
            <w:pPr>
              <w:rPr>
                <w:rFonts w:ascii="Arial Narrow" w:hAnsi="Arial Narrow"/>
                <w:sz w:val="20"/>
                <w:szCs w:val="20"/>
              </w:rPr>
            </w:pPr>
            <w:r>
              <w:rPr>
                <w:rFonts w:ascii="Arial Narrow" w:hAnsi="Arial Narrow"/>
                <w:sz w:val="20"/>
                <w:szCs w:val="20"/>
              </w:rPr>
              <w:t>Total</w:t>
            </w:r>
          </w:p>
        </w:tc>
        <w:tc>
          <w:tcPr>
            <w:tcW w:w="306" w:type="pct"/>
            <w:tcBorders>
              <w:top w:val="single" w:sz="8" w:space="0" w:color="auto"/>
              <w:bottom w:val="thinThickSmallGap" w:sz="12" w:space="0" w:color="auto"/>
            </w:tcBorders>
            <w:vAlign w:val="center"/>
          </w:tcPr>
          <w:p w:rsidR="00B17845" w:rsidRPr="00655231" w:rsidRDefault="00B17845" w:rsidP="000546F6">
            <w:pPr>
              <w:jc w:val="center"/>
              <w:rPr>
                <w:rFonts w:ascii="Arial Narrow" w:hAnsi="Arial Narrow"/>
                <w:sz w:val="20"/>
                <w:szCs w:val="20"/>
              </w:rPr>
            </w:pPr>
            <w:r w:rsidRPr="00655231">
              <w:rPr>
                <w:rFonts w:ascii="Arial Narrow" w:hAnsi="Arial Narrow"/>
                <w:sz w:val="20"/>
                <w:szCs w:val="20"/>
              </w:rPr>
              <w:t>–</w:t>
            </w:r>
          </w:p>
        </w:tc>
        <w:tc>
          <w:tcPr>
            <w:tcW w:w="384" w:type="pct"/>
            <w:tcBorders>
              <w:top w:val="single" w:sz="8" w:space="0" w:color="auto"/>
              <w:bottom w:val="thinThickSmallGap" w:sz="12" w:space="0" w:color="auto"/>
            </w:tcBorders>
            <w:vAlign w:val="center"/>
          </w:tcPr>
          <w:p w:rsidR="00B17845" w:rsidRPr="00E964DA" w:rsidRDefault="00E964DA" w:rsidP="000546F6">
            <w:pPr>
              <w:jc w:val="center"/>
              <w:rPr>
                <w:rFonts w:ascii="Arial Narrow" w:hAnsi="Arial Narrow"/>
                <w:sz w:val="20"/>
                <w:szCs w:val="20"/>
                <w:highlight w:val="black"/>
                <w:vertAlign w:val="superscript"/>
              </w:rPr>
            </w:pPr>
            <w:r>
              <w:rPr>
                <w:rFonts w:ascii="Arial Narrow" w:hAnsi="Arial Narrow" w:cs="Arial"/>
                <w:noProof/>
                <w:color w:val="000000"/>
                <w:sz w:val="20"/>
                <w:szCs w:val="20"/>
                <w:highlight w:val="black"/>
              </w:rPr>
              <w:t>'''''''''''''''''</w:t>
            </w:r>
          </w:p>
        </w:tc>
        <w:tc>
          <w:tcPr>
            <w:tcW w:w="384" w:type="pct"/>
            <w:tcBorders>
              <w:top w:val="single" w:sz="8" w:space="0" w:color="auto"/>
              <w:bottom w:val="thinThickSmallGap" w:sz="12"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385" w:type="pct"/>
            <w:tcBorders>
              <w:top w:val="single" w:sz="8" w:space="0" w:color="auto"/>
              <w:bottom w:val="thinThickSmallGap" w:sz="12"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384" w:type="pct"/>
            <w:tcBorders>
              <w:top w:val="single" w:sz="8" w:space="0" w:color="auto"/>
              <w:bottom w:val="thinThickSmallGap" w:sz="12"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385" w:type="pct"/>
            <w:tcBorders>
              <w:top w:val="single" w:sz="8" w:space="0" w:color="auto"/>
              <w:bottom w:val="thinThickSmallGap" w:sz="12"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302" w:type="pct"/>
            <w:tcBorders>
              <w:top w:val="single" w:sz="8" w:space="0" w:color="auto"/>
              <w:bottom w:val="thinThickSmallGap" w:sz="12" w:space="0" w:color="auto"/>
              <w:right w:val="single" w:sz="8"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cs="Arial"/>
                <w:noProof/>
                <w:color w:val="000000"/>
                <w:sz w:val="20"/>
                <w:szCs w:val="20"/>
                <w:highlight w:val="black"/>
              </w:rPr>
              <w:t>''''''''''''</w:t>
            </w:r>
          </w:p>
        </w:tc>
      </w:tr>
      <w:tr w:rsidR="00B17845" w:rsidRPr="00752FB2" w:rsidTr="00851F1E">
        <w:tc>
          <w:tcPr>
            <w:tcW w:w="101" w:type="pct"/>
            <w:tcBorders>
              <w:top w:val="thinThickSmallGap" w:sz="12" w:space="0" w:color="auto"/>
              <w:left w:val="single" w:sz="8" w:space="0" w:color="auto"/>
            </w:tcBorders>
            <w:vAlign w:val="center"/>
          </w:tcPr>
          <w:p w:rsidR="00B17845" w:rsidRPr="00F74414" w:rsidRDefault="00B17845" w:rsidP="00B17845">
            <w:pPr>
              <w:jc w:val="center"/>
              <w:rPr>
                <w:rFonts w:ascii="Arial Narrow" w:hAnsi="Arial Narrow"/>
                <w:b/>
                <w:sz w:val="20"/>
                <w:szCs w:val="20"/>
              </w:rPr>
            </w:pPr>
          </w:p>
        </w:tc>
        <w:tc>
          <w:tcPr>
            <w:tcW w:w="4899" w:type="pct"/>
            <w:gridSpan w:val="8"/>
            <w:tcBorders>
              <w:top w:val="thinThickSmallGap" w:sz="12" w:space="0" w:color="auto"/>
              <w:right w:val="single" w:sz="8" w:space="0" w:color="auto"/>
            </w:tcBorders>
          </w:tcPr>
          <w:p w:rsidR="00B17845" w:rsidRPr="00655231" w:rsidRDefault="00B17845" w:rsidP="000546F6">
            <w:pPr>
              <w:rPr>
                <w:rFonts w:ascii="Arial Narrow" w:hAnsi="Arial Narrow" w:cs="Arial"/>
                <w:sz w:val="20"/>
                <w:szCs w:val="20"/>
              </w:rPr>
            </w:pPr>
            <w:r w:rsidRPr="00655231">
              <w:rPr>
                <w:rFonts w:ascii="Arial Narrow" w:hAnsi="Arial Narrow"/>
                <w:b/>
                <w:sz w:val="20"/>
                <w:szCs w:val="20"/>
              </w:rPr>
              <w:t>Comparison of the minor resubmission’s assumptions with the nivolumab population as per the deed</w:t>
            </w:r>
          </w:p>
        </w:tc>
      </w:tr>
      <w:tr w:rsidR="00851F1E" w:rsidRPr="00752FB2" w:rsidTr="00655231">
        <w:tc>
          <w:tcPr>
            <w:tcW w:w="101" w:type="pct"/>
            <w:tcBorders>
              <w:left w:val="single" w:sz="8" w:space="0" w:color="auto"/>
            </w:tcBorders>
            <w:vAlign w:val="center"/>
          </w:tcPr>
          <w:p w:rsidR="00B17845" w:rsidRPr="00F74414" w:rsidRDefault="00B17845" w:rsidP="00B17845">
            <w:pPr>
              <w:jc w:val="center"/>
              <w:rPr>
                <w:rFonts w:ascii="Arial Narrow" w:hAnsi="Arial Narrow"/>
                <w:b/>
                <w:sz w:val="20"/>
                <w:szCs w:val="20"/>
              </w:rPr>
            </w:pPr>
            <w:r w:rsidRPr="00F74414">
              <w:rPr>
                <w:rFonts w:ascii="Arial Narrow" w:hAnsi="Arial Narrow"/>
                <w:b/>
                <w:sz w:val="20"/>
                <w:szCs w:val="20"/>
              </w:rPr>
              <w:t>E</w:t>
            </w:r>
          </w:p>
        </w:tc>
        <w:tc>
          <w:tcPr>
            <w:tcW w:w="2369" w:type="pct"/>
          </w:tcPr>
          <w:p w:rsidR="00B17845" w:rsidRPr="001D10B1" w:rsidRDefault="00851F1E" w:rsidP="00851F1E">
            <w:pPr>
              <w:rPr>
                <w:rFonts w:ascii="Arial Narrow" w:hAnsi="Arial Narrow"/>
                <w:sz w:val="20"/>
                <w:szCs w:val="20"/>
                <w:vertAlign w:val="superscript"/>
              </w:rPr>
            </w:pPr>
            <w:r>
              <w:rPr>
                <w:rFonts w:ascii="Arial Narrow" w:hAnsi="Arial Narrow"/>
                <w:sz w:val="20"/>
                <w:szCs w:val="20"/>
              </w:rPr>
              <w:t>Minor resubmission’s estimate of p</w:t>
            </w:r>
            <w:r w:rsidR="00B17845" w:rsidRPr="00752FB2">
              <w:rPr>
                <w:rFonts w:ascii="Arial Narrow" w:hAnsi="Arial Narrow"/>
                <w:sz w:val="20"/>
                <w:szCs w:val="20"/>
              </w:rPr>
              <w:t>roportion of Stage IIIB/IV NSCLC eligible for pembro</w:t>
            </w:r>
            <w:r w:rsidR="00B17845">
              <w:rPr>
                <w:rFonts w:ascii="Arial Narrow" w:hAnsi="Arial Narrow"/>
                <w:sz w:val="20"/>
                <w:szCs w:val="20"/>
              </w:rPr>
              <w:t>lizumab</w:t>
            </w:r>
            <w:r w:rsidR="00B17845">
              <w:rPr>
                <w:rFonts w:ascii="Arial Narrow" w:hAnsi="Arial Narrow"/>
                <w:sz w:val="20"/>
                <w:szCs w:val="20"/>
                <w:vertAlign w:val="superscript"/>
              </w:rPr>
              <w:t>d</w:t>
            </w:r>
          </w:p>
        </w:tc>
        <w:tc>
          <w:tcPr>
            <w:tcW w:w="306" w:type="pct"/>
            <w:vAlign w:val="center"/>
          </w:tcPr>
          <w:p w:rsidR="00B17845" w:rsidRPr="00655231" w:rsidRDefault="00B17845" w:rsidP="000546F6">
            <w:pPr>
              <w:jc w:val="center"/>
              <w:rPr>
                <w:rFonts w:ascii="Arial Narrow" w:hAnsi="Arial Narrow"/>
                <w:sz w:val="20"/>
                <w:szCs w:val="20"/>
              </w:rPr>
            </w:pPr>
            <w:r w:rsidRPr="00655231">
              <w:rPr>
                <w:rFonts w:ascii="Arial Narrow" w:hAnsi="Arial Narrow"/>
                <w:sz w:val="20"/>
                <w:szCs w:val="20"/>
              </w:rPr>
              <w:t>–</w:t>
            </w:r>
          </w:p>
        </w:tc>
        <w:tc>
          <w:tcPr>
            <w:tcW w:w="384" w:type="pct"/>
            <w:vAlign w:val="center"/>
          </w:tcPr>
          <w:p w:rsidR="00B17845" w:rsidRPr="00655231" w:rsidRDefault="00B17845" w:rsidP="000546F6">
            <w:pPr>
              <w:jc w:val="center"/>
              <w:rPr>
                <w:rFonts w:ascii="Arial Narrow" w:hAnsi="Arial Narrow"/>
                <w:sz w:val="20"/>
                <w:szCs w:val="20"/>
              </w:rPr>
            </w:pPr>
            <w:r w:rsidRPr="00655231">
              <w:rPr>
                <w:rFonts w:ascii="Arial Narrow" w:hAnsi="Arial Narrow"/>
                <w:sz w:val="20"/>
                <w:szCs w:val="20"/>
              </w:rPr>
              <w:t>19.53%</w:t>
            </w:r>
          </w:p>
        </w:tc>
        <w:tc>
          <w:tcPr>
            <w:tcW w:w="384" w:type="pct"/>
            <w:vAlign w:val="center"/>
          </w:tcPr>
          <w:p w:rsidR="00B17845" w:rsidRPr="00655231" w:rsidRDefault="00B17845" w:rsidP="000546F6">
            <w:pPr>
              <w:jc w:val="center"/>
              <w:rPr>
                <w:rFonts w:ascii="Arial Narrow" w:hAnsi="Arial Narrow"/>
                <w:sz w:val="20"/>
                <w:szCs w:val="20"/>
              </w:rPr>
            </w:pPr>
            <w:r w:rsidRPr="00655231">
              <w:rPr>
                <w:rFonts w:ascii="Arial Narrow" w:hAnsi="Arial Narrow"/>
                <w:sz w:val="20"/>
                <w:szCs w:val="20"/>
              </w:rPr>
              <w:t>19.53%</w:t>
            </w:r>
          </w:p>
        </w:tc>
        <w:tc>
          <w:tcPr>
            <w:tcW w:w="383" w:type="pct"/>
            <w:vAlign w:val="center"/>
          </w:tcPr>
          <w:p w:rsidR="00B17845" w:rsidRPr="00655231" w:rsidRDefault="00B17845" w:rsidP="000546F6">
            <w:pPr>
              <w:jc w:val="center"/>
              <w:rPr>
                <w:rFonts w:ascii="Arial Narrow" w:hAnsi="Arial Narrow"/>
                <w:sz w:val="20"/>
                <w:szCs w:val="20"/>
              </w:rPr>
            </w:pPr>
            <w:r w:rsidRPr="00655231">
              <w:rPr>
                <w:rFonts w:ascii="Arial Narrow" w:hAnsi="Arial Narrow"/>
                <w:sz w:val="20"/>
                <w:szCs w:val="20"/>
              </w:rPr>
              <w:t>19.53%</w:t>
            </w:r>
          </w:p>
        </w:tc>
        <w:tc>
          <w:tcPr>
            <w:tcW w:w="386" w:type="pct"/>
            <w:vAlign w:val="center"/>
          </w:tcPr>
          <w:p w:rsidR="00B17845" w:rsidRPr="00655231" w:rsidRDefault="00B17845" w:rsidP="000546F6">
            <w:pPr>
              <w:jc w:val="center"/>
              <w:rPr>
                <w:rFonts w:ascii="Arial Narrow" w:hAnsi="Arial Narrow"/>
                <w:sz w:val="20"/>
                <w:szCs w:val="20"/>
              </w:rPr>
            </w:pPr>
            <w:r w:rsidRPr="00655231">
              <w:rPr>
                <w:rFonts w:ascii="Arial Narrow" w:hAnsi="Arial Narrow"/>
                <w:sz w:val="20"/>
                <w:szCs w:val="20"/>
              </w:rPr>
              <w:t>19.53%</w:t>
            </w:r>
          </w:p>
        </w:tc>
        <w:tc>
          <w:tcPr>
            <w:tcW w:w="385" w:type="pct"/>
            <w:vAlign w:val="center"/>
          </w:tcPr>
          <w:p w:rsidR="00B17845" w:rsidRPr="00655231" w:rsidRDefault="00B17845" w:rsidP="000546F6">
            <w:pPr>
              <w:jc w:val="center"/>
              <w:rPr>
                <w:rFonts w:ascii="Arial Narrow" w:hAnsi="Arial Narrow"/>
                <w:sz w:val="20"/>
                <w:szCs w:val="20"/>
              </w:rPr>
            </w:pPr>
            <w:r w:rsidRPr="00655231">
              <w:rPr>
                <w:rFonts w:ascii="Arial Narrow" w:hAnsi="Arial Narrow"/>
                <w:sz w:val="20"/>
                <w:szCs w:val="20"/>
              </w:rPr>
              <w:t>19.53%</w:t>
            </w:r>
          </w:p>
        </w:tc>
        <w:tc>
          <w:tcPr>
            <w:tcW w:w="302" w:type="pct"/>
            <w:tcBorders>
              <w:right w:val="single" w:sz="8" w:space="0" w:color="auto"/>
            </w:tcBorders>
            <w:vAlign w:val="center"/>
          </w:tcPr>
          <w:p w:rsidR="00B17845" w:rsidRPr="00752FB2" w:rsidRDefault="00B17845" w:rsidP="000546F6">
            <w:pPr>
              <w:jc w:val="center"/>
              <w:rPr>
                <w:rFonts w:ascii="Arial Narrow" w:hAnsi="Arial Narrow" w:cs="Arial"/>
                <w:sz w:val="20"/>
                <w:szCs w:val="20"/>
              </w:rPr>
            </w:pPr>
            <w:r w:rsidRPr="00752FB2">
              <w:rPr>
                <w:rFonts w:ascii="Arial Narrow" w:hAnsi="Arial Narrow"/>
                <w:sz w:val="20"/>
                <w:szCs w:val="20"/>
              </w:rPr>
              <w:t>–</w:t>
            </w:r>
          </w:p>
        </w:tc>
      </w:tr>
      <w:tr w:rsidR="00851F1E" w:rsidRPr="00752FB2" w:rsidTr="00655231">
        <w:tc>
          <w:tcPr>
            <w:tcW w:w="101" w:type="pct"/>
            <w:tcBorders>
              <w:left w:val="single" w:sz="8" w:space="0" w:color="auto"/>
            </w:tcBorders>
            <w:vAlign w:val="center"/>
          </w:tcPr>
          <w:p w:rsidR="00B17845" w:rsidRPr="00F74414" w:rsidRDefault="00B17845" w:rsidP="00B17845">
            <w:pPr>
              <w:jc w:val="center"/>
              <w:rPr>
                <w:rFonts w:ascii="Arial Narrow" w:hAnsi="Arial Narrow"/>
                <w:b/>
                <w:sz w:val="20"/>
                <w:szCs w:val="20"/>
              </w:rPr>
            </w:pPr>
            <w:r w:rsidRPr="00F74414">
              <w:rPr>
                <w:rFonts w:ascii="Arial Narrow" w:hAnsi="Arial Narrow"/>
                <w:b/>
                <w:sz w:val="20"/>
                <w:szCs w:val="20"/>
              </w:rPr>
              <w:t>F</w:t>
            </w:r>
          </w:p>
        </w:tc>
        <w:tc>
          <w:tcPr>
            <w:tcW w:w="2369" w:type="pct"/>
          </w:tcPr>
          <w:p w:rsidR="00B17845" w:rsidRPr="002B0CF2" w:rsidRDefault="00B17845" w:rsidP="000546F6">
            <w:pPr>
              <w:rPr>
                <w:rFonts w:ascii="Arial Narrow" w:hAnsi="Arial Narrow"/>
                <w:i/>
                <w:sz w:val="20"/>
                <w:szCs w:val="20"/>
              </w:rPr>
            </w:pPr>
            <w:r w:rsidRPr="002B0CF2">
              <w:rPr>
                <w:rFonts w:ascii="Arial Narrow" w:hAnsi="Arial Narrow"/>
                <w:i/>
                <w:sz w:val="20"/>
                <w:szCs w:val="20"/>
              </w:rPr>
              <w:t xml:space="preserve">Pembrolizumab patients with nivolumab offset applied / total nivolumab population </w:t>
            </w:r>
            <w:r w:rsidRPr="002B0CF2">
              <w:rPr>
                <w:rFonts w:ascii="Arial Narrow" w:hAnsi="Arial Narrow"/>
                <w:b/>
                <w:i/>
                <w:sz w:val="20"/>
                <w:szCs w:val="20"/>
              </w:rPr>
              <w:t>(B/A)</w:t>
            </w:r>
          </w:p>
        </w:tc>
        <w:tc>
          <w:tcPr>
            <w:tcW w:w="306" w:type="pct"/>
            <w:vAlign w:val="center"/>
          </w:tcPr>
          <w:p w:rsidR="00B17845" w:rsidRPr="00655231" w:rsidRDefault="00B17845" w:rsidP="000546F6">
            <w:pPr>
              <w:jc w:val="center"/>
              <w:rPr>
                <w:rFonts w:ascii="Arial Narrow" w:hAnsi="Arial Narrow"/>
                <w:sz w:val="20"/>
                <w:szCs w:val="20"/>
              </w:rPr>
            </w:pPr>
            <w:r w:rsidRPr="00655231">
              <w:rPr>
                <w:rFonts w:ascii="Arial Narrow" w:hAnsi="Arial Narrow"/>
                <w:sz w:val="20"/>
                <w:szCs w:val="20"/>
              </w:rPr>
              <w:t>–</w:t>
            </w:r>
          </w:p>
        </w:tc>
        <w:tc>
          <w:tcPr>
            <w:tcW w:w="384" w:type="pct"/>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4" w:type="pct"/>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3" w:type="pct"/>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6" w:type="pct"/>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5" w:type="pct"/>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02" w:type="pct"/>
            <w:tcBorders>
              <w:right w:val="single" w:sz="8" w:space="0" w:color="auto"/>
            </w:tcBorders>
            <w:vAlign w:val="center"/>
          </w:tcPr>
          <w:p w:rsidR="00B17845" w:rsidRPr="00752FB2" w:rsidRDefault="00B17845" w:rsidP="000546F6">
            <w:pPr>
              <w:jc w:val="center"/>
              <w:rPr>
                <w:rFonts w:ascii="Arial Narrow" w:hAnsi="Arial Narrow" w:cs="Arial"/>
                <w:sz w:val="20"/>
                <w:szCs w:val="20"/>
              </w:rPr>
            </w:pPr>
            <w:r w:rsidRPr="00752FB2">
              <w:rPr>
                <w:rFonts w:ascii="Arial Narrow" w:hAnsi="Arial Narrow"/>
                <w:sz w:val="20"/>
                <w:szCs w:val="20"/>
              </w:rPr>
              <w:t>–</w:t>
            </w:r>
          </w:p>
        </w:tc>
      </w:tr>
      <w:tr w:rsidR="00851F1E" w:rsidRPr="00752FB2" w:rsidTr="00655231">
        <w:tc>
          <w:tcPr>
            <w:tcW w:w="101" w:type="pct"/>
            <w:tcBorders>
              <w:left w:val="single" w:sz="8" w:space="0" w:color="auto"/>
            </w:tcBorders>
            <w:vAlign w:val="center"/>
          </w:tcPr>
          <w:p w:rsidR="00B17845" w:rsidRPr="00F74414" w:rsidRDefault="00B17845" w:rsidP="00B17845">
            <w:pPr>
              <w:jc w:val="center"/>
              <w:rPr>
                <w:rFonts w:ascii="Arial Narrow" w:hAnsi="Arial Narrow"/>
                <w:b/>
                <w:sz w:val="20"/>
                <w:szCs w:val="20"/>
              </w:rPr>
            </w:pPr>
            <w:r w:rsidRPr="00F74414">
              <w:rPr>
                <w:rFonts w:ascii="Arial Narrow" w:hAnsi="Arial Narrow"/>
                <w:b/>
                <w:sz w:val="20"/>
                <w:szCs w:val="20"/>
              </w:rPr>
              <w:t>G</w:t>
            </w:r>
          </w:p>
        </w:tc>
        <w:tc>
          <w:tcPr>
            <w:tcW w:w="2369" w:type="pct"/>
          </w:tcPr>
          <w:p w:rsidR="00B17845" w:rsidRPr="002B0CF2" w:rsidRDefault="00B17845" w:rsidP="000546F6">
            <w:pPr>
              <w:rPr>
                <w:rFonts w:ascii="Arial Narrow" w:hAnsi="Arial Narrow"/>
                <w:i/>
                <w:sz w:val="20"/>
                <w:szCs w:val="20"/>
              </w:rPr>
            </w:pPr>
            <w:r w:rsidRPr="002B0CF2">
              <w:rPr>
                <w:rFonts w:ascii="Arial Narrow" w:hAnsi="Arial Narrow"/>
                <w:i/>
                <w:sz w:val="20"/>
                <w:szCs w:val="20"/>
              </w:rPr>
              <w:t xml:space="preserve">New pembrolizumab patients/ total nivolumab population </w:t>
            </w:r>
            <w:r w:rsidRPr="002B0CF2">
              <w:rPr>
                <w:rFonts w:ascii="Arial Narrow" w:hAnsi="Arial Narrow"/>
                <w:b/>
                <w:i/>
                <w:sz w:val="20"/>
                <w:szCs w:val="20"/>
              </w:rPr>
              <w:t>(C/A)</w:t>
            </w:r>
          </w:p>
        </w:tc>
        <w:tc>
          <w:tcPr>
            <w:tcW w:w="306" w:type="pct"/>
            <w:vAlign w:val="center"/>
          </w:tcPr>
          <w:p w:rsidR="00B17845" w:rsidRPr="00655231" w:rsidRDefault="00B17845" w:rsidP="000546F6">
            <w:pPr>
              <w:jc w:val="center"/>
              <w:rPr>
                <w:rFonts w:ascii="Arial Narrow" w:hAnsi="Arial Narrow"/>
                <w:sz w:val="20"/>
                <w:szCs w:val="20"/>
              </w:rPr>
            </w:pPr>
            <w:r w:rsidRPr="00655231">
              <w:rPr>
                <w:rFonts w:ascii="Arial Narrow" w:hAnsi="Arial Narrow"/>
                <w:sz w:val="20"/>
                <w:szCs w:val="20"/>
              </w:rPr>
              <w:t>–</w:t>
            </w:r>
          </w:p>
        </w:tc>
        <w:tc>
          <w:tcPr>
            <w:tcW w:w="384" w:type="pct"/>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4" w:type="pct"/>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3" w:type="pct"/>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6" w:type="pct"/>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5" w:type="pct"/>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02" w:type="pct"/>
            <w:tcBorders>
              <w:right w:val="single" w:sz="8" w:space="0" w:color="auto"/>
            </w:tcBorders>
            <w:vAlign w:val="center"/>
          </w:tcPr>
          <w:p w:rsidR="00B17845" w:rsidRPr="00752FB2" w:rsidRDefault="00B17845" w:rsidP="000546F6">
            <w:pPr>
              <w:jc w:val="center"/>
              <w:rPr>
                <w:rFonts w:ascii="Arial Narrow" w:hAnsi="Arial Narrow" w:cs="Arial"/>
                <w:sz w:val="20"/>
                <w:szCs w:val="20"/>
              </w:rPr>
            </w:pPr>
            <w:r w:rsidRPr="00752FB2">
              <w:rPr>
                <w:rFonts w:ascii="Arial Narrow" w:hAnsi="Arial Narrow"/>
                <w:sz w:val="20"/>
                <w:szCs w:val="20"/>
              </w:rPr>
              <w:t>–</w:t>
            </w:r>
          </w:p>
        </w:tc>
      </w:tr>
      <w:tr w:rsidR="00851F1E" w:rsidRPr="00752FB2" w:rsidTr="00655231">
        <w:tc>
          <w:tcPr>
            <w:tcW w:w="101" w:type="pct"/>
            <w:tcBorders>
              <w:left w:val="single" w:sz="8" w:space="0" w:color="auto"/>
            </w:tcBorders>
            <w:vAlign w:val="center"/>
          </w:tcPr>
          <w:p w:rsidR="00B17845" w:rsidRPr="00F74414" w:rsidRDefault="00B17845" w:rsidP="00B17845">
            <w:pPr>
              <w:jc w:val="center"/>
              <w:rPr>
                <w:rFonts w:ascii="Arial Narrow" w:hAnsi="Arial Narrow"/>
                <w:b/>
                <w:sz w:val="20"/>
                <w:szCs w:val="20"/>
              </w:rPr>
            </w:pPr>
            <w:r w:rsidRPr="00F74414">
              <w:rPr>
                <w:rFonts w:ascii="Arial Narrow" w:hAnsi="Arial Narrow"/>
                <w:b/>
                <w:sz w:val="20"/>
                <w:szCs w:val="20"/>
              </w:rPr>
              <w:t>H</w:t>
            </w:r>
          </w:p>
        </w:tc>
        <w:tc>
          <w:tcPr>
            <w:tcW w:w="2369" w:type="pct"/>
          </w:tcPr>
          <w:p w:rsidR="00B17845" w:rsidRPr="002B0CF2" w:rsidRDefault="00B17845" w:rsidP="002B0CF2">
            <w:pPr>
              <w:rPr>
                <w:rFonts w:ascii="Arial Narrow" w:hAnsi="Arial Narrow"/>
                <w:i/>
                <w:sz w:val="20"/>
                <w:szCs w:val="20"/>
              </w:rPr>
            </w:pPr>
            <w:r w:rsidRPr="002B0CF2">
              <w:rPr>
                <w:rFonts w:ascii="Arial Narrow" w:hAnsi="Arial Narrow"/>
                <w:i/>
                <w:sz w:val="20"/>
                <w:szCs w:val="20"/>
              </w:rPr>
              <w:t xml:space="preserve">Extension of Stage IIIB/IV NSCLC population beyond the nivolumab market </w:t>
            </w:r>
            <w:r w:rsidRPr="002B0CF2">
              <w:rPr>
                <w:rFonts w:ascii="Arial Narrow" w:hAnsi="Arial Narrow"/>
                <w:b/>
                <w:i/>
                <w:sz w:val="20"/>
                <w:szCs w:val="20"/>
              </w:rPr>
              <w:t>(C/E)</w:t>
            </w:r>
          </w:p>
        </w:tc>
        <w:tc>
          <w:tcPr>
            <w:tcW w:w="306" w:type="pct"/>
            <w:vAlign w:val="center"/>
          </w:tcPr>
          <w:p w:rsidR="00B17845" w:rsidRPr="00655231" w:rsidRDefault="00B17845" w:rsidP="000546F6">
            <w:pPr>
              <w:jc w:val="center"/>
              <w:rPr>
                <w:rFonts w:ascii="Arial Narrow" w:hAnsi="Arial Narrow"/>
                <w:sz w:val="20"/>
                <w:szCs w:val="20"/>
              </w:rPr>
            </w:pPr>
            <w:r w:rsidRPr="00655231">
              <w:rPr>
                <w:rFonts w:ascii="Arial Narrow" w:hAnsi="Arial Narrow"/>
                <w:sz w:val="20"/>
                <w:szCs w:val="20"/>
              </w:rPr>
              <w:t>–</w:t>
            </w:r>
          </w:p>
        </w:tc>
        <w:tc>
          <w:tcPr>
            <w:tcW w:w="384" w:type="pct"/>
            <w:vAlign w:val="center"/>
          </w:tcPr>
          <w:p w:rsidR="00B17845" w:rsidRPr="00E964DA" w:rsidRDefault="00E964DA"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4" w:type="pct"/>
            <w:vAlign w:val="center"/>
          </w:tcPr>
          <w:p w:rsidR="00B17845" w:rsidRPr="00E964DA" w:rsidRDefault="00E964DA"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3" w:type="pct"/>
            <w:vAlign w:val="center"/>
          </w:tcPr>
          <w:p w:rsidR="00B17845" w:rsidRPr="00E964DA" w:rsidRDefault="00E964DA"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6" w:type="pct"/>
            <w:vAlign w:val="center"/>
          </w:tcPr>
          <w:p w:rsidR="00B17845" w:rsidRPr="00E964DA" w:rsidRDefault="00E964DA"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5" w:type="pct"/>
            <w:vAlign w:val="center"/>
          </w:tcPr>
          <w:p w:rsidR="00B17845" w:rsidRPr="00E964DA" w:rsidRDefault="00E964DA"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02" w:type="pct"/>
            <w:tcBorders>
              <w:right w:val="single" w:sz="8" w:space="0" w:color="auto"/>
            </w:tcBorders>
            <w:vAlign w:val="center"/>
          </w:tcPr>
          <w:p w:rsidR="00B17845" w:rsidRPr="00752FB2" w:rsidRDefault="00B17845" w:rsidP="000546F6">
            <w:pPr>
              <w:jc w:val="center"/>
              <w:rPr>
                <w:rFonts w:ascii="Arial Narrow" w:hAnsi="Arial Narrow" w:cs="Arial"/>
                <w:sz w:val="20"/>
                <w:szCs w:val="20"/>
              </w:rPr>
            </w:pPr>
            <w:r w:rsidRPr="00752FB2">
              <w:rPr>
                <w:rFonts w:ascii="Arial Narrow" w:hAnsi="Arial Narrow"/>
                <w:sz w:val="20"/>
                <w:szCs w:val="20"/>
              </w:rPr>
              <w:t>–</w:t>
            </w:r>
          </w:p>
        </w:tc>
      </w:tr>
      <w:tr w:rsidR="00851F1E" w:rsidRPr="00752FB2" w:rsidTr="00655231">
        <w:tc>
          <w:tcPr>
            <w:tcW w:w="101" w:type="pct"/>
            <w:tcBorders>
              <w:left w:val="single" w:sz="8" w:space="0" w:color="auto"/>
              <w:bottom w:val="single" w:sz="4" w:space="0" w:color="auto"/>
            </w:tcBorders>
            <w:vAlign w:val="center"/>
          </w:tcPr>
          <w:p w:rsidR="00B17845" w:rsidRPr="00F74414" w:rsidRDefault="00B17845" w:rsidP="00B17845">
            <w:pPr>
              <w:jc w:val="center"/>
              <w:rPr>
                <w:rFonts w:ascii="Arial Narrow" w:hAnsi="Arial Narrow"/>
                <w:b/>
                <w:sz w:val="20"/>
                <w:szCs w:val="20"/>
              </w:rPr>
            </w:pPr>
            <w:r>
              <w:rPr>
                <w:rFonts w:ascii="Arial Narrow" w:hAnsi="Arial Narrow"/>
                <w:b/>
                <w:sz w:val="20"/>
                <w:szCs w:val="20"/>
              </w:rPr>
              <w:t>I</w:t>
            </w:r>
          </w:p>
        </w:tc>
        <w:tc>
          <w:tcPr>
            <w:tcW w:w="2369" w:type="pct"/>
            <w:tcBorders>
              <w:bottom w:val="single" w:sz="4" w:space="0" w:color="auto"/>
            </w:tcBorders>
          </w:tcPr>
          <w:p w:rsidR="00B17845" w:rsidRPr="002B0CF2" w:rsidRDefault="00D30FD9" w:rsidP="00D30FD9">
            <w:pPr>
              <w:rPr>
                <w:rFonts w:ascii="Arial Narrow" w:hAnsi="Arial Narrow"/>
                <w:i/>
                <w:sz w:val="20"/>
                <w:szCs w:val="20"/>
              </w:rPr>
            </w:pPr>
            <w:r>
              <w:rPr>
                <w:rFonts w:ascii="Arial Narrow" w:hAnsi="Arial Narrow"/>
                <w:i/>
                <w:sz w:val="20"/>
                <w:szCs w:val="20"/>
              </w:rPr>
              <w:t>Derived o</w:t>
            </w:r>
            <w:r w:rsidR="00B17845" w:rsidRPr="002B0CF2">
              <w:rPr>
                <w:rFonts w:ascii="Arial Narrow" w:hAnsi="Arial Narrow"/>
                <w:i/>
                <w:sz w:val="20"/>
                <w:szCs w:val="20"/>
              </w:rPr>
              <w:t xml:space="preserve">verall eligible population </w:t>
            </w:r>
            <w:r w:rsidR="00B17845" w:rsidRPr="002B0CF2">
              <w:rPr>
                <w:rFonts w:ascii="Arial Narrow" w:hAnsi="Arial Narrow"/>
                <w:b/>
                <w:i/>
                <w:sz w:val="20"/>
                <w:szCs w:val="20"/>
              </w:rPr>
              <w:t>(A + H)</w:t>
            </w:r>
          </w:p>
        </w:tc>
        <w:tc>
          <w:tcPr>
            <w:tcW w:w="306" w:type="pct"/>
            <w:tcBorders>
              <w:bottom w:val="single" w:sz="4" w:space="0" w:color="auto"/>
            </w:tcBorders>
            <w:vAlign w:val="center"/>
          </w:tcPr>
          <w:p w:rsidR="00B17845" w:rsidRPr="00655231" w:rsidRDefault="00B17845" w:rsidP="000546F6">
            <w:pPr>
              <w:jc w:val="center"/>
              <w:rPr>
                <w:rFonts w:ascii="Arial Narrow" w:hAnsi="Arial Narrow"/>
                <w:sz w:val="20"/>
                <w:szCs w:val="20"/>
              </w:rPr>
            </w:pPr>
            <w:r w:rsidRPr="00655231">
              <w:rPr>
                <w:rFonts w:ascii="Arial Narrow" w:hAnsi="Arial Narrow"/>
                <w:sz w:val="20"/>
                <w:szCs w:val="20"/>
              </w:rPr>
              <w:t>–</w:t>
            </w:r>
          </w:p>
        </w:tc>
        <w:tc>
          <w:tcPr>
            <w:tcW w:w="384" w:type="pct"/>
            <w:tcBorders>
              <w:bottom w:val="single" w:sz="4"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4" w:type="pct"/>
            <w:tcBorders>
              <w:bottom w:val="single" w:sz="4"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3" w:type="pct"/>
            <w:tcBorders>
              <w:bottom w:val="single" w:sz="4"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6" w:type="pct"/>
            <w:tcBorders>
              <w:bottom w:val="single" w:sz="4"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85" w:type="pct"/>
            <w:tcBorders>
              <w:bottom w:val="single" w:sz="4" w:space="0" w:color="auto"/>
            </w:tcBorders>
            <w:vAlign w:val="center"/>
          </w:tcPr>
          <w:p w:rsidR="00B17845" w:rsidRPr="00660757" w:rsidRDefault="00660757" w:rsidP="000546F6">
            <w:pPr>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302" w:type="pct"/>
            <w:tcBorders>
              <w:bottom w:val="single" w:sz="4" w:space="0" w:color="auto"/>
              <w:right w:val="single" w:sz="8" w:space="0" w:color="auto"/>
            </w:tcBorders>
            <w:vAlign w:val="center"/>
          </w:tcPr>
          <w:p w:rsidR="00B17845" w:rsidRPr="00752FB2" w:rsidRDefault="00B17845" w:rsidP="000546F6">
            <w:pPr>
              <w:jc w:val="center"/>
              <w:rPr>
                <w:rFonts w:ascii="Arial Narrow" w:hAnsi="Arial Narrow" w:cs="Arial"/>
                <w:sz w:val="20"/>
                <w:szCs w:val="20"/>
              </w:rPr>
            </w:pPr>
            <w:r w:rsidRPr="00752FB2">
              <w:rPr>
                <w:rFonts w:ascii="Arial Narrow" w:hAnsi="Arial Narrow"/>
                <w:sz w:val="20"/>
                <w:szCs w:val="20"/>
              </w:rPr>
              <w:t>–</w:t>
            </w:r>
          </w:p>
        </w:tc>
      </w:tr>
      <w:tr w:rsidR="00851F1E" w:rsidRPr="00752FB2" w:rsidTr="00655231">
        <w:tc>
          <w:tcPr>
            <w:tcW w:w="101" w:type="pct"/>
            <w:tcBorders>
              <w:left w:val="single" w:sz="8" w:space="0" w:color="auto"/>
              <w:bottom w:val="single" w:sz="8" w:space="0" w:color="auto"/>
            </w:tcBorders>
            <w:vAlign w:val="center"/>
          </w:tcPr>
          <w:p w:rsidR="00B17845" w:rsidRPr="00F74414" w:rsidRDefault="00B17845" w:rsidP="00B17845">
            <w:pPr>
              <w:jc w:val="center"/>
              <w:rPr>
                <w:rFonts w:ascii="Arial Narrow" w:hAnsi="Arial Narrow"/>
                <w:b/>
                <w:sz w:val="20"/>
                <w:szCs w:val="20"/>
              </w:rPr>
            </w:pPr>
            <w:r>
              <w:rPr>
                <w:rFonts w:ascii="Arial Narrow" w:hAnsi="Arial Narrow"/>
                <w:b/>
                <w:sz w:val="20"/>
                <w:szCs w:val="20"/>
              </w:rPr>
              <w:t>J</w:t>
            </w:r>
          </w:p>
        </w:tc>
        <w:tc>
          <w:tcPr>
            <w:tcW w:w="2369" w:type="pct"/>
            <w:tcBorders>
              <w:bottom w:val="single" w:sz="8" w:space="0" w:color="auto"/>
            </w:tcBorders>
          </w:tcPr>
          <w:p w:rsidR="00B17845" w:rsidRPr="00761034" w:rsidRDefault="00D30FD9" w:rsidP="00D30FD9">
            <w:pPr>
              <w:rPr>
                <w:rFonts w:ascii="Arial Narrow" w:hAnsi="Arial Narrow"/>
                <w:sz w:val="20"/>
                <w:szCs w:val="20"/>
                <w:vertAlign w:val="superscript"/>
              </w:rPr>
            </w:pPr>
            <w:r>
              <w:rPr>
                <w:rFonts w:ascii="Arial Narrow" w:hAnsi="Arial Narrow"/>
                <w:sz w:val="20"/>
                <w:szCs w:val="20"/>
              </w:rPr>
              <w:t>Minor resubmission’s e</w:t>
            </w:r>
            <w:r w:rsidR="00B17845" w:rsidRPr="00752FB2">
              <w:rPr>
                <w:rFonts w:ascii="Arial Narrow" w:hAnsi="Arial Narrow"/>
                <w:sz w:val="20"/>
                <w:szCs w:val="20"/>
              </w:rPr>
              <w:t>stimate of patients with eligible disease</w:t>
            </w:r>
            <w:r w:rsidR="00B17845">
              <w:rPr>
                <w:rFonts w:ascii="Arial Narrow" w:hAnsi="Arial Narrow"/>
                <w:sz w:val="20"/>
                <w:szCs w:val="20"/>
                <w:vertAlign w:val="superscript"/>
              </w:rPr>
              <w:t>e</w:t>
            </w:r>
          </w:p>
        </w:tc>
        <w:tc>
          <w:tcPr>
            <w:tcW w:w="306" w:type="pct"/>
            <w:tcBorders>
              <w:bottom w:val="single" w:sz="8" w:space="0" w:color="auto"/>
            </w:tcBorders>
            <w:vAlign w:val="center"/>
          </w:tcPr>
          <w:p w:rsidR="00B17845" w:rsidRPr="00752FB2" w:rsidRDefault="00B17845" w:rsidP="000546F6">
            <w:pPr>
              <w:jc w:val="center"/>
              <w:rPr>
                <w:rFonts w:ascii="Arial Narrow" w:hAnsi="Arial Narrow"/>
                <w:sz w:val="20"/>
                <w:szCs w:val="20"/>
              </w:rPr>
            </w:pPr>
            <w:r w:rsidRPr="00752FB2">
              <w:rPr>
                <w:rFonts w:ascii="Arial Narrow" w:hAnsi="Arial Narrow"/>
                <w:sz w:val="20"/>
                <w:szCs w:val="20"/>
              </w:rPr>
              <w:t>–</w:t>
            </w:r>
          </w:p>
        </w:tc>
        <w:tc>
          <w:tcPr>
            <w:tcW w:w="384" w:type="pct"/>
            <w:tcBorders>
              <w:bottom w:val="single" w:sz="8"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4" w:type="pct"/>
            <w:tcBorders>
              <w:bottom w:val="single" w:sz="8"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3" w:type="pct"/>
            <w:tcBorders>
              <w:bottom w:val="single" w:sz="8"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6" w:type="pct"/>
            <w:tcBorders>
              <w:bottom w:val="single" w:sz="8"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85" w:type="pct"/>
            <w:tcBorders>
              <w:bottom w:val="single" w:sz="8" w:space="0" w:color="auto"/>
            </w:tcBorders>
            <w:vAlign w:val="center"/>
          </w:tcPr>
          <w:p w:rsidR="00B17845" w:rsidRPr="00E964DA" w:rsidRDefault="00E964DA" w:rsidP="000546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302" w:type="pct"/>
            <w:tcBorders>
              <w:bottom w:val="single" w:sz="8" w:space="0" w:color="auto"/>
              <w:right w:val="single" w:sz="8" w:space="0" w:color="auto"/>
            </w:tcBorders>
            <w:vAlign w:val="center"/>
          </w:tcPr>
          <w:p w:rsidR="00B17845" w:rsidRPr="00752FB2" w:rsidRDefault="00B17845" w:rsidP="000546F6">
            <w:pPr>
              <w:jc w:val="center"/>
              <w:rPr>
                <w:rFonts w:ascii="Arial Narrow" w:hAnsi="Arial Narrow" w:cs="Arial"/>
                <w:sz w:val="20"/>
                <w:szCs w:val="20"/>
              </w:rPr>
            </w:pPr>
            <w:r w:rsidRPr="00752FB2">
              <w:rPr>
                <w:rFonts w:ascii="Arial Narrow" w:hAnsi="Arial Narrow"/>
                <w:sz w:val="20"/>
                <w:szCs w:val="20"/>
              </w:rPr>
              <w:t>–</w:t>
            </w:r>
          </w:p>
        </w:tc>
      </w:tr>
    </w:tbl>
    <w:p w:rsidR="00B17845" w:rsidRPr="00F74414" w:rsidRDefault="00B17845" w:rsidP="00B17845">
      <w:pPr>
        <w:rPr>
          <w:rFonts w:ascii="Arial Narrow" w:hAnsi="Arial Narrow"/>
          <w:sz w:val="20"/>
          <w:szCs w:val="20"/>
        </w:rPr>
      </w:pPr>
      <w:r w:rsidRPr="00F74414">
        <w:rPr>
          <w:rFonts w:ascii="Arial Narrow" w:hAnsi="Arial Narrow"/>
          <w:sz w:val="20"/>
          <w:szCs w:val="20"/>
          <w:vertAlign w:val="superscript"/>
        </w:rPr>
        <w:t>a</w:t>
      </w:r>
      <w:r w:rsidRPr="00F74414">
        <w:rPr>
          <w:rFonts w:ascii="Arial Narrow" w:hAnsi="Arial Narrow"/>
          <w:sz w:val="20"/>
          <w:szCs w:val="20"/>
        </w:rPr>
        <w:t xml:space="preserve"> Row D of Table 4: 64.2% x patients who switch from first-lin</w:t>
      </w:r>
      <w:r w:rsidR="00DA7521">
        <w:rPr>
          <w:rFonts w:ascii="Arial Narrow" w:hAnsi="Arial Narrow"/>
          <w:sz w:val="20"/>
          <w:szCs w:val="20"/>
        </w:rPr>
        <w:t>e chemotherapy to pembrolizumab</w:t>
      </w:r>
    </w:p>
    <w:p w:rsidR="00B17845" w:rsidRPr="00F74414" w:rsidRDefault="00B17845" w:rsidP="00B17845">
      <w:pPr>
        <w:rPr>
          <w:rFonts w:ascii="Arial Narrow" w:hAnsi="Arial Narrow"/>
          <w:sz w:val="20"/>
          <w:szCs w:val="20"/>
        </w:rPr>
      </w:pPr>
      <w:r w:rsidRPr="00F74414">
        <w:rPr>
          <w:rFonts w:ascii="Arial Narrow" w:hAnsi="Arial Narrow"/>
          <w:sz w:val="20"/>
          <w:szCs w:val="20"/>
          <w:vertAlign w:val="superscript"/>
        </w:rPr>
        <w:t>b</w:t>
      </w:r>
      <w:r w:rsidRPr="00F74414">
        <w:rPr>
          <w:rFonts w:ascii="Arial Narrow" w:hAnsi="Arial Narrow"/>
          <w:sz w:val="20"/>
          <w:szCs w:val="20"/>
        </w:rPr>
        <w:t xml:space="preserve"> Row F of Table 4: incremental patients who are treated with pembrolizumab but who would not have had first-line chemotherapy + patients who would not have received second-line </w:t>
      </w:r>
      <w:r w:rsidR="00DA7521">
        <w:rPr>
          <w:rFonts w:ascii="Arial Narrow" w:hAnsi="Arial Narrow"/>
          <w:sz w:val="20"/>
          <w:szCs w:val="20"/>
        </w:rPr>
        <w:t>immunotherapy after progression</w:t>
      </w:r>
    </w:p>
    <w:p w:rsidR="00B17845" w:rsidRPr="00F74414" w:rsidRDefault="00B17845" w:rsidP="00B17845">
      <w:pPr>
        <w:rPr>
          <w:rFonts w:ascii="Arial Narrow" w:hAnsi="Arial Narrow"/>
          <w:sz w:val="20"/>
          <w:szCs w:val="20"/>
        </w:rPr>
      </w:pPr>
      <w:r w:rsidRPr="00F74414">
        <w:rPr>
          <w:rFonts w:ascii="Arial Narrow" w:hAnsi="Arial Narrow"/>
          <w:sz w:val="20"/>
          <w:szCs w:val="20"/>
          <w:vertAlign w:val="superscript"/>
        </w:rPr>
        <w:t>c</w:t>
      </w:r>
      <w:r w:rsidRPr="00F74414">
        <w:rPr>
          <w:rFonts w:ascii="Arial Narrow" w:hAnsi="Arial Narrow"/>
          <w:sz w:val="20"/>
          <w:szCs w:val="20"/>
        </w:rPr>
        <w:t xml:space="preserve"> </w:t>
      </w:r>
      <w:r w:rsidR="00E964DA">
        <w:rPr>
          <w:rFonts w:ascii="Arial Narrow" w:hAnsi="Arial Narrow"/>
          <w:noProof/>
          <w:color w:val="000000"/>
          <w:sz w:val="20"/>
          <w:szCs w:val="20"/>
          <w:highlight w:val="black"/>
        </w:rPr>
        <w:t>''''''''''''</w:t>
      </w:r>
      <w:r w:rsidRPr="00F74414">
        <w:rPr>
          <w:rFonts w:ascii="Arial Narrow" w:hAnsi="Arial Narrow"/>
          <w:sz w:val="20"/>
          <w:szCs w:val="20"/>
        </w:rPr>
        <w:t xml:space="preserve"> = B + C + </w:t>
      </w:r>
      <w:r w:rsidR="00E964DA">
        <w:rPr>
          <w:rFonts w:ascii="Arial Narrow" w:hAnsi="Arial Narrow"/>
          <w:noProof/>
          <w:color w:val="000000"/>
          <w:sz w:val="20"/>
          <w:szCs w:val="20"/>
          <w:highlight w:val="black"/>
        </w:rPr>
        <w:t>'''''''</w:t>
      </w:r>
      <w:r w:rsidRPr="00F74414">
        <w:rPr>
          <w:rFonts w:ascii="Arial Narrow" w:hAnsi="Arial Narrow"/>
          <w:sz w:val="20"/>
          <w:szCs w:val="20"/>
        </w:rPr>
        <w:t xml:space="preserve"> grandfathered patients (who are treated with pembrolizumab but who would not have had first-line chemotherapy)</w:t>
      </w:r>
    </w:p>
    <w:p w:rsidR="00B17845" w:rsidRPr="00F74414" w:rsidRDefault="00B17845" w:rsidP="00B17845">
      <w:pPr>
        <w:rPr>
          <w:rFonts w:ascii="Arial Narrow" w:hAnsi="Arial Narrow"/>
          <w:sz w:val="20"/>
          <w:szCs w:val="20"/>
        </w:rPr>
      </w:pPr>
      <w:r w:rsidRPr="00F74414">
        <w:rPr>
          <w:rFonts w:ascii="Arial Narrow" w:hAnsi="Arial Narrow"/>
          <w:sz w:val="20"/>
          <w:szCs w:val="20"/>
          <w:vertAlign w:val="superscript"/>
        </w:rPr>
        <w:t>d</w:t>
      </w:r>
      <w:r w:rsidRPr="00F74414">
        <w:rPr>
          <w:rFonts w:ascii="Arial Narrow" w:hAnsi="Arial Narrow"/>
          <w:sz w:val="20"/>
          <w:szCs w:val="20"/>
        </w:rPr>
        <w:t xml:space="preserve"> Minor resubmission’s estimate (Table 6, p14) of the proportion of the second-line nivolumab market that would be replaced by pembroli</w:t>
      </w:r>
      <w:r w:rsidR="00DA7521">
        <w:rPr>
          <w:rFonts w:ascii="Arial Narrow" w:hAnsi="Arial Narrow"/>
          <w:sz w:val="20"/>
          <w:szCs w:val="20"/>
        </w:rPr>
        <w:t>zumab in the first-line setting</w:t>
      </w:r>
    </w:p>
    <w:p w:rsidR="00B17845" w:rsidRDefault="00B17845" w:rsidP="00B17845">
      <w:pPr>
        <w:rPr>
          <w:rFonts w:ascii="Arial Narrow" w:hAnsi="Arial Narrow"/>
          <w:sz w:val="20"/>
          <w:szCs w:val="20"/>
        </w:rPr>
      </w:pPr>
      <w:r w:rsidRPr="00F74414">
        <w:rPr>
          <w:rFonts w:ascii="Arial Narrow" w:hAnsi="Arial Narrow"/>
          <w:sz w:val="20"/>
          <w:szCs w:val="20"/>
          <w:vertAlign w:val="superscript"/>
        </w:rPr>
        <w:t>e</w:t>
      </w:r>
      <w:r w:rsidRPr="00F74414">
        <w:rPr>
          <w:rFonts w:ascii="Arial Narrow" w:hAnsi="Arial Narrow"/>
          <w:sz w:val="20"/>
          <w:szCs w:val="20"/>
        </w:rPr>
        <w:t xml:space="preserve"> Based on the minor resubmission’s estimate of patients with advanced </w:t>
      </w:r>
      <w:r w:rsidR="002B0CF2">
        <w:rPr>
          <w:rFonts w:ascii="Arial Narrow" w:hAnsi="Arial Narrow"/>
          <w:sz w:val="20"/>
          <w:szCs w:val="20"/>
        </w:rPr>
        <w:t>(</w:t>
      </w:r>
      <w:r w:rsidR="002B0CF2" w:rsidRPr="00F74414">
        <w:rPr>
          <w:rFonts w:ascii="Arial Narrow" w:hAnsi="Arial Narrow"/>
          <w:sz w:val="20"/>
          <w:szCs w:val="20"/>
        </w:rPr>
        <w:t xml:space="preserve">stage </w:t>
      </w:r>
      <w:r w:rsidR="002B0CF2">
        <w:rPr>
          <w:rFonts w:ascii="Arial Narrow" w:hAnsi="Arial Narrow"/>
          <w:sz w:val="20"/>
          <w:szCs w:val="20"/>
        </w:rPr>
        <w:t>IIIB/</w:t>
      </w:r>
      <w:r w:rsidR="002B0CF2" w:rsidRPr="00F74414">
        <w:rPr>
          <w:rFonts w:ascii="Arial Narrow" w:hAnsi="Arial Narrow"/>
          <w:sz w:val="20"/>
          <w:szCs w:val="20"/>
        </w:rPr>
        <w:t>IV</w:t>
      </w:r>
      <w:r w:rsidR="002B0CF2">
        <w:rPr>
          <w:rFonts w:ascii="Arial Narrow" w:hAnsi="Arial Narrow"/>
          <w:sz w:val="20"/>
          <w:szCs w:val="20"/>
        </w:rPr>
        <w:t>)</w:t>
      </w:r>
      <w:r w:rsidR="002B0CF2" w:rsidRPr="00F74414">
        <w:rPr>
          <w:rFonts w:ascii="Arial Narrow" w:hAnsi="Arial Narrow"/>
          <w:sz w:val="20"/>
          <w:szCs w:val="20"/>
        </w:rPr>
        <w:t xml:space="preserve"> </w:t>
      </w:r>
      <w:r w:rsidRPr="00F74414">
        <w:rPr>
          <w:rFonts w:ascii="Arial Narrow" w:hAnsi="Arial Narrow"/>
          <w:sz w:val="20"/>
          <w:szCs w:val="20"/>
        </w:rPr>
        <w:t>NSCLC who are candidates for first-line treatment, “Background and assumptions” worksheet of the budget impact model accom</w:t>
      </w:r>
      <w:r w:rsidR="00DA7521">
        <w:rPr>
          <w:rFonts w:ascii="Arial Narrow" w:hAnsi="Arial Narrow"/>
          <w:sz w:val="20"/>
          <w:szCs w:val="20"/>
        </w:rPr>
        <w:t>panying the minor resubmission</w:t>
      </w:r>
    </w:p>
    <w:p w:rsidR="00385F57" w:rsidRPr="00385F57" w:rsidRDefault="00385F57" w:rsidP="00385F57">
      <w:pPr>
        <w:spacing w:before="120" w:after="160"/>
        <w:rPr>
          <w:rFonts w:asciiTheme="minorHAnsi" w:hAnsiTheme="minorHAnsi"/>
        </w:rPr>
      </w:pPr>
      <w:r>
        <w:rPr>
          <w:rFonts w:asciiTheme="minorHAnsi" w:hAnsiTheme="minorHAnsi"/>
        </w:rPr>
        <w:t>The redacted table shows estimated patient numbers of less than 10,000 per year.</w:t>
      </w:r>
    </w:p>
    <w:p w:rsidR="005D455D" w:rsidRPr="008C6270" w:rsidRDefault="00F0485A" w:rsidP="005D455D">
      <w:pPr>
        <w:pStyle w:val="ListParagraph"/>
        <w:widowControl/>
        <w:numPr>
          <w:ilvl w:val="1"/>
          <w:numId w:val="5"/>
        </w:numPr>
        <w:spacing w:before="120" w:after="120"/>
        <w:contextualSpacing w:val="0"/>
        <w:rPr>
          <w:rFonts w:asciiTheme="minorHAnsi" w:hAnsiTheme="minorHAnsi"/>
          <w:sz w:val="24"/>
          <w:szCs w:val="24"/>
        </w:rPr>
      </w:pPr>
      <w:r w:rsidRPr="008C6270">
        <w:rPr>
          <w:rFonts w:asciiTheme="minorHAnsi" w:hAnsiTheme="minorHAnsi"/>
          <w:sz w:val="24"/>
          <w:szCs w:val="24"/>
        </w:rPr>
        <w:t>Th</w:t>
      </w:r>
      <w:r w:rsidR="00437EC2" w:rsidRPr="008C6270">
        <w:rPr>
          <w:rFonts w:asciiTheme="minorHAnsi" w:hAnsiTheme="minorHAnsi"/>
          <w:sz w:val="24"/>
          <w:szCs w:val="24"/>
        </w:rPr>
        <w:t xml:space="preserve">e </w:t>
      </w:r>
      <w:r w:rsidRPr="008C6270">
        <w:rPr>
          <w:rFonts w:asciiTheme="minorHAnsi" w:hAnsiTheme="minorHAnsi"/>
          <w:sz w:val="24"/>
          <w:szCs w:val="24"/>
        </w:rPr>
        <w:t xml:space="preserve">table </w:t>
      </w:r>
      <w:r w:rsidR="00437EC2" w:rsidRPr="008C6270">
        <w:rPr>
          <w:rFonts w:asciiTheme="minorHAnsi" w:hAnsiTheme="minorHAnsi"/>
          <w:sz w:val="24"/>
          <w:szCs w:val="24"/>
        </w:rPr>
        <w:t xml:space="preserve">above </w:t>
      </w:r>
      <w:r w:rsidRPr="008C6270">
        <w:rPr>
          <w:rFonts w:asciiTheme="minorHAnsi" w:hAnsiTheme="minorHAnsi"/>
          <w:sz w:val="24"/>
          <w:szCs w:val="24"/>
        </w:rPr>
        <w:t xml:space="preserve">seeks to assess two sources of patients for pembrolizumab compared to the existing </w:t>
      </w:r>
      <w:r w:rsidR="00D6406B" w:rsidRPr="008C6270">
        <w:rPr>
          <w:rFonts w:asciiTheme="minorHAnsi" w:hAnsiTheme="minorHAnsi"/>
          <w:sz w:val="24"/>
          <w:szCs w:val="24"/>
        </w:rPr>
        <w:t xml:space="preserve">estimates </w:t>
      </w:r>
      <w:r w:rsidRPr="008C6270">
        <w:rPr>
          <w:rFonts w:asciiTheme="minorHAnsi" w:hAnsiTheme="minorHAnsi"/>
          <w:sz w:val="24"/>
          <w:szCs w:val="24"/>
        </w:rPr>
        <w:t>for nivolumab.</w:t>
      </w:r>
    </w:p>
    <w:p w:rsidR="005D455D" w:rsidRPr="008C6270" w:rsidRDefault="00F0485A" w:rsidP="005D455D">
      <w:pPr>
        <w:pStyle w:val="ListParagraph"/>
        <w:widowControl/>
        <w:numPr>
          <w:ilvl w:val="1"/>
          <w:numId w:val="5"/>
        </w:numPr>
        <w:spacing w:before="120" w:after="120"/>
        <w:contextualSpacing w:val="0"/>
        <w:rPr>
          <w:rFonts w:asciiTheme="minorHAnsi" w:hAnsiTheme="minorHAnsi"/>
          <w:sz w:val="24"/>
          <w:szCs w:val="24"/>
        </w:rPr>
      </w:pPr>
      <w:r w:rsidRPr="008C6270">
        <w:rPr>
          <w:rFonts w:asciiTheme="minorHAnsi" w:hAnsiTheme="minorHAnsi"/>
          <w:sz w:val="24"/>
          <w:szCs w:val="24"/>
        </w:rPr>
        <w:t>The first population is those patients who would no</w:t>
      </w:r>
      <w:r w:rsidR="005D455D" w:rsidRPr="008C6270">
        <w:rPr>
          <w:rFonts w:asciiTheme="minorHAnsi" w:hAnsiTheme="minorHAnsi"/>
          <w:sz w:val="24"/>
          <w:szCs w:val="24"/>
        </w:rPr>
        <w:t xml:space="preserve"> longer </w:t>
      </w:r>
      <w:r w:rsidRPr="008C6270">
        <w:rPr>
          <w:rFonts w:asciiTheme="minorHAnsi" w:hAnsiTheme="minorHAnsi"/>
          <w:sz w:val="24"/>
          <w:szCs w:val="24"/>
        </w:rPr>
        <w:t>receive second</w:t>
      </w:r>
      <w:r w:rsidR="00851F1E" w:rsidRPr="008C6270">
        <w:rPr>
          <w:rFonts w:asciiTheme="minorHAnsi" w:hAnsiTheme="minorHAnsi"/>
          <w:sz w:val="24"/>
          <w:szCs w:val="24"/>
        </w:rPr>
        <w:t>-</w:t>
      </w:r>
      <w:r w:rsidRPr="008C6270">
        <w:rPr>
          <w:rFonts w:asciiTheme="minorHAnsi" w:hAnsiTheme="minorHAnsi"/>
          <w:sz w:val="24"/>
          <w:szCs w:val="24"/>
        </w:rPr>
        <w:t xml:space="preserve">line nivolumab if </w:t>
      </w:r>
      <w:r w:rsidR="00851F1E" w:rsidRPr="008C6270">
        <w:rPr>
          <w:rFonts w:asciiTheme="minorHAnsi" w:hAnsiTheme="minorHAnsi"/>
          <w:sz w:val="24"/>
          <w:szCs w:val="24"/>
        </w:rPr>
        <w:t>first-</w:t>
      </w:r>
      <w:r w:rsidRPr="008C6270">
        <w:rPr>
          <w:rFonts w:asciiTheme="minorHAnsi" w:hAnsiTheme="minorHAnsi"/>
          <w:sz w:val="24"/>
          <w:szCs w:val="24"/>
        </w:rPr>
        <w:t>line pembrolizumab w</w:t>
      </w:r>
      <w:r w:rsidR="005D455D" w:rsidRPr="008C6270">
        <w:rPr>
          <w:rFonts w:asciiTheme="minorHAnsi" w:hAnsiTheme="minorHAnsi"/>
          <w:sz w:val="24"/>
          <w:szCs w:val="24"/>
        </w:rPr>
        <w:t>as to be</w:t>
      </w:r>
      <w:r w:rsidRPr="008C6270">
        <w:rPr>
          <w:rFonts w:asciiTheme="minorHAnsi" w:hAnsiTheme="minorHAnsi"/>
          <w:sz w:val="24"/>
          <w:szCs w:val="24"/>
        </w:rPr>
        <w:t xml:space="preserve"> listed. As pembrolizumab </w:t>
      </w:r>
      <w:r w:rsidR="00437EC2" w:rsidRPr="008C6270">
        <w:rPr>
          <w:rFonts w:asciiTheme="minorHAnsi" w:hAnsiTheme="minorHAnsi"/>
          <w:sz w:val="24"/>
          <w:szCs w:val="24"/>
        </w:rPr>
        <w:t>would be</w:t>
      </w:r>
      <w:r w:rsidRPr="008C6270">
        <w:rPr>
          <w:rFonts w:asciiTheme="minorHAnsi" w:hAnsiTheme="minorHAnsi"/>
          <w:sz w:val="24"/>
          <w:szCs w:val="24"/>
        </w:rPr>
        <w:t xml:space="preserve"> limited to those patients who are not EGFR or ALK positive and whose tumours strongly express PD-L1, </w:t>
      </w:r>
      <w:r w:rsidR="00A02454" w:rsidRPr="008C6270">
        <w:rPr>
          <w:rFonts w:asciiTheme="minorHAnsi" w:hAnsiTheme="minorHAnsi"/>
          <w:sz w:val="24"/>
          <w:szCs w:val="24"/>
        </w:rPr>
        <w:t xml:space="preserve">the minor resubmission’s estimate </w:t>
      </w:r>
      <w:r w:rsidR="00437EC2" w:rsidRPr="008C6270">
        <w:rPr>
          <w:rFonts w:asciiTheme="minorHAnsi" w:hAnsiTheme="minorHAnsi"/>
          <w:sz w:val="24"/>
          <w:szCs w:val="24"/>
        </w:rPr>
        <w:t>wa</w:t>
      </w:r>
      <w:r w:rsidRPr="008C6270">
        <w:rPr>
          <w:rFonts w:asciiTheme="minorHAnsi" w:hAnsiTheme="minorHAnsi"/>
          <w:sz w:val="24"/>
          <w:szCs w:val="24"/>
        </w:rPr>
        <w:t xml:space="preserve">s </w:t>
      </w:r>
      <w:r w:rsidR="00A02454" w:rsidRPr="008C6270">
        <w:rPr>
          <w:rFonts w:asciiTheme="minorHAnsi" w:hAnsiTheme="minorHAnsi"/>
          <w:sz w:val="24"/>
          <w:szCs w:val="24"/>
        </w:rPr>
        <w:t xml:space="preserve">that </w:t>
      </w:r>
      <w:r w:rsidRPr="008C6270">
        <w:rPr>
          <w:rFonts w:asciiTheme="minorHAnsi" w:hAnsiTheme="minorHAnsi"/>
          <w:sz w:val="24"/>
          <w:szCs w:val="24"/>
        </w:rPr>
        <w:t xml:space="preserve">a maximum of </w:t>
      </w:r>
      <w:r w:rsidR="00A02454" w:rsidRPr="008C6270">
        <w:rPr>
          <w:rFonts w:asciiTheme="minorHAnsi" w:hAnsiTheme="minorHAnsi"/>
          <w:sz w:val="24"/>
          <w:szCs w:val="24"/>
        </w:rPr>
        <w:t>19.53% of the second-line nivolumab population would be replaced by pembrolizumab in the first-line setting</w:t>
      </w:r>
      <w:r w:rsidRPr="008C6270">
        <w:rPr>
          <w:rFonts w:asciiTheme="minorHAnsi" w:hAnsiTheme="minorHAnsi"/>
          <w:sz w:val="24"/>
          <w:szCs w:val="24"/>
        </w:rPr>
        <w:t xml:space="preserve"> (Row E). By comparison</w:t>
      </w:r>
      <w:r w:rsidR="00A02454" w:rsidRPr="008C6270">
        <w:rPr>
          <w:rFonts w:asciiTheme="minorHAnsi" w:hAnsiTheme="minorHAnsi"/>
          <w:sz w:val="24"/>
          <w:szCs w:val="24"/>
        </w:rPr>
        <w:t xml:space="preserve">, </w:t>
      </w:r>
      <w:r w:rsidRPr="008C6270">
        <w:rPr>
          <w:rFonts w:asciiTheme="minorHAnsi" w:hAnsiTheme="minorHAnsi"/>
          <w:sz w:val="24"/>
          <w:szCs w:val="24"/>
        </w:rPr>
        <w:t xml:space="preserve">the </w:t>
      </w:r>
      <w:r w:rsidR="005D455D" w:rsidRPr="008C6270">
        <w:rPr>
          <w:rFonts w:asciiTheme="minorHAnsi" w:hAnsiTheme="minorHAnsi"/>
          <w:sz w:val="24"/>
          <w:szCs w:val="24"/>
        </w:rPr>
        <w:t xml:space="preserve">actual percentages derived from the approach used in the minor resubmission to generate the financial </w:t>
      </w:r>
      <w:r w:rsidRPr="008C6270">
        <w:rPr>
          <w:rFonts w:asciiTheme="minorHAnsi" w:hAnsiTheme="minorHAnsi"/>
          <w:sz w:val="24"/>
          <w:szCs w:val="24"/>
        </w:rPr>
        <w:t xml:space="preserve">estimates </w:t>
      </w:r>
      <w:r w:rsidR="005D455D" w:rsidRPr="008C6270">
        <w:rPr>
          <w:rFonts w:asciiTheme="minorHAnsi" w:hAnsiTheme="minorHAnsi"/>
          <w:sz w:val="24"/>
          <w:szCs w:val="24"/>
        </w:rPr>
        <w:t xml:space="preserve">are </w:t>
      </w:r>
      <w:r w:rsidR="00660757">
        <w:rPr>
          <w:rFonts w:asciiTheme="minorHAnsi" w:hAnsiTheme="minorHAnsi"/>
          <w:noProof/>
          <w:color w:val="000000"/>
          <w:sz w:val="24"/>
          <w:szCs w:val="24"/>
          <w:highlight w:val="black"/>
        </w:rPr>
        <w:t>''''''''''''' '''''''''''''''''</w:t>
      </w:r>
      <w:r w:rsidR="005D455D" w:rsidRPr="008C6270">
        <w:rPr>
          <w:rFonts w:asciiTheme="minorHAnsi" w:hAnsiTheme="minorHAnsi"/>
          <w:sz w:val="24"/>
          <w:szCs w:val="24"/>
        </w:rPr>
        <w:t xml:space="preserve"> (Row F).</w:t>
      </w:r>
    </w:p>
    <w:p w:rsidR="007D0B60" w:rsidRPr="008C6270" w:rsidRDefault="005D455D" w:rsidP="005D455D">
      <w:pPr>
        <w:pStyle w:val="ListParagraph"/>
        <w:widowControl/>
        <w:numPr>
          <w:ilvl w:val="1"/>
          <w:numId w:val="5"/>
        </w:numPr>
        <w:spacing w:before="120" w:after="120"/>
        <w:contextualSpacing w:val="0"/>
        <w:rPr>
          <w:rFonts w:asciiTheme="minorHAnsi" w:hAnsiTheme="minorHAnsi"/>
          <w:sz w:val="24"/>
          <w:szCs w:val="24"/>
        </w:rPr>
      </w:pPr>
      <w:r w:rsidRPr="008C6270">
        <w:rPr>
          <w:rFonts w:asciiTheme="minorHAnsi" w:hAnsiTheme="minorHAnsi"/>
          <w:sz w:val="24"/>
          <w:szCs w:val="24"/>
        </w:rPr>
        <w:t>The second population is those patients who would not have received second</w:t>
      </w:r>
      <w:r w:rsidR="00851F1E" w:rsidRPr="008C6270">
        <w:rPr>
          <w:rFonts w:asciiTheme="minorHAnsi" w:hAnsiTheme="minorHAnsi"/>
          <w:sz w:val="24"/>
          <w:szCs w:val="24"/>
        </w:rPr>
        <w:t>-</w:t>
      </w:r>
      <w:r w:rsidRPr="008C6270">
        <w:rPr>
          <w:rFonts w:asciiTheme="minorHAnsi" w:hAnsiTheme="minorHAnsi"/>
          <w:sz w:val="24"/>
          <w:szCs w:val="24"/>
        </w:rPr>
        <w:t xml:space="preserve">line nivolumab if </w:t>
      </w:r>
      <w:r w:rsidR="00851F1E" w:rsidRPr="008C6270">
        <w:rPr>
          <w:rFonts w:asciiTheme="minorHAnsi" w:hAnsiTheme="minorHAnsi"/>
          <w:sz w:val="24"/>
          <w:szCs w:val="24"/>
        </w:rPr>
        <w:t>first-</w:t>
      </w:r>
      <w:r w:rsidRPr="008C6270">
        <w:rPr>
          <w:rFonts w:asciiTheme="minorHAnsi" w:hAnsiTheme="minorHAnsi"/>
          <w:sz w:val="24"/>
          <w:szCs w:val="24"/>
        </w:rPr>
        <w:t>line pembrolizumab w</w:t>
      </w:r>
      <w:r w:rsidR="00851F1E" w:rsidRPr="008C6270">
        <w:rPr>
          <w:rFonts w:asciiTheme="minorHAnsi" w:hAnsiTheme="minorHAnsi"/>
          <w:sz w:val="24"/>
          <w:szCs w:val="24"/>
        </w:rPr>
        <w:t>as to be</w:t>
      </w:r>
      <w:r w:rsidRPr="008C6270">
        <w:rPr>
          <w:rFonts w:asciiTheme="minorHAnsi" w:hAnsiTheme="minorHAnsi"/>
          <w:sz w:val="24"/>
          <w:szCs w:val="24"/>
        </w:rPr>
        <w:t xml:space="preserve"> listed (Row C</w:t>
      </w:r>
      <w:r w:rsidR="00437EC2" w:rsidRPr="008C6270">
        <w:rPr>
          <w:rFonts w:asciiTheme="minorHAnsi" w:hAnsiTheme="minorHAnsi"/>
          <w:sz w:val="24"/>
          <w:szCs w:val="24"/>
        </w:rPr>
        <w:t>,</w:t>
      </w:r>
      <w:r w:rsidRPr="008C6270">
        <w:rPr>
          <w:rFonts w:asciiTheme="minorHAnsi" w:hAnsiTheme="minorHAnsi"/>
          <w:sz w:val="24"/>
          <w:szCs w:val="24"/>
        </w:rPr>
        <w:t xml:space="preserve"> or Row G as a percentage expansion over the previously agreed nivolumab population). By comparison, the PBAC previously expressed its view that this </w:t>
      </w:r>
      <w:r w:rsidR="00437EC2" w:rsidRPr="008C6270">
        <w:rPr>
          <w:rFonts w:asciiTheme="minorHAnsi" w:hAnsiTheme="minorHAnsi"/>
          <w:sz w:val="24"/>
          <w:szCs w:val="24"/>
        </w:rPr>
        <w:t xml:space="preserve">second population </w:t>
      </w:r>
      <w:r w:rsidRPr="008C6270">
        <w:rPr>
          <w:rFonts w:asciiTheme="minorHAnsi" w:hAnsiTheme="minorHAnsi"/>
          <w:sz w:val="24"/>
          <w:szCs w:val="24"/>
        </w:rPr>
        <w:t xml:space="preserve">would be </w:t>
      </w:r>
      <w:r w:rsidR="00437EC2" w:rsidRPr="008C6270">
        <w:rPr>
          <w:rFonts w:asciiTheme="minorHAnsi" w:hAnsiTheme="minorHAnsi"/>
          <w:sz w:val="24"/>
          <w:szCs w:val="24"/>
        </w:rPr>
        <w:t>small</w:t>
      </w:r>
      <w:r w:rsidRPr="008C6270">
        <w:rPr>
          <w:rFonts w:asciiTheme="minorHAnsi" w:hAnsiTheme="minorHAnsi"/>
          <w:sz w:val="24"/>
          <w:szCs w:val="24"/>
        </w:rPr>
        <w:t>.</w:t>
      </w:r>
      <w:r w:rsidR="007D0B60" w:rsidRPr="008C6270">
        <w:rPr>
          <w:rFonts w:asciiTheme="minorHAnsi" w:hAnsiTheme="minorHAnsi"/>
          <w:sz w:val="24"/>
          <w:szCs w:val="24"/>
        </w:rPr>
        <w:t xml:space="preserve"> Specifically, from paragraph 7.16 of the November 2017 </w:t>
      </w:r>
      <w:r w:rsidR="005336ED">
        <w:rPr>
          <w:rFonts w:asciiTheme="minorHAnsi" w:hAnsiTheme="minorHAnsi"/>
          <w:sz w:val="24"/>
          <w:szCs w:val="24"/>
        </w:rPr>
        <w:t>PSD</w:t>
      </w:r>
      <w:r w:rsidR="007D0B60" w:rsidRPr="008C6270">
        <w:rPr>
          <w:rFonts w:asciiTheme="minorHAnsi" w:hAnsiTheme="minorHAnsi"/>
          <w:sz w:val="24"/>
          <w:szCs w:val="24"/>
        </w:rPr>
        <w:t>: “The PBAC considered that</w:t>
      </w:r>
      <w:r w:rsidR="00D6406B" w:rsidRPr="008C6270">
        <w:rPr>
          <w:rFonts w:asciiTheme="minorHAnsi" w:hAnsiTheme="minorHAnsi"/>
          <w:sz w:val="24"/>
          <w:szCs w:val="24"/>
        </w:rPr>
        <w:t>,</w:t>
      </w:r>
      <w:r w:rsidR="007D0B60" w:rsidRPr="008C6270">
        <w:rPr>
          <w:rFonts w:asciiTheme="minorHAnsi" w:hAnsiTheme="minorHAnsi"/>
          <w:sz w:val="24"/>
          <w:szCs w:val="24"/>
        </w:rPr>
        <w:t xml:space="preserve"> if pembrolizumab was made available on the PBS, there would only be a minor increase in the overall number of patients treated for metastatic Stage IV NSCLC either in the first- or second-line setting, above what was accepted for the nivolumab caps</w:t>
      </w:r>
      <w:r w:rsidR="00D6406B" w:rsidRPr="008C6270">
        <w:rPr>
          <w:rFonts w:asciiTheme="minorHAnsi" w:hAnsiTheme="minorHAnsi"/>
          <w:sz w:val="24"/>
          <w:szCs w:val="24"/>
        </w:rPr>
        <w:t xml:space="preserve"> at the time of the negotiations with the sponsor of nivolumab”</w:t>
      </w:r>
      <w:r w:rsidR="007D0B60" w:rsidRPr="008C6270">
        <w:rPr>
          <w:rFonts w:asciiTheme="minorHAnsi" w:hAnsiTheme="minorHAnsi"/>
          <w:sz w:val="24"/>
          <w:szCs w:val="24"/>
        </w:rPr>
        <w:t>.</w:t>
      </w:r>
      <w:r w:rsidRPr="008C6270">
        <w:rPr>
          <w:rFonts w:asciiTheme="minorHAnsi" w:hAnsiTheme="minorHAnsi"/>
          <w:sz w:val="24"/>
          <w:szCs w:val="24"/>
        </w:rPr>
        <w:t xml:space="preserve"> </w:t>
      </w:r>
      <w:r w:rsidR="007D0B60" w:rsidRPr="008C6270">
        <w:rPr>
          <w:rFonts w:asciiTheme="minorHAnsi" w:hAnsiTheme="minorHAnsi"/>
          <w:sz w:val="24"/>
          <w:szCs w:val="24"/>
        </w:rPr>
        <w:t>Rather, the minor resubmission estimate</w:t>
      </w:r>
      <w:r w:rsidR="00497908">
        <w:rPr>
          <w:rFonts w:asciiTheme="minorHAnsi" w:hAnsiTheme="minorHAnsi"/>
          <w:sz w:val="24"/>
          <w:szCs w:val="24"/>
        </w:rPr>
        <w:t>d</w:t>
      </w:r>
      <w:r w:rsidR="007D0B60" w:rsidRPr="008C6270">
        <w:rPr>
          <w:rFonts w:asciiTheme="minorHAnsi" w:hAnsiTheme="minorHAnsi"/>
          <w:sz w:val="24"/>
          <w:szCs w:val="24"/>
        </w:rPr>
        <w:t xml:space="preserve"> a substantial increase in the number of NSCLC patients </w:t>
      </w:r>
      <w:r w:rsidR="00851F1E" w:rsidRPr="008C6270">
        <w:rPr>
          <w:rFonts w:asciiTheme="minorHAnsi" w:hAnsiTheme="minorHAnsi"/>
          <w:sz w:val="24"/>
          <w:szCs w:val="24"/>
        </w:rPr>
        <w:t xml:space="preserve">who </w:t>
      </w:r>
      <w:r w:rsidR="007D0B60" w:rsidRPr="008C6270">
        <w:rPr>
          <w:rFonts w:asciiTheme="minorHAnsi" w:hAnsiTheme="minorHAnsi"/>
          <w:sz w:val="24"/>
          <w:szCs w:val="24"/>
        </w:rPr>
        <w:t xml:space="preserve">would be </w:t>
      </w:r>
      <w:r w:rsidR="00437EC2" w:rsidRPr="008C6270">
        <w:rPr>
          <w:rFonts w:asciiTheme="minorHAnsi" w:hAnsiTheme="minorHAnsi"/>
          <w:sz w:val="24"/>
          <w:szCs w:val="24"/>
        </w:rPr>
        <w:t>treated with an immunotherapy agent</w:t>
      </w:r>
      <w:r w:rsidR="007D0B60" w:rsidRPr="008C6270">
        <w:rPr>
          <w:rFonts w:asciiTheme="minorHAnsi" w:hAnsiTheme="minorHAnsi"/>
          <w:sz w:val="24"/>
          <w:szCs w:val="24"/>
        </w:rPr>
        <w:t xml:space="preserve"> as a result of the proposed first-line listing.</w:t>
      </w:r>
    </w:p>
    <w:p w:rsidR="00437EC2" w:rsidRPr="008C6270" w:rsidRDefault="007D0B60" w:rsidP="005D455D">
      <w:pPr>
        <w:pStyle w:val="ListParagraph"/>
        <w:widowControl/>
        <w:numPr>
          <w:ilvl w:val="1"/>
          <w:numId w:val="5"/>
        </w:numPr>
        <w:spacing w:before="120" w:after="120"/>
        <w:contextualSpacing w:val="0"/>
        <w:rPr>
          <w:rFonts w:asciiTheme="minorHAnsi" w:hAnsiTheme="minorHAnsi"/>
          <w:sz w:val="24"/>
          <w:szCs w:val="24"/>
        </w:rPr>
      </w:pPr>
      <w:r w:rsidRPr="008C6270">
        <w:rPr>
          <w:rFonts w:asciiTheme="minorHAnsi" w:hAnsiTheme="minorHAnsi"/>
          <w:sz w:val="24"/>
          <w:szCs w:val="24"/>
        </w:rPr>
        <w:t xml:space="preserve">To investigate this further by </w:t>
      </w:r>
      <w:r w:rsidR="00437EC2" w:rsidRPr="008C6270">
        <w:rPr>
          <w:rFonts w:asciiTheme="minorHAnsi" w:hAnsiTheme="minorHAnsi"/>
          <w:sz w:val="24"/>
          <w:szCs w:val="24"/>
        </w:rPr>
        <w:t xml:space="preserve">dividing the minor resubmission’s estimates in Row C by </w:t>
      </w:r>
      <w:r w:rsidR="005D455D" w:rsidRPr="008C6270">
        <w:rPr>
          <w:rFonts w:asciiTheme="minorHAnsi" w:hAnsiTheme="minorHAnsi"/>
          <w:sz w:val="24"/>
          <w:szCs w:val="24"/>
        </w:rPr>
        <w:t xml:space="preserve">19.53% </w:t>
      </w:r>
      <w:r w:rsidR="00437EC2" w:rsidRPr="008C6270">
        <w:rPr>
          <w:rFonts w:asciiTheme="minorHAnsi" w:hAnsiTheme="minorHAnsi"/>
          <w:sz w:val="24"/>
          <w:szCs w:val="24"/>
        </w:rPr>
        <w:t xml:space="preserve">(the </w:t>
      </w:r>
      <w:r w:rsidRPr="008C6270">
        <w:rPr>
          <w:rFonts w:asciiTheme="minorHAnsi" w:hAnsiTheme="minorHAnsi"/>
          <w:sz w:val="24"/>
          <w:szCs w:val="24"/>
        </w:rPr>
        <w:t>limit of pembrolizumab eligibility to those patients who are not EGFR or ALK positive and whose tumours strongly express PD-L1</w:t>
      </w:r>
      <w:r w:rsidR="00437EC2" w:rsidRPr="008C6270">
        <w:rPr>
          <w:rFonts w:asciiTheme="minorHAnsi" w:hAnsiTheme="minorHAnsi"/>
          <w:sz w:val="24"/>
          <w:szCs w:val="24"/>
        </w:rPr>
        <w:t>),</w:t>
      </w:r>
      <w:r w:rsidRPr="008C6270">
        <w:rPr>
          <w:rFonts w:asciiTheme="minorHAnsi" w:hAnsiTheme="minorHAnsi"/>
          <w:sz w:val="24"/>
          <w:szCs w:val="24"/>
        </w:rPr>
        <w:t xml:space="preserve"> it is possible</w:t>
      </w:r>
      <w:r w:rsidR="005D455D" w:rsidRPr="008C6270">
        <w:rPr>
          <w:rFonts w:asciiTheme="minorHAnsi" w:hAnsiTheme="minorHAnsi"/>
          <w:sz w:val="24"/>
          <w:szCs w:val="24"/>
        </w:rPr>
        <w:t xml:space="preserve"> to estimate the total eligible population that the minor resubmission infers would not receive nivolumab (Row H)</w:t>
      </w:r>
      <w:r w:rsidRPr="008C6270">
        <w:rPr>
          <w:rFonts w:asciiTheme="minorHAnsi" w:hAnsiTheme="minorHAnsi"/>
          <w:sz w:val="24"/>
          <w:szCs w:val="24"/>
        </w:rPr>
        <w:t xml:space="preserve">. Adding this estimate to the agreed numbers of nivolumab patients represents </w:t>
      </w:r>
      <w:r w:rsidR="00660757">
        <w:rPr>
          <w:rFonts w:asciiTheme="minorHAnsi" w:hAnsiTheme="minorHAnsi"/>
          <w:noProof/>
          <w:color w:val="000000"/>
          <w:sz w:val="24"/>
          <w:szCs w:val="24"/>
          <w:highlight w:val="black"/>
        </w:rPr>
        <w:t>''''' ''''''''''''''''''''''' '''''''''''''''' '''' '''''' '''''''''''''' '''''''''''' ''''''''''''' ''' ''''''''''''''''''''''''''' ''''''''' '''''''''' ''''''''''''''' ''''''''''' ''''''''''''''''''</w:t>
      </w:r>
      <w:r w:rsidRPr="008C6270">
        <w:rPr>
          <w:rFonts w:asciiTheme="minorHAnsi" w:hAnsiTheme="minorHAnsi"/>
          <w:sz w:val="24"/>
          <w:szCs w:val="24"/>
        </w:rPr>
        <w:t xml:space="preserve"> </w:t>
      </w:r>
      <w:r w:rsidR="00A02454" w:rsidRPr="008C6270">
        <w:rPr>
          <w:rFonts w:asciiTheme="minorHAnsi" w:hAnsiTheme="minorHAnsi"/>
          <w:sz w:val="24"/>
          <w:szCs w:val="24"/>
        </w:rPr>
        <w:t xml:space="preserve">(Row I). </w:t>
      </w:r>
      <w:r w:rsidR="002B33CF" w:rsidRPr="008C6270">
        <w:rPr>
          <w:rFonts w:asciiTheme="minorHAnsi" w:hAnsiTheme="minorHAnsi"/>
          <w:sz w:val="24"/>
          <w:szCs w:val="24"/>
        </w:rPr>
        <w:t xml:space="preserve">This </w:t>
      </w:r>
      <w:r w:rsidR="00E964DA">
        <w:rPr>
          <w:rFonts w:asciiTheme="minorHAnsi" w:hAnsiTheme="minorHAnsi"/>
          <w:noProof/>
          <w:color w:val="000000"/>
          <w:sz w:val="24"/>
          <w:szCs w:val="24"/>
          <w:highlight w:val="black"/>
        </w:rPr>
        <w:t>''</w:t>
      </w:r>
      <w:r w:rsidR="00660757">
        <w:rPr>
          <w:rFonts w:asciiTheme="minorHAnsi" w:hAnsiTheme="minorHAnsi"/>
          <w:noProof/>
          <w:color w:val="000000"/>
          <w:sz w:val="24"/>
          <w:szCs w:val="24"/>
          <w:highlight w:val="black"/>
        </w:rPr>
        <w:t xml:space="preserve">'' '''''''' '''''' ''''''''''''''''' ''''''''' </w:t>
      </w:r>
      <w:r w:rsidR="002B0CF2" w:rsidRPr="008C6270">
        <w:rPr>
          <w:rFonts w:asciiTheme="minorHAnsi" w:hAnsiTheme="minorHAnsi"/>
          <w:sz w:val="24"/>
          <w:szCs w:val="24"/>
        </w:rPr>
        <w:t xml:space="preserve">the minor resubmission’s estimate of the total population </w:t>
      </w:r>
      <w:r w:rsidR="00437EC2" w:rsidRPr="008C6270">
        <w:rPr>
          <w:rFonts w:asciiTheme="minorHAnsi" w:hAnsiTheme="minorHAnsi"/>
          <w:sz w:val="24"/>
          <w:szCs w:val="24"/>
        </w:rPr>
        <w:t xml:space="preserve">with eligible disease </w:t>
      </w:r>
      <w:r w:rsidR="002B0CF2" w:rsidRPr="008C6270">
        <w:rPr>
          <w:rFonts w:asciiTheme="minorHAnsi" w:hAnsiTheme="minorHAnsi"/>
          <w:sz w:val="24"/>
          <w:szCs w:val="24"/>
        </w:rPr>
        <w:t>(Row J).</w:t>
      </w:r>
    </w:p>
    <w:p w:rsidR="00C93583" w:rsidRDefault="00C93583">
      <w:pPr>
        <w:rPr>
          <w:rFonts w:ascii="Arial Narrow" w:hAnsi="Arial Narrow" w:cs="Arial"/>
          <w:b/>
          <w:sz w:val="20"/>
          <w:szCs w:val="16"/>
          <w:lang w:eastAsia="en-US"/>
        </w:rPr>
      </w:pPr>
      <w:r>
        <w:rPr>
          <w:rFonts w:ascii="Arial Narrow" w:hAnsi="Arial Narrow" w:cs="Arial"/>
          <w:b/>
          <w:sz w:val="20"/>
          <w:szCs w:val="16"/>
          <w:lang w:eastAsia="en-US"/>
        </w:rPr>
        <w:br w:type="page"/>
      </w:r>
    </w:p>
    <w:p w:rsidR="00360FED" w:rsidRPr="00360FED" w:rsidRDefault="00360FED" w:rsidP="00360FED">
      <w:pPr>
        <w:rPr>
          <w:rFonts w:ascii="Arial Narrow" w:hAnsi="Arial Narrow" w:cs="Arial"/>
          <w:b/>
          <w:sz w:val="20"/>
          <w:szCs w:val="16"/>
          <w:lang w:eastAsia="en-US"/>
        </w:rPr>
      </w:pPr>
      <w:r w:rsidRPr="00360FED">
        <w:rPr>
          <w:rFonts w:ascii="Arial Narrow" w:hAnsi="Arial Narrow" w:cs="Arial"/>
          <w:b/>
          <w:sz w:val="20"/>
          <w:szCs w:val="16"/>
          <w:lang w:eastAsia="en-US"/>
        </w:rPr>
        <w:t>Table 8: Sensitivity analyses of the economic evaluation</w:t>
      </w:r>
      <w:r w:rsidR="002B0CF2">
        <w:rPr>
          <w:rFonts w:ascii="Arial Narrow" w:hAnsi="Arial Narrow" w:cs="Arial"/>
          <w:b/>
          <w:sz w:val="20"/>
          <w:szCs w:val="16"/>
          <w:lang w:eastAsia="en-US"/>
        </w:rPr>
        <w:t xml:space="preserve"> assessing the consequence of different nivolumab cost offsets</w:t>
      </w:r>
    </w:p>
    <w:tbl>
      <w:tblPr>
        <w:tblStyle w:val="TableGrid"/>
        <w:tblW w:w="0" w:type="auto"/>
        <w:tblLayout w:type="fixed"/>
        <w:tblLook w:val="04A0" w:firstRow="1" w:lastRow="0" w:firstColumn="1" w:lastColumn="0" w:noHBand="0" w:noVBand="1"/>
      </w:tblPr>
      <w:tblGrid>
        <w:gridCol w:w="8046"/>
        <w:gridCol w:w="1196"/>
      </w:tblGrid>
      <w:tr w:rsidR="00C0199B" w:rsidRPr="00C0199B" w:rsidTr="00BD4830">
        <w:tc>
          <w:tcPr>
            <w:tcW w:w="8046" w:type="dxa"/>
          </w:tcPr>
          <w:p w:rsidR="00C0199B" w:rsidRPr="00C0199B" w:rsidRDefault="00C0199B" w:rsidP="00C0199B">
            <w:pPr>
              <w:rPr>
                <w:rFonts w:ascii="Arial Narrow" w:hAnsi="Arial Narrow"/>
                <w:b/>
                <w:sz w:val="20"/>
                <w:szCs w:val="20"/>
              </w:rPr>
            </w:pPr>
            <w:r>
              <w:rPr>
                <w:rFonts w:ascii="Arial Narrow" w:hAnsi="Arial Narrow"/>
                <w:b/>
                <w:sz w:val="20"/>
                <w:szCs w:val="20"/>
              </w:rPr>
              <w:t>Sensitivity a</w:t>
            </w:r>
            <w:r w:rsidRPr="00C0199B">
              <w:rPr>
                <w:rFonts w:ascii="Arial Narrow" w:hAnsi="Arial Narrow"/>
                <w:b/>
                <w:sz w:val="20"/>
                <w:szCs w:val="20"/>
              </w:rPr>
              <w:t>nalys</w:t>
            </w:r>
            <w:r>
              <w:rPr>
                <w:rFonts w:ascii="Arial Narrow" w:hAnsi="Arial Narrow"/>
                <w:b/>
                <w:sz w:val="20"/>
                <w:szCs w:val="20"/>
              </w:rPr>
              <w:t>e</w:t>
            </w:r>
            <w:r w:rsidRPr="00C0199B">
              <w:rPr>
                <w:rFonts w:ascii="Arial Narrow" w:hAnsi="Arial Narrow"/>
                <w:b/>
                <w:sz w:val="20"/>
                <w:szCs w:val="20"/>
              </w:rPr>
              <w:t>s</w:t>
            </w:r>
            <w:r>
              <w:rPr>
                <w:rFonts w:ascii="Arial Narrow" w:hAnsi="Arial Narrow"/>
                <w:b/>
                <w:sz w:val="20"/>
                <w:szCs w:val="20"/>
              </w:rPr>
              <w:t xml:space="preserve"> of economic evaluation</w:t>
            </w:r>
          </w:p>
        </w:tc>
        <w:tc>
          <w:tcPr>
            <w:tcW w:w="1196" w:type="dxa"/>
          </w:tcPr>
          <w:p w:rsidR="00C0199B" w:rsidRPr="00C0199B" w:rsidRDefault="00C0199B" w:rsidP="000546F6">
            <w:pPr>
              <w:rPr>
                <w:rFonts w:ascii="Arial Narrow" w:hAnsi="Arial Narrow"/>
                <w:b/>
                <w:sz w:val="20"/>
                <w:szCs w:val="20"/>
              </w:rPr>
            </w:pPr>
            <w:r w:rsidRPr="00C0199B">
              <w:rPr>
                <w:rFonts w:ascii="Arial Narrow" w:hAnsi="Arial Narrow"/>
                <w:b/>
                <w:sz w:val="20"/>
                <w:szCs w:val="20"/>
              </w:rPr>
              <w:t>ICER</w:t>
            </w:r>
            <w:r w:rsidR="00172E87">
              <w:rPr>
                <w:rFonts w:ascii="Arial Narrow" w:hAnsi="Arial Narrow"/>
                <w:b/>
                <w:sz w:val="20"/>
                <w:szCs w:val="20"/>
              </w:rPr>
              <w:t>/QALY</w:t>
            </w:r>
          </w:p>
        </w:tc>
      </w:tr>
      <w:tr w:rsidR="00C0199B" w:rsidRPr="00655231" w:rsidTr="00BD4830">
        <w:tc>
          <w:tcPr>
            <w:tcW w:w="8046" w:type="dxa"/>
          </w:tcPr>
          <w:p w:rsidR="00C0199B" w:rsidRPr="00655231" w:rsidRDefault="00C0199B" w:rsidP="000546F6">
            <w:pPr>
              <w:rPr>
                <w:rFonts w:ascii="Arial Narrow" w:hAnsi="Arial Narrow"/>
                <w:sz w:val="20"/>
                <w:szCs w:val="20"/>
              </w:rPr>
            </w:pPr>
            <w:r w:rsidRPr="00655231">
              <w:rPr>
                <w:rFonts w:ascii="Arial Narrow" w:hAnsi="Arial Narrow"/>
                <w:sz w:val="20"/>
                <w:szCs w:val="20"/>
              </w:rPr>
              <w:t>Minor resubmission base case</w:t>
            </w:r>
          </w:p>
          <w:p w:rsidR="00C0199B" w:rsidRPr="00655231" w:rsidRDefault="00C0199B" w:rsidP="00C0199B">
            <w:pPr>
              <w:pStyle w:val="ListParagraph"/>
              <w:widowControl/>
              <w:numPr>
                <w:ilvl w:val="0"/>
                <w:numId w:val="19"/>
              </w:numPr>
              <w:ind w:left="454" w:hanging="283"/>
              <w:jc w:val="left"/>
              <w:rPr>
                <w:rFonts w:ascii="Arial Narrow" w:hAnsi="Arial Narrow"/>
                <w:sz w:val="20"/>
              </w:rPr>
            </w:pPr>
            <w:r w:rsidRPr="00655231">
              <w:rPr>
                <w:rFonts w:ascii="Arial Narrow" w:hAnsi="Arial Narrow"/>
                <w:sz w:val="20"/>
              </w:rPr>
              <w:t xml:space="preserve">Accept </w:t>
            </w:r>
            <w:r w:rsidR="00DA7521" w:rsidRPr="00655231">
              <w:rPr>
                <w:rFonts w:ascii="Arial Narrow" w:hAnsi="Arial Narrow"/>
                <w:sz w:val="20"/>
              </w:rPr>
              <w:t>minor re</w:t>
            </w:r>
            <w:r w:rsidRPr="00655231">
              <w:rPr>
                <w:rFonts w:ascii="Arial Narrow" w:hAnsi="Arial Narrow"/>
                <w:sz w:val="20"/>
              </w:rPr>
              <w:t>submission’s estimates of QALYs</w:t>
            </w:r>
          </w:p>
          <w:p w:rsidR="00C0199B" w:rsidRPr="00655231" w:rsidRDefault="00C0199B" w:rsidP="00C0199B">
            <w:pPr>
              <w:pStyle w:val="ListParagraph"/>
              <w:widowControl/>
              <w:numPr>
                <w:ilvl w:val="0"/>
                <w:numId w:val="19"/>
              </w:numPr>
              <w:ind w:left="454" w:hanging="283"/>
              <w:jc w:val="left"/>
              <w:rPr>
                <w:rFonts w:ascii="Arial Narrow" w:hAnsi="Arial Narrow"/>
                <w:sz w:val="20"/>
              </w:rPr>
            </w:pPr>
            <w:r w:rsidRPr="00655231">
              <w:rPr>
                <w:rFonts w:ascii="Arial Narrow" w:hAnsi="Arial Narrow"/>
                <w:sz w:val="20"/>
              </w:rPr>
              <w:t xml:space="preserve">Accept </w:t>
            </w:r>
            <w:r w:rsidR="00DA7521" w:rsidRPr="00655231">
              <w:rPr>
                <w:rFonts w:ascii="Arial Narrow" w:hAnsi="Arial Narrow"/>
                <w:sz w:val="20"/>
              </w:rPr>
              <w:t>minor re</w:t>
            </w:r>
            <w:r w:rsidRPr="00655231">
              <w:rPr>
                <w:rFonts w:ascii="Arial Narrow" w:hAnsi="Arial Narrow"/>
                <w:sz w:val="20"/>
              </w:rPr>
              <w:t>submission’s approach to estimate drug costs (based on PFS rather than ToT)</w:t>
            </w:r>
          </w:p>
          <w:p w:rsidR="00C0199B" w:rsidRPr="00655231" w:rsidRDefault="00C0199B" w:rsidP="00DA7521">
            <w:pPr>
              <w:pStyle w:val="ListParagraph"/>
              <w:widowControl/>
              <w:numPr>
                <w:ilvl w:val="0"/>
                <w:numId w:val="19"/>
              </w:numPr>
              <w:ind w:left="454" w:hanging="283"/>
              <w:jc w:val="left"/>
              <w:rPr>
                <w:rFonts w:ascii="Arial Narrow" w:hAnsi="Arial Narrow"/>
                <w:sz w:val="20"/>
              </w:rPr>
            </w:pPr>
            <w:r w:rsidRPr="00655231">
              <w:rPr>
                <w:rFonts w:ascii="Arial Narrow" w:hAnsi="Arial Narrow"/>
                <w:sz w:val="20"/>
              </w:rPr>
              <w:t>Assume nivolumab cost offset of $</w:t>
            </w:r>
            <w:r w:rsidR="00E964DA">
              <w:rPr>
                <w:rFonts w:ascii="Arial Narrow" w:hAnsi="Arial Narrow"/>
                <w:noProof/>
                <w:color w:val="000000"/>
                <w:sz w:val="20"/>
                <w:highlight w:val="black"/>
              </w:rPr>
              <w:t>'''''''''''''''''''''''''</w:t>
            </w:r>
            <w:r w:rsidRPr="00655231">
              <w:rPr>
                <w:rFonts w:ascii="Arial Narrow" w:hAnsi="Arial Narrow"/>
                <w:sz w:val="20"/>
              </w:rPr>
              <w:t xml:space="preserve"> (stated to be from Nivo NSQ NSCLC PSD, Nov 2016)</w:t>
            </w:r>
          </w:p>
        </w:tc>
        <w:tc>
          <w:tcPr>
            <w:tcW w:w="1196" w:type="dxa"/>
          </w:tcPr>
          <w:p w:rsidR="00C0199B" w:rsidRPr="00655231" w:rsidRDefault="00C0199B" w:rsidP="000546F6">
            <w:pPr>
              <w:rPr>
                <w:rFonts w:ascii="Arial Narrow" w:hAnsi="Arial Narrow"/>
                <w:sz w:val="20"/>
                <w:szCs w:val="20"/>
              </w:rPr>
            </w:pPr>
            <w:r w:rsidRPr="00655231">
              <w:rPr>
                <w:rFonts w:ascii="Arial Narrow" w:hAnsi="Arial Narrow"/>
                <w:sz w:val="20"/>
                <w:szCs w:val="20"/>
              </w:rPr>
              <w:t>$</w:t>
            </w:r>
            <w:r w:rsidR="00E964DA">
              <w:rPr>
                <w:rFonts w:ascii="Arial Narrow" w:hAnsi="Arial Narrow"/>
                <w:noProof/>
                <w:color w:val="000000"/>
                <w:sz w:val="20"/>
                <w:szCs w:val="20"/>
                <w:highlight w:val="black"/>
              </w:rPr>
              <w:t>'''''''''''''''</w:t>
            </w:r>
          </w:p>
        </w:tc>
      </w:tr>
      <w:tr w:rsidR="00C0199B" w:rsidRPr="00655231" w:rsidTr="00BD4830">
        <w:tc>
          <w:tcPr>
            <w:tcW w:w="8046" w:type="dxa"/>
          </w:tcPr>
          <w:p w:rsidR="00C0199B" w:rsidRPr="00660757" w:rsidRDefault="00660757" w:rsidP="000546F6">
            <w:pPr>
              <w:rPr>
                <w:rFonts w:ascii="Arial Narrow" w:hAnsi="Arial Narrow"/>
                <w:sz w:val="20"/>
                <w:szCs w:val="20"/>
                <w:highlight w:val="black"/>
              </w:rPr>
            </w:pPr>
            <w:r>
              <w:rPr>
                <w:rFonts w:ascii="Arial Narrow" w:hAnsi="Arial Narrow"/>
                <w:noProof/>
                <w:color w:val="000000"/>
                <w:sz w:val="20"/>
                <w:szCs w:val="20"/>
                <w:highlight w:val="black"/>
              </w:rPr>
              <w:t>''''''''''''''''''''''' ''''''''''' ''''''' ''''''''''''''''''''' ''''''''' '''''''''''''</w:t>
            </w:r>
          </w:p>
          <w:p w:rsidR="00C0199B" w:rsidRPr="00660757" w:rsidRDefault="00660757" w:rsidP="00660757">
            <w:pPr>
              <w:ind w:left="454" w:hanging="283"/>
              <w:rPr>
                <w:rFonts w:ascii="Arial Narrow" w:hAnsi="Arial Narrow"/>
                <w:sz w:val="20"/>
                <w:highlight w:val="black"/>
              </w:rPr>
            </w:pP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p>
          <w:p w:rsidR="00C0199B" w:rsidRPr="00660757" w:rsidRDefault="00660757" w:rsidP="00660757">
            <w:pPr>
              <w:ind w:left="454" w:hanging="283"/>
              <w:rPr>
                <w:rFonts w:ascii="Arial Narrow" w:hAnsi="Arial Narrow"/>
                <w:sz w:val="20"/>
                <w:highlight w:val="black"/>
              </w:rPr>
            </w:pP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p>
          <w:p w:rsidR="00C0199B" w:rsidRPr="00660757" w:rsidRDefault="00660757" w:rsidP="00660757">
            <w:pPr>
              <w:ind w:left="454" w:hanging="283"/>
              <w:rPr>
                <w:rFonts w:ascii="Arial Narrow" w:hAnsi="Arial Narrow"/>
                <w:sz w:val="20"/>
                <w:highlight w:val="black"/>
              </w:rPr>
            </w:pP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p>
        </w:tc>
        <w:tc>
          <w:tcPr>
            <w:tcW w:w="1196" w:type="dxa"/>
          </w:tcPr>
          <w:p w:rsidR="00C0199B" w:rsidRPr="00655231" w:rsidRDefault="00C0199B" w:rsidP="000546F6">
            <w:pPr>
              <w:rPr>
                <w:rFonts w:ascii="Arial Narrow" w:hAnsi="Arial Narrow"/>
                <w:sz w:val="20"/>
                <w:szCs w:val="20"/>
              </w:rPr>
            </w:pPr>
            <w:r w:rsidRPr="00655231">
              <w:rPr>
                <w:rFonts w:ascii="Arial Narrow" w:hAnsi="Arial Narrow"/>
                <w:sz w:val="20"/>
                <w:szCs w:val="20"/>
              </w:rPr>
              <w:t>$</w:t>
            </w:r>
            <w:r w:rsidR="00660757">
              <w:rPr>
                <w:rFonts w:ascii="Arial Narrow" w:hAnsi="Arial Narrow"/>
                <w:noProof/>
                <w:color w:val="000000"/>
                <w:sz w:val="20"/>
                <w:szCs w:val="20"/>
                <w:highlight w:val="black"/>
              </w:rPr>
              <w:t>''''''''''''''''</w:t>
            </w:r>
          </w:p>
        </w:tc>
      </w:tr>
      <w:tr w:rsidR="00C0199B" w:rsidRPr="00655231" w:rsidTr="00BD4830">
        <w:tc>
          <w:tcPr>
            <w:tcW w:w="8046" w:type="dxa"/>
          </w:tcPr>
          <w:p w:rsidR="00C0199B" w:rsidRPr="00655231" w:rsidRDefault="00C0199B" w:rsidP="000546F6">
            <w:pPr>
              <w:rPr>
                <w:rFonts w:ascii="Arial Narrow" w:hAnsi="Arial Narrow"/>
                <w:sz w:val="20"/>
                <w:szCs w:val="20"/>
              </w:rPr>
            </w:pPr>
            <w:r w:rsidRPr="00655231">
              <w:rPr>
                <w:rFonts w:ascii="Arial Narrow" w:hAnsi="Arial Narrow"/>
                <w:sz w:val="20"/>
                <w:szCs w:val="20"/>
              </w:rPr>
              <w:t>Treatment costs based on ToT</w:t>
            </w:r>
          </w:p>
          <w:p w:rsidR="00C0199B" w:rsidRPr="00655231" w:rsidRDefault="00C0199B" w:rsidP="00C0199B">
            <w:pPr>
              <w:pStyle w:val="ListParagraph"/>
              <w:widowControl/>
              <w:numPr>
                <w:ilvl w:val="0"/>
                <w:numId w:val="19"/>
              </w:numPr>
              <w:ind w:left="454" w:hanging="283"/>
              <w:jc w:val="left"/>
              <w:rPr>
                <w:rFonts w:ascii="Arial Narrow" w:hAnsi="Arial Narrow"/>
                <w:sz w:val="20"/>
              </w:rPr>
            </w:pPr>
            <w:r w:rsidRPr="00655231">
              <w:rPr>
                <w:rFonts w:ascii="Arial Narrow" w:hAnsi="Arial Narrow"/>
                <w:sz w:val="20"/>
              </w:rPr>
              <w:t xml:space="preserve">Accept </w:t>
            </w:r>
            <w:r w:rsidR="00DA7521" w:rsidRPr="00655231">
              <w:rPr>
                <w:rFonts w:ascii="Arial Narrow" w:hAnsi="Arial Narrow"/>
                <w:sz w:val="20"/>
              </w:rPr>
              <w:t>minor re</w:t>
            </w:r>
            <w:r w:rsidRPr="00655231">
              <w:rPr>
                <w:rFonts w:ascii="Arial Narrow" w:hAnsi="Arial Narrow"/>
                <w:sz w:val="20"/>
              </w:rPr>
              <w:t>submission’s estimates of QALYs</w:t>
            </w:r>
          </w:p>
          <w:p w:rsidR="00C0199B" w:rsidRPr="00655231" w:rsidRDefault="00C0199B" w:rsidP="00C0199B">
            <w:pPr>
              <w:pStyle w:val="ListParagraph"/>
              <w:widowControl/>
              <w:numPr>
                <w:ilvl w:val="0"/>
                <w:numId w:val="19"/>
              </w:numPr>
              <w:ind w:left="454" w:hanging="283"/>
              <w:jc w:val="left"/>
              <w:rPr>
                <w:rFonts w:ascii="Arial Narrow" w:hAnsi="Arial Narrow"/>
                <w:sz w:val="20"/>
              </w:rPr>
            </w:pPr>
            <w:r w:rsidRPr="00655231">
              <w:rPr>
                <w:rFonts w:ascii="Arial Narrow" w:hAnsi="Arial Narrow"/>
                <w:sz w:val="20"/>
              </w:rPr>
              <w:t>Use ToT to estimate drug costs (rather than PFS)</w:t>
            </w:r>
          </w:p>
          <w:p w:rsidR="00C0199B" w:rsidRPr="00655231" w:rsidRDefault="00C0199B" w:rsidP="00DA7521">
            <w:pPr>
              <w:pStyle w:val="ListParagraph"/>
              <w:widowControl/>
              <w:numPr>
                <w:ilvl w:val="0"/>
                <w:numId w:val="19"/>
              </w:numPr>
              <w:ind w:left="454" w:hanging="283"/>
              <w:jc w:val="left"/>
              <w:rPr>
                <w:rFonts w:ascii="Arial Narrow" w:hAnsi="Arial Narrow"/>
                <w:sz w:val="20"/>
              </w:rPr>
            </w:pPr>
            <w:r w:rsidRPr="00655231">
              <w:rPr>
                <w:rFonts w:ascii="Arial Narrow" w:hAnsi="Arial Narrow"/>
                <w:sz w:val="20"/>
              </w:rPr>
              <w:t>Assume nivolumab cost offset of $</w:t>
            </w:r>
            <w:r w:rsidR="00E964DA">
              <w:rPr>
                <w:rFonts w:ascii="Arial Narrow" w:hAnsi="Arial Narrow"/>
                <w:noProof/>
                <w:color w:val="000000"/>
                <w:sz w:val="20"/>
                <w:highlight w:val="black"/>
              </w:rPr>
              <w:t>'''''''''''''''''''''''</w:t>
            </w:r>
            <w:r w:rsidRPr="00655231">
              <w:rPr>
                <w:rFonts w:ascii="Arial Narrow" w:hAnsi="Arial Narrow"/>
                <w:sz w:val="20"/>
              </w:rPr>
              <w:t xml:space="preserve"> (stated to be from Nivo NSQ NSCLC PSD, Nov 2016)</w:t>
            </w:r>
          </w:p>
        </w:tc>
        <w:tc>
          <w:tcPr>
            <w:tcW w:w="1196" w:type="dxa"/>
          </w:tcPr>
          <w:p w:rsidR="00C0199B" w:rsidRPr="00655231" w:rsidRDefault="00C0199B" w:rsidP="000546F6">
            <w:pPr>
              <w:rPr>
                <w:rFonts w:ascii="Arial Narrow" w:hAnsi="Arial Narrow"/>
                <w:sz w:val="20"/>
                <w:szCs w:val="20"/>
              </w:rPr>
            </w:pPr>
            <w:r w:rsidRPr="00655231">
              <w:rPr>
                <w:rFonts w:ascii="Arial Narrow" w:hAnsi="Arial Narrow"/>
                <w:sz w:val="20"/>
                <w:szCs w:val="20"/>
              </w:rPr>
              <w:t>$</w:t>
            </w:r>
            <w:r w:rsidR="00E964DA">
              <w:rPr>
                <w:rFonts w:ascii="Arial Narrow" w:hAnsi="Arial Narrow"/>
                <w:noProof/>
                <w:color w:val="000000"/>
                <w:sz w:val="20"/>
                <w:szCs w:val="20"/>
                <w:highlight w:val="black"/>
              </w:rPr>
              <w:t>''''''''''''''''</w:t>
            </w:r>
          </w:p>
        </w:tc>
      </w:tr>
      <w:tr w:rsidR="00C0199B" w:rsidRPr="00655231" w:rsidTr="00BD4830">
        <w:tc>
          <w:tcPr>
            <w:tcW w:w="8046" w:type="dxa"/>
          </w:tcPr>
          <w:p w:rsidR="00C0199B" w:rsidRPr="00660757" w:rsidRDefault="00660757" w:rsidP="000546F6">
            <w:pPr>
              <w:rPr>
                <w:rFonts w:ascii="Arial Narrow" w:hAnsi="Arial Narrow"/>
                <w:sz w:val="20"/>
                <w:szCs w:val="20"/>
                <w:highlight w:val="black"/>
              </w:rPr>
            </w:pPr>
            <w:r>
              <w:rPr>
                <w:rFonts w:ascii="Arial Narrow" w:hAnsi="Arial Narrow"/>
                <w:noProof/>
                <w:color w:val="000000"/>
                <w:sz w:val="20"/>
                <w:szCs w:val="20"/>
                <w:highlight w:val="black"/>
              </w:rPr>
              <w:t>''''''''''''''''''''''' ''''''''''''' ''''''''''''''' '''''' '''''''''' ''''''''' '''''''''''''''''' '''''''''''''''''''''''''' '''''''' '''''''''''''</w:t>
            </w:r>
          </w:p>
          <w:p w:rsidR="00C0199B" w:rsidRPr="00660757" w:rsidRDefault="00660757" w:rsidP="00660757">
            <w:pPr>
              <w:ind w:left="454" w:hanging="283"/>
              <w:rPr>
                <w:rFonts w:ascii="Arial Narrow" w:hAnsi="Arial Narrow"/>
                <w:sz w:val="20"/>
                <w:highlight w:val="black"/>
              </w:rPr>
            </w:pP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p>
          <w:p w:rsidR="00C0199B" w:rsidRPr="00660757" w:rsidRDefault="00660757" w:rsidP="00660757">
            <w:pPr>
              <w:ind w:left="454" w:hanging="283"/>
              <w:rPr>
                <w:rFonts w:ascii="Arial Narrow" w:hAnsi="Arial Narrow"/>
                <w:sz w:val="20"/>
                <w:highlight w:val="black"/>
              </w:rPr>
            </w:pP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p>
          <w:p w:rsidR="00C0199B" w:rsidRPr="00660757" w:rsidRDefault="00660757" w:rsidP="00660757">
            <w:pPr>
              <w:ind w:left="454" w:hanging="283"/>
              <w:rPr>
                <w:rFonts w:ascii="Arial Narrow" w:hAnsi="Arial Narrow"/>
                <w:sz w:val="20"/>
                <w:highlight w:val="black"/>
              </w:rPr>
            </w:pP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r>
              <w:rPr>
                <w:rFonts w:ascii="Symbol" w:hAnsi="Symbol" w:cs="Arial"/>
                <w:noProof/>
                <w:snapToGrid w:val="0"/>
                <w:color w:val="000000"/>
                <w:sz w:val="20"/>
                <w:szCs w:val="20"/>
                <w:highlight w:val="black"/>
                <w:lang w:eastAsia="en-US"/>
              </w:rPr>
              <w:t></w:t>
            </w:r>
          </w:p>
        </w:tc>
        <w:tc>
          <w:tcPr>
            <w:tcW w:w="1196" w:type="dxa"/>
          </w:tcPr>
          <w:p w:rsidR="00C0199B" w:rsidRPr="00655231" w:rsidRDefault="00C0199B" w:rsidP="000546F6">
            <w:pPr>
              <w:rPr>
                <w:rFonts w:ascii="Arial Narrow" w:hAnsi="Arial Narrow"/>
                <w:sz w:val="20"/>
                <w:szCs w:val="20"/>
              </w:rPr>
            </w:pPr>
            <w:r w:rsidRPr="00655231">
              <w:rPr>
                <w:rFonts w:ascii="Arial Narrow" w:hAnsi="Arial Narrow"/>
                <w:sz w:val="20"/>
                <w:szCs w:val="20"/>
              </w:rPr>
              <w:t>$</w:t>
            </w:r>
            <w:r w:rsidR="00660757">
              <w:rPr>
                <w:rFonts w:ascii="Arial Narrow" w:hAnsi="Arial Narrow"/>
                <w:noProof/>
                <w:color w:val="000000"/>
                <w:sz w:val="20"/>
                <w:szCs w:val="20"/>
                <w:highlight w:val="black"/>
              </w:rPr>
              <w:t>'''''''''''''''''</w:t>
            </w:r>
          </w:p>
        </w:tc>
      </w:tr>
    </w:tbl>
    <w:p w:rsidR="00C0199B" w:rsidRPr="00660757" w:rsidRDefault="00660757" w:rsidP="00C0199B">
      <w:pPr>
        <w:spacing w:after="120"/>
        <w:rPr>
          <w:sz w:val="18"/>
          <w:highlight w:val="black"/>
        </w:rPr>
      </w:pPr>
      <w:r>
        <w:rPr>
          <w:noProof/>
          <w:color w:val="000000"/>
          <w:sz w:val="18"/>
          <w:highlight w:val="black"/>
          <w:vertAlign w:val="superscript"/>
        </w:rPr>
        <w:t>''' '''''' '''''''' ''''''' ''''''''''''''' ''''''''''''''''' ''''' '''''''' ''''''''''''''''''''''''''' '''''' ''''''' ''''''''''''''''''''''' ''''''''''' ''''''''''''' ''''''''''''''''''''''''''''' '''''''''''' '''''''''''''''''''''' '''''''''''''''''''''''''''''''''' '''''''''''' ''''''' '''''''''''''''''''''''''' ''''''''''''''''''''''''''' '''''''' ''''''''''''''''''''' '''''''' '''''''''''''''''''' ''''''' '''''' '''''''' ''''''''' ''''''''' '''''''' ''''''''' ''''''' ''''''''' '''''''''''''''''''''''''''''' ''''''''' '''''''''''''''''''''''''''''' '''''''''' ''''''' '''''''''''''''''''''''''' '''' ''' ''''''''''''''' ''''''''''''' ''' ''''''''''''''' ''''''''''''''' '''''' ''''' ''''''''''''''''''' ''''''''''' '''''''''''''''' '''''' ''''''''''' '''''' ''''''''''' '''''''''''' '''''''''''''''''''' '''''' '''''''' '''''''''''''''''''''''''''''''' ''''''''' '''' '''''''' ''''''' ''''''' '''''''''''''''''''''''''' ''''''''''''''''''''''' ''''''''''' '''' ''''''''''''''''''' ''''''''''''''''''' '''''''' ''''''''''''' ''''''''''''''' '''''' ''' ''''''''''''''' ''''''''''''''''''' ''''''''''''''' '''''''' '''''''' '''''''''''''''''''''''' '''''''''''' ''''' '' ''''''''''''''''' '''''''''''''''''''' '''''''''''''''''' ''''''' '''''''''''''''''''''' ''''''''' '''''''' ''''''' '''''''''''''''''''''''' '''''''''''''' '''''' '''''''''''''''''''''' '''''''' ''''''''''''''''''' '''' '''''''''' '''''''''''''''''''' '''''''' ''' ''' ''''''''' ''''''' ''''''''''' ''' ''' ''' '''''' '''''''' ''''''''''' '''' ''''''''''''''''''''''</w:t>
      </w:r>
    </w:p>
    <w:p w:rsidR="00C0199B" w:rsidRPr="00A97CEC" w:rsidRDefault="00C0199B" w:rsidP="00A154CD">
      <w:pPr>
        <w:pStyle w:val="ListParagraph"/>
        <w:widowControl/>
        <w:numPr>
          <w:ilvl w:val="1"/>
          <w:numId w:val="5"/>
        </w:numPr>
        <w:spacing w:before="120" w:after="120"/>
        <w:contextualSpacing w:val="0"/>
        <w:rPr>
          <w:rFonts w:asciiTheme="minorHAnsi" w:hAnsiTheme="minorHAnsi"/>
          <w:sz w:val="24"/>
          <w:szCs w:val="24"/>
        </w:rPr>
      </w:pPr>
      <w:r w:rsidRPr="008C6270">
        <w:rPr>
          <w:rFonts w:asciiTheme="minorHAnsi" w:hAnsiTheme="minorHAnsi"/>
          <w:sz w:val="24"/>
          <w:szCs w:val="24"/>
        </w:rPr>
        <w:t>The primary message of th</w:t>
      </w:r>
      <w:r w:rsidR="00437EC2" w:rsidRPr="008C6270">
        <w:rPr>
          <w:rFonts w:asciiTheme="minorHAnsi" w:hAnsiTheme="minorHAnsi"/>
          <w:sz w:val="24"/>
          <w:szCs w:val="24"/>
        </w:rPr>
        <w:t xml:space="preserve">e </w:t>
      </w:r>
      <w:r w:rsidRPr="008C6270">
        <w:rPr>
          <w:rFonts w:asciiTheme="minorHAnsi" w:hAnsiTheme="minorHAnsi"/>
          <w:sz w:val="24"/>
          <w:szCs w:val="24"/>
        </w:rPr>
        <w:t xml:space="preserve">table </w:t>
      </w:r>
      <w:r w:rsidR="00437EC2" w:rsidRPr="008C6270">
        <w:rPr>
          <w:rFonts w:asciiTheme="minorHAnsi" w:hAnsiTheme="minorHAnsi"/>
          <w:sz w:val="24"/>
          <w:szCs w:val="24"/>
        </w:rPr>
        <w:t xml:space="preserve">above </w:t>
      </w:r>
      <w:r w:rsidRPr="008C6270">
        <w:rPr>
          <w:rFonts w:asciiTheme="minorHAnsi" w:hAnsiTheme="minorHAnsi"/>
          <w:sz w:val="24"/>
          <w:szCs w:val="24"/>
        </w:rPr>
        <w:t xml:space="preserve">is that, </w:t>
      </w:r>
      <w:r w:rsidR="00660757">
        <w:rPr>
          <w:rFonts w:asciiTheme="minorHAnsi" w:hAnsiTheme="minorHAnsi"/>
          <w:noProof/>
          <w:color w:val="000000"/>
          <w:sz w:val="24"/>
          <w:szCs w:val="24"/>
          <w:highlight w:val="black"/>
        </w:rPr>
        <w:t>'''''''''' ''''''''''''''''' '''''''''''' '''''' ''''''''''''''''''' ''''''''''''''''''''' '''''''' ''''''''''''' '''''' '''''''''''''' '''' ''''''' '''''''''''''''''''''''''''''''' '''''''''' '''''''''''''''''''''''' '''''''' '''''''''''' '''''''''''''''''' '''''''''''' ''''''''''' ''''''''''' ''''' '''''''''''''''''''' ''''''''' '''''''''''''''' ''''''' ''''''''' '''' '''''''''''''''' ''''' ''''''''''''''''' ''''''''''' '''''''''''' ''' ''''''''''''' ''''''''' '''' ''''''''''''''''' '''' ''''''' ''''''''''''''''''''' '''''''</w:t>
      </w:r>
      <w:r w:rsidRPr="00E255F4">
        <w:rPr>
          <w:rFonts w:asciiTheme="minorHAnsi" w:hAnsiTheme="minorHAnsi"/>
          <w:sz w:val="24"/>
          <w:szCs w:val="24"/>
        </w:rPr>
        <w:t>.</w:t>
      </w:r>
    </w:p>
    <w:p w:rsidR="00032BDB" w:rsidRDefault="008C6270" w:rsidP="005336ED">
      <w:pPr>
        <w:rPr>
          <w:rFonts w:asciiTheme="minorHAnsi" w:hAnsiTheme="minorHAnsi"/>
          <w:i/>
        </w:rPr>
      </w:pPr>
      <w:r w:rsidRPr="00525B39">
        <w:rPr>
          <w:rFonts w:asciiTheme="minorHAnsi" w:hAnsiTheme="minorHAnsi"/>
          <w:i/>
        </w:rPr>
        <w:t>For more deta</w:t>
      </w:r>
      <w:r w:rsidR="00A97CEC">
        <w:rPr>
          <w:rFonts w:asciiTheme="minorHAnsi" w:hAnsiTheme="minorHAnsi"/>
          <w:i/>
        </w:rPr>
        <w:t>il on PBAC’s view, see section 6</w:t>
      </w:r>
      <w:r w:rsidRPr="00525B39">
        <w:rPr>
          <w:rFonts w:asciiTheme="minorHAnsi" w:hAnsiTheme="minorHAnsi"/>
          <w:i/>
        </w:rPr>
        <w:t xml:space="preserve"> PBAC outcome</w:t>
      </w:r>
      <w:r w:rsidR="00A97CEC">
        <w:rPr>
          <w:rFonts w:asciiTheme="minorHAnsi" w:hAnsiTheme="minorHAnsi"/>
          <w:i/>
        </w:rPr>
        <w:t>.</w:t>
      </w:r>
    </w:p>
    <w:p w:rsidR="008C1DCA" w:rsidRPr="00032BDB" w:rsidRDefault="008C1DCA" w:rsidP="00032BDB">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032BDB">
        <w:rPr>
          <w:rFonts w:asciiTheme="minorHAnsi" w:hAnsiTheme="minorHAnsi"/>
          <w:sz w:val="32"/>
          <w:szCs w:val="32"/>
        </w:rPr>
        <w:t xml:space="preserve">PBAC </w:t>
      </w:r>
      <w:r w:rsidR="00B84385">
        <w:rPr>
          <w:rFonts w:asciiTheme="minorHAnsi" w:hAnsiTheme="minorHAnsi"/>
          <w:sz w:val="32"/>
          <w:szCs w:val="32"/>
        </w:rPr>
        <w:t>o</w:t>
      </w:r>
      <w:r w:rsidRPr="00032BDB">
        <w:rPr>
          <w:rFonts w:asciiTheme="minorHAnsi" w:hAnsiTheme="minorHAnsi"/>
          <w:sz w:val="32"/>
          <w:szCs w:val="32"/>
        </w:rPr>
        <w:t>utcome</w:t>
      </w:r>
    </w:p>
    <w:p w:rsidR="00032BDB" w:rsidRPr="002266C9" w:rsidRDefault="00032BDB" w:rsidP="002266C9">
      <w:pPr>
        <w:pStyle w:val="ListParagraph"/>
        <w:widowControl/>
        <w:numPr>
          <w:ilvl w:val="1"/>
          <w:numId w:val="5"/>
        </w:numPr>
        <w:spacing w:after="120"/>
        <w:contextualSpacing w:val="0"/>
        <w:rPr>
          <w:rFonts w:asciiTheme="minorHAnsi" w:hAnsiTheme="minorHAnsi"/>
          <w:sz w:val="24"/>
          <w:szCs w:val="24"/>
        </w:rPr>
      </w:pPr>
      <w:r w:rsidRPr="002266C9">
        <w:rPr>
          <w:rFonts w:asciiTheme="minorHAnsi" w:hAnsiTheme="minorHAnsi"/>
          <w:sz w:val="24"/>
          <w:szCs w:val="24"/>
        </w:rPr>
        <w:t>The PBAC deferred making a recommendation to list pembrolizumab for the first line treatment of patients with metastatic (Stage IV) non-small cell lung cancer (NSCLC), who have high expression of programmed cell death ligand 1 (PD-L1), defined as a tum</w:t>
      </w:r>
      <w:r w:rsidR="00B84385">
        <w:rPr>
          <w:rFonts w:asciiTheme="minorHAnsi" w:hAnsiTheme="minorHAnsi"/>
          <w:sz w:val="24"/>
          <w:szCs w:val="24"/>
        </w:rPr>
        <w:t>our proportion score (TPS) of ≥</w:t>
      </w:r>
      <w:r w:rsidRPr="002266C9">
        <w:rPr>
          <w:rFonts w:asciiTheme="minorHAnsi" w:hAnsiTheme="minorHAnsi"/>
          <w:sz w:val="24"/>
          <w:szCs w:val="24"/>
        </w:rPr>
        <w:t xml:space="preserve">50%. In deciding to defer, the PBAC advised that </w:t>
      </w:r>
      <w:r w:rsidR="00497908">
        <w:rPr>
          <w:rFonts w:asciiTheme="minorHAnsi" w:hAnsiTheme="minorHAnsi"/>
          <w:sz w:val="24"/>
          <w:szCs w:val="24"/>
        </w:rPr>
        <w:t xml:space="preserve">its primary concern was that </w:t>
      </w:r>
      <w:r w:rsidRPr="002266C9">
        <w:rPr>
          <w:rFonts w:asciiTheme="minorHAnsi" w:hAnsiTheme="minorHAnsi"/>
          <w:sz w:val="24"/>
          <w:szCs w:val="24"/>
        </w:rPr>
        <w:t>further work was required to determine the size of the patient population eligible for treatment with pembrolizumab.</w:t>
      </w:r>
      <w:r w:rsidR="00497908">
        <w:rPr>
          <w:rFonts w:asciiTheme="minorHAnsi" w:hAnsiTheme="minorHAnsi"/>
          <w:sz w:val="24"/>
          <w:szCs w:val="24"/>
        </w:rPr>
        <w:t xml:space="preserve"> The PBAC also preferred</w:t>
      </w:r>
      <w:r w:rsidR="003E2EFE">
        <w:rPr>
          <w:rFonts w:asciiTheme="minorHAnsi" w:hAnsiTheme="minorHAnsi"/>
          <w:sz w:val="24"/>
          <w:szCs w:val="24"/>
        </w:rPr>
        <w:t xml:space="preserve"> </w:t>
      </w:r>
      <w:r w:rsidR="003E2EFE" w:rsidRPr="002266C9">
        <w:rPr>
          <w:rFonts w:asciiTheme="minorHAnsi" w:hAnsiTheme="minorHAnsi"/>
          <w:sz w:val="24"/>
          <w:szCs w:val="24"/>
        </w:rPr>
        <w:t xml:space="preserve">a further </w:t>
      </w:r>
      <w:r w:rsidR="00D00A9B">
        <w:rPr>
          <w:rFonts w:asciiTheme="minorHAnsi" w:hAnsiTheme="minorHAnsi"/>
          <w:sz w:val="24"/>
          <w:szCs w:val="24"/>
        </w:rPr>
        <w:t xml:space="preserve">price </w:t>
      </w:r>
      <w:r w:rsidR="003E2EFE" w:rsidRPr="002266C9">
        <w:rPr>
          <w:rFonts w:asciiTheme="minorHAnsi" w:hAnsiTheme="minorHAnsi"/>
          <w:sz w:val="24"/>
          <w:szCs w:val="24"/>
        </w:rPr>
        <w:t xml:space="preserve">reduction </w:t>
      </w:r>
      <w:r w:rsidR="003E2EFE">
        <w:rPr>
          <w:rFonts w:asciiTheme="minorHAnsi" w:hAnsiTheme="minorHAnsi"/>
          <w:sz w:val="24"/>
          <w:szCs w:val="24"/>
        </w:rPr>
        <w:t xml:space="preserve">to minimise the indirect, uncertain and delayed reliance on exceeding expenditure caps to achieve cost effectiveness. </w:t>
      </w:r>
      <w:r w:rsidR="00FF49D4">
        <w:rPr>
          <w:rFonts w:asciiTheme="minorHAnsi" w:hAnsiTheme="minorHAnsi"/>
          <w:sz w:val="24"/>
          <w:szCs w:val="24"/>
        </w:rPr>
        <w:t>T</w:t>
      </w:r>
      <w:r w:rsidR="003E2EFE">
        <w:rPr>
          <w:rFonts w:asciiTheme="minorHAnsi" w:hAnsiTheme="minorHAnsi"/>
          <w:sz w:val="24"/>
          <w:szCs w:val="24"/>
        </w:rPr>
        <w:t xml:space="preserve">he PBAC </w:t>
      </w:r>
      <w:r w:rsidR="00FF49D4">
        <w:rPr>
          <w:rFonts w:asciiTheme="minorHAnsi" w:hAnsiTheme="minorHAnsi"/>
          <w:sz w:val="24"/>
          <w:szCs w:val="24"/>
        </w:rPr>
        <w:t>considered that a further reduction in the cost per patient of pembrolizumab might also be required to address the residual uncertainties in th</w:t>
      </w:r>
      <w:r w:rsidR="00CB3F90">
        <w:rPr>
          <w:rFonts w:asciiTheme="minorHAnsi" w:hAnsiTheme="minorHAnsi"/>
          <w:sz w:val="24"/>
          <w:szCs w:val="24"/>
        </w:rPr>
        <w:t>e economic evaluation</w:t>
      </w:r>
      <w:r w:rsidR="00FF49D4">
        <w:rPr>
          <w:rFonts w:asciiTheme="minorHAnsi" w:hAnsiTheme="minorHAnsi"/>
          <w:sz w:val="24"/>
          <w:szCs w:val="24"/>
        </w:rPr>
        <w:t xml:space="preserve"> as noted below in paragraphs 6.5 and 6.6. In this context, the PBAC </w:t>
      </w:r>
      <w:r w:rsidR="003E2EFE">
        <w:rPr>
          <w:rFonts w:asciiTheme="minorHAnsi" w:hAnsiTheme="minorHAnsi"/>
          <w:sz w:val="24"/>
          <w:szCs w:val="24"/>
        </w:rPr>
        <w:t xml:space="preserve">accepted the </w:t>
      </w:r>
      <w:r w:rsidR="00FF49D4">
        <w:rPr>
          <w:rFonts w:asciiTheme="minorHAnsi" w:hAnsiTheme="minorHAnsi"/>
          <w:sz w:val="24"/>
          <w:szCs w:val="24"/>
        </w:rPr>
        <w:t xml:space="preserve">respecified basis of the economic model to estimate pembrolizumab costs directly from the extrapolated time to treatment cessation. The PBAC noted that this respecification had resulted in the </w:t>
      </w:r>
      <w:r w:rsidR="003E2EFE">
        <w:rPr>
          <w:rFonts w:asciiTheme="minorHAnsi" w:hAnsiTheme="minorHAnsi"/>
          <w:sz w:val="24"/>
          <w:szCs w:val="24"/>
        </w:rPr>
        <w:t xml:space="preserve">revised ICER of </w:t>
      </w:r>
      <w:r w:rsidR="00385F57">
        <w:rPr>
          <w:rFonts w:asciiTheme="minorHAnsi" w:hAnsiTheme="minorHAnsi"/>
          <w:sz w:val="24"/>
          <w:szCs w:val="24"/>
        </w:rPr>
        <w:t>$45,000/QALY - $75,000/QALY</w:t>
      </w:r>
      <w:r w:rsidR="003E2EFE">
        <w:rPr>
          <w:rFonts w:asciiTheme="minorHAnsi" w:hAnsiTheme="minorHAnsi"/>
          <w:sz w:val="24"/>
          <w:szCs w:val="24"/>
        </w:rPr>
        <w:t xml:space="preserve">, </w:t>
      </w:r>
      <w:r w:rsidR="00CB3F90">
        <w:rPr>
          <w:rFonts w:asciiTheme="minorHAnsi" w:hAnsiTheme="minorHAnsi"/>
          <w:sz w:val="24"/>
          <w:szCs w:val="24"/>
        </w:rPr>
        <w:t xml:space="preserve">compared to the </w:t>
      </w:r>
      <w:r w:rsidR="00385F57">
        <w:rPr>
          <w:rFonts w:asciiTheme="minorHAnsi" w:hAnsiTheme="minorHAnsi"/>
          <w:sz w:val="24"/>
          <w:szCs w:val="24"/>
        </w:rPr>
        <w:t>$45,000/QALY - $75,000/QALY</w:t>
      </w:r>
      <w:r w:rsidR="003633DD">
        <w:rPr>
          <w:rFonts w:asciiTheme="minorHAnsi" w:hAnsiTheme="minorHAnsi"/>
          <w:sz w:val="24"/>
          <w:szCs w:val="24"/>
        </w:rPr>
        <w:t xml:space="preserve"> </w:t>
      </w:r>
      <w:r w:rsidR="00CB3F90">
        <w:rPr>
          <w:rFonts w:asciiTheme="minorHAnsi" w:hAnsiTheme="minorHAnsi"/>
          <w:sz w:val="24"/>
          <w:szCs w:val="24"/>
        </w:rPr>
        <w:t>from the minor resubmission.</w:t>
      </w:r>
    </w:p>
    <w:p w:rsidR="0068183D" w:rsidRPr="002266C9" w:rsidRDefault="0068183D" w:rsidP="002266C9">
      <w:pPr>
        <w:pStyle w:val="ListParagraph"/>
        <w:widowControl/>
        <w:numPr>
          <w:ilvl w:val="1"/>
          <w:numId w:val="5"/>
        </w:numPr>
        <w:spacing w:after="120"/>
        <w:contextualSpacing w:val="0"/>
        <w:rPr>
          <w:rFonts w:asciiTheme="minorHAnsi" w:hAnsiTheme="minorHAnsi"/>
          <w:sz w:val="24"/>
          <w:szCs w:val="24"/>
        </w:rPr>
      </w:pPr>
      <w:r w:rsidRPr="002266C9">
        <w:rPr>
          <w:rFonts w:asciiTheme="minorHAnsi" w:hAnsiTheme="minorHAnsi"/>
          <w:sz w:val="24"/>
          <w:szCs w:val="24"/>
        </w:rPr>
        <w:t>The PBAC agreed with the changes to the proposed restriction suggested by the Secretariat</w:t>
      </w:r>
      <w:r w:rsidR="00113772">
        <w:rPr>
          <w:rFonts w:asciiTheme="minorHAnsi" w:hAnsiTheme="minorHAnsi"/>
          <w:sz w:val="24"/>
          <w:szCs w:val="24"/>
        </w:rPr>
        <w:t>,</w:t>
      </w:r>
      <w:r w:rsidRPr="002266C9">
        <w:rPr>
          <w:rFonts w:asciiTheme="minorHAnsi" w:hAnsiTheme="minorHAnsi"/>
          <w:sz w:val="24"/>
          <w:szCs w:val="24"/>
        </w:rPr>
        <w:t xml:space="preserve"> and </w:t>
      </w:r>
      <w:r w:rsidR="00113772">
        <w:rPr>
          <w:rFonts w:asciiTheme="minorHAnsi" w:hAnsiTheme="minorHAnsi"/>
          <w:sz w:val="24"/>
          <w:szCs w:val="24"/>
        </w:rPr>
        <w:t>confirmed</w:t>
      </w:r>
      <w:r w:rsidRPr="002266C9">
        <w:rPr>
          <w:rFonts w:asciiTheme="minorHAnsi" w:hAnsiTheme="minorHAnsi"/>
          <w:sz w:val="24"/>
          <w:szCs w:val="24"/>
        </w:rPr>
        <w:t xml:space="preserve"> that it </w:t>
      </w:r>
      <w:r w:rsidR="00B7652F">
        <w:rPr>
          <w:rFonts w:asciiTheme="minorHAnsi" w:hAnsiTheme="minorHAnsi"/>
          <w:sz w:val="24"/>
          <w:szCs w:val="24"/>
        </w:rPr>
        <w:t>would</w:t>
      </w:r>
      <w:r w:rsidRPr="002266C9">
        <w:rPr>
          <w:rFonts w:asciiTheme="minorHAnsi" w:hAnsiTheme="minorHAnsi"/>
          <w:sz w:val="24"/>
          <w:szCs w:val="24"/>
        </w:rPr>
        <w:t xml:space="preserve"> </w:t>
      </w:r>
      <w:r w:rsidR="00B7652F">
        <w:rPr>
          <w:rFonts w:asciiTheme="minorHAnsi" w:hAnsiTheme="minorHAnsi"/>
          <w:sz w:val="24"/>
          <w:szCs w:val="24"/>
        </w:rPr>
        <w:t xml:space="preserve">be </w:t>
      </w:r>
      <w:r w:rsidRPr="002266C9">
        <w:rPr>
          <w:rFonts w:asciiTheme="minorHAnsi" w:hAnsiTheme="minorHAnsi"/>
          <w:sz w:val="24"/>
          <w:szCs w:val="24"/>
        </w:rPr>
        <w:t>necessary to include a criterion for performance status in the grandfathering restriction. The PBAC foreshadowed that, in the event of any recommendation to list pembrolizumab, as first-line therapy in metastatic NSCLC, both its restriction and that of nivolumab would need to be modified to prevent PBS-subsidised sequential immunotherapy.</w:t>
      </w:r>
    </w:p>
    <w:p w:rsidR="0068183D" w:rsidRPr="002266C9" w:rsidRDefault="0068183D" w:rsidP="002266C9">
      <w:pPr>
        <w:pStyle w:val="ListParagraph"/>
        <w:widowControl/>
        <w:numPr>
          <w:ilvl w:val="1"/>
          <w:numId w:val="5"/>
        </w:numPr>
        <w:spacing w:after="120"/>
        <w:contextualSpacing w:val="0"/>
        <w:rPr>
          <w:rFonts w:asciiTheme="minorHAnsi" w:hAnsiTheme="minorHAnsi"/>
          <w:sz w:val="24"/>
          <w:szCs w:val="24"/>
        </w:rPr>
      </w:pPr>
      <w:r w:rsidRPr="002266C9">
        <w:rPr>
          <w:rFonts w:asciiTheme="minorHAnsi" w:hAnsiTheme="minorHAnsi"/>
          <w:sz w:val="24"/>
          <w:szCs w:val="24"/>
        </w:rPr>
        <w:t xml:space="preserve">The PBAC </w:t>
      </w:r>
      <w:r w:rsidR="00113772">
        <w:rPr>
          <w:rFonts w:asciiTheme="minorHAnsi" w:hAnsiTheme="minorHAnsi"/>
          <w:sz w:val="24"/>
          <w:szCs w:val="24"/>
        </w:rPr>
        <w:t xml:space="preserve">recalled </w:t>
      </w:r>
      <w:r w:rsidRPr="002266C9">
        <w:rPr>
          <w:rFonts w:asciiTheme="minorHAnsi" w:hAnsiTheme="minorHAnsi"/>
          <w:sz w:val="24"/>
          <w:szCs w:val="24"/>
        </w:rPr>
        <w:t xml:space="preserve">that, since its first consideration of pembrolizumab for first-line metastatic NSCLC in patients with </w:t>
      </w:r>
      <w:r w:rsidR="0046690B">
        <w:rPr>
          <w:rFonts w:asciiTheme="minorHAnsi" w:hAnsiTheme="minorHAnsi"/>
          <w:sz w:val="24"/>
          <w:szCs w:val="24"/>
        </w:rPr>
        <w:t xml:space="preserve">a </w:t>
      </w:r>
      <w:r w:rsidRPr="002266C9">
        <w:rPr>
          <w:rFonts w:asciiTheme="minorHAnsi" w:hAnsiTheme="minorHAnsi"/>
          <w:sz w:val="24"/>
          <w:szCs w:val="24"/>
        </w:rPr>
        <w:t>TPS of ≥50% in March 2017, nivolumab (another PD-L1 inhibitor) has become PBS subsidised for the second-line treatment of NSCLC</w:t>
      </w:r>
      <w:r w:rsidR="00D00A9B" w:rsidRPr="00D00A9B">
        <w:rPr>
          <w:rFonts w:asciiTheme="minorHAnsi" w:hAnsiTheme="minorHAnsi"/>
          <w:sz w:val="24"/>
          <w:szCs w:val="24"/>
        </w:rPr>
        <w:t xml:space="preserve"> </w:t>
      </w:r>
      <w:r w:rsidR="00D00A9B">
        <w:rPr>
          <w:rFonts w:asciiTheme="minorHAnsi" w:hAnsiTheme="minorHAnsi"/>
          <w:sz w:val="24"/>
          <w:szCs w:val="24"/>
        </w:rPr>
        <w:t>irrespective of the status of tumour PD-L1 expression</w:t>
      </w:r>
      <w:r w:rsidRPr="002266C9">
        <w:rPr>
          <w:rFonts w:asciiTheme="minorHAnsi" w:hAnsiTheme="minorHAnsi"/>
          <w:sz w:val="24"/>
          <w:szCs w:val="24"/>
        </w:rPr>
        <w:t>. The PBAC con</w:t>
      </w:r>
      <w:r w:rsidR="00113772">
        <w:rPr>
          <w:rFonts w:asciiTheme="minorHAnsi" w:hAnsiTheme="minorHAnsi"/>
          <w:sz w:val="24"/>
          <w:szCs w:val="24"/>
        </w:rPr>
        <w:t>firmed</w:t>
      </w:r>
      <w:r w:rsidRPr="002266C9">
        <w:rPr>
          <w:rFonts w:asciiTheme="minorHAnsi" w:hAnsiTheme="minorHAnsi"/>
          <w:sz w:val="24"/>
          <w:szCs w:val="24"/>
        </w:rPr>
        <w:t xml:space="preserve"> that this had shifted the clinical context and clinical need in the treatment of metastatic NSCLC, as </w:t>
      </w:r>
      <w:r w:rsidR="00D00A9B">
        <w:rPr>
          <w:rFonts w:asciiTheme="minorHAnsi" w:hAnsiTheme="minorHAnsi"/>
          <w:sz w:val="24"/>
          <w:szCs w:val="24"/>
        </w:rPr>
        <w:t xml:space="preserve">all these </w:t>
      </w:r>
      <w:r w:rsidRPr="002266C9">
        <w:rPr>
          <w:rFonts w:asciiTheme="minorHAnsi" w:hAnsiTheme="minorHAnsi"/>
          <w:sz w:val="24"/>
          <w:szCs w:val="24"/>
        </w:rPr>
        <w:t xml:space="preserve">patients </w:t>
      </w:r>
      <w:r w:rsidR="00D00A9B">
        <w:rPr>
          <w:rFonts w:asciiTheme="minorHAnsi" w:hAnsiTheme="minorHAnsi"/>
          <w:sz w:val="24"/>
          <w:szCs w:val="24"/>
        </w:rPr>
        <w:t xml:space="preserve">now had access to immunotherapy </w:t>
      </w:r>
      <w:r w:rsidRPr="002266C9">
        <w:rPr>
          <w:rFonts w:asciiTheme="minorHAnsi" w:hAnsiTheme="minorHAnsi"/>
          <w:sz w:val="24"/>
          <w:szCs w:val="24"/>
        </w:rPr>
        <w:t>in the second-line setting.</w:t>
      </w:r>
    </w:p>
    <w:p w:rsidR="001804E7" w:rsidRPr="00684410" w:rsidRDefault="001804E7" w:rsidP="001804E7">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 xml:space="preserve">The PBAC noted that the </w:t>
      </w:r>
      <w:r w:rsidR="00E964DA">
        <w:rPr>
          <w:rFonts w:asciiTheme="minorHAnsi" w:hAnsiTheme="minorHAnsi"/>
          <w:noProof/>
          <w:color w:val="000000"/>
          <w:sz w:val="24"/>
          <w:szCs w:val="24"/>
          <w:highlight w:val="black"/>
        </w:rPr>
        <w:t>'''''</w:t>
      </w:r>
      <w:r>
        <w:rPr>
          <w:rFonts w:asciiTheme="minorHAnsi" w:hAnsiTheme="minorHAnsi"/>
          <w:sz w:val="24"/>
          <w:szCs w:val="24"/>
        </w:rPr>
        <w:t>% rebate offered by the minor resubmission would only apply from 18 months of therapy onwards for a patient receiving pembrolizumab and that this is approximately halfway between the estimated mean duration of therapy and the maximum TGA approved duration of therapy. The PBAC considered that few patients would reach 18 months of treatment. The PBAC also noted the early and sharp decline in the PFS curves</w:t>
      </w:r>
      <w:r w:rsidR="00D00A9B">
        <w:rPr>
          <w:rFonts w:asciiTheme="minorHAnsi" w:hAnsiTheme="minorHAnsi"/>
          <w:sz w:val="24"/>
          <w:szCs w:val="24"/>
        </w:rPr>
        <w:t xml:space="preserve"> following the initiation of pembrolizumab. Notably, this initial decrement in health outcomes</w:t>
      </w:r>
      <w:r>
        <w:rPr>
          <w:rFonts w:asciiTheme="minorHAnsi" w:hAnsiTheme="minorHAnsi"/>
          <w:sz w:val="24"/>
          <w:szCs w:val="24"/>
        </w:rPr>
        <w:t xml:space="preserve"> </w:t>
      </w:r>
      <w:r w:rsidRPr="002266C9">
        <w:rPr>
          <w:rFonts w:asciiTheme="minorHAnsi" w:hAnsiTheme="minorHAnsi"/>
          <w:sz w:val="24"/>
          <w:szCs w:val="24"/>
        </w:rPr>
        <w:t xml:space="preserve">was due to early mortality and not radiologic </w:t>
      </w:r>
      <w:r w:rsidR="00D00A9B">
        <w:rPr>
          <w:rFonts w:asciiTheme="minorHAnsi" w:hAnsiTheme="minorHAnsi"/>
          <w:sz w:val="24"/>
          <w:szCs w:val="24"/>
        </w:rPr>
        <w:t xml:space="preserve">evidence </w:t>
      </w:r>
      <w:r w:rsidRPr="002266C9">
        <w:rPr>
          <w:rFonts w:asciiTheme="minorHAnsi" w:hAnsiTheme="minorHAnsi"/>
          <w:sz w:val="24"/>
          <w:szCs w:val="24"/>
        </w:rPr>
        <w:t>of progression.</w:t>
      </w:r>
    </w:p>
    <w:p w:rsidR="0068183D" w:rsidRPr="002266C9" w:rsidRDefault="0068183D" w:rsidP="002266C9">
      <w:pPr>
        <w:pStyle w:val="ListParagraph"/>
        <w:widowControl/>
        <w:numPr>
          <w:ilvl w:val="1"/>
          <w:numId w:val="5"/>
        </w:numPr>
        <w:spacing w:after="120"/>
        <w:contextualSpacing w:val="0"/>
        <w:rPr>
          <w:rFonts w:asciiTheme="minorHAnsi" w:hAnsiTheme="minorHAnsi"/>
          <w:sz w:val="24"/>
          <w:szCs w:val="24"/>
        </w:rPr>
      </w:pPr>
      <w:r w:rsidRPr="002266C9">
        <w:rPr>
          <w:rFonts w:asciiTheme="minorHAnsi" w:hAnsiTheme="minorHAnsi"/>
          <w:sz w:val="24"/>
          <w:szCs w:val="24"/>
        </w:rPr>
        <w:t xml:space="preserve">The PBAC recalled its advice from the November 2017 meeting that the base case of the economic model would need to be respecified to use the observed Kaplan-Meier results from the key trial in the model up to the median duration of follow-up and to not exclude any Kaplan-Meier results. The PBAC noted that the minor </w:t>
      </w:r>
      <w:r w:rsidR="00F87320">
        <w:rPr>
          <w:rFonts w:asciiTheme="minorHAnsi" w:hAnsiTheme="minorHAnsi"/>
          <w:sz w:val="24"/>
          <w:szCs w:val="24"/>
        </w:rPr>
        <w:t>re</w:t>
      </w:r>
      <w:r w:rsidRPr="002266C9">
        <w:rPr>
          <w:rFonts w:asciiTheme="minorHAnsi" w:hAnsiTheme="minorHAnsi"/>
          <w:sz w:val="24"/>
          <w:szCs w:val="24"/>
        </w:rPr>
        <w:t xml:space="preserve">submission did not follow its advice for the extrapolation of PFS data and that the first 9 weeks of Kaplan-Meier results </w:t>
      </w:r>
      <w:r w:rsidR="00984960">
        <w:rPr>
          <w:rFonts w:asciiTheme="minorHAnsi" w:hAnsiTheme="minorHAnsi"/>
          <w:sz w:val="24"/>
          <w:szCs w:val="24"/>
        </w:rPr>
        <w:t xml:space="preserve">for PFS </w:t>
      </w:r>
      <w:r w:rsidRPr="002266C9">
        <w:rPr>
          <w:rFonts w:asciiTheme="minorHAnsi" w:hAnsiTheme="minorHAnsi"/>
          <w:sz w:val="24"/>
          <w:szCs w:val="24"/>
        </w:rPr>
        <w:t xml:space="preserve">were excluded </w:t>
      </w:r>
      <w:r w:rsidR="00113772">
        <w:rPr>
          <w:rFonts w:asciiTheme="minorHAnsi" w:hAnsiTheme="minorHAnsi"/>
          <w:sz w:val="24"/>
          <w:szCs w:val="24"/>
        </w:rPr>
        <w:t xml:space="preserve">when assessing </w:t>
      </w:r>
      <w:r w:rsidRPr="002266C9">
        <w:rPr>
          <w:rFonts w:asciiTheme="minorHAnsi" w:hAnsiTheme="minorHAnsi"/>
          <w:sz w:val="24"/>
          <w:szCs w:val="24"/>
        </w:rPr>
        <w:t>the goodness of fit comparison</w:t>
      </w:r>
      <w:r w:rsidR="00113772">
        <w:rPr>
          <w:rFonts w:asciiTheme="minorHAnsi" w:hAnsiTheme="minorHAnsi"/>
          <w:sz w:val="24"/>
          <w:szCs w:val="24"/>
        </w:rPr>
        <w:t xml:space="preserve"> for the proposed basis of extrapolation beyond the duration of follow-up in the key trial</w:t>
      </w:r>
      <w:r w:rsidRPr="002266C9">
        <w:rPr>
          <w:rFonts w:asciiTheme="minorHAnsi" w:hAnsiTheme="minorHAnsi"/>
          <w:sz w:val="24"/>
          <w:szCs w:val="24"/>
        </w:rPr>
        <w:t xml:space="preserve">. The PBAC noted the explanation provided by the pre-PBAC response regarding the exclusion of data prior to week 9, however considered that it would have been informative if </w:t>
      </w:r>
      <w:r w:rsidR="00911A00">
        <w:rPr>
          <w:rFonts w:asciiTheme="minorHAnsi" w:hAnsiTheme="minorHAnsi"/>
          <w:sz w:val="24"/>
          <w:szCs w:val="24"/>
        </w:rPr>
        <w:t xml:space="preserve">a </w:t>
      </w:r>
      <w:r w:rsidRPr="002266C9">
        <w:rPr>
          <w:rFonts w:asciiTheme="minorHAnsi" w:hAnsiTheme="minorHAnsi"/>
          <w:sz w:val="24"/>
          <w:szCs w:val="24"/>
        </w:rPr>
        <w:t xml:space="preserve">separate </w:t>
      </w:r>
      <w:r w:rsidR="00911A00">
        <w:rPr>
          <w:rFonts w:asciiTheme="minorHAnsi" w:hAnsiTheme="minorHAnsi"/>
          <w:sz w:val="24"/>
          <w:szCs w:val="24"/>
        </w:rPr>
        <w:t xml:space="preserve">set of </w:t>
      </w:r>
      <w:r w:rsidRPr="002266C9">
        <w:rPr>
          <w:rFonts w:asciiTheme="minorHAnsi" w:hAnsiTheme="minorHAnsi"/>
          <w:sz w:val="24"/>
          <w:szCs w:val="24"/>
        </w:rPr>
        <w:t>extr</w:t>
      </w:r>
      <w:r w:rsidR="00337438" w:rsidRPr="002266C9">
        <w:rPr>
          <w:rFonts w:asciiTheme="minorHAnsi" w:hAnsiTheme="minorHAnsi"/>
          <w:sz w:val="24"/>
          <w:szCs w:val="24"/>
        </w:rPr>
        <w:t>apolations were fitted to the Kaplan-Meier</w:t>
      </w:r>
      <w:r w:rsidRPr="002266C9">
        <w:rPr>
          <w:rFonts w:asciiTheme="minorHAnsi" w:hAnsiTheme="minorHAnsi"/>
          <w:sz w:val="24"/>
          <w:szCs w:val="24"/>
        </w:rPr>
        <w:t xml:space="preserve"> curve</w:t>
      </w:r>
      <w:r w:rsidR="00911A00">
        <w:rPr>
          <w:rFonts w:asciiTheme="minorHAnsi" w:hAnsiTheme="minorHAnsi"/>
          <w:sz w:val="24"/>
          <w:szCs w:val="24"/>
        </w:rPr>
        <w:t xml:space="preserve">s including </w:t>
      </w:r>
      <w:r w:rsidRPr="002266C9">
        <w:rPr>
          <w:rFonts w:asciiTheme="minorHAnsi" w:hAnsiTheme="minorHAnsi"/>
          <w:sz w:val="24"/>
          <w:szCs w:val="24"/>
        </w:rPr>
        <w:t xml:space="preserve">weeks 0 – 9 </w:t>
      </w:r>
      <w:r w:rsidR="00984960">
        <w:rPr>
          <w:rFonts w:asciiTheme="minorHAnsi" w:hAnsiTheme="minorHAnsi"/>
          <w:sz w:val="24"/>
          <w:szCs w:val="24"/>
        </w:rPr>
        <w:t>in order to examine the consequence of the exclusion</w:t>
      </w:r>
      <w:r w:rsidR="00911A00">
        <w:rPr>
          <w:rFonts w:asciiTheme="minorHAnsi" w:hAnsiTheme="minorHAnsi"/>
          <w:sz w:val="24"/>
          <w:szCs w:val="24"/>
        </w:rPr>
        <w:t>.</w:t>
      </w:r>
      <w:r w:rsidR="00911A00" w:rsidRPr="00911A00">
        <w:rPr>
          <w:rFonts w:asciiTheme="minorHAnsi" w:hAnsiTheme="minorHAnsi"/>
          <w:sz w:val="24"/>
          <w:szCs w:val="24"/>
        </w:rPr>
        <w:t xml:space="preserve"> </w:t>
      </w:r>
      <w:r w:rsidR="00911A00">
        <w:rPr>
          <w:rFonts w:asciiTheme="minorHAnsi" w:hAnsiTheme="minorHAnsi"/>
          <w:sz w:val="24"/>
          <w:szCs w:val="24"/>
        </w:rPr>
        <w:t>The PBAC concluded</w:t>
      </w:r>
      <w:r w:rsidR="00984960" w:rsidRPr="002266C9">
        <w:rPr>
          <w:rFonts w:asciiTheme="minorHAnsi" w:hAnsiTheme="minorHAnsi"/>
          <w:sz w:val="24"/>
          <w:szCs w:val="24"/>
        </w:rPr>
        <w:t xml:space="preserve"> that the impact of </w:t>
      </w:r>
      <w:r w:rsidR="007665EB">
        <w:rPr>
          <w:rFonts w:asciiTheme="minorHAnsi" w:hAnsiTheme="minorHAnsi"/>
          <w:sz w:val="24"/>
          <w:szCs w:val="24"/>
        </w:rPr>
        <w:t>ex</w:t>
      </w:r>
      <w:r w:rsidR="00984960" w:rsidRPr="002266C9">
        <w:rPr>
          <w:rFonts w:asciiTheme="minorHAnsi" w:hAnsiTheme="minorHAnsi"/>
          <w:sz w:val="24"/>
          <w:szCs w:val="24"/>
        </w:rPr>
        <w:t>cluding the first 9 weeks of data on the ICER remain</w:t>
      </w:r>
      <w:r w:rsidR="00911A00">
        <w:rPr>
          <w:rFonts w:asciiTheme="minorHAnsi" w:hAnsiTheme="minorHAnsi"/>
          <w:sz w:val="24"/>
          <w:szCs w:val="24"/>
        </w:rPr>
        <w:t>ed</w:t>
      </w:r>
      <w:r w:rsidR="00984960" w:rsidRPr="002266C9">
        <w:rPr>
          <w:rFonts w:asciiTheme="minorHAnsi" w:hAnsiTheme="minorHAnsi"/>
          <w:sz w:val="24"/>
          <w:szCs w:val="24"/>
        </w:rPr>
        <w:t xml:space="preserve"> unknown</w:t>
      </w:r>
      <w:r w:rsidRPr="002266C9">
        <w:rPr>
          <w:rFonts w:asciiTheme="minorHAnsi" w:hAnsiTheme="minorHAnsi"/>
          <w:sz w:val="24"/>
          <w:szCs w:val="24"/>
        </w:rPr>
        <w:t xml:space="preserve">. On this basis, the PBAC considered that the ICER presented by the minor </w:t>
      </w:r>
      <w:r w:rsidR="00F87320">
        <w:rPr>
          <w:rFonts w:asciiTheme="minorHAnsi" w:hAnsiTheme="minorHAnsi"/>
          <w:sz w:val="24"/>
          <w:szCs w:val="24"/>
        </w:rPr>
        <w:t>re</w:t>
      </w:r>
      <w:r w:rsidRPr="002266C9">
        <w:rPr>
          <w:rFonts w:asciiTheme="minorHAnsi" w:hAnsiTheme="minorHAnsi"/>
          <w:sz w:val="24"/>
          <w:szCs w:val="24"/>
        </w:rPr>
        <w:t xml:space="preserve">submission </w:t>
      </w:r>
      <w:r w:rsidR="0008455E">
        <w:rPr>
          <w:rFonts w:asciiTheme="minorHAnsi" w:hAnsiTheme="minorHAnsi"/>
          <w:sz w:val="24"/>
          <w:szCs w:val="24"/>
        </w:rPr>
        <w:t xml:space="preserve">remained </w:t>
      </w:r>
      <w:r w:rsidRPr="002266C9">
        <w:rPr>
          <w:rFonts w:asciiTheme="minorHAnsi" w:hAnsiTheme="minorHAnsi"/>
          <w:sz w:val="24"/>
          <w:szCs w:val="24"/>
        </w:rPr>
        <w:t>uncertain.</w:t>
      </w:r>
    </w:p>
    <w:p w:rsidR="00337438" w:rsidRDefault="00337438" w:rsidP="00337438">
      <w:pPr>
        <w:pStyle w:val="ListParagraph"/>
        <w:widowControl/>
        <w:numPr>
          <w:ilvl w:val="1"/>
          <w:numId w:val="5"/>
        </w:numPr>
        <w:spacing w:after="120"/>
        <w:contextualSpacing w:val="0"/>
        <w:rPr>
          <w:rFonts w:asciiTheme="minorHAnsi" w:hAnsiTheme="minorHAnsi"/>
          <w:sz w:val="24"/>
          <w:szCs w:val="24"/>
        </w:rPr>
      </w:pPr>
      <w:r w:rsidRPr="002266C9">
        <w:rPr>
          <w:rFonts w:asciiTheme="minorHAnsi" w:hAnsiTheme="minorHAnsi"/>
          <w:sz w:val="24"/>
          <w:szCs w:val="24"/>
        </w:rPr>
        <w:t xml:space="preserve">The PBAC recalled that it </w:t>
      </w:r>
      <w:r w:rsidR="00984960">
        <w:rPr>
          <w:rFonts w:asciiTheme="minorHAnsi" w:hAnsiTheme="minorHAnsi"/>
          <w:sz w:val="24"/>
          <w:szCs w:val="24"/>
        </w:rPr>
        <w:t xml:space="preserve">had </w:t>
      </w:r>
      <w:r w:rsidRPr="002266C9">
        <w:rPr>
          <w:rFonts w:asciiTheme="minorHAnsi" w:hAnsiTheme="minorHAnsi"/>
          <w:sz w:val="24"/>
          <w:szCs w:val="24"/>
        </w:rPr>
        <w:t>advised that a conservative set of extrapolation curves should be applied after the median duration of follow-up</w:t>
      </w:r>
      <w:r w:rsidR="00132250">
        <w:rPr>
          <w:rFonts w:asciiTheme="minorHAnsi" w:hAnsiTheme="minorHAnsi"/>
          <w:sz w:val="24"/>
          <w:szCs w:val="24"/>
        </w:rPr>
        <w:t>, which</w:t>
      </w:r>
      <w:r w:rsidRPr="002266C9">
        <w:rPr>
          <w:rFonts w:asciiTheme="minorHAnsi" w:hAnsiTheme="minorHAnsi"/>
          <w:sz w:val="24"/>
          <w:szCs w:val="24"/>
        </w:rPr>
        <w:t xml:space="preserve"> take into account the remaining uncertainty in the magnitude of </w:t>
      </w:r>
      <w:r w:rsidR="00984960">
        <w:rPr>
          <w:rFonts w:asciiTheme="minorHAnsi" w:hAnsiTheme="minorHAnsi"/>
          <w:sz w:val="24"/>
          <w:szCs w:val="24"/>
        </w:rPr>
        <w:t xml:space="preserve">any incremental </w:t>
      </w:r>
      <w:r w:rsidRPr="002266C9">
        <w:rPr>
          <w:rFonts w:asciiTheme="minorHAnsi" w:hAnsiTheme="minorHAnsi"/>
          <w:sz w:val="24"/>
          <w:szCs w:val="24"/>
        </w:rPr>
        <w:t xml:space="preserve">PFS and OS </w:t>
      </w:r>
      <w:r w:rsidR="00984960">
        <w:rPr>
          <w:rFonts w:asciiTheme="minorHAnsi" w:hAnsiTheme="minorHAnsi"/>
          <w:sz w:val="24"/>
          <w:szCs w:val="24"/>
        </w:rPr>
        <w:t>gains</w:t>
      </w:r>
      <w:r w:rsidRPr="002266C9">
        <w:rPr>
          <w:rFonts w:asciiTheme="minorHAnsi" w:hAnsiTheme="minorHAnsi"/>
          <w:sz w:val="24"/>
          <w:szCs w:val="24"/>
        </w:rPr>
        <w:t xml:space="preserve">. </w:t>
      </w:r>
      <w:r w:rsidRPr="00684410">
        <w:rPr>
          <w:rFonts w:asciiTheme="minorHAnsi" w:hAnsiTheme="minorHAnsi"/>
          <w:sz w:val="24"/>
          <w:szCs w:val="24"/>
        </w:rPr>
        <w:t>The PBAC noted that</w:t>
      </w:r>
      <w:r w:rsidR="00984960">
        <w:rPr>
          <w:rFonts w:asciiTheme="minorHAnsi" w:hAnsiTheme="minorHAnsi"/>
          <w:sz w:val="24"/>
          <w:szCs w:val="24"/>
        </w:rPr>
        <w:t>,</w:t>
      </w:r>
      <w:r w:rsidRPr="00684410">
        <w:rPr>
          <w:rFonts w:asciiTheme="minorHAnsi" w:hAnsiTheme="minorHAnsi"/>
          <w:sz w:val="24"/>
          <w:szCs w:val="24"/>
        </w:rPr>
        <w:t xml:space="preserve"> as the </w:t>
      </w:r>
      <w:r>
        <w:rPr>
          <w:rFonts w:asciiTheme="minorHAnsi" w:hAnsiTheme="minorHAnsi"/>
          <w:sz w:val="24"/>
          <w:szCs w:val="24"/>
        </w:rPr>
        <w:t xml:space="preserve">minor </w:t>
      </w:r>
      <w:r w:rsidR="00984960">
        <w:rPr>
          <w:rFonts w:asciiTheme="minorHAnsi" w:hAnsiTheme="minorHAnsi"/>
          <w:sz w:val="24"/>
          <w:szCs w:val="24"/>
        </w:rPr>
        <w:t>re</w:t>
      </w:r>
      <w:r>
        <w:rPr>
          <w:rFonts w:asciiTheme="minorHAnsi" w:hAnsiTheme="minorHAnsi"/>
          <w:sz w:val="24"/>
          <w:szCs w:val="24"/>
        </w:rPr>
        <w:t xml:space="preserve">submission and </w:t>
      </w:r>
      <w:r w:rsidR="00984960">
        <w:rPr>
          <w:rFonts w:asciiTheme="minorHAnsi" w:hAnsiTheme="minorHAnsi"/>
          <w:sz w:val="24"/>
          <w:szCs w:val="24"/>
        </w:rPr>
        <w:t xml:space="preserve">the </w:t>
      </w:r>
      <w:r w:rsidRPr="00684410">
        <w:rPr>
          <w:rFonts w:asciiTheme="minorHAnsi" w:hAnsiTheme="minorHAnsi"/>
          <w:sz w:val="24"/>
          <w:szCs w:val="24"/>
        </w:rPr>
        <w:t xml:space="preserve">pre-PBAC response did not provide traces of the area between the pembrolizumab and SOC curves for </w:t>
      </w:r>
      <w:r w:rsidR="007665EB">
        <w:rPr>
          <w:rFonts w:asciiTheme="minorHAnsi" w:hAnsiTheme="minorHAnsi"/>
          <w:sz w:val="24"/>
          <w:szCs w:val="24"/>
        </w:rPr>
        <w:t xml:space="preserve">each extrapolation option across </w:t>
      </w:r>
      <w:r>
        <w:rPr>
          <w:rFonts w:asciiTheme="minorHAnsi" w:hAnsiTheme="minorHAnsi"/>
          <w:sz w:val="24"/>
          <w:szCs w:val="24"/>
        </w:rPr>
        <w:t>PFS and OS</w:t>
      </w:r>
      <w:r w:rsidRPr="00684410">
        <w:rPr>
          <w:rFonts w:asciiTheme="minorHAnsi" w:hAnsiTheme="minorHAnsi"/>
          <w:sz w:val="24"/>
          <w:szCs w:val="24"/>
        </w:rPr>
        <w:t>, it was uncertain which extrapolations were the most conservative</w:t>
      </w:r>
      <w:r w:rsidR="00984960">
        <w:rPr>
          <w:rFonts w:asciiTheme="minorHAnsi" w:hAnsiTheme="minorHAnsi"/>
          <w:sz w:val="24"/>
          <w:szCs w:val="24"/>
        </w:rPr>
        <w:t>.</w:t>
      </w:r>
      <w:r w:rsidR="0008455E" w:rsidRPr="002266C9">
        <w:rPr>
          <w:rFonts w:asciiTheme="minorHAnsi" w:hAnsiTheme="minorHAnsi"/>
          <w:sz w:val="24"/>
          <w:szCs w:val="24"/>
        </w:rPr>
        <w:t xml:space="preserve"> On this basis, the PBAC considered that the ICER presented by the minor </w:t>
      </w:r>
      <w:r w:rsidR="0008455E">
        <w:rPr>
          <w:rFonts w:asciiTheme="minorHAnsi" w:hAnsiTheme="minorHAnsi"/>
          <w:sz w:val="24"/>
          <w:szCs w:val="24"/>
        </w:rPr>
        <w:t>re</w:t>
      </w:r>
      <w:r w:rsidR="0008455E" w:rsidRPr="002266C9">
        <w:rPr>
          <w:rFonts w:asciiTheme="minorHAnsi" w:hAnsiTheme="minorHAnsi"/>
          <w:sz w:val="24"/>
          <w:szCs w:val="24"/>
        </w:rPr>
        <w:t xml:space="preserve">submission </w:t>
      </w:r>
      <w:r w:rsidR="0008455E">
        <w:rPr>
          <w:rFonts w:asciiTheme="minorHAnsi" w:hAnsiTheme="minorHAnsi"/>
          <w:sz w:val="24"/>
          <w:szCs w:val="24"/>
        </w:rPr>
        <w:t xml:space="preserve">remained </w:t>
      </w:r>
      <w:r w:rsidR="0008455E" w:rsidRPr="002266C9">
        <w:rPr>
          <w:rFonts w:asciiTheme="minorHAnsi" w:hAnsiTheme="minorHAnsi"/>
          <w:sz w:val="24"/>
          <w:szCs w:val="24"/>
        </w:rPr>
        <w:t>uncertain.</w:t>
      </w:r>
    </w:p>
    <w:p w:rsidR="009F6D90" w:rsidRDefault="00B01C78" w:rsidP="00337438">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 xml:space="preserve">The PBAC </w:t>
      </w:r>
      <w:r w:rsidR="0008455E">
        <w:rPr>
          <w:rFonts w:asciiTheme="minorHAnsi" w:hAnsiTheme="minorHAnsi"/>
          <w:sz w:val="24"/>
          <w:szCs w:val="24"/>
        </w:rPr>
        <w:t xml:space="preserve">noted the revised ICER of </w:t>
      </w:r>
      <w:r w:rsidR="007E0B2A">
        <w:rPr>
          <w:rFonts w:asciiTheme="minorHAnsi" w:hAnsiTheme="minorHAnsi"/>
          <w:sz w:val="24"/>
          <w:szCs w:val="24"/>
        </w:rPr>
        <w:t xml:space="preserve">$45,000/QALY - $75,000/QALY </w:t>
      </w:r>
      <w:r w:rsidR="0008455E">
        <w:rPr>
          <w:rFonts w:asciiTheme="minorHAnsi" w:hAnsiTheme="minorHAnsi"/>
          <w:sz w:val="24"/>
          <w:szCs w:val="24"/>
        </w:rPr>
        <w:t xml:space="preserve">retained these two sources of uncertainty, but </w:t>
      </w:r>
      <w:r w:rsidR="00D17FE6">
        <w:rPr>
          <w:rFonts w:asciiTheme="minorHAnsi" w:hAnsiTheme="minorHAnsi"/>
          <w:sz w:val="24"/>
          <w:szCs w:val="24"/>
        </w:rPr>
        <w:t xml:space="preserve">did </w:t>
      </w:r>
      <w:r w:rsidR="0008455E">
        <w:rPr>
          <w:rFonts w:asciiTheme="minorHAnsi" w:hAnsiTheme="minorHAnsi"/>
          <w:sz w:val="24"/>
          <w:szCs w:val="24"/>
        </w:rPr>
        <w:t>estimate the costs of pembrolizumab directly from the observed duration of treatment from the key trial with an appropriate extrapolation.</w:t>
      </w:r>
    </w:p>
    <w:p w:rsidR="003E1E3A" w:rsidRPr="002266C9" w:rsidRDefault="003E1E3A" w:rsidP="003E1E3A">
      <w:pPr>
        <w:pStyle w:val="ListParagraph"/>
        <w:widowControl/>
        <w:numPr>
          <w:ilvl w:val="1"/>
          <w:numId w:val="5"/>
        </w:numPr>
        <w:spacing w:after="120"/>
        <w:contextualSpacing w:val="0"/>
        <w:rPr>
          <w:rFonts w:asciiTheme="minorHAnsi" w:hAnsiTheme="minorHAnsi"/>
          <w:sz w:val="24"/>
          <w:szCs w:val="24"/>
        </w:rPr>
      </w:pPr>
      <w:r w:rsidRPr="002266C9">
        <w:rPr>
          <w:rFonts w:asciiTheme="minorHAnsi" w:hAnsiTheme="minorHAnsi"/>
          <w:sz w:val="24"/>
          <w:szCs w:val="24"/>
        </w:rPr>
        <w:t>The PBAC noted that</w:t>
      </w:r>
      <w:r w:rsidR="000142E2">
        <w:rPr>
          <w:rFonts w:asciiTheme="minorHAnsi" w:hAnsiTheme="minorHAnsi"/>
          <w:sz w:val="24"/>
          <w:szCs w:val="24"/>
        </w:rPr>
        <w:t xml:space="preserve"> the estimates of the annual numbers of patients treated with pembrolizumab proposed by the minor resubmission</w:t>
      </w:r>
      <w:r w:rsidRPr="002266C9">
        <w:rPr>
          <w:rFonts w:asciiTheme="minorHAnsi" w:hAnsiTheme="minorHAnsi"/>
          <w:sz w:val="24"/>
          <w:szCs w:val="24"/>
        </w:rPr>
        <w:t xml:space="preserve"> </w:t>
      </w:r>
      <w:r w:rsidR="000142E2">
        <w:rPr>
          <w:rFonts w:asciiTheme="minorHAnsi" w:hAnsiTheme="minorHAnsi"/>
          <w:sz w:val="24"/>
          <w:szCs w:val="24"/>
        </w:rPr>
        <w:t xml:space="preserve">relied on </w:t>
      </w:r>
      <w:r w:rsidRPr="002266C9">
        <w:rPr>
          <w:rFonts w:asciiTheme="minorHAnsi" w:hAnsiTheme="minorHAnsi"/>
          <w:sz w:val="24"/>
          <w:szCs w:val="24"/>
        </w:rPr>
        <w:t>a</w:t>
      </w:r>
      <w:r>
        <w:rPr>
          <w:rFonts w:asciiTheme="minorHAnsi" w:hAnsiTheme="minorHAnsi"/>
          <w:sz w:val="24"/>
          <w:szCs w:val="24"/>
        </w:rPr>
        <w:t>n uptake</w:t>
      </w:r>
      <w:r w:rsidRPr="002266C9">
        <w:rPr>
          <w:rFonts w:asciiTheme="minorHAnsi" w:hAnsiTheme="minorHAnsi"/>
          <w:sz w:val="24"/>
          <w:szCs w:val="24"/>
        </w:rPr>
        <w:t xml:space="preserve"> rate of 83.5% in Year 1 </w:t>
      </w:r>
      <w:r w:rsidR="000142E2">
        <w:rPr>
          <w:rFonts w:asciiTheme="minorHAnsi" w:hAnsiTheme="minorHAnsi"/>
          <w:sz w:val="24"/>
          <w:szCs w:val="24"/>
        </w:rPr>
        <w:t xml:space="preserve">increasing </w:t>
      </w:r>
      <w:r w:rsidRPr="002266C9">
        <w:rPr>
          <w:rFonts w:asciiTheme="minorHAnsi" w:hAnsiTheme="minorHAnsi"/>
          <w:sz w:val="24"/>
          <w:szCs w:val="24"/>
        </w:rPr>
        <w:t xml:space="preserve">to 85% in Year 6 of listing, compared to </w:t>
      </w:r>
      <w:r w:rsidR="000142E2">
        <w:rPr>
          <w:rFonts w:asciiTheme="minorHAnsi" w:hAnsiTheme="minorHAnsi"/>
          <w:sz w:val="24"/>
          <w:szCs w:val="24"/>
        </w:rPr>
        <w:t xml:space="preserve">a constant </w:t>
      </w:r>
      <w:r w:rsidRPr="002266C9">
        <w:rPr>
          <w:rFonts w:asciiTheme="minorHAnsi" w:hAnsiTheme="minorHAnsi"/>
          <w:sz w:val="24"/>
          <w:szCs w:val="24"/>
        </w:rPr>
        <w:t xml:space="preserve">60% for platinum-based doublet chemotherapy. The PBAC considered that the pembrolizumab uptake rate assumed by the minor </w:t>
      </w:r>
      <w:r>
        <w:rPr>
          <w:rFonts w:asciiTheme="minorHAnsi" w:hAnsiTheme="minorHAnsi"/>
          <w:sz w:val="24"/>
          <w:szCs w:val="24"/>
        </w:rPr>
        <w:t>re</w:t>
      </w:r>
      <w:r w:rsidRPr="002266C9">
        <w:rPr>
          <w:rFonts w:asciiTheme="minorHAnsi" w:hAnsiTheme="minorHAnsi"/>
          <w:sz w:val="24"/>
          <w:szCs w:val="24"/>
        </w:rPr>
        <w:t xml:space="preserve">submission was unrealistically high, given that a proportion of patients may not have a suitable biopsy and may not meet the performance status requirements specified in the PBS restriction. </w:t>
      </w:r>
      <w:r w:rsidR="00CB3F90">
        <w:rPr>
          <w:rFonts w:asciiTheme="minorHAnsi" w:hAnsiTheme="minorHAnsi"/>
          <w:sz w:val="24"/>
          <w:szCs w:val="24"/>
        </w:rPr>
        <w:t>For the reasons outlined in paragraph 5.26 above, t</w:t>
      </w:r>
      <w:r w:rsidRPr="002266C9">
        <w:rPr>
          <w:rFonts w:asciiTheme="minorHAnsi" w:hAnsiTheme="minorHAnsi"/>
          <w:sz w:val="24"/>
          <w:szCs w:val="24"/>
        </w:rPr>
        <w:t xml:space="preserve">he PBAC considered that an overestimate of the pembrolizumab uptake rate resulted in overestimated financial impact to government. The PBAC </w:t>
      </w:r>
      <w:r w:rsidR="007310E6">
        <w:rPr>
          <w:rFonts w:asciiTheme="minorHAnsi" w:hAnsiTheme="minorHAnsi"/>
          <w:sz w:val="24"/>
          <w:szCs w:val="24"/>
        </w:rPr>
        <w:t xml:space="preserve">instead </w:t>
      </w:r>
      <w:r w:rsidRPr="002266C9">
        <w:rPr>
          <w:rFonts w:asciiTheme="minorHAnsi" w:hAnsiTheme="minorHAnsi"/>
          <w:sz w:val="24"/>
          <w:szCs w:val="24"/>
        </w:rPr>
        <w:t>advised that a</w:t>
      </w:r>
      <w:r>
        <w:rPr>
          <w:rFonts w:asciiTheme="minorHAnsi" w:hAnsiTheme="minorHAnsi"/>
          <w:sz w:val="24"/>
          <w:szCs w:val="24"/>
        </w:rPr>
        <w:t>n</w:t>
      </w:r>
      <w:r w:rsidRPr="002266C9">
        <w:rPr>
          <w:rFonts w:asciiTheme="minorHAnsi" w:hAnsiTheme="minorHAnsi"/>
          <w:sz w:val="24"/>
          <w:szCs w:val="24"/>
        </w:rPr>
        <w:t xml:space="preserve"> uptake rate of approximately 65% would be mor</w:t>
      </w:r>
      <w:r>
        <w:rPr>
          <w:rFonts w:asciiTheme="minorHAnsi" w:hAnsiTheme="minorHAnsi"/>
          <w:sz w:val="24"/>
          <w:szCs w:val="24"/>
        </w:rPr>
        <w:t>e reasonable for pembrolizumab.</w:t>
      </w:r>
    </w:p>
    <w:p w:rsidR="003E1E3A" w:rsidRPr="003E1E3A" w:rsidRDefault="003E1E3A" w:rsidP="003E1E3A">
      <w:pPr>
        <w:pStyle w:val="ListParagraph"/>
        <w:widowControl/>
        <w:numPr>
          <w:ilvl w:val="1"/>
          <w:numId w:val="5"/>
        </w:numPr>
        <w:spacing w:after="120"/>
        <w:contextualSpacing w:val="0"/>
        <w:rPr>
          <w:rFonts w:asciiTheme="minorHAnsi" w:hAnsiTheme="minorHAnsi"/>
          <w:sz w:val="24"/>
          <w:szCs w:val="24"/>
        </w:rPr>
      </w:pPr>
      <w:r w:rsidRPr="002266C9">
        <w:rPr>
          <w:rFonts w:asciiTheme="minorHAnsi" w:hAnsiTheme="minorHAnsi"/>
          <w:sz w:val="24"/>
          <w:szCs w:val="24"/>
        </w:rPr>
        <w:t xml:space="preserve">The PBAC noted that the minor </w:t>
      </w:r>
      <w:r>
        <w:rPr>
          <w:rFonts w:asciiTheme="minorHAnsi" w:hAnsiTheme="minorHAnsi"/>
          <w:sz w:val="24"/>
          <w:szCs w:val="24"/>
        </w:rPr>
        <w:t>re</w:t>
      </w:r>
      <w:r w:rsidRPr="002266C9">
        <w:rPr>
          <w:rFonts w:asciiTheme="minorHAnsi" w:hAnsiTheme="minorHAnsi"/>
          <w:sz w:val="24"/>
          <w:szCs w:val="24"/>
        </w:rPr>
        <w:t xml:space="preserve">submission </w:t>
      </w:r>
      <w:r>
        <w:rPr>
          <w:rFonts w:asciiTheme="minorHAnsi" w:hAnsiTheme="minorHAnsi"/>
          <w:sz w:val="24"/>
          <w:szCs w:val="24"/>
        </w:rPr>
        <w:t xml:space="preserve">included </w:t>
      </w:r>
      <w:r w:rsidRPr="002266C9">
        <w:rPr>
          <w:rFonts w:asciiTheme="minorHAnsi" w:hAnsiTheme="minorHAnsi"/>
          <w:sz w:val="24"/>
          <w:szCs w:val="24"/>
        </w:rPr>
        <w:t xml:space="preserve">grandfathered patients </w:t>
      </w:r>
      <w:r w:rsidR="007310E6">
        <w:rPr>
          <w:rFonts w:asciiTheme="minorHAnsi" w:hAnsiTheme="minorHAnsi"/>
          <w:sz w:val="24"/>
          <w:szCs w:val="24"/>
        </w:rPr>
        <w:t>from</w:t>
      </w:r>
      <w:r w:rsidRPr="002266C9">
        <w:rPr>
          <w:rFonts w:asciiTheme="minorHAnsi" w:hAnsiTheme="minorHAnsi"/>
          <w:sz w:val="24"/>
          <w:szCs w:val="24"/>
        </w:rPr>
        <w:t xml:space="preserve"> th</w:t>
      </w:r>
      <w:r>
        <w:rPr>
          <w:rFonts w:asciiTheme="minorHAnsi" w:hAnsiTheme="minorHAnsi"/>
          <w:sz w:val="24"/>
          <w:szCs w:val="24"/>
        </w:rPr>
        <w:t>e prevalent</w:t>
      </w:r>
      <w:r w:rsidRPr="002266C9">
        <w:rPr>
          <w:rFonts w:asciiTheme="minorHAnsi" w:hAnsiTheme="minorHAnsi"/>
          <w:sz w:val="24"/>
          <w:szCs w:val="24"/>
        </w:rPr>
        <w:t xml:space="preserve"> pool</w:t>
      </w:r>
      <w:r>
        <w:rPr>
          <w:rFonts w:asciiTheme="minorHAnsi" w:hAnsiTheme="minorHAnsi"/>
          <w:sz w:val="24"/>
          <w:szCs w:val="24"/>
        </w:rPr>
        <w:t xml:space="preserve"> in its </w:t>
      </w:r>
      <w:r w:rsidRPr="002266C9">
        <w:rPr>
          <w:rFonts w:asciiTheme="minorHAnsi" w:hAnsiTheme="minorHAnsi"/>
          <w:sz w:val="24"/>
          <w:szCs w:val="24"/>
        </w:rPr>
        <w:t xml:space="preserve">epidemiological approach to estimate the </w:t>
      </w:r>
      <w:r>
        <w:rPr>
          <w:rFonts w:asciiTheme="minorHAnsi" w:hAnsiTheme="minorHAnsi"/>
          <w:sz w:val="24"/>
          <w:szCs w:val="24"/>
        </w:rPr>
        <w:t xml:space="preserve">size of the </w:t>
      </w:r>
      <w:r w:rsidRPr="002266C9">
        <w:rPr>
          <w:rFonts w:asciiTheme="minorHAnsi" w:hAnsiTheme="minorHAnsi"/>
          <w:sz w:val="24"/>
          <w:szCs w:val="24"/>
        </w:rPr>
        <w:t xml:space="preserve">PBS population </w:t>
      </w:r>
      <w:r>
        <w:rPr>
          <w:rFonts w:asciiTheme="minorHAnsi" w:hAnsiTheme="minorHAnsi"/>
          <w:sz w:val="24"/>
          <w:szCs w:val="24"/>
        </w:rPr>
        <w:t xml:space="preserve">which would be eligible for </w:t>
      </w:r>
      <w:r w:rsidRPr="002266C9">
        <w:rPr>
          <w:rFonts w:asciiTheme="minorHAnsi" w:hAnsiTheme="minorHAnsi"/>
          <w:sz w:val="24"/>
          <w:szCs w:val="24"/>
        </w:rPr>
        <w:t xml:space="preserve">pembrolizumab. The PBAC considered that this </w:t>
      </w:r>
      <w:r>
        <w:rPr>
          <w:rFonts w:asciiTheme="minorHAnsi" w:hAnsiTheme="minorHAnsi"/>
          <w:sz w:val="24"/>
          <w:szCs w:val="24"/>
        </w:rPr>
        <w:t>inclusion would affect any proposal to use a risk sharing arrangement to generate an upper cost per patient for pembrolizumab in order to achieve acceptable cost-effectiveness.</w:t>
      </w:r>
    </w:p>
    <w:p w:rsidR="00565F0F" w:rsidRDefault="002266C9" w:rsidP="002266C9">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 xml:space="preserve">The PBAC </w:t>
      </w:r>
      <w:r w:rsidR="009F6D90">
        <w:rPr>
          <w:rFonts w:asciiTheme="minorHAnsi" w:hAnsiTheme="minorHAnsi"/>
          <w:sz w:val="24"/>
          <w:szCs w:val="24"/>
        </w:rPr>
        <w:t>considered</w:t>
      </w:r>
      <w:r>
        <w:rPr>
          <w:rFonts w:asciiTheme="minorHAnsi" w:hAnsiTheme="minorHAnsi"/>
          <w:sz w:val="24"/>
          <w:szCs w:val="24"/>
        </w:rPr>
        <w:t xml:space="preserve"> that there was a large discrepancy between the estimated patient population proposed by the minor </w:t>
      </w:r>
      <w:r w:rsidR="00F87320">
        <w:rPr>
          <w:rFonts w:asciiTheme="minorHAnsi" w:hAnsiTheme="minorHAnsi"/>
          <w:sz w:val="24"/>
          <w:szCs w:val="24"/>
        </w:rPr>
        <w:t>re</w:t>
      </w:r>
      <w:r>
        <w:rPr>
          <w:rFonts w:asciiTheme="minorHAnsi" w:hAnsiTheme="minorHAnsi"/>
          <w:sz w:val="24"/>
          <w:szCs w:val="24"/>
        </w:rPr>
        <w:t xml:space="preserve">submission and the Committee’s advice from November 2017 that, </w:t>
      </w:r>
      <w:r w:rsidRPr="002266C9">
        <w:rPr>
          <w:rFonts w:asciiTheme="minorHAnsi" w:hAnsiTheme="minorHAnsi"/>
          <w:sz w:val="24"/>
          <w:szCs w:val="24"/>
        </w:rPr>
        <w:t>if pembrolizumab was made available on the PBS, there would only be a minor increase in the overall number of patients treated for metastatic Stage IV NSCLC either in the first- or second-line setting, above what was accepted for the nivolumab caps at the time of the negotiations with the sponsor of nivolumab</w:t>
      </w:r>
      <w:r>
        <w:rPr>
          <w:rFonts w:asciiTheme="minorHAnsi" w:hAnsiTheme="minorHAnsi"/>
          <w:sz w:val="24"/>
          <w:szCs w:val="24"/>
        </w:rPr>
        <w:t xml:space="preserve">. </w:t>
      </w:r>
      <w:r w:rsidR="00565F0F">
        <w:rPr>
          <w:rFonts w:asciiTheme="minorHAnsi" w:hAnsiTheme="minorHAnsi"/>
          <w:sz w:val="24"/>
          <w:szCs w:val="24"/>
        </w:rPr>
        <w:t xml:space="preserve">The PBAC considered that the utilisation estimates </w:t>
      </w:r>
      <w:r w:rsidR="00884BB4">
        <w:rPr>
          <w:rFonts w:asciiTheme="minorHAnsi" w:hAnsiTheme="minorHAnsi"/>
          <w:sz w:val="24"/>
          <w:szCs w:val="24"/>
        </w:rPr>
        <w:t xml:space="preserve">in Table 4 </w:t>
      </w:r>
      <w:r w:rsidR="00565F0F">
        <w:rPr>
          <w:rFonts w:asciiTheme="minorHAnsi" w:hAnsiTheme="minorHAnsi"/>
          <w:sz w:val="24"/>
          <w:szCs w:val="24"/>
        </w:rPr>
        <w:t>were within its expectations for the population for whom a cost offset from second-line nivolumab was estimated, but the committee’s concerns centred around the large projected uptake in the added population. The PBAC disagreed with the minor resubmission that such large numbers of patients would be eligible for pembrolizumab but would not subsequently have been eligible for nivolumab</w:t>
      </w:r>
      <w:r w:rsidR="000C3066">
        <w:rPr>
          <w:rFonts w:asciiTheme="minorHAnsi" w:hAnsiTheme="minorHAnsi"/>
          <w:sz w:val="24"/>
          <w:szCs w:val="24"/>
        </w:rPr>
        <w:t>.</w:t>
      </w:r>
      <w:r w:rsidR="00884BB4">
        <w:rPr>
          <w:rFonts w:asciiTheme="minorHAnsi" w:hAnsiTheme="minorHAnsi"/>
          <w:sz w:val="24"/>
          <w:szCs w:val="24"/>
        </w:rPr>
        <w:t xml:space="preserve"> </w:t>
      </w:r>
      <w:r w:rsidR="008041C3">
        <w:rPr>
          <w:rFonts w:asciiTheme="minorHAnsi" w:hAnsiTheme="minorHAnsi"/>
          <w:sz w:val="24"/>
          <w:szCs w:val="24"/>
        </w:rPr>
        <w:t xml:space="preserve">As previously, </w:t>
      </w:r>
      <w:r w:rsidR="00132250">
        <w:rPr>
          <w:rFonts w:asciiTheme="minorHAnsi" w:hAnsiTheme="minorHAnsi"/>
          <w:sz w:val="24"/>
          <w:szCs w:val="24"/>
        </w:rPr>
        <w:t xml:space="preserve">the </w:t>
      </w:r>
      <w:r w:rsidR="008041C3">
        <w:rPr>
          <w:rFonts w:asciiTheme="minorHAnsi" w:hAnsiTheme="minorHAnsi"/>
          <w:sz w:val="24"/>
          <w:szCs w:val="24"/>
        </w:rPr>
        <w:t>PBAC could not identify</w:t>
      </w:r>
      <w:r w:rsidR="000C3066">
        <w:rPr>
          <w:rFonts w:asciiTheme="minorHAnsi" w:hAnsiTheme="minorHAnsi"/>
          <w:sz w:val="24"/>
          <w:szCs w:val="24"/>
        </w:rPr>
        <w:t xml:space="preserve"> any clinical rationale for any estimate beyond a small increase for patients who could not tolerate first-line chemotherapy and also be eligible for pembrolizumab. </w:t>
      </w:r>
      <w:r w:rsidR="002B1E83">
        <w:rPr>
          <w:rFonts w:asciiTheme="minorHAnsi" w:hAnsiTheme="minorHAnsi"/>
          <w:sz w:val="24"/>
          <w:szCs w:val="24"/>
        </w:rPr>
        <w:t xml:space="preserve">The PBAC was not confident that reducing the uptake rate as advised above would be sufficient to address its concerns with the large projected uptake in the added population. </w:t>
      </w:r>
      <w:r w:rsidR="00937806">
        <w:rPr>
          <w:rFonts w:asciiTheme="minorHAnsi" w:hAnsiTheme="minorHAnsi"/>
          <w:sz w:val="24"/>
          <w:szCs w:val="24"/>
        </w:rPr>
        <w:t xml:space="preserve">The PBAC was also concerned with the </w:t>
      </w:r>
      <w:r w:rsidR="00B60F31">
        <w:rPr>
          <w:rFonts w:asciiTheme="minorHAnsi" w:hAnsiTheme="minorHAnsi"/>
          <w:sz w:val="24"/>
          <w:szCs w:val="24"/>
        </w:rPr>
        <w:t xml:space="preserve">reliability of the overall estimated numbers of patients per year given </w:t>
      </w:r>
      <w:r w:rsidR="00937806">
        <w:rPr>
          <w:rFonts w:asciiTheme="minorHAnsi" w:hAnsiTheme="minorHAnsi"/>
          <w:sz w:val="24"/>
          <w:szCs w:val="24"/>
        </w:rPr>
        <w:t>that the Cancer Drugs Fund Managed Access Agreement in England estimated a similar number of eligible patients per year (</w:t>
      </w:r>
      <w:r w:rsidR="00E964DA">
        <w:rPr>
          <w:rFonts w:asciiTheme="minorHAnsi" w:hAnsiTheme="minorHAnsi"/>
          <w:noProof/>
          <w:color w:val="000000"/>
          <w:sz w:val="24"/>
          <w:szCs w:val="24"/>
          <w:highlight w:val="black"/>
        </w:rPr>
        <w:t>''''''' '''''''' ''''''''''''</w:t>
      </w:r>
      <w:r w:rsidR="00937806">
        <w:rPr>
          <w:rFonts w:asciiTheme="minorHAnsi" w:hAnsiTheme="minorHAnsi"/>
          <w:sz w:val="24"/>
          <w:szCs w:val="24"/>
        </w:rPr>
        <w:t xml:space="preserve">) </w:t>
      </w:r>
      <w:r w:rsidR="00B60F31">
        <w:rPr>
          <w:rFonts w:asciiTheme="minorHAnsi" w:hAnsiTheme="minorHAnsi"/>
          <w:sz w:val="24"/>
          <w:szCs w:val="24"/>
        </w:rPr>
        <w:t>for</w:t>
      </w:r>
      <w:r w:rsidR="00937806">
        <w:rPr>
          <w:rFonts w:asciiTheme="minorHAnsi" w:hAnsiTheme="minorHAnsi"/>
          <w:sz w:val="24"/>
          <w:szCs w:val="24"/>
        </w:rPr>
        <w:t xml:space="preserve"> a</w:t>
      </w:r>
      <w:r w:rsidR="00B60F31">
        <w:rPr>
          <w:rFonts w:asciiTheme="minorHAnsi" w:hAnsiTheme="minorHAnsi"/>
          <w:sz w:val="24"/>
          <w:szCs w:val="24"/>
        </w:rPr>
        <w:t>n overall</w:t>
      </w:r>
      <w:r w:rsidR="00937806">
        <w:rPr>
          <w:rFonts w:asciiTheme="minorHAnsi" w:hAnsiTheme="minorHAnsi"/>
          <w:sz w:val="24"/>
          <w:szCs w:val="24"/>
        </w:rPr>
        <w:t xml:space="preserve"> population </w:t>
      </w:r>
      <w:r w:rsidR="002B1E83">
        <w:rPr>
          <w:rFonts w:asciiTheme="minorHAnsi" w:hAnsiTheme="minorHAnsi"/>
          <w:sz w:val="24"/>
          <w:szCs w:val="24"/>
        </w:rPr>
        <w:t xml:space="preserve">which is </w:t>
      </w:r>
      <w:r w:rsidR="00937806">
        <w:rPr>
          <w:rFonts w:asciiTheme="minorHAnsi" w:hAnsiTheme="minorHAnsi"/>
          <w:sz w:val="24"/>
          <w:szCs w:val="24"/>
        </w:rPr>
        <w:t>about double that of the Australian population.</w:t>
      </w:r>
    </w:p>
    <w:p w:rsidR="002266C9" w:rsidRDefault="00843BD0" w:rsidP="002266C9">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Overall, t</w:t>
      </w:r>
      <w:r w:rsidR="002266C9">
        <w:rPr>
          <w:rFonts w:asciiTheme="minorHAnsi" w:hAnsiTheme="minorHAnsi"/>
          <w:sz w:val="24"/>
          <w:szCs w:val="24"/>
        </w:rPr>
        <w:t xml:space="preserve">he PBAC </w:t>
      </w:r>
      <w:r w:rsidR="00294CAE">
        <w:rPr>
          <w:rFonts w:asciiTheme="minorHAnsi" w:hAnsiTheme="minorHAnsi"/>
          <w:sz w:val="24"/>
          <w:szCs w:val="24"/>
        </w:rPr>
        <w:t xml:space="preserve">therefore </w:t>
      </w:r>
      <w:r w:rsidR="008041C3">
        <w:rPr>
          <w:rFonts w:asciiTheme="minorHAnsi" w:hAnsiTheme="minorHAnsi"/>
          <w:sz w:val="24"/>
          <w:szCs w:val="24"/>
        </w:rPr>
        <w:t>advised</w:t>
      </w:r>
      <w:r w:rsidR="002266C9">
        <w:rPr>
          <w:rFonts w:asciiTheme="minorHAnsi" w:hAnsiTheme="minorHAnsi"/>
          <w:sz w:val="24"/>
          <w:szCs w:val="24"/>
        </w:rPr>
        <w:t xml:space="preserve"> that further work was required </w:t>
      </w:r>
      <w:r w:rsidR="00294CAE" w:rsidRPr="002266C9">
        <w:rPr>
          <w:rFonts w:asciiTheme="minorHAnsi" w:hAnsiTheme="minorHAnsi"/>
          <w:sz w:val="24"/>
          <w:szCs w:val="24"/>
        </w:rPr>
        <w:t xml:space="preserve">to determine the </w:t>
      </w:r>
      <w:r w:rsidR="009F6D90">
        <w:rPr>
          <w:rFonts w:asciiTheme="minorHAnsi" w:hAnsiTheme="minorHAnsi"/>
          <w:sz w:val="24"/>
          <w:szCs w:val="24"/>
        </w:rPr>
        <w:t xml:space="preserve">appropriate </w:t>
      </w:r>
      <w:r w:rsidR="001804E7">
        <w:rPr>
          <w:rFonts w:asciiTheme="minorHAnsi" w:hAnsiTheme="minorHAnsi"/>
          <w:sz w:val="24"/>
          <w:szCs w:val="24"/>
        </w:rPr>
        <w:t xml:space="preserve">annual estimates </w:t>
      </w:r>
      <w:r w:rsidR="00294CAE" w:rsidRPr="002266C9">
        <w:rPr>
          <w:rFonts w:asciiTheme="minorHAnsi" w:hAnsiTheme="minorHAnsi"/>
          <w:sz w:val="24"/>
          <w:szCs w:val="24"/>
        </w:rPr>
        <w:t xml:space="preserve">of the </w:t>
      </w:r>
      <w:r w:rsidR="002B1E83">
        <w:rPr>
          <w:rFonts w:asciiTheme="minorHAnsi" w:hAnsiTheme="minorHAnsi"/>
          <w:sz w:val="24"/>
          <w:szCs w:val="24"/>
        </w:rPr>
        <w:t xml:space="preserve">overall </w:t>
      </w:r>
      <w:r w:rsidR="00294CAE" w:rsidRPr="002266C9">
        <w:rPr>
          <w:rFonts w:asciiTheme="minorHAnsi" w:hAnsiTheme="minorHAnsi"/>
          <w:sz w:val="24"/>
          <w:szCs w:val="24"/>
        </w:rPr>
        <w:t>patient population eligible for treatment with pembrolizumab</w:t>
      </w:r>
      <w:r w:rsidR="00294CAE">
        <w:rPr>
          <w:rFonts w:asciiTheme="minorHAnsi" w:hAnsiTheme="minorHAnsi"/>
          <w:sz w:val="24"/>
          <w:szCs w:val="24"/>
        </w:rPr>
        <w:t>.</w:t>
      </w:r>
      <w:r w:rsidR="00405657">
        <w:rPr>
          <w:rFonts w:asciiTheme="minorHAnsi" w:hAnsiTheme="minorHAnsi"/>
          <w:sz w:val="24"/>
          <w:szCs w:val="24"/>
        </w:rPr>
        <w:t xml:space="preserve"> The PBAC </w:t>
      </w:r>
      <w:r w:rsidR="008041C3">
        <w:rPr>
          <w:rFonts w:asciiTheme="minorHAnsi" w:hAnsiTheme="minorHAnsi"/>
          <w:sz w:val="24"/>
          <w:szCs w:val="24"/>
        </w:rPr>
        <w:t xml:space="preserve">further suggested </w:t>
      </w:r>
      <w:r w:rsidR="00405657">
        <w:rPr>
          <w:rFonts w:asciiTheme="minorHAnsi" w:hAnsiTheme="minorHAnsi"/>
          <w:sz w:val="24"/>
          <w:szCs w:val="24"/>
        </w:rPr>
        <w:t xml:space="preserve">that the </w:t>
      </w:r>
      <w:r w:rsidR="008041C3">
        <w:rPr>
          <w:rFonts w:asciiTheme="minorHAnsi" w:hAnsiTheme="minorHAnsi"/>
          <w:sz w:val="24"/>
          <w:szCs w:val="24"/>
        </w:rPr>
        <w:t xml:space="preserve">input </w:t>
      </w:r>
      <w:r w:rsidR="00405657">
        <w:rPr>
          <w:rFonts w:asciiTheme="minorHAnsi" w:hAnsiTheme="minorHAnsi"/>
          <w:sz w:val="24"/>
          <w:szCs w:val="24"/>
        </w:rPr>
        <w:t>of its Drug Utilisatio</w:t>
      </w:r>
      <w:r w:rsidR="009F6D90">
        <w:rPr>
          <w:rFonts w:asciiTheme="minorHAnsi" w:hAnsiTheme="minorHAnsi"/>
          <w:sz w:val="24"/>
          <w:szCs w:val="24"/>
        </w:rPr>
        <w:t>n Subcommittee may be required</w:t>
      </w:r>
      <w:r w:rsidR="001804E7">
        <w:rPr>
          <w:rFonts w:asciiTheme="minorHAnsi" w:hAnsiTheme="minorHAnsi"/>
          <w:sz w:val="24"/>
          <w:szCs w:val="24"/>
        </w:rPr>
        <w:t xml:space="preserve"> on these estimates</w:t>
      </w:r>
      <w:r w:rsidR="009F6D90">
        <w:rPr>
          <w:rFonts w:asciiTheme="minorHAnsi" w:hAnsiTheme="minorHAnsi"/>
          <w:sz w:val="24"/>
          <w:szCs w:val="24"/>
        </w:rPr>
        <w:t>.</w:t>
      </w:r>
    </w:p>
    <w:p w:rsidR="00FF49D4" w:rsidRDefault="00405657" w:rsidP="002266C9">
      <w:pPr>
        <w:pStyle w:val="ListParagraph"/>
        <w:widowControl/>
        <w:numPr>
          <w:ilvl w:val="1"/>
          <w:numId w:val="5"/>
        </w:numPr>
        <w:spacing w:after="120"/>
        <w:contextualSpacing w:val="0"/>
        <w:rPr>
          <w:rFonts w:asciiTheme="minorHAnsi" w:hAnsiTheme="minorHAnsi"/>
          <w:sz w:val="24"/>
          <w:szCs w:val="24"/>
        </w:rPr>
      </w:pPr>
      <w:r w:rsidRPr="002266C9">
        <w:rPr>
          <w:rFonts w:asciiTheme="minorHAnsi" w:hAnsiTheme="minorHAnsi"/>
          <w:sz w:val="24"/>
          <w:szCs w:val="24"/>
        </w:rPr>
        <w:t xml:space="preserve">Given the uncertainty around the estimated extent of utilisation, the PBAC </w:t>
      </w:r>
      <w:r w:rsidR="00364D25">
        <w:rPr>
          <w:rFonts w:asciiTheme="minorHAnsi" w:hAnsiTheme="minorHAnsi"/>
          <w:sz w:val="24"/>
          <w:szCs w:val="24"/>
        </w:rPr>
        <w:t xml:space="preserve">would prefer greater confidence </w:t>
      </w:r>
      <w:r w:rsidRPr="002266C9">
        <w:rPr>
          <w:rFonts w:asciiTheme="minorHAnsi" w:hAnsiTheme="minorHAnsi"/>
          <w:sz w:val="24"/>
          <w:szCs w:val="24"/>
        </w:rPr>
        <w:t>that the cost per patient of pembrolizumab is acceptably cost-effective</w:t>
      </w:r>
      <w:r>
        <w:rPr>
          <w:rFonts w:asciiTheme="minorHAnsi" w:hAnsiTheme="minorHAnsi"/>
          <w:sz w:val="24"/>
          <w:szCs w:val="24"/>
        </w:rPr>
        <w:t xml:space="preserve">. The </w:t>
      </w:r>
      <w:r w:rsidRPr="002266C9">
        <w:rPr>
          <w:rFonts w:asciiTheme="minorHAnsi" w:hAnsiTheme="minorHAnsi"/>
          <w:sz w:val="24"/>
          <w:szCs w:val="24"/>
        </w:rPr>
        <w:t xml:space="preserve">PBAC advised that a further price reduction would </w:t>
      </w:r>
      <w:r w:rsidR="00364D25">
        <w:rPr>
          <w:rFonts w:asciiTheme="minorHAnsi" w:hAnsiTheme="minorHAnsi"/>
          <w:sz w:val="24"/>
          <w:szCs w:val="24"/>
        </w:rPr>
        <w:t xml:space="preserve">help </w:t>
      </w:r>
      <w:r w:rsidR="00FF49D4">
        <w:rPr>
          <w:rFonts w:asciiTheme="minorHAnsi" w:hAnsiTheme="minorHAnsi"/>
          <w:sz w:val="24"/>
          <w:szCs w:val="24"/>
        </w:rPr>
        <w:t xml:space="preserve">minimise the indirect, uncertain and delayed reliance on exceeding expenditure caps to achieve cost effectiveness. However, the PBAC could not reach a final conclusion on this aspect until the respecified basis of the economic model resulting in a revised ICER of </w:t>
      </w:r>
      <w:r w:rsidR="007E0B2A">
        <w:rPr>
          <w:rFonts w:asciiTheme="minorHAnsi" w:hAnsiTheme="minorHAnsi"/>
          <w:sz w:val="24"/>
          <w:szCs w:val="24"/>
        </w:rPr>
        <w:t>$45,000/QALY - $75,000/QALY</w:t>
      </w:r>
      <w:r w:rsidR="00FF49D4">
        <w:rPr>
          <w:rFonts w:asciiTheme="minorHAnsi" w:hAnsiTheme="minorHAnsi"/>
          <w:sz w:val="24"/>
          <w:szCs w:val="24"/>
        </w:rPr>
        <w:t xml:space="preserve"> could be further adjusted to address the residual modelling uncertainties noted in paragraphs 6.5 and 6.6.</w:t>
      </w:r>
    </w:p>
    <w:p w:rsidR="00405657" w:rsidRPr="002266C9" w:rsidRDefault="00FF49D4" w:rsidP="002266C9">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In addition</w:t>
      </w:r>
      <w:r w:rsidR="00405657">
        <w:rPr>
          <w:rFonts w:asciiTheme="minorHAnsi" w:hAnsiTheme="minorHAnsi"/>
          <w:sz w:val="24"/>
          <w:szCs w:val="24"/>
        </w:rPr>
        <w:t xml:space="preserve">, the PBAC also advised that a risk sharing arrangement would </w:t>
      </w:r>
      <w:r>
        <w:rPr>
          <w:rFonts w:asciiTheme="minorHAnsi" w:hAnsiTheme="minorHAnsi"/>
          <w:sz w:val="24"/>
          <w:szCs w:val="24"/>
        </w:rPr>
        <w:t xml:space="preserve">also </w:t>
      </w:r>
      <w:r w:rsidR="00405657">
        <w:rPr>
          <w:rFonts w:asciiTheme="minorHAnsi" w:hAnsiTheme="minorHAnsi"/>
          <w:sz w:val="24"/>
          <w:szCs w:val="24"/>
        </w:rPr>
        <w:t xml:space="preserve">be required to mitigate the overall </w:t>
      </w:r>
      <w:r w:rsidR="009F6D90">
        <w:rPr>
          <w:rFonts w:asciiTheme="minorHAnsi" w:hAnsiTheme="minorHAnsi"/>
          <w:sz w:val="24"/>
          <w:szCs w:val="24"/>
        </w:rPr>
        <w:t>budgetary</w:t>
      </w:r>
      <w:r w:rsidR="0007574E">
        <w:rPr>
          <w:rFonts w:asciiTheme="minorHAnsi" w:hAnsiTheme="minorHAnsi"/>
          <w:sz w:val="24"/>
          <w:szCs w:val="24"/>
        </w:rPr>
        <w:t xml:space="preserve"> risk to Government.</w:t>
      </w:r>
    </w:p>
    <w:p w:rsidR="008C1DCA" w:rsidRPr="00525B39" w:rsidRDefault="008C1DCA" w:rsidP="008C1DCA">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563ED2" w:rsidRPr="00525B39" w:rsidRDefault="00032BDB" w:rsidP="008C1DCA">
      <w:pPr>
        <w:jc w:val="both"/>
        <w:rPr>
          <w:rFonts w:asciiTheme="minorHAnsi" w:hAnsiTheme="minorHAnsi" w:cs="Arial"/>
          <w:bCs/>
          <w:snapToGrid w:val="0"/>
          <w:lang w:val="en-GB"/>
        </w:rPr>
      </w:pPr>
      <w:r>
        <w:rPr>
          <w:rFonts w:asciiTheme="minorHAnsi" w:hAnsiTheme="minorHAnsi" w:cs="Arial"/>
          <w:bCs/>
          <w:snapToGrid w:val="0"/>
          <w:lang w:val="en-GB"/>
        </w:rPr>
        <w:t>Deferred</w:t>
      </w:r>
    </w:p>
    <w:p w:rsidR="00563ED2" w:rsidRPr="00C07617" w:rsidRDefault="00563ED2" w:rsidP="00563ED2">
      <w:pPr>
        <w:pStyle w:val="Heading1"/>
        <w:keepNext/>
        <w:keepLines/>
        <w:widowControl/>
        <w:numPr>
          <w:ilvl w:val="0"/>
          <w:numId w:val="14"/>
        </w:numPr>
        <w:spacing w:before="240" w:after="120"/>
        <w:ind w:left="709" w:hanging="709"/>
        <w:contextualSpacing w:val="0"/>
        <w:jc w:val="left"/>
        <w:rPr>
          <w:rFonts w:asciiTheme="minorHAnsi" w:hAnsiTheme="minorHAnsi"/>
          <w:b w:val="0"/>
          <w:sz w:val="32"/>
        </w:rPr>
      </w:pPr>
      <w:r w:rsidRPr="002E4454">
        <w:rPr>
          <w:rFonts w:asciiTheme="minorHAnsi" w:hAnsiTheme="minorHAnsi"/>
          <w:bCs/>
          <w:sz w:val="32"/>
        </w:rPr>
        <w:t>Context</w:t>
      </w:r>
      <w:r w:rsidRPr="00C07617">
        <w:rPr>
          <w:rFonts w:asciiTheme="minorHAnsi" w:hAnsiTheme="minorHAnsi"/>
          <w:sz w:val="32"/>
        </w:rPr>
        <w:t xml:space="preserve"> for Decision</w:t>
      </w:r>
    </w:p>
    <w:p w:rsidR="00563ED2" w:rsidRPr="00C07617" w:rsidRDefault="00563ED2" w:rsidP="00563ED2">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63ED2" w:rsidRPr="00C07617" w:rsidRDefault="00563ED2" w:rsidP="00563ED2">
      <w:pPr>
        <w:pStyle w:val="Heading1"/>
        <w:keepNext/>
        <w:keepLines/>
        <w:widowControl/>
        <w:numPr>
          <w:ilvl w:val="0"/>
          <w:numId w:val="14"/>
        </w:numPr>
        <w:spacing w:before="240" w:after="120"/>
        <w:ind w:left="709" w:hanging="709"/>
        <w:contextualSpacing w:val="0"/>
        <w:jc w:val="left"/>
        <w:rPr>
          <w:rFonts w:asciiTheme="minorHAnsi" w:hAnsiTheme="minorHAnsi"/>
          <w:b w:val="0"/>
          <w:sz w:val="32"/>
        </w:rPr>
      </w:pPr>
      <w:r w:rsidRPr="00C07617">
        <w:rPr>
          <w:rFonts w:asciiTheme="minorHAnsi" w:hAnsiTheme="minorHAnsi"/>
          <w:sz w:val="32"/>
        </w:rPr>
        <w:t xml:space="preserve"> </w:t>
      </w:r>
      <w:r>
        <w:rPr>
          <w:rFonts w:asciiTheme="minorHAnsi" w:hAnsiTheme="minorHAnsi"/>
          <w:sz w:val="32"/>
        </w:rPr>
        <w:t>Sponsor’s Comment</w:t>
      </w:r>
    </w:p>
    <w:p w:rsidR="00563ED2" w:rsidRPr="00525B39" w:rsidRDefault="00563ED2" w:rsidP="00563ED2">
      <w:pPr>
        <w:widowControl w:val="0"/>
        <w:jc w:val="both"/>
        <w:rPr>
          <w:rFonts w:asciiTheme="minorHAnsi" w:hAnsiTheme="minorHAnsi" w:cs="Arial"/>
          <w:bCs/>
          <w:snapToGrid w:val="0"/>
        </w:rPr>
      </w:pPr>
      <w:r w:rsidRPr="00E255F4">
        <w:rPr>
          <w:rFonts w:asciiTheme="minorHAnsi" w:hAnsiTheme="minorHAnsi" w:cs="Arial"/>
          <w:bCs/>
          <w:snapToGrid w:val="0"/>
        </w:rPr>
        <w:t>The sponsor had no comment.</w:t>
      </w:r>
    </w:p>
    <w:p w:rsidR="008C1DCA" w:rsidRPr="00525B39" w:rsidRDefault="008C1DCA" w:rsidP="008C1DCA">
      <w:pPr>
        <w:widowControl w:val="0"/>
        <w:jc w:val="both"/>
        <w:rPr>
          <w:rFonts w:asciiTheme="minorHAnsi" w:hAnsiTheme="minorHAnsi" w:cs="Arial"/>
          <w:b/>
          <w:bCs/>
          <w:snapToGrid w:val="0"/>
        </w:rPr>
      </w:pPr>
    </w:p>
    <w:sectPr w:rsidR="008C1DCA" w:rsidRPr="00525B39" w:rsidSect="000E6B16">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DA" w:rsidRDefault="00E964DA">
      <w:r>
        <w:separator/>
      </w:r>
    </w:p>
    <w:p w:rsidR="00E964DA" w:rsidRDefault="00E964DA"/>
  </w:endnote>
  <w:endnote w:type="continuationSeparator" w:id="0">
    <w:p w:rsidR="00E964DA" w:rsidRDefault="00E964DA">
      <w:r>
        <w:continuationSeparator/>
      </w:r>
    </w:p>
    <w:p w:rsidR="00E964DA" w:rsidRDefault="00E96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E6857" w:rsidTr="005A3173">
      <w:trPr>
        <w:trHeight w:val="151"/>
      </w:trPr>
      <w:tc>
        <w:tcPr>
          <w:tcW w:w="2250" w:type="pct"/>
          <w:tcBorders>
            <w:top w:val="nil"/>
            <w:left w:val="nil"/>
            <w:bottom w:val="single" w:sz="4" w:space="0" w:color="4F81BD"/>
            <w:right w:val="nil"/>
          </w:tcBorders>
        </w:tcPr>
        <w:p w:rsidR="002E6857" w:rsidRPr="005A3173" w:rsidRDefault="002E685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E6857" w:rsidRPr="005A3173" w:rsidRDefault="002E685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E6857" w:rsidRPr="005A3173" w:rsidRDefault="002E6857" w:rsidP="005A3173">
          <w:pPr>
            <w:pStyle w:val="Header"/>
            <w:spacing w:line="276" w:lineRule="auto"/>
            <w:rPr>
              <w:rFonts w:ascii="Calibri" w:eastAsia="MS Gothic" w:hAnsi="Calibri"/>
              <w:b/>
              <w:bCs/>
              <w:color w:val="4F81BD"/>
            </w:rPr>
          </w:pPr>
        </w:p>
      </w:tc>
    </w:tr>
    <w:tr w:rsidR="002E6857" w:rsidTr="005A3173">
      <w:trPr>
        <w:trHeight w:val="150"/>
      </w:trPr>
      <w:tc>
        <w:tcPr>
          <w:tcW w:w="2250" w:type="pct"/>
          <w:tcBorders>
            <w:top w:val="single" w:sz="4" w:space="0" w:color="4F81BD"/>
            <w:left w:val="nil"/>
            <w:bottom w:val="nil"/>
            <w:right w:val="nil"/>
          </w:tcBorders>
        </w:tcPr>
        <w:p w:rsidR="002E6857" w:rsidRPr="005A3173" w:rsidRDefault="002E6857" w:rsidP="005A3173">
          <w:pPr>
            <w:pStyle w:val="Header"/>
            <w:spacing w:line="276" w:lineRule="auto"/>
            <w:rPr>
              <w:rFonts w:ascii="Calibri" w:eastAsia="MS Gothic" w:hAnsi="Calibri"/>
              <w:b/>
              <w:bCs/>
              <w:color w:val="4F81BD"/>
            </w:rPr>
          </w:pPr>
        </w:p>
      </w:tc>
      <w:tc>
        <w:tcPr>
          <w:tcW w:w="0" w:type="auto"/>
          <w:vMerge/>
          <w:vAlign w:val="center"/>
          <w:hideMark/>
        </w:tcPr>
        <w:p w:rsidR="002E6857" w:rsidRPr="005A3173" w:rsidRDefault="002E6857" w:rsidP="005A3173">
          <w:pPr>
            <w:rPr>
              <w:rFonts w:ascii="Calibri" w:hAnsi="Calibri"/>
              <w:color w:val="365F91"/>
              <w:sz w:val="22"/>
              <w:szCs w:val="22"/>
            </w:rPr>
          </w:pPr>
        </w:p>
      </w:tc>
      <w:tc>
        <w:tcPr>
          <w:tcW w:w="2250" w:type="pct"/>
          <w:tcBorders>
            <w:top w:val="single" w:sz="4" w:space="0" w:color="4F81BD"/>
            <w:left w:val="nil"/>
            <w:bottom w:val="nil"/>
            <w:right w:val="nil"/>
          </w:tcBorders>
        </w:tcPr>
        <w:p w:rsidR="002E6857" w:rsidRPr="005A3173" w:rsidRDefault="002E6857" w:rsidP="005A3173">
          <w:pPr>
            <w:pStyle w:val="Header"/>
            <w:spacing w:line="276" w:lineRule="auto"/>
            <w:rPr>
              <w:rFonts w:ascii="Calibri" w:eastAsia="MS Gothic" w:hAnsi="Calibri"/>
              <w:b/>
              <w:bCs/>
              <w:color w:val="4F81BD"/>
            </w:rPr>
          </w:pPr>
        </w:p>
      </w:tc>
    </w:tr>
  </w:tbl>
  <w:p w:rsidR="002E6857" w:rsidRDefault="002E685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6857" w:rsidRDefault="002E6857">
    <w:pPr>
      <w:pStyle w:val="Footer"/>
    </w:pPr>
  </w:p>
  <w:p w:rsidR="002E6857" w:rsidRDefault="002E685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857" w:rsidRDefault="002E6857" w:rsidP="00EF44A0">
    <w:pPr>
      <w:pStyle w:val="Footer"/>
      <w:jc w:val="center"/>
      <w:rPr>
        <w:rFonts w:ascii="Arial" w:hAnsi="Arial" w:cs="Arial"/>
        <w:b/>
        <w:sz w:val="20"/>
        <w:szCs w:val="20"/>
      </w:rPr>
    </w:pPr>
  </w:p>
  <w:p w:rsidR="002E6857" w:rsidRPr="00F90A91" w:rsidRDefault="002E6857" w:rsidP="008C6270">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E964DA">
      <w:rPr>
        <w:rFonts w:ascii="Calibri" w:hAnsi="Calibri" w:cs="Arial"/>
        <w:b/>
        <w:noProof/>
        <w:sz w:val="20"/>
      </w:rPr>
      <w:t>8</w:t>
    </w:r>
    <w:r w:rsidRPr="00F90A91">
      <w:rPr>
        <w:rFonts w:ascii="Calibri" w:hAnsi="Calibri" w:cs="Arial"/>
        <w:b/>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E6857" w:rsidTr="005A3173">
      <w:trPr>
        <w:trHeight w:val="151"/>
      </w:trPr>
      <w:tc>
        <w:tcPr>
          <w:tcW w:w="2250" w:type="pct"/>
          <w:tcBorders>
            <w:top w:val="nil"/>
            <w:left w:val="nil"/>
            <w:bottom w:val="single" w:sz="4" w:space="0" w:color="4F81BD"/>
            <w:right w:val="nil"/>
          </w:tcBorders>
        </w:tcPr>
        <w:p w:rsidR="002E6857" w:rsidRPr="005A3173" w:rsidRDefault="002E685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E6857" w:rsidRPr="005A3173" w:rsidRDefault="002E685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E6857" w:rsidRPr="005A3173" w:rsidRDefault="002E6857" w:rsidP="005A3173">
          <w:pPr>
            <w:pStyle w:val="Header"/>
            <w:spacing w:line="276" w:lineRule="auto"/>
            <w:rPr>
              <w:rFonts w:ascii="Calibri" w:eastAsia="MS Gothic" w:hAnsi="Calibri"/>
              <w:b/>
              <w:bCs/>
              <w:color w:val="4F81BD"/>
            </w:rPr>
          </w:pPr>
        </w:p>
      </w:tc>
    </w:tr>
    <w:tr w:rsidR="002E6857" w:rsidTr="005A3173">
      <w:trPr>
        <w:trHeight w:val="150"/>
      </w:trPr>
      <w:tc>
        <w:tcPr>
          <w:tcW w:w="2250" w:type="pct"/>
          <w:tcBorders>
            <w:top w:val="single" w:sz="4" w:space="0" w:color="4F81BD"/>
            <w:left w:val="nil"/>
            <w:bottom w:val="nil"/>
            <w:right w:val="nil"/>
          </w:tcBorders>
        </w:tcPr>
        <w:p w:rsidR="002E6857" w:rsidRPr="005A3173" w:rsidRDefault="002E6857" w:rsidP="005A3173">
          <w:pPr>
            <w:pStyle w:val="Header"/>
            <w:spacing w:line="276" w:lineRule="auto"/>
            <w:rPr>
              <w:rFonts w:ascii="Calibri" w:eastAsia="MS Gothic" w:hAnsi="Calibri"/>
              <w:b/>
              <w:bCs/>
              <w:color w:val="4F81BD"/>
            </w:rPr>
          </w:pPr>
        </w:p>
      </w:tc>
      <w:tc>
        <w:tcPr>
          <w:tcW w:w="0" w:type="auto"/>
          <w:vMerge/>
          <w:vAlign w:val="center"/>
          <w:hideMark/>
        </w:tcPr>
        <w:p w:rsidR="002E6857" w:rsidRPr="005A3173" w:rsidRDefault="002E6857" w:rsidP="005A3173">
          <w:pPr>
            <w:rPr>
              <w:rFonts w:ascii="Calibri" w:hAnsi="Calibri"/>
              <w:color w:val="365F91"/>
              <w:sz w:val="22"/>
              <w:szCs w:val="22"/>
            </w:rPr>
          </w:pPr>
        </w:p>
      </w:tc>
      <w:tc>
        <w:tcPr>
          <w:tcW w:w="2250" w:type="pct"/>
          <w:tcBorders>
            <w:top w:val="single" w:sz="4" w:space="0" w:color="4F81BD"/>
            <w:left w:val="nil"/>
            <w:bottom w:val="nil"/>
            <w:right w:val="nil"/>
          </w:tcBorders>
        </w:tcPr>
        <w:p w:rsidR="002E6857" w:rsidRPr="005A3173" w:rsidRDefault="002E685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E6857" w:rsidTr="005A3173">
      <w:trPr>
        <w:trHeight w:val="151"/>
      </w:trPr>
      <w:tc>
        <w:tcPr>
          <w:tcW w:w="2250" w:type="pct"/>
          <w:tcBorders>
            <w:top w:val="nil"/>
            <w:left w:val="nil"/>
            <w:bottom w:val="single" w:sz="4" w:space="0" w:color="4F81BD"/>
            <w:right w:val="nil"/>
          </w:tcBorders>
        </w:tcPr>
        <w:p w:rsidR="002E6857" w:rsidRPr="005A3173" w:rsidRDefault="002E685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E6857" w:rsidRPr="005A3173" w:rsidRDefault="002E685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E6857" w:rsidRPr="005A3173" w:rsidRDefault="002E6857" w:rsidP="005A3173">
          <w:pPr>
            <w:pStyle w:val="Header"/>
            <w:spacing w:line="276" w:lineRule="auto"/>
            <w:rPr>
              <w:rFonts w:ascii="Calibri" w:eastAsia="MS Gothic" w:hAnsi="Calibri"/>
              <w:b/>
              <w:bCs/>
              <w:color w:val="4F81BD"/>
            </w:rPr>
          </w:pPr>
        </w:p>
      </w:tc>
    </w:tr>
    <w:tr w:rsidR="002E6857" w:rsidTr="005A3173">
      <w:trPr>
        <w:trHeight w:val="150"/>
      </w:trPr>
      <w:tc>
        <w:tcPr>
          <w:tcW w:w="2250" w:type="pct"/>
          <w:tcBorders>
            <w:top w:val="single" w:sz="4" w:space="0" w:color="4F81BD"/>
            <w:left w:val="nil"/>
            <w:bottom w:val="nil"/>
            <w:right w:val="nil"/>
          </w:tcBorders>
        </w:tcPr>
        <w:p w:rsidR="002E6857" w:rsidRPr="005A3173" w:rsidRDefault="002E6857" w:rsidP="005A3173">
          <w:pPr>
            <w:pStyle w:val="Header"/>
            <w:spacing w:line="276" w:lineRule="auto"/>
            <w:rPr>
              <w:rFonts w:ascii="Calibri" w:eastAsia="MS Gothic" w:hAnsi="Calibri"/>
              <w:b/>
              <w:bCs/>
              <w:color w:val="4F81BD"/>
            </w:rPr>
          </w:pPr>
        </w:p>
      </w:tc>
      <w:tc>
        <w:tcPr>
          <w:tcW w:w="0" w:type="auto"/>
          <w:vMerge/>
          <w:vAlign w:val="center"/>
          <w:hideMark/>
        </w:tcPr>
        <w:p w:rsidR="002E6857" w:rsidRPr="005A3173" w:rsidRDefault="002E6857" w:rsidP="005A3173">
          <w:pPr>
            <w:rPr>
              <w:rFonts w:ascii="Calibri" w:hAnsi="Calibri"/>
              <w:color w:val="365F91"/>
              <w:sz w:val="22"/>
              <w:szCs w:val="22"/>
            </w:rPr>
          </w:pPr>
        </w:p>
      </w:tc>
      <w:tc>
        <w:tcPr>
          <w:tcW w:w="2250" w:type="pct"/>
          <w:tcBorders>
            <w:top w:val="single" w:sz="4" w:space="0" w:color="4F81BD"/>
            <w:left w:val="nil"/>
            <w:bottom w:val="nil"/>
            <w:right w:val="nil"/>
          </w:tcBorders>
        </w:tcPr>
        <w:p w:rsidR="002E6857" w:rsidRPr="005A3173" w:rsidRDefault="002E6857" w:rsidP="005A3173">
          <w:pPr>
            <w:pStyle w:val="Header"/>
            <w:spacing w:line="276" w:lineRule="auto"/>
            <w:rPr>
              <w:rFonts w:ascii="Calibri" w:eastAsia="MS Gothic" w:hAnsi="Calibri"/>
              <w:b/>
              <w:bCs/>
              <w:color w:val="4F81BD"/>
            </w:rPr>
          </w:pPr>
        </w:p>
      </w:tc>
    </w:tr>
  </w:tbl>
  <w:p w:rsidR="002E6857" w:rsidRPr="007C0F57" w:rsidRDefault="002E685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E6857" w:rsidRPr="007C0F57" w:rsidRDefault="002E6857" w:rsidP="007C0F57">
    <w:pPr>
      <w:pStyle w:val="Footer"/>
      <w:jc w:val="center"/>
      <w:rPr>
        <w:b/>
        <w:i/>
        <w:sz w:val="20"/>
        <w:szCs w:val="20"/>
      </w:rPr>
    </w:pPr>
    <w:r w:rsidRPr="007C0F57">
      <w:rPr>
        <w:b/>
        <w:i/>
        <w:sz w:val="20"/>
        <w:szCs w:val="20"/>
      </w:rPr>
      <w:t>Commercial-in-Confidence</w:t>
    </w:r>
  </w:p>
  <w:p w:rsidR="002E6857" w:rsidRDefault="002E68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DA" w:rsidRDefault="00E964DA">
      <w:r>
        <w:separator/>
      </w:r>
    </w:p>
    <w:p w:rsidR="00E964DA" w:rsidRDefault="00E964DA"/>
  </w:footnote>
  <w:footnote w:type="continuationSeparator" w:id="0">
    <w:p w:rsidR="00E964DA" w:rsidRDefault="00E964DA">
      <w:r>
        <w:continuationSeparator/>
      </w:r>
    </w:p>
    <w:p w:rsidR="00E964DA" w:rsidRDefault="00E964DA"/>
  </w:footnote>
  <w:footnote w:id="1">
    <w:p w:rsidR="002E6857" w:rsidRDefault="002E6857">
      <w:pPr>
        <w:pStyle w:val="FootnoteText"/>
      </w:pPr>
      <w:r>
        <w:rPr>
          <w:rStyle w:val="FootnoteReference"/>
        </w:rPr>
        <w:footnoteRef/>
      </w:r>
      <w:r>
        <w:t xml:space="preserve"> </w:t>
      </w:r>
      <w:r w:rsidRPr="007A537A">
        <w:rPr>
          <w:rFonts w:asciiTheme="minorHAnsi" w:hAnsiTheme="minorHAnsi" w:cs="Arial"/>
          <w:bCs/>
          <w:snapToGrid w:val="0"/>
          <w:sz w:val="16"/>
          <w:szCs w:val="24"/>
        </w:rPr>
        <w:t>Cherny NI, Dafni U, Bogaerts J, et al: ESMO-Magnitude of Clinical Benefit Scale version 1.1. Annals of Oncology 28:2340-2366, 2017</w:t>
      </w:r>
    </w:p>
  </w:footnote>
  <w:footnote w:id="2">
    <w:p w:rsidR="002E6857" w:rsidRDefault="002E6857">
      <w:pPr>
        <w:pStyle w:val="FootnoteText"/>
      </w:pPr>
      <w:r>
        <w:rPr>
          <w:rStyle w:val="FootnoteReference"/>
        </w:rPr>
        <w:footnoteRef/>
      </w:r>
      <w:r>
        <w:t xml:space="preserve"> The pembrolizumab November 2017 PBAC Minutes stated the medicine cost per patient per course to be $</w:t>
      </w:r>
      <w:r w:rsidR="00E964DA">
        <w:rPr>
          <w:noProof/>
          <w:color w:val="000000"/>
          <w:highlight w:val="black"/>
        </w:rPr>
        <w:t>''''''''''''''''</w:t>
      </w:r>
      <w:r>
        <w:t xml:space="preserve">, based on an average of </w:t>
      </w:r>
      <w:r w:rsidR="00E964DA">
        <w:rPr>
          <w:noProof/>
          <w:color w:val="000000"/>
          <w:highlight w:val="black"/>
        </w:rPr>
        <w:t>''''''''''''''</w:t>
      </w:r>
      <w:r>
        <w:t xml:space="preserve"> administrations per course (paragraph 6.50). During preparation of the minor overview, it was found that reference to </w:t>
      </w:r>
      <w:r w:rsidR="00E964DA">
        <w:rPr>
          <w:noProof/>
          <w:color w:val="000000"/>
          <w:highlight w:val="black"/>
        </w:rPr>
        <w:t>''''''''''''</w:t>
      </w:r>
      <w:r>
        <w:t xml:space="preserve"> administrations was made in the pembrolizumab November 2017 major resubmission, however, the economic and financial analyses accompanying the resubmission applied </w:t>
      </w:r>
      <w:r w:rsidR="00E964DA">
        <w:rPr>
          <w:noProof/>
          <w:color w:val="000000"/>
          <w:highlight w:val="black"/>
        </w:rPr>
        <w:t>''''''''''''''</w:t>
      </w:r>
      <w:r>
        <w:t xml:space="preserve"> administrations. Therefore, figures provided in this minor overview have updated those provided in the context of the November 2017 major resubmission.</w:t>
      </w:r>
    </w:p>
  </w:footnote>
  <w:footnote w:id="3">
    <w:p w:rsidR="002E6857" w:rsidRDefault="002E6857">
      <w:pPr>
        <w:pStyle w:val="FootnoteText"/>
      </w:pPr>
      <w:r>
        <w:rPr>
          <w:rStyle w:val="FootnoteReference"/>
        </w:rPr>
        <w:footnoteRef/>
      </w:r>
      <w:r>
        <w:t xml:space="preserve"> The minor resubmission used this term to define the population of new and additional pembrolizumab patients who currently would not receive either first- or second-line therapy.</w:t>
      </w:r>
    </w:p>
  </w:footnote>
  <w:footnote w:id="4">
    <w:p w:rsidR="002E6857" w:rsidRDefault="002E6857">
      <w:pPr>
        <w:pStyle w:val="FootnoteText"/>
      </w:pPr>
      <w:r>
        <w:rPr>
          <w:rStyle w:val="FootnoteReference"/>
        </w:rPr>
        <w:footnoteRef/>
      </w:r>
      <w:r>
        <w:t xml:space="preserve"> Table 15 of the pembrolizumab November 2017 PBAC Minutes reported slightly different figures for the net financial implications to the PBS/RPBS. During the preparation of this minor overview, it was found that those figures were based on the November 2017 Commentary. The pembrolizumab PSCR to the November PBAC meeting provided a revised budget impact model, which updated the net PBS estimates in response to that Commentary. The estimates for the net cost to the PBS (for the November 2017 major resubmission) presented in this minor overview are therefore based on the workbook provided with the pembrolizumab November 2017 PSCR, which has been verified to be correct.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E6857" w:rsidRPr="008E0D90" w:rsidTr="00A06225">
      <w:trPr>
        <w:trHeight w:val="151"/>
      </w:trPr>
      <w:tc>
        <w:tcPr>
          <w:tcW w:w="2389" w:type="pct"/>
          <w:tcBorders>
            <w:top w:val="nil"/>
            <w:left w:val="nil"/>
            <w:bottom w:val="single" w:sz="4" w:space="0" w:color="4F81BD"/>
            <w:right w:val="nil"/>
          </w:tcBorders>
        </w:tcPr>
        <w:p w:rsidR="002E6857" w:rsidRPr="00A06225" w:rsidRDefault="002E6857">
          <w:pPr>
            <w:pStyle w:val="Header"/>
            <w:spacing w:line="276" w:lineRule="auto"/>
            <w:rPr>
              <w:rFonts w:ascii="Cambria" w:eastAsia="MS Gothic" w:hAnsi="Cambria"/>
              <w:b/>
              <w:bCs/>
              <w:color w:val="4F81BD"/>
            </w:rPr>
          </w:pPr>
        </w:p>
      </w:tc>
      <w:tc>
        <w:tcPr>
          <w:tcW w:w="333" w:type="pct"/>
          <w:vMerge w:val="restart"/>
          <w:noWrap/>
          <w:vAlign w:val="center"/>
          <w:hideMark/>
        </w:tcPr>
        <w:p w:rsidR="002E6857" w:rsidRPr="00A06225" w:rsidRDefault="002E685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E6857" w:rsidRPr="00A06225" w:rsidRDefault="002E6857">
          <w:pPr>
            <w:pStyle w:val="Header"/>
            <w:spacing w:line="276" w:lineRule="auto"/>
            <w:rPr>
              <w:rFonts w:ascii="Cambria" w:eastAsia="MS Gothic" w:hAnsi="Cambria"/>
              <w:b/>
              <w:bCs/>
              <w:color w:val="4F81BD"/>
            </w:rPr>
          </w:pPr>
        </w:p>
      </w:tc>
    </w:tr>
    <w:tr w:rsidR="002E6857" w:rsidRPr="008E0D90" w:rsidTr="00A06225">
      <w:trPr>
        <w:trHeight w:val="150"/>
      </w:trPr>
      <w:tc>
        <w:tcPr>
          <w:tcW w:w="2389" w:type="pct"/>
          <w:tcBorders>
            <w:top w:val="single" w:sz="4" w:space="0" w:color="4F81BD"/>
            <w:left w:val="nil"/>
            <w:bottom w:val="nil"/>
            <w:right w:val="nil"/>
          </w:tcBorders>
        </w:tcPr>
        <w:p w:rsidR="002E6857" w:rsidRPr="00A06225" w:rsidRDefault="002E6857">
          <w:pPr>
            <w:pStyle w:val="Header"/>
            <w:spacing w:line="276" w:lineRule="auto"/>
            <w:rPr>
              <w:rFonts w:ascii="Cambria" w:eastAsia="MS Gothic" w:hAnsi="Cambria"/>
              <w:b/>
              <w:bCs/>
              <w:color w:val="4F81BD"/>
            </w:rPr>
          </w:pPr>
        </w:p>
      </w:tc>
      <w:tc>
        <w:tcPr>
          <w:tcW w:w="0" w:type="auto"/>
          <w:vMerge/>
          <w:vAlign w:val="center"/>
          <w:hideMark/>
        </w:tcPr>
        <w:p w:rsidR="002E6857" w:rsidRPr="00A06225" w:rsidRDefault="002E6857">
          <w:pPr>
            <w:rPr>
              <w:rFonts w:ascii="Cambria" w:hAnsi="Cambria"/>
              <w:color w:val="4F81BD"/>
              <w:sz w:val="22"/>
              <w:szCs w:val="22"/>
            </w:rPr>
          </w:pPr>
        </w:p>
      </w:tc>
      <w:tc>
        <w:tcPr>
          <w:tcW w:w="2278" w:type="pct"/>
          <w:tcBorders>
            <w:top w:val="single" w:sz="4" w:space="0" w:color="4F81BD"/>
            <w:left w:val="nil"/>
            <w:bottom w:val="nil"/>
            <w:right w:val="nil"/>
          </w:tcBorders>
        </w:tcPr>
        <w:p w:rsidR="002E6857" w:rsidRPr="00A06225" w:rsidRDefault="002E6857">
          <w:pPr>
            <w:pStyle w:val="Header"/>
            <w:spacing w:line="276" w:lineRule="auto"/>
            <w:rPr>
              <w:rFonts w:ascii="Cambria" w:eastAsia="MS Gothic" w:hAnsi="Cambria"/>
              <w:b/>
              <w:bCs/>
              <w:color w:val="4F81BD"/>
            </w:rPr>
          </w:pPr>
        </w:p>
      </w:tc>
    </w:tr>
  </w:tbl>
  <w:p w:rsidR="002E6857" w:rsidRDefault="002E6857">
    <w:pPr>
      <w:pStyle w:val="Header"/>
    </w:pPr>
  </w:p>
  <w:p w:rsidR="002E6857" w:rsidRDefault="002E68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857" w:rsidRPr="00F90A91" w:rsidRDefault="002E6857" w:rsidP="008C6270">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Pr="00F90A91">
      <w:rPr>
        <w:rFonts w:asciiTheme="minorHAnsi" w:hAnsiTheme="minorHAnsi" w:cs="Arial"/>
        <w:i/>
        <w:color w:val="808080"/>
        <w:sz w:val="22"/>
      </w:rPr>
      <w:t xml:space="preserve"> – </w:t>
    </w:r>
    <w:r>
      <w:rPr>
        <w:rFonts w:asciiTheme="minorHAnsi" w:hAnsiTheme="minorHAnsi" w:cs="Arial"/>
        <w:i/>
        <w:color w:val="808080"/>
        <w:sz w:val="22"/>
      </w:rPr>
      <w:t>March 2018</w:t>
    </w:r>
    <w:r w:rsidRPr="00F90A91">
      <w:rPr>
        <w:rFonts w:asciiTheme="minorHAnsi" w:hAnsiTheme="minorHAnsi" w:cs="Arial"/>
        <w:i/>
        <w:color w:val="808080"/>
        <w:sz w:val="22"/>
      </w:rPr>
      <w:t xml:space="preserve"> PBAC Meeting</w:t>
    </w:r>
  </w:p>
  <w:p w:rsidR="002E6857" w:rsidRDefault="002E6857"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DA" w:rsidRDefault="00E964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18C32D1"/>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ABC27F2"/>
    <w:multiLevelType w:val="hybridMultilevel"/>
    <w:tmpl w:val="3BD0F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5340E4"/>
    <w:multiLevelType w:val="hybridMultilevel"/>
    <w:tmpl w:val="7964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D4A5D31"/>
    <w:multiLevelType w:val="hybridMultilevel"/>
    <w:tmpl w:val="BCB287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C3B06A4"/>
    <w:multiLevelType w:val="hybridMultilevel"/>
    <w:tmpl w:val="8AB0E5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70B05E6E"/>
    <w:multiLevelType w:val="hybridMultilevel"/>
    <w:tmpl w:val="F5347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7"/>
  </w:num>
  <w:num w:numId="5">
    <w:abstractNumId w:val="22"/>
  </w:num>
  <w:num w:numId="6">
    <w:abstractNumId w:val="7"/>
  </w:num>
  <w:num w:numId="7">
    <w:abstractNumId w:val="16"/>
  </w:num>
  <w:num w:numId="8">
    <w:abstractNumId w:val="4"/>
  </w:num>
  <w:num w:numId="9">
    <w:abstractNumId w:val="15"/>
  </w:num>
  <w:num w:numId="10">
    <w:abstractNumId w:val="13"/>
  </w:num>
  <w:num w:numId="11">
    <w:abstractNumId w:val="12"/>
  </w:num>
  <w:num w:numId="12">
    <w:abstractNumId w:val="1"/>
  </w:num>
  <w:num w:numId="13">
    <w:abstractNumId w:val="0"/>
  </w:num>
  <w:num w:numId="14">
    <w:abstractNumId w:val="22"/>
  </w:num>
  <w:num w:numId="15">
    <w:abstractNumId w:val="20"/>
  </w:num>
  <w:num w:numId="16">
    <w:abstractNumId w:val="18"/>
  </w:num>
  <w:num w:numId="17">
    <w:abstractNumId w:val="14"/>
  </w:num>
  <w:num w:numId="18">
    <w:abstractNumId w:val="21"/>
  </w:num>
  <w:num w:numId="19">
    <w:abstractNumId w:val="11"/>
  </w:num>
  <w:num w:numId="20">
    <w:abstractNumId w:val="19"/>
  </w:num>
  <w:num w:numId="21">
    <w:abstractNumId w:val="5"/>
  </w:num>
  <w:num w:numId="22">
    <w:abstractNumId w:val="2"/>
  </w:num>
  <w:num w:numId="23">
    <w:abstractNumId w:val="10"/>
  </w:num>
  <w:num w:numId="2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7FE4"/>
    <w:rsid w:val="000129C3"/>
    <w:rsid w:val="000142E2"/>
    <w:rsid w:val="0001726E"/>
    <w:rsid w:val="00021A5D"/>
    <w:rsid w:val="000225D6"/>
    <w:rsid w:val="0002464A"/>
    <w:rsid w:val="000278E6"/>
    <w:rsid w:val="0003106B"/>
    <w:rsid w:val="00032BDB"/>
    <w:rsid w:val="000421A1"/>
    <w:rsid w:val="0004240E"/>
    <w:rsid w:val="00045E26"/>
    <w:rsid w:val="000514B5"/>
    <w:rsid w:val="00053BFF"/>
    <w:rsid w:val="000546F6"/>
    <w:rsid w:val="00060E64"/>
    <w:rsid w:val="00066755"/>
    <w:rsid w:val="00067CDF"/>
    <w:rsid w:val="0007053C"/>
    <w:rsid w:val="000731F9"/>
    <w:rsid w:val="0007574E"/>
    <w:rsid w:val="00075FB9"/>
    <w:rsid w:val="00076CC8"/>
    <w:rsid w:val="00076DBF"/>
    <w:rsid w:val="00077143"/>
    <w:rsid w:val="00082169"/>
    <w:rsid w:val="0008455E"/>
    <w:rsid w:val="00090F67"/>
    <w:rsid w:val="000957D9"/>
    <w:rsid w:val="000969AD"/>
    <w:rsid w:val="000A1018"/>
    <w:rsid w:val="000A69FC"/>
    <w:rsid w:val="000B1503"/>
    <w:rsid w:val="000B32B0"/>
    <w:rsid w:val="000B558D"/>
    <w:rsid w:val="000C3066"/>
    <w:rsid w:val="000C4B1C"/>
    <w:rsid w:val="000C6996"/>
    <w:rsid w:val="000D23BA"/>
    <w:rsid w:val="000D472E"/>
    <w:rsid w:val="000D4A12"/>
    <w:rsid w:val="000D52FD"/>
    <w:rsid w:val="000E06F3"/>
    <w:rsid w:val="000E681E"/>
    <w:rsid w:val="000E6B16"/>
    <w:rsid w:val="000F0003"/>
    <w:rsid w:val="000F0233"/>
    <w:rsid w:val="000F1764"/>
    <w:rsid w:val="000F4E6A"/>
    <w:rsid w:val="000F7FA4"/>
    <w:rsid w:val="00104227"/>
    <w:rsid w:val="001107BF"/>
    <w:rsid w:val="00113772"/>
    <w:rsid w:val="001165FE"/>
    <w:rsid w:val="0012417C"/>
    <w:rsid w:val="00132250"/>
    <w:rsid w:val="00142395"/>
    <w:rsid w:val="00142714"/>
    <w:rsid w:val="001452ED"/>
    <w:rsid w:val="00146BEB"/>
    <w:rsid w:val="0015089A"/>
    <w:rsid w:val="00152AD8"/>
    <w:rsid w:val="00154440"/>
    <w:rsid w:val="00163329"/>
    <w:rsid w:val="00164623"/>
    <w:rsid w:val="00165B64"/>
    <w:rsid w:val="00172E87"/>
    <w:rsid w:val="001804E7"/>
    <w:rsid w:val="001830CE"/>
    <w:rsid w:val="0018636B"/>
    <w:rsid w:val="0018643B"/>
    <w:rsid w:val="00190BE7"/>
    <w:rsid w:val="00196307"/>
    <w:rsid w:val="001A33EA"/>
    <w:rsid w:val="001A56A0"/>
    <w:rsid w:val="001B017F"/>
    <w:rsid w:val="001B0CF5"/>
    <w:rsid w:val="001B1E0B"/>
    <w:rsid w:val="001B2BBC"/>
    <w:rsid w:val="001B4757"/>
    <w:rsid w:val="001B5129"/>
    <w:rsid w:val="001B572F"/>
    <w:rsid w:val="001C1195"/>
    <w:rsid w:val="001C162A"/>
    <w:rsid w:val="001D781D"/>
    <w:rsid w:val="001F1850"/>
    <w:rsid w:val="00203FAC"/>
    <w:rsid w:val="002052CE"/>
    <w:rsid w:val="00213CFB"/>
    <w:rsid w:val="00215A65"/>
    <w:rsid w:val="00217BE1"/>
    <w:rsid w:val="00222B3F"/>
    <w:rsid w:val="002238A3"/>
    <w:rsid w:val="00223F38"/>
    <w:rsid w:val="002266C9"/>
    <w:rsid w:val="002439CE"/>
    <w:rsid w:val="00243ABA"/>
    <w:rsid w:val="00267A78"/>
    <w:rsid w:val="00271BA1"/>
    <w:rsid w:val="002726CD"/>
    <w:rsid w:val="002762FA"/>
    <w:rsid w:val="00277505"/>
    <w:rsid w:val="00284042"/>
    <w:rsid w:val="00291DB4"/>
    <w:rsid w:val="0029458F"/>
    <w:rsid w:val="00294CAE"/>
    <w:rsid w:val="002A104C"/>
    <w:rsid w:val="002A4960"/>
    <w:rsid w:val="002A71E0"/>
    <w:rsid w:val="002B0CF2"/>
    <w:rsid w:val="002B1AE6"/>
    <w:rsid w:val="002B1E83"/>
    <w:rsid w:val="002B2DE8"/>
    <w:rsid w:val="002B30F8"/>
    <w:rsid w:val="002B33CF"/>
    <w:rsid w:val="002B3548"/>
    <w:rsid w:val="002B5596"/>
    <w:rsid w:val="002B68DA"/>
    <w:rsid w:val="002C212F"/>
    <w:rsid w:val="002C27FA"/>
    <w:rsid w:val="002D4543"/>
    <w:rsid w:val="002D5FC3"/>
    <w:rsid w:val="002E3153"/>
    <w:rsid w:val="002E6857"/>
    <w:rsid w:val="002E72CA"/>
    <w:rsid w:val="002F3D4A"/>
    <w:rsid w:val="002F5F97"/>
    <w:rsid w:val="002F7C2E"/>
    <w:rsid w:val="00300AD6"/>
    <w:rsid w:val="0030141D"/>
    <w:rsid w:val="00302C16"/>
    <w:rsid w:val="0030421E"/>
    <w:rsid w:val="00317C6C"/>
    <w:rsid w:val="00324A5F"/>
    <w:rsid w:val="00326E79"/>
    <w:rsid w:val="0033518A"/>
    <w:rsid w:val="003367EF"/>
    <w:rsid w:val="00337438"/>
    <w:rsid w:val="00341AE4"/>
    <w:rsid w:val="00356078"/>
    <w:rsid w:val="00360FED"/>
    <w:rsid w:val="003633DD"/>
    <w:rsid w:val="00364D25"/>
    <w:rsid w:val="003673DC"/>
    <w:rsid w:val="00385F57"/>
    <w:rsid w:val="003872CF"/>
    <w:rsid w:val="0039039B"/>
    <w:rsid w:val="0039782C"/>
    <w:rsid w:val="003A5B4A"/>
    <w:rsid w:val="003A737C"/>
    <w:rsid w:val="003B0266"/>
    <w:rsid w:val="003B140D"/>
    <w:rsid w:val="003B23C5"/>
    <w:rsid w:val="003B2A75"/>
    <w:rsid w:val="003B6124"/>
    <w:rsid w:val="003B6902"/>
    <w:rsid w:val="003B7B75"/>
    <w:rsid w:val="003C0003"/>
    <w:rsid w:val="003C083B"/>
    <w:rsid w:val="003C2FB5"/>
    <w:rsid w:val="003C6F40"/>
    <w:rsid w:val="003D1826"/>
    <w:rsid w:val="003D4651"/>
    <w:rsid w:val="003D4AC4"/>
    <w:rsid w:val="003D63B7"/>
    <w:rsid w:val="003E1E3A"/>
    <w:rsid w:val="003E2EFE"/>
    <w:rsid w:val="003E468B"/>
    <w:rsid w:val="003F3228"/>
    <w:rsid w:val="003F5C8C"/>
    <w:rsid w:val="00405657"/>
    <w:rsid w:val="0040797E"/>
    <w:rsid w:val="00411161"/>
    <w:rsid w:val="00416B6E"/>
    <w:rsid w:val="004252EC"/>
    <w:rsid w:val="00432CDE"/>
    <w:rsid w:val="00437EC2"/>
    <w:rsid w:val="004465BD"/>
    <w:rsid w:val="00451C08"/>
    <w:rsid w:val="004534FB"/>
    <w:rsid w:val="00453574"/>
    <w:rsid w:val="00463DD4"/>
    <w:rsid w:val="0046690B"/>
    <w:rsid w:val="00466ADA"/>
    <w:rsid w:val="0047485F"/>
    <w:rsid w:val="00476245"/>
    <w:rsid w:val="004762C3"/>
    <w:rsid w:val="00482D8C"/>
    <w:rsid w:val="00482DAA"/>
    <w:rsid w:val="00483035"/>
    <w:rsid w:val="00483297"/>
    <w:rsid w:val="004834F8"/>
    <w:rsid w:val="0048378D"/>
    <w:rsid w:val="00485940"/>
    <w:rsid w:val="00496803"/>
    <w:rsid w:val="00497908"/>
    <w:rsid w:val="004A2484"/>
    <w:rsid w:val="004A5A85"/>
    <w:rsid w:val="004A71D1"/>
    <w:rsid w:val="004B5640"/>
    <w:rsid w:val="004C1BD7"/>
    <w:rsid w:val="004C31FE"/>
    <w:rsid w:val="004C691D"/>
    <w:rsid w:val="004C6C07"/>
    <w:rsid w:val="004D5163"/>
    <w:rsid w:val="004E2020"/>
    <w:rsid w:val="004E692D"/>
    <w:rsid w:val="004E7AD5"/>
    <w:rsid w:val="004F3204"/>
    <w:rsid w:val="004F532C"/>
    <w:rsid w:val="00500E75"/>
    <w:rsid w:val="005012E1"/>
    <w:rsid w:val="00501554"/>
    <w:rsid w:val="0051182F"/>
    <w:rsid w:val="00514CD7"/>
    <w:rsid w:val="00521796"/>
    <w:rsid w:val="0052471A"/>
    <w:rsid w:val="00526375"/>
    <w:rsid w:val="00530FDE"/>
    <w:rsid w:val="005319B2"/>
    <w:rsid w:val="00532402"/>
    <w:rsid w:val="00532C74"/>
    <w:rsid w:val="0053361F"/>
    <w:rsid w:val="005336ED"/>
    <w:rsid w:val="005347E9"/>
    <w:rsid w:val="00534D45"/>
    <w:rsid w:val="00534E2E"/>
    <w:rsid w:val="005368F5"/>
    <w:rsid w:val="0053789B"/>
    <w:rsid w:val="00542ED1"/>
    <w:rsid w:val="00544552"/>
    <w:rsid w:val="005549DD"/>
    <w:rsid w:val="00560542"/>
    <w:rsid w:val="00563ED2"/>
    <w:rsid w:val="00565275"/>
    <w:rsid w:val="00565F0F"/>
    <w:rsid w:val="00577C4D"/>
    <w:rsid w:val="00581932"/>
    <w:rsid w:val="005875F5"/>
    <w:rsid w:val="00593B92"/>
    <w:rsid w:val="005963BB"/>
    <w:rsid w:val="00597173"/>
    <w:rsid w:val="005A2D2E"/>
    <w:rsid w:val="005A3173"/>
    <w:rsid w:val="005A3223"/>
    <w:rsid w:val="005A3DA3"/>
    <w:rsid w:val="005A52C4"/>
    <w:rsid w:val="005B1A5B"/>
    <w:rsid w:val="005B5043"/>
    <w:rsid w:val="005B7B62"/>
    <w:rsid w:val="005C453A"/>
    <w:rsid w:val="005D03AB"/>
    <w:rsid w:val="005D3576"/>
    <w:rsid w:val="005D455D"/>
    <w:rsid w:val="005D5017"/>
    <w:rsid w:val="005E1333"/>
    <w:rsid w:val="005F62A4"/>
    <w:rsid w:val="00601A91"/>
    <w:rsid w:val="00602BA3"/>
    <w:rsid w:val="00612E34"/>
    <w:rsid w:val="00614159"/>
    <w:rsid w:val="00617C00"/>
    <w:rsid w:val="00620CE9"/>
    <w:rsid w:val="00620D39"/>
    <w:rsid w:val="006263BF"/>
    <w:rsid w:val="0062748A"/>
    <w:rsid w:val="00630A2C"/>
    <w:rsid w:val="0063682E"/>
    <w:rsid w:val="00641171"/>
    <w:rsid w:val="006436CD"/>
    <w:rsid w:val="00645788"/>
    <w:rsid w:val="0064716C"/>
    <w:rsid w:val="00651169"/>
    <w:rsid w:val="00653D69"/>
    <w:rsid w:val="00655231"/>
    <w:rsid w:val="00657B1D"/>
    <w:rsid w:val="00660757"/>
    <w:rsid w:val="00661833"/>
    <w:rsid w:val="0066298B"/>
    <w:rsid w:val="006670BE"/>
    <w:rsid w:val="00670A76"/>
    <w:rsid w:val="006711AA"/>
    <w:rsid w:val="00672B57"/>
    <w:rsid w:val="00673860"/>
    <w:rsid w:val="00675622"/>
    <w:rsid w:val="0067747D"/>
    <w:rsid w:val="0068183D"/>
    <w:rsid w:val="00684410"/>
    <w:rsid w:val="0068575C"/>
    <w:rsid w:val="006906DB"/>
    <w:rsid w:val="00691E6C"/>
    <w:rsid w:val="00696129"/>
    <w:rsid w:val="00697CF2"/>
    <w:rsid w:val="006A12A5"/>
    <w:rsid w:val="006A15C9"/>
    <w:rsid w:val="006B0D94"/>
    <w:rsid w:val="006B485D"/>
    <w:rsid w:val="006C46FF"/>
    <w:rsid w:val="006C4A8E"/>
    <w:rsid w:val="006C6CBE"/>
    <w:rsid w:val="006C708E"/>
    <w:rsid w:val="006D3E68"/>
    <w:rsid w:val="006D54BB"/>
    <w:rsid w:val="006D6EC7"/>
    <w:rsid w:val="006E5C4A"/>
    <w:rsid w:val="006E6F72"/>
    <w:rsid w:val="006F5125"/>
    <w:rsid w:val="006F6F31"/>
    <w:rsid w:val="00701887"/>
    <w:rsid w:val="00702B6F"/>
    <w:rsid w:val="007055D5"/>
    <w:rsid w:val="0071340B"/>
    <w:rsid w:val="007174BB"/>
    <w:rsid w:val="0072025D"/>
    <w:rsid w:val="007310E6"/>
    <w:rsid w:val="007353D3"/>
    <w:rsid w:val="00736790"/>
    <w:rsid w:val="0074367F"/>
    <w:rsid w:val="00744CF6"/>
    <w:rsid w:val="00745A1E"/>
    <w:rsid w:val="007521BA"/>
    <w:rsid w:val="00752CDE"/>
    <w:rsid w:val="00756A90"/>
    <w:rsid w:val="0076420C"/>
    <w:rsid w:val="007665EB"/>
    <w:rsid w:val="007753C2"/>
    <w:rsid w:val="00782CF2"/>
    <w:rsid w:val="007838B8"/>
    <w:rsid w:val="007867C9"/>
    <w:rsid w:val="00793C1A"/>
    <w:rsid w:val="007A5FE7"/>
    <w:rsid w:val="007C0F57"/>
    <w:rsid w:val="007C40B6"/>
    <w:rsid w:val="007C729F"/>
    <w:rsid w:val="007D0B60"/>
    <w:rsid w:val="007E0B2A"/>
    <w:rsid w:val="007E1D28"/>
    <w:rsid w:val="007E3BD7"/>
    <w:rsid w:val="007E6EB8"/>
    <w:rsid w:val="007F2641"/>
    <w:rsid w:val="007F7C36"/>
    <w:rsid w:val="008012D1"/>
    <w:rsid w:val="008041C3"/>
    <w:rsid w:val="00805724"/>
    <w:rsid w:val="00806261"/>
    <w:rsid w:val="00806796"/>
    <w:rsid w:val="00812475"/>
    <w:rsid w:val="0081466A"/>
    <w:rsid w:val="008151D6"/>
    <w:rsid w:val="00826F6D"/>
    <w:rsid w:val="008306F3"/>
    <w:rsid w:val="00840FB8"/>
    <w:rsid w:val="0084167C"/>
    <w:rsid w:val="00843609"/>
    <w:rsid w:val="00843BD0"/>
    <w:rsid w:val="008516F3"/>
    <w:rsid w:val="00851952"/>
    <w:rsid w:val="00851F1E"/>
    <w:rsid w:val="00856DDD"/>
    <w:rsid w:val="0086196A"/>
    <w:rsid w:val="00863E68"/>
    <w:rsid w:val="0086430E"/>
    <w:rsid w:val="0087205E"/>
    <w:rsid w:val="00873AF7"/>
    <w:rsid w:val="008769DB"/>
    <w:rsid w:val="00877448"/>
    <w:rsid w:val="00877608"/>
    <w:rsid w:val="00882085"/>
    <w:rsid w:val="00883188"/>
    <w:rsid w:val="00884BB4"/>
    <w:rsid w:val="0088784F"/>
    <w:rsid w:val="00891457"/>
    <w:rsid w:val="00895DEA"/>
    <w:rsid w:val="00897D58"/>
    <w:rsid w:val="00897F22"/>
    <w:rsid w:val="008A1430"/>
    <w:rsid w:val="008A1956"/>
    <w:rsid w:val="008A2FCD"/>
    <w:rsid w:val="008A48EC"/>
    <w:rsid w:val="008A4937"/>
    <w:rsid w:val="008A50F1"/>
    <w:rsid w:val="008B261E"/>
    <w:rsid w:val="008C1DCA"/>
    <w:rsid w:val="008C6270"/>
    <w:rsid w:val="008D1B5C"/>
    <w:rsid w:val="008D2340"/>
    <w:rsid w:val="008D3C82"/>
    <w:rsid w:val="008D447E"/>
    <w:rsid w:val="008D7A41"/>
    <w:rsid w:val="008E3680"/>
    <w:rsid w:val="008E5870"/>
    <w:rsid w:val="008F1434"/>
    <w:rsid w:val="008F6251"/>
    <w:rsid w:val="008F6E83"/>
    <w:rsid w:val="008F7355"/>
    <w:rsid w:val="009018EC"/>
    <w:rsid w:val="009067B7"/>
    <w:rsid w:val="0091030A"/>
    <w:rsid w:val="00911A00"/>
    <w:rsid w:val="00925716"/>
    <w:rsid w:val="009303CD"/>
    <w:rsid w:val="00930937"/>
    <w:rsid w:val="00933E6C"/>
    <w:rsid w:val="00937806"/>
    <w:rsid w:val="00937958"/>
    <w:rsid w:val="00942160"/>
    <w:rsid w:val="00945D32"/>
    <w:rsid w:val="0095146F"/>
    <w:rsid w:val="009518B4"/>
    <w:rsid w:val="009602C5"/>
    <w:rsid w:val="00961CA3"/>
    <w:rsid w:val="00962223"/>
    <w:rsid w:val="00966D0D"/>
    <w:rsid w:val="009720E3"/>
    <w:rsid w:val="00974C21"/>
    <w:rsid w:val="00976D85"/>
    <w:rsid w:val="009779FF"/>
    <w:rsid w:val="00982397"/>
    <w:rsid w:val="00982C6D"/>
    <w:rsid w:val="00984960"/>
    <w:rsid w:val="0098684A"/>
    <w:rsid w:val="00987F0D"/>
    <w:rsid w:val="009A4A40"/>
    <w:rsid w:val="009B0F67"/>
    <w:rsid w:val="009C34FB"/>
    <w:rsid w:val="009C4641"/>
    <w:rsid w:val="009C703C"/>
    <w:rsid w:val="009D3CAA"/>
    <w:rsid w:val="009E0AA4"/>
    <w:rsid w:val="009E61A6"/>
    <w:rsid w:val="009F12C6"/>
    <w:rsid w:val="009F4E46"/>
    <w:rsid w:val="009F5B65"/>
    <w:rsid w:val="009F5F2E"/>
    <w:rsid w:val="009F6D90"/>
    <w:rsid w:val="00A02454"/>
    <w:rsid w:val="00A06225"/>
    <w:rsid w:val="00A11609"/>
    <w:rsid w:val="00A1267B"/>
    <w:rsid w:val="00A128E6"/>
    <w:rsid w:val="00A154CD"/>
    <w:rsid w:val="00A34836"/>
    <w:rsid w:val="00A34E6C"/>
    <w:rsid w:val="00A37C8D"/>
    <w:rsid w:val="00A43BB0"/>
    <w:rsid w:val="00A44D23"/>
    <w:rsid w:val="00A456D0"/>
    <w:rsid w:val="00A5273B"/>
    <w:rsid w:val="00A53A9D"/>
    <w:rsid w:val="00A55FEE"/>
    <w:rsid w:val="00A61312"/>
    <w:rsid w:val="00A62C1A"/>
    <w:rsid w:val="00A6426D"/>
    <w:rsid w:val="00A665C1"/>
    <w:rsid w:val="00A70622"/>
    <w:rsid w:val="00A70977"/>
    <w:rsid w:val="00A771AE"/>
    <w:rsid w:val="00A77613"/>
    <w:rsid w:val="00A8390C"/>
    <w:rsid w:val="00A85136"/>
    <w:rsid w:val="00A91CE7"/>
    <w:rsid w:val="00A928BD"/>
    <w:rsid w:val="00A97CEC"/>
    <w:rsid w:val="00AA32F9"/>
    <w:rsid w:val="00AA4D1C"/>
    <w:rsid w:val="00AC18C2"/>
    <w:rsid w:val="00AC193C"/>
    <w:rsid w:val="00AC5206"/>
    <w:rsid w:val="00AD1BB2"/>
    <w:rsid w:val="00AE11A5"/>
    <w:rsid w:val="00AE13E2"/>
    <w:rsid w:val="00AE17BB"/>
    <w:rsid w:val="00AE22D3"/>
    <w:rsid w:val="00AE6C39"/>
    <w:rsid w:val="00AE6F82"/>
    <w:rsid w:val="00AF62DF"/>
    <w:rsid w:val="00AF68CC"/>
    <w:rsid w:val="00AF7FEB"/>
    <w:rsid w:val="00B016AA"/>
    <w:rsid w:val="00B01C78"/>
    <w:rsid w:val="00B021F1"/>
    <w:rsid w:val="00B1059E"/>
    <w:rsid w:val="00B105BA"/>
    <w:rsid w:val="00B126B8"/>
    <w:rsid w:val="00B14AD5"/>
    <w:rsid w:val="00B1671D"/>
    <w:rsid w:val="00B176C8"/>
    <w:rsid w:val="00B17845"/>
    <w:rsid w:val="00B205AA"/>
    <w:rsid w:val="00B22E84"/>
    <w:rsid w:val="00B23072"/>
    <w:rsid w:val="00B25F75"/>
    <w:rsid w:val="00B26B3F"/>
    <w:rsid w:val="00B35113"/>
    <w:rsid w:val="00B434BC"/>
    <w:rsid w:val="00B43E90"/>
    <w:rsid w:val="00B43EA1"/>
    <w:rsid w:val="00B44949"/>
    <w:rsid w:val="00B467DC"/>
    <w:rsid w:val="00B50EFF"/>
    <w:rsid w:val="00B517C9"/>
    <w:rsid w:val="00B56118"/>
    <w:rsid w:val="00B60F31"/>
    <w:rsid w:val="00B644A8"/>
    <w:rsid w:val="00B64F25"/>
    <w:rsid w:val="00B65D50"/>
    <w:rsid w:val="00B6773F"/>
    <w:rsid w:val="00B71D0E"/>
    <w:rsid w:val="00B7652F"/>
    <w:rsid w:val="00B801BA"/>
    <w:rsid w:val="00B84385"/>
    <w:rsid w:val="00B84D5C"/>
    <w:rsid w:val="00B971A2"/>
    <w:rsid w:val="00B97EF8"/>
    <w:rsid w:val="00BA1A0A"/>
    <w:rsid w:val="00BB69F5"/>
    <w:rsid w:val="00BB7EC3"/>
    <w:rsid w:val="00BC3676"/>
    <w:rsid w:val="00BC4B9A"/>
    <w:rsid w:val="00BC5649"/>
    <w:rsid w:val="00BC6FA4"/>
    <w:rsid w:val="00BD1737"/>
    <w:rsid w:val="00BD4830"/>
    <w:rsid w:val="00BD784C"/>
    <w:rsid w:val="00BF2088"/>
    <w:rsid w:val="00BF4CB6"/>
    <w:rsid w:val="00BF6CDA"/>
    <w:rsid w:val="00C00DA7"/>
    <w:rsid w:val="00C0199B"/>
    <w:rsid w:val="00C12768"/>
    <w:rsid w:val="00C263DE"/>
    <w:rsid w:val="00C27B58"/>
    <w:rsid w:val="00C3191E"/>
    <w:rsid w:val="00C339C6"/>
    <w:rsid w:val="00C35996"/>
    <w:rsid w:val="00C41FD3"/>
    <w:rsid w:val="00C45738"/>
    <w:rsid w:val="00C4747E"/>
    <w:rsid w:val="00C50E27"/>
    <w:rsid w:val="00C5342C"/>
    <w:rsid w:val="00C54DA9"/>
    <w:rsid w:val="00C603D4"/>
    <w:rsid w:val="00C61B15"/>
    <w:rsid w:val="00C6256A"/>
    <w:rsid w:val="00C75321"/>
    <w:rsid w:val="00C77891"/>
    <w:rsid w:val="00C82876"/>
    <w:rsid w:val="00C91449"/>
    <w:rsid w:val="00C92D10"/>
    <w:rsid w:val="00C93006"/>
    <w:rsid w:val="00C93583"/>
    <w:rsid w:val="00CB2614"/>
    <w:rsid w:val="00CB3F90"/>
    <w:rsid w:val="00CC15FF"/>
    <w:rsid w:val="00CC562F"/>
    <w:rsid w:val="00CC61B1"/>
    <w:rsid w:val="00CE10C4"/>
    <w:rsid w:val="00CE27B5"/>
    <w:rsid w:val="00CE423A"/>
    <w:rsid w:val="00CE599F"/>
    <w:rsid w:val="00CF1ECF"/>
    <w:rsid w:val="00D00A9B"/>
    <w:rsid w:val="00D019BA"/>
    <w:rsid w:val="00D01BB4"/>
    <w:rsid w:val="00D0321E"/>
    <w:rsid w:val="00D057D1"/>
    <w:rsid w:val="00D05BD3"/>
    <w:rsid w:val="00D062A5"/>
    <w:rsid w:val="00D07C9F"/>
    <w:rsid w:val="00D1455A"/>
    <w:rsid w:val="00D16EBE"/>
    <w:rsid w:val="00D17FE6"/>
    <w:rsid w:val="00D2610F"/>
    <w:rsid w:val="00D30EDD"/>
    <w:rsid w:val="00D30FD9"/>
    <w:rsid w:val="00D31150"/>
    <w:rsid w:val="00D3138B"/>
    <w:rsid w:val="00D3280C"/>
    <w:rsid w:val="00D3406A"/>
    <w:rsid w:val="00D36DC3"/>
    <w:rsid w:val="00D409C6"/>
    <w:rsid w:val="00D437BA"/>
    <w:rsid w:val="00D4572C"/>
    <w:rsid w:val="00D469B2"/>
    <w:rsid w:val="00D53AF7"/>
    <w:rsid w:val="00D62320"/>
    <w:rsid w:val="00D631AF"/>
    <w:rsid w:val="00D63749"/>
    <w:rsid w:val="00D6406B"/>
    <w:rsid w:val="00D660D2"/>
    <w:rsid w:val="00D741EB"/>
    <w:rsid w:val="00D80FA8"/>
    <w:rsid w:val="00D83605"/>
    <w:rsid w:val="00D84934"/>
    <w:rsid w:val="00D906B9"/>
    <w:rsid w:val="00D91271"/>
    <w:rsid w:val="00D939E9"/>
    <w:rsid w:val="00DA2CB5"/>
    <w:rsid w:val="00DA4BAC"/>
    <w:rsid w:val="00DA7521"/>
    <w:rsid w:val="00DC59B1"/>
    <w:rsid w:val="00DC7C9E"/>
    <w:rsid w:val="00DE4A33"/>
    <w:rsid w:val="00DE4CFE"/>
    <w:rsid w:val="00DE6D27"/>
    <w:rsid w:val="00DF0488"/>
    <w:rsid w:val="00DF217D"/>
    <w:rsid w:val="00DF26A7"/>
    <w:rsid w:val="00E01B3E"/>
    <w:rsid w:val="00E06BD4"/>
    <w:rsid w:val="00E100A1"/>
    <w:rsid w:val="00E112C9"/>
    <w:rsid w:val="00E15627"/>
    <w:rsid w:val="00E164B3"/>
    <w:rsid w:val="00E16910"/>
    <w:rsid w:val="00E17C72"/>
    <w:rsid w:val="00E20E39"/>
    <w:rsid w:val="00E24312"/>
    <w:rsid w:val="00E255F4"/>
    <w:rsid w:val="00E31A69"/>
    <w:rsid w:val="00E373BE"/>
    <w:rsid w:val="00E40E44"/>
    <w:rsid w:val="00E42BDB"/>
    <w:rsid w:val="00E45710"/>
    <w:rsid w:val="00E5112F"/>
    <w:rsid w:val="00E53FD7"/>
    <w:rsid w:val="00E54E86"/>
    <w:rsid w:val="00E55D9F"/>
    <w:rsid w:val="00E57EEB"/>
    <w:rsid w:val="00E62D94"/>
    <w:rsid w:val="00E65E54"/>
    <w:rsid w:val="00E80155"/>
    <w:rsid w:val="00E8225A"/>
    <w:rsid w:val="00E8320A"/>
    <w:rsid w:val="00E848C0"/>
    <w:rsid w:val="00E91753"/>
    <w:rsid w:val="00E91B96"/>
    <w:rsid w:val="00E92104"/>
    <w:rsid w:val="00E941A1"/>
    <w:rsid w:val="00E95CE3"/>
    <w:rsid w:val="00E95DE7"/>
    <w:rsid w:val="00E964DA"/>
    <w:rsid w:val="00E96EA0"/>
    <w:rsid w:val="00E97EA0"/>
    <w:rsid w:val="00EA2825"/>
    <w:rsid w:val="00EA6A09"/>
    <w:rsid w:val="00EB0B63"/>
    <w:rsid w:val="00EB16C5"/>
    <w:rsid w:val="00EB1936"/>
    <w:rsid w:val="00EB21ED"/>
    <w:rsid w:val="00EB5088"/>
    <w:rsid w:val="00EB6B4F"/>
    <w:rsid w:val="00ED0A7C"/>
    <w:rsid w:val="00ED1644"/>
    <w:rsid w:val="00ED225A"/>
    <w:rsid w:val="00ED2593"/>
    <w:rsid w:val="00ED7D9C"/>
    <w:rsid w:val="00EF06AA"/>
    <w:rsid w:val="00EF06C5"/>
    <w:rsid w:val="00EF44A0"/>
    <w:rsid w:val="00EF4FED"/>
    <w:rsid w:val="00F00940"/>
    <w:rsid w:val="00F017AD"/>
    <w:rsid w:val="00F0485A"/>
    <w:rsid w:val="00F04D7D"/>
    <w:rsid w:val="00F050BD"/>
    <w:rsid w:val="00F05657"/>
    <w:rsid w:val="00F07A41"/>
    <w:rsid w:val="00F13C8C"/>
    <w:rsid w:val="00F20812"/>
    <w:rsid w:val="00F22089"/>
    <w:rsid w:val="00F249AF"/>
    <w:rsid w:val="00F25578"/>
    <w:rsid w:val="00F258E5"/>
    <w:rsid w:val="00F26922"/>
    <w:rsid w:val="00F300BC"/>
    <w:rsid w:val="00F30D03"/>
    <w:rsid w:val="00F3334E"/>
    <w:rsid w:val="00F36CCB"/>
    <w:rsid w:val="00F374E5"/>
    <w:rsid w:val="00F37856"/>
    <w:rsid w:val="00F43AF2"/>
    <w:rsid w:val="00F43BC8"/>
    <w:rsid w:val="00F478C9"/>
    <w:rsid w:val="00F50EC4"/>
    <w:rsid w:val="00F550CF"/>
    <w:rsid w:val="00F57A6D"/>
    <w:rsid w:val="00F638CC"/>
    <w:rsid w:val="00F64B44"/>
    <w:rsid w:val="00F64CC1"/>
    <w:rsid w:val="00F72317"/>
    <w:rsid w:val="00F80475"/>
    <w:rsid w:val="00F8247A"/>
    <w:rsid w:val="00F86214"/>
    <w:rsid w:val="00F87320"/>
    <w:rsid w:val="00F9629A"/>
    <w:rsid w:val="00F97EFC"/>
    <w:rsid w:val="00FA523F"/>
    <w:rsid w:val="00FA5883"/>
    <w:rsid w:val="00FA6055"/>
    <w:rsid w:val="00FB038A"/>
    <w:rsid w:val="00FB322F"/>
    <w:rsid w:val="00FB442F"/>
    <w:rsid w:val="00FC1929"/>
    <w:rsid w:val="00FC5B46"/>
    <w:rsid w:val="00FC693B"/>
    <w:rsid w:val="00FD58C5"/>
    <w:rsid w:val="00FD5D84"/>
    <w:rsid w:val="00FD6D8E"/>
    <w:rsid w:val="00FE0E94"/>
    <w:rsid w:val="00FE41DD"/>
    <w:rsid w:val="00FF00BD"/>
    <w:rsid w:val="00FF140E"/>
    <w:rsid w:val="00FF1ED4"/>
    <w:rsid w:val="00FF2801"/>
    <w:rsid w:val="00FF49D4"/>
    <w:rsid w:val="00FF74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List Paragraph1"/>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List Paragraph1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Text0">
    <w:name w:val="Table Text"/>
    <w:basedOn w:val="Normal"/>
    <w:link w:val="TableTextChar"/>
    <w:qFormat/>
    <w:rsid w:val="00E01B3E"/>
    <w:pPr>
      <w:widowControl w:val="0"/>
      <w:spacing w:before="40" w:after="40"/>
      <w:jc w:val="both"/>
    </w:pPr>
    <w:rPr>
      <w:rFonts w:ascii="Arial Narrow" w:eastAsiaTheme="minorHAnsi" w:hAnsi="Arial Narrow" w:cstheme="minorBidi"/>
      <w:sz w:val="20"/>
      <w:szCs w:val="22"/>
      <w:lang w:eastAsia="en-US"/>
    </w:rPr>
  </w:style>
  <w:style w:type="paragraph" w:customStyle="1" w:styleId="TableFooter">
    <w:name w:val="Table Footer"/>
    <w:basedOn w:val="Normal"/>
    <w:link w:val="TableFooterChar"/>
    <w:uiPriority w:val="4"/>
    <w:qFormat/>
    <w:rsid w:val="00E01B3E"/>
    <w:pPr>
      <w:widowControl w:val="0"/>
      <w:spacing w:before="40" w:after="24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uiPriority w:val="4"/>
    <w:rsid w:val="00E01B3E"/>
    <w:rPr>
      <w:rFonts w:ascii="Arial Narrow" w:hAnsi="Arial Narrow" w:cs="Arial"/>
      <w:snapToGrid w:val="0"/>
      <w:sz w:val="18"/>
      <w:lang w:eastAsia="en-US"/>
    </w:rPr>
  </w:style>
  <w:style w:type="character" w:customStyle="1" w:styleId="TableTextChar">
    <w:name w:val="Table Text Char"/>
    <w:link w:val="TableText0"/>
    <w:rsid w:val="00E01B3E"/>
    <w:rPr>
      <w:rFonts w:ascii="Arial Narrow" w:eastAsiaTheme="minorHAnsi" w:hAnsi="Arial Narrow" w:cstheme="minorBidi"/>
      <w:szCs w:val="22"/>
      <w:lang w:eastAsia="en-US"/>
    </w:rPr>
  </w:style>
  <w:style w:type="paragraph" w:customStyle="1" w:styleId="ESHeading2">
    <w:name w:val="ES Heading 2"/>
    <w:basedOn w:val="Heading2"/>
    <w:link w:val="ESHeading2Char"/>
    <w:uiPriority w:val="2"/>
    <w:qFormat/>
    <w:rsid w:val="006E6F72"/>
    <w:pPr>
      <w:keepLines/>
      <w:spacing w:before="360" w:after="120"/>
      <w:ind w:left="720" w:hanging="720"/>
    </w:pPr>
    <w:rPr>
      <w:rFonts w:asciiTheme="majorHAnsi" w:eastAsiaTheme="majorEastAsia" w:hAnsiTheme="majorHAnsi" w:cstheme="majorBidi"/>
      <w:snapToGrid w:val="0"/>
      <w:sz w:val="28"/>
      <w:szCs w:val="28"/>
      <w:lang w:eastAsia="en-US"/>
    </w:rPr>
  </w:style>
  <w:style w:type="character" w:customStyle="1" w:styleId="ESHeading2Char">
    <w:name w:val="ES Heading 2 Char"/>
    <w:basedOn w:val="Heading2Char"/>
    <w:link w:val="ESHeading2"/>
    <w:uiPriority w:val="2"/>
    <w:rsid w:val="006E6F72"/>
    <w:rPr>
      <w:rFonts w:asciiTheme="majorHAnsi" w:eastAsiaTheme="majorEastAsia" w:hAnsiTheme="majorHAnsi" w:cstheme="majorBidi"/>
      <w:b/>
      <w:i/>
      <w:snapToGrid w:val="0"/>
      <w:sz w:val="28"/>
      <w:szCs w:val="28"/>
      <w:lang w:eastAsia="en-US"/>
    </w:rPr>
  </w:style>
  <w:style w:type="paragraph" w:styleId="Caption">
    <w:name w:val="caption"/>
    <w:basedOn w:val="Normal"/>
    <w:next w:val="Normal"/>
    <w:unhideWhenUsed/>
    <w:qFormat/>
    <w:rsid w:val="00A34836"/>
    <w:pPr>
      <w:spacing w:after="200"/>
    </w:pPr>
    <w:rPr>
      <w:b/>
      <w:bCs/>
      <w:color w:val="4F81BD" w:themeColor="accent1"/>
      <w:sz w:val="18"/>
      <w:szCs w:val="18"/>
    </w:rPr>
  </w:style>
  <w:style w:type="paragraph" w:styleId="BodyText">
    <w:name w:val="Body Text"/>
    <w:basedOn w:val="Normal"/>
    <w:link w:val="BodyTextChar"/>
    <w:rsid w:val="00E20E39"/>
    <w:pPr>
      <w:spacing w:after="120"/>
    </w:pPr>
  </w:style>
  <w:style w:type="character" w:customStyle="1" w:styleId="BodyTextChar">
    <w:name w:val="Body Text Char"/>
    <w:basedOn w:val="DefaultParagraphFont"/>
    <w:link w:val="BodyText"/>
    <w:rsid w:val="00E20E39"/>
    <w:rPr>
      <w:sz w:val="24"/>
      <w:szCs w:val="24"/>
    </w:rPr>
  </w:style>
  <w:style w:type="paragraph" w:styleId="FootnoteText">
    <w:name w:val="footnote text"/>
    <w:basedOn w:val="Normal"/>
    <w:link w:val="FootnoteTextChar"/>
    <w:rsid w:val="00EB21ED"/>
    <w:rPr>
      <w:sz w:val="20"/>
      <w:szCs w:val="20"/>
    </w:rPr>
  </w:style>
  <w:style w:type="character" w:customStyle="1" w:styleId="FootnoteTextChar">
    <w:name w:val="Footnote Text Char"/>
    <w:basedOn w:val="DefaultParagraphFont"/>
    <w:link w:val="FootnoteText"/>
    <w:rsid w:val="00EB21ED"/>
  </w:style>
  <w:style w:type="character" w:styleId="FootnoteReference">
    <w:name w:val="footnote reference"/>
    <w:basedOn w:val="DefaultParagraphFont"/>
    <w:rsid w:val="00EB21ED"/>
    <w:rPr>
      <w:vertAlign w:val="superscript"/>
    </w:rPr>
  </w:style>
  <w:style w:type="paragraph" w:styleId="Revision">
    <w:name w:val="Revision"/>
    <w:hidden/>
    <w:uiPriority w:val="71"/>
    <w:rsid w:val="00C54D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List Paragraph1"/>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List Paragraph1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Text0">
    <w:name w:val="Table Text"/>
    <w:basedOn w:val="Normal"/>
    <w:link w:val="TableTextChar"/>
    <w:qFormat/>
    <w:rsid w:val="00E01B3E"/>
    <w:pPr>
      <w:widowControl w:val="0"/>
      <w:spacing w:before="40" w:after="40"/>
      <w:jc w:val="both"/>
    </w:pPr>
    <w:rPr>
      <w:rFonts w:ascii="Arial Narrow" w:eastAsiaTheme="minorHAnsi" w:hAnsi="Arial Narrow" w:cstheme="minorBidi"/>
      <w:sz w:val="20"/>
      <w:szCs w:val="22"/>
      <w:lang w:eastAsia="en-US"/>
    </w:rPr>
  </w:style>
  <w:style w:type="paragraph" w:customStyle="1" w:styleId="TableFooter">
    <w:name w:val="Table Footer"/>
    <w:basedOn w:val="Normal"/>
    <w:link w:val="TableFooterChar"/>
    <w:uiPriority w:val="4"/>
    <w:qFormat/>
    <w:rsid w:val="00E01B3E"/>
    <w:pPr>
      <w:widowControl w:val="0"/>
      <w:spacing w:before="40" w:after="24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uiPriority w:val="4"/>
    <w:rsid w:val="00E01B3E"/>
    <w:rPr>
      <w:rFonts w:ascii="Arial Narrow" w:hAnsi="Arial Narrow" w:cs="Arial"/>
      <w:snapToGrid w:val="0"/>
      <w:sz w:val="18"/>
      <w:lang w:eastAsia="en-US"/>
    </w:rPr>
  </w:style>
  <w:style w:type="character" w:customStyle="1" w:styleId="TableTextChar">
    <w:name w:val="Table Text Char"/>
    <w:link w:val="TableText0"/>
    <w:rsid w:val="00E01B3E"/>
    <w:rPr>
      <w:rFonts w:ascii="Arial Narrow" w:eastAsiaTheme="minorHAnsi" w:hAnsi="Arial Narrow" w:cstheme="minorBidi"/>
      <w:szCs w:val="22"/>
      <w:lang w:eastAsia="en-US"/>
    </w:rPr>
  </w:style>
  <w:style w:type="paragraph" w:customStyle="1" w:styleId="ESHeading2">
    <w:name w:val="ES Heading 2"/>
    <w:basedOn w:val="Heading2"/>
    <w:link w:val="ESHeading2Char"/>
    <w:uiPriority w:val="2"/>
    <w:qFormat/>
    <w:rsid w:val="006E6F72"/>
    <w:pPr>
      <w:keepLines/>
      <w:spacing w:before="360" w:after="120"/>
      <w:ind w:left="720" w:hanging="720"/>
    </w:pPr>
    <w:rPr>
      <w:rFonts w:asciiTheme="majorHAnsi" w:eastAsiaTheme="majorEastAsia" w:hAnsiTheme="majorHAnsi" w:cstheme="majorBidi"/>
      <w:snapToGrid w:val="0"/>
      <w:sz w:val="28"/>
      <w:szCs w:val="28"/>
      <w:lang w:eastAsia="en-US"/>
    </w:rPr>
  </w:style>
  <w:style w:type="character" w:customStyle="1" w:styleId="ESHeading2Char">
    <w:name w:val="ES Heading 2 Char"/>
    <w:basedOn w:val="Heading2Char"/>
    <w:link w:val="ESHeading2"/>
    <w:uiPriority w:val="2"/>
    <w:rsid w:val="006E6F72"/>
    <w:rPr>
      <w:rFonts w:asciiTheme="majorHAnsi" w:eastAsiaTheme="majorEastAsia" w:hAnsiTheme="majorHAnsi" w:cstheme="majorBidi"/>
      <w:b/>
      <w:i/>
      <w:snapToGrid w:val="0"/>
      <w:sz w:val="28"/>
      <w:szCs w:val="28"/>
      <w:lang w:eastAsia="en-US"/>
    </w:rPr>
  </w:style>
  <w:style w:type="paragraph" w:styleId="Caption">
    <w:name w:val="caption"/>
    <w:basedOn w:val="Normal"/>
    <w:next w:val="Normal"/>
    <w:unhideWhenUsed/>
    <w:qFormat/>
    <w:rsid w:val="00A34836"/>
    <w:pPr>
      <w:spacing w:after="200"/>
    </w:pPr>
    <w:rPr>
      <w:b/>
      <w:bCs/>
      <w:color w:val="4F81BD" w:themeColor="accent1"/>
      <w:sz w:val="18"/>
      <w:szCs w:val="18"/>
    </w:rPr>
  </w:style>
  <w:style w:type="paragraph" w:styleId="BodyText">
    <w:name w:val="Body Text"/>
    <w:basedOn w:val="Normal"/>
    <w:link w:val="BodyTextChar"/>
    <w:rsid w:val="00E20E39"/>
    <w:pPr>
      <w:spacing w:after="120"/>
    </w:pPr>
  </w:style>
  <w:style w:type="character" w:customStyle="1" w:styleId="BodyTextChar">
    <w:name w:val="Body Text Char"/>
    <w:basedOn w:val="DefaultParagraphFont"/>
    <w:link w:val="BodyText"/>
    <w:rsid w:val="00E20E39"/>
    <w:rPr>
      <w:sz w:val="24"/>
      <w:szCs w:val="24"/>
    </w:rPr>
  </w:style>
  <w:style w:type="paragraph" w:styleId="FootnoteText">
    <w:name w:val="footnote text"/>
    <w:basedOn w:val="Normal"/>
    <w:link w:val="FootnoteTextChar"/>
    <w:rsid w:val="00EB21ED"/>
    <w:rPr>
      <w:sz w:val="20"/>
      <w:szCs w:val="20"/>
    </w:rPr>
  </w:style>
  <w:style w:type="character" w:customStyle="1" w:styleId="FootnoteTextChar">
    <w:name w:val="Footnote Text Char"/>
    <w:basedOn w:val="DefaultParagraphFont"/>
    <w:link w:val="FootnoteText"/>
    <w:rsid w:val="00EB21ED"/>
  </w:style>
  <w:style w:type="character" w:styleId="FootnoteReference">
    <w:name w:val="footnote reference"/>
    <w:basedOn w:val="DefaultParagraphFont"/>
    <w:rsid w:val="00EB21ED"/>
    <w:rPr>
      <w:vertAlign w:val="superscript"/>
    </w:rPr>
  </w:style>
  <w:style w:type="paragraph" w:styleId="Revision">
    <w:name w:val="Revision"/>
    <w:hidden/>
    <w:uiPriority w:val="71"/>
    <w:rsid w:val="00C54D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6155690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52601050">
      <w:bodyDiv w:val="1"/>
      <w:marLeft w:val="0"/>
      <w:marRight w:val="0"/>
      <w:marTop w:val="0"/>
      <w:marBottom w:val="0"/>
      <w:divBdr>
        <w:top w:val="none" w:sz="0" w:space="0" w:color="auto"/>
        <w:left w:val="none" w:sz="0" w:space="0" w:color="auto"/>
        <w:bottom w:val="none" w:sz="0" w:space="0" w:color="auto"/>
        <w:right w:val="none" w:sz="0" w:space="0" w:color="auto"/>
      </w:divBdr>
    </w:div>
    <w:div w:id="153400183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C5F5E-5F83-4397-8CD1-6B96D8EE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9436</Words>
  <Characters>57573</Characters>
  <Application>Microsoft Office Word</Application>
  <DocSecurity>0</DocSecurity>
  <Lines>479</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2018-06-18T07:29:00Z</dcterms:created>
  <dcterms:modified xsi:type="dcterms:W3CDTF">2018-06-18T07:33:00Z</dcterms:modified>
</cp:coreProperties>
</file>