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D6493" w:rsidRPr="00577C4D" w:rsidRDefault="00F46669" w:rsidP="006D6493">
      <w:pPr>
        <w:pStyle w:val="Title"/>
        <w:spacing w:before="120" w:after="160"/>
        <w:ind w:left="720" w:hanging="720"/>
        <w:rPr>
          <w:rFonts w:asciiTheme="minorHAnsi" w:hAnsiTheme="minorHAnsi"/>
          <w:sz w:val="36"/>
          <w:szCs w:val="36"/>
        </w:rPr>
      </w:pPr>
      <w:r>
        <w:rPr>
          <w:rFonts w:asciiTheme="minorHAnsi" w:hAnsiTheme="minorHAnsi"/>
          <w:sz w:val="36"/>
          <w:szCs w:val="36"/>
        </w:rPr>
        <w:t>6.1</w:t>
      </w:r>
      <w:r w:rsidR="00C7353D">
        <w:rPr>
          <w:rFonts w:asciiTheme="minorHAnsi" w:hAnsiTheme="minorHAnsi"/>
          <w:sz w:val="36"/>
          <w:szCs w:val="36"/>
        </w:rPr>
        <w:t>3</w:t>
      </w:r>
      <w:r w:rsidR="006D6493" w:rsidRPr="002B5596">
        <w:rPr>
          <w:rFonts w:asciiTheme="minorHAnsi" w:hAnsiTheme="minorHAnsi"/>
          <w:sz w:val="36"/>
          <w:szCs w:val="36"/>
        </w:rPr>
        <w:tab/>
      </w:r>
      <w:r>
        <w:rPr>
          <w:rFonts w:asciiTheme="minorHAnsi" w:hAnsiTheme="minorHAnsi"/>
          <w:sz w:val="36"/>
          <w:szCs w:val="36"/>
        </w:rPr>
        <w:t>PEMBROLIZUMAB</w:t>
      </w:r>
      <w:r w:rsidR="006D6493" w:rsidRPr="002B5596">
        <w:rPr>
          <w:rFonts w:asciiTheme="minorHAnsi" w:hAnsiTheme="minorHAnsi"/>
          <w:sz w:val="36"/>
          <w:szCs w:val="36"/>
        </w:rPr>
        <w:t xml:space="preserve"> </w:t>
      </w:r>
      <w:r w:rsidR="006D6493" w:rsidRPr="002B5596">
        <w:rPr>
          <w:rFonts w:asciiTheme="minorHAnsi" w:hAnsiTheme="minorHAnsi"/>
          <w:sz w:val="36"/>
          <w:szCs w:val="36"/>
        </w:rPr>
        <w:br/>
      </w:r>
      <w:r w:rsidR="00570B4E" w:rsidRPr="00090F67">
        <w:rPr>
          <w:rFonts w:asciiTheme="minorHAnsi" w:hAnsiTheme="minorHAnsi"/>
          <w:sz w:val="36"/>
          <w:szCs w:val="36"/>
        </w:rPr>
        <w:t>Powder for injection 50 mg</w:t>
      </w:r>
      <w:r w:rsidR="00570B4E">
        <w:rPr>
          <w:rFonts w:asciiTheme="minorHAnsi" w:hAnsiTheme="minorHAnsi"/>
          <w:sz w:val="36"/>
          <w:szCs w:val="36"/>
        </w:rPr>
        <w:t>, s</w:t>
      </w:r>
      <w:r w:rsidR="00570B4E" w:rsidRPr="00090F67">
        <w:rPr>
          <w:rFonts w:asciiTheme="minorHAnsi" w:hAnsiTheme="minorHAnsi"/>
          <w:sz w:val="36"/>
          <w:szCs w:val="36"/>
        </w:rPr>
        <w:t>olution co</w:t>
      </w:r>
      <w:r w:rsidR="00987F08">
        <w:rPr>
          <w:rFonts w:asciiTheme="minorHAnsi" w:hAnsiTheme="minorHAnsi"/>
          <w:sz w:val="36"/>
          <w:szCs w:val="36"/>
        </w:rPr>
        <w:t>ncentrate for I.V. infusion 100 mg in 4 </w:t>
      </w:r>
      <w:r w:rsidR="00570B4E" w:rsidRPr="00090F67">
        <w:rPr>
          <w:rFonts w:asciiTheme="minorHAnsi" w:hAnsiTheme="minorHAnsi"/>
          <w:sz w:val="36"/>
          <w:szCs w:val="36"/>
        </w:rPr>
        <w:t>mL</w:t>
      </w:r>
      <w:proofErr w:type="gramStart"/>
      <w:r w:rsidR="00570B4E" w:rsidRPr="00090F67">
        <w:rPr>
          <w:rFonts w:asciiTheme="minorHAnsi" w:hAnsiTheme="minorHAnsi"/>
          <w:sz w:val="36"/>
          <w:szCs w:val="36"/>
        </w:rPr>
        <w:t>,</w:t>
      </w:r>
      <w:proofErr w:type="gramEnd"/>
      <w:r w:rsidR="006D6493" w:rsidRPr="002B5596">
        <w:rPr>
          <w:rFonts w:asciiTheme="minorHAnsi" w:hAnsiTheme="minorHAnsi"/>
          <w:sz w:val="36"/>
          <w:szCs w:val="36"/>
        </w:rPr>
        <w:br/>
      </w:r>
      <w:proofErr w:type="spellStart"/>
      <w:r>
        <w:rPr>
          <w:rFonts w:asciiTheme="minorHAnsi" w:hAnsiTheme="minorHAnsi"/>
          <w:sz w:val="36"/>
          <w:szCs w:val="36"/>
        </w:rPr>
        <w:t>Keytruda</w:t>
      </w:r>
      <w:proofErr w:type="spellEnd"/>
      <w:r w:rsidR="006D6493" w:rsidRPr="009B2F78">
        <w:rPr>
          <w:rFonts w:asciiTheme="minorHAnsi" w:hAnsiTheme="minorHAnsi"/>
          <w:sz w:val="36"/>
          <w:szCs w:val="36"/>
        </w:rPr>
        <w:t>®</w:t>
      </w:r>
      <w:r w:rsidR="006D6493" w:rsidRPr="002B5596">
        <w:rPr>
          <w:rFonts w:asciiTheme="minorHAnsi" w:hAnsiTheme="minorHAnsi"/>
          <w:sz w:val="36"/>
          <w:szCs w:val="36"/>
        </w:rPr>
        <w:t xml:space="preserve">, </w:t>
      </w:r>
      <w:r>
        <w:rPr>
          <w:rFonts w:asciiTheme="minorHAnsi" w:hAnsiTheme="minorHAnsi"/>
          <w:sz w:val="36"/>
          <w:szCs w:val="36"/>
        </w:rPr>
        <w:t>Mer</w:t>
      </w:r>
      <w:r w:rsidR="00D83F61">
        <w:rPr>
          <w:rFonts w:asciiTheme="minorHAnsi" w:hAnsiTheme="minorHAnsi"/>
          <w:sz w:val="36"/>
          <w:szCs w:val="36"/>
        </w:rPr>
        <w:t>c</w:t>
      </w:r>
      <w:r>
        <w:rPr>
          <w:rFonts w:asciiTheme="minorHAnsi" w:hAnsiTheme="minorHAnsi"/>
          <w:sz w:val="36"/>
          <w:szCs w:val="36"/>
        </w:rPr>
        <w:t>k Sharp &amp; Dohm</w:t>
      </w:r>
      <w:r w:rsidR="00D83F61">
        <w:rPr>
          <w:rFonts w:asciiTheme="minorHAnsi" w:hAnsiTheme="minorHAnsi"/>
          <w:sz w:val="36"/>
          <w:szCs w:val="36"/>
        </w:rPr>
        <w:t>e</w:t>
      </w:r>
      <w:r>
        <w:rPr>
          <w:rFonts w:asciiTheme="minorHAnsi" w:hAnsiTheme="minorHAnsi"/>
          <w:sz w:val="36"/>
          <w:szCs w:val="36"/>
        </w:rPr>
        <w:t xml:space="preserve"> (Australia) Pty Ltd</w:t>
      </w:r>
    </w:p>
    <w:p w:rsidR="008A50F1" w:rsidRPr="00D4572C" w:rsidRDefault="00CE10C4" w:rsidP="00366E3B">
      <w:pPr>
        <w:pStyle w:val="PBACHeading1"/>
      </w:pPr>
      <w:r w:rsidRPr="002B5596">
        <w:t xml:space="preserve">Purpose of </w:t>
      </w:r>
      <w:r w:rsidR="0004240E" w:rsidRPr="002B5596">
        <w:t>Application</w:t>
      </w:r>
    </w:p>
    <w:p w:rsidR="006A12A5" w:rsidRPr="001B2BBC" w:rsidRDefault="00EF44A0" w:rsidP="00EB0B63">
      <w:pPr>
        <w:pStyle w:val="ListParagraph"/>
        <w:widowControl/>
        <w:numPr>
          <w:ilvl w:val="1"/>
          <w:numId w:val="5"/>
        </w:numPr>
        <w:spacing w:after="120"/>
        <w:contextualSpacing w:val="0"/>
        <w:rPr>
          <w:rFonts w:asciiTheme="minorHAnsi" w:eastAsiaTheme="minorHAnsi" w:hAnsiTheme="minorHAnsi" w:cstheme="minorBidi"/>
          <w:snapToGrid/>
          <w:sz w:val="24"/>
          <w:szCs w:val="22"/>
        </w:rPr>
      </w:pPr>
      <w:r w:rsidRPr="001B2BBC">
        <w:rPr>
          <w:rFonts w:asciiTheme="minorHAnsi" w:eastAsiaTheme="minorHAnsi" w:hAnsiTheme="minorHAnsi" w:cstheme="minorBidi"/>
          <w:snapToGrid/>
          <w:sz w:val="24"/>
          <w:szCs w:val="22"/>
        </w:rPr>
        <w:t>The mi</w:t>
      </w:r>
      <w:r w:rsidR="00FF2801" w:rsidRPr="001B2BBC">
        <w:rPr>
          <w:rFonts w:asciiTheme="minorHAnsi" w:eastAsiaTheme="minorHAnsi" w:hAnsiTheme="minorHAnsi" w:cstheme="minorBidi"/>
          <w:snapToGrid/>
          <w:sz w:val="24"/>
          <w:szCs w:val="22"/>
        </w:rPr>
        <w:t>nor submission requested</w:t>
      </w:r>
      <w:r w:rsidR="00F46669">
        <w:rPr>
          <w:rFonts w:asciiTheme="minorHAnsi" w:eastAsiaTheme="minorHAnsi" w:hAnsiTheme="minorHAnsi" w:cstheme="minorBidi"/>
          <w:snapToGrid/>
          <w:sz w:val="24"/>
          <w:szCs w:val="22"/>
        </w:rPr>
        <w:t xml:space="preserve"> </w:t>
      </w:r>
      <w:r w:rsidR="00D83F61">
        <w:rPr>
          <w:rFonts w:asciiTheme="minorHAnsi" w:eastAsiaTheme="minorHAnsi" w:hAnsiTheme="minorHAnsi" w:cstheme="minorBidi"/>
          <w:snapToGrid/>
          <w:sz w:val="24"/>
          <w:szCs w:val="22"/>
        </w:rPr>
        <w:t>amending the dosing regimen of</w:t>
      </w:r>
      <w:r w:rsidR="001F0ECD">
        <w:rPr>
          <w:rFonts w:asciiTheme="minorHAnsi" w:eastAsiaTheme="minorHAnsi" w:hAnsiTheme="minorHAnsi" w:cstheme="minorBidi"/>
          <w:snapToGrid/>
          <w:sz w:val="24"/>
          <w:szCs w:val="22"/>
        </w:rPr>
        <w:t xml:space="preserve"> </w:t>
      </w:r>
      <w:proofErr w:type="spellStart"/>
      <w:r w:rsidR="00F46669">
        <w:rPr>
          <w:rFonts w:asciiTheme="minorHAnsi" w:eastAsiaTheme="minorHAnsi" w:hAnsiTheme="minorHAnsi" w:cstheme="minorBidi"/>
          <w:snapToGrid/>
          <w:sz w:val="24"/>
          <w:szCs w:val="22"/>
        </w:rPr>
        <w:t>pembrolizumab</w:t>
      </w:r>
      <w:proofErr w:type="spellEnd"/>
      <w:r w:rsidR="00F46669">
        <w:rPr>
          <w:rFonts w:asciiTheme="minorHAnsi" w:eastAsiaTheme="minorHAnsi" w:hAnsiTheme="minorHAnsi" w:cstheme="minorBidi"/>
          <w:snapToGrid/>
          <w:sz w:val="24"/>
          <w:szCs w:val="22"/>
        </w:rPr>
        <w:t xml:space="preserve"> </w:t>
      </w:r>
      <w:r w:rsidR="008C74B4">
        <w:rPr>
          <w:rFonts w:asciiTheme="minorHAnsi" w:eastAsiaTheme="minorHAnsi" w:hAnsiTheme="minorHAnsi" w:cstheme="minorBidi"/>
          <w:snapToGrid/>
          <w:sz w:val="24"/>
          <w:szCs w:val="22"/>
        </w:rPr>
        <w:t>from a weigh</w:t>
      </w:r>
      <w:r w:rsidR="00D83F61">
        <w:rPr>
          <w:rFonts w:asciiTheme="minorHAnsi" w:eastAsiaTheme="minorHAnsi" w:hAnsiTheme="minorHAnsi" w:cstheme="minorBidi"/>
          <w:snapToGrid/>
          <w:sz w:val="24"/>
          <w:szCs w:val="22"/>
        </w:rPr>
        <w:t>t</w:t>
      </w:r>
      <w:r w:rsidR="008C74B4">
        <w:rPr>
          <w:rFonts w:asciiTheme="minorHAnsi" w:eastAsiaTheme="minorHAnsi" w:hAnsiTheme="minorHAnsi" w:cstheme="minorBidi"/>
          <w:snapToGrid/>
          <w:sz w:val="24"/>
          <w:szCs w:val="22"/>
        </w:rPr>
        <w:t>-based dosing regimen</w:t>
      </w:r>
      <w:r w:rsidR="00D83F61">
        <w:rPr>
          <w:rFonts w:asciiTheme="minorHAnsi" w:eastAsiaTheme="minorHAnsi" w:hAnsiTheme="minorHAnsi" w:cstheme="minorBidi"/>
          <w:snapToGrid/>
          <w:sz w:val="24"/>
          <w:szCs w:val="22"/>
        </w:rPr>
        <w:t xml:space="preserve"> of 2 mg/kg</w:t>
      </w:r>
      <w:r w:rsidR="008C74B4">
        <w:rPr>
          <w:rFonts w:asciiTheme="minorHAnsi" w:eastAsiaTheme="minorHAnsi" w:hAnsiTheme="minorHAnsi" w:cstheme="minorBidi"/>
          <w:snapToGrid/>
          <w:sz w:val="24"/>
          <w:szCs w:val="22"/>
        </w:rPr>
        <w:t xml:space="preserve"> </w:t>
      </w:r>
      <w:r w:rsidR="001F0ECD">
        <w:rPr>
          <w:rFonts w:asciiTheme="minorHAnsi" w:eastAsiaTheme="minorHAnsi" w:hAnsiTheme="minorHAnsi" w:cstheme="minorBidi"/>
          <w:snapToGrid/>
          <w:sz w:val="24"/>
          <w:szCs w:val="22"/>
        </w:rPr>
        <w:t>to</w:t>
      </w:r>
      <w:r w:rsidR="008C74B4">
        <w:rPr>
          <w:rFonts w:asciiTheme="minorHAnsi" w:eastAsiaTheme="minorHAnsi" w:hAnsiTheme="minorHAnsi" w:cstheme="minorBidi"/>
          <w:snapToGrid/>
          <w:sz w:val="24"/>
          <w:szCs w:val="22"/>
        </w:rPr>
        <w:t xml:space="preserve"> a</w:t>
      </w:r>
      <w:r w:rsidR="00D83F61">
        <w:rPr>
          <w:rFonts w:asciiTheme="minorHAnsi" w:eastAsiaTheme="minorHAnsi" w:hAnsiTheme="minorHAnsi" w:cstheme="minorBidi"/>
          <w:snapToGrid/>
          <w:sz w:val="24"/>
          <w:szCs w:val="22"/>
        </w:rPr>
        <w:t xml:space="preserve"> fixed </w:t>
      </w:r>
      <w:r w:rsidR="00987F08">
        <w:rPr>
          <w:rFonts w:asciiTheme="minorHAnsi" w:eastAsiaTheme="minorHAnsi" w:hAnsiTheme="minorHAnsi" w:cstheme="minorBidi"/>
          <w:snapToGrid/>
          <w:sz w:val="24"/>
          <w:szCs w:val="22"/>
        </w:rPr>
        <w:t>200 </w:t>
      </w:r>
      <w:r w:rsidR="001F0ECD">
        <w:rPr>
          <w:rFonts w:asciiTheme="minorHAnsi" w:eastAsiaTheme="minorHAnsi" w:hAnsiTheme="minorHAnsi" w:cstheme="minorBidi"/>
          <w:snapToGrid/>
          <w:sz w:val="24"/>
          <w:szCs w:val="22"/>
        </w:rPr>
        <w:t>mg</w:t>
      </w:r>
      <w:r w:rsidR="00D867A2">
        <w:rPr>
          <w:rFonts w:asciiTheme="minorHAnsi" w:eastAsiaTheme="minorHAnsi" w:hAnsiTheme="minorHAnsi" w:cstheme="minorBidi"/>
          <w:snapToGrid/>
          <w:sz w:val="24"/>
          <w:szCs w:val="22"/>
        </w:rPr>
        <w:t xml:space="preserve"> </w:t>
      </w:r>
      <w:r w:rsidR="00D83F61">
        <w:rPr>
          <w:rFonts w:asciiTheme="minorHAnsi" w:eastAsiaTheme="minorHAnsi" w:hAnsiTheme="minorHAnsi" w:cstheme="minorBidi"/>
          <w:snapToGrid/>
          <w:sz w:val="24"/>
          <w:szCs w:val="22"/>
        </w:rPr>
        <w:t xml:space="preserve">per dose regardless of weight, </w:t>
      </w:r>
      <w:r w:rsidR="00987F08">
        <w:rPr>
          <w:rFonts w:asciiTheme="minorHAnsi" w:eastAsiaTheme="minorHAnsi" w:hAnsiTheme="minorHAnsi" w:cstheme="minorBidi"/>
          <w:snapToGrid/>
          <w:sz w:val="24"/>
          <w:szCs w:val="22"/>
        </w:rPr>
        <w:t xml:space="preserve">relevant to </w:t>
      </w:r>
      <w:r w:rsidR="001F0ECD">
        <w:rPr>
          <w:rFonts w:asciiTheme="minorHAnsi" w:eastAsiaTheme="minorHAnsi" w:hAnsiTheme="minorHAnsi" w:cstheme="minorBidi"/>
          <w:snapToGrid/>
          <w:sz w:val="24"/>
          <w:szCs w:val="22"/>
        </w:rPr>
        <w:t xml:space="preserve">the </w:t>
      </w:r>
      <w:r w:rsidR="00987F08">
        <w:rPr>
          <w:rFonts w:asciiTheme="minorHAnsi" w:eastAsiaTheme="minorHAnsi" w:hAnsiTheme="minorHAnsi" w:cstheme="minorBidi"/>
          <w:snapToGrid/>
          <w:sz w:val="24"/>
          <w:szCs w:val="22"/>
        </w:rPr>
        <w:t xml:space="preserve">existing PBS restrictions for </w:t>
      </w:r>
      <w:proofErr w:type="spellStart"/>
      <w:r w:rsidR="001F0ECD">
        <w:rPr>
          <w:rFonts w:asciiTheme="minorHAnsi" w:eastAsiaTheme="minorHAnsi" w:hAnsiTheme="minorHAnsi" w:cstheme="minorBidi"/>
          <w:snapToGrid/>
          <w:sz w:val="24"/>
          <w:szCs w:val="22"/>
        </w:rPr>
        <w:t>unresectable</w:t>
      </w:r>
      <w:proofErr w:type="spellEnd"/>
      <w:r w:rsidR="001F0ECD">
        <w:rPr>
          <w:rFonts w:asciiTheme="minorHAnsi" w:eastAsiaTheme="minorHAnsi" w:hAnsiTheme="minorHAnsi" w:cstheme="minorBidi"/>
          <w:snapToGrid/>
          <w:sz w:val="24"/>
          <w:szCs w:val="22"/>
        </w:rPr>
        <w:t xml:space="preserve"> Stage III or Stage</w:t>
      </w:r>
      <w:r w:rsidR="00D83F61">
        <w:rPr>
          <w:rFonts w:asciiTheme="minorHAnsi" w:eastAsiaTheme="minorHAnsi" w:hAnsiTheme="minorHAnsi" w:cstheme="minorBidi"/>
          <w:snapToGrid/>
          <w:sz w:val="24"/>
          <w:szCs w:val="22"/>
        </w:rPr>
        <w:t xml:space="preserve"> IV malignant melanoma</w:t>
      </w:r>
      <w:r w:rsidR="001F0ECD">
        <w:rPr>
          <w:rFonts w:asciiTheme="minorHAnsi" w:eastAsiaTheme="minorHAnsi" w:hAnsiTheme="minorHAnsi" w:cstheme="minorBidi"/>
          <w:snapToGrid/>
          <w:sz w:val="24"/>
          <w:szCs w:val="22"/>
        </w:rPr>
        <w:t xml:space="preserve">. </w:t>
      </w:r>
      <w:r w:rsidR="00D83F61">
        <w:rPr>
          <w:rFonts w:asciiTheme="minorHAnsi" w:eastAsiaTheme="minorHAnsi" w:hAnsiTheme="minorHAnsi" w:cstheme="minorBidi"/>
          <w:snapToGrid/>
          <w:sz w:val="24"/>
          <w:szCs w:val="22"/>
        </w:rPr>
        <w:t xml:space="preserve">The minor submission also requested that the maximum amount of </w:t>
      </w:r>
      <w:proofErr w:type="spellStart"/>
      <w:r w:rsidR="00D83F61">
        <w:rPr>
          <w:rFonts w:asciiTheme="minorHAnsi" w:eastAsiaTheme="minorHAnsi" w:hAnsiTheme="minorHAnsi" w:cstheme="minorBidi"/>
          <w:snapToGrid/>
          <w:sz w:val="24"/>
          <w:szCs w:val="22"/>
        </w:rPr>
        <w:t>pembrolizumab</w:t>
      </w:r>
      <w:proofErr w:type="spellEnd"/>
      <w:r w:rsidR="00D83F61">
        <w:rPr>
          <w:rFonts w:asciiTheme="minorHAnsi" w:eastAsiaTheme="minorHAnsi" w:hAnsiTheme="minorHAnsi" w:cstheme="minorBidi"/>
          <w:snapToGrid/>
          <w:sz w:val="24"/>
          <w:szCs w:val="22"/>
        </w:rPr>
        <w:t xml:space="preserve"> be adjusted from 240 mg to 200 mg to reflect</w:t>
      </w:r>
      <w:r w:rsidR="00987F08">
        <w:rPr>
          <w:rFonts w:asciiTheme="minorHAnsi" w:eastAsiaTheme="minorHAnsi" w:hAnsiTheme="minorHAnsi" w:cstheme="minorBidi"/>
          <w:snapToGrid/>
          <w:sz w:val="24"/>
          <w:szCs w:val="22"/>
        </w:rPr>
        <w:t xml:space="preserve"> the change in dosing regimen.</w:t>
      </w:r>
    </w:p>
    <w:p w:rsidR="006A12A5" w:rsidRPr="00577C4D" w:rsidRDefault="006A12A5" w:rsidP="00366E3B">
      <w:pPr>
        <w:pStyle w:val="PBACHeading1"/>
      </w:pPr>
      <w:r w:rsidRPr="002B5596">
        <w:t>Requested listing</w:t>
      </w:r>
    </w:p>
    <w:p w:rsidR="00826F6D" w:rsidRPr="004257DA" w:rsidRDefault="00EF44A0" w:rsidP="004257DA">
      <w:pPr>
        <w:pStyle w:val="ListParagraph"/>
        <w:widowControl/>
        <w:numPr>
          <w:ilvl w:val="1"/>
          <w:numId w:val="5"/>
        </w:numPr>
        <w:spacing w:after="120"/>
        <w:contextualSpacing w:val="0"/>
        <w:rPr>
          <w:rFonts w:asciiTheme="minorHAnsi" w:eastAsiaTheme="minorHAnsi" w:hAnsiTheme="minorHAnsi" w:cstheme="minorBidi"/>
          <w:snapToGrid/>
          <w:sz w:val="24"/>
          <w:szCs w:val="22"/>
        </w:rPr>
      </w:pPr>
      <w:r w:rsidRPr="001B2BBC">
        <w:rPr>
          <w:rFonts w:asciiTheme="minorHAnsi" w:eastAsiaTheme="minorHAnsi" w:hAnsiTheme="minorHAnsi" w:cstheme="minorBidi"/>
          <w:snapToGrid/>
          <w:sz w:val="24"/>
          <w:szCs w:val="22"/>
        </w:rPr>
        <w:t>The</w:t>
      </w:r>
      <w:r w:rsidR="004257DA">
        <w:rPr>
          <w:rFonts w:asciiTheme="minorHAnsi" w:eastAsiaTheme="minorHAnsi" w:hAnsiTheme="minorHAnsi" w:cstheme="minorBidi"/>
          <w:snapToGrid/>
          <w:sz w:val="24"/>
          <w:szCs w:val="22"/>
        </w:rPr>
        <w:t xml:space="preserve"> minor</w:t>
      </w:r>
      <w:r w:rsidRPr="001B2BBC">
        <w:rPr>
          <w:rFonts w:asciiTheme="minorHAnsi" w:eastAsiaTheme="minorHAnsi" w:hAnsiTheme="minorHAnsi" w:cstheme="minorBidi"/>
          <w:snapToGrid/>
          <w:sz w:val="24"/>
          <w:szCs w:val="22"/>
        </w:rPr>
        <w:t xml:space="preserve"> submission </w:t>
      </w:r>
      <w:r w:rsidR="00FF2801" w:rsidRPr="001B2BBC">
        <w:rPr>
          <w:rFonts w:asciiTheme="minorHAnsi" w:eastAsiaTheme="minorHAnsi" w:hAnsiTheme="minorHAnsi" w:cstheme="minorBidi"/>
          <w:snapToGrid/>
          <w:sz w:val="24"/>
          <w:szCs w:val="22"/>
        </w:rPr>
        <w:t>requested</w:t>
      </w:r>
      <w:r w:rsidRPr="001B2BBC">
        <w:rPr>
          <w:rFonts w:asciiTheme="minorHAnsi" w:eastAsiaTheme="minorHAnsi" w:hAnsiTheme="minorHAnsi" w:cstheme="minorBidi"/>
          <w:snapToGrid/>
          <w:sz w:val="24"/>
          <w:szCs w:val="22"/>
        </w:rPr>
        <w:t xml:space="preserve"> </w:t>
      </w:r>
      <w:r w:rsidR="004257DA">
        <w:rPr>
          <w:rFonts w:asciiTheme="minorHAnsi" w:eastAsiaTheme="minorHAnsi" w:hAnsiTheme="minorHAnsi" w:cstheme="minorBidi"/>
          <w:snapToGrid/>
          <w:sz w:val="24"/>
          <w:szCs w:val="22"/>
        </w:rPr>
        <w:t>a change</w:t>
      </w:r>
      <w:r w:rsidR="001F0ECD">
        <w:rPr>
          <w:rFonts w:asciiTheme="minorHAnsi" w:eastAsiaTheme="minorHAnsi" w:hAnsiTheme="minorHAnsi" w:cstheme="minorBidi"/>
          <w:snapToGrid/>
          <w:sz w:val="24"/>
          <w:szCs w:val="22"/>
        </w:rPr>
        <w:t xml:space="preserve"> t</w:t>
      </w:r>
      <w:r w:rsidR="004257DA">
        <w:rPr>
          <w:rFonts w:asciiTheme="minorHAnsi" w:eastAsiaTheme="minorHAnsi" w:hAnsiTheme="minorHAnsi" w:cstheme="minorBidi"/>
          <w:snapToGrid/>
          <w:sz w:val="24"/>
          <w:szCs w:val="22"/>
        </w:rPr>
        <w:t>o the current</w:t>
      </w:r>
      <w:r w:rsidRPr="001B2BBC">
        <w:rPr>
          <w:rFonts w:asciiTheme="minorHAnsi" w:eastAsiaTheme="minorHAnsi" w:hAnsiTheme="minorHAnsi" w:cstheme="minorBidi"/>
          <w:snapToGrid/>
          <w:sz w:val="24"/>
          <w:szCs w:val="22"/>
        </w:rPr>
        <w:t xml:space="preserve"> listing</w:t>
      </w:r>
      <w:r w:rsidR="004257DA">
        <w:rPr>
          <w:rFonts w:asciiTheme="minorHAnsi" w:eastAsiaTheme="minorHAnsi" w:hAnsiTheme="minorHAnsi" w:cstheme="minorBidi"/>
          <w:snapToGrid/>
          <w:sz w:val="24"/>
          <w:szCs w:val="22"/>
        </w:rPr>
        <w:t xml:space="preserve"> as shown below. </w:t>
      </w:r>
      <w:r w:rsidR="004257DA" w:rsidRPr="0030112F">
        <w:rPr>
          <w:rFonts w:asciiTheme="minorHAnsi" w:eastAsiaTheme="minorHAnsi" w:hAnsiTheme="minorHAnsi" w:cstheme="minorBidi"/>
          <w:snapToGrid/>
          <w:sz w:val="24"/>
          <w:szCs w:val="22"/>
        </w:rPr>
        <w:t>Suggestions and additions proposed by the Secretariat to the requested listing are added in italics and suggested deletions are crossed out with strikethrough.</w:t>
      </w:r>
    </w:p>
    <w:tbl>
      <w:tblPr>
        <w:tblW w:w="4915" w:type="pct"/>
        <w:tblLook w:val="0000" w:firstRow="0" w:lastRow="0" w:firstColumn="0" w:lastColumn="0" w:noHBand="0" w:noVBand="0"/>
      </w:tblPr>
      <w:tblGrid>
        <w:gridCol w:w="2944"/>
        <w:gridCol w:w="850"/>
        <w:gridCol w:w="1274"/>
        <w:gridCol w:w="1701"/>
        <w:gridCol w:w="1039"/>
        <w:gridCol w:w="1277"/>
      </w:tblGrid>
      <w:tr w:rsidR="00163329" w:rsidRPr="002873B2" w:rsidTr="00987F08">
        <w:trPr>
          <w:cantSplit/>
          <w:trHeight w:val="465"/>
        </w:trPr>
        <w:tc>
          <w:tcPr>
            <w:tcW w:w="1620" w:type="pct"/>
            <w:tcBorders>
              <w:bottom w:val="single" w:sz="4" w:space="0" w:color="auto"/>
            </w:tcBorders>
          </w:tcPr>
          <w:p w:rsidR="00826F6D" w:rsidRPr="0039782C" w:rsidRDefault="00826F6D" w:rsidP="00EB0B63">
            <w:pPr>
              <w:keepNext/>
              <w:spacing w:before="40" w:after="40"/>
              <w:jc w:val="both"/>
              <w:rPr>
                <w:rFonts w:ascii="Arial Narrow" w:hAnsi="Arial Narrow" w:cs="Arial"/>
                <w:b/>
                <w:sz w:val="20"/>
                <w:szCs w:val="20"/>
              </w:rPr>
            </w:pPr>
            <w:r w:rsidRPr="0039782C">
              <w:rPr>
                <w:rFonts w:ascii="Arial Narrow" w:hAnsi="Arial Narrow" w:cs="Arial"/>
                <w:b/>
                <w:sz w:val="20"/>
                <w:szCs w:val="20"/>
              </w:rPr>
              <w:t>Name, Restriction,</w:t>
            </w:r>
          </w:p>
          <w:p w:rsidR="00826F6D" w:rsidRPr="0039782C" w:rsidRDefault="00826F6D" w:rsidP="00EB0B63">
            <w:pPr>
              <w:keepNext/>
              <w:spacing w:before="40" w:after="40"/>
              <w:jc w:val="both"/>
              <w:rPr>
                <w:rFonts w:ascii="Arial Narrow" w:hAnsi="Arial Narrow" w:cs="Arial"/>
                <w:b/>
                <w:sz w:val="20"/>
                <w:szCs w:val="20"/>
              </w:rPr>
            </w:pPr>
            <w:r w:rsidRPr="0039782C">
              <w:rPr>
                <w:rFonts w:ascii="Arial Narrow" w:hAnsi="Arial Narrow" w:cs="Arial"/>
                <w:b/>
                <w:sz w:val="20"/>
                <w:szCs w:val="20"/>
              </w:rPr>
              <w:t>Manner of administration and form</w:t>
            </w:r>
          </w:p>
        </w:tc>
        <w:tc>
          <w:tcPr>
            <w:tcW w:w="468" w:type="pct"/>
            <w:tcBorders>
              <w:bottom w:val="single" w:sz="4" w:space="0" w:color="auto"/>
            </w:tcBorders>
          </w:tcPr>
          <w:p w:rsidR="00826F6D" w:rsidRPr="0039782C" w:rsidRDefault="00826F6D" w:rsidP="00EB0B63">
            <w:pPr>
              <w:keepNext/>
              <w:spacing w:before="40" w:after="40"/>
              <w:jc w:val="both"/>
              <w:rPr>
                <w:rFonts w:ascii="Arial Narrow" w:hAnsi="Arial Narrow" w:cs="Arial"/>
                <w:b/>
                <w:sz w:val="20"/>
                <w:szCs w:val="20"/>
              </w:rPr>
            </w:pPr>
            <w:r w:rsidRPr="0039782C">
              <w:rPr>
                <w:rFonts w:ascii="Arial Narrow" w:hAnsi="Arial Narrow" w:cs="Arial"/>
                <w:b/>
                <w:sz w:val="20"/>
                <w:szCs w:val="20"/>
              </w:rPr>
              <w:t>Max.</w:t>
            </w:r>
          </w:p>
          <w:p w:rsidR="00826F6D" w:rsidRPr="0039782C" w:rsidRDefault="00CC6735" w:rsidP="00EB0B63">
            <w:pPr>
              <w:keepNext/>
              <w:spacing w:before="40" w:after="40"/>
              <w:jc w:val="both"/>
              <w:rPr>
                <w:rFonts w:ascii="Arial Narrow" w:hAnsi="Arial Narrow" w:cs="Arial"/>
                <w:b/>
                <w:sz w:val="20"/>
                <w:szCs w:val="20"/>
              </w:rPr>
            </w:pPr>
            <w:r>
              <w:rPr>
                <w:rFonts w:ascii="Arial Narrow" w:hAnsi="Arial Narrow" w:cs="Arial"/>
                <w:b/>
                <w:sz w:val="20"/>
                <w:szCs w:val="20"/>
              </w:rPr>
              <w:t>Amount</w:t>
            </w:r>
          </w:p>
        </w:tc>
        <w:tc>
          <w:tcPr>
            <w:tcW w:w="701" w:type="pct"/>
            <w:tcBorders>
              <w:bottom w:val="single" w:sz="4" w:space="0" w:color="auto"/>
            </w:tcBorders>
          </w:tcPr>
          <w:p w:rsidR="00826F6D" w:rsidRPr="0039782C" w:rsidRDefault="00826F6D" w:rsidP="00EB0B63">
            <w:pPr>
              <w:keepNext/>
              <w:spacing w:before="40" w:after="40"/>
              <w:jc w:val="both"/>
              <w:rPr>
                <w:rFonts w:ascii="Arial Narrow" w:hAnsi="Arial Narrow" w:cs="Arial"/>
                <w:b/>
                <w:sz w:val="20"/>
                <w:szCs w:val="20"/>
              </w:rPr>
            </w:pPr>
            <w:r w:rsidRPr="0039782C">
              <w:rPr>
                <w:rFonts w:ascii="Arial Narrow" w:hAnsi="Arial Narrow" w:cs="Arial"/>
                <w:b/>
                <w:sz w:val="20"/>
                <w:szCs w:val="20"/>
              </w:rPr>
              <w:t>№.of</w:t>
            </w:r>
          </w:p>
          <w:p w:rsidR="00826F6D" w:rsidRPr="0039782C" w:rsidRDefault="00826F6D" w:rsidP="00EB0B63">
            <w:pPr>
              <w:keepNext/>
              <w:spacing w:before="40" w:after="40"/>
              <w:jc w:val="both"/>
              <w:rPr>
                <w:rFonts w:ascii="Arial Narrow" w:hAnsi="Arial Narrow" w:cs="Arial"/>
                <w:b/>
                <w:sz w:val="20"/>
                <w:szCs w:val="20"/>
              </w:rPr>
            </w:pPr>
            <w:proofErr w:type="spellStart"/>
            <w:r w:rsidRPr="0039782C">
              <w:rPr>
                <w:rFonts w:ascii="Arial Narrow" w:hAnsi="Arial Narrow" w:cs="Arial"/>
                <w:b/>
                <w:sz w:val="20"/>
                <w:szCs w:val="20"/>
              </w:rPr>
              <w:t>Rpts</w:t>
            </w:r>
            <w:proofErr w:type="spellEnd"/>
          </w:p>
        </w:tc>
        <w:tc>
          <w:tcPr>
            <w:tcW w:w="936" w:type="pct"/>
            <w:tcBorders>
              <w:bottom w:val="single" w:sz="4" w:space="0" w:color="auto"/>
            </w:tcBorders>
          </w:tcPr>
          <w:p w:rsidR="00826F6D" w:rsidRPr="0039782C" w:rsidRDefault="00826F6D" w:rsidP="006A375F">
            <w:pPr>
              <w:keepNext/>
              <w:spacing w:before="40" w:after="40"/>
              <w:rPr>
                <w:rFonts w:ascii="Arial Narrow" w:hAnsi="Arial Narrow" w:cs="Arial"/>
                <w:b/>
                <w:sz w:val="20"/>
                <w:szCs w:val="20"/>
              </w:rPr>
            </w:pPr>
            <w:r w:rsidRPr="0039782C">
              <w:rPr>
                <w:rFonts w:ascii="Arial Narrow" w:hAnsi="Arial Narrow" w:cs="Arial"/>
                <w:b/>
                <w:sz w:val="20"/>
                <w:szCs w:val="20"/>
              </w:rPr>
              <w:t xml:space="preserve">Dispensed Price for Max. </w:t>
            </w:r>
            <w:r w:rsidR="006A375F">
              <w:rPr>
                <w:rFonts w:ascii="Arial Narrow" w:hAnsi="Arial Narrow" w:cs="Arial"/>
                <w:b/>
                <w:sz w:val="20"/>
                <w:szCs w:val="20"/>
              </w:rPr>
              <w:t>Amount</w:t>
            </w:r>
          </w:p>
        </w:tc>
        <w:tc>
          <w:tcPr>
            <w:tcW w:w="1275" w:type="pct"/>
            <w:gridSpan w:val="2"/>
            <w:tcBorders>
              <w:bottom w:val="single" w:sz="4" w:space="0" w:color="auto"/>
            </w:tcBorders>
          </w:tcPr>
          <w:p w:rsidR="00826F6D" w:rsidRPr="002873B2" w:rsidRDefault="00826F6D" w:rsidP="009747D2">
            <w:pPr>
              <w:keepNext/>
              <w:spacing w:before="40" w:after="40"/>
              <w:rPr>
                <w:rFonts w:ascii="Arial Narrow" w:hAnsi="Arial Narrow" w:cs="Arial"/>
                <w:b/>
                <w:sz w:val="20"/>
                <w:szCs w:val="20"/>
                <w:lang w:val="fr-FR"/>
              </w:rPr>
            </w:pPr>
            <w:r w:rsidRPr="002873B2">
              <w:rPr>
                <w:rFonts w:ascii="Arial Narrow" w:hAnsi="Arial Narrow" w:cs="Arial"/>
                <w:b/>
                <w:sz w:val="20"/>
                <w:szCs w:val="20"/>
              </w:rPr>
              <w:t>Proprietary Name and Manufacturer</w:t>
            </w:r>
          </w:p>
        </w:tc>
      </w:tr>
      <w:tr w:rsidR="006F2D8D" w:rsidRPr="002873B2" w:rsidTr="00987F08">
        <w:trPr>
          <w:cantSplit/>
          <w:trHeight w:val="567"/>
        </w:trPr>
        <w:tc>
          <w:tcPr>
            <w:tcW w:w="1620" w:type="pct"/>
          </w:tcPr>
          <w:p w:rsidR="00AA2ED3" w:rsidRPr="00E17531" w:rsidRDefault="00AA2ED3" w:rsidP="00AA2ED3">
            <w:pPr>
              <w:keepNext/>
              <w:spacing w:before="40" w:after="40"/>
              <w:ind w:right="-57"/>
              <w:rPr>
                <w:rFonts w:ascii="Arial Narrow" w:hAnsi="Arial Narrow"/>
                <w:sz w:val="20"/>
                <w:szCs w:val="20"/>
              </w:rPr>
            </w:pPr>
            <w:r w:rsidRPr="00E17531">
              <w:rPr>
                <w:rFonts w:ascii="Arial Narrow" w:hAnsi="Arial Narrow"/>
                <w:sz w:val="20"/>
                <w:szCs w:val="20"/>
              </w:rPr>
              <w:t>PEMBROLIZUMAB</w:t>
            </w:r>
          </w:p>
          <w:p w:rsidR="00646A23" w:rsidRPr="00E17531" w:rsidRDefault="00646A23" w:rsidP="00646A23">
            <w:pPr>
              <w:keepNext/>
              <w:spacing w:before="40" w:after="40"/>
              <w:ind w:right="-57"/>
              <w:rPr>
                <w:rFonts w:ascii="Arial Narrow" w:hAnsi="Arial Narrow"/>
                <w:sz w:val="20"/>
                <w:szCs w:val="20"/>
              </w:rPr>
            </w:pPr>
            <w:r w:rsidRPr="00E17531">
              <w:rPr>
                <w:rFonts w:ascii="Arial Narrow" w:hAnsi="Arial Narrow"/>
                <w:sz w:val="20"/>
                <w:szCs w:val="20"/>
              </w:rPr>
              <w:t>50 mg injection: powder for, 1 vial</w:t>
            </w:r>
            <w:r w:rsidRPr="00E17531">
              <w:rPr>
                <w:rFonts w:ascii="Arial Narrow" w:hAnsi="Arial Narrow"/>
                <w:sz w:val="20"/>
                <w:szCs w:val="20"/>
                <w:vertAlign w:val="superscript"/>
              </w:rPr>
              <w:t xml:space="preserve"> </w:t>
            </w:r>
            <w:r w:rsidRPr="00714E86">
              <w:rPr>
                <w:rFonts w:ascii="Arial Narrow" w:hAnsi="Arial Narrow"/>
                <w:sz w:val="20"/>
                <w:szCs w:val="20"/>
                <w:vertAlign w:val="superscript"/>
              </w:rPr>
              <w:t>a</w:t>
            </w:r>
          </w:p>
          <w:p w:rsidR="00FC3D32" w:rsidRPr="00260CE3" w:rsidRDefault="00646A23" w:rsidP="00646A23">
            <w:pPr>
              <w:keepNext/>
              <w:spacing w:before="40" w:after="40"/>
              <w:jc w:val="both"/>
              <w:rPr>
                <w:rFonts w:ascii="Arial Narrow" w:hAnsi="Arial Narrow" w:cs="Arial"/>
                <w:sz w:val="20"/>
                <w:szCs w:val="20"/>
              </w:rPr>
            </w:pPr>
            <w:r w:rsidRPr="00E17531">
              <w:rPr>
                <w:rFonts w:ascii="Arial Narrow" w:hAnsi="Arial Narrow"/>
                <w:sz w:val="20"/>
                <w:szCs w:val="20"/>
              </w:rPr>
              <w:t>100 mg/4 mL injection, 1 vial</w:t>
            </w:r>
            <w:r w:rsidRPr="00E17531">
              <w:rPr>
                <w:rFonts w:ascii="Arial Narrow" w:hAnsi="Arial Narrow"/>
                <w:sz w:val="20"/>
                <w:szCs w:val="20"/>
                <w:vertAlign w:val="superscript"/>
              </w:rPr>
              <w:t xml:space="preserve"> a</w:t>
            </w:r>
          </w:p>
        </w:tc>
        <w:tc>
          <w:tcPr>
            <w:tcW w:w="468" w:type="pct"/>
          </w:tcPr>
          <w:p w:rsidR="00826F6D" w:rsidRPr="00260CE3" w:rsidRDefault="00826F6D" w:rsidP="00EB0B63">
            <w:pPr>
              <w:keepNext/>
              <w:spacing w:before="40" w:after="40"/>
              <w:jc w:val="both"/>
              <w:rPr>
                <w:rFonts w:ascii="Arial Narrow" w:hAnsi="Arial Narrow" w:cs="Arial"/>
                <w:sz w:val="20"/>
                <w:szCs w:val="20"/>
              </w:rPr>
            </w:pPr>
          </w:p>
          <w:p w:rsidR="00826F6D" w:rsidRPr="00260CE3" w:rsidRDefault="00FA3799" w:rsidP="00987F08">
            <w:pPr>
              <w:keepNext/>
              <w:spacing w:before="40" w:after="40"/>
              <w:jc w:val="both"/>
              <w:rPr>
                <w:rFonts w:ascii="Arial Narrow" w:hAnsi="Arial Narrow" w:cs="Arial"/>
                <w:sz w:val="20"/>
                <w:szCs w:val="20"/>
              </w:rPr>
            </w:pPr>
            <w:r>
              <w:rPr>
                <w:rFonts w:ascii="Arial Narrow" w:hAnsi="Arial Narrow" w:cs="Arial"/>
                <w:sz w:val="20"/>
                <w:szCs w:val="20"/>
              </w:rPr>
              <w:t>200</w:t>
            </w:r>
            <w:r w:rsidR="00987F08">
              <w:rPr>
                <w:rFonts w:ascii="Arial Narrow" w:hAnsi="Arial Narrow" w:cs="Arial"/>
                <w:sz w:val="20"/>
                <w:szCs w:val="20"/>
              </w:rPr>
              <w:t> </w:t>
            </w:r>
            <w:r>
              <w:rPr>
                <w:rFonts w:ascii="Arial Narrow" w:hAnsi="Arial Narrow" w:cs="Arial"/>
                <w:sz w:val="20"/>
                <w:szCs w:val="20"/>
              </w:rPr>
              <w:t>mg</w:t>
            </w:r>
          </w:p>
        </w:tc>
        <w:tc>
          <w:tcPr>
            <w:tcW w:w="701" w:type="pct"/>
          </w:tcPr>
          <w:p w:rsidR="00826F6D" w:rsidRPr="00260CE3" w:rsidRDefault="00826F6D" w:rsidP="00EB0B63">
            <w:pPr>
              <w:keepNext/>
              <w:spacing w:before="40" w:after="40"/>
              <w:jc w:val="both"/>
              <w:rPr>
                <w:rFonts w:ascii="Arial Narrow" w:hAnsi="Arial Narrow" w:cs="Arial"/>
                <w:sz w:val="20"/>
                <w:szCs w:val="20"/>
              </w:rPr>
            </w:pPr>
          </w:p>
          <w:p w:rsidR="00826F6D" w:rsidRDefault="00647E82" w:rsidP="00EB0B63">
            <w:pPr>
              <w:keepNext/>
              <w:spacing w:before="40" w:after="40"/>
              <w:jc w:val="both"/>
              <w:rPr>
                <w:rFonts w:ascii="Arial Narrow" w:hAnsi="Arial Narrow" w:cs="Arial"/>
                <w:sz w:val="20"/>
                <w:szCs w:val="20"/>
              </w:rPr>
            </w:pPr>
            <w:r>
              <w:rPr>
                <w:rFonts w:ascii="Arial Narrow" w:hAnsi="Arial Narrow" w:cs="Arial"/>
                <w:sz w:val="20"/>
                <w:szCs w:val="20"/>
              </w:rPr>
              <w:t>5</w:t>
            </w:r>
            <w:r w:rsidR="00987F08">
              <w:rPr>
                <w:rFonts w:ascii="Arial Narrow" w:hAnsi="Arial Narrow" w:cs="Arial"/>
                <w:sz w:val="20"/>
                <w:szCs w:val="20"/>
              </w:rPr>
              <w:t xml:space="preserve"> </w:t>
            </w:r>
            <w:r>
              <w:rPr>
                <w:rFonts w:ascii="Arial Narrow" w:hAnsi="Arial Narrow" w:cs="Arial"/>
                <w:sz w:val="20"/>
                <w:szCs w:val="20"/>
              </w:rPr>
              <w:t>(initial)</w:t>
            </w:r>
          </w:p>
          <w:p w:rsidR="00647E82" w:rsidRPr="00260CE3" w:rsidRDefault="00647E82" w:rsidP="00EB0B63">
            <w:pPr>
              <w:keepNext/>
              <w:spacing w:before="40" w:after="40"/>
              <w:jc w:val="both"/>
              <w:rPr>
                <w:rFonts w:ascii="Arial Narrow" w:hAnsi="Arial Narrow" w:cs="Arial"/>
                <w:sz w:val="20"/>
                <w:szCs w:val="20"/>
              </w:rPr>
            </w:pPr>
            <w:r>
              <w:rPr>
                <w:rFonts w:ascii="Arial Narrow" w:hAnsi="Arial Narrow" w:cs="Arial"/>
                <w:sz w:val="20"/>
                <w:szCs w:val="20"/>
              </w:rPr>
              <w:t>7</w:t>
            </w:r>
            <w:r w:rsidR="00987F08">
              <w:rPr>
                <w:rFonts w:ascii="Arial Narrow" w:hAnsi="Arial Narrow" w:cs="Arial"/>
                <w:sz w:val="20"/>
                <w:szCs w:val="20"/>
              </w:rPr>
              <w:t xml:space="preserve"> </w:t>
            </w:r>
            <w:r>
              <w:rPr>
                <w:rFonts w:ascii="Arial Narrow" w:hAnsi="Arial Narrow" w:cs="Arial"/>
                <w:sz w:val="20"/>
                <w:szCs w:val="20"/>
              </w:rPr>
              <w:t>(</w:t>
            </w:r>
            <w:r w:rsidR="00570B4E">
              <w:rPr>
                <w:rFonts w:ascii="Arial Narrow" w:hAnsi="Arial Narrow" w:cs="Arial"/>
                <w:sz w:val="20"/>
                <w:szCs w:val="20"/>
              </w:rPr>
              <w:t>continuing</w:t>
            </w:r>
            <w:r>
              <w:rPr>
                <w:rFonts w:ascii="Arial Narrow" w:hAnsi="Arial Narrow" w:cs="Arial"/>
                <w:sz w:val="20"/>
                <w:szCs w:val="20"/>
              </w:rPr>
              <w:t>)</w:t>
            </w:r>
          </w:p>
        </w:tc>
        <w:tc>
          <w:tcPr>
            <w:tcW w:w="936" w:type="pct"/>
          </w:tcPr>
          <w:p w:rsidR="00826F6D" w:rsidRPr="00260CE3" w:rsidRDefault="00826F6D" w:rsidP="00EB0B63">
            <w:pPr>
              <w:keepNext/>
              <w:spacing w:before="40" w:after="40"/>
              <w:jc w:val="both"/>
              <w:rPr>
                <w:rFonts w:ascii="Arial Narrow" w:hAnsi="Arial Narrow" w:cs="Arial"/>
                <w:sz w:val="20"/>
                <w:szCs w:val="20"/>
              </w:rPr>
            </w:pPr>
          </w:p>
          <w:p w:rsidR="00826F6D" w:rsidRDefault="00826F6D" w:rsidP="00647E82">
            <w:pPr>
              <w:keepNext/>
              <w:spacing w:before="40" w:after="40"/>
              <w:jc w:val="both"/>
              <w:rPr>
                <w:rFonts w:ascii="Arial Narrow" w:hAnsi="Arial Narrow" w:cs="Arial"/>
                <w:sz w:val="20"/>
                <w:szCs w:val="20"/>
              </w:rPr>
            </w:pPr>
            <w:r w:rsidRPr="00260CE3">
              <w:rPr>
                <w:rFonts w:ascii="Arial Narrow" w:hAnsi="Arial Narrow" w:cs="Arial"/>
                <w:sz w:val="20"/>
                <w:szCs w:val="20"/>
              </w:rPr>
              <w:t>$</w:t>
            </w:r>
            <w:r w:rsidR="00647E82" w:rsidRPr="00D8000D">
              <w:rPr>
                <w:rFonts w:ascii="Arial Narrow" w:hAnsi="Arial Narrow" w:cs="Arial"/>
                <w:sz w:val="20"/>
                <w:szCs w:val="20"/>
              </w:rPr>
              <w:t>9,186.18</w:t>
            </w:r>
            <w:r w:rsidR="00647E82">
              <w:rPr>
                <w:rFonts w:ascii="Arial Narrow" w:hAnsi="Arial Narrow" w:cs="Arial"/>
                <w:sz w:val="20"/>
                <w:szCs w:val="20"/>
              </w:rPr>
              <w:t xml:space="preserve"> (private)</w:t>
            </w:r>
          </w:p>
          <w:p w:rsidR="00F144A9" w:rsidRPr="00260CE3" w:rsidRDefault="00647E82" w:rsidP="00987F08">
            <w:pPr>
              <w:keepNext/>
              <w:spacing w:before="40" w:after="40"/>
              <w:jc w:val="both"/>
              <w:rPr>
                <w:rFonts w:ascii="Arial Narrow" w:hAnsi="Arial Narrow" w:cs="Arial"/>
                <w:sz w:val="20"/>
                <w:szCs w:val="20"/>
              </w:rPr>
            </w:pPr>
            <w:r>
              <w:rPr>
                <w:rFonts w:ascii="Arial Narrow" w:hAnsi="Arial Narrow" w:cs="Arial"/>
                <w:sz w:val="20"/>
                <w:szCs w:val="20"/>
              </w:rPr>
              <w:t>$</w:t>
            </w:r>
            <w:r w:rsidRPr="00D8000D">
              <w:rPr>
                <w:rFonts w:ascii="Arial Narrow" w:hAnsi="Arial Narrow" w:cs="Arial"/>
                <w:sz w:val="20"/>
                <w:szCs w:val="20"/>
              </w:rPr>
              <w:t>9,023.22</w:t>
            </w:r>
            <w:r>
              <w:rPr>
                <w:rFonts w:ascii="Arial Narrow" w:hAnsi="Arial Narrow" w:cs="Arial"/>
                <w:sz w:val="20"/>
                <w:szCs w:val="20"/>
              </w:rPr>
              <w:t xml:space="preserve"> (public)</w:t>
            </w:r>
          </w:p>
        </w:tc>
        <w:tc>
          <w:tcPr>
            <w:tcW w:w="572" w:type="pct"/>
          </w:tcPr>
          <w:p w:rsidR="00C27B58" w:rsidRDefault="00C27B58" w:rsidP="00EB0B63">
            <w:pPr>
              <w:keepNext/>
              <w:spacing w:before="40" w:after="40"/>
              <w:jc w:val="both"/>
              <w:rPr>
                <w:rFonts w:ascii="Arial Narrow" w:hAnsi="Arial Narrow" w:cs="Arial"/>
                <w:sz w:val="20"/>
                <w:szCs w:val="20"/>
              </w:rPr>
            </w:pPr>
          </w:p>
          <w:p w:rsidR="00826F6D" w:rsidRPr="00260CE3" w:rsidRDefault="00F144A9" w:rsidP="00EB0B63">
            <w:pPr>
              <w:keepNext/>
              <w:spacing w:before="40" w:after="40"/>
              <w:jc w:val="both"/>
              <w:rPr>
                <w:rFonts w:ascii="Arial Narrow" w:hAnsi="Arial Narrow" w:cs="Arial"/>
                <w:sz w:val="20"/>
                <w:szCs w:val="20"/>
              </w:rPr>
            </w:pPr>
            <w:proofErr w:type="spellStart"/>
            <w:r w:rsidRPr="00E17531">
              <w:rPr>
                <w:rFonts w:ascii="Arial Narrow" w:hAnsi="Arial Narrow"/>
                <w:sz w:val="20"/>
                <w:szCs w:val="20"/>
              </w:rPr>
              <w:t>Keytruda</w:t>
            </w:r>
            <w:proofErr w:type="spellEnd"/>
            <w:r w:rsidRPr="00714E86">
              <w:rPr>
                <w:rFonts w:ascii="Arial Narrow" w:hAnsi="Arial Narrow"/>
                <w:sz w:val="20"/>
                <w:szCs w:val="20"/>
              </w:rPr>
              <w:t>®</w:t>
            </w:r>
          </w:p>
        </w:tc>
        <w:tc>
          <w:tcPr>
            <w:tcW w:w="703" w:type="pct"/>
          </w:tcPr>
          <w:p w:rsidR="00C27B58" w:rsidRPr="002873B2" w:rsidRDefault="00C27B58" w:rsidP="00EB0B63">
            <w:pPr>
              <w:keepNext/>
              <w:spacing w:before="40" w:after="40"/>
              <w:jc w:val="both"/>
              <w:rPr>
                <w:rFonts w:ascii="Arial Narrow" w:hAnsi="Arial Narrow" w:cs="Arial"/>
                <w:sz w:val="20"/>
                <w:szCs w:val="20"/>
              </w:rPr>
            </w:pPr>
          </w:p>
          <w:p w:rsidR="00826F6D" w:rsidRPr="002873B2" w:rsidRDefault="00F144A9" w:rsidP="00F144A9">
            <w:pPr>
              <w:keepNext/>
              <w:spacing w:before="40" w:after="40"/>
              <w:rPr>
                <w:rFonts w:ascii="Arial Narrow" w:hAnsi="Arial Narrow" w:cs="Arial"/>
                <w:sz w:val="20"/>
                <w:szCs w:val="20"/>
              </w:rPr>
            </w:pPr>
            <w:r w:rsidRPr="002873B2">
              <w:rPr>
                <w:rFonts w:ascii="Arial Narrow" w:hAnsi="Arial Narrow"/>
                <w:sz w:val="20"/>
                <w:szCs w:val="20"/>
              </w:rPr>
              <w:t>Merck Sharp &amp; Dohme (AU) Pty Ltd</w:t>
            </w:r>
          </w:p>
        </w:tc>
      </w:tr>
    </w:tbl>
    <w:p w:rsidR="006F2D8D" w:rsidRPr="002873B2" w:rsidRDefault="00646A23" w:rsidP="002D4543">
      <w:pPr>
        <w:rPr>
          <w:rFonts w:ascii="Arial Narrow" w:hAnsi="Arial Narrow"/>
          <w:sz w:val="20"/>
          <w:szCs w:val="20"/>
        </w:rPr>
      </w:pPr>
      <w:r w:rsidRPr="00E17531">
        <w:rPr>
          <w:rFonts w:ascii="Arial Narrow" w:hAnsi="Arial Narrow"/>
          <w:b/>
          <w:sz w:val="20"/>
          <w:szCs w:val="20"/>
          <w:u w:val="single"/>
        </w:rPr>
        <w:t>Treatment phase: Initial treatment</w:t>
      </w:r>
      <w:r>
        <w:rPr>
          <w:rFonts w:ascii="Arial Narrow" w:hAnsi="Arial Narrow"/>
          <w:b/>
          <w:sz w:val="20"/>
          <w:szCs w:val="20"/>
          <w:u w:val="single"/>
        </w:rPr>
        <w:t xml:space="preserve"> 1</w:t>
      </w:r>
    </w:p>
    <w:tbl>
      <w:tblPr>
        <w:tblW w:w="4915" w:type="pct"/>
        <w:tblLook w:val="0000" w:firstRow="0" w:lastRow="0" w:firstColumn="0" w:lastColumn="0" w:noHBand="0" w:noVBand="0"/>
      </w:tblPr>
      <w:tblGrid>
        <w:gridCol w:w="1801"/>
        <w:gridCol w:w="7284"/>
      </w:tblGrid>
      <w:tr w:rsidR="00646A23" w:rsidRPr="002873B2" w:rsidTr="00554AEF">
        <w:trPr>
          <w:cantSplit/>
          <w:trHeight w:val="360"/>
        </w:trPr>
        <w:tc>
          <w:tcPr>
            <w:tcW w:w="991" w:type="pct"/>
            <w:tcBorders>
              <w:top w:val="single" w:sz="4" w:space="0" w:color="auto"/>
              <w:left w:val="single" w:sz="4" w:space="0" w:color="auto"/>
              <w:bottom w:val="single" w:sz="4" w:space="0" w:color="auto"/>
              <w:right w:val="single" w:sz="4" w:space="0" w:color="auto"/>
            </w:tcBorders>
          </w:tcPr>
          <w:p w:rsidR="00646A23" w:rsidRPr="002873B2" w:rsidRDefault="00646A23" w:rsidP="00554AEF">
            <w:pPr>
              <w:spacing w:before="40" w:after="40"/>
              <w:jc w:val="both"/>
              <w:rPr>
                <w:rFonts w:ascii="Arial Narrow" w:hAnsi="Arial Narrow" w:cs="Arial"/>
                <w:b/>
                <w:sz w:val="20"/>
                <w:szCs w:val="20"/>
              </w:rPr>
            </w:pPr>
            <w:r w:rsidRPr="002873B2">
              <w:rPr>
                <w:rFonts w:ascii="Arial Narrow" w:hAnsi="Arial Narrow" w:cs="Arial"/>
                <w:b/>
                <w:sz w:val="20"/>
                <w:szCs w:val="20"/>
              </w:rPr>
              <w:t>Category / Program</w:t>
            </w:r>
          </w:p>
        </w:tc>
        <w:tc>
          <w:tcPr>
            <w:tcW w:w="4009" w:type="pct"/>
            <w:tcBorders>
              <w:top w:val="single" w:sz="4" w:space="0" w:color="auto"/>
              <w:left w:val="single" w:sz="4" w:space="0" w:color="auto"/>
              <w:bottom w:val="single" w:sz="4" w:space="0" w:color="auto"/>
              <w:right w:val="single" w:sz="4" w:space="0" w:color="auto"/>
            </w:tcBorders>
          </w:tcPr>
          <w:p w:rsidR="00646A23" w:rsidRPr="002873B2" w:rsidRDefault="00646A23" w:rsidP="00554AEF">
            <w:pPr>
              <w:spacing w:before="40" w:after="40"/>
              <w:rPr>
                <w:rFonts w:ascii="Arial Narrow" w:hAnsi="Arial Narrow" w:cs="Arial"/>
                <w:sz w:val="20"/>
                <w:szCs w:val="20"/>
              </w:rPr>
            </w:pPr>
            <w:r w:rsidRPr="002873B2">
              <w:rPr>
                <w:rFonts w:ascii="Arial Narrow" w:hAnsi="Arial Narrow" w:cs="Arial"/>
                <w:sz w:val="20"/>
                <w:szCs w:val="20"/>
              </w:rPr>
              <w:t>Section 100 – Efficient funding of Chemotherapy</w:t>
            </w:r>
          </w:p>
        </w:tc>
      </w:tr>
      <w:tr w:rsidR="00646A23" w:rsidRPr="002873B2" w:rsidTr="00554AEF">
        <w:trPr>
          <w:cantSplit/>
          <w:trHeight w:val="360"/>
        </w:trPr>
        <w:tc>
          <w:tcPr>
            <w:tcW w:w="991" w:type="pct"/>
            <w:tcBorders>
              <w:top w:val="single" w:sz="4" w:space="0" w:color="auto"/>
              <w:left w:val="single" w:sz="4" w:space="0" w:color="auto"/>
              <w:bottom w:val="single" w:sz="4" w:space="0" w:color="auto"/>
              <w:right w:val="single" w:sz="4" w:space="0" w:color="auto"/>
            </w:tcBorders>
          </w:tcPr>
          <w:p w:rsidR="00646A23" w:rsidRPr="002873B2" w:rsidRDefault="00646A23" w:rsidP="00554AEF">
            <w:pPr>
              <w:spacing w:before="40" w:after="40"/>
              <w:jc w:val="both"/>
              <w:rPr>
                <w:rFonts w:ascii="Arial Narrow" w:hAnsi="Arial Narrow" w:cs="Arial"/>
                <w:b/>
                <w:sz w:val="20"/>
                <w:szCs w:val="20"/>
              </w:rPr>
            </w:pPr>
            <w:r w:rsidRPr="002873B2">
              <w:rPr>
                <w:rFonts w:ascii="Arial Narrow" w:hAnsi="Arial Narrow" w:cs="Arial"/>
                <w:b/>
                <w:sz w:val="20"/>
                <w:szCs w:val="20"/>
              </w:rPr>
              <w:t>Prescriber type:</w:t>
            </w:r>
          </w:p>
        </w:tc>
        <w:tc>
          <w:tcPr>
            <w:tcW w:w="4009" w:type="pct"/>
            <w:tcBorders>
              <w:top w:val="single" w:sz="4" w:space="0" w:color="auto"/>
              <w:left w:val="single" w:sz="4" w:space="0" w:color="auto"/>
              <w:bottom w:val="single" w:sz="4" w:space="0" w:color="auto"/>
              <w:right w:val="single" w:sz="4" w:space="0" w:color="auto"/>
            </w:tcBorders>
          </w:tcPr>
          <w:p w:rsidR="00646A23" w:rsidRPr="002873B2" w:rsidRDefault="00646A23" w:rsidP="00554AEF">
            <w:pPr>
              <w:spacing w:before="40" w:after="40"/>
              <w:rPr>
                <w:rFonts w:ascii="Arial Narrow" w:hAnsi="Arial Narrow" w:cs="Arial"/>
                <w:sz w:val="20"/>
                <w:szCs w:val="20"/>
              </w:rPr>
            </w:pPr>
            <w:r w:rsidRPr="002873B2">
              <w:rPr>
                <w:rFonts w:ascii="Arial Narrow" w:hAnsi="Arial Narrow" w:cs="Arial"/>
                <w:sz w:val="20"/>
                <w:szCs w:val="20"/>
              </w:rPr>
              <w:fldChar w:fldCharType="begin">
                <w:ffData>
                  <w:name w:val="Check1"/>
                  <w:enabled/>
                  <w:calcOnExit w:val="0"/>
                  <w:checkBox>
                    <w:sizeAuto/>
                    <w:default w:val="0"/>
                  </w:checkBox>
                </w:ffData>
              </w:fldChar>
            </w:r>
            <w:r w:rsidRPr="002873B2">
              <w:rPr>
                <w:rFonts w:ascii="Arial Narrow" w:hAnsi="Arial Narrow" w:cs="Arial"/>
                <w:sz w:val="20"/>
                <w:szCs w:val="20"/>
              </w:rPr>
              <w:instrText xml:space="preserve"> FORMCHECKBOX </w:instrText>
            </w:r>
            <w:r w:rsidR="00B52FA3">
              <w:rPr>
                <w:rFonts w:ascii="Arial Narrow" w:hAnsi="Arial Narrow" w:cs="Arial"/>
                <w:sz w:val="20"/>
                <w:szCs w:val="20"/>
              </w:rPr>
            </w:r>
            <w:r w:rsidR="00B52FA3">
              <w:rPr>
                <w:rFonts w:ascii="Arial Narrow" w:hAnsi="Arial Narrow" w:cs="Arial"/>
                <w:sz w:val="20"/>
                <w:szCs w:val="20"/>
              </w:rPr>
              <w:fldChar w:fldCharType="separate"/>
            </w:r>
            <w:r w:rsidRPr="002873B2">
              <w:rPr>
                <w:rFonts w:ascii="Arial Narrow" w:hAnsi="Arial Narrow" w:cs="Arial"/>
                <w:sz w:val="20"/>
                <w:szCs w:val="20"/>
              </w:rPr>
              <w:fldChar w:fldCharType="end"/>
            </w:r>
            <w:r w:rsidRPr="002873B2">
              <w:rPr>
                <w:rFonts w:ascii="Arial Narrow" w:hAnsi="Arial Narrow" w:cs="Arial"/>
                <w:sz w:val="20"/>
                <w:szCs w:val="20"/>
              </w:rPr>
              <w:t xml:space="preserve">Dental  </w:t>
            </w:r>
            <w:r w:rsidRPr="002873B2">
              <w:rPr>
                <w:rFonts w:ascii="Arial Narrow" w:hAnsi="Arial Narrow" w:cs="Arial"/>
                <w:sz w:val="20"/>
                <w:szCs w:val="20"/>
              </w:rPr>
              <w:fldChar w:fldCharType="begin">
                <w:ffData>
                  <w:name w:val=""/>
                  <w:enabled/>
                  <w:calcOnExit w:val="0"/>
                  <w:checkBox>
                    <w:sizeAuto/>
                    <w:default w:val="1"/>
                  </w:checkBox>
                </w:ffData>
              </w:fldChar>
            </w:r>
            <w:r w:rsidRPr="002873B2">
              <w:rPr>
                <w:rFonts w:ascii="Arial Narrow" w:hAnsi="Arial Narrow" w:cs="Arial"/>
                <w:sz w:val="20"/>
                <w:szCs w:val="20"/>
              </w:rPr>
              <w:instrText xml:space="preserve"> FORMCHECKBOX </w:instrText>
            </w:r>
            <w:r w:rsidR="00B52FA3">
              <w:rPr>
                <w:rFonts w:ascii="Arial Narrow" w:hAnsi="Arial Narrow" w:cs="Arial"/>
                <w:sz w:val="20"/>
                <w:szCs w:val="20"/>
              </w:rPr>
            </w:r>
            <w:r w:rsidR="00B52FA3">
              <w:rPr>
                <w:rFonts w:ascii="Arial Narrow" w:hAnsi="Arial Narrow" w:cs="Arial"/>
                <w:sz w:val="20"/>
                <w:szCs w:val="20"/>
              </w:rPr>
              <w:fldChar w:fldCharType="separate"/>
            </w:r>
            <w:r w:rsidRPr="002873B2">
              <w:rPr>
                <w:rFonts w:ascii="Arial Narrow" w:hAnsi="Arial Narrow" w:cs="Arial"/>
                <w:sz w:val="20"/>
                <w:szCs w:val="20"/>
              </w:rPr>
              <w:fldChar w:fldCharType="end"/>
            </w:r>
            <w:r w:rsidRPr="002873B2">
              <w:rPr>
                <w:rFonts w:ascii="Arial Narrow" w:hAnsi="Arial Narrow" w:cs="Arial"/>
                <w:sz w:val="20"/>
                <w:szCs w:val="20"/>
              </w:rPr>
              <w:t xml:space="preserve">Medical Practitioners  </w:t>
            </w:r>
            <w:r w:rsidRPr="002873B2">
              <w:rPr>
                <w:rFonts w:ascii="Arial Narrow" w:hAnsi="Arial Narrow" w:cs="Arial"/>
                <w:sz w:val="20"/>
                <w:szCs w:val="20"/>
              </w:rPr>
              <w:fldChar w:fldCharType="begin">
                <w:ffData>
                  <w:name w:val="Check3"/>
                  <w:enabled/>
                  <w:calcOnExit w:val="0"/>
                  <w:checkBox>
                    <w:sizeAuto/>
                    <w:default w:val="0"/>
                  </w:checkBox>
                </w:ffData>
              </w:fldChar>
            </w:r>
            <w:r w:rsidRPr="002873B2">
              <w:rPr>
                <w:rFonts w:ascii="Arial Narrow" w:hAnsi="Arial Narrow" w:cs="Arial"/>
                <w:sz w:val="20"/>
                <w:szCs w:val="20"/>
              </w:rPr>
              <w:instrText xml:space="preserve"> FORMCHECKBOX </w:instrText>
            </w:r>
            <w:r w:rsidR="00B52FA3">
              <w:rPr>
                <w:rFonts w:ascii="Arial Narrow" w:hAnsi="Arial Narrow" w:cs="Arial"/>
                <w:sz w:val="20"/>
                <w:szCs w:val="20"/>
              </w:rPr>
            </w:r>
            <w:r w:rsidR="00B52FA3">
              <w:rPr>
                <w:rFonts w:ascii="Arial Narrow" w:hAnsi="Arial Narrow" w:cs="Arial"/>
                <w:sz w:val="20"/>
                <w:szCs w:val="20"/>
              </w:rPr>
              <w:fldChar w:fldCharType="separate"/>
            </w:r>
            <w:r w:rsidRPr="002873B2">
              <w:rPr>
                <w:rFonts w:ascii="Arial Narrow" w:hAnsi="Arial Narrow" w:cs="Arial"/>
                <w:sz w:val="20"/>
                <w:szCs w:val="20"/>
              </w:rPr>
              <w:fldChar w:fldCharType="end"/>
            </w:r>
            <w:r w:rsidRPr="002873B2">
              <w:rPr>
                <w:rFonts w:ascii="Arial Narrow" w:hAnsi="Arial Narrow" w:cs="Arial"/>
                <w:sz w:val="20"/>
                <w:szCs w:val="20"/>
              </w:rPr>
              <w:t xml:space="preserve">Nurse practitioners  </w:t>
            </w:r>
            <w:r w:rsidRPr="002873B2">
              <w:rPr>
                <w:rFonts w:ascii="Arial Narrow" w:hAnsi="Arial Narrow" w:cs="Arial"/>
                <w:sz w:val="20"/>
                <w:szCs w:val="20"/>
              </w:rPr>
              <w:fldChar w:fldCharType="begin">
                <w:ffData>
                  <w:name w:val=""/>
                  <w:enabled/>
                  <w:calcOnExit w:val="0"/>
                  <w:checkBox>
                    <w:sizeAuto/>
                    <w:default w:val="0"/>
                  </w:checkBox>
                </w:ffData>
              </w:fldChar>
            </w:r>
            <w:r w:rsidRPr="002873B2">
              <w:rPr>
                <w:rFonts w:ascii="Arial Narrow" w:hAnsi="Arial Narrow" w:cs="Arial"/>
                <w:sz w:val="20"/>
                <w:szCs w:val="20"/>
              </w:rPr>
              <w:instrText xml:space="preserve"> FORMCHECKBOX </w:instrText>
            </w:r>
            <w:r w:rsidR="00B52FA3">
              <w:rPr>
                <w:rFonts w:ascii="Arial Narrow" w:hAnsi="Arial Narrow" w:cs="Arial"/>
                <w:sz w:val="20"/>
                <w:szCs w:val="20"/>
              </w:rPr>
            </w:r>
            <w:r w:rsidR="00B52FA3">
              <w:rPr>
                <w:rFonts w:ascii="Arial Narrow" w:hAnsi="Arial Narrow" w:cs="Arial"/>
                <w:sz w:val="20"/>
                <w:szCs w:val="20"/>
              </w:rPr>
              <w:fldChar w:fldCharType="separate"/>
            </w:r>
            <w:r w:rsidRPr="002873B2">
              <w:rPr>
                <w:rFonts w:ascii="Arial Narrow" w:hAnsi="Arial Narrow" w:cs="Arial"/>
                <w:sz w:val="20"/>
                <w:szCs w:val="20"/>
              </w:rPr>
              <w:fldChar w:fldCharType="end"/>
            </w:r>
            <w:r w:rsidRPr="002873B2">
              <w:rPr>
                <w:rFonts w:ascii="Arial Narrow" w:hAnsi="Arial Narrow" w:cs="Arial"/>
                <w:sz w:val="20"/>
                <w:szCs w:val="20"/>
              </w:rPr>
              <w:t xml:space="preserve">Optometrists </w:t>
            </w:r>
            <w:r w:rsidRPr="002873B2">
              <w:rPr>
                <w:rFonts w:ascii="Arial Narrow" w:hAnsi="Arial Narrow" w:cs="Arial"/>
                <w:sz w:val="20"/>
                <w:szCs w:val="20"/>
              </w:rPr>
              <w:fldChar w:fldCharType="begin">
                <w:ffData>
                  <w:name w:val="Check5"/>
                  <w:enabled/>
                  <w:calcOnExit w:val="0"/>
                  <w:checkBox>
                    <w:sizeAuto/>
                    <w:default w:val="0"/>
                  </w:checkBox>
                </w:ffData>
              </w:fldChar>
            </w:r>
            <w:r w:rsidRPr="002873B2">
              <w:rPr>
                <w:rFonts w:ascii="Arial Narrow" w:hAnsi="Arial Narrow" w:cs="Arial"/>
                <w:sz w:val="20"/>
                <w:szCs w:val="20"/>
              </w:rPr>
              <w:instrText xml:space="preserve"> FORMCHECKBOX </w:instrText>
            </w:r>
            <w:r w:rsidR="00B52FA3">
              <w:rPr>
                <w:rFonts w:ascii="Arial Narrow" w:hAnsi="Arial Narrow" w:cs="Arial"/>
                <w:sz w:val="20"/>
                <w:szCs w:val="20"/>
              </w:rPr>
            </w:r>
            <w:r w:rsidR="00B52FA3">
              <w:rPr>
                <w:rFonts w:ascii="Arial Narrow" w:hAnsi="Arial Narrow" w:cs="Arial"/>
                <w:sz w:val="20"/>
                <w:szCs w:val="20"/>
              </w:rPr>
              <w:fldChar w:fldCharType="separate"/>
            </w:r>
            <w:r w:rsidRPr="002873B2">
              <w:rPr>
                <w:rFonts w:ascii="Arial Narrow" w:hAnsi="Arial Narrow" w:cs="Arial"/>
                <w:sz w:val="20"/>
                <w:szCs w:val="20"/>
              </w:rPr>
              <w:fldChar w:fldCharType="end"/>
            </w:r>
            <w:r w:rsidRPr="002873B2">
              <w:rPr>
                <w:rFonts w:ascii="Arial Narrow" w:hAnsi="Arial Narrow" w:cs="Arial"/>
                <w:sz w:val="20"/>
                <w:szCs w:val="20"/>
              </w:rPr>
              <w:t>Midwives</w:t>
            </w:r>
          </w:p>
        </w:tc>
      </w:tr>
      <w:tr w:rsidR="00646A23" w:rsidRPr="002873B2" w:rsidTr="00554AEF">
        <w:trPr>
          <w:cantSplit/>
          <w:trHeight w:val="360"/>
        </w:trPr>
        <w:tc>
          <w:tcPr>
            <w:tcW w:w="991" w:type="pct"/>
            <w:tcBorders>
              <w:top w:val="single" w:sz="4" w:space="0" w:color="auto"/>
              <w:left w:val="single" w:sz="4" w:space="0" w:color="auto"/>
              <w:bottom w:val="single" w:sz="4" w:space="0" w:color="auto"/>
              <w:right w:val="single" w:sz="4" w:space="0" w:color="auto"/>
            </w:tcBorders>
          </w:tcPr>
          <w:p w:rsidR="00646A23" w:rsidRPr="002873B2" w:rsidRDefault="00646A23" w:rsidP="00554AEF">
            <w:pPr>
              <w:spacing w:before="40" w:after="40"/>
              <w:jc w:val="both"/>
              <w:rPr>
                <w:rFonts w:ascii="Arial Narrow" w:hAnsi="Arial Narrow" w:cs="Arial"/>
                <w:b/>
                <w:sz w:val="20"/>
                <w:szCs w:val="20"/>
              </w:rPr>
            </w:pPr>
            <w:r w:rsidRPr="002873B2">
              <w:rPr>
                <w:rFonts w:ascii="Arial Narrow" w:hAnsi="Arial Narrow" w:cs="Arial"/>
                <w:b/>
                <w:sz w:val="20"/>
                <w:szCs w:val="20"/>
              </w:rPr>
              <w:t>Severity:</w:t>
            </w:r>
          </w:p>
        </w:tc>
        <w:tc>
          <w:tcPr>
            <w:tcW w:w="4009" w:type="pct"/>
            <w:tcBorders>
              <w:top w:val="single" w:sz="4" w:space="0" w:color="auto"/>
              <w:left w:val="single" w:sz="4" w:space="0" w:color="auto"/>
              <w:bottom w:val="single" w:sz="4" w:space="0" w:color="auto"/>
              <w:right w:val="single" w:sz="4" w:space="0" w:color="auto"/>
            </w:tcBorders>
          </w:tcPr>
          <w:p w:rsidR="00646A23" w:rsidRPr="002873B2" w:rsidRDefault="00646A23" w:rsidP="00554AEF">
            <w:pPr>
              <w:spacing w:before="40" w:after="40"/>
              <w:rPr>
                <w:rFonts w:ascii="Arial Narrow" w:hAnsi="Arial Narrow" w:cs="Arial"/>
                <w:sz w:val="20"/>
                <w:szCs w:val="20"/>
              </w:rPr>
            </w:pPr>
            <w:proofErr w:type="spellStart"/>
            <w:r w:rsidRPr="002873B2">
              <w:rPr>
                <w:rFonts w:ascii="Arial Narrow" w:hAnsi="Arial Narrow"/>
                <w:sz w:val="20"/>
                <w:szCs w:val="20"/>
              </w:rPr>
              <w:t>Unresectable</w:t>
            </w:r>
            <w:proofErr w:type="spellEnd"/>
            <w:r w:rsidRPr="002873B2">
              <w:rPr>
                <w:rFonts w:ascii="Arial Narrow" w:hAnsi="Arial Narrow"/>
                <w:sz w:val="20"/>
                <w:szCs w:val="20"/>
              </w:rPr>
              <w:t xml:space="preserve"> Stage III or Stage IV</w:t>
            </w:r>
          </w:p>
        </w:tc>
      </w:tr>
      <w:tr w:rsidR="00646A23" w:rsidRPr="002873B2" w:rsidTr="00554AEF">
        <w:trPr>
          <w:cantSplit/>
          <w:trHeight w:val="360"/>
        </w:trPr>
        <w:tc>
          <w:tcPr>
            <w:tcW w:w="991" w:type="pct"/>
            <w:tcBorders>
              <w:top w:val="single" w:sz="4" w:space="0" w:color="auto"/>
              <w:left w:val="single" w:sz="4" w:space="0" w:color="auto"/>
              <w:bottom w:val="single" w:sz="4" w:space="0" w:color="auto"/>
              <w:right w:val="single" w:sz="4" w:space="0" w:color="auto"/>
            </w:tcBorders>
          </w:tcPr>
          <w:p w:rsidR="00646A23" w:rsidRPr="002873B2" w:rsidRDefault="00646A23" w:rsidP="00554AEF">
            <w:pPr>
              <w:spacing w:before="40" w:after="40"/>
              <w:jc w:val="both"/>
              <w:rPr>
                <w:rFonts w:ascii="Arial Narrow" w:hAnsi="Arial Narrow" w:cs="Arial"/>
                <w:b/>
                <w:sz w:val="20"/>
                <w:szCs w:val="20"/>
              </w:rPr>
            </w:pPr>
            <w:r w:rsidRPr="002873B2">
              <w:rPr>
                <w:rFonts w:ascii="Arial Narrow" w:hAnsi="Arial Narrow" w:cs="Arial"/>
                <w:b/>
                <w:sz w:val="20"/>
                <w:szCs w:val="20"/>
              </w:rPr>
              <w:t>Condition:</w:t>
            </w:r>
          </w:p>
        </w:tc>
        <w:tc>
          <w:tcPr>
            <w:tcW w:w="4009" w:type="pct"/>
            <w:tcBorders>
              <w:top w:val="single" w:sz="4" w:space="0" w:color="auto"/>
              <w:left w:val="single" w:sz="4" w:space="0" w:color="auto"/>
              <w:bottom w:val="single" w:sz="4" w:space="0" w:color="auto"/>
              <w:right w:val="single" w:sz="4" w:space="0" w:color="auto"/>
            </w:tcBorders>
          </w:tcPr>
          <w:p w:rsidR="00646A23" w:rsidRPr="002873B2" w:rsidRDefault="00646A23" w:rsidP="00554AEF">
            <w:pPr>
              <w:spacing w:before="40" w:after="40"/>
              <w:rPr>
                <w:rFonts w:ascii="Arial Narrow" w:hAnsi="Arial Narrow" w:cs="Arial"/>
                <w:sz w:val="20"/>
                <w:szCs w:val="20"/>
              </w:rPr>
            </w:pPr>
            <w:r w:rsidRPr="002873B2">
              <w:rPr>
                <w:rFonts w:ascii="Arial Narrow" w:hAnsi="Arial Narrow" w:cs="Arial"/>
                <w:i/>
                <w:sz w:val="20"/>
                <w:szCs w:val="20"/>
              </w:rPr>
              <w:t>Malignant</w:t>
            </w:r>
            <w:r w:rsidRPr="002873B2">
              <w:rPr>
                <w:rFonts w:ascii="Arial Narrow" w:hAnsi="Arial Narrow" w:cs="Arial"/>
                <w:sz w:val="20"/>
                <w:szCs w:val="20"/>
              </w:rPr>
              <w:t xml:space="preserve"> </w:t>
            </w:r>
            <w:proofErr w:type="spellStart"/>
            <w:r w:rsidRPr="002873B2">
              <w:rPr>
                <w:rFonts w:ascii="Arial Narrow" w:hAnsi="Arial Narrow" w:cs="Arial"/>
                <w:i/>
                <w:strike/>
                <w:sz w:val="20"/>
                <w:szCs w:val="20"/>
              </w:rPr>
              <w:t>M</w:t>
            </w:r>
            <w:r w:rsidRPr="002873B2">
              <w:rPr>
                <w:rFonts w:ascii="Arial Narrow" w:hAnsi="Arial Narrow" w:cs="Arial"/>
                <w:i/>
                <w:sz w:val="20"/>
                <w:szCs w:val="20"/>
              </w:rPr>
              <w:t>melanoma</w:t>
            </w:r>
            <w:proofErr w:type="spellEnd"/>
            <w:r w:rsidRPr="002873B2">
              <w:rPr>
                <w:rFonts w:ascii="Arial Narrow" w:hAnsi="Arial Narrow" w:cs="Arial"/>
                <w:sz w:val="20"/>
                <w:szCs w:val="20"/>
              </w:rPr>
              <w:t xml:space="preserve"> </w:t>
            </w:r>
          </w:p>
        </w:tc>
      </w:tr>
      <w:tr w:rsidR="00646A23" w:rsidRPr="002873B2" w:rsidTr="00554AEF">
        <w:trPr>
          <w:cantSplit/>
          <w:trHeight w:val="360"/>
        </w:trPr>
        <w:tc>
          <w:tcPr>
            <w:tcW w:w="991" w:type="pct"/>
            <w:tcBorders>
              <w:top w:val="single" w:sz="4" w:space="0" w:color="auto"/>
              <w:left w:val="single" w:sz="4" w:space="0" w:color="auto"/>
              <w:bottom w:val="single" w:sz="4" w:space="0" w:color="auto"/>
              <w:right w:val="single" w:sz="4" w:space="0" w:color="auto"/>
            </w:tcBorders>
          </w:tcPr>
          <w:p w:rsidR="00646A23" w:rsidRPr="002873B2" w:rsidRDefault="00646A23" w:rsidP="00554AEF">
            <w:pPr>
              <w:spacing w:before="40" w:after="40"/>
              <w:jc w:val="both"/>
              <w:rPr>
                <w:rFonts w:ascii="Arial Narrow" w:hAnsi="Arial Narrow" w:cs="Arial"/>
                <w:b/>
                <w:sz w:val="20"/>
                <w:szCs w:val="20"/>
              </w:rPr>
            </w:pPr>
            <w:r w:rsidRPr="002873B2">
              <w:rPr>
                <w:rFonts w:ascii="Arial Narrow" w:hAnsi="Arial Narrow" w:cs="Arial"/>
                <w:b/>
                <w:sz w:val="20"/>
                <w:szCs w:val="20"/>
              </w:rPr>
              <w:t>PBS Indication:</w:t>
            </w:r>
          </w:p>
        </w:tc>
        <w:tc>
          <w:tcPr>
            <w:tcW w:w="4009" w:type="pct"/>
            <w:tcBorders>
              <w:top w:val="single" w:sz="4" w:space="0" w:color="auto"/>
              <w:left w:val="single" w:sz="4" w:space="0" w:color="auto"/>
              <w:bottom w:val="single" w:sz="4" w:space="0" w:color="auto"/>
              <w:right w:val="single" w:sz="4" w:space="0" w:color="auto"/>
            </w:tcBorders>
          </w:tcPr>
          <w:p w:rsidR="00646A23" w:rsidRPr="002873B2" w:rsidRDefault="00646A23" w:rsidP="00554AEF">
            <w:pPr>
              <w:spacing w:before="40" w:after="40"/>
              <w:rPr>
                <w:rFonts w:ascii="Arial Narrow" w:hAnsi="Arial Narrow" w:cs="Arial"/>
                <w:sz w:val="20"/>
                <w:szCs w:val="20"/>
              </w:rPr>
            </w:pPr>
            <w:proofErr w:type="spellStart"/>
            <w:r w:rsidRPr="002873B2">
              <w:rPr>
                <w:rFonts w:ascii="Arial Narrow" w:hAnsi="Arial Narrow"/>
                <w:sz w:val="20"/>
                <w:szCs w:val="20"/>
              </w:rPr>
              <w:t>Unresectable</w:t>
            </w:r>
            <w:proofErr w:type="spellEnd"/>
            <w:r w:rsidRPr="002873B2">
              <w:rPr>
                <w:rFonts w:ascii="Arial Narrow" w:hAnsi="Arial Narrow"/>
                <w:sz w:val="20"/>
                <w:szCs w:val="20"/>
              </w:rPr>
              <w:t xml:space="preserve"> Stage III or Stage IV malignant melanoma</w:t>
            </w:r>
          </w:p>
        </w:tc>
      </w:tr>
      <w:tr w:rsidR="00646A23" w:rsidRPr="002873B2" w:rsidTr="00554AEF">
        <w:trPr>
          <w:cantSplit/>
          <w:trHeight w:val="360"/>
        </w:trPr>
        <w:tc>
          <w:tcPr>
            <w:tcW w:w="991" w:type="pct"/>
            <w:tcBorders>
              <w:top w:val="single" w:sz="4" w:space="0" w:color="auto"/>
              <w:left w:val="single" w:sz="4" w:space="0" w:color="auto"/>
              <w:bottom w:val="single" w:sz="4" w:space="0" w:color="auto"/>
              <w:right w:val="single" w:sz="4" w:space="0" w:color="auto"/>
            </w:tcBorders>
          </w:tcPr>
          <w:p w:rsidR="00646A23" w:rsidRPr="002873B2" w:rsidRDefault="00646A23" w:rsidP="00554AEF">
            <w:pPr>
              <w:spacing w:before="40" w:after="40"/>
              <w:jc w:val="both"/>
              <w:rPr>
                <w:rFonts w:ascii="Arial Narrow" w:hAnsi="Arial Narrow" w:cs="Arial"/>
                <w:i/>
                <w:sz w:val="20"/>
                <w:szCs w:val="20"/>
              </w:rPr>
            </w:pPr>
            <w:r w:rsidRPr="002873B2">
              <w:rPr>
                <w:rFonts w:ascii="Arial Narrow" w:hAnsi="Arial Narrow" w:cs="Arial"/>
                <w:b/>
                <w:sz w:val="20"/>
                <w:szCs w:val="20"/>
              </w:rPr>
              <w:t>Treatment phase:</w:t>
            </w:r>
          </w:p>
        </w:tc>
        <w:tc>
          <w:tcPr>
            <w:tcW w:w="4009" w:type="pct"/>
            <w:tcBorders>
              <w:top w:val="single" w:sz="4" w:space="0" w:color="auto"/>
              <w:left w:val="single" w:sz="4" w:space="0" w:color="auto"/>
              <w:bottom w:val="single" w:sz="4" w:space="0" w:color="auto"/>
              <w:right w:val="single" w:sz="4" w:space="0" w:color="auto"/>
            </w:tcBorders>
          </w:tcPr>
          <w:p w:rsidR="00646A23" w:rsidRPr="002873B2" w:rsidRDefault="00646A23" w:rsidP="00554AEF">
            <w:pPr>
              <w:spacing w:before="40" w:after="40"/>
              <w:rPr>
                <w:rFonts w:ascii="Arial Narrow" w:hAnsi="Arial Narrow" w:cs="Arial"/>
                <w:sz w:val="20"/>
                <w:szCs w:val="20"/>
              </w:rPr>
            </w:pPr>
            <w:r w:rsidRPr="002873B2">
              <w:rPr>
                <w:rFonts w:ascii="Arial Narrow" w:hAnsi="Arial Narrow" w:cs="Arial"/>
                <w:sz w:val="20"/>
                <w:szCs w:val="20"/>
              </w:rPr>
              <w:t>Initial treatment 1</w:t>
            </w:r>
          </w:p>
        </w:tc>
      </w:tr>
      <w:tr w:rsidR="00646A23" w:rsidRPr="002873B2" w:rsidTr="00554AEF">
        <w:trPr>
          <w:cantSplit/>
          <w:trHeight w:val="360"/>
        </w:trPr>
        <w:tc>
          <w:tcPr>
            <w:tcW w:w="991" w:type="pct"/>
            <w:tcBorders>
              <w:top w:val="single" w:sz="4" w:space="0" w:color="auto"/>
              <w:left w:val="single" w:sz="4" w:space="0" w:color="auto"/>
              <w:bottom w:val="single" w:sz="4" w:space="0" w:color="auto"/>
              <w:right w:val="single" w:sz="4" w:space="0" w:color="auto"/>
            </w:tcBorders>
          </w:tcPr>
          <w:p w:rsidR="00646A23" w:rsidRPr="002873B2" w:rsidRDefault="00646A23" w:rsidP="00987F08">
            <w:pPr>
              <w:spacing w:before="40" w:after="40"/>
              <w:jc w:val="both"/>
              <w:rPr>
                <w:rFonts w:ascii="Arial Narrow" w:hAnsi="Arial Narrow" w:cs="Arial"/>
                <w:b/>
                <w:sz w:val="20"/>
                <w:szCs w:val="20"/>
              </w:rPr>
            </w:pPr>
            <w:r w:rsidRPr="002873B2">
              <w:rPr>
                <w:rFonts w:ascii="Arial Narrow" w:hAnsi="Arial Narrow" w:cs="Arial"/>
                <w:b/>
                <w:sz w:val="20"/>
                <w:szCs w:val="20"/>
              </w:rPr>
              <w:t>Restriction Level / Method:</w:t>
            </w:r>
          </w:p>
        </w:tc>
        <w:tc>
          <w:tcPr>
            <w:tcW w:w="4009" w:type="pct"/>
            <w:tcBorders>
              <w:top w:val="single" w:sz="4" w:space="0" w:color="auto"/>
              <w:left w:val="single" w:sz="4" w:space="0" w:color="auto"/>
              <w:bottom w:val="single" w:sz="4" w:space="0" w:color="auto"/>
              <w:right w:val="single" w:sz="4" w:space="0" w:color="auto"/>
            </w:tcBorders>
          </w:tcPr>
          <w:p w:rsidR="00646A23" w:rsidRPr="002873B2" w:rsidRDefault="00646A23" w:rsidP="00554AEF">
            <w:pPr>
              <w:spacing w:before="40" w:after="40"/>
              <w:rPr>
                <w:rFonts w:ascii="Arial Narrow" w:hAnsi="Arial Narrow"/>
                <w:sz w:val="20"/>
                <w:szCs w:val="20"/>
              </w:rPr>
            </w:pPr>
            <w:r w:rsidRPr="002873B2">
              <w:rPr>
                <w:rFonts w:ascii="Arial Narrow" w:hAnsi="Arial Narrow"/>
                <w:sz w:val="20"/>
                <w:szCs w:val="20"/>
              </w:rPr>
              <w:fldChar w:fldCharType="begin">
                <w:ffData>
                  <w:name w:val="Check1"/>
                  <w:enabled/>
                  <w:calcOnExit w:val="0"/>
                  <w:checkBox>
                    <w:sizeAuto/>
                    <w:default w:val="0"/>
                  </w:checkBox>
                </w:ffData>
              </w:fldChar>
            </w:r>
            <w:r w:rsidRPr="002873B2">
              <w:rPr>
                <w:rFonts w:ascii="Arial Narrow" w:hAnsi="Arial Narrow"/>
                <w:sz w:val="20"/>
                <w:szCs w:val="20"/>
              </w:rPr>
              <w:instrText xml:space="preserve"> FORMCHECKBOX </w:instrText>
            </w:r>
            <w:r w:rsidR="00B52FA3">
              <w:rPr>
                <w:rFonts w:ascii="Arial Narrow" w:hAnsi="Arial Narrow"/>
                <w:sz w:val="20"/>
                <w:szCs w:val="20"/>
              </w:rPr>
            </w:r>
            <w:r w:rsidR="00B52FA3">
              <w:rPr>
                <w:rFonts w:ascii="Arial Narrow" w:hAnsi="Arial Narrow"/>
                <w:sz w:val="20"/>
                <w:szCs w:val="20"/>
              </w:rPr>
              <w:fldChar w:fldCharType="separate"/>
            </w:r>
            <w:r w:rsidRPr="002873B2">
              <w:rPr>
                <w:rFonts w:ascii="Arial Narrow" w:hAnsi="Arial Narrow"/>
                <w:sz w:val="20"/>
                <w:szCs w:val="20"/>
              </w:rPr>
              <w:fldChar w:fldCharType="end"/>
            </w:r>
            <w:r w:rsidRPr="002873B2">
              <w:rPr>
                <w:rFonts w:ascii="Arial Narrow" w:hAnsi="Arial Narrow"/>
                <w:sz w:val="20"/>
                <w:szCs w:val="20"/>
              </w:rPr>
              <w:t>Restricted benefit</w:t>
            </w:r>
          </w:p>
          <w:p w:rsidR="00646A23" w:rsidRPr="002873B2" w:rsidRDefault="00646A23" w:rsidP="00554AEF">
            <w:pPr>
              <w:spacing w:before="40" w:after="40"/>
              <w:rPr>
                <w:rFonts w:ascii="Arial Narrow" w:hAnsi="Arial Narrow"/>
                <w:sz w:val="20"/>
                <w:szCs w:val="20"/>
              </w:rPr>
            </w:pPr>
            <w:r w:rsidRPr="002873B2">
              <w:rPr>
                <w:rFonts w:ascii="Arial Narrow" w:hAnsi="Arial Narrow"/>
                <w:sz w:val="20"/>
                <w:szCs w:val="20"/>
              </w:rPr>
              <w:fldChar w:fldCharType="begin">
                <w:ffData>
                  <w:name w:val=""/>
                  <w:enabled/>
                  <w:calcOnExit w:val="0"/>
                  <w:checkBox>
                    <w:sizeAuto/>
                    <w:default w:val="0"/>
                  </w:checkBox>
                </w:ffData>
              </w:fldChar>
            </w:r>
            <w:r w:rsidRPr="002873B2">
              <w:rPr>
                <w:rFonts w:ascii="Arial Narrow" w:hAnsi="Arial Narrow"/>
                <w:sz w:val="20"/>
                <w:szCs w:val="20"/>
              </w:rPr>
              <w:instrText xml:space="preserve"> FORMCHECKBOX </w:instrText>
            </w:r>
            <w:r w:rsidR="00B52FA3">
              <w:rPr>
                <w:rFonts w:ascii="Arial Narrow" w:hAnsi="Arial Narrow"/>
                <w:sz w:val="20"/>
                <w:szCs w:val="20"/>
              </w:rPr>
            </w:r>
            <w:r w:rsidR="00B52FA3">
              <w:rPr>
                <w:rFonts w:ascii="Arial Narrow" w:hAnsi="Arial Narrow"/>
                <w:sz w:val="20"/>
                <w:szCs w:val="20"/>
              </w:rPr>
              <w:fldChar w:fldCharType="separate"/>
            </w:r>
            <w:r w:rsidRPr="002873B2">
              <w:rPr>
                <w:rFonts w:ascii="Arial Narrow" w:hAnsi="Arial Narrow"/>
                <w:sz w:val="20"/>
                <w:szCs w:val="20"/>
              </w:rPr>
              <w:fldChar w:fldCharType="end"/>
            </w:r>
            <w:r w:rsidRPr="002873B2">
              <w:rPr>
                <w:rFonts w:ascii="Arial Narrow" w:hAnsi="Arial Narrow"/>
                <w:sz w:val="20"/>
                <w:szCs w:val="20"/>
              </w:rPr>
              <w:t>Authority Required - In Writing</w:t>
            </w:r>
          </w:p>
          <w:p w:rsidR="00646A23" w:rsidRPr="002873B2" w:rsidRDefault="00646A23" w:rsidP="00554AEF">
            <w:pPr>
              <w:spacing w:before="40" w:after="40"/>
              <w:rPr>
                <w:rFonts w:ascii="Arial Narrow" w:hAnsi="Arial Narrow"/>
                <w:sz w:val="20"/>
                <w:szCs w:val="20"/>
              </w:rPr>
            </w:pPr>
            <w:r w:rsidRPr="002873B2">
              <w:rPr>
                <w:rFonts w:ascii="Arial Narrow" w:hAnsi="Arial Narrow"/>
                <w:sz w:val="20"/>
                <w:szCs w:val="20"/>
              </w:rPr>
              <w:fldChar w:fldCharType="begin">
                <w:ffData>
                  <w:name w:val="Check3"/>
                  <w:enabled/>
                  <w:calcOnExit w:val="0"/>
                  <w:checkBox>
                    <w:sizeAuto/>
                    <w:default w:val="0"/>
                  </w:checkBox>
                </w:ffData>
              </w:fldChar>
            </w:r>
            <w:r w:rsidRPr="002873B2">
              <w:rPr>
                <w:rFonts w:ascii="Arial Narrow" w:hAnsi="Arial Narrow"/>
                <w:sz w:val="20"/>
                <w:szCs w:val="20"/>
              </w:rPr>
              <w:instrText xml:space="preserve"> FORMCHECKBOX </w:instrText>
            </w:r>
            <w:r w:rsidR="00B52FA3">
              <w:rPr>
                <w:rFonts w:ascii="Arial Narrow" w:hAnsi="Arial Narrow"/>
                <w:sz w:val="20"/>
                <w:szCs w:val="20"/>
              </w:rPr>
            </w:r>
            <w:r w:rsidR="00B52FA3">
              <w:rPr>
                <w:rFonts w:ascii="Arial Narrow" w:hAnsi="Arial Narrow"/>
                <w:sz w:val="20"/>
                <w:szCs w:val="20"/>
              </w:rPr>
              <w:fldChar w:fldCharType="separate"/>
            </w:r>
            <w:r w:rsidRPr="002873B2">
              <w:rPr>
                <w:rFonts w:ascii="Arial Narrow" w:hAnsi="Arial Narrow"/>
                <w:sz w:val="20"/>
                <w:szCs w:val="20"/>
              </w:rPr>
              <w:fldChar w:fldCharType="end"/>
            </w:r>
            <w:r w:rsidRPr="002873B2">
              <w:rPr>
                <w:rFonts w:ascii="Arial Narrow" w:hAnsi="Arial Narrow"/>
                <w:sz w:val="20"/>
                <w:szCs w:val="20"/>
              </w:rPr>
              <w:t>Authority Required - Telephone</w:t>
            </w:r>
          </w:p>
          <w:p w:rsidR="00646A23" w:rsidRPr="002873B2" w:rsidRDefault="00646A23" w:rsidP="00554AEF">
            <w:pPr>
              <w:spacing w:before="40" w:after="40"/>
              <w:rPr>
                <w:rFonts w:ascii="Arial Narrow" w:hAnsi="Arial Narrow"/>
                <w:sz w:val="20"/>
                <w:szCs w:val="20"/>
              </w:rPr>
            </w:pPr>
            <w:r w:rsidRPr="002873B2">
              <w:rPr>
                <w:rFonts w:ascii="Arial Narrow" w:hAnsi="Arial Narrow"/>
                <w:sz w:val="20"/>
                <w:szCs w:val="20"/>
              </w:rPr>
              <w:fldChar w:fldCharType="begin">
                <w:ffData>
                  <w:name w:val=""/>
                  <w:enabled/>
                  <w:calcOnExit w:val="0"/>
                  <w:checkBox>
                    <w:sizeAuto/>
                    <w:default w:val="0"/>
                  </w:checkBox>
                </w:ffData>
              </w:fldChar>
            </w:r>
            <w:r w:rsidRPr="002873B2">
              <w:rPr>
                <w:rFonts w:ascii="Arial Narrow" w:hAnsi="Arial Narrow"/>
                <w:sz w:val="20"/>
                <w:szCs w:val="20"/>
              </w:rPr>
              <w:instrText xml:space="preserve"> FORMCHECKBOX </w:instrText>
            </w:r>
            <w:r w:rsidR="00B52FA3">
              <w:rPr>
                <w:rFonts w:ascii="Arial Narrow" w:hAnsi="Arial Narrow"/>
                <w:sz w:val="20"/>
                <w:szCs w:val="20"/>
              </w:rPr>
            </w:r>
            <w:r w:rsidR="00B52FA3">
              <w:rPr>
                <w:rFonts w:ascii="Arial Narrow" w:hAnsi="Arial Narrow"/>
                <w:sz w:val="20"/>
                <w:szCs w:val="20"/>
              </w:rPr>
              <w:fldChar w:fldCharType="separate"/>
            </w:r>
            <w:r w:rsidRPr="002873B2">
              <w:rPr>
                <w:rFonts w:ascii="Arial Narrow" w:hAnsi="Arial Narrow"/>
                <w:sz w:val="20"/>
                <w:szCs w:val="20"/>
              </w:rPr>
              <w:fldChar w:fldCharType="end"/>
            </w:r>
            <w:r w:rsidRPr="002873B2">
              <w:rPr>
                <w:rFonts w:ascii="Arial Narrow" w:hAnsi="Arial Narrow"/>
                <w:sz w:val="20"/>
                <w:szCs w:val="20"/>
              </w:rPr>
              <w:t>Authority Required – Emergency</w:t>
            </w:r>
          </w:p>
          <w:p w:rsidR="00646A23" w:rsidRPr="002873B2" w:rsidRDefault="00646A23" w:rsidP="00554AEF">
            <w:pPr>
              <w:spacing w:before="40" w:after="40"/>
              <w:rPr>
                <w:rFonts w:ascii="Arial Narrow" w:hAnsi="Arial Narrow"/>
                <w:sz w:val="20"/>
                <w:szCs w:val="20"/>
              </w:rPr>
            </w:pPr>
            <w:r w:rsidRPr="002873B2">
              <w:rPr>
                <w:rFonts w:ascii="Arial Narrow" w:hAnsi="Arial Narrow"/>
                <w:sz w:val="20"/>
                <w:szCs w:val="20"/>
              </w:rPr>
              <w:fldChar w:fldCharType="begin">
                <w:ffData>
                  <w:name w:val="Check5"/>
                  <w:enabled/>
                  <w:calcOnExit w:val="0"/>
                  <w:checkBox>
                    <w:sizeAuto/>
                    <w:default w:val="0"/>
                  </w:checkBox>
                </w:ffData>
              </w:fldChar>
            </w:r>
            <w:r w:rsidRPr="002873B2">
              <w:rPr>
                <w:rFonts w:ascii="Arial Narrow" w:hAnsi="Arial Narrow"/>
                <w:sz w:val="20"/>
                <w:szCs w:val="20"/>
              </w:rPr>
              <w:instrText xml:space="preserve"> FORMCHECKBOX </w:instrText>
            </w:r>
            <w:r w:rsidR="00B52FA3">
              <w:rPr>
                <w:rFonts w:ascii="Arial Narrow" w:hAnsi="Arial Narrow"/>
                <w:sz w:val="20"/>
                <w:szCs w:val="20"/>
              </w:rPr>
            </w:r>
            <w:r w:rsidR="00B52FA3">
              <w:rPr>
                <w:rFonts w:ascii="Arial Narrow" w:hAnsi="Arial Narrow"/>
                <w:sz w:val="20"/>
                <w:szCs w:val="20"/>
              </w:rPr>
              <w:fldChar w:fldCharType="separate"/>
            </w:r>
            <w:r w:rsidRPr="002873B2">
              <w:rPr>
                <w:rFonts w:ascii="Arial Narrow" w:hAnsi="Arial Narrow"/>
                <w:sz w:val="20"/>
                <w:szCs w:val="20"/>
              </w:rPr>
              <w:fldChar w:fldCharType="end"/>
            </w:r>
            <w:r w:rsidRPr="002873B2">
              <w:rPr>
                <w:rFonts w:ascii="Arial Narrow" w:hAnsi="Arial Narrow"/>
                <w:sz w:val="20"/>
                <w:szCs w:val="20"/>
              </w:rPr>
              <w:t>Authority Required - Electronic</w:t>
            </w:r>
          </w:p>
          <w:p w:rsidR="00646A23" w:rsidRPr="002873B2" w:rsidRDefault="00646A23" w:rsidP="00554AEF">
            <w:pPr>
              <w:spacing w:before="40" w:after="40"/>
              <w:rPr>
                <w:rFonts w:ascii="Arial Narrow" w:hAnsi="Arial Narrow" w:cs="Arial"/>
                <w:sz w:val="20"/>
                <w:szCs w:val="20"/>
              </w:rPr>
            </w:pPr>
            <w:r w:rsidRPr="002873B2">
              <w:rPr>
                <w:rFonts w:ascii="Arial Narrow" w:hAnsi="Arial Narrow"/>
                <w:sz w:val="20"/>
                <w:szCs w:val="20"/>
              </w:rPr>
              <w:fldChar w:fldCharType="begin">
                <w:ffData>
                  <w:name w:val=""/>
                  <w:enabled/>
                  <w:calcOnExit w:val="0"/>
                  <w:checkBox>
                    <w:sizeAuto/>
                    <w:default w:val="1"/>
                  </w:checkBox>
                </w:ffData>
              </w:fldChar>
            </w:r>
            <w:r w:rsidRPr="002873B2">
              <w:rPr>
                <w:rFonts w:ascii="Arial Narrow" w:hAnsi="Arial Narrow"/>
                <w:sz w:val="20"/>
                <w:szCs w:val="20"/>
              </w:rPr>
              <w:instrText xml:space="preserve"> FORMCHECKBOX </w:instrText>
            </w:r>
            <w:r w:rsidR="00B52FA3">
              <w:rPr>
                <w:rFonts w:ascii="Arial Narrow" w:hAnsi="Arial Narrow"/>
                <w:sz w:val="20"/>
                <w:szCs w:val="20"/>
              </w:rPr>
            </w:r>
            <w:r w:rsidR="00B52FA3">
              <w:rPr>
                <w:rFonts w:ascii="Arial Narrow" w:hAnsi="Arial Narrow"/>
                <w:sz w:val="20"/>
                <w:szCs w:val="20"/>
              </w:rPr>
              <w:fldChar w:fldCharType="separate"/>
            </w:r>
            <w:r w:rsidRPr="002873B2">
              <w:rPr>
                <w:rFonts w:ascii="Arial Narrow" w:hAnsi="Arial Narrow"/>
                <w:sz w:val="20"/>
                <w:szCs w:val="20"/>
              </w:rPr>
              <w:fldChar w:fldCharType="end"/>
            </w:r>
            <w:r w:rsidRPr="002873B2">
              <w:rPr>
                <w:rFonts w:ascii="Arial Narrow" w:hAnsi="Arial Narrow"/>
                <w:sz w:val="20"/>
                <w:szCs w:val="20"/>
              </w:rPr>
              <w:t>Streamlined</w:t>
            </w:r>
          </w:p>
        </w:tc>
      </w:tr>
      <w:tr w:rsidR="00646A23" w:rsidRPr="002873B2" w:rsidTr="00554AEF">
        <w:trPr>
          <w:cantSplit/>
          <w:trHeight w:val="360"/>
        </w:trPr>
        <w:tc>
          <w:tcPr>
            <w:tcW w:w="991" w:type="pct"/>
            <w:tcBorders>
              <w:top w:val="single" w:sz="4" w:space="0" w:color="auto"/>
              <w:left w:val="single" w:sz="4" w:space="0" w:color="auto"/>
              <w:bottom w:val="single" w:sz="4" w:space="0" w:color="auto"/>
              <w:right w:val="single" w:sz="4" w:space="0" w:color="auto"/>
            </w:tcBorders>
          </w:tcPr>
          <w:p w:rsidR="00646A23" w:rsidRPr="002873B2" w:rsidRDefault="00646A23" w:rsidP="00987F08">
            <w:pPr>
              <w:spacing w:before="40" w:after="40"/>
              <w:jc w:val="both"/>
              <w:rPr>
                <w:rFonts w:ascii="Arial Narrow" w:hAnsi="Arial Narrow" w:cs="Arial"/>
                <w:sz w:val="20"/>
                <w:szCs w:val="20"/>
              </w:rPr>
            </w:pPr>
            <w:r w:rsidRPr="002873B2">
              <w:rPr>
                <w:rFonts w:ascii="Arial Narrow" w:hAnsi="Arial Narrow" w:cs="Arial"/>
                <w:b/>
                <w:sz w:val="20"/>
                <w:szCs w:val="20"/>
              </w:rPr>
              <w:lastRenderedPageBreak/>
              <w:t>Clinical criteria:</w:t>
            </w:r>
          </w:p>
        </w:tc>
        <w:tc>
          <w:tcPr>
            <w:tcW w:w="4009" w:type="pct"/>
            <w:tcBorders>
              <w:top w:val="single" w:sz="4" w:space="0" w:color="auto"/>
              <w:left w:val="single" w:sz="4" w:space="0" w:color="auto"/>
              <w:bottom w:val="single" w:sz="4" w:space="0" w:color="auto"/>
              <w:right w:val="single" w:sz="4" w:space="0" w:color="auto"/>
            </w:tcBorders>
          </w:tcPr>
          <w:p w:rsidR="00646A23" w:rsidRPr="002873B2" w:rsidRDefault="00646A23" w:rsidP="00366E3B">
            <w:pPr>
              <w:widowControl w:val="0"/>
              <w:spacing w:before="40" w:after="40"/>
              <w:jc w:val="both"/>
              <w:rPr>
                <w:rFonts w:ascii="Arial Narrow" w:hAnsi="Arial Narrow" w:cs="Arial"/>
                <w:snapToGrid w:val="0"/>
                <w:sz w:val="20"/>
                <w:szCs w:val="20"/>
                <w:lang w:eastAsia="en-US"/>
              </w:rPr>
            </w:pPr>
            <w:r w:rsidRPr="002873B2">
              <w:rPr>
                <w:rFonts w:ascii="Arial Narrow" w:hAnsi="Arial Narrow" w:cs="Arial"/>
                <w:snapToGrid w:val="0"/>
                <w:sz w:val="20"/>
                <w:szCs w:val="20"/>
                <w:lang w:eastAsia="en-US"/>
              </w:rPr>
              <w:t>The condition must be positive for a BRAF V600 mutation,</w:t>
            </w:r>
          </w:p>
          <w:p w:rsidR="00646A23" w:rsidRPr="002873B2" w:rsidRDefault="00067E5B" w:rsidP="00366E3B">
            <w:pPr>
              <w:widowControl w:val="0"/>
              <w:spacing w:before="40" w:after="40"/>
              <w:jc w:val="both"/>
              <w:rPr>
                <w:rFonts w:ascii="Arial Narrow" w:hAnsi="Arial Narrow" w:cs="Arial"/>
                <w:snapToGrid w:val="0"/>
                <w:sz w:val="20"/>
                <w:szCs w:val="20"/>
                <w:lang w:eastAsia="en-US"/>
              </w:rPr>
            </w:pPr>
            <w:r w:rsidRPr="002873B2">
              <w:rPr>
                <w:rFonts w:ascii="Arial Narrow" w:hAnsi="Arial Narrow" w:cs="Arial"/>
                <w:snapToGrid w:val="0"/>
                <w:sz w:val="20"/>
                <w:szCs w:val="20"/>
                <w:lang w:eastAsia="en-US"/>
              </w:rPr>
              <w:t>AND</w:t>
            </w:r>
          </w:p>
          <w:p w:rsidR="00646A23" w:rsidRPr="002873B2" w:rsidRDefault="00646A23" w:rsidP="00366E3B">
            <w:pPr>
              <w:widowControl w:val="0"/>
              <w:spacing w:before="40" w:after="40"/>
              <w:jc w:val="both"/>
              <w:rPr>
                <w:rFonts w:ascii="Arial Narrow" w:hAnsi="Arial Narrow" w:cs="Arial"/>
                <w:snapToGrid w:val="0"/>
                <w:sz w:val="20"/>
                <w:szCs w:val="20"/>
                <w:lang w:eastAsia="en-US"/>
              </w:rPr>
            </w:pPr>
            <w:r w:rsidRPr="002873B2">
              <w:rPr>
                <w:rFonts w:ascii="Arial Narrow" w:hAnsi="Arial Narrow" w:cs="Arial"/>
                <w:snapToGrid w:val="0"/>
                <w:sz w:val="20"/>
                <w:szCs w:val="20"/>
                <w:lang w:eastAsia="en-US"/>
              </w:rPr>
              <w:t>The condition must have progressed following treatment with a BRAF inhibitor (with or without a MEK inhibitor) unless contraindicated or not tolerated according to the TG</w:t>
            </w:r>
            <w:r w:rsidR="00067E5B" w:rsidRPr="002873B2">
              <w:rPr>
                <w:rFonts w:ascii="Arial Narrow" w:hAnsi="Arial Narrow" w:cs="Arial"/>
                <w:snapToGrid w:val="0"/>
                <w:sz w:val="20"/>
                <w:szCs w:val="20"/>
                <w:lang w:eastAsia="en-US"/>
              </w:rPr>
              <w:t>A approved Product Information,</w:t>
            </w:r>
          </w:p>
          <w:p w:rsidR="00646A23" w:rsidRPr="002873B2" w:rsidRDefault="00646A23" w:rsidP="00366E3B">
            <w:pPr>
              <w:widowControl w:val="0"/>
              <w:spacing w:before="40" w:after="40"/>
              <w:jc w:val="both"/>
              <w:rPr>
                <w:rFonts w:ascii="Arial Narrow" w:hAnsi="Arial Narrow" w:cs="Arial"/>
                <w:snapToGrid w:val="0"/>
                <w:sz w:val="20"/>
                <w:szCs w:val="20"/>
                <w:lang w:eastAsia="en-US"/>
              </w:rPr>
            </w:pPr>
            <w:r w:rsidRPr="002873B2">
              <w:rPr>
                <w:rFonts w:ascii="Arial Narrow" w:hAnsi="Arial Narrow" w:cs="Arial"/>
                <w:snapToGrid w:val="0"/>
                <w:sz w:val="20"/>
                <w:szCs w:val="20"/>
                <w:lang w:eastAsia="en-US"/>
              </w:rPr>
              <w:t>AND</w:t>
            </w:r>
          </w:p>
          <w:p w:rsidR="00646A23" w:rsidRPr="002873B2" w:rsidRDefault="00646A23" w:rsidP="00366E3B">
            <w:pPr>
              <w:widowControl w:val="0"/>
              <w:spacing w:before="40" w:after="40"/>
              <w:jc w:val="both"/>
              <w:rPr>
                <w:rFonts w:ascii="Arial Narrow" w:hAnsi="Arial Narrow" w:cs="Arial"/>
                <w:snapToGrid w:val="0"/>
                <w:sz w:val="20"/>
                <w:szCs w:val="20"/>
                <w:lang w:eastAsia="en-US"/>
              </w:rPr>
            </w:pPr>
            <w:r w:rsidRPr="002873B2">
              <w:rPr>
                <w:rFonts w:ascii="Arial Narrow" w:hAnsi="Arial Narrow" w:cs="Arial"/>
                <w:snapToGrid w:val="0"/>
                <w:sz w:val="20"/>
                <w:szCs w:val="20"/>
                <w:lang w:eastAsia="en-US"/>
              </w:rPr>
              <w:t xml:space="preserve">Patient must not have received prior treatment with </w:t>
            </w:r>
            <w:proofErr w:type="spellStart"/>
            <w:r w:rsidRPr="002873B2">
              <w:rPr>
                <w:rFonts w:ascii="Arial Narrow" w:hAnsi="Arial Narrow" w:cs="Arial"/>
                <w:snapToGrid w:val="0"/>
                <w:sz w:val="20"/>
                <w:szCs w:val="20"/>
                <w:lang w:eastAsia="en-US"/>
              </w:rPr>
              <w:t>ipilimumab</w:t>
            </w:r>
            <w:proofErr w:type="spellEnd"/>
            <w:r w:rsidRPr="002873B2">
              <w:rPr>
                <w:rFonts w:ascii="Arial Narrow" w:hAnsi="Arial Narrow" w:cs="Arial"/>
                <w:snapToGrid w:val="0"/>
                <w:sz w:val="20"/>
                <w:szCs w:val="20"/>
                <w:lang w:eastAsia="en-US"/>
              </w:rPr>
              <w:t xml:space="preserve"> or a PD-1 (programmed cell death-1</w:t>
            </w:r>
            <w:r w:rsidR="00067E5B" w:rsidRPr="002873B2">
              <w:rPr>
                <w:rFonts w:ascii="Arial Narrow" w:hAnsi="Arial Narrow" w:cs="Arial"/>
                <w:snapToGrid w:val="0"/>
                <w:sz w:val="20"/>
                <w:szCs w:val="20"/>
                <w:lang w:eastAsia="en-US"/>
              </w:rPr>
              <w:t>) inhibitor for this condition,</w:t>
            </w:r>
          </w:p>
          <w:p w:rsidR="00646A23" w:rsidRPr="002873B2" w:rsidRDefault="00646A23" w:rsidP="00366E3B">
            <w:pPr>
              <w:widowControl w:val="0"/>
              <w:spacing w:before="40" w:after="40"/>
              <w:jc w:val="both"/>
              <w:rPr>
                <w:rFonts w:ascii="Arial Narrow" w:hAnsi="Arial Narrow" w:cs="Arial"/>
                <w:snapToGrid w:val="0"/>
                <w:sz w:val="20"/>
                <w:szCs w:val="20"/>
                <w:lang w:eastAsia="en-US"/>
              </w:rPr>
            </w:pPr>
            <w:r w:rsidRPr="002873B2">
              <w:rPr>
                <w:rFonts w:ascii="Arial Narrow" w:hAnsi="Arial Narrow" w:cs="Arial"/>
                <w:snapToGrid w:val="0"/>
                <w:sz w:val="20"/>
                <w:szCs w:val="20"/>
                <w:lang w:eastAsia="en-US"/>
              </w:rPr>
              <w:t>AND</w:t>
            </w:r>
          </w:p>
          <w:p w:rsidR="00646A23" w:rsidRPr="002873B2" w:rsidRDefault="00646A23" w:rsidP="00366E3B">
            <w:pPr>
              <w:widowControl w:val="0"/>
              <w:spacing w:before="40" w:after="40"/>
              <w:jc w:val="both"/>
              <w:rPr>
                <w:rFonts w:ascii="Arial Narrow" w:hAnsi="Arial Narrow" w:cs="Arial"/>
                <w:snapToGrid w:val="0"/>
                <w:sz w:val="20"/>
                <w:szCs w:val="20"/>
                <w:lang w:eastAsia="en-US"/>
              </w:rPr>
            </w:pPr>
            <w:r w:rsidRPr="002873B2">
              <w:rPr>
                <w:rFonts w:ascii="Arial Narrow" w:hAnsi="Arial Narrow" w:cs="Arial"/>
                <w:snapToGrid w:val="0"/>
                <w:sz w:val="20"/>
                <w:szCs w:val="20"/>
                <w:lang w:eastAsia="en-US"/>
              </w:rPr>
              <w:t>The treatment must be the sole PBS-subsidised therapy for this condition,</w:t>
            </w:r>
          </w:p>
          <w:p w:rsidR="00646A23" w:rsidRPr="002873B2" w:rsidRDefault="00067E5B" w:rsidP="00366E3B">
            <w:pPr>
              <w:widowControl w:val="0"/>
              <w:spacing w:before="40" w:after="40"/>
              <w:jc w:val="both"/>
              <w:rPr>
                <w:rFonts w:ascii="Arial Narrow" w:hAnsi="Arial Narrow" w:cs="Arial"/>
                <w:snapToGrid w:val="0"/>
                <w:sz w:val="20"/>
                <w:szCs w:val="20"/>
                <w:lang w:eastAsia="en-US"/>
              </w:rPr>
            </w:pPr>
            <w:r w:rsidRPr="002873B2">
              <w:rPr>
                <w:rFonts w:ascii="Arial Narrow" w:hAnsi="Arial Narrow" w:cs="Arial"/>
                <w:snapToGrid w:val="0"/>
                <w:sz w:val="20"/>
                <w:szCs w:val="20"/>
                <w:lang w:eastAsia="en-US"/>
              </w:rPr>
              <w:t>AND</w:t>
            </w:r>
          </w:p>
          <w:p w:rsidR="00646A23" w:rsidRPr="002873B2" w:rsidRDefault="00646A23" w:rsidP="00366E3B">
            <w:pPr>
              <w:widowControl w:val="0"/>
              <w:spacing w:before="40" w:after="40"/>
              <w:jc w:val="both"/>
              <w:rPr>
                <w:rFonts w:ascii="Arial Narrow" w:hAnsi="Arial Narrow" w:cs="Arial"/>
                <w:sz w:val="20"/>
                <w:szCs w:val="20"/>
              </w:rPr>
            </w:pPr>
            <w:r w:rsidRPr="002873B2">
              <w:rPr>
                <w:rFonts w:ascii="Arial Narrow" w:hAnsi="Arial Narrow" w:cs="Arial"/>
                <w:snapToGrid w:val="0"/>
                <w:sz w:val="20"/>
                <w:szCs w:val="20"/>
                <w:lang w:eastAsia="en-US"/>
              </w:rPr>
              <w:t>The treatment must not exceed a total of 6 doses at a dose of 200 mg every 3 weeks.</w:t>
            </w:r>
          </w:p>
        </w:tc>
      </w:tr>
      <w:tr w:rsidR="00646A23" w:rsidRPr="002873B2" w:rsidTr="00554AEF">
        <w:trPr>
          <w:cantSplit/>
          <w:trHeight w:val="360"/>
        </w:trPr>
        <w:tc>
          <w:tcPr>
            <w:tcW w:w="991" w:type="pct"/>
            <w:tcBorders>
              <w:top w:val="single" w:sz="4" w:space="0" w:color="auto"/>
              <w:left w:val="single" w:sz="4" w:space="0" w:color="auto"/>
              <w:bottom w:val="single" w:sz="4" w:space="0" w:color="auto"/>
              <w:right w:val="single" w:sz="4" w:space="0" w:color="auto"/>
            </w:tcBorders>
          </w:tcPr>
          <w:p w:rsidR="00646A23" w:rsidRPr="002873B2" w:rsidRDefault="00646A23" w:rsidP="00987F08">
            <w:pPr>
              <w:spacing w:before="40" w:after="40"/>
              <w:jc w:val="both"/>
              <w:rPr>
                <w:rFonts w:ascii="Arial Narrow" w:hAnsi="Arial Narrow" w:cs="Arial"/>
                <w:i/>
                <w:sz w:val="20"/>
                <w:szCs w:val="20"/>
              </w:rPr>
            </w:pPr>
            <w:r w:rsidRPr="002873B2">
              <w:rPr>
                <w:rFonts w:ascii="Arial Narrow" w:hAnsi="Arial Narrow" w:cs="Arial"/>
                <w:b/>
                <w:sz w:val="20"/>
                <w:szCs w:val="20"/>
              </w:rPr>
              <w:t>Administrative Advice</w:t>
            </w:r>
          </w:p>
        </w:tc>
        <w:tc>
          <w:tcPr>
            <w:tcW w:w="4009" w:type="pct"/>
            <w:tcBorders>
              <w:top w:val="single" w:sz="4" w:space="0" w:color="auto"/>
              <w:left w:val="single" w:sz="4" w:space="0" w:color="auto"/>
              <w:bottom w:val="single" w:sz="4" w:space="0" w:color="auto"/>
              <w:right w:val="single" w:sz="4" w:space="0" w:color="auto"/>
            </w:tcBorders>
          </w:tcPr>
          <w:p w:rsidR="00646A23" w:rsidRPr="002873B2" w:rsidRDefault="00646A23" w:rsidP="00366E3B">
            <w:pPr>
              <w:widowControl w:val="0"/>
              <w:spacing w:before="40" w:after="40"/>
              <w:jc w:val="both"/>
              <w:rPr>
                <w:rFonts w:ascii="Arial Narrow" w:hAnsi="Arial Narrow" w:cs="Arial"/>
                <w:snapToGrid w:val="0"/>
                <w:sz w:val="20"/>
                <w:szCs w:val="20"/>
                <w:lang w:eastAsia="en-US"/>
              </w:rPr>
            </w:pPr>
            <w:r w:rsidRPr="002873B2">
              <w:rPr>
                <w:rFonts w:ascii="Arial Narrow" w:hAnsi="Arial Narrow" w:cs="Arial"/>
                <w:snapToGrid w:val="0"/>
                <w:sz w:val="20"/>
                <w:szCs w:val="20"/>
                <w:lang w:eastAsia="en-US"/>
              </w:rPr>
              <w:t>No increase in the maximum number of repeats will be authorised.</w:t>
            </w:r>
          </w:p>
          <w:p w:rsidR="00646A23" w:rsidRPr="002873B2" w:rsidRDefault="00646A23" w:rsidP="00366E3B">
            <w:pPr>
              <w:widowControl w:val="0"/>
              <w:spacing w:before="40" w:after="40"/>
              <w:jc w:val="both"/>
              <w:rPr>
                <w:rFonts w:ascii="Arial Narrow" w:hAnsi="Arial Narrow" w:cs="Arial"/>
                <w:sz w:val="20"/>
                <w:szCs w:val="20"/>
              </w:rPr>
            </w:pPr>
            <w:r w:rsidRPr="002873B2">
              <w:rPr>
                <w:rFonts w:ascii="Arial Narrow" w:hAnsi="Arial Narrow" w:cs="Arial"/>
                <w:snapToGrid w:val="0"/>
                <w:sz w:val="20"/>
                <w:szCs w:val="20"/>
                <w:lang w:eastAsia="en-US"/>
              </w:rPr>
              <w:t>In the first few months after start of immunotherapy, some patients can have a transient tumour flare with subsequent disease response. When progression is suspected, this should be confirmed through a confirmatory scan, taken at least 4 weeks later</w:t>
            </w:r>
            <w:r w:rsidR="00080A67" w:rsidRPr="002873B2">
              <w:rPr>
                <w:rFonts w:ascii="Arial Narrow" w:hAnsi="Arial Narrow" w:cs="Arial"/>
                <w:snapToGrid w:val="0"/>
                <w:sz w:val="20"/>
                <w:szCs w:val="20"/>
                <w:lang w:eastAsia="en-US"/>
              </w:rPr>
              <w:t>.</w:t>
            </w:r>
          </w:p>
        </w:tc>
      </w:tr>
    </w:tbl>
    <w:p w:rsidR="00646A23" w:rsidRPr="002873B2" w:rsidRDefault="00080A67" w:rsidP="00366E3B">
      <w:pPr>
        <w:spacing w:before="120"/>
        <w:rPr>
          <w:rFonts w:ascii="Arial Narrow" w:hAnsi="Arial Narrow"/>
          <w:sz w:val="20"/>
          <w:szCs w:val="20"/>
        </w:rPr>
      </w:pPr>
      <w:r w:rsidRPr="00E17531">
        <w:rPr>
          <w:rFonts w:ascii="Arial Narrow" w:hAnsi="Arial Narrow"/>
          <w:b/>
          <w:sz w:val="20"/>
          <w:szCs w:val="20"/>
          <w:u w:val="single"/>
        </w:rPr>
        <w:t>Treatment phase: Initial treatment</w:t>
      </w:r>
      <w:r>
        <w:rPr>
          <w:rFonts w:ascii="Arial Narrow" w:hAnsi="Arial Narrow"/>
          <w:b/>
          <w:sz w:val="20"/>
          <w:szCs w:val="20"/>
          <w:u w:val="single"/>
        </w:rPr>
        <w:t xml:space="preserve"> 2</w:t>
      </w:r>
    </w:p>
    <w:tbl>
      <w:tblPr>
        <w:tblW w:w="4915" w:type="pct"/>
        <w:tblLook w:val="0000" w:firstRow="0" w:lastRow="0" w:firstColumn="0" w:lastColumn="0" w:noHBand="0" w:noVBand="0"/>
      </w:tblPr>
      <w:tblGrid>
        <w:gridCol w:w="1801"/>
        <w:gridCol w:w="7284"/>
      </w:tblGrid>
      <w:tr w:rsidR="00080A67" w:rsidRPr="002873B2" w:rsidTr="00554AEF">
        <w:trPr>
          <w:cantSplit/>
          <w:trHeight w:val="360"/>
        </w:trPr>
        <w:tc>
          <w:tcPr>
            <w:tcW w:w="991" w:type="pct"/>
            <w:tcBorders>
              <w:top w:val="single" w:sz="4" w:space="0" w:color="auto"/>
              <w:left w:val="single" w:sz="4" w:space="0" w:color="auto"/>
              <w:bottom w:val="single" w:sz="4" w:space="0" w:color="auto"/>
              <w:right w:val="single" w:sz="4" w:space="0" w:color="auto"/>
            </w:tcBorders>
          </w:tcPr>
          <w:p w:rsidR="00080A67" w:rsidRPr="00646A23" w:rsidRDefault="00080A67" w:rsidP="00554AEF">
            <w:pPr>
              <w:spacing w:before="40" w:after="40"/>
              <w:jc w:val="both"/>
              <w:rPr>
                <w:rFonts w:ascii="Arial Narrow" w:hAnsi="Arial Narrow" w:cs="Arial"/>
                <w:b/>
                <w:sz w:val="20"/>
                <w:szCs w:val="20"/>
              </w:rPr>
            </w:pPr>
            <w:r w:rsidRPr="00646A23">
              <w:rPr>
                <w:rFonts w:ascii="Arial Narrow" w:hAnsi="Arial Narrow" w:cs="Arial"/>
                <w:b/>
                <w:sz w:val="20"/>
                <w:szCs w:val="20"/>
              </w:rPr>
              <w:t>Category / Program</w:t>
            </w:r>
          </w:p>
        </w:tc>
        <w:tc>
          <w:tcPr>
            <w:tcW w:w="4009" w:type="pct"/>
            <w:tcBorders>
              <w:top w:val="single" w:sz="4" w:space="0" w:color="auto"/>
              <w:left w:val="single" w:sz="4" w:space="0" w:color="auto"/>
              <w:bottom w:val="single" w:sz="4" w:space="0" w:color="auto"/>
              <w:right w:val="single" w:sz="4" w:space="0" w:color="auto"/>
            </w:tcBorders>
          </w:tcPr>
          <w:p w:rsidR="00080A67" w:rsidRPr="00260CE3" w:rsidRDefault="00080A67" w:rsidP="00554AEF">
            <w:pPr>
              <w:spacing w:before="40" w:after="40"/>
              <w:rPr>
                <w:rFonts w:ascii="Arial Narrow" w:hAnsi="Arial Narrow" w:cs="Arial"/>
                <w:sz w:val="20"/>
                <w:szCs w:val="20"/>
              </w:rPr>
            </w:pPr>
            <w:r w:rsidRPr="00260CE3">
              <w:rPr>
                <w:rFonts w:ascii="Arial Narrow" w:hAnsi="Arial Narrow" w:cs="Arial"/>
                <w:sz w:val="20"/>
                <w:szCs w:val="20"/>
              </w:rPr>
              <w:t>Section 100 –</w:t>
            </w:r>
            <w:r>
              <w:rPr>
                <w:rFonts w:ascii="Arial Narrow" w:hAnsi="Arial Narrow" w:cs="Arial"/>
                <w:sz w:val="20"/>
                <w:szCs w:val="20"/>
              </w:rPr>
              <w:t xml:space="preserve"> Efficient funding of </w:t>
            </w:r>
            <w:r w:rsidRPr="00260CE3">
              <w:rPr>
                <w:rFonts w:ascii="Arial Narrow" w:hAnsi="Arial Narrow" w:cs="Arial"/>
                <w:sz w:val="20"/>
                <w:szCs w:val="20"/>
              </w:rPr>
              <w:t>Chemotherapy</w:t>
            </w:r>
          </w:p>
        </w:tc>
      </w:tr>
      <w:tr w:rsidR="00080A67" w:rsidRPr="002873B2" w:rsidTr="00554AEF">
        <w:trPr>
          <w:cantSplit/>
          <w:trHeight w:val="360"/>
        </w:trPr>
        <w:tc>
          <w:tcPr>
            <w:tcW w:w="991" w:type="pct"/>
            <w:tcBorders>
              <w:top w:val="single" w:sz="4" w:space="0" w:color="auto"/>
              <w:left w:val="single" w:sz="4" w:space="0" w:color="auto"/>
              <w:bottom w:val="single" w:sz="4" w:space="0" w:color="auto"/>
              <w:right w:val="single" w:sz="4" w:space="0" w:color="auto"/>
            </w:tcBorders>
          </w:tcPr>
          <w:p w:rsidR="00080A67" w:rsidRPr="00260CE3" w:rsidRDefault="00080A67" w:rsidP="00554AEF">
            <w:pPr>
              <w:spacing w:before="40" w:after="40"/>
              <w:jc w:val="both"/>
              <w:rPr>
                <w:rFonts w:ascii="Arial Narrow" w:hAnsi="Arial Narrow" w:cs="Arial"/>
                <w:b/>
                <w:sz w:val="20"/>
                <w:szCs w:val="20"/>
              </w:rPr>
            </w:pPr>
            <w:r w:rsidRPr="00260CE3">
              <w:rPr>
                <w:rFonts w:ascii="Arial Narrow" w:hAnsi="Arial Narrow" w:cs="Arial"/>
                <w:b/>
                <w:sz w:val="20"/>
                <w:szCs w:val="20"/>
              </w:rPr>
              <w:t>Prescriber type:</w:t>
            </w:r>
          </w:p>
        </w:tc>
        <w:tc>
          <w:tcPr>
            <w:tcW w:w="4009" w:type="pct"/>
            <w:tcBorders>
              <w:top w:val="single" w:sz="4" w:space="0" w:color="auto"/>
              <w:left w:val="single" w:sz="4" w:space="0" w:color="auto"/>
              <w:bottom w:val="single" w:sz="4" w:space="0" w:color="auto"/>
              <w:right w:val="single" w:sz="4" w:space="0" w:color="auto"/>
            </w:tcBorders>
          </w:tcPr>
          <w:p w:rsidR="00080A67" w:rsidRPr="00260CE3" w:rsidRDefault="00080A67" w:rsidP="00554AEF">
            <w:pPr>
              <w:spacing w:before="40" w:after="40"/>
              <w:rPr>
                <w:rFonts w:ascii="Arial Narrow" w:hAnsi="Arial Narrow" w:cs="Arial"/>
                <w:sz w:val="20"/>
                <w:szCs w:val="20"/>
              </w:rPr>
            </w:pPr>
            <w:r w:rsidRPr="00260CE3">
              <w:rPr>
                <w:rFonts w:ascii="Arial Narrow" w:hAnsi="Arial Narrow" w:cs="Arial"/>
                <w:sz w:val="20"/>
                <w:szCs w:val="20"/>
              </w:rPr>
              <w:fldChar w:fldCharType="begin">
                <w:ffData>
                  <w:name w:val="Check1"/>
                  <w:enabled/>
                  <w:calcOnExit w:val="0"/>
                  <w:checkBox>
                    <w:sizeAuto/>
                    <w:default w:val="0"/>
                  </w:checkBox>
                </w:ffData>
              </w:fldChar>
            </w:r>
            <w:r w:rsidRPr="00260CE3">
              <w:rPr>
                <w:rFonts w:ascii="Arial Narrow" w:hAnsi="Arial Narrow" w:cs="Arial"/>
                <w:sz w:val="20"/>
                <w:szCs w:val="20"/>
              </w:rPr>
              <w:instrText xml:space="preserve"> FORMCHECKBOX </w:instrText>
            </w:r>
            <w:r w:rsidR="00B52FA3">
              <w:rPr>
                <w:rFonts w:ascii="Arial Narrow" w:hAnsi="Arial Narrow" w:cs="Arial"/>
                <w:sz w:val="20"/>
                <w:szCs w:val="20"/>
              </w:rPr>
            </w:r>
            <w:r w:rsidR="00B52FA3">
              <w:rPr>
                <w:rFonts w:ascii="Arial Narrow" w:hAnsi="Arial Narrow" w:cs="Arial"/>
                <w:sz w:val="20"/>
                <w:szCs w:val="20"/>
              </w:rPr>
              <w:fldChar w:fldCharType="separate"/>
            </w:r>
            <w:r w:rsidRPr="00260CE3">
              <w:rPr>
                <w:rFonts w:ascii="Arial Narrow" w:hAnsi="Arial Narrow" w:cs="Arial"/>
                <w:sz w:val="20"/>
                <w:szCs w:val="20"/>
              </w:rPr>
              <w:fldChar w:fldCharType="end"/>
            </w:r>
            <w:r w:rsidRPr="00260CE3">
              <w:rPr>
                <w:rFonts w:ascii="Arial Narrow" w:hAnsi="Arial Narrow" w:cs="Arial"/>
                <w:sz w:val="20"/>
                <w:szCs w:val="20"/>
              </w:rPr>
              <w:t xml:space="preserve">Dental  </w:t>
            </w:r>
            <w:r>
              <w:rPr>
                <w:rFonts w:ascii="Arial Narrow" w:hAnsi="Arial Narrow" w:cs="Arial"/>
                <w:sz w:val="20"/>
                <w:szCs w:val="20"/>
              </w:rPr>
              <w:fldChar w:fldCharType="begin">
                <w:ffData>
                  <w:name w:val=""/>
                  <w:enabled/>
                  <w:calcOnExit w:val="0"/>
                  <w:checkBox>
                    <w:sizeAuto/>
                    <w:default w:val="1"/>
                  </w:checkBox>
                </w:ffData>
              </w:fldChar>
            </w:r>
            <w:r>
              <w:rPr>
                <w:rFonts w:ascii="Arial Narrow" w:hAnsi="Arial Narrow" w:cs="Arial"/>
                <w:sz w:val="20"/>
                <w:szCs w:val="20"/>
              </w:rPr>
              <w:instrText xml:space="preserve"> FORMCHECKBOX </w:instrText>
            </w:r>
            <w:r w:rsidR="00B52FA3">
              <w:rPr>
                <w:rFonts w:ascii="Arial Narrow" w:hAnsi="Arial Narrow" w:cs="Arial"/>
                <w:sz w:val="20"/>
                <w:szCs w:val="20"/>
              </w:rPr>
            </w:r>
            <w:r w:rsidR="00B52FA3">
              <w:rPr>
                <w:rFonts w:ascii="Arial Narrow" w:hAnsi="Arial Narrow" w:cs="Arial"/>
                <w:sz w:val="20"/>
                <w:szCs w:val="20"/>
              </w:rPr>
              <w:fldChar w:fldCharType="separate"/>
            </w:r>
            <w:r>
              <w:rPr>
                <w:rFonts w:ascii="Arial Narrow" w:hAnsi="Arial Narrow" w:cs="Arial"/>
                <w:sz w:val="20"/>
                <w:szCs w:val="20"/>
              </w:rPr>
              <w:fldChar w:fldCharType="end"/>
            </w:r>
            <w:r w:rsidRPr="00260CE3">
              <w:rPr>
                <w:rFonts w:ascii="Arial Narrow" w:hAnsi="Arial Narrow" w:cs="Arial"/>
                <w:sz w:val="20"/>
                <w:szCs w:val="20"/>
              </w:rPr>
              <w:t xml:space="preserve">Medical Practitioners  </w:t>
            </w:r>
            <w:r w:rsidRPr="00260CE3">
              <w:rPr>
                <w:rFonts w:ascii="Arial Narrow" w:hAnsi="Arial Narrow" w:cs="Arial"/>
                <w:sz w:val="20"/>
                <w:szCs w:val="20"/>
              </w:rPr>
              <w:fldChar w:fldCharType="begin">
                <w:ffData>
                  <w:name w:val="Check3"/>
                  <w:enabled/>
                  <w:calcOnExit w:val="0"/>
                  <w:checkBox>
                    <w:sizeAuto/>
                    <w:default w:val="0"/>
                  </w:checkBox>
                </w:ffData>
              </w:fldChar>
            </w:r>
            <w:r w:rsidRPr="00260CE3">
              <w:rPr>
                <w:rFonts w:ascii="Arial Narrow" w:hAnsi="Arial Narrow" w:cs="Arial"/>
                <w:sz w:val="20"/>
                <w:szCs w:val="20"/>
              </w:rPr>
              <w:instrText xml:space="preserve"> FORMCHECKBOX </w:instrText>
            </w:r>
            <w:r w:rsidR="00B52FA3">
              <w:rPr>
                <w:rFonts w:ascii="Arial Narrow" w:hAnsi="Arial Narrow" w:cs="Arial"/>
                <w:sz w:val="20"/>
                <w:szCs w:val="20"/>
              </w:rPr>
            </w:r>
            <w:r w:rsidR="00B52FA3">
              <w:rPr>
                <w:rFonts w:ascii="Arial Narrow" w:hAnsi="Arial Narrow" w:cs="Arial"/>
                <w:sz w:val="20"/>
                <w:szCs w:val="20"/>
              </w:rPr>
              <w:fldChar w:fldCharType="separate"/>
            </w:r>
            <w:r w:rsidRPr="00260CE3">
              <w:rPr>
                <w:rFonts w:ascii="Arial Narrow" w:hAnsi="Arial Narrow" w:cs="Arial"/>
                <w:sz w:val="20"/>
                <w:szCs w:val="20"/>
              </w:rPr>
              <w:fldChar w:fldCharType="end"/>
            </w:r>
            <w:r w:rsidRPr="00260CE3">
              <w:rPr>
                <w:rFonts w:ascii="Arial Narrow" w:hAnsi="Arial Narrow" w:cs="Arial"/>
                <w:sz w:val="20"/>
                <w:szCs w:val="20"/>
              </w:rPr>
              <w:t xml:space="preserve">Nurse practitioners  </w:t>
            </w:r>
            <w:r w:rsidRPr="00260CE3">
              <w:rPr>
                <w:rFonts w:ascii="Arial Narrow" w:hAnsi="Arial Narrow" w:cs="Arial"/>
                <w:sz w:val="20"/>
                <w:szCs w:val="20"/>
              </w:rPr>
              <w:fldChar w:fldCharType="begin">
                <w:ffData>
                  <w:name w:val=""/>
                  <w:enabled/>
                  <w:calcOnExit w:val="0"/>
                  <w:checkBox>
                    <w:sizeAuto/>
                    <w:default w:val="0"/>
                  </w:checkBox>
                </w:ffData>
              </w:fldChar>
            </w:r>
            <w:r w:rsidRPr="00260CE3">
              <w:rPr>
                <w:rFonts w:ascii="Arial Narrow" w:hAnsi="Arial Narrow" w:cs="Arial"/>
                <w:sz w:val="20"/>
                <w:szCs w:val="20"/>
              </w:rPr>
              <w:instrText xml:space="preserve"> FORMCHECKBOX </w:instrText>
            </w:r>
            <w:r w:rsidR="00B52FA3">
              <w:rPr>
                <w:rFonts w:ascii="Arial Narrow" w:hAnsi="Arial Narrow" w:cs="Arial"/>
                <w:sz w:val="20"/>
                <w:szCs w:val="20"/>
              </w:rPr>
            </w:r>
            <w:r w:rsidR="00B52FA3">
              <w:rPr>
                <w:rFonts w:ascii="Arial Narrow" w:hAnsi="Arial Narrow" w:cs="Arial"/>
                <w:sz w:val="20"/>
                <w:szCs w:val="20"/>
              </w:rPr>
              <w:fldChar w:fldCharType="separate"/>
            </w:r>
            <w:r w:rsidRPr="00260CE3">
              <w:rPr>
                <w:rFonts w:ascii="Arial Narrow" w:hAnsi="Arial Narrow" w:cs="Arial"/>
                <w:sz w:val="20"/>
                <w:szCs w:val="20"/>
              </w:rPr>
              <w:fldChar w:fldCharType="end"/>
            </w:r>
            <w:r w:rsidRPr="00260CE3">
              <w:rPr>
                <w:rFonts w:ascii="Arial Narrow" w:hAnsi="Arial Narrow" w:cs="Arial"/>
                <w:sz w:val="20"/>
                <w:szCs w:val="20"/>
              </w:rPr>
              <w:t>Optometrists</w:t>
            </w:r>
            <w:r>
              <w:rPr>
                <w:rFonts w:ascii="Arial Narrow" w:hAnsi="Arial Narrow" w:cs="Arial"/>
                <w:sz w:val="20"/>
                <w:szCs w:val="20"/>
              </w:rPr>
              <w:t xml:space="preserve"> </w:t>
            </w:r>
            <w:r w:rsidRPr="00260CE3">
              <w:rPr>
                <w:rFonts w:ascii="Arial Narrow" w:hAnsi="Arial Narrow" w:cs="Arial"/>
                <w:sz w:val="20"/>
                <w:szCs w:val="20"/>
              </w:rPr>
              <w:fldChar w:fldCharType="begin">
                <w:ffData>
                  <w:name w:val="Check5"/>
                  <w:enabled/>
                  <w:calcOnExit w:val="0"/>
                  <w:checkBox>
                    <w:sizeAuto/>
                    <w:default w:val="0"/>
                  </w:checkBox>
                </w:ffData>
              </w:fldChar>
            </w:r>
            <w:r w:rsidRPr="00260CE3">
              <w:rPr>
                <w:rFonts w:ascii="Arial Narrow" w:hAnsi="Arial Narrow" w:cs="Arial"/>
                <w:sz w:val="20"/>
                <w:szCs w:val="20"/>
              </w:rPr>
              <w:instrText xml:space="preserve"> FORMCHECKBOX </w:instrText>
            </w:r>
            <w:r w:rsidR="00B52FA3">
              <w:rPr>
                <w:rFonts w:ascii="Arial Narrow" w:hAnsi="Arial Narrow" w:cs="Arial"/>
                <w:sz w:val="20"/>
                <w:szCs w:val="20"/>
              </w:rPr>
            </w:r>
            <w:r w:rsidR="00B52FA3">
              <w:rPr>
                <w:rFonts w:ascii="Arial Narrow" w:hAnsi="Arial Narrow" w:cs="Arial"/>
                <w:sz w:val="20"/>
                <w:szCs w:val="20"/>
              </w:rPr>
              <w:fldChar w:fldCharType="separate"/>
            </w:r>
            <w:r w:rsidRPr="00260CE3">
              <w:rPr>
                <w:rFonts w:ascii="Arial Narrow" w:hAnsi="Arial Narrow" w:cs="Arial"/>
                <w:sz w:val="20"/>
                <w:szCs w:val="20"/>
              </w:rPr>
              <w:fldChar w:fldCharType="end"/>
            </w:r>
            <w:r w:rsidRPr="00260CE3">
              <w:rPr>
                <w:rFonts w:ascii="Arial Narrow" w:hAnsi="Arial Narrow" w:cs="Arial"/>
                <w:sz w:val="20"/>
                <w:szCs w:val="20"/>
              </w:rPr>
              <w:t>Midwives</w:t>
            </w:r>
          </w:p>
        </w:tc>
      </w:tr>
      <w:tr w:rsidR="00080A67" w:rsidRPr="002873B2" w:rsidTr="00554AEF">
        <w:trPr>
          <w:cantSplit/>
          <w:trHeight w:val="360"/>
        </w:trPr>
        <w:tc>
          <w:tcPr>
            <w:tcW w:w="991" w:type="pct"/>
            <w:tcBorders>
              <w:top w:val="single" w:sz="4" w:space="0" w:color="auto"/>
              <w:left w:val="single" w:sz="4" w:space="0" w:color="auto"/>
              <w:bottom w:val="single" w:sz="4" w:space="0" w:color="auto"/>
              <w:right w:val="single" w:sz="4" w:space="0" w:color="auto"/>
            </w:tcBorders>
          </w:tcPr>
          <w:p w:rsidR="00080A67" w:rsidRPr="00260CE3" w:rsidRDefault="00080A67" w:rsidP="00554AEF">
            <w:pPr>
              <w:spacing w:before="40" w:after="40"/>
              <w:jc w:val="both"/>
              <w:rPr>
                <w:rFonts w:ascii="Arial Narrow" w:hAnsi="Arial Narrow" w:cs="Arial"/>
                <w:b/>
                <w:sz w:val="20"/>
                <w:szCs w:val="20"/>
              </w:rPr>
            </w:pPr>
            <w:r w:rsidRPr="00260CE3">
              <w:rPr>
                <w:rFonts w:ascii="Arial Narrow" w:hAnsi="Arial Narrow" w:cs="Arial"/>
                <w:b/>
                <w:sz w:val="20"/>
                <w:szCs w:val="20"/>
              </w:rPr>
              <w:t>Severity:</w:t>
            </w:r>
          </w:p>
        </w:tc>
        <w:tc>
          <w:tcPr>
            <w:tcW w:w="4009" w:type="pct"/>
            <w:tcBorders>
              <w:top w:val="single" w:sz="4" w:space="0" w:color="auto"/>
              <w:left w:val="single" w:sz="4" w:space="0" w:color="auto"/>
              <w:bottom w:val="single" w:sz="4" w:space="0" w:color="auto"/>
              <w:right w:val="single" w:sz="4" w:space="0" w:color="auto"/>
            </w:tcBorders>
          </w:tcPr>
          <w:p w:rsidR="00080A67" w:rsidRPr="00260CE3" w:rsidRDefault="00080A67" w:rsidP="00554AEF">
            <w:pPr>
              <w:spacing w:before="40" w:after="40"/>
              <w:rPr>
                <w:rFonts w:ascii="Arial Narrow" w:hAnsi="Arial Narrow" w:cs="Arial"/>
                <w:sz w:val="20"/>
                <w:szCs w:val="20"/>
              </w:rPr>
            </w:pPr>
            <w:proofErr w:type="spellStart"/>
            <w:r w:rsidRPr="00975603">
              <w:rPr>
                <w:rFonts w:ascii="Arial Narrow" w:hAnsi="Arial Narrow"/>
                <w:sz w:val="20"/>
              </w:rPr>
              <w:t>Unresectable</w:t>
            </w:r>
            <w:proofErr w:type="spellEnd"/>
            <w:r w:rsidRPr="00975603">
              <w:rPr>
                <w:rFonts w:ascii="Arial Narrow" w:hAnsi="Arial Narrow"/>
                <w:sz w:val="20"/>
              </w:rPr>
              <w:t xml:space="preserve"> Stage III or Stage IV</w:t>
            </w:r>
          </w:p>
        </w:tc>
      </w:tr>
      <w:tr w:rsidR="00080A67" w:rsidRPr="002873B2" w:rsidTr="00554AEF">
        <w:trPr>
          <w:cantSplit/>
          <w:trHeight w:val="360"/>
        </w:trPr>
        <w:tc>
          <w:tcPr>
            <w:tcW w:w="991" w:type="pct"/>
            <w:tcBorders>
              <w:top w:val="single" w:sz="4" w:space="0" w:color="auto"/>
              <w:left w:val="single" w:sz="4" w:space="0" w:color="auto"/>
              <w:bottom w:val="single" w:sz="4" w:space="0" w:color="auto"/>
              <w:right w:val="single" w:sz="4" w:space="0" w:color="auto"/>
            </w:tcBorders>
          </w:tcPr>
          <w:p w:rsidR="00080A67" w:rsidRPr="00260CE3" w:rsidRDefault="00080A67" w:rsidP="00554AEF">
            <w:pPr>
              <w:spacing w:before="40" w:after="40"/>
              <w:jc w:val="both"/>
              <w:rPr>
                <w:rFonts w:ascii="Arial Narrow" w:hAnsi="Arial Narrow" w:cs="Arial"/>
                <w:b/>
                <w:sz w:val="20"/>
                <w:szCs w:val="20"/>
              </w:rPr>
            </w:pPr>
            <w:r w:rsidRPr="00260CE3">
              <w:rPr>
                <w:rFonts w:ascii="Arial Narrow" w:hAnsi="Arial Narrow" w:cs="Arial"/>
                <w:b/>
                <w:sz w:val="20"/>
                <w:szCs w:val="20"/>
              </w:rPr>
              <w:t>Condition:</w:t>
            </w:r>
          </w:p>
        </w:tc>
        <w:tc>
          <w:tcPr>
            <w:tcW w:w="4009" w:type="pct"/>
            <w:tcBorders>
              <w:top w:val="single" w:sz="4" w:space="0" w:color="auto"/>
              <w:left w:val="single" w:sz="4" w:space="0" w:color="auto"/>
              <w:bottom w:val="single" w:sz="4" w:space="0" w:color="auto"/>
              <w:right w:val="single" w:sz="4" w:space="0" w:color="auto"/>
            </w:tcBorders>
          </w:tcPr>
          <w:p w:rsidR="00080A67" w:rsidRPr="00260CE3" w:rsidRDefault="00080A67" w:rsidP="00554AEF">
            <w:pPr>
              <w:spacing w:before="40" w:after="40"/>
              <w:rPr>
                <w:rFonts w:ascii="Arial Narrow" w:hAnsi="Arial Narrow" w:cs="Arial"/>
                <w:sz w:val="20"/>
                <w:szCs w:val="20"/>
              </w:rPr>
            </w:pPr>
            <w:r>
              <w:rPr>
                <w:rFonts w:ascii="Arial Narrow" w:hAnsi="Arial Narrow" w:cs="Arial"/>
                <w:i/>
                <w:sz w:val="20"/>
                <w:szCs w:val="20"/>
              </w:rPr>
              <w:t>M</w:t>
            </w:r>
            <w:r w:rsidRPr="00816635">
              <w:rPr>
                <w:rFonts w:ascii="Arial Narrow" w:hAnsi="Arial Narrow" w:cs="Arial"/>
                <w:i/>
                <w:sz w:val="20"/>
                <w:szCs w:val="20"/>
              </w:rPr>
              <w:t>alignant</w:t>
            </w:r>
            <w:r>
              <w:rPr>
                <w:rFonts w:ascii="Arial Narrow" w:hAnsi="Arial Narrow" w:cs="Arial"/>
                <w:sz w:val="20"/>
                <w:szCs w:val="20"/>
              </w:rPr>
              <w:t xml:space="preserve"> </w:t>
            </w:r>
            <w:proofErr w:type="spellStart"/>
            <w:r w:rsidRPr="00646A23">
              <w:rPr>
                <w:rFonts w:ascii="Arial Narrow" w:hAnsi="Arial Narrow" w:cs="Arial"/>
                <w:i/>
                <w:strike/>
                <w:sz w:val="20"/>
                <w:szCs w:val="20"/>
              </w:rPr>
              <w:t>M</w:t>
            </w:r>
            <w:r>
              <w:rPr>
                <w:rFonts w:ascii="Arial Narrow" w:hAnsi="Arial Narrow" w:cs="Arial"/>
                <w:i/>
                <w:sz w:val="20"/>
                <w:szCs w:val="20"/>
              </w:rPr>
              <w:t>m</w:t>
            </w:r>
            <w:r w:rsidRPr="00646A23">
              <w:rPr>
                <w:rFonts w:ascii="Arial Narrow" w:hAnsi="Arial Narrow" w:cs="Arial"/>
                <w:i/>
                <w:sz w:val="20"/>
                <w:szCs w:val="20"/>
              </w:rPr>
              <w:t>elanoma</w:t>
            </w:r>
            <w:proofErr w:type="spellEnd"/>
            <w:r>
              <w:rPr>
                <w:rFonts w:ascii="Arial Narrow" w:hAnsi="Arial Narrow" w:cs="Arial"/>
                <w:sz w:val="20"/>
                <w:szCs w:val="20"/>
              </w:rPr>
              <w:t xml:space="preserve"> </w:t>
            </w:r>
          </w:p>
        </w:tc>
      </w:tr>
      <w:tr w:rsidR="00080A67" w:rsidRPr="002873B2" w:rsidTr="00554AEF">
        <w:trPr>
          <w:cantSplit/>
          <w:trHeight w:val="360"/>
        </w:trPr>
        <w:tc>
          <w:tcPr>
            <w:tcW w:w="991" w:type="pct"/>
            <w:tcBorders>
              <w:top w:val="single" w:sz="4" w:space="0" w:color="auto"/>
              <w:left w:val="single" w:sz="4" w:space="0" w:color="auto"/>
              <w:bottom w:val="single" w:sz="4" w:space="0" w:color="auto"/>
              <w:right w:val="single" w:sz="4" w:space="0" w:color="auto"/>
            </w:tcBorders>
          </w:tcPr>
          <w:p w:rsidR="00080A67" w:rsidRPr="00260CE3" w:rsidRDefault="00080A67" w:rsidP="00554AEF">
            <w:pPr>
              <w:spacing w:before="40" w:after="40"/>
              <w:jc w:val="both"/>
              <w:rPr>
                <w:rFonts w:ascii="Arial Narrow" w:hAnsi="Arial Narrow" w:cs="Arial"/>
                <w:b/>
                <w:sz w:val="20"/>
                <w:szCs w:val="20"/>
              </w:rPr>
            </w:pPr>
            <w:r w:rsidRPr="00260CE3">
              <w:rPr>
                <w:rFonts w:ascii="Arial Narrow" w:hAnsi="Arial Narrow" w:cs="Arial"/>
                <w:b/>
                <w:sz w:val="20"/>
                <w:szCs w:val="20"/>
              </w:rPr>
              <w:t>PBS Indication:</w:t>
            </w:r>
          </w:p>
        </w:tc>
        <w:tc>
          <w:tcPr>
            <w:tcW w:w="4009" w:type="pct"/>
            <w:tcBorders>
              <w:top w:val="single" w:sz="4" w:space="0" w:color="auto"/>
              <w:left w:val="single" w:sz="4" w:space="0" w:color="auto"/>
              <w:bottom w:val="single" w:sz="4" w:space="0" w:color="auto"/>
              <w:right w:val="single" w:sz="4" w:space="0" w:color="auto"/>
            </w:tcBorders>
          </w:tcPr>
          <w:p w:rsidR="00080A67" w:rsidRPr="00260CE3" w:rsidRDefault="00080A67" w:rsidP="00554AEF">
            <w:pPr>
              <w:spacing w:before="40" w:after="40"/>
              <w:rPr>
                <w:rFonts w:ascii="Arial Narrow" w:hAnsi="Arial Narrow" w:cs="Arial"/>
                <w:sz w:val="20"/>
                <w:szCs w:val="20"/>
              </w:rPr>
            </w:pPr>
            <w:proofErr w:type="spellStart"/>
            <w:r w:rsidRPr="00975603">
              <w:rPr>
                <w:rFonts w:ascii="Arial Narrow" w:hAnsi="Arial Narrow"/>
                <w:sz w:val="20"/>
              </w:rPr>
              <w:t>Unresectable</w:t>
            </w:r>
            <w:proofErr w:type="spellEnd"/>
            <w:r w:rsidRPr="00975603">
              <w:rPr>
                <w:rFonts w:ascii="Arial Narrow" w:hAnsi="Arial Narrow"/>
                <w:sz w:val="20"/>
              </w:rPr>
              <w:t xml:space="preserve"> Stage III or Stage IV malignant melanoma</w:t>
            </w:r>
          </w:p>
        </w:tc>
      </w:tr>
      <w:tr w:rsidR="00080A67" w:rsidRPr="002873B2" w:rsidTr="00554AEF">
        <w:trPr>
          <w:cantSplit/>
          <w:trHeight w:val="360"/>
        </w:trPr>
        <w:tc>
          <w:tcPr>
            <w:tcW w:w="991" w:type="pct"/>
            <w:tcBorders>
              <w:top w:val="single" w:sz="4" w:space="0" w:color="auto"/>
              <w:left w:val="single" w:sz="4" w:space="0" w:color="auto"/>
              <w:bottom w:val="single" w:sz="4" w:space="0" w:color="auto"/>
              <w:right w:val="single" w:sz="4" w:space="0" w:color="auto"/>
            </w:tcBorders>
          </w:tcPr>
          <w:p w:rsidR="00080A67" w:rsidRPr="00260CE3" w:rsidRDefault="00080A67" w:rsidP="00554AEF">
            <w:pPr>
              <w:spacing w:before="40" w:after="40"/>
              <w:jc w:val="both"/>
              <w:rPr>
                <w:rFonts w:ascii="Arial Narrow" w:hAnsi="Arial Narrow" w:cs="Arial"/>
                <w:i/>
                <w:sz w:val="20"/>
                <w:szCs w:val="20"/>
              </w:rPr>
            </w:pPr>
            <w:r w:rsidRPr="00260CE3">
              <w:rPr>
                <w:rFonts w:ascii="Arial Narrow" w:hAnsi="Arial Narrow" w:cs="Arial"/>
                <w:b/>
                <w:sz w:val="20"/>
                <w:szCs w:val="20"/>
              </w:rPr>
              <w:t>Treatment phase:</w:t>
            </w:r>
          </w:p>
        </w:tc>
        <w:tc>
          <w:tcPr>
            <w:tcW w:w="4009" w:type="pct"/>
            <w:tcBorders>
              <w:top w:val="single" w:sz="4" w:space="0" w:color="auto"/>
              <w:left w:val="single" w:sz="4" w:space="0" w:color="auto"/>
              <w:bottom w:val="single" w:sz="4" w:space="0" w:color="auto"/>
              <w:right w:val="single" w:sz="4" w:space="0" w:color="auto"/>
            </w:tcBorders>
          </w:tcPr>
          <w:p w:rsidR="00080A67" w:rsidRPr="00260CE3" w:rsidRDefault="00080A67" w:rsidP="00554AEF">
            <w:pPr>
              <w:spacing w:before="40" w:after="40"/>
              <w:rPr>
                <w:rFonts w:ascii="Arial Narrow" w:hAnsi="Arial Narrow" w:cs="Arial"/>
                <w:sz w:val="20"/>
                <w:szCs w:val="20"/>
              </w:rPr>
            </w:pPr>
            <w:r>
              <w:rPr>
                <w:rFonts w:ascii="Arial Narrow" w:hAnsi="Arial Narrow" w:cs="Arial"/>
                <w:sz w:val="20"/>
                <w:szCs w:val="20"/>
              </w:rPr>
              <w:t>Initial treatment 2</w:t>
            </w:r>
          </w:p>
        </w:tc>
      </w:tr>
      <w:tr w:rsidR="00080A67" w:rsidRPr="002873B2" w:rsidTr="00554AEF">
        <w:trPr>
          <w:cantSplit/>
          <w:trHeight w:val="360"/>
        </w:trPr>
        <w:tc>
          <w:tcPr>
            <w:tcW w:w="991" w:type="pct"/>
            <w:tcBorders>
              <w:top w:val="single" w:sz="4" w:space="0" w:color="auto"/>
              <w:left w:val="single" w:sz="4" w:space="0" w:color="auto"/>
              <w:bottom w:val="single" w:sz="4" w:space="0" w:color="auto"/>
              <w:right w:val="single" w:sz="4" w:space="0" w:color="auto"/>
            </w:tcBorders>
          </w:tcPr>
          <w:p w:rsidR="00080A67" w:rsidRPr="00260CE3" w:rsidRDefault="00080A67" w:rsidP="00987F08">
            <w:pPr>
              <w:spacing w:before="40" w:after="40"/>
              <w:jc w:val="both"/>
              <w:rPr>
                <w:rFonts w:ascii="Arial Narrow" w:hAnsi="Arial Narrow" w:cs="Arial"/>
                <w:sz w:val="20"/>
                <w:szCs w:val="20"/>
              </w:rPr>
            </w:pPr>
            <w:r w:rsidRPr="00260CE3">
              <w:rPr>
                <w:rFonts w:ascii="Arial Narrow" w:hAnsi="Arial Narrow" w:cs="Arial"/>
                <w:b/>
                <w:sz w:val="20"/>
                <w:szCs w:val="20"/>
              </w:rPr>
              <w:t>Restriction</w:t>
            </w:r>
            <w:r>
              <w:rPr>
                <w:rFonts w:ascii="Arial Narrow" w:hAnsi="Arial Narrow" w:cs="Arial"/>
                <w:b/>
                <w:sz w:val="20"/>
                <w:szCs w:val="20"/>
              </w:rPr>
              <w:t xml:space="preserve"> Level / Method</w:t>
            </w:r>
            <w:r w:rsidRPr="00260CE3">
              <w:rPr>
                <w:rFonts w:ascii="Arial Narrow" w:hAnsi="Arial Narrow" w:cs="Arial"/>
                <w:b/>
                <w:sz w:val="20"/>
                <w:szCs w:val="20"/>
              </w:rPr>
              <w:t>:</w:t>
            </w:r>
          </w:p>
        </w:tc>
        <w:tc>
          <w:tcPr>
            <w:tcW w:w="4009" w:type="pct"/>
            <w:tcBorders>
              <w:top w:val="single" w:sz="4" w:space="0" w:color="auto"/>
              <w:left w:val="single" w:sz="4" w:space="0" w:color="auto"/>
              <w:bottom w:val="single" w:sz="4" w:space="0" w:color="auto"/>
              <w:right w:val="single" w:sz="4" w:space="0" w:color="auto"/>
            </w:tcBorders>
          </w:tcPr>
          <w:p w:rsidR="00080A67" w:rsidRPr="00E17531" w:rsidRDefault="00080A67" w:rsidP="00554AEF">
            <w:pPr>
              <w:spacing w:before="40" w:after="40"/>
              <w:rPr>
                <w:rFonts w:ascii="Arial Narrow" w:hAnsi="Arial Narrow"/>
                <w:sz w:val="20"/>
              </w:rPr>
            </w:pPr>
            <w:r w:rsidRPr="00E17531">
              <w:rPr>
                <w:rFonts w:ascii="Arial Narrow" w:hAnsi="Arial Narrow"/>
                <w:sz w:val="20"/>
              </w:rPr>
              <w:fldChar w:fldCharType="begin">
                <w:ffData>
                  <w:name w:val="Check1"/>
                  <w:enabled/>
                  <w:calcOnExit w:val="0"/>
                  <w:checkBox>
                    <w:sizeAuto/>
                    <w:default w:val="0"/>
                  </w:checkBox>
                </w:ffData>
              </w:fldChar>
            </w:r>
            <w:r w:rsidRPr="00E17531">
              <w:rPr>
                <w:rFonts w:ascii="Arial Narrow" w:hAnsi="Arial Narrow"/>
                <w:sz w:val="20"/>
              </w:rPr>
              <w:instrText xml:space="preserve"> FORMCHECKBOX </w:instrText>
            </w:r>
            <w:r w:rsidR="00B52FA3">
              <w:rPr>
                <w:rFonts w:ascii="Arial Narrow" w:hAnsi="Arial Narrow"/>
                <w:sz w:val="20"/>
              </w:rPr>
            </w:r>
            <w:r w:rsidR="00B52FA3">
              <w:rPr>
                <w:rFonts w:ascii="Arial Narrow" w:hAnsi="Arial Narrow"/>
                <w:sz w:val="20"/>
              </w:rPr>
              <w:fldChar w:fldCharType="separate"/>
            </w:r>
            <w:r w:rsidRPr="00E17531">
              <w:rPr>
                <w:rFonts w:ascii="Arial Narrow" w:hAnsi="Arial Narrow"/>
                <w:sz w:val="20"/>
              </w:rPr>
              <w:fldChar w:fldCharType="end"/>
            </w:r>
            <w:r w:rsidRPr="00E17531">
              <w:rPr>
                <w:rFonts w:ascii="Arial Narrow" w:hAnsi="Arial Narrow"/>
                <w:sz w:val="20"/>
              </w:rPr>
              <w:t>Restricted benefit</w:t>
            </w:r>
          </w:p>
          <w:p w:rsidR="00080A67" w:rsidRPr="00E17531" w:rsidRDefault="00080A67" w:rsidP="00554AEF">
            <w:pPr>
              <w:spacing w:before="40" w:after="40"/>
              <w:rPr>
                <w:rFonts w:ascii="Arial Narrow" w:hAnsi="Arial Narrow"/>
                <w:sz w:val="20"/>
              </w:rPr>
            </w:pPr>
            <w:r w:rsidRPr="00E17531">
              <w:rPr>
                <w:rFonts w:ascii="Arial Narrow" w:hAnsi="Arial Narrow"/>
                <w:sz w:val="20"/>
              </w:rPr>
              <w:fldChar w:fldCharType="begin">
                <w:ffData>
                  <w:name w:val=""/>
                  <w:enabled/>
                  <w:calcOnExit w:val="0"/>
                  <w:checkBox>
                    <w:sizeAuto/>
                    <w:default w:val="0"/>
                  </w:checkBox>
                </w:ffData>
              </w:fldChar>
            </w:r>
            <w:r w:rsidRPr="00E17531">
              <w:rPr>
                <w:rFonts w:ascii="Arial Narrow" w:hAnsi="Arial Narrow"/>
                <w:sz w:val="20"/>
              </w:rPr>
              <w:instrText xml:space="preserve"> FORMCHECKBOX </w:instrText>
            </w:r>
            <w:r w:rsidR="00B52FA3">
              <w:rPr>
                <w:rFonts w:ascii="Arial Narrow" w:hAnsi="Arial Narrow"/>
                <w:sz w:val="20"/>
              </w:rPr>
            </w:r>
            <w:r w:rsidR="00B52FA3">
              <w:rPr>
                <w:rFonts w:ascii="Arial Narrow" w:hAnsi="Arial Narrow"/>
                <w:sz w:val="20"/>
              </w:rPr>
              <w:fldChar w:fldCharType="separate"/>
            </w:r>
            <w:r w:rsidRPr="00E17531">
              <w:rPr>
                <w:rFonts w:ascii="Arial Narrow" w:hAnsi="Arial Narrow"/>
                <w:sz w:val="20"/>
              </w:rPr>
              <w:fldChar w:fldCharType="end"/>
            </w:r>
            <w:r w:rsidRPr="00E17531">
              <w:rPr>
                <w:rFonts w:ascii="Arial Narrow" w:hAnsi="Arial Narrow"/>
                <w:sz w:val="20"/>
              </w:rPr>
              <w:t>Authority Required - In Writing</w:t>
            </w:r>
          </w:p>
          <w:p w:rsidR="00080A67" w:rsidRPr="00E17531" w:rsidRDefault="00080A67" w:rsidP="00554AEF">
            <w:pPr>
              <w:spacing w:before="40" w:after="40"/>
              <w:rPr>
                <w:rFonts w:ascii="Arial Narrow" w:hAnsi="Arial Narrow"/>
                <w:sz w:val="20"/>
              </w:rPr>
            </w:pPr>
            <w:r w:rsidRPr="00E17531">
              <w:rPr>
                <w:rFonts w:ascii="Arial Narrow" w:hAnsi="Arial Narrow"/>
                <w:sz w:val="20"/>
              </w:rPr>
              <w:fldChar w:fldCharType="begin">
                <w:ffData>
                  <w:name w:val="Check3"/>
                  <w:enabled/>
                  <w:calcOnExit w:val="0"/>
                  <w:checkBox>
                    <w:sizeAuto/>
                    <w:default w:val="0"/>
                  </w:checkBox>
                </w:ffData>
              </w:fldChar>
            </w:r>
            <w:r w:rsidRPr="00E17531">
              <w:rPr>
                <w:rFonts w:ascii="Arial Narrow" w:hAnsi="Arial Narrow"/>
                <w:sz w:val="20"/>
              </w:rPr>
              <w:instrText xml:space="preserve"> FORMCHECKBOX </w:instrText>
            </w:r>
            <w:r w:rsidR="00B52FA3">
              <w:rPr>
                <w:rFonts w:ascii="Arial Narrow" w:hAnsi="Arial Narrow"/>
                <w:sz w:val="20"/>
              </w:rPr>
            </w:r>
            <w:r w:rsidR="00B52FA3">
              <w:rPr>
                <w:rFonts w:ascii="Arial Narrow" w:hAnsi="Arial Narrow"/>
                <w:sz w:val="20"/>
              </w:rPr>
              <w:fldChar w:fldCharType="separate"/>
            </w:r>
            <w:r w:rsidRPr="00E17531">
              <w:rPr>
                <w:rFonts w:ascii="Arial Narrow" w:hAnsi="Arial Narrow"/>
                <w:sz w:val="20"/>
              </w:rPr>
              <w:fldChar w:fldCharType="end"/>
            </w:r>
            <w:r w:rsidRPr="00E17531">
              <w:rPr>
                <w:rFonts w:ascii="Arial Narrow" w:hAnsi="Arial Narrow"/>
                <w:sz w:val="20"/>
              </w:rPr>
              <w:t>Authority Required - Telephone</w:t>
            </w:r>
          </w:p>
          <w:p w:rsidR="00080A67" w:rsidRPr="00E17531" w:rsidRDefault="00080A67" w:rsidP="00554AEF">
            <w:pPr>
              <w:spacing w:before="40" w:after="40"/>
              <w:rPr>
                <w:rFonts w:ascii="Arial Narrow" w:hAnsi="Arial Narrow"/>
                <w:sz w:val="20"/>
              </w:rPr>
            </w:pPr>
            <w:r w:rsidRPr="00E17531">
              <w:rPr>
                <w:rFonts w:ascii="Arial Narrow" w:hAnsi="Arial Narrow"/>
                <w:sz w:val="20"/>
              </w:rPr>
              <w:fldChar w:fldCharType="begin">
                <w:ffData>
                  <w:name w:val=""/>
                  <w:enabled/>
                  <w:calcOnExit w:val="0"/>
                  <w:checkBox>
                    <w:sizeAuto/>
                    <w:default w:val="0"/>
                  </w:checkBox>
                </w:ffData>
              </w:fldChar>
            </w:r>
            <w:r w:rsidRPr="00E17531">
              <w:rPr>
                <w:rFonts w:ascii="Arial Narrow" w:hAnsi="Arial Narrow"/>
                <w:sz w:val="20"/>
              </w:rPr>
              <w:instrText xml:space="preserve"> FORMCHECKBOX </w:instrText>
            </w:r>
            <w:r w:rsidR="00B52FA3">
              <w:rPr>
                <w:rFonts w:ascii="Arial Narrow" w:hAnsi="Arial Narrow"/>
                <w:sz w:val="20"/>
              </w:rPr>
            </w:r>
            <w:r w:rsidR="00B52FA3">
              <w:rPr>
                <w:rFonts w:ascii="Arial Narrow" w:hAnsi="Arial Narrow"/>
                <w:sz w:val="20"/>
              </w:rPr>
              <w:fldChar w:fldCharType="separate"/>
            </w:r>
            <w:r w:rsidRPr="00E17531">
              <w:rPr>
                <w:rFonts w:ascii="Arial Narrow" w:hAnsi="Arial Narrow"/>
                <w:sz w:val="20"/>
              </w:rPr>
              <w:fldChar w:fldCharType="end"/>
            </w:r>
            <w:r w:rsidRPr="00E17531">
              <w:rPr>
                <w:rFonts w:ascii="Arial Narrow" w:hAnsi="Arial Narrow"/>
                <w:sz w:val="20"/>
              </w:rPr>
              <w:t>Authority Required – Emergency</w:t>
            </w:r>
          </w:p>
          <w:p w:rsidR="00080A67" w:rsidRPr="00E17531" w:rsidRDefault="00080A67" w:rsidP="00554AEF">
            <w:pPr>
              <w:spacing w:before="40" w:after="40"/>
              <w:rPr>
                <w:rFonts w:ascii="Arial Narrow" w:hAnsi="Arial Narrow"/>
                <w:sz w:val="20"/>
              </w:rPr>
            </w:pPr>
            <w:r w:rsidRPr="00E17531">
              <w:rPr>
                <w:rFonts w:ascii="Arial Narrow" w:hAnsi="Arial Narrow"/>
                <w:sz w:val="20"/>
              </w:rPr>
              <w:fldChar w:fldCharType="begin">
                <w:ffData>
                  <w:name w:val="Check5"/>
                  <w:enabled/>
                  <w:calcOnExit w:val="0"/>
                  <w:checkBox>
                    <w:sizeAuto/>
                    <w:default w:val="0"/>
                  </w:checkBox>
                </w:ffData>
              </w:fldChar>
            </w:r>
            <w:r w:rsidRPr="00E17531">
              <w:rPr>
                <w:rFonts w:ascii="Arial Narrow" w:hAnsi="Arial Narrow"/>
                <w:sz w:val="20"/>
              </w:rPr>
              <w:instrText xml:space="preserve"> FORMCHECKBOX </w:instrText>
            </w:r>
            <w:r w:rsidR="00B52FA3">
              <w:rPr>
                <w:rFonts w:ascii="Arial Narrow" w:hAnsi="Arial Narrow"/>
                <w:sz w:val="20"/>
              </w:rPr>
            </w:r>
            <w:r w:rsidR="00B52FA3">
              <w:rPr>
                <w:rFonts w:ascii="Arial Narrow" w:hAnsi="Arial Narrow"/>
                <w:sz w:val="20"/>
              </w:rPr>
              <w:fldChar w:fldCharType="separate"/>
            </w:r>
            <w:r w:rsidRPr="00E17531">
              <w:rPr>
                <w:rFonts w:ascii="Arial Narrow" w:hAnsi="Arial Narrow"/>
                <w:sz w:val="20"/>
              </w:rPr>
              <w:fldChar w:fldCharType="end"/>
            </w:r>
            <w:r w:rsidRPr="00E17531">
              <w:rPr>
                <w:rFonts w:ascii="Arial Narrow" w:hAnsi="Arial Narrow"/>
                <w:sz w:val="20"/>
              </w:rPr>
              <w:t>Authority Required - Electronic</w:t>
            </w:r>
          </w:p>
          <w:p w:rsidR="00080A67" w:rsidRPr="00260CE3" w:rsidRDefault="00080A67" w:rsidP="00554AEF">
            <w:pPr>
              <w:spacing w:before="40" w:after="40"/>
              <w:rPr>
                <w:rFonts w:ascii="Arial Narrow" w:hAnsi="Arial Narrow" w:cs="Arial"/>
                <w:sz w:val="20"/>
                <w:szCs w:val="20"/>
              </w:rPr>
            </w:pPr>
            <w:r w:rsidRPr="00E17531">
              <w:rPr>
                <w:rFonts w:ascii="Arial Narrow" w:hAnsi="Arial Narrow"/>
                <w:sz w:val="20"/>
              </w:rPr>
              <w:fldChar w:fldCharType="begin">
                <w:ffData>
                  <w:name w:val=""/>
                  <w:enabled/>
                  <w:calcOnExit w:val="0"/>
                  <w:checkBox>
                    <w:sizeAuto/>
                    <w:default w:val="1"/>
                  </w:checkBox>
                </w:ffData>
              </w:fldChar>
            </w:r>
            <w:r w:rsidRPr="00E17531">
              <w:rPr>
                <w:rFonts w:ascii="Arial Narrow" w:hAnsi="Arial Narrow"/>
                <w:sz w:val="20"/>
              </w:rPr>
              <w:instrText xml:space="preserve"> FORMCHECKBOX </w:instrText>
            </w:r>
            <w:r w:rsidR="00B52FA3">
              <w:rPr>
                <w:rFonts w:ascii="Arial Narrow" w:hAnsi="Arial Narrow"/>
                <w:sz w:val="20"/>
              </w:rPr>
            </w:r>
            <w:r w:rsidR="00B52FA3">
              <w:rPr>
                <w:rFonts w:ascii="Arial Narrow" w:hAnsi="Arial Narrow"/>
                <w:sz w:val="20"/>
              </w:rPr>
              <w:fldChar w:fldCharType="separate"/>
            </w:r>
            <w:r w:rsidRPr="00E17531">
              <w:rPr>
                <w:rFonts w:ascii="Arial Narrow" w:hAnsi="Arial Narrow"/>
                <w:sz w:val="20"/>
              </w:rPr>
              <w:fldChar w:fldCharType="end"/>
            </w:r>
            <w:r w:rsidRPr="00E17531">
              <w:rPr>
                <w:rFonts w:ascii="Arial Narrow" w:hAnsi="Arial Narrow"/>
                <w:sz w:val="20"/>
              </w:rPr>
              <w:t>Streamlined</w:t>
            </w:r>
          </w:p>
        </w:tc>
      </w:tr>
      <w:tr w:rsidR="00080A67" w:rsidRPr="002873B2" w:rsidTr="00554AEF">
        <w:trPr>
          <w:cantSplit/>
          <w:trHeight w:val="360"/>
        </w:trPr>
        <w:tc>
          <w:tcPr>
            <w:tcW w:w="991" w:type="pct"/>
            <w:tcBorders>
              <w:top w:val="single" w:sz="4" w:space="0" w:color="auto"/>
              <w:left w:val="single" w:sz="4" w:space="0" w:color="auto"/>
              <w:bottom w:val="single" w:sz="4" w:space="0" w:color="auto"/>
              <w:right w:val="single" w:sz="4" w:space="0" w:color="auto"/>
            </w:tcBorders>
          </w:tcPr>
          <w:p w:rsidR="00080A67" w:rsidRPr="00260CE3" w:rsidRDefault="00080A67" w:rsidP="00987F08">
            <w:pPr>
              <w:spacing w:before="40" w:after="40"/>
              <w:jc w:val="both"/>
              <w:rPr>
                <w:rFonts w:ascii="Arial Narrow" w:hAnsi="Arial Narrow" w:cs="Arial"/>
                <w:sz w:val="20"/>
                <w:szCs w:val="20"/>
              </w:rPr>
            </w:pPr>
            <w:r w:rsidRPr="00260CE3">
              <w:rPr>
                <w:rFonts w:ascii="Arial Narrow" w:hAnsi="Arial Narrow" w:cs="Arial"/>
                <w:b/>
                <w:sz w:val="20"/>
                <w:szCs w:val="20"/>
              </w:rPr>
              <w:t>Clinical criteria:</w:t>
            </w:r>
          </w:p>
        </w:tc>
        <w:tc>
          <w:tcPr>
            <w:tcW w:w="4009" w:type="pct"/>
            <w:tcBorders>
              <w:top w:val="single" w:sz="4" w:space="0" w:color="auto"/>
              <w:left w:val="single" w:sz="4" w:space="0" w:color="auto"/>
              <w:bottom w:val="single" w:sz="4" w:space="0" w:color="auto"/>
              <w:right w:val="single" w:sz="4" w:space="0" w:color="auto"/>
            </w:tcBorders>
          </w:tcPr>
          <w:p w:rsidR="00080A67" w:rsidRDefault="00B528F4" w:rsidP="00366E3B">
            <w:pPr>
              <w:widowControl w:val="0"/>
              <w:spacing w:before="40" w:after="40"/>
              <w:jc w:val="both"/>
              <w:rPr>
                <w:rFonts w:ascii="Arial Narrow" w:hAnsi="Arial Narrow" w:cs="Arial"/>
                <w:snapToGrid w:val="0"/>
                <w:sz w:val="20"/>
                <w:szCs w:val="20"/>
                <w:lang w:eastAsia="en-US"/>
              </w:rPr>
            </w:pPr>
            <w:r>
              <w:rPr>
                <w:rFonts w:ascii="Arial Narrow" w:hAnsi="Arial Narrow" w:cs="Arial"/>
                <w:snapToGrid w:val="0"/>
                <w:sz w:val="20"/>
                <w:szCs w:val="20"/>
                <w:lang w:eastAsia="en-US"/>
              </w:rPr>
              <w:t>The condition must be negative</w:t>
            </w:r>
            <w:r w:rsidR="00080A67" w:rsidRPr="00875D05">
              <w:rPr>
                <w:rFonts w:ascii="Arial Narrow" w:hAnsi="Arial Narrow" w:cs="Arial"/>
                <w:snapToGrid w:val="0"/>
                <w:sz w:val="20"/>
                <w:szCs w:val="20"/>
                <w:lang w:eastAsia="en-US"/>
              </w:rPr>
              <w:t xml:space="preserve"> for a BRAF V600 mutation,</w:t>
            </w:r>
          </w:p>
          <w:p w:rsidR="00080A67" w:rsidRDefault="00080A67" w:rsidP="00366E3B">
            <w:pPr>
              <w:widowControl w:val="0"/>
              <w:spacing w:before="40" w:after="40"/>
              <w:jc w:val="both"/>
              <w:rPr>
                <w:rFonts w:ascii="Arial Narrow" w:hAnsi="Arial Narrow" w:cs="Arial"/>
                <w:snapToGrid w:val="0"/>
                <w:sz w:val="20"/>
                <w:szCs w:val="20"/>
                <w:lang w:eastAsia="en-US"/>
              </w:rPr>
            </w:pPr>
            <w:r w:rsidRPr="00875D05">
              <w:rPr>
                <w:rFonts w:ascii="Arial Narrow" w:hAnsi="Arial Narrow" w:cs="Arial"/>
                <w:snapToGrid w:val="0"/>
                <w:sz w:val="20"/>
                <w:szCs w:val="20"/>
                <w:lang w:eastAsia="en-US"/>
              </w:rPr>
              <w:t>AND</w:t>
            </w:r>
          </w:p>
          <w:p w:rsidR="00080A67" w:rsidRDefault="00080A67" w:rsidP="00366E3B">
            <w:pPr>
              <w:widowControl w:val="0"/>
              <w:spacing w:before="40" w:after="40"/>
              <w:jc w:val="both"/>
              <w:rPr>
                <w:rFonts w:ascii="Arial Narrow" w:hAnsi="Arial Narrow" w:cs="Arial"/>
                <w:snapToGrid w:val="0"/>
                <w:sz w:val="20"/>
                <w:szCs w:val="20"/>
                <w:lang w:eastAsia="en-US"/>
              </w:rPr>
            </w:pPr>
            <w:r w:rsidRPr="00875D05">
              <w:rPr>
                <w:rFonts w:ascii="Arial Narrow" w:hAnsi="Arial Narrow" w:cs="Arial"/>
                <w:snapToGrid w:val="0"/>
                <w:sz w:val="20"/>
                <w:szCs w:val="20"/>
                <w:lang w:eastAsia="en-US"/>
              </w:rPr>
              <w:t xml:space="preserve">Patient must not have received prior treatment with </w:t>
            </w:r>
            <w:proofErr w:type="spellStart"/>
            <w:r w:rsidRPr="00875D05">
              <w:rPr>
                <w:rFonts w:ascii="Arial Narrow" w:hAnsi="Arial Narrow" w:cs="Arial"/>
                <w:snapToGrid w:val="0"/>
                <w:sz w:val="20"/>
                <w:szCs w:val="20"/>
                <w:lang w:eastAsia="en-US"/>
              </w:rPr>
              <w:t>ipilimumab</w:t>
            </w:r>
            <w:proofErr w:type="spellEnd"/>
            <w:r w:rsidRPr="00875D05">
              <w:rPr>
                <w:rFonts w:ascii="Arial Narrow" w:hAnsi="Arial Narrow" w:cs="Arial"/>
                <w:snapToGrid w:val="0"/>
                <w:sz w:val="20"/>
                <w:szCs w:val="20"/>
                <w:lang w:eastAsia="en-US"/>
              </w:rPr>
              <w:t xml:space="preserve"> or a PD-1 (programmed cell death-1</w:t>
            </w:r>
            <w:r w:rsidR="00067E5B">
              <w:rPr>
                <w:rFonts w:ascii="Arial Narrow" w:hAnsi="Arial Narrow" w:cs="Arial"/>
                <w:snapToGrid w:val="0"/>
                <w:sz w:val="20"/>
                <w:szCs w:val="20"/>
                <w:lang w:eastAsia="en-US"/>
              </w:rPr>
              <w:t>) inhibitor for this condition,</w:t>
            </w:r>
          </w:p>
          <w:p w:rsidR="00080A67" w:rsidRPr="00875D05" w:rsidRDefault="00080A67" w:rsidP="00366E3B">
            <w:pPr>
              <w:widowControl w:val="0"/>
              <w:spacing w:before="40" w:after="40"/>
              <w:jc w:val="both"/>
              <w:rPr>
                <w:rFonts w:ascii="Arial Narrow" w:hAnsi="Arial Narrow" w:cs="Arial"/>
                <w:snapToGrid w:val="0"/>
                <w:sz w:val="20"/>
                <w:szCs w:val="20"/>
                <w:lang w:eastAsia="en-US"/>
              </w:rPr>
            </w:pPr>
            <w:r w:rsidRPr="00875D05">
              <w:rPr>
                <w:rFonts w:ascii="Arial Narrow" w:hAnsi="Arial Narrow" w:cs="Arial"/>
                <w:snapToGrid w:val="0"/>
                <w:sz w:val="20"/>
                <w:szCs w:val="20"/>
                <w:lang w:eastAsia="en-US"/>
              </w:rPr>
              <w:t>AND</w:t>
            </w:r>
          </w:p>
          <w:p w:rsidR="00080A67" w:rsidRDefault="00080A67" w:rsidP="00366E3B">
            <w:pPr>
              <w:widowControl w:val="0"/>
              <w:spacing w:before="40" w:after="40"/>
              <w:jc w:val="both"/>
              <w:rPr>
                <w:rFonts w:ascii="Arial Narrow" w:hAnsi="Arial Narrow" w:cs="Arial"/>
                <w:snapToGrid w:val="0"/>
                <w:sz w:val="20"/>
                <w:szCs w:val="20"/>
                <w:lang w:eastAsia="en-US"/>
              </w:rPr>
            </w:pPr>
            <w:r w:rsidRPr="00875D05">
              <w:rPr>
                <w:rFonts w:ascii="Arial Narrow" w:hAnsi="Arial Narrow" w:cs="Arial"/>
                <w:snapToGrid w:val="0"/>
                <w:sz w:val="20"/>
                <w:szCs w:val="20"/>
                <w:lang w:eastAsia="en-US"/>
              </w:rPr>
              <w:t>The treatment must be the sole PBS-subsidised therapy for this condition,</w:t>
            </w:r>
          </w:p>
          <w:p w:rsidR="00080A67" w:rsidRDefault="00067E5B" w:rsidP="00366E3B">
            <w:pPr>
              <w:widowControl w:val="0"/>
              <w:spacing w:before="40" w:after="40"/>
              <w:jc w:val="both"/>
              <w:rPr>
                <w:rFonts w:ascii="Arial Narrow" w:hAnsi="Arial Narrow" w:cs="Arial"/>
                <w:snapToGrid w:val="0"/>
                <w:sz w:val="20"/>
                <w:szCs w:val="20"/>
                <w:lang w:eastAsia="en-US"/>
              </w:rPr>
            </w:pPr>
            <w:r>
              <w:rPr>
                <w:rFonts w:ascii="Arial Narrow" w:hAnsi="Arial Narrow" w:cs="Arial"/>
                <w:snapToGrid w:val="0"/>
                <w:sz w:val="20"/>
                <w:szCs w:val="20"/>
                <w:lang w:eastAsia="en-US"/>
              </w:rPr>
              <w:t>AND</w:t>
            </w:r>
          </w:p>
          <w:p w:rsidR="00080A67" w:rsidRPr="00260CE3" w:rsidRDefault="00080A67" w:rsidP="00366E3B">
            <w:pPr>
              <w:widowControl w:val="0"/>
              <w:spacing w:before="40" w:after="40"/>
              <w:jc w:val="both"/>
              <w:rPr>
                <w:rFonts w:ascii="Arial Narrow" w:hAnsi="Arial Narrow" w:cs="Arial"/>
                <w:sz w:val="20"/>
                <w:szCs w:val="20"/>
              </w:rPr>
            </w:pPr>
            <w:r w:rsidRPr="00875D05">
              <w:rPr>
                <w:rFonts w:ascii="Arial Narrow" w:hAnsi="Arial Narrow" w:cs="Arial"/>
                <w:snapToGrid w:val="0"/>
                <w:sz w:val="20"/>
                <w:szCs w:val="20"/>
                <w:lang w:eastAsia="en-US"/>
              </w:rPr>
              <w:t>The treatment must not exceed a total of 6 doses at a dose of 200 mg every 3 weeks.</w:t>
            </w:r>
          </w:p>
        </w:tc>
      </w:tr>
      <w:tr w:rsidR="00080A67" w:rsidRPr="002873B2" w:rsidTr="00554AEF">
        <w:trPr>
          <w:cantSplit/>
          <w:trHeight w:val="360"/>
        </w:trPr>
        <w:tc>
          <w:tcPr>
            <w:tcW w:w="991" w:type="pct"/>
            <w:tcBorders>
              <w:top w:val="single" w:sz="4" w:space="0" w:color="auto"/>
              <w:left w:val="single" w:sz="4" w:space="0" w:color="auto"/>
              <w:bottom w:val="single" w:sz="4" w:space="0" w:color="auto"/>
              <w:right w:val="single" w:sz="4" w:space="0" w:color="auto"/>
            </w:tcBorders>
          </w:tcPr>
          <w:p w:rsidR="00080A67" w:rsidRPr="00260CE3" w:rsidRDefault="00080A67" w:rsidP="00987F08">
            <w:pPr>
              <w:spacing w:before="40" w:after="40"/>
              <w:jc w:val="both"/>
              <w:rPr>
                <w:rFonts w:ascii="Arial Narrow" w:hAnsi="Arial Narrow" w:cs="Arial"/>
                <w:i/>
                <w:sz w:val="20"/>
                <w:szCs w:val="20"/>
              </w:rPr>
            </w:pPr>
            <w:r w:rsidRPr="00260CE3">
              <w:rPr>
                <w:rFonts w:ascii="Arial Narrow" w:hAnsi="Arial Narrow" w:cs="Arial"/>
                <w:b/>
                <w:sz w:val="20"/>
                <w:szCs w:val="20"/>
              </w:rPr>
              <w:t>Administrative Advice</w:t>
            </w:r>
          </w:p>
        </w:tc>
        <w:tc>
          <w:tcPr>
            <w:tcW w:w="4009" w:type="pct"/>
            <w:tcBorders>
              <w:top w:val="single" w:sz="4" w:space="0" w:color="auto"/>
              <w:left w:val="single" w:sz="4" w:space="0" w:color="auto"/>
              <w:bottom w:val="single" w:sz="4" w:space="0" w:color="auto"/>
              <w:right w:val="single" w:sz="4" w:space="0" w:color="auto"/>
            </w:tcBorders>
          </w:tcPr>
          <w:p w:rsidR="00080A67" w:rsidRPr="00875D05" w:rsidRDefault="00080A67" w:rsidP="00366E3B">
            <w:pPr>
              <w:widowControl w:val="0"/>
              <w:spacing w:before="40" w:after="40"/>
              <w:jc w:val="both"/>
              <w:rPr>
                <w:rFonts w:ascii="Arial Narrow" w:hAnsi="Arial Narrow" w:cs="Arial"/>
                <w:snapToGrid w:val="0"/>
                <w:sz w:val="20"/>
                <w:szCs w:val="20"/>
                <w:lang w:eastAsia="en-US"/>
              </w:rPr>
            </w:pPr>
            <w:r w:rsidRPr="00875D05">
              <w:rPr>
                <w:rFonts w:ascii="Arial Narrow" w:hAnsi="Arial Narrow" w:cs="Arial"/>
                <w:snapToGrid w:val="0"/>
                <w:sz w:val="20"/>
                <w:szCs w:val="20"/>
                <w:lang w:eastAsia="en-US"/>
              </w:rPr>
              <w:t>No increase in the maximum number of repeats will be authorised.</w:t>
            </w:r>
          </w:p>
          <w:p w:rsidR="00080A67" w:rsidRPr="00260CE3" w:rsidRDefault="00080A67" w:rsidP="00366E3B">
            <w:pPr>
              <w:widowControl w:val="0"/>
              <w:spacing w:before="40" w:after="40"/>
              <w:jc w:val="both"/>
              <w:rPr>
                <w:rFonts w:ascii="Arial Narrow" w:hAnsi="Arial Narrow" w:cs="Arial"/>
                <w:sz w:val="20"/>
                <w:szCs w:val="20"/>
              </w:rPr>
            </w:pPr>
            <w:r w:rsidRPr="00875D05">
              <w:rPr>
                <w:rFonts w:ascii="Arial Narrow" w:hAnsi="Arial Narrow" w:cs="Arial"/>
                <w:snapToGrid w:val="0"/>
                <w:sz w:val="20"/>
                <w:szCs w:val="20"/>
                <w:lang w:eastAsia="en-US"/>
              </w:rPr>
              <w:t>In the first few months after start of immunotherapy, some patients can have a transient tumour flare with subsequent disease response. When progression is suspected, this should be confirmed through a confirmatory scan, taken at least 4 weeks later</w:t>
            </w:r>
            <w:r>
              <w:rPr>
                <w:rFonts w:ascii="Arial Narrow" w:hAnsi="Arial Narrow" w:cs="Arial"/>
                <w:snapToGrid w:val="0"/>
                <w:sz w:val="20"/>
                <w:szCs w:val="20"/>
                <w:lang w:eastAsia="en-US"/>
              </w:rPr>
              <w:t>.</w:t>
            </w:r>
          </w:p>
        </w:tc>
      </w:tr>
    </w:tbl>
    <w:p w:rsidR="00080A67" w:rsidRPr="002873B2" w:rsidRDefault="00B528F4" w:rsidP="00366E3B">
      <w:pPr>
        <w:keepNext/>
        <w:spacing w:before="120"/>
        <w:rPr>
          <w:rFonts w:ascii="Arial Narrow" w:hAnsi="Arial Narrow"/>
          <w:sz w:val="20"/>
          <w:szCs w:val="20"/>
        </w:rPr>
      </w:pPr>
      <w:r w:rsidRPr="00E17531">
        <w:rPr>
          <w:rFonts w:ascii="Arial Narrow" w:hAnsi="Arial Narrow"/>
          <w:b/>
          <w:sz w:val="20"/>
          <w:szCs w:val="20"/>
          <w:u w:val="single"/>
        </w:rPr>
        <w:lastRenderedPageBreak/>
        <w:t>Treatment phase: Continuing treatment</w:t>
      </w:r>
    </w:p>
    <w:tbl>
      <w:tblPr>
        <w:tblW w:w="4915" w:type="pct"/>
        <w:tblLook w:val="0000" w:firstRow="0" w:lastRow="0" w:firstColumn="0" w:lastColumn="0" w:noHBand="0" w:noVBand="0"/>
      </w:tblPr>
      <w:tblGrid>
        <w:gridCol w:w="1801"/>
        <w:gridCol w:w="7284"/>
      </w:tblGrid>
      <w:tr w:rsidR="00B528F4" w:rsidRPr="002873B2" w:rsidTr="00554AEF">
        <w:trPr>
          <w:cantSplit/>
          <w:trHeight w:val="360"/>
        </w:trPr>
        <w:tc>
          <w:tcPr>
            <w:tcW w:w="991" w:type="pct"/>
            <w:tcBorders>
              <w:top w:val="single" w:sz="4" w:space="0" w:color="auto"/>
              <w:left w:val="single" w:sz="4" w:space="0" w:color="auto"/>
              <w:bottom w:val="single" w:sz="4" w:space="0" w:color="auto"/>
              <w:right w:val="single" w:sz="4" w:space="0" w:color="auto"/>
            </w:tcBorders>
          </w:tcPr>
          <w:p w:rsidR="00B528F4" w:rsidRPr="00646A23" w:rsidRDefault="00B528F4" w:rsidP="00366E3B">
            <w:pPr>
              <w:keepNext/>
              <w:spacing w:before="40" w:after="40"/>
              <w:jc w:val="both"/>
              <w:rPr>
                <w:rFonts w:ascii="Arial Narrow" w:hAnsi="Arial Narrow" w:cs="Arial"/>
                <w:b/>
                <w:sz w:val="20"/>
                <w:szCs w:val="20"/>
              </w:rPr>
            </w:pPr>
            <w:r w:rsidRPr="00646A23">
              <w:rPr>
                <w:rFonts w:ascii="Arial Narrow" w:hAnsi="Arial Narrow" w:cs="Arial"/>
                <w:b/>
                <w:sz w:val="20"/>
                <w:szCs w:val="20"/>
              </w:rPr>
              <w:t>Category / Program</w:t>
            </w:r>
          </w:p>
        </w:tc>
        <w:tc>
          <w:tcPr>
            <w:tcW w:w="4009" w:type="pct"/>
            <w:tcBorders>
              <w:top w:val="single" w:sz="4" w:space="0" w:color="auto"/>
              <w:left w:val="single" w:sz="4" w:space="0" w:color="auto"/>
              <w:bottom w:val="single" w:sz="4" w:space="0" w:color="auto"/>
              <w:right w:val="single" w:sz="4" w:space="0" w:color="auto"/>
            </w:tcBorders>
          </w:tcPr>
          <w:p w:rsidR="00B528F4" w:rsidRPr="00260CE3" w:rsidRDefault="00B528F4" w:rsidP="00366E3B">
            <w:pPr>
              <w:keepNext/>
              <w:spacing w:before="40" w:after="40"/>
              <w:rPr>
                <w:rFonts w:ascii="Arial Narrow" w:hAnsi="Arial Narrow" w:cs="Arial"/>
                <w:sz w:val="20"/>
                <w:szCs w:val="20"/>
              </w:rPr>
            </w:pPr>
            <w:r w:rsidRPr="00260CE3">
              <w:rPr>
                <w:rFonts w:ascii="Arial Narrow" w:hAnsi="Arial Narrow" w:cs="Arial"/>
                <w:sz w:val="20"/>
                <w:szCs w:val="20"/>
              </w:rPr>
              <w:t>Section 100 –</w:t>
            </w:r>
            <w:r>
              <w:rPr>
                <w:rFonts w:ascii="Arial Narrow" w:hAnsi="Arial Narrow" w:cs="Arial"/>
                <w:sz w:val="20"/>
                <w:szCs w:val="20"/>
              </w:rPr>
              <w:t xml:space="preserve"> Efficient funding of </w:t>
            </w:r>
            <w:r w:rsidRPr="00260CE3">
              <w:rPr>
                <w:rFonts w:ascii="Arial Narrow" w:hAnsi="Arial Narrow" w:cs="Arial"/>
                <w:sz w:val="20"/>
                <w:szCs w:val="20"/>
              </w:rPr>
              <w:t>Chemotherapy</w:t>
            </w:r>
          </w:p>
        </w:tc>
      </w:tr>
      <w:tr w:rsidR="00B528F4" w:rsidRPr="002873B2" w:rsidTr="00554AEF">
        <w:trPr>
          <w:cantSplit/>
          <w:trHeight w:val="360"/>
        </w:trPr>
        <w:tc>
          <w:tcPr>
            <w:tcW w:w="991" w:type="pct"/>
            <w:tcBorders>
              <w:top w:val="single" w:sz="4" w:space="0" w:color="auto"/>
              <w:left w:val="single" w:sz="4" w:space="0" w:color="auto"/>
              <w:bottom w:val="single" w:sz="4" w:space="0" w:color="auto"/>
              <w:right w:val="single" w:sz="4" w:space="0" w:color="auto"/>
            </w:tcBorders>
          </w:tcPr>
          <w:p w:rsidR="00B528F4" w:rsidRPr="00260CE3" w:rsidRDefault="00B528F4" w:rsidP="00366E3B">
            <w:pPr>
              <w:keepNext/>
              <w:spacing w:before="40" w:after="40"/>
              <w:jc w:val="both"/>
              <w:rPr>
                <w:rFonts w:ascii="Arial Narrow" w:hAnsi="Arial Narrow" w:cs="Arial"/>
                <w:b/>
                <w:sz w:val="20"/>
                <w:szCs w:val="20"/>
              </w:rPr>
            </w:pPr>
            <w:r w:rsidRPr="00260CE3">
              <w:rPr>
                <w:rFonts w:ascii="Arial Narrow" w:hAnsi="Arial Narrow" w:cs="Arial"/>
                <w:b/>
                <w:sz w:val="20"/>
                <w:szCs w:val="20"/>
              </w:rPr>
              <w:t>Prescriber type:</w:t>
            </w:r>
          </w:p>
        </w:tc>
        <w:tc>
          <w:tcPr>
            <w:tcW w:w="4009" w:type="pct"/>
            <w:tcBorders>
              <w:top w:val="single" w:sz="4" w:space="0" w:color="auto"/>
              <w:left w:val="single" w:sz="4" w:space="0" w:color="auto"/>
              <w:bottom w:val="single" w:sz="4" w:space="0" w:color="auto"/>
              <w:right w:val="single" w:sz="4" w:space="0" w:color="auto"/>
            </w:tcBorders>
          </w:tcPr>
          <w:p w:rsidR="00B528F4" w:rsidRPr="00260CE3" w:rsidRDefault="00B528F4" w:rsidP="00366E3B">
            <w:pPr>
              <w:keepNext/>
              <w:spacing w:before="40" w:after="40"/>
              <w:rPr>
                <w:rFonts w:ascii="Arial Narrow" w:hAnsi="Arial Narrow" w:cs="Arial"/>
                <w:sz w:val="20"/>
                <w:szCs w:val="20"/>
              </w:rPr>
            </w:pPr>
            <w:r w:rsidRPr="00260CE3">
              <w:rPr>
                <w:rFonts w:ascii="Arial Narrow" w:hAnsi="Arial Narrow" w:cs="Arial"/>
                <w:sz w:val="20"/>
                <w:szCs w:val="20"/>
              </w:rPr>
              <w:fldChar w:fldCharType="begin">
                <w:ffData>
                  <w:name w:val="Check1"/>
                  <w:enabled/>
                  <w:calcOnExit w:val="0"/>
                  <w:checkBox>
                    <w:sizeAuto/>
                    <w:default w:val="0"/>
                  </w:checkBox>
                </w:ffData>
              </w:fldChar>
            </w:r>
            <w:r w:rsidRPr="00260CE3">
              <w:rPr>
                <w:rFonts w:ascii="Arial Narrow" w:hAnsi="Arial Narrow" w:cs="Arial"/>
                <w:sz w:val="20"/>
                <w:szCs w:val="20"/>
              </w:rPr>
              <w:instrText xml:space="preserve"> FORMCHECKBOX </w:instrText>
            </w:r>
            <w:r w:rsidR="00B52FA3">
              <w:rPr>
                <w:rFonts w:ascii="Arial Narrow" w:hAnsi="Arial Narrow" w:cs="Arial"/>
                <w:sz w:val="20"/>
                <w:szCs w:val="20"/>
              </w:rPr>
            </w:r>
            <w:r w:rsidR="00B52FA3">
              <w:rPr>
                <w:rFonts w:ascii="Arial Narrow" w:hAnsi="Arial Narrow" w:cs="Arial"/>
                <w:sz w:val="20"/>
                <w:szCs w:val="20"/>
              </w:rPr>
              <w:fldChar w:fldCharType="separate"/>
            </w:r>
            <w:r w:rsidRPr="00260CE3">
              <w:rPr>
                <w:rFonts w:ascii="Arial Narrow" w:hAnsi="Arial Narrow" w:cs="Arial"/>
                <w:sz w:val="20"/>
                <w:szCs w:val="20"/>
              </w:rPr>
              <w:fldChar w:fldCharType="end"/>
            </w:r>
            <w:r w:rsidRPr="00260CE3">
              <w:rPr>
                <w:rFonts w:ascii="Arial Narrow" w:hAnsi="Arial Narrow" w:cs="Arial"/>
                <w:sz w:val="20"/>
                <w:szCs w:val="20"/>
              </w:rPr>
              <w:t xml:space="preserve">Dental  </w:t>
            </w:r>
            <w:r>
              <w:rPr>
                <w:rFonts w:ascii="Arial Narrow" w:hAnsi="Arial Narrow" w:cs="Arial"/>
                <w:sz w:val="20"/>
                <w:szCs w:val="20"/>
              </w:rPr>
              <w:fldChar w:fldCharType="begin">
                <w:ffData>
                  <w:name w:val=""/>
                  <w:enabled/>
                  <w:calcOnExit w:val="0"/>
                  <w:checkBox>
                    <w:sizeAuto/>
                    <w:default w:val="1"/>
                  </w:checkBox>
                </w:ffData>
              </w:fldChar>
            </w:r>
            <w:r>
              <w:rPr>
                <w:rFonts w:ascii="Arial Narrow" w:hAnsi="Arial Narrow" w:cs="Arial"/>
                <w:sz w:val="20"/>
                <w:szCs w:val="20"/>
              </w:rPr>
              <w:instrText xml:space="preserve"> FORMCHECKBOX </w:instrText>
            </w:r>
            <w:r w:rsidR="00B52FA3">
              <w:rPr>
                <w:rFonts w:ascii="Arial Narrow" w:hAnsi="Arial Narrow" w:cs="Arial"/>
                <w:sz w:val="20"/>
                <w:szCs w:val="20"/>
              </w:rPr>
            </w:r>
            <w:r w:rsidR="00B52FA3">
              <w:rPr>
                <w:rFonts w:ascii="Arial Narrow" w:hAnsi="Arial Narrow" w:cs="Arial"/>
                <w:sz w:val="20"/>
                <w:szCs w:val="20"/>
              </w:rPr>
              <w:fldChar w:fldCharType="separate"/>
            </w:r>
            <w:r>
              <w:rPr>
                <w:rFonts w:ascii="Arial Narrow" w:hAnsi="Arial Narrow" w:cs="Arial"/>
                <w:sz w:val="20"/>
                <w:szCs w:val="20"/>
              </w:rPr>
              <w:fldChar w:fldCharType="end"/>
            </w:r>
            <w:r w:rsidRPr="00260CE3">
              <w:rPr>
                <w:rFonts w:ascii="Arial Narrow" w:hAnsi="Arial Narrow" w:cs="Arial"/>
                <w:sz w:val="20"/>
                <w:szCs w:val="20"/>
              </w:rPr>
              <w:t xml:space="preserve">Medical Practitioners  </w:t>
            </w:r>
            <w:r w:rsidRPr="00260CE3">
              <w:rPr>
                <w:rFonts w:ascii="Arial Narrow" w:hAnsi="Arial Narrow" w:cs="Arial"/>
                <w:sz w:val="20"/>
                <w:szCs w:val="20"/>
              </w:rPr>
              <w:fldChar w:fldCharType="begin">
                <w:ffData>
                  <w:name w:val="Check3"/>
                  <w:enabled/>
                  <w:calcOnExit w:val="0"/>
                  <w:checkBox>
                    <w:sizeAuto/>
                    <w:default w:val="0"/>
                  </w:checkBox>
                </w:ffData>
              </w:fldChar>
            </w:r>
            <w:r w:rsidRPr="00260CE3">
              <w:rPr>
                <w:rFonts w:ascii="Arial Narrow" w:hAnsi="Arial Narrow" w:cs="Arial"/>
                <w:sz w:val="20"/>
                <w:szCs w:val="20"/>
              </w:rPr>
              <w:instrText xml:space="preserve"> FORMCHECKBOX </w:instrText>
            </w:r>
            <w:r w:rsidR="00B52FA3">
              <w:rPr>
                <w:rFonts w:ascii="Arial Narrow" w:hAnsi="Arial Narrow" w:cs="Arial"/>
                <w:sz w:val="20"/>
                <w:szCs w:val="20"/>
              </w:rPr>
            </w:r>
            <w:r w:rsidR="00B52FA3">
              <w:rPr>
                <w:rFonts w:ascii="Arial Narrow" w:hAnsi="Arial Narrow" w:cs="Arial"/>
                <w:sz w:val="20"/>
                <w:szCs w:val="20"/>
              </w:rPr>
              <w:fldChar w:fldCharType="separate"/>
            </w:r>
            <w:r w:rsidRPr="00260CE3">
              <w:rPr>
                <w:rFonts w:ascii="Arial Narrow" w:hAnsi="Arial Narrow" w:cs="Arial"/>
                <w:sz w:val="20"/>
                <w:szCs w:val="20"/>
              </w:rPr>
              <w:fldChar w:fldCharType="end"/>
            </w:r>
            <w:r w:rsidRPr="00260CE3">
              <w:rPr>
                <w:rFonts w:ascii="Arial Narrow" w:hAnsi="Arial Narrow" w:cs="Arial"/>
                <w:sz w:val="20"/>
                <w:szCs w:val="20"/>
              </w:rPr>
              <w:t xml:space="preserve">Nurse practitioners  </w:t>
            </w:r>
            <w:r w:rsidRPr="00260CE3">
              <w:rPr>
                <w:rFonts w:ascii="Arial Narrow" w:hAnsi="Arial Narrow" w:cs="Arial"/>
                <w:sz w:val="20"/>
                <w:szCs w:val="20"/>
              </w:rPr>
              <w:fldChar w:fldCharType="begin">
                <w:ffData>
                  <w:name w:val=""/>
                  <w:enabled/>
                  <w:calcOnExit w:val="0"/>
                  <w:checkBox>
                    <w:sizeAuto/>
                    <w:default w:val="0"/>
                  </w:checkBox>
                </w:ffData>
              </w:fldChar>
            </w:r>
            <w:r w:rsidRPr="00260CE3">
              <w:rPr>
                <w:rFonts w:ascii="Arial Narrow" w:hAnsi="Arial Narrow" w:cs="Arial"/>
                <w:sz w:val="20"/>
                <w:szCs w:val="20"/>
              </w:rPr>
              <w:instrText xml:space="preserve"> FORMCHECKBOX </w:instrText>
            </w:r>
            <w:r w:rsidR="00B52FA3">
              <w:rPr>
                <w:rFonts w:ascii="Arial Narrow" w:hAnsi="Arial Narrow" w:cs="Arial"/>
                <w:sz w:val="20"/>
                <w:szCs w:val="20"/>
              </w:rPr>
            </w:r>
            <w:r w:rsidR="00B52FA3">
              <w:rPr>
                <w:rFonts w:ascii="Arial Narrow" w:hAnsi="Arial Narrow" w:cs="Arial"/>
                <w:sz w:val="20"/>
                <w:szCs w:val="20"/>
              </w:rPr>
              <w:fldChar w:fldCharType="separate"/>
            </w:r>
            <w:r w:rsidRPr="00260CE3">
              <w:rPr>
                <w:rFonts w:ascii="Arial Narrow" w:hAnsi="Arial Narrow" w:cs="Arial"/>
                <w:sz w:val="20"/>
                <w:szCs w:val="20"/>
              </w:rPr>
              <w:fldChar w:fldCharType="end"/>
            </w:r>
            <w:r w:rsidRPr="00260CE3">
              <w:rPr>
                <w:rFonts w:ascii="Arial Narrow" w:hAnsi="Arial Narrow" w:cs="Arial"/>
                <w:sz w:val="20"/>
                <w:szCs w:val="20"/>
              </w:rPr>
              <w:t>Optometrists</w:t>
            </w:r>
            <w:r>
              <w:rPr>
                <w:rFonts w:ascii="Arial Narrow" w:hAnsi="Arial Narrow" w:cs="Arial"/>
                <w:sz w:val="20"/>
                <w:szCs w:val="20"/>
              </w:rPr>
              <w:t xml:space="preserve"> </w:t>
            </w:r>
            <w:r w:rsidRPr="00260CE3">
              <w:rPr>
                <w:rFonts w:ascii="Arial Narrow" w:hAnsi="Arial Narrow" w:cs="Arial"/>
                <w:sz w:val="20"/>
                <w:szCs w:val="20"/>
              </w:rPr>
              <w:fldChar w:fldCharType="begin">
                <w:ffData>
                  <w:name w:val="Check5"/>
                  <w:enabled/>
                  <w:calcOnExit w:val="0"/>
                  <w:checkBox>
                    <w:sizeAuto/>
                    <w:default w:val="0"/>
                  </w:checkBox>
                </w:ffData>
              </w:fldChar>
            </w:r>
            <w:r w:rsidRPr="00260CE3">
              <w:rPr>
                <w:rFonts w:ascii="Arial Narrow" w:hAnsi="Arial Narrow" w:cs="Arial"/>
                <w:sz w:val="20"/>
                <w:szCs w:val="20"/>
              </w:rPr>
              <w:instrText xml:space="preserve"> FORMCHECKBOX </w:instrText>
            </w:r>
            <w:r w:rsidR="00B52FA3">
              <w:rPr>
                <w:rFonts w:ascii="Arial Narrow" w:hAnsi="Arial Narrow" w:cs="Arial"/>
                <w:sz w:val="20"/>
                <w:szCs w:val="20"/>
              </w:rPr>
            </w:r>
            <w:r w:rsidR="00B52FA3">
              <w:rPr>
                <w:rFonts w:ascii="Arial Narrow" w:hAnsi="Arial Narrow" w:cs="Arial"/>
                <w:sz w:val="20"/>
                <w:szCs w:val="20"/>
              </w:rPr>
              <w:fldChar w:fldCharType="separate"/>
            </w:r>
            <w:r w:rsidRPr="00260CE3">
              <w:rPr>
                <w:rFonts w:ascii="Arial Narrow" w:hAnsi="Arial Narrow" w:cs="Arial"/>
                <w:sz w:val="20"/>
                <w:szCs w:val="20"/>
              </w:rPr>
              <w:fldChar w:fldCharType="end"/>
            </w:r>
            <w:r w:rsidRPr="00260CE3">
              <w:rPr>
                <w:rFonts w:ascii="Arial Narrow" w:hAnsi="Arial Narrow" w:cs="Arial"/>
                <w:sz w:val="20"/>
                <w:szCs w:val="20"/>
              </w:rPr>
              <w:t>Midwives</w:t>
            </w:r>
          </w:p>
        </w:tc>
      </w:tr>
      <w:tr w:rsidR="00B528F4" w:rsidRPr="002873B2" w:rsidTr="00554AEF">
        <w:trPr>
          <w:cantSplit/>
          <w:trHeight w:val="360"/>
        </w:trPr>
        <w:tc>
          <w:tcPr>
            <w:tcW w:w="991" w:type="pct"/>
            <w:tcBorders>
              <w:top w:val="single" w:sz="4" w:space="0" w:color="auto"/>
              <w:left w:val="single" w:sz="4" w:space="0" w:color="auto"/>
              <w:bottom w:val="single" w:sz="4" w:space="0" w:color="auto"/>
              <w:right w:val="single" w:sz="4" w:space="0" w:color="auto"/>
            </w:tcBorders>
          </w:tcPr>
          <w:p w:rsidR="00B528F4" w:rsidRPr="00260CE3" w:rsidRDefault="00B528F4" w:rsidP="00554AEF">
            <w:pPr>
              <w:spacing w:before="40" w:after="40"/>
              <w:jc w:val="both"/>
              <w:rPr>
                <w:rFonts w:ascii="Arial Narrow" w:hAnsi="Arial Narrow" w:cs="Arial"/>
                <w:b/>
                <w:sz w:val="20"/>
                <w:szCs w:val="20"/>
              </w:rPr>
            </w:pPr>
            <w:r w:rsidRPr="00260CE3">
              <w:rPr>
                <w:rFonts w:ascii="Arial Narrow" w:hAnsi="Arial Narrow" w:cs="Arial"/>
                <w:b/>
                <w:sz w:val="20"/>
                <w:szCs w:val="20"/>
              </w:rPr>
              <w:t>Severity:</w:t>
            </w:r>
          </w:p>
        </w:tc>
        <w:tc>
          <w:tcPr>
            <w:tcW w:w="4009" w:type="pct"/>
            <w:tcBorders>
              <w:top w:val="single" w:sz="4" w:space="0" w:color="auto"/>
              <w:left w:val="single" w:sz="4" w:space="0" w:color="auto"/>
              <w:bottom w:val="single" w:sz="4" w:space="0" w:color="auto"/>
              <w:right w:val="single" w:sz="4" w:space="0" w:color="auto"/>
            </w:tcBorders>
          </w:tcPr>
          <w:p w:rsidR="00B528F4" w:rsidRPr="00260CE3" w:rsidRDefault="00B528F4" w:rsidP="00554AEF">
            <w:pPr>
              <w:spacing w:before="40" w:after="40"/>
              <w:rPr>
                <w:rFonts w:ascii="Arial Narrow" w:hAnsi="Arial Narrow" w:cs="Arial"/>
                <w:sz w:val="20"/>
                <w:szCs w:val="20"/>
              </w:rPr>
            </w:pPr>
            <w:proofErr w:type="spellStart"/>
            <w:r w:rsidRPr="00975603">
              <w:rPr>
                <w:rFonts w:ascii="Arial Narrow" w:hAnsi="Arial Narrow"/>
                <w:sz w:val="20"/>
              </w:rPr>
              <w:t>Unresectable</w:t>
            </w:r>
            <w:proofErr w:type="spellEnd"/>
            <w:r w:rsidRPr="00975603">
              <w:rPr>
                <w:rFonts w:ascii="Arial Narrow" w:hAnsi="Arial Narrow"/>
                <w:sz w:val="20"/>
              </w:rPr>
              <w:t xml:space="preserve"> Stage III or Stage IV</w:t>
            </w:r>
          </w:p>
        </w:tc>
      </w:tr>
      <w:tr w:rsidR="00B528F4" w:rsidRPr="002873B2" w:rsidTr="00554AEF">
        <w:trPr>
          <w:cantSplit/>
          <w:trHeight w:val="360"/>
        </w:trPr>
        <w:tc>
          <w:tcPr>
            <w:tcW w:w="991" w:type="pct"/>
            <w:tcBorders>
              <w:top w:val="single" w:sz="4" w:space="0" w:color="auto"/>
              <w:left w:val="single" w:sz="4" w:space="0" w:color="auto"/>
              <w:bottom w:val="single" w:sz="4" w:space="0" w:color="auto"/>
              <w:right w:val="single" w:sz="4" w:space="0" w:color="auto"/>
            </w:tcBorders>
          </w:tcPr>
          <w:p w:rsidR="00B528F4" w:rsidRPr="00260CE3" w:rsidRDefault="00B528F4" w:rsidP="00554AEF">
            <w:pPr>
              <w:spacing w:before="40" w:after="40"/>
              <w:jc w:val="both"/>
              <w:rPr>
                <w:rFonts w:ascii="Arial Narrow" w:hAnsi="Arial Narrow" w:cs="Arial"/>
                <w:b/>
                <w:sz w:val="20"/>
                <w:szCs w:val="20"/>
              </w:rPr>
            </w:pPr>
            <w:r w:rsidRPr="00260CE3">
              <w:rPr>
                <w:rFonts w:ascii="Arial Narrow" w:hAnsi="Arial Narrow" w:cs="Arial"/>
                <w:b/>
                <w:sz w:val="20"/>
                <w:szCs w:val="20"/>
              </w:rPr>
              <w:t>Condition:</w:t>
            </w:r>
          </w:p>
        </w:tc>
        <w:tc>
          <w:tcPr>
            <w:tcW w:w="4009" w:type="pct"/>
            <w:tcBorders>
              <w:top w:val="single" w:sz="4" w:space="0" w:color="auto"/>
              <w:left w:val="single" w:sz="4" w:space="0" w:color="auto"/>
              <w:bottom w:val="single" w:sz="4" w:space="0" w:color="auto"/>
              <w:right w:val="single" w:sz="4" w:space="0" w:color="auto"/>
            </w:tcBorders>
          </w:tcPr>
          <w:p w:rsidR="00B528F4" w:rsidRPr="00260CE3" w:rsidRDefault="00B528F4" w:rsidP="00554AEF">
            <w:pPr>
              <w:spacing w:before="40" w:after="40"/>
              <w:rPr>
                <w:rFonts w:ascii="Arial Narrow" w:hAnsi="Arial Narrow" w:cs="Arial"/>
                <w:sz w:val="20"/>
                <w:szCs w:val="20"/>
              </w:rPr>
            </w:pPr>
            <w:r>
              <w:rPr>
                <w:rFonts w:ascii="Arial Narrow" w:hAnsi="Arial Narrow" w:cs="Arial"/>
                <w:i/>
                <w:sz w:val="20"/>
                <w:szCs w:val="20"/>
              </w:rPr>
              <w:t>M</w:t>
            </w:r>
            <w:r w:rsidRPr="00816635">
              <w:rPr>
                <w:rFonts w:ascii="Arial Narrow" w:hAnsi="Arial Narrow" w:cs="Arial"/>
                <w:i/>
                <w:sz w:val="20"/>
                <w:szCs w:val="20"/>
              </w:rPr>
              <w:t>alignant</w:t>
            </w:r>
            <w:r>
              <w:rPr>
                <w:rFonts w:ascii="Arial Narrow" w:hAnsi="Arial Narrow" w:cs="Arial"/>
                <w:sz w:val="20"/>
                <w:szCs w:val="20"/>
              </w:rPr>
              <w:t xml:space="preserve"> </w:t>
            </w:r>
            <w:proofErr w:type="spellStart"/>
            <w:r w:rsidRPr="00646A23">
              <w:rPr>
                <w:rFonts w:ascii="Arial Narrow" w:hAnsi="Arial Narrow" w:cs="Arial"/>
                <w:i/>
                <w:strike/>
                <w:sz w:val="20"/>
                <w:szCs w:val="20"/>
              </w:rPr>
              <w:t>M</w:t>
            </w:r>
            <w:r>
              <w:rPr>
                <w:rFonts w:ascii="Arial Narrow" w:hAnsi="Arial Narrow" w:cs="Arial"/>
                <w:i/>
                <w:sz w:val="20"/>
                <w:szCs w:val="20"/>
              </w:rPr>
              <w:t>m</w:t>
            </w:r>
            <w:r w:rsidRPr="00646A23">
              <w:rPr>
                <w:rFonts w:ascii="Arial Narrow" w:hAnsi="Arial Narrow" w:cs="Arial"/>
                <w:i/>
                <w:sz w:val="20"/>
                <w:szCs w:val="20"/>
              </w:rPr>
              <w:t>elanoma</w:t>
            </w:r>
            <w:proofErr w:type="spellEnd"/>
            <w:r>
              <w:rPr>
                <w:rFonts w:ascii="Arial Narrow" w:hAnsi="Arial Narrow" w:cs="Arial"/>
                <w:sz w:val="20"/>
                <w:szCs w:val="20"/>
              </w:rPr>
              <w:t xml:space="preserve"> </w:t>
            </w:r>
          </w:p>
        </w:tc>
      </w:tr>
      <w:tr w:rsidR="00B528F4" w:rsidRPr="002873B2" w:rsidTr="00554AEF">
        <w:trPr>
          <w:cantSplit/>
          <w:trHeight w:val="360"/>
        </w:trPr>
        <w:tc>
          <w:tcPr>
            <w:tcW w:w="991" w:type="pct"/>
            <w:tcBorders>
              <w:top w:val="single" w:sz="4" w:space="0" w:color="auto"/>
              <w:left w:val="single" w:sz="4" w:space="0" w:color="auto"/>
              <w:bottom w:val="single" w:sz="4" w:space="0" w:color="auto"/>
              <w:right w:val="single" w:sz="4" w:space="0" w:color="auto"/>
            </w:tcBorders>
          </w:tcPr>
          <w:p w:rsidR="00B528F4" w:rsidRPr="00260CE3" w:rsidRDefault="00B528F4" w:rsidP="00554AEF">
            <w:pPr>
              <w:spacing w:before="40" w:after="40"/>
              <w:jc w:val="both"/>
              <w:rPr>
                <w:rFonts w:ascii="Arial Narrow" w:hAnsi="Arial Narrow" w:cs="Arial"/>
                <w:b/>
                <w:sz w:val="20"/>
                <w:szCs w:val="20"/>
              </w:rPr>
            </w:pPr>
            <w:r w:rsidRPr="00260CE3">
              <w:rPr>
                <w:rFonts w:ascii="Arial Narrow" w:hAnsi="Arial Narrow" w:cs="Arial"/>
                <w:b/>
                <w:sz w:val="20"/>
                <w:szCs w:val="20"/>
              </w:rPr>
              <w:t>PBS Indication:</w:t>
            </w:r>
          </w:p>
        </w:tc>
        <w:tc>
          <w:tcPr>
            <w:tcW w:w="4009" w:type="pct"/>
            <w:tcBorders>
              <w:top w:val="single" w:sz="4" w:space="0" w:color="auto"/>
              <w:left w:val="single" w:sz="4" w:space="0" w:color="auto"/>
              <w:bottom w:val="single" w:sz="4" w:space="0" w:color="auto"/>
              <w:right w:val="single" w:sz="4" w:space="0" w:color="auto"/>
            </w:tcBorders>
          </w:tcPr>
          <w:p w:rsidR="00B528F4" w:rsidRPr="00260CE3" w:rsidRDefault="00B528F4" w:rsidP="00554AEF">
            <w:pPr>
              <w:spacing w:before="40" w:after="40"/>
              <w:rPr>
                <w:rFonts w:ascii="Arial Narrow" w:hAnsi="Arial Narrow" w:cs="Arial"/>
                <w:sz w:val="20"/>
                <w:szCs w:val="20"/>
              </w:rPr>
            </w:pPr>
            <w:proofErr w:type="spellStart"/>
            <w:r w:rsidRPr="00975603">
              <w:rPr>
                <w:rFonts w:ascii="Arial Narrow" w:hAnsi="Arial Narrow"/>
                <w:sz w:val="20"/>
              </w:rPr>
              <w:t>Unresectable</w:t>
            </w:r>
            <w:proofErr w:type="spellEnd"/>
            <w:r w:rsidRPr="00975603">
              <w:rPr>
                <w:rFonts w:ascii="Arial Narrow" w:hAnsi="Arial Narrow"/>
                <w:sz w:val="20"/>
              </w:rPr>
              <w:t xml:space="preserve"> Stage III or Stage IV malignant melanoma</w:t>
            </w:r>
          </w:p>
        </w:tc>
      </w:tr>
      <w:tr w:rsidR="00B528F4" w:rsidRPr="002873B2" w:rsidTr="00554AEF">
        <w:trPr>
          <w:cantSplit/>
          <w:trHeight w:val="360"/>
        </w:trPr>
        <w:tc>
          <w:tcPr>
            <w:tcW w:w="991" w:type="pct"/>
            <w:tcBorders>
              <w:top w:val="single" w:sz="4" w:space="0" w:color="auto"/>
              <w:left w:val="single" w:sz="4" w:space="0" w:color="auto"/>
              <w:bottom w:val="single" w:sz="4" w:space="0" w:color="auto"/>
              <w:right w:val="single" w:sz="4" w:space="0" w:color="auto"/>
            </w:tcBorders>
          </w:tcPr>
          <w:p w:rsidR="00B528F4" w:rsidRPr="00260CE3" w:rsidRDefault="00B528F4" w:rsidP="00554AEF">
            <w:pPr>
              <w:spacing w:before="40" w:after="40"/>
              <w:jc w:val="both"/>
              <w:rPr>
                <w:rFonts w:ascii="Arial Narrow" w:hAnsi="Arial Narrow" w:cs="Arial"/>
                <w:i/>
                <w:sz w:val="20"/>
                <w:szCs w:val="20"/>
              </w:rPr>
            </w:pPr>
            <w:r w:rsidRPr="00260CE3">
              <w:rPr>
                <w:rFonts w:ascii="Arial Narrow" w:hAnsi="Arial Narrow" w:cs="Arial"/>
                <w:b/>
                <w:sz w:val="20"/>
                <w:szCs w:val="20"/>
              </w:rPr>
              <w:t>Treatment phase:</w:t>
            </w:r>
          </w:p>
        </w:tc>
        <w:tc>
          <w:tcPr>
            <w:tcW w:w="4009" w:type="pct"/>
            <w:tcBorders>
              <w:top w:val="single" w:sz="4" w:space="0" w:color="auto"/>
              <w:left w:val="single" w:sz="4" w:space="0" w:color="auto"/>
              <w:bottom w:val="single" w:sz="4" w:space="0" w:color="auto"/>
              <w:right w:val="single" w:sz="4" w:space="0" w:color="auto"/>
            </w:tcBorders>
          </w:tcPr>
          <w:p w:rsidR="00B528F4" w:rsidRPr="00260CE3" w:rsidRDefault="00B528F4" w:rsidP="00554AEF">
            <w:pPr>
              <w:spacing w:before="40" w:after="40"/>
              <w:rPr>
                <w:rFonts w:ascii="Arial Narrow" w:hAnsi="Arial Narrow" w:cs="Arial"/>
                <w:sz w:val="20"/>
                <w:szCs w:val="20"/>
              </w:rPr>
            </w:pPr>
            <w:r>
              <w:rPr>
                <w:rFonts w:ascii="Arial Narrow" w:hAnsi="Arial Narrow" w:cs="Arial"/>
                <w:sz w:val="20"/>
                <w:szCs w:val="20"/>
              </w:rPr>
              <w:t>Continuing</w:t>
            </w:r>
          </w:p>
        </w:tc>
      </w:tr>
      <w:tr w:rsidR="00B528F4" w:rsidRPr="002873B2" w:rsidTr="00554AEF">
        <w:trPr>
          <w:cantSplit/>
          <w:trHeight w:val="360"/>
        </w:trPr>
        <w:tc>
          <w:tcPr>
            <w:tcW w:w="991" w:type="pct"/>
            <w:tcBorders>
              <w:top w:val="single" w:sz="4" w:space="0" w:color="auto"/>
              <w:left w:val="single" w:sz="4" w:space="0" w:color="auto"/>
              <w:bottom w:val="single" w:sz="4" w:space="0" w:color="auto"/>
              <w:right w:val="single" w:sz="4" w:space="0" w:color="auto"/>
            </w:tcBorders>
          </w:tcPr>
          <w:p w:rsidR="00B528F4" w:rsidRPr="00260CE3" w:rsidRDefault="00B528F4" w:rsidP="00987F08">
            <w:pPr>
              <w:spacing w:before="40" w:after="40"/>
              <w:jc w:val="both"/>
              <w:rPr>
                <w:rFonts w:ascii="Arial Narrow" w:hAnsi="Arial Narrow" w:cs="Arial"/>
                <w:sz w:val="20"/>
                <w:szCs w:val="20"/>
              </w:rPr>
            </w:pPr>
            <w:r w:rsidRPr="00260CE3">
              <w:rPr>
                <w:rFonts w:ascii="Arial Narrow" w:hAnsi="Arial Narrow" w:cs="Arial"/>
                <w:b/>
                <w:sz w:val="20"/>
                <w:szCs w:val="20"/>
              </w:rPr>
              <w:t>Restriction</w:t>
            </w:r>
            <w:r>
              <w:rPr>
                <w:rFonts w:ascii="Arial Narrow" w:hAnsi="Arial Narrow" w:cs="Arial"/>
                <w:b/>
                <w:sz w:val="20"/>
                <w:szCs w:val="20"/>
              </w:rPr>
              <w:t xml:space="preserve"> Level / Method</w:t>
            </w:r>
            <w:r w:rsidRPr="00260CE3">
              <w:rPr>
                <w:rFonts w:ascii="Arial Narrow" w:hAnsi="Arial Narrow" w:cs="Arial"/>
                <w:b/>
                <w:sz w:val="20"/>
                <w:szCs w:val="20"/>
              </w:rPr>
              <w:t>:</w:t>
            </w:r>
          </w:p>
        </w:tc>
        <w:tc>
          <w:tcPr>
            <w:tcW w:w="4009" w:type="pct"/>
            <w:tcBorders>
              <w:top w:val="single" w:sz="4" w:space="0" w:color="auto"/>
              <w:left w:val="single" w:sz="4" w:space="0" w:color="auto"/>
              <w:bottom w:val="single" w:sz="4" w:space="0" w:color="auto"/>
              <w:right w:val="single" w:sz="4" w:space="0" w:color="auto"/>
            </w:tcBorders>
          </w:tcPr>
          <w:p w:rsidR="00B528F4" w:rsidRPr="00E17531" w:rsidRDefault="00B528F4" w:rsidP="00554AEF">
            <w:pPr>
              <w:spacing w:before="40" w:after="40"/>
              <w:rPr>
                <w:rFonts w:ascii="Arial Narrow" w:hAnsi="Arial Narrow"/>
                <w:sz w:val="20"/>
              </w:rPr>
            </w:pPr>
            <w:r w:rsidRPr="00E17531">
              <w:rPr>
                <w:rFonts w:ascii="Arial Narrow" w:hAnsi="Arial Narrow"/>
                <w:sz w:val="20"/>
              </w:rPr>
              <w:fldChar w:fldCharType="begin">
                <w:ffData>
                  <w:name w:val="Check1"/>
                  <w:enabled/>
                  <w:calcOnExit w:val="0"/>
                  <w:checkBox>
                    <w:sizeAuto/>
                    <w:default w:val="0"/>
                  </w:checkBox>
                </w:ffData>
              </w:fldChar>
            </w:r>
            <w:r w:rsidRPr="00E17531">
              <w:rPr>
                <w:rFonts w:ascii="Arial Narrow" w:hAnsi="Arial Narrow"/>
                <w:sz w:val="20"/>
              </w:rPr>
              <w:instrText xml:space="preserve"> FORMCHECKBOX </w:instrText>
            </w:r>
            <w:r w:rsidR="00B52FA3">
              <w:rPr>
                <w:rFonts w:ascii="Arial Narrow" w:hAnsi="Arial Narrow"/>
                <w:sz w:val="20"/>
              </w:rPr>
            </w:r>
            <w:r w:rsidR="00B52FA3">
              <w:rPr>
                <w:rFonts w:ascii="Arial Narrow" w:hAnsi="Arial Narrow"/>
                <w:sz w:val="20"/>
              </w:rPr>
              <w:fldChar w:fldCharType="separate"/>
            </w:r>
            <w:r w:rsidRPr="00E17531">
              <w:rPr>
                <w:rFonts w:ascii="Arial Narrow" w:hAnsi="Arial Narrow"/>
                <w:sz w:val="20"/>
              </w:rPr>
              <w:fldChar w:fldCharType="end"/>
            </w:r>
            <w:r w:rsidRPr="00E17531">
              <w:rPr>
                <w:rFonts w:ascii="Arial Narrow" w:hAnsi="Arial Narrow"/>
                <w:sz w:val="20"/>
              </w:rPr>
              <w:t>Restricted benefit</w:t>
            </w:r>
          </w:p>
          <w:p w:rsidR="00B528F4" w:rsidRPr="00E17531" w:rsidRDefault="00B528F4" w:rsidP="00554AEF">
            <w:pPr>
              <w:spacing w:before="40" w:after="40"/>
              <w:rPr>
                <w:rFonts w:ascii="Arial Narrow" w:hAnsi="Arial Narrow"/>
                <w:sz w:val="20"/>
              </w:rPr>
            </w:pPr>
            <w:r w:rsidRPr="00E17531">
              <w:rPr>
                <w:rFonts w:ascii="Arial Narrow" w:hAnsi="Arial Narrow"/>
                <w:sz w:val="20"/>
              </w:rPr>
              <w:fldChar w:fldCharType="begin">
                <w:ffData>
                  <w:name w:val=""/>
                  <w:enabled/>
                  <w:calcOnExit w:val="0"/>
                  <w:checkBox>
                    <w:sizeAuto/>
                    <w:default w:val="0"/>
                  </w:checkBox>
                </w:ffData>
              </w:fldChar>
            </w:r>
            <w:r w:rsidRPr="00E17531">
              <w:rPr>
                <w:rFonts w:ascii="Arial Narrow" w:hAnsi="Arial Narrow"/>
                <w:sz w:val="20"/>
              </w:rPr>
              <w:instrText xml:space="preserve"> FORMCHECKBOX </w:instrText>
            </w:r>
            <w:r w:rsidR="00B52FA3">
              <w:rPr>
                <w:rFonts w:ascii="Arial Narrow" w:hAnsi="Arial Narrow"/>
                <w:sz w:val="20"/>
              </w:rPr>
            </w:r>
            <w:r w:rsidR="00B52FA3">
              <w:rPr>
                <w:rFonts w:ascii="Arial Narrow" w:hAnsi="Arial Narrow"/>
                <w:sz w:val="20"/>
              </w:rPr>
              <w:fldChar w:fldCharType="separate"/>
            </w:r>
            <w:r w:rsidRPr="00E17531">
              <w:rPr>
                <w:rFonts w:ascii="Arial Narrow" w:hAnsi="Arial Narrow"/>
                <w:sz w:val="20"/>
              </w:rPr>
              <w:fldChar w:fldCharType="end"/>
            </w:r>
            <w:r w:rsidRPr="00E17531">
              <w:rPr>
                <w:rFonts w:ascii="Arial Narrow" w:hAnsi="Arial Narrow"/>
                <w:sz w:val="20"/>
              </w:rPr>
              <w:t>Authority Required - In Writing</w:t>
            </w:r>
          </w:p>
          <w:p w:rsidR="00B528F4" w:rsidRPr="00E17531" w:rsidRDefault="00B528F4" w:rsidP="00554AEF">
            <w:pPr>
              <w:spacing w:before="40" w:after="40"/>
              <w:rPr>
                <w:rFonts w:ascii="Arial Narrow" w:hAnsi="Arial Narrow"/>
                <w:sz w:val="20"/>
              </w:rPr>
            </w:pPr>
            <w:r w:rsidRPr="00E17531">
              <w:rPr>
                <w:rFonts w:ascii="Arial Narrow" w:hAnsi="Arial Narrow"/>
                <w:sz w:val="20"/>
              </w:rPr>
              <w:fldChar w:fldCharType="begin">
                <w:ffData>
                  <w:name w:val="Check3"/>
                  <w:enabled/>
                  <w:calcOnExit w:val="0"/>
                  <w:checkBox>
                    <w:sizeAuto/>
                    <w:default w:val="0"/>
                  </w:checkBox>
                </w:ffData>
              </w:fldChar>
            </w:r>
            <w:r w:rsidRPr="00E17531">
              <w:rPr>
                <w:rFonts w:ascii="Arial Narrow" w:hAnsi="Arial Narrow"/>
                <w:sz w:val="20"/>
              </w:rPr>
              <w:instrText xml:space="preserve"> FORMCHECKBOX </w:instrText>
            </w:r>
            <w:r w:rsidR="00B52FA3">
              <w:rPr>
                <w:rFonts w:ascii="Arial Narrow" w:hAnsi="Arial Narrow"/>
                <w:sz w:val="20"/>
              </w:rPr>
            </w:r>
            <w:r w:rsidR="00B52FA3">
              <w:rPr>
                <w:rFonts w:ascii="Arial Narrow" w:hAnsi="Arial Narrow"/>
                <w:sz w:val="20"/>
              </w:rPr>
              <w:fldChar w:fldCharType="separate"/>
            </w:r>
            <w:r w:rsidRPr="00E17531">
              <w:rPr>
                <w:rFonts w:ascii="Arial Narrow" w:hAnsi="Arial Narrow"/>
                <w:sz w:val="20"/>
              </w:rPr>
              <w:fldChar w:fldCharType="end"/>
            </w:r>
            <w:r w:rsidRPr="00E17531">
              <w:rPr>
                <w:rFonts w:ascii="Arial Narrow" w:hAnsi="Arial Narrow"/>
                <w:sz w:val="20"/>
              </w:rPr>
              <w:t>Authority Required - Telephone</w:t>
            </w:r>
          </w:p>
          <w:p w:rsidR="00B528F4" w:rsidRPr="00E17531" w:rsidRDefault="00B528F4" w:rsidP="00554AEF">
            <w:pPr>
              <w:spacing w:before="40" w:after="40"/>
              <w:rPr>
                <w:rFonts w:ascii="Arial Narrow" w:hAnsi="Arial Narrow"/>
                <w:sz w:val="20"/>
              </w:rPr>
            </w:pPr>
            <w:r w:rsidRPr="00E17531">
              <w:rPr>
                <w:rFonts w:ascii="Arial Narrow" w:hAnsi="Arial Narrow"/>
                <w:sz w:val="20"/>
              </w:rPr>
              <w:fldChar w:fldCharType="begin">
                <w:ffData>
                  <w:name w:val=""/>
                  <w:enabled/>
                  <w:calcOnExit w:val="0"/>
                  <w:checkBox>
                    <w:sizeAuto/>
                    <w:default w:val="0"/>
                  </w:checkBox>
                </w:ffData>
              </w:fldChar>
            </w:r>
            <w:r w:rsidRPr="00E17531">
              <w:rPr>
                <w:rFonts w:ascii="Arial Narrow" w:hAnsi="Arial Narrow"/>
                <w:sz w:val="20"/>
              </w:rPr>
              <w:instrText xml:space="preserve"> FORMCHECKBOX </w:instrText>
            </w:r>
            <w:r w:rsidR="00B52FA3">
              <w:rPr>
                <w:rFonts w:ascii="Arial Narrow" w:hAnsi="Arial Narrow"/>
                <w:sz w:val="20"/>
              </w:rPr>
            </w:r>
            <w:r w:rsidR="00B52FA3">
              <w:rPr>
                <w:rFonts w:ascii="Arial Narrow" w:hAnsi="Arial Narrow"/>
                <w:sz w:val="20"/>
              </w:rPr>
              <w:fldChar w:fldCharType="separate"/>
            </w:r>
            <w:r w:rsidRPr="00E17531">
              <w:rPr>
                <w:rFonts w:ascii="Arial Narrow" w:hAnsi="Arial Narrow"/>
                <w:sz w:val="20"/>
              </w:rPr>
              <w:fldChar w:fldCharType="end"/>
            </w:r>
            <w:r w:rsidRPr="00E17531">
              <w:rPr>
                <w:rFonts w:ascii="Arial Narrow" w:hAnsi="Arial Narrow"/>
                <w:sz w:val="20"/>
              </w:rPr>
              <w:t>Authority Required – Emergency</w:t>
            </w:r>
          </w:p>
          <w:p w:rsidR="00B528F4" w:rsidRPr="00E17531" w:rsidRDefault="00B528F4" w:rsidP="00554AEF">
            <w:pPr>
              <w:spacing w:before="40" w:after="40"/>
              <w:rPr>
                <w:rFonts w:ascii="Arial Narrow" w:hAnsi="Arial Narrow"/>
                <w:sz w:val="20"/>
              </w:rPr>
            </w:pPr>
            <w:r w:rsidRPr="00E17531">
              <w:rPr>
                <w:rFonts w:ascii="Arial Narrow" w:hAnsi="Arial Narrow"/>
                <w:sz w:val="20"/>
              </w:rPr>
              <w:fldChar w:fldCharType="begin">
                <w:ffData>
                  <w:name w:val="Check5"/>
                  <w:enabled/>
                  <w:calcOnExit w:val="0"/>
                  <w:checkBox>
                    <w:sizeAuto/>
                    <w:default w:val="0"/>
                  </w:checkBox>
                </w:ffData>
              </w:fldChar>
            </w:r>
            <w:r w:rsidRPr="00E17531">
              <w:rPr>
                <w:rFonts w:ascii="Arial Narrow" w:hAnsi="Arial Narrow"/>
                <w:sz w:val="20"/>
              </w:rPr>
              <w:instrText xml:space="preserve"> FORMCHECKBOX </w:instrText>
            </w:r>
            <w:r w:rsidR="00B52FA3">
              <w:rPr>
                <w:rFonts w:ascii="Arial Narrow" w:hAnsi="Arial Narrow"/>
                <w:sz w:val="20"/>
              </w:rPr>
            </w:r>
            <w:r w:rsidR="00B52FA3">
              <w:rPr>
                <w:rFonts w:ascii="Arial Narrow" w:hAnsi="Arial Narrow"/>
                <w:sz w:val="20"/>
              </w:rPr>
              <w:fldChar w:fldCharType="separate"/>
            </w:r>
            <w:r w:rsidRPr="00E17531">
              <w:rPr>
                <w:rFonts w:ascii="Arial Narrow" w:hAnsi="Arial Narrow"/>
                <w:sz w:val="20"/>
              </w:rPr>
              <w:fldChar w:fldCharType="end"/>
            </w:r>
            <w:r w:rsidRPr="00E17531">
              <w:rPr>
                <w:rFonts w:ascii="Arial Narrow" w:hAnsi="Arial Narrow"/>
                <w:sz w:val="20"/>
              </w:rPr>
              <w:t>Authority Required - Electronic</w:t>
            </w:r>
          </w:p>
          <w:p w:rsidR="00B528F4" w:rsidRPr="00260CE3" w:rsidRDefault="00B528F4" w:rsidP="00554AEF">
            <w:pPr>
              <w:spacing w:before="40" w:after="40"/>
              <w:rPr>
                <w:rFonts w:ascii="Arial Narrow" w:hAnsi="Arial Narrow" w:cs="Arial"/>
                <w:sz w:val="20"/>
                <w:szCs w:val="20"/>
              </w:rPr>
            </w:pPr>
            <w:r w:rsidRPr="00E17531">
              <w:rPr>
                <w:rFonts w:ascii="Arial Narrow" w:hAnsi="Arial Narrow"/>
                <w:sz w:val="20"/>
              </w:rPr>
              <w:fldChar w:fldCharType="begin">
                <w:ffData>
                  <w:name w:val=""/>
                  <w:enabled/>
                  <w:calcOnExit w:val="0"/>
                  <w:checkBox>
                    <w:sizeAuto/>
                    <w:default w:val="1"/>
                  </w:checkBox>
                </w:ffData>
              </w:fldChar>
            </w:r>
            <w:r w:rsidRPr="00E17531">
              <w:rPr>
                <w:rFonts w:ascii="Arial Narrow" w:hAnsi="Arial Narrow"/>
                <w:sz w:val="20"/>
              </w:rPr>
              <w:instrText xml:space="preserve"> FORMCHECKBOX </w:instrText>
            </w:r>
            <w:r w:rsidR="00B52FA3">
              <w:rPr>
                <w:rFonts w:ascii="Arial Narrow" w:hAnsi="Arial Narrow"/>
                <w:sz w:val="20"/>
              </w:rPr>
            </w:r>
            <w:r w:rsidR="00B52FA3">
              <w:rPr>
                <w:rFonts w:ascii="Arial Narrow" w:hAnsi="Arial Narrow"/>
                <w:sz w:val="20"/>
              </w:rPr>
              <w:fldChar w:fldCharType="separate"/>
            </w:r>
            <w:r w:rsidRPr="00E17531">
              <w:rPr>
                <w:rFonts w:ascii="Arial Narrow" w:hAnsi="Arial Narrow"/>
                <w:sz w:val="20"/>
              </w:rPr>
              <w:fldChar w:fldCharType="end"/>
            </w:r>
            <w:r w:rsidRPr="00E17531">
              <w:rPr>
                <w:rFonts w:ascii="Arial Narrow" w:hAnsi="Arial Narrow"/>
                <w:sz w:val="20"/>
              </w:rPr>
              <w:t>Streamlined</w:t>
            </w:r>
          </w:p>
        </w:tc>
      </w:tr>
      <w:tr w:rsidR="00B528F4" w:rsidRPr="002873B2" w:rsidTr="00554AEF">
        <w:trPr>
          <w:cantSplit/>
          <w:trHeight w:val="360"/>
        </w:trPr>
        <w:tc>
          <w:tcPr>
            <w:tcW w:w="991" w:type="pct"/>
            <w:tcBorders>
              <w:top w:val="single" w:sz="4" w:space="0" w:color="auto"/>
              <w:left w:val="single" w:sz="4" w:space="0" w:color="auto"/>
              <w:bottom w:val="single" w:sz="4" w:space="0" w:color="auto"/>
              <w:right w:val="single" w:sz="4" w:space="0" w:color="auto"/>
            </w:tcBorders>
          </w:tcPr>
          <w:p w:rsidR="00B528F4" w:rsidRPr="00260CE3" w:rsidRDefault="00B528F4" w:rsidP="00987F08">
            <w:pPr>
              <w:spacing w:before="40" w:after="40"/>
              <w:jc w:val="both"/>
              <w:rPr>
                <w:rFonts w:ascii="Arial Narrow" w:hAnsi="Arial Narrow" w:cs="Arial"/>
                <w:sz w:val="20"/>
                <w:szCs w:val="20"/>
              </w:rPr>
            </w:pPr>
            <w:r w:rsidRPr="00260CE3">
              <w:rPr>
                <w:rFonts w:ascii="Arial Narrow" w:hAnsi="Arial Narrow" w:cs="Arial"/>
                <w:b/>
                <w:sz w:val="20"/>
                <w:szCs w:val="20"/>
              </w:rPr>
              <w:t>Clinical criteria:</w:t>
            </w:r>
          </w:p>
        </w:tc>
        <w:tc>
          <w:tcPr>
            <w:tcW w:w="4009" w:type="pct"/>
            <w:tcBorders>
              <w:top w:val="single" w:sz="4" w:space="0" w:color="auto"/>
              <w:left w:val="single" w:sz="4" w:space="0" w:color="auto"/>
              <w:bottom w:val="single" w:sz="4" w:space="0" w:color="auto"/>
              <w:right w:val="single" w:sz="4" w:space="0" w:color="auto"/>
            </w:tcBorders>
          </w:tcPr>
          <w:p w:rsidR="00B528F4" w:rsidRDefault="00B528F4" w:rsidP="00366E3B">
            <w:pPr>
              <w:widowControl w:val="0"/>
              <w:spacing w:before="40" w:after="40"/>
              <w:jc w:val="both"/>
              <w:rPr>
                <w:rFonts w:ascii="Arial Narrow" w:hAnsi="Arial Narrow" w:cs="Arial"/>
                <w:snapToGrid w:val="0"/>
                <w:sz w:val="20"/>
                <w:szCs w:val="20"/>
                <w:lang w:eastAsia="en-US"/>
              </w:rPr>
            </w:pPr>
            <w:r w:rsidRPr="00875D05">
              <w:rPr>
                <w:rFonts w:ascii="Arial Narrow" w:hAnsi="Arial Narrow" w:cs="Arial"/>
                <w:snapToGrid w:val="0"/>
                <w:sz w:val="20"/>
                <w:szCs w:val="20"/>
                <w:lang w:eastAsia="en-US"/>
              </w:rPr>
              <w:t>The treatment must be the sole PBS-subsidised therapy for this condition,</w:t>
            </w:r>
          </w:p>
          <w:p w:rsidR="00B528F4" w:rsidRDefault="00067E5B" w:rsidP="00366E3B">
            <w:pPr>
              <w:widowControl w:val="0"/>
              <w:spacing w:before="40" w:after="40"/>
              <w:jc w:val="both"/>
              <w:rPr>
                <w:rFonts w:ascii="Arial Narrow" w:hAnsi="Arial Narrow" w:cs="Arial"/>
                <w:snapToGrid w:val="0"/>
                <w:sz w:val="20"/>
                <w:szCs w:val="20"/>
                <w:lang w:eastAsia="en-US"/>
              </w:rPr>
            </w:pPr>
            <w:r>
              <w:rPr>
                <w:rFonts w:ascii="Arial Narrow" w:hAnsi="Arial Narrow" w:cs="Arial"/>
                <w:snapToGrid w:val="0"/>
                <w:sz w:val="20"/>
                <w:szCs w:val="20"/>
                <w:lang w:eastAsia="en-US"/>
              </w:rPr>
              <w:t>AND</w:t>
            </w:r>
          </w:p>
          <w:p w:rsidR="00B528F4" w:rsidRDefault="00B528F4" w:rsidP="00366E3B">
            <w:pPr>
              <w:widowControl w:val="0"/>
              <w:spacing w:before="40" w:after="40"/>
              <w:jc w:val="both"/>
              <w:rPr>
                <w:rFonts w:ascii="Arial Narrow" w:hAnsi="Arial Narrow" w:cs="Arial"/>
                <w:snapToGrid w:val="0"/>
                <w:sz w:val="20"/>
                <w:szCs w:val="20"/>
                <w:lang w:eastAsia="en-US"/>
              </w:rPr>
            </w:pPr>
            <w:r>
              <w:rPr>
                <w:rFonts w:ascii="Arial Narrow" w:hAnsi="Arial Narrow" w:cs="Arial"/>
                <w:snapToGrid w:val="0"/>
                <w:sz w:val="20"/>
                <w:szCs w:val="20"/>
                <w:lang w:eastAsia="en-US"/>
              </w:rPr>
              <w:t>Patient must have previously been issued with an authority prescription for this drug for this condition,</w:t>
            </w:r>
          </w:p>
          <w:p w:rsidR="00B528F4" w:rsidRDefault="00B528F4" w:rsidP="00366E3B">
            <w:pPr>
              <w:widowControl w:val="0"/>
              <w:spacing w:before="40" w:after="40"/>
              <w:jc w:val="both"/>
              <w:rPr>
                <w:rFonts w:ascii="Arial Narrow" w:hAnsi="Arial Narrow" w:cs="Arial"/>
                <w:snapToGrid w:val="0"/>
                <w:sz w:val="20"/>
                <w:szCs w:val="20"/>
                <w:lang w:eastAsia="en-US"/>
              </w:rPr>
            </w:pPr>
            <w:r>
              <w:rPr>
                <w:rFonts w:ascii="Arial Narrow" w:hAnsi="Arial Narrow" w:cs="Arial"/>
                <w:snapToGrid w:val="0"/>
                <w:sz w:val="20"/>
                <w:szCs w:val="20"/>
                <w:lang w:eastAsia="en-US"/>
              </w:rPr>
              <w:t>AND</w:t>
            </w:r>
          </w:p>
          <w:p w:rsidR="00B528F4" w:rsidRDefault="00B528F4" w:rsidP="00366E3B">
            <w:pPr>
              <w:widowControl w:val="0"/>
              <w:spacing w:before="40" w:after="40"/>
              <w:jc w:val="both"/>
              <w:rPr>
                <w:rFonts w:ascii="Arial Narrow" w:hAnsi="Arial Narrow" w:cs="Arial"/>
                <w:snapToGrid w:val="0"/>
                <w:sz w:val="20"/>
                <w:szCs w:val="20"/>
                <w:lang w:eastAsia="en-US"/>
              </w:rPr>
            </w:pPr>
            <w:r>
              <w:rPr>
                <w:rFonts w:ascii="Arial Narrow" w:hAnsi="Arial Narrow" w:cs="Arial"/>
                <w:snapToGrid w:val="0"/>
                <w:sz w:val="20"/>
                <w:szCs w:val="20"/>
                <w:lang w:eastAsia="en-US"/>
              </w:rPr>
              <w:t>Patient must have stable or responding disease,</w:t>
            </w:r>
          </w:p>
          <w:p w:rsidR="00B528F4" w:rsidRDefault="00B528F4" w:rsidP="00366E3B">
            <w:pPr>
              <w:widowControl w:val="0"/>
              <w:spacing w:before="40" w:after="40"/>
              <w:jc w:val="both"/>
              <w:rPr>
                <w:rFonts w:ascii="Arial Narrow" w:hAnsi="Arial Narrow" w:cs="Arial"/>
                <w:snapToGrid w:val="0"/>
                <w:sz w:val="20"/>
                <w:szCs w:val="20"/>
                <w:lang w:eastAsia="en-US"/>
              </w:rPr>
            </w:pPr>
            <w:r>
              <w:rPr>
                <w:rFonts w:ascii="Arial Narrow" w:hAnsi="Arial Narrow" w:cs="Arial"/>
                <w:snapToGrid w:val="0"/>
                <w:sz w:val="20"/>
                <w:szCs w:val="20"/>
                <w:lang w:eastAsia="en-US"/>
              </w:rPr>
              <w:t>AND</w:t>
            </w:r>
          </w:p>
          <w:p w:rsidR="00B528F4" w:rsidRPr="00260CE3" w:rsidRDefault="00B528F4" w:rsidP="00366E3B">
            <w:pPr>
              <w:widowControl w:val="0"/>
              <w:spacing w:before="40" w:after="40"/>
              <w:jc w:val="both"/>
              <w:rPr>
                <w:rFonts w:ascii="Arial Narrow" w:hAnsi="Arial Narrow" w:cs="Arial"/>
                <w:sz w:val="20"/>
                <w:szCs w:val="20"/>
              </w:rPr>
            </w:pPr>
            <w:r w:rsidRPr="00875D05">
              <w:rPr>
                <w:rFonts w:ascii="Arial Narrow" w:hAnsi="Arial Narrow" w:cs="Arial"/>
                <w:snapToGrid w:val="0"/>
                <w:sz w:val="20"/>
                <w:szCs w:val="20"/>
                <w:lang w:eastAsia="en-US"/>
              </w:rPr>
              <w:t xml:space="preserve">The treatment must </w:t>
            </w:r>
            <w:r>
              <w:rPr>
                <w:rFonts w:ascii="Arial Narrow" w:hAnsi="Arial Narrow" w:cs="Arial"/>
                <w:snapToGrid w:val="0"/>
                <w:sz w:val="20"/>
                <w:szCs w:val="20"/>
                <w:lang w:eastAsia="en-US"/>
              </w:rPr>
              <w:t>be</w:t>
            </w:r>
            <w:r w:rsidRPr="00875D05">
              <w:rPr>
                <w:rFonts w:ascii="Arial Narrow" w:hAnsi="Arial Narrow" w:cs="Arial"/>
                <w:snapToGrid w:val="0"/>
                <w:sz w:val="20"/>
                <w:szCs w:val="20"/>
                <w:lang w:eastAsia="en-US"/>
              </w:rPr>
              <w:t xml:space="preserve"> at a dose of 200 mg every 3 weeks.</w:t>
            </w:r>
          </w:p>
        </w:tc>
      </w:tr>
      <w:tr w:rsidR="00B528F4" w:rsidRPr="002873B2" w:rsidTr="00554AEF">
        <w:trPr>
          <w:cantSplit/>
          <w:trHeight w:val="360"/>
        </w:trPr>
        <w:tc>
          <w:tcPr>
            <w:tcW w:w="991" w:type="pct"/>
            <w:tcBorders>
              <w:top w:val="single" w:sz="4" w:space="0" w:color="auto"/>
              <w:left w:val="single" w:sz="4" w:space="0" w:color="auto"/>
              <w:bottom w:val="single" w:sz="4" w:space="0" w:color="auto"/>
              <w:right w:val="single" w:sz="4" w:space="0" w:color="auto"/>
            </w:tcBorders>
          </w:tcPr>
          <w:p w:rsidR="00B528F4" w:rsidRPr="00260CE3" w:rsidRDefault="00B528F4" w:rsidP="00987F08">
            <w:pPr>
              <w:spacing w:before="40" w:after="40"/>
              <w:jc w:val="both"/>
              <w:rPr>
                <w:rFonts w:ascii="Arial Narrow" w:hAnsi="Arial Narrow" w:cs="Arial"/>
                <w:i/>
                <w:sz w:val="20"/>
                <w:szCs w:val="20"/>
              </w:rPr>
            </w:pPr>
            <w:r w:rsidRPr="00260CE3">
              <w:rPr>
                <w:rFonts w:ascii="Arial Narrow" w:hAnsi="Arial Narrow" w:cs="Arial"/>
                <w:b/>
                <w:sz w:val="20"/>
                <w:szCs w:val="20"/>
              </w:rPr>
              <w:t>Administrative Advice</w:t>
            </w:r>
          </w:p>
        </w:tc>
        <w:tc>
          <w:tcPr>
            <w:tcW w:w="4009" w:type="pct"/>
            <w:tcBorders>
              <w:top w:val="single" w:sz="4" w:space="0" w:color="auto"/>
              <w:left w:val="single" w:sz="4" w:space="0" w:color="auto"/>
              <w:bottom w:val="single" w:sz="4" w:space="0" w:color="auto"/>
              <w:right w:val="single" w:sz="4" w:space="0" w:color="auto"/>
            </w:tcBorders>
          </w:tcPr>
          <w:p w:rsidR="00B528F4" w:rsidRPr="00875D05" w:rsidRDefault="00B528F4" w:rsidP="00366E3B">
            <w:pPr>
              <w:widowControl w:val="0"/>
              <w:spacing w:before="40" w:after="40"/>
              <w:jc w:val="both"/>
              <w:rPr>
                <w:rFonts w:ascii="Arial Narrow" w:hAnsi="Arial Narrow" w:cs="Arial"/>
                <w:snapToGrid w:val="0"/>
                <w:sz w:val="20"/>
                <w:szCs w:val="20"/>
                <w:lang w:eastAsia="en-US"/>
              </w:rPr>
            </w:pPr>
            <w:r w:rsidRPr="00875D05">
              <w:rPr>
                <w:rFonts w:ascii="Arial Narrow" w:hAnsi="Arial Narrow" w:cs="Arial"/>
                <w:snapToGrid w:val="0"/>
                <w:sz w:val="20"/>
                <w:szCs w:val="20"/>
                <w:lang w:eastAsia="en-US"/>
              </w:rPr>
              <w:t>No increase in the maximum number of repeats will be authorised.</w:t>
            </w:r>
          </w:p>
          <w:p w:rsidR="00B528F4" w:rsidRPr="00260CE3" w:rsidRDefault="00B528F4" w:rsidP="00366E3B">
            <w:pPr>
              <w:widowControl w:val="0"/>
              <w:spacing w:before="40" w:after="40"/>
              <w:jc w:val="both"/>
              <w:rPr>
                <w:rFonts w:ascii="Arial Narrow" w:hAnsi="Arial Narrow" w:cs="Arial"/>
                <w:sz w:val="20"/>
                <w:szCs w:val="20"/>
              </w:rPr>
            </w:pPr>
            <w:r w:rsidRPr="00875D05">
              <w:rPr>
                <w:rFonts w:ascii="Arial Narrow" w:hAnsi="Arial Narrow" w:cs="Arial"/>
                <w:snapToGrid w:val="0"/>
                <w:sz w:val="20"/>
                <w:szCs w:val="20"/>
                <w:lang w:eastAsia="en-US"/>
              </w:rPr>
              <w:t>In the first few months after start of immunotherapy, some patients can have a transient tumour flare with subsequent disease response. When progression is suspected, this should be confirmed through a confirmatory scan, taken at least 4 weeks later</w:t>
            </w:r>
            <w:r>
              <w:rPr>
                <w:rFonts w:ascii="Arial Narrow" w:hAnsi="Arial Narrow" w:cs="Arial"/>
                <w:snapToGrid w:val="0"/>
                <w:sz w:val="20"/>
                <w:szCs w:val="20"/>
                <w:lang w:eastAsia="en-US"/>
              </w:rPr>
              <w:t>.</w:t>
            </w:r>
          </w:p>
        </w:tc>
      </w:tr>
    </w:tbl>
    <w:p w:rsidR="0042322C" w:rsidRPr="00B52FA3" w:rsidRDefault="0042322C" w:rsidP="00366E3B">
      <w:pPr>
        <w:pStyle w:val="PBACHeading1"/>
        <w:numPr>
          <w:ilvl w:val="0"/>
          <w:numId w:val="0"/>
        </w:numPr>
        <w:ind w:left="709"/>
        <w:rPr>
          <w:b w:val="0"/>
          <w:i/>
          <w:sz w:val="24"/>
          <w:szCs w:val="24"/>
        </w:rPr>
      </w:pPr>
      <w:bookmarkStart w:id="0" w:name="_GoBack"/>
      <w:r w:rsidRPr="00B52FA3">
        <w:rPr>
          <w:b w:val="0"/>
          <w:i/>
          <w:sz w:val="24"/>
          <w:szCs w:val="24"/>
        </w:rPr>
        <w:t xml:space="preserve">For more detail on PBAC’s view, see section </w:t>
      </w:r>
      <w:r w:rsidR="00353D90" w:rsidRPr="00B52FA3">
        <w:rPr>
          <w:b w:val="0"/>
          <w:i/>
          <w:sz w:val="24"/>
          <w:szCs w:val="24"/>
        </w:rPr>
        <w:t>5</w:t>
      </w:r>
      <w:r w:rsidRPr="00B52FA3">
        <w:rPr>
          <w:b w:val="0"/>
          <w:i/>
          <w:sz w:val="24"/>
          <w:szCs w:val="24"/>
        </w:rPr>
        <w:t xml:space="preserve"> PBAC outcome.</w:t>
      </w:r>
    </w:p>
    <w:bookmarkEnd w:id="0"/>
    <w:p w:rsidR="00C603D4" w:rsidRPr="00366E3B" w:rsidRDefault="00CE10C4" w:rsidP="00366E3B">
      <w:pPr>
        <w:pStyle w:val="PBACHeading1"/>
      </w:pPr>
      <w:r w:rsidRPr="00366E3B">
        <w:t>Background</w:t>
      </w:r>
    </w:p>
    <w:p w:rsidR="002A3A23" w:rsidRPr="0046682C" w:rsidRDefault="002A3A23" w:rsidP="002873B2">
      <w:pPr>
        <w:pStyle w:val="ListParagraph"/>
        <w:widowControl/>
        <w:numPr>
          <w:ilvl w:val="1"/>
          <w:numId w:val="5"/>
        </w:numPr>
        <w:spacing w:after="120"/>
        <w:contextualSpacing w:val="0"/>
        <w:rPr>
          <w:rFonts w:asciiTheme="minorHAnsi" w:eastAsiaTheme="minorHAnsi" w:hAnsiTheme="minorHAnsi" w:cstheme="minorBidi"/>
          <w:snapToGrid/>
          <w:sz w:val="24"/>
          <w:szCs w:val="22"/>
        </w:rPr>
      </w:pPr>
      <w:proofErr w:type="spellStart"/>
      <w:r w:rsidRPr="0046682C">
        <w:rPr>
          <w:rFonts w:asciiTheme="minorHAnsi" w:eastAsiaTheme="minorHAnsi" w:hAnsiTheme="minorHAnsi" w:cstheme="minorBidi"/>
          <w:snapToGrid/>
          <w:sz w:val="24"/>
          <w:szCs w:val="22"/>
        </w:rPr>
        <w:t>Pembrolizumab</w:t>
      </w:r>
      <w:proofErr w:type="spellEnd"/>
      <w:r w:rsidRPr="0046682C">
        <w:rPr>
          <w:rFonts w:asciiTheme="minorHAnsi" w:eastAsiaTheme="minorHAnsi" w:hAnsiTheme="minorHAnsi" w:cstheme="minorBidi"/>
          <w:snapToGrid/>
          <w:sz w:val="24"/>
          <w:szCs w:val="22"/>
        </w:rPr>
        <w:t xml:space="preserve"> </w:t>
      </w:r>
      <w:r w:rsidR="0046682C" w:rsidRPr="0046682C">
        <w:rPr>
          <w:rFonts w:asciiTheme="minorHAnsi" w:eastAsiaTheme="minorHAnsi" w:hAnsiTheme="minorHAnsi" w:cstheme="minorBidi"/>
          <w:snapToGrid/>
          <w:sz w:val="24"/>
          <w:szCs w:val="22"/>
        </w:rPr>
        <w:t>50</w:t>
      </w:r>
      <w:r w:rsidR="000B2A32">
        <w:rPr>
          <w:rFonts w:asciiTheme="minorHAnsi" w:eastAsiaTheme="minorHAnsi" w:hAnsiTheme="minorHAnsi" w:cstheme="minorBidi"/>
          <w:snapToGrid/>
          <w:sz w:val="24"/>
          <w:szCs w:val="22"/>
        </w:rPr>
        <w:t> </w:t>
      </w:r>
      <w:r w:rsidR="0046682C" w:rsidRPr="0046682C">
        <w:rPr>
          <w:rFonts w:asciiTheme="minorHAnsi" w:eastAsiaTheme="minorHAnsi" w:hAnsiTheme="minorHAnsi" w:cstheme="minorBidi"/>
          <w:snapToGrid/>
          <w:sz w:val="24"/>
          <w:szCs w:val="22"/>
        </w:rPr>
        <w:t xml:space="preserve">mg </w:t>
      </w:r>
      <w:r w:rsidRPr="0046682C">
        <w:rPr>
          <w:rFonts w:asciiTheme="minorHAnsi" w:eastAsiaTheme="minorHAnsi" w:hAnsiTheme="minorHAnsi" w:cstheme="minorBidi"/>
          <w:snapToGrid/>
          <w:sz w:val="24"/>
          <w:szCs w:val="22"/>
        </w:rPr>
        <w:t xml:space="preserve">was registered by the TGA on 16 April 2015 as monotherapy for the treatment of </w:t>
      </w:r>
      <w:proofErr w:type="spellStart"/>
      <w:r w:rsidRPr="0046682C">
        <w:rPr>
          <w:rFonts w:asciiTheme="minorHAnsi" w:eastAsiaTheme="minorHAnsi" w:hAnsiTheme="minorHAnsi" w:cstheme="minorBidi"/>
          <w:snapToGrid/>
          <w:sz w:val="24"/>
          <w:szCs w:val="22"/>
        </w:rPr>
        <w:t>unresectable</w:t>
      </w:r>
      <w:proofErr w:type="spellEnd"/>
      <w:r w:rsidRPr="0046682C">
        <w:rPr>
          <w:rFonts w:asciiTheme="minorHAnsi" w:eastAsiaTheme="minorHAnsi" w:hAnsiTheme="minorHAnsi" w:cstheme="minorBidi"/>
          <w:snapToGrid/>
          <w:sz w:val="24"/>
          <w:szCs w:val="22"/>
        </w:rPr>
        <w:t xml:space="preserve"> o</w:t>
      </w:r>
      <w:r w:rsidR="001253EE" w:rsidRPr="0046682C">
        <w:rPr>
          <w:rFonts w:asciiTheme="minorHAnsi" w:eastAsiaTheme="minorHAnsi" w:hAnsiTheme="minorHAnsi" w:cstheme="minorBidi"/>
          <w:snapToGrid/>
          <w:sz w:val="24"/>
          <w:szCs w:val="22"/>
        </w:rPr>
        <w:t xml:space="preserve">r metastatic melanoma in adults, at a dose of 2 mg/kg every three weeks. </w:t>
      </w:r>
      <w:r w:rsidR="0046682C" w:rsidRPr="0046682C">
        <w:rPr>
          <w:rFonts w:asciiTheme="minorHAnsi" w:eastAsiaTheme="minorHAnsi" w:hAnsiTheme="minorHAnsi" w:cstheme="minorBidi"/>
          <w:snapToGrid/>
          <w:sz w:val="24"/>
          <w:szCs w:val="22"/>
        </w:rPr>
        <w:t xml:space="preserve">An additional strength of </w:t>
      </w:r>
      <w:proofErr w:type="spellStart"/>
      <w:r w:rsidR="0046682C" w:rsidRPr="0046682C">
        <w:rPr>
          <w:rFonts w:asciiTheme="minorHAnsi" w:eastAsiaTheme="minorHAnsi" w:hAnsiTheme="minorHAnsi" w:cstheme="minorBidi"/>
          <w:snapToGrid/>
          <w:sz w:val="24"/>
          <w:szCs w:val="22"/>
        </w:rPr>
        <w:t>pembrolizumab</w:t>
      </w:r>
      <w:proofErr w:type="spellEnd"/>
      <w:r w:rsidR="0046682C" w:rsidRPr="0046682C">
        <w:rPr>
          <w:rFonts w:asciiTheme="minorHAnsi" w:eastAsiaTheme="minorHAnsi" w:hAnsiTheme="minorHAnsi" w:cstheme="minorBidi"/>
          <w:snapToGrid/>
          <w:sz w:val="24"/>
          <w:szCs w:val="22"/>
        </w:rPr>
        <w:t xml:space="preserve">, 100 mg/4 mL concentrated injection vial, was TGA registered on 8 March 2016. </w:t>
      </w:r>
      <w:r w:rsidR="001253EE" w:rsidRPr="0046682C">
        <w:rPr>
          <w:rFonts w:asciiTheme="minorHAnsi" w:eastAsiaTheme="minorHAnsi" w:hAnsiTheme="minorHAnsi" w:cstheme="minorBidi"/>
          <w:snapToGrid/>
          <w:sz w:val="24"/>
          <w:szCs w:val="22"/>
        </w:rPr>
        <w:t>The fixed, 200 mg dosing regimen was approved by the TGA on 14 No</w:t>
      </w:r>
      <w:r w:rsidR="000B2A32">
        <w:rPr>
          <w:rFonts w:asciiTheme="minorHAnsi" w:eastAsiaTheme="minorHAnsi" w:hAnsiTheme="minorHAnsi" w:cstheme="minorBidi"/>
          <w:snapToGrid/>
          <w:sz w:val="24"/>
          <w:szCs w:val="22"/>
        </w:rPr>
        <w:t>vember 2017.</w:t>
      </w:r>
    </w:p>
    <w:p w:rsidR="0046682C" w:rsidRDefault="002A3A23" w:rsidP="002873B2">
      <w:pPr>
        <w:pStyle w:val="ListParagraph"/>
        <w:widowControl/>
        <w:numPr>
          <w:ilvl w:val="1"/>
          <w:numId w:val="5"/>
        </w:numPr>
        <w:spacing w:after="120"/>
        <w:contextualSpacing w:val="0"/>
        <w:rPr>
          <w:rFonts w:asciiTheme="minorHAnsi" w:eastAsiaTheme="minorHAnsi" w:hAnsiTheme="minorHAnsi" w:cstheme="minorBidi"/>
          <w:snapToGrid/>
          <w:sz w:val="24"/>
          <w:szCs w:val="22"/>
        </w:rPr>
      </w:pPr>
      <w:proofErr w:type="spellStart"/>
      <w:r w:rsidRPr="00807C2A">
        <w:rPr>
          <w:rFonts w:asciiTheme="minorHAnsi" w:eastAsiaTheme="minorHAnsi" w:hAnsiTheme="minorHAnsi" w:cstheme="minorBidi"/>
          <w:snapToGrid/>
          <w:sz w:val="24"/>
          <w:szCs w:val="22"/>
        </w:rPr>
        <w:t>Pembrolizumab</w:t>
      </w:r>
      <w:proofErr w:type="spellEnd"/>
      <w:r w:rsidRPr="00807C2A">
        <w:rPr>
          <w:rFonts w:asciiTheme="minorHAnsi" w:eastAsiaTheme="minorHAnsi" w:hAnsiTheme="minorHAnsi" w:cstheme="minorBidi"/>
          <w:snapToGrid/>
          <w:sz w:val="24"/>
          <w:szCs w:val="22"/>
        </w:rPr>
        <w:t xml:space="preserve"> </w:t>
      </w:r>
      <w:r w:rsidR="006F0481">
        <w:rPr>
          <w:rFonts w:asciiTheme="minorHAnsi" w:eastAsiaTheme="minorHAnsi" w:hAnsiTheme="minorHAnsi" w:cstheme="minorBidi"/>
          <w:snapToGrid/>
          <w:sz w:val="24"/>
          <w:szCs w:val="22"/>
        </w:rPr>
        <w:t>was first</w:t>
      </w:r>
      <w:r w:rsidRPr="00807C2A">
        <w:rPr>
          <w:rFonts w:asciiTheme="minorHAnsi" w:eastAsiaTheme="minorHAnsi" w:hAnsiTheme="minorHAnsi" w:cstheme="minorBidi"/>
          <w:snapToGrid/>
          <w:sz w:val="24"/>
          <w:szCs w:val="22"/>
        </w:rPr>
        <w:t xml:space="preserve"> considered by the PBAC in March 2015 and received a positive recommendation</w:t>
      </w:r>
      <w:r w:rsidR="006F0481">
        <w:rPr>
          <w:rFonts w:asciiTheme="minorHAnsi" w:eastAsiaTheme="minorHAnsi" w:hAnsiTheme="minorHAnsi" w:cstheme="minorBidi"/>
          <w:snapToGrid/>
          <w:sz w:val="24"/>
          <w:szCs w:val="22"/>
        </w:rPr>
        <w:t xml:space="preserve"> for</w:t>
      </w:r>
      <w:r w:rsidRPr="00807C2A">
        <w:rPr>
          <w:rFonts w:asciiTheme="minorHAnsi" w:eastAsiaTheme="minorHAnsi" w:hAnsiTheme="minorHAnsi" w:cstheme="minorBidi"/>
          <w:snapToGrid/>
          <w:sz w:val="24"/>
          <w:szCs w:val="22"/>
        </w:rPr>
        <w:t xml:space="preserve"> </w:t>
      </w:r>
      <w:r w:rsidR="006F0481" w:rsidRPr="006F0481">
        <w:rPr>
          <w:rFonts w:asciiTheme="minorHAnsi" w:eastAsiaTheme="minorHAnsi" w:hAnsiTheme="minorHAnsi" w:cstheme="minorBidi"/>
          <w:snapToGrid/>
          <w:sz w:val="24"/>
          <w:szCs w:val="22"/>
        </w:rPr>
        <w:t xml:space="preserve">the monotherapy treatment of patients with </w:t>
      </w:r>
      <w:proofErr w:type="spellStart"/>
      <w:r w:rsidR="006F0481" w:rsidRPr="006F0481">
        <w:rPr>
          <w:rFonts w:asciiTheme="minorHAnsi" w:eastAsiaTheme="minorHAnsi" w:hAnsiTheme="minorHAnsi" w:cstheme="minorBidi"/>
          <w:snapToGrid/>
          <w:sz w:val="24"/>
          <w:szCs w:val="22"/>
        </w:rPr>
        <w:t>unresectable</w:t>
      </w:r>
      <w:proofErr w:type="spellEnd"/>
      <w:r w:rsidR="006F0481" w:rsidRPr="006F0481">
        <w:rPr>
          <w:rFonts w:asciiTheme="minorHAnsi" w:eastAsiaTheme="minorHAnsi" w:hAnsiTheme="minorHAnsi" w:cstheme="minorBidi"/>
          <w:snapToGrid/>
          <w:sz w:val="24"/>
          <w:szCs w:val="22"/>
        </w:rPr>
        <w:t xml:space="preserve"> stage III or metastatic (stage IV) malignant melanoma, with an initial risk shar</w:t>
      </w:r>
      <w:r w:rsidR="00E06DB2">
        <w:rPr>
          <w:rFonts w:asciiTheme="minorHAnsi" w:eastAsiaTheme="minorHAnsi" w:hAnsiTheme="minorHAnsi" w:cstheme="minorBidi"/>
          <w:snapToGrid/>
          <w:sz w:val="24"/>
          <w:szCs w:val="22"/>
        </w:rPr>
        <w:t>ing</w:t>
      </w:r>
      <w:r w:rsidR="006F0481" w:rsidRPr="006F0481">
        <w:rPr>
          <w:rFonts w:asciiTheme="minorHAnsi" w:eastAsiaTheme="minorHAnsi" w:hAnsiTheme="minorHAnsi" w:cstheme="minorBidi"/>
          <w:snapToGrid/>
          <w:sz w:val="24"/>
          <w:szCs w:val="22"/>
        </w:rPr>
        <w:t xml:space="preserve"> arrangement </w:t>
      </w:r>
      <w:r w:rsidR="006F0481">
        <w:rPr>
          <w:rFonts w:asciiTheme="minorHAnsi" w:eastAsiaTheme="minorHAnsi" w:hAnsiTheme="minorHAnsi" w:cstheme="minorBidi"/>
          <w:snapToGrid/>
          <w:sz w:val="24"/>
          <w:szCs w:val="22"/>
        </w:rPr>
        <w:t xml:space="preserve">(in the context of a Managed Entry Scheme [MES]), </w:t>
      </w:r>
      <w:r w:rsidR="006F0481" w:rsidRPr="006F0481">
        <w:rPr>
          <w:rFonts w:asciiTheme="minorHAnsi" w:eastAsiaTheme="minorHAnsi" w:hAnsiTheme="minorHAnsi" w:cstheme="minorBidi"/>
          <w:snapToGrid/>
          <w:sz w:val="24"/>
          <w:szCs w:val="22"/>
        </w:rPr>
        <w:t>to achieve the same cost per patient to the PBS</w:t>
      </w:r>
      <w:r w:rsidR="006F0481">
        <w:rPr>
          <w:rFonts w:asciiTheme="minorHAnsi" w:eastAsiaTheme="minorHAnsi" w:hAnsiTheme="minorHAnsi" w:cstheme="minorBidi"/>
          <w:snapToGrid/>
          <w:sz w:val="24"/>
          <w:szCs w:val="22"/>
        </w:rPr>
        <w:t xml:space="preserve"> as was</w:t>
      </w:r>
      <w:r w:rsidR="006F0481" w:rsidRPr="006F0481">
        <w:rPr>
          <w:rFonts w:asciiTheme="minorHAnsi" w:eastAsiaTheme="minorHAnsi" w:hAnsiTheme="minorHAnsi" w:cstheme="minorBidi"/>
          <w:snapToGrid/>
          <w:sz w:val="24"/>
          <w:szCs w:val="22"/>
        </w:rPr>
        <w:t xml:space="preserve"> the case for </w:t>
      </w:r>
      <w:proofErr w:type="spellStart"/>
      <w:r w:rsidR="006F0481" w:rsidRPr="006F0481">
        <w:rPr>
          <w:rFonts w:asciiTheme="minorHAnsi" w:eastAsiaTheme="minorHAnsi" w:hAnsiTheme="minorHAnsi" w:cstheme="minorBidi"/>
          <w:snapToGrid/>
          <w:sz w:val="24"/>
          <w:szCs w:val="22"/>
        </w:rPr>
        <w:t>ipilimumab</w:t>
      </w:r>
      <w:proofErr w:type="spellEnd"/>
      <w:r w:rsidR="00F335DB">
        <w:rPr>
          <w:rFonts w:asciiTheme="minorHAnsi" w:eastAsiaTheme="minorHAnsi" w:hAnsiTheme="minorHAnsi" w:cstheme="minorBidi"/>
          <w:snapToGrid/>
          <w:sz w:val="24"/>
          <w:szCs w:val="22"/>
        </w:rPr>
        <w:t>,</w:t>
      </w:r>
      <w:r w:rsidR="00C149FD">
        <w:rPr>
          <w:rFonts w:asciiTheme="minorHAnsi" w:eastAsiaTheme="minorHAnsi" w:hAnsiTheme="minorHAnsi" w:cstheme="minorBidi"/>
          <w:snapToGrid/>
          <w:sz w:val="24"/>
          <w:szCs w:val="22"/>
        </w:rPr>
        <w:t xml:space="preserve"> </w:t>
      </w:r>
      <w:r w:rsidR="000B2A32">
        <w:rPr>
          <w:rFonts w:asciiTheme="minorHAnsi" w:eastAsiaTheme="minorHAnsi" w:hAnsiTheme="minorHAnsi" w:cstheme="minorBidi"/>
          <w:snapToGrid/>
          <w:sz w:val="24"/>
          <w:szCs w:val="22"/>
        </w:rPr>
        <w:t xml:space="preserve">and </w:t>
      </w:r>
      <w:r w:rsidR="00C149FD">
        <w:rPr>
          <w:rFonts w:asciiTheme="minorHAnsi" w:eastAsiaTheme="minorHAnsi" w:hAnsiTheme="minorHAnsi" w:cstheme="minorBidi"/>
          <w:snapToGrid/>
          <w:sz w:val="24"/>
          <w:szCs w:val="22"/>
        </w:rPr>
        <w:t>to</w:t>
      </w:r>
      <w:r w:rsidR="006F0481" w:rsidRPr="006F0481">
        <w:rPr>
          <w:rFonts w:asciiTheme="minorHAnsi" w:eastAsiaTheme="minorHAnsi" w:hAnsiTheme="minorHAnsi" w:cstheme="minorBidi"/>
          <w:snapToGrid/>
          <w:sz w:val="24"/>
          <w:szCs w:val="22"/>
        </w:rPr>
        <w:t xml:space="preserve"> give a reduced effective price of </w:t>
      </w:r>
      <w:proofErr w:type="spellStart"/>
      <w:r w:rsidR="006F0481" w:rsidRPr="006F0481">
        <w:rPr>
          <w:rFonts w:asciiTheme="minorHAnsi" w:eastAsiaTheme="minorHAnsi" w:hAnsiTheme="minorHAnsi" w:cstheme="minorBidi"/>
          <w:snapToGrid/>
          <w:sz w:val="24"/>
          <w:szCs w:val="22"/>
        </w:rPr>
        <w:t>pembrolizumab</w:t>
      </w:r>
      <w:proofErr w:type="spellEnd"/>
      <w:r w:rsidR="006F0481" w:rsidRPr="006F0481">
        <w:rPr>
          <w:rFonts w:asciiTheme="minorHAnsi" w:eastAsiaTheme="minorHAnsi" w:hAnsiTheme="minorHAnsi" w:cstheme="minorBidi"/>
          <w:snapToGrid/>
          <w:sz w:val="24"/>
          <w:szCs w:val="22"/>
        </w:rPr>
        <w:t>.</w:t>
      </w:r>
      <w:r w:rsidR="00B13178">
        <w:rPr>
          <w:rFonts w:asciiTheme="minorHAnsi" w:eastAsiaTheme="minorHAnsi" w:hAnsiTheme="minorHAnsi" w:cstheme="minorBidi"/>
          <w:snapToGrid/>
          <w:sz w:val="24"/>
          <w:szCs w:val="22"/>
        </w:rPr>
        <w:t xml:space="preserve"> </w:t>
      </w:r>
      <w:proofErr w:type="spellStart"/>
      <w:r w:rsidR="00B13178">
        <w:rPr>
          <w:rFonts w:asciiTheme="minorHAnsi" w:eastAsiaTheme="minorHAnsi" w:hAnsiTheme="minorHAnsi" w:cstheme="minorBidi"/>
          <w:snapToGrid/>
          <w:sz w:val="24"/>
          <w:szCs w:val="22"/>
        </w:rPr>
        <w:t>Pembrolizumab</w:t>
      </w:r>
      <w:proofErr w:type="spellEnd"/>
      <w:r w:rsidR="00B13178">
        <w:rPr>
          <w:rFonts w:asciiTheme="minorHAnsi" w:eastAsiaTheme="minorHAnsi" w:hAnsiTheme="minorHAnsi" w:cstheme="minorBidi"/>
          <w:snapToGrid/>
          <w:sz w:val="24"/>
          <w:szCs w:val="22"/>
        </w:rPr>
        <w:t xml:space="preserve"> was listed on the PBS </w:t>
      </w:r>
      <w:r w:rsidR="003E4DA4">
        <w:rPr>
          <w:rFonts w:asciiTheme="minorHAnsi" w:eastAsiaTheme="minorHAnsi" w:hAnsiTheme="minorHAnsi" w:cstheme="minorBidi"/>
          <w:snapToGrid/>
          <w:sz w:val="24"/>
          <w:szCs w:val="22"/>
        </w:rPr>
        <w:t>for this population on 1 September 2015.</w:t>
      </w:r>
    </w:p>
    <w:p w:rsidR="0046682C" w:rsidRPr="0046682C" w:rsidRDefault="001253EE" w:rsidP="0046682C">
      <w:pPr>
        <w:pStyle w:val="ListParagraph"/>
        <w:widowControl/>
        <w:numPr>
          <w:ilvl w:val="1"/>
          <w:numId w:val="5"/>
        </w:numPr>
        <w:spacing w:after="120"/>
        <w:contextualSpacing w:val="0"/>
        <w:rPr>
          <w:rFonts w:asciiTheme="minorHAnsi" w:eastAsiaTheme="minorHAnsi" w:hAnsiTheme="minorHAnsi" w:cstheme="minorBidi"/>
          <w:snapToGrid/>
          <w:sz w:val="24"/>
          <w:szCs w:val="22"/>
        </w:rPr>
      </w:pPr>
      <w:r>
        <w:rPr>
          <w:rFonts w:asciiTheme="minorHAnsi" w:eastAsiaTheme="minorHAnsi" w:hAnsiTheme="minorHAnsi" w:cstheme="minorBidi"/>
          <w:snapToGrid/>
          <w:sz w:val="24"/>
          <w:szCs w:val="22"/>
        </w:rPr>
        <w:lastRenderedPageBreak/>
        <w:t xml:space="preserve">A second </w:t>
      </w:r>
      <w:r w:rsidRPr="001253EE">
        <w:rPr>
          <w:rFonts w:asciiTheme="minorHAnsi" w:eastAsiaTheme="minorHAnsi" w:hAnsiTheme="minorHAnsi" w:cstheme="minorBidi"/>
          <w:snapToGrid/>
          <w:sz w:val="24"/>
          <w:szCs w:val="22"/>
        </w:rPr>
        <w:t>submission was lodged to fulfil the requirem</w:t>
      </w:r>
      <w:r>
        <w:rPr>
          <w:rFonts w:asciiTheme="minorHAnsi" w:eastAsiaTheme="minorHAnsi" w:hAnsiTheme="minorHAnsi" w:cstheme="minorBidi"/>
          <w:snapToGrid/>
          <w:sz w:val="24"/>
          <w:szCs w:val="22"/>
        </w:rPr>
        <w:t>ents of the MES</w:t>
      </w:r>
      <w:r w:rsidRPr="001253EE">
        <w:rPr>
          <w:rFonts w:asciiTheme="minorHAnsi" w:eastAsiaTheme="minorHAnsi" w:hAnsiTheme="minorHAnsi" w:cstheme="minorBidi"/>
          <w:snapToGrid/>
          <w:sz w:val="24"/>
          <w:szCs w:val="22"/>
        </w:rPr>
        <w:t xml:space="preserve"> </w:t>
      </w:r>
      <w:r>
        <w:rPr>
          <w:rFonts w:asciiTheme="minorHAnsi" w:eastAsiaTheme="minorHAnsi" w:hAnsiTheme="minorHAnsi" w:cstheme="minorBidi"/>
          <w:snapToGrid/>
          <w:sz w:val="24"/>
          <w:szCs w:val="22"/>
        </w:rPr>
        <w:t xml:space="preserve">and </w:t>
      </w:r>
      <w:r w:rsidRPr="001253EE">
        <w:rPr>
          <w:rFonts w:asciiTheme="minorHAnsi" w:eastAsiaTheme="minorHAnsi" w:hAnsiTheme="minorHAnsi" w:cstheme="minorBidi"/>
          <w:snapToGrid/>
          <w:sz w:val="24"/>
          <w:szCs w:val="22"/>
        </w:rPr>
        <w:t>to seek PBAC reconsideration of the cost</w:t>
      </w:r>
      <w:r>
        <w:rPr>
          <w:rFonts w:asciiTheme="minorHAnsi" w:eastAsiaTheme="minorHAnsi" w:hAnsiTheme="minorHAnsi" w:cstheme="minorBidi"/>
          <w:snapToGrid/>
          <w:sz w:val="24"/>
          <w:szCs w:val="22"/>
        </w:rPr>
        <w:t xml:space="preserve">-effectiveness of </w:t>
      </w:r>
      <w:proofErr w:type="spellStart"/>
      <w:r>
        <w:rPr>
          <w:rFonts w:asciiTheme="minorHAnsi" w:eastAsiaTheme="minorHAnsi" w:hAnsiTheme="minorHAnsi" w:cstheme="minorBidi"/>
          <w:snapToGrid/>
          <w:sz w:val="24"/>
          <w:szCs w:val="22"/>
        </w:rPr>
        <w:t>pembrolizumab</w:t>
      </w:r>
      <w:proofErr w:type="spellEnd"/>
      <w:r>
        <w:rPr>
          <w:rFonts w:asciiTheme="minorHAnsi" w:eastAsiaTheme="minorHAnsi" w:hAnsiTheme="minorHAnsi" w:cstheme="minorBidi"/>
          <w:snapToGrid/>
          <w:sz w:val="24"/>
          <w:szCs w:val="22"/>
        </w:rPr>
        <w:t xml:space="preserve"> in March 2016. </w:t>
      </w:r>
      <w:r w:rsidR="0046682C">
        <w:rPr>
          <w:rFonts w:asciiTheme="minorHAnsi" w:eastAsiaTheme="minorHAnsi" w:hAnsiTheme="minorHAnsi" w:cstheme="minorBidi"/>
          <w:snapToGrid/>
          <w:sz w:val="24"/>
          <w:szCs w:val="22"/>
        </w:rPr>
        <w:t xml:space="preserve">It </w:t>
      </w:r>
      <w:r w:rsidR="0046682C" w:rsidRPr="0046682C">
        <w:rPr>
          <w:rFonts w:asciiTheme="minorHAnsi" w:eastAsiaTheme="minorHAnsi" w:hAnsiTheme="minorHAnsi" w:cstheme="minorBidi"/>
          <w:snapToGrid/>
          <w:sz w:val="24"/>
          <w:szCs w:val="22"/>
        </w:rPr>
        <w:t xml:space="preserve">presented a cost-utility evaluation based on the second interim analysis of </w:t>
      </w:r>
      <w:r w:rsidR="0046682C">
        <w:rPr>
          <w:rFonts w:asciiTheme="minorHAnsi" w:eastAsiaTheme="minorHAnsi" w:hAnsiTheme="minorHAnsi" w:cstheme="minorBidi"/>
          <w:snapToGrid/>
          <w:sz w:val="24"/>
          <w:szCs w:val="22"/>
        </w:rPr>
        <w:t xml:space="preserve">the </w:t>
      </w:r>
      <w:r w:rsidR="0046682C" w:rsidRPr="0046682C">
        <w:rPr>
          <w:rFonts w:asciiTheme="minorHAnsi" w:eastAsiaTheme="minorHAnsi" w:hAnsiTheme="minorHAnsi" w:cstheme="minorBidi"/>
          <w:snapToGrid/>
          <w:sz w:val="24"/>
          <w:szCs w:val="22"/>
        </w:rPr>
        <w:t>KN-006</w:t>
      </w:r>
      <w:r w:rsidR="0046682C">
        <w:rPr>
          <w:rFonts w:asciiTheme="minorHAnsi" w:eastAsiaTheme="minorHAnsi" w:hAnsiTheme="minorHAnsi" w:cstheme="minorBidi"/>
          <w:snapToGrid/>
          <w:sz w:val="24"/>
          <w:szCs w:val="22"/>
        </w:rPr>
        <w:t xml:space="preserve"> trial. The PBAC rejected this</w:t>
      </w:r>
      <w:r w:rsidR="0046682C" w:rsidRPr="0046682C">
        <w:rPr>
          <w:rFonts w:asciiTheme="minorHAnsi" w:eastAsiaTheme="minorHAnsi" w:hAnsiTheme="minorHAnsi" w:cstheme="minorBidi"/>
          <w:snapToGrid/>
          <w:sz w:val="24"/>
          <w:szCs w:val="22"/>
        </w:rPr>
        <w:t xml:space="preserve"> submission as the model results were considered implausible, and the model also did not comply with key requirements of the Deed of Agreement relating to the estimation of survival </w:t>
      </w:r>
      <w:r w:rsidR="00E573C0">
        <w:rPr>
          <w:rFonts w:asciiTheme="minorHAnsi" w:eastAsiaTheme="minorHAnsi" w:hAnsiTheme="minorHAnsi" w:cstheme="minorBidi"/>
          <w:snapToGrid/>
          <w:sz w:val="24"/>
          <w:szCs w:val="22"/>
        </w:rPr>
        <w:t xml:space="preserve">(paragraph 7.7, March 2016 </w:t>
      </w:r>
      <w:r w:rsidR="0046682C">
        <w:rPr>
          <w:rFonts w:asciiTheme="minorHAnsi" w:eastAsiaTheme="minorHAnsi" w:hAnsiTheme="minorHAnsi" w:cstheme="minorBidi"/>
          <w:snapToGrid/>
          <w:sz w:val="24"/>
          <w:szCs w:val="22"/>
        </w:rPr>
        <w:t>Public Summary Document [PSD]</w:t>
      </w:r>
      <w:r w:rsidR="0046682C" w:rsidRPr="0046682C">
        <w:rPr>
          <w:rFonts w:asciiTheme="minorHAnsi" w:eastAsiaTheme="minorHAnsi" w:hAnsiTheme="minorHAnsi" w:cstheme="minorBidi"/>
          <w:snapToGrid/>
          <w:sz w:val="24"/>
          <w:szCs w:val="22"/>
        </w:rPr>
        <w:t xml:space="preserve">). The PBAC also rejected the submission’s request for an increase in patient numbers contributing to the risk sharing arrangements in the Deed of Agreement </w:t>
      </w:r>
      <w:r w:rsidR="00E573C0">
        <w:rPr>
          <w:rFonts w:asciiTheme="minorHAnsi" w:eastAsiaTheme="minorHAnsi" w:hAnsiTheme="minorHAnsi" w:cstheme="minorBidi"/>
          <w:snapToGrid/>
          <w:sz w:val="24"/>
          <w:szCs w:val="22"/>
        </w:rPr>
        <w:t>(paragraph 7.8, March 2016</w:t>
      </w:r>
      <w:r w:rsidR="0046682C" w:rsidRPr="0046682C">
        <w:rPr>
          <w:rFonts w:asciiTheme="minorHAnsi" w:eastAsiaTheme="minorHAnsi" w:hAnsiTheme="minorHAnsi" w:cstheme="minorBidi"/>
          <w:snapToGrid/>
          <w:sz w:val="24"/>
          <w:szCs w:val="22"/>
        </w:rPr>
        <w:t xml:space="preserve"> PSD).</w:t>
      </w:r>
    </w:p>
    <w:p w:rsidR="00567623" w:rsidRPr="00567623" w:rsidRDefault="0046682C" w:rsidP="00567623">
      <w:pPr>
        <w:pStyle w:val="ListParagraph"/>
        <w:widowControl/>
        <w:numPr>
          <w:ilvl w:val="1"/>
          <w:numId w:val="5"/>
        </w:numPr>
        <w:spacing w:after="120"/>
        <w:contextualSpacing w:val="0"/>
        <w:rPr>
          <w:rFonts w:asciiTheme="minorHAnsi" w:eastAsiaTheme="minorHAnsi" w:hAnsiTheme="minorHAnsi" w:cstheme="minorBidi"/>
          <w:bCs/>
          <w:szCs w:val="22"/>
          <w:lang w:val="en-GB"/>
        </w:rPr>
      </w:pPr>
      <w:r>
        <w:rPr>
          <w:rFonts w:asciiTheme="minorHAnsi" w:eastAsiaTheme="minorHAnsi" w:hAnsiTheme="minorHAnsi" w:cstheme="minorBidi"/>
          <w:snapToGrid/>
          <w:sz w:val="24"/>
          <w:szCs w:val="22"/>
        </w:rPr>
        <w:t xml:space="preserve">A third submission </w:t>
      </w:r>
      <w:r w:rsidRPr="0046682C">
        <w:rPr>
          <w:rFonts w:asciiTheme="minorHAnsi" w:eastAsiaTheme="minorHAnsi" w:hAnsiTheme="minorHAnsi" w:cstheme="minorBidi"/>
          <w:snapToGrid/>
          <w:sz w:val="24"/>
          <w:szCs w:val="22"/>
        </w:rPr>
        <w:t>was submitted</w:t>
      </w:r>
      <w:r>
        <w:rPr>
          <w:rFonts w:asciiTheme="minorHAnsi" w:eastAsiaTheme="minorHAnsi" w:hAnsiTheme="minorHAnsi" w:cstheme="minorBidi"/>
          <w:snapToGrid/>
          <w:sz w:val="24"/>
          <w:szCs w:val="22"/>
        </w:rPr>
        <w:t xml:space="preserve"> in November 2016</w:t>
      </w:r>
      <w:r w:rsidRPr="0046682C">
        <w:rPr>
          <w:rFonts w:asciiTheme="minorHAnsi" w:eastAsiaTheme="minorHAnsi" w:hAnsiTheme="minorHAnsi" w:cstheme="minorBidi"/>
          <w:snapToGrid/>
          <w:sz w:val="24"/>
          <w:szCs w:val="22"/>
        </w:rPr>
        <w:t xml:space="preserve"> as an “Additional submission” under clause 6.4 of the Deed of Agreement and provided a cost-utility evaluation with two scenarios referred to as a ‘Deed compliant scenario’ and a ‘Realistic scenario’ based on the final analysis of KN-006</w:t>
      </w:r>
      <w:r>
        <w:rPr>
          <w:rFonts w:asciiTheme="minorHAnsi" w:eastAsiaTheme="minorHAnsi" w:hAnsiTheme="minorHAnsi" w:cstheme="minorBidi"/>
          <w:snapToGrid/>
          <w:sz w:val="24"/>
          <w:szCs w:val="22"/>
        </w:rPr>
        <w:t xml:space="preserve">. This submission was rejected by the PBAC as the Committee </w:t>
      </w:r>
      <w:r w:rsidR="00190533">
        <w:rPr>
          <w:rFonts w:asciiTheme="minorHAnsi" w:eastAsiaTheme="minorHAnsi" w:hAnsiTheme="minorHAnsi" w:cstheme="minorBidi"/>
          <w:snapToGrid/>
          <w:sz w:val="24"/>
          <w:szCs w:val="22"/>
        </w:rPr>
        <w:t xml:space="preserve">decided </w:t>
      </w:r>
      <w:r w:rsidR="00190533" w:rsidRPr="00190533">
        <w:rPr>
          <w:rFonts w:asciiTheme="minorHAnsi" w:eastAsiaTheme="minorHAnsi" w:hAnsiTheme="minorHAnsi" w:cstheme="minorBidi"/>
          <w:snapToGrid/>
          <w:sz w:val="24"/>
          <w:szCs w:val="22"/>
        </w:rPr>
        <w:t xml:space="preserve">not to recommend that the circumstances of the PBS listing of </w:t>
      </w:r>
      <w:proofErr w:type="spellStart"/>
      <w:r w:rsidR="00190533" w:rsidRPr="00190533">
        <w:rPr>
          <w:rFonts w:asciiTheme="minorHAnsi" w:eastAsiaTheme="minorHAnsi" w:hAnsiTheme="minorHAnsi" w:cstheme="minorBidi"/>
          <w:snapToGrid/>
          <w:sz w:val="24"/>
          <w:szCs w:val="22"/>
        </w:rPr>
        <w:t>pembrolizumab</w:t>
      </w:r>
      <w:proofErr w:type="spellEnd"/>
      <w:r w:rsidR="00190533" w:rsidRPr="00190533">
        <w:rPr>
          <w:rFonts w:asciiTheme="minorHAnsi" w:eastAsiaTheme="minorHAnsi" w:hAnsiTheme="minorHAnsi" w:cstheme="minorBidi"/>
          <w:snapToGrid/>
          <w:sz w:val="24"/>
          <w:szCs w:val="22"/>
        </w:rPr>
        <w:t xml:space="preserve"> for the treatment of </w:t>
      </w:r>
      <w:proofErr w:type="spellStart"/>
      <w:r w:rsidR="00190533" w:rsidRPr="00190533">
        <w:rPr>
          <w:rFonts w:asciiTheme="minorHAnsi" w:eastAsiaTheme="minorHAnsi" w:hAnsiTheme="minorHAnsi" w:cstheme="minorBidi"/>
          <w:snapToGrid/>
          <w:sz w:val="24"/>
          <w:szCs w:val="22"/>
        </w:rPr>
        <w:t>unresectable</w:t>
      </w:r>
      <w:proofErr w:type="spellEnd"/>
      <w:r w:rsidR="00190533" w:rsidRPr="00190533">
        <w:rPr>
          <w:rFonts w:asciiTheme="minorHAnsi" w:eastAsiaTheme="minorHAnsi" w:hAnsiTheme="minorHAnsi" w:cstheme="minorBidi"/>
          <w:snapToGrid/>
          <w:sz w:val="24"/>
          <w:szCs w:val="22"/>
        </w:rPr>
        <w:t xml:space="preserve"> Stage III or Stage IV metastatic melanoma be changed following the</w:t>
      </w:r>
      <w:r w:rsidR="00190533">
        <w:rPr>
          <w:rFonts w:asciiTheme="minorHAnsi" w:eastAsiaTheme="minorHAnsi" w:hAnsiTheme="minorHAnsi" w:cstheme="minorBidi"/>
          <w:snapToGrid/>
          <w:sz w:val="24"/>
          <w:szCs w:val="22"/>
        </w:rPr>
        <w:t xml:space="preserve"> MES</w:t>
      </w:r>
      <w:r w:rsidR="00190533" w:rsidRPr="0046682C">
        <w:rPr>
          <w:rFonts w:asciiTheme="minorHAnsi" w:eastAsiaTheme="minorHAnsi" w:hAnsiTheme="minorHAnsi" w:cstheme="minorBidi"/>
          <w:snapToGrid/>
          <w:sz w:val="24"/>
          <w:szCs w:val="22"/>
        </w:rPr>
        <w:t>.</w:t>
      </w:r>
      <w:r w:rsidR="00567623">
        <w:rPr>
          <w:rFonts w:asciiTheme="minorHAnsi" w:eastAsiaTheme="minorHAnsi" w:hAnsiTheme="minorHAnsi" w:cstheme="minorBidi"/>
          <w:snapToGrid/>
          <w:sz w:val="24"/>
          <w:szCs w:val="22"/>
        </w:rPr>
        <w:t xml:space="preserve"> However, t</w:t>
      </w:r>
      <w:r w:rsidR="00567623" w:rsidRPr="00567623">
        <w:rPr>
          <w:rFonts w:asciiTheme="minorHAnsi" w:eastAsiaTheme="minorHAnsi" w:hAnsiTheme="minorHAnsi" w:cstheme="minorBidi"/>
          <w:snapToGrid/>
          <w:sz w:val="24"/>
          <w:szCs w:val="22"/>
        </w:rPr>
        <w:t xml:space="preserve">he PBAC noted that the Department was separately negotiating with the sponsor in relation to increasing the annual risk sharing arrangement caps for </w:t>
      </w:r>
      <w:proofErr w:type="spellStart"/>
      <w:r w:rsidR="00567623" w:rsidRPr="00567623">
        <w:rPr>
          <w:rFonts w:asciiTheme="minorHAnsi" w:eastAsiaTheme="minorHAnsi" w:hAnsiTheme="minorHAnsi" w:cstheme="minorBidi"/>
          <w:snapToGrid/>
          <w:sz w:val="24"/>
          <w:szCs w:val="22"/>
        </w:rPr>
        <w:t>pembrolizumab</w:t>
      </w:r>
      <w:proofErr w:type="spellEnd"/>
      <w:r w:rsidR="00567623" w:rsidRPr="00567623">
        <w:rPr>
          <w:rFonts w:asciiTheme="minorHAnsi" w:eastAsiaTheme="minorHAnsi" w:hAnsiTheme="minorHAnsi" w:cstheme="minorBidi"/>
          <w:snapToGrid/>
          <w:sz w:val="24"/>
          <w:szCs w:val="22"/>
        </w:rPr>
        <w:t xml:space="preserve">. The Committee considered that, while the increases proposed in the sponsor’s submission were not justified, there remained some uncertainty about the appropriate annual numbers of PBS-eligible patients for PD-L1 inhibitors in melanoma, thus the annual levels of PBS expenditure. The PBAC therefore advised that smaller increases in the annual risk sharing arrangement caps </w:t>
      </w:r>
      <w:r w:rsidR="000B2A32">
        <w:rPr>
          <w:rFonts w:asciiTheme="minorHAnsi" w:eastAsiaTheme="minorHAnsi" w:hAnsiTheme="minorHAnsi" w:cstheme="minorBidi"/>
          <w:snapToGrid/>
          <w:sz w:val="24"/>
          <w:szCs w:val="22"/>
        </w:rPr>
        <w:t xml:space="preserve">than those requested </w:t>
      </w:r>
      <w:r w:rsidR="00567623" w:rsidRPr="00567623">
        <w:rPr>
          <w:rFonts w:asciiTheme="minorHAnsi" w:eastAsiaTheme="minorHAnsi" w:hAnsiTheme="minorHAnsi" w:cstheme="minorBidi"/>
          <w:snapToGrid/>
          <w:sz w:val="24"/>
          <w:szCs w:val="22"/>
        </w:rPr>
        <w:t>may be reasonable. The Committee further suggested that such changes should only be implemented if it could be ensured that any further financial implications for the Commonwealth could be appropriately controlled</w:t>
      </w:r>
      <w:r w:rsidR="00567623">
        <w:rPr>
          <w:rFonts w:asciiTheme="minorHAnsi" w:eastAsiaTheme="minorHAnsi" w:hAnsiTheme="minorHAnsi" w:cstheme="minorBidi"/>
          <w:bCs/>
          <w:szCs w:val="22"/>
          <w:lang w:val="en-GB"/>
        </w:rPr>
        <w:t xml:space="preserve"> </w:t>
      </w:r>
      <w:r w:rsidR="00567623">
        <w:rPr>
          <w:rFonts w:asciiTheme="minorHAnsi" w:eastAsiaTheme="minorHAnsi" w:hAnsiTheme="minorHAnsi" w:cstheme="minorBidi"/>
          <w:snapToGrid/>
          <w:sz w:val="24"/>
          <w:szCs w:val="22"/>
        </w:rPr>
        <w:t>(paragraphs 7.1 &amp;</w:t>
      </w:r>
      <w:r w:rsidR="00073A1F">
        <w:rPr>
          <w:rFonts w:asciiTheme="minorHAnsi" w:eastAsiaTheme="minorHAnsi" w:hAnsiTheme="minorHAnsi" w:cstheme="minorBidi"/>
          <w:snapToGrid/>
          <w:sz w:val="24"/>
          <w:szCs w:val="22"/>
        </w:rPr>
        <w:t xml:space="preserve"> </w:t>
      </w:r>
      <w:r w:rsidR="00567623">
        <w:rPr>
          <w:rFonts w:asciiTheme="minorHAnsi" w:eastAsiaTheme="minorHAnsi" w:hAnsiTheme="minorHAnsi" w:cstheme="minorBidi"/>
          <w:snapToGrid/>
          <w:sz w:val="24"/>
          <w:szCs w:val="22"/>
        </w:rPr>
        <w:t>7.9, November 2016</w:t>
      </w:r>
      <w:r w:rsidR="00567623" w:rsidRPr="0046682C">
        <w:rPr>
          <w:rFonts w:asciiTheme="minorHAnsi" w:eastAsiaTheme="minorHAnsi" w:hAnsiTheme="minorHAnsi" w:cstheme="minorBidi"/>
          <w:snapToGrid/>
          <w:sz w:val="24"/>
          <w:szCs w:val="22"/>
        </w:rPr>
        <w:t xml:space="preserve"> PSD)</w:t>
      </w:r>
      <w:r w:rsidR="00567623">
        <w:rPr>
          <w:rFonts w:asciiTheme="minorHAnsi" w:eastAsiaTheme="minorHAnsi" w:hAnsiTheme="minorHAnsi" w:cstheme="minorBidi"/>
          <w:snapToGrid/>
          <w:sz w:val="24"/>
          <w:szCs w:val="22"/>
        </w:rPr>
        <w:t>.</w:t>
      </w:r>
    </w:p>
    <w:p w:rsidR="006F0481" w:rsidRDefault="00A77AE5" w:rsidP="00C149FD">
      <w:pPr>
        <w:pStyle w:val="ListParagraph"/>
        <w:widowControl/>
        <w:numPr>
          <w:ilvl w:val="1"/>
          <w:numId w:val="5"/>
        </w:numPr>
        <w:spacing w:after="120"/>
        <w:contextualSpacing w:val="0"/>
        <w:rPr>
          <w:rFonts w:asciiTheme="minorHAnsi" w:eastAsiaTheme="minorHAnsi" w:hAnsiTheme="minorHAnsi" w:cstheme="minorBidi"/>
          <w:snapToGrid/>
          <w:sz w:val="24"/>
          <w:szCs w:val="22"/>
        </w:rPr>
      </w:pPr>
      <w:r>
        <w:rPr>
          <w:rFonts w:asciiTheme="minorHAnsi" w:eastAsiaTheme="minorHAnsi" w:hAnsiTheme="minorHAnsi" w:cstheme="minorBidi"/>
          <w:snapToGrid/>
          <w:sz w:val="24"/>
          <w:szCs w:val="22"/>
        </w:rPr>
        <w:t xml:space="preserve">On 1 April 2017, the variation to the first agreed deed took effect. The previous and current expenditure cap values are presented below in </w:t>
      </w:r>
      <w:r w:rsidR="00C149FD">
        <w:rPr>
          <w:rFonts w:asciiTheme="minorHAnsi" w:eastAsiaTheme="minorHAnsi" w:hAnsiTheme="minorHAnsi" w:cstheme="minorBidi"/>
          <w:snapToGrid/>
          <w:sz w:val="24"/>
          <w:szCs w:val="22"/>
        </w:rPr>
        <w:t xml:space="preserve">Table </w:t>
      </w:r>
      <w:r w:rsidR="00B57008">
        <w:rPr>
          <w:rFonts w:asciiTheme="minorHAnsi" w:eastAsiaTheme="minorHAnsi" w:hAnsiTheme="minorHAnsi" w:cstheme="minorBidi"/>
          <w:snapToGrid/>
          <w:sz w:val="24"/>
          <w:szCs w:val="22"/>
        </w:rPr>
        <w:t>2</w:t>
      </w:r>
      <w:r w:rsidR="00C149FD">
        <w:rPr>
          <w:rFonts w:asciiTheme="minorHAnsi" w:eastAsiaTheme="minorHAnsi" w:hAnsiTheme="minorHAnsi" w:cstheme="minorBidi"/>
          <w:snapToGrid/>
          <w:sz w:val="24"/>
          <w:szCs w:val="22"/>
        </w:rPr>
        <w:t>.</w:t>
      </w:r>
    </w:p>
    <w:p w:rsidR="000B558D" w:rsidRDefault="008D7A41" w:rsidP="00366E3B">
      <w:pPr>
        <w:pStyle w:val="PBACHeading1"/>
      </w:pPr>
      <w:r w:rsidRPr="003C2FB5">
        <w:t>C</w:t>
      </w:r>
      <w:r w:rsidR="00D84934" w:rsidRPr="003C2FB5">
        <w:t>onsideration of the evidence</w:t>
      </w:r>
    </w:p>
    <w:p w:rsidR="00681010" w:rsidRPr="00525B39" w:rsidRDefault="00681010" w:rsidP="00366E3B">
      <w:pPr>
        <w:pStyle w:val="Heading2"/>
        <w:rPr>
          <w:snapToGrid w:val="0"/>
        </w:rPr>
      </w:pPr>
      <w:r w:rsidRPr="00525B39">
        <w:rPr>
          <w:snapToGrid w:val="0"/>
        </w:rPr>
        <w:t>Sponsor hearing</w:t>
      </w:r>
    </w:p>
    <w:p w:rsidR="00681010" w:rsidRPr="00525B39" w:rsidRDefault="00681010" w:rsidP="00681010">
      <w:pPr>
        <w:widowControl w:val="0"/>
        <w:numPr>
          <w:ilvl w:val="1"/>
          <w:numId w:val="5"/>
        </w:numPr>
        <w:spacing w:after="120"/>
        <w:jc w:val="both"/>
        <w:rPr>
          <w:rFonts w:asciiTheme="minorHAnsi" w:hAnsiTheme="minorHAnsi" w:cs="Arial"/>
          <w:bCs/>
          <w:snapToGrid w:val="0"/>
        </w:rPr>
      </w:pPr>
      <w:r w:rsidRPr="00525B39">
        <w:rPr>
          <w:rFonts w:asciiTheme="minorHAnsi" w:hAnsiTheme="minorHAnsi" w:cs="Arial"/>
          <w:bCs/>
          <w:snapToGrid w:val="0"/>
        </w:rPr>
        <w:t>There was no hearing for this ite</w:t>
      </w:r>
      <w:r w:rsidR="00DB6884">
        <w:rPr>
          <w:rFonts w:asciiTheme="minorHAnsi" w:hAnsiTheme="minorHAnsi" w:cs="Arial"/>
          <w:bCs/>
          <w:snapToGrid w:val="0"/>
        </w:rPr>
        <w:t>m as it was a minor submission.</w:t>
      </w:r>
    </w:p>
    <w:p w:rsidR="00681010" w:rsidRPr="00525B39" w:rsidRDefault="00681010" w:rsidP="00366E3B">
      <w:pPr>
        <w:pStyle w:val="Heading2"/>
        <w:rPr>
          <w:snapToGrid w:val="0"/>
        </w:rPr>
      </w:pPr>
      <w:r w:rsidRPr="00525B39">
        <w:rPr>
          <w:snapToGrid w:val="0"/>
        </w:rPr>
        <w:t>Consumer comments</w:t>
      </w:r>
    </w:p>
    <w:p w:rsidR="00681010" w:rsidRPr="00525B39" w:rsidRDefault="00DB6884" w:rsidP="00681010">
      <w:pPr>
        <w:widowControl w:val="0"/>
        <w:numPr>
          <w:ilvl w:val="1"/>
          <w:numId w:val="5"/>
        </w:numPr>
        <w:spacing w:after="120"/>
        <w:jc w:val="both"/>
        <w:rPr>
          <w:rFonts w:asciiTheme="minorHAnsi" w:hAnsiTheme="minorHAnsi" w:cs="Arial"/>
          <w:bCs/>
          <w:snapToGrid w:val="0"/>
        </w:rPr>
      </w:pPr>
      <w:r>
        <w:rPr>
          <w:rFonts w:asciiTheme="minorHAnsi" w:hAnsiTheme="minorHAnsi" w:cs="Arial"/>
          <w:bCs/>
          <w:snapToGrid w:val="0"/>
        </w:rPr>
        <w:t>The PBAC noted tha</w:t>
      </w:r>
      <w:r w:rsidR="005E2C4C">
        <w:rPr>
          <w:rFonts w:asciiTheme="minorHAnsi" w:hAnsiTheme="minorHAnsi" w:cs="Arial"/>
          <w:bCs/>
          <w:snapToGrid w:val="0"/>
        </w:rPr>
        <w:t>t there was no consumer comment</w:t>
      </w:r>
      <w:r w:rsidR="00E06DB2">
        <w:rPr>
          <w:rFonts w:asciiTheme="minorHAnsi" w:hAnsiTheme="minorHAnsi" w:cs="Arial"/>
          <w:bCs/>
          <w:snapToGrid w:val="0"/>
        </w:rPr>
        <w:t xml:space="preserve"> for this submission.</w:t>
      </w:r>
    </w:p>
    <w:p w:rsidR="001A3FD7" w:rsidRPr="00366E3B" w:rsidRDefault="001A3FD7" w:rsidP="00366E3B">
      <w:pPr>
        <w:pStyle w:val="Heading2"/>
      </w:pPr>
      <w:r w:rsidRPr="00366E3B">
        <w:t>Clinical trials</w:t>
      </w:r>
    </w:p>
    <w:p w:rsidR="00B57008" w:rsidRPr="00120DF4" w:rsidRDefault="001A3FD7" w:rsidP="00120DF4">
      <w:pPr>
        <w:pStyle w:val="ListParagraph"/>
        <w:widowControl/>
        <w:numPr>
          <w:ilvl w:val="1"/>
          <w:numId w:val="5"/>
        </w:numPr>
        <w:spacing w:after="120"/>
        <w:contextualSpacing w:val="0"/>
        <w:rPr>
          <w:rFonts w:asciiTheme="minorHAnsi" w:eastAsiaTheme="minorHAnsi" w:hAnsiTheme="minorHAnsi" w:cstheme="minorBidi"/>
          <w:snapToGrid/>
          <w:sz w:val="24"/>
          <w:szCs w:val="22"/>
        </w:rPr>
      </w:pPr>
      <w:r w:rsidRPr="001A3FD7">
        <w:rPr>
          <w:rFonts w:asciiTheme="minorHAnsi" w:eastAsiaTheme="minorHAnsi" w:hAnsiTheme="minorHAnsi" w:cstheme="minorBidi"/>
          <w:snapToGrid/>
          <w:sz w:val="24"/>
          <w:szCs w:val="22"/>
        </w:rPr>
        <w:t>The minor submission</w:t>
      </w:r>
      <w:r w:rsidR="00C149FD">
        <w:rPr>
          <w:rFonts w:asciiTheme="minorHAnsi" w:eastAsiaTheme="minorHAnsi" w:hAnsiTheme="minorHAnsi" w:cstheme="minorBidi"/>
          <w:snapToGrid/>
          <w:sz w:val="24"/>
          <w:szCs w:val="22"/>
        </w:rPr>
        <w:t xml:space="preserve"> did not present</w:t>
      </w:r>
      <w:r>
        <w:rPr>
          <w:rFonts w:asciiTheme="minorHAnsi" w:eastAsiaTheme="minorHAnsi" w:hAnsiTheme="minorHAnsi" w:cstheme="minorBidi"/>
          <w:snapToGrid/>
          <w:sz w:val="24"/>
          <w:szCs w:val="22"/>
        </w:rPr>
        <w:t xml:space="preserve"> any new clinical </w:t>
      </w:r>
      <w:proofErr w:type="gramStart"/>
      <w:r>
        <w:rPr>
          <w:rFonts w:asciiTheme="minorHAnsi" w:eastAsiaTheme="minorHAnsi" w:hAnsiTheme="minorHAnsi" w:cstheme="minorBidi"/>
          <w:snapToGrid/>
          <w:sz w:val="24"/>
          <w:szCs w:val="22"/>
        </w:rPr>
        <w:t>evidence,</w:t>
      </w:r>
      <w:proofErr w:type="gramEnd"/>
      <w:r>
        <w:rPr>
          <w:rFonts w:asciiTheme="minorHAnsi" w:eastAsiaTheme="minorHAnsi" w:hAnsiTheme="minorHAnsi" w:cstheme="minorBidi"/>
          <w:snapToGrid/>
          <w:sz w:val="24"/>
          <w:szCs w:val="22"/>
        </w:rPr>
        <w:t xml:space="preserve"> however,</w:t>
      </w:r>
      <w:r w:rsidR="00C149FD">
        <w:rPr>
          <w:rFonts w:asciiTheme="minorHAnsi" w:eastAsiaTheme="minorHAnsi" w:hAnsiTheme="minorHAnsi" w:cstheme="minorBidi"/>
          <w:snapToGrid/>
          <w:sz w:val="24"/>
          <w:szCs w:val="22"/>
        </w:rPr>
        <w:t xml:space="preserve"> it</w:t>
      </w:r>
      <w:r>
        <w:rPr>
          <w:rFonts w:asciiTheme="minorHAnsi" w:eastAsiaTheme="minorHAnsi" w:hAnsiTheme="minorHAnsi" w:cstheme="minorBidi"/>
          <w:snapToGrid/>
          <w:sz w:val="24"/>
          <w:szCs w:val="22"/>
        </w:rPr>
        <w:t xml:space="preserve"> included a </w:t>
      </w:r>
      <w:r w:rsidR="000B2A32">
        <w:rPr>
          <w:rFonts w:asciiTheme="minorHAnsi" w:eastAsiaTheme="minorHAnsi" w:hAnsiTheme="minorHAnsi" w:cstheme="minorBidi"/>
          <w:snapToGrid/>
          <w:sz w:val="24"/>
          <w:szCs w:val="22"/>
        </w:rPr>
        <w:t>“</w:t>
      </w:r>
      <w:r>
        <w:rPr>
          <w:rFonts w:asciiTheme="minorHAnsi" w:eastAsiaTheme="minorHAnsi" w:hAnsiTheme="minorHAnsi" w:cstheme="minorBidi"/>
          <w:snapToGrid/>
          <w:sz w:val="24"/>
          <w:szCs w:val="22"/>
        </w:rPr>
        <w:t>Fixed Dose Clinical Overview</w:t>
      </w:r>
      <w:r w:rsidR="000B2A32">
        <w:rPr>
          <w:rFonts w:asciiTheme="minorHAnsi" w:eastAsiaTheme="minorHAnsi" w:hAnsiTheme="minorHAnsi" w:cstheme="minorBidi"/>
          <w:snapToGrid/>
          <w:sz w:val="24"/>
          <w:szCs w:val="22"/>
        </w:rPr>
        <w:t>”</w:t>
      </w:r>
      <w:r>
        <w:rPr>
          <w:rFonts w:asciiTheme="minorHAnsi" w:eastAsiaTheme="minorHAnsi" w:hAnsiTheme="minorHAnsi" w:cstheme="minorBidi"/>
          <w:snapToGrid/>
          <w:sz w:val="24"/>
          <w:szCs w:val="22"/>
        </w:rPr>
        <w:t>. The minor submissi</w:t>
      </w:r>
      <w:r w:rsidR="00567623">
        <w:rPr>
          <w:rFonts w:asciiTheme="minorHAnsi" w:eastAsiaTheme="minorHAnsi" w:hAnsiTheme="minorHAnsi" w:cstheme="minorBidi"/>
          <w:snapToGrid/>
          <w:sz w:val="24"/>
          <w:szCs w:val="22"/>
        </w:rPr>
        <w:t>on</w:t>
      </w:r>
      <w:r w:rsidR="006111A0">
        <w:rPr>
          <w:rFonts w:asciiTheme="minorHAnsi" w:eastAsiaTheme="minorHAnsi" w:hAnsiTheme="minorHAnsi" w:cstheme="minorBidi"/>
          <w:snapToGrid/>
          <w:sz w:val="24"/>
          <w:szCs w:val="22"/>
        </w:rPr>
        <w:t xml:space="preserve"> </w:t>
      </w:r>
      <w:r w:rsidR="00567623">
        <w:rPr>
          <w:rFonts w:asciiTheme="minorHAnsi" w:eastAsiaTheme="minorHAnsi" w:hAnsiTheme="minorHAnsi" w:cstheme="minorBidi"/>
          <w:snapToGrid/>
          <w:sz w:val="24"/>
          <w:szCs w:val="22"/>
        </w:rPr>
        <w:t>claimed</w:t>
      </w:r>
      <w:r>
        <w:rPr>
          <w:rFonts w:asciiTheme="minorHAnsi" w:eastAsiaTheme="minorHAnsi" w:hAnsiTheme="minorHAnsi" w:cstheme="minorBidi"/>
          <w:snapToGrid/>
          <w:sz w:val="24"/>
          <w:szCs w:val="22"/>
        </w:rPr>
        <w:t xml:space="preserve"> that, “T</w:t>
      </w:r>
      <w:r w:rsidRPr="001A3FD7">
        <w:rPr>
          <w:rFonts w:asciiTheme="minorHAnsi" w:eastAsiaTheme="minorHAnsi" w:hAnsiTheme="minorHAnsi" w:cstheme="minorBidi"/>
          <w:snapToGrid/>
          <w:sz w:val="24"/>
          <w:szCs w:val="22"/>
        </w:rPr>
        <w:t xml:space="preserve">here is an essentially flat relationship between </w:t>
      </w:r>
      <w:proofErr w:type="spellStart"/>
      <w:r w:rsidRPr="001A3FD7">
        <w:rPr>
          <w:rFonts w:asciiTheme="minorHAnsi" w:eastAsiaTheme="minorHAnsi" w:hAnsiTheme="minorHAnsi" w:cstheme="minorBidi"/>
          <w:snapToGrid/>
          <w:sz w:val="24"/>
          <w:szCs w:val="22"/>
        </w:rPr>
        <w:t>pembrolizumab</w:t>
      </w:r>
      <w:proofErr w:type="spellEnd"/>
      <w:r w:rsidRPr="001A3FD7">
        <w:rPr>
          <w:rFonts w:asciiTheme="minorHAnsi" w:eastAsiaTheme="minorHAnsi" w:hAnsiTheme="minorHAnsi" w:cstheme="minorBidi"/>
          <w:snapToGrid/>
          <w:sz w:val="24"/>
          <w:szCs w:val="22"/>
        </w:rPr>
        <w:t xml:space="preserve"> exposure and </w:t>
      </w:r>
      <w:r w:rsidRPr="001A3FD7">
        <w:rPr>
          <w:rFonts w:asciiTheme="minorHAnsi" w:eastAsiaTheme="minorHAnsi" w:hAnsiTheme="minorHAnsi" w:cstheme="minorBidi"/>
          <w:snapToGrid/>
          <w:sz w:val="24"/>
          <w:szCs w:val="22"/>
        </w:rPr>
        <w:lastRenderedPageBreak/>
        <w:t>efficacy or safety w</w:t>
      </w:r>
      <w:r>
        <w:rPr>
          <w:rFonts w:asciiTheme="minorHAnsi" w:eastAsiaTheme="minorHAnsi" w:hAnsiTheme="minorHAnsi" w:cstheme="minorBidi"/>
          <w:snapToGrid/>
          <w:sz w:val="24"/>
          <w:szCs w:val="22"/>
        </w:rPr>
        <w:t>ithin the dose range of 2 to 10 </w:t>
      </w:r>
      <w:r w:rsidRPr="001A3FD7">
        <w:rPr>
          <w:rFonts w:asciiTheme="minorHAnsi" w:eastAsiaTheme="minorHAnsi" w:hAnsiTheme="minorHAnsi" w:cstheme="minorBidi"/>
          <w:snapToGrid/>
          <w:sz w:val="24"/>
          <w:szCs w:val="22"/>
        </w:rPr>
        <w:t>mg/kg</w:t>
      </w:r>
      <w:r w:rsidR="00567623">
        <w:rPr>
          <w:rFonts w:asciiTheme="minorHAnsi" w:eastAsiaTheme="minorHAnsi" w:hAnsiTheme="minorHAnsi" w:cstheme="minorBidi"/>
          <w:snapToGrid/>
          <w:sz w:val="24"/>
          <w:szCs w:val="22"/>
        </w:rPr>
        <w:t>”</w:t>
      </w:r>
      <w:r w:rsidRPr="001A3FD7">
        <w:rPr>
          <w:rFonts w:asciiTheme="minorHAnsi" w:eastAsiaTheme="minorHAnsi" w:hAnsiTheme="minorHAnsi" w:cstheme="minorBidi"/>
          <w:snapToGrid/>
          <w:sz w:val="24"/>
          <w:szCs w:val="22"/>
        </w:rPr>
        <w:t>.</w:t>
      </w:r>
      <w:r w:rsidR="00120DF4">
        <w:rPr>
          <w:rFonts w:asciiTheme="minorHAnsi" w:eastAsiaTheme="minorHAnsi" w:hAnsiTheme="minorHAnsi" w:cstheme="minorBidi"/>
          <w:snapToGrid/>
          <w:sz w:val="24"/>
          <w:szCs w:val="22"/>
        </w:rPr>
        <w:t xml:space="preserve"> </w:t>
      </w:r>
      <w:bookmarkStart w:id="1" w:name="_Hlk509758828"/>
      <w:r w:rsidR="00120DF4">
        <w:rPr>
          <w:rFonts w:asciiTheme="minorHAnsi" w:eastAsiaTheme="minorHAnsi" w:hAnsiTheme="minorHAnsi" w:cstheme="minorBidi"/>
          <w:snapToGrid/>
          <w:sz w:val="24"/>
          <w:szCs w:val="22"/>
        </w:rPr>
        <w:t xml:space="preserve">The PBAC </w:t>
      </w:r>
      <w:r w:rsidR="00E06DB2">
        <w:rPr>
          <w:rFonts w:asciiTheme="minorHAnsi" w:eastAsiaTheme="minorHAnsi" w:hAnsiTheme="minorHAnsi" w:cstheme="minorBidi"/>
          <w:snapToGrid/>
          <w:sz w:val="24"/>
          <w:szCs w:val="22"/>
        </w:rPr>
        <w:t xml:space="preserve">therefore concluded </w:t>
      </w:r>
      <w:r w:rsidR="00B57008" w:rsidRPr="00120DF4">
        <w:rPr>
          <w:rFonts w:asciiTheme="minorHAnsi" w:eastAsiaTheme="minorHAnsi" w:hAnsiTheme="minorHAnsi" w:cstheme="minorBidi"/>
          <w:snapToGrid/>
          <w:sz w:val="24"/>
          <w:szCs w:val="22"/>
        </w:rPr>
        <w:t>that</w:t>
      </w:r>
      <w:r w:rsidR="00120DF4">
        <w:rPr>
          <w:rFonts w:asciiTheme="minorHAnsi" w:eastAsiaTheme="minorHAnsi" w:hAnsiTheme="minorHAnsi" w:cstheme="minorBidi"/>
          <w:snapToGrid/>
          <w:sz w:val="24"/>
          <w:szCs w:val="22"/>
        </w:rPr>
        <w:t>,</w:t>
      </w:r>
      <w:r w:rsidR="00B57008" w:rsidRPr="00120DF4">
        <w:rPr>
          <w:rFonts w:asciiTheme="minorHAnsi" w:eastAsiaTheme="minorHAnsi" w:hAnsiTheme="minorHAnsi" w:cstheme="minorBidi"/>
          <w:snapToGrid/>
          <w:sz w:val="24"/>
          <w:szCs w:val="22"/>
        </w:rPr>
        <w:t xml:space="preserve"> for patients who are currently on a dose of less than 200 mg, there is no requirement for patients to increase their dose, as there would be no additional benefit</w:t>
      </w:r>
      <w:r w:rsidR="00E06DB2">
        <w:rPr>
          <w:rFonts w:asciiTheme="minorHAnsi" w:eastAsiaTheme="minorHAnsi" w:hAnsiTheme="minorHAnsi" w:cstheme="minorBidi"/>
          <w:snapToGrid/>
          <w:sz w:val="24"/>
          <w:szCs w:val="22"/>
        </w:rPr>
        <w:t xml:space="preserve"> and potentially more toxicity.</w:t>
      </w:r>
      <w:bookmarkEnd w:id="1"/>
    </w:p>
    <w:p w:rsidR="005A3173" w:rsidRPr="00010A59" w:rsidRDefault="005A3173" w:rsidP="00366E3B">
      <w:pPr>
        <w:pStyle w:val="Heading2"/>
      </w:pPr>
      <w:r w:rsidRPr="00010A59">
        <w:t>Estimated PBS usage &amp; financial implications</w:t>
      </w:r>
    </w:p>
    <w:p w:rsidR="00A20068" w:rsidRDefault="001A3FD7" w:rsidP="00FB1AEF">
      <w:pPr>
        <w:pStyle w:val="ListParagraph"/>
        <w:widowControl/>
        <w:numPr>
          <w:ilvl w:val="1"/>
          <w:numId w:val="14"/>
        </w:numPr>
        <w:spacing w:after="120"/>
        <w:contextualSpacing w:val="0"/>
        <w:rPr>
          <w:rFonts w:asciiTheme="minorHAnsi" w:eastAsiaTheme="minorHAnsi" w:hAnsiTheme="minorHAnsi" w:cstheme="minorBidi"/>
          <w:snapToGrid/>
          <w:sz w:val="24"/>
          <w:szCs w:val="22"/>
        </w:rPr>
      </w:pPr>
      <w:r w:rsidRPr="00DE3D08">
        <w:rPr>
          <w:rFonts w:asciiTheme="minorHAnsi" w:eastAsiaTheme="minorHAnsi" w:hAnsiTheme="minorHAnsi" w:cstheme="minorBidi"/>
          <w:snapToGrid/>
          <w:sz w:val="24"/>
          <w:szCs w:val="22"/>
        </w:rPr>
        <w:t xml:space="preserve">The minor submission claimed that, “No impact on the commonwealth budget is expected as a result of this listing as the subsidy for </w:t>
      </w:r>
      <w:proofErr w:type="spellStart"/>
      <w:r w:rsidRPr="00DE3D08">
        <w:rPr>
          <w:rFonts w:asciiTheme="minorHAnsi" w:eastAsiaTheme="minorHAnsi" w:hAnsiTheme="minorHAnsi" w:cstheme="minorBidi"/>
          <w:snapToGrid/>
          <w:sz w:val="24"/>
          <w:szCs w:val="22"/>
        </w:rPr>
        <w:t>pembrolizumab</w:t>
      </w:r>
      <w:proofErr w:type="spellEnd"/>
      <w:r w:rsidRPr="00DE3D08">
        <w:rPr>
          <w:rFonts w:asciiTheme="minorHAnsi" w:eastAsiaTheme="minorHAnsi" w:hAnsiTheme="minorHAnsi" w:cstheme="minorBidi"/>
          <w:snapToGrid/>
          <w:sz w:val="24"/>
          <w:szCs w:val="22"/>
        </w:rPr>
        <w:t xml:space="preserve"> in melanoma is on the basis of a budget cap with a </w:t>
      </w:r>
      <w:r w:rsidR="00F12AD2">
        <w:rPr>
          <w:rFonts w:asciiTheme="minorHAnsi" w:eastAsiaTheme="minorHAnsi" w:hAnsiTheme="minorHAnsi" w:cstheme="minorBidi"/>
          <w:noProof/>
          <w:snapToGrid/>
          <w:color w:val="000000"/>
          <w:sz w:val="24"/>
          <w:szCs w:val="22"/>
          <w:highlight w:val="black"/>
        </w:rPr>
        <w:t>'''''''</w:t>
      </w:r>
      <w:r w:rsidRPr="00DE3D08">
        <w:rPr>
          <w:rFonts w:asciiTheme="minorHAnsi" w:eastAsiaTheme="minorHAnsi" w:hAnsiTheme="minorHAnsi" w:cstheme="minorBidi"/>
          <w:snapToGrid/>
          <w:sz w:val="24"/>
          <w:szCs w:val="22"/>
        </w:rPr>
        <w:t xml:space="preserve">% rebate for use exceeding this cap; this submission is not proposing any changes to the existing arrangement, so the current cap on melanoma expenditure will account for any potential increased use.” </w:t>
      </w:r>
      <w:r w:rsidR="00A20068">
        <w:rPr>
          <w:rFonts w:asciiTheme="minorHAnsi" w:eastAsiaTheme="minorHAnsi" w:hAnsiTheme="minorHAnsi" w:cstheme="minorBidi"/>
          <w:snapToGrid/>
          <w:sz w:val="24"/>
          <w:szCs w:val="22"/>
        </w:rPr>
        <w:t xml:space="preserve">The PBAC noted that </w:t>
      </w:r>
      <w:r w:rsidR="008B0214" w:rsidRPr="00DE3D08">
        <w:rPr>
          <w:rFonts w:asciiTheme="minorHAnsi" w:eastAsiaTheme="minorHAnsi" w:hAnsiTheme="minorHAnsi" w:cstheme="minorBidi"/>
          <w:snapToGrid/>
          <w:sz w:val="24"/>
          <w:szCs w:val="22"/>
        </w:rPr>
        <w:t xml:space="preserve">this assumption relies on </w:t>
      </w:r>
      <w:r w:rsidR="00554AEF" w:rsidRPr="00DE3D08">
        <w:rPr>
          <w:rFonts w:asciiTheme="minorHAnsi" w:eastAsiaTheme="minorHAnsi" w:hAnsiTheme="minorHAnsi" w:cstheme="minorBidi"/>
          <w:snapToGrid/>
          <w:sz w:val="24"/>
          <w:szCs w:val="22"/>
        </w:rPr>
        <w:t>the</w:t>
      </w:r>
      <w:r w:rsidR="008B0214" w:rsidRPr="00DE3D08">
        <w:rPr>
          <w:rFonts w:asciiTheme="minorHAnsi" w:eastAsiaTheme="minorHAnsi" w:hAnsiTheme="minorHAnsi" w:cstheme="minorBidi"/>
          <w:snapToGrid/>
          <w:sz w:val="24"/>
          <w:szCs w:val="22"/>
        </w:rPr>
        <w:t xml:space="preserve"> </w:t>
      </w:r>
      <w:r w:rsidR="000B2A32" w:rsidRPr="00DE3D08">
        <w:rPr>
          <w:rFonts w:asciiTheme="minorHAnsi" w:eastAsiaTheme="minorHAnsi" w:hAnsiTheme="minorHAnsi" w:cstheme="minorBidi"/>
          <w:snapToGrid/>
          <w:sz w:val="24"/>
          <w:szCs w:val="22"/>
        </w:rPr>
        <w:t xml:space="preserve">annual </w:t>
      </w:r>
      <w:r w:rsidR="00C705A0">
        <w:rPr>
          <w:rFonts w:asciiTheme="minorHAnsi" w:eastAsiaTheme="minorHAnsi" w:hAnsiTheme="minorHAnsi" w:cstheme="minorBidi"/>
          <w:snapToGrid/>
          <w:sz w:val="24"/>
          <w:szCs w:val="22"/>
        </w:rPr>
        <w:t xml:space="preserve">expenditure </w:t>
      </w:r>
      <w:r w:rsidR="008B0214" w:rsidRPr="00DE3D08">
        <w:rPr>
          <w:rFonts w:asciiTheme="minorHAnsi" w:eastAsiaTheme="minorHAnsi" w:hAnsiTheme="minorHAnsi" w:cstheme="minorBidi"/>
          <w:snapToGrid/>
          <w:sz w:val="24"/>
          <w:szCs w:val="22"/>
        </w:rPr>
        <w:t>cap</w:t>
      </w:r>
      <w:r w:rsidR="000B2A32" w:rsidRPr="00DE3D08">
        <w:rPr>
          <w:rFonts w:asciiTheme="minorHAnsi" w:eastAsiaTheme="minorHAnsi" w:hAnsiTheme="minorHAnsi" w:cstheme="minorBidi"/>
          <w:snapToGrid/>
          <w:sz w:val="24"/>
          <w:szCs w:val="22"/>
        </w:rPr>
        <w:t>s</w:t>
      </w:r>
      <w:r w:rsidR="008B0214" w:rsidRPr="00DE3D08">
        <w:rPr>
          <w:rFonts w:asciiTheme="minorHAnsi" w:eastAsiaTheme="minorHAnsi" w:hAnsiTheme="minorHAnsi" w:cstheme="minorBidi"/>
          <w:snapToGrid/>
          <w:sz w:val="24"/>
          <w:szCs w:val="22"/>
        </w:rPr>
        <w:t xml:space="preserve"> for </w:t>
      </w:r>
      <w:proofErr w:type="spellStart"/>
      <w:r w:rsidR="008B0214" w:rsidRPr="00DE3D08">
        <w:rPr>
          <w:rFonts w:asciiTheme="minorHAnsi" w:eastAsiaTheme="minorHAnsi" w:hAnsiTheme="minorHAnsi" w:cstheme="minorBidi"/>
          <w:snapToGrid/>
          <w:sz w:val="24"/>
          <w:szCs w:val="22"/>
        </w:rPr>
        <w:t>pembrolizumab</w:t>
      </w:r>
      <w:proofErr w:type="spellEnd"/>
      <w:r w:rsidR="008B0214" w:rsidRPr="00DE3D08">
        <w:rPr>
          <w:rFonts w:asciiTheme="minorHAnsi" w:eastAsiaTheme="minorHAnsi" w:hAnsiTheme="minorHAnsi" w:cstheme="minorBidi"/>
          <w:snapToGrid/>
          <w:sz w:val="24"/>
          <w:szCs w:val="22"/>
        </w:rPr>
        <w:t xml:space="preserve"> to be exceeded </w:t>
      </w:r>
      <w:r w:rsidR="000B2A32" w:rsidRPr="00DE3D08">
        <w:rPr>
          <w:rFonts w:asciiTheme="minorHAnsi" w:eastAsiaTheme="minorHAnsi" w:hAnsiTheme="minorHAnsi" w:cstheme="minorBidi"/>
          <w:snapToGrid/>
          <w:sz w:val="24"/>
          <w:szCs w:val="22"/>
        </w:rPr>
        <w:t>into the future</w:t>
      </w:r>
      <w:r w:rsidR="008B0214" w:rsidRPr="00DE3D08">
        <w:rPr>
          <w:rFonts w:asciiTheme="minorHAnsi" w:eastAsiaTheme="minorHAnsi" w:hAnsiTheme="minorHAnsi" w:cstheme="minorBidi"/>
          <w:snapToGrid/>
          <w:sz w:val="24"/>
          <w:szCs w:val="22"/>
        </w:rPr>
        <w:t xml:space="preserve">. </w:t>
      </w:r>
      <w:r w:rsidR="00A20068">
        <w:rPr>
          <w:rFonts w:asciiTheme="minorHAnsi" w:eastAsiaTheme="minorHAnsi" w:hAnsiTheme="minorHAnsi" w:cstheme="minorBidi"/>
          <w:snapToGrid/>
          <w:sz w:val="24"/>
          <w:szCs w:val="22"/>
        </w:rPr>
        <w:t>The PBAC considered that r</w:t>
      </w:r>
      <w:r w:rsidR="00554AEF" w:rsidRPr="00DE3D08">
        <w:rPr>
          <w:rFonts w:asciiTheme="minorHAnsi" w:eastAsiaTheme="minorHAnsi" w:hAnsiTheme="minorHAnsi" w:cstheme="minorBidi"/>
          <w:snapToGrid/>
          <w:sz w:val="24"/>
          <w:szCs w:val="22"/>
        </w:rPr>
        <w:t xml:space="preserve">egardless of whether the cap is reached, given that the sponsor has not reduced the price per mg of </w:t>
      </w:r>
      <w:proofErr w:type="spellStart"/>
      <w:r w:rsidR="00554AEF" w:rsidRPr="00DE3D08">
        <w:rPr>
          <w:rFonts w:asciiTheme="minorHAnsi" w:eastAsiaTheme="minorHAnsi" w:hAnsiTheme="minorHAnsi" w:cstheme="minorBidi"/>
          <w:snapToGrid/>
          <w:sz w:val="24"/>
          <w:szCs w:val="22"/>
        </w:rPr>
        <w:t>pembrolizumab</w:t>
      </w:r>
      <w:proofErr w:type="spellEnd"/>
      <w:r w:rsidR="00554AEF" w:rsidRPr="00DE3D08">
        <w:rPr>
          <w:rFonts w:asciiTheme="minorHAnsi" w:eastAsiaTheme="minorHAnsi" w:hAnsiTheme="minorHAnsi" w:cstheme="minorBidi"/>
          <w:snapToGrid/>
          <w:sz w:val="24"/>
          <w:szCs w:val="22"/>
        </w:rPr>
        <w:t xml:space="preserve"> to counteract the increased dose per patient, the </w:t>
      </w:r>
      <w:r w:rsidR="000B2A32" w:rsidRPr="00DE3D08">
        <w:rPr>
          <w:rFonts w:asciiTheme="minorHAnsi" w:eastAsiaTheme="minorHAnsi" w:hAnsiTheme="minorHAnsi" w:cstheme="minorBidi"/>
          <w:snapToGrid/>
          <w:sz w:val="24"/>
          <w:szCs w:val="22"/>
        </w:rPr>
        <w:t xml:space="preserve">average </w:t>
      </w:r>
      <w:r w:rsidR="00554AEF" w:rsidRPr="00DE3D08">
        <w:rPr>
          <w:rFonts w:asciiTheme="minorHAnsi" w:eastAsiaTheme="minorHAnsi" w:hAnsiTheme="minorHAnsi" w:cstheme="minorBidi"/>
          <w:snapToGrid/>
          <w:sz w:val="24"/>
          <w:szCs w:val="22"/>
        </w:rPr>
        <w:t xml:space="preserve">cost per patient per course is increased by changing the 2 mg/kg dosing regimen to a 200 mg fixed dose. This therefore changes the cost-effectiveness of </w:t>
      </w:r>
      <w:proofErr w:type="spellStart"/>
      <w:r w:rsidR="00554AEF" w:rsidRPr="00DE3D08">
        <w:rPr>
          <w:rFonts w:asciiTheme="minorHAnsi" w:eastAsiaTheme="minorHAnsi" w:hAnsiTheme="minorHAnsi" w:cstheme="minorBidi"/>
          <w:snapToGrid/>
          <w:sz w:val="24"/>
          <w:szCs w:val="22"/>
        </w:rPr>
        <w:t>pembrolizumab</w:t>
      </w:r>
      <w:proofErr w:type="spellEnd"/>
      <w:r w:rsidR="00554AEF" w:rsidRPr="00DE3D08">
        <w:rPr>
          <w:rFonts w:asciiTheme="minorHAnsi" w:eastAsiaTheme="minorHAnsi" w:hAnsiTheme="minorHAnsi" w:cstheme="minorBidi"/>
          <w:snapToGrid/>
          <w:sz w:val="24"/>
          <w:szCs w:val="22"/>
        </w:rPr>
        <w:t xml:space="preserve"> such that treatment with </w:t>
      </w:r>
      <w:proofErr w:type="spellStart"/>
      <w:r w:rsidR="00554AEF" w:rsidRPr="00DE3D08">
        <w:rPr>
          <w:rFonts w:asciiTheme="minorHAnsi" w:eastAsiaTheme="minorHAnsi" w:hAnsiTheme="minorHAnsi" w:cstheme="minorBidi"/>
          <w:snapToGrid/>
          <w:sz w:val="24"/>
          <w:szCs w:val="22"/>
        </w:rPr>
        <w:t>pembrolizumab</w:t>
      </w:r>
      <w:proofErr w:type="spellEnd"/>
      <w:r w:rsidR="00554AEF" w:rsidRPr="00DE3D08">
        <w:rPr>
          <w:rFonts w:asciiTheme="minorHAnsi" w:eastAsiaTheme="minorHAnsi" w:hAnsiTheme="minorHAnsi" w:cstheme="minorBidi"/>
          <w:snapToGrid/>
          <w:sz w:val="24"/>
          <w:szCs w:val="22"/>
        </w:rPr>
        <w:t xml:space="preserve"> </w:t>
      </w:r>
      <w:r w:rsidR="000B2A32" w:rsidRPr="00DE3D08">
        <w:rPr>
          <w:rFonts w:asciiTheme="minorHAnsi" w:eastAsiaTheme="minorHAnsi" w:hAnsiTheme="minorHAnsi" w:cstheme="minorBidi"/>
          <w:snapToGrid/>
          <w:sz w:val="24"/>
          <w:szCs w:val="22"/>
        </w:rPr>
        <w:t xml:space="preserve">would no longer </w:t>
      </w:r>
      <w:r w:rsidR="00554AEF" w:rsidRPr="00DE3D08">
        <w:rPr>
          <w:rFonts w:asciiTheme="minorHAnsi" w:eastAsiaTheme="minorHAnsi" w:hAnsiTheme="minorHAnsi" w:cstheme="minorBidi"/>
          <w:snapToGrid/>
          <w:sz w:val="24"/>
          <w:szCs w:val="22"/>
        </w:rPr>
        <w:t xml:space="preserve">be cost-effective in the instance </w:t>
      </w:r>
      <w:r w:rsidR="000B2A32" w:rsidRPr="00DE3D08">
        <w:rPr>
          <w:rFonts w:asciiTheme="minorHAnsi" w:eastAsiaTheme="minorHAnsi" w:hAnsiTheme="minorHAnsi" w:cstheme="minorBidi"/>
          <w:snapToGrid/>
          <w:sz w:val="24"/>
          <w:szCs w:val="22"/>
        </w:rPr>
        <w:t xml:space="preserve">that an annual </w:t>
      </w:r>
      <w:r w:rsidR="00E06DB2">
        <w:rPr>
          <w:rFonts w:asciiTheme="minorHAnsi" w:eastAsiaTheme="minorHAnsi" w:hAnsiTheme="minorHAnsi" w:cstheme="minorBidi"/>
          <w:snapToGrid/>
          <w:sz w:val="24"/>
          <w:szCs w:val="22"/>
        </w:rPr>
        <w:t>cap is not exceeded.</w:t>
      </w:r>
    </w:p>
    <w:p w:rsidR="00A20068" w:rsidRPr="00A20068" w:rsidRDefault="00A20068" w:rsidP="00A20068">
      <w:pPr>
        <w:pStyle w:val="ListParagraph"/>
        <w:numPr>
          <w:ilvl w:val="1"/>
          <w:numId w:val="14"/>
        </w:numPr>
        <w:spacing w:after="120"/>
        <w:rPr>
          <w:rFonts w:asciiTheme="minorHAnsi" w:eastAsiaTheme="minorHAnsi" w:hAnsiTheme="minorHAnsi" w:cstheme="minorBidi"/>
          <w:snapToGrid/>
          <w:sz w:val="24"/>
          <w:szCs w:val="22"/>
        </w:rPr>
      </w:pPr>
      <w:r>
        <w:rPr>
          <w:rFonts w:asciiTheme="minorHAnsi" w:eastAsiaTheme="minorHAnsi" w:hAnsiTheme="minorHAnsi" w:cstheme="minorBidi"/>
          <w:snapToGrid/>
          <w:sz w:val="24"/>
          <w:szCs w:val="22"/>
        </w:rPr>
        <w:t>The pre-PBAC response argued that the sponsor “</w:t>
      </w:r>
      <w:r w:rsidRPr="00A20068">
        <w:rPr>
          <w:rFonts w:asciiTheme="minorHAnsi" w:eastAsiaTheme="minorHAnsi" w:hAnsiTheme="minorHAnsi" w:cstheme="minorBidi"/>
          <w:snapToGrid/>
          <w:sz w:val="24"/>
          <w:szCs w:val="22"/>
        </w:rPr>
        <w:t xml:space="preserve">believes there is no risk that the annual PD-1 monotherapy cap for </w:t>
      </w:r>
      <w:proofErr w:type="spellStart"/>
      <w:r w:rsidRPr="00A20068">
        <w:rPr>
          <w:rFonts w:asciiTheme="minorHAnsi" w:eastAsiaTheme="minorHAnsi" w:hAnsiTheme="minorHAnsi" w:cstheme="minorBidi"/>
          <w:snapToGrid/>
          <w:sz w:val="24"/>
          <w:szCs w:val="22"/>
        </w:rPr>
        <w:t>unresectable</w:t>
      </w:r>
      <w:proofErr w:type="spellEnd"/>
      <w:r w:rsidRPr="00A20068">
        <w:rPr>
          <w:rFonts w:asciiTheme="minorHAnsi" w:eastAsiaTheme="minorHAnsi" w:hAnsiTheme="minorHAnsi" w:cstheme="minorBidi"/>
          <w:snapToGrid/>
          <w:sz w:val="24"/>
          <w:szCs w:val="22"/>
        </w:rPr>
        <w:t xml:space="preserve">/metastatic melanoma will not be exceeded in Year 4 and 5 of the deed (year 3 ending Sept 2018) for the following reasons: </w:t>
      </w:r>
    </w:p>
    <w:p w:rsidR="00A20068" w:rsidRPr="00A20068" w:rsidRDefault="00A20068" w:rsidP="00A20068">
      <w:pPr>
        <w:pStyle w:val="ListParagraph"/>
        <w:numPr>
          <w:ilvl w:val="0"/>
          <w:numId w:val="30"/>
        </w:numPr>
        <w:spacing w:after="120"/>
        <w:rPr>
          <w:rFonts w:asciiTheme="minorHAnsi" w:eastAsiaTheme="minorHAnsi" w:hAnsiTheme="minorHAnsi" w:cstheme="minorBidi"/>
          <w:snapToGrid/>
          <w:sz w:val="24"/>
          <w:szCs w:val="22"/>
        </w:rPr>
      </w:pPr>
      <w:r w:rsidRPr="00A20068">
        <w:rPr>
          <w:rFonts w:asciiTheme="minorHAnsi" w:eastAsiaTheme="minorHAnsi" w:hAnsiTheme="minorHAnsi" w:cstheme="minorBidi"/>
          <w:snapToGrid/>
          <w:sz w:val="24"/>
          <w:szCs w:val="22"/>
        </w:rPr>
        <w:t>There are no new monotherapies which are likely to be listed and significantly reduce the PD-1 market size in 2019 and 2020</w:t>
      </w:r>
      <w:r>
        <w:rPr>
          <w:rFonts w:asciiTheme="minorHAnsi" w:eastAsiaTheme="minorHAnsi" w:hAnsiTheme="minorHAnsi" w:cstheme="minorBidi"/>
          <w:snapToGrid/>
          <w:sz w:val="24"/>
          <w:szCs w:val="22"/>
        </w:rPr>
        <w:t>;</w:t>
      </w:r>
    </w:p>
    <w:p w:rsidR="00A20068" w:rsidRDefault="00A20068" w:rsidP="00A20068">
      <w:pPr>
        <w:pStyle w:val="ListParagraph"/>
        <w:numPr>
          <w:ilvl w:val="0"/>
          <w:numId w:val="30"/>
        </w:numPr>
        <w:spacing w:after="120"/>
        <w:rPr>
          <w:rFonts w:asciiTheme="minorHAnsi" w:eastAsiaTheme="minorHAnsi" w:hAnsiTheme="minorHAnsi" w:cstheme="minorBidi"/>
          <w:snapToGrid/>
          <w:sz w:val="24"/>
          <w:szCs w:val="22"/>
        </w:rPr>
      </w:pPr>
      <w:r w:rsidRPr="00A20068">
        <w:rPr>
          <w:rFonts w:asciiTheme="minorHAnsi" w:eastAsiaTheme="minorHAnsi" w:hAnsiTheme="minorHAnsi" w:cstheme="minorBidi"/>
          <w:snapToGrid/>
          <w:sz w:val="24"/>
          <w:szCs w:val="22"/>
        </w:rPr>
        <w:t xml:space="preserve">The incidence of </w:t>
      </w:r>
      <w:proofErr w:type="spellStart"/>
      <w:r w:rsidRPr="00A20068">
        <w:rPr>
          <w:rFonts w:asciiTheme="minorHAnsi" w:eastAsiaTheme="minorHAnsi" w:hAnsiTheme="minorHAnsi" w:cstheme="minorBidi"/>
          <w:snapToGrid/>
          <w:sz w:val="24"/>
          <w:szCs w:val="22"/>
        </w:rPr>
        <w:t>unresectable</w:t>
      </w:r>
      <w:proofErr w:type="spellEnd"/>
      <w:r w:rsidRPr="00A20068">
        <w:rPr>
          <w:rFonts w:asciiTheme="minorHAnsi" w:eastAsiaTheme="minorHAnsi" w:hAnsiTheme="minorHAnsi" w:cstheme="minorBidi"/>
          <w:snapToGrid/>
          <w:sz w:val="24"/>
          <w:szCs w:val="22"/>
        </w:rPr>
        <w:t xml:space="preserve"> melanoma is stable, and patients are treated immediately due to their poor prognosis.  Therefore, use in excess of the cap in the first two years of listing cannot be due to pent up demand, and would l</w:t>
      </w:r>
      <w:r>
        <w:rPr>
          <w:rFonts w:asciiTheme="minorHAnsi" w:eastAsiaTheme="minorHAnsi" w:hAnsiTheme="minorHAnsi" w:cstheme="minorBidi"/>
          <w:snapToGrid/>
          <w:sz w:val="24"/>
          <w:szCs w:val="22"/>
        </w:rPr>
        <w:t>ikely continue in future years.”</w:t>
      </w:r>
    </w:p>
    <w:p w:rsidR="00A20068" w:rsidRPr="00A20068" w:rsidRDefault="00A20068" w:rsidP="00E06DB2">
      <w:pPr>
        <w:spacing w:after="120"/>
        <w:ind w:left="720"/>
        <w:jc w:val="both"/>
        <w:rPr>
          <w:rFonts w:asciiTheme="minorHAnsi" w:eastAsiaTheme="minorHAnsi" w:hAnsiTheme="minorHAnsi" w:cstheme="minorBidi"/>
          <w:szCs w:val="22"/>
        </w:rPr>
      </w:pPr>
      <w:r>
        <w:rPr>
          <w:rFonts w:asciiTheme="minorHAnsi" w:eastAsiaTheme="minorHAnsi" w:hAnsiTheme="minorHAnsi" w:cstheme="minorBidi"/>
          <w:szCs w:val="22"/>
        </w:rPr>
        <w:t xml:space="preserve">The pre-PBAC response stated however, that the sponsor </w:t>
      </w:r>
      <w:r w:rsidR="00E06DB2">
        <w:rPr>
          <w:rFonts w:asciiTheme="minorHAnsi" w:eastAsiaTheme="minorHAnsi" w:hAnsiTheme="minorHAnsi" w:cstheme="minorBidi"/>
          <w:szCs w:val="22"/>
        </w:rPr>
        <w:t>wa</w:t>
      </w:r>
      <w:r>
        <w:rPr>
          <w:rFonts w:asciiTheme="minorHAnsi" w:eastAsiaTheme="minorHAnsi" w:hAnsiTheme="minorHAnsi" w:cstheme="minorBidi"/>
          <w:szCs w:val="22"/>
        </w:rPr>
        <w:t xml:space="preserve">s willing to provide the commitment that, in the case where </w:t>
      </w:r>
      <w:r w:rsidR="00C705A0">
        <w:rPr>
          <w:rFonts w:asciiTheme="minorHAnsi" w:eastAsiaTheme="minorHAnsi" w:hAnsiTheme="minorHAnsi" w:cstheme="minorBidi"/>
          <w:szCs w:val="22"/>
        </w:rPr>
        <w:t xml:space="preserve">the </w:t>
      </w:r>
      <w:r>
        <w:rPr>
          <w:rFonts w:asciiTheme="minorHAnsi" w:eastAsiaTheme="minorHAnsi" w:hAnsiTheme="minorHAnsi" w:cstheme="minorBidi"/>
          <w:szCs w:val="22"/>
        </w:rPr>
        <w:t>caps are not exceeded, the sponsor would renegotiate the terms of the deed, such that the</w:t>
      </w:r>
      <w:r w:rsidR="0013575C">
        <w:rPr>
          <w:rFonts w:asciiTheme="minorHAnsi" w:eastAsiaTheme="minorHAnsi" w:hAnsiTheme="minorHAnsi" w:cstheme="minorBidi"/>
          <w:szCs w:val="22"/>
        </w:rPr>
        <w:t xml:space="preserve"> PBAC’s determination of a cost-</w:t>
      </w:r>
      <w:r>
        <w:rPr>
          <w:rFonts w:asciiTheme="minorHAnsi" w:eastAsiaTheme="minorHAnsi" w:hAnsiTheme="minorHAnsi" w:cstheme="minorBidi"/>
          <w:szCs w:val="22"/>
        </w:rPr>
        <w:t>effective price continue</w:t>
      </w:r>
      <w:r w:rsidR="00E06DB2">
        <w:rPr>
          <w:rFonts w:asciiTheme="minorHAnsi" w:eastAsiaTheme="minorHAnsi" w:hAnsiTheme="minorHAnsi" w:cstheme="minorBidi"/>
          <w:szCs w:val="22"/>
        </w:rPr>
        <w:t>d</w:t>
      </w:r>
      <w:r>
        <w:rPr>
          <w:rFonts w:asciiTheme="minorHAnsi" w:eastAsiaTheme="minorHAnsi" w:hAnsiTheme="minorHAnsi" w:cstheme="minorBidi"/>
          <w:szCs w:val="22"/>
        </w:rPr>
        <w:t xml:space="preserve"> to b</w:t>
      </w:r>
      <w:r w:rsidR="00E06DB2">
        <w:rPr>
          <w:rFonts w:asciiTheme="minorHAnsi" w:eastAsiaTheme="minorHAnsi" w:hAnsiTheme="minorHAnsi" w:cstheme="minorBidi"/>
          <w:szCs w:val="22"/>
        </w:rPr>
        <w:t>e reflected in the arrangement.</w:t>
      </w:r>
    </w:p>
    <w:p w:rsidR="00A20068" w:rsidRPr="000E70AA" w:rsidRDefault="00A20068" w:rsidP="000E70AA">
      <w:pPr>
        <w:widowControl w:val="0"/>
        <w:numPr>
          <w:ilvl w:val="1"/>
          <w:numId w:val="5"/>
        </w:numPr>
        <w:spacing w:after="120"/>
        <w:jc w:val="both"/>
        <w:rPr>
          <w:rFonts w:asciiTheme="minorHAnsi" w:hAnsiTheme="minorHAnsi" w:cs="Arial"/>
          <w:bCs/>
          <w:snapToGrid w:val="0"/>
          <w:lang w:val="en-GB"/>
        </w:rPr>
      </w:pPr>
      <w:r>
        <w:rPr>
          <w:rFonts w:asciiTheme="minorHAnsi" w:eastAsiaTheme="minorHAnsi" w:hAnsiTheme="minorHAnsi" w:cstheme="minorBidi"/>
          <w:szCs w:val="22"/>
        </w:rPr>
        <w:t>The PBAC considered that changing from the weight-based to the fixed dose regimen</w:t>
      </w:r>
      <w:r w:rsidR="002B05AE">
        <w:rPr>
          <w:rFonts w:asciiTheme="minorHAnsi" w:eastAsiaTheme="minorHAnsi" w:hAnsiTheme="minorHAnsi" w:cstheme="minorBidi"/>
          <w:szCs w:val="22"/>
        </w:rPr>
        <w:t xml:space="preserve"> would result in a per-patient treatment cost that was no</w:t>
      </w:r>
      <w:r w:rsidR="00A70910">
        <w:rPr>
          <w:rFonts w:asciiTheme="minorHAnsi" w:eastAsiaTheme="minorHAnsi" w:hAnsiTheme="minorHAnsi" w:cstheme="minorBidi"/>
          <w:szCs w:val="22"/>
        </w:rPr>
        <w:t>t</w:t>
      </w:r>
      <w:r w:rsidR="002B05AE">
        <w:rPr>
          <w:rFonts w:asciiTheme="minorHAnsi" w:eastAsiaTheme="minorHAnsi" w:hAnsiTheme="minorHAnsi" w:cstheme="minorBidi"/>
          <w:szCs w:val="22"/>
        </w:rPr>
        <w:t xml:space="preserve"> cost-effective. The PBAC noted however, t</w:t>
      </w:r>
      <w:r w:rsidR="00E06DB2">
        <w:rPr>
          <w:rFonts w:asciiTheme="minorHAnsi" w:eastAsiaTheme="minorHAnsi" w:hAnsiTheme="minorHAnsi" w:cstheme="minorBidi"/>
          <w:szCs w:val="22"/>
        </w:rPr>
        <w:t>hat while the current risk sharing</w:t>
      </w:r>
      <w:r w:rsidR="002B05AE">
        <w:rPr>
          <w:rFonts w:asciiTheme="minorHAnsi" w:eastAsiaTheme="minorHAnsi" w:hAnsiTheme="minorHAnsi" w:cstheme="minorBidi"/>
          <w:szCs w:val="22"/>
        </w:rPr>
        <w:t xml:space="preserve"> arrangement is in place and the annual expenditure caps continue to be exceeded, a change to the fixed dose regimen would remain cost-effective for government overall. </w:t>
      </w:r>
      <w:r w:rsidR="00C705A0">
        <w:rPr>
          <w:rFonts w:asciiTheme="minorHAnsi" w:hAnsiTheme="minorHAnsi" w:cs="Arial"/>
          <w:bCs/>
          <w:snapToGrid w:val="0"/>
          <w:lang w:val="en-GB"/>
        </w:rPr>
        <w:t xml:space="preserve">The PBAC therefore advised that subsequent annual expenditure caps for this melanoma-based Deed of Agreement should be negotiated with the sponsor for </w:t>
      </w:r>
      <w:proofErr w:type="spellStart"/>
      <w:r w:rsidR="00C705A0">
        <w:rPr>
          <w:rFonts w:asciiTheme="minorHAnsi" w:hAnsiTheme="minorHAnsi" w:cs="Arial"/>
          <w:bCs/>
          <w:snapToGrid w:val="0"/>
          <w:lang w:val="en-GB"/>
        </w:rPr>
        <w:t>pembrolizumab</w:t>
      </w:r>
      <w:proofErr w:type="spellEnd"/>
      <w:r w:rsidR="00C705A0">
        <w:rPr>
          <w:rFonts w:asciiTheme="minorHAnsi" w:hAnsiTheme="minorHAnsi" w:cs="Arial"/>
          <w:bCs/>
          <w:snapToGrid w:val="0"/>
          <w:lang w:val="en-GB"/>
        </w:rPr>
        <w:t xml:space="preserve"> based on the weight-based dosing regimen, to ensure that the PBS listing remains acceptably cost-effective.</w:t>
      </w:r>
    </w:p>
    <w:p w:rsidR="00FB1AEF" w:rsidRPr="00DE3D08" w:rsidRDefault="008B0214" w:rsidP="008B0214">
      <w:pPr>
        <w:pStyle w:val="ListParagraph"/>
        <w:widowControl/>
        <w:numPr>
          <w:ilvl w:val="1"/>
          <w:numId w:val="14"/>
        </w:numPr>
        <w:spacing w:after="120"/>
        <w:contextualSpacing w:val="0"/>
        <w:rPr>
          <w:rFonts w:asciiTheme="minorHAnsi" w:eastAsiaTheme="minorHAnsi" w:hAnsiTheme="minorHAnsi" w:cstheme="minorBidi"/>
          <w:snapToGrid/>
          <w:sz w:val="24"/>
          <w:szCs w:val="22"/>
        </w:rPr>
      </w:pPr>
      <w:r w:rsidRPr="00DE3D08">
        <w:rPr>
          <w:rFonts w:asciiTheme="minorHAnsi" w:eastAsiaTheme="minorHAnsi" w:hAnsiTheme="minorHAnsi" w:cstheme="minorBidi"/>
          <w:snapToGrid/>
          <w:sz w:val="24"/>
          <w:szCs w:val="22"/>
        </w:rPr>
        <w:lastRenderedPageBreak/>
        <w:t xml:space="preserve">In considering the resubmission </w:t>
      </w:r>
      <w:r w:rsidR="006111A0" w:rsidRPr="00DE3D08">
        <w:rPr>
          <w:rFonts w:asciiTheme="minorHAnsi" w:eastAsiaTheme="minorHAnsi" w:hAnsiTheme="minorHAnsi" w:cstheme="minorBidi"/>
          <w:snapToGrid/>
          <w:sz w:val="24"/>
          <w:szCs w:val="22"/>
        </w:rPr>
        <w:t xml:space="preserve">for </w:t>
      </w:r>
      <w:proofErr w:type="spellStart"/>
      <w:r w:rsidR="006111A0" w:rsidRPr="00DE3D08">
        <w:rPr>
          <w:rFonts w:asciiTheme="minorHAnsi" w:eastAsiaTheme="minorHAnsi" w:hAnsiTheme="minorHAnsi" w:cstheme="minorBidi"/>
          <w:snapToGrid/>
          <w:sz w:val="24"/>
          <w:szCs w:val="22"/>
        </w:rPr>
        <w:t>pembrolizumab</w:t>
      </w:r>
      <w:proofErr w:type="spellEnd"/>
      <w:r w:rsidR="006111A0" w:rsidRPr="00DE3D08">
        <w:rPr>
          <w:rFonts w:asciiTheme="minorHAnsi" w:eastAsiaTheme="minorHAnsi" w:hAnsiTheme="minorHAnsi" w:cstheme="minorBidi"/>
          <w:snapToGrid/>
          <w:sz w:val="24"/>
          <w:szCs w:val="22"/>
        </w:rPr>
        <w:t xml:space="preserve"> in NSCLC </w:t>
      </w:r>
      <w:r w:rsidRPr="00DE3D08">
        <w:rPr>
          <w:rFonts w:asciiTheme="minorHAnsi" w:eastAsiaTheme="minorHAnsi" w:hAnsiTheme="minorHAnsi" w:cstheme="minorBidi"/>
          <w:snapToGrid/>
          <w:sz w:val="24"/>
          <w:szCs w:val="22"/>
        </w:rPr>
        <w:t xml:space="preserve">at </w:t>
      </w:r>
      <w:r w:rsidR="000B2A32" w:rsidRPr="00DE3D08">
        <w:rPr>
          <w:rFonts w:asciiTheme="minorHAnsi" w:eastAsiaTheme="minorHAnsi" w:hAnsiTheme="minorHAnsi" w:cstheme="minorBidi"/>
          <w:snapToGrid/>
          <w:sz w:val="24"/>
          <w:szCs w:val="22"/>
        </w:rPr>
        <w:t xml:space="preserve">its </w:t>
      </w:r>
      <w:r w:rsidRPr="00DE3D08">
        <w:rPr>
          <w:rFonts w:asciiTheme="minorHAnsi" w:hAnsiTheme="minorHAnsi"/>
          <w:sz w:val="24"/>
          <w:szCs w:val="24"/>
        </w:rPr>
        <w:t xml:space="preserve">November 2017 meeting, the </w:t>
      </w:r>
      <w:bookmarkStart w:id="2" w:name="_Hlk509758845"/>
      <w:r w:rsidRPr="00DE3D08">
        <w:rPr>
          <w:rFonts w:asciiTheme="minorHAnsi" w:hAnsiTheme="minorHAnsi"/>
          <w:sz w:val="24"/>
          <w:szCs w:val="24"/>
        </w:rPr>
        <w:t xml:space="preserve">PBAC noted that increasing the average per patient cost of </w:t>
      </w:r>
      <w:proofErr w:type="spellStart"/>
      <w:r w:rsidRPr="00DE3D08">
        <w:rPr>
          <w:rFonts w:asciiTheme="minorHAnsi" w:hAnsiTheme="minorHAnsi"/>
          <w:sz w:val="24"/>
          <w:szCs w:val="24"/>
        </w:rPr>
        <w:t>pembrolizumab</w:t>
      </w:r>
      <w:proofErr w:type="spellEnd"/>
      <w:r w:rsidRPr="00DE3D08">
        <w:rPr>
          <w:rFonts w:asciiTheme="minorHAnsi" w:hAnsiTheme="minorHAnsi"/>
          <w:sz w:val="24"/>
          <w:szCs w:val="24"/>
        </w:rPr>
        <w:t xml:space="preserve"> by moving the recommended dose from a 2</w:t>
      </w:r>
      <w:r w:rsidR="006111A0" w:rsidRPr="00DE3D08">
        <w:rPr>
          <w:rFonts w:asciiTheme="minorHAnsi" w:hAnsiTheme="minorHAnsi"/>
          <w:sz w:val="24"/>
          <w:szCs w:val="24"/>
        </w:rPr>
        <w:t> mg/kg basis to a fixed 200 </w:t>
      </w:r>
      <w:r w:rsidRPr="00DE3D08">
        <w:rPr>
          <w:rFonts w:asciiTheme="minorHAnsi" w:hAnsiTheme="minorHAnsi"/>
          <w:sz w:val="24"/>
          <w:szCs w:val="24"/>
        </w:rPr>
        <w:t xml:space="preserve">mg basis is likely associated with a 25% wastage of </w:t>
      </w:r>
      <w:proofErr w:type="spellStart"/>
      <w:r w:rsidRPr="00DE3D08">
        <w:rPr>
          <w:rFonts w:asciiTheme="minorHAnsi" w:hAnsiTheme="minorHAnsi"/>
          <w:sz w:val="24"/>
          <w:szCs w:val="24"/>
        </w:rPr>
        <w:t>pembrolizumab</w:t>
      </w:r>
      <w:proofErr w:type="spellEnd"/>
      <w:r w:rsidRPr="00DE3D08">
        <w:rPr>
          <w:rFonts w:asciiTheme="minorHAnsi" w:hAnsiTheme="minorHAnsi"/>
          <w:sz w:val="24"/>
          <w:szCs w:val="24"/>
        </w:rPr>
        <w:t xml:space="preserve"> because corroborating evidence indicates that this is not also associated with an improvement in patient health outcomes.</w:t>
      </w:r>
      <w:bookmarkEnd w:id="2"/>
      <w:r w:rsidRPr="00DE3D08">
        <w:rPr>
          <w:rFonts w:asciiTheme="minorHAnsi" w:hAnsiTheme="minorHAnsi"/>
          <w:sz w:val="24"/>
          <w:szCs w:val="24"/>
        </w:rPr>
        <w:t xml:space="preserve"> </w:t>
      </w:r>
      <w:r w:rsidR="006111A0" w:rsidRPr="00DE3D08">
        <w:rPr>
          <w:rFonts w:asciiTheme="minorHAnsi" w:hAnsiTheme="minorHAnsi"/>
          <w:sz w:val="24"/>
          <w:szCs w:val="24"/>
        </w:rPr>
        <w:t xml:space="preserve">This conclusion is consistent with that of the “Fixed Dose Clinical Overview” in the minor submission. </w:t>
      </w:r>
      <w:r w:rsidRPr="00DE3D08">
        <w:rPr>
          <w:rFonts w:asciiTheme="minorHAnsi" w:hAnsiTheme="minorHAnsi"/>
          <w:sz w:val="24"/>
          <w:szCs w:val="24"/>
        </w:rPr>
        <w:t xml:space="preserve">The PBAC considered that this justified its expectation of a price reduction (paragraph 7.15, </w:t>
      </w:r>
      <w:r w:rsidR="001348A8" w:rsidRPr="00DE3D08">
        <w:rPr>
          <w:rFonts w:asciiTheme="minorHAnsi" w:hAnsiTheme="minorHAnsi"/>
          <w:sz w:val="24"/>
          <w:szCs w:val="24"/>
        </w:rPr>
        <w:t xml:space="preserve">[Item 7.07] </w:t>
      </w:r>
      <w:proofErr w:type="spellStart"/>
      <w:r w:rsidRPr="00DE3D08">
        <w:rPr>
          <w:rFonts w:asciiTheme="minorHAnsi" w:hAnsiTheme="minorHAnsi"/>
          <w:sz w:val="24"/>
          <w:szCs w:val="24"/>
        </w:rPr>
        <w:t>pembrolizumab</w:t>
      </w:r>
      <w:proofErr w:type="spellEnd"/>
      <w:r w:rsidRPr="00DE3D08">
        <w:rPr>
          <w:rFonts w:asciiTheme="minorHAnsi" w:hAnsiTheme="minorHAnsi"/>
          <w:sz w:val="24"/>
          <w:szCs w:val="24"/>
        </w:rPr>
        <w:t xml:space="preserve"> November 2017 PBAC </w:t>
      </w:r>
      <w:r w:rsidR="00073A1F">
        <w:rPr>
          <w:rFonts w:asciiTheme="minorHAnsi" w:hAnsiTheme="minorHAnsi"/>
          <w:sz w:val="24"/>
          <w:szCs w:val="24"/>
        </w:rPr>
        <w:t>PSD</w:t>
      </w:r>
      <w:r w:rsidRPr="00DE3D08">
        <w:rPr>
          <w:rFonts w:asciiTheme="minorHAnsi" w:hAnsiTheme="minorHAnsi"/>
          <w:sz w:val="24"/>
          <w:szCs w:val="24"/>
        </w:rPr>
        <w:t xml:space="preserve">). At the same meeting in consideration of the major submission for </w:t>
      </w:r>
      <w:proofErr w:type="spellStart"/>
      <w:r w:rsidRPr="00DE3D08">
        <w:rPr>
          <w:rFonts w:asciiTheme="minorHAnsi" w:hAnsiTheme="minorHAnsi"/>
          <w:sz w:val="24"/>
          <w:szCs w:val="24"/>
        </w:rPr>
        <w:t>pembrolizumab</w:t>
      </w:r>
      <w:proofErr w:type="spellEnd"/>
      <w:r w:rsidRPr="00DE3D08">
        <w:rPr>
          <w:rFonts w:asciiTheme="minorHAnsi" w:hAnsiTheme="minorHAnsi"/>
          <w:sz w:val="24"/>
          <w:szCs w:val="24"/>
        </w:rPr>
        <w:t xml:space="preserve"> for urothelial cancer, the PBAC considered that the request for fixed dosing “</w:t>
      </w:r>
      <w:r w:rsidRPr="00DE3D08">
        <w:rPr>
          <w:rFonts w:asciiTheme="minorHAnsi" w:hAnsiTheme="minorHAnsi"/>
          <w:bCs/>
          <w:sz w:val="24"/>
          <w:szCs w:val="24"/>
          <w:lang w:val="en-GB"/>
        </w:rPr>
        <w:t xml:space="preserve">results in a considerable proportion of patients with urothelial cancer being given a greater dose, at a greater cost, with no evidence of additional benefit. The PBAC therefore considered that it may be reasonable for the price paid for </w:t>
      </w:r>
      <w:proofErr w:type="spellStart"/>
      <w:r w:rsidRPr="00DE3D08">
        <w:rPr>
          <w:rFonts w:asciiTheme="minorHAnsi" w:hAnsiTheme="minorHAnsi"/>
          <w:bCs/>
          <w:sz w:val="24"/>
          <w:szCs w:val="24"/>
          <w:lang w:val="en-GB"/>
        </w:rPr>
        <w:t>pembrolizumab</w:t>
      </w:r>
      <w:proofErr w:type="spellEnd"/>
      <w:r w:rsidRPr="00DE3D08">
        <w:rPr>
          <w:rFonts w:asciiTheme="minorHAnsi" w:hAnsiTheme="minorHAnsi"/>
          <w:bCs/>
          <w:sz w:val="24"/>
          <w:szCs w:val="24"/>
          <w:lang w:val="en-GB"/>
        </w:rPr>
        <w:t xml:space="preserve"> in urothelial cancer to reflect the cost if weight-based 2 mg/kg dosing was used rather than fixed 200 mg dosing” (paragraph 7.12, </w:t>
      </w:r>
      <w:proofErr w:type="spellStart"/>
      <w:r w:rsidRPr="00DE3D08">
        <w:rPr>
          <w:rFonts w:asciiTheme="minorHAnsi" w:hAnsiTheme="minorHAnsi"/>
          <w:bCs/>
          <w:sz w:val="24"/>
          <w:szCs w:val="24"/>
          <w:lang w:val="en-GB"/>
        </w:rPr>
        <w:t>pembrolizumab</w:t>
      </w:r>
      <w:proofErr w:type="spellEnd"/>
      <w:r w:rsidRPr="00DE3D08">
        <w:rPr>
          <w:rFonts w:asciiTheme="minorHAnsi" w:hAnsiTheme="minorHAnsi"/>
          <w:bCs/>
          <w:sz w:val="24"/>
          <w:szCs w:val="24"/>
          <w:lang w:val="en-GB"/>
        </w:rPr>
        <w:t xml:space="preserve"> [Item 6.11] November 2017 PBAC </w:t>
      </w:r>
      <w:r w:rsidR="00073A1F">
        <w:rPr>
          <w:rFonts w:asciiTheme="minorHAnsi" w:hAnsiTheme="minorHAnsi"/>
          <w:bCs/>
          <w:sz w:val="24"/>
          <w:szCs w:val="24"/>
          <w:lang w:val="en-GB"/>
        </w:rPr>
        <w:t>PSD</w:t>
      </w:r>
      <w:r w:rsidRPr="00DE3D08">
        <w:rPr>
          <w:rFonts w:asciiTheme="minorHAnsi" w:hAnsiTheme="minorHAnsi"/>
          <w:bCs/>
          <w:sz w:val="24"/>
          <w:szCs w:val="24"/>
          <w:lang w:val="en-GB"/>
        </w:rPr>
        <w:t xml:space="preserve">). </w:t>
      </w:r>
      <w:r w:rsidR="00B71FCB">
        <w:rPr>
          <w:rFonts w:asciiTheme="minorHAnsi" w:hAnsiTheme="minorHAnsi"/>
          <w:bCs/>
          <w:sz w:val="24"/>
          <w:szCs w:val="24"/>
          <w:lang w:val="en-GB"/>
        </w:rPr>
        <w:t>The PBAC considered that a</w:t>
      </w:r>
      <w:r w:rsidRPr="00DE3D08">
        <w:rPr>
          <w:rFonts w:asciiTheme="minorHAnsi" w:hAnsiTheme="minorHAnsi"/>
          <w:bCs/>
          <w:sz w:val="24"/>
          <w:szCs w:val="24"/>
          <w:lang w:val="en-GB"/>
        </w:rPr>
        <w:t xml:space="preserve"> similar issue of wastage appli</w:t>
      </w:r>
      <w:r w:rsidR="006111A0" w:rsidRPr="00DE3D08">
        <w:rPr>
          <w:rFonts w:asciiTheme="minorHAnsi" w:hAnsiTheme="minorHAnsi"/>
          <w:bCs/>
          <w:sz w:val="24"/>
          <w:szCs w:val="24"/>
          <w:lang w:val="en-GB"/>
        </w:rPr>
        <w:t>es</w:t>
      </w:r>
      <w:r w:rsidRPr="00DE3D08">
        <w:rPr>
          <w:rFonts w:asciiTheme="minorHAnsi" w:hAnsiTheme="minorHAnsi"/>
          <w:bCs/>
          <w:sz w:val="24"/>
          <w:szCs w:val="24"/>
          <w:lang w:val="en-GB"/>
        </w:rPr>
        <w:t xml:space="preserve"> t</w:t>
      </w:r>
      <w:r w:rsidR="006111A0" w:rsidRPr="00DE3D08">
        <w:rPr>
          <w:rFonts w:asciiTheme="minorHAnsi" w:hAnsiTheme="minorHAnsi"/>
          <w:bCs/>
          <w:sz w:val="24"/>
          <w:szCs w:val="24"/>
          <w:lang w:val="en-GB"/>
        </w:rPr>
        <w:t>o the current minor submission.</w:t>
      </w:r>
    </w:p>
    <w:p w:rsidR="00D34043" w:rsidRPr="00DE3D08" w:rsidRDefault="00D34043" w:rsidP="008B0214">
      <w:pPr>
        <w:pStyle w:val="ListParagraph"/>
        <w:widowControl/>
        <w:numPr>
          <w:ilvl w:val="1"/>
          <w:numId w:val="14"/>
        </w:numPr>
        <w:spacing w:after="120"/>
        <w:contextualSpacing w:val="0"/>
        <w:rPr>
          <w:rFonts w:asciiTheme="minorHAnsi" w:eastAsiaTheme="minorHAnsi" w:hAnsiTheme="minorHAnsi" w:cstheme="minorBidi"/>
          <w:snapToGrid/>
          <w:sz w:val="24"/>
          <w:szCs w:val="22"/>
        </w:rPr>
      </w:pPr>
      <w:r w:rsidRPr="00DE3D08">
        <w:rPr>
          <w:rFonts w:asciiTheme="minorHAnsi" w:eastAsiaTheme="minorHAnsi" w:hAnsiTheme="minorHAnsi" w:cstheme="minorBidi"/>
          <w:snapToGrid/>
          <w:sz w:val="24"/>
          <w:szCs w:val="22"/>
        </w:rPr>
        <w:t>Departmental analysis of</w:t>
      </w:r>
      <w:r w:rsidR="00BF67C6" w:rsidRPr="00DE3D08">
        <w:rPr>
          <w:rFonts w:asciiTheme="minorHAnsi" w:eastAsiaTheme="minorHAnsi" w:hAnsiTheme="minorHAnsi" w:cstheme="minorBidi"/>
          <w:snapToGrid/>
          <w:sz w:val="24"/>
          <w:szCs w:val="22"/>
        </w:rPr>
        <w:t xml:space="preserve"> the 2017</w:t>
      </w:r>
      <w:r w:rsidRPr="00DE3D08">
        <w:rPr>
          <w:rFonts w:asciiTheme="minorHAnsi" w:eastAsiaTheme="minorHAnsi" w:hAnsiTheme="minorHAnsi" w:cstheme="minorBidi"/>
          <w:snapToGrid/>
          <w:sz w:val="24"/>
          <w:szCs w:val="22"/>
        </w:rPr>
        <w:t xml:space="preserve"> PBS utilisation of </w:t>
      </w:r>
      <w:proofErr w:type="spellStart"/>
      <w:r w:rsidRPr="00DE3D08">
        <w:rPr>
          <w:rFonts w:asciiTheme="minorHAnsi" w:eastAsiaTheme="minorHAnsi" w:hAnsiTheme="minorHAnsi" w:cstheme="minorBidi"/>
          <w:snapToGrid/>
          <w:sz w:val="24"/>
          <w:szCs w:val="22"/>
        </w:rPr>
        <w:t>pembrolizumab</w:t>
      </w:r>
      <w:proofErr w:type="spellEnd"/>
      <w:r w:rsidRPr="00DE3D08">
        <w:rPr>
          <w:rFonts w:asciiTheme="minorHAnsi" w:eastAsiaTheme="minorHAnsi" w:hAnsiTheme="minorHAnsi" w:cstheme="minorBidi"/>
          <w:snapToGrid/>
          <w:sz w:val="24"/>
          <w:szCs w:val="22"/>
        </w:rPr>
        <w:t xml:space="preserve"> indicated that the mean and median doses were 166 mg and 162 mg</w:t>
      </w:r>
      <w:r w:rsidR="008F4A1D" w:rsidRPr="00DE3D08">
        <w:rPr>
          <w:rFonts w:asciiTheme="minorHAnsi" w:eastAsiaTheme="minorHAnsi" w:hAnsiTheme="minorHAnsi" w:cstheme="minorBidi"/>
          <w:snapToGrid/>
          <w:sz w:val="24"/>
          <w:szCs w:val="22"/>
        </w:rPr>
        <w:t xml:space="preserve"> respectively</w:t>
      </w:r>
      <w:r w:rsidR="00BF67C6" w:rsidRPr="00DE3D08">
        <w:rPr>
          <w:rFonts w:asciiTheme="minorHAnsi" w:eastAsiaTheme="minorHAnsi" w:hAnsiTheme="minorHAnsi" w:cstheme="minorBidi"/>
          <w:snapToGrid/>
          <w:sz w:val="24"/>
          <w:szCs w:val="22"/>
        </w:rPr>
        <w:t xml:space="preserve">. At a dose of 2 mg/kg, this </w:t>
      </w:r>
      <w:r w:rsidR="008F4A1D" w:rsidRPr="00DE3D08">
        <w:rPr>
          <w:rFonts w:asciiTheme="minorHAnsi" w:eastAsiaTheme="minorHAnsi" w:hAnsiTheme="minorHAnsi" w:cstheme="minorBidi"/>
          <w:snapToGrid/>
          <w:sz w:val="24"/>
          <w:szCs w:val="22"/>
        </w:rPr>
        <w:t>equates to an</w:t>
      </w:r>
      <w:r w:rsidR="00BF67C6" w:rsidRPr="00DE3D08">
        <w:rPr>
          <w:rFonts w:asciiTheme="minorHAnsi" w:eastAsiaTheme="minorHAnsi" w:hAnsiTheme="minorHAnsi" w:cstheme="minorBidi"/>
          <w:snapToGrid/>
          <w:sz w:val="24"/>
          <w:szCs w:val="22"/>
        </w:rPr>
        <w:t xml:space="preserve"> average and median patient weight</w:t>
      </w:r>
      <w:r w:rsidR="008F4A1D" w:rsidRPr="00DE3D08">
        <w:rPr>
          <w:rFonts w:asciiTheme="minorHAnsi" w:eastAsiaTheme="minorHAnsi" w:hAnsiTheme="minorHAnsi" w:cstheme="minorBidi"/>
          <w:snapToGrid/>
          <w:sz w:val="24"/>
          <w:szCs w:val="22"/>
        </w:rPr>
        <w:t xml:space="preserve"> of</w:t>
      </w:r>
      <w:r w:rsidR="003B63D3" w:rsidRPr="00DE3D08">
        <w:rPr>
          <w:rFonts w:asciiTheme="minorHAnsi" w:eastAsiaTheme="minorHAnsi" w:hAnsiTheme="minorHAnsi" w:cstheme="minorBidi"/>
          <w:snapToGrid/>
          <w:sz w:val="24"/>
          <w:szCs w:val="22"/>
        </w:rPr>
        <w:t xml:space="preserve"> 83</w:t>
      </w:r>
      <w:r w:rsidR="00BF67C6" w:rsidRPr="00DE3D08">
        <w:rPr>
          <w:rFonts w:asciiTheme="minorHAnsi" w:eastAsiaTheme="minorHAnsi" w:hAnsiTheme="minorHAnsi" w:cstheme="minorBidi"/>
          <w:snapToGrid/>
          <w:sz w:val="24"/>
          <w:szCs w:val="22"/>
        </w:rPr>
        <w:t> kg and 81 kg</w:t>
      </w:r>
      <w:r w:rsidR="008F4A1D" w:rsidRPr="00DE3D08">
        <w:rPr>
          <w:rFonts w:asciiTheme="minorHAnsi" w:eastAsiaTheme="minorHAnsi" w:hAnsiTheme="minorHAnsi" w:cstheme="minorBidi"/>
          <w:snapToGrid/>
          <w:sz w:val="24"/>
          <w:szCs w:val="22"/>
        </w:rPr>
        <w:t xml:space="preserve"> respectively</w:t>
      </w:r>
      <w:r w:rsidR="00BF67C6" w:rsidRPr="00DE3D08">
        <w:rPr>
          <w:rFonts w:asciiTheme="minorHAnsi" w:eastAsiaTheme="minorHAnsi" w:hAnsiTheme="minorHAnsi" w:cstheme="minorBidi"/>
          <w:snapToGrid/>
          <w:sz w:val="24"/>
          <w:szCs w:val="22"/>
        </w:rPr>
        <w:t xml:space="preserve">. In addition, the majority of patients required a dose of less than 200 mg. </w:t>
      </w:r>
      <w:r w:rsidR="00DA0BFC" w:rsidRPr="00DE3D08">
        <w:rPr>
          <w:rFonts w:asciiTheme="minorHAnsi" w:eastAsiaTheme="minorHAnsi" w:hAnsiTheme="minorHAnsi" w:cstheme="minorBidi"/>
          <w:snapToGrid/>
          <w:sz w:val="24"/>
          <w:szCs w:val="22"/>
        </w:rPr>
        <w:t>These results confirm that</w:t>
      </w:r>
      <w:r w:rsidR="003E4DA4" w:rsidRPr="00DE3D08">
        <w:rPr>
          <w:rFonts w:asciiTheme="minorHAnsi" w:eastAsiaTheme="minorHAnsi" w:hAnsiTheme="minorHAnsi" w:cstheme="minorBidi"/>
          <w:snapToGrid/>
          <w:sz w:val="24"/>
          <w:szCs w:val="22"/>
        </w:rPr>
        <w:t>, in the event that an RSA cap is not exceeded,</w:t>
      </w:r>
      <w:r w:rsidR="00DA0BFC" w:rsidRPr="00DE3D08">
        <w:rPr>
          <w:rFonts w:asciiTheme="minorHAnsi" w:eastAsiaTheme="minorHAnsi" w:hAnsiTheme="minorHAnsi" w:cstheme="minorBidi"/>
          <w:snapToGrid/>
          <w:sz w:val="24"/>
          <w:szCs w:val="22"/>
        </w:rPr>
        <w:t xml:space="preserve"> </w:t>
      </w:r>
      <w:r w:rsidR="003E4DA4" w:rsidRPr="00DE3D08">
        <w:rPr>
          <w:rFonts w:asciiTheme="minorHAnsi" w:eastAsiaTheme="minorHAnsi" w:hAnsiTheme="minorHAnsi" w:cstheme="minorBidi"/>
          <w:snapToGrid/>
          <w:sz w:val="24"/>
          <w:szCs w:val="22"/>
        </w:rPr>
        <w:t>the requested</w:t>
      </w:r>
      <w:r w:rsidR="008F4A1D" w:rsidRPr="00DE3D08">
        <w:rPr>
          <w:rFonts w:asciiTheme="minorHAnsi" w:eastAsiaTheme="minorHAnsi" w:hAnsiTheme="minorHAnsi" w:cstheme="minorBidi"/>
          <w:snapToGrid/>
          <w:sz w:val="24"/>
          <w:szCs w:val="22"/>
        </w:rPr>
        <w:t xml:space="preserve"> change to the</w:t>
      </w:r>
      <w:r w:rsidR="00DA0BFC" w:rsidRPr="00DE3D08">
        <w:rPr>
          <w:rFonts w:asciiTheme="minorHAnsi" w:eastAsiaTheme="minorHAnsi" w:hAnsiTheme="minorHAnsi" w:cstheme="minorBidi"/>
          <w:snapToGrid/>
          <w:sz w:val="24"/>
          <w:szCs w:val="22"/>
        </w:rPr>
        <w:t xml:space="preserve"> fixed 200 mg dose </w:t>
      </w:r>
      <w:r w:rsidR="003E4DA4" w:rsidRPr="00DE3D08">
        <w:rPr>
          <w:rFonts w:asciiTheme="minorHAnsi" w:eastAsiaTheme="minorHAnsi" w:hAnsiTheme="minorHAnsi" w:cstheme="minorBidi"/>
          <w:snapToGrid/>
          <w:sz w:val="24"/>
          <w:szCs w:val="22"/>
        </w:rPr>
        <w:t xml:space="preserve">would </w:t>
      </w:r>
      <w:r w:rsidR="00DA0BFC" w:rsidRPr="00DE3D08">
        <w:rPr>
          <w:rFonts w:asciiTheme="minorHAnsi" w:eastAsiaTheme="minorHAnsi" w:hAnsiTheme="minorHAnsi" w:cstheme="minorBidi"/>
          <w:snapToGrid/>
          <w:sz w:val="24"/>
          <w:szCs w:val="22"/>
        </w:rPr>
        <w:t>represent</w:t>
      </w:r>
      <w:r w:rsidR="008F4A1D" w:rsidRPr="00DE3D08">
        <w:rPr>
          <w:rFonts w:asciiTheme="minorHAnsi" w:eastAsiaTheme="minorHAnsi" w:hAnsiTheme="minorHAnsi" w:cstheme="minorBidi"/>
          <w:snapToGrid/>
          <w:sz w:val="24"/>
          <w:szCs w:val="22"/>
        </w:rPr>
        <w:t xml:space="preserve"> a dose increase and thus a higher cost per patient on average, to the government. </w:t>
      </w:r>
      <w:r w:rsidR="00BF67C6" w:rsidRPr="00DE3D08">
        <w:rPr>
          <w:rFonts w:asciiTheme="minorHAnsi" w:eastAsiaTheme="minorHAnsi" w:hAnsiTheme="minorHAnsi" w:cstheme="minorBidi"/>
          <w:snapToGrid/>
          <w:sz w:val="24"/>
          <w:szCs w:val="22"/>
        </w:rPr>
        <w:t xml:space="preserve">The </w:t>
      </w:r>
      <w:r w:rsidR="008F4A1D" w:rsidRPr="00DE3D08">
        <w:rPr>
          <w:rFonts w:asciiTheme="minorHAnsi" w:eastAsiaTheme="minorHAnsi" w:hAnsiTheme="minorHAnsi" w:cstheme="minorBidi"/>
          <w:snapToGrid/>
          <w:sz w:val="24"/>
          <w:szCs w:val="22"/>
        </w:rPr>
        <w:t xml:space="preserve">2017 </w:t>
      </w:r>
      <w:r w:rsidR="00BF67C6" w:rsidRPr="00DE3D08">
        <w:rPr>
          <w:rFonts w:asciiTheme="minorHAnsi" w:eastAsiaTheme="minorHAnsi" w:hAnsiTheme="minorHAnsi" w:cstheme="minorBidi"/>
          <w:snapToGrid/>
          <w:sz w:val="24"/>
          <w:szCs w:val="22"/>
        </w:rPr>
        <w:t xml:space="preserve">distribution of the </w:t>
      </w:r>
      <w:proofErr w:type="spellStart"/>
      <w:r w:rsidR="00BF67C6" w:rsidRPr="00DE3D08">
        <w:rPr>
          <w:rFonts w:asciiTheme="minorHAnsi" w:eastAsiaTheme="minorHAnsi" w:hAnsiTheme="minorHAnsi" w:cstheme="minorBidi"/>
          <w:snapToGrid/>
          <w:sz w:val="24"/>
          <w:szCs w:val="22"/>
        </w:rPr>
        <w:t>pembrolizumab</w:t>
      </w:r>
      <w:proofErr w:type="spellEnd"/>
      <w:r w:rsidR="00BF67C6" w:rsidRPr="00DE3D08">
        <w:rPr>
          <w:rFonts w:asciiTheme="minorHAnsi" w:eastAsiaTheme="minorHAnsi" w:hAnsiTheme="minorHAnsi" w:cstheme="minorBidi"/>
          <w:snapToGrid/>
          <w:sz w:val="24"/>
          <w:szCs w:val="22"/>
        </w:rPr>
        <w:t xml:space="preserve"> dispensed dose</w:t>
      </w:r>
      <w:r w:rsidR="008F4A1D" w:rsidRPr="00DE3D08">
        <w:rPr>
          <w:rFonts w:asciiTheme="minorHAnsi" w:eastAsiaTheme="minorHAnsi" w:hAnsiTheme="minorHAnsi" w:cstheme="minorBidi"/>
          <w:snapToGrid/>
          <w:sz w:val="24"/>
          <w:szCs w:val="22"/>
        </w:rPr>
        <w:t>s</w:t>
      </w:r>
      <w:r w:rsidR="003E4DA4" w:rsidRPr="00DE3D08">
        <w:rPr>
          <w:rFonts w:asciiTheme="minorHAnsi" w:eastAsiaTheme="minorHAnsi" w:hAnsiTheme="minorHAnsi" w:cstheme="minorBidi"/>
          <w:snapToGrid/>
          <w:sz w:val="24"/>
          <w:szCs w:val="22"/>
        </w:rPr>
        <w:t xml:space="preserve"> is shown below.</w:t>
      </w:r>
    </w:p>
    <w:p w:rsidR="00BF67C6" w:rsidRPr="008F4A1D" w:rsidRDefault="00BF67C6" w:rsidP="00366E3B">
      <w:pPr>
        <w:pStyle w:val="Caption"/>
        <w:keepNext/>
        <w:spacing w:before="120" w:after="120"/>
        <w:rPr>
          <w:rFonts w:ascii="Arial Narrow" w:eastAsiaTheme="minorHAnsi" w:hAnsi="Arial Narrow" w:cstheme="minorBidi"/>
          <w:bCs w:val="0"/>
          <w:color w:val="auto"/>
          <w:sz w:val="20"/>
          <w:szCs w:val="22"/>
          <w:lang w:eastAsia="en-US"/>
        </w:rPr>
      </w:pPr>
      <w:r w:rsidRPr="008F4A1D">
        <w:rPr>
          <w:rFonts w:ascii="Arial Narrow" w:eastAsiaTheme="minorHAnsi" w:hAnsi="Arial Narrow" w:cstheme="minorBidi"/>
          <w:bCs w:val="0"/>
          <w:color w:val="auto"/>
          <w:sz w:val="20"/>
          <w:szCs w:val="22"/>
          <w:lang w:eastAsia="en-US"/>
        </w:rPr>
        <w:t xml:space="preserve">Figure </w:t>
      </w:r>
      <w:r w:rsidR="009A372C">
        <w:rPr>
          <w:rFonts w:ascii="Arial Narrow" w:eastAsiaTheme="minorHAnsi" w:hAnsi="Arial Narrow" w:cstheme="minorBidi"/>
          <w:bCs w:val="0"/>
          <w:noProof/>
          <w:color w:val="auto"/>
          <w:sz w:val="20"/>
          <w:szCs w:val="22"/>
          <w:lang w:eastAsia="en-US"/>
        </w:rPr>
        <w:t>1</w:t>
      </w:r>
      <w:r>
        <w:rPr>
          <w:rFonts w:ascii="Arial Narrow" w:eastAsiaTheme="minorHAnsi" w:hAnsi="Arial Narrow" w:cstheme="minorBidi"/>
          <w:bCs w:val="0"/>
          <w:color w:val="auto"/>
          <w:sz w:val="20"/>
          <w:szCs w:val="22"/>
          <w:lang w:eastAsia="en-US"/>
        </w:rPr>
        <w:t xml:space="preserve">: </w:t>
      </w:r>
      <w:r w:rsidR="00C67FAB">
        <w:rPr>
          <w:rFonts w:ascii="Arial Narrow" w:eastAsiaTheme="minorHAnsi" w:hAnsi="Arial Narrow" w:cstheme="minorBidi"/>
          <w:bCs w:val="0"/>
          <w:color w:val="auto"/>
          <w:sz w:val="20"/>
          <w:szCs w:val="22"/>
          <w:lang w:eastAsia="en-US"/>
        </w:rPr>
        <w:t xml:space="preserve">Distribution of </w:t>
      </w:r>
      <w:proofErr w:type="spellStart"/>
      <w:r w:rsidR="00C67FAB">
        <w:rPr>
          <w:rFonts w:ascii="Arial Narrow" w:eastAsiaTheme="minorHAnsi" w:hAnsi="Arial Narrow" w:cstheme="minorBidi"/>
          <w:bCs w:val="0"/>
          <w:color w:val="auto"/>
          <w:sz w:val="20"/>
          <w:szCs w:val="22"/>
          <w:lang w:eastAsia="en-US"/>
        </w:rPr>
        <w:t>pembrolizumab</w:t>
      </w:r>
      <w:proofErr w:type="spellEnd"/>
      <w:r w:rsidR="00C67FAB">
        <w:rPr>
          <w:rFonts w:ascii="Arial Narrow" w:eastAsiaTheme="minorHAnsi" w:hAnsi="Arial Narrow" w:cstheme="minorBidi"/>
          <w:bCs w:val="0"/>
          <w:color w:val="auto"/>
          <w:sz w:val="20"/>
          <w:szCs w:val="22"/>
          <w:lang w:eastAsia="en-US"/>
        </w:rPr>
        <w:t xml:space="preserve"> PBS quantity (mg) dispensed in 2017 for melanoma</w:t>
      </w:r>
    </w:p>
    <w:p w:rsidR="00BF67C6" w:rsidRPr="008F4A1D" w:rsidRDefault="00C67FAB" w:rsidP="008F4A1D">
      <w:pPr>
        <w:spacing w:after="120"/>
        <w:rPr>
          <w:rFonts w:asciiTheme="minorHAnsi" w:eastAsiaTheme="minorHAnsi" w:hAnsiTheme="minorHAnsi" w:cstheme="minorBidi"/>
          <w:i/>
          <w:szCs w:val="22"/>
        </w:rPr>
      </w:pPr>
      <w:r>
        <w:rPr>
          <w:noProof/>
        </w:rPr>
        <w:drawing>
          <wp:inline distT="0" distB="0" distL="0" distR="0" wp14:anchorId="2EBA1F03" wp14:editId="35448F08">
            <wp:extent cx="5731510" cy="2972915"/>
            <wp:effectExtent l="0" t="0" r="254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9"/>
                    <a:stretch>
                      <a:fillRect/>
                    </a:stretch>
                  </pic:blipFill>
                  <pic:spPr>
                    <a:xfrm>
                      <a:off x="0" y="0"/>
                      <a:ext cx="5731510" cy="2972915"/>
                    </a:xfrm>
                    <a:prstGeom prst="rect">
                      <a:avLst/>
                    </a:prstGeom>
                  </pic:spPr>
                </pic:pic>
              </a:graphicData>
            </a:graphic>
          </wp:inline>
        </w:drawing>
      </w:r>
    </w:p>
    <w:p w:rsidR="00D16BD7" w:rsidRPr="00366E3B" w:rsidRDefault="00D16BD7" w:rsidP="00D16BD7">
      <w:pPr>
        <w:spacing w:after="120"/>
        <w:rPr>
          <w:rFonts w:ascii="Arial Narrow" w:eastAsiaTheme="minorHAnsi" w:hAnsi="Arial Narrow" w:cstheme="minorBidi"/>
          <w:sz w:val="18"/>
          <w:szCs w:val="18"/>
        </w:rPr>
      </w:pPr>
      <w:r w:rsidRPr="00366E3B">
        <w:rPr>
          <w:rFonts w:ascii="Arial Narrow" w:eastAsiaTheme="minorHAnsi" w:hAnsi="Arial Narrow" w:cstheme="minorBidi"/>
          <w:sz w:val="18"/>
          <w:szCs w:val="18"/>
        </w:rPr>
        <w:lastRenderedPageBreak/>
        <w:t>Source: generated by the SAS System ('</w:t>
      </w:r>
      <w:proofErr w:type="spellStart"/>
      <w:r w:rsidRPr="00366E3B">
        <w:rPr>
          <w:rFonts w:ascii="Arial Narrow" w:eastAsiaTheme="minorHAnsi" w:hAnsi="Arial Narrow" w:cstheme="minorBidi"/>
          <w:sz w:val="18"/>
          <w:szCs w:val="18"/>
        </w:rPr>
        <w:t>SASApp</w:t>
      </w:r>
      <w:proofErr w:type="spellEnd"/>
      <w:r w:rsidRPr="00366E3B">
        <w:rPr>
          <w:rFonts w:ascii="Arial Narrow" w:eastAsiaTheme="minorHAnsi" w:hAnsi="Arial Narrow" w:cstheme="minorBidi"/>
          <w:sz w:val="18"/>
          <w:szCs w:val="18"/>
        </w:rPr>
        <w:t>', Linux) on 20 February 2018 at 9:21:15 AM</w:t>
      </w:r>
    </w:p>
    <w:p w:rsidR="001361FB" w:rsidRPr="002E0B9D" w:rsidRDefault="001361FB" w:rsidP="00A77AE5">
      <w:pPr>
        <w:pStyle w:val="ListParagraph"/>
        <w:widowControl/>
        <w:numPr>
          <w:ilvl w:val="1"/>
          <w:numId w:val="14"/>
        </w:numPr>
        <w:spacing w:after="120"/>
        <w:contextualSpacing w:val="0"/>
        <w:rPr>
          <w:rFonts w:asciiTheme="minorHAnsi" w:eastAsiaTheme="minorHAnsi" w:hAnsiTheme="minorHAnsi" w:cstheme="minorBidi"/>
          <w:snapToGrid/>
          <w:sz w:val="24"/>
          <w:szCs w:val="22"/>
        </w:rPr>
      </w:pPr>
      <w:r w:rsidRPr="002E0B9D">
        <w:rPr>
          <w:rFonts w:asciiTheme="minorHAnsi" w:eastAsiaTheme="minorHAnsi" w:hAnsiTheme="minorHAnsi" w:cstheme="minorBidi"/>
          <w:snapToGrid/>
          <w:sz w:val="24"/>
          <w:szCs w:val="22"/>
        </w:rPr>
        <w:t xml:space="preserve">Results of departmental analysis to quantify the estimated financial difference between the average benefit paid for </w:t>
      </w:r>
      <w:proofErr w:type="spellStart"/>
      <w:r w:rsidRPr="002E0B9D">
        <w:rPr>
          <w:rFonts w:asciiTheme="minorHAnsi" w:eastAsiaTheme="minorHAnsi" w:hAnsiTheme="minorHAnsi" w:cstheme="minorBidi"/>
          <w:snapToGrid/>
          <w:sz w:val="24"/>
          <w:szCs w:val="22"/>
        </w:rPr>
        <w:t>pembrolizumab</w:t>
      </w:r>
      <w:proofErr w:type="spellEnd"/>
      <w:r w:rsidRPr="002E0B9D">
        <w:rPr>
          <w:rFonts w:asciiTheme="minorHAnsi" w:eastAsiaTheme="minorHAnsi" w:hAnsiTheme="minorHAnsi" w:cstheme="minorBidi"/>
          <w:snapToGrid/>
          <w:sz w:val="24"/>
          <w:szCs w:val="22"/>
        </w:rPr>
        <w:t xml:space="preserve"> </w:t>
      </w:r>
      <w:r w:rsidR="003E4DA4" w:rsidRPr="002E0B9D">
        <w:rPr>
          <w:rFonts w:asciiTheme="minorHAnsi" w:eastAsiaTheme="minorHAnsi" w:hAnsiTheme="minorHAnsi" w:cstheme="minorBidi"/>
          <w:snapToGrid/>
          <w:sz w:val="24"/>
          <w:szCs w:val="22"/>
        </w:rPr>
        <w:t>in</w:t>
      </w:r>
      <w:r w:rsidRPr="002E0B9D">
        <w:rPr>
          <w:rFonts w:asciiTheme="minorHAnsi" w:eastAsiaTheme="minorHAnsi" w:hAnsiTheme="minorHAnsi" w:cstheme="minorBidi"/>
          <w:snapToGrid/>
          <w:sz w:val="24"/>
          <w:szCs w:val="22"/>
        </w:rPr>
        <w:t xml:space="preserve"> 2016</w:t>
      </w:r>
      <w:r w:rsidR="003E4DA4" w:rsidRPr="002E0B9D">
        <w:rPr>
          <w:rFonts w:asciiTheme="minorHAnsi" w:eastAsiaTheme="minorHAnsi" w:hAnsiTheme="minorHAnsi" w:cstheme="minorBidi"/>
          <w:snapToGrid/>
          <w:sz w:val="24"/>
          <w:szCs w:val="22"/>
        </w:rPr>
        <w:t>-</w:t>
      </w:r>
      <w:r w:rsidRPr="002E0B9D">
        <w:rPr>
          <w:rFonts w:asciiTheme="minorHAnsi" w:eastAsiaTheme="minorHAnsi" w:hAnsiTheme="minorHAnsi" w:cstheme="minorBidi"/>
          <w:snapToGrid/>
          <w:sz w:val="24"/>
          <w:szCs w:val="22"/>
        </w:rPr>
        <w:t>17 and the proposed DPMA in the minor submission are shown below.</w:t>
      </w:r>
    </w:p>
    <w:p w:rsidR="007E1497" w:rsidRPr="007E1497" w:rsidRDefault="007E1497" w:rsidP="007E1497">
      <w:pPr>
        <w:pStyle w:val="Caption"/>
        <w:keepNext/>
        <w:spacing w:after="0"/>
        <w:rPr>
          <w:rFonts w:ascii="Arial Narrow" w:eastAsiaTheme="minorHAnsi" w:hAnsi="Arial Narrow" w:cstheme="minorBidi"/>
          <w:bCs w:val="0"/>
          <w:color w:val="auto"/>
          <w:sz w:val="20"/>
          <w:szCs w:val="22"/>
          <w:lang w:eastAsia="en-US"/>
        </w:rPr>
      </w:pPr>
      <w:r w:rsidRPr="007E1497">
        <w:rPr>
          <w:rFonts w:ascii="Arial Narrow" w:eastAsiaTheme="minorHAnsi" w:hAnsi="Arial Narrow" w:cstheme="minorBidi"/>
          <w:bCs w:val="0"/>
          <w:color w:val="auto"/>
          <w:sz w:val="20"/>
          <w:szCs w:val="22"/>
          <w:lang w:eastAsia="en-US"/>
        </w:rPr>
        <w:t xml:space="preserve">Table </w:t>
      </w:r>
      <w:r w:rsidR="009A372C">
        <w:rPr>
          <w:rFonts w:ascii="Arial Narrow" w:eastAsiaTheme="minorHAnsi" w:hAnsi="Arial Narrow" w:cstheme="minorBidi"/>
          <w:bCs w:val="0"/>
          <w:noProof/>
          <w:color w:val="auto"/>
          <w:sz w:val="20"/>
          <w:szCs w:val="22"/>
          <w:lang w:eastAsia="en-US"/>
        </w:rPr>
        <w:t>1</w:t>
      </w:r>
      <w:r>
        <w:rPr>
          <w:rFonts w:ascii="Arial Narrow" w:eastAsiaTheme="minorHAnsi" w:hAnsi="Arial Narrow" w:cstheme="minorBidi"/>
          <w:bCs w:val="0"/>
          <w:color w:val="auto"/>
          <w:sz w:val="20"/>
          <w:szCs w:val="22"/>
          <w:lang w:eastAsia="en-US"/>
        </w:rPr>
        <w:t xml:space="preserve">: Comparison of the average benefit paid for </w:t>
      </w:r>
      <w:proofErr w:type="spellStart"/>
      <w:r>
        <w:rPr>
          <w:rFonts w:ascii="Arial Narrow" w:eastAsiaTheme="minorHAnsi" w:hAnsi="Arial Narrow" w:cstheme="minorBidi"/>
          <w:bCs w:val="0"/>
          <w:color w:val="auto"/>
          <w:sz w:val="20"/>
          <w:szCs w:val="22"/>
          <w:lang w:eastAsia="en-US"/>
        </w:rPr>
        <w:t>pembrolizumab</w:t>
      </w:r>
      <w:proofErr w:type="spellEnd"/>
      <w:r>
        <w:rPr>
          <w:rFonts w:ascii="Arial Narrow" w:eastAsiaTheme="minorHAnsi" w:hAnsi="Arial Narrow" w:cstheme="minorBidi"/>
          <w:bCs w:val="0"/>
          <w:color w:val="auto"/>
          <w:sz w:val="20"/>
          <w:szCs w:val="22"/>
          <w:lang w:eastAsia="en-US"/>
        </w:rPr>
        <w:t xml:space="preserve"> </w:t>
      </w:r>
      <w:proofErr w:type="gramStart"/>
      <w:r>
        <w:rPr>
          <w:rFonts w:ascii="Arial Narrow" w:eastAsiaTheme="minorHAnsi" w:hAnsi="Arial Narrow" w:cstheme="minorBidi"/>
          <w:bCs w:val="0"/>
          <w:color w:val="auto"/>
          <w:sz w:val="20"/>
          <w:szCs w:val="22"/>
          <w:lang w:eastAsia="en-US"/>
        </w:rPr>
        <w:t>between 2016 – 2017</w:t>
      </w:r>
      <w:proofErr w:type="gramEnd"/>
      <w:r>
        <w:rPr>
          <w:rFonts w:ascii="Arial Narrow" w:eastAsiaTheme="minorHAnsi" w:hAnsi="Arial Narrow" w:cstheme="minorBidi"/>
          <w:bCs w:val="0"/>
          <w:color w:val="auto"/>
          <w:sz w:val="20"/>
          <w:szCs w:val="22"/>
          <w:lang w:eastAsia="en-US"/>
        </w:rPr>
        <w:t xml:space="preserve"> and the price requested by the minor submission </w:t>
      </w:r>
    </w:p>
    <w:tbl>
      <w:tblPr>
        <w:tblStyle w:val="TableGrid"/>
        <w:tblW w:w="5000" w:type="pct"/>
        <w:tblCellMar>
          <w:top w:w="28" w:type="dxa"/>
          <w:left w:w="28" w:type="dxa"/>
          <w:bottom w:w="28" w:type="dxa"/>
          <w:right w:w="28" w:type="dxa"/>
        </w:tblCellMar>
        <w:tblLook w:val="04A0" w:firstRow="1" w:lastRow="0" w:firstColumn="1" w:lastColumn="0" w:noHBand="0" w:noVBand="1"/>
      </w:tblPr>
      <w:tblGrid>
        <w:gridCol w:w="1304"/>
        <w:gridCol w:w="2410"/>
        <w:gridCol w:w="3119"/>
        <w:gridCol w:w="2249"/>
      </w:tblGrid>
      <w:tr w:rsidR="001361FB" w:rsidRPr="006E64C1" w:rsidTr="007E1497">
        <w:tc>
          <w:tcPr>
            <w:tcW w:w="718" w:type="pct"/>
          </w:tcPr>
          <w:p w:rsidR="001361FB" w:rsidRPr="006E64C1" w:rsidRDefault="001361FB" w:rsidP="006E64C1">
            <w:pPr>
              <w:rPr>
                <w:rFonts w:ascii="Arial Narrow" w:eastAsiaTheme="minorHAnsi" w:hAnsi="Arial Narrow" w:cstheme="minorBidi"/>
                <w:b/>
                <w:sz w:val="20"/>
                <w:szCs w:val="20"/>
              </w:rPr>
            </w:pPr>
            <w:r w:rsidRPr="006E64C1">
              <w:rPr>
                <w:rFonts w:ascii="Arial Narrow" w:eastAsiaTheme="minorHAnsi" w:hAnsi="Arial Narrow" w:cstheme="minorBidi"/>
                <w:b/>
                <w:sz w:val="20"/>
                <w:szCs w:val="20"/>
              </w:rPr>
              <w:t>Setting</w:t>
            </w:r>
          </w:p>
        </w:tc>
        <w:tc>
          <w:tcPr>
            <w:tcW w:w="1327" w:type="pct"/>
          </w:tcPr>
          <w:p w:rsidR="001361FB" w:rsidRPr="006E64C1" w:rsidRDefault="001361FB" w:rsidP="006E64C1">
            <w:pPr>
              <w:jc w:val="center"/>
              <w:rPr>
                <w:rFonts w:ascii="Arial Narrow" w:eastAsiaTheme="minorHAnsi" w:hAnsi="Arial Narrow" w:cstheme="minorBidi"/>
                <w:b/>
                <w:sz w:val="20"/>
                <w:szCs w:val="20"/>
              </w:rPr>
            </w:pPr>
            <w:r w:rsidRPr="006E64C1">
              <w:rPr>
                <w:rFonts w:ascii="Arial Narrow" w:eastAsiaTheme="minorHAnsi" w:hAnsi="Arial Narrow" w:cstheme="minorBidi"/>
                <w:b/>
                <w:sz w:val="20"/>
                <w:szCs w:val="20"/>
              </w:rPr>
              <w:t>Average benefit paid</w:t>
            </w:r>
            <w:r w:rsidR="006E64C1">
              <w:rPr>
                <w:rFonts w:ascii="Arial Narrow" w:eastAsiaTheme="minorHAnsi" w:hAnsi="Arial Narrow" w:cstheme="minorBidi"/>
                <w:b/>
                <w:sz w:val="20"/>
                <w:szCs w:val="20"/>
              </w:rPr>
              <w:t xml:space="preserve"> 2016-17</w:t>
            </w:r>
          </w:p>
        </w:tc>
        <w:tc>
          <w:tcPr>
            <w:tcW w:w="1717" w:type="pct"/>
          </w:tcPr>
          <w:p w:rsidR="001361FB" w:rsidRPr="006E64C1" w:rsidRDefault="006E64C1" w:rsidP="006E64C1">
            <w:pPr>
              <w:jc w:val="center"/>
              <w:rPr>
                <w:rFonts w:ascii="Arial Narrow" w:eastAsiaTheme="minorHAnsi" w:hAnsi="Arial Narrow" w:cstheme="minorBidi"/>
                <w:b/>
                <w:sz w:val="20"/>
                <w:szCs w:val="20"/>
              </w:rPr>
            </w:pPr>
            <w:r>
              <w:rPr>
                <w:rFonts w:ascii="Arial Narrow" w:eastAsiaTheme="minorHAnsi" w:hAnsi="Arial Narrow" w:cstheme="minorBidi"/>
                <w:b/>
                <w:sz w:val="20"/>
                <w:szCs w:val="20"/>
              </w:rPr>
              <w:t>Minor submission r</w:t>
            </w:r>
            <w:r w:rsidRPr="006E64C1">
              <w:rPr>
                <w:rFonts w:ascii="Arial Narrow" w:eastAsiaTheme="minorHAnsi" w:hAnsi="Arial Narrow" w:cstheme="minorBidi"/>
                <w:b/>
                <w:sz w:val="20"/>
                <w:szCs w:val="20"/>
              </w:rPr>
              <w:t>equested DPMA</w:t>
            </w:r>
          </w:p>
        </w:tc>
        <w:tc>
          <w:tcPr>
            <w:tcW w:w="1238" w:type="pct"/>
          </w:tcPr>
          <w:p w:rsidR="001361FB" w:rsidRPr="006E64C1" w:rsidRDefault="006E64C1" w:rsidP="006E64C1">
            <w:pPr>
              <w:jc w:val="center"/>
              <w:rPr>
                <w:rFonts w:ascii="Arial Narrow" w:eastAsiaTheme="minorHAnsi" w:hAnsi="Arial Narrow" w:cstheme="minorBidi"/>
                <w:b/>
                <w:sz w:val="20"/>
                <w:szCs w:val="20"/>
              </w:rPr>
            </w:pPr>
            <w:r w:rsidRPr="006E64C1">
              <w:rPr>
                <w:rFonts w:ascii="Arial Narrow" w:eastAsiaTheme="minorHAnsi" w:hAnsi="Arial Narrow" w:cstheme="minorBidi"/>
                <w:b/>
                <w:sz w:val="20"/>
                <w:szCs w:val="20"/>
              </w:rPr>
              <w:t>Difference</w:t>
            </w:r>
          </w:p>
        </w:tc>
      </w:tr>
      <w:tr w:rsidR="001361FB" w:rsidRPr="006E64C1" w:rsidTr="00E06DB2">
        <w:tc>
          <w:tcPr>
            <w:tcW w:w="718" w:type="pct"/>
            <w:vAlign w:val="center"/>
          </w:tcPr>
          <w:p w:rsidR="001361FB" w:rsidRPr="006E64C1" w:rsidRDefault="001361FB" w:rsidP="00E06DB2">
            <w:pPr>
              <w:rPr>
                <w:rFonts w:ascii="Arial Narrow" w:eastAsiaTheme="minorHAnsi" w:hAnsi="Arial Narrow" w:cstheme="minorBidi"/>
                <w:sz w:val="20"/>
                <w:szCs w:val="20"/>
              </w:rPr>
            </w:pPr>
            <w:r w:rsidRPr="006E64C1">
              <w:rPr>
                <w:rFonts w:ascii="Arial Narrow" w:eastAsiaTheme="minorHAnsi" w:hAnsi="Arial Narrow" w:cstheme="minorBidi"/>
                <w:sz w:val="20"/>
                <w:szCs w:val="20"/>
              </w:rPr>
              <w:t>Private hospital</w:t>
            </w:r>
          </w:p>
        </w:tc>
        <w:tc>
          <w:tcPr>
            <w:tcW w:w="1327" w:type="pct"/>
            <w:vAlign w:val="center"/>
          </w:tcPr>
          <w:p w:rsidR="001361FB" w:rsidRPr="006E64C1" w:rsidRDefault="006E64C1" w:rsidP="00E06DB2">
            <w:pPr>
              <w:jc w:val="center"/>
              <w:rPr>
                <w:rFonts w:ascii="Arial Narrow" w:eastAsiaTheme="minorHAnsi" w:hAnsi="Arial Narrow" w:cstheme="minorBidi"/>
                <w:sz w:val="20"/>
                <w:szCs w:val="20"/>
              </w:rPr>
            </w:pPr>
            <w:r w:rsidRPr="006E64C1">
              <w:rPr>
                <w:rFonts w:ascii="Arial Narrow" w:eastAsiaTheme="minorHAnsi" w:hAnsi="Arial Narrow" w:cstheme="minorBidi"/>
                <w:sz w:val="20"/>
                <w:szCs w:val="20"/>
              </w:rPr>
              <w:t>$</w:t>
            </w:r>
            <w:r w:rsidR="001361FB" w:rsidRPr="006E64C1">
              <w:rPr>
                <w:rFonts w:ascii="Arial Narrow" w:eastAsiaTheme="minorHAnsi" w:hAnsi="Arial Narrow" w:cstheme="minorBidi"/>
                <w:sz w:val="20"/>
                <w:szCs w:val="20"/>
              </w:rPr>
              <w:t>8,46</w:t>
            </w:r>
            <w:r w:rsidRPr="006E64C1">
              <w:rPr>
                <w:rFonts w:ascii="Arial Narrow" w:eastAsiaTheme="minorHAnsi" w:hAnsi="Arial Narrow" w:cstheme="minorBidi"/>
                <w:sz w:val="20"/>
                <w:szCs w:val="20"/>
              </w:rPr>
              <w:t>8.96</w:t>
            </w:r>
          </w:p>
        </w:tc>
        <w:tc>
          <w:tcPr>
            <w:tcW w:w="1717" w:type="pct"/>
            <w:vAlign w:val="center"/>
          </w:tcPr>
          <w:p w:rsidR="001361FB" w:rsidRPr="006E64C1" w:rsidRDefault="006E64C1" w:rsidP="00E06DB2">
            <w:pPr>
              <w:jc w:val="center"/>
              <w:rPr>
                <w:rFonts w:ascii="Arial Narrow" w:eastAsiaTheme="minorHAnsi" w:hAnsi="Arial Narrow" w:cstheme="minorBidi"/>
                <w:sz w:val="20"/>
                <w:szCs w:val="20"/>
              </w:rPr>
            </w:pPr>
            <w:r w:rsidRPr="006E64C1">
              <w:rPr>
                <w:rFonts w:ascii="Arial Narrow" w:hAnsi="Arial Narrow" w:cs="Arial"/>
                <w:sz w:val="20"/>
                <w:szCs w:val="20"/>
              </w:rPr>
              <w:t>$</w:t>
            </w:r>
            <w:r w:rsidRPr="00D8000D">
              <w:rPr>
                <w:rFonts w:ascii="Arial Narrow" w:hAnsi="Arial Narrow" w:cs="Arial"/>
                <w:sz w:val="20"/>
                <w:szCs w:val="20"/>
              </w:rPr>
              <w:t>9,186.18</w:t>
            </w:r>
          </w:p>
        </w:tc>
        <w:tc>
          <w:tcPr>
            <w:tcW w:w="1238" w:type="pct"/>
            <w:vAlign w:val="center"/>
          </w:tcPr>
          <w:p w:rsidR="001361FB" w:rsidRPr="006E64C1" w:rsidRDefault="006E64C1" w:rsidP="00E06DB2">
            <w:pPr>
              <w:jc w:val="center"/>
              <w:rPr>
                <w:rFonts w:ascii="Arial Narrow" w:eastAsiaTheme="minorHAnsi" w:hAnsi="Arial Narrow" w:cstheme="minorBidi"/>
                <w:sz w:val="20"/>
                <w:szCs w:val="20"/>
              </w:rPr>
            </w:pPr>
            <w:r w:rsidRPr="006E64C1">
              <w:rPr>
                <w:rFonts w:ascii="Arial Narrow" w:eastAsiaTheme="minorHAnsi" w:hAnsi="Arial Narrow" w:cstheme="minorBidi"/>
                <w:sz w:val="20"/>
                <w:szCs w:val="20"/>
              </w:rPr>
              <w:t>$</w:t>
            </w:r>
            <w:r w:rsidRPr="00D8000D">
              <w:rPr>
                <w:rFonts w:ascii="Arial Narrow" w:eastAsiaTheme="minorHAnsi" w:hAnsi="Arial Narrow" w:cstheme="minorBidi"/>
                <w:sz w:val="20"/>
                <w:szCs w:val="20"/>
              </w:rPr>
              <w:t>698.59</w:t>
            </w:r>
          </w:p>
        </w:tc>
      </w:tr>
      <w:tr w:rsidR="001361FB" w:rsidRPr="006E64C1" w:rsidTr="00E06DB2">
        <w:tc>
          <w:tcPr>
            <w:tcW w:w="718" w:type="pct"/>
            <w:vAlign w:val="center"/>
          </w:tcPr>
          <w:p w:rsidR="001361FB" w:rsidRPr="006E64C1" w:rsidRDefault="001361FB" w:rsidP="00E06DB2">
            <w:pPr>
              <w:rPr>
                <w:rFonts w:ascii="Arial Narrow" w:eastAsiaTheme="minorHAnsi" w:hAnsi="Arial Narrow" w:cstheme="minorBidi"/>
                <w:sz w:val="20"/>
                <w:szCs w:val="20"/>
              </w:rPr>
            </w:pPr>
            <w:r w:rsidRPr="006E64C1">
              <w:rPr>
                <w:rFonts w:ascii="Arial Narrow" w:eastAsiaTheme="minorHAnsi" w:hAnsi="Arial Narrow" w:cstheme="minorBidi"/>
                <w:sz w:val="20"/>
                <w:szCs w:val="20"/>
              </w:rPr>
              <w:t>Public hospital</w:t>
            </w:r>
          </w:p>
        </w:tc>
        <w:tc>
          <w:tcPr>
            <w:tcW w:w="1327" w:type="pct"/>
            <w:vAlign w:val="center"/>
          </w:tcPr>
          <w:p w:rsidR="001361FB" w:rsidRPr="006E64C1" w:rsidRDefault="006E64C1" w:rsidP="00E06DB2">
            <w:pPr>
              <w:jc w:val="center"/>
              <w:rPr>
                <w:rFonts w:ascii="Arial Narrow" w:eastAsiaTheme="minorHAnsi" w:hAnsi="Arial Narrow" w:cstheme="minorBidi"/>
                <w:sz w:val="20"/>
                <w:szCs w:val="20"/>
              </w:rPr>
            </w:pPr>
            <w:r w:rsidRPr="006E64C1">
              <w:rPr>
                <w:rFonts w:ascii="Arial Narrow" w:eastAsiaTheme="minorHAnsi" w:hAnsi="Arial Narrow" w:cstheme="minorBidi"/>
                <w:sz w:val="20"/>
                <w:szCs w:val="20"/>
              </w:rPr>
              <w:t>$8,418.39</w:t>
            </w:r>
          </w:p>
        </w:tc>
        <w:tc>
          <w:tcPr>
            <w:tcW w:w="1717" w:type="pct"/>
            <w:vAlign w:val="center"/>
          </w:tcPr>
          <w:p w:rsidR="001361FB" w:rsidRPr="006E64C1" w:rsidRDefault="006E64C1" w:rsidP="00E06DB2">
            <w:pPr>
              <w:jc w:val="center"/>
              <w:rPr>
                <w:rFonts w:ascii="Arial Narrow" w:eastAsiaTheme="minorHAnsi" w:hAnsi="Arial Narrow" w:cstheme="minorBidi"/>
                <w:sz w:val="20"/>
                <w:szCs w:val="20"/>
              </w:rPr>
            </w:pPr>
            <w:r w:rsidRPr="006E64C1">
              <w:rPr>
                <w:rFonts w:ascii="Arial Narrow" w:hAnsi="Arial Narrow" w:cs="Arial"/>
                <w:sz w:val="20"/>
                <w:szCs w:val="20"/>
              </w:rPr>
              <w:t>$</w:t>
            </w:r>
            <w:r w:rsidRPr="00D8000D">
              <w:rPr>
                <w:rFonts w:ascii="Arial Narrow" w:hAnsi="Arial Narrow" w:cs="Arial"/>
                <w:sz w:val="20"/>
                <w:szCs w:val="20"/>
              </w:rPr>
              <w:t>9,023.22</w:t>
            </w:r>
          </w:p>
        </w:tc>
        <w:tc>
          <w:tcPr>
            <w:tcW w:w="1238" w:type="pct"/>
            <w:vAlign w:val="center"/>
          </w:tcPr>
          <w:p w:rsidR="001361FB" w:rsidRPr="006E64C1" w:rsidRDefault="006E64C1" w:rsidP="00E06DB2">
            <w:pPr>
              <w:jc w:val="center"/>
              <w:rPr>
                <w:rFonts w:ascii="Arial Narrow" w:eastAsiaTheme="minorHAnsi" w:hAnsi="Arial Narrow" w:cstheme="minorBidi"/>
                <w:sz w:val="20"/>
                <w:szCs w:val="20"/>
              </w:rPr>
            </w:pPr>
            <w:r w:rsidRPr="006E64C1">
              <w:rPr>
                <w:rFonts w:ascii="Arial Narrow" w:eastAsiaTheme="minorHAnsi" w:hAnsi="Arial Narrow" w:cstheme="minorBidi"/>
                <w:sz w:val="20"/>
                <w:szCs w:val="20"/>
              </w:rPr>
              <w:t>$</w:t>
            </w:r>
            <w:r w:rsidRPr="00D8000D">
              <w:rPr>
                <w:rFonts w:ascii="Arial Narrow" w:eastAsiaTheme="minorHAnsi" w:hAnsi="Arial Narrow" w:cstheme="minorBidi"/>
                <w:sz w:val="20"/>
                <w:szCs w:val="20"/>
              </w:rPr>
              <w:t>587.17</w:t>
            </w:r>
          </w:p>
        </w:tc>
      </w:tr>
    </w:tbl>
    <w:p w:rsidR="001361FB" w:rsidRPr="00366E3B" w:rsidRDefault="0043703F" w:rsidP="001361FB">
      <w:pPr>
        <w:spacing w:after="120"/>
        <w:rPr>
          <w:rFonts w:ascii="Arial Narrow" w:eastAsiaTheme="minorHAnsi" w:hAnsi="Arial Narrow" w:cstheme="minorBidi"/>
          <w:sz w:val="18"/>
          <w:szCs w:val="18"/>
        </w:rPr>
      </w:pPr>
      <w:r w:rsidRPr="00366E3B">
        <w:rPr>
          <w:rFonts w:ascii="Arial Narrow" w:eastAsiaTheme="minorHAnsi" w:hAnsi="Arial Narrow" w:cstheme="minorBidi"/>
          <w:sz w:val="18"/>
          <w:szCs w:val="18"/>
        </w:rPr>
        <w:t>Source: PBS Item Reports</w:t>
      </w:r>
      <w:r w:rsidR="003B63D3" w:rsidRPr="00366E3B">
        <w:rPr>
          <w:rFonts w:ascii="Arial Narrow" w:eastAsiaTheme="minorHAnsi" w:hAnsi="Arial Narrow" w:cstheme="minorBidi"/>
          <w:sz w:val="18"/>
          <w:szCs w:val="18"/>
        </w:rPr>
        <w:t xml:space="preserve"> for items 10424P, 10475H, and 10436G</w:t>
      </w:r>
      <w:r w:rsidRPr="00366E3B">
        <w:rPr>
          <w:rFonts w:ascii="Arial Narrow" w:eastAsiaTheme="minorHAnsi" w:hAnsi="Arial Narrow" w:cstheme="minorBidi"/>
          <w:sz w:val="18"/>
          <w:szCs w:val="18"/>
        </w:rPr>
        <w:t>, sourced 20 February 2018 from http://medicarestatistics.humanservices.gov.au/statistics/pbs_item.jsp</w:t>
      </w:r>
    </w:p>
    <w:p w:rsidR="0043703F" w:rsidRPr="00B206F3" w:rsidRDefault="0043703F" w:rsidP="00A77AE5">
      <w:pPr>
        <w:pStyle w:val="ListParagraph"/>
        <w:widowControl/>
        <w:numPr>
          <w:ilvl w:val="1"/>
          <w:numId w:val="14"/>
        </w:numPr>
        <w:spacing w:after="120"/>
        <w:contextualSpacing w:val="0"/>
        <w:rPr>
          <w:rFonts w:asciiTheme="minorHAnsi" w:eastAsiaTheme="minorHAnsi" w:hAnsiTheme="minorHAnsi" w:cstheme="minorBidi"/>
          <w:snapToGrid/>
          <w:sz w:val="24"/>
          <w:szCs w:val="22"/>
        </w:rPr>
      </w:pPr>
      <w:r w:rsidRPr="00B206F3">
        <w:rPr>
          <w:rFonts w:asciiTheme="minorHAnsi" w:eastAsiaTheme="minorHAnsi" w:hAnsiTheme="minorHAnsi" w:cstheme="minorBidi"/>
          <w:snapToGrid/>
          <w:sz w:val="24"/>
          <w:szCs w:val="22"/>
        </w:rPr>
        <w:t>The departmental analysis</w:t>
      </w:r>
      <w:r w:rsidR="003B168D" w:rsidRPr="00B206F3">
        <w:rPr>
          <w:rStyle w:val="FootnoteReference"/>
          <w:rFonts w:asciiTheme="minorHAnsi" w:eastAsiaTheme="minorHAnsi" w:hAnsiTheme="minorHAnsi" w:cstheme="minorBidi"/>
          <w:snapToGrid/>
          <w:sz w:val="24"/>
          <w:szCs w:val="22"/>
        </w:rPr>
        <w:footnoteReference w:id="1"/>
      </w:r>
      <w:r w:rsidR="00AE5354" w:rsidRPr="00B206F3">
        <w:rPr>
          <w:rFonts w:asciiTheme="minorHAnsi" w:eastAsiaTheme="minorHAnsi" w:hAnsiTheme="minorHAnsi" w:cstheme="minorBidi"/>
          <w:snapToGrid/>
          <w:sz w:val="24"/>
          <w:szCs w:val="22"/>
        </w:rPr>
        <w:t xml:space="preserve"> used the PBS I</w:t>
      </w:r>
      <w:r w:rsidRPr="00B206F3">
        <w:rPr>
          <w:rFonts w:asciiTheme="minorHAnsi" w:eastAsiaTheme="minorHAnsi" w:hAnsiTheme="minorHAnsi" w:cstheme="minorBidi"/>
          <w:snapToGrid/>
          <w:sz w:val="24"/>
          <w:szCs w:val="22"/>
        </w:rPr>
        <w:t xml:space="preserve">tem </w:t>
      </w:r>
      <w:r w:rsidR="00AE5354" w:rsidRPr="00B206F3">
        <w:rPr>
          <w:rFonts w:asciiTheme="minorHAnsi" w:eastAsiaTheme="minorHAnsi" w:hAnsiTheme="minorHAnsi" w:cstheme="minorBidi"/>
          <w:snapToGrid/>
          <w:sz w:val="24"/>
          <w:szCs w:val="22"/>
        </w:rPr>
        <w:t>R</w:t>
      </w:r>
      <w:r w:rsidRPr="00B206F3">
        <w:rPr>
          <w:rFonts w:asciiTheme="minorHAnsi" w:eastAsiaTheme="minorHAnsi" w:hAnsiTheme="minorHAnsi" w:cstheme="minorBidi"/>
          <w:snapToGrid/>
          <w:sz w:val="24"/>
          <w:szCs w:val="22"/>
        </w:rPr>
        <w:t xml:space="preserve">eport (publically available </w:t>
      </w:r>
      <w:r w:rsidR="00AE5354" w:rsidRPr="00B206F3">
        <w:rPr>
          <w:rFonts w:asciiTheme="minorHAnsi" w:eastAsiaTheme="minorHAnsi" w:hAnsiTheme="minorHAnsi" w:cstheme="minorBidi"/>
          <w:snapToGrid/>
          <w:sz w:val="24"/>
          <w:szCs w:val="22"/>
        </w:rPr>
        <w:t xml:space="preserve">from the DHS website </w:t>
      </w:r>
      <w:r w:rsidRPr="00B206F3">
        <w:rPr>
          <w:rFonts w:asciiTheme="minorHAnsi" w:eastAsiaTheme="minorHAnsi" w:hAnsiTheme="minorHAnsi" w:cstheme="minorBidi"/>
          <w:snapToGrid/>
          <w:sz w:val="24"/>
          <w:szCs w:val="22"/>
        </w:rPr>
        <w:t xml:space="preserve">and based on date of prescription processing) and included all </w:t>
      </w:r>
      <w:proofErr w:type="spellStart"/>
      <w:r w:rsidRPr="00B206F3">
        <w:rPr>
          <w:rFonts w:asciiTheme="minorHAnsi" w:eastAsiaTheme="minorHAnsi" w:hAnsiTheme="minorHAnsi" w:cstheme="minorBidi"/>
          <w:snapToGrid/>
          <w:sz w:val="24"/>
          <w:szCs w:val="22"/>
        </w:rPr>
        <w:t>pembrolizumab</w:t>
      </w:r>
      <w:proofErr w:type="spellEnd"/>
      <w:r w:rsidRPr="00B206F3">
        <w:rPr>
          <w:rFonts w:asciiTheme="minorHAnsi" w:eastAsiaTheme="minorHAnsi" w:hAnsiTheme="minorHAnsi" w:cstheme="minorBidi"/>
          <w:snapToGrid/>
          <w:sz w:val="24"/>
          <w:szCs w:val="22"/>
        </w:rPr>
        <w:t xml:space="preserve"> PBS services for the calendar years 2016 and 2017. The average benefit paid was approximately $700 and $590 less for private and public hospitals respectively, compared to the proposed price for the 200 mg fixed dose.</w:t>
      </w:r>
    </w:p>
    <w:p w:rsidR="005C22A3" w:rsidRPr="00F12AD2" w:rsidRDefault="00F12AD2" w:rsidP="00A77AE5">
      <w:pPr>
        <w:pStyle w:val="ListParagraph"/>
        <w:widowControl/>
        <w:numPr>
          <w:ilvl w:val="1"/>
          <w:numId w:val="14"/>
        </w:numPr>
        <w:spacing w:after="120"/>
        <w:contextualSpacing w:val="0"/>
        <w:rPr>
          <w:rFonts w:asciiTheme="minorHAnsi" w:eastAsiaTheme="minorHAnsi" w:hAnsiTheme="minorHAnsi" w:cstheme="minorBidi"/>
          <w:snapToGrid/>
          <w:sz w:val="24"/>
          <w:szCs w:val="22"/>
        </w:rPr>
      </w:pPr>
      <w:r>
        <w:rPr>
          <w:rFonts w:asciiTheme="minorHAnsi" w:eastAsiaTheme="minorHAnsi" w:hAnsiTheme="minorHAnsi" w:cstheme="minorBidi"/>
          <w:noProof/>
          <w:snapToGrid/>
          <w:color w:val="000000"/>
          <w:sz w:val="24"/>
          <w:szCs w:val="22"/>
          <w:highlight w:val="black"/>
        </w:rPr>
        <w:t xml:space="preserve">''''''' ''''''''''' '''''''''''''''''''' ''''''''''''' '''''''' ''''''' '''''''''''''' ''''''''''''' ''''' ''''''''''' ''''''''''' '''''''''''''''''''''''''''''' '''' '''''' '''''''''''' ''''''' '''''' ''''''''' ''' '''''' '''''''''''' ''''' '''''' '''''''''' '''''''' '''''''''''''' '''' '''''''''''''' ''''''''''''''' '''''''' '''''''''' ''''''''''''''''''' ''''' ''''''''''''' '''' '''''' '''''''''''' ''''''' '''''''' ''''' ''''' '''''''' '''''''''''' ''''''''''' '''''''''''''''''' '''''''''''' ''''''''''''''' '''''''''''''''' '''''' '''''' '''''''''''''''''''''''' '''''''''''''' ''''''''''''''''''' ''''''' ''''''''''' ''''''''''''''''' ''''''''''' ''''''''' ''''''''' '''''' ''''''''''''''''' '''''''''''''''''''''' '''' ''''''' '''''''''''''' ''''''''' ''''''''''''' '''''' '''''''''''' '''''' ''''''''''' '''''' ''''''''''''''''' '''''' '''''' '''' ''''''''''' '''' '''''''''''''''' ''''''''' '''''''''''''' '''''' '''''' '''''''''''''''''''''''' '''''''''''''' '''' ''''''''' '''''''''''' ''''''' '''''' ''''''' '''' ''''''''''''''' '''''' ''''''''''''''' ''''''''''' ''''''''''''''''' ''''''' '''''''''''''''''''''''' ''''''''''' ''''' ''''' ''''''''''''''''' '''''''' ''''''' '''' ''''''''''''''''' ''''''''''''''''' '''''''' ''''''' '''''''''''''' ''''''''' ''''''''' '''' '''''''''''''''' '''''' ''''''''''''''''''''''' ''''' ''''''' '''''''''''''' ''''''''''''''' '''' ''''''''''''''''''''''''''''' ''''''''''' ''''''''''' '''''''''''''''''' '''' ''''''' ''''''' ''''''''' '''' '''''' ''''''''''''' '''''' '''''' '''''''''''' ''''' ''''' '''''''''''''''' '''''''' ''''' '''''''''''''''' ''''' '''' '''''''''''' </w:t>
      </w:r>
      <w:r w:rsidR="00150CEB" w:rsidRPr="00811DEF">
        <w:rPr>
          <w:rFonts w:asciiTheme="minorHAnsi" w:eastAsiaTheme="minorHAnsi" w:hAnsiTheme="minorHAnsi" w:cstheme="minorBidi"/>
          <w:snapToGrid/>
          <w:sz w:val="24"/>
          <w:szCs w:val="22"/>
        </w:rPr>
        <w:t>The reduction in the maximum amount requested by the submission, from 240 mg to 200 mg, therefore may not be a true reduction at the PBS population level, as the maximum amount would only be reduced for patients greater than 100 kg. For patients less than 100 kg, the change to fixed dosing represents an increase of the maximum amount per patient per dose.</w:t>
      </w:r>
    </w:p>
    <w:p w:rsidR="009C5BEB" w:rsidRPr="00F12AD2" w:rsidRDefault="00F12AD2" w:rsidP="00F12AD2">
      <w:pPr>
        <w:spacing w:after="120"/>
        <w:ind w:left="720" w:hanging="720"/>
        <w:rPr>
          <w:rFonts w:asciiTheme="minorHAnsi" w:eastAsiaTheme="minorHAnsi" w:hAnsiTheme="minorHAnsi" w:cstheme="minorBidi"/>
          <w:szCs w:val="22"/>
          <w:highlight w:val="black"/>
        </w:rPr>
      </w:pPr>
      <w:r>
        <w:rPr>
          <w:rFonts w:asciiTheme="minorHAnsi" w:eastAsiaTheme="minorHAnsi" w:hAnsiTheme="minorHAnsi" w:cstheme="minorBidi"/>
          <w:noProof/>
          <w:color w:val="000000"/>
          <w:szCs w:val="22"/>
          <w:highlight w:val="black"/>
          <w:lang w:eastAsia="en-US"/>
        </w:rPr>
        <w:t>''''''''''''''' '''''''''''''''''''' ''''''''''''''''''' ''''''''''''' '''''''' '''''' '''''''''''''''''''''''''' '''' '''''' '''''''''''''''''''''''''''''''' ''''''''''' ''''''' '''''' '''''''''''''''''' '''''''' ''''''''' '''''''''''''' ''''''' ''''''''' '''''' '''''''''''''''' '''''''''''''''''' ''''' ''''''''''' ''''''' '''''''''''' ''''''' '''''''' '''''' '''''''' '''' '''''' '''''''' ''''' '''''''''''''' ''' '''''''''''' ''''''' ''''''''''''''''''' ''''''''''''''''''' ''''''''''''' ''''''''' '''''''''''' ''''''' ''''''''''' ''''''' ''' ''''''''''''''''' '''''' ''''''' ''''''''''''''''''' ''''''''''' ''''''''' '''''' ''''''''' ''''' '''''' '''''' ''''''''' '''' '''''' ''''''''''''' '''''''</w:t>
      </w:r>
    </w:p>
    <w:p w:rsidR="005D5604" w:rsidRDefault="005D5604" w:rsidP="00366E3B">
      <w:pPr>
        <w:pStyle w:val="Heading2"/>
      </w:pPr>
      <w:r>
        <w:lastRenderedPageBreak/>
        <w:t>Risk Sharing Arrangement</w:t>
      </w:r>
    </w:p>
    <w:p w:rsidR="00807C2A" w:rsidRPr="00B0302B" w:rsidRDefault="005D5604" w:rsidP="004F2275">
      <w:pPr>
        <w:pStyle w:val="ListParagraph"/>
        <w:widowControl/>
        <w:numPr>
          <w:ilvl w:val="1"/>
          <w:numId w:val="14"/>
        </w:numPr>
        <w:spacing w:after="120"/>
        <w:contextualSpacing w:val="0"/>
        <w:rPr>
          <w:rFonts w:asciiTheme="minorHAnsi" w:hAnsiTheme="minorHAnsi"/>
          <w:sz w:val="24"/>
          <w:szCs w:val="24"/>
        </w:rPr>
      </w:pPr>
      <w:r>
        <w:rPr>
          <w:rFonts w:asciiTheme="minorHAnsi" w:eastAsiaTheme="minorHAnsi" w:hAnsiTheme="minorHAnsi" w:cstheme="minorBidi"/>
          <w:snapToGrid/>
          <w:sz w:val="24"/>
          <w:szCs w:val="22"/>
        </w:rPr>
        <w:t>There is a risk sharing arrangement</w:t>
      </w:r>
      <w:r w:rsidR="00A23CC0">
        <w:rPr>
          <w:rFonts w:asciiTheme="minorHAnsi" w:eastAsiaTheme="minorHAnsi" w:hAnsiTheme="minorHAnsi" w:cstheme="minorBidi"/>
          <w:snapToGrid/>
          <w:sz w:val="24"/>
          <w:szCs w:val="22"/>
        </w:rPr>
        <w:t xml:space="preserve"> (</w:t>
      </w:r>
      <w:r w:rsidR="00A23CC0" w:rsidRPr="007C10F9">
        <w:rPr>
          <w:rFonts w:asciiTheme="minorHAnsi" w:eastAsiaTheme="minorHAnsi" w:hAnsiTheme="minorHAnsi" w:cstheme="minorBidi"/>
          <w:snapToGrid/>
          <w:sz w:val="24"/>
          <w:szCs w:val="22"/>
        </w:rPr>
        <w:t xml:space="preserve">in the form of </w:t>
      </w:r>
      <w:r w:rsidR="00C705A0" w:rsidRPr="007C10F9">
        <w:rPr>
          <w:rFonts w:asciiTheme="minorHAnsi" w:eastAsiaTheme="minorHAnsi" w:hAnsiTheme="minorHAnsi" w:cstheme="minorBidi"/>
          <w:snapToGrid/>
          <w:sz w:val="24"/>
          <w:szCs w:val="22"/>
        </w:rPr>
        <w:t xml:space="preserve">annual </w:t>
      </w:r>
      <w:r w:rsidR="00A23CC0" w:rsidRPr="007C10F9">
        <w:rPr>
          <w:rFonts w:asciiTheme="minorHAnsi" w:eastAsiaTheme="minorHAnsi" w:hAnsiTheme="minorHAnsi" w:cstheme="minorBidi"/>
          <w:snapToGrid/>
          <w:sz w:val="24"/>
          <w:szCs w:val="22"/>
        </w:rPr>
        <w:t>expenditure caps</w:t>
      </w:r>
      <w:r w:rsidR="00A23CC0">
        <w:rPr>
          <w:rFonts w:asciiTheme="minorHAnsi" w:eastAsiaTheme="minorHAnsi" w:hAnsiTheme="minorHAnsi" w:cstheme="minorBidi"/>
          <w:snapToGrid/>
          <w:sz w:val="24"/>
          <w:szCs w:val="22"/>
        </w:rPr>
        <w:t>)</w:t>
      </w:r>
      <w:r>
        <w:rPr>
          <w:rFonts w:asciiTheme="minorHAnsi" w:eastAsiaTheme="minorHAnsi" w:hAnsiTheme="minorHAnsi" w:cstheme="minorBidi"/>
          <w:snapToGrid/>
          <w:sz w:val="24"/>
          <w:szCs w:val="22"/>
        </w:rPr>
        <w:t xml:space="preserve"> in place </w:t>
      </w:r>
      <w:r w:rsidR="00ED152C">
        <w:rPr>
          <w:rFonts w:asciiTheme="minorHAnsi" w:eastAsiaTheme="minorHAnsi" w:hAnsiTheme="minorHAnsi" w:cstheme="minorBidi"/>
          <w:snapToGrid/>
          <w:sz w:val="24"/>
          <w:szCs w:val="22"/>
        </w:rPr>
        <w:t xml:space="preserve">for the treatment of </w:t>
      </w:r>
      <w:proofErr w:type="spellStart"/>
      <w:r w:rsidR="00ED152C">
        <w:rPr>
          <w:rFonts w:asciiTheme="minorHAnsi" w:eastAsiaTheme="minorHAnsi" w:hAnsiTheme="minorHAnsi" w:cstheme="minorBidi"/>
          <w:snapToGrid/>
          <w:sz w:val="24"/>
          <w:szCs w:val="22"/>
        </w:rPr>
        <w:t>unresectable</w:t>
      </w:r>
      <w:proofErr w:type="spellEnd"/>
      <w:r w:rsidR="00ED152C">
        <w:rPr>
          <w:rFonts w:asciiTheme="minorHAnsi" w:eastAsiaTheme="minorHAnsi" w:hAnsiTheme="minorHAnsi" w:cstheme="minorBidi"/>
          <w:snapToGrid/>
          <w:sz w:val="24"/>
          <w:szCs w:val="22"/>
        </w:rPr>
        <w:t xml:space="preserve"> Stage III or Stage IV malignant melanoma</w:t>
      </w:r>
      <w:r w:rsidR="00A23CC0">
        <w:rPr>
          <w:rFonts w:asciiTheme="minorHAnsi" w:eastAsiaTheme="minorHAnsi" w:hAnsiTheme="minorHAnsi" w:cstheme="minorBidi"/>
          <w:snapToGrid/>
          <w:sz w:val="24"/>
          <w:szCs w:val="22"/>
        </w:rPr>
        <w:t xml:space="preserve">, which is shared by the sponsors for </w:t>
      </w:r>
      <w:proofErr w:type="spellStart"/>
      <w:r w:rsidR="00A23CC0">
        <w:rPr>
          <w:rFonts w:asciiTheme="minorHAnsi" w:eastAsiaTheme="minorHAnsi" w:hAnsiTheme="minorHAnsi" w:cstheme="minorBidi"/>
          <w:snapToGrid/>
          <w:sz w:val="24"/>
          <w:szCs w:val="22"/>
        </w:rPr>
        <w:t>pembrolizumab</w:t>
      </w:r>
      <w:proofErr w:type="spellEnd"/>
      <w:r w:rsidR="00A23CC0">
        <w:rPr>
          <w:rFonts w:asciiTheme="minorHAnsi" w:eastAsiaTheme="minorHAnsi" w:hAnsiTheme="minorHAnsi" w:cstheme="minorBidi"/>
          <w:snapToGrid/>
          <w:sz w:val="24"/>
          <w:szCs w:val="22"/>
        </w:rPr>
        <w:t xml:space="preserve"> and </w:t>
      </w:r>
      <w:proofErr w:type="spellStart"/>
      <w:r w:rsidR="00A23CC0">
        <w:rPr>
          <w:rFonts w:asciiTheme="minorHAnsi" w:eastAsiaTheme="minorHAnsi" w:hAnsiTheme="minorHAnsi" w:cstheme="minorBidi"/>
          <w:snapToGrid/>
          <w:sz w:val="24"/>
          <w:szCs w:val="22"/>
        </w:rPr>
        <w:t>nivolumab</w:t>
      </w:r>
      <w:proofErr w:type="spellEnd"/>
      <w:r w:rsidR="00A23CC0">
        <w:rPr>
          <w:rFonts w:asciiTheme="minorHAnsi" w:eastAsiaTheme="minorHAnsi" w:hAnsiTheme="minorHAnsi" w:cstheme="minorBidi"/>
          <w:snapToGrid/>
          <w:sz w:val="24"/>
          <w:szCs w:val="22"/>
        </w:rPr>
        <w:t>. The current cap values (and previous values)</w:t>
      </w:r>
      <w:r w:rsidR="006D7BF8">
        <w:rPr>
          <w:rFonts w:asciiTheme="minorHAnsi" w:eastAsiaTheme="minorHAnsi" w:hAnsiTheme="minorHAnsi" w:cstheme="minorBidi"/>
          <w:snapToGrid/>
          <w:sz w:val="24"/>
          <w:szCs w:val="22"/>
        </w:rPr>
        <w:t xml:space="preserve"> </w:t>
      </w:r>
      <w:r w:rsidR="00807C2A" w:rsidRPr="004F2275">
        <w:rPr>
          <w:rFonts w:asciiTheme="minorHAnsi" w:eastAsiaTheme="minorHAnsi" w:hAnsiTheme="minorHAnsi" w:cstheme="minorBidi"/>
          <w:snapToGrid/>
          <w:sz w:val="24"/>
          <w:szCs w:val="22"/>
        </w:rPr>
        <w:t>are</w:t>
      </w:r>
      <w:r w:rsidR="004F2275">
        <w:rPr>
          <w:rFonts w:asciiTheme="minorHAnsi" w:eastAsiaTheme="minorHAnsi" w:hAnsiTheme="minorHAnsi" w:cstheme="minorBidi"/>
          <w:snapToGrid/>
          <w:sz w:val="24"/>
          <w:szCs w:val="22"/>
        </w:rPr>
        <w:t xml:space="preserve"> </w:t>
      </w:r>
      <w:r w:rsidR="00A23CC0">
        <w:rPr>
          <w:rFonts w:asciiTheme="minorHAnsi" w:eastAsiaTheme="minorHAnsi" w:hAnsiTheme="minorHAnsi" w:cstheme="minorBidi"/>
          <w:snapToGrid/>
          <w:sz w:val="24"/>
          <w:szCs w:val="22"/>
        </w:rPr>
        <w:t>summarised</w:t>
      </w:r>
      <w:r w:rsidR="004F2275">
        <w:rPr>
          <w:rFonts w:asciiTheme="minorHAnsi" w:eastAsiaTheme="minorHAnsi" w:hAnsiTheme="minorHAnsi" w:cstheme="minorBidi"/>
          <w:snapToGrid/>
          <w:sz w:val="24"/>
          <w:szCs w:val="22"/>
        </w:rPr>
        <w:t xml:space="preserve"> below</w:t>
      </w:r>
      <w:r w:rsidR="00B0302B">
        <w:rPr>
          <w:rFonts w:asciiTheme="minorHAnsi" w:eastAsiaTheme="minorHAnsi" w:hAnsiTheme="minorHAnsi" w:cstheme="minorBidi"/>
          <w:snapToGrid/>
          <w:sz w:val="24"/>
          <w:szCs w:val="22"/>
        </w:rPr>
        <w:t>.</w:t>
      </w:r>
    </w:p>
    <w:p w:rsidR="00B0302B" w:rsidRPr="00B0302B" w:rsidRDefault="00B0302B" w:rsidP="00B0302B">
      <w:pPr>
        <w:pStyle w:val="TableHeading0"/>
      </w:pPr>
      <w:r>
        <w:t xml:space="preserve">Table </w:t>
      </w:r>
      <w:r w:rsidR="00260792">
        <w:t>2</w:t>
      </w:r>
      <w:r>
        <w:t xml:space="preserve">: </w:t>
      </w:r>
      <w:r w:rsidR="00C705A0" w:rsidRPr="007C10F9">
        <w:t>Annual</w:t>
      </w:r>
      <w:r w:rsidRPr="007C10F9">
        <w:t xml:space="preserve"> </w:t>
      </w:r>
      <w:r w:rsidR="00C705A0" w:rsidRPr="007C10F9">
        <w:t>expenditure</w:t>
      </w:r>
      <w:r>
        <w:t xml:space="preserve"> caps under the risk sharing arrangement for the treatment of </w:t>
      </w:r>
      <w:proofErr w:type="spellStart"/>
      <w:r>
        <w:t>unresectable</w:t>
      </w:r>
      <w:proofErr w:type="spellEnd"/>
      <w:r>
        <w:t xml:space="preserve"> Stage III or Stage IV malignant melanoma.</w:t>
      </w:r>
    </w:p>
    <w:tbl>
      <w:tblPr>
        <w:tblStyle w:val="TableGrid"/>
        <w:tblW w:w="5000" w:type="pct"/>
        <w:tblCellMar>
          <w:top w:w="28" w:type="dxa"/>
          <w:left w:w="28" w:type="dxa"/>
          <w:bottom w:w="28" w:type="dxa"/>
          <w:right w:w="28" w:type="dxa"/>
        </w:tblCellMar>
        <w:tblLook w:val="04A0" w:firstRow="1" w:lastRow="0" w:firstColumn="1" w:lastColumn="0" w:noHBand="0" w:noVBand="1"/>
      </w:tblPr>
      <w:tblGrid>
        <w:gridCol w:w="1416"/>
        <w:gridCol w:w="1534"/>
        <w:gridCol w:w="1533"/>
        <w:gridCol w:w="1533"/>
        <w:gridCol w:w="1533"/>
        <w:gridCol w:w="1533"/>
      </w:tblGrid>
      <w:tr w:rsidR="00292742" w:rsidRPr="00292742" w:rsidTr="00292742">
        <w:tc>
          <w:tcPr>
            <w:tcW w:w="779" w:type="pct"/>
          </w:tcPr>
          <w:p w:rsidR="00292742" w:rsidRPr="00292742" w:rsidRDefault="00292742" w:rsidP="006E64C1">
            <w:pPr>
              <w:pStyle w:val="ListParagraph"/>
              <w:widowControl/>
              <w:ind w:left="0"/>
              <w:contextualSpacing w:val="0"/>
              <w:rPr>
                <w:rFonts w:ascii="Arial Narrow" w:hAnsi="Arial Narrow"/>
                <w:b/>
                <w:sz w:val="20"/>
              </w:rPr>
            </w:pPr>
            <w:r w:rsidRPr="00292742">
              <w:rPr>
                <w:rFonts w:ascii="Arial Narrow" w:hAnsi="Arial Narrow"/>
                <w:b/>
                <w:sz w:val="20"/>
              </w:rPr>
              <w:t>Year</w:t>
            </w:r>
          </w:p>
        </w:tc>
        <w:tc>
          <w:tcPr>
            <w:tcW w:w="844" w:type="pct"/>
            <w:vAlign w:val="center"/>
          </w:tcPr>
          <w:p w:rsidR="00292742" w:rsidRPr="00292742" w:rsidRDefault="00292742" w:rsidP="006E64C1">
            <w:pPr>
              <w:pStyle w:val="ListParagraph"/>
              <w:widowControl/>
              <w:ind w:left="0"/>
              <w:contextualSpacing w:val="0"/>
              <w:jc w:val="center"/>
              <w:rPr>
                <w:rFonts w:ascii="Arial Narrow" w:hAnsi="Arial Narrow"/>
                <w:b/>
                <w:sz w:val="20"/>
              </w:rPr>
            </w:pPr>
            <w:r w:rsidRPr="00292742">
              <w:rPr>
                <w:rFonts w:ascii="Arial Narrow" w:hAnsi="Arial Narrow"/>
                <w:b/>
                <w:sz w:val="20"/>
              </w:rPr>
              <w:t>1</w:t>
            </w:r>
          </w:p>
        </w:tc>
        <w:tc>
          <w:tcPr>
            <w:tcW w:w="844" w:type="pct"/>
            <w:vAlign w:val="center"/>
          </w:tcPr>
          <w:p w:rsidR="00292742" w:rsidRPr="00292742" w:rsidRDefault="00292742" w:rsidP="006E64C1">
            <w:pPr>
              <w:pStyle w:val="ListParagraph"/>
              <w:widowControl/>
              <w:ind w:left="0"/>
              <w:contextualSpacing w:val="0"/>
              <w:jc w:val="center"/>
              <w:rPr>
                <w:rFonts w:ascii="Arial Narrow" w:hAnsi="Arial Narrow"/>
                <w:b/>
                <w:sz w:val="20"/>
              </w:rPr>
            </w:pPr>
            <w:r w:rsidRPr="00292742">
              <w:rPr>
                <w:rFonts w:ascii="Arial Narrow" w:hAnsi="Arial Narrow"/>
                <w:b/>
                <w:sz w:val="20"/>
              </w:rPr>
              <w:t>2</w:t>
            </w:r>
          </w:p>
        </w:tc>
        <w:tc>
          <w:tcPr>
            <w:tcW w:w="844" w:type="pct"/>
            <w:vAlign w:val="center"/>
          </w:tcPr>
          <w:p w:rsidR="00292742" w:rsidRPr="00292742" w:rsidRDefault="00292742" w:rsidP="006E64C1">
            <w:pPr>
              <w:pStyle w:val="ListParagraph"/>
              <w:widowControl/>
              <w:ind w:left="0"/>
              <w:contextualSpacing w:val="0"/>
              <w:jc w:val="center"/>
              <w:rPr>
                <w:rFonts w:ascii="Arial Narrow" w:hAnsi="Arial Narrow"/>
                <w:b/>
                <w:sz w:val="20"/>
              </w:rPr>
            </w:pPr>
            <w:r w:rsidRPr="00292742">
              <w:rPr>
                <w:rFonts w:ascii="Arial Narrow" w:hAnsi="Arial Narrow"/>
                <w:b/>
                <w:sz w:val="20"/>
              </w:rPr>
              <w:t>3</w:t>
            </w:r>
          </w:p>
        </w:tc>
        <w:tc>
          <w:tcPr>
            <w:tcW w:w="844" w:type="pct"/>
            <w:vAlign w:val="center"/>
          </w:tcPr>
          <w:p w:rsidR="00292742" w:rsidRPr="00292742" w:rsidRDefault="00292742" w:rsidP="006E64C1">
            <w:pPr>
              <w:pStyle w:val="ListParagraph"/>
              <w:widowControl/>
              <w:ind w:left="0"/>
              <w:contextualSpacing w:val="0"/>
              <w:jc w:val="center"/>
              <w:rPr>
                <w:rFonts w:ascii="Arial Narrow" w:hAnsi="Arial Narrow"/>
                <w:b/>
                <w:sz w:val="20"/>
              </w:rPr>
            </w:pPr>
            <w:r w:rsidRPr="00292742">
              <w:rPr>
                <w:rFonts w:ascii="Arial Narrow" w:hAnsi="Arial Narrow"/>
                <w:b/>
                <w:sz w:val="20"/>
              </w:rPr>
              <w:t>4</w:t>
            </w:r>
          </w:p>
        </w:tc>
        <w:tc>
          <w:tcPr>
            <w:tcW w:w="844" w:type="pct"/>
            <w:vAlign w:val="center"/>
          </w:tcPr>
          <w:p w:rsidR="00292742" w:rsidRPr="00292742" w:rsidRDefault="00292742" w:rsidP="006E64C1">
            <w:pPr>
              <w:pStyle w:val="ListParagraph"/>
              <w:widowControl/>
              <w:ind w:left="0"/>
              <w:contextualSpacing w:val="0"/>
              <w:jc w:val="center"/>
              <w:rPr>
                <w:rFonts w:ascii="Arial Narrow" w:hAnsi="Arial Narrow"/>
                <w:b/>
                <w:sz w:val="20"/>
              </w:rPr>
            </w:pPr>
            <w:r w:rsidRPr="00292742">
              <w:rPr>
                <w:rFonts w:ascii="Arial Narrow" w:hAnsi="Arial Narrow"/>
                <w:b/>
                <w:sz w:val="20"/>
              </w:rPr>
              <w:t>5</w:t>
            </w:r>
          </w:p>
        </w:tc>
      </w:tr>
      <w:tr w:rsidR="00292742" w:rsidRPr="00292742" w:rsidTr="00292742">
        <w:tc>
          <w:tcPr>
            <w:tcW w:w="779" w:type="pct"/>
          </w:tcPr>
          <w:p w:rsidR="00292742" w:rsidRPr="00292742" w:rsidRDefault="00292742" w:rsidP="006E64C1">
            <w:pPr>
              <w:pStyle w:val="ListParagraph"/>
              <w:widowControl/>
              <w:ind w:left="0"/>
              <w:contextualSpacing w:val="0"/>
              <w:rPr>
                <w:rFonts w:ascii="Arial Narrow" w:hAnsi="Arial Narrow"/>
                <w:b/>
                <w:sz w:val="20"/>
              </w:rPr>
            </w:pPr>
            <w:r w:rsidRPr="00292742">
              <w:rPr>
                <w:rFonts w:ascii="Arial Narrow" w:hAnsi="Arial Narrow"/>
                <w:b/>
                <w:sz w:val="20"/>
              </w:rPr>
              <w:t>Previous cap</w:t>
            </w:r>
          </w:p>
        </w:tc>
        <w:tc>
          <w:tcPr>
            <w:tcW w:w="844" w:type="pct"/>
            <w:vAlign w:val="center"/>
          </w:tcPr>
          <w:p w:rsidR="00292742" w:rsidRPr="00292742" w:rsidRDefault="00292742" w:rsidP="006E64C1">
            <w:pPr>
              <w:pStyle w:val="ListParagraph"/>
              <w:widowControl/>
              <w:ind w:left="0"/>
              <w:contextualSpacing w:val="0"/>
              <w:jc w:val="center"/>
              <w:rPr>
                <w:rFonts w:ascii="Arial Narrow" w:hAnsi="Arial Narrow"/>
                <w:sz w:val="20"/>
              </w:rPr>
            </w:pPr>
            <w:r>
              <w:rPr>
                <w:rFonts w:ascii="Arial Narrow" w:hAnsi="Arial Narrow"/>
                <w:sz w:val="20"/>
              </w:rPr>
              <w:t>$</w:t>
            </w:r>
            <w:r w:rsidR="00F12AD2">
              <w:rPr>
                <w:rFonts w:ascii="Arial Narrow" w:hAnsi="Arial Narrow"/>
                <w:noProof/>
                <w:color w:val="000000"/>
                <w:sz w:val="20"/>
                <w:highlight w:val="black"/>
              </w:rPr>
              <w:t>''''''''''''''''''''''''''''</w:t>
            </w:r>
          </w:p>
        </w:tc>
        <w:tc>
          <w:tcPr>
            <w:tcW w:w="844" w:type="pct"/>
            <w:vAlign w:val="center"/>
          </w:tcPr>
          <w:p w:rsidR="00292742" w:rsidRPr="00292742" w:rsidRDefault="00292742" w:rsidP="006E64C1">
            <w:pPr>
              <w:pStyle w:val="ListParagraph"/>
              <w:widowControl/>
              <w:ind w:left="0"/>
              <w:contextualSpacing w:val="0"/>
              <w:jc w:val="center"/>
              <w:rPr>
                <w:rFonts w:ascii="Arial Narrow" w:hAnsi="Arial Narrow"/>
                <w:sz w:val="20"/>
              </w:rPr>
            </w:pPr>
            <w:r>
              <w:rPr>
                <w:rFonts w:ascii="Arial Narrow" w:hAnsi="Arial Narrow"/>
                <w:sz w:val="20"/>
              </w:rPr>
              <w:t>$</w:t>
            </w:r>
            <w:r w:rsidR="00F12AD2">
              <w:rPr>
                <w:rFonts w:ascii="Arial Narrow" w:hAnsi="Arial Narrow"/>
                <w:noProof/>
                <w:color w:val="000000"/>
                <w:sz w:val="20"/>
                <w:highlight w:val="black"/>
              </w:rPr>
              <w:t>'''''''''''''''''''''''''''''</w:t>
            </w:r>
          </w:p>
        </w:tc>
        <w:tc>
          <w:tcPr>
            <w:tcW w:w="844" w:type="pct"/>
            <w:vAlign w:val="center"/>
          </w:tcPr>
          <w:p w:rsidR="00292742" w:rsidRPr="00292742" w:rsidRDefault="00292742" w:rsidP="006E64C1">
            <w:pPr>
              <w:pStyle w:val="ListParagraph"/>
              <w:widowControl/>
              <w:ind w:left="0"/>
              <w:contextualSpacing w:val="0"/>
              <w:jc w:val="center"/>
              <w:rPr>
                <w:rFonts w:ascii="Arial Narrow" w:hAnsi="Arial Narrow"/>
                <w:sz w:val="20"/>
              </w:rPr>
            </w:pPr>
            <w:r>
              <w:rPr>
                <w:rFonts w:ascii="Arial Narrow" w:hAnsi="Arial Narrow"/>
                <w:sz w:val="20"/>
              </w:rPr>
              <w:t>$</w:t>
            </w:r>
            <w:r w:rsidR="00F12AD2">
              <w:rPr>
                <w:rFonts w:ascii="Arial Narrow" w:hAnsi="Arial Narrow"/>
                <w:noProof/>
                <w:color w:val="000000"/>
                <w:sz w:val="20"/>
                <w:highlight w:val="black"/>
              </w:rPr>
              <w:t>''''''''''''''''''''''''''</w:t>
            </w:r>
          </w:p>
        </w:tc>
        <w:tc>
          <w:tcPr>
            <w:tcW w:w="844" w:type="pct"/>
            <w:vAlign w:val="center"/>
          </w:tcPr>
          <w:p w:rsidR="00292742" w:rsidRPr="00292742" w:rsidRDefault="00292742" w:rsidP="006E64C1">
            <w:pPr>
              <w:pStyle w:val="ListParagraph"/>
              <w:widowControl/>
              <w:ind w:left="0"/>
              <w:contextualSpacing w:val="0"/>
              <w:jc w:val="center"/>
              <w:rPr>
                <w:rFonts w:ascii="Arial Narrow" w:hAnsi="Arial Narrow"/>
                <w:sz w:val="20"/>
              </w:rPr>
            </w:pPr>
            <w:r>
              <w:rPr>
                <w:rFonts w:ascii="Arial Narrow" w:hAnsi="Arial Narrow"/>
                <w:sz w:val="20"/>
              </w:rPr>
              <w:t>$</w:t>
            </w:r>
            <w:r w:rsidR="00F12AD2">
              <w:rPr>
                <w:rFonts w:ascii="Arial Narrow" w:hAnsi="Arial Narrow"/>
                <w:noProof/>
                <w:color w:val="000000"/>
                <w:sz w:val="20"/>
                <w:highlight w:val="black"/>
              </w:rPr>
              <w:t>'''''''''''''''''''''''''''''</w:t>
            </w:r>
          </w:p>
        </w:tc>
        <w:tc>
          <w:tcPr>
            <w:tcW w:w="844" w:type="pct"/>
            <w:vAlign w:val="center"/>
          </w:tcPr>
          <w:p w:rsidR="00292742" w:rsidRPr="00292742" w:rsidRDefault="00292742" w:rsidP="006E64C1">
            <w:pPr>
              <w:pStyle w:val="ListParagraph"/>
              <w:widowControl/>
              <w:ind w:left="0"/>
              <w:contextualSpacing w:val="0"/>
              <w:jc w:val="center"/>
              <w:rPr>
                <w:rFonts w:ascii="Arial Narrow" w:hAnsi="Arial Narrow"/>
                <w:sz w:val="20"/>
              </w:rPr>
            </w:pPr>
            <w:r>
              <w:rPr>
                <w:rFonts w:ascii="Arial Narrow" w:hAnsi="Arial Narrow"/>
                <w:sz w:val="20"/>
              </w:rPr>
              <w:t>$</w:t>
            </w:r>
            <w:r w:rsidR="00F12AD2">
              <w:rPr>
                <w:rFonts w:ascii="Arial Narrow" w:hAnsi="Arial Narrow"/>
                <w:noProof/>
                <w:color w:val="000000"/>
                <w:sz w:val="20"/>
                <w:highlight w:val="black"/>
              </w:rPr>
              <w:t>''''''''''''''''''''''''''</w:t>
            </w:r>
          </w:p>
        </w:tc>
      </w:tr>
      <w:tr w:rsidR="00292742" w:rsidRPr="00292742" w:rsidTr="00292742">
        <w:tc>
          <w:tcPr>
            <w:tcW w:w="779" w:type="pct"/>
          </w:tcPr>
          <w:p w:rsidR="00292742" w:rsidRPr="009E64A0" w:rsidRDefault="00292742" w:rsidP="006E64C1">
            <w:pPr>
              <w:pStyle w:val="ListParagraph"/>
              <w:widowControl/>
              <w:ind w:left="0"/>
              <w:contextualSpacing w:val="0"/>
              <w:rPr>
                <w:rFonts w:ascii="Arial Narrow" w:hAnsi="Arial Narrow"/>
                <w:b/>
                <w:sz w:val="20"/>
                <w:vertAlign w:val="superscript"/>
              </w:rPr>
            </w:pPr>
            <w:r w:rsidRPr="00292742">
              <w:rPr>
                <w:rFonts w:ascii="Arial Narrow" w:hAnsi="Arial Narrow"/>
                <w:b/>
                <w:sz w:val="20"/>
              </w:rPr>
              <w:t xml:space="preserve">Current </w:t>
            </w:r>
            <w:proofErr w:type="spellStart"/>
            <w:r w:rsidRPr="00292742">
              <w:rPr>
                <w:rFonts w:ascii="Arial Narrow" w:hAnsi="Arial Narrow"/>
                <w:b/>
                <w:sz w:val="20"/>
              </w:rPr>
              <w:t>cap</w:t>
            </w:r>
            <w:r w:rsidR="009E64A0">
              <w:rPr>
                <w:rFonts w:ascii="Arial Narrow" w:hAnsi="Arial Narrow"/>
                <w:b/>
                <w:sz w:val="20"/>
                <w:vertAlign w:val="superscript"/>
              </w:rPr>
              <w:t>a</w:t>
            </w:r>
            <w:proofErr w:type="spellEnd"/>
          </w:p>
        </w:tc>
        <w:tc>
          <w:tcPr>
            <w:tcW w:w="844" w:type="pct"/>
            <w:vAlign w:val="center"/>
          </w:tcPr>
          <w:p w:rsidR="00292742" w:rsidRPr="00292742" w:rsidRDefault="00292742" w:rsidP="006E64C1">
            <w:pPr>
              <w:pStyle w:val="ListParagraph"/>
              <w:widowControl/>
              <w:ind w:left="0"/>
              <w:contextualSpacing w:val="0"/>
              <w:jc w:val="center"/>
              <w:rPr>
                <w:rFonts w:ascii="Arial Narrow" w:hAnsi="Arial Narrow"/>
                <w:sz w:val="20"/>
              </w:rPr>
            </w:pPr>
            <w:r>
              <w:rPr>
                <w:rFonts w:ascii="Arial Narrow" w:hAnsi="Arial Narrow"/>
                <w:sz w:val="20"/>
              </w:rPr>
              <w:t>$</w:t>
            </w:r>
            <w:r w:rsidR="00F12AD2">
              <w:rPr>
                <w:rFonts w:ascii="Arial Narrow" w:hAnsi="Arial Narrow"/>
                <w:noProof/>
                <w:color w:val="000000"/>
                <w:sz w:val="20"/>
                <w:highlight w:val="black"/>
              </w:rPr>
              <w:t>'''''''''''''''''''''''''</w:t>
            </w:r>
          </w:p>
        </w:tc>
        <w:tc>
          <w:tcPr>
            <w:tcW w:w="844" w:type="pct"/>
            <w:vAlign w:val="center"/>
          </w:tcPr>
          <w:p w:rsidR="00292742" w:rsidRPr="00292742" w:rsidRDefault="00292742" w:rsidP="006E64C1">
            <w:pPr>
              <w:pStyle w:val="ListParagraph"/>
              <w:widowControl/>
              <w:ind w:left="0"/>
              <w:contextualSpacing w:val="0"/>
              <w:jc w:val="center"/>
              <w:rPr>
                <w:rFonts w:ascii="Arial Narrow" w:hAnsi="Arial Narrow"/>
                <w:sz w:val="20"/>
              </w:rPr>
            </w:pPr>
            <w:r>
              <w:rPr>
                <w:rFonts w:ascii="Arial Narrow" w:hAnsi="Arial Narrow"/>
                <w:sz w:val="20"/>
              </w:rPr>
              <w:t>$</w:t>
            </w:r>
            <w:r w:rsidR="00F12AD2">
              <w:rPr>
                <w:rFonts w:ascii="Arial Narrow" w:hAnsi="Arial Narrow"/>
                <w:noProof/>
                <w:color w:val="000000"/>
                <w:sz w:val="20"/>
                <w:highlight w:val="black"/>
              </w:rPr>
              <w:t>'''''''''''''''''''''''''''''</w:t>
            </w:r>
          </w:p>
        </w:tc>
        <w:tc>
          <w:tcPr>
            <w:tcW w:w="844" w:type="pct"/>
            <w:vAlign w:val="center"/>
          </w:tcPr>
          <w:p w:rsidR="00292742" w:rsidRPr="00292742" w:rsidRDefault="00292742" w:rsidP="006E64C1">
            <w:pPr>
              <w:pStyle w:val="ListParagraph"/>
              <w:widowControl/>
              <w:ind w:left="0"/>
              <w:contextualSpacing w:val="0"/>
              <w:jc w:val="center"/>
              <w:rPr>
                <w:rFonts w:ascii="Arial Narrow" w:hAnsi="Arial Narrow"/>
                <w:sz w:val="20"/>
              </w:rPr>
            </w:pPr>
            <w:r>
              <w:rPr>
                <w:rFonts w:ascii="Arial Narrow" w:hAnsi="Arial Narrow"/>
                <w:sz w:val="20"/>
              </w:rPr>
              <w:t>$</w:t>
            </w:r>
            <w:r w:rsidR="00F12AD2">
              <w:rPr>
                <w:rFonts w:ascii="Arial Narrow" w:hAnsi="Arial Narrow"/>
                <w:noProof/>
                <w:color w:val="000000"/>
                <w:sz w:val="20"/>
                <w:highlight w:val="black"/>
              </w:rPr>
              <w:t>'''''''''''''''''''''''''</w:t>
            </w:r>
          </w:p>
        </w:tc>
        <w:tc>
          <w:tcPr>
            <w:tcW w:w="844" w:type="pct"/>
            <w:vAlign w:val="center"/>
          </w:tcPr>
          <w:p w:rsidR="00292742" w:rsidRPr="00292742" w:rsidRDefault="00292742" w:rsidP="006E64C1">
            <w:pPr>
              <w:pStyle w:val="ListParagraph"/>
              <w:widowControl/>
              <w:ind w:left="0"/>
              <w:contextualSpacing w:val="0"/>
              <w:jc w:val="center"/>
              <w:rPr>
                <w:rFonts w:ascii="Arial Narrow" w:hAnsi="Arial Narrow"/>
                <w:sz w:val="20"/>
              </w:rPr>
            </w:pPr>
            <w:r>
              <w:rPr>
                <w:rFonts w:ascii="Arial Narrow" w:hAnsi="Arial Narrow"/>
                <w:sz w:val="20"/>
              </w:rPr>
              <w:t>$</w:t>
            </w:r>
            <w:r w:rsidR="00F12AD2">
              <w:rPr>
                <w:rFonts w:ascii="Arial Narrow" w:hAnsi="Arial Narrow"/>
                <w:noProof/>
                <w:color w:val="000000"/>
                <w:sz w:val="20"/>
                <w:highlight w:val="black"/>
              </w:rPr>
              <w:t>'''''''''''''''''''''''''''''</w:t>
            </w:r>
          </w:p>
        </w:tc>
        <w:tc>
          <w:tcPr>
            <w:tcW w:w="844" w:type="pct"/>
            <w:vAlign w:val="center"/>
          </w:tcPr>
          <w:p w:rsidR="00292742" w:rsidRPr="00292742" w:rsidRDefault="00292742" w:rsidP="006E64C1">
            <w:pPr>
              <w:pStyle w:val="ListParagraph"/>
              <w:widowControl/>
              <w:ind w:left="0"/>
              <w:contextualSpacing w:val="0"/>
              <w:jc w:val="center"/>
              <w:rPr>
                <w:rFonts w:ascii="Arial Narrow" w:hAnsi="Arial Narrow"/>
                <w:sz w:val="20"/>
              </w:rPr>
            </w:pPr>
            <w:r>
              <w:rPr>
                <w:rFonts w:ascii="Arial Narrow" w:hAnsi="Arial Narrow"/>
                <w:sz w:val="20"/>
              </w:rPr>
              <w:t>$</w:t>
            </w:r>
            <w:r w:rsidR="00F12AD2">
              <w:rPr>
                <w:rFonts w:ascii="Arial Narrow" w:hAnsi="Arial Narrow"/>
                <w:noProof/>
                <w:color w:val="000000"/>
                <w:sz w:val="20"/>
                <w:highlight w:val="black"/>
              </w:rPr>
              <w:t>''''''''''''''''''''''''''</w:t>
            </w:r>
          </w:p>
        </w:tc>
      </w:tr>
      <w:tr w:rsidR="00292742" w:rsidRPr="00292742" w:rsidTr="00292742">
        <w:tc>
          <w:tcPr>
            <w:tcW w:w="779" w:type="pct"/>
          </w:tcPr>
          <w:p w:rsidR="00292742" w:rsidRPr="00292742" w:rsidRDefault="00292742" w:rsidP="006E64C1">
            <w:pPr>
              <w:pStyle w:val="ListParagraph"/>
              <w:widowControl/>
              <w:ind w:left="0"/>
              <w:contextualSpacing w:val="0"/>
              <w:rPr>
                <w:rFonts w:ascii="Arial Narrow" w:hAnsi="Arial Narrow"/>
                <w:b/>
                <w:sz w:val="20"/>
              </w:rPr>
            </w:pPr>
            <w:r w:rsidRPr="00292742">
              <w:rPr>
                <w:rFonts w:ascii="Arial Narrow" w:hAnsi="Arial Narrow"/>
                <w:b/>
                <w:sz w:val="20"/>
              </w:rPr>
              <w:t>% reached</w:t>
            </w:r>
          </w:p>
        </w:tc>
        <w:tc>
          <w:tcPr>
            <w:tcW w:w="844" w:type="pct"/>
            <w:vAlign w:val="center"/>
          </w:tcPr>
          <w:p w:rsidR="00292742" w:rsidRPr="00292742" w:rsidRDefault="00F12AD2" w:rsidP="006E64C1">
            <w:pPr>
              <w:pStyle w:val="ListParagraph"/>
              <w:widowControl/>
              <w:ind w:left="0"/>
              <w:contextualSpacing w:val="0"/>
              <w:jc w:val="center"/>
              <w:rPr>
                <w:rFonts w:ascii="Arial Narrow" w:hAnsi="Arial Narrow"/>
                <w:sz w:val="20"/>
              </w:rPr>
            </w:pPr>
            <w:r>
              <w:rPr>
                <w:rFonts w:ascii="Arial Narrow" w:hAnsi="Arial Narrow"/>
                <w:noProof/>
                <w:color w:val="000000"/>
                <w:sz w:val="20"/>
                <w:highlight w:val="black"/>
              </w:rPr>
              <w:t>''''''''''''''''</w:t>
            </w:r>
            <w:r w:rsidR="00292742" w:rsidRPr="00292742">
              <w:rPr>
                <w:rFonts w:ascii="Arial Narrow" w:hAnsi="Arial Narrow"/>
                <w:sz w:val="20"/>
              </w:rPr>
              <w:t>%</w:t>
            </w:r>
          </w:p>
        </w:tc>
        <w:tc>
          <w:tcPr>
            <w:tcW w:w="844" w:type="pct"/>
            <w:vAlign w:val="center"/>
          </w:tcPr>
          <w:p w:rsidR="00292742" w:rsidRPr="00292742" w:rsidRDefault="00F12AD2" w:rsidP="006E64C1">
            <w:pPr>
              <w:pStyle w:val="ListParagraph"/>
              <w:widowControl/>
              <w:ind w:left="0"/>
              <w:contextualSpacing w:val="0"/>
              <w:jc w:val="center"/>
              <w:rPr>
                <w:rFonts w:ascii="Arial Narrow" w:hAnsi="Arial Narrow"/>
                <w:sz w:val="20"/>
              </w:rPr>
            </w:pPr>
            <w:r>
              <w:rPr>
                <w:rFonts w:ascii="Arial Narrow" w:hAnsi="Arial Narrow"/>
                <w:noProof/>
                <w:color w:val="000000"/>
                <w:sz w:val="20"/>
                <w:highlight w:val="black"/>
              </w:rPr>
              <w:t>'''''''''''''''''</w:t>
            </w:r>
            <w:r w:rsidR="00292742" w:rsidRPr="00292742">
              <w:rPr>
                <w:rFonts w:ascii="Arial Narrow" w:hAnsi="Arial Narrow"/>
                <w:sz w:val="20"/>
              </w:rPr>
              <w:t>%</w:t>
            </w:r>
          </w:p>
        </w:tc>
        <w:tc>
          <w:tcPr>
            <w:tcW w:w="844" w:type="pct"/>
            <w:vAlign w:val="center"/>
          </w:tcPr>
          <w:p w:rsidR="00292742" w:rsidRPr="00292742" w:rsidRDefault="00292742" w:rsidP="006E64C1">
            <w:pPr>
              <w:pStyle w:val="ListParagraph"/>
              <w:widowControl/>
              <w:ind w:left="0"/>
              <w:contextualSpacing w:val="0"/>
              <w:jc w:val="center"/>
              <w:rPr>
                <w:rFonts w:ascii="Arial Narrow" w:hAnsi="Arial Narrow"/>
                <w:sz w:val="20"/>
              </w:rPr>
            </w:pPr>
            <w:r w:rsidRPr="00292742">
              <w:rPr>
                <w:rFonts w:ascii="Arial Narrow" w:hAnsi="Arial Narrow"/>
                <w:sz w:val="20"/>
              </w:rPr>
              <w:t>–</w:t>
            </w:r>
          </w:p>
        </w:tc>
        <w:tc>
          <w:tcPr>
            <w:tcW w:w="844" w:type="pct"/>
            <w:vAlign w:val="center"/>
          </w:tcPr>
          <w:p w:rsidR="00292742" w:rsidRPr="00292742" w:rsidRDefault="00292742" w:rsidP="006E64C1">
            <w:pPr>
              <w:pStyle w:val="ListParagraph"/>
              <w:widowControl/>
              <w:ind w:left="0"/>
              <w:contextualSpacing w:val="0"/>
              <w:jc w:val="center"/>
              <w:rPr>
                <w:rFonts w:ascii="Arial Narrow" w:hAnsi="Arial Narrow"/>
                <w:sz w:val="20"/>
              </w:rPr>
            </w:pPr>
            <w:r w:rsidRPr="00292742">
              <w:rPr>
                <w:rFonts w:ascii="Arial Narrow" w:hAnsi="Arial Narrow"/>
                <w:sz w:val="20"/>
              </w:rPr>
              <w:t>–</w:t>
            </w:r>
          </w:p>
        </w:tc>
        <w:tc>
          <w:tcPr>
            <w:tcW w:w="844" w:type="pct"/>
            <w:vAlign w:val="center"/>
          </w:tcPr>
          <w:p w:rsidR="00292742" w:rsidRPr="00292742" w:rsidRDefault="00292742" w:rsidP="006E64C1">
            <w:pPr>
              <w:pStyle w:val="ListParagraph"/>
              <w:widowControl/>
              <w:ind w:left="0"/>
              <w:contextualSpacing w:val="0"/>
              <w:jc w:val="center"/>
              <w:rPr>
                <w:rFonts w:ascii="Arial Narrow" w:hAnsi="Arial Narrow"/>
                <w:sz w:val="20"/>
              </w:rPr>
            </w:pPr>
            <w:r w:rsidRPr="00292742">
              <w:rPr>
                <w:rFonts w:ascii="Arial Narrow" w:hAnsi="Arial Narrow"/>
                <w:sz w:val="20"/>
              </w:rPr>
              <w:t>–</w:t>
            </w:r>
          </w:p>
        </w:tc>
      </w:tr>
    </w:tbl>
    <w:p w:rsidR="00B0302B" w:rsidRPr="00366E3B" w:rsidRDefault="009E64A0" w:rsidP="009E64A0">
      <w:pPr>
        <w:spacing w:after="120"/>
        <w:rPr>
          <w:rFonts w:ascii="Arial Narrow" w:hAnsi="Arial Narrow"/>
          <w:sz w:val="18"/>
          <w:szCs w:val="18"/>
        </w:rPr>
      </w:pPr>
      <w:proofErr w:type="spellStart"/>
      <w:proofErr w:type="gramStart"/>
      <w:r w:rsidRPr="00366E3B">
        <w:rPr>
          <w:rFonts w:ascii="Arial Narrow" w:hAnsi="Arial Narrow"/>
          <w:sz w:val="18"/>
          <w:szCs w:val="18"/>
          <w:vertAlign w:val="superscript"/>
        </w:rPr>
        <w:t>a</w:t>
      </w:r>
      <w:proofErr w:type="spellEnd"/>
      <w:proofErr w:type="gramEnd"/>
      <w:r w:rsidRPr="00366E3B">
        <w:rPr>
          <w:rFonts w:ascii="Arial Narrow" w:hAnsi="Arial Narrow"/>
          <w:sz w:val="18"/>
          <w:szCs w:val="18"/>
        </w:rPr>
        <w:t xml:space="preserve"> The current </w:t>
      </w:r>
      <w:r w:rsidR="00A30F63" w:rsidRPr="00366E3B">
        <w:rPr>
          <w:rFonts w:ascii="Arial Narrow" w:hAnsi="Arial Narrow"/>
          <w:sz w:val="18"/>
          <w:szCs w:val="18"/>
        </w:rPr>
        <w:t xml:space="preserve">risk sharing arrangement </w:t>
      </w:r>
      <w:r w:rsidRPr="00366E3B">
        <w:rPr>
          <w:rFonts w:ascii="Arial Narrow" w:hAnsi="Arial Narrow"/>
          <w:sz w:val="18"/>
          <w:szCs w:val="18"/>
        </w:rPr>
        <w:t xml:space="preserve">commenced on 1 April 2017 and </w:t>
      </w:r>
      <w:r w:rsidR="00A30F63" w:rsidRPr="00366E3B">
        <w:rPr>
          <w:rFonts w:ascii="Arial Narrow" w:hAnsi="Arial Narrow"/>
          <w:sz w:val="18"/>
          <w:szCs w:val="18"/>
        </w:rPr>
        <w:t>a</w:t>
      </w:r>
      <w:r w:rsidRPr="00366E3B">
        <w:rPr>
          <w:rFonts w:ascii="Arial Narrow" w:hAnsi="Arial Narrow"/>
          <w:sz w:val="18"/>
          <w:szCs w:val="18"/>
        </w:rPr>
        <w:t>ffect</w:t>
      </w:r>
      <w:r w:rsidR="00A30F63" w:rsidRPr="00366E3B">
        <w:rPr>
          <w:rFonts w:ascii="Arial Narrow" w:hAnsi="Arial Narrow"/>
          <w:sz w:val="18"/>
          <w:szCs w:val="18"/>
        </w:rPr>
        <w:t>ed the caps for Years 2 – 5.</w:t>
      </w:r>
    </w:p>
    <w:p w:rsidR="00ED152C" w:rsidRPr="00B206F3" w:rsidRDefault="00D4046A" w:rsidP="00C65CA5">
      <w:pPr>
        <w:pStyle w:val="ListParagraph"/>
        <w:widowControl/>
        <w:numPr>
          <w:ilvl w:val="1"/>
          <w:numId w:val="14"/>
        </w:numPr>
        <w:spacing w:after="120"/>
        <w:contextualSpacing w:val="0"/>
        <w:rPr>
          <w:rFonts w:asciiTheme="minorHAnsi" w:hAnsiTheme="minorHAnsi"/>
          <w:sz w:val="24"/>
          <w:szCs w:val="24"/>
        </w:rPr>
      </w:pPr>
      <w:r w:rsidRPr="00B206F3">
        <w:rPr>
          <w:rFonts w:asciiTheme="minorHAnsi" w:hAnsiTheme="minorHAnsi"/>
          <w:sz w:val="24"/>
          <w:szCs w:val="24"/>
        </w:rPr>
        <w:t>The sponsors are required to</w:t>
      </w:r>
      <w:r w:rsidR="00C65CA5" w:rsidRPr="00B206F3">
        <w:rPr>
          <w:rFonts w:asciiTheme="minorHAnsi" w:hAnsiTheme="minorHAnsi"/>
          <w:sz w:val="24"/>
          <w:szCs w:val="24"/>
        </w:rPr>
        <w:t xml:space="preserve"> rebate </w:t>
      </w:r>
      <w:r w:rsidR="00F12AD2">
        <w:rPr>
          <w:rFonts w:asciiTheme="minorHAnsi" w:hAnsiTheme="minorHAnsi"/>
          <w:noProof/>
          <w:color w:val="000000"/>
          <w:sz w:val="24"/>
          <w:szCs w:val="24"/>
          <w:highlight w:val="black"/>
        </w:rPr>
        <w:t>'''''''</w:t>
      </w:r>
      <w:r w:rsidR="00C65CA5" w:rsidRPr="00B206F3">
        <w:rPr>
          <w:rFonts w:asciiTheme="minorHAnsi" w:hAnsiTheme="minorHAnsi"/>
          <w:sz w:val="24"/>
          <w:szCs w:val="24"/>
        </w:rPr>
        <w:t xml:space="preserve">% to the Commonwealth </w:t>
      </w:r>
      <w:r w:rsidR="00C65CA5" w:rsidRPr="007C10F9">
        <w:rPr>
          <w:rFonts w:asciiTheme="minorHAnsi" w:hAnsiTheme="minorHAnsi"/>
          <w:sz w:val="24"/>
          <w:szCs w:val="24"/>
        </w:rPr>
        <w:t xml:space="preserve">for </w:t>
      </w:r>
      <w:r w:rsidR="00C705A0" w:rsidRPr="007C10F9">
        <w:rPr>
          <w:rFonts w:asciiTheme="minorHAnsi" w:hAnsiTheme="minorHAnsi"/>
          <w:sz w:val="24"/>
          <w:szCs w:val="24"/>
        </w:rPr>
        <w:t>costs</w:t>
      </w:r>
      <w:r w:rsidR="00C65CA5" w:rsidRPr="007C10F9">
        <w:rPr>
          <w:rFonts w:asciiTheme="minorHAnsi" w:hAnsiTheme="minorHAnsi"/>
          <w:sz w:val="24"/>
          <w:szCs w:val="24"/>
        </w:rPr>
        <w:t xml:space="preserve"> exceeding the agreed </w:t>
      </w:r>
      <w:r w:rsidR="00C705A0" w:rsidRPr="007C10F9">
        <w:rPr>
          <w:rFonts w:asciiTheme="minorHAnsi" w:hAnsiTheme="minorHAnsi"/>
          <w:sz w:val="24"/>
          <w:szCs w:val="24"/>
        </w:rPr>
        <w:t>annual expenditure caps</w:t>
      </w:r>
      <w:r w:rsidR="00C65CA5" w:rsidRPr="00B206F3">
        <w:rPr>
          <w:rFonts w:asciiTheme="minorHAnsi" w:hAnsiTheme="minorHAnsi"/>
          <w:sz w:val="24"/>
          <w:szCs w:val="24"/>
        </w:rPr>
        <w:t xml:space="preserve">. </w:t>
      </w:r>
      <w:r w:rsidR="00F12AD2">
        <w:rPr>
          <w:rFonts w:asciiTheme="minorHAnsi" w:hAnsiTheme="minorHAnsi"/>
          <w:noProof/>
          <w:color w:val="000000"/>
          <w:sz w:val="24"/>
          <w:szCs w:val="24"/>
          <w:highlight w:val="black"/>
        </w:rPr>
        <w:t>'''''' ''''''''''''''''''''' '''''''''''''' ''''''''' '''''' '''''''''''''''''' ''''' '''''''''''''''''''''''''''''' ''''''' '''''''''''''''''' ''' '''''''''''''''''''' '''''''' ''''''' '''''''''''''''''''''' '''''''''''''' '''''''''''' ''''' '''''''' '''''''''''''''''''' ''''' ''''''' ''''''''' '''' ''''''' '''''''''''''''''''''''' ''''''''''' '''''''''' ''''' '''''''''''''' '''' ''''''''''''''''''''' ''''''''''''''''' ''''''''''''''''''''' ''''' ''''''''''''''''''' '''''''' '''''' ''''''''''''' '''''' '''''''''''''' '''''' ''''''''''''''''''''''''''' '''''' '''''''''''' ''''''' '''''''''''''''''''''' '''''''''''''' '''''''''' '''''''''''''''' ''''''''''''''''''''''''''''''' ''''''' ''''''''''''''''''''' ''''''''''' '''''''' '''''''''''''' '''''''''''''''' ''''''''''''''''''''''' '''' '''''' ''''''''''''''' ''''' ''''''''''''''''''</w:t>
      </w:r>
      <w:r w:rsidR="00C65CA5" w:rsidRPr="00B206F3">
        <w:rPr>
          <w:rFonts w:asciiTheme="minorHAnsi" w:hAnsiTheme="minorHAnsi"/>
          <w:sz w:val="24"/>
          <w:szCs w:val="24"/>
        </w:rPr>
        <w:t>.</w:t>
      </w:r>
    </w:p>
    <w:p w:rsidR="003836FF" w:rsidRPr="00366E3B" w:rsidRDefault="00B20209" w:rsidP="00366E3B">
      <w:pPr>
        <w:pStyle w:val="ListParagraph"/>
        <w:widowControl/>
        <w:numPr>
          <w:ilvl w:val="1"/>
          <w:numId w:val="14"/>
        </w:numPr>
        <w:spacing w:after="120"/>
        <w:contextualSpacing w:val="0"/>
        <w:rPr>
          <w:rFonts w:asciiTheme="minorHAnsi" w:hAnsiTheme="minorHAnsi"/>
          <w:sz w:val="24"/>
          <w:szCs w:val="24"/>
        </w:rPr>
      </w:pPr>
      <w:r w:rsidRPr="00B206F3">
        <w:rPr>
          <w:rFonts w:asciiTheme="minorHAnsi" w:hAnsiTheme="minorHAnsi"/>
          <w:sz w:val="24"/>
          <w:szCs w:val="24"/>
        </w:rPr>
        <w:t>The department’s s</w:t>
      </w:r>
      <w:r w:rsidR="0020182A" w:rsidRPr="00B206F3">
        <w:rPr>
          <w:rFonts w:asciiTheme="minorHAnsi" w:hAnsiTheme="minorHAnsi"/>
          <w:sz w:val="24"/>
          <w:szCs w:val="24"/>
        </w:rPr>
        <w:t xml:space="preserve">cenario analyses of the impact of increased </w:t>
      </w:r>
      <w:proofErr w:type="spellStart"/>
      <w:r w:rsidR="0020182A" w:rsidRPr="00B206F3">
        <w:rPr>
          <w:rFonts w:asciiTheme="minorHAnsi" w:hAnsiTheme="minorHAnsi"/>
          <w:sz w:val="24"/>
          <w:szCs w:val="24"/>
        </w:rPr>
        <w:t>pembrolizumab</w:t>
      </w:r>
      <w:proofErr w:type="spellEnd"/>
      <w:r w:rsidR="0020182A" w:rsidRPr="00B206F3">
        <w:rPr>
          <w:rFonts w:asciiTheme="minorHAnsi" w:hAnsiTheme="minorHAnsi"/>
          <w:sz w:val="24"/>
          <w:szCs w:val="24"/>
        </w:rPr>
        <w:t xml:space="preserve"> expenditure </w:t>
      </w:r>
      <w:r w:rsidR="0024004B" w:rsidRPr="00B206F3">
        <w:rPr>
          <w:rFonts w:asciiTheme="minorHAnsi" w:hAnsiTheme="minorHAnsi"/>
          <w:sz w:val="24"/>
          <w:szCs w:val="24"/>
        </w:rPr>
        <w:t xml:space="preserve">on the rebate required </w:t>
      </w:r>
      <w:r w:rsidR="008C4CE4" w:rsidRPr="00B206F3">
        <w:rPr>
          <w:rFonts w:asciiTheme="minorHAnsi" w:hAnsiTheme="minorHAnsi"/>
          <w:sz w:val="24"/>
          <w:szCs w:val="24"/>
        </w:rPr>
        <w:t xml:space="preserve">from the sponsor of </w:t>
      </w:r>
      <w:proofErr w:type="spellStart"/>
      <w:r w:rsidR="008C4CE4" w:rsidRPr="00B206F3">
        <w:rPr>
          <w:rFonts w:asciiTheme="minorHAnsi" w:hAnsiTheme="minorHAnsi"/>
          <w:sz w:val="24"/>
          <w:szCs w:val="24"/>
        </w:rPr>
        <w:t>nivolumab</w:t>
      </w:r>
      <w:proofErr w:type="spellEnd"/>
      <w:r w:rsidR="008C4CE4" w:rsidRPr="00B206F3">
        <w:rPr>
          <w:rFonts w:asciiTheme="minorHAnsi" w:hAnsiTheme="minorHAnsi"/>
          <w:sz w:val="24"/>
          <w:szCs w:val="24"/>
        </w:rPr>
        <w:t xml:space="preserve"> are</w:t>
      </w:r>
      <w:r w:rsidR="0024004B" w:rsidRPr="00B206F3">
        <w:rPr>
          <w:rFonts w:asciiTheme="minorHAnsi" w:hAnsiTheme="minorHAnsi"/>
          <w:sz w:val="24"/>
          <w:szCs w:val="24"/>
        </w:rPr>
        <w:t xml:space="preserve"> shown below.</w:t>
      </w:r>
      <w:r w:rsidR="003836FF" w:rsidRPr="00366E3B">
        <w:rPr>
          <w:rFonts w:ascii="Arial Narrow" w:eastAsiaTheme="minorHAnsi" w:hAnsi="Arial Narrow" w:cstheme="minorBidi"/>
          <w:bCs/>
          <w:sz w:val="20"/>
          <w:szCs w:val="22"/>
        </w:rPr>
        <w:br w:type="page"/>
      </w:r>
    </w:p>
    <w:p w:rsidR="001F6D3A" w:rsidRPr="001F6D3A" w:rsidRDefault="001F6D3A" w:rsidP="001F6D3A">
      <w:pPr>
        <w:pStyle w:val="Caption"/>
        <w:keepNext/>
        <w:spacing w:after="0"/>
        <w:rPr>
          <w:rFonts w:ascii="Arial Narrow" w:eastAsiaTheme="minorHAnsi" w:hAnsi="Arial Narrow" w:cstheme="minorBidi"/>
          <w:bCs w:val="0"/>
          <w:color w:val="auto"/>
          <w:sz w:val="20"/>
          <w:szCs w:val="22"/>
          <w:lang w:eastAsia="en-US"/>
        </w:rPr>
      </w:pPr>
      <w:r w:rsidRPr="001F6D3A">
        <w:rPr>
          <w:rFonts w:ascii="Arial Narrow" w:eastAsiaTheme="minorHAnsi" w:hAnsi="Arial Narrow" w:cstheme="minorBidi"/>
          <w:bCs w:val="0"/>
          <w:color w:val="auto"/>
          <w:sz w:val="20"/>
          <w:szCs w:val="22"/>
          <w:lang w:eastAsia="en-US"/>
        </w:rPr>
        <w:lastRenderedPageBreak/>
        <w:t xml:space="preserve">Table </w:t>
      </w:r>
      <w:r w:rsidR="00260792">
        <w:rPr>
          <w:rFonts w:ascii="Arial Narrow" w:eastAsiaTheme="minorHAnsi" w:hAnsi="Arial Narrow" w:cstheme="minorBidi"/>
          <w:bCs w:val="0"/>
          <w:color w:val="auto"/>
          <w:sz w:val="20"/>
          <w:szCs w:val="22"/>
          <w:lang w:eastAsia="en-US"/>
        </w:rPr>
        <w:t>3</w:t>
      </w:r>
      <w:r>
        <w:rPr>
          <w:rFonts w:ascii="Arial Narrow" w:eastAsiaTheme="minorHAnsi" w:hAnsi="Arial Narrow" w:cstheme="minorBidi"/>
          <w:bCs w:val="0"/>
          <w:color w:val="auto"/>
          <w:sz w:val="20"/>
          <w:szCs w:val="22"/>
          <w:lang w:eastAsia="en-US"/>
        </w:rPr>
        <w:t xml:space="preserve">: Current (Year 2) market share between </w:t>
      </w:r>
      <w:proofErr w:type="spellStart"/>
      <w:r>
        <w:rPr>
          <w:rFonts w:ascii="Arial Narrow" w:eastAsiaTheme="minorHAnsi" w:hAnsi="Arial Narrow" w:cstheme="minorBidi"/>
          <w:bCs w:val="0"/>
          <w:color w:val="auto"/>
          <w:sz w:val="20"/>
          <w:szCs w:val="22"/>
          <w:lang w:eastAsia="en-US"/>
        </w:rPr>
        <w:t>pembrolizumab</w:t>
      </w:r>
      <w:proofErr w:type="spellEnd"/>
      <w:r>
        <w:rPr>
          <w:rFonts w:ascii="Arial Narrow" w:eastAsiaTheme="minorHAnsi" w:hAnsi="Arial Narrow" w:cstheme="minorBidi"/>
          <w:bCs w:val="0"/>
          <w:color w:val="auto"/>
          <w:sz w:val="20"/>
          <w:szCs w:val="22"/>
          <w:lang w:eastAsia="en-US"/>
        </w:rPr>
        <w:t xml:space="preserve"> and </w:t>
      </w:r>
      <w:proofErr w:type="spellStart"/>
      <w:r>
        <w:rPr>
          <w:rFonts w:ascii="Arial Narrow" w:eastAsiaTheme="minorHAnsi" w:hAnsi="Arial Narrow" w:cstheme="minorBidi"/>
          <w:bCs w:val="0"/>
          <w:color w:val="auto"/>
          <w:sz w:val="20"/>
          <w:szCs w:val="22"/>
          <w:lang w:eastAsia="en-US"/>
        </w:rPr>
        <w:t>nivolumab</w:t>
      </w:r>
      <w:proofErr w:type="spellEnd"/>
      <w:r>
        <w:rPr>
          <w:rFonts w:ascii="Arial Narrow" w:eastAsiaTheme="minorHAnsi" w:hAnsi="Arial Narrow" w:cstheme="minorBidi"/>
          <w:bCs w:val="0"/>
          <w:color w:val="auto"/>
          <w:sz w:val="20"/>
          <w:szCs w:val="22"/>
          <w:lang w:eastAsia="en-US"/>
        </w:rPr>
        <w:t xml:space="preserve"> and analyses of the flow-on financial implications to the sponsor of </w:t>
      </w:r>
      <w:proofErr w:type="spellStart"/>
      <w:r>
        <w:rPr>
          <w:rFonts w:ascii="Arial Narrow" w:eastAsiaTheme="minorHAnsi" w:hAnsi="Arial Narrow" w:cstheme="minorBidi"/>
          <w:bCs w:val="0"/>
          <w:color w:val="auto"/>
          <w:sz w:val="20"/>
          <w:szCs w:val="22"/>
          <w:lang w:eastAsia="en-US"/>
        </w:rPr>
        <w:t>nivolumab</w:t>
      </w:r>
      <w:proofErr w:type="spellEnd"/>
      <w:r>
        <w:rPr>
          <w:rFonts w:ascii="Arial Narrow" w:eastAsiaTheme="minorHAnsi" w:hAnsi="Arial Narrow" w:cstheme="minorBidi"/>
          <w:bCs w:val="0"/>
          <w:color w:val="auto"/>
          <w:sz w:val="20"/>
          <w:szCs w:val="22"/>
          <w:lang w:eastAsia="en-US"/>
        </w:rPr>
        <w:t xml:space="preserve"> if the total expenditure for </w:t>
      </w:r>
      <w:proofErr w:type="spellStart"/>
      <w:r>
        <w:rPr>
          <w:rFonts w:ascii="Arial Narrow" w:eastAsiaTheme="minorHAnsi" w:hAnsi="Arial Narrow" w:cstheme="minorBidi"/>
          <w:bCs w:val="0"/>
          <w:color w:val="auto"/>
          <w:sz w:val="20"/>
          <w:szCs w:val="22"/>
          <w:lang w:eastAsia="en-US"/>
        </w:rPr>
        <w:t>pembrolizumab</w:t>
      </w:r>
      <w:proofErr w:type="spellEnd"/>
      <w:r>
        <w:rPr>
          <w:rFonts w:ascii="Arial Narrow" w:eastAsiaTheme="minorHAnsi" w:hAnsi="Arial Narrow" w:cstheme="minorBidi"/>
          <w:bCs w:val="0"/>
          <w:color w:val="auto"/>
          <w:sz w:val="20"/>
          <w:szCs w:val="22"/>
          <w:lang w:eastAsia="en-US"/>
        </w:rPr>
        <w:t xml:space="preserve"> increases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28" w:type="dxa"/>
          <w:bottom w:w="28" w:type="dxa"/>
          <w:right w:w="28" w:type="dxa"/>
        </w:tblCellMar>
        <w:tblLook w:val="01E0" w:firstRow="1" w:lastRow="1" w:firstColumn="1" w:lastColumn="1" w:noHBand="0" w:noVBand="0"/>
      </w:tblPr>
      <w:tblGrid>
        <w:gridCol w:w="719"/>
        <w:gridCol w:w="1595"/>
        <w:gridCol w:w="2078"/>
        <w:gridCol w:w="1680"/>
        <w:gridCol w:w="3010"/>
      </w:tblGrid>
      <w:tr w:rsidR="008C4CE4" w:rsidRPr="009A745E" w:rsidTr="008C4CE4">
        <w:trPr>
          <w:tblHeader/>
        </w:trPr>
        <w:tc>
          <w:tcPr>
            <w:tcW w:w="1274" w:type="pct"/>
            <w:gridSpan w:val="2"/>
            <w:tcBorders>
              <w:bottom w:val="single" w:sz="4" w:space="0" w:color="auto"/>
            </w:tcBorders>
            <w:shd w:val="clear" w:color="auto" w:fill="auto"/>
            <w:vAlign w:val="center"/>
          </w:tcPr>
          <w:p w:rsidR="008C4CE4" w:rsidRPr="009A745E" w:rsidRDefault="008C4CE4" w:rsidP="003E2DD3">
            <w:pPr>
              <w:pStyle w:val="TableText0"/>
              <w:spacing w:before="0" w:after="0"/>
              <w:jc w:val="left"/>
              <w:rPr>
                <w:b/>
                <w:szCs w:val="20"/>
              </w:rPr>
            </w:pPr>
            <w:r w:rsidRPr="009A745E">
              <w:rPr>
                <w:b/>
                <w:szCs w:val="20"/>
              </w:rPr>
              <w:t>Circumstance</w:t>
            </w:r>
          </w:p>
        </w:tc>
        <w:tc>
          <w:tcPr>
            <w:tcW w:w="1144" w:type="pct"/>
            <w:tcBorders>
              <w:bottom w:val="single" w:sz="4" w:space="0" w:color="auto"/>
            </w:tcBorders>
            <w:shd w:val="clear" w:color="auto" w:fill="auto"/>
            <w:vAlign w:val="center"/>
          </w:tcPr>
          <w:p w:rsidR="008C4CE4" w:rsidRPr="009A745E" w:rsidRDefault="001F6D3A" w:rsidP="003E2DD3">
            <w:pPr>
              <w:pStyle w:val="TableText0"/>
              <w:spacing w:before="0" w:after="0"/>
              <w:jc w:val="center"/>
              <w:rPr>
                <w:b/>
                <w:szCs w:val="20"/>
              </w:rPr>
            </w:pPr>
            <w:r w:rsidRPr="009A745E">
              <w:rPr>
                <w:b/>
                <w:szCs w:val="20"/>
              </w:rPr>
              <w:t>E</w:t>
            </w:r>
            <w:r w:rsidR="008C4CE4" w:rsidRPr="009A745E">
              <w:rPr>
                <w:b/>
                <w:szCs w:val="20"/>
              </w:rPr>
              <w:t>xpenditure</w:t>
            </w:r>
          </w:p>
        </w:tc>
        <w:tc>
          <w:tcPr>
            <w:tcW w:w="925" w:type="pct"/>
            <w:tcBorders>
              <w:bottom w:val="single" w:sz="4" w:space="0" w:color="auto"/>
            </w:tcBorders>
            <w:shd w:val="clear" w:color="auto" w:fill="auto"/>
            <w:vAlign w:val="center"/>
          </w:tcPr>
          <w:p w:rsidR="008C4CE4" w:rsidRPr="009A745E" w:rsidRDefault="008C4CE4" w:rsidP="003E2DD3">
            <w:pPr>
              <w:pStyle w:val="TableText0"/>
              <w:spacing w:before="0" w:after="0"/>
              <w:jc w:val="center"/>
              <w:rPr>
                <w:b/>
                <w:szCs w:val="20"/>
              </w:rPr>
            </w:pPr>
            <w:r w:rsidRPr="009A745E">
              <w:rPr>
                <w:b/>
                <w:szCs w:val="20"/>
              </w:rPr>
              <w:t>% Market share</w:t>
            </w:r>
          </w:p>
        </w:tc>
        <w:tc>
          <w:tcPr>
            <w:tcW w:w="1657" w:type="pct"/>
            <w:tcBorders>
              <w:bottom w:val="single" w:sz="4" w:space="0" w:color="auto"/>
            </w:tcBorders>
            <w:shd w:val="clear" w:color="auto" w:fill="auto"/>
            <w:vAlign w:val="center"/>
          </w:tcPr>
          <w:p w:rsidR="008C4CE4" w:rsidRPr="009A745E" w:rsidRDefault="008C4CE4" w:rsidP="003E2DD3">
            <w:pPr>
              <w:pStyle w:val="TableText0"/>
              <w:spacing w:before="0" w:after="0"/>
              <w:jc w:val="center"/>
              <w:rPr>
                <w:b/>
                <w:szCs w:val="20"/>
              </w:rPr>
            </w:pPr>
            <w:r w:rsidRPr="009A745E">
              <w:rPr>
                <w:b/>
                <w:szCs w:val="20"/>
              </w:rPr>
              <w:t xml:space="preserve">Rebate (% </w:t>
            </w:r>
            <w:proofErr w:type="spellStart"/>
            <w:r w:rsidRPr="009A745E">
              <w:rPr>
                <w:b/>
                <w:szCs w:val="20"/>
              </w:rPr>
              <w:t>increase</w:t>
            </w:r>
            <w:r w:rsidR="001F6D3A" w:rsidRPr="009A745E">
              <w:rPr>
                <w:b/>
                <w:szCs w:val="20"/>
                <w:vertAlign w:val="superscript"/>
              </w:rPr>
              <w:t>a</w:t>
            </w:r>
            <w:proofErr w:type="spellEnd"/>
            <w:r w:rsidRPr="009A745E">
              <w:rPr>
                <w:b/>
                <w:szCs w:val="20"/>
              </w:rPr>
              <w:t>)</w:t>
            </w:r>
          </w:p>
        </w:tc>
      </w:tr>
      <w:tr w:rsidR="008C4CE4" w:rsidRPr="009A745E" w:rsidTr="008C4CE4">
        <w:tc>
          <w:tcPr>
            <w:tcW w:w="1274" w:type="pct"/>
            <w:gridSpan w:val="2"/>
            <w:vAlign w:val="center"/>
          </w:tcPr>
          <w:p w:rsidR="008C4CE4" w:rsidRPr="009A745E" w:rsidRDefault="008C4CE4" w:rsidP="003E2DD3">
            <w:pPr>
              <w:rPr>
                <w:rFonts w:ascii="Arial Narrow" w:hAnsi="Arial Narrow" w:cs="Arial"/>
                <w:b/>
                <w:bCs/>
                <w:sz w:val="20"/>
                <w:szCs w:val="20"/>
              </w:rPr>
            </w:pPr>
            <w:r w:rsidRPr="009A745E">
              <w:rPr>
                <w:rFonts w:ascii="Arial Narrow" w:hAnsi="Arial Narrow" w:cs="Arial"/>
                <w:b/>
                <w:bCs/>
                <w:sz w:val="20"/>
                <w:szCs w:val="20"/>
              </w:rPr>
              <w:t>Year 2</w:t>
            </w:r>
            <w:r w:rsidR="00A30F63" w:rsidRPr="009A745E">
              <w:rPr>
                <w:rFonts w:ascii="Arial Narrow" w:hAnsi="Arial Narrow" w:cs="Arial"/>
                <w:b/>
                <w:bCs/>
                <w:sz w:val="20"/>
                <w:szCs w:val="20"/>
              </w:rPr>
              <w:t xml:space="preserve"> (cap</w:t>
            </w:r>
            <w:r w:rsidRPr="009A745E">
              <w:rPr>
                <w:rFonts w:ascii="Arial Narrow" w:hAnsi="Arial Narrow" w:cs="Arial"/>
                <w:b/>
                <w:bCs/>
                <w:sz w:val="20"/>
                <w:szCs w:val="20"/>
              </w:rPr>
              <w:t>)</w:t>
            </w:r>
          </w:p>
        </w:tc>
        <w:tc>
          <w:tcPr>
            <w:tcW w:w="1144" w:type="pct"/>
            <w:vAlign w:val="center"/>
          </w:tcPr>
          <w:p w:rsidR="008C4CE4" w:rsidRPr="00F12AD2" w:rsidRDefault="00F12AD2" w:rsidP="003E2DD3">
            <w:pPr>
              <w:jc w:val="center"/>
              <w:rPr>
                <w:rFonts w:ascii="Arial Narrow" w:hAnsi="Arial Narrow" w:cs="Arial"/>
                <w:b/>
                <w:bCs/>
                <w:sz w:val="20"/>
                <w:szCs w:val="20"/>
                <w:highlight w:val="black"/>
              </w:rPr>
            </w:pPr>
            <w:r>
              <w:rPr>
                <w:rFonts w:ascii="Arial Narrow" w:hAnsi="Arial Narrow" w:cs="Arial"/>
                <w:b/>
                <w:bCs/>
                <w:noProof/>
                <w:color w:val="000000"/>
                <w:sz w:val="20"/>
                <w:szCs w:val="20"/>
                <w:highlight w:val="black"/>
              </w:rPr>
              <w:t>''''''''''''''''''''''''</w:t>
            </w:r>
          </w:p>
        </w:tc>
        <w:tc>
          <w:tcPr>
            <w:tcW w:w="925" w:type="pct"/>
            <w:shd w:val="clear" w:color="auto" w:fill="FFFFFF" w:themeFill="background1"/>
            <w:vAlign w:val="center"/>
          </w:tcPr>
          <w:p w:rsidR="008C4CE4" w:rsidRPr="009A745E" w:rsidRDefault="008C4CE4" w:rsidP="008C4CE4">
            <w:pPr>
              <w:pStyle w:val="TableText0"/>
              <w:spacing w:before="0" w:after="0"/>
              <w:jc w:val="center"/>
              <w:rPr>
                <w:szCs w:val="20"/>
              </w:rPr>
            </w:pPr>
            <w:r w:rsidRPr="009A745E">
              <w:rPr>
                <w:szCs w:val="20"/>
              </w:rPr>
              <w:t>–</w:t>
            </w:r>
          </w:p>
        </w:tc>
        <w:tc>
          <w:tcPr>
            <w:tcW w:w="1657" w:type="pct"/>
            <w:shd w:val="clear" w:color="auto" w:fill="FFFFFF" w:themeFill="background1"/>
            <w:vAlign w:val="center"/>
          </w:tcPr>
          <w:p w:rsidR="008C4CE4" w:rsidRPr="009A745E" w:rsidRDefault="008C4CE4" w:rsidP="008C4CE4">
            <w:pPr>
              <w:pStyle w:val="TableText0"/>
              <w:spacing w:before="0" w:after="0"/>
              <w:jc w:val="center"/>
              <w:rPr>
                <w:szCs w:val="20"/>
              </w:rPr>
            </w:pPr>
            <w:r w:rsidRPr="009A745E">
              <w:rPr>
                <w:szCs w:val="20"/>
              </w:rPr>
              <w:t>–</w:t>
            </w:r>
          </w:p>
        </w:tc>
      </w:tr>
      <w:tr w:rsidR="008C4CE4" w:rsidRPr="009A745E" w:rsidTr="003E2DD3">
        <w:tc>
          <w:tcPr>
            <w:tcW w:w="396" w:type="pct"/>
            <w:vMerge w:val="restart"/>
          </w:tcPr>
          <w:p w:rsidR="008C4CE4" w:rsidRPr="009A745E" w:rsidRDefault="008C4CE4" w:rsidP="003E2DD3">
            <w:pPr>
              <w:pStyle w:val="TableText0"/>
              <w:spacing w:before="0" w:after="0"/>
              <w:rPr>
                <w:b/>
                <w:szCs w:val="20"/>
              </w:rPr>
            </w:pPr>
            <w:r w:rsidRPr="009A745E">
              <w:rPr>
                <w:b/>
                <w:szCs w:val="20"/>
              </w:rPr>
              <w:t>Year 2</w:t>
            </w:r>
          </w:p>
          <w:p w:rsidR="008C4CE4" w:rsidRPr="009A745E" w:rsidRDefault="008C4CE4" w:rsidP="00A30F63">
            <w:pPr>
              <w:pStyle w:val="TableText0"/>
              <w:spacing w:before="0" w:after="0"/>
              <w:rPr>
                <w:szCs w:val="20"/>
              </w:rPr>
            </w:pPr>
            <w:r w:rsidRPr="009A745E">
              <w:rPr>
                <w:b/>
                <w:szCs w:val="20"/>
              </w:rPr>
              <w:t>(actual data)</w:t>
            </w:r>
          </w:p>
        </w:tc>
        <w:tc>
          <w:tcPr>
            <w:tcW w:w="878" w:type="pct"/>
            <w:vAlign w:val="center"/>
          </w:tcPr>
          <w:p w:rsidR="008C4CE4" w:rsidRPr="009A745E" w:rsidRDefault="008C4CE4" w:rsidP="003E2DD3">
            <w:pPr>
              <w:pStyle w:val="TableText0"/>
              <w:spacing w:before="0" w:after="0"/>
              <w:jc w:val="left"/>
              <w:rPr>
                <w:szCs w:val="20"/>
              </w:rPr>
            </w:pPr>
            <w:proofErr w:type="spellStart"/>
            <w:r w:rsidRPr="009A745E">
              <w:rPr>
                <w:szCs w:val="20"/>
              </w:rPr>
              <w:t>Pembrolizumab</w:t>
            </w:r>
            <w:proofErr w:type="spellEnd"/>
          </w:p>
        </w:tc>
        <w:tc>
          <w:tcPr>
            <w:tcW w:w="1144" w:type="pct"/>
            <w:vAlign w:val="center"/>
          </w:tcPr>
          <w:p w:rsidR="008C4CE4" w:rsidRPr="00F12AD2" w:rsidRDefault="00F12AD2" w:rsidP="003E2DD3">
            <w:pPr>
              <w:jc w:val="center"/>
              <w:rPr>
                <w:rFonts w:ascii="Arial Narrow" w:hAnsi="Arial Narrow" w:cs="Arial"/>
                <w:bCs/>
                <w:sz w:val="20"/>
                <w:szCs w:val="20"/>
                <w:highlight w:val="black"/>
              </w:rPr>
            </w:pPr>
            <w:r>
              <w:rPr>
                <w:rFonts w:ascii="Arial Narrow" w:hAnsi="Arial Narrow" w:cs="Arial"/>
                <w:bCs/>
                <w:noProof/>
                <w:color w:val="000000"/>
                <w:sz w:val="20"/>
                <w:szCs w:val="20"/>
                <w:highlight w:val="black"/>
              </w:rPr>
              <w:t>''''''''''''''''''''''''''''''''''''''''''</w:t>
            </w:r>
          </w:p>
        </w:tc>
        <w:tc>
          <w:tcPr>
            <w:tcW w:w="925" w:type="pct"/>
            <w:vAlign w:val="center"/>
          </w:tcPr>
          <w:p w:rsidR="008C4CE4" w:rsidRPr="00F12AD2" w:rsidRDefault="00F12AD2" w:rsidP="003E2DD3">
            <w:pPr>
              <w:jc w:val="center"/>
              <w:rPr>
                <w:rFonts w:ascii="Arial Narrow" w:hAnsi="Arial Narrow" w:cs="Arial"/>
                <w:bCs/>
                <w:sz w:val="20"/>
                <w:szCs w:val="20"/>
                <w:highlight w:val="black"/>
              </w:rPr>
            </w:pPr>
            <w:r>
              <w:rPr>
                <w:rFonts w:ascii="Arial Narrow" w:hAnsi="Arial Narrow" w:cs="Arial"/>
                <w:bCs/>
                <w:noProof/>
                <w:color w:val="000000"/>
                <w:sz w:val="20"/>
                <w:szCs w:val="20"/>
                <w:highlight w:val="black"/>
              </w:rPr>
              <w:t>''''''''''''''''</w:t>
            </w:r>
          </w:p>
        </w:tc>
        <w:tc>
          <w:tcPr>
            <w:tcW w:w="1657" w:type="pct"/>
            <w:vAlign w:val="center"/>
          </w:tcPr>
          <w:p w:rsidR="008C4CE4" w:rsidRPr="00F12AD2" w:rsidRDefault="00F12AD2" w:rsidP="003E2DD3">
            <w:pPr>
              <w:jc w:val="center"/>
              <w:rPr>
                <w:rFonts w:ascii="Arial Narrow" w:hAnsi="Arial Narrow" w:cs="Arial"/>
                <w:sz w:val="20"/>
                <w:szCs w:val="20"/>
                <w:highlight w:val="black"/>
              </w:rPr>
            </w:pPr>
            <w:r>
              <w:rPr>
                <w:rFonts w:ascii="Arial Narrow" w:hAnsi="Arial Narrow" w:cs="Arial"/>
                <w:noProof/>
                <w:color w:val="000000"/>
                <w:sz w:val="20"/>
                <w:szCs w:val="20"/>
                <w:highlight w:val="black"/>
              </w:rPr>
              <w:t>''''''''''''''''''''''''''''''''</w:t>
            </w:r>
          </w:p>
        </w:tc>
      </w:tr>
      <w:tr w:rsidR="008C4CE4" w:rsidRPr="009A745E" w:rsidTr="003E2DD3">
        <w:tc>
          <w:tcPr>
            <w:tcW w:w="396" w:type="pct"/>
            <w:vMerge/>
          </w:tcPr>
          <w:p w:rsidR="008C4CE4" w:rsidRPr="009A745E" w:rsidRDefault="008C4CE4" w:rsidP="003E2DD3">
            <w:pPr>
              <w:pStyle w:val="TableText0"/>
              <w:spacing w:before="0" w:after="0"/>
              <w:rPr>
                <w:szCs w:val="20"/>
              </w:rPr>
            </w:pPr>
          </w:p>
        </w:tc>
        <w:tc>
          <w:tcPr>
            <w:tcW w:w="878" w:type="pct"/>
            <w:vAlign w:val="center"/>
          </w:tcPr>
          <w:p w:rsidR="008C4CE4" w:rsidRPr="009A745E" w:rsidRDefault="008C4CE4" w:rsidP="003E2DD3">
            <w:pPr>
              <w:pStyle w:val="TableText0"/>
              <w:spacing w:before="0" w:after="0"/>
              <w:jc w:val="left"/>
              <w:rPr>
                <w:szCs w:val="20"/>
              </w:rPr>
            </w:pPr>
            <w:proofErr w:type="spellStart"/>
            <w:r w:rsidRPr="009A745E">
              <w:rPr>
                <w:szCs w:val="20"/>
              </w:rPr>
              <w:t>Nivolumab</w:t>
            </w:r>
            <w:proofErr w:type="spellEnd"/>
          </w:p>
        </w:tc>
        <w:tc>
          <w:tcPr>
            <w:tcW w:w="1144" w:type="pct"/>
            <w:vAlign w:val="center"/>
          </w:tcPr>
          <w:p w:rsidR="008C4CE4" w:rsidRPr="00F12AD2" w:rsidRDefault="00F12AD2" w:rsidP="003E2DD3">
            <w:pPr>
              <w:jc w:val="center"/>
              <w:rPr>
                <w:rFonts w:ascii="Arial Narrow" w:hAnsi="Arial Narrow" w:cs="Arial"/>
                <w:bCs/>
                <w:sz w:val="20"/>
                <w:szCs w:val="20"/>
                <w:highlight w:val="black"/>
              </w:rPr>
            </w:pPr>
            <w:r>
              <w:rPr>
                <w:rFonts w:ascii="Arial Narrow" w:hAnsi="Arial Narrow" w:cs="Arial"/>
                <w:bCs/>
                <w:noProof/>
                <w:color w:val="000000"/>
                <w:sz w:val="20"/>
                <w:szCs w:val="20"/>
                <w:highlight w:val="black"/>
              </w:rPr>
              <w:t>'''''''''''''''''''''''''''''''''''</w:t>
            </w:r>
          </w:p>
        </w:tc>
        <w:tc>
          <w:tcPr>
            <w:tcW w:w="925" w:type="pct"/>
            <w:vAlign w:val="center"/>
          </w:tcPr>
          <w:p w:rsidR="008C4CE4" w:rsidRPr="00F12AD2" w:rsidRDefault="00F12AD2" w:rsidP="003E2DD3">
            <w:pPr>
              <w:jc w:val="center"/>
              <w:rPr>
                <w:rFonts w:ascii="Arial Narrow" w:hAnsi="Arial Narrow" w:cs="Arial"/>
                <w:bCs/>
                <w:sz w:val="20"/>
                <w:szCs w:val="20"/>
                <w:highlight w:val="black"/>
              </w:rPr>
            </w:pPr>
            <w:r>
              <w:rPr>
                <w:rFonts w:ascii="Arial Narrow" w:hAnsi="Arial Narrow" w:cs="Arial"/>
                <w:bCs/>
                <w:noProof/>
                <w:color w:val="000000"/>
                <w:sz w:val="20"/>
                <w:szCs w:val="20"/>
                <w:highlight w:val="black"/>
              </w:rPr>
              <w:t>'''''''''''''''</w:t>
            </w:r>
          </w:p>
        </w:tc>
        <w:tc>
          <w:tcPr>
            <w:tcW w:w="1657" w:type="pct"/>
            <w:vAlign w:val="center"/>
          </w:tcPr>
          <w:p w:rsidR="008C4CE4" w:rsidRPr="00F12AD2" w:rsidRDefault="00F12AD2" w:rsidP="003E2DD3">
            <w:pPr>
              <w:jc w:val="center"/>
              <w:rPr>
                <w:rFonts w:ascii="Arial Narrow" w:hAnsi="Arial Narrow" w:cs="Arial"/>
                <w:sz w:val="20"/>
                <w:szCs w:val="20"/>
                <w:highlight w:val="black"/>
              </w:rPr>
            </w:pPr>
            <w:r>
              <w:rPr>
                <w:rFonts w:ascii="Arial Narrow" w:hAnsi="Arial Narrow" w:cs="Arial"/>
                <w:noProof/>
                <w:color w:val="000000"/>
                <w:sz w:val="20"/>
                <w:szCs w:val="20"/>
                <w:highlight w:val="black"/>
              </w:rPr>
              <w:t>'''''''''''''''''''''''''''</w:t>
            </w:r>
          </w:p>
        </w:tc>
      </w:tr>
      <w:tr w:rsidR="008C4CE4" w:rsidRPr="009A745E" w:rsidTr="003E2DD3">
        <w:tc>
          <w:tcPr>
            <w:tcW w:w="396" w:type="pct"/>
            <w:vMerge/>
            <w:tcBorders>
              <w:bottom w:val="thinThickSmallGap" w:sz="24" w:space="0" w:color="auto"/>
            </w:tcBorders>
          </w:tcPr>
          <w:p w:rsidR="008C4CE4" w:rsidRPr="009A745E" w:rsidRDefault="008C4CE4" w:rsidP="003E2DD3">
            <w:pPr>
              <w:pStyle w:val="TableText0"/>
              <w:spacing w:before="0" w:after="0"/>
              <w:rPr>
                <w:szCs w:val="20"/>
              </w:rPr>
            </w:pPr>
          </w:p>
        </w:tc>
        <w:tc>
          <w:tcPr>
            <w:tcW w:w="878" w:type="pct"/>
            <w:tcBorders>
              <w:bottom w:val="thinThickSmallGap" w:sz="24" w:space="0" w:color="auto"/>
            </w:tcBorders>
            <w:vAlign w:val="center"/>
          </w:tcPr>
          <w:p w:rsidR="008C4CE4" w:rsidRPr="009A745E" w:rsidRDefault="008C4CE4" w:rsidP="003E2DD3">
            <w:pPr>
              <w:pStyle w:val="TableText0"/>
              <w:spacing w:before="0" w:after="0"/>
              <w:jc w:val="left"/>
              <w:rPr>
                <w:szCs w:val="20"/>
              </w:rPr>
            </w:pPr>
            <w:r w:rsidRPr="009A745E">
              <w:rPr>
                <w:szCs w:val="20"/>
              </w:rPr>
              <w:t>Total</w:t>
            </w:r>
          </w:p>
        </w:tc>
        <w:tc>
          <w:tcPr>
            <w:tcW w:w="1144" w:type="pct"/>
            <w:tcBorders>
              <w:bottom w:val="thinThickSmallGap" w:sz="24" w:space="0" w:color="auto"/>
            </w:tcBorders>
            <w:vAlign w:val="center"/>
          </w:tcPr>
          <w:p w:rsidR="008C4CE4" w:rsidRPr="00F12AD2" w:rsidRDefault="00F12AD2" w:rsidP="003E2DD3">
            <w:pPr>
              <w:jc w:val="center"/>
              <w:rPr>
                <w:rFonts w:ascii="Arial Narrow" w:hAnsi="Arial Narrow" w:cs="Arial"/>
                <w:bCs/>
                <w:sz w:val="20"/>
                <w:szCs w:val="20"/>
                <w:highlight w:val="black"/>
              </w:rPr>
            </w:pPr>
            <w:r>
              <w:rPr>
                <w:rFonts w:ascii="Arial Narrow" w:hAnsi="Arial Narrow" w:cs="Arial"/>
                <w:bCs/>
                <w:noProof/>
                <w:color w:val="000000"/>
                <w:sz w:val="20"/>
                <w:szCs w:val="20"/>
                <w:highlight w:val="black"/>
              </w:rPr>
              <w:t>''''''''''''''''''''''''''''''''''''''''''</w:t>
            </w:r>
          </w:p>
        </w:tc>
        <w:tc>
          <w:tcPr>
            <w:tcW w:w="925" w:type="pct"/>
            <w:tcBorders>
              <w:bottom w:val="thinThickSmallGap" w:sz="24" w:space="0" w:color="auto"/>
            </w:tcBorders>
            <w:vAlign w:val="center"/>
          </w:tcPr>
          <w:p w:rsidR="008C4CE4" w:rsidRPr="00F12AD2" w:rsidRDefault="00F12AD2" w:rsidP="003E2DD3">
            <w:pPr>
              <w:jc w:val="center"/>
              <w:rPr>
                <w:rFonts w:ascii="Arial Narrow" w:hAnsi="Arial Narrow" w:cs="Arial"/>
                <w:bCs/>
                <w:sz w:val="20"/>
                <w:szCs w:val="20"/>
                <w:highlight w:val="black"/>
              </w:rPr>
            </w:pPr>
            <w:r>
              <w:rPr>
                <w:rFonts w:ascii="Arial Narrow" w:hAnsi="Arial Narrow" w:cs="Arial"/>
                <w:bCs/>
                <w:noProof/>
                <w:color w:val="000000"/>
                <w:sz w:val="20"/>
                <w:szCs w:val="20"/>
                <w:highlight w:val="black"/>
              </w:rPr>
              <w:t>'''''''''''''''''''</w:t>
            </w:r>
          </w:p>
        </w:tc>
        <w:tc>
          <w:tcPr>
            <w:tcW w:w="1657" w:type="pct"/>
            <w:tcBorders>
              <w:bottom w:val="thinThickSmallGap" w:sz="24" w:space="0" w:color="auto"/>
            </w:tcBorders>
            <w:vAlign w:val="center"/>
          </w:tcPr>
          <w:p w:rsidR="008C4CE4" w:rsidRPr="00F12AD2" w:rsidRDefault="00F12AD2" w:rsidP="003E2DD3">
            <w:pPr>
              <w:jc w:val="center"/>
              <w:rPr>
                <w:rFonts w:ascii="Arial Narrow" w:hAnsi="Arial Narrow" w:cs="Arial"/>
                <w:sz w:val="20"/>
                <w:szCs w:val="20"/>
                <w:highlight w:val="black"/>
              </w:rPr>
            </w:pPr>
            <w:r>
              <w:rPr>
                <w:rFonts w:ascii="Arial Narrow" w:hAnsi="Arial Narrow" w:cs="Arial"/>
                <w:noProof/>
                <w:color w:val="000000"/>
                <w:sz w:val="20"/>
                <w:szCs w:val="20"/>
                <w:highlight w:val="black"/>
              </w:rPr>
              <w:t>'''''''''''''''''''''''''''''</w:t>
            </w:r>
          </w:p>
        </w:tc>
      </w:tr>
      <w:tr w:rsidR="008C4CE4" w:rsidRPr="009A745E" w:rsidTr="008C4CE4">
        <w:tc>
          <w:tcPr>
            <w:tcW w:w="5000" w:type="pct"/>
            <w:gridSpan w:val="5"/>
            <w:tcBorders>
              <w:top w:val="thinThickSmallGap" w:sz="24" w:space="0" w:color="auto"/>
              <w:bottom w:val="single" w:sz="4" w:space="0" w:color="auto"/>
            </w:tcBorders>
          </w:tcPr>
          <w:p w:rsidR="008C4CE4" w:rsidRPr="009A745E" w:rsidRDefault="008C4CE4" w:rsidP="008C4CE4">
            <w:pPr>
              <w:rPr>
                <w:rFonts w:ascii="Arial Narrow" w:hAnsi="Arial Narrow" w:cs="Arial"/>
                <w:b/>
                <w:sz w:val="20"/>
                <w:szCs w:val="20"/>
                <w:vertAlign w:val="superscript"/>
              </w:rPr>
            </w:pPr>
            <w:r w:rsidRPr="009A745E">
              <w:rPr>
                <w:rFonts w:ascii="Arial Narrow" w:hAnsi="Arial Narrow" w:cs="Arial"/>
                <w:b/>
                <w:sz w:val="20"/>
                <w:szCs w:val="20"/>
              </w:rPr>
              <w:t>Scenario analyses</w:t>
            </w:r>
            <w:r w:rsidR="00A30F63" w:rsidRPr="009A745E">
              <w:rPr>
                <w:rFonts w:ascii="Arial Narrow" w:hAnsi="Arial Narrow" w:cs="Arial"/>
                <w:b/>
                <w:sz w:val="20"/>
                <w:szCs w:val="20"/>
              </w:rPr>
              <w:t xml:space="preserve"> with percentage increases of current </w:t>
            </w:r>
            <w:proofErr w:type="spellStart"/>
            <w:r w:rsidR="00A30F63" w:rsidRPr="009A745E">
              <w:rPr>
                <w:rFonts w:ascii="Arial Narrow" w:hAnsi="Arial Narrow" w:cs="Arial"/>
                <w:b/>
                <w:sz w:val="20"/>
                <w:szCs w:val="20"/>
              </w:rPr>
              <w:t>pembrolizumab</w:t>
            </w:r>
            <w:proofErr w:type="spellEnd"/>
            <w:r w:rsidR="00A30F63" w:rsidRPr="009A745E">
              <w:rPr>
                <w:rFonts w:ascii="Arial Narrow" w:hAnsi="Arial Narrow" w:cs="Arial"/>
                <w:b/>
                <w:sz w:val="20"/>
                <w:szCs w:val="20"/>
              </w:rPr>
              <w:t xml:space="preserve"> </w:t>
            </w:r>
            <w:r w:rsidR="009A372C" w:rsidRPr="009A745E">
              <w:rPr>
                <w:rFonts w:ascii="Arial Narrow" w:hAnsi="Arial Narrow" w:cs="Arial"/>
                <w:b/>
                <w:sz w:val="20"/>
                <w:szCs w:val="20"/>
              </w:rPr>
              <w:t xml:space="preserve">expenditure due to </w:t>
            </w:r>
            <w:r w:rsidR="00A30F63" w:rsidRPr="009A745E">
              <w:rPr>
                <w:rFonts w:ascii="Arial Narrow" w:hAnsi="Arial Narrow" w:cs="Arial"/>
                <w:b/>
                <w:sz w:val="20"/>
                <w:szCs w:val="20"/>
              </w:rPr>
              <w:t>price</w:t>
            </w:r>
            <w:r w:rsidR="009A372C" w:rsidRPr="009A745E">
              <w:rPr>
                <w:rFonts w:ascii="Arial Narrow" w:hAnsi="Arial Narrow" w:cs="Arial"/>
                <w:b/>
                <w:sz w:val="20"/>
                <w:szCs w:val="20"/>
              </w:rPr>
              <w:t xml:space="preserve"> </w:t>
            </w:r>
            <w:proofErr w:type="spellStart"/>
            <w:r w:rsidR="009A372C" w:rsidRPr="009A745E">
              <w:rPr>
                <w:rFonts w:ascii="Arial Narrow" w:hAnsi="Arial Narrow" w:cs="Arial"/>
                <w:b/>
                <w:sz w:val="20"/>
                <w:szCs w:val="20"/>
              </w:rPr>
              <w:t>increase</w:t>
            </w:r>
            <w:r w:rsidR="001F6D3A" w:rsidRPr="009A745E">
              <w:rPr>
                <w:rFonts w:ascii="Arial Narrow" w:hAnsi="Arial Narrow" w:cs="Arial"/>
                <w:b/>
                <w:sz w:val="20"/>
                <w:szCs w:val="20"/>
                <w:vertAlign w:val="superscript"/>
              </w:rPr>
              <w:t>b</w:t>
            </w:r>
            <w:proofErr w:type="spellEnd"/>
          </w:p>
        </w:tc>
      </w:tr>
      <w:tr w:rsidR="008C4CE4" w:rsidRPr="009A745E" w:rsidTr="003E2DD3">
        <w:tc>
          <w:tcPr>
            <w:tcW w:w="396" w:type="pct"/>
            <w:vMerge w:val="restart"/>
          </w:tcPr>
          <w:p w:rsidR="008C4CE4" w:rsidRPr="009A745E" w:rsidRDefault="008C4CE4" w:rsidP="00A30F63">
            <w:pPr>
              <w:pStyle w:val="TableText0"/>
              <w:spacing w:before="0" w:after="0"/>
              <w:rPr>
                <w:b/>
                <w:szCs w:val="20"/>
              </w:rPr>
            </w:pPr>
            <w:r w:rsidRPr="009A745E">
              <w:rPr>
                <w:b/>
                <w:szCs w:val="20"/>
              </w:rPr>
              <w:t>110%</w:t>
            </w:r>
          </w:p>
        </w:tc>
        <w:tc>
          <w:tcPr>
            <w:tcW w:w="878" w:type="pct"/>
            <w:tcBorders>
              <w:top w:val="single" w:sz="4" w:space="0" w:color="auto"/>
              <w:left w:val="single" w:sz="4" w:space="0" w:color="auto"/>
              <w:bottom w:val="single" w:sz="4" w:space="0" w:color="auto"/>
              <w:right w:val="single" w:sz="4" w:space="0" w:color="auto"/>
            </w:tcBorders>
            <w:vAlign w:val="center"/>
          </w:tcPr>
          <w:p w:rsidR="008C4CE4" w:rsidRPr="009A745E" w:rsidRDefault="008C4CE4" w:rsidP="003E2DD3">
            <w:pPr>
              <w:pStyle w:val="TableText0"/>
              <w:spacing w:before="0" w:after="0"/>
              <w:jc w:val="left"/>
              <w:rPr>
                <w:szCs w:val="20"/>
              </w:rPr>
            </w:pPr>
            <w:proofErr w:type="spellStart"/>
            <w:r w:rsidRPr="009A745E">
              <w:rPr>
                <w:szCs w:val="20"/>
              </w:rPr>
              <w:t>Pembrolizumab</w:t>
            </w:r>
            <w:proofErr w:type="spellEnd"/>
          </w:p>
        </w:tc>
        <w:tc>
          <w:tcPr>
            <w:tcW w:w="1144" w:type="pct"/>
            <w:tcBorders>
              <w:top w:val="single" w:sz="4" w:space="0" w:color="auto"/>
              <w:left w:val="single" w:sz="4" w:space="0" w:color="auto"/>
              <w:bottom w:val="single" w:sz="4" w:space="0" w:color="auto"/>
              <w:right w:val="single" w:sz="4" w:space="0" w:color="auto"/>
            </w:tcBorders>
            <w:vAlign w:val="center"/>
          </w:tcPr>
          <w:p w:rsidR="008C4CE4" w:rsidRPr="00F12AD2" w:rsidRDefault="00F12AD2" w:rsidP="003E2DD3">
            <w:pPr>
              <w:jc w:val="center"/>
              <w:rPr>
                <w:rFonts w:ascii="Arial Narrow" w:hAnsi="Arial Narrow" w:cs="Arial"/>
                <w:bCs/>
                <w:sz w:val="20"/>
                <w:szCs w:val="20"/>
                <w:highlight w:val="black"/>
              </w:rPr>
            </w:pPr>
            <w:r>
              <w:rPr>
                <w:rFonts w:ascii="Arial Narrow" w:hAnsi="Arial Narrow" w:cs="Arial"/>
                <w:bCs/>
                <w:noProof/>
                <w:color w:val="000000"/>
                <w:sz w:val="20"/>
                <w:szCs w:val="20"/>
                <w:highlight w:val="black"/>
              </w:rPr>
              <w:t>'''''''''''''''''''''''''''''''''''''</w:t>
            </w:r>
          </w:p>
        </w:tc>
        <w:tc>
          <w:tcPr>
            <w:tcW w:w="925" w:type="pct"/>
            <w:tcBorders>
              <w:top w:val="single" w:sz="4" w:space="0" w:color="auto"/>
              <w:left w:val="single" w:sz="4" w:space="0" w:color="auto"/>
              <w:bottom w:val="single" w:sz="4" w:space="0" w:color="auto"/>
              <w:right w:val="single" w:sz="4" w:space="0" w:color="auto"/>
            </w:tcBorders>
            <w:vAlign w:val="center"/>
          </w:tcPr>
          <w:p w:rsidR="008C4CE4" w:rsidRPr="00F12AD2" w:rsidRDefault="00F12AD2" w:rsidP="003E2DD3">
            <w:pPr>
              <w:jc w:val="center"/>
              <w:rPr>
                <w:rFonts w:ascii="Arial Narrow" w:hAnsi="Arial Narrow" w:cs="Arial"/>
                <w:bCs/>
                <w:sz w:val="20"/>
                <w:szCs w:val="20"/>
                <w:highlight w:val="black"/>
              </w:rPr>
            </w:pPr>
            <w:r>
              <w:rPr>
                <w:rFonts w:ascii="Arial Narrow" w:hAnsi="Arial Narrow" w:cs="Arial"/>
                <w:bCs/>
                <w:noProof/>
                <w:color w:val="000000"/>
                <w:sz w:val="20"/>
                <w:szCs w:val="20"/>
                <w:highlight w:val="black"/>
              </w:rPr>
              <w:t>''''''''''''''''''</w:t>
            </w:r>
          </w:p>
        </w:tc>
        <w:tc>
          <w:tcPr>
            <w:tcW w:w="1657" w:type="pct"/>
            <w:tcBorders>
              <w:top w:val="single" w:sz="4" w:space="0" w:color="auto"/>
              <w:left w:val="single" w:sz="4" w:space="0" w:color="auto"/>
              <w:bottom w:val="single" w:sz="4" w:space="0" w:color="auto"/>
              <w:right w:val="single" w:sz="4" w:space="0" w:color="auto"/>
            </w:tcBorders>
            <w:vAlign w:val="center"/>
          </w:tcPr>
          <w:p w:rsidR="008C4CE4" w:rsidRPr="00F12AD2" w:rsidRDefault="00F12AD2" w:rsidP="003E2DD3">
            <w:pPr>
              <w:jc w:val="center"/>
              <w:rPr>
                <w:rFonts w:ascii="Arial Narrow" w:hAnsi="Arial Narrow" w:cs="Arial"/>
                <w:bCs/>
                <w:sz w:val="20"/>
                <w:szCs w:val="20"/>
                <w:highlight w:val="black"/>
              </w:rPr>
            </w:pPr>
            <w:r>
              <w:rPr>
                <w:rFonts w:ascii="Arial Narrow" w:hAnsi="Arial Narrow" w:cs="Arial"/>
                <w:bCs/>
                <w:noProof/>
                <w:color w:val="000000"/>
                <w:sz w:val="20"/>
                <w:szCs w:val="20"/>
                <w:highlight w:val="black"/>
              </w:rPr>
              <w:t>''''''''''''''''''''''''''''''' '''''''''''''''''''''''''</w:t>
            </w:r>
          </w:p>
        </w:tc>
      </w:tr>
      <w:tr w:rsidR="008C4CE4" w:rsidRPr="009A745E" w:rsidTr="003E2DD3">
        <w:tc>
          <w:tcPr>
            <w:tcW w:w="396" w:type="pct"/>
            <w:vMerge/>
          </w:tcPr>
          <w:p w:rsidR="008C4CE4" w:rsidRPr="009A745E" w:rsidRDefault="008C4CE4" w:rsidP="003E2DD3">
            <w:pPr>
              <w:pStyle w:val="TableText0"/>
              <w:spacing w:before="0" w:after="0"/>
              <w:rPr>
                <w:b/>
                <w:szCs w:val="20"/>
              </w:rPr>
            </w:pPr>
          </w:p>
        </w:tc>
        <w:tc>
          <w:tcPr>
            <w:tcW w:w="878" w:type="pct"/>
            <w:tcBorders>
              <w:top w:val="single" w:sz="4" w:space="0" w:color="auto"/>
              <w:left w:val="single" w:sz="4" w:space="0" w:color="auto"/>
              <w:bottom w:val="single" w:sz="4" w:space="0" w:color="auto"/>
              <w:right w:val="single" w:sz="4" w:space="0" w:color="auto"/>
            </w:tcBorders>
            <w:vAlign w:val="center"/>
          </w:tcPr>
          <w:p w:rsidR="008C4CE4" w:rsidRPr="009A745E" w:rsidRDefault="008C4CE4" w:rsidP="003E2DD3">
            <w:pPr>
              <w:pStyle w:val="TableText0"/>
              <w:spacing w:before="0" w:after="0"/>
              <w:jc w:val="left"/>
              <w:rPr>
                <w:szCs w:val="20"/>
              </w:rPr>
            </w:pPr>
            <w:proofErr w:type="spellStart"/>
            <w:r w:rsidRPr="009A745E">
              <w:rPr>
                <w:szCs w:val="20"/>
              </w:rPr>
              <w:t>Nivolumab</w:t>
            </w:r>
            <w:proofErr w:type="spellEnd"/>
          </w:p>
        </w:tc>
        <w:tc>
          <w:tcPr>
            <w:tcW w:w="1144" w:type="pct"/>
            <w:tcBorders>
              <w:top w:val="single" w:sz="4" w:space="0" w:color="auto"/>
              <w:left w:val="single" w:sz="4" w:space="0" w:color="auto"/>
              <w:bottom w:val="single" w:sz="4" w:space="0" w:color="auto"/>
              <w:right w:val="single" w:sz="4" w:space="0" w:color="auto"/>
            </w:tcBorders>
            <w:vAlign w:val="center"/>
          </w:tcPr>
          <w:p w:rsidR="008C4CE4" w:rsidRPr="00F12AD2" w:rsidRDefault="00F12AD2" w:rsidP="003E2DD3">
            <w:pPr>
              <w:jc w:val="center"/>
              <w:rPr>
                <w:rFonts w:ascii="Arial Narrow" w:hAnsi="Arial Narrow" w:cs="Arial"/>
                <w:bCs/>
                <w:sz w:val="20"/>
                <w:szCs w:val="20"/>
                <w:highlight w:val="black"/>
              </w:rPr>
            </w:pPr>
            <w:r>
              <w:rPr>
                <w:rFonts w:ascii="Arial Narrow" w:hAnsi="Arial Narrow" w:cs="Arial"/>
                <w:bCs/>
                <w:noProof/>
                <w:color w:val="000000"/>
                <w:sz w:val="20"/>
                <w:szCs w:val="20"/>
                <w:highlight w:val="black"/>
              </w:rPr>
              <w:t>'''''''''''''''''''''''''''''''''''''</w:t>
            </w:r>
          </w:p>
        </w:tc>
        <w:tc>
          <w:tcPr>
            <w:tcW w:w="925" w:type="pct"/>
            <w:tcBorders>
              <w:top w:val="single" w:sz="4" w:space="0" w:color="auto"/>
              <w:left w:val="single" w:sz="4" w:space="0" w:color="auto"/>
              <w:bottom w:val="single" w:sz="4" w:space="0" w:color="auto"/>
              <w:right w:val="single" w:sz="4" w:space="0" w:color="auto"/>
            </w:tcBorders>
            <w:vAlign w:val="center"/>
          </w:tcPr>
          <w:p w:rsidR="008C4CE4" w:rsidRPr="00F12AD2" w:rsidRDefault="00F12AD2" w:rsidP="003E2DD3">
            <w:pPr>
              <w:jc w:val="center"/>
              <w:rPr>
                <w:rFonts w:ascii="Arial Narrow" w:hAnsi="Arial Narrow" w:cs="Arial"/>
                <w:bCs/>
                <w:sz w:val="20"/>
                <w:szCs w:val="20"/>
                <w:highlight w:val="black"/>
              </w:rPr>
            </w:pPr>
            <w:r>
              <w:rPr>
                <w:rFonts w:ascii="Arial Narrow" w:hAnsi="Arial Narrow" w:cs="Arial"/>
                <w:bCs/>
                <w:noProof/>
                <w:color w:val="000000"/>
                <w:sz w:val="20"/>
                <w:szCs w:val="20"/>
                <w:highlight w:val="black"/>
              </w:rPr>
              <w:t>''''''''''''''''</w:t>
            </w:r>
          </w:p>
        </w:tc>
        <w:tc>
          <w:tcPr>
            <w:tcW w:w="1657" w:type="pct"/>
            <w:tcBorders>
              <w:top w:val="single" w:sz="4" w:space="0" w:color="auto"/>
              <w:left w:val="single" w:sz="4" w:space="0" w:color="auto"/>
              <w:bottom w:val="single" w:sz="4" w:space="0" w:color="auto"/>
              <w:right w:val="single" w:sz="4" w:space="0" w:color="auto"/>
            </w:tcBorders>
            <w:vAlign w:val="center"/>
          </w:tcPr>
          <w:p w:rsidR="008C4CE4" w:rsidRPr="00F12AD2" w:rsidRDefault="00F12AD2" w:rsidP="003E2DD3">
            <w:pPr>
              <w:jc w:val="center"/>
              <w:rPr>
                <w:rFonts w:ascii="Arial Narrow" w:hAnsi="Arial Narrow" w:cs="Arial"/>
                <w:bCs/>
                <w:sz w:val="20"/>
                <w:szCs w:val="20"/>
                <w:highlight w:val="black"/>
              </w:rPr>
            </w:pPr>
            <w:r>
              <w:rPr>
                <w:rFonts w:ascii="Arial Narrow" w:hAnsi="Arial Narrow" w:cs="Arial"/>
                <w:bCs/>
                <w:noProof/>
                <w:color w:val="000000"/>
                <w:sz w:val="20"/>
                <w:szCs w:val="20"/>
                <w:highlight w:val="black"/>
              </w:rPr>
              <w:t>'''''''''''''''''''''''''''' '''''''''''''''''''</w:t>
            </w:r>
          </w:p>
        </w:tc>
      </w:tr>
      <w:tr w:rsidR="008C4CE4" w:rsidRPr="009A745E" w:rsidTr="003E2DD3">
        <w:tc>
          <w:tcPr>
            <w:tcW w:w="396" w:type="pct"/>
            <w:vMerge/>
            <w:tcBorders>
              <w:bottom w:val="single" w:sz="8" w:space="0" w:color="auto"/>
            </w:tcBorders>
          </w:tcPr>
          <w:p w:rsidR="008C4CE4" w:rsidRPr="009A745E" w:rsidRDefault="008C4CE4" w:rsidP="003E2DD3">
            <w:pPr>
              <w:pStyle w:val="TableText0"/>
              <w:spacing w:before="0" w:after="0"/>
              <w:rPr>
                <w:b/>
                <w:szCs w:val="20"/>
              </w:rPr>
            </w:pPr>
          </w:p>
        </w:tc>
        <w:tc>
          <w:tcPr>
            <w:tcW w:w="878" w:type="pct"/>
            <w:tcBorders>
              <w:top w:val="single" w:sz="4" w:space="0" w:color="auto"/>
              <w:left w:val="single" w:sz="4" w:space="0" w:color="auto"/>
              <w:bottom w:val="single" w:sz="8" w:space="0" w:color="auto"/>
              <w:right w:val="single" w:sz="4" w:space="0" w:color="auto"/>
            </w:tcBorders>
            <w:vAlign w:val="center"/>
          </w:tcPr>
          <w:p w:rsidR="008C4CE4" w:rsidRPr="009A745E" w:rsidRDefault="008C4CE4" w:rsidP="003E2DD3">
            <w:pPr>
              <w:pStyle w:val="TableText0"/>
              <w:spacing w:before="0" w:after="0"/>
              <w:jc w:val="left"/>
              <w:rPr>
                <w:szCs w:val="20"/>
              </w:rPr>
            </w:pPr>
            <w:r w:rsidRPr="009A745E">
              <w:rPr>
                <w:szCs w:val="20"/>
              </w:rPr>
              <w:t>Total</w:t>
            </w:r>
          </w:p>
        </w:tc>
        <w:tc>
          <w:tcPr>
            <w:tcW w:w="1144" w:type="pct"/>
            <w:tcBorders>
              <w:top w:val="single" w:sz="4" w:space="0" w:color="auto"/>
              <w:left w:val="single" w:sz="4" w:space="0" w:color="auto"/>
              <w:bottom w:val="single" w:sz="8" w:space="0" w:color="auto"/>
              <w:right w:val="single" w:sz="4" w:space="0" w:color="auto"/>
            </w:tcBorders>
            <w:vAlign w:val="center"/>
          </w:tcPr>
          <w:p w:rsidR="008C4CE4" w:rsidRPr="00F12AD2" w:rsidRDefault="00F12AD2" w:rsidP="003E2DD3">
            <w:pPr>
              <w:jc w:val="center"/>
              <w:rPr>
                <w:rFonts w:ascii="Arial Narrow" w:hAnsi="Arial Narrow" w:cs="Arial"/>
                <w:bCs/>
                <w:sz w:val="20"/>
                <w:szCs w:val="20"/>
                <w:highlight w:val="black"/>
              </w:rPr>
            </w:pPr>
            <w:r>
              <w:rPr>
                <w:rFonts w:ascii="Arial Narrow" w:hAnsi="Arial Narrow" w:cs="Arial"/>
                <w:bCs/>
                <w:noProof/>
                <w:color w:val="000000"/>
                <w:sz w:val="20"/>
                <w:szCs w:val="20"/>
                <w:highlight w:val="black"/>
              </w:rPr>
              <w:t>'''''''''''''''''''''''''''''''''''</w:t>
            </w:r>
          </w:p>
        </w:tc>
        <w:tc>
          <w:tcPr>
            <w:tcW w:w="925" w:type="pct"/>
            <w:tcBorders>
              <w:top w:val="single" w:sz="4" w:space="0" w:color="auto"/>
              <w:left w:val="single" w:sz="4" w:space="0" w:color="auto"/>
              <w:bottom w:val="single" w:sz="8" w:space="0" w:color="auto"/>
              <w:right w:val="single" w:sz="4" w:space="0" w:color="auto"/>
            </w:tcBorders>
            <w:vAlign w:val="center"/>
          </w:tcPr>
          <w:p w:rsidR="008C4CE4" w:rsidRPr="00F12AD2" w:rsidRDefault="00F12AD2" w:rsidP="003E2DD3">
            <w:pPr>
              <w:jc w:val="center"/>
              <w:rPr>
                <w:rFonts w:ascii="Arial Narrow" w:hAnsi="Arial Narrow" w:cs="Arial"/>
                <w:bCs/>
                <w:sz w:val="20"/>
                <w:szCs w:val="20"/>
                <w:highlight w:val="black"/>
              </w:rPr>
            </w:pPr>
            <w:r>
              <w:rPr>
                <w:rFonts w:ascii="Arial Narrow" w:hAnsi="Arial Narrow" w:cs="Arial"/>
                <w:bCs/>
                <w:noProof/>
                <w:color w:val="000000"/>
                <w:sz w:val="20"/>
                <w:szCs w:val="20"/>
                <w:highlight w:val="black"/>
              </w:rPr>
              <w:t>'''''''''''''''''''''''</w:t>
            </w:r>
          </w:p>
        </w:tc>
        <w:tc>
          <w:tcPr>
            <w:tcW w:w="1657" w:type="pct"/>
            <w:tcBorders>
              <w:top w:val="single" w:sz="4" w:space="0" w:color="auto"/>
              <w:left w:val="single" w:sz="4" w:space="0" w:color="auto"/>
              <w:bottom w:val="single" w:sz="8" w:space="0" w:color="auto"/>
              <w:right w:val="single" w:sz="4" w:space="0" w:color="auto"/>
            </w:tcBorders>
            <w:vAlign w:val="center"/>
          </w:tcPr>
          <w:p w:rsidR="008C4CE4" w:rsidRPr="00F12AD2" w:rsidRDefault="00F12AD2" w:rsidP="003E2DD3">
            <w:pPr>
              <w:jc w:val="center"/>
              <w:rPr>
                <w:rFonts w:ascii="Arial Narrow" w:hAnsi="Arial Narrow" w:cs="Arial"/>
                <w:bCs/>
                <w:sz w:val="20"/>
                <w:szCs w:val="20"/>
                <w:highlight w:val="black"/>
              </w:rPr>
            </w:pPr>
            <w:r>
              <w:rPr>
                <w:rFonts w:ascii="Arial Narrow" w:hAnsi="Arial Narrow" w:cs="Arial"/>
                <w:bCs/>
                <w:noProof/>
                <w:color w:val="000000"/>
                <w:sz w:val="20"/>
                <w:szCs w:val="20"/>
                <w:highlight w:val="black"/>
              </w:rPr>
              <w:t>''''''''''''''''''''''''''''</w:t>
            </w:r>
          </w:p>
        </w:tc>
      </w:tr>
      <w:tr w:rsidR="008C4CE4" w:rsidRPr="009A745E" w:rsidTr="003E2DD3">
        <w:tc>
          <w:tcPr>
            <w:tcW w:w="396" w:type="pct"/>
            <w:vMerge w:val="restart"/>
            <w:tcBorders>
              <w:top w:val="single" w:sz="8" w:space="0" w:color="auto"/>
            </w:tcBorders>
            <w:shd w:val="clear" w:color="auto" w:fill="FFFFFF" w:themeFill="background1"/>
          </w:tcPr>
          <w:p w:rsidR="008C4CE4" w:rsidRPr="009A745E" w:rsidRDefault="008C4CE4" w:rsidP="003E2DD3">
            <w:pPr>
              <w:pStyle w:val="TableText0"/>
              <w:spacing w:before="0" w:after="0"/>
              <w:rPr>
                <w:b/>
                <w:szCs w:val="20"/>
              </w:rPr>
            </w:pPr>
            <w:r w:rsidRPr="009A745E">
              <w:rPr>
                <w:b/>
                <w:szCs w:val="20"/>
              </w:rPr>
              <w:t>115%</w:t>
            </w:r>
          </w:p>
        </w:tc>
        <w:tc>
          <w:tcPr>
            <w:tcW w:w="878" w:type="pct"/>
            <w:tcBorders>
              <w:top w:val="single" w:sz="8" w:space="0" w:color="auto"/>
              <w:left w:val="single" w:sz="4" w:space="0" w:color="auto"/>
              <w:bottom w:val="single" w:sz="4" w:space="0" w:color="auto"/>
              <w:right w:val="single" w:sz="4" w:space="0" w:color="auto"/>
            </w:tcBorders>
            <w:shd w:val="clear" w:color="auto" w:fill="FFFFFF" w:themeFill="background1"/>
            <w:vAlign w:val="center"/>
          </w:tcPr>
          <w:p w:rsidR="008C4CE4" w:rsidRPr="009A745E" w:rsidRDefault="008C4CE4" w:rsidP="003E2DD3">
            <w:pPr>
              <w:pStyle w:val="TableText0"/>
              <w:spacing w:before="0" w:after="0"/>
              <w:jc w:val="left"/>
              <w:rPr>
                <w:szCs w:val="20"/>
              </w:rPr>
            </w:pPr>
            <w:proofErr w:type="spellStart"/>
            <w:r w:rsidRPr="009A745E">
              <w:rPr>
                <w:szCs w:val="20"/>
              </w:rPr>
              <w:t>Pembrolizumab</w:t>
            </w:r>
            <w:proofErr w:type="spellEnd"/>
          </w:p>
        </w:tc>
        <w:tc>
          <w:tcPr>
            <w:tcW w:w="1144" w:type="pct"/>
            <w:tcBorders>
              <w:top w:val="single" w:sz="8" w:space="0" w:color="auto"/>
              <w:left w:val="single" w:sz="4" w:space="0" w:color="auto"/>
              <w:bottom w:val="single" w:sz="4" w:space="0" w:color="auto"/>
              <w:right w:val="single" w:sz="4" w:space="0" w:color="auto"/>
            </w:tcBorders>
            <w:shd w:val="clear" w:color="auto" w:fill="FFFFFF" w:themeFill="background1"/>
            <w:vAlign w:val="center"/>
          </w:tcPr>
          <w:p w:rsidR="008C4CE4" w:rsidRPr="00F12AD2" w:rsidRDefault="00F12AD2" w:rsidP="003E2DD3">
            <w:pPr>
              <w:jc w:val="center"/>
              <w:rPr>
                <w:rFonts w:ascii="Arial Narrow" w:hAnsi="Arial Narrow" w:cs="Arial"/>
                <w:bCs/>
                <w:sz w:val="20"/>
                <w:szCs w:val="20"/>
                <w:highlight w:val="black"/>
              </w:rPr>
            </w:pPr>
            <w:r>
              <w:rPr>
                <w:rFonts w:ascii="Arial Narrow" w:hAnsi="Arial Narrow" w:cs="Arial"/>
                <w:bCs/>
                <w:noProof/>
                <w:color w:val="000000"/>
                <w:sz w:val="20"/>
                <w:szCs w:val="20"/>
                <w:highlight w:val="black"/>
              </w:rPr>
              <w:t>'''''''''''''''''''''''''''''''''''</w:t>
            </w:r>
          </w:p>
        </w:tc>
        <w:tc>
          <w:tcPr>
            <w:tcW w:w="925" w:type="pct"/>
            <w:tcBorders>
              <w:top w:val="single" w:sz="8" w:space="0" w:color="auto"/>
              <w:left w:val="single" w:sz="4" w:space="0" w:color="auto"/>
              <w:bottom w:val="single" w:sz="4" w:space="0" w:color="auto"/>
              <w:right w:val="single" w:sz="4" w:space="0" w:color="auto"/>
            </w:tcBorders>
            <w:shd w:val="clear" w:color="auto" w:fill="FFFFFF" w:themeFill="background1"/>
            <w:vAlign w:val="center"/>
          </w:tcPr>
          <w:p w:rsidR="008C4CE4" w:rsidRPr="00F12AD2" w:rsidRDefault="00F12AD2" w:rsidP="003E2DD3">
            <w:pPr>
              <w:jc w:val="center"/>
              <w:rPr>
                <w:rFonts w:ascii="Arial Narrow" w:hAnsi="Arial Narrow" w:cs="Arial"/>
                <w:bCs/>
                <w:sz w:val="20"/>
                <w:szCs w:val="20"/>
                <w:highlight w:val="black"/>
              </w:rPr>
            </w:pPr>
            <w:r>
              <w:rPr>
                <w:rFonts w:ascii="Arial Narrow" w:hAnsi="Arial Narrow" w:cs="Arial"/>
                <w:bCs/>
                <w:noProof/>
                <w:color w:val="000000"/>
                <w:sz w:val="20"/>
                <w:szCs w:val="20"/>
                <w:highlight w:val="black"/>
              </w:rPr>
              <w:t>'''''''''''''''''</w:t>
            </w:r>
          </w:p>
        </w:tc>
        <w:tc>
          <w:tcPr>
            <w:tcW w:w="1657" w:type="pct"/>
            <w:tcBorders>
              <w:top w:val="single" w:sz="8" w:space="0" w:color="auto"/>
              <w:left w:val="single" w:sz="4" w:space="0" w:color="auto"/>
              <w:bottom w:val="single" w:sz="4" w:space="0" w:color="auto"/>
              <w:right w:val="single" w:sz="4" w:space="0" w:color="auto"/>
            </w:tcBorders>
            <w:shd w:val="clear" w:color="auto" w:fill="FFFFFF" w:themeFill="background1"/>
            <w:vAlign w:val="center"/>
          </w:tcPr>
          <w:p w:rsidR="008C4CE4" w:rsidRPr="00F12AD2" w:rsidRDefault="00F12AD2" w:rsidP="003E2DD3">
            <w:pPr>
              <w:jc w:val="center"/>
              <w:rPr>
                <w:rFonts w:ascii="Arial Narrow" w:hAnsi="Arial Narrow" w:cs="Arial"/>
                <w:bCs/>
                <w:sz w:val="20"/>
                <w:szCs w:val="20"/>
                <w:highlight w:val="black"/>
              </w:rPr>
            </w:pPr>
            <w:r>
              <w:rPr>
                <w:rFonts w:ascii="Arial Narrow" w:hAnsi="Arial Narrow" w:cs="Arial"/>
                <w:bCs/>
                <w:noProof/>
                <w:color w:val="000000"/>
                <w:sz w:val="20"/>
                <w:szCs w:val="20"/>
                <w:highlight w:val="black"/>
              </w:rPr>
              <w:t>''''''''''''''''''''''''''''' ''''''''''''''''''''''''''</w:t>
            </w:r>
          </w:p>
        </w:tc>
      </w:tr>
      <w:tr w:rsidR="008C4CE4" w:rsidRPr="009A745E" w:rsidTr="003E2DD3">
        <w:tc>
          <w:tcPr>
            <w:tcW w:w="396" w:type="pct"/>
            <w:vMerge/>
            <w:shd w:val="clear" w:color="auto" w:fill="FFFFFF" w:themeFill="background1"/>
          </w:tcPr>
          <w:p w:rsidR="008C4CE4" w:rsidRPr="009A745E" w:rsidRDefault="008C4CE4" w:rsidP="003E2DD3">
            <w:pPr>
              <w:pStyle w:val="TableText0"/>
              <w:spacing w:before="0" w:after="0"/>
              <w:rPr>
                <w:b/>
                <w:szCs w:val="20"/>
              </w:rPr>
            </w:pPr>
          </w:p>
        </w:tc>
        <w:tc>
          <w:tcPr>
            <w:tcW w:w="87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8C4CE4" w:rsidRPr="009A745E" w:rsidRDefault="008C4CE4" w:rsidP="003E2DD3">
            <w:pPr>
              <w:pStyle w:val="TableText0"/>
              <w:spacing w:before="0" w:after="0"/>
              <w:jc w:val="left"/>
              <w:rPr>
                <w:szCs w:val="20"/>
              </w:rPr>
            </w:pPr>
            <w:proofErr w:type="spellStart"/>
            <w:r w:rsidRPr="009A745E">
              <w:rPr>
                <w:szCs w:val="20"/>
              </w:rPr>
              <w:t>Nivolumab</w:t>
            </w:r>
            <w:proofErr w:type="spellEnd"/>
          </w:p>
        </w:tc>
        <w:tc>
          <w:tcPr>
            <w:tcW w:w="1144"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8C4CE4" w:rsidRPr="00F12AD2" w:rsidRDefault="00F12AD2" w:rsidP="003E2DD3">
            <w:pPr>
              <w:jc w:val="center"/>
              <w:rPr>
                <w:rFonts w:ascii="Arial Narrow" w:hAnsi="Arial Narrow" w:cs="Arial"/>
                <w:bCs/>
                <w:sz w:val="20"/>
                <w:szCs w:val="20"/>
                <w:highlight w:val="black"/>
              </w:rPr>
            </w:pPr>
            <w:r>
              <w:rPr>
                <w:rFonts w:ascii="Arial Narrow" w:hAnsi="Arial Narrow" w:cs="Arial"/>
                <w:bCs/>
                <w:noProof/>
                <w:color w:val="000000"/>
                <w:sz w:val="20"/>
                <w:szCs w:val="20"/>
                <w:highlight w:val="black"/>
              </w:rPr>
              <w:t>''''''''''''''''''''''''''''''''''''</w:t>
            </w:r>
          </w:p>
        </w:tc>
        <w:tc>
          <w:tcPr>
            <w:tcW w:w="92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8C4CE4" w:rsidRPr="00F12AD2" w:rsidRDefault="00F12AD2" w:rsidP="003E2DD3">
            <w:pPr>
              <w:jc w:val="center"/>
              <w:rPr>
                <w:rFonts w:ascii="Arial Narrow" w:hAnsi="Arial Narrow" w:cs="Arial"/>
                <w:bCs/>
                <w:sz w:val="20"/>
                <w:szCs w:val="20"/>
                <w:highlight w:val="black"/>
              </w:rPr>
            </w:pPr>
            <w:r>
              <w:rPr>
                <w:rFonts w:ascii="Arial Narrow" w:hAnsi="Arial Narrow" w:cs="Arial"/>
                <w:bCs/>
                <w:noProof/>
                <w:color w:val="000000"/>
                <w:sz w:val="20"/>
                <w:szCs w:val="20"/>
                <w:highlight w:val="black"/>
              </w:rPr>
              <w:t>''''''''''''''''</w:t>
            </w:r>
          </w:p>
        </w:tc>
        <w:tc>
          <w:tcPr>
            <w:tcW w:w="165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8C4CE4" w:rsidRPr="00F12AD2" w:rsidRDefault="00F12AD2" w:rsidP="003E2DD3">
            <w:pPr>
              <w:jc w:val="center"/>
              <w:rPr>
                <w:rFonts w:ascii="Arial Narrow" w:hAnsi="Arial Narrow" w:cs="Arial"/>
                <w:bCs/>
                <w:sz w:val="20"/>
                <w:szCs w:val="20"/>
                <w:highlight w:val="black"/>
              </w:rPr>
            </w:pPr>
            <w:r>
              <w:rPr>
                <w:rFonts w:ascii="Arial Narrow" w:hAnsi="Arial Narrow" w:cs="Arial"/>
                <w:bCs/>
                <w:noProof/>
                <w:color w:val="000000"/>
                <w:sz w:val="20"/>
                <w:szCs w:val="20"/>
                <w:highlight w:val="black"/>
              </w:rPr>
              <w:t>''''''''''''''''''''''''''' ''''''''''''''''''''</w:t>
            </w:r>
          </w:p>
        </w:tc>
      </w:tr>
      <w:tr w:rsidR="008C4CE4" w:rsidRPr="009A745E" w:rsidTr="003E2DD3">
        <w:tc>
          <w:tcPr>
            <w:tcW w:w="396" w:type="pct"/>
            <w:vMerge/>
            <w:tcBorders>
              <w:bottom w:val="single" w:sz="8" w:space="0" w:color="auto"/>
            </w:tcBorders>
            <w:shd w:val="clear" w:color="auto" w:fill="FFFFFF" w:themeFill="background1"/>
          </w:tcPr>
          <w:p w:rsidR="008C4CE4" w:rsidRPr="009A745E" w:rsidRDefault="008C4CE4" w:rsidP="003E2DD3">
            <w:pPr>
              <w:pStyle w:val="TableText0"/>
              <w:spacing w:before="0" w:after="0"/>
              <w:rPr>
                <w:b/>
                <w:szCs w:val="20"/>
              </w:rPr>
            </w:pPr>
          </w:p>
        </w:tc>
        <w:tc>
          <w:tcPr>
            <w:tcW w:w="878" w:type="pct"/>
            <w:tcBorders>
              <w:top w:val="single" w:sz="4" w:space="0" w:color="auto"/>
              <w:left w:val="single" w:sz="4" w:space="0" w:color="auto"/>
              <w:bottom w:val="single" w:sz="8" w:space="0" w:color="auto"/>
              <w:right w:val="single" w:sz="4" w:space="0" w:color="auto"/>
            </w:tcBorders>
            <w:shd w:val="clear" w:color="auto" w:fill="FFFFFF" w:themeFill="background1"/>
            <w:vAlign w:val="center"/>
          </w:tcPr>
          <w:p w:rsidR="008C4CE4" w:rsidRPr="009A745E" w:rsidRDefault="008C4CE4" w:rsidP="003E2DD3">
            <w:pPr>
              <w:pStyle w:val="TableText0"/>
              <w:spacing w:before="0" w:after="0"/>
              <w:jc w:val="left"/>
              <w:rPr>
                <w:szCs w:val="20"/>
              </w:rPr>
            </w:pPr>
            <w:r w:rsidRPr="009A745E">
              <w:rPr>
                <w:szCs w:val="20"/>
              </w:rPr>
              <w:t>Total</w:t>
            </w:r>
          </w:p>
        </w:tc>
        <w:tc>
          <w:tcPr>
            <w:tcW w:w="1144" w:type="pct"/>
            <w:tcBorders>
              <w:top w:val="single" w:sz="4" w:space="0" w:color="auto"/>
              <w:left w:val="single" w:sz="4" w:space="0" w:color="auto"/>
              <w:bottom w:val="single" w:sz="8" w:space="0" w:color="auto"/>
              <w:right w:val="single" w:sz="4" w:space="0" w:color="auto"/>
            </w:tcBorders>
            <w:shd w:val="clear" w:color="auto" w:fill="FFFFFF" w:themeFill="background1"/>
            <w:vAlign w:val="center"/>
          </w:tcPr>
          <w:p w:rsidR="008C4CE4" w:rsidRPr="00F12AD2" w:rsidRDefault="00F12AD2" w:rsidP="003E2DD3">
            <w:pPr>
              <w:jc w:val="center"/>
              <w:rPr>
                <w:rFonts w:ascii="Arial Narrow" w:hAnsi="Arial Narrow" w:cs="Arial"/>
                <w:bCs/>
                <w:sz w:val="20"/>
                <w:szCs w:val="20"/>
                <w:highlight w:val="black"/>
              </w:rPr>
            </w:pPr>
            <w:r>
              <w:rPr>
                <w:rFonts w:ascii="Arial Narrow" w:hAnsi="Arial Narrow" w:cs="Arial"/>
                <w:bCs/>
                <w:noProof/>
                <w:color w:val="000000"/>
                <w:sz w:val="20"/>
                <w:szCs w:val="20"/>
                <w:highlight w:val="black"/>
              </w:rPr>
              <w:t>'''''''''''''''''''''''''''''''''''''''''''</w:t>
            </w:r>
          </w:p>
        </w:tc>
        <w:tc>
          <w:tcPr>
            <w:tcW w:w="925" w:type="pct"/>
            <w:tcBorders>
              <w:top w:val="single" w:sz="4" w:space="0" w:color="auto"/>
              <w:left w:val="single" w:sz="4" w:space="0" w:color="auto"/>
              <w:bottom w:val="single" w:sz="8" w:space="0" w:color="auto"/>
              <w:right w:val="single" w:sz="4" w:space="0" w:color="auto"/>
            </w:tcBorders>
            <w:shd w:val="clear" w:color="auto" w:fill="FFFFFF" w:themeFill="background1"/>
            <w:vAlign w:val="center"/>
          </w:tcPr>
          <w:p w:rsidR="008C4CE4" w:rsidRPr="00F12AD2" w:rsidRDefault="00F12AD2" w:rsidP="003E2DD3">
            <w:pPr>
              <w:jc w:val="center"/>
              <w:rPr>
                <w:rFonts w:ascii="Arial Narrow" w:hAnsi="Arial Narrow" w:cs="Arial"/>
                <w:bCs/>
                <w:sz w:val="20"/>
                <w:szCs w:val="20"/>
                <w:highlight w:val="black"/>
              </w:rPr>
            </w:pPr>
            <w:r>
              <w:rPr>
                <w:rFonts w:ascii="Arial Narrow" w:hAnsi="Arial Narrow" w:cs="Arial"/>
                <w:bCs/>
                <w:noProof/>
                <w:color w:val="000000"/>
                <w:sz w:val="20"/>
                <w:szCs w:val="20"/>
                <w:highlight w:val="black"/>
              </w:rPr>
              <w:t>'''''''''''''''''''''''</w:t>
            </w:r>
          </w:p>
        </w:tc>
        <w:tc>
          <w:tcPr>
            <w:tcW w:w="1657" w:type="pct"/>
            <w:tcBorders>
              <w:top w:val="single" w:sz="4" w:space="0" w:color="auto"/>
              <w:left w:val="single" w:sz="4" w:space="0" w:color="auto"/>
              <w:bottom w:val="single" w:sz="8" w:space="0" w:color="auto"/>
              <w:right w:val="single" w:sz="4" w:space="0" w:color="auto"/>
            </w:tcBorders>
            <w:shd w:val="clear" w:color="auto" w:fill="FFFFFF" w:themeFill="background1"/>
            <w:vAlign w:val="center"/>
          </w:tcPr>
          <w:p w:rsidR="008C4CE4" w:rsidRPr="00F12AD2" w:rsidRDefault="00F12AD2" w:rsidP="003E2DD3">
            <w:pPr>
              <w:jc w:val="center"/>
              <w:rPr>
                <w:rFonts w:ascii="Arial Narrow" w:hAnsi="Arial Narrow" w:cs="Arial"/>
                <w:bCs/>
                <w:sz w:val="20"/>
                <w:szCs w:val="20"/>
                <w:highlight w:val="black"/>
              </w:rPr>
            </w:pPr>
            <w:r>
              <w:rPr>
                <w:rFonts w:ascii="Arial Narrow" w:hAnsi="Arial Narrow" w:cs="Arial"/>
                <w:bCs/>
                <w:noProof/>
                <w:color w:val="000000"/>
                <w:sz w:val="20"/>
                <w:szCs w:val="20"/>
                <w:highlight w:val="black"/>
              </w:rPr>
              <w:t>'''''''''''''''''''''''''''</w:t>
            </w:r>
          </w:p>
        </w:tc>
      </w:tr>
      <w:tr w:rsidR="008C4CE4" w:rsidRPr="009A745E" w:rsidTr="003E2DD3">
        <w:tc>
          <w:tcPr>
            <w:tcW w:w="396" w:type="pct"/>
            <w:vMerge w:val="restart"/>
            <w:tcBorders>
              <w:top w:val="single" w:sz="8" w:space="0" w:color="auto"/>
            </w:tcBorders>
            <w:shd w:val="clear" w:color="auto" w:fill="FFFFFF" w:themeFill="background1"/>
          </w:tcPr>
          <w:p w:rsidR="008C4CE4" w:rsidRPr="009A745E" w:rsidRDefault="008C4CE4" w:rsidP="003E2DD3">
            <w:pPr>
              <w:pStyle w:val="TableText0"/>
              <w:spacing w:before="0" w:after="0"/>
              <w:rPr>
                <w:b/>
                <w:szCs w:val="20"/>
              </w:rPr>
            </w:pPr>
            <w:r w:rsidRPr="009A745E">
              <w:rPr>
                <w:b/>
                <w:szCs w:val="20"/>
              </w:rPr>
              <w:t>120%</w:t>
            </w:r>
          </w:p>
        </w:tc>
        <w:tc>
          <w:tcPr>
            <w:tcW w:w="878" w:type="pct"/>
            <w:tcBorders>
              <w:top w:val="single" w:sz="8" w:space="0" w:color="auto"/>
              <w:left w:val="single" w:sz="4" w:space="0" w:color="auto"/>
              <w:bottom w:val="single" w:sz="4" w:space="0" w:color="auto"/>
              <w:right w:val="single" w:sz="4" w:space="0" w:color="auto"/>
            </w:tcBorders>
            <w:shd w:val="clear" w:color="auto" w:fill="FFFFFF" w:themeFill="background1"/>
            <w:vAlign w:val="center"/>
          </w:tcPr>
          <w:p w:rsidR="008C4CE4" w:rsidRPr="009A745E" w:rsidRDefault="008C4CE4" w:rsidP="003E2DD3">
            <w:pPr>
              <w:pStyle w:val="TableText0"/>
              <w:spacing w:before="0" w:after="0"/>
              <w:jc w:val="left"/>
              <w:rPr>
                <w:szCs w:val="20"/>
              </w:rPr>
            </w:pPr>
            <w:proofErr w:type="spellStart"/>
            <w:r w:rsidRPr="009A745E">
              <w:rPr>
                <w:szCs w:val="20"/>
              </w:rPr>
              <w:t>Pembrolizumab</w:t>
            </w:r>
            <w:proofErr w:type="spellEnd"/>
          </w:p>
        </w:tc>
        <w:tc>
          <w:tcPr>
            <w:tcW w:w="1144" w:type="pct"/>
            <w:tcBorders>
              <w:top w:val="single" w:sz="8" w:space="0" w:color="auto"/>
              <w:left w:val="single" w:sz="4" w:space="0" w:color="auto"/>
              <w:bottom w:val="single" w:sz="4" w:space="0" w:color="auto"/>
              <w:right w:val="single" w:sz="4" w:space="0" w:color="auto"/>
            </w:tcBorders>
            <w:shd w:val="clear" w:color="auto" w:fill="FFFFFF" w:themeFill="background1"/>
            <w:vAlign w:val="center"/>
          </w:tcPr>
          <w:p w:rsidR="008C4CE4" w:rsidRPr="00F12AD2" w:rsidRDefault="00F12AD2" w:rsidP="003E2DD3">
            <w:pPr>
              <w:jc w:val="center"/>
              <w:rPr>
                <w:rFonts w:ascii="Arial Narrow" w:hAnsi="Arial Narrow" w:cs="Arial"/>
                <w:bCs/>
                <w:sz w:val="20"/>
                <w:szCs w:val="20"/>
                <w:highlight w:val="black"/>
              </w:rPr>
            </w:pPr>
            <w:r>
              <w:rPr>
                <w:rFonts w:ascii="Arial Narrow" w:hAnsi="Arial Narrow" w:cs="Arial"/>
                <w:bCs/>
                <w:noProof/>
                <w:color w:val="000000"/>
                <w:sz w:val="20"/>
                <w:szCs w:val="20"/>
                <w:highlight w:val="black"/>
              </w:rPr>
              <w:t>'''''''''''''''''''''''''''''''''''</w:t>
            </w:r>
          </w:p>
        </w:tc>
        <w:tc>
          <w:tcPr>
            <w:tcW w:w="925" w:type="pct"/>
            <w:tcBorders>
              <w:top w:val="single" w:sz="8" w:space="0" w:color="auto"/>
              <w:left w:val="single" w:sz="4" w:space="0" w:color="auto"/>
              <w:bottom w:val="single" w:sz="4" w:space="0" w:color="auto"/>
              <w:right w:val="single" w:sz="4" w:space="0" w:color="auto"/>
            </w:tcBorders>
            <w:shd w:val="clear" w:color="auto" w:fill="FFFFFF" w:themeFill="background1"/>
            <w:vAlign w:val="center"/>
          </w:tcPr>
          <w:p w:rsidR="008C4CE4" w:rsidRPr="00F12AD2" w:rsidRDefault="00F12AD2" w:rsidP="003E2DD3">
            <w:pPr>
              <w:jc w:val="center"/>
              <w:rPr>
                <w:rFonts w:ascii="Arial Narrow" w:hAnsi="Arial Narrow" w:cs="Arial"/>
                <w:bCs/>
                <w:sz w:val="20"/>
                <w:szCs w:val="20"/>
                <w:highlight w:val="black"/>
              </w:rPr>
            </w:pPr>
            <w:r>
              <w:rPr>
                <w:rFonts w:ascii="Arial Narrow" w:hAnsi="Arial Narrow" w:cs="Arial"/>
                <w:bCs/>
                <w:noProof/>
                <w:color w:val="000000"/>
                <w:sz w:val="20"/>
                <w:szCs w:val="20"/>
                <w:highlight w:val="black"/>
              </w:rPr>
              <w:t>''''''''''''''''''''</w:t>
            </w:r>
          </w:p>
        </w:tc>
        <w:tc>
          <w:tcPr>
            <w:tcW w:w="1657" w:type="pct"/>
            <w:tcBorders>
              <w:top w:val="single" w:sz="8" w:space="0" w:color="auto"/>
              <w:left w:val="single" w:sz="4" w:space="0" w:color="auto"/>
              <w:bottom w:val="single" w:sz="4" w:space="0" w:color="auto"/>
              <w:right w:val="single" w:sz="4" w:space="0" w:color="auto"/>
            </w:tcBorders>
            <w:shd w:val="clear" w:color="auto" w:fill="FFFFFF" w:themeFill="background1"/>
            <w:vAlign w:val="center"/>
          </w:tcPr>
          <w:p w:rsidR="008C4CE4" w:rsidRPr="00F12AD2" w:rsidRDefault="00F12AD2" w:rsidP="003E2DD3">
            <w:pPr>
              <w:jc w:val="center"/>
              <w:rPr>
                <w:rFonts w:ascii="Arial Narrow" w:hAnsi="Arial Narrow" w:cs="Arial"/>
                <w:bCs/>
                <w:sz w:val="20"/>
                <w:szCs w:val="20"/>
                <w:highlight w:val="black"/>
              </w:rPr>
            </w:pPr>
            <w:r>
              <w:rPr>
                <w:rFonts w:ascii="Arial Narrow" w:hAnsi="Arial Narrow" w:cs="Arial"/>
                <w:bCs/>
                <w:noProof/>
                <w:color w:val="000000"/>
                <w:sz w:val="20"/>
                <w:szCs w:val="20"/>
                <w:highlight w:val="black"/>
              </w:rPr>
              <w:t>''''''''''''''''''''''''''''' '''''''''''''''''''''''''</w:t>
            </w:r>
          </w:p>
        </w:tc>
      </w:tr>
      <w:tr w:rsidR="008C4CE4" w:rsidRPr="009A745E" w:rsidTr="003E2DD3">
        <w:tc>
          <w:tcPr>
            <w:tcW w:w="396" w:type="pct"/>
            <w:vMerge/>
            <w:shd w:val="clear" w:color="auto" w:fill="FFFFFF" w:themeFill="background1"/>
          </w:tcPr>
          <w:p w:rsidR="008C4CE4" w:rsidRPr="009A745E" w:rsidRDefault="008C4CE4" w:rsidP="003E2DD3">
            <w:pPr>
              <w:pStyle w:val="TableText0"/>
              <w:spacing w:before="0" w:after="0"/>
              <w:rPr>
                <w:b/>
                <w:szCs w:val="20"/>
              </w:rPr>
            </w:pPr>
          </w:p>
        </w:tc>
        <w:tc>
          <w:tcPr>
            <w:tcW w:w="87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8C4CE4" w:rsidRPr="009A745E" w:rsidRDefault="008C4CE4" w:rsidP="003E2DD3">
            <w:pPr>
              <w:pStyle w:val="TableText0"/>
              <w:spacing w:before="0" w:after="0"/>
              <w:jc w:val="left"/>
              <w:rPr>
                <w:szCs w:val="20"/>
              </w:rPr>
            </w:pPr>
            <w:proofErr w:type="spellStart"/>
            <w:r w:rsidRPr="009A745E">
              <w:rPr>
                <w:szCs w:val="20"/>
              </w:rPr>
              <w:t>Nivolumab</w:t>
            </w:r>
            <w:proofErr w:type="spellEnd"/>
          </w:p>
        </w:tc>
        <w:tc>
          <w:tcPr>
            <w:tcW w:w="1144"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8C4CE4" w:rsidRPr="00F12AD2" w:rsidRDefault="00F12AD2" w:rsidP="003E2DD3">
            <w:pPr>
              <w:jc w:val="center"/>
              <w:rPr>
                <w:rFonts w:ascii="Arial Narrow" w:hAnsi="Arial Narrow" w:cs="Arial"/>
                <w:bCs/>
                <w:sz w:val="20"/>
                <w:szCs w:val="20"/>
                <w:highlight w:val="black"/>
              </w:rPr>
            </w:pPr>
            <w:r>
              <w:rPr>
                <w:rFonts w:ascii="Arial Narrow" w:hAnsi="Arial Narrow" w:cs="Arial"/>
                <w:bCs/>
                <w:noProof/>
                <w:color w:val="000000"/>
                <w:sz w:val="20"/>
                <w:szCs w:val="20"/>
                <w:highlight w:val="black"/>
              </w:rPr>
              <w:t>'''''''''''''''''''''''''''''''''''</w:t>
            </w:r>
          </w:p>
        </w:tc>
        <w:tc>
          <w:tcPr>
            <w:tcW w:w="92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8C4CE4" w:rsidRPr="00F12AD2" w:rsidRDefault="00F12AD2" w:rsidP="003E2DD3">
            <w:pPr>
              <w:jc w:val="center"/>
              <w:rPr>
                <w:rFonts w:ascii="Arial Narrow" w:hAnsi="Arial Narrow" w:cs="Arial"/>
                <w:bCs/>
                <w:sz w:val="20"/>
                <w:szCs w:val="20"/>
                <w:highlight w:val="black"/>
              </w:rPr>
            </w:pPr>
            <w:r>
              <w:rPr>
                <w:rFonts w:ascii="Arial Narrow" w:hAnsi="Arial Narrow" w:cs="Arial"/>
                <w:bCs/>
                <w:noProof/>
                <w:color w:val="000000"/>
                <w:sz w:val="20"/>
                <w:szCs w:val="20"/>
                <w:highlight w:val="black"/>
              </w:rPr>
              <w:t>''''''''''''''</w:t>
            </w:r>
          </w:p>
        </w:tc>
        <w:tc>
          <w:tcPr>
            <w:tcW w:w="165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8C4CE4" w:rsidRPr="00F12AD2" w:rsidRDefault="00F12AD2" w:rsidP="003E2DD3">
            <w:pPr>
              <w:jc w:val="center"/>
              <w:rPr>
                <w:rFonts w:ascii="Arial Narrow" w:hAnsi="Arial Narrow" w:cs="Arial"/>
                <w:bCs/>
                <w:sz w:val="20"/>
                <w:szCs w:val="20"/>
                <w:highlight w:val="black"/>
              </w:rPr>
            </w:pPr>
            <w:r>
              <w:rPr>
                <w:rFonts w:ascii="Arial Narrow" w:hAnsi="Arial Narrow" w:cs="Arial"/>
                <w:bCs/>
                <w:noProof/>
                <w:color w:val="000000"/>
                <w:sz w:val="20"/>
                <w:szCs w:val="20"/>
                <w:highlight w:val="black"/>
              </w:rPr>
              <w:t>''''''''''''''''''''''' ''''''''''''''''''''</w:t>
            </w:r>
          </w:p>
        </w:tc>
      </w:tr>
      <w:tr w:rsidR="008C4CE4" w:rsidRPr="009A745E" w:rsidTr="00B13178">
        <w:tc>
          <w:tcPr>
            <w:tcW w:w="396" w:type="pct"/>
            <w:vMerge/>
            <w:tcBorders>
              <w:bottom w:val="single" w:sz="8" w:space="0" w:color="auto"/>
            </w:tcBorders>
            <w:shd w:val="clear" w:color="auto" w:fill="FFFFFF" w:themeFill="background1"/>
          </w:tcPr>
          <w:p w:rsidR="008C4CE4" w:rsidRPr="009A745E" w:rsidRDefault="008C4CE4" w:rsidP="003E2DD3">
            <w:pPr>
              <w:pStyle w:val="TableText0"/>
              <w:spacing w:before="0" w:after="0"/>
              <w:rPr>
                <w:b/>
                <w:szCs w:val="20"/>
              </w:rPr>
            </w:pPr>
          </w:p>
        </w:tc>
        <w:tc>
          <w:tcPr>
            <w:tcW w:w="878" w:type="pct"/>
            <w:tcBorders>
              <w:top w:val="single" w:sz="4" w:space="0" w:color="auto"/>
              <w:left w:val="single" w:sz="4" w:space="0" w:color="auto"/>
              <w:bottom w:val="single" w:sz="8" w:space="0" w:color="auto"/>
              <w:right w:val="single" w:sz="4" w:space="0" w:color="auto"/>
            </w:tcBorders>
            <w:shd w:val="clear" w:color="auto" w:fill="FFFFFF" w:themeFill="background1"/>
            <w:vAlign w:val="center"/>
          </w:tcPr>
          <w:p w:rsidR="008C4CE4" w:rsidRPr="009A745E" w:rsidRDefault="008C4CE4" w:rsidP="003E2DD3">
            <w:pPr>
              <w:pStyle w:val="TableText0"/>
              <w:spacing w:before="0" w:after="0"/>
              <w:jc w:val="left"/>
              <w:rPr>
                <w:szCs w:val="20"/>
              </w:rPr>
            </w:pPr>
            <w:r w:rsidRPr="009A745E">
              <w:rPr>
                <w:szCs w:val="20"/>
              </w:rPr>
              <w:t>Total</w:t>
            </w:r>
          </w:p>
        </w:tc>
        <w:tc>
          <w:tcPr>
            <w:tcW w:w="1144" w:type="pct"/>
            <w:tcBorders>
              <w:top w:val="single" w:sz="4" w:space="0" w:color="auto"/>
              <w:left w:val="single" w:sz="4" w:space="0" w:color="auto"/>
              <w:bottom w:val="single" w:sz="8" w:space="0" w:color="auto"/>
              <w:right w:val="single" w:sz="4" w:space="0" w:color="auto"/>
            </w:tcBorders>
            <w:shd w:val="clear" w:color="auto" w:fill="FFFFFF" w:themeFill="background1"/>
            <w:vAlign w:val="center"/>
          </w:tcPr>
          <w:p w:rsidR="008C4CE4" w:rsidRPr="00F12AD2" w:rsidRDefault="00F12AD2" w:rsidP="003E2DD3">
            <w:pPr>
              <w:jc w:val="center"/>
              <w:rPr>
                <w:rFonts w:ascii="Arial Narrow" w:hAnsi="Arial Narrow" w:cs="Arial"/>
                <w:bCs/>
                <w:sz w:val="20"/>
                <w:szCs w:val="20"/>
                <w:highlight w:val="black"/>
              </w:rPr>
            </w:pPr>
            <w:r>
              <w:rPr>
                <w:rFonts w:ascii="Arial Narrow" w:hAnsi="Arial Narrow" w:cs="Arial"/>
                <w:bCs/>
                <w:noProof/>
                <w:color w:val="000000"/>
                <w:sz w:val="20"/>
                <w:szCs w:val="20"/>
                <w:highlight w:val="black"/>
              </w:rPr>
              <w:t>'''''''''''''''''''''''''''''''''''''</w:t>
            </w:r>
          </w:p>
        </w:tc>
        <w:tc>
          <w:tcPr>
            <w:tcW w:w="925" w:type="pct"/>
            <w:tcBorders>
              <w:top w:val="single" w:sz="4" w:space="0" w:color="auto"/>
              <w:left w:val="single" w:sz="4" w:space="0" w:color="auto"/>
              <w:bottom w:val="single" w:sz="8" w:space="0" w:color="auto"/>
              <w:right w:val="single" w:sz="4" w:space="0" w:color="auto"/>
            </w:tcBorders>
            <w:shd w:val="clear" w:color="auto" w:fill="FFFFFF" w:themeFill="background1"/>
            <w:vAlign w:val="center"/>
          </w:tcPr>
          <w:p w:rsidR="008C4CE4" w:rsidRPr="00F12AD2" w:rsidRDefault="00F12AD2" w:rsidP="003E2DD3">
            <w:pPr>
              <w:jc w:val="center"/>
              <w:rPr>
                <w:rFonts w:ascii="Arial Narrow" w:hAnsi="Arial Narrow" w:cs="Arial"/>
                <w:bCs/>
                <w:sz w:val="20"/>
                <w:szCs w:val="20"/>
                <w:highlight w:val="black"/>
              </w:rPr>
            </w:pPr>
            <w:r>
              <w:rPr>
                <w:rFonts w:ascii="Arial Narrow" w:hAnsi="Arial Narrow" w:cs="Arial"/>
                <w:bCs/>
                <w:noProof/>
                <w:color w:val="000000"/>
                <w:sz w:val="20"/>
                <w:szCs w:val="20"/>
                <w:highlight w:val="black"/>
              </w:rPr>
              <w:t>'''''''''''''''''''</w:t>
            </w:r>
          </w:p>
        </w:tc>
        <w:tc>
          <w:tcPr>
            <w:tcW w:w="1657" w:type="pct"/>
            <w:tcBorders>
              <w:top w:val="single" w:sz="4" w:space="0" w:color="auto"/>
              <w:left w:val="single" w:sz="4" w:space="0" w:color="auto"/>
              <w:bottom w:val="single" w:sz="8" w:space="0" w:color="auto"/>
              <w:right w:val="single" w:sz="4" w:space="0" w:color="auto"/>
            </w:tcBorders>
            <w:shd w:val="clear" w:color="auto" w:fill="FFFFFF" w:themeFill="background1"/>
            <w:vAlign w:val="center"/>
          </w:tcPr>
          <w:p w:rsidR="008C4CE4" w:rsidRPr="00F12AD2" w:rsidRDefault="00F12AD2" w:rsidP="003E2DD3">
            <w:pPr>
              <w:jc w:val="center"/>
              <w:rPr>
                <w:rFonts w:ascii="Arial Narrow" w:hAnsi="Arial Narrow" w:cs="Arial"/>
                <w:bCs/>
                <w:sz w:val="20"/>
                <w:szCs w:val="20"/>
                <w:highlight w:val="black"/>
              </w:rPr>
            </w:pPr>
            <w:r>
              <w:rPr>
                <w:rFonts w:ascii="Arial Narrow" w:hAnsi="Arial Narrow" w:cs="Arial"/>
                <w:bCs/>
                <w:noProof/>
                <w:color w:val="000000"/>
                <w:sz w:val="20"/>
                <w:szCs w:val="20"/>
                <w:highlight w:val="black"/>
              </w:rPr>
              <w:t>'''''''''''''''''''''''''''''</w:t>
            </w:r>
          </w:p>
        </w:tc>
      </w:tr>
      <w:tr w:rsidR="008C4CE4" w:rsidRPr="009A745E" w:rsidTr="003E2DD3">
        <w:tc>
          <w:tcPr>
            <w:tcW w:w="396" w:type="pct"/>
            <w:vMerge w:val="restart"/>
            <w:tcBorders>
              <w:top w:val="single" w:sz="8" w:space="0" w:color="auto"/>
            </w:tcBorders>
            <w:shd w:val="clear" w:color="auto" w:fill="FFFFFF" w:themeFill="background1"/>
          </w:tcPr>
          <w:p w:rsidR="008C4CE4" w:rsidRPr="009A745E" w:rsidRDefault="008C4CE4" w:rsidP="003E2DD3">
            <w:pPr>
              <w:pStyle w:val="TableText0"/>
              <w:spacing w:before="0" w:after="0"/>
              <w:rPr>
                <w:b/>
                <w:szCs w:val="20"/>
              </w:rPr>
            </w:pPr>
            <w:r w:rsidRPr="009A745E">
              <w:rPr>
                <w:b/>
                <w:szCs w:val="20"/>
              </w:rPr>
              <w:t>125%</w:t>
            </w:r>
          </w:p>
        </w:tc>
        <w:tc>
          <w:tcPr>
            <w:tcW w:w="878" w:type="pct"/>
            <w:tcBorders>
              <w:top w:val="single" w:sz="8" w:space="0" w:color="auto"/>
              <w:left w:val="single" w:sz="4" w:space="0" w:color="auto"/>
              <w:bottom w:val="single" w:sz="4" w:space="0" w:color="auto"/>
              <w:right w:val="single" w:sz="4" w:space="0" w:color="auto"/>
            </w:tcBorders>
            <w:shd w:val="clear" w:color="auto" w:fill="FFFFFF" w:themeFill="background1"/>
            <w:vAlign w:val="center"/>
          </w:tcPr>
          <w:p w:rsidR="008C4CE4" w:rsidRPr="009A745E" w:rsidRDefault="008C4CE4" w:rsidP="003E2DD3">
            <w:pPr>
              <w:pStyle w:val="TableText0"/>
              <w:spacing w:before="0" w:after="0"/>
              <w:jc w:val="left"/>
              <w:rPr>
                <w:szCs w:val="20"/>
              </w:rPr>
            </w:pPr>
            <w:proofErr w:type="spellStart"/>
            <w:r w:rsidRPr="009A745E">
              <w:rPr>
                <w:szCs w:val="20"/>
              </w:rPr>
              <w:t>Pembrolizumab</w:t>
            </w:r>
            <w:proofErr w:type="spellEnd"/>
          </w:p>
        </w:tc>
        <w:tc>
          <w:tcPr>
            <w:tcW w:w="1144" w:type="pct"/>
            <w:tcBorders>
              <w:top w:val="single" w:sz="8" w:space="0" w:color="auto"/>
              <w:left w:val="single" w:sz="4" w:space="0" w:color="auto"/>
              <w:bottom w:val="single" w:sz="4" w:space="0" w:color="auto"/>
              <w:right w:val="single" w:sz="4" w:space="0" w:color="auto"/>
            </w:tcBorders>
            <w:shd w:val="clear" w:color="auto" w:fill="FFFFFF" w:themeFill="background1"/>
            <w:vAlign w:val="center"/>
          </w:tcPr>
          <w:p w:rsidR="008C4CE4" w:rsidRPr="00F12AD2" w:rsidRDefault="00F12AD2" w:rsidP="003E2DD3">
            <w:pPr>
              <w:jc w:val="center"/>
              <w:rPr>
                <w:rFonts w:ascii="Arial Narrow" w:hAnsi="Arial Narrow" w:cs="Arial"/>
                <w:bCs/>
                <w:sz w:val="20"/>
                <w:szCs w:val="20"/>
                <w:highlight w:val="black"/>
              </w:rPr>
            </w:pPr>
            <w:r>
              <w:rPr>
                <w:rFonts w:ascii="Arial Narrow" w:hAnsi="Arial Narrow" w:cs="Arial"/>
                <w:bCs/>
                <w:noProof/>
                <w:color w:val="000000"/>
                <w:sz w:val="20"/>
                <w:szCs w:val="20"/>
                <w:highlight w:val="black"/>
              </w:rPr>
              <w:t>'''''''''''''''''''''''''''''''''''''''</w:t>
            </w:r>
          </w:p>
        </w:tc>
        <w:tc>
          <w:tcPr>
            <w:tcW w:w="925" w:type="pct"/>
            <w:tcBorders>
              <w:top w:val="single" w:sz="8" w:space="0" w:color="auto"/>
              <w:left w:val="single" w:sz="4" w:space="0" w:color="auto"/>
              <w:bottom w:val="single" w:sz="4" w:space="0" w:color="auto"/>
              <w:right w:val="single" w:sz="4" w:space="0" w:color="auto"/>
            </w:tcBorders>
            <w:shd w:val="clear" w:color="auto" w:fill="FFFFFF" w:themeFill="background1"/>
            <w:vAlign w:val="center"/>
          </w:tcPr>
          <w:p w:rsidR="008C4CE4" w:rsidRPr="00F12AD2" w:rsidRDefault="00F12AD2" w:rsidP="003E2DD3">
            <w:pPr>
              <w:jc w:val="center"/>
              <w:rPr>
                <w:rFonts w:ascii="Arial Narrow" w:hAnsi="Arial Narrow" w:cs="Arial"/>
                <w:bCs/>
                <w:sz w:val="20"/>
                <w:szCs w:val="20"/>
                <w:highlight w:val="black"/>
              </w:rPr>
            </w:pPr>
            <w:r>
              <w:rPr>
                <w:rFonts w:ascii="Arial Narrow" w:hAnsi="Arial Narrow" w:cs="Arial"/>
                <w:bCs/>
                <w:noProof/>
                <w:color w:val="000000"/>
                <w:sz w:val="20"/>
                <w:szCs w:val="20"/>
                <w:highlight w:val="black"/>
              </w:rPr>
              <w:t>'''''''''''''''''</w:t>
            </w:r>
          </w:p>
        </w:tc>
        <w:tc>
          <w:tcPr>
            <w:tcW w:w="1657" w:type="pct"/>
            <w:tcBorders>
              <w:top w:val="single" w:sz="8" w:space="0" w:color="auto"/>
              <w:left w:val="single" w:sz="4" w:space="0" w:color="auto"/>
              <w:bottom w:val="single" w:sz="4" w:space="0" w:color="auto"/>
              <w:right w:val="single" w:sz="4" w:space="0" w:color="auto"/>
            </w:tcBorders>
            <w:shd w:val="clear" w:color="auto" w:fill="FFFFFF" w:themeFill="background1"/>
            <w:vAlign w:val="center"/>
          </w:tcPr>
          <w:p w:rsidR="008C4CE4" w:rsidRPr="00F12AD2" w:rsidRDefault="00F12AD2" w:rsidP="003E2DD3">
            <w:pPr>
              <w:jc w:val="center"/>
              <w:rPr>
                <w:rFonts w:ascii="Arial Narrow" w:hAnsi="Arial Narrow" w:cs="Arial"/>
                <w:bCs/>
                <w:sz w:val="20"/>
                <w:szCs w:val="20"/>
                <w:highlight w:val="black"/>
              </w:rPr>
            </w:pPr>
            <w:r>
              <w:rPr>
                <w:rFonts w:ascii="Arial Narrow" w:hAnsi="Arial Narrow" w:cs="Arial"/>
                <w:bCs/>
                <w:noProof/>
                <w:color w:val="000000"/>
                <w:sz w:val="20"/>
                <w:szCs w:val="20"/>
                <w:highlight w:val="black"/>
              </w:rPr>
              <w:t>'''''''''''''''''''''''''''''' ''''''''''''''''''''''</w:t>
            </w:r>
          </w:p>
        </w:tc>
      </w:tr>
      <w:tr w:rsidR="008C4CE4" w:rsidRPr="009A745E" w:rsidTr="003E2DD3">
        <w:tc>
          <w:tcPr>
            <w:tcW w:w="396" w:type="pct"/>
            <w:vMerge/>
            <w:shd w:val="clear" w:color="auto" w:fill="FFFFFF" w:themeFill="background1"/>
          </w:tcPr>
          <w:p w:rsidR="008C4CE4" w:rsidRPr="009A745E" w:rsidRDefault="008C4CE4" w:rsidP="003E2DD3">
            <w:pPr>
              <w:pStyle w:val="TableText0"/>
              <w:spacing w:before="0" w:after="0"/>
              <w:rPr>
                <w:b/>
                <w:szCs w:val="20"/>
              </w:rPr>
            </w:pPr>
          </w:p>
        </w:tc>
        <w:tc>
          <w:tcPr>
            <w:tcW w:w="87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8C4CE4" w:rsidRPr="009A745E" w:rsidRDefault="008C4CE4" w:rsidP="003E2DD3">
            <w:pPr>
              <w:pStyle w:val="TableText0"/>
              <w:spacing w:before="0" w:after="0"/>
              <w:jc w:val="left"/>
              <w:rPr>
                <w:szCs w:val="20"/>
              </w:rPr>
            </w:pPr>
            <w:proofErr w:type="spellStart"/>
            <w:r w:rsidRPr="009A745E">
              <w:rPr>
                <w:szCs w:val="20"/>
              </w:rPr>
              <w:t>Nivolumab</w:t>
            </w:r>
            <w:proofErr w:type="spellEnd"/>
          </w:p>
        </w:tc>
        <w:tc>
          <w:tcPr>
            <w:tcW w:w="1144"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8C4CE4" w:rsidRPr="00F12AD2" w:rsidRDefault="00F12AD2" w:rsidP="003E2DD3">
            <w:pPr>
              <w:jc w:val="center"/>
              <w:rPr>
                <w:rFonts w:ascii="Arial Narrow" w:hAnsi="Arial Narrow" w:cs="Arial"/>
                <w:bCs/>
                <w:sz w:val="20"/>
                <w:szCs w:val="20"/>
                <w:highlight w:val="black"/>
              </w:rPr>
            </w:pPr>
            <w:r>
              <w:rPr>
                <w:rFonts w:ascii="Arial Narrow" w:hAnsi="Arial Narrow" w:cs="Arial"/>
                <w:bCs/>
                <w:noProof/>
                <w:color w:val="000000"/>
                <w:sz w:val="20"/>
                <w:szCs w:val="20"/>
                <w:highlight w:val="black"/>
              </w:rPr>
              <w:t>''''''''''''''''''''''''''''''''''''</w:t>
            </w:r>
          </w:p>
        </w:tc>
        <w:tc>
          <w:tcPr>
            <w:tcW w:w="92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8C4CE4" w:rsidRPr="00F12AD2" w:rsidRDefault="00F12AD2" w:rsidP="003E2DD3">
            <w:pPr>
              <w:jc w:val="center"/>
              <w:rPr>
                <w:rFonts w:ascii="Arial Narrow" w:hAnsi="Arial Narrow" w:cs="Arial"/>
                <w:bCs/>
                <w:sz w:val="20"/>
                <w:szCs w:val="20"/>
                <w:highlight w:val="black"/>
              </w:rPr>
            </w:pPr>
            <w:r>
              <w:rPr>
                <w:rFonts w:ascii="Arial Narrow" w:hAnsi="Arial Narrow" w:cs="Arial"/>
                <w:bCs/>
                <w:noProof/>
                <w:color w:val="000000"/>
                <w:sz w:val="20"/>
                <w:szCs w:val="20"/>
                <w:highlight w:val="black"/>
              </w:rPr>
              <w:t>''''''''''''''''</w:t>
            </w:r>
          </w:p>
        </w:tc>
        <w:tc>
          <w:tcPr>
            <w:tcW w:w="165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8C4CE4" w:rsidRPr="00F12AD2" w:rsidRDefault="00F12AD2" w:rsidP="003E2DD3">
            <w:pPr>
              <w:jc w:val="center"/>
              <w:rPr>
                <w:rFonts w:ascii="Arial Narrow" w:hAnsi="Arial Narrow" w:cs="Arial"/>
                <w:bCs/>
                <w:sz w:val="20"/>
                <w:szCs w:val="20"/>
                <w:highlight w:val="black"/>
              </w:rPr>
            </w:pPr>
            <w:r>
              <w:rPr>
                <w:rFonts w:ascii="Arial Narrow" w:hAnsi="Arial Narrow" w:cs="Arial"/>
                <w:bCs/>
                <w:noProof/>
                <w:color w:val="000000"/>
                <w:sz w:val="20"/>
                <w:szCs w:val="20"/>
                <w:highlight w:val="black"/>
              </w:rPr>
              <w:t>''''''''''''''''''''''' '''''''''''''''''''</w:t>
            </w:r>
          </w:p>
        </w:tc>
      </w:tr>
      <w:tr w:rsidR="008C4CE4" w:rsidRPr="009A745E" w:rsidTr="00B13178">
        <w:tc>
          <w:tcPr>
            <w:tcW w:w="396" w:type="pct"/>
            <w:vMerge/>
            <w:tcBorders>
              <w:bottom w:val="single" w:sz="8" w:space="0" w:color="auto"/>
            </w:tcBorders>
            <w:shd w:val="clear" w:color="auto" w:fill="FFFFFF" w:themeFill="background1"/>
          </w:tcPr>
          <w:p w:rsidR="008C4CE4" w:rsidRPr="009A745E" w:rsidRDefault="008C4CE4" w:rsidP="003E2DD3">
            <w:pPr>
              <w:pStyle w:val="TableText0"/>
              <w:spacing w:before="0" w:after="0"/>
              <w:rPr>
                <w:b/>
                <w:szCs w:val="20"/>
              </w:rPr>
            </w:pPr>
          </w:p>
        </w:tc>
        <w:tc>
          <w:tcPr>
            <w:tcW w:w="878" w:type="pct"/>
            <w:tcBorders>
              <w:top w:val="single" w:sz="4" w:space="0" w:color="auto"/>
              <w:left w:val="single" w:sz="4" w:space="0" w:color="auto"/>
              <w:bottom w:val="single" w:sz="8" w:space="0" w:color="auto"/>
              <w:right w:val="single" w:sz="4" w:space="0" w:color="auto"/>
            </w:tcBorders>
            <w:shd w:val="clear" w:color="auto" w:fill="FFFFFF" w:themeFill="background1"/>
            <w:vAlign w:val="center"/>
          </w:tcPr>
          <w:p w:rsidR="008C4CE4" w:rsidRPr="009A745E" w:rsidRDefault="008C4CE4" w:rsidP="003E2DD3">
            <w:pPr>
              <w:pStyle w:val="TableText0"/>
              <w:spacing w:before="0" w:after="0"/>
              <w:jc w:val="left"/>
              <w:rPr>
                <w:szCs w:val="20"/>
              </w:rPr>
            </w:pPr>
            <w:r w:rsidRPr="009A745E">
              <w:rPr>
                <w:szCs w:val="20"/>
              </w:rPr>
              <w:t>Total</w:t>
            </w:r>
          </w:p>
        </w:tc>
        <w:tc>
          <w:tcPr>
            <w:tcW w:w="1144" w:type="pct"/>
            <w:tcBorders>
              <w:top w:val="single" w:sz="4" w:space="0" w:color="auto"/>
              <w:left w:val="single" w:sz="4" w:space="0" w:color="auto"/>
              <w:bottom w:val="single" w:sz="8" w:space="0" w:color="auto"/>
              <w:right w:val="single" w:sz="4" w:space="0" w:color="auto"/>
            </w:tcBorders>
            <w:shd w:val="clear" w:color="auto" w:fill="FFFFFF" w:themeFill="background1"/>
            <w:vAlign w:val="center"/>
          </w:tcPr>
          <w:p w:rsidR="008C4CE4" w:rsidRPr="00F12AD2" w:rsidRDefault="00F12AD2" w:rsidP="003E2DD3">
            <w:pPr>
              <w:jc w:val="center"/>
              <w:rPr>
                <w:rFonts w:ascii="Arial Narrow" w:hAnsi="Arial Narrow" w:cs="Arial"/>
                <w:bCs/>
                <w:sz w:val="20"/>
                <w:szCs w:val="20"/>
                <w:highlight w:val="black"/>
              </w:rPr>
            </w:pPr>
            <w:r>
              <w:rPr>
                <w:rFonts w:ascii="Arial Narrow" w:hAnsi="Arial Narrow" w:cs="Arial"/>
                <w:bCs/>
                <w:noProof/>
                <w:color w:val="000000"/>
                <w:sz w:val="20"/>
                <w:szCs w:val="20"/>
                <w:highlight w:val="black"/>
              </w:rPr>
              <w:t>''''''''''''''''''''''''''''''''''''''''''</w:t>
            </w:r>
          </w:p>
        </w:tc>
        <w:tc>
          <w:tcPr>
            <w:tcW w:w="925" w:type="pct"/>
            <w:tcBorders>
              <w:top w:val="single" w:sz="4" w:space="0" w:color="auto"/>
              <w:left w:val="single" w:sz="4" w:space="0" w:color="auto"/>
              <w:bottom w:val="single" w:sz="8" w:space="0" w:color="auto"/>
              <w:right w:val="single" w:sz="4" w:space="0" w:color="auto"/>
            </w:tcBorders>
            <w:shd w:val="clear" w:color="auto" w:fill="FFFFFF" w:themeFill="background1"/>
            <w:vAlign w:val="center"/>
          </w:tcPr>
          <w:p w:rsidR="008C4CE4" w:rsidRPr="00F12AD2" w:rsidRDefault="00F12AD2" w:rsidP="003E2DD3">
            <w:pPr>
              <w:jc w:val="center"/>
              <w:rPr>
                <w:rFonts w:ascii="Arial Narrow" w:hAnsi="Arial Narrow" w:cs="Arial"/>
                <w:bCs/>
                <w:sz w:val="20"/>
                <w:szCs w:val="20"/>
                <w:highlight w:val="black"/>
              </w:rPr>
            </w:pPr>
            <w:r>
              <w:rPr>
                <w:rFonts w:ascii="Arial Narrow" w:hAnsi="Arial Narrow" w:cs="Arial"/>
                <w:bCs/>
                <w:noProof/>
                <w:color w:val="000000"/>
                <w:sz w:val="20"/>
                <w:szCs w:val="20"/>
                <w:highlight w:val="black"/>
              </w:rPr>
              <w:t>''''''''''''''''''''</w:t>
            </w:r>
          </w:p>
        </w:tc>
        <w:tc>
          <w:tcPr>
            <w:tcW w:w="1657" w:type="pct"/>
            <w:tcBorders>
              <w:top w:val="single" w:sz="4" w:space="0" w:color="auto"/>
              <w:left w:val="single" w:sz="4" w:space="0" w:color="auto"/>
              <w:bottom w:val="single" w:sz="8" w:space="0" w:color="auto"/>
              <w:right w:val="single" w:sz="4" w:space="0" w:color="auto"/>
            </w:tcBorders>
            <w:shd w:val="clear" w:color="auto" w:fill="FFFFFF" w:themeFill="background1"/>
            <w:vAlign w:val="center"/>
          </w:tcPr>
          <w:p w:rsidR="008C4CE4" w:rsidRPr="00F12AD2" w:rsidRDefault="00F12AD2" w:rsidP="003E2DD3">
            <w:pPr>
              <w:jc w:val="center"/>
              <w:rPr>
                <w:rFonts w:ascii="Arial Narrow" w:hAnsi="Arial Narrow" w:cs="Arial"/>
                <w:bCs/>
                <w:sz w:val="20"/>
                <w:szCs w:val="20"/>
                <w:highlight w:val="black"/>
              </w:rPr>
            </w:pPr>
            <w:r>
              <w:rPr>
                <w:rFonts w:ascii="Arial Narrow" w:hAnsi="Arial Narrow" w:cs="Arial"/>
                <w:bCs/>
                <w:noProof/>
                <w:color w:val="000000"/>
                <w:sz w:val="20"/>
                <w:szCs w:val="20"/>
                <w:highlight w:val="black"/>
              </w:rPr>
              <w:t>''''''''''''''''''''''''''''''</w:t>
            </w:r>
          </w:p>
        </w:tc>
      </w:tr>
      <w:tr w:rsidR="008C4CE4" w:rsidRPr="009A745E" w:rsidTr="00B13178">
        <w:tc>
          <w:tcPr>
            <w:tcW w:w="396" w:type="pct"/>
            <w:vMerge w:val="restart"/>
            <w:tcBorders>
              <w:top w:val="single" w:sz="8" w:space="0" w:color="auto"/>
            </w:tcBorders>
            <w:shd w:val="clear" w:color="auto" w:fill="FFFFFF" w:themeFill="background1"/>
          </w:tcPr>
          <w:p w:rsidR="008C4CE4" w:rsidRPr="009A745E" w:rsidRDefault="008C4CE4" w:rsidP="003E2DD3">
            <w:pPr>
              <w:pStyle w:val="TableText0"/>
              <w:spacing w:before="0" w:after="0"/>
              <w:rPr>
                <w:b/>
                <w:szCs w:val="20"/>
              </w:rPr>
            </w:pPr>
            <w:r w:rsidRPr="009A745E">
              <w:rPr>
                <w:b/>
                <w:szCs w:val="20"/>
              </w:rPr>
              <w:t>130%</w:t>
            </w:r>
          </w:p>
        </w:tc>
        <w:tc>
          <w:tcPr>
            <w:tcW w:w="878" w:type="pct"/>
            <w:tcBorders>
              <w:top w:val="single" w:sz="8" w:space="0" w:color="auto"/>
              <w:left w:val="single" w:sz="4" w:space="0" w:color="auto"/>
              <w:bottom w:val="single" w:sz="4" w:space="0" w:color="auto"/>
              <w:right w:val="single" w:sz="4" w:space="0" w:color="auto"/>
            </w:tcBorders>
            <w:shd w:val="clear" w:color="auto" w:fill="FFFFFF" w:themeFill="background1"/>
            <w:vAlign w:val="center"/>
          </w:tcPr>
          <w:p w:rsidR="008C4CE4" w:rsidRPr="009A745E" w:rsidRDefault="008C4CE4" w:rsidP="003E2DD3">
            <w:pPr>
              <w:pStyle w:val="TableText0"/>
              <w:spacing w:before="0" w:after="0"/>
              <w:jc w:val="left"/>
              <w:rPr>
                <w:szCs w:val="20"/>
              </w:rPr>
            </w:pPr>
            <w:proofErr w:type="spellStart"/>
            <w:r w:rsidRPr="009A745E">
              <w:rPr>
                <w:szCs w:val="20"/>
              </w:rPr>
              <w:t>Pembrolizumab</w:t>
            </w:r>
            <w:proofErr w:type="spellEnd"/>
          </w:p>
        </w:tc>
        <w:tc>
          <w:tcPr>
            <w:tcW w:w="1144" w:type="pct"/>
            <w:tcBorders>
              <w:top w:val="single" w:sz="8" w:space="0" w:color="auto"/>
              <w:left w:val="single" w:sz="4" w:space="0" w:color="auto"/>
              <w:bottom w:val="single" w:sz="4" w:space="0" w:color="auto"/>
              <w:right w:val="single" w:sz="4" w:space="0" w:color="auto"/>
            </w:tcBorders>
            <w:shd w:val="clear" w:color="auto" w:fill="FFFFFF" w:themeFill="background1"/>
            <w:vAlign w:val="center"/>
          </w:tcPr>
          <w:p w:rsidR="008C4CE4" w:rsidRPr="00F12AD2" w:rsidRDefault="00F12AD2" w:rsidP="003E2DD3">
            <w:pPr>
              <w:jc w:val="center"/>
              <w:rPr>
                <w:rFonts w:ascii="Arial Narrow" w:hAnsi="Arial Narrow" w:cs="Arial"/>
                <w:bCs/>
                <w:sz w:val="20"/>
                <w:szCs w:val="20"/>
                <w:highlight w:val="black"/>
              </w:rPr>
            </w:pPr>
            <w:r>
              <w:rPr>
                <w:rFonts w:ascii="Arial Narrow" w:hAnsi="Arial Narrow" w:cs="Arial"/>
                <w:bCs/>
                <w:noProof/>
                <w:color w:val="000000"/>
                <w:sz w:val="20"/>
                <w:szCs w:val="20"/>
                <w:highlight w:val="black"/>
              </w:rPr>
              <w:t>'''''''''''''''''''''''''''''''''''</w:t>
            </w:r>
          </w:p>
        </w:tc>
        <w:tc>
          <w:tcPr>
            <w:tcW w:w="925" w:type="pct"/>
            <w:tcBorders>
              <w:top w:val="single" w:sz="8" w:space="0" w:color="auto"/>
              <w:left w:val="single" w:sz="4" w:space="0" w:color="auto"/>
              <w:bottom w:val="single" w:sz="4" w:space="0" w:color="auto"/>
              <w:right w:val="single" w:sz="4" w:space="0" w:color="auto"/>
            </w:tcBorders>
            <w:shd w:val="clear" w:color="auto" w:fill="FFFFFF" w:themeFill="background1"/>
            <w:vAlign w:val="center"/>
          </w:tcPr>
          <w:p w:rsidR="008C4CE4" w:rsidRPr="00F12AD2" w:rsidRDefault="00F12AD2" w:rsidP="003E2DD3">
            <w:pPr>
              <w:jc w:val="center"/>
              <w:rPr>
                <w:rFonts w:ascii="Arial Narrow" w:hAnsi="Arial Narrow" w:cs="Arial"/>
                <w:bCs/>
                <w:sz w:val="20"/>
                <w:szCs w:val="20"/>
                <w:highlight w:val="black"/>
              </w:rPr>
            </w:pPr>
            <w:r>
              <w:rPr>
                <w:rFonts w:ascii="Arial Narrow" w:hAnsi="Arial Narrow" w:cs="Arial"/>
                <w:bCs/>
                <w:noProof/>
                <w:color w:val="000000"/>
                <w:sz w:val="20"/>
                <w:szCs w:val="20"/>
                <w:highlight w:val="black"/>
              </w:rPr>
              <w:t>'''''''''''''''''</w:t>
            </w:r>
          </w:p>
        </w:tc>
        <w:tc>
          <w:tcPr>
            <w:tcW w:w="1657" w:type="pct"/>
            <w:tcBorders>
              <w:top w:val="single" w:sz="8" w:space="0" w:color="auto"/>
              <w:left w:val="single" w:sz="4" w:space="0" w:color="auto"/>
              <w:bottom w:val="single" w:sz="4" w:space="0" w:color="auto"/>
              <w:right w:val="single" w:sz="4" w:space="0" w:color="auto"/>
            </w:tcBorders>
            <w:shd w:val="clear" w:color="auto" w:fill="FFFFFF" w:themeFill="background1"/>
            <w:vAlign w:val="center"/>
          </w:tcPr>
          <w:p w:rsidR="008C4CE4" w:rsidRPr="00F12AD2" w:rsidRDefault="00F12AD2" w:rsidP="003E2DD3">
            <w:pPr>
              <w:jc w:val="center"/>
              <w:rPr>
                <w:rFonts w:ascii="Arial Narrow" w:hAnsi="Arial Narrow" w:cs="Arial"/>
                <w:bCs/>
                <w:sz w:val="20"/>
                <w:szCs w:val="20"/>
                <w:highlight w:val="black"/>
              </w:rPr>
            </w:pPr>
            <w:r>
              <w:rPr>
                <w:rFonts w:ascii="Arial Narrow" w:hAnsi="Arial Narrow" w:cs="Arial"/>
                <w:bCs/>
                <w:noProof/>
                <w:color w:val="000000"/>
                <w:sz w:val="20"/>
                <w:szCs w:val="20"/>
                <w:highlight w:val="black"/>
              </w:rPr>
              <w:t>''''''''''''''''''''''''''''''''' '''''''''''''''''''''''''''</w:t>
            </w:r>
          </w:p>
        </w:tc>
      </w:tr>
      <w:tr w:rsidR="008C4CE4" w:rsidRPr="009A745E" w:rsidTr="003E2DD3">
        <w:tc>
          <w:tcPr>
            <w:tcW w:w="396" w:type="pct"/>
            <w:vMerge/>
            <w:shd w:val="clear" w:color="auto" w:fill="FFFF00"/>
          </w:tcPr>
          <w:p w:rsidR="008C4CE4" w:rsidRPr="009A745E" w:rsidRDefault="008C4CE4" w:rsidP="003E2DD3">
            <w:pPr>
              <w:pStyle w:val="TableText0"/>
              <w:spacing w:before="0" w:after="0"/>
              <w:rPr>
                <w:b/>
                <w:szCs w:val="20"/>
              </w:rPr>
            </w:pPr>
          </w:p>
        </w:tc>
        <w:tc>
          <w:tcPr>
            <w:tcW w:w="87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8C4CE4" w:rsidRPr="009A745E" w:rsidRDefault="008C4CE4" w:rsidP="003E2DD3">
            <w:pPr>
              <w:pStyle w:val="TableText0"/>
              <w:spacing w:before="0" w:after="0"/>
              <w:jc w:val="left"/>
              <w:rPr>
                <w:szCs w:val="20"/>
              </w:rPr>
            </w:pPr>
            <w:proofErr w:type="spellStart"/>
            <w:r w:rsidRPr="009A745E">
              <w:rPr>
                <w:szCs w:val="20"/>
              </w:rPr>
              <w:t>Nivolumab</w:t>
            </w:r>
            <w:proofErr w:type="spellEnd"/>
          </w:p>
        </w:tc>
        <w:tc>
          <w:tcPr>
            <w:tcW w:w="1144"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8C4CE4" w:rsidRPr="00F12AD2" w:rsidRDefault="00F12AD2" w:rsidP="003E2DD3">
            <w:pPr>
              <w:jc w:val="center"/>
              <w:rPr>
                <w:rFonts w:ascii="Arial Narrow" w:hAnsi="Arial Narrow" w:cs="Arial"/>
                <w:bCs/>
                <w:sz w:val="20"/>
                <w:szCs w:val="20"/>
                <w:highlight w:val="black"/>
              </w:rPr>
            </w:pPr>
            <w:r>
              <w:rPr>
                <w:rFonts w:ascii="Arial Narrow" w:hAnsi="Arial Narrow" w:cs="Arial"/>
                <w:bCs/>
                <w:noProof/>
                <w:color w:val="000000"/>
                <w:sz w:val="20"/>
                <w:szCs w:val="20"/>
                <w:highlight w:val="black"/>
              </w:rPr>
              <w:t>''''''''''''''''''''''''''''''''''''</w:t>
            </w:r>
          </w:p>
        </w:tc>
        <w:tc>
          <w:tcPr>
            <w:tcW w:w="92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8C4CE4" w:rsidRPr="00F12AD2" w:rsidRDefault="00F12AD2" w:rsidP="003E2DD3">
            <w:pPr>
              <w:jc w:val="center"/>
              <w:rPr>
                <w:rFonts w:ascii="Arial Narrow" w:hAnsi="Arial Narrow" w:cs="Arial"/>
                <w:bCs/>
                <w:sz w:val="20"/>
                <w:szCs w:val="20"/>
                <w:highlight w:val="black"/>
              </w:rPr>
            </w:pPr>
            <w:r>
              <w:rPr>
                <w:rFonts w:ascii="Arial Narrow" w:hAnsi="Arial Narrow" w:cs="Arial"/>
                <w:bCs/>
                <w:noProof/>
                <w:color w:val="000000"/>
                <w:sz w:val="20"/>
                <w:szCs w:val="20"/>
                <w:highlight w:val="black"/>
              </w:rPr>
              <w:t>''''''''''''''''</w:t>
            </w:r>
          </w:p>
        </w:tc>
        <w:tc>
          <w:tcPr>
            <w:tcW w:w="165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8C4CE4" w:rsidRPr="00F12AD2" w:rsidRDefault="00F12AD2" w:rsidP="003E2DD3">
            <w:pPr>
              <w:jc w:val="center"/>
              <w:rPr>
                <w:rFonts w:ascii="Arial Narrow" w:hAnsi="Arial Narrow" w:cs="Arial"/>
                <w:bCs/>
                <w:sz w:val="20"/>
                <w:szCs w:val="20"/>
                <w:highlight w:val="black"/>
              </w:rPr>
            </w:pPr>
            <w:r>
              <w:rPr>
                <w:rFonts w:ascii="Arial Narrow" w:hAnsi="Arial Narrow" w:cs="Arial"/>
                <w:bCs/>
                <w:noProof/>
                <w:color w:val="000000"/>
                <w:sz w:val="20"/>
                <w:szCs w:val="20"/>
                <w:highlight w:val="black"/>
              </w:rPr>
              <w:t>''''''''''''''''''''''''''' ''''''''''''''''''''</w:t>
            </w:r>
          </w:p>
        </w:tc>
      </w:tr>
      <w:tr w:rsidR="008C4CE4" w:rsidRPr="009A745E" w:rsidTr="003E2DD3">
        <w:tc>
          <w:tcPr>
            <w:tcW w:w="396" w:type="pct"/>
            <w:vMerge/>
            <w:tcBorders>
              <w:bottom w:val="single" w:sz="8" w:space="0" w:color="auto"/>
            </w:tcBorders>
            <w:shd w:val="clear" w:color="auto" w:fill="FFFF00"/>
          </w:tcPr>
          <w:p w:rsidR="008C4CE4" w:rsidRPr="009A745E" w:rsidRDefault="008C4CE4" w:rsidP="003E2DD3">
            <w:pPr>
              <w:pStyle w:val="TableText0"/>
              <w:spacing w:before="0" w:after="0"/>
              <w:rPr>
                <w:b/>
                <w:szCs w:val="20"/>
              </w:rPr>
            </w:pPr>
          </w:p>
        </w:tc>
        <w:tc>
          <w:tcPr>
            <w:tcW w:w="878" w:type="pct"/>
            <w:tcBorders>
              <w:top w:val="single" w:sz="4" w:space="0" w:color="auto"/>
              <w:left w:val="single" w:sz="4" w:space="0" w:color="auto"/>
              <w:bottom w:val="single" w:sz="8" w:space="0" w:color="auto"/>
              <w:right w:val="single" w:sz="4" w:space="0" w:color="auto"/>
            </w:tcBorders>
            <w:shd w:val="clear" w:color="auto" w:fill="FFFFFF" w:themeFill="background1"/>
            <w:vAlign w:val="center"/>
          </w:tcPr>
          <w:p w:rsidR="008C4CE4" w:rsidRPr="009A745E" w:rsidRDefault="008C4CE4" w:rsidP="003E2DD3">
            <w:pPr>
              <w:pStyle w:val="TableText0"/>
              <w:spacing w:before="0" w:after="0"/>
              <w:jc w:val="left"/>
              <w:rPr>
                <w:szCs w:val="20"/>
              </w:rPr>
            </w:pPr>
            <w:r w:rsidRPr="009A745E">
              <w:rPr>
                <w:szCs w:val="20"/>
              </w:rPr>
              <w:t>Total</w:t>
            </w:r>
          </w:p>
        </w:tc>
        <w:tc>
          <w:tcPr>
            <w:tcW w:w="1144" w:type="pct"/>
            <w:tcBorders>
              <w:top w:val="single" w:sz="4" w:space="0" w:color="auto"/>
              <w:left w:val="single" w:sz="4" w:space="0" w:color="auto"/>
              <w:bottom w:val="single" w:sz="8" w:space="0" w:color="auto"/>
              <w:right w:val="single" w:sz="4" w:space="0" w:color="auto"/>
            </w:tcBorders>
            <w:shd w:val="clear" w:color="auto" w:fill="FFFFFF" w:themeFill="background1"/>
            <w:vAlign w:val="center"/>
          </w:tcPr>
          <w:p w:rsidR="008C4CE4" w:rsidRPr="00F12AD2" w:rsidRDefault="00F12AD2" w:rsidP="003E2DD3">
            <w:pPr>
              <w:jc w:val="center"/>
              <w:rPr>
                <w:rFonts w:ascii="Arial Narrow" w:hAnsi="Arial Narrow" w:cs="Arial"/>
                <w:bCs/>
                <w:sz w:val="20"/>
                <w:szCs w:val="20"/>
                <w:highlight w:val="black"/>
              </w:rPr>
            </w:pPr>
            <w:r>
              <w:rPr>
                <w:rFonts w:ascii="Arial Narrow" w:hAnsi="Arial Narrow" w:cs="Arial"/>
                <w:bCs/>
                <w:noProof/>
                <w:color w:val="000000"/>
                <w:sz w:val="20"/>
                <w:szCs w:val="20"/>
                <w:highlight w:val="black"/>
              </w:rPr>
              <w:t>'''''''''''''''''''''''''''''''''''''''''</w:t>
            </w:r>
          </w:p>
        </w:tc>
        <w:tc>
          <w:tcPr>
            <w:tcW w:w="925" w:type="pct"/>
            <w:tcBorders>
              <w:top w:val="single" w:sz="4" w:space="0" w:color="auto"/>
              <w:left w:val="single" w:sz="4" w:space="0" w:color="auto"/>
              <w:bottom w:val="single" w:sz="8" w:space="0" w:color="auto"/>
              <w:right w:val="single" w:sz="4" w:space="0" w:color="auto"/>
            </w:tcBorders>
            <w:shd w:val="clear" w:color="auto" w:fill="FFFFFF" w:themeFill="background1"/>
            <w:vAlign w:val="center"/>
          </w:tcPr>
          <w:p w:rsidR="008C4CE4" w:rsidRPr="00F12AD2" w:rsidRDefault="00F12AD2" w:rsidP="003E2DD3">
            <w:pPr>
              <w:jc w:val="center"/>
              <w:rPr>
                <w:rFonts w:ascii="Arial Narrow" w:hAnsi="Arial Narrow" w:cs="Arial"/>
                <w:bCs/>
                <w:sz w:val="20"/>
                <w:szCs w:val="20"/>
                <w:highlight w:val="black"/>
              </w:rPr>
            </w:pPr>
            <w:r>
              <w:rPr>
                <w:rFonts w:ascii="Arial Narrow" w:hAnsi="Arial Narrow" w:cs="Arial"/>
                <w:bCs/>
                <w:noProof/>
                <w:color w:val="000000"/>
                <w:sz w:val="20"/>
                <w:szCs w:val="20"/>
                <w:highlight w:val="black"/>
              </w:rPr>
              <w:t>'''''''''''''''''''''''</w:t>
            </w:r>
          </w:p>
        </w:tc>
        <w:tc>
          <w:tcPr>
            <w:tcW w:w="1657" w:type="pct"/>
            <w:tcBorders>
              <w:top w:val="single" w:sz="4" w:space="0" w:color="auto"/>
              <w:left w:val="single" w:sz="4" w:space="0" w:color="auto"/>
              <w:bottom w:val="single" w:sz="8" w:space="0" w:color="auto"/>
              <w:right w:val="single" w:sz="4" w:space="0" w:color="auto"/>
            </w:tcBorders>
            <w:shd w:val="clear" w:color="auto" w:fill="FFFFFF" w:themeFill="background1"/>
            <w:vAlign w:val="center"/>
          </w:tcPr>
          <w:p w:rsidR="008C4CE4" w:rsidRPr="00F12AD2" w:rsidRDefault="00F12AD2" w:rsidP="003E2DD3">
            <w:pPr>
              <w:jc w:val="center"/>
              <w:rPr>
                <w:rFonts w:ascii="Arial Narrow" w:hAnsi="Arial Narrow" w:cs="Arial"/>
                <w:bCs/>
                <w:sz w:val="20"/>
                <w:szCs w:val="20"/>
                <w:highlight w:val="black"/>
              </w:rPr>
            </w:pPr>
            <w:r>
              <w:rPr>
                <w:rFonts w:ascii="Arial Narrow" w:hAnsi="Arial Narrow" w:cs="Arial"/>
                <w:bCs/>
                <w:noProof/>
                <w:color w:val="000000"/>
                <w:sz w:val="20"/>
                <w:szCs w:val="20"/>
                <w:highlight w:val="black"/>
              </w:rPr>
              <w:t>'''''''''''''''''''''''''''''''''''</w:t>
            </w:r>
          </w:p>
        </w:tc>
      </w:tr>
      <w:tr w:rsidR="008C4CE4" w:rsidRPr="009A745E" w:rsidTr="003E2DD3">
        <w:tc>
          <w:tcPr>
            <w:tcW w:w="396" w:type="pct"/>
            <w:vMerge w:val="restart"/>
            <w:tcBorders>
              <w:top w:val="single" w:sz="8" w:space="0" w:color="auto"/>
            </w:tcBorders>
            <w:shd w:val="clear" w:color="auto" w:fill="FFFFFF" w:themeFill="background1"/>
          </w:tcPr>
          <w:p w:rsidR="008C4CE4" w:rsidRPr="009A745E" w:rsidRDefault="008C4CE4" w:rsidP="003E2DD3">
            <w:pPr>
              <w:pStyle w:val="TableText0"/>
              <w:spacing w:before="0" w:after="0"/>
              <w:rPr>
                <w:b/>
                <w:szCs w:val="20"/>
              </w:rPr>
            </w:pPr>
            <w:r w:rsidRPr="009A745E">
              <w:rPr>
                <w:b/>
                <w:szCs w:val="20"/>
              </w:rPr>
              <w:t>135%</w:t>
            </w:r>
          </w:p>
        </w:tc>
        <w:tc>
          <w:tcPr>
            <w:tcW w:w="878" w:type="pct"/>
            <w:tcBorders>
              <w:top w:val="single" w:sz="8" w:space="0" w:color="auto"/>
              <w:left w:val="single" w:sz="4" w:space="0" w:color="auto"/>
              <w:bottom w:val="single" w:sz="4" w:space="0" w:color="auto"/>
              <w:right w:val="single" w:sz="4" w:space="0" w:color="auto"/>
            </w:tcBorders>
            <w:shd w:val="clear" w:color="auto" w:fill="FFFFFF" w:themeFill="background1"/>
            <w:vAlign w:val="center"/>
          </w:tcPr>
          <w:p w:rsidR="008C4CE4" w:rsidRPr="009A745E" w:rsidRDefault="008C4CE4" w:rsidP="003E2DD3">
            <w:pPr>
              <w:pStyle w:val="TableText0"/>
              <w:spacing w:before="0" w:after="0"/>
              <w:jc w:val="left"/>
              <w:rPr>
                <w:szCs w:val="20"/>
              </w:rPr>
            </w:pPr>
            <w:proofErr w:type="spellStart"/>
            <w:r w:rsidRPr="009A745E">
              <w:rPr>
                <w:szCs w:val="20"/>
              </w:rPr>
              <w:t>Pembrolizumab</w:t>
            </w:r>
            <w:proofErr w:type="spellEnd"/>
          </w:p>
        </w:tc>
        <w:tc>
          <w:tcPr>
            <w:tcW w:w="1144" w:type="pct"/>
            <w:tcBorders>
              <w:top w:val="single" w:sz="8" w:space="0" w:color="auto"/>
              <w:left w:val="single" w:sz="4" w:space="0" w:color="auto"/>
              <w:bottom w:val="single" w:sz="4" w:space="0" w:color="auto"/>
              <w:right w:val="single" w:sz="4" w:space="0" w:color="auto"/>
            </w:tcBorders>
            <w:shd w:val="clear" w:color="auto" w:fill="FFFFFF" w:themeFill="background1"/>
            <w:vAlign w:val="center"/>
          </w:tcPr>
          <w:p w:rsidR="008C4CE4" w:rsidRPr="00F12AD2" w:rsidRDefault="00F12AD2" w:rsidP="003E2DD3">
            <w:pPr>
              <w:jc w:val="center"/>
              <w:rPr>
                <w:rFonts w:ascii="Arial Narrow" w:hAnsi="Arial Narrow" w:cs="Arial"/>
                <w:bCs/>
                <w:sz w:val="20"/>
                <w:szCs w:val="20"/>
                <w:highlight w:val="black"/>
              </w:rPr>
            </w:pPr>
            <w:r>
              <w:rPr>
                <w:rFonts w:ascii="Arial Narrow" w:hAnsi="Arial Narrow" w:cs="Arial"/>
                <w:bCs/>
                <w:noProof/>
                <w:color w:val="000000"/>
                <w:sz w:val="20"/>
                <w:szCs w:val="20"/>
                <w:highlight w:val="black"/>
              </w:rPr>
              <w:t>'''''''''''''''''''''''''''''''''''''''''</w:t>
            </w:r>
          </w:p>
        </w:tc>
        <w:tc>
          <w:tcPr>
            <w:tcW w:w="925" w:type="pct"/>
            <w:tcBorders>
              <w:top w:val="single" w:sz="8" w:space="0" w:color="auto"/>
              <w:left w:val="single" w:sz="4" w:space="0" w:color="auto"/>
              <w:bottom w:val="single" w:sz="4" w:space="0" w:color="auto"/>
              <w:right w:val="single" w:sz="4" w:space="0" w:color="auto"/>
            </w:tcBorders>
            <w:shd w:val="clear" w:color="auto" w:fill="FFFFFF" w:themeFill="background1"/>
            <w:vAlign w:val="center"/>
          </w:tcPr>
          <w:p w:rsidR="008C4CE4" w:rsidRPr="00F12AD2" w:rsidRDefault="00F12AD2" w:rsidP="003E2DD3">
            <w:pPr>
              <w:jc w:val="center"/>
              <w:rPr>
                <w:rFonts w:ascii="Arial Narrow" w:hAnsi="Arial Narrow" w:cs="Arial"/>
                <w:bCs/>
                <w:sz w:val="20"/>
                <w:szCs w:val="20"/>
                <w:highlight w:val="black"/>
              </w:rPr>
            </w:pPr>
            <w:r>
              <w:rPr>
                <w:rFonts w:ascii="Arial Narrow" w:hAnsi="Arial Narrow" w:cs="Arial"/>
                <w:bCs/>
                <w:noProof/>
                <w:color w:val="000000"/>
                <w:sz w:val="20"/>
                <w:szCs w:val="20"/>
                <w:highlight w:val="black"/>
              </w:rPr>
              <w:t>''''''''''''''''''</w:t>
            </w:r>
          </w:p>
        </w:tc>
        <w:tc>
          <w:tcPr>
            <w:tcW w:w="1657" w:type="pct"/>
            <w:tcBorders>
              <w:top w:val="single" w:sz="8" w:space="0" w:color="auto"/>
              <w:left w:val="single" w:sz="4" w:space="0" w:color="auto"/>
              <w:bottom w:val="single" w:sz="4" w:space="0" w:color="auto"/>
              <w:right w:val="single" w:sz="4" w:space="0" w:color="auto"/>
            </w:tcBorders>
            <w:shd w:val="clear" w:color="auto" w:fill="FFFFFF" w:themeFill="background1"/>
            <w:vAlign w:val="center"/>
          </w:tcPr>
          <w:p w:rsidR="008C4CE4" w:rsidRPr="00F12AD2" w:rsidRDefault="00F12AD2" w:rsidP="003E2DD3">
            <w:pPr>
              <w:jc w:val="center"/>
              <w:rPr>
                <w:rFonts w:ascii="Arial Narrow" w:hAnsi="Arial Narrow" w:cs="Arial"/>
                <w:bCs/>
                <w:sz w:val="20"/>
                <w:szCs w:val="20"/>
                <w:highlight w:val="black"/>
              </w:rPr>
            </w:pPr>
            <w:r>
              <w:rPr>
                <w:rFonts w:ascii="Arial Narrow" w:hAnsi="Arial Narrow" w:cs="Arial"/>
                <w:bCs/>
                <w:noProof/>
                <w:color w:val="000000"/>
                <w:sz w:val="20"/>
                <w:szCs w:val="20"/>
                <w:highlight w:val="black"/>
              </w:rPr>
              <w:t>''''''''''''''''''''''''''''''''''' ''''''''''''''''''''''''</w:t>
            </w:r>
          </w:p>
        </w:tc>
      </w:tr>
      <w:tr w:rsidR="008C4CE4" w:rsidRPr="009A745E" w:rsidTr="003E2DD3">
        <w:tc>
          <w:tcPr>
            <w:tcW w:w="396" w:type="pct"/>
            <w:vMerge/>
            <w:shd w:val="clear" w:color="auto" w:fill="FFFFFF" w:themeFill="background1"/>
          </w:tcPr>
          <w:p w:rsidR="008C4CE4" w:rsidRPr="009A745E" w:rsidRDefault="008C4CE4" w:rsidP="003E2DD3">
            <w:pPr>
              <w:pStyle w:val="TableText0"/>
              <w:spacing w:before="0" w:after="0"/>
              <w:rPr>
                <w:b/>
                <w:szCs w:val="20"/>
              </w:rPr>
            </w:pPr>
          </w:p>
        </w:tc>
        <w:tc>
          <w:tcPr>
            <w:tcW w:w="87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8C4CE4" w:rsidRPr="009A745E" w:rsidRDefault="008C4CE4" w:rsidP="003E2DD3">
            <w:pPr>
              <w:pStyle w:val="TableText0"/>
              <w:spacing w:before="0" w:after="0"/>
              <w:jc w:val="left"/>
              <w:rPr>
                <w:szCs w:val="20"/>
              </w:rPr>
            </w:pPr>
            <w:proofErr w:type="spellStart"/>
            <w:r w:rsidRPr="009A745E">
              <w:rPr>
                <w:szCs w:val="20"/>
              </w:rPr>
              <w:t>Nivolumab</w:t>
            </w:r>
            <w:proofErr w:type="spellEnd"/>
          </w:p>
        </w:tc>
        <w:tc>
          <w:tcPr>
            <w:tcW w:w="1144"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8C4CE4" w:rsidRPr="00F12AD2" w:rsidRDefault="00F12AD2" w:rsidP="003E2DD3">
            <w:pPr>
              <w:jc w:val="center"/>
              <w:rPr>
                <w:rFonts w:ascii="Arial Narrow" w:hAnsi="Arial Narrow" w:cs="Arial"/>
                <w:bCs/>
                <w:sz w:val="20"/>
                <w:szCs w:val="20"/>
                <w:highlight w:val="black"/>
              </w:rPr>
            </w:pPr>
            <w:r>
              <w:rPr>
                <w:rFonts w:ascii="Arial Narrow" w:hAnsi="Arial Narrow" w:cs="Arial"/>
                <w:bCs/>
                <w:noProof/>
                <w:color w:val="000000"/>
                <w:sz w:val="20"/>
                <w:szCs w:val="20"/>
                <w:highlight w:val="black"/>
              </w:rPr>
              <w:t>'''''''''''''''''''''''''''''''''''</w:t>
            </w:r>
          </w:p>
        </w:tc>
        <w:tc>
          <w:tcPr>
            <w:tcW w:w="92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8C4CE4" w:rsidRPr="00F12AD2" w:rsidRDefault="00F12AD2" w:rsidP="003E2DD3">
            <w:pPr>
              <w:jc w:val="center"/>
              <w:rPr>
                <w:rFonts w:ascii="Arial Narrow" w:hAnsi="Arial Narrow" w:cs="Arial"/>
                <w:bCs/>
                <w:sz w:val="20"/>
                <w:szCs w:val="20"/>
                <w:highlight w:val="black"/>
              </w:rPr>
            </w:pPr>
            <w:r>
              <w:rPr>
                <w:rFonts w:ascii="Arial Narrow" w:hAnsi="Arial Narrow" w:cs="Arial"/>
                <w:bCs/>
                <w:noProof/>
                <w:color w:val="000000"/>
                <w:sz w:val="20"/>
                <w:szCs w:val="20"/>
                <w:highlight w:val="black"/>
              </w:rPr>
              <w:t>''''''''''''''</w:t>
            </w:r>
          </w:p>
        </w:tc>
        <w:tc>
          <w:tcPr>
            <w:tcW w:w="165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8C4CE4" w:rsidRPr="00F12AD2" w:rsidRDefault="00F12AD2" w:rsidP="003E2DD3">
            <w:pPr>
              <w:jc w:val="center"/>
              <w:rPr>
                <w:rFonts w:ascii="Arial Narrow" w:hAnsi="Arial Narrow" w:cs="Arial"/>
                <w:bCs/>
                <w:sz w:val="20"/>
                <w:szCs w:val="20"/>
                <w:highlight w:val="black"/>
              </w:rPr>
            </w:pPr>
            <w:r>
              <w:rPr>
                <w:rFonts w:ascii="Arial Narrow" w:hAnsi="Arial Narrow" w:cs="Arial"/>
                <w:bCs/>
                <w:noProof/>
                <w:color w:val="000000"/>
                <w:sz w:val="20"/>
                <w:szCs w:val="20"/>
                <w:highlight w:val="black"/>
              </w:rPr>
              <w:t>'''''''''''''''''''''''''' '''''''''''''''''''''''</w:t>
            </w:r>
          </w:p>
        </w:tc>
      </w:tr>
      <w:tr w:rsidR="008C4CE4" w:rsidRPr="009A745E" w:rsidTr="003E2DD3">
        <w:tc>
          <w:tcPr>
            <w:tcW w:w="396" w:type="pct"/>
            <w:vMerge/>
            <w:tcBorders>
              <w:bottom w:val="single" w:sz="8" w:space="0" w:color="auto"/>
            </w:tcBorders>
            <w:shd w:val="clear" w:color="auto" w:fill="FFFFFF" w:themeFill="background1"/>
          </w:tcPr>
          <w:p w:rsidR="008C4CE4" w:rsidRPr="009A745E" w:rsidRDefault="008C4CE4" w:rsidP="003E2DD3">
            <w:pPr>
              <w:pStyle w:val="TableText0"/>
              <w:spacing w:before="0" w:after="0"/>
              <w:rPr>
                <w:b/>
                <w:szCs w:val="20"/>
              </w:rPr>
            </w:pPr>
          </w:p>
        </w:tc>
        <w:tc>
          <w:tcPr>
            <w:tcW w:w="878" w:type="pct"/>
            <w:tcBorders>
              <w:top w:val="single" w:sz="4" w:space="0" w:color="auto"/>
              <w:left w:val="single" w:sz="4" w:space="0" w:color="auto"/>
              <w:bottom w:val="single" w:sz="8" w:space="0" w:color="auto"/>
              <w:right w:val="single" w:sz="4" w:space="0" w:color="auto"/>
            </w:tcBorders>
            <w:shd w:val="clear" w:color="auto" w:fill="FFFFFF" w:themeFill="background1"/>
            <w:vAlign w:val="center"/>
          </w:tcPr>
          <w:p w:rsidR="008C4CE4" w:rsidRPr="009A745E" w:rsidRDefault="008C4CE4" w:rsidP="003E2DD3">
            <w:pPr>
              <w:pStyle w:val="TableText0"/>
              <w:spacing w:before="0" w:after="0"/>
              <w:jc w:val="left"/>
              <w:rPr>
                <w:szCs w:val="20"/>
              </w:rPr>
            </w:pPr>
            <w:r w:rsidRPr="009A745E">
              <w:rPr>
                <w:szCs w:val="20"/>
              </w:rPr>
              <w:t>Total</w:t>
            </w:r>
          </w:p>
        </w:tc>
        <w:tc>
          <w:tcPr>
            <w:tcW w:w="1144" w:type="pct"/>
            <w:tcBorders>
              <w:top w:val="single" w:sz="4" w:space="0" w:color="auto"/>
              <w:left w:val="single" w:sz="4" w:space="0" w:color="auto"/>
              <w:bottom w:val="single" w:sz="8" w:space="0" w:color="auto"/>
              <w:right w:val="single" w:sz="4" w:space="0" w:color="auto"/>
            </w:tcBorders>
            <w:shd w:val="clear" w:color="auto" w:fill="FFFFFF" w:themeFill="background1"/>
            <w:vAlign w:val="center"/>
          </w:tcPr>
          <w:p w:rsidR="008C4CE4" w:rsidRPr="00F12AD2" w:rsidRDefault="00F12AD2" w:rsidP="003E2DD3">
            <w:pPr>
              <w:jc w:val="center"/>
              <w:rPr>
                <w:rFonts w:ascii="Arial Narrow" w:hAnsi="Arial Narrow" w:cs="Arial"/>
                <w:bCs/>
                <w:sz w:val="20"/>
                <w:szCs w:val="20"/>
                <w:highlight w:val="black"/>
              </w:rPr>
            </w:pPr>
            <w:r>
              <w:rPr>
                <w:rFonts w:ascii="Arial Narrow" w:hAnsi="Arial Narrow" w:cs="Arial"/>
                <w:bCs/>
                <w:noProof/>
                <w:color w:val="000000"/>
                <w:sz w:val="20"/>
                <w:szCs w:val="20"/>
                <w:highlight w:val="black"/>
              </w:rPr>
              <w:t>'''''''''''''''''''''''''''''''''''''''''</w:t>
            </w:r>
          </w:p>
        </w:tc>
        <w:tc>
          <w:tcPr>
            <w:tcW w:w="925" w:type="pct"/>
            <w:tcBorders>
              <w:top w:val="single" w:sz="4" w:space="0" w:color="auto"/>
              <w:left w:val="single" w:sz="4" w:space="0" w:color="auto"/>
              <w:bottom w:val="single" w:sz="8" w:space="0" w:color="auto"/>
              <w:right w:val="single" w:sz="4" w:space="0" w:color="auto"/>
            </w:tcBorders>
            <w:shd w:val="clear" w:color="auto" w:fill="FFFFFF" w:themeFill="background1"/>
            <w:vAlign w:val="center"/>
          </w:tcPr>
          <w:p w:rsidR="008C4CE4" w:rsidRPr="00F12AD2" w:rsidRDefault="00F12AD2" w:rsidP="003E2DD3">
            <w:pPr>
              <w:jc w:val="center"/>
              <w:rPr>
                <w:rFonts w:ascii="Arial Narrow" w:hAnsi="Arial Narrow" w:cs="Arial"/>
                <w:bCs/>
                <w:sz w:val="20"/>
                <w:szCs w:val="20"/>
                <w:highlight w:val="black"/>
              </w:rPr>
            </w:pPr>
            <w:r>
              <w:rPr>
                <w:rFonts w:ascii="Arial Narrow" w:hAnsi="Arial Narrow" w:cs="Arial"/>
                <w:bCs/>
                <w:noProof/>
                <w:color w:val="000000"/>
                <w:sz w:val="20"/>
                <w:szCs w:val="20"/>
                <w:highlight w:val="black"/>
              </w:rPr>
              <w:t>''''''''''''''''''''</w:t>
            </w:r>
          </w:p>
        </w:tc>
        <w:tc>
          <w:tcPr>
            <w:tcW w:w="1657" w:type="pct"/>
            <w:tcBorders>
              <w:top w:val="single" w:sz="4" w:space="0" w:color="auto"/>
              <w:left w:val="single" w:sz="4" w:space="0" w:color="auto"/>
              <w:bottom w:val="single" w:sz="8" w:space="0" w:color="auto"/>
              <w:right w:val="single" w:sz="4" w:space="0" w:color="auto"/>
            </w:tcBorders>
            <w:shd w:val="clear" w:color="auto" w:fill="FFFFFF" w:themeFill="background1"/>
            <w:vAlign w:val="center"/>
          </w:tcPr>
          <w:p w:rsidR="008C4CE4" w:rsidRPr="00F12AD2" w:rsidRDefault="00F12AD2" w:rsidP="003E2DD3">
            <w:pPr>
              <w:jc w:val="center"/>
              <w:rPr>
                <w:rFonts w:ascii="Arial Narrow" w:hAnsi="Arial Narrow" w:cs="Arial"/>
                <w:bCs/>
                <w:sz w:val="20"/>
                <w:szCs w:val="20"/>
                <w:highlight w:val="black"/>
              </w:rPr>
            </w:pPr>
            <w:r>
              <w:rPr>
                <w:rFonts w:ascii="Arial Narrow" w:hAnsi="Arial Narrow" w:cs="Arial"/>
                <w:bCs/>
                <w:noProof/>
                <w:color w:val="000000"/>
                <w:sz w:val="20"/>
                <w:szCs w:val="20"/>
                <w:highlight w:val="black"/>
              </w:rPr>
              <w:t>'''''''''''''''''''''''''''''''''</w:t>
            </w:r>
          </w:p>
        </w:tc>
      </w:tr>
      <w:tr w:rsidR="008C4CE4" w:rsidRPr="009A745E" w:rsidTr="003E2DD3">
        <w:tc>
          <w:tcPr>
            <w:tcW w:w="396" w:type="pct"/>
            <w:vMerge w:val="restart"/>
            <w:tcBorders>
              <w:top w:val="single" w:sz="8" w:space="0" w:color="auto"/>
            </w:tcBorders>
            <w:shd w:val="clear" w:color="auto" w:fill="FFFFFF" w:themeFill="background1"/>
          </w:tcPr>
          <w:p w:rsidR="008C4CE4" w:rsidRPr="009A745E" w:rsidRDefault="008C4CE4" w:rsidP="003E2DD3">
            <w:pPr>
              <w:pStyle w:val="TableText0"/>
              <w:spacing w:before="0" w:after="0"/>
              <w:rPr>
                <w:b/>
                <w:szCs w:val="20"/>
              </w:rPr>
            </w:pPr>
            <w:r w:rsidRPr="009A745E">
              <w:rPr>
                <w:b/>
                <w:szCs w:val="20"/>
              </w:rPr>
              <w:t>140%</w:t>
            </w:r>
          </w:p>
        </w:tc>
        <w:tc>
          <w:tcPr>
            <w:tcW w:w="878" w:type="pct"/>
            <w:tcBorders>
              <w:top w:val="single" w:sz="8" w:space="0" w:color="auto"/>
              <w:left w:val="single" w:sz="4" w:space="0" w:color="auto"/>
              <w:bottom w:val="single" w:sz="4" w:space="0" w:color="auto"/>
              <w:right w:val="single" w:sz="4" w:space="0" w:color="auto"/>
            </w:tcBorders>
            <w:shd w:val="clear" w:color="auto" w:fill="FFFFFF" w:themeFill="background1"/>
            <w:vAlign w:val="center"/>
          </w:tcPr>
          <w:p w:rsidR="008C4CE4" w:rsidRPr="009A745E" w:rsidRDefault="008C4CE4" w:rsidP="003E2DD3">
            <w:pPr>
              <w:pStyle w:val="TableText0"/>
              <w:spacing w:before="0" w:after="0"/>
              <w:jc w:val="left"/>
              <w:rPr>
                <w:szCs w:val="20"/>
              </w:rPr>
            </w:pPr>
            <w:proofErr w:type="spellStart"/>
            <w:r w:rsidRPr="009A745E">
              <w:rPr>
                <w:szCs w:val="20"/>
              </w:rPr>
              <w:t>Pembrolizumab</w:t>
            </w:r>
            <w:proofErr w:type="spellEnd"/>
          </w:p>
        </w:tc>
        <w:tc>
          <w:tcPr>
            <w:tcW w:w="1144" w:type="pct"/>
            <w:tcBorders>
              <w:top w:val="single" w:sz="8" w:space="0" w:color="auto"/>
              <w:left w:val="single" w:sz="4" w:space="0" w:color="auto"/>
              <w:bottom w:val="single" w:sz="4" w:space="0" w:color="auto"/>
              <w:right w:val="single" w:sz="4" w:space="0" w:color="auto"/>
            </w:tcBorders>
            <w:shd w:val="clear" w:color="auto" w:fill="FFFFFF" w:themeFill="background1"/>
            <w:vAlign w:val="center"/>
          </w:tcPr>
          <w:p w:rsidR="008C4CE4" w:rsidRPr="00F12AD2" w:rsidRDefault="00F12AD2" w:rsidP="003E2DD3">
            <w:pPr>
              <w:jc w:val="center"/>
              <w:rPr>
                <w:rFonts w:ascii="Arial Narrow" w:hAnsi="Arial Narrow" w:cs="Arial"/>
                <w:bCs/>
                <w:sz w:val="20"/>
                <w:szCs w:val="20"/>
                <w:highlight w:val="black"/>
              </w:rPr>
            </w:pPr>
            <w:r>
              <w:rPr>
                <w:rFonts w:ascii="Arial Narrow" w:hAnsi="Arial Narrow" w:cs="Arial"/>
                <w:bCs/>
                <w:noProof/>
                <w:color w:val="000000"/>
                <w:sz w:val="20"/>
                <w:szCs w:val="20"/>
                <w:highlight w:val="black"/>
              </w:rPr>
              <w:t>'''''''''''''''''''''''''''''''''''</w:t>
            </w:r>
          </w:p>
        </w:tc>
        <w:tc>
          <w:tcPr>
            <w:tcW w:w="925" w:type="pct"/>
            <w:tcBorders>
              <w:top w:val="single" w:sz="8" w:space="0" w:color="auto"/>
              <w:left w:val="single" w:sz="4" w:space="0" w:color="auto"/>
              <w:bottom w:val="single" w:sz="4" w:space="0" w:color="auto"/>
              <w:right w:val="single" w:sz="4" w:space="0" w:color="auto"/>
            </w:tcBorders>
            <w:shd w:val="clear" w:color="auto" w:fill="FFFFFF" w:themeFill="background1"/>
            <w:vAlign w:val="center"/>
          </w:tcPr>
          <w:p w:rsidR="008C4CE4" w:rsidRPr="00F12AD2" w:rsidRDefault="00F12AD2" w:rsidP="003E2DD3">
            <w:pPr>
              <w:jc w:val="center"/>
              <w:rPr>
                <w:rFonts w:ascii="Arial Narrow" w:hAnsi="Arial Narrow" w:cs="Arial"/>
                <w:bCs/>
                <w:sz w:val="20"/>
                <w:szCs w:val="20"/>
                <w:highlight w:val="black"/>
              </w:rPr>
            </w:pPr>
            <w:r>
              <w:rPr>
                <w:rFonts w:ascii="Arial Narrow" w:hAnsi="Arial Narrow" w:cs="Arial"/>
                <w:bCs/>
                <w:noProof/>
                <w:color w:val="000000"/>
                <w:sz w:val="20"/>
                <w:szCs w:val="20"/>
                <w:highlight w:val="black"/>
              </w:rPr>
              <w:t>'''''''''''''''''''</w:t>
            </w:r>
          </w:p>
        </w:tc>
        <w:tc>
          <w:tcPr>
            <w:tcW w:w="1657" w:type="pct"/>
            <w:tcBorders>
              <w:top w:val="single" w:sz="8" w:space="0" w:color="auto"/>
              <w:left w:val="single" w:sz="4" w:space="0" w:color="auto"/>
              <w:bottom w:val="single" w:sz="4" w:space="0" w:color="auto"/>
              <w:right w:val="single" w:sz="4" w:space="0" w:color="auto"/>
            </w:tcBorders>
            <w:shd w:val="clear" w:color="auto" w:fill="FFFFFF" w:themeFill="background1"/>
            <w:vAlign w:val="center"/>
          </w:tcPr>
          <w:p w:rsidR="008C4CE4" w:rsidRPr="00F12AD2" w:rsidRDefault="00F12AD2" w:rsidP="003E2DD3">
            <w:pPr>
              <w:jc w:val="center"/>
              <w:rPr>
                <w:rFonts w:ascii="Arial Narrow" w:hAnsi="Arial Narrow" w:cs="Arial"/>
                <w:bCs/>
                <w:sz w:val="20"/>
                <w:szCs w:val="20"/>
                <w:highlight w:val="black"/>
              </w:rPr>
            </w:pPr>
            <w:r>
              <w:rPr>
                <w:rFonts w:ascii="Arial Narrow" w:hAnsi="Arial Narrow" w:cs="Arial"/>
                <w:bCs/>
                <w:noProof/>
                <w:color w:val="000000"/>
                <w:sz w:val="20"/>
                <w:szCs w:val="20"/>
                <w:highlight w:val="black"/>
              </w:rPr>
              <w:t>'''''''''''''''''''''''''''''' '''''''''''''''''''''''''''</w:t>
            </w:r>
          </w:p>
        </w:tc>
      </w:tr>
      <w:tr w:rsidR="008C4CE4" w:rsidRPr="009A745E" w:rsidTr="003E2DD3">
        <w:tc>
          <w:tcPr>
            <w:tcW w:w="396" w:type="pct"/>
            <w:vMerge/>
            <w:shd w:val="clear" w:color="auto" w:fill="FFFFFF" w:themeFill="background1"/>
          </w:tcPr>
          <w:p w:rsidR="008C4CE4" w:rsidRPr="009A745E" w:rsidRDefault="008C4CE4" w:rsidP="003E2DD3">
            <w:pPr>
              <w:pStyle w:val="TableText0"/>
              <w:spacing w:before="0" w:after="0"/>
              <w:rPr>
                <w:b/>
                <w:szCs w:val="20"/>
              </w:rPr>
            </w:pPr>
          </w:p>
        </w:tc>
        <w:tc>
          <w:tcPr>
            <w:tcW w:w="87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8C4CE4" w:rsidRPr="009A745E" w:rsidRDefault="008C4CE4" w:rsidP="003E2DD3">
            <w:pPr>
              <w:pStyle w:val="TableText0"/>
              <w:spacing w:before="0" w:after="0"/>
              <w:jc w:val="left"/>
              <w:rPr>
                <w:szCs w:val="20"/>
              </w:rPr>
            </w:pPr>
            <w:proofErr w:type="spellStart"/>
            <w:r w:rsidRPr="009A745E">
              <w:rPr>
                <w:szCs w:val="20"/>
              </w:rPr>
              <w:t>Nivolumab</w:t>
            </w:r>
            <w:proofErr w:type="spellEnd"/>
          </w:p>
        </w:tc>
        <w:tc>
          <w:tcPr>
            <w:tcW w:w="1144"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8C4CE4" w:rsidRPr="00F12AD2" w:rsidRDefault="00F12AD2" w:rsidP="003E2DD3">
            <w:pPr>
              <w:jc w:val="center"/>
              <w:rPr>
                <w:rFonts w:ascii="Arial Narrow" w:hAnsi="Arial Narrow" w:cs="Arial"/>
                <w:bCs/>
                <w:sz w:val="20"/>
                <w:szCs w:val="20"/>
                <w:highlight w:val="black"/>
              </w:rPr>
            </w:pPr>
            <w:r>
              <w:rPr>
                <w:rFonts w:ascii="Arial Narrow" w:hAnsi="Arial Narrow" w:cs="Arial"/>
                <w:bCs/>
                <w:noProof/>
                <w:color w:val="000000"/>
                <w:sz w:val="20"/>
                <w:szCs w:val="20"/>
                <w:highlight w:val="black"/>
              </w:rPr>
              <w:t>'''''''''''''''''''''''''''''''''</w:t>
            </w:r>
          </w:p>
        </w:tc>
        <w:tc>
          <w:tcPr>
            <w:tcW w:w="92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8C4CE4" w:rsidRPr="00F12AD2" w:rsidRDefault="00F12AD2" w:rsidP="003E2DD3">
            <w:pPr>
              <w:jc w:val="center"/>
              <w:rPr>
                <w:rFonts w:ascii="Arial Narrow" w:hAnsi="Arial Narrow" w:cs="Arial"/>
                <w:bCs/>
                <w:sz w:val="20"/>
                <w:szCs w:val="20"/>
                <w:highlight w:val="black"/>
              </w:rPr>
            </w:pPr>
            <w:r>
              <w:rPr>
                <w:rFonts w:ascii="Arial Narrow" w:hAnsi="Arial Narrow" w:cs="Arial"/>
                <w:bCs/>
                <w:noProof/>
                <w:color w:val="000000"/>
                <w:sz w:val="20"/>
                <w:szCs w:val="20"/>
                <w:highlight w:val="black"/>
              </w:rPr>
              <w:t>'''''''''''''''</w:t>
            </w:r>
          </w:p>
        </w:tc>
        <w:tc>
          <w:tcPr>
            <w:tcW w:w="165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8C4CE4" w:rsidRPr="00F12AD2" w:rsidRDefault="00F12AD2" w:rsidP="003E2DD3">
            <w:pPr>
              <w:jc w:val="center"/>
              <w:rPr>
                <w:rFonts w:ascii="Arial Narrow" w:hAnsi="Arial Narrow" w:cs="Arial"/>
                <w:bCs/>
                <w:sz w:val="20"/>
                <w:szCs w:val="20"/>
                <w:highlight w:val="black"/>
              </w:rPr>
            </w:pPr>
            <w:r>
              <w:rPr>
                <w:rFonts w:ascii="Arial Narrow" w:hAnsi="Arial Narrow" w:cs="Arial"/>
                <w:bCs/>
                <w:noProof/>
                <w:color w:val="000000"/>
                <w:sz w:val="20"/>
                <w:szCs w:val="20"/>
                <w:highlight w:val="black"/>
              </w:rPr>
              <w:t>''''''''''''''''''''''''' '''''''''''''''''''''''</w:t>
            </w:r>
          </w:p>
        </w:tc>
      </w:tr>
      <w:tr w:rsidR="008C4CE4" w:rsidRPr="009A745E" w:rsidTr="003E2DD3">
        <w:tc>
          <w:tcPr>
            <w:tcW w:w="396" w:type="pct"/>
            <w:vMerge/>
            <w:tcBorders>
              <w:bottom w:val="single" w:sz="8" w:space="0" w:color="auto"/>
            </w:tcBorders>
            <w:shd w:val="clear" w:color="auto" w:fill="FFFFFF" w:themeFill="background1"/>
          </w:tcPr>
          <w:p w:rsidR="008C4CE4" w:rsidRPr="009A745E" w:rsidRDefault="008C4CE4" w:rsidP="003E2DD3">
            <w:pPr>
              <w:pStyle w:val="TableText0"/>
              <w:spacing w:before="0" w:after="0"/>
              <w:rPr>
                <w:b/>
                <w:szCs w:val="20"/>
              </w:rPr>
            </w:pPr>
          </w:p>
        </w:tc>
        <w:tc>
          <w:tcPr>
            <w:tcW w:w="878" w:type="pct"/>
            <w:tcBorders>
              <w:top w:val="single" w:sz="4" w:space="0" w:color="auto"/>
              <w:left w:val="single" w:sz="4" w:space="0" w:color="auto"/>
              <w:bottom w:val="single" w:sz="8" w:space="0" w:color="auto"/>
              <w:right w:val="single" w:sz="4" w:space="0" w:color="auto"/>
            </w:tcBorders>
            <w:shd w:val="clear" w:color="auto" w:fill="FFFFFF" w:themeFill="background1"/>
            <w:vAlign w:val="center"/>
          </w:tcPr>
          <w:p w:rsidR="008C4CE4" w:rsidRPr="009A745E" w:rsidRDefault="008C4CE4" w:rsidP="003E2DD3">
            <w:pPr>
              <w:pStyle w:val="TableText0"/>
              <w:spacing w:before="0" w:after="0"/>
              <w:jc w:val="left"/>
              <w:rPr>
                <w:szCs w:val="20"/>
              </w:rPr>
            </w:pPr>
            <w:r w:rsidRPr="009A745E">
              <w:rPr>
                <w:szCs w:val="20"/>
              </w:rPr>
              <w:t>Total</w:t>
            </w:r>
          </w:p>
        </w:tc>
        <w:tc>
          <w:tcPr>
            <w:tcW w:w="1144" w:type="pct"/>
            <w:tcBorders>
              <w:top w:val="single" w:sz="4" w:space="0" w:color="auto"/>
              <w:left w:val="single" w:sz="4" w:space="0" w:color="auto"/>
              <w:bottom w:val="single" w:sz="8" w:space="0" w:color="auto"/>
              <w:right w:val="single" w:sz="4" w:space="0" w:color="auto"/>
            </w:tcBorders>
            <w:shd w:val="clear" w:color="auto" w:fill="FFFFFF" w:themeFill="background1"/>
            <w:vAlign w:val="center"/>
          </w:tcPr>
          <w:p w:rsidR="008C4CE4" w:rsidRPr="00F12AD2" w:rsidRDefault="00F12AD2" w:rsidP="003E2DD3">
            <w:pPr>
              <w:jc w:val="center"/>
              <w:rPr>
                <w:rFonts w:ascii="Arial Narrow" w:hAnsi="Arial Narrow" w:cs="Arial"/>
                <w:bCs/>
                <w:sz w:val="20"/>
                <w:szCs w:val="20"/>
                <w:highlight w:val="black"/>
              </w:rPr>
            </w:pPr>
            <w:r>
              <w:rPr>
                <w:rFonts w:ascii="Arial Narrow" w:hAnsi="Arial Narrow" w:cs="Arial"/>
                <w:bCs/>
                <w:noProof/>
                <w:color w:val="000000"/>
                <w:sz w:val="20"/>
                <w:szCs w:val="20"/>
                <w:highlight w:val="black"/>
              </w:rPr>
              <w:t>'''''''''''''''''''''''''''''''''''''''</w:t>
            </w:r>
          </w:p>
        </w:tc>
        <w:tc>
          <w:tcPr>
            <w:tcW w:w="925" w:type="pct"/>
            <w:tcBorders>
              <w:top w:val="single" w:sz="4" w:space="0" w:color="auto"/>
              <w:left w:val="single" w:sz="4" w:space="0" w:color="auto"/>
              <w:bottom w:val="single" w:sz="8" w:space="0" w:color="auto"/>
              <w:right w:val="single" w:sz="4" w:space="0" w:color="auto"/>
            </w:tcBorders>
            <w:shd w:val="clear" w:color="auto" w:fill="FFFFFF" w:themeFill="background1"/>
            <w:vAlign w:val="center"/>
          </w:tcPr>
          <w:p w:rsidR="008C4CE4" w:rsidRPr="00F12AD2" w:rsidRDefault="00F12AD2" w:rsidP="003E2DD3">
            <w:pPr>
              <w:jc w:val="center"/>
              <w:rPr>
                <w:rFonts w:ascii="Arial Narrow" w:hAnsi="Arial Narrow" w:cs="Arial"/>
                <w:bCs/>
                <w:sz w:val="20"/>
                <w:szCs w:val="20"/>
                <w:highlight w:val="black"/>
              </w:rPr>
            </w:pPr>
            <w:r>
              <w:rPr>
                <w:rFonts w:ascii="Arial Narrow" w:hAnsi="Arial Narrow" w:cs="Arial"/>
                <w:bCs/>
                <w:noProof/>
                <w:color w:val="000000"/>
                <w:sz w:val="20"/>
                <w:szCs w:val="20"/>
                <w:highlight w:val="black"/>
              </w:rPr>
              <w:t>''''''''''''''''''''''</w:t>
            </w:r>
          </w:p>
        </w:tc>
        <w:tc>
          <w:tcPr>
            <w:tcW w:w="1657" w:type="pct"/>
            <w:tcBorders>
              <w:top w:val="single" w:sz="4" w:space="0" w:color="auto"/>
              <w:left w:val="single" w:sz="4" w:space="0" w:color="auto"/>
              <w:bottom w:val="single" w:sz="8" w:space="0" w:color="auto"/>
              <w:right w:val="single" w:sz="4" w:space="0" w:color="auto"/>
            </w:tcBorders>
            <w:shd w:val="clear" w:color="auto" w:fill="FFFFFF" w:themeFill="background1"/>
            <w:vAlign w:val="center"/>
          </w:tcPr>
          <w:p w:rsidR="008C4CE4" w:rsidRPr="00F12AD2" w:rsidRDefault="00F12AD2" w:rsidP="003E2DD3">
            <w:pPr>
              <w:jc w:val="center"/>
              <w:rPr>
                <w:rFonts w:ascii="Arial Narrow" w:hAnsi="Arial Narrow" w:cs="Arial"/>
                <w:bCs/>
                <w:sz w:val="20"/>
                <w:szCs w:val="20"/>
                <w:highlight w:val="black"/>
              </w:rPr>
            </w:pPr>
            <w:r>
              <w:rPr>
                <w:rFonts w:ascii="Arial Narrow" w:hAnsi="Arial Narrow" w:cs="Arial"/>
                <w:bCs/>
                <w:noProof/>
                <w:color w:val="000000"/>
                <w:sz w:val="20"/>
                <w:szCs w:val="20"/>
                <w:highlight w:val="black"/>
              </w:rPr>
              <w:t>'''''''''''''''''''''''''''''''''</w:t>
            </w:r>
          </w:p>
        </w:tc>
      </w:tr>
      <w:tr w:rsidR="008C4CE4" w:rsidRPr="009A745E" w:rsidTr="003E2DD3">
        <w:tc>
          <w:tcPr>
            <w:tcW w:w="396" w:type="pct"/>
            <w:vMerge w:val="restart"/>
            <w:tcBorders>
              <w:top w:val="single" w:sz="8" w:space="0" w:color="auto"/>
            </w:tcBorders>
            <w:shd w:val="clear" w:color="auto" w:fill="FFFFFF" w:themeFill="background1"/>
          </w:tcPr>
          <w:p w:rsidR="008C4CE4" w:rsidRPr="009A745E" w:rsidRDefault="008C4CE4" w:rsidP="003E2DD3">
            <w:pPr>
              <w:pStyle w:val="TableText0"/>
              <w:spacing w:before="0" w:after="0"/>
              <w:rPr>
                <w:b/>
                <w:szCs w:val="20"/>
              </w:rPr>
            </w:pPr>
            <w:r w:rsidRPr="009A745E">
              <w:rPr>
                <w:b/>
                <w:szCs w:val="20"/>
              </w:rPr>
              <w:t>145%</w:t>
            </w:r>
          </w:p>
        </w:tc>
        <w:tc>
          <w:tcPr>
            <w:tcW w:w="878" w:type="pct"/>
            <w:tcBorders>
              <w:top w:val="single" w:sz="8" w:space="0" w:color="auto"/>
              <w:left w:val="single" w:sz="4" w:space="0" w:color="auto"/>
              <w:bottom w:val="single" w:sz="4" w:space="0" w:color="auto"/>
              <w:right w:val="single" w:sz="4" w:space="0" w:color="auto"/>
            </w:tcBorders>
            <w:shd w:val="clear" w:color="auto" w:fill="FFFFFF" w:themeFill="background1"/>
            <w:vAlign w:val="center"/>
          </w:tcPr>
          <w:p w:rsidR="008C4CE4" w:rsidRPr="009A745E" w:rsidRDefault="008C4CE4" w:rsidP="003E2DD3">
            <w:pPr>
              <w:pStyle w:val="TableText0"/>
              <w:spacing w:before="0" w:after="0"/>
              <w:jc w:val="left"/>
              <w:rPr>
                <w:szCs w:val="20"/>
              </w:rPr>
            </w:pPr>
            <w:proofErr w:type="spellStart"/>
            <w:r w:rsidRPr="009A745E">
              <w:rPr>
                <w:szCs w:val="20"/>
              </w:rPr>
              <w:t>Pembrolizumab</w:t>
            </w:r>
            <w:proofErr w:type="spellEnd"/>
          </w:p>
        </w:tc>
        <w:tc>
          <w:tcPr>
            <w:tcW w:w="1144" w:type="pct"/>
            <w:tcBorders>
              <w:top w:val="single" w:sz="8" w:space="0" w:color="auto"/>
              <w:left w:val="single" w:sz="4" w:space="0" w:color="auto"/>
              <w:bottom w:val="single" w:sz="4" w:space="0" w:color="auto"/>
              <w:right w:val="single" w:sz="4" w:space="0" w:color="auto"/>
            </w:tcBorders>
            <w:shd w:val="clear" w:color="auto" w:fill="FFFFFF" w:themeFill="background1"/>
            <w:vAlign w:val="center"/>
          </w:tcPr>
          <w:p w:rsidR="008C4CE4" w:rsidRPr="00F12AD2" w:rsidRDefault="00F12AD2" w:rsidP="003E2DD3">
            <w:pPr>
              <w:jc w:val="center"/>
              <w:rPr>
                <w:rFonts w:ascii="Arial Narrow" w:hAnsi="Arial Narrow" w:cs="Arial"/>
                <w:bCs/>
                <w:sz w:val="20"/>
                <w:szCs w:val="20"/>
                <w:highlight w:val="black"/>
              </w:rPr>
            </w:pPr>
            <w:r>
              <w:rPr>
                <w:rFonts w:ascii="Arial Narrow" w:hAnsi="Arial Narrow" w:cs="Arial"/>
                <w:bCs/>
                <w:noProof/>
                <w:color w:val="000000"/>
                <w:sz w:val="20"/>
                <w:szCs w:val="20"/>
                <w:highlight w:val="black"/>
              </w:rPr>
              <w:t>''''''''''''''''''''''''''''''''''''''''''</w:t>
            </w:r>
          </w:p>
        </w:tc>
        <w:tc>
          <w:tcPr>
            <w:tcW w:w="925" w:type="pct"/>
            <w:tcBorders>
              <w:top w:val="single" w:sz="8" w:space="0" w:color="auto"/>
              <w:left w:val="single" w:sz="4" w:space="0" w:color="auto"/>
              <w:bottom w:val="single" w:sz="4" w:space="0" w:color="auto"/>
              <w:right w:val="single" w:sz="4" w:space="0" w:color="auto"/>
            </w:tcBorders>
            <w:shd w:val="clear" w:color="auto" w:fill="FFFFFF" w:themeFill="background1"/>
            <w:vAlign w:val="center"/>
          </w:tcPr>
          <w:p w:rsidR="008C4CE4" w:rsidRPr="00F12AD2" w:rsidRDefault="00F12AD2" w:rsidP="003E2DD3">
            <w:pPr>
              <w:jc w:val="center"/>
              <w:rPr>
                <w:rFonts w:ascii="Arial Narrow" w:hAnsi="Arial Narrow" w:cs="Arial"/>
                <w:bCs/>
                <w:sz w:val="20"/>
                <w:szCs w:val="20"/>
                <w:highlight w:val="black"/>
              </w:rPr>
            </w:pPr>
            <w:r>
              <w:rPr>
                <w:rFonts w:ascii="Arial Narrow" w:hAnsi="Arial Narrow" w:cs="Arial"/>
                <w:bCs/>
                <w:noProof/>
                <w:color w:val="000000"/>
                <w:sz w:val="20"/>
                <w:szCs w:val="20"/>
                <w:highlight w:val="black"/>
              </w:rPr>
              <w:t>'''''''''''''''''''</w:t>
            </w:r>
          </w:p>
        </w:tc>
        <w:tc>
          <w:tcPr>
            <w:tcW w:w="1657" w:type="pct"/>
            <w:tcBorders>
              <w:top w:val="single" w:sz="8" w:space="0" w:color="auto"/>
              <w:left w:val="single" w:sz="4" w:space="0" w:color="auto"/>
              <w:bottom w:val="single" w:sz="4" w:space="0" w:color="auto"/>
              <w:right w:val="single" w:sz="4" w:space="0" w:color="auto"/>
            </w:tcBorders>
            <w:shd w:val="clear" w:color="auto" w:fill="FFFFFF" w:themeFill="background1"/>
            <w:vAlign w:val="center"/>
          </w:tcPr>
          <w:p w:rsidR="008C4CE4" w:rsidRPr="00F12AD2" w:rsidRDefault="00F12AD2" w:rsidP="003E2DD3">
            <w:pPr>
              <w:jc w:val="center"/>
              <w:rPr>
                <w:rFonts w:ascii="Arial Narrow" w:hAnsi="Arial Narrow" w:cs="Arial"/>
                <w:bCs/>
                <w:sz w:val="20"/>
                <w:szCs w:val="20"/>
                <w:highlight w:val="black"/>
              </w:rPr>
            </w:pPr>
            <w:r>
              <w:rPr>
                <w:rFonts w:ascii="Arial Narrow" w:hAnsi="Arial Narrow" w:cs="Arial"/>
                <w:bCs/>
                <w:noProof/>
                <w:color w:val="000000"/>
                <w:sz w:val="20"/>
                <w:szCs w:val="20"/>
                <w:highlight w:val="black"/>
              </w:rPr>
              <w:t>'''''''''''''''''''''''''''''''''' ''''''''''''''''''''''''</w:t>
            </w:r>
          </w:p>
        </w:tc>
      </w:tr>
      <w:tr w:rsidR="008C4CE4" w:rsidRPr="009A745E" w:rsidTr="003E2DD3">
        <w:tc>
          <w:tcPr>
            <w:tcW w:w="396" w:type="pct"/>
            <w:vMerge/>
            <w:shd w:val="clear" w:color="auto" w:fill="FFFFFF" w:themeFill="background1"/>
          </w:tcPr>
          <w:p w:rsidR="008C4CE4" w:rsidRPr="009A745E" w:rsidRDefault="008C4CE4" w:rsidP="003E2DD3">
            <w:pPr>
              <w:pStyle w:val="TableText0"/>
              <w:spacing w:before="0" w:after="0"/>
              <w:rPr>
                <w:b/>
                <w:szCs w:val="20"/>
              </w:rPr>
            </w:pPr>
          </w:p>
        </w:tc>
        <w:tc>
          <w:tcPr>
            <w:tcW w:w="87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8C4CE4" w:rsidRPr="009A745E" w:rsidRDefault="008C4CE4" w:rsidP="003E2DD3">
            <w:pPr>
              <w:pStyle w:val="TableText0"/>
              <w:spacing w:before="0" w:after="0"/>
              <w:jc w:val="left"/>
              <w:rPr>
                <w:szCs w:val="20"/>
              </w:rPr>
            </w:pPr>
            <w:proofErr w:type="spellStart"/>
            <w:r w:rsidRPr="009A745E">
              <w:rPr>
                <w:szCs w:val="20"/>
              </w:rPr>
              <w:t>Nivolumab</w:t>
            </w:r>
            <w:proofErr w:type="spellEnd"/>
          </w:p>
        </w:tc>
        <w:tc>
          <w:tcPr>
            <w:tcW w:w="1144"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8C4CE4" w:rsidRPr="00F12AD2" w:rsidRDefault="00F12AD2" w:rsidP="003E2DD3">
            <w:pPr>
              <w:jc w:val="center"/>
              <w:rPr>
                <w:rFonts w:ascii="Arial Narrow" w:hAnsi="Arial Narrow" w:cs="Arial"/>
                <w:bCs/>
                <w:sz w:val="20"/>
                <w:szCs w:val="20"/>
                <w:highlight w:val="black"/>
              </w:rPr>
            </w:pPr>
            <w:r>
              <w:rPr>
                <w:rFonts w:ascii="Arial Narrow" w:hAnsi="Arial Narrow" w:cs="Arial"/>
                <w:bCs/>
                <w:noProof/>
                <w:color w:val="000000"/>
                <w:sz w:val="20"/>
                <w:szCs w:val="20"/>
                <w:highlight w:val="black"/>
              </w:rPr>
              <w:t>'''''''''''''''''''''''''''''''''</w:t>
            </w:r>
          </w:p>
        </w:tc>
        <w:tc>
          <w:tcPr>
            <w:tcW w:w="92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8C4CE4" w:rsidRPr="00F12AD2" w:rsidRDefault="00F12AD2" w:rsidP="003E2DD3">
            <w:pPr>
              <w:jc w:val="center"/>
              <w:rPr>
                <w:rFonts w:ascii="Arial Narrow" w:hAnsi="Arial Narrow" w:cs="Arial"/>
                <w:bCs/>
                <w:sz w:val="20"/>
                <w:szCs w:val="20"/>
                <w:highlight w:val="black"/>
              </w:rPr>
            </w:pPr>
            <w:r>
              <w:rPr>
                <w:rFonts w:ascii="Arial Narrow" w:hAnsi="Arial Narrow" w:cs="Arial"/>
                <w:bCs/>
                <w:noProof/>
                <w:color w:val="000000"/>
                <w:sz w:val="20"/>
                <w:szCs w:val="20"/>
                <w:highlight w:val="black"/>
              </w:rPr>
              <w:t>'''''''''''''''</w:t>
            </w:r>
          </w:p>
        </w:tc>
        <w:tc>
          <w:tcPr>
            <w:tcW w:w="165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8C4CE4" w:rsidRPr="00F12AD2" w:rsidRDefault="00F12AD2" w:rsidP="003E2DD3">
            <w:pPr>
              <w:jc w:val="center"/>
              <w:rPr>
                <w:rFonts w:ascii="Arial Narrow" w:hAnsi="Arial Narrow" w:cs="Arial"/>
                <w:bCs/>
                <w:sz w:val="20"/>
                <w:szCs w:val="20"/>
                <w:highlight w:val="black"/>
              </w:rPr>
            </w:pPr>
            <w:r>
              <w:rPr>
                <w:rFonts w:ascii="Arial Narrow" w:hAnsi="Arial Narrow" w:cs="Arial"/>
                <w:bCs/>
                <w:noProof/>
                <w:color w:val="000000"/>
                <w:sz w:val="20"/>
                <w:szCs w:val="20"/>
                <w:highlight w:val="black"/>
              </w:rPr>
              <w:t>'''''''''''''''''''''''' ''''''''''''''''''''</w:t>
            </w:r>
          </w:p>
        </w:tc>
      </w:tr>
      <w:tr w:rsidR="008C4CE4" w:rsidRPr="009A745E" w:rsidTr="003E2DD3">
        <w:tc>
          <w:tcPr>
            <w:tcW w:w="396" w:type="pct"/>
            <w:vMerge/>
            <w:tcBorders>
              <w:bottom w:val="single" w:sz="8" w:space="0" w:color="auto"/>
            </w:tcBorders>
            <w:shd w:val="clear" w:color="auto" w:fill="FFFFFF" w:themeFill="background1"/>
          </w:tcPr>
          <w:p w:rsidR="008C4CE4" w:rsidRPr="009A745E" w:rsidRDefault="008C4CE4" w:rsidP="003E2DD3">
            <w:pPr>
              <w:pStyle w:val="TableText0"/>
              <w:spacing w:before="0" w:after="0"/>
              <w:rPr>
                <w:b/>
                <w:szCs w:val="20"/>
              </w:rPr>
            </w:pPr>
          </w:p>
        </w:tc>
        <w:tc>
          <w:tcPr>
            <w:tcW w:w="878" w:type="pct"/>
            <w:tcBorders>
              <w:top w:val="single" w:sz="4" w:space="0" w:color="auto"/>
              <w:left w:val="single" w:sz="4" w:space="0" w:color="auto"/>
              <w:bottom w:val="single" w:sz="8" w:space="0" w:color="auto"/>
              <w:right w:val="single" w:sz="4" w:space="0" w:color="auto"/>
            </w:tcBorders>
            <w:shd w:val="clear" w:color="auto" w:fill="FFFFFF" w:themeFill="background1"/>
            <w:vAlign w:val="center"/>
          </w:tcPr>
          <w:p w:rsidR="008C4CE4" w:rsidRPr="009A745E" w:rsidRDefault="008C4CE4" w:rsidP="003E2DD3">
            <w:pPr>
              <w:pStyle w:val="TableText0"/>
              <w:spacing w:before="0" w:after="0"/>
              <w:jc w:val="left"/>
              <w:rPr>
                <w:szCs w:val="20"/>
              </w:rPr>
            </w:pPr>
            <w:r w:rsidRPr="009A745E">
              <w:rPr>
                <w:szCs w:val="20"/>
              </w:rPr>
              <w:t>Total</w:t>
            </w:r>
          </w:p>
        </w:tc>
        <w:tc>
          <w:tcPr>
            <w:tcW w:w="1144" w:type="pct"/>
            <w:tcBorders>
              <w:top w:val="single" w:sz="4" w:space="0" w:color="auto"/>
              <w:left w:val="single" w:sz="4" w:space="0" w:color="auto"/>
              <w:bottom w:val="single" w:sz="8" w:space="0" w:color="auto"/>
              <w:right w:val="single" w:sz="4" w:space="0" w:color="auto"/>
            </w:tcBorders>
            <w:shd w:val="clear" w:color="auto" w:fill="FFFFFF" w:themeFill="background1"/>
            <w:vAlign w:val="center"/>
          </w:tcPr>
          <w:p w:rsidR="008C4CE4" w:rsidRPr="00F12AD2" w:rsidRDefault="00F12AD2" w:rsidP="003E2DD3">
            <w:pPr>
              <w:jc w:val="center"/>
              <w:rPr>
                <w:rFonts w:ascii="Arial Narrow" w:hAnsi="Arial Narrow" w:cs="Arial"/>
                <w:bCs/>
                <w:sz w:val="20"/>
                <w:szCs w:val="20"/>
                <w:highlight w:val="black"/>
              </w:rPr>
            </w:pPr>
            <w:r>
              <w:rPr>
                <w:rFonts w:ascii="Arial Narrow" w:hAnsi="Arial Narrow" w:cs="Arial"/>
                <w:bCs/>
                <w:noProof/>
                <w:color w:val="000000"/>
                <w:sz w:val="20"/>
                <w:szCs w:val="20"/>
                <w:highlight w:val="black"/>
              </w:rPr>
              <w:t>'''''''''''''''''''''''''''''''''''''''</w:t>
            </w:r>
          </w:p>
        </w:tc>
        <w:tc>
          <w:tcPr>
            <w:tcW w:w="925" w:type="pct"/>
            <w:tcBorders>
              <w:top w:val="single" w:sz="4" w:space="0" w:color="auto"/>
              <w:left w:val="single" w:sz="4" w:space="0" w:color="auto"/>
              <w:bottom w:val="single" w:sz="8" w:space="0" w:color="auto"/>
              <w:right w:val="single" w:sz="4" w:space="0" w:color="auto"/>
            </w:tcBorders>
            <w:shd w:val="clear" w:color="auto" w:fill="FFFFFF" w:themeFill="background1"/>
            <w:vAlign w:val="center"/>
          </w:tcPr>
          <w:p w:rsidR="008C4CE4" w:rsidRPr="00F12AD2" w:rsidRDefault="00F12AD2" w:rsidP="003E2DD3">
            <w:pPr>
              <w:jc w:val="center"/>
              <w:rPr>
                <w:rFonts w:ascii="Arial Narrow" w:hAnsi="Arial Narrow" w:cs="Arial"/>
                <w:bCs/>
                <w:sz w:val="20"/>
                <w:szCs w:val="20"/>
                <w:highlight w:val="black"/>
              </w:rPr>
            </w:pPr>
            <w:r>
              <w:rPr>
                <w:rFonts w:ascii="Arial Narrow" w:hAnsi="Arial Narrow" w:cs="Arial"/>
                <w:bCs/>
                <w:noProof/>
                <w:color w:val="000000"/>
                <w:sz w:val="20"/>
                <w:szCs w:val="20"/>
                <w:highlight w:val="black"/>
              </w:rPr>
              <w:t>''''''''''''''''''''''</w:t>
            </w:r>
          </w:p>
        </w:tc>
        <w:tc>
          <w:tcPr>
            <w:tcW w:w="1657" w:type="pct"/>
            <w:tcBorders>
              <w:top w:val="single" w:sz="4" w:space="0" w:color="auto"/>
              <w:left w:val="single" w:sz="4" w:space="0" w:color="auto"/>
              <w:bottom w:val="single" w:sz="8" w:space="0" w:color="auto"/>
              <w:right w:val="single" w:sz="4" w:space="0" w:color="auto"/>
            </w:tcBorders>
            <w:shd w:val="clear" w:color="auto" w:fill="FFFFFF" w:themeFill="background1"/>
            <w:vAlign w:val="center"/>
          </w:tcPr>
          <w:p w:rsidR="008C4CE4" w:rsidRPr="00F12AD2" w:rsidRDefault="00F12AD2" w:rsidP="003E2DD3">
            <w:pPr>
              <w:jc w:val="center"/>
              <w:rPr>
                <w:rFonts w:ascii="Arial Narrow" w:hAnsi="Arial Narrow" w:cs="Arial"/>
                <w:bCs/>
                <w:sz w:val="20"/>
                <w:szCs w:val="20"/>
                <w:highlight w:val="black"/>
              </w:rPr>
            </w:pPr>
            <w:r>
              <w:rPr>
                <w:rFonts w:ascii="Arial Narrow" w:hAnsi="Arial Narrow" w:cs="Arial"/>
                <w:bCs/>
                <w:noProof/>
                <w:color w:val="000000"/>
                <w:sz w:val="20"/>
                <w:szCs w:val="20"/>
                <w:highlight w:val="black"/>
              </w:rPr>
              <w:t>''''''''''''''''''''''''''''''''</w:t>
            </w:r>
          </w:p>
        </w:tc>
      </w:tr>
      <w:tr w:rsidR="008C4CE4" w:rsidRPr="009A745E" w:rsidTr="003E2DD3">
        <w:tc>
          <w:tcPr>
            <w:tcW w:w="396" w:type="pct"/>
            <w:vMerge w:val="restart"/>
            <w:tcBorders>
              <w:top w:val="single" w:sz="8" w:space="0" w:color="auto"/>
            </w:tcBorders>
            <w:shd w:val="clear" w:color="auto" w:fill="FFFFFF" w:themeFill="background1"/>
          </w:tcPr>
          <w:p w:rsidR="008C4CE4" w:rsidRPr="009A745E" w:rsidRDefault="008C4CE4" w:rsidP="003E2DD3">
            <w:pPr>
              <w:pStyle w:val="TableText0"/>
              <w:spacing w:before="0" w:after="0"/>
              <w:rPr>
                <w:b/>
                <w:szCs w:val="20"/>
              </w:rPr>
            </w:pPr>
            <w:r w:rsidRPr="009A745E">
              <w:rPr>
                <w:b/>
                <w:szCs w:val="20"/>
              </w:rPr>
              <w:t>150%</w:t>
            </w:r>
          </w:p>
        </w:tc>
        <w:tc>
          <w:tcPr>
            <w:tcW w:w="878" w:type="pct"/>
            <w:tcBorders>
              <w:top w:val="single" w:sz="8" w:space="0" w:color="auto"/>
              <w:left w:val="single" w:sz="4" w:space="0" w:color="auto"/>
              <w:bottom w:val="single" w:sz="4" w:space="0" w:color="auto"/>
              <w:right w:val="single" w:sz="4" w:space="0" w:color="auto"/>
            </w:tcBorders>
            <w:shd w:val="clear" w:color="auto" w:fill="FFFFFF" w:themeFill="background1"/>
            <w:vAlign w:val="center"/>
          </w:tcPr>
          <w:p w:rsidR="008C4CE4" w:rsidRPr="009A745E" w:rsidRDefault="008C4CE4" w:rsidP="003E2DD3">
            <w:pPr>
              <w:pStyle w:val="TableText0"/>
              <w:spacing w:before="0" w:after="0"/>
              <w:jc w:val="left"/>
              <w:rPr>
                <w:szCs w:val="20"/>
              </w:rPr>
            </w:pPr>
            <w:proofErr w:type="spellStart"/>
            <w:r w:rsidRPr="009A745E">
              <w:rPr>
                <w:szCs w:val="20"/>
              </w:rPr>
              <w:t>Pembrolizumab</w:t>
            </w:r>
            <w:proofErr w:type="spellEnd"/>
          </w:p>
        </w:tc>
        <w:tc>
          <w:tcPr>
            <w:tcW w:w="1144" w:type="pct"/>
            <w:tcBorders>
              <w:top w:val="single" w:sz="8" w:space="0" w:color="auto"/>
              <w:left w:val="single" w:sz="4" w:space="0" w:color="auto"/>
              <w:bottom w:val="single" w:sz="4" w:space="0" w:color="auto"/>
              <w:right w:val="single" w:sz="4" w:space="0" w:color="auto"/>
            </w:tcBorders>
            <w:shd w:val="clear" w:color="auto" w:fill="FFFFFF" w:themeFill="background1"/>
            <w:vAlign w:val="center"/>
          </w:tcPr>
          <w:p w:rsidR="008C4CE4" w:rsidRPr="00F12AD2" w:rsidRDefault="00F12AD2" w:rsidP="003E2DD3">
            <w:pPr>
              <w:jc w:val="center"/>
              <w:rPr>
                <w:rFonts w:ascii="Arial Narrow" w:hAnsi="Arial Narrow" w:cs="Arial"/>
                <w:bCs/>
                <w:sz w:val="20"/>
                <w:szCs w:val="20"/>
                <w:highlight w:val="black"/>
              </w:rPr>
            </w:pPr>
            <w:r>
              <w:rPr>
                <w:rFonts w:ascii="Arial Narrow" w:hAnsi="Arial Narrow" w:cs="Arial"/>
                <w:bCs/>
                <w:noProof/>
                <w:color w:val="000000"/>
                <w:sz w:val="20"/>
                <w:szCs w:val="20"/>
                <w:highlight w:val="black"/>
              </w:rPr>
              <w:t>''''''''''''''''''''''''''''''''''''''''''</w:t>
            </w:r>
          </w:p>
        </w:tc>
        <w:tc>
          <w:tcPr>
            <w:tcW w:w="925" w:type="pct"/>
            <w:tcBorders>
              <w:top w:val="single" w:sz="8" w:space="0" w:color="auto"/>
              <w:left w:val="single" w:sz="4" w:space="0" w:color="auto"/>
              <w:bottom w:val="single" w:sz="4" w:space="0" w:color="auto"/>
              <w:right w:val="single" w:sz="4" w:space="0" w:color="auto"/>
            </w:tcBorders>
            <w:shd w:val="clear" w:color="auto" w:fill="FFFFFF" w:themeFill="background1"/>
            <w:vAlign w:val="center"/>
          </w:tcPr>
          <w:p w:rsidR="008C4CE4" w:rsidRPr="00F12AD2" w:rsidRDefault="00F12AD2" w:rsidP="003E2DD3">
            <w:pPr>
              <w:jc w:val="center"/>
              <w:rPr>
                <w:rFonts w:ascii="Arial Narrow" w:hAnsi="Arial Narrow" w:cs="Arial"/>
                <w:bCs/>
                <w:sz w:val="20"/>
                <w:szCs w:val="20"/>
                <w:highlight w:val="black"/>
              </w:rPr>
            </w:pPr>
            <w:r>
              <w:rPr>
                <w:rFonts w:ascii="Arial Narrow" w:hAnsi="Arial Narrow" w:cs="Arial"/>
                <w:bCs/>
                <w:noProof/>
                <w:color w:val="000000"/>
                <w:sz w:val="20"/>
                <w:szCs w:val="20"/>
                <w:highlight w:val="black"/>
              </w:rPr>
              <w:t>'''''''''''''''''''</w:t>
            </w:r>
          </w:p>
        </w:tc>
        <w:tc>
          <w:tcPr>
            <w:tcW w:w="1657" w:type="pct"/>
            <w:tcBorders>
              <w:top w:val="single" w:sz="8" w:space="0" w:color="auto"/>
              <w:left w:val="single" w:sz="4" w:space="0" w:color="auto"/>
              <w:bottom w:val="single" w:sz="4" w:space="0" w:color="auto"/>
              <w:right w:val="single" w:sz="4" w:space="0" w:color="auto"/>
            </w:tcBorders>
            <w:shd w:val="clear" w:color="auto" w:fill="FFFFFF" w:themeFill="background1"/>
            <w:vAlign w:val="center"/>
          </w:tcPr>
          <w:p w:rsidR="008C4CE4" w:rsidRPr="00F12AD2" w:rsidRDefault="00F12AD2" w:rsidP="003E2DD3">
            <w:pPr>
              <w:jc w:val="center"/>
              <w:rPr>
                <w:rFonts w:ascii="Arial Narrow" w:hAnsi="Arial Narrow" w:cs="Arial"/>
                <w:bCs/>
                <w:sz w:val="20"/>
                <w:szCs w:val="20"/>
                <w:highlight w:val="black"/>
              </w:rPr>
            </w:pPr>
            <w:r>
              <w:rPr>
                <w:rFonts w:ascii="Arial Narrow" w:hAnsi="Arial Narrow" w:cs="Arial"/>
                <w:bCs/>
                <w:noProof/>
                <w:color w:val="000000"/>
                <w:sz w:val="20"/>
                <w:szCs w:val="20"/>
                <w:highlight w:val="black"/>
              </w:rPr>
              <w:t>'''''''''''''''''''''''''''''''''' '''''''''''''''''''''''</w:t>
            </w:r>
          </w:p>
        </w:tc>
      </w:tr>
      <w:tr w:rsidR="008C4CE4" w:rsidRPr="009A745E" w:rsidTr="003E2DD3">
        <w:tc>
          <w:tcPr>
            <w:tcW w:w="396" w:type="pct"/>
            <w:vMerge/>
            <w:shd w:val="clear" w:color="auto" w:fill="FFFFFF" w:themeFill="background1"/>
          </w:tcPr>
          <w:p w:rsidR="008C4CE4" w:rsidRPr="009A745E" w:rsidRDefault="008C4CE4" w:rsidP="003E2DD3">
            <w:pPr>
              <w:pStyle w:val="TableText0"/>
              <w:spacing w:before="0" w:after="0"/>
              <w:rPr>
                <w:szCs w:val="20"/>
              </w:rPr>
            </w:pPr>
          </w:p>
        </w:tc>
        <w:tc>
          <w:tcPr>
            <w:tcW w:w="87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8C4CE4" w:rsidRPr="009A745E" w:rsidRDefault="008C4CE4" w:rsidP="003E2DD3">
            <w:pPr>
              <w:pStyle w:val="TableText0"/>
              <w:spacing w:before="0" w:after="0"/>
              <w:jc w:val="left"/>
              <w:rPr>
                <w:szCs w:val="20"/>
              </w:rPr>
            </w:pPr>
            <w:proofErr w:type="spellStart"/>
            <w:r w:rsidRPr="009A745E">
              <w:rPr>
                <w:szCs w:val="20"/>
              </w:rPr>
              <w:t>Nivolumab</w:t>
            </w:r>
            <w:proofErr w:type="spellEnd"/>
          </w:p>
        </w:tc>
        <w:tc>
          <w:tcPr>
            <w:tcW w:w="1144"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8C4CE4" w:rsidRPr="00F12AD2" w:rsidRDefault="00F12AD2" w:rsidP="003E2DD3">
            <w:pPr>
              <w:jc w:val="center"/>
              <w:rPr>
                <w:rFonts w:ascii="Arial Narrow" w:hAnsi="Arial Narrow" w:cs="Arial"/>
                <w:bCs/>
                <w:sz w:val="20"/>
                <w:szCs w:val="20"/>
                <w:highlight w:val="black"/>
              </w:rPr>
            </w:pPr>
            <w:r>
              <w:rPr>
                <w:rFonts w:ascii="Arial Narrow" w:hAnsi="Arial Narrow" w:cs="Arial"/>
                <w:bCs/>
                <w:noProof/>
                <w:color w:val="000000"/>
                <w:sz w:val="20"/>
                <w:szCs w:val="20"/>
                <w:highlight w:val="black"/>
              </w:rPr>
              <w:t>'''''''''''''''''''''''''''''''''''</w:t>
            </w:r>
          </w:p>
        </w:tc>
        <w:tc>
          <w:tcPr>
            <w:tcW w:w="92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8C4CE4" w:rsidRPr="00F12AD2" w:rsidRDefault="00F12AD2" w:rsidP="003E2DD3">
            <w:pPr>
              <w:jc w:val="center"/>
              <w:rPr>
                <w:rFonts w:ascii="Arial Narrow" w:hAnsi="Arial Narrow" w:cs="Arial"/>
                <w:bCs/>
                <w:sz w:val="20"/>
                <w:szCs w:val="20"/>
                <w:highlight w:val="black"/>
              </w:rPr>
            </w:pPr>
            <w:r>
              <w:rPr>
                <w:rFonts w:ascii="Arial Narrow" w:hAnsi="Arial Narrow" w:cs="Arial"/>
                <w:bCs/>
                <w:noProof/>
                <w:color w:val="000000"/>
                <w:sz w:val="20"/>
                <w:szCs w:val="20"/>
                <w:highlight w:val="black"/>
              </w:rPr>
              <w:t>''''''''''''''</w:t>
            </w:r>
          </w:p>
        </w:tc>
        <w:tc>
          <w:tcPr>
            <w:tcW w:w="165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8C4CE4" w:rsidRPr="00F12AD2" w:rsidRDefault="00F12AD2" w:rsidP="003E2DD3">
            <w:pPr>
              <w:jc w:val="center"/>
              <w:rPr>
                <w:rFonts w:ascii="Arial Narrow" w:hAnsi="Arial Narrow" w:cs="Arial"/>
                <w:bCs/>
                <w:sz w:val="20"/>
                <w:szCs w:val="20"/>
                <w:highlight w:val="black"/>
              </w:rPr>
            </w:pPr>
            <w:r>
              <w:rPr>
                <w:rFonts w:ascii="Arial Narrow" w:hAnsi="Arial Narrow" w:cs="Arial"/>
                <w:bCs/>
                <w:noProof/>
                <w:color w:val="000000"/>
                <w:sz w:val="20"/>
                <w:szCs w:val="20"/>
                <w:highlight w:val="black"/>
              </w:rPr>
              <w:t>''''''''''''''''''''''''' ''''''''''''''''''''</w:t>
            </w:r>
          </w:p>
        </w:tc>
      </w:tr>
      <w:tr w:rsidR="008C4CE4" w:rsidRPr="009A745E" w:rsidTr="003E2DD3">
        <w:tc>
          <w:tcPr>
            <w:tcW w:w="396" w:type="pct"/>
            <w:vMerge/>
            <w:shd w:val="clear" w:color="auto" w:fill="FFFFFF" w:themeFill="background1"/>
          </w:tcPr>
          <w:p w:rsidR="008C4CE4" w:rsidRPr="009A745E" w:rsidRDefault="008C4CE4" w:rsidP="003E2DD3">
            <w:pPr>
              <w:pStyle w:val="TableText0"/>
              <w:spacing w:before="0" w:after="0"/>
              <w:rPr>
                <w:szCs w:val="20"/>
              </w:rPr>
            </w:pPr>
          </w:p>
        </w:tc>
        <w:tc>
          <w:tcPr>
            <w:tcW w:w="87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8C4CE4" w:rsidRPr="009A745E" w:rsidRDefault="008C4CE4" w:rsidP="003E2DD3">
            <w:pPr>
              <w:pStyle w:val="TableText0"/>
              <w:spacing w:before="0" w:after="0"/>
              <w:jc w:val="left"/>
              <w:rPr>
                <w:szCs w:val="20"/>
              </w:rPr>
            </w:pPr>
            <w:r w:rsidRPr="009A745E">
              <w:rPr>
                <w:szCs w:val="20"/>
              </w:rPr>
              <w:t>Total</w:t>
            </w:r>
          </w:p>
        </w:tc>
        <w:tc>
          <w:tcPr>
            <w:tcW w:w="1144"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8C4CE4" w:rsidRPr="00F12AD2" w:rsidRDefault="00F12AD2" w:rsidP="003E2DD3">
            <w:pPr>
              <w:jc w:val="center"/>
              <w:rPr>
                <w:rFonts w:ascii="Arial Narrow" w:hAnsi="Arial Narrow" w:cs="Arial"/>
                <w:bCs/>
                <w:sz w:val="20"/>
                <w:szCs w:val="20"/>
                <w:highlight w:val="black"/>
              </w:rPr>
            </w:pPr>
            <w:r>
              <w:rPr>
                <w:rFonts w:ascii="Arial Narrow" w:hAnsi="Arial Narrow" w:cs="Arial"/>
                <w:bCs/>
                <w:noProof/>
                <w:color w:val="000000"/>
                <w:sz w:val="20"/>
                <w:szCs w:val="20"/>
                <w:highlight w:val="black"/>
              </w:rPr>
              <w:t>''''''''''''''''''''''''''''''''''''''''</w:t>
            </w:r>
          </w:p>
        </w:tc>
        <w:tc>
          <w:tcPr>
            <w:tcW w:w="92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8C4CE4" w:rsidRPr="00F12AD2" w:rsidRDefault="00F12AD2" w:rsidP="003E2DD3">
            <w:pPr>
              <w:jc w:val="center"/>
              <w:rPr>
                <w:rFonts w:ascii="Arial Narrow" w:hAnsi="Arial Narrow" w:cs="Arial"/>
                <w:bCs/>
                <w:sz w:val="20"/>
                <w:szCs w:val="20"/>
                <w:highlight w:val="black"/>
              </w:rPr>
            </w:pPr>
            <w:r>
              <w:rPr>
                <w:rFonts w:ascii="Arial Narrow" w:hAnsi="Arial Narrow" w:cs="Arial"/>
                <w:bCs/>
                <w:noProof/>
                <w:color w:val="000000"/>
                <w:sz w:val="20"/>
                <w:szCs w:val="20"/>
                <w:highlight w:val="black"/>
              </w:rPr>
              <w:t>''''''''''''''''''''''</w:t>
            </w:r>
          </w:p>
        </w:tc>
        <w:tc>
          <w:tcPr>
            <w:tcW w:w="165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8C4CE4" w:rsidRPr="00F12AD2" w:rsidRDefault="00F12AD2" w:rsidP="003E2DD3">
            <w:pPr>
              <w:jc w:val="center"/>
              <w:rPr>
                <w:rFonts w:ascii="Arial Narrow" w:hAnsi="Arial Narrow" w:cs="Arial"/>
                <w:bCs/>
                <w:sz w:val="20"/>
                <w:szCs w:val="20"/>
                <w:highlight w:val="black"/>
              </w:rPr>
            </w:pPr>
            <w:r>
              <w:rPr>
                <w:rFonts w:ascii="Arial Narrow" w:hAnsi="Arial Narrow" w:cs="Arial"/>
                <w:bCs/>
                <w:noProof/>
                <w:color w:val="000000"/>
                <w:sz w:val="20"/>
                <w:szCs w:val="20"/>
                <w:highlight w:val="black"/>
              </w:rPr>
              <w:t>''''''''''''''''''''''''''''''</w:t>
            </w:r>
          </w:p>
        </w:tc>
      </w:tr>
    </w:tbl>
    <w:p w:rsidR="008C4CE4" w:rsidRPr="00366E3B" w:rsidRDefault="001F6D3A" w:rsidP="001F6D3A">
      <w:pPr>
        <w:rPr>
          <w:rFonts w:ascii="Arial Narrow" w:hAnsi="Arial Narrow"/>
          <w:sz w:val="18"/>
          <w:szCs w:val="18"/>
        </w:rPr>
      </w:pPr>
      <w:proofErr w:type="gramStart"/>
      <w:r w:rsidRPr="00366E3B">
        <w:rPr>
          <w:rFonts w:ascii="Arial Narrow" w:hAnsi="Arial Narrow"/>
          <w:sz w:val="18"/>
          <w:szCs w:val="18"/>
        </w:rPr>
        <w:t>a</w:t>
      </w:r>
      <w:proofErr w:type="gramEnd"/>
      <w:r w:rsidRPr="00366E3B">
        <w:rPr>
          <w:rFonts w:ascii="Arial Narrow" w:hAnsi="Arial Narrow"/>
          <w:sz w:val="18"/>
          <w:szCs w:val="18"/>
        </w:rPr>
        <w:t xml:space="preserve"> Percentage increase in rebate as the expenditure for </w:t>
      </w:r>
      <w:proofErr w:type="spellStart"/>
      <w:r w:rsidRPr="00366E3B">
        <w:rPr>
          <w:rFonts w:ascii="Arial Narrow" w:hAnsi="Arial Narrow"/>
          <w:sz w:val="18"/>
          <w:szCs w:val="18"/>
        </w:rPr>
        <w:t>pembrolizumab</w:t>
      </w:r>
      <w:proofErr w:type="spellEnd"/>
      <w:r w:rsidRPr="00366E3B">
        <w:rPr>
          <w:rFonts w:ascii="Arial Narrow" w:hAnsi="Arial Narrow"/>
          <w:sz w:val="18"/>
          <w:szCs w:val="18"/>
        </w:rPr>
        <w:t xml:space="preserve"> increases.</w:t>
      </w:r>
    </w:p>
    <w:p w:rsidR="001F6D3A" w:rsidRPr="00366E3B" w:rsidRDefault="001F6D3A" w:rsidP="008C4CE4">
      <w:pPr>
        <w:spacing w:after="120"/>
        <w:rPr>
          <w:rFonts w:ascii="Arial Narrow" w:hAnsi="Arial Narrow"/>
          <w:sz w:val="18"/>
          <w:szCs w:val="18"/>
        </w:rPr>
      </w:pPr>
      <w:proofErr w:type="gramStart"/>
      <w:r w:rsidRPr="00366E3B">
        <w:rPr>
          <w:rFonts w:ascii="Arial Narrow" w:hAnsi="Arial Narrow"/>
          <w:sz w:val="18"/>
          <w:szCs w:val="18"/>
        </w:rPr>
        <w:t>b</w:t>
      </w:r>
      <w:proofErr w:type="gramEnd"/>
      <w:r w:rsidRPr="00366E3B">
        <w:rPr>
          <w:rFonts w:ascii="Arial Narrow" w:hAnsi="Arial Narrow"/>
          <w:sz w:val="18"/>
          <w:szCs w:val="18"/>
        </w:rPr>
        <w:t xml:space="preserve"> Impact on the rebate required from the sponsor of </w:t>
      </w:r>
      <w:proofErr w:type="spellStart"/>
      <w:r w:rsidRPr="00366E3B">
        <w:rPr>
          <w:rFonts w:ascii="Arial Narrow" w:hAnsi="Arial Narrow"/>
          <w:sz w:val="18"/>
          <w:szCs w:val="18"/>
        </w:rPr>
        <w:t>nivolumab</w:t>
      </w:r>
      <w:proofErr w:type="spellEnd"/>
      <w:r w:rsidRPr="00366E3B">
        <w:rPr>
          <w:rFonts w:ascii="Arial Narrow" w:hAnsi="Arial Narrow"/>
          <w:sz w:val="18"/>
          <w:szCs w:val="18"/>
        </w:rPr>
        <w:t xml:space="preserve"> as the expenditure for </w:t>
      </w:r>
      <w:proofErr w:type="spellStart"/>
      <w:r w:rsidRPr="00366E3B">
        <w:rPr>
          <w:rFonts w:ascii="Arial Narrow" w:hAnsi="Arial Narrow"/>
          <w:sz w:val="18"/>
          <w:szCs w:val="18"/>
        </w:rPr>
        <w:t>pembrolizumab</w:t>
      </w:r>
      <w:proofErr w:type="spellEnd"/>
      <w:r w:rsidRPr="00366E3B">
        <w:rPr>
          <w:rFonts w:ascii="Arial Narrow" w:hAnsi="Arial Narrow"/>
          <w:sz w:val="18"/>
          <w:szCs w:val="18"/>
        </w:rPr>
        <w:t xml:space="preserve"> increases by 10%, 15%, 20% etc.</w:t>
      </w:r>
    </w:p>
    <w:p w:rsidR="0066583F" w:rsidRDefault="0024004B" w:rsidP="0066583F">
      <w:pPr>
        <w:pStyle w:val="ListParagraph"/>
        <w:widowControl/>
        <w:numPr>
          <w:ilvl w:val="1"/>
          <w:numId w:val="14"/>
        </w:numPr>
        <w:spacing w:after="120"/>
        <w:contextualSpacing w:val="0"/>
        <w:rPr>
          <w:rFonts w:asciiTheme="minorHAnsi" w:eastAsiaTheme="minorHAnsi" w:hAnsiTheme="minorHAnsi" w:cstheme="minorBidi"/>
          <w:snapToGrid/>
          <w:sz w:val="24"/>
          <w:szCs w:val="22"/>
        </w:rPr>
      </w:pPr>
      <w:r w:rsidRPr="00B206F3">
        <w:rPr>
          <w:rFonts w:asciiTheme="minorHAnsi" w:hAnsiTheme="minorHAnsi"/>
          <w:sz w:val="24"/>
          <w:szCs w:val="24"/>
        </w:rPr>
        <w:t xml:space="preserve">Although the market share of </w:t>
      </w:r>
      <w:proofErr w:type="spellStart"/>
      <w:r w:rsidRPr="00B206F3">
        <w:rPr>
          <w:rFonts w:asciiTheme="minorHAnsi" w:hAnsiTheme="minorHAnsi"/>
          <w:sz w:val="24"/>
          <w:szCs w:val="24"/>
        </w:rPr>
        <w:t>nivolumab</w:t>
      </w:r>
      <w:proofErr w:type="spellEnd"/>
      <w:r w:rsidRPr="00B206F3">
        <w:rPr>
          <w:rFonts w:asciiTheme="minorHAnsi" w:hAnsiTheme="minorHAnsi"/>
          <w:sz w:val="24"/>
          <w:szCs w:val="24"/>
        </w:rPr>
        <w:t xml:space="preserve"> </w:t>
      </w:r>
      <w:r w:rsidR="00F12AD2">
        <w:rPr>
          <w:rFonts w:asciiTheme="minorHAnsi" w:hAnsiTheme="minorHAnsi"/>
          <w:noProof/>
          <w:color w:val="000000"/>
          <w:sz w:val="24"/>
          <w:szCs w:val="24"/>
          <w:highlight w:val="black"/>
        </w:rPr>
        <w:t xml:space="preserve">''''''''''''''''''''' ''''' '''''' ''''''''''''''''''''' '''''' '''''''''''''''''''''''''''''' '''''''''''''''''' ''''''' ''''''''' ''''''''''' ''''''''' '''''' '''''''''''''' '''''' ''''''''''''''''''' ''' '''''''''''''''' '''' '''''''''''''''''' ''''''' ''''''''''''''''''''''''''''''''' '''''''''''''''''''' ''''' '''''' '''''''''''''' '''''''''''' ''''''''''' ''' '''''''''''''''''''' '''''' ''' ''''''''''' '''''''''' ''''''''''''''''''''''''' '''''''''''''' ''''''' ''''''''''' ''''''''''' '''''''' ''' '''''''''''''''''''''''''''''''' '''' '''''' '''''' ''''''''' ''''''''' '''''''' ''''''''''''''''' '''''''''''''' ''''''' '''''''''''''''' '''' </w:t>
      </w:r>
      <w:r w:rsidR="00F12AD2">
        <w:rPr>
          <w:rFonts w:asciiTheme="minorHAnsi" w:hAnsiTheme="minorHAnsi"/>
          <w:noProof/>
          <w:color w:val="000000"/>
          <w:sz w:val="24"/>
          <w:szCs w:val="24"/>
          <w:highlight w:val="black"/>
        </w:rPr>
        <w:lastRenderedPageBreak/>
        <w:t>'''''''''''''''''' '''' '''''''' '' '''''''''''''' '''' '''''' '''''''''''''' '''''''''''' ''''''''''' '''' ''''''''''' ''''''''''''' ''' '''''''''''''' '''''''''''' '''''''''''''' '''''''''''''''''' '''''''' ''''''''''''' ''''''''''''''''</w:t>
      </w:r>
    </w:p>
    <w:p w:rsidR="003F2708" w:rsidRDefault="0066583F" w:rsidP="003F2708">
      <w:pPr>
        <w:pStyle w:val="ListParagraph"/>
        <w:widowControl/>
        <w:numPr>
          <w:ilvl w:val="1"/>
          <w:numId w:val="14"/>
        </w:numPr>
        <w:spacing w:after="120"/>
        <w:contextualSpacing w:val="0"/>
        <w:rPr>
          <w:rFonts w:asciiTheme="minorHAnsi" w:eastAsiaTheme="minorHAnsi" w:hAnsiTheme="minorHAnsi" w:cstheme="minorBidi"/>
          <w:snapToGrid/>
          <w:sz w:val="24"/>
          <w:szCs w:val="22"/>
        </w:rPr>
      </w:pPr>
      <w:r>
        <w:rPr>
          <w:rFonts w:asciiTheme="minorHAnsi" w:eastAsiaTheme="minorHAnsi" w:hAnsiTheme="minorHAnsi" w:cstheme="minorBidi"/>
          <w:snapToGrid/>
          <w:sz w:val="24"/>
          <w:szCs w:val="22"/>
        </w:rPr>
        <w:t xml:space="preserve">The pre-PBAC response clarified the sponsor’s intent that implementation to change to the fixed dose regimen should not have unintended consequences to other sponsors sharing the existing deed for melanoma. It stated that the sponsor proposes to work with the government </w:t>
      </w:r>
      <w:r w:rsidRPr="00345166">
        <w:rPr>
          <w:rFonts w:asciiTheme="minorHAnsi" w:eastAsiaTheme="minorHAnsi" w:hAnsiTheme="minorHAnsi" w:cstheme="minorBidi"/>
          <w:snapToGrid/>
          <w:sz w:val="24"/>
          <w:szCs w:val="22"/>
        </w:rPr>
        <w:t xml:space="preserve">after a positive PBAC recommendation, </w:t>
      </w:r>
      <w:r w:rsidR="00F12AD2">
        <w:rPr>
          <w:rFonts w:asciiTheme="minorHAnsi" w:eastAsiaTheme="minorHAnsi" w:hAnsiTheme="minorHAnsi" w:cstheme="minorBidi"/>
          <w:noProof/>
          <w:snapToGrid/>
          <w:color w:val="000000"/>
          <w:sz w:val="24"/>
          <w:szCs w:val="22"/>
          <w:highlight w:val="black"/>
        </w:rPr>
        <w:t xml:space="preserve">'''' '''''''''''''' '''''''' '''''' '''''''''''' '''''''' ''''' '''''' '''''''''''''' ''''' ''''''''''''''''''' ''''''''' '''''''''''''' ''''''' ''''''''''''''' '''''''' ''''' '' ''''''''''''''''''' ''''''''''''' '''''''' ''''''' '''''''''''''''''''''''''''' ''''''''''' '''''''''''' ''' '''''''''''' </w:t>
      </w:r>
      <w:r>
        <w:rPr>
          <w:rFonts w:asciiTheme="minorHAnsi" w:eastAsiaTheme="minorHAnsi" w:hAnsiTheme="minorHAnsi" w:cstheme="minorBidi"/>
          <w:snapToGrid/>
          <w:sz w:val="24"/>
          <w:szCs w:val="22"/>
        </w:rPr>
        <w:t xml:space="preserve">The pre-PBAC response stated that the sponsor’s preferred approach would be </w:t>
      </w:r>
      <w:r w:rsidR="00F12AD2">
        <w:rPr>
          <w:rFonts w:asciiTheme="minorHAnsi" w:eastAsiaTheme="minorHAnsi" w:hAnsiTheme="minorHAnsi" w:cstheme="minorBidi"/>
          <w:noProof/>
          <w:snapToGrid/>
          <w:color w:val="000000"/>
          <w:sz w:val="24"/>
          <w:szCs w:val="22"/>
          <w:highlight w:val="black"/>
        </w:rPr>
        <w:t>'''' ''''''''''' '''''' '''''''''''''''''''''''''''''' '''''''''''' '''''''''''' '''''''''''' '''''''' ''''''''''''''''' '''''' ''''''''''''''' ''''''''''''''''''''''''''''' '''''' ''''''''' '''''''''''''''' ''''''''''''''''' '''' ''''''' '''''''''''''''''' '''''''''</w:t>
      </w:r>
      <w:r w:rsidRPr="0004329B">
        <w:rPr>
          <w:rFonts w:asciiTheme="minorHAnsi" w:eastAsiaTheme="minorHAnsi" w:hAnsiTheme="minorHAnsi" w:cstheme="minorBidi"/>
          <w:snapToGrid/>
          <w:sz w:val="24"/>
          <w:szCs w:val="22"/>
        </w:rPr>
        <w:t>.</w:t>
      </w:r>
    </w:p>
    <w:p w:rsidR="00811683" w:rsidRPr="003F2708" w:rsidRDefault="003F2708" w:rsidP="003F2708">
      <w:pPr>
        <w:pStyle w:val="ListParagraph"/>
        <w:widowControl/>
        <w:numPr>
          <w:ilvl w:val="1"/>
          <w:numId w:val="14"/>
        </w:numPr>
        <w:spacing w:after="120"/>
        <w:contextualSpacing w:val="0"/>
        <w:rPr>
          <w:rFonts w:asciiTheme="minorHAnsi" w:eastAsiaTheme="minorHAnsi" w:hAnsiTheme="minorHAnsi" w:cstheme="minorBidi"/>
          <w:snapToGrid/>
          <w:sz w:val="24"/>
          <w:szCs w:val="22"/>
        </w:rPr>
      </w:pPr>
      <w:r>
        <w:rPr>
          <w:rFonts w:asciiTheme="minorHAnsi" w:eastAsiaTheme="minorHAnsi" w:hAnsiTheme="minorHAnsi" w:cstheme="minorBidi"/>
          <w:snapToGrid/>
          <w:sz w:val="24"/>
          <w:szCs w:val="22"/>
        </w:rPr>
        <w:t>The PBAC noted that a</w:t>
      </w:r>
      <w:r w:rsidRPr="00DE3D08">
        <w:rPr>
          <w:rFonts w:asciiTheme="minorHAnsi" w:eastAsiaTheme="minorHAnsi" w:hAnsiTheme="minorHAnsi" w:cstheme="minorBidi"/>
          <w:snapToGrid/>
          <w:sz w:val="24"/>
          <w:szCs w:val="22"/>
        </w:rPr>
        <w:t xml:space="preserve">n increased cost per patient per course for </w:t>
      </w:r>
      <w:proofErr w:type="spellStart"/>
      <w:r w:rsidRPr="00DE3D08">
        <w:rPr>
          <w:rFonts w:asciiTheme="minorHAnsi" w:eastAsiaTheme="minorHAnsi" w:hAnsiTheme="minorHAnsi" w:cstheme="minorBidi"/>
          <w:snapToGrid/>
          <w:sz w:val="24"/>
          <w:szCs w:val="22"/>
        </w:rPr>
        <w:t>pembrolizumab</w:t>
      </w:r>
      <w:proofErr w:type="spellEnd"/>
      <w:r w:rsidRPr="00DE3D08">
        <w:rPr>
          <w:rFonts w:asciiTheme="minorHAnsi" w:eastAsiaTheme="minorHAnsi" w:hAnsiTheme="minorHAnsi" w:cstheme="minorBidi"/>
          <w:snapToGrid/>
          <w:sz w:val="24"/>
          <w:szCs w:val="22"/>
        </w:rPr>
        <w:t xml:space="preserve"> will </w:t>
      </w:r>
      <w:r w:rsidR="00F12AD2">
        <w:rPr>
          <w:rFonts w:asciiTheme="minorHAnsi" w:eastAsiaTheme="minorHAnsi" w:hAnsiTheme="minorHAnsi" w:cstheme="minorBidi"/>
          <w:noProof/>
          <w:snapToGrid/>
          <w:color w:val="000000"/>
          <w:sz w:val="24"/>
          <w:szCs w:val="22"/>
          <w:highlight w:val="black"/>
        </w:rPr>
        <w:t>''''''' '''''''''' ''' ''''''''''''' '''''''''''' ''''' '''''' '''''''''''''''' ''''' '''''''''''''''''''''' ''''' ''''''' ''''''' '''''''''''' ''''''''''' '''''' '''''''''''''' ''''''''''''''''''''''' '''''''' '''''' ''''''''''''''''''</w:t>
      </w:r>
      <w:r w:rsidRPr="00DE3D08">
        <w:rPr>
          <w:rFonts w:asciiTheme="minorHAnsi" w:eastAsiaTheme="minorHAnsi" w:hAnsiTheme="minorHAnsi" w:cstheme="minorBidi"/>
          <w:snapToGrid/>
          <w:sz w:val="24"/>
          <w:szCs w:val="22"/>
        </w:rPr>
        <w:t xml:space="preserve">. Furthermore, although there is a </w:t>
      </w:r>
      <w:r w:rsidR="00F12AD2">
        <w:rPr>
          <w:rFonts w:asciiTheme="minorHAnsi" w:eastAsiaTheme="minorHAnsi" w:hAnsiTheme="minorHAnsi" w:cstheme="minorBidi"/>
          <w:noProof/>
          <w:snapToGrid/>
          <w:color w:val="000000"/>
          <w:sz w:val="24"/>
          <w:szCs w:val="22"/>
          <w:highlight w:val="black"/>
        </w:rPr>
        <w:t>'''''''''''</w:t>
      </w:r>
      <w:r w:rsidRPr="00DE3D08">
        <w:rPr>
          <w:rFonts w:asciiTheme="minorHAnsi" w:eastAsiaTheme="minorHAnsi" w:hAnsiTheme="minorHAnsi" w:cstheme="minorBidi"/>
          <w:snapToGrid/>
          <w:sz w:val="24"/>
          <w:szCs w:val="22"/>
        </w:rPr>
        <w:t xml:space="preserve"> rebate for </w:t>
      </w:r>
      <w:proofErr w:type="spellStart"/>
      <w:r w:rsidRPr="00DE3D08">
        <w:rPr>
          <w:rFonts w:asciiTheme="minorHAnsi" w:eastAsiaTheme="minorHAnsi" w:hAnsiTheme="minorHAnsi" w:cstheme="minorBidi"/>
          <w:snapToGrid/>
          <w:sz w:val="24"/>
          <w:szCs w:val="22"/>
        </w:rPr>
        <w:t>pembrolizumab</w:t>
      </w:r>
      <w:proofErr w:type="spellEnd"/>
      <w:r w:rsidRPr="00DE3D08">
        <w:rPr>
          <w:rFonts w:asciiTheme="minorHAnsi" w:eastAsiaTheme="minorHAnsi" w:hAnsiTheme="minorHAnsi" w:cstheme="minorBidi"/>
          <w:snapToGrid/>
          <w:sz w:val="24"/>
          <w:szCs w:val="22"/>
        </w:rPr>
        <w:t xml:space="preserve"> use exceeding the agreed caps, the Commonwealth would nonetheless incur increased expenditure in the period between each dispensing of the medicine and the payment of the associated rebate by the sponsor.</w:t>
      </w:r>
    </w:p>
    <w:p w:rsidR="00906B87" w:rsidRPr="0042322C" w:rsidRDefault="0042322C" w:rsidP="0042322C">
      <w:pPr>
        <w:ind w:firstLine="720"/>
        <w:rPr>
          <w:rFonts w:asciiTheme="minorHAnsi" w:hAnsiTheme="minorHAnsi"/>
          <w:sz w:val="22"/>
          <w:szCs w:val="22"/>
        </w:rPr>
      </w:pPr>
      <w:r w:rsidRPr="0042322C">
        <w:rPr>
          <w:rFonts w:asciiTheme="minorHAnsi" w:hAnsiTheme="minorHAnsi"/>
          <w:i/>
        </w:rPr>
        <w:t xml:space="preserve">For more detail on PBAC’s view, see section </w:t>
      </w:r>
      <w:r w:rsidR="00353D90">
        <w:rPr>
          <w:rFonts w:asciiTheme="minorHAnsi" w:hAnsiTheme="minorHAnsi"/>
          <w:i/>
        </w:rPr>
        <w:t>5</w:t>
      </w:r>
      <w:r w:rsidRPr="0042322C">
        <w:rPr>
          <w:rFonts w:asciiTheme="minorHAnsi" w:hAnsiTheme="minorHAnsi"/>
          <w:i/>
        </w:rPr>
        <w:t xml:space="preserve"> PBAC outcome.</w:t>
      </w:r>
    </w:p>
    <w:p w:rsidR="00681010" w:rsidRPr="002873B2" w:rsidRDefault="00681010" w:rsidP="00366E3B">
      <w:pPr>
        <w:pStyle w:val="PBACHeading1"/>
      </w:pPr>
      <w:r w:rsidRPr="002873B2">
        <w:t xml:space="preserve">PBAC </w:t>
      </w:r>
      <w:r w:rsidR="00E06DB2" w:rsidRPr="002873B2">
        <w:t>o</w:t>
      </w:r>
      <w:r w:rsidRPr="002873B2">
        <w:t>utcome</w:t>
      </w:r>
    </w:p>
    <w:p w:rsidR="00A70910" w:rsidRDefault="00681010" w:rsidP="00E96597">
      <w:pPr>
        <w:widowControl w:val="0"/>
        <w:numPr>
          <w:ilvl w:val="1"/>
          <w:numId w:val="5"/>
        </w:numPr>
        <w:spacing w:after="120"/>
        <w:jc w:val="both"/>
        <w:rPr>
          <w:rFonts w:asciiTheme="minorHAnsi" w:hAnsiTheme="minorHAnsi" w:cs="Arial"/>
          <w:bCs/>
          <w:snapToGrid w:val="0"/>
          <w:lang w:val="en-GB"/>
        </w:rPr>
      </w:pPr>
      <w:r w:rsidRPr="00A70910">
        <w:rPr>
          <w:rFonts w:asciiTheme="minorHAnsi" w:hAnsiTheme="minorHAnsi" w:cs="Arial"/>
          <w:bCs/>
          <w:snapToGrid w:val="0"/>
          <w:lang w:val="en-GB"/>
        </w:rPr>
        <w:t>The PBAC recommended</w:t>
      </w:r>
      <w:r w:rsidR="00377948" w:rsidRPr="00A70910">
        <w:rPr>
          <w:rFonts w:asciiTheme="minorHAnsi" w:hAnsiTheme="minorHAnsi" w:cs="Arial"/>
          <w:bCs/>
          <w:snapToGrid w:val="0"/>
          <w:lang w:val="en-GB"/>
        </w:rPr>
        <w:t xml:space="preserve"> </w:t>
      </w:r>
      <w:r w:rsidR="00E96597" w:rsidRPr="00A70910">
        <w:rPr>
          <w:rFonts w:asciiTheme="minorHAnsi" w:hAnsiTheme="minorHAnsi" w:cs="Arial"/>
          <w:bCs/>
          <w:snapToGrid w:val="0"/>
          <w:lang w:val="en-GB"/>
        </w:rPr>
        <w:t>an</w:t>
      </w:r>
      <w:r w:rsidR="00D64604" w:rsidRPr="00A70910">
        <w:rPr>
          <w:rFonts w:asciiTheme="minorHAnsi" w:hAnsiTheme="minorHAnsi" w:cs="Arial"/>
          <w:bCs/>
          <w:snapToGrid w:val="0"/>
          <w:lang w:val="en-GB"/>
        </w:rPr>
        <w:t xml:space="preserve"> </w:t>
      </w:r>
      <w:r w:rsidR="00CF630F" w:rsidRPr="00A70910">
        <w:rPr>
          <w:rFonts w:asciiTheme="minorHAnsi" w:hAnsiTheme="minorHAnsi" w:cs="Arial"/>
          <w:bCs/>
          <w:snapToGrid w:val="0"/>
          <w:lang w:val="en-GB"/>
        </w:rPr>
        <w:t xml:space="preserve">amendment to the </w:t>
      </w:r>
      <w:r w:rsidR="00E96597" w:rsidRPr="00A70910">
        <w:rPr>
          <w:rFonts w:asciiTheme="minorHAnsi" w:hAnsiTheme="minorHAnsi" w:cs="Arial"/>
          <w:bCs/>
          <w:snapToGrid w:val="0"/>
          <w:lang w:val="en-GB"/>
        </w:rPr>
        <w:t xml:space="preserve">existing PBS restrictions </w:t>
      </w:r>
      <w:r w:rsidR="00BA2913">
        <w:rPr>
          <w:rFonts w:asciiTheme="minorHAnsi" w:hAnsiTheme="minorHAnsi" w:cs="Arial"/>
          <w:bCs/>
          <w:snapToGrid w:val="0"/>
          <w:lang w:val="en-GB"/>
        </w:rPr>
        <w:t xml:space="preserve">for </w:t>
      </w:r>
      <w:proofErr w:type="spellStart"/>
      <w:r w:rsidR="00BA2913">
        <w:rPr>
          <w:rFonts w:asciiTheme="minorHAnsi" w:hAnsiTheme="minorHAnsi" w:cs="Arial"/>
          <w:bCs/>
          <w:snapToGrid w:val="0"/>
          <w:lang w:val="en-GB"/>
        </w:rPr>
        <w:t>pembrolizumab</w:t>
      </w:r>
      <w:proofErr w:type="spellEnd"/>
      <w:r w:rsidR="00BA2913">
        <w:rPr>
          <w:rFonts w:asciiTheme="minorHAnsi" w:hAnsiTheme="minorHAnsi" w:cs="Arial"/>
          <w:bCs/>
          <w:snapToGrid w:val="0"/>
          <w:lang w:val="en-GB"/>
        </w:rPr>
        <w:t xml:space="preserve">, </w:t>
      </w:r>
      <w:r w:rsidR="00E96597" w:rsidRPr="00A70910">
        <w:rPr>
          <w:rFonts w:asciiTheme="minorHAnsi" w:hAnsiTheme="minorHAnsi" w:cs="Arial"/>
          <w:bCs/>
          <w:snapToGrid w:val="0"/>
          <w:lang w:val="en-GB"/>
        </w:rPr>
        <w:t xml:space="preserve">for the treatment of </w:t>
      </w:r>
      <w:proofErr w:type="spellStart"/>
      <w:r w:rsidR="00E96597" w:rsidRPr="00A70910">
        <w:rPr>
          <w:rFonts w:asciiTheme="minorHAnsi" w:hAnsiTheme="minorHAnsi" w:cs="Arial"/>
          <w:bCs/>
          <w:snapToGrid w:val="0"/>
          <w:lang w:val="en-GB"/>
        </w:rPr>
        <w:t>unresectable</w:t>
      </w:r>
      <w:proofErr w:type="spellEnd"/>
      <w:r w:rsidR="00E96597" w:rsidRPr="00A70910">
        <w:rPr>
          <w:rFonts w:asciiTheme="minorHAnsi" w:hAnsiTheme="minorHAnsi" w:cs="Arial"/>
          <w:bCs/>
          <w:snapToGrid w:val="0"/>
          <w:lang w:val="en-GB"/>
        </w:rPr>
        <w:t xml:space="preserve"> Stage III or Stage IV malignant melanoma, to allow </w:t>
      </w:r>
      <w:proofErr w:type="gramStart"/>
      <w:r w:rsidR="00E96597" w:rsidRPr="00A70910">
        <w:rPr>
          <w:rFonts w:asciiTheme="minorHAnsi" w:hAnsiTheme="minorHAnsi" w:cs="Arial"/>
          <w:bCs/>
          <w:snapToGrid w:val="0"/>
          <w:lang w:val="en-GB"/>
        </w:rPr>
        <w:t>either</w:t>
      </w:r>
      <w:r w:rsidR="00381C49">
        <w:rPr>
          <w:rFonts w:asciiTheme="minorHAnsi" w:hAnsiTheme="minorHAnsi" w:cs="Arial"/>
          <w:bCs/>
          <w:snapToGrid w:val="0"/>
          <w:lang w:val="en-GB"/>
        </w:rPr>
        <w:t xml:space="preserve"> </w:t>
      </w:r>
      <w:r w:rsidR="00C033DB">
        <w:rPr>
          <w:rFonts w:asciiTheme="minorHAnsi" w:hAnsiTheme="minorHAnsi" w:cs="Arial"/>
          <w:bCs/>
          <w:snapToGrid w:val="0"/>
          <w:lang w:val="en-GB"/>
        </w:rPr>
        <w:t>a</w:t>
      </w:r>
      <w:proofErr w:type="gramEnd"/>
      <w:r w:rsidR="00E96597" w:rsidRPr="00A70910">
        <w:rPr>
          <w:rFonts w:asciiTheme="minorHAnsi" w:hAnsiTheme="minorHAnsi" w:cs="Arial"/>
          <w:bCs/>
          <w:snapToGrid w:val="0"/>
          <w:lang w:val="en-GB"/>
        </w:rPr>
        <w:t xml:space="preserve"> weight-based dos</w:t>
      </w:r>
      <w:r w:rsidR="00C033DB">
        <w:rPr>
          <w:rFonts w:asciiTheme="minorHAnsi" w:hAnsiTheme="minorHAnsi" w:cs="Arial"/>
          <w:bCs/>
          <w:snapToGrid w:val="0"/>
          <w:lang w:val="en-GB"/>
        </w:rPr>
        <w:t>e</w:t>
      </w:r>
      <w:r w:rsidR="00E96597" w:rsidRPr="00A70910">
        <w:rPr>
          <w:rFonts w:asciiTheme="minorHAnsi" w:hAnsiTheme="minorHAnsi" w:cs="Arial"/>
          <w:bCs/>
          <w:snapToGrid w:val="0"/>
          <w:lang w:val="en-GB"/>
        </w:rPr>
        <w:t xml:space="preserve"> of </w:t>
      </w:r>
      <w:r w:rsidR="00D24C01" w:rsidRPr="00A70910">
        <w:rPr>
          <w:rFonts w:asciiTheme="minorHAnsi" w:hAnsiTheme="minorHAnsi" w:cs="Arial"/>
          <w:bCs/>
          <w:snapToGrid w:val="0"/>
          <w:lang w:val="en-GB"/>
        </w:rPr>
        <w:t>2</w:t>
      </w:r>
      <w:r w:rsidR="00E96597" w:rsidRPr="00A70910">
        <w:rPr>
          <w:rFonts w:asciiTheme="minorHAnsi" w:hAnsiTheme="minorHAnsi" w:cs="Arial"/>
          <w:bCs/>
          <w:snapToGrid w:val="0"/>
          <w:lang w:val="en-GB"/>
        </w:rPr>
        <w:t> </w:t>
      </w:r>
      <w:r w:rsidR="00D24C01" w:rsidRPr="00A70910">
        <w:rPr>
          <w:rFonts w:asciiTheme="minorHAnsi" w:hAnsiTheme="minorHAnsi" w:cs="Arial"/>
          <w:bCs/>
          <w:snapToGrid w:val="0"/>
          <w:lang w:val="en-GB"/>
        </w:rPr>
        <w:t>mg</w:t>
      </w:r>
      <w:r w:rsidR="00E96597" w:rsidRPr="00A70910">
        <w:rPr>
          <w:rFonts w:asciiTheme="minorHAnsi" w:hAnsiTheme="minorHAnsi" w:cs="Arial"/>
          <w:bCs/>
          <w:snapToGrid w:val="0"/>
          <w:lang w:val="en-GB"/>
        </w:rPr>
        <w:t>/</w:t>
      </w:r>
      <w:r w:rsidR="000B3287" w:rsidRPr="00A70910">
        <w:rPr>
          <w:rFonts w:asciiTheme="minorHAnsi" w:hAnsiTheme="minorHAnsi" w:cs="Arial"/>
          <w:bCs/>
          <w:snapToGrid w:val="0"/>
          <w:lang w:val="en-GB"/>
        </w:rPr>
        <w:t xml:space="preserve">kg </w:t>
      </w:r>
      <w:r w:rsidR="00E96597" w:rsidRPr="00A70910">
        <w:rPr>
          <w:rFonts w:asciiTheme="minorHAnsi" w:hAnsiTheme="minorHAnsi" w:cs="Arial"/>
          <w:bCs/>
          <w:snapToGrid w:val="0"/>
          <w:lang w:val="en-GB"/>
        </w:rPr>
        <w:t>or</w:t>
      </w:r>
      <w:r w:rsidR="000B3287" w:rsidRPr="00A70910">
        <w:rPr>
          <w:rFonts w:asciiTheme="minorHAnsi" w:hAnsiTheme="minorHAnsi" w:cs="Arial"/>
          <w:bCs/>
          <w:snapToGrid w:val="0"/>
          <w:lang w:val="en-GB"/>
        </w:rPr>
        <w:t xml:space="preserve"> a </w:t>
      </w:r>
      <w:r w:rsidR="00E96597" w:rsidRPr="00A70910">
        <w:rPr>
          <w:rFonts w:asciiTheme="minorHAnsi" w:hAnsiTheme="minorHAnsi" w:cs="Arial"/>
          <w:bCs/>
          <w:snapToGrid w:val="0"/>
          <w:lang w:val="en-GB"/>
        </w:rPr>
        <w:t xml:space="preserve">fixed dose of </w:t>
      </w:r>
      <w:r w:rsidR="00EA5377" w:rsidRPr="00A70910">
        <w:rPr>
          <w:rFonts w:asciiTheme="minorHAnsi" w:hAnsiTheme="minorHAnsi" w:cs="Arial"/>
          <w:bCs/>
          <w:snapToGrid w:val="0"/>
          <w:lang w:val="en-GB"/>
        </w:rPr>
        <w:t>200</w:t>
      </w:r>
      <w:r w:rsidR="00E96597" w:rsidRPr="00A70910">
        <w:rPr>
          <w:rFonts w:asciiTheme="minorHAnsi" w:hAnsiTheme="minorHAnsi" w:cs="Arial"/>
          <w:bCs/>
          <w:snapToGrid w:val="0"/>
          <w:lang w:val="en-GB"/>
        </w:rPr>
        <w:t> </w:t>
      </w:r>
      <w:r w:rsidR="00EA5377" w:rsidRPr="00A70910">
        <w:rPr>
          <w:rFonts w:asciiTheme="minorHAnsi" w:hAnsiTheme="minorHAnsi" w:cs="Arial"/>
          <w:bCs/>
          <w:snapToGrid w:val="0"/>
          <w:lang w:val="en-GB"/>
        </w:rPr>
        <w:t>mg</w:t>
      </w:r>
      <w:r w:rsidR="00E96597" w:rsidRPr="00A70910">
        <w:rPr>
          <w:rFonts w:asciiTheme="minorHAnsi" w:hAnsiTheme="minorHAnsi" w:cs="Arial"/>
          <w:bCs/>
          <w:snapToGrid w:val="0"/>
          <w:lang w:val="en-GB"/>
        </w:rPr>
        <w:t>, every three weeks. The PBAC recommended that the maximu</w:t>
      </w:r>
      <w:r w:rsidR="0066583F">
        <w:rPr>
          <w:rFonts w:asciiTheme="minorHAnsi" w:hAnsiTheme="minorHAnsi" w:cs="Arial"/>
          <w:bCs/>
          <w:snapToGrid w:val="0"/>
          <w:lang w:val="en-GB"/>
        </w:rPr>
        <w:t>m amount be adjusted to 200 mg.</w:t>
      </w:r>
    </w:p>
    <w:p w:rsidR="00A70910" w:rsidRPr="00A70910" w:rsidRDefault="00A70910" w:rsidP="00E96597">
      <w:pPr>
        <w:widowControl w:val="0"/>
        <w:numPr>
          <w:ilvl w:val="1"/>
          <w:numId w:val="5"/>
        </w:numPr>
        <w:spacing w:after="120"/>
        <w:jc w:val="both"/>
        <w:rPr>
          <w:rFonts w:asciiTheme="minorHAnsi" w:hAnsiTheme="minorHAnsi" w:cs="Arial"/>
          <w:bCs/>
          <w:snapToGrid w:val="0"/>
          <w:lang w:val="en-GB"/>
        </w:rPr>
      </w:pPr>
      <w:r w:rsidRPr="00A70910">
        <w:rPr>
          <w:rFonts w:asciiTheme="minorHAnsi" w:hAnsiTheme="minorHAnsi" w:cs="Arial"/>
          <w:bCs/>
          <w:snapToGrid w:val="0"/>
          <w:lang w:val="en-GB"/>
        </w:rPr>
        <w:t xml:space="preserve">The PBAC noted the minor submission’s claim that there is a flat relationship between </w:t>
      </w:r>
      <w:proofErr w:type="spellStart"/>
      <w:r w:rsidRPr="00A70910">
        <w:rPr>
          <w:rFonts w:asciiTheme="minorHAnsi" w:eastAsiaTheme="minorHAnsi" w:hAnsiTheme="minorHAnsi" w:cstheme="minorBidi"/>
          <w:szCs w:val="22"/>
        </w:rPr>
        <w:t>pembrolizumab</w:t>
      </w:r>
      <w:proofErr w:type="spellEnd"/>
      <w:r w:rsidRPr="00A70910">
        <w:rPr>
          <w:rFonts w:asciiTheme="minorHAnsi" w:eastAsiaTheme="minorHAnsi" w:hAnsiTheme="minorHAnsi" w:cstheme="minorBidi"/>
          <w:szCs w:val="22"/>
        </w:rPr>
        <w:t xml:space="preserve"> exposure and efficacy or safety within the dose range of 2 to 10 mg/kg. The PBAC therefore con</w:t>
      </w:r>
      <w:r w:rsidR="0066583F">
        <w:rPr>
          <w:rFonts w:asciiTheme="minorHAnsi" w:eastAsiaTheme="minorHAnsi" w:hAnsiTheme="minorHAnsi" w:cstheme="minorBidi"/>
          <w:szCs w:val="22"/>
        </w:rPr>
        <w:t>cluded</w:t>
      </w:r>
      <w:r w:rsidRPr="00A70910">
        <w:rPr>
          <w:rFonts w:asciiTheme="minorHAnsi" w:eastAsiaTheme="minorHAnsi" w:hAnsiTheme="minorHAnsi" w:cstheme="minorBidi"/>
          <w:szCs w:val="22"/>
        </w:rPr>
        <w:t xml:space="preserve"> that</w:t>
      </w:r>
      <w:r w:rsidR="0066583F">
        <w:rPr>
          <w:rFonts w:asciiTheme="minorHAnsi" w:eastAsiaTheme="minorHAnsi" w:hAnsiTheme="minorHAnsi" w:cstheme="minorBidi"/>
          <w:szCs w:val="22"/>
        </w:rPr>
        <w:t>,</w:t>
      </w:r>
      <w:r w:rsidRPr="00A70910">
        <w:rPr>
          <w:rFonts w:asciiTheme="minorHAnsi" w:eastAsiaTheme="minorHAnsi" w:hAnsiTheme="minorHAnsi" w:cstheme="minorBidi"/>
          <w:szCs w:val="22"/>
        </w:rPr>
        <w:t xml:space="preserve"> for patients who are currently on a weight-based dose of less than 200 mg, </w:t>
      </w:r>
      <w:r w:rsidR="0066583F" w:rsidRPr="00A70910">
        <w:rPr>
          <w:rFonts w:asciiTheme="minorHAnsi" w:eastAsiaTheme="minorHAnsi" w:hAnsiTheme="minorHAnsi" w:cstheme="minorBidi"/>
          <w:szCs w:val="22"/>
        </w:rPr>
        <w:t xml:space="preserve">there is no </w:t>
      </w:r>
      <w:r w:rsidR="0066583F">
        <w:rPr>
          <w:rFonts w:asciiTheme="minorHAnsi" w:eastAsiaTheme="minorHAnsi" w:hAnsiTheme="minorHAnsi" w:cstheme="minorBidi"/>
          <w:szCs w:val="22"/>
        </w:rPr>
        <w:t xml:space="preserve">extra </w:t>
      </w:r>
      <w:r w:rsidR="0066583F" w:rsidRPr="00A70910">
        <w:rPr>
          <w:rFonts w:asciiTheme="minorHAnsi" w:eastAsiaTheme="minorHAnsi" w:hAnsiTheme="minorHAnsi" w:cstheme="minorBidi"/>
          <w:szCs w:val="22"/>
        </w:rPr>
        <w:t xml:space="preserve">clinical benefit </w:t>
      </w:r>
      <w:r w:rsidR="0066583F">
        <w:rPr>
          <w:rFonts w:asciiTheme="minorHAnsi" w:eastAsiaTheme="minorHAnsi" w:hAnsiTheme="minorHAnsi" w:cstheme="minorBidi"/>
          <w:szCs w:val="22"/>
        </w:rPr>
        <w:t xml:space="preserve">achieved by </w:t>
      </w:r>
      <w:r w:rsidRPr="00A70910">
        <w:rPr>
          <w:rFonts w:asciiTheme="minorHAnsi" w:eastAsiaTheme="minorHAnsi" w:hAnsiTheme="minorHAnsi" w:cstheme="minorBidi"/>
          <w:szCs w:val="22"/>
        </w:rPr>
        <w:t>increas</w:t>
      </w:r>
      <w:r w:rsidR="0066583F">
        <w:rPr>
          <w:rFonts w:asciiTheme="minorHAnsi" w:eastAsiaTheme="minorHAnsi" w:hAnsiTheme="minorHAnsi" w:cstheme="minorBidi"/>
          <w:szCs w:val="22"/>
        </w:rPr>
        <w:t>ing</w:t>
      </w:r>
      <w:r w:rsidRPr="00A70910">
        <w:rPr>
          <w:rFonts w:asciiTheme="minorHAnsi" w:eastAsiaTheme="minorHAnsi" w:hAnsiTheme="minorHAnsi" w:cstheme="minorBidi"/>
          <w:szCs w:val="22"/>
        </w:rPr>
        <w:t xml:space="preserve"> to the fixed 200 mg dose, but there coul</w:t>
      </w:r>
      <w:r w:rsidR="0066583F">
        <w:rPr>
          <w:rFonts w:asciiTheme="minorHAnsi" w:eastAsiaTheme="minorHAnsi" w:hAnsiTheme="minorHAnsi" w:cstheme="minorBidi"/>
          <w:szCs w:val="22"/>
        </w:rPr>
        <w:t>d potentially be more toxicity.</w:t>
      </w:r>
    </w:p>
    <w:p w:rsidR="00A70910" w:rsidRDefault="00EB585D" w:rsidP="00B32C8C">
      <w:pPr>
        <w:widowControl w:val="0"/>
        <w:numPr>
          <w:ilvl w:val="1"/>
          <w:numId w:val="5"/>
        </w:numPr>
        <w:spacing w:after="120"/>
        <w:jc w:val="both"/>
        <w:rPr>
          <w:rFonts w:asciiTheme="minorHAnsi" w:hAnsiTheme="minorHAnsi" w:cs="Arial"/>
          <w:bCs/>
          <w:snapToGrid w:val="0"/>
          <w:lang w:val="en-GB"/>
        </w:rPr>
      </w:pPr>
      <w:r>
        <w:rPr>
          <w:rFonts w:asciiTheme="minorHAnsi" w:hAnsiTheme="minorHAnsi" w:cs="Arial"/>
          <w:bCs/>
          <w:snapToGrid w:val="0"/>
          <w:lang w:val="en-GB"/>
        </w:rPr>
        <w:t xml:space="preserve">The PBAC noted that the sponsor’s request to change dosing from weight based to fixed dosing </w:t>
      </w:r>
      <w:r w:rsidR="00F12AD2">
        <w:rPr>
          <w:rFonts w:asciiTheme="minorHAnsi" w:hAnsiTheme="minorHAnsi" w:cs="Arial"/>
          <w:bCs/>
          <w:noProof/>
          <w:snapToGrid w:val="0"/>
          <w:color w:val="000000"/>
          <w:highlight w:val="black"/>
          <w:lang w:val="en-GB"/>
        </w:rPr>
        <w:t>'''''''' ''''''''''''''''''''' ''''' ''''''' ''''''''''''''''' ''''' ''''''''''' '''''''''''''''''''''''' ''''' '''''' '''''''''''' ''''''' '''' ''''''''''''''''''''''''''''''</w:t>
      </w:r>
      <w:r>
        <w:rPr>
          <w:rFonts w:asciiTheme="minorHAnsi" w:hAnsiTheme="minorHAnsi" w:cs="Arial"/>
          <w:bCs/>
          <w:snapToGrid w:val="0"/>
          <w:lang w:val="en-GB"/>
        </w:rPr>
        <w:t xml:space="preserve">. The change in dosing has the effect of wasting on average 25% of the drug because the fixed dosing results in a higher administered dose without any additional patient benefit. For this reason, the PBAC concluded </w:t>
      </w:r>
      <w:r w:rsidR="00A70910">
        <w:rPr>
          <w:rFonts w:asciiTheme="minorHAnsi" w:hAnsiTheme="minorHAnsi" w:cs="Arial"/>
          <w:bCs/>
          <w:snapToGrid w:val="0"/>
          <w:lang w:val="en-GB"/>
        </w:rPr>
        <w:t xml:space="preserve">that a change from the weight-based to fixed dose regimen would not be cost-effective on a per-patient basis, as currently the </w:t>
      </w:r>
      <w:r w:rsidR="00667BA2">
        <w:rPr>
          <w:rFonts w:asciiTheme="minorHAnsi" w:hAnsiTheme="minorHAnsi" w:cs="Arial"/>
          <w:bCs/>
          <w:snapToGrid w:val="0"/>
          <w:lang w:val="en-GB"/>
        </w:rPr>
        <w:t xml:space="preserve">mean dose of </w:t>
      </w:r>
      <w:proofErr w:type="spellStart"/>
      <w:r w:rsidR="00667BA2">
        <w:rPr>
          <w:rFonts w:asciiTheme="minorHAnsi" w:hAnsiTheme="minorHAnsi" w:cs="Arial"/>
          <w:bCs/>
          <w:snapToGrid w:val="0"/>
          <w:lang w:val="en-GB"/>
        </w:rPr>
        <w:t>pembrolizumab</w:t>
      </w:r>
      <w:proofErr w:type="spellEnd"/>
      <w:r w:rsidR="00667BA2">
        <w:rPr>
          <w:rFonts w:asciiTheme="minorHAnsi" w:hAnsiTheme="minorHAnsi" w:cs="Arial"/>
          <w:bCs/>
          <w:snapToGrid w:val="0"/>
          <w:lang w:val="en-GB"/>
        </w:rPr>
        <w:t xml:space="preserve"> is </w:t>
      </w:r>
      <w:r w:rsidR="00C033DB">
        <w:rPr>
          <w:rFonts w:asciiTheme="minorHAnsi" w:hAnsiTheme="minorHAnsi" w:cs="Arial"/>
          <w:bCs/>
          <w:snapToGrid w:val="0"/>
          <w:lang w:val="en-GB"/>
        </w:rPr>
        <w:t xml:space="preserve">significantly </w:t>
      </w:r>
      <w:r w:rsidR="00667BA2">
        <w:rPr>
          <w:rFonts w:asciiTheme="minorHAnsi" w:hAnsiTheme="minorHAnsi" w:cs="Arial"/>
          <w:bCs/>
          <w:snapToGrid w:val="0"/>
          <w:lang w:val="en-GB"/>
        </w:rPr>
        <w:t xml:space="preserve">less than 200 mg. </w:t>
      </w:r>
      <w:r w:rsidR="00B32C8C" w:rsidRPr="00B32C8C">
        <w:rPr>
          <w:rFonts w:asciiTheme="minorHAnsi" w:hAnsiTheme="minorHAnsi" w:cs="Arial"/>
          <w:bCs/>
          <w:snapToGrid w:val="0"/>
          <w:lang w:val="en-GB"/>
        </w:rPr>
        <w:t xml:space="preserve">However, the PBAC noted that there is currently a </w:t>
      </w:r>
      <w:r w:rsidR="0066583F">
        <w:rPr>
          <w:rFonts w:asciiTheme="minorHAnsi" w:hAnsiTheme="minorHAnsi" w:cs="Arial"/>
          <w:bCs/>
          <w:snapToGrid w:val="0"/>
          <w:lang w:val="en-GB"/>
        </w:rPr>
        <w:t xml:space="preserve">relevant </w:t>
      </w:r>
      <w:r w:rsidR="00B32C8C" w:rsidRPr="00B32C8C">
        <w:rPr>
          <w:rFonts w:asciiTheme="minorHAnsi" w:hAnsiTheme="minorHAnsi" w:cs="Arial"/>
          <w:bCs/>
          <w:snapToGrid w:val="0"/>
          <w:lang w:val="en-GB"/>
        </w:rPr>
        <w:t xml:space="preserve">risk sharing arrangement in place, with a </w:t>
      </w:r>
      <w:r w:rsidR="00F12AD2">
        <w:rPr>
          <w:rFonts w:asciiTheme="minorHAnsi" w:hAnsiTheme="minorHAnsi" w:cs="Arial"/>
          <w:bCs/>
          <w:noProof/>
          <w:snapToGrid w:val="0"/>
          <w:color w:val="000000"/>
          <w:highlight w:val="black"/>
          <w:lang w:val="en-GB"/>
        </w:rPr>
        <w:t>'''''''''''</w:t>
      </w:r>
      <w:r w:rsidR="00B32C8C" w:rsidRPr="00B32C8C">
        <w:rPr>
          <w:rFonts w:asciiTheme="minorHAnsi" w:hAnsiTheme="minorHAnsi" w:cs="Arial"/>
          <w:bCs/>
          <w:snapToGrid w:val="0"/>
          <w:lang w:val="en-GB"/>
        </w:rPr>
        <w:t xml:space="preserve"> rebate over the </w:t>
      </w:r>
      <w:r w:rsidR="00C705A0">
        <w:rPr>
          <w:rFonts w:asciiTheme="minorHAnsi" w:hAnsiTheme="minorHAnsi" w:cs="Arial"/>
          <w:bCs/>
          <w:snapToGrid w:val="0"/>
          <w:lang w:val="en-GB"/>
        </w:rPr>
        <w:t>annual expenditure</w:t>
      </w:r>
      <w:r w:rsidR="00B32C8C" w:rsidRPr="00B32C8C">
        <w:rPr>
          <w:rFonts w:asciiTheme="minorHAnsi" w:hAnsiTheme="minorHAnsi" w:cs="Arial"/>
          <w:bCs/>
          <w:snapToGrid w:val="0"/>
          <w:lang w:val="en-GB"/>
        </w:rPr>
        <w:t xml:space="preserve"> caps. These caps have been exceeded in previous years. If the caps continue to be exceeded, the </w:t>
      </w:r>
      <w:r w:rsidR="0066583F">
        <w:rPr>
          <w:rFonts w:asciiTheme="minorHAnsi" w:hAnsiTheme="minorHAnsi" w:cs="Arial"/>
          <w:bCs/>
          <w:snapToGrid w:val="0"/>
          <w:lang w:val="en-GB"/>
        </w:rPr>
        <w:lastRenderedPageBreak/>
        <w:t xml:space="preserve">overall </w:t>
      </w:r>
      <w:r w:rsidR="00B32C8C" w:rsidRPr="00B32C8C">
        <w:rPr>
          <w:rFonts w:asciiTheme="minorHAnsi" w:hAnsiTheme="minorHAnsi" w:cs="Arial"/>
          <w:bCs/>
          <w:snapToGrid w:val="0"/>
          <w:lang w:val="en-GB"/>
        </w:rPr>
        <w:t xml:space="preserve">net cost to Government with the restriction amendment would remain the same as it would be contained </w:t>
      </w:r>
      <w:r w:rsidR="00B32C8C">
        <w:rPr>
          <w:rFonts w:asciiTheme="minorHAnsi" w:hAnsiTheme="minorHAnsi" w:cs="Arial"/>
          <w:bCs/>
          <w:snapToGrid w:val="0"/>
          <w:lang w:val="en-GB"/>
        </w:rPr>
        <w:t>by the risk sharing arrangement</w:t>
      </w:r>
      <w:r w:rsidR="00A70910">
        <w:rPr>
          <w:rFonts w:asciiTheme="minorHAnsi" w:hAnsiTheme="minorHAnsi" w:cs="Arial"/>
          <w:bCs/>
          <w:snapToGrid w:val="0"/>
          <w:lang w:val="en-GB"/>
        </w:rPr>
        <w:t>. The PBAC therefore advised that</w:t>
      </w:r>
      <w:r w:rsidR="00E06DB2">
        <w:rPr>
          <w:rFonts w:asciiTheme="minorHAnsi" w:hAnsiTheme="minorHAnsi" w:cs="Arial"/>
          <w:bCs/>
          <w:snapToGrid w:val="0"/>
          <w:lang w:val="en-GB"/>
        </w:rPr>
        <w:t xml:space="preserve"> subsequent </w:t>
      </w:r>
      <w:r w:rsidR="00C705A0">
        <w:rPr>
          <w:rFonts w:asciiTheme="minorHAnsi" w:hAnsiTheme="minorHAnsi" w:cs="Arial"/>
          <w:bCs/>
          <w:snapToGrid w:val="0"/>
          <w:lang w:val="en-GB"/>
        </w:rPr>
        <w:t xml:space="preserve">annual </w:t>
      </w:r>
      <w:r w:rsidR="00E06DB2">
        <w:rPr>
          <w:rFonts w:asciiTheme="minorHAnsi" w:hAnsiTheme="minorHAnsi" w:cs="Arial"/>
          <w:bCs/>
          <w:snapToGrid w:val="0"/>
          <w:lang w:val="en-GB"/>
        </w:rPr>
        <w:t>expenditure caps</w:t>
      </w:r>
      <w:r w:rsidR="00A70910">
        <w:rPr>
          <w:rFonts w:asciiTheme="minorHAnsi" w:hAnsiTheme="minorHAnsi" w:cs="Arial"/>
          <w:bCs/>
          <w:snapToGrid w:val="0"/>
          <w:lang w:val="en-GB"/>
        </w:rPr>
        <w:t xml:space="preserve"> </w:t>
      </w:r>
      <w:r w:rsidR="00C705A0">
        <w:rPr>
          <w:rFonts w:asciiTheme="minorHAnsi" w:hAnsiTheme="minorHAnsi" w:cs="Arial"/>
          <w:bCs/>
          <w:snapToGrid w:val="0"/>
          <w:lang w:val="en-GB"/>
        </w:rPr>
        <w:t xml:space="preserve">for this melanoma-based Deed of Agreement </w:t>
      </w:r>
      <w:r w:rsidR="00A70910">
        <w:rPr>
          <w:rFonts w:asciiTheme="minorHAnsi" w:hAnsiTheme="minorHAnsi" w:cs="Arial"/>
          <w:bCs/>
          <w:snapToGrid w:val="0"/>
          <w:lang w:val="en-GB"/>
        </w:rPr>
        <w:t xml:space="preserve">should be negotiated </w:t>
      </w:r>
      <w:r w:rsidR="00E06DB2">
        <w:rPr>
          <w:rFonts w:asciiTheme="minorHAnsi" w:hAnsiTheme="minorHAnsi" w:cs="Arial"/>
          <w:bCs/>
          <w:snapToGrid w:val="0"/>
          <w:lang w:val="en-GB"/>
        </w:rPr>
        <w:t xml:space="preserve">with the sponsor for </w:t>
      </w:r>
      <w:proofErr w:type="spellStart"/>
      <w:r w:rsidR="00E06DB2">
        <w:rPr>
          <w:rFonts w:asciiTheme="minorHAnsi" w:hAnsiTheme="minorHAnsi" w:cs="Arial"/>
          <w:bCs/>
          <w:snapToGrid w:val="0"/>
          <w:lang w:val="en-GB"/>
        </w:rPr>
        <w:t>pembrolizumab</w:t>
      </w:r>
      <w:proofErr w:type="spellEnd"/>
      <w:r w:rsidR="00E06DB2">
        <w:rPr>
          <w:rFonts w:asciiTheme="minorHAnsi" w:hAnsiTheme="minorHAnsi" w:cs="Arial"/>
          <w:bCs/>
          <w:snapToGrid w:val="0"/>
          <w:lang w:val="en-GB"/>
        </w:rPr>
        <w:t xml:space="preserve"> </w:t>
      </w:r>
      <w:r w:rsidR="00A70910">
        <w:rPr>
          <w:rFonts w:asciiTheme="minorHAnsi" w:hAnsiTheme="minorHAnsi" w:cs="Arial"/>
          <w:bCs/>
          <w:snapToGrid w:val="0"/>
          <w:lang w:val="en-GB"/>
        </w:rPr>
        <w:t xml:space="preserve">based on the weight-based dosing regimen, to ensure that the PBS </w:t>
      </w:r>
      <w:r w:rsidR="00E06DB2">
        <w:rPr>
          <w:rFonts w:asciiTheme="minorHAnsi" w:hAnsiTheme="minorHAnsi" w:cs="Arial"/>
          <w:bCs/>
          <w:snapToGrid w:val="0"/>
          <w:lang w:val="en-GB"/>
        </w:rPr>
        <w:t xml:space="preserve">listing remains </w:t>
      </w:r>
      <w:r w:rsidR="00C705A0">
        <w:rPr>
          <w:rFonts w:asciiTheme="minorHAnsi" w:hAnsiTheme="minorHAnsi" w:cs="Arial"/>
          <w:bCs/>
          <w:snapToGrid w:val="0"/>
          <w:lang w:val="en-GB"/>
        </w:rPr>
        <w:t xml:space="preserve">acceptably </w:t>
      </w:r>
      <w:r w:rsidR="00E06DB2">
        <w:rPr>
          <w:rFonts w:asciiTheme="minorHAnsi" w:hAnsiTheme="minorHAnsi" w:cs="Arial"/>
          <w:bCs/>
          <w:snapToGrid w:val="0"/>
          <w:lang w:val="en-GB"/>
        </w:rPr>
        <w:t>cost-effective.</w:t>
      </w:r>
    </w:p>
    <w:p w:rsidR="00353D90" w:rsidRPr="00667BA2" w:rsidRDefault="00667BA2" w:rsidP="00667BA2">
      <w:pPr>
        <w:widowControl w:val="0"/>
        <w:numPr>
          <w:ilvl w:val="1"/>
          <w:numId w:val="5"/>
        </w:numPr>
        <w:spacing w:after="120"/>
        <w:jc w:val="both"/>
        <w:rPr>
          <w:rFonts w:asciiTheme="minorHAnsi" w:eastAsiaTheme="minorHAnsi" w:hAnsiTheme="minorHAnsi" w:cstheme="minorBidi"/>
        </w:rPr>
      </w:pPr>
      <w:r w:rsidRPr="00667BA2">
        <w:rPr>
          <w:rFonts w:asciiTheme="minorHAnsi" w:hAnsiTheme="minorHAnsi" w:cs="Arial"/>
          <w:bCs/>
          <w:snapToGrid w:val="0"/>
          <w:lang w:val="en-GB"/>
        </w:rPr>
        <w:t xml:space="preserve">The PBAC agreed with the Secretariat’s suggested changes to the </w:t>
      </w:r>
      <w:proofErr w:type="spellStart"/>
      <w:r w:rsidRPr="00667BA2">
        <w:rPr>
          <w:rFonts w:asciiTheme="minorHAnsi" w:hAnsiTheme="minorHAnsi" w:cs="Arial"/>
          <w:bCs/>
          <w:snapToGrid w:val="0"/>
          <w:lang w:val="en-GB"/>
        </w:rPr>
        <w:t>pembrolizumab</w:t>
      </w:r>
      <w:proofErr w:type="spellEnd"/>
      <w:r w:rsidRPr="00667BA2">
        <w:rPr>
          <w:rFonts w:asciiTheme="minorHAnsi" w:hAnsiTheme="minorHAnsi" w:cs="Arial"/>
          <w:bCs/>
          <w:snapToGrid w:val="0"/>
          <w:lang w:val="en-GB"/>
        </w:rPr>
        <w:t xml:space="preserve"> restriction.</w:t>
      </w:r>
    </w:p>
    <w:p w:rsidR="00687E5E" w:rsidRDefault="00687E5E" w:rsidP="00353D90">
      <w:pPr>
        <w:widowControl w:val="0"/>
        <w:numPr>
          <w:ilvl w:val="1"/>
          <w:numId w:val="5"/>
        </w:numPr>
        <w:spacing w:after="120"/>
        <w:jc w:val="both"/>
        <w:rPr>
          <w:rFonts w:asciiTheme="minorHAnsi" w:hAnsiTheme="minorHAnsi" w:cs="Arial"/>
          <w:bCs/>
          <w:snapToGrid w:val="0"/>
          <w:lang w:val="en-GB"/>
        </w:rPr>
      </w:pPr>
      <w:r>
        <w:rPr>
          <w:rFonts w:asciiTheme="minorHAnsi" w:hAnsiTheme="minorHAnsi" w:cs="Arial"/>
          <w:bCs/>
          <w:snapToGrid w:val="0"/>
          <w:lang w:val="en-GB"/>
        </w:rPr>
        <w:t>The PBAC noted that this submission is not eligible for</w:t>
      </w:r>
      <w:r w:rsidR="00667BA2">
        <w:rPr>
          <w:rFonts w:asciiTheme="minorHAnsi" w:hAnsiTheme="minorHAnsi" w:cs="Arial"/>
          <w:bCs/>
          <w:snapToGrid w:val="0"/>
          <w:lang w:val="en-GB"/>
        </w:rPr>
        <w:t xml:space="preserve"> an</w:t>
      </w:r>
      <w:r>
        <w:rPr>
          <w:rFonts w:asciiTheme="minorHAnsi" w:hAnsiTheme="minorHAnsi" w:cs="Arial"/>
          <w:bCs/>
          <w:snapToGrid w:val="0"/>
          <w:lang w:val="en-GB"/>
        </w:rPr>
        <w:t xml:space="preserve"> Independent Review </w:t>
      </w:r>
      <w:r w:rsidR="00667BA2">
        <w:rPr>
          <w:rFonts w:asciiTheme="minorHAnsi" w:hAnsiTheme="minorHAnsi" w:cs="Arial"/>
          <w:bCs/>
          <w:snapToGrid w:val="0"/>
          <w:lang w:val="en-GB"/>
        </w:rPr>
        <w:t>it has received</w:t>
      </w:r>
      <w:r>
        <w:rPr>
          <w:rFonts w:asciiTheme="minorHAnsi" w:hAnsiTheme="minorHAnsi" w:cs="Arial"/>
          <w:bCs/>
          <w:snapToGrid w:val="0"/>
          <w:lang w:val="en-GB"/>
        </w:rPr>
        <w:t xml:space="preserve"> a positive recommendation.</w:t>
      </w:r>
    </w:p>
    <w:p w:rsidR="00681010" w:rsidRPr="00525B39" w:rsidRDefault="00681010" w:rsidP="00E30BBF">
      <w:pPr>
        <w:spacing w:before="240"/>
        <w:jc w:val="both"/>
        <w:rPr>
          <w:rFonts w:asciiTheme="minorHAnsi" w:hAnsiTheme="minorHAnsi" w:cs="Arial"/>
          <w:b/>
          <w:bCs/>
          <w:snapToGrid w:val="0"/>
          <w:lang w:val="en-GB"/>
        </w:rPr>
      </w:pPr>
      <w:r w:rsidRPr="00525B39">
        <w:rPr>
          <w:rFonts w:asciiTheme="minorHAnsi" w:hAnsiTheme="minorHAnsi" w:cs="Arial"/>
          <w:b/>
          <w:bCs/>
          <w:snapToGrid w:val="0"/>
          <w:lang w:val="en-GB"/>
        </w:rPr>
        <w:t>Outcome:</w:t>
      </w:r>
    </w:p>
    <w:p w:rsidR="00681010" w:rsidRPr="00525B39" w:rsidRDefault="00E06DB2" w:rsidP="00353D90">
      <w:pPr>
        <w:jc w:val="both"/>
        <w:rPr>
          <w:rFonts w:asciiTheme="minorHAnsi" w:hAnsiTheme="minorHAnsi" w:cs="Arial"/>
          <w:bCs/>
          <w:snapToGrid w:val="0"/>
          <w:lang w:val="en-GB"/>
        </w:rPr>
      </w:pPr>
      <w:r>
        <w:rPr>
          <w:rFonts w:asciiTheme="minorHAnsi" w:hAnsiTheme="minorHAnsi" w:cs="Arial"/>
          <w:bCs/>
          <w:snapToGrid w:val="0"/>
          <w:lang w:val="en-GB"/>
        </w:rPr>
        <w:t>Recommended</w:t>
      </w:r>
    </w:p>
    <w:p w:rsidR="00681010" w:rsidRPr="00E06DB2" w:rsidRDefault="00681010" w:rsidP="00366E3B">
      <w:pPr>
        <w:pStyle w:val="PBACHeading1"/>
        <w:rPr>
          <w:lang w:val="en-GB"/>
        </w:rPr>
      </w:pPr>
      <w:r w:rsidRPr="00525B39">
        <w:rPr>
          <w:lang w:val="en-GB"/>
        </w:rPr>
        <w:t>Recommended listing</w:t>
      </w:r>
    </w:p>
    <w:p w:rsidR="00681010" w:rsidRDefault="00681010" w:rsidP="00D86043">
      <w:pPr>
        <w:widowControl w:val="0"/>
        <w:numPr>
          <w:ilvl w:val="1"/>
          <w:numId w:val="5"/>
        </w:numPr>
        <w:spacing w:after="120"/>
        <w:jc w:val="both"/>
        <w:rPr>
          <w:rFonts w:asciiTheme="minorHAnsi" w:hAnsiTheme="minorHAnsi"/>
          <w:sz w:val="22"/>
          <w:szCs w:val="22"/>
        </w:rPr>
      </w:pPr>
      <w:r w:rsidRPr="00525B39">
        <w:rPr>
          <w:rFonts w:asciiTheme="minorHAnsi" w:hAnsiTheme="minorHAnsi" w:cs="Arial"/>
          <w:bCs/>
          <w:snapToGrid w:val="0"/>
        </w:rPr>
        <w:t>Amend existing listing as follows:</w:t>
      </w:r>
    </w:p>
    <w:tbl>
      <w:tblPr>
        <w:tblW w:w="4915" w:type="pct"/>
        <w:tblLook w:val="0000" w:firstRow="0" w:lastRow="0" w:firstColumn="0" w:lastColumn="0" w:noHBand="0" w:noVBand="0"/>
      </w:tblPr>
      <w:tblGrid>
        <w:gridCol w:w="2944"/>
        <w:gridCol w:w="850"/>
        <w:gridCol w:w="1274"/>
        <w:gridCol w:w="1701"/>
        <w:gridCol w:w="1039"/>
        <w:gridCol w:w="1277"/>
      </w:tblGrid>
      <w:tr w:rsidR="00D86043" w:rsidRPr="002873B2" w:rsidTr="00BD4589">
        <w:trPr>
          <w:cantSplit/>
          <w:trHeight w:val="465"/>
        </w:trPr>
        <w:tc>
          <w:tcPr>
            <w:tcW w:w="1620" w:type="pct"/>
            <w:tcBorders>
              <w:bottom w:val="single" w:sz="4" w:space="0" w:color="auto"/>
            </w:tcBorders>
          </w:tcPr>
          <w:p w:rsidR="00D86043" w:rsidRPr="0039782C" w:rsidRDefault="00D86043" w:rsidP="00BD4589">
            <w:pPr>
              <w:keepNext/>
              <w:spacing w:before="40" w:after="40"/>
              <w:jc w:val="both"/>
              <w:rPr>
                <w:rFonts w:ascii="Arial Narrow" w:hAnsi="Arial Narrow" w:cs="Arial"/>
                <w:b/>
                <w:sz w:val="20"/>
                <w:szCs w:val="20"/>
              </w:rPr>
            </w:pPr>
            <w:r w:rsidRPr="0039782C">
              <w:rPr>
                <w:rFonts w:ascii="Arial Narrow" w:hAnsi="Arial Narrow" w:cs="Arial"/>
                <w:b/>
                <w:sz w:val="20"/>
                <w:szCs w:val="20"/>
              </w:rPr>
              <w:t>Name, Restriction,</w:t>
            </w:r>
          </w:p>
          <w:p w:rsidR="00D86043" w:rsidRPr="0039782C" w:rsidRDefault="00D86043" w:rsidP="00BD4589">
            <w:pPr>
              <w:keepNext/>
              <w:spacing w:before="40" w:after="40"/>
              <w:jc w:val="both"/>
              <w:rPr>
                <w:rFonts w:ascii="Arial Narrow" w:hAnsi="Arial Narrow" w:cs="Arial"/>
                <w:b/>
                <w:sz w:val="20"/>
                <w:szCs w:val="20"/>
              </w:rPr>
            </w:pPr>
            <w:r w:rsidRPr="0039782C">
              <w:rPr>
                <w:rFonts w:ascii="Arial Narrow" w:hAnsi="Arial Narrow" w:cs="Arial"/>
                <w:b/>
                <w:sz w:val="20"/>
                <w:szCs w:val="20"/>
              </w:rPr>
              <w:t>Manner of administration and form</w:t>
            </w:r>
          </w:p>
        </w:tc>
        <w:tc>
          <w:tcPr>
            <w:tcW w:w="468" w:type="pct"/>
            <w:tcBorders>
              <w:bottom w:val="single" w:sz="4" w:space="0" w:color="auto"/>
            </w:tcBorders>
          </w:tcPr>
          <w:p w:rsidR="00D86043" w:rsidRPr="0039782C" w:rsidRDefault="00D86043" w:rsidP="00BD4589">
            <w:pPr>
              <w:keepNext/>
              <w:spacing w:before="40" w:after="40"/>
              <w:jc w:val="both"/>
              <w:rPr>
                <w:rFonts w:ascii="Arial Narrow" w:hAnsi="Arial Narrow" w:cs="Arial"/>
                <w:b/>
                <w:sz w:val="20"/>
                <w:szCs w:val="20"/>
              </w:rPr>
            </w:pPr>
            <w:r w:rsidRPr="0039782C">
              <w:rPr>
                <w:rFonts w:ascii="Arial Narrow" w:hAnsi="Arial Narrow" w:cs="Arial"/>
                <w:b/>
                <w:sz w:val="20"/>
                <w:szCs w:val="20"/>
              </w:rPr>
              <w:t>Max.</w:t>
            </w:r>
          </w:p>
          <w:p w:rsidR="00D86043" w:rsidRPr="0039782C" w:rsidRDefault="00D86043" w:rsidP="00BD4589">
            <w:pPr>
              <w:keepNext/>
              <w:spacing w:before="40" w:after="40"/>
              <w:jc w:val="both"/>
              <w:rPr>
                <w:rFonts w:ascii="Arial Narrow" w:hAnsi="Arial Narrow" w:cs="Arial"/>
                <w:b/>
                <w:sz w:val="20"/>
                <w:szCs w:val="20"/>
              </w:rPr>
            </w:pPr>
            <w:r>
              <w:rPr>
                <w:rFonts w:ascii="Arial Narrow" w:hAnsi="Arial Narrow" w:cs="Arial"/>
                <w:b/>
                <w:sz w:val="20"/>
                <w:szCs w:val="20"/>
              </w:rPr>
              <w:t>Amount</w:t>
            </w:r>
          </w:p>
        </w:tc>
        <w:tc>
          <w:tcPr>
            <w:tcW w:w="701" w:type="pct"/>
            <w:tcBorders>
              <w:bottom w:val="single" w:sz="4" w:space="0" w:color="auto"/>
            </w:tcBorders>
          </w:tcPr>
          <w:p w:rsidR="00D86043" w:rsidRPr="0039782C" w:rsidRDefault="00D86043" w:rsidP="00BD4589">
            <w:pPr>
              <w:keepNext/>
              <w:spacing w:before="40" w:after="40"/>
              <w:jc w:val="both"/>
              <w:rPr>
                <w:rFonts w:ascii="Arial Narrow" w:hAnsi="Arial Narrow" w:cs="Arial"/>
                <w:b/>
                <w:sz w:val="20"/>
                <w:szCs w:val="20"/>
              </w:rPr>
            </w:pPr>
            <w:r w:rsidRPr="0039782C">
              <w:rPr>
                <w:rFonts w:ascii="Arial Narrow" w:hAnsi="Arial Narrow" w:cs="Arial"/>
                <w:b/>
                <w:sz w:val="20"/>
                <w:szCs w:val="20"/>
              </w:rPr>
              <w:t>№.of</w:t>
            </w:r>
          </w:p>
          <w:p w:rsidR="00D86043" w:rsidRPr="0039782C" w:rsidRDefault="00D86043" w:rsidP="00BD4589">
            <w:pPr>
              <w:keepNext/>
              <w:spacing w:before="40" w:after="40"/>
              <w:jc w:val="both"/>
              <w:rPr>
                <w:rFonts w:ascii="Arial Narrow" w:hAnsi="Arial Narrow" w:cs="Arial"/>
                <w:b/>
                <w:sz w:val="20"/>
                <w:szCs w:val="20"/>
              </w:rPr>
            </w:pPr>
            <w:proofErr w:type="spellStart"/>
            <w:r w:rsidRPr="0039782C">
              <w:rPr>
                <w:rFonts w:ascii="Arial Narrow" w:hAnsi="Arial Narrow" w:cs="Arial"/>
                <w:b/>
                <w:sz w:val="20"/>
                <w:szCs w:val="20"/>
              </w:rPr>
              <w:t>Rpts</w:t>
            </w:r>
            <w:proofErr w:type="spellEnd"/>
          </w:p>
        </w:tc>
        <w:tc>
          <w:tcPr>
            <w:tcW w:w="936" w:type="pct"/>
            <w:tcBorders>
              <w:bottom w:val="single" w:sz="4" w:space="0" w:color="auto"/>
            </w:tcBorders>
          </w:tcPr>
          <w:p w:rsidR="00D86043" w:rsidRPr="0039782C" w:rsidRDefault="00D86043" w:rsidP="00BD4589">
            <w:pPr>
              <w:keepNext/>
              <w:spacing w:before="40" w:after="40"/>
              <w:rPr>
                <w:rFonts w:ascii="Arial Narrow" w:hAnsi="Arial Narrow" w:cs="Arial"/>
                <w:b/>
                <w:sz w:val="20"/>
                <w:szCs w:val="20"/>
              </w:rPr>
            </w:pPr>
          </w:p>
        </w:tc>
        <w:tc>
          <w:tcPr>
            <w:tcW w:w="1275" w:type="pct"/>
            <w:gridSpan w:val="2"/>
            <w:tcBorders>
              <w:bottom w:val="single" w:sz="4" w:space="0" w:color="auto"/>
            </w:tcBorders>
          </w:tcPr>
          <w:p w:rsidR="00D86043" w:rsidRPr="002873B2" w:rsidRDefault="00D86043" w:rsidP="00BD4589">
            <w:pPr>
              <w:keepNext/>
              <w:spacing w:before="40" w:after="40"/>
              <w:rPr>
                <w:rFonts w:ascii="Arial Narrow" w:hAnsi="Arial Narrow" w:cs="Arial"/>
                <w:b/>
                <w:sz w:val="20"/>
                <w:szCs w:val="20"/>
                <w:lang w:val="fr-FR"/>
              </w:rPr>
            </w:pPr>
            <w:r w:rsidRPr="002873B2">
              <w:rPr>
                <w:rFonts w:ascii="Arial Narrow" w:hAnsi="Arial Narrow" w:cs="Arial"/>
                <w:b/>
                <w:sz w:val="20"/>
                <w:szCs w:val="20"/>
              </w:rPr>
              <w:t>Proprietary Name and Manufacturer</w:t>
            </w:r>
          </w:p>
        </w:tc>
      </w:tr>
      <w:tr w:rsidR="00D86043" w:rsidRPr="002873B2" w:rsidTr="00BD4589">
        <w:trPr>
          <w:cantSplit/>
          <w:trHeight w:val="567"/>
        </w:trPr>
        <w:tc>
          <w:tcPr>
            <w:tcW w:w="1620" w:type="pct"/>
          </w:tcPr>
          <w:p w:rsidR="00D86043" w:rsidRPr="00E17531" w:rsidRDefault="00D86043" w:rsidP="00BD4589">
            <w:pPr>
              <w:keepNext/>
              <w:spacing w:before="40" w:after="40"/>
              <w:ind w:right="-57"/>
              <w:rPr>
                <w:rFonts w:ascii="Arial Narrow" w:hAnsi="Arial Narrow"/>
                <w:sz w:val="20"/>
                <w:szCs w:val="20"/>
              </w:rPr>
            </w:pPr>
            <w:r w:rsidRPr="00E17531">
              <w:rPr>
                <w:rFonts w:ascii="Arial Narrow" w:hAnsi="Arial Narrow"/>
                <w:sz w:val="20"/>
                <w:szCs w:val="20"/>
              </w:rPr>
              <w:t>PEMBROLIZUMAB</w:t>
            </w:r>
          </w:p>
          <w:p w:rsidR="00D86043" w:rsidRPr="00E17531" w:rsidRDefault="00D86043" w:rsidP="00BD4589">
            <w:pPr>
              <w:keepNext/>
              <w:spacing w:before="40" w:after="40"/>
              <w:ind w:right="-57"/>
              <w:rPr>
                <w:rFonts w:ascii="Arial Narrow" w:hAnsi="Arial Narrow"/>
                <w:sz w:val="20"/>
                <w:szCs w:val="20"/>
              </w:rPr>
            </w:pPr>
            <w:r w:rsidRPr="00E17531">
              <w:rPr>
                <w:rFonts w:ascii="Arial Narrow" w:hAnsi="Arial Narrow"/>
                <w:sz w:val="20"/>
                <w:szCs w:val="20"/>
              </w:rPr>
              <w:t>50 mg injection: powder for, 1 vial</w:t>
            </w:r>
            <w:r w:rsidRPr="00E17531">
              <w:rPr>
                <w:rFonts w:ascii="Arial Narrow" w:hAnsi="Arial Narrow"/>
                <w:sz w:val="20"/>
                <w:szCs w:val="20"/>
                <w:vertAlign w:val="superscript"/>
              </w:rPr>
              <w:t xml:space="preserve"> a</w:t>
            </w:r>
          </w:p>
          <w:p w:rsidR="00D86043" w:rsidRPr="00260CE3" w:rsidRDefault="00D86043" w:rsidP="00BD4589">
            <w:pPr>
              <w:keepNext/>
              <w:spacing w:before="40" w:after="40"/>
              <w:jc w:val="both"/>
              <w:rPr>
                <w:rFonts w:ascii="Arial Narrow" w:hAnsi="Arial Narrow" w:cs="Arial"/>
                <w:sz w:val="20"/>
                <w:szCs w:val="20"/>
              </w:rPr>
            </w:pPr>
            <w:r w:rsidRPr="00E17531">
              <w:rPr>
                <w:rFonts w:ascii="Arial Narrow" w:hAnsi="Arial Narrow"/>
                <w:sz w:val="20"/>
                <w:szCs w:val="20"/>
              </w:rPr>
              <w:t>100 mg/4 mL injection, 1 vial</w:t>
            </w:r>
            <w:r w:rsidRPr="00E17531">
              <w:rPr>
                <w:rFonts w:ascii="Arial Narrow" w:hAnsi="Arial Narrow"/>
                <w:sz w:val="20"/>
                <w:szCs w:val="20"/>
                <w:vertAlign w:val="superscript"/>
              </w:rPr>
              <w:t xml:space="preserve"> a</w:t>
            </w:r>
          </w:p>
        </w:tc>
        <w:tc>
          <w:tcPr>
            <w:tcW w:w="468" w:type="pct"/>
          </w:tcPr>
          <w:p w:rsidR="00D86043" w:rsidRPr="00260CE3" w:rsidRDefault="00D86043" w:rsidP="00BD4589">
            <w:pPr>
              <w:keepNext/>
              <w:spacing w:before="40" w:after="40"/>
              <w:jc w:val="both"/>
              <w:rPr>
                <w:rFonts w:ascii="Arial Narrow" w:hAnsi="Arial Narrow" w:cs="Arial"/>
                <w:sz w:val="20"/>
                <w:szCs w:val="20"/>
              </w:rPr>
            </w:pPr>
          </w:p>
          <w:p w:rsidR="00D86043" w:rsidRPr="00260CE3" w:rsidRDefault="00D86043" w:rsidP="00BD4589">
            <w:pPr>
              <w:keepNext/>
              <w:spacing w:before="40" w:after="40"/>
              <w:jc w:val="both"/>
              <w:rPr>
                <w:rFonts w:ascii="Arial Narrow" w:hAnsi="Arial Narrow" w:cs="Arial"/>
                <w:sz w:val="20"/>
                <w:szCs w:val="20"/>
              </w:rPr>
            </w:pPr>
            <w:r>
              <w:rPr>
                <w:rFonts w:ascii="Arial Narrow" w:hAnsi="Arial Narrow" w:cs="Arial"/>
                <w:sz w:val="20"/>
                <w:szCs w:val="20"/>
              </w:rPr>
              <w:t>200 mg</w:t>
            </w:r>
          </w:p>
        </w:tc>
        <w:tc>
          <w:tcPr>
            <w:tcW w:w="701" w:type="pct"/>
          </w:tcPr>
          <w:p w:rsidR="00D86043" w:rsidRPr="00260CE3" w:rsidRDefault="00D86043" w:rsidP="00BD4589">
            <w:pPr>
              <w:keepNext/>
              <w:spacing w:before="40" w:after="40"/>
              <w:jc w:val="both"/>
              <w:rPr>
                <w:rFonts w:ascii="Arial Narrow" w:hAnsi="Arial Narrow" w:cs="Arial"/>
                <w:sz w:val="20"/>
                <w:szCs w:val="20"/>
              </w:rPr>
            </w:pPr>
          </w:p>
          <w:p w:rsidR="00D86043" w:rsidRDefault="00D86043" w:rsidP="00BD4589">
            <w:pPr>
              <w:keepNext/>
              <w:spacing w:before="40" w:after="40"/>
              <w:jc w:val="both"/>
              <w:rPr>
                <w:rFonts w:ascii="Arial Narrow" w:hAnsi="Arial Narrow" w:cs="Arial"/>
                <w:sz w:val="20"/>
                <w:szCs w:val="20"/>
              </w:rPr>
            </w:pPr>
            <w:r>
              <w:rPr>
                <w:rFonts w:ascii="Arial Narrow" w:hAnsi="Arial Narrow" w:cs="Arial"/>
                <w:sz w:val="20"/>
                <w:szCs w:val="20"/>
              </w:rPr>
              <w:t>5 (initial)</w:t>
            </w:r>
          </w:p>
          <w:p w:rsidR="00D86043" w:rsidRPr="00260CE3" w:rsidRDefault="00D86043" w:rsidP="00BD4589">
            <w:pPr>
              <w:keepNext/>
              <w:spacing w:before="40" w:after="40"/>
              <w:jc w:val="both"/>
              <w:rPr>
                <w:rFonts w:ascii="Arial Narrow" w:hAnsi="Arial Narrow" w:cs="Arial"/>
                <w:sz w:val="20"/>
                <w:szCs w:val="20"/>
              </w:rPr>
            </w:pPr>
            <w:r>
              <w:rPr>
                <w:rFonts w:ascii="Arial Narrow" w:hAnsi="Arial Narrow" w:cs="Arial"/>
                <w:sz w:val="20"/>
                <w:szCs w:val="20"/>
              </w:rPr>
              <w:t>7 (continuing)</w:t>
            </w:r>
          </w:p>
        </w:tc>
        <w:tc>
          <w:tcPr>
            <w:tcW w:w="936" w:type="pct"/>
          </w:tcPr>
          <w:p w:rsidR="00D86043" w:rsidRPr="00260CE3" w:rsidRDefault="00D86043" w:rsidP="00BD4589">
            <w:pPr>
              <w:keepNext/>
              <w:spacing w:before="40" w:after="40"/>
              <w:jc w:val="both"/>
              <w:rPr>
                <w:rFonts w:ascii="Arial Narrow" w:hAnsi="Arial Narrow" w:cs="Arial"/>
                <w:sz w:val="20"/>
                <w:szCs w:val="20"/>
              </w:rPr>
            </w:pPr>
          </w:p>
        </w:tc>
        <w:tc>
          <w:tcPr>
            <w:tcW w:w="572" w:type="pct"/>
          </w:tcPr>
          <w:p w:rsidR="00D86043" w:rsidRDefault="00D86043" w:rsidP="00BD4589">
            <w:pPr>
              <w:keepNext/>
              <w:spacing w:before="40" w:after="40"/>
              <w:jc w:val="both"/>
              <w:rPr>
                <w:rFonts w:ascii="Arial Narrow" w:hAnsi="Arial Narrow" w:cs="Arial"/>
                <w:sz w:val="20"/>
                <w:szCs w:val="20"/>
              </w:rPr>
            </w:pPr>
          </w:p>
          <w:p w:rsidR="00D86043" w:rsidRPr="00260CE3" w:rsidRDefault="00D86043" w:rsidP="00BD4589">
            <w:pPr>
              <w:keepNext/>
              <w:spacing w:before="40" w:after="40"/>
              <w:jc w:val="both"/>
              <w:rPr>
                <w:rFonts w:ascii="Arial Narrow" w:hAnsi="Arial Narrow" w:cs="Arial"/>
                <w:sz w:val="20"/>
                <w:szCs w:val="20"/>
              </w:rPr>
            </w:pPr>
            <w:proofErr w:type="spellStart"/>
            <w:r w:rsidRPr="00E17531">
              <w:rPr>
                <w:rFonts w:ascii="Arial Narrow" w:hAnsi="Arial Narrow"/>
                <w:sz w:val="20"/>
                <w:szCs w:val="20"/>
              </w:rPr>
              <w:t>Keytruda</w:t>
            </w:r>
            <w:proofErr w:type="spellEnd"/>
            <w:r w:rsidRPr="00E17531">
              <w:rPr>
                <w:rFonts w:ascii="Arial Narrow" w:hAnsi="Arial Narrow"/>
                <w:sz w:val="20"/>
                <w:szCs w:val="20"/>
                <w:vertAlign w:val="superscript"/>
              </w:rPr>
              <w:t>®</w:t>
            </w:r>
          </w:p>
        </w:tc>
        <w:tc>
          <w:tcPr>
            <w:tcW w:w="703" w:type="pct"/>
          </w:tcPr>
          <w:p w:rsidR="00D86043" w:rsidRPr="002873B2" w:rsidRDefault="00D86043" w:rsidP="00BD4589">
            <w:pPr>
              <w:keepNext/>
              <w:spacing w:before="40" w:after="40"/>
              <w:jc w:val="both"/>
              <w:rPr>
                <w:rFonts w:ascii="Arial Narrow" w:hAnsi="Arial Narrow" w:cs="Arial"/>
                <w:sz w:val="20"/>
                <w:szCs w:val="20"/>
              </w:rPr>
            </w:pPr>
          </w:p>
          <w:p w:rsidR="00D86043" w:rsidRPr="002873B2" w:rsidRDefault="00D86043" w:rsidP="00BD4589">
            <w:pPr>
              <w:keepNext/>
              <w:spacing w:before="40" w:after="40"/>
              <w:rPr>
                <w:rFonts w:ascii="Arial Narrow" w:hAnsi="Arial Narrow" w:cs="Arial"/>
                <w:sz w:val="20"/>
                <w:szCs w:val="20"/>
              </w:rPr>
            </w:pPr>
            <w:r w:rsidRPr="002873B2">
              <w:rPr>
                <w:rFonts w:ascii="Arial Narrow" w:hAnsi="Arial Narrow"/>
                <w:sz w:val="20"/>
                <w:szCs w:val="20"/>
              </w:rPr>
              <w:t>Merck Sharp &amp; Dohme (AU) Pty Ltd</w:t>
            </w:r>
          </w:p>
        </w:tc>
      </w:tr>
    </w:tbl>
    <w:p w:rsidR="00D86043" w:rsidRPr="002873B2" w:rsidRDefault="00D86043" w:rsidP="00D86043">
      <w:pPr>
        <w:rPr>
          <w:rFonts w:ascii="Arial Narrow" w:hAnsi="Arial Narrow"/>
          <w:sz w:val="20"/>
          <w:szCs w:val="20"/>
        </w:rPr>
      </w:pPr>
      <w:r w:rsidRPr="00E17531">
        <w:rPr>
          <w:rFonts w:ascii="Arial Narrow" w:hAnsi="Arial Narrow"/>
          <w:b/>
          <w:sz w:val="20"/>
          <w:szCs w:val="20"/>
          <w:u w:val="single"/>
        </w:rPr>
        <w:t>Treatment phase: Initial treatment</w:t>
      </w:r>
      <w:r>
        <w:rPr>
          <w:rFonts w:ascii="Arial Narrow" w:hAnsi="Arial Narrow"/>
          <w:b/>
          <w:sz w:val="20"/>
          <w:szCs w:val="20"/>
          <w:u w:val="single"/>
        </w:rPr>
        <w:t xml:space="preserve"> 1</w:t>
      </w:r>
    </w:p>
    <w:tbl>
      <w:tblPr>
        <w:tblW w:w="4915" w:type="pct"/>
        <w:tblLook w:val="0000" w:firstRow="0" w:lastRow="0" w:firstColumn="0" w:lastColumn="0" w:noHBand="0" w:noVBand="0"/>
      </w:tblPr>
      <w:tblGrid>
        <w:gridCol w:w="1801"/>
        <w:gridCol w:w="7284"/>
      </w:tblGrid>
      <w:tr w:rsidR="00D86043" w:rsidRPr="002873B2" w:rsidTr="00BD4589">
        <w:trPr>
          <w:cantSplit/>
          <w:trHeight w:val="360"/>
        </w:trPr>
        <w:tc>
          <w:tcPr>
            <w:tcW w:w="991" w:type="pct"/>
            <w:tcBorders>
              <w:top w:val="single" w:sz="4" w:space="0" w:color="auto"/>
              <w:left w:val="single" w:sz="4" w:space="0" w:color="auto"/>
              <w:bottom w:val="single" w:sz="4" w:space="0" w:color="auto"/>
              <w:right w:val="single" w:sz="4" w:space="0" w:color="auto"/>
            </w:tcBorders>
          </w:tcPr>
          <w:p w:rsidR="00D86043" w:rsidRPr="00646A23" w:rsidRDefault="00D86043" w:rsidP="00BD4589">
            <w:pPr>
              <w:spacing w:before="40" w:after="40"/>
              <w:jc w:val="both"/>
              <w:rPr>
                <w:rFonts w:ascii="Arial Narrow" w:hAnsi="Arial Narrow" w:cs="Arial"/>
                <w:b/>
                <w:sz w:val="20"/>
                <w:szCs w:val="20"/>
              </w:rPr>
            </w:pPr>
            <w:r w:rsidRPr="00646A23">
              <w:rPr>
                <w:rFonts w:ascii="Arial Narrow" w:hAnsi="Arial Narrow" w:cs="Arial"/>
                <w:b/>
                <w:sz w:val="20"/>
                <w:szCs w:val="20"/>
              </w:rPr>
              <w:t>Category / Program</w:t>
            </w:r>
          </w:p>
        </w:tc>
        <w:tc>
          <w:tcPr>
            <w:tcW w:w="4009" w:type="pct"/>
            <w:tcBorders>
              <w:top w:val="single" w:sz="4" w:space="0" w:color="auto"/>
              <w:left w:val="single" w:sz="4" w:space="0" w:color="auto"/>
              <w:bottom w:val="single" w:sz="4" w:space="0" w:color="auto"/>
              <w:right w:val="single" w:sz="4" w:space="0" w:color="auto"/>
            </w:tcBorders>
          </w:tcPr>
          <w:p w:rsidR="00D86043" w:rsidRPr="00260CE3" w:rsidRDefault="00D86043" w:rsidP="00BD4589">
            <w:pPr>
              <w:spacing w:before="40" w:after="40"/>
              <w:rPr>
                <w:rFonts w:ascii="Arial Narrow" w:hAnsi="Arial Narrow" w:cs="Arial"/>
                <w:sz w:val="20"/>
                <w:szCs w:val="20"/>
              </w:rPr>
            </w:pPr>
            <w:r w:rsidRPr="00260CE3">
              <w:rPr>
                <w:rFonts w:ascii="Arial Narrow" w:hAnsi="Arial Narrow" w:cs="Arial"/>
                <w:sz w:val="20"/>
                <w:szCs w:val="20"/>
              </w:rPr>
              <w:t>Section 100 –</w:t>
            </w:r>
            <w:r>
              <w:rPr>
                <w:rFonts w:ascii="Arial Narrow" w:hAnsi="Arial Narrow" w:cs="Arial"/>
                <w:sz w:val="20"/>
                <w:szCs w:val="20"/>
              </w:rPr>
              <w:t xml:space="preserve"> Efficient funding of </w:t>
            </w:r>
            <w:r w:rsidRPr="00260CE3">
              <w:rPr>
                <w:rFonts w:ascii="Arial Narrow" w:hAnsi="Arial Narrow" w:cs="Arial"/>
                <w:sz w:val="20"/>
                <w:szCs w:val="20"/>
              </w:rPr>
              <w:t>Chemotherapy</w:t>
            </w:r>
          </w:p>
        </w:tc>
      </w:tr>
      <w:tr w:rsidR="00D86043" w:rsidRPr="002873B2" w:rsidTr="00BD4589">
        <w:trPr>
          <w:cantSplit/>
          <w:trHeight w:val="360"/>
        </w:trPr>
        <w:tc>
          <w:tcPr>
            <w:tcW w:w="991" w:type="pct"/>
            <w:tcBorders>
              <w:top w:val="single" w:sz="4" w:space="0" w:color="auto"/>
              <w:left w:val="single" w:sz="4" w:space="0" w:color="auto"/>
              <w:bottom w:val="single" w:sz="4" w:space="0" w:color="auto"/>
              <w:right w:val="single" w:sz="4" w:space="0" w:color="auto"/>
            </w:tcBorders>
          </w:tcPr>
          <w:p w:rsidR="00D86043" w:rsidRPr="00260CE3" w:rsidRDefault="00D86043" w:rsidP="00BD4589">
            <w:pPr>
              <w:spacing w:before="40" w:after="40"/>
              <w:jc w:val="both"/>
              <w:rPr>
                <w:rFonts w:ascii="Arial Narrow" w:hAnsi="Arial Narrow" w:cs="Arial"/>
                <w:b/>
                <w:sz w:val="20"/>
                <w:szCs w:val="20"/>
              </w:rPr>
            </w:pPr>
            <w:r w:rsidRPr="00260CE3">
              <w:rPr>
                <w:rFonts w:ascii="Arial Narrow" w:hAnsi="Arial Narrow" w:cs="Arial"/>
                <w:b/>
                <w:sz w:val="20"/>
                <w:szCs w:val="20"/>
              </w:rPr>
              <w:t>Prescriber type:</w:t>
            </w:r>
          </w:p>
        </w:tc>
        <w:tc>
          <w:tcPr>
            <w:tcW w:w="4009" w:type="pct"/>
            <w:tcBorders>
              <w:top w:val="single" w:sz="4" w:space="0" w:color="auto"/>
              <w:left w:val="single" w:sz="4" w:space="0" w:color="auto"/>
              <w:bottom w:val="single" w:sz="4" w:space="0" w:color="auto"/>
              <w:right w:val="single" w:sz="4" w:space="0" w:color="auto"/>
            </w:tcBorders>
          </w:tcPr>
          <w:p w:rsidR="00D86043" w:rsidRPr="00260CE3" w:rsidRDefault="00D86043" w:rsidP="00BD4589">
            <w:pPr>
              <w:spacing w:before="40" w:after="40"/>
              <w:rPr>
                <w:rFonts w:ascii="Arial Narrow" w:hAnsi="Arial Narrow" w:cs="Arial"/>
                <w:sz w:val="20"/>
                <w:szCs w:val="20"/>
              </w:rPr>
            </w:pPr>
            <w:r w:rsidRPr="00260CE3">
              <w:rPr>
                <w:rFonts w:ascii="Arial Narrow" w:hAnsi="Arial Narrow" w:cs="Arial"/>
                <w:sz w:val="20"/>
                <w:szCs w:val="20"/>
              </w:rPr>
              <w:fldChar w:fldCharType="begin">
                <w:ffData>
                  <w:name w:val="Check1"/>
                  <w:enabled/>
                  <w:calcOnExit w:val="0"/>
                  <w:checkBox>
                    <w:sizeAuto/>
                    <w:default w:val="0"/>
                  </w:checkBox>
                </w:ffData>
              </w:fldChar>
            </w:r>
            <w:r w:rsidRPr="00260CE3">
              <w:rPr>
                <w:rFonts w:ascii="Arial Narrow" w:hAnsi="Arial Narrow" w:cs="Arial"/>
                <w:sz w:val="20"/>
                <w:szCs w:val="20"/>
              </w:rPr>
              <w:instrText xml:space="preserve"> FORMCHECKBOX </w:instrText>
            </w:r>
            <w:r w:rsidR="00B52FA3">
              <w:rPr>
                <w:rFonts w:ascii="Arial Narrow" w:hAnsi="Arial Narrow" w:cs="Arial"/>
                <w:sz w:val="20"/>
                <w:szCs w:val="20"/>
              </w:rPr>
            </w:r>
            <w:r w:rsidR="00B52FA3">
              <w:rPr>
                <w:rFonts w:ascii="Arial Narrow" w:hAnsi="Arial Narrow" w:cs="Arial"/>
                <w:sz w:val="20"/>
                <w:szCs w:val="20"/>
              </w:rPr>
              <w:fldChar w:fldCharType="separate"/>
            </w:r>
            <w:r w:rsidRPr="00260CE3">
              <w:rPr>
                <w:rFonts w:ascii="Arial Narrow" w:hAnsi="Arial Narrow" w:cs="Arial"/>
                <w:sz w:val="20"/>
                <w:szCs w:val="20"/>
              </w:rPr>
              <w:fldChar w:fldCharType="end"/>
            </w:r>
            <w:r w:rsidRPr="00260CE3">
              <w:rPr>
                <w:rFonts w:ascii="Arial Narrow" w:hAnsi="Arial Narrow" w:cs="Arial"/>
                <w:sz w:val="20"/>
                <w:szCs w:val="20"/>
              </w:rPr>
              <w:t xml:space="preserve">Dental  </w:t>
            </w:r>
            <w:r>
              <w:rPr>
                <w:rFonts w:ascii="Arial Narrow" w:hAnsi="Arial Narrow" w:cs="Arial"/>
                <w:sz w:val="20"/>
                <w:szCs w:val="20"/>
              </w:rPr>
              <w:fldChar w:fldCharType="begin">
                <w:ffData>
                  <w:name w:val=""/>
                  <w:enabled/>
                  <w:calcOnExit w:val="0"/>
                  <w:checkBox>
                    <w:sizeAuto/>
                    <w:default w:val="1"/>
                  </w:checkBox>
                </w:ffData>
              </w:fldChar>
            </w:r>
            <w:r>
              <w:rPr>
                <w:rFonts w:ascii="Arial Narrow" w:hAnsi="Arial Narrow" w:cs="Arial"/>
                <w:sz w:val="20"/>
                <w:szCs w:val="20"/>
              </w:rPr>
              <w:instrText xml:space="preserve"> FORMCHECKBOX </w:instrText>
            </w:r>
            <w:r w:rsidR="00B52FA3">
              <w:rPr>
                <w:rFonts w:ascii="Arial Narrow" w:hAnsi="Arial Narrow" w:cs="Arial"/>
                <w:sz w:val="20"/>
                <w:szCs w:val="20"/>
              </w:rPr>
            </w:r>
            <w:r w:rsidR="00B52FA3">
              <w:rPr>
                <w:rFonts w:ascii="Arial Narrow" w:hAnsi="Arial Narrow" w:cs="Arial"/>
                <w:sz w:val="20"/>
                <w:szCs w:val="20"/>
              </w:rPr>
              <w:fldChar w:fldCharType="separate"/>
            </w:r>
            <w:r>
              <w:rPr>
                <w:rFonts w:ascii="Arial Narrow" w:hAnsi="Arial Narrow" w:cs="Arial"/>
                <w:sz w:val="20"/>
                <w:szCs w:val="20"/>
              </w:rPr>
              <w:fldChar w:fldCharType="end"/>
            </w:r>
            <w:r w:rsidRPr="00260CE3">
              <w:rPr>
                <w:rFonts w:ascii="Arial Narrow" w:hAnsi="Arial Narrow" w:cs="Arial"/>
                <w:sz w:val="20"/>
                <w:szCs w:val="20"/>
              </w:rPr>
              <w:t xml:space="preserve">Medical Practitioners  </w:t>
            </w:r>
            <w:r w:rsidRPr="00260CE3">
              <w:rPr>
                <w:rFonts w:ascii="Arial Narrow" w:hAnsi="Arial Narrow" w:cs="Arial"/>
                <w:sz w:val="20"/>
                <w:szCs w:val="20"/>
              </w:rPr>
              <w:fldChar w:fldCharType="begin">
                <w:ffData>
                  <w:name w:val="Check3"/>
                  <w:enabled/>
                  <w:calcOnExit w:val="0"/>
                  <w:checkBox>
                    <w:sizeAuto/>
                    <w:default w:val="0"/>
                  </w:checkBox>
                </w:ffData>
              </w:fldChar>
            </w:r>
            <w:r w:rsidRPr="00260CE3">
              <w:rPr>
                <w:rFonts w:ascii="Arial Narrow" w:hAnsi="Arial Narrow" w:cs="Arial"/>
                <w:sz w:val="20"/>
                <w:szCs w:val="20"/>
              </w:rPr>
              <w:instrText xml:space="preserve"> FORMCHECKBOX </w:instrText>
            </w:r>
            <w:r w:rsidR="00B52FA3">
              <w:rPr>
                <w:rFonts w:ascii="Arial Narrow" w:hAnsi="Arial Narrow" w:cs="Arial"/>
                <w:sz w:val="20"/>
                <w:szCs w:val="20"/>
              </w:rPr>
            </w:r>
            <w:r w:rsidR="00B52FA3">
              <w:rPr>
                <w:rFonts w:ascii="Arial Narrow" w:hAnsi="Arial Narrow" w:cs="Arial"/>
                <w:sz w:val="20"/>
                <w:szCs w:val="20"/>
              </w:rPr>
              <w:fldChar w:fldCharType="separate"/>
            </w:r>
            <w:r w:rsidRPr="00260CE3">
              <w:rPr>
                <w:rFonts w:ascii="Arial Narrow" w:hAnsi="Arial Narrow" w:cs="Arial"/>
                <w:sz w:val="20"/>
                <w:szCs w:val="20"/>
              </w:rPr>
              <w:fldChar w:fldCharType="end"/>
            </w:r>
            <w:r w:rsidRPr="00260CE3">
              <w:rPr>
                <w:rFonts w:ascii="Arial Narrow" w:hAnsi="Arial Narrow" w:cs="Arial"/>
                <w:sz w:val="20"/>
                <w:szCs w:val="20"/>
              </w:rPr>
              <w:t xml:space="preserve">Nurse practitioners  </w:t>
            </w:r>
            <w:r w:rsidRPr="00260CE3">
              <w:rPr>
                <w:rFonts w:ascii="Arial Narrow" w:hAnsi="Arial Narrow" w:cs="Arial"/>
                <w:sz w:val="20"/>
                <w:szCs w:val="20"/>
              </w:rPr>
              <w:fldChar w:fldCharType="begin">
                <w:ffData>
                  <w:name w:val=""/>
                  <w:enabled/>
                  <w:calcOnExit w:val="0"/>
                  <w:checkBox>
                    <w:sizeAuto/>
                    <w:default w:val="0"/>
                  </w:checkBox>
                </w:ffData>
              </w:fldChar>
            </w:r>
            <w:r w:rsidRPr="00260CE3">
              <w:rPr>
                <w:rFonts w:ascii="Arial Narrow" w:hAnsi="Arial Narrow" w:cs="Arial"/>
                <w:sz w:val="20"/>
                <w:szCs w:val="20"/>
              </w:rPr>
              <w:instrText xml:space="preserve"> FORMCHECKBOX </w:instrText>
            </w:r>
            <w:r w:rsidR="00B52FA3">
              <w:rPr>
                <w:rFonts w:ascii="Arial Narrow" w:hAnsi="Arial Narrow" w:cs="Arial"/>
                <w:sz w:val="20"/>
                <w:szCs w:val="20"/>
              </w:rPr>
            </w:r>
            <w:r w:rsidR="00B52FA3">
              <w:rPr>
                <w:rFonts w:ascii="Arial Narrow" w:hAnsi="Arial Narrow" w:cs="Arial"/>
                <w:sz w:val="20"/>
                <w:szCs w:val="20"/>
              </w:rPr>
              <w:fldChar w:fldCharType="separate"/>
            </w:r>
            <w:r w:rsidRPr="00260CE3">
              <w:rPr>
                <w:rFonts w:ascii="Arial Narrow" w:hAnsi="Arial Narrow" w:cs="Arial"/>
                <w:sz w:val="20"/>
                <w:szCs w:val="20"/>
              </w:rPr>
              <w:fldChar w:fldCharType="end"/>
            </w:r>
            <w:r w:rsidRPr="00260CE3">
              <w:rPr>
                <w:rFonts w:ascii="Arial Narrow" w:hAnsi="Arial Narrow" w:cs="Arial"/>
                <w:sz w:val="20"/>
                <w:szCs w:val="20"/>
              </w:rPr>
              <w:t>Optometrists</w:t>
            </w:r>
            <w:r>
              <w:rPr>
                <w:rFonts w:ascii="Arial Narrow" w:hAnsi="Arial Narrow" w:cs="Arial"/>
                <w:sz w:val="20"/>
                <w:szCs w:val="20"/>
              </w:rPr>
              <w:t xml:space="preserve"> </w:t>
            </w:r>
            <w:r w:rsidRPr="00260CE3">
              <w:rPr>
                <w:rFonts w:ascii="Arial Narrow" w:hAnsi="Arial Narrow" w:cs="Arial"/>
                <w:sz w:val="20"/>
                <w:szCs w:val="20"/>
              </w:rPr>
              <w:fldChar w:fldCharType="begin">
                <w:ffData>
                  <w:name w:val="Check5"/>
                  <w:enabled/>
                  <w:calcOnExit w:val="0"/>
                  <w:checkBox>
                    <w:sizeAuto/>
                    <w:default w:val="0"/>
                  </w:checkBox>
                </w:ffData>
              </w:fldChar>
            </w:r>
            <w:r w:rsidRPr="00260CE3">
              <w:rPr>
                <w:rFonts w:ascii="Arial Narrow" w:hAnsi="Arial Narrow" w:cs="Arial"/>
                <w:sz w:val="20"/>
                <w:szCs w:val="20"/>
              </w:rPr>
              <w:instrText xml:space="preserve"> FORMCHECKBOX </w:instrText>
            </w:r>
            <w:r w:rsidR="00B52FA3">
              <w:rPr>
                <w:rFonts w:ascii="Arial Narrow" w:hAnsi="Arial Narrow" w:cs="Arial"/>
                <w:sz w:val="20"/>
                <w:szCs w:val="20"/>
              </w:rPr>
            </w:r>
            <w:r w:rsidR="00B52FA3">
              <w:rPr>
                <w:rFonts w:ascii="Arial Narrow" w:hAnsi="Arial Narrow" w:cs="Arial"/>
                <w:sz w:val="20"/>
                <w:szCs w:val="20"/>
              </w:rPr>
              <w:fldChar w:fldCharType="separate"/>
            </w:r>
            <w:r w:rsidRPr="00260CE3">
              <w:rPr>
                <w:rFonts w:ascii="Arial Narrow" w:hAnsi="Arial Narrow" w:cs="Arial"/>
                <w:sz w:val="20"/>
                <w:szCs w:val="20"/>
              </w:rPr>
              <w:fldChar w:fldCharType="end"/>
            </w:r>
            <w:r w:rsidRPr="00260CE3">
              <w:rPr>
                <w:rFonts w:ascii="Arial Narrow" w:hAnsi="Arial Narrow" w:cs="Arial"/>
                <w:sz w:val="20"/>
                <w:szCs w:val="20"/>
              </w:rPr>
              <w:t>Midwives</w:t>
            </w:r>
          </w:p>
        </w:tc>
      </w:tr>
      <w:tr w:rsidR="00D86043" w:rsidRPr="002873B2" w:rsidTr="00BD4589">
        <w:trPr>
          <w:cantSplit/>
          <w:trHeight w:val="360"/>
        </w:trPr>
        <w:tc>
          <w:tcPr>
            <w:tcW w:w="991" w:type="pct"/>
            <w:tcBorders>
              <w:top w:val="single" w:sz="4" w:space="0" w:color="auto"/>
              <w:left w:val="single" w:sz="4" w:space="0" w:color="auto"/>
              <w:bottom w:val="single" w:sz="4" w:space="0" w:color="auto"/>
              <w:right w:val="single" w:sz="4" w:space="0" w:color="auto"/>
            </w:tcBorders>
          </w:tcPr>
          <w:p w:rsidR="00D86043" w:rsidRPr="00260CE3" w:rsidRDefault="00D86043" w:rsidP="00BD4589">
            <w:pPr>
              <w:spacing w:before="40" w:after="40"/>
              <w:jc w:val="both"/>
              <w:rPr>
                <w:rFonts w:ascii="Arial Narrow" w:hAnsi="Arial Narrow" w:cs="Arial"/>
                <w:b/>
                <w:sz w:val="20"/>
                <w:szCs w:val="20"/>
              </w:rPr>
            </w:pPr>
            <w:r w:rsidRPr="00260CE3">
              <w:rPr>
                <w:rFonts w:ascii="Arial Narrow" w:hAnsi="Arial Narrow" w:cs="Arial"/>
                <w:b/>
                <w:sz w:val="20"/>
                <w:szCs w:val="20"/>
              </w:rPr>
              <w:t>Severity:</w:t>
            </w:r>
          </w:p>
        </w:tc>
        <w:tc>
          <w:tcPr>
            <w:tcW w:w="4009" w:type="pct"/>
            <w:tcBorders>
              <w:top w:val="single" w:sz="4" w:space="0" w:color="auto"/>
              <w:left w:val="single" w:sz="4" w:space="0" w:color="auto"/>
              <w:bottom w:val="single" w:sz="4" w:space="0" w:color="auto"/>
              <w:right w:val="single" w:sz="4" w:space="0" w:color="auto"/>
            </w:tcBorders>
          </w:tcPr>
          <w:p w:rsidR="00D86043" w:rsidRPr="00260CE3" w:rsidRDefault="00D86043" w:rsidP="00BD4589">
            <w:pPr>
              <w:spacing w:before="40" w:after="40"/>
              <w:rPr>
                <w:rFonts w:ascii="Arial Narrow" w:hAnsi="Arial Narrow" w:cs="Arial"/>
                <w:sz w:val="20"/>
                <w:szCs w:val="20"/>
              </w:rPr>
            </w:pPr>
            <w:proofErr w:type="spellStart"/>
            <w:r w:rsidRPr="00975603">
              <w:rPr>
                <w:rFonts w:ascii="Arial Narrow" w:hAnsi="Arial Narrow"/>
                <w:sz w:val="20"/>
              </w:rPr>
              <w:t>Unresectable</w:t>
            </w:r>
            <w:proofErr w:type="spellEnd"/>
            <w:r w:rsidRPr="00975603">
              <w:rPr>
                <w:rFonts w:ascii="Arial Narrow" w:hAnsi="Arial Narrow"/>
                <w:sz w:val="20"/>
              </w:rPr>
              <w:t xml:space="preserve"> Stage III or Stage IV</w:t>
            </w:r>
          </w:p>
        </w:tc>
      </w:tr>
      <w:tr w:rsidR="00D86043" w:rsidRPr="002873B2" w:rsidTr="00BD4589">
        <w:trPr>
          <w:cantSplit/>
          <w:trHeight w:val="360"/>
        </w:trPr>
        <w:tc>
          <w:tcPr>
            <w:tcW w:w="991" w:type="pct"/>
            <w:tcBorders>
              <w:top w:val="single" w:sz="4" w:space="0" w:color="auto"/>
              <w:left w:val="single" w:sz="4" w:space="0" w:color="auto"/>
              <w:bottom w:val="single" w:sz="4" w:space="0" w:color="auto"/>
              <w:right w:val="single" w:sz="4" w:space="0" w:color="auto"/>
            </w:tcBorders>
          </w:tcPr>
          <w:p w:rsidR="00D86043" w:rsidRPr="00260CE3" w:rsidRDefault="00D86043" w:rsidP="00BD4589">
            <w:pPr>
              <w:spacing w:before="40" w:after="40"/>
              <w:jc w:val="both"/>
              <w:rPr>
                <w:rFonts w:ascii="Arial Narrow" w:hAnsi="Arial Narrow" w:cs="Arial"/>
                <w:b/>
                <w:sz w:val="20"/>
                <w:szCs w:val="20"/>
              </w:rPr>
            </w:pPr>
            <w:r w:rsidRPr="00260CE3">
              <w:rPr>
                <w:rFonts w:ascii="Arial Narrow" w:hAnsi="Arial Narrow" w:cs="Arial"/>
                <w:b/>
                <w:sz w:val="20"/>
                <w:szCs w:val="20"/>
              </w:rPr>
              <w:t>Condition:</w:t>
            </w:r>
          </w:p>
        </w:tc>
        <w:tc>
          <w:tcPr>
            <w:tcW w:w="4009" w:type="pct"/>
            <w:tcBorders>
              <w:top w:val="single" w:sz="4" w:space="0" w:color="auto"/>
              <w:left w:val="single" w:sz="4" w:space="0" w:color="auto"/>
              <w:bottom w:val="single" w:sz="4" w:space="0" w:color="auto"/>
              <w:right w:val="single" w:sz="4" w:space="0" w:color="auto"/>
            </w:tcBorders>
          </w:tcPr>
          <w:p w:rsidR="00D86043" w:rsidRPr="00260CE3" w:rsidRDefault="00D86043" w:rsidP="00BD4589">
            <w:pPr>
              <w:spacing w:before="40" w:after="40"/>
              <w:rPr>
                <w:rFonts w:ascii="Arial Narrow" w:hAnsi="Arial Narrow" w:cs="Arial"/>
                <w:sz w:val="20"/>
                <w:szCs w:val="20"/>
              </w:rPr>
            </w:pPr>
            <w:r w:rsidRPr="007A0506">
              <w:rPr>
                <w:rFonts w:ascii="Arial Narrow" w:hAnsi="Arial Narrow"/>
                <w:sz w:val="20"/>
              </w:rPr>
              <w:t>Malignant melanoma</w:t>
            </w:r>
          </w:p>
        </w:tc>
      </w:tr>
      <w:tr w:rsidR="00D86043" w:rsidRPr="002873B2" w:rsidTr="00BD4589">
        <w:trPr>
          <w:cantSplit/>
          <w:trHeight w:val="360"/>
        </w:trPr>
        <w:tc>
          <w:tcPr>
            <w:tcW w:w="991" w:type="pct"/>
            <w:tcBorders>
              <w:top w:val="single" w:sz="4" w:space="0" w:color="auto"/>
              <w:left w:val="single" w:sz="4" w:space="0" w:color="auto"/>
              <w:bottom w:val="single" w:sz="4" w:space="0" w:color="auto"/>
              <w:right w:val="single" w:sz="4" w:space="0" w:color="auto"/>
            </w:tcBorders>
          </w:tcPr>
          <w:p w:rsidR="00D86043" w:rsidRPr="00260CE3" w:rsidRDefault="00D86043" w:rsidP="00BD4589">
            <w:pPr>
              <w:spacing w:before="40" w:after="40"/>
              <w:jc w:val="both"/>
              <w:rPr>
                <w:rFonts w:ascii="Arial Narrow" w:hAnsi="Arial Narrow" w:cs="Arial"/>
                <w:b/>
                <w:sz w:val="20"/>
                <w:szCs w:val="20"/>
              </w:rPr>
            </w:pPr>
            <w:r w:rsidRPr="00260CE3">
              <w:rPr>
                <w:rFonts w:ascii="Arial Narrow" w:hAnsi="Arial Narrow" w:cs="Arial"/>
                <w:b/>
                <w:sz w:val="20"/>
                <w:szCs w:val="20"/>
              </w:rPr>
              <w:t>PBS Indication:</w:t>
            </w:r>
          </w:p>
        </w:tc>
        <w:tc>
          <w:tcPr>
            <w:tcW w:w="4009" w:type="pct"/>
            <w:tcBorders>
              <w:top w:val="single" w:sz="4" w:space="0" w:color="auto"/>
              <w:left w:val="single" w:sz="4" w:space="0" w:color="auto"/>
              <w:bottom w:val="single" w:sz="4" w:space="0" w:color="auto"/>
              <w:right w:val="single" w:sz="4" w:space="0" w:color="auto"/>
            </w:tcBorders>
          </w:tcPr>
          <w:p w:rsidR="00D86043" w:rsidRPr="00260CE3" w:rsidRDefault="00D86043" w:rsidP="00BD4589">
            <w:pPr>
              <w:spacing w:before="40" w:after="40"/>
              <w:rPr>
                <w:rFonts w:ascii="Arial Narrow" w:hAnsi="Arial Narrow" w:cs="Arial"/>
                <w:sz w:val="20"/>
                <w:szCs w:val="20"/>
              </w:rPr>
            </w:pPr>
            <w:proofErr w:type="spellStart"/>
            <w:r w:rsidRPr="00975603">
              <w:rPr>
                <w:rFonts w:ascii="Arial Narrow" w:hAnsi="Arial Narrow"/>
                <w:sz w:val="20"/>
              </w:rPr>
              <w:t>Unresectable</w:t>
            </w:r>
            <w:proofErr w:type="spellEnd"/>
            <w:r w:rsidRPr="00975603">
              <w:rPr>
                <w:rFonts w:ascii="Arial Narrow" w:hAnsi="Arial Narrow"/>
                <w:sz w:val="20"/>
              </w:rPr>
              <w:t xml:space="preserve"> Stage III or Stage IV malignant melanoma</w:t>
            </w:r>
          </w:p>
        </w:tc>
      </w:tr>
      <w:tr w:rsidR="00D86043" w:rsidRPr="002873B2" w:rsidTr="00BD4589">
        <w:trPr>
          <w:cantSplit/>
          <w:trHeight w:val="360"/>
        </w:trPr>
        <w:tc>
          <w:tcPr>
            <w:tcW w:w="991" w:type="pct"/>
            <w:tcBorders>
              <w:top w:val="single" w:sz="4" w:space="0" w:color="auto"/>
              <w:left w:val="single" w:sz="4" w:space="0" w:color="auto"/>
              <w:bottom w:val="single" w:sz="4" w:space="0" w:color="auto"/>
              <w:right w:val="single" w:sz="4" w:space="0" w:color="auto"/>
            </w:tcBorders>
          </w:tcPr>
          <w:p w:rsidR="00D86043" w:rsidRPr="00260CE3" w:rsidRDefault="00D86043" w:rsidP="00BD4589">
            <w:pPr>
              <w:spacing w:before="40" w:after="40"/>
              <w:jc w:val="both"/>
              <w:rPr>
                <w:rFonts w:ascii="Arial Narrow" w:hAnsi="Arial Narrow" w:cs="Arial"/>
                <w:i/>
                <w:sz w:val="20"/>
                <w:szCs w:val="20"/>
              </w:rPr>
            </w:pPr>
            <w:r w:rsidRPr="00260CE3">
              <w:rPr>
                <w:rFonts w:ascii="Arial Narrow" w:hAnsi="Arial Narrow" w:cs="Arial"/>
                <w:b/>
                <w:sz w:val="20"/>
                <w:szCs w:val="20"/>
              </w:rPr>
              <w:t>Treatment phase:</w:t>
            </w:r>
          </w:p>
        </w:tc>
        <w:tc>
          <w:tcPr>
            <w:tcW w:w="4009" w:type="pct"/>
            <w:tcBorders>
              <w:top w:val="single" w:sz="4" w:space="0" w:color="auto"/>
              <w:left w:val="single" w:sz="4" w:space="0" w:color="auto"/>
              <w:bottom w:val="single" w:sz="4" w:space="0" w:color="auto"/>
              <w:right w:val="single" w:sz="4" w:space="0" w:color="auto"/>
            </w:tcBorders>
          </w:tcPr>
          <w:p w:rsidR="00D86043" w:rsidRPr="00260CE3" w:rsidRDefault="00D86043" w:rsidP="00BD4589">
            <w:pPr>
              <w:spacing w:before="40" w:after="40"/>
              <w:rPr>
                <w:rFonts w:ascii="Arial Narrow" w:hAnsi="Arial Narrow" w:cs="Arial"/>
                <w:sz w:val="20"/>
                <w:szCs w:val="20"/>
              </w:rPr>
            </w:pPr>
            <w:r>
              <w:rPr>
                <w:rFonts w:ascii="Arial Narrow" w:hAnsi="Arial Narrow" w:cs="Arial"/>
                <w:sz w:val="20"/>
                <w:szCs w:val="20"/>
              </w:rPr>
              <w:t>Initial treatment 1</w:t>
            </w:r>
          </w:p>
        </w:tc>
      </w:tr>
      <w:tr w:rsidR="00D86043" w:rsidRPr="002873B2" w:rsidTr="00BD4589">
        <w:trPr>
          <w:cantSplit/>
          <w:trHeight w:val="360"/>
        </w:trPr>
        <w:tc>
          <w:tcPr>
            <w:tcW w:w="991" w:type="pct"/>
            <w:tcBorders>
              <w:top w:val="single" w:sz="4" w:space="0" w:color="auto"/>
              <w:left w:val="single" w:sz="4" w:space="0" w:color="auto"/>
              <w:bottom w:val="single" w:sz="4" w:space="0" w:color="auto"/>
              <w:right w:val="single" w:sz="4" w:space="0" w:color="auto"/>
            </w:tcBorders>
          </w:tcPr>
          <w:p w:rsidR="00D86043" w:rsidRPr="00987F08" w:rsidRDefault="00D86043" w:rsidP="00BD4589">
            <w:pPr>
              <w:spacing w:before="40" w:after="40"/>
              <w:jc w:val="both"/>
              <w:rPr>
                <w:rFonts w:ascii="Arial Narrow" w:hAnsi="Arial Narrow" w:cs="Arial"/>
                <w:b/>
                <w:sz w:val="20"/>
                <w:szCs w:val="20"/>
              </w:rPr>
            </w:pPr>
            <w:r w:rsidRPr="00260CE3">
              <w:rPr>
                <w:rFonts w:ascii="Arial Narrow" w:hAnsi="Arial Narrow" w:cs="Arial"/>
                <w:b/>
                <w:sz w:val="20"/>
                <w:szCs w:val="20"/>
              </w:rPr>
              <w:t>Restriction</w:t>
            </w:r>
            <w:r>
              <w:rPr>
                <w:rFonts w:ascii="Arial Narrow" w:hAnsi="Arial Narrow" w:cs="Arial"/>
                <w:b/>
                <w:sz w:val="20"/>
                <w:szCs w:val="20"/>
              </w:rPr>
              <w:t xml:space="preserve"> Level / Method</w:t>
            </w:r>
            <w:r w:rsidRPr="00260CE3">
              <w:rPr>
                <w:rFonts w:ascii="Arial Narrow" w:hAnsi="Arial Narrow" w:cs="Arial"/>
                <w:b/>
                <w:sz w:val="20"/>
                <w:szCs w:val="20"/>
              </w:rPr>
              <w:t>:</w:t>
            </w:r>
          </w:p>
        </w:tc>
        <w:tc>
          <w:tcPr>
            <w:tcW w:w="4009" w:type="pct"/>
            <w:tcBorders>
              <w:top w:val="single" w:sz="4" w:space="0" w:color="auto"/>
              <w:left w:val="single" w:sz="4" w:space="0" w:color="auto"/>
              <w:bottom w:val="single" w:sz="4" w:space="0" w:color="auto"/>
              <w:right w:val="single" w:sz="4" w:space="0" w:color="auto"/>
            </w:tcBorders>
          </w:tcPr>
          <w:p w:rsidR="00D86043" w:rsidRPr="00E17531" w:rsidRDefault="00D86043" w:rsidP="00BD4589">
            <w:pPr>
              <w:spacing w:before="40" w:after="40"/>
              <w:rPr>
                <w:rFonts w:ascii="Arial Narrow" w:hAnsi="Arial Narrow"/>
                <w:sz w:val="20"/>
              </w:rPr>
            </w:pPr>
            <w:r w:rsidRPr="00E17531">
              <w:rPr>
                <w:rFonts w:ascii="Arial Narrow" w:hAnsi="Arial Narrow"/>
                <w:sz w:val="20"/>
              </w:rPr>
              <w:fldChar w:fldCharType="begin">
                <w:ffData>
                  <w:name w:val="Check1"/>
                  <w:enabled/>
                  <w:calcOnExit w:val="0"/>
                  <w:checkBox>
                    <w:sizeAuto/>
                    <w:default w:val="0"/>
                  </w:checkBox>
                </w:ffData>
              </w:fldChar>
            </w:r>
            <w:r w:rsidRPr="00E17531">
              <w:rPr>
                <w:rFonts w:ascii="Arial Narrow" w:hAnsi="Arial Narrow"/>
                <w:sz w:val="20"/>
              </w:rPr>
              <w:instrText xml:space="preserve"> FORMCHECKBOX </w:instrText>
            </w:r>
            <w:r w:rsidR="00B52FA3">
              <w:rPr>
                <w:rFonts w:ascii="Arial Narrow" w:hAnsi="Arial Narrow"/>
                <w:sz w:val="20"/>
              </w:rPr>
            </w:r>
            <w:r w:rsidR="00B52FA3">
              <w:rPr>
                <w:rFonts w:ascii="Arial Narrow" w:hAnsi="Arial Narrow"/>
                <w:sz w:val="20"/>
              </w:rPr>
              <w:fldChar w:fldCharType="separate"/>
            </w:r>
            <w:r w:rsidRPr="00E17531">
              <w:rPr>
                <w:rFonts w:ascii="Arial Narrow" w:hAnsi="Arial Narrow"/>
                <w:sz w:val="20"/>
              </w:rPr>
              <w:fldChar w:fldCharType="end"/>
            </w:r>
            <w:r w:rsidRPr="00E17531">
              <w:rPr>
                <w:rFonts w:ascii="Arial Narrow" w:hAnsi="Arial Narrow"/>
                <w:sz w:val="20"/>
              </w:rPr>
              <w:t>Restricted benefit</w:t>
            </w:r>
          </w:p>
          <w:p w:rsidR="00D86043" w:rsidRPr="00E17531" w:rsidRDefault="00D86043" w:rsidP="00BD4589">
            <w:pPr>
              <w:spacing w:before="40" w:after="40"/>
              <w:rPr>
                <w:rFonts w:ascii="Arial Narrow" w:hAnsi="Arial Narrow"/>
                <w:sz w:val="20"/>
              </w:rPr>
            </w:pPr>
            <w:r w:rsidRPr="00E17531">
              <w:rPr>
                <w:rFonts w:ascii="Arial Narrow" w:hAnsi="Arial Narrow"/>
                <w:sz w:val="20"/>
              </w:rPr>
              <w:fldChar w:fldCharType="begin">
                <w:ffData>
                  <w:name w:val=""/>
                  <w:enabled/>
                  <w:calcOnExit w:val="0"/>
                  <w:checkBox>
                    <w:sizeAuto/>
                    <w:default w:val="0"/>
                  </w:checkBox>
                </w:ffData>
              </w:fldChar>
            </w:r>
            <w:r w:rsidRPr="00E17531">
              <w:rPr>
                <w:rFonts w:ascii="Arial Narrow" w:hAnsi="Arial Narrow"/>
                <w:sz w:val="20"/>
              </w:rPr>
              <w:instrText xml:space="preserve"> FORMCHECKBOX </w:instrText>
            </w:r>
            <w:r w:rsidR="00B52FA3">
              <w:rPr>
                <w:rFonts w:ascii="Arial Narrow" w:hAnsi="Arial Narrow"/>
                <w:sz w:val="20"/>
              </w:rPr>
            </w:r>
            <w:r w:rsidR="00B52FA3">
              <w:rPr>
                <w:rFonts w:ascii="Arial Narrow" w:hAnsi="Arial Narrow"/>
                <w:sz w:val="20"/>
              </w:rPr>
              <w:fldChar w:fldCharType="separate"/>
            </w:r>
            <w:r w:rsidRPr="00E17531">
              <w:rPr>
                <w:rFonts w:ascii="Arial Narrow" w:hAnsi="Arial Narrow"/>
                <w:sz w:val="20"/>
              </w:rPr>
              <w:fldChar w:fldCharType="end"/>
            </w:r>
            <w:r w:rsidRPr="00E17531">
              <w:rPr>
                <w:rFonts w:ascii="Arial Narrow" w:hAnsi="Arial Narrow"/>
                <w:sz w:val="20"/>
              </w:rPr>
              <w:t>Authority Required - In Writing</w:t>
            </w:r>
          </w:p>
          <w:p w:rsidR="00D86043" w:rsidRPr="00E17531" w:rsidRDefault="00D86043" w:rsidP="00BD4589">
            <w:pPr>
              <w:spacing w:before="40" w:after="40"/>
              <w:rPr>
                <w:rFonts w:ascii="Arial Narrow" w:hAnsi="Arial Narrow"/>
                <w:sz w:val="20"/>
              </w:rPr>
            </w:pPr>
            <w:r w:rsidRPr="00E17531">
              <w:rPr>
                <w:rFonts w:ascii="Arial Narrow" w:hAnsi="Arial Narrow"/>
                <w:sz w:val="20"/>
              </w:rPr>
              <w:fldChar w:fldCharType="begin">
                <w:ffData>
                  <w:name w:val="Check3"/>
                  <w:enabled/>
                  <w:calcOnExit w:val="0"/>
                  <w:checkBox>
                    <w:sizeAuto/>
                    <w:default w:val="0"/>
                  </w:checkBox>
                </w:ffData>
              </w:fldChar>
            </w:r>
            <w:r w:rsidRPr="00E17531">
              <w:rPr>
                <w:rFonts w:ascii="Arial Narrow" w:hAnsi="Arial Narrow"/>
                <w:sz w:val="20"/>
              </w:rPr>
              <w:instrText xml:space="preserve"> FORMCHECKBOX </w:instrText>
            </w:r>
            <w:r w:rsidR="00B52FA3">
              <w:rPr>
                <w:rFonts w:ascii="Arial Narrow" w:hAnsi="Arial Narrow"/>
                <w:sz w:val="20"/>
              </w:rPr>
            </w:r>
            <w:r w:rsidR="00B52FA3">
              <w:rPr>
                <w:rFonts w:ascii="Arial Narrow" w:hAnsi="Arial Narrow"/>
                <w:sz w:val="20"/>
              </w:rPr>
              <w:fldChar w:fldCharType="separate"/>
            </w:r>
            <w:r w:rsidRPr="00E17531">
              <w:rPr>
                <w:rFonts w:ascii="Arial Narrow" w:hAnsi="Arial Narrow"/>
                <w:sz w:val="20"/>
              </w:rPr>
              <w:fldChar w:fldCharType="end"/>
            </w:r>
            <w:r w:rsidRPr="00E17531">
              <w:rPr>
                <w:rFonts w:ascii="Arial Narrow" w:hAnsi="Arial Narrow"/>
                <w:sz w:val="20"/>
              </w:rPr>
              <w:t>Authority Required - Telephone</w:t>
            </w:r>
          </w:p>
          <w:p w:rsidR="00D86043" w:rsidRPr="00E17531" w:rsidRDefault="00D86043" w:rsidP="00BD4589">
            <w:pPr>
              <w:spacing w:before="40" w:after="40"/>
              <w:rPr>
                <w:rFonts w:ascii="Arial Narrow" w:hAnsi="Arial Narrow"/>
                <w:sz w:val="20"/>
              </w:rPr>
            </w:pPr>
            <w:r w:rsidRPr="00E17531">
              <w:rPr>
                <w:rFonts w:ascii="Arial Narrow" w:hAnsi="Arial Narrow"/>
                <w:sz w:val="20"/>
              </w:rPr>
              <w:fldChar w:fldCharType="begin">
                <w:ffData>
                  <w:name w:val=""/>
                  <w:enabled/>
                  <w:calcOnExit w:val="0"/>
                  <w:checkBox>
                    <w:sizeAuto/>
                    <w:default w:val="0"/>
                  </w:checkBox>
                </w:ffData>
              </w:fldChar>
            </w:r>
            <w:r w:rsidRPr="00E17531">
              <w:rPr>
                <w:rFonts w:ascii="Arial Narrow" w:hAnsi="Arial Narrow"/>
                <w:sz w:val="20"/>
              </w:rPr>
              <w:instrText xml:space="preserve"> FORMCHECKBOX </w:instrText>
            </w:r>
            <w:r w:rsidR="00B52FA3">
              <w:rPr>
                <w:rFonts w:ascii="Arial Narrow" w:hAnsi="Arial Narrow"/>
                <w:sz w:val="20"/>
              </w:rPr>
            </w:r>
            <w:r w:rsidR="00B52FA3">
              <w:rPr>
                <w:rFonts w:ascii="Arial Narrow" w:hAnsi="Arial Narrow"/>
                <w:sz w:val="20"/>
              </w:rPr>
              <w:fldChar w:fldCharType="separate"/>
            </w:r>
            <w:r w:rsidRPr="00E17531">
              <w:rPr>
                <w:rFonts w:ascii="Arial Narrow" w:hAnsi="Arial Narrow"/>
                <w:sz w:val="20"/>
              </w:rPr>
              <w:fldChar w:fldCharType="end"/>
            </w:r>
            <w:r w:rsidRPr="00E17531">
              <w:rPr>
                <w:rFonts w:ascii="Arial Narrow" w:hAnsi="Arial Narrow"/>
                <w:sz w:val="20"/>
              </w:rPr>
              <w:t>Authority Required – Emergency</w:t>
            </w:r>
          </w:p>
          <w:p w:rsidR="00D86043" w:rsidRPr="00E17531" w:rsidRDefault="00D86043" w:rsidP="00BD4589">
            <w:pPr>
              <w:spacing w:before="40" w:after="40"/>
              <w:rPr>
                <w:rFonts w:ascii="Arial Narrow" w:hAnsi="Arial Narrow"/>
                <w:sz w:val="20"/>
              </w:rPr>
            </w:pPr>
            <w:r w:rsidRPr="00E17531">
              <w:rPr>
                <w:rFonts w:ascii="Arial Narrow" w:hAnsi="Arial Narrow"/>
                <w:sz w:val="20"/>
              </w:rPr>
              <w:fldChar w:fldCharType="begin">
                <w:ffData>
                  <w:name w:val="Check5"/>
                  <w:enabled/>
                  <w:calcOnExit w:val="0"/>
                  <w:checkBox>
                    <w:sizeAuto/>
                    <w:default w:val="0"/>
                  </w:checkBox>
                </w:ffData>
              </w:fldChar>
            </w:r>
            <w:r w:rsidRPr="00E17531">
              <w:rPr>
                <w:rFonts w:ascii="Arial Narrow" w:hAnsi="Arial Narrow"/>
                <w:sz w:val="20"/>
              </w:rPr>
              <w:instrText xml:space="preserve"> FORMCHECKBOX </w:instrText>
            </w:r>
            <w:r w:rsidR="00B52FA3">
              <w:rPr>
                <w:rFonts w:ascii="Arial Narrow" w:hAnsi="Arial Narrow"/>
                <w:sz w:val="20"/>
              </w:rPr>
            </w:r>
            <w:r w:rsidR="00B52FA3">
              <w:rPr>
                <w:rFonts w:ascii="Arial Narrow" w:hAnsi="Arial Narrow"/>
                <w:sz w:val="20"/>
              </w:rPr>
              <w:fldChar w:fldCharType="separate"/>
            </w:r>
            <w:r w:rsidRPr="00E17531">
              <w:rPr>
                <w:rFonts w:ascii="Arial Narrow" w:hAnsi="Arial Narrow"/>
                <w:sz w:val="20"/>
              </w:rPr>
              <w:fldChar w:fldCharType="end"/>
            </w:r>
            <w:r w:rsidRPr="00E17531">
              <w:rPr>
                <w:rFonts w:ascii="Arial Narrow" w:hAnsi="Arial Narrow"/>
                <w:sz w:val="20"/>
              </w:rPr>
              <w:t>Authority Required - Electronic</w:t>
            </w:r>
          </w:p>
          <w:p w:rsidR="00D86043" w:rsidRPr="00260CE3" w:rsidRDefault="00D86043" w:rsidP="00BD4589">
            <w:pPr>
              <w:spacing w:before="40" w:after="40"/>
              <w:rPr>
                <w:rFonts w:ascii="Arial Narrow" w:hAnsi="Arial Narrow" w:cs="Arial"/>
                <w:sz w:val="20"/>
                <w:szCs w:val="20"/>
              </w:rPr>
            </w:pPr>
            <w:r w:rsidRPr="00E17531">
              <w:rPr>
                <w:rFonts w:ascii="Arial Narrow" w:hAnsi="Arial Narrow"/>
                <w:sz w:val="20"/>
              </w:rPr>
              <w:fldChar w:fldCharType="begin">
                <w:ffData>
                  <w:name w:val=""/>
                  <w:enabled/>
                  <w:calcOnExit w:val="0"/>
                  <w:checkBox>
                    <w:sizeAuto/>
                    <w:default w:val="1"/>
                  </w:checkBox>
                </w:ffData>
              </w:fldChar>
            </w:r>
            <w:r w:rsidRPr="00E17531">
              <w:rPr>
                <w:rFonts w:ascii="Arial Narrow" w:hAnsi="Arial Narrow"/>
                <w:sz w:val="20"/>
              </w:rPr>
              <w:instrText xml:space="preserve"> FORMCHECKBOX </w:instrText>
            </w:r>
            <w:r w:rsidR="00B52FA3">
              <w:rPr>
                <w:rFonts w:ascii="Arial Narrow" w:hAnsi="Arial Narrow"/>
                <w:sz w:val="20"/>
              </w:rPr>
            </w:r>
            <w:r w:rsidR="00B52FA3">
              <w:rPr>
                <w:rFonts w:ascii="Arial Narrow" w:hAnsi="Arial Narrow"/>
                <w:sz w:val="20"/>
              </w:rPr>
              <w:fldChar w:fldCharType="separate"/>
            </w:r>
            <w:r w:rsidRPr="00E17531">
              <w:rPr>
                <w:rFonts w:ascii="Arial Narrow" w:hAnsi="Arial Narrow"/>
                <w:sz w:val="20"/>
              </w:rPr>
              <w:fldChar w:fldCharType="end"/>
            </w:r>
            <w:r w:rsidRPr="00E17531">
              <w:rPr>
                <w:rFonts w:ascii="Arial Narrow" w:hAnsi="Arial Narrow"/>
                <w:sz w:val="20"/>
              </w:rPr>
              <w:t>Streamlined</w:t>
            </w:r>
          </w:p>
        </w:tc>
      </w:tr>
      <w:tr w:rsidR="00D86043" w:rsidRPr="002873B2" w:rsidTr="00BD4589">
        <w:trPr>
          <w:cantSplit/>
          <w:trHeight w:val="360"/>
        </w:trPr>
        <w:tc>
          <w:tcPr>
            <w:tcW w:w="991" w:type="pct"/>
            <w:tcBorders>
              <w:top w:val="single" w:sz="4" w:space="0" w:color="auto"/>
              <w:left w:val="single" w:sz="4" w:space="0" w:color="auto"/>
              <w:bottom w:val="single" w:sz="4" w:space="0" w:color="auto"/>
              <w:right w:val="single" w:sz="4" w:space="0" w:color="auto"/>
            </w:tcBorders>
          </w:tcPr>
          <w:p w:rsidR="00D86043" w:rsidRPr="00260CE3" w:rsidRDefault="00D86043" w:rsidP="00BD4589">
            <w:pPr>
              <w:spacing w:before="40" w:after="40"/>
              <w:jc w:val="both"/>
              <w:rPr>
                <w:rFonts w:ascii="Arial Narrow" w:hAnsi="Arial Narrow" w:cs="Arial"/>
                <w:sz w:val="20"/>
                <w:szCs w:val="20"/>
              </w:rPr>
            </w:pPr>
            <w:r w:rsidRPr="00260CE3">
              <w:rPr>
                <w:rFonts w:ascii="Arial Narrow" w:hAnsi="Arial Narrow" w:cs="Arial"/>
                <w:b/>
                <w:sz w:val="20"/>
                <w:szCs w:val="20"/>
              </w:rPr>
              <w:lastRenderedPageBreak/>
              <w:t>Clinical criteria:</w:t>
            </w:r>
          </w:p>
        </w:tc>
        <w:tc>
          <w:tcPr>
            <w:tcW w:w="4009" w:type="pct"/>
            <w:tcBorders>
              <w:top w:val="single" w:sz="4" w:space="0" w:color="auto"/>
              <w:left w:val="single" w:sz="4" w:space="0" w:color="auto"/>
              <w:bottom w:val="single" w:sz="4" w:space="0" w:color="auto"/>
              <w:right w:val="single" w:sz="4" w:space="0" w:color="auto"/>
            </w:tcBorders>
          </w:tcPr>
          <w:p w:rsidR="00D86043" w:rsidRDefault="00D86043" w:rsidP="00366E3B">
            <w:pPr>
              <w:widowControl w:val="0"/>
              <w:spacing w:before="40" w:after="40"/>
              <w:jc w:val="both"/>
              <w:rPr>
                <w:rFonts w:ascii="Arial Narrow" w:hAnsi="Arial Narrow" w:cs="Arial"/>
                <w:snapToGrid w:val="0"/>
                <w:sz w:val="20"/>
                <w:szCs w:val="20"/>
                <w:lang w:eastAsia="en-US"/>
              </w:rPr>
            </w:pPr>
            <w:r w:rsidRPr="00875D05">
              <w:rPr>
                <w:rFonts w:ascii="Arial Narrow" w:hAnsi="Arial Narrow" w:cs="Arial"/>
                <w:snapToGrid w:val="0"/>
                <w:sz w:val="20"/>
                <w:szCs w:val="20"/>
                <w:lang w:eastAsia="en-US"/>
              </w:rPr>
              <w:t>The condition must be positive for a BRAF V600 mutation,</w:t>
            </w:r>
          </w:p>
          <w:p w:rsidR="00D86043" w:rsidRDefault="00067E5B" w:rsidP="00366E3B">
            <w:pPr>
              <w:widowControl w:val="0"/>
              <w:spacing w:before="40" w:after="40"/>
              <w:jc w:val="both"/>
              <w:rPr>
                <w:rFonts w:ascii="Arial Narrow" w:hAnsi="Arial Narrow" w:cs="Arial"/>
                <w:snapToGrid w:val="0"/>
                <w:sz w:val="20"/>
                <w:szCs w:val="20"/>
                <w:lang w:eastAsia="en-US"/>
              </w:rPr>
            </w:pPr>
            <w:r>
              <w:rPr>
                <w:rFonts w:ascii="Arial Narrow" w:hAnsi="Arial Narrow" w:cs="Arial"/>
                <w:snapToGrid w:val="0"/>
                <w:sz w:val="20"/>
                <w:szCs w:val="20"/>
                <w:lang w:eastAsia="en-US"/>
              </w:rPr>
              <w:t>AND</w:t>
            </w:r>
          </w:p>
          <w:p w:rsidR="00D86043" w:rsidRDefault="00D86043" w:rsidP="00366E3B">
            <w:pPr>
              <w:widowControl w:val="0"/>
              <w:spacing w:before="40" w:after="40"/>
              <w:jc w:val="both"/>
              <w:rPr>
                <w:rFonts w:ascii="Arial Narrow" w:hAnsi="Arial Narrow" w:cs="Arial"/>
                <w:snapToGrid w:val="0"/>
                <w:sz w:val="20"/>
                <w:szCs w:val="20"/>
                <w:lang w:eastAsia="en-US"/>
              </w:rPr>
            </w:pPr>
            <w:r w:rsidRPr="00875D05">
              <w:rPr>
                <w:rFonts w:ascii="Arial Narrow" w:hAnsi="Arial Narrow" w:cs="Arial"/>
                <w:snapToGrid w:val="0"/>
                <w:sz w:val="20"/>
                <w:szCs w:val="20"/>
                <w:lang w:eastAsia="en-US"/>
              </w:rPr>
              <w:t>The condition must have progressed following treatment with a BRAF inhibitor (with or without a MEK inhibitor) unless contraindicated or not tolerated according to the TG</w:t>
            </w:r>
            <w:r w:rsidR="00067E5B">
              <w:rPr>
                <w:rFonts w:ascii="Arial Narrow" w:hAnsi="Arial Narrow" w:cs="Arial"/>
                <w:snapToGrid w:val="0"/>
                <w:sz w:val="20"/>
                <w:szCs w:val="20"/>
                <w:lang w:eastAsia="en-US"/>
              </w:rPr>
              <w:t>A approved Product Information,</w:t>
            </w:r>
          </w:p>
          <w:p w:rsidR="00D86043" w:rsidRDefault="00D86043" w:rsidP="00366E3B">
            <w:pPr>
              <w:widowControl w:val="0"/>
              <w:spacing w:before="40" w:after="40"/>
              <w:jc w:val="both"/>
              <w:rPr>
                <w:rFonts w:ascii="Arial Narrow" w:hAnsi="Arial Narrow" w:cs="Arial"/>
                <w:snapToGrid w:val="0"/>
                <w:sz w:val="20"/>
                <w:szCs w:val="20"/>
                <w:lang w:eastAsia="en-US"/>
              </w:rPr>
            </w:pPr>
            <w:r w:rsidRPr="00875D05">
              <w:rPr>
                <w:rFonts w:ascii="Arial Narrow" w:hAnsi="Arial Narrow" w:cs="Arial"/>
                <w:snapToGrid w:val="0"/>
                <w:sz w:val="20"/>
                <w:szCs w:val="20"/>
                <w:lang w:eastAsia="en-US"/>
              </w:rPr>
              <w:t>AND</w:t>
            </w:r>
          </w:p>
          <w:p w:rsidR="00D86043" w:rsidRDefault="00D86043" w:rsidP="00366E3B">
            <w:pPr>
              <w:widowControl w:val="0"/>
              <w:spacing w:before="40" w:after="40"/>
              <w:jc w:val="both"/>
              <w:rPr>
                <w:rFonts w:ascii="Arial Narrow" w:hAnsi="Arial Narrow" w:cs="Arial"/>
                <w:snapToGrid w:val="0"/>
                <w:sz w:val="20"/>
                <w:szCs w:val="20"/>
                <w:lang w:eastAsia="en-US"/>
              </w:rPr>
            </w:pPr>
            <w:r w:rsidRPr="00875D05">
              <w:rPr>
                <w:rFonts w:ascii="Arial Narrow" w:hAnsi="Arial Narrow" w:cs="Arial"/>
                <w:snapToGrid w:val="0"/>
                <w:sz w:val="20"/>
                <w:szCs w:val="20"/>
                <w:lang w:eastAsia="en-US"/>
              </w:rPr>
              <w:t xml:space="preserve">Patient must not have received prior treatment with </w:t>
            </w:r>
            <w:proofErr w:type="spellStart"/>
            <w:r w:rsidRPr="00875D05">
              <w:rPr>
                <w:rFonts w:ascii="Arial Narrow" w:hAnsi="Arial Narrow" w:cs="Arial"/>
                <w:snapToGrid w:val="0"/>
                <w:sz w:val="20"/>
                <w:szCs w:val="20"/>
                <w:lang w:eastAsia="en-US"/>
              </w:rPr>
              <w:t>ipilimumab</w:t>
            </w:r>
            <w:proofErr w:type="spellEnd"/>
            <w:r w:rsidRPr="00875D05">
              <w:rPr>
                <w:rFonts w:ascii="Arial Narrow" w:hAnsi="Arial Narrow" w:cs="Arial"/>
                <w:snapToGrid w:val="0"/>
                <w:sz w:val="20"/>
                <w:szCs w:val="20"/>
                <w:lang w:eastAsia="en-US"/>
              </w:rPr>
              <w:t xml:space="preserve"> or a PD-1 (programmed cell death-1</w:t>
            </w:r>
            <w:r w:rsidR="00067E5B">
              <w:rPr>
                <w:rFonts w:ascii="Arial Narrow" w:hAnsi="Arial Narrow" w:cs="Arial"/>
                <w:snapToGrid w:val="0"/>
                <w:sz w:val="20"/>
                <w:szCs w:val="20"/>
                <w:lang w:eastAsia="en-US"/>
              </w:rPr>
              <w:t>) inhibitor for this condition,</w:t>
            </w:r>
          </w:p>
          <w:p w:rsidR="00D86043" w:rsidRDefault="00D86043" w:rsidP="00366E3B">
            <w:pPr>
              <w:widowControl w:val="0"/>
              <w:spacing w:before="40" w:after="40"/>
              <w:jc w:val="both"/>
              <w:rPr>
                <w:rFonts w:ascii="Arial Narrow" w:hAnsi="Arial Narrow" w:cs="Arial"/>
                <w:snapToGrid w:val="0"/>
                <w:sz w:val="20"/>
                <w:szCs w:val="20"/>
                <w:lang w:eastAsia="en-US"/>
              </w:rPr>
            </w:pPr>
            <w:r w:rsidRPr="00875D05">
              <w:rPr>
                <w:rFonts w:ascii="Arial Narrow" w:hAnsi="Arial Narrow" w:cs="Arial"/>
                <w:snapToGrid w:val="0"/>
                <w:sz w:val="20"/>
                <w:szCs w:val="20"/>
                <w:lang w:eastAsia="en-US"/>
              </w:rPr>
              <w:t>AND</w:t>
            </w:r>
          </w:p>
          <w:p w:rsidR="00D86043" w:rsidRDefault="00D86043" w:rsidP="00366E3B">
            <w:pPr>
              <w:widowControl w:val="0"/>
              <w:spacing w:before="40" w:after="40"/>
              <w:jc w:val="both"/>
              <w:rPr>
                <w:rFonts w:ascii="Arial Narrow" w:hAnsi="Arial Narrow" w:cs="Arial"/>
                <w:snapToGrid w:val="0"/>
                <w:sz w:val="20"/>
                <w:szCs w:val="20"/>
                <w:lang w:eastAsia="en-US"/>
              </w:rPr>
            </w:pPr>
            <w:r w:rsidRPr="00875D05">
              <w:rPr>
                <w:rFonts w:ascii="Arial Narrow" w:hAnsi="Arial Narrow" w:cs="Arial"/>
                <w:snapToGrid w:val="0"/>
                <w:sz w:val="20"/>
                <w:szCs w:val="20"/>
                <w:lang w:eastAsia="en-US"/>
              </w:rPr>
              <w:t>The treatment must be the sole PBS-subsidised therapy for this condition,</w:t>
            </w:r>
          </w:p>
          <w:p w:rsidR="00D86043" w:rsidRDefault="00067E5B" w:rsidP="00366E3B">
            <w:pPr>
              <w:widowControl w:val="0"/>
              <w:spacing w:before="40" w:after="40"/>
              <w:jc w:val="both"/>
              <w:rPr>
                <w:rFonts w:ascii="Arial Narrow" w:hAnsi="Arial Narrow" w:cs="Arial"/>
                <w:snapToGrid w:val="0"/>
                <w:sz w:val="20"/>
                <w:szCs w:val="20"/>
                <w:lang w:eastAsia="en-US"/>
              </w:rPr>
            </w:pPr>
            <w:r>
              <w:rPr>
                <w:rFonts w:ascii="Arial Narrow" w:hAnsi="Arial Narrow" w:cs="Arial"/>
                <w:snapToGrid w:val="0"/>
                <w:sz w:val="20"/>
                <w:szCs w:val="20"/>
                <w:lang w:eastAsia="en-US"/>
              </w:rPr>
              <w:t>AND</w:t>
            </w:r>
          </w:p>
          <w:p w:rsidR="00D86043" w:rsidRPr="00D86043" w:rsidRDefault="00D86043" w:rsidP="00366E3B">
            <w:pPr>
              <w:widowControl w:val="0"/>
              <w:spacing w:before="40" w:after="40"/>
              <w:jc w:val="both"/>
              <w:rPr>
                <w:rFonts w:ascii="Arial Narrow" w:hAnsi="Arial Narrow" w:cs="Arial"/>
                <w:i/>
                <w:sz w:val="20"/>
                <w:szCs w:val="20"/>
              </w:rPr>
            </w:pPr>
            <w:r w:rsidRPr="00067E5B">
              <w:rPr>
                <w:rFonts w:ascii="Arial Narrow" w:hAnsi="Arial Narrow" w:cs="Arial"/>
                <w:snapToGrid w:val="0"/>
                <w:sz w:val="20"/>
                <w:szCs w:val="20"/>
                <w:lang w:eastAsia="en-US"/>
              </w:rPr>
              <w:t>The treatment must not exceed a total of 6 doses</w:t>
            </w:r>
            <w:r w:rsidR="00C033DB">
              <w:rPr>
                <w:rFonts w:ascii="Arial Narrow" w:hAnsi="Arial Narrow" w:cs="Arial"/>
                <w:snapToGrid w:val="0"/>
                <w:sz w:val="20"/>
                <w:szCs w:val="20"/>
                <w:lang w:eastAsia="en-US"/>
              </w:rPr>
              <w:t xml:space="preserve"> administered every 3 weeks, with e</w:t>
            </w:r>
            <w:r w:rsidR="00E852EE">
              <w:rPr>
                <w:rFonts w:ascii="Arial Narrow" w:hAnsi="Arial Narrow" w:cs="Arial"/>
                <w:snapToGrid w:val="0"/>
                <w:sz w:val="20"/>
                <w:szCs w:val="20"/>
                <w:lang w:eastAsia="en-US"/>
              </w:rPr>
              <w:t xml:space="preserve">ach </w:t>
            </w:r>
            <w:r w:rsidR="000003BE">
              <w:rPr>
                <w:rFonts w:ascii="Arial Narrow" w:hAnsi="Arial Narrow" w:cs="Arial"/>
                <w:snapToGrid w:val="0"/>
                <w:sz w:val="20"/>
                <w:szCs w:val="20"/>
                <w:lang w:eastAsia="en-US"/>
              </w:rPr>
              <w:t xml:space="preserve">maximum </w:t>
            </w:r>
            <w:r w:rsidR="00E852EE">
              <w:rPr>
                <w:rFonts w:ascii="Arial Narrow" w:hAnsi="Arial Narrow" w:cs="Arial"/>
                <w:snapToGrid w:val="0"/>
                <w:sz w:val="20"/>
                <w:szCs w:val="20"/>
                <w:lang w:eastAsia="en-US"/>
              </w:rPr>
              <w:t xml:space="preserve">dose </w:t>
            </w:r>
            <w:r w:rsidRPr="00067E5B">
              <w:rPr>
                <w:rFonts w:ascii="Arial Narrow" w:hAnsi="Arial Narrow" w:cs="Arial"/>
                <w:snapToGrid w:val="0"/>
                <w:sz w:val="20"/>
                <w:szCs w:val="20"/>
                <w:lang w:eastAsia="en-US"/>
              </w:rPr>
              <w:t xml:space="preserve">either </w:t>
            </w:r>
            <w:r w:rsidR="000003BE">
              <w:rPr>
                <w:rFonts w:ascii="Arial Narrow" w:hAnsi="Arial Narrow" w:cs="Arial"/>
                <w:snapToGrid w:val="0"/>
                <w:sz w:val="20"/>
                <w:szCs w:val="20"/>
                <w:lang w:eastAsia="en-US"/>
              </w:rPr>
              <w:t xml:space="preserve">at </w:t>
            </w:r>
            <w:r w:rsidRPr="00067E5B">
              <w:rPr>
                <w:rFonts w:ascii="Arial Narrow" w:hAnsi="Arial Narrow" w:cs="Arial"/>
                <w:snapToGrid w:val="0"/>
                <w:sz w:val="20"/>
                <w:szCs w:val="20"/>
                <w:lang w:eastAsia="en-US"/>
              </w:rPr>
              <w:t>2 m</w:t>
            </w:r>
            <w:r w:rsidR="00067E5B">
              <w:rPr>
                <w:rFonts w:ascii="Arial Narrow" w:hAnsi="Arial Narrow" w:cs="Arial"/>
                <w:snapToGrid w:val="0"/>
                <w:sz w:val="20"/>
                <w:szCs w:val="20"/>
                <w:lang w:eastAsia="en-US"/>
              </w:rPr>
              <w:t xml:space="preserve">g per kg </w:t>
            </w:r>
            <w:r w:rsidR="00E852EE">
              <w:rPr>
                <w:rFonts w:ascii="Arial Narrow" w:hAnsi="Arial Narrow" w:cs="Arial"/>
                <w:snapToGrid w:val="0"/>
                <w:sz w:val="20"/>
                <w:szCs w:val="20"/>
                <w:lang w:eastAsia="en-US"/>
              </w:rPr>
              <w:t>for patients &lt;100</w:t>
            </w:r>
            <w:r w:rsidR="00C033DB">
              <w:rPr>
                <w:rFonts w:ascii="Arial Narrow" w:hAnsi="Arial Narrow" w:cs="Arial"/>
                <w:snapToGrid w:val="0"/>
                <w:sz w:val="20"/>
                <w:szCs w:val="20"/>
                <w:lang w:eastAsia="en-US"/>
              </w:rPr>
              <w:t> </w:t>
            </w:r>
            <w:r w:rsidR="00E852EE">
              <w:rPr>
                <w:rFonts w:ascii="Arial Narrow" w:hAnsi="Arial Narrow" w:cs="Arial"/>
                <w:snapToGrid w:val="0"/>
                <w:sz w:val="20"/>
                <w:szCs w:val="20"/>
                <w:lang w:eastAsia="en-US"/>
              </w:rPr>
              <w:t xml:space="preserve">kg </w:t>
            </w:r>
            <w:r w:rsidR="00067E5B">
              <w:rPr>
                <w:rFonts w:ascii="Arial Narrow" w:hAnsi="Arial Narrow" w:cs="Arial"/>
                <w:snapToGrid w:val="0"/>
                <w:sz w:val="20"/>
                <w:szCs w:val="20"/>
                <w:lang w:eastAsia="en-US"/>
              </w:rPr>
              <w:t xml:space="preserve">or fixed </w:t>
            </w:r>
            <w:r w:rsidR="000003BE">
              <w:rPr>
                <w:rFonts w:ascii="Arial Narrow" w:hAnsi="Arial Narrow" w:cs="Arial"/>
                <w:snapToGrid w:val="0"/>
                <w:sz w:val="20"/>
                <w:szCs w:val="20"/>
                <w:lang w:eastAsia="en-US"/>
              </w:rPr>
              <w:t>at</w:t>
            </w:r>
            <w:r w:rsidR="00067E5B">
              <w:rPr>
                <w:rFonts w:ascii="Arial Narrow" w:hAnsi="Arial Narrow" w:cs="Arial"/>
                <w:snapToGrid w:val="0"/>
                <w:sz w:val="20"/>
                <w:szCs w:val="20"/>
                <w:lang w:eastAsia="en-US"/>
              </w:rPr>
              <w:t xml:space="preserve"> 200 </w:t>
            </w:r>
            <w:r w:rsidRPr="00067E5B">
              <w:rPr>
                <w:rFonts w:ascii="Arial Narrow" w:hAnsi="Arial Narrow" w:cs="Arial"/>
                <w:snapToGrid w:val="0"/>
                <w:sz w:val="20"/>
                <w:szCs w:val="20"/>
                <w:lang w:eastAsia="en-US"/>
              </w:rPr>
              <w:t>mg</w:t>
            </w:r>
            <w:r w:rsidR="005E6D31">
              <w:rPr>
                <w:rFonts w:ascii="Arial Narrow" w:hAnsi="Arial Narrow" w:cs="Arial"/>
                <w:snapToGrid w:val="0"/>
                <w:sz w:val="20"/>
                <w:szCs w:val="20"/>
                <w:lang w:eastAsia="en-US"/>
              </w:rPr>
              <w:t>.</w:t>
            </w:r>
            <w:r w:rsidRPr="00067E5B">
              <w:rPr>
                <w:rFonts w:ascii="Arial Narrow" w:hAnsi="Arial Narrow" w:cs="Arial"/>
                <w:snapToGrid w:val="0"/>
                <w:sz w:val="20"/>
                <w:szCs w:val="20"/>
                <w:lang w:eastAsia="en-US"/>
              </w:rPr>
              <w:t xml:space="preserve"> </w:t>
            </w:r>
          </w:p>
        </w:tc>
      </w:tr>
      <w:tr w:rsidR="00D86043" w:rsidRPr="002873B2" w:rsidTr="00BD4589">
        <w:trPr>
          <w:cantSplit/>
          <w:trHeight w:val="360"/>
        </w:trPr>
        <w:tc>
          <w:tcPr>
            <w:tcW w:w="991" w:type="pct"/>
            <w:tcBorders>
              <w:top w:val="single" w:sz="4" w:space="0" w:color="auto"/>
              <w:left w:val="single" w:sz="4" w:space="0" w:color="auto"/>
              <w:bottom w:val="single" w:sz="4" w:space="0" w:color="auto"/>
              <w:right w:val="single" w:sz="4" w:space="0" w:color="auto"/>
            </w:tcBorders>
          </w:tcPr>
          <w:p w:rsidR="00D86043" w:rsidRPr="00260CE3" w:rsidRDefault="00D86043" w:rsidP="00BD4589">
            <w:pPr>
              <w:rPr>
                <w:rFonts w:ascii="Arial Narrow" w:hAnsi="Arial Narrow"/>
                <w:sz w:val="20"/>
              </w:rPr>
            </w:pPr>
            <w:r w:rsidRPr="00260CE3">
              <w:rPr>
                <w:rFonts w:ascii="Arial Narrow" w:hAnsi="Arial Narrow"/>
                <w:b/>
                <w:sz w:val="20"/>
              </w:rPr>
              <w:t>Prescriber Instructions</w:t>
            </w:r>
          </w:p>
        </w:tc>
        <w:tc>
          <w:tcPr>
            <w:tcW w:w="4009" w:type="pct"/>
            <w:tcBorders>
              <w:top w:val="single" w:sz="4" w:space="0" w:color="auto"/>
              <w:left w:val="single" w:sz="4" w:space="0" w:color="auto"/>
              <w:bottom w:val="single" w:sz="4" w:space="0" w:color="auto"/>
              <w:right w:val="single" w:sz="4" w:space="0" w:color="auto"/>
            </w:tcBorders>
          </w:tcPr>
          <w:p w:rsidR="00D86043" w:rsidRPr="00260CE3" w:rsidRDefault="00D86043" w:rsidP="00366E3B">
            <w:pPr>
              <w:spacing w:before="40" w:after="40"/>
              <w:rPr>
                <w:rFonts w:ascii="Arial Narrow" w:hAnsi="Arial Narrow"/>
                <w:sz w:val="20"/>
              </w:rPr>
            </w:pPr>
            <w:r w:rsidRPr="00460FF0">
              <w:rPr>
                <w:rFonts w:ascii="Arial Narrow" w:hAnsi="Arial Narrow"/>
                <w:sz w:val="20"/>
              </w:rPr>
              <w:t>The patient's body weight must be documented in the patient's medical records at the time treatment is initiated.</w:t>
            </w:r>
          </w:p>
        </w:tc>
      </w:tr>
      <w:tr w:rsidR="00D86043" w:rsidRPr="002873B2" w:rsidTr="00BD4589">
        <w:trPr>
          <w:cantSplit/>
          <w:trHeight w:val="360"/>
        </w:trPr>
        <w:tc>
          <w:tcPr>
            <w:tcW w:w="991" w:type="pct"/>
            <w:tcBorders>
              <w:top w:val="single" w:sz="4" w:space="0" w:color="auto"/>
              <w:left w:val="single" w:sz="4" w:space="0" w:color="auto"/>
              <w:bottom w:val="single" w:sz="4" w:space="0" w:color="auto"/>
              <w:right w:val="single" w:sz="4" w:space="0" w:color="auto"/>
            </w:tcBorders>
          </w:tcPr>
          <w:p w:rsidR="00D86043" w:rsidRPr="00260CE3" w:rsidRDefault="00D86043" w:rsidP="00BD4589">
            <w:pPr>
              <w:spacing w:before="40" w:after="40"/>
              <w:jc w:val="both"/>
              <w:rPr>
                <w:rFonts w:ascii="Arial Narrow" w:hAnsi="Arial Narrow" w:cs="Arial"/>
                <w:i/>
                <w:sz w:val="20"/>
                <w:szCs w:val="20"/>
              </w:rPr>
            </w:pPr>
            <w:r w:rsidRPr="00260CE3">
              <w:rPr>
                <w:rFonts w:ascii="Arial Narrow" w:hAnsi="Arial Narrow" w:cs="Arial"/>
                <w:b/>
                <w:sz w:val="20"/>
                <w:szCs w:val="20"/>
              </w:rPr>
              <w:t>Administrative Advice</w:t>
            </w:r>
          </w:p>
        </w:tc>
        <w:tc>
          <w:tcPr>
            <w:tcW w:w="4009" w:type="pct"/>
            <w:tcBorders>
              <w:top w:val="single" w:sz="4" w:space="0" w:color="auto"/>
              <w:left w:val="single" w:sz="4" w:space="0" w:color="auto"/>
              <w:bottom w:val="single" w:sz="4" w:space="0" w:color="auto"/>
              <w:right w:val="single" w:sz="4" w:space="0" w:color="auto"/>
            </w:tcBorders>
          </w:tcPr>
          <w:p w:rsidR="00D86043" w:rsidRPr="00067E5B" w:rsidRDefault="00D86043" w:rsidP="00366E3B">
            <w:pPr>
              <w:widowControl w:val="0"/>
              <w:spacing w:before="40" w:after="40"/>
              <w:jc w:val="both"/>
              <w:rPr>
                <w:rFonts w:ascii="Arial Narrow" w:hAnsi="Arial Narrow" w:cs="Arial"/>
                <w:snapToGrid w:val="0"/>
                <w:sz w:val="20"/>
                <w:szCs w:val="20"/>
                <w:lang w:eastAsia="en-US"/>
              </w:rPr>
            </w:pPr>
            <w:r w:rsidRPr="00067E5B">
              <w:rPr>
                <w:rFonts w:ascii="Arial Narrow" w:hAnsi="Arial Narrow" w:cs="Arial"/>
                <w:snapToGrid w:val="0"/>
                <w:sz w:val="20"/>
                <w:szCs w:val="20"/>
                <w:lang w:eastAsia="en-US"/>
              </w:rPr>
              <w:t>No increase in the maximum number of repeats will be authorised.</w:t>
            </w:r>
          </w:p>
          <w:p w:rsidR="00D86043" w:rsidRPr="00260CE3" w:rsidRDefault="00D86043" w:rsidP="00366E3B">
            <w:pPr>
              <w:widowControl w:val="0"/>
              <w:spacing w:before="40" w:after="40"/>
              <w:jc w:val="both"/>
              <w:rPr>
                <w:rFonts w:ascii="Arial Narrow" w:hAnsi="Arial Narrow" w:cs="Arial"/>
                <w:sz w:val="20"/>
                <w:szCs w:val="20"/>
              </w:rPr>
            </w:pPr>
            <w:r w:rsidRPr="00875D05">
              <w:rPr>
                <w:rFonts w:ascii="Arial Narrow" w:hAnsi="Arial Narrow" w:cs="Arial"/>
                <w:snapToGrid w:val="0"/>
                <w:sz w:val="20"/>
                <w:szCs w:val="20"/>
                <w:lang w:eastAsia="en-US"/>
              </w:rPr>
              <w:t>In the first few months after start of immunotherapy, some patients can have a transient tumour flare with subsequent disease response. When progression is suspected, this should be confirmed through a confirmatory scan, taken at least 4 weeks later</w:t>
            </w:r>
            <w:r>
              <w:rPr>
                <w:rFonts w:ascii="Arial Narrow" w:hAnsi="Arial Narrow" w:cs="Arial"/>
                <w:snapToGrid w:val="0"/>
                <w:sz w:val="20"/>
                <w:szCs w:val="20"/>
                <w:lang w:eastAsia="en-US"/>
              </w:rPr>
              <w:t>.</w:t>
            </w:r>
          </w:p>
        </w:tc>
      </w:tr>
    </w:tbl>
    <w:p w:rsidR="00D86043" w:rsidRPr="002873B2" w:rsidRDefault="00D86043" w:rsidP="00366E3B">
      <w:pPr>
        <w:spacing w:before="120"/>
        <w:rPr>
          <w:rFonts w:ascii="Arial Narrow" w:hAnsi="Arial Narrow"/>
          <w:sz w:val="20"/>
          <w:szCs w:val="20"/>
        </w:rPr>
      </w:pPr>
      <w:r w:rsidRPr="00E17531">
        <w:rPr>
          <w:rFonts w:ascii="Arial Narrow" w:hAnsi="Arial Narrow"/>
          <w:b/>
          <w:sz w:val="20"/>
          <w:szCs w:val="20"/>
          <w:u w:val="single"/>
        </w:rPr>
        <w:t>Treatment phase: Initial treatment</w:t>
      </w:r>
      <w:r>
        <w:rPr>
          <w:rFonts w:ascii="Arial Narrow" w:hAnsi="Arial Narrow"/>
          <w:b/>
          <w:sz w:val="20"/>
          <w:szCs w:val="20"/>
          <w:u w:val="single"/>
        </w:rPr>
        <w:t xml:space="preserve"> 2</w:t>
      </w:r>
    </w:p>
    <w:tbl>
      <w:tblPr>
        <w:tblW w:w="4915" w:type="pct"/>
        <w:tblLook w:val="0000" w:firstRow="0" w:lastRow="0" w:firstColumn="0" w:lastColumn="0" w:noHBand="0" w:noVBand="0"/>
      </w:tblPr>
      <w:tblGrid>
        <w:gridCol w:w="1801"/>
        <w:gridCol w:w="7284"/>
      </w:tblGrid>
      <w:tr w:rsidR="00D86043" w:rsidRPr="002873B2" w:rsidTr="00BD4589">
        <w:trPr>
          <w:cantSplit/>
          <w:trHeight w:val="360"/>
        </w:trPr>
        <w:tc>
          <w:tcPr>
            <w:tcW w:w="991" w:type="pct"/>
            <w:tcBorders>
              <w:top w:val="single" w:sz="4" w:space="0" w:color="auto"/>
              <w:left w:val="single" w:sz="4" w:space="0" w:color="auto"/>
              <w:bottom w:val="single" w:sz="4" w:space="0" w:color="auto"/>
              <w:right w:val="single" w:sz="4" w:space="0" w:color="auto"/>
            </w:tcBorders>
          </w:tcPr>
          <w:p w:rsidR="00D86043" w:rsidRPr="00646A23" w:rsidRDefault="00D86043" w:rsidP="00BD4589">
            <w:pPr>
              <w:spacing w:before="40" w:after="40"/>
              <w:jc w:val="both"/>
              <w:rPr>
                <w:rFonts w:ascii="Arial Narrow" w:hAnsi="Arial Narrow" w:cs="Arial"/>
                <w:b/>
                <w:sz w:val="20"/>
                <w:szCs w:val="20"/>
              </w:rPr>
            </w:pPr>
            <w:r w:rsidRPr="00646A23">
              <w:rPr>
                <w:rFonts w:ascii="Arial Narrow" w:hAnsi="Arial Narrow" w:cs="Arial"/>
                <w:b/>
                <w:sz w:val="20"/>
                <w:szCs w:val="20"/>
              </w:rPr>
              <w:t>Category / Program</w:t>
            </w:r>
          </w:p>
        </w:tc>
        <w:tc>
          <w:tcPr>
            <w:tcW w:w="4009" w:type="pct"/>
            <w:tcBorders>
              <w:top w:val="single" w:sz="4" w:space="0" w:color="auto"/>
              <w:left w:val="single" w:sz="4" w:space="0" w:color="auto"/>
              <w:bottom w:val="single" w:sz="4" w:space="0" w:color="auto"/>
              <w:right w:val="single" w:sz="4" w:space="0" w:color="auto"/>
            </w:tcBorders>
          </w:tcPr>
          <w:p w:rsidR="00D86043" w:rsidRPr="00260CE3" w:rsidRDefault="00D86043" w:rsidP="00BD4589">
            <w:pPr>
              <w:spacing w:before="40" w:after="40"/>
              <w:rPr>
                <w:rFonts w:ascii="Arial Narrow" w:hAnsi="Arial Narrow" w:cs="Arial"/>
                <w:sz w:val="20"/>
                <w:szCs w:val="20"/>
              </w:rPr>
            </w:pPr>
            <w:r w:rsidRPr="00260CE3">
              <w:rPr>
                <w:rFonts w:ascii="Arial Narrow" w:hAnsi="Arial Narrow" w:cs="Arial"/>
                <w:sz w:val="20"/>
                <w:szCs w:val="20"/>
              </w:rPr>
              <w:t>Section 100 –</w:t>
            </w:r>
            <w:r>
              <w:rPr>
                <w:rFonts w:ascii="Arial Narrow" w:hAnsi="Arial Narrow" w:cs="Arial"/>
                <w:sz w:val="20"/>
                <w:szCs w:val="20"/>
              </w:rPr>
              <w:t xml:space="preserve"> Efficient funding of </w:t>
            </w:r>
            <w:r w:rsidRPr="00260CE3">
              <w:rPr>
                <w:rFonts w:ascii="Arial Narrow" w:hAnsi="Arial Narrow" w:cs="Arial"/>
                <w:sz w:val="20"/>
                <w:szCs w:val="20"/>
              </w:rPr>
              <w:t>Chemotherapy</w:t>
            </w:r>
          </w:p>
        </w:tc>
      </w:tr>
      <w:tr w:rsidR="00D86043" w:rsidRPr="002873B2" w:rsidTr="00BD4589">
        <w:trPr>
          <w:cantSplit/>
          <w:trHeight w:val="360"/>
        </w:trPr>
        <w:tc>
          <w:tcPr>
            <w:tcW w:w="991" w:type="pct"/>
            <w:tcBorders>
              <w:top w:val="single" w:sz="4" w:space="0" w:color="auto"/>
              <w:left w:val="single" w:sz="4" w:space="0" w:color="auto"/>
              <w:bottom w:val="single" w:sz="4" w:space="0" w:color="auto"/>
              <w:right w:val="single" w:sz="4" w:space="0" w:color="auto"/>
            </w:tcBorders>
          </w:tcPr>
          <w:p w:rsidR="00D86043" w:rsidRPr="00260CE3" w:rsidRDefault="00D86043" w:rsidP="00BD4589">
            <w:pPr>
              <w:spacing w:before="40" w:after="40"/>
              <w:jc w:val="both"/>
              <w:rPr>
                <w:rFonts w:ascii="Arial Narrow" w:hAnsi="Arial Narrow" w:cs="Arial"/>
                <w:b/>
                <w:sz w:val="20"/>
                <w:szCs w:val="20"/>
              </w:rPr>
            </w:pPr>
            <w:r w:rsidRPr="00260CE3">
              <w:rPr>
                <w:rFonts w:ascii="Arial Narrow" w:hAnsi="Arial Narrow" w:cs="Arial"/>
                <w:b/>
                <w:sz w:val="20"/>
                <w:szCs w:val="20"/>
              </w:rPr>
              <w:t>Prescriber type:</w:t>
            </w:r>
          </w:p>
        </w:tc>
        <w:tc>
          <w:tcPr>
            <w:tcW w:w="4009" w:type="pct"/>
            <w:tcBorders>
              <w:top w:val="single" w:sz="4" w:space="0" w:color="auto"/>
              <w:left w:val="single" w:sz="4" w:space="0" w:color="auto"/>
              <w:bottom w:val="single" w:sz="4" w:space="0" w:color="auto"/>
              <w:right w:val="single" w:sz="4" w:space="0" w:color="auto"/>
            </w:tcBorders>
          </w:tcPr>
          <w:p w:rsidR="00D86043" w:rsidRPr="00260CE3" w:rsidRDefault="00D86043" w:rsidP="00BD4589">
            <w:pPr>
              <w:spacing w:before="40" w:after="40"/>
              <w:rPr>
                <w:rFonts w:ascii="Arial Narrow" w:hAnsi="Arial Narrow" w:cs="Arial"/>
                <w:sz w:val="20"/>
                <w:szCs w:val="20"/>
              </w:rPr>
            </w:pPr>
            <w:r w:rsidRPr="00260CE3">
              <w:rPr>
                <w:rFonts w:ascii="Arial Narrow" w:hAnsi="Arial Narrow" w:cs="Arial"/>
                <w:sz w:val="20"/>
                <w:szCs w:val="20"/>
              </w:rPr>
              <w:fldChar w:fldCharType="begin">
                <w:ffData>
                  <w:name w:val="Check1"/>
                  <w:enabled/>
                  <w:calcOnExit w:val="0"/>
                  <w:checkBox>
                    <w:sizeAuto/>
                    <w:default w:val="0"/>
                  </w:checkBox>
                </w:ffData>
              </w:fldChar>
            </w:r>
            <w:r w:rsidRPr="00260CE3">
              <w:rPr>
                <w:rFonts w:ascii="Arial Narrow" w:hAnsi="Arial Narrow" w:cs="Arial"/>
                <w:sz w:val="20"/>
                <w:szCs w:val="20"/>
              </w:rPr>
              <w:instrText xml:space="preserve"> FORMCHECKBOX </w:instrText>
            </w:r>
            <w:r w:rsidR="00B52FA3">
              <w:rPr>
                <w:rFonts w:ascii="Arial Narrow" w:hAnsi="Arial Narrow" w:cs="Arial"/>
                <w:sz w:val="20"/>
                <w:szCs w:val="20"/>
              </w:rPr>
            </w:r>
            <w:r w:rsidR="00B52FA3">
              <w:rPr>
                <w:rFonts w:ascii="Arial Narrow" w:hAnsi="Arial Narrow" w:cs="Arial"/>
                <w:sz w:val="20"/>
                <w:szCs w:val="20"/>
              </w:rPr>
              <w:fldChar w:fldCharType="separate"/>
            </w:r>
            <w:r w:rsidRPr="00260CE3">
              <w:rPr>
                <w:rFonts w:ascii="Arial Narrow" w:hAnsi="Arial Narrow" w:cs="Arial"/>
                <w:sz w:val="20"/>
                <w:szCs w:val="20"/>
              </w:rPr>
              <w:fldChar w:fldCharType="end"/>
            </w:r>
            <w:r w:rsidRPr="00260CE3">
              <w:rPr>
                <w:rFonts w:ascii="Arial Narrow" w:hAnsi="Arial Narrow" w:cs="Arial"/>
                <w:sz w:val="20"/>
                <w:szCs w:val="20"/>
              </w:rPr>
              <w:t xml:space="preserve">Dental  </w:t>
            </w:r>
            <w:r>
              <w:rPr>
                <w:rFonts w:ascii="Arial Narrow" w:hAnsi="Arial Narrow" w:cs="Arial"/>
                <w:sz w:val="20"/>
                <w:szCs w:val="20"/>
              </w:rPr>
              <w:fldChar w:fldCharType="begin">
                <w:ffData>
                  <w:name w:val=""/>
                  <w:enabled/>
                  <w:calcOnExit w:val="0"/>
                  <w:checkBox>
                    <w:sizeAuto/>
                    <w:default w:val="1"/>
                  </w:checkBox>
                </w:ffData>
              </w:fldChar>
            </w:r>
            <w:r>
              <w:rPr>
                <w:rFonts w:ascii="Arial Narrow" w:hAnsi="Arial Narrow" w:cs="Arial"/>
                <w:sz w:val="20"/>
                <w:szCs w:val="20"/>
              </w:rPr>
              <w:instrText xml:space="preserve"> FORMCHECKBOX </w:instrText>
            </w:r>
            <w:r w:rsidR="00B52FA3">
              <w:rPr>
                <w:rFonts w:ascii="Arial Narrow" w:hAnsi="Arial Narrow" w:cs="Arial"/>
                <w:sz w:val="20"/>
                <w:szCs w:val="20"/>
              </w:rPr>
            </w:r>
            <w:r w:rsidR="00B52FA3">
              <w:rPr>
                <w:rFonts w:ascii="Arial Narrow" w:hAnsi="Arial Narrow" w:cs="Arial"/>
                <w:sz w:val="20"/>
                <w:szCs w:val="20"/>
              </w:rPr>
              <w:fldChar w:fldCharType="separate"/>
            </w:r>
            <w:r>
              <w:rPr>
                <w:rFonts w:ascii="Arial Narrow" w:hAnsi="Arial Narrow" w:cs="Arial"/>
                <w:sz w:val="20"/>
                <w:szCs w:val="20"/>
              </w:rPr>
              <w:fldChar w:fldCharType="end"/>
            </w:r>
            <w:r w:rsidRPr="00260CE3">
              <w:rPr>
                <w:rFonts w:ascii="Arial Narrow" w:hAnsi="Arial Narrow" w:cs="Arial"/>
                <w:sz w:val="20"/>
                <w:szCs w:val="20"/>
              </w:rPr>
              <w:t xml:space="preserve">Medical Practitioners  </w:t>
            </w:r>
            <w:r w:rsidRPr="00260CE3">
              <w:rPr>
                <w:rFonts w:ascii="Arial Narrow" w:hAnsi="Arial Narrow" w:cs="Arial"/>
                <w:sz w:val="20"/>
                <w:szCs w:val="20"/>
              </w:rPr>
              <w:fldChar w:fldCharType="begin">
                <w:ffData>
                  <w:name w:val="Check3"/>
                  <w:enabled/>
                  <w:calcOnExit w:val="0"/>
                  <w:checkBox>
                    <w:sizeAuto/>
                    <w:default w:val="0"/>
                  </w:checkBox>
                </w:ffData>
              </w:fldChar>
            </w:r>
            <w:r w:rsidRPr="00260CE3">
              <w:rPr>
                <w:rFonts w:ascii="Arial Narrow" w:hAnsi="Arial Narrow" w:cs="Arial"/>
                <w:sz w:val="20"/>
                <w:szCs w:val="20"/>
              </w:rPr>
              <w:instrText xml:space="preserve"> FORMCHECKBOX </w:instrText>
            </w:r>
            <w:r w:rsidR="00B52FA3">
              <w:rPr>
                <w:rFonts w:ascii="Arial Narrow" w:hAnsi="Arial Narrow" w:cs="Arial"/>
                <w:sz w:val="20"/>
                <w:szCs w:val="20"/>
              </w:rPr>
            </w:r>
            <w:r w:rsidR="00B52FA3">
              <w:rPr>
                <w:rFonts w:ascii="Arial Narrow" w:hAnsi="Arial Narrow" w:cs="Arial"/>
                <w:sz w:val="20"/>
                <w:szCs w:val="20"/>
              </w:rPr>
              <w:fldChar w:fldCharType="separate"/>
            </w:r>
            <w:r w:rsidRPr="00260CE3">
              <w:rPr>
                <w:rFonts w:ascii="Arial Narrow" w:hAnsi="Arial Narrow" w:cs="Arial"/>
                <w:sz w:val="20"/>
                <w:szCs w:val="20"/>
              </w:rPr>
              <w:fldChar w:fldCharType="end"/>
            </w:r>
            <w:r w:rsidRPr="00260CE3">
              <w:rPr>
                <w:rFonts w:ascii="Arial Narrow" w:hAnsi="Arial Narrow" w:cs="Arial"/>
                <w:sz w:val="20"/>
                <w:szCs w:val="20"/>
              </w:rPr>
              <w:t xml:space="preserve">Nurse practitioners  </w:t>
            </w:r>
            <w:r w:rsidRPr="00260CE3">
              <w:rPr>
                <w:rFonts w:ascii="Arial Narrow" w:hAnsi="Arial Narrow" w:cs="Arial"/>
                <w:sz w:val="20"/>
                <w:szCs w:val="20"/>
              </w:rPr>
              <w:fldChar w:fldCharType="begin">
                <w:ffData>
                  <w:name w:val=""/>
                  <w:enabled/>
                  <w:calcOnExit w:val="0"/>
                  <w:checkBox>
                    <w:sizeAuto/>
                    <w:default w:val="0"/>
                  </w:checkBox>
                </w:ffData>
              </w:fldChar>
            </w:r>
            <w:r w:rsidRPr="00260CE3">
              <w:rPr>
                <w:rFonts w:ascii="Arial Narrow" w:hAnsi="Arial Narrow" w:cs="Arial"/>
                <w:sz w:val="20"/>
                <w:szCs w:val="20"/>
              </w:rPr>
              <w:instrText xml:space="preserve"> FORMCHECKBOX </w:instrText>
            </w:r>
            <w:r w:rsidR="00B52FA3">
              <w:rPr>
                <w:rFonts w:ascii="Arial Narrow" w:hAnsi="Arial Narrow" w:cs="Arial"/>
                <w:sz w:val="20"/>
                <w:szCs w:val="20"/>
              </w:rPr>
            </w:r>
            <w:r w:rsidR="00B52FA3">
              <w:rPr>
                <w:rFonts w:ascii="Arial Narrow" w:hAnsi="Arial Narrow" w:cs="Arial"/>
                <w:sz w:val="20"/>
                <w:szCs w:val="20"/>
              </w:rPr>
              <w:fldChar w:fldCharType="separate"/>
            </w:r>
            <w:r w:rsidRPr="00260CE3">
              <w:rPr>
                <w:rFonts w:ascii="Arial Narrow" w:hAnsi="Arial Narrow" w:cs="Arial"/>
                <w:sz w:val="20"/>
                <w:szCs w:val="20"/>
              </w:rPr>
              <w:fldChar w:fldCharType="end"/>
            </w:r>
            <w:r w:rsidRPr="00260CE3">
              <w:rPr>
                <w:rFonts w:ascii="Arial Narrow" w:hAnsi="Arial Narrow" w:cs="Arial"/>
                <w:sz w:val="20"/>
                <w:szCs w:val="20"/>
              </w:rPr>
              <w:t>Optometrists</w:t>
            </w:r>
            <w:r>
              <w:rPr>
                <w:rFonts w:ascii="Arial Narrow" w:hAnsi="Arial Narrow" w:cs="Arial"/>
                <w:sz w:val="20"/>
                <w:szCs w:val="20"/>
              </w:rPr>
              <w:t xml:space="preserve"> </w:t>
            </w:r>
            <w:r w:rsidRPr="00260CE3">
              <w:rPr>
                <w:rFonts w:ascii="Arial Narrow" w:hAnsi="Arial Narrow" w:cs="Arial"/>
                <w:sz w:val="20"/>
                <w:szCs w:val="20"/>
              </w:rPr>
              <w:fldChar w:fldCharType="begin">
                <w:ffData>
                  <w:name w:val="Check5"/>
                  <w:enabled/>
                  <w:calcOnExit w:val="0"/>
                  <w:checkBox>
                    <w:sizeAuto/>
                    <w:default w:val="0"/>
                  </w:checkBox>
                </w:ffData>
              </w:fldChar>
            </w:r>
            <w:r w:rsidRPr="00260CE3">
              <w:rPr>
                <w:rFonts w:ascii="Arial Narrow" w:hAnsi="Arial Narrow" w:cs="Arial"/>
                <w:sz w:val="20"/>
                <w:szCs w:val="20"/>
              </w:rPr>
              <w:instrText xml:space="preserve"> FORMCHECKBOX </w:instrText>
            </w:r>
            <w:r w:rsidR="00B52FA3">
              <w:rPr>
                <w:rFonts w:ascii="Arial Narrow" w:hAnsi="Arial Narrow" w:cs="Arial"/>
                <w:sz w:val="20"/>
                <w:szCs w:val="20"/>
              </w:rPr>
            </w:r>
            <w:r w:rsidR="00B52FA3">
              <w:rPr>
                <w:rFonts w:ascii="Arial Narrow" w:hAnsi="Arial Narrow" w:cs="Arial"/>
                <w:sz w:val="20"/>
                <w:szCs w:val="20"/>
              </w:rPr>
              <w:fldChar w:fldCharType="separate"/>
            </w:r>
            <w:r w:rsidRPr="00260CE3">
              <w:rPr>
                <w:rFonts w:ascii="Arial Narrow" w:hAnsi="Arial Narrow" w:cs="Arial"/>
                <w:sz w:val="20"/>
                <w:szCs w:val="20"/>
              </w:rPr>
              <w:fldChar w:fldCharType="end"/>
            </w:r>
            <w:r w:rsidRPr="00260CE3">
              <w:rPr>
                <w:rFonts w:ascii="Arial Narrow" w:hAnsi="Arial Narrow" w:cs="Arial"/>
                <w:sz w:val="20"/>
                <w:szCs w:val="20"/>
              </w:rPr>
              <w:t>Midwives</w:t>
            </w:r>
          </w:p>
        </w:tc>
      </w:tr>
      <w:tr w:rsidR="00D86043" w:rsidRPr="002873B2" w:rsidTr="00BD4589">
        <w:trPr>
          <w:cantSplit/>
          <w:trHeight w:val="360"/>
        </w:trPr>
        <w:tc>
          <w:tcPr>
            <w:tcW w:w="991" w:type="pct"/>
            <w:tcBorders>
              <w:top w:val="single" w:sz="4" w:space="0" w:color="auto"/>
              <w:left w:val="single" w:sz="4" w:space="0" w:color="auto"/>
              <w:bottom w:val="single" w:sz="4" w:space="0" w:color="auto"/>
              <w:right w:val="single" w:sz="4" w:space="0" w:color="auto"/>
            </w:tcBorders>
          </w:tcPr>
          <w:p w:rsidR="00D86043" w:rsidRPr="00260CE3" w:rsidRDefault="00D86043" w:rsidP="00BD4589">
            <w:pPr>
              <w:spacing w:before="40" w:after="40"/>
              <w:jc w:val="both"/>
              <w:rPr>
                <w:rFonts w:ascii="Arial Narrow" w:hAnsi="Arial Narrow" w:cs="Arial"/>
                <w:b/>
                <w:sz w:val="20"/>
                <w:szCs w:val="20"/>
              </w:rPr>
            </w:pPr>
            <w:r w:rsidRPr="00260CE3">
              <w:rPr>
                <w:rFonts w:ascii="Arial Narrow" w:hAnsi="Arial Narrow" w:cs="Arial"/>
                <w:b/>
                <w:sz w:val="20"/>
                <w:szCs w:val="20"/>
              </w:rPr>
              <w:t>Severity:</w:t>
            </w:r>
          </w:p>
        </w:tc>
        <w:tc>
          <w:tcPr>
            <w:tcW w:w="4009" w:type="pct"/>
            <w:tcBorders>
              <w:top w:val="single" w:sz="4" w:space="0" w:color="auto"/>
              <w:left w:val="single" w:sz="4" w:space="0" w:color="auto"/>
              <w:bottom w:val="single" w:sz="4" w:space="0" w:color="auto"/>
              <w:right w:val="single" w:sz="4" w:space="0" w:color="auto"/>
            </w:tcBorders>
          </w:tcPr>
          <w:p w:rsidR="00D86043" w:rsidRPr="00260CE3" w:rsidRDefault="00D86043" w:rsidP="00BD4589">
            <w:pPr>
              <w:spacing w:before="40" w:after="40"/>
              <w:rPr>
                <w:rFonts w:ascii="Arial Narrow" w:hAnsi="Arial Narrow" w:cs="Arial"/>
                <w:sz w:val="20"/>
                <w:szCs w:val="20"/>
              </w:rPr>
            </w:pPr>
            <w:proofErr w:type="spellStart"/>
            <w:r w:rsidRPr="00975603">
              <w:rPr>
                <w:rFonts w:ascii="Arial Narrow" w:hAnsi="Arial Narrow"/>
                <w:sz w:val="20"/>
              </w:rPr>
              <w:t>Unresectable</w:t>
            </w:r>
            <w:proofErr w:type="spellEnd"/>
            <w:r w:rsidRPr="00975603">
              <w:rPr>
                <w:rFonts w:ascii="Arial Narrow" w:hAnsi="Arial Narrow"/>
                <w:sz w:val="20"/>
              </w:rPr>
              <w:t xml:space="preserve"> Stage III or Stage IV</w:t>
            </w:r>
          </w:p>
        </w:tc>
      </w:tr>
      <w:tr w:rsidR="00D86043" w:rsidRPr="002873B2" w:rsidTr="00BD4589">
        <w:trPr>
          <w:cantSplit/>
          <w:trHeight w:val="360"/>
        </w:trPr>
        <w:tc>
          <w:tcPr>
            <w:tcW w:w="991" w:type="pct"/>
            <w:tcBorders>
              <w:top w:val="single" w:sz="4" w:space="0" w:color="auto"/>
              <w:left w:val="single" w:sz="4" w:space="0" w:color="auto"/>
              <w:bottom w:val="single" w:sz="4" w:space="0" w:color="auto"/>
              <w:right w:val="single" w:sz="4" w:space="0" w:color="auto"/>
            </w:tcBorders>
          </w:tcPr>
          <w:p w:rsidR="00D86043" w:rsidRPr="00260CE3" w:rsidRDefault="00D86043" w:rsidP="00BD4589">
            <w:pPr>
              <w:spacing w:before="40" w:after="40"/>
              <w:jc w:val="both"/>
              <w:rPr>
                <w:rFonts w:ascii="Arial Narrow" w:hAnsi="Arial Narrow" w:cs="Arial"/>
                <w:b/>
                <w:sz w:val="20"/>
                <w:szCs w:val="20"/>
              </w:rPr>
            </w:pPr>
            <w:r w:rsidRPr="00260CE3">
              <w:rPr>
                <w:rFonts w:ascii="Arial Narrow" w:hAnsi="Arial Narrow" w:cs="Arial"/>
                <w:b/>
                <w:sz w:val="20"/>
                <w:szCs w:val="20"/>
              </w:rPr>
              <w:t>Condition:</w:t>
            </w:r>
          </w:p>
        </w:tc>
        <w:tc>
          <w:tcPr>
            <w:tcW w:w="4009" w:type="pct"/>
            <w:tcBorders>
              <w:top w:val="single" w:sz="4" w:space="0" w:color="auto"/>
              <w:left w:val="single" w:sz="4" w:space="0" w:color="auto"/>
              <w:bottom w:val="single" w:sz="4" w:space="0" w:color="auto"/>
              <w:right w:val="single" w:sz="4" w:space="0" w:color="auto"/>
            </w:tcBorders>
          </w:tcPr>
          <w:p w:rsidR="00D86043" w:rsidRPr="00260CE3" w:rsidRDefault="00D86043" w:rsidP="00BD4589">
            <w:pPr>
              <w:spacing w:before="40" w:after="40"/>
              <w:rPr>
                <w:rFonts w:ascii="Arial Narrow" w:hAnsi="Arial Narrow" w:cs="Arial"/>
                <w:sz w:val="20"/>
                <w:szCs w:val="20"/>
              </w:rPr>
            </w:pPr>
            <w:r>
              <w:rPr>
                <w:rFonts w:ascii="Arial Narrow" w:hAnsi="Arial Narrow"/>
                <w:sz w:val="20"/>
              </w:rPr>
              <w:t>Malignant melanoma</w:t>
            </w:r>
          </w:p>
        </w:tc>
      </w:tr>
      <w:tr w:rsidR="00D86043" w:rsidRPr="002873B2" w:rsidTr="00BD4589">
        <w:trPr>
          <w:cantSplit/>
          <w:trHeight w:val="360"/>
        </w:trPr>
        <w:tc>
          <w:tcPr>
            <w:tcW w:w="991" w:type="pct"/>
            <w:tcBorders>
              <w:top w:val="single" w:sz="4" w:space="0" w:color="auto"/>
              <w:left w:val="single" w:sz="4" w:space="0" w:color="auto"/>
              <w:bottom w:val="single" w:sz="4" w:space="0" w:color="auto"/>
              <w:right w:val="single" w:sz="4" w:space="0" w:color="auto"/>
            </w:tcBorders>
          </w:tcPr>
          <w:p w:rsidR="00D86043" w:rsidRPr="00260CE3" w:rsidRDefault="00D86043" w:rsidP="00BD4589">
            <w:pPr>
              <w:spacing w:before="40" w:after="40"/>
              <w:jc w:val="both"/>
              <w:rPr>
                <w:rFonts w:ascii="Arial Narrow" w:hAnsi="Arial Narrow" w:cs="Arial"/>
                <w:b/>
                <w:sz w:val="20"/>
                <w:szCs w:val="20"/>
              </w:rPr>
            </w:pPr>
            <w:r w:rsidRPr="00260CE3">
              <w:rPr>
                <w:rFonts w:ascii="Arial Narrow" w:hAnsi="Arial Narrow" w:cs="Arial"/>
                <w:b/>
                <w:sz w:val="20"/>
                <w:szCs w:val="20"/>
              </w:rPr>
              <w:t>PBS Indication:</w:t>
            </w:r>
          </w:p>
        </w:tc>
        <w:tc>
          <w:tcPr>
            <w:tcW w:w="4009" w:type="pct"/>
            <w:tcBorders>
              <w:top w:val="single" w:sz="4" w:space="0" w:color="auto"/>
              <w:left w:val="single" w:sz="4" w:space="0" w:color="auto"/>
              <w:bottom w:val="single" w:sz="4" w:space="0" w:color="auto"/>
              <w:right w:val="single" w:sz="4" w:space="0" w:color="auto"/>
            </w:tcBorders>
          </w:tcPr>
          <w:p w:rsidR="00D86043" w:rsidRPr="00260CE3" w:rsidRDefault="00D86043" w:rsidP="00BD4589">
            <w:pPr>
              <w:spacing w:before="40" w:after="40"/>
              <w:rPr>
                <w:rFonts w:ascii="Arial Narrow" w:hAnsi="Arial Narrow" w:cs="Arial"/>
                <w:sz w:val="20"/>
                <w:szCs w:val="20"/>
              </w:rPr>
            </w:pPr>
            <w:proofErr w:type="spellStart"/>
            <w:r w:rsidRPr="00975603">
              <w:rPr>
                <w:rFonts w:ascii="Arial Narrow" w:hAnsi="Arial Narrow"/>
                <w:sz w:val="20"/>
              </w:rPr>
              <w:t>Unresectable</w:t>
            </w:r>
            <w:proofErr w:type="spellEnd"/>
            <w:r w:rsidRPr="00975603">
              <w:rPr>
                <w:rFonts w:ascii="Arial Narrow" w:hAnsi="Arial Narrow"/>
                <w:sz w:val="20"/>
              </w:rPr>
              <w:t xml:space="preserve"> Stage III or Stage IV malignant melanoma</w:t>
            </w:r>
          </w:p>
        </w:tc>
      </w:tr>
      <w:tr w:rsidR="00D86043" w:rsidRPr="002873B2" w:rsidTr="00BD4589">
        <w:trPr>
          <w:cantSplit/>
          <w:trHeight w:val="360"/>
        </w:trPr>
        <w:tc>
          <w:tcPr>
            <w:tcW w:w="991" w:type="pct"/>
            <w:tcBorders>
              <w:top w:val="single" w:sz="4" w:space="0" w:color="auto"/>
              <w:left w:val="single" w:sz="4" w:space="0" w:color="auto"/>
              <w:bottom w:val="single" w:sz="4" w:space="0" w:color="auto"/>
              <w:right w:val="single" w:sz="4" w:space="0" w:color="auto"/>
            </w:tcBorders>
          </w:tcPr>
          <w:p w:rsidR="00D86043" w:rsidRPr="00260CE3" w:rsidRDefault="00D86043" w:rsidP="00BD4589">
            <w:pPr>
              <w:spacing w:before="40" w:after="40"/>
              <w:jc w:val="both"/>
              <w:rPr>
                <w:rFonts w:ascii="Arial Narrow" w:hAnsi="Arial Narrow" w:cs="Arial"/>
                <w:i/>
                <w:sz w:val="20"/>
                <w:szCs w:val="20"/>
              </w:rPr>
            </w:pPr>
            <w:r w:rsidRPr="00260CE3">
              <w:rPr>
                <w:rFonts w:ascii="Arial Narrow" w:hAnsi="Arial Narrow" w:cs="Arial"/>
                <w:b/>
                <w:sz w:val="20"/>
                <w:szCs w:val="20"/>
              </w:rPr>
              <w:t>Treatment phase:</w:t>
            </w:r>
          </w:p>
        </w:tc>
        <w:tc>
          <w:tcPr>
            <w:tcW w:w="4009" w:type="pct"/>
            <w:tcBorders>
              <w:top w:val="single" w:sz="4" w:space="0" w:color="auto"/>
              <w:left w:val="single" w:sz="4" w:space="0" w:color="auto"/>
              <w:bottom w:val="single" w:sz="4" w:space="0" w:color="auto"/>
              <w:right w:val="single" w:sz="4" w:space="0" w:color="auto"/>
            </w:tcBorders>
          </w:tcPr>
          <w:p w:rsidR="00D86043" w:rsidRPr="00260CE3" w:rsidRDefault="00D86043" w:rsidP="00BD4589">
            <w:pPr>
              <w:spacing w:before="40" w:after="40"/>
              <w:rPr>
                <w:rFonts w:ascii="Arial Narrow" w:hAnsi="Arial Narrow" w:cs="Arial"/>
                <w:sz w:val="20"/>
                <w:szCs w:val="20"/>
              </w:rPr>
            </w:pPr>
            <w:r>
              <w:rPr>
                <w:rFonts w:ascii="Arial Narrow" w:hAnsi="Arial Narrow" w:cs="Arial"/>
                <w:sz w:val="20"/>
                <w:szCs w:val="20"/>
              </w:rPr>
              <w:t>Initial treatment 2</w:t>
            </w:r>
          </w:p>
        </w:tc>
      </w:tr>
      <w:tr w:rsidR="00D86043" w:rsidRPr="002873B2" w:rsidTr="00BD4589">
        <w:trPr>
          <w:cantSplit/>
          <w:trHeight w:val="360"/>
        </w:trPr>
        <w:tc>
          <w:tcPr>
            <w:tcW w:w="991" w:type="pct"/>
            <w:tcBorders>
              <w:top w:val="single" w:sz="4" w:space="0" w:color="auto"/>
              <w:left w:val="single" w:sz="4" w:space="0" w:color="auto"/>
              <w:bottom w:val="single" w:sz="4" w:space="0" w:color="auto"/>
              <w:right w:val="single" w:sz="4" w:space="0" w:color="auto"/>
            </w:tcBorders>
          </w:tcPr>
          <w:p w:rsidR="00D86043" w:rsidRPr="00260CE3" w:rsidRDefault="00D86043" w:rsidP="00BD4589">
            <w:pPr>
              <w:spacing w:before="40" w:after="40"/>
              <w:jc w:val="both"/>
              <w:rPr>
                <w:rFonts w:ascii="Arial Narrow" w:hAnsi="Arial Narrow" w:cs="Arial"/>
                <w:sz w:val="20"/>
                <w:szCs w:val="20"/>
              </w:rPr>
            </w:pPr>
            <w:r w:rsidRPr="00260CE3">
              <w:rPr>
                <w:rFonts w:ascii="Arial Narrow" w:hAnsi="Arial Narrow" w:cs="Arial"/>
                <w:b/>
                <w:sz w:val="20"/>
                <w:szCs w:val="20"/>
              </w:rPr>
              <w:t>Restriction</w:t>
            </w:r>
            <w:r>
              <w:rPr>
                <w:rFonts w:ascii="Arial Narrow" w:hAnsi="Arial Narrow" w:cs="Arial"/>
                <w:b/>
                <w:sz w:val="20"/>
                <w:szCs w:val="20"/>
              </w:rPr>
              <w:t xml:space="preserve"> Level / Method</w:t>
            </w:r>
            <w:r w:rsidRPr="00260CE3">
              <w:rPr>
                <w:rFonts w:ascii="Arial Narrow" w:hAnsi="Arial Narrow" w:cs="Arial"/>
                <w:b/>
                <w:sz w:val="20"/>
                <w:szCs w:val="20"/>
              </w:rPr>
              <w:t>:</w:t>
            </w:r>
          </w:p>
        </w:tc>
        <w:tc>
          <w:tcPr>
            <w:tcW w:w="4009" w:type="pct"/>
            <w:tcBorders>
              <w:top w:val="single" w:sz="4" w:space="0" w:color="auto"/>
              <w:left w:val="single" w:sz="4" w:space="0" w:color="auto"/>
              <w:bottom w:val="single" w:sz="4" w:space="0" w:color="auto"/>
              <w:right w:val="single" w:sz="4" w:space="0" w:color="auto"/>
            </w:tcBorders>
          </w:tcPr>
          <w:p w:rsidR="00D86043" w:rsidRPr="00E17531" w:rsidRDefault="00D86043" w:rsidP="00BD4589">
            <w:pPr>
              <w:spacing w:before="40" w:after="40"/>
              <w:rPr>
                <w:rFonts w:ascii="Arial Narrow" w:hAnsi="Arial Narrow"/>
                <w:sz w:val="20"/>
              </w:rPr>
            </w:pPr>
            <w:r w:rsidRPr="00E17531">
              <w:rPr>
                <w:rFonts w:ascii="Arial Narrow" w:hAnsi="Arial Narrow"/>
                <w:sz w:val="20"/>
              </w:rPr>
              <w:fldChar w:fldCharType="begin">
                <w:ffData>
                  <w:name w:val="Check1"/>
                  <w:enabled/>
                  <w:calcOnExit w:val="0"/>
                  <w:checkBox>
                    <w:sizeAuto/>
                    <w:default w:val="0"/>
                  </w:checkBox>
                </w:ffData>
              </w:fldChar>
            </w:r>
            <w:r w:rsidRPr="00E17531">
              <w:rPr>
                <w:rFonts w:ascii="Arial Narrow" w:hAnsi="Arial Narrow"/>
                <w:sz w:val="20"/>
              </w:rPr>
              <w:instrText xml:space="preserve"> FORMCHECKBOX </w:instrText>
            </w:r>
            <w:r w:rsidR="00B52FA3">
              <w:rPr>
                <w:rFonts w:ascii="Arial Narrow" w:hAnsi="Arial Narrow"/>
                <w:sz w:val="20"/>
              </w:rPr>
            </w:r>
            <w:r w:rsidR="00B52FA3">
              <w:rPr>
                <w:rFonts w:ascii="Arial Narrow" w:hAnsi="Arial Narrow"/>
                <w:sz w:val="20"/>
              </w:rPr>
              <w:fldChar w:fldCharType="separate"/>
            </w:r>
            <w:r w:rsidRPr="00E17531">
              <w:rPr>
                <w:rFonts w:ascii="Arial Narrow" w:hAnsi="Arial Narrow"/>
                <w:sz w:val="20"/>
              </w:rPr>
              <w:fldChar w:fldCharType="end"/>
            </w:r>
            <w:r w:rsidRPr="00E17531">
              <w:rPr>
                <w:rFonts w:ascii="Arial Narrow" w:hAnsi="Arial Narrow"/>
                <w:sz w:val="20"/>
              </w:rPr>
              <w:t>Restricted benefit</w:t>
            </w:r>
          </w:p>
          <w:p w:rsidR="00D86043" w:rsidRPr="00E17531" w:rsidRDefault="00D86043" w:rsidP="00BD4589">
            <w:pPr>
              <w:spacing w:before="40" w:after="40"/>
              <w:rPr>
                <w:rFonts w:ascii="Arial Narrow" w:hAnsi="Arial Narrow"/>
                <w:sz w:val="20"/>
              </w:rPr>
            </w:pPr>
            <w:r w:rsidRPr="00E17531">
              <w:rPr>
                <w:rFonts w:ascii="Arial Narrow" w:hAnsi="Arial Narrow"/>
                <w:sz w:val="20"/>
              </w:rPr>
              <w:fldChar w:fldCharType="begin">
                <w:ffData>
                  <w:name w:val=""/>
                  <w:enabled/>
                  <w:calcOnExit w:val="0"/>
                  <w:checkBox>
                    <w:sizeAuto/>
                    <w:default w:val="0"/>
                  </w:checkBox>
                </w:ffData>
              </w:fldChar>
            </w:r>
            <w:r w:rsidRPr="00E17531">
              <w:rPr>
                <w:rFonts w:ascii="Arial Narrow" w:hAnsi="Arial Narrow"/>
                <w:sz w:val="20"/>
              </w:rPr>
              <w:instrText xml:space="preserve"> FORMCHECKBOX </w:instrText>
            </w:r>
            <w:r w:rsidR="00B52FA3">
              <w:rPr>
                <w:rFonts w:ascii="Arial Narrow" w:hAnsi="Arial Narrow"/>
                <w:sz w:val="20"/>
              </w:rPr>
            </w:r>
            <w:r w:rsidR="00B52FA3">
              <w:rPr>
                <w:rFonts w:ascii="Arial Narrow" w:hAnsi="Arial Narrow"/>
                <w:sz w:val="20"/>
              </w:rPr>
              <w:fldChar w:fldCharType="separate"/>
            </w:r>
            <w:r w:rsidRPr="00E17531">
              <w:rPr>
                <w:rFonts w:ascii="Arial Narrow" w:hAnsi="Arial Narrow"/>
                <w:sz w:val="20"/>
              </w:rPr>
              <w:fldChar w:fldCharType="end"/>
            </w:r>
            <w:r w:rsidRPr="00E17531">
              <w:rPr>
                <w:rFonts w:ascii="Arial Narrow" w:hAnsi="Arial Narrow"/>
                <w:sz w:val="20"/>
              </w:rPr>
              <w:t>Authority Required - In Writing</w:t>
            </w:r>
          </w:p>
          <w:p w:rsidR="00D86043" w:rsidRPr="00E17531" w:rsidRDefault="00D86043" w:rsidP="00BD4589">
            <w:pPr>
              <w:spacing w:before="40" w:after="40"/>
              <w:rPr>
                <w:rFonts w:ascii="Arial Narrow" w:hAnsi="Arial Narrow"/>
                <w:sz w:val="20"/>
              </w:rPr>
            </w:pPr>
            <w:r w:rsidRPr="00E17531">
              <w:rPr>
                <w:rFonts w:ascii="Arial Narrow" w:hAnsi="Arial Narrow"/>
                <w:sz w:val="20"/>
              </w:rPr>
              <w:fldChar w:fldCharType="begin">
                <w:ffData>
                  <w:name w:val="Check3"/>
                  <w:enabled/>
                  <w:calcOnExit w:val="0"/>
                  <w:checkBox>
                    <w:sizeAuto/>
                    <w:default w:val="0"/>
                  </w:checkBox>
                </w:ffData>
              </w:fldChar>
            </w:r>
            <w:r w:rsidRPr="00E17531">
              <w:rPr>
                <w:rFonts w:ascii="Arial Narrow" w:hAnsi="Arial Narrow"/>
                <w:sz w:val="20"/>
              </w:rPr>
              <w:instrText xml:space="preserve"> FORMCHECKBOX </w:instrText>
            </w:r>
            <w:r w:rsidR="00B52FA3">
              <w:rPr>
                <w:rFonts w:ascii="Arial Narrow" w:hAnsi="Arial Narrow"/>
                <w:sz w:val="20"/>
              </w:rPr>
            </w:r>
            <w:r w:rsidR="00B52FA3">
              <w:rPr>
                <w:rFonts w:ascii="Arial Narrow" w:hAnsi="Arial Narrow"/>
                <w:sz w:val="20"/>
              </w:rPr>
              <w:fldChar w:fldCharType="separate"/>
            </w:r>
            <w:r w:rsidRPr="00E17531">
              <w:rPr>
                <w:rFonts w:ascii="Arial Narrow" w:hAnsi="Arial Narrow"/>
                <w:sz w:val="20"/>
              </w:rPr>
              <w:fldChar w:fldCharType="end"/>
            </w:r>
            <w:r w:rsidRPr="00E17531">
              <w:rPr>
                <w:rFonts w:ascii="Arial Narrow" w:hAnsi="Arial Narrow"/>
                <w:sz w:val="20"/>
              </w:rPr>
              <w:t>Authority Required - Telephone</w:t>
            </w:r>
          </w:p>
          <w:p w:rsidR="00D86043" w:rsidRPr="00E17531" w:rsidRDefault="00D86043" w:rsidP="00BD4589">
            <w:pPr>
              <w:spacing w:before="40" w:after="40"/>
              <w:rPr>
                <w:rFonts w:ascii="Arial Narrow" w:hAnsi="Arial Narrow"/>
                <w:sz w:val="20"/>
              </w:rPr>
            </w:pPr>
            <w:r w:rsidRPr="00E17531">
              <w:rPr>
                <w:rFonts w:ascii="Arial Narrow" w:hAnsi="Arial Narrow"/>
                <w:sz w:val="20"/>
              </w:rPr>
              <w:fldChar w:fldCharType="begin">
                <w:ffData>
                  <w:name w:val=""/>
                  <w:enabled/>
                  <w:calcOnExit w:val="0"/>
                  <w:checkBox>
                    <w:sizeAuto/>
                    <w:default w:val="0"/>
                  </w:checkBox>
                </w:ffData>
              </w:fldChar>
            </w:r>
            <w:r w:rsidRPr="00E17531">
              <w:rPr>
                <w:rFonts w:ascii="Arial Narrow" w:hAnsi="Arial Narrow"/>
                <w:sz w:val="20"/>
              </w:rPr>
              <w:instrText xml:space="preserve"> FORMCHECKBOX </w:instrText>
            </w:r>
            <w:r w:rsidR="00B52FA3">
              <w:rPr>
                <w:rFonts w:ascii="Arial Narrow" w:hAnsi="Arial Narrow"/>
                <w:sz w:val="20"/>
              </w:rPr>
            </w:r>
            <w:r w:rsidR="00B52FA3">
              <w:rPr>
                <w:rFonts w:ascii="Arial Narrow" w:hAnsi="Arial Narrow"/>
                <w:sz w:val="20"/>
              </w:rPr>
              <w:fldChar w:fldCharType="separate"/>
            </w:r>
            <w:r w:rsidRPr="00E17531">
              <w:rPr>
                <w:rFonts w:ascii="Arial Narrow" w:hAnsi="Arial Narrow"/>
                <w:sz w:val="20"/>
              </w:rPr>
              <w:fldChar w:fldCharType="end"/>
            </w:r>
            <w:r w:rsidRPr="00E17531">
              <w:rPr>
                <w:rFonts w:ascii="Arial Narrow" w:hAnsi="Arial Narrow"/>
                <w:sz w:val="20"/>
              </w:rPr>
              <w:t>Authority Required – Emergency</w:t>
            </w:r>
          </w:p>
          <w:p w:rsidR="00D86043" w:rsidRPr="00E17531" w:rsidRDefault="00D86043" w:rsidP="00BD4589">
            <w:pPr>
              <w:spacing w:before="40" w:after="40"/>
              <w:rPr>
                <w:rFonts w:ascii="Arial Narrow" w:hAnsi="Arial Narrow"/>
                <w:sz w:val="20"/>
              </w:rPr>
            </w:pPr>
            <w:r w:rsidRPr="00E17531">
              <w:rPr>
                <w:rFonts w:ascii="Arial Narrow" w:hAnsi="Arial Narrow"/>
                <w:sz w:val="20"/>
              </w:rPr>
              <w:fldChar w:fldCharType="begin">
                <w:ffData>
                  <w:name w:val="Check5"/>
                  <w:enabled/>
                  <w:calcOnExit w:val="0"/>
                  <w:checkBox>
                    <w:sizeAuto/>
                    <w:default w:val="0"/>
                  </w:checkBox>
                </w:ffData>
              </w:fldChar>
            </w:r>
            <w:r w:rsidRPr="00E17531">
              <w:rPr>
                <w:rFonts w:ascii="Arial Narrow" w:hAnsi="Arial Narrow"/>
                <w:sz w:val="20"/>
              </w:rPr>
              <w:instrText xml:space="preserve"> FORMCHECKBOX </w:instrText>
            </w:r>
            <w:r w:rsidR="00B52FA3">
              <w:rPr>
                <w:rFonts w:ascii="Arial Narrow" w:hAnsi="Arial Narrow"/>
                <w:sz w:val="20"/>
              </w:rPr>
            </w:r>
            <w:r w:rsidR="00B52FA3">
              <w:rPr>
                <w:rFonts w:ascii="Arial Narrow" w:hAnsi="Arial Narrow"/>
                <w:sz w:val="20"/>
              </w:rPr>
              <w:fldChar w:fldCharType="separate"/>
            </w:r>
            <w:r w:rsidRPr="00E17531">
              <w:rPr>
                <w:rFonts w:ascii="Arial Narrow" w:hAnsi="Arial Narrow"/>
                <w:sz w:val="20"/>
              </w:rPr>
              <w:fldChar w:fldCharType="end"/>
            </w:r>
            <w:r w:rsidRPr="00E17531">
              <w:rPr>
                <w:rFonts w:ascii="Arial Narrow" w:hAnsi="Arial Narrow"/>
                <w:sz w:val="20"/>
              </w:rPr>
              <w:t>Authority Required - Electronic</w:t>
            </w:r>
          </w:p>
          <w:p w:rsidR="00D86043" w:rsidRPr="00260CE3" w:rsidRDefault="00D86043" w:rsidP="00BD4589">
            <w:pPr>
              <w:spacing w:before="40" w:after="40"/>
              <w:rPr>
                <w:rFonts w:ascii="Arial Narrow" w:hAnsi="Arial Narrow" w:cs="Arial"/>
                <w:sz w:val="20"/>
                <w:szCs w:val="20"/>
              </w:rPr>
            </w:pPr>
            <w:r w:rsidRPr="00E17531">
              <w:rPr>
                <w:rFonts w:ascii="Arial Narrow" w:hAnsi="Arial Narrow"/>
                <w:sz w:val="20"/>
              </w:rPr>
              <w:fldChar w:fldCharType="begin">
                <w:ffData>
                  <w:name w:val=""/>
                  <w:enabled/>
                  <w:calcOnExit w:val="0"/>
                  <w:checkBox>
                    <w:sizeAuto/>
                    <w:default w:val="1"/>
                  </w:checkBox>
                </w:ffData>
              </w:fldChar>
            </w:r>
            <w:r w:rsidRPr="00E17531">
              <w:rPr>
                <w:rFonts w:ascii="Arial Narrow" w:hAnsi="Arial Narrow"/>
                <w:sz w:val="20"/>
              </w:rPr>
              <w:instrText xml:space="preserve"> FORMCHECKBOX </w:instrText>
            </w:r>
            <w:r w:rsidR="00B52FA3">
              <w:rPr>
                <w:rFonts w:ascii="Arial Narrow" w:hAnsi="Arial Narrow"/>
                <w:sz w:val="20"/>
              </w:rPr>
            </w:r>
            <w:r w:rsidR="00B52FA3">
              <w:rPr>
                <w:rFonts w:ascii="Arial Narrow" w:hAnsi="Arial Narrow"/>
                <w:sz w:val="20"/>
              </w:rPr>
              <w:fldChar w:fldCharType="separate"/>
            </w:r>
            <w:r w:rsidRPr="00E17531">
              <w:rPr>
                <w:rFonts w:ascii="Arial Narrow" w:hAnsi="Arial Narrow"/>
                <w:sz w:val="20"/>
              </w:rPr>
              <w:fldChar w:fldCharType="end"/>
            </w:r>
            <w:r w:rsidRPr="00E17531">
              <w:rPr>
                <w:rFonts w:ascii="Arial Narrow" w:hAnsi="Arial Narrow"/>
                <w:sz w:val="20"/>
              </w:rPr>
              <w:t>Streamlined</w:t>
            </w:r>
          </w:p>
        </w:tc>
      </w:tr>
      <w:tr w:rsidR="00D86043" w:rsidRPr="002873B2" w:rsidTr="00BD4589">
        <w:trPr>
          <w:cantSplit/>
          <w:trHeight w:val="360"/>
        </w:trPr>
        <w:tc>
          <w:tcPr>
            <w:tcW w:w="991" w:type="pct"/>
            <w:tcBorders>
              <w:top w:val="single" w:sz="4" w:space="0" w:color="auto"/>
              <w:left w:val="single" w:sz="4" w:space="0" w:color="auto"/>
              <w:bottom w:val="single" w:sz="4" w:space="0" w:color="auto"/>
              <w:right w:val="single" w:sz="4" w:space="0" w:color="auto"/>
            </w:tcBorders>
          </w:tcPr>
          <w:p w:rsidR="00D86043" w:rsidRPr="00260CE3" w:rsidRDefault="00D86043" w:rsidP="00BD4589">
            <w:pPr>
              <w:spacing w:before="40" w:after="40"/>
              <w:jc w:val="both"/>
              <w:rPr>
                <w:rFonts w:ascii="Arial Narrow" w:hAnsi="Arial Narrow" w:cs="Arial"/>
                <w:sz w:val="20"/>
                <w:szCs w:val="20"/>
              </w:rPr>
            </w:pPr>
            <w:r w:rsidRPr="00260CE3">
              <w:rPr>
                <w:rFonts w:ascii="Arial Narrow" w:hAnsi="Arial Narrow" w:cs="Arial"/>
                <w:b/>
                <w:sz w:val="20"/>
                <w:szCs w:val="20"/>
              </w:rPr>
              <w:t>Clinical criteria:</w:t>
            </w:r>
          </w:p>
        </w:tc>
        <w:tc>
          <w:tcPr>
            <w:tcW w:w="4009" w:type="pct"/>
            <w:tcBorders>
              <w:top w:val="single" w:sz="4" w:space="0" w:color="auto"/>
              <w:left w:val="single" w:sz="4" w:space="0" w:color="auto"/>
              <w:bottom w:val="single" w:sz="4" w:space="0" w:color="auto"/>
              <w:right w:val="single" w:sz="4" w:space="0" w:color="auto"/>
            </w:tcBorders>
          </w:tcPr>
          <w:p w:rsidR="00D86043" w:rsidRDefault="00D86043" w:rsidP="00366E3B">
            <w:pPr>
              <w:widowControl w:val="0"/>
              <w:spacing w:before="40" w:after="40"/>
              <w:jc w:val="both"/>
              <w:rPr>
                <w:rFonts w:ascii="Arial Narrow" w:hAnsi="Arial Narrow" w:cs="Arial"/>
                <w:snapToGrid w:val="0"/>
                <w:sz w:val="20"/>
                <w:szCs w:val="20"/>
                <w:lang w:eastAsia="en-US"/>
              </w:rPr>
            </w:pPr>
            <w:r>
              <w:rPr>
                <w:rFonts w:ascii="Arial Narrow" w:hAnsi="Arial Narrow" w:cs="Arial"/>
                <w:snapToGrid w:val="0"/>
                <w:sz w:val="20"/>
                <w:szCs w:val="20"/>
                <w:lang w:eastAsia="en-US"/>
              </w:rPr>
              <w:t>The condition must be negative</w:t>
            </w:r>
            <w:r w:rsidRPr="00875D05">
              <w:rPr>
                <w:rFonts w:ascii="Arial Narrow" w:hAnsi="Arial Narrow" w:cs="Arial"/>
                <w:snapToGrid w:val="0"/>
                <w:sz w:val="20"/>
                <w:szCs w:val="20"/>
                <w:lang w:eastAsia="en-US"/>
              </w:rPr>
              <w:t xml:space="preserve"> for a BRAF V600 mutation,</w:t>
            </w:r>
          </w:p>
          <w:p w:rsidR="00D86043" w:rsidRDefault="00D86043" w:rsidP="00366E3B">
            <w:pPr>
              <w:widowControl w:val="0"/>
              <w:spacing w:before="40" w:after="40"/>
              <w:jc w:val="both"/>
              <w:rPr>
                <w:rFonts w:ascii="Arial Narrow" w:hAnsi="Arial Narrow" w:cs="Arial"/>
                <w:snapToGrid w:val="0"/>
                <w:sz w:val="20"/>
                <w:szCs w:val="20"/>
                <w:lang w:eastAsia="en-US"/>
              </w:rPr>
            </w:pPr>
            <w:r w:rsidRPr="00875D05">
              <w:rPr>
                <w:rFonts w:ascii="Arial Narrow" w:hAnsi="Arial Narrow" w:cs="Arial"/>
                <w:snapToGrid w:val="0"/>
                <w:sz w:val="20"/>
                <w:szCs w:val="20"/>
                <w:lang w:eastAsia="en-US"/>
              </w:rPr>
              <w:t>AND</w:t>
            </w:r>
          </w:p>
          <w:p w:rsidR="00D86043" w:rsidRDefault="00D86043" w:rsidP="00366E3B">
            <w:pPr>
              <w:widowControl w:val="0"/>
              <w:spacing w:before="40" w:after="40"/>
              <w:jc w:val="both"/>
              <w:rPr>
                <w:rFonts w:ascii="Arial Narrow" w:hAnsi="Arial Narrow" w:cs="Arial"/>
                <w:snapToGrid w:val="0"/>
                <w:sz w:val="20"/>
                <w:szCs w:val="20"/>
                <w:lang w:eastAsia="en-US"/>
              </w:rPr>
            </w:pPr>
            <w:r w:rsidRPr="00875D05">
              <w:rPr>
                <w:rFonts w:ascii="Arial Narrow" w:hAnsi="Arial Narrow" w:cs="Arial"/>
                <w:snapToGrid w:val="0"/>
                <w:sz w:val="20"/>
                <w:szCs w:val="20"/>
                <w:lang w:eastAsia="en-US"/>
              </w:rPr>
              <w:t xml:space="preserve">Patient must not have received prior treatment with </w:t>
            </w:r>
            <w:proofErr w:type="spellStart"/>
            <w:r w:rsidRPr="00875D05">
              <w:rPr>
                <w:rFonts w:ascii="Arial Narrow" w:hAnsi="Arial Narrow" w:cs="Arial"/>
                <w:snapToGrid w:val="0"/>
                <w:sz w:val="20"/>
                <w:szCs w:val="20"/>
                <w:lang w:eastAsia="en-US"/>
              </w:rPr>
              <w:t>ipilimumab</w:t>
            </w:r>
            <w:proofErr w:type="spellEnd"/>
            <w:r w:rsidRPr="00875D05">
              <w:rPr>
                <w:rFonts w:ascii="Arial Narrow" w:hAnsi="Arial Narrow" w:cs="Arial"/>
                <w:snapToGrid w:val="0"/>
                <w:sz w:val="20"/>
                <w:szCs w:val="20"/>
                <w:lang w:eastAsia="en-US"/>
              </w:rPr>
              <w:t xml:space="preserve"> or a PD-1 (programmed cell death-1) inhibitor for this co</w:t>
            </w:r>
            <w:r w:rsidR="00067E5B">
              <w:rPr>
                <w:rFonts w:ascii="Arial Narrow" w:hAnsi="Arial Narrow" w:cs="Arial"/>
                <w:snapToGrid w:val="0"/>
                <w:sz w:val="20"/>
                <w:szCs w:val="20"/>
                <w:lang w:eastAsia="en-US"/>
              </w:rPr>
              <w:t>ndition,</w:t>
            </w:r>
          </w:p>
          <w:p w:rsidR="00D86043" w:rsidRDefault="00D86043" w:rsidP="00366E3B">
            <w:pPr>
              <w:widowControl w:val="0"/>
              <w:spacing w:before="40" w:after="40"/>
              <w:jc w:val="both"/>
              <w:rPr>
                <w:rFonts w:ascii="Arial Narrow" w:hAnsi="Arial Narrow" w:cs="Arial"/>
                <w:snapToGrid w:val="0"/>
                <w:sz w:val="20"/>
                <w:szCs w:val="20"/>
                <w:lang w:eastAsia="en-US"/>
              </w:rPr>
            </w:pPr>
            <w:r w:rsidRPr="00875D05">
              <w:rPr>
                <w:rFonts w:ascii="Arial Narrow" w:hAnsi="Arial Narrow" w:cs="Arial"/>
                <w:snapToGrid w:val="0"/>
                <w:sz w:val="20"/>
                <w:szCs w:val="20"/>
                <w:lang w:eastAsia="en-US"/>
              </w:rPr>
              <w:t>AND</w:t>
            </w:r>
          </w:p>
          <w:p w:rsidR="00D86043" w:rsidRDefault="00D86043" w:rsidP="00366E3B">
            <w:pPr>
              <w:widowControl w:val="0"/>
              <w:spacing w:before="40" w:after="40"/>
              <w:jc w:val="both"/>
              <w:rPr>
                <w:rFonts w:ascii="Arial Narrow" w:hAnsi="Arial Narrow" w:cs="Arial"/>
                <w:snapToGrid w:val="0"/>
                <w:sz w:val="20"/>
                <w:szCs w:val="20"/>
                <w:lang w:eastAsia="en-US"/>
              </w:rPr>
            </w:pPr>
            <w:r w:rsidRPr="00875D05">
              <w:rPr>
                <w:rFonts w:ascii="Arial Narrow" w:hAnsi="Arial Narrow" w:cs="Arial"/>
                <w:snapToGrid w:val="0"/>
                <w:sz w:val="20"/>
                <w:szCs w:val="20"/>
                <w:lang w:eastAsia="en-US"/>
              </w:rPr>
              <w:t>The treatment must be the sole PBS-subsidised therapy for this condition,</w:t>
            </w:r>
          </w:p>
          <w:p w:rsidR="00D86043" w:rsidRDefault="00067E5B" w:rsidP="00366E3B">
            <w:pPr>
              <w:widowControl w:val="0"/>
              <w:tabs>
                <w:tab w:val="left" w:pos="2260"/>
              </w:tabs>
              <w:spacing w:before="40" w:after="40"/>
              <w:jc w:val="both"/>
              <w:rPr>
                <w:rFonts w:ascii="Arial Narrow" w:hAnsi="Arial Narrow" w:cs="Arial"/>
                <w:snapToGrid w:val="0"/>
                <w:sz w:val="20"/>
                <w:szCs w:val="20"/>
                <w:lang w:eastAsia="en-US"/>
              </w:rPr>
            </w:pPr>
            <w:r>
              <w:rPr>
                <w:rFonts w:ascii="Arial Narrow" w:hAnsi="Arial Narrow" w:cs="Arial"/>
                <w:snapToGrid w:val="0"/>
                <w:sz w:val="20"/>
                <w:szCs w:val="20"/>
                <w:lang w:eastAsia="en-US"/>
              </w:rPr>
              <w:t>AND</w:t>
            </w:r>
          </w:p>
          <w:p w:rsidR="00D86043" w:rsidRPr="00067E5B" w:rsidRDefault="00D86043" w:rsidP="00366E3B">
            <w:pPr>
              <w:widowControl w:val="0"/>
              <w:spacing w:before="40" w:after="40"/>
              <w:jc w:val="both"/>
              <w:rPr>
                <w:rFonts w:ascii="Arial Narrow" w:hAnsi="Arial Narrow" w:cs="Arial"/>
                <w:sz w:val="20"/>
                <w:szCs w:val="20"/>
              </w:rPr>
            </w:pPr>
            <w:r w:rsidRPr="00067E5B">
              <w:rPr>
                <w:rFonts w:ascii="Arial Narrow" w:hAnsi="Arial Narrow" w:cs="Arial"/>
                <w:snapToGrid w:val="0"/>
                <w:sz w:val="20"/>
                <w:szCs w:val="20"/>
                <w:lang w:eastAsia="en-US"/>
              </w:rPr>
              <w:t>The treatment must not exceed a total of 6 doses</w:t>
            </w:r>
            <w:r w:rsidR="000003BE">
              <w:rPr>
                <w:rFonts w:ascii="Arial Narrow" w:hAnsi="Arial Narrow" w:cs="Arial"/>
                <w:snapToGrid w:val="0"/>
                <w:sz w:val="20"/>
                <w:szCs w:val="20"/>
                <w:lang w:eastAsia="en-US"/>
              </w:rPr>
              <w:t xml:space="preserve"> administered every 3 weeks</w:t>
            </w:r>
            <w:r w:rsidR="00C033DB">
              <w:rPr>
                <w:rFonts w:ascii="Arial Narrow" w:hAnsi="Arial Narrow" w:cs="Arial"/>
                <w:snapToGrid w:val="0"/>
                <w:sz w:val="20"/>
                <w:szCs w:val="20"/>
                <w:lang w:eastAsia="en-US"/>
              </w:rPr>
              <w:t xml:space="preserve">, with each </w:t>
            </w:r>
            <w:r w:rsidR="000003BE">
              <w:rPr>
                <w:rFonts w:ascii="Arial Narrow" w:hAnsi="Arial Narrow" w:cs="Arial"/>
                <w:snapToGrid w:val="0"/>
                <w:sz w:val="20"/>
                <w:szCs w:val="20"/>
                <w:lang w:eastAsia="en-US"/>
              </w:rPr>
              <w:t xml:space="preserve">maximum </w:t>
            </w:r>
            <w:r w:rsidR="00C033DB">
              <w:rPr>
                <w:rFonts w:ascii="Arial Narrow" w:hAnsi="Arial Narrow" w:cs="Arial"/>
                <w:snapToGrid w:val="0"/>
                <w:sz w:val="20"/>
                <w:szCs w:val="20"/>
                <w:lang w:eastAsia="en-US"/>
              </w:rPr>
              <w:t xml:space="preserve">dose </w:t>
            </w:r>
            <w:r w:rsidR="000003BE">
              <w:rPr>
                <w:rFonts w:ascii="Arial Narrow" w:hAnsi="Arial Narrow" w:cs="Arial"/>
                <w:snapToGrid w:val="0"/>
                <w:sz w:val="20"/>
                <w:szCs w:val="20"/>
                <w:lang w:eastAsia="en-US"/>
              </w:rPr>
              <w:t xml:space="preserve">either </w:t>
            </w:r>
            <w:r w:rsidR="00C033DB" w:rsidRPr="00067E5B">
              <w:rPr>
                <w:rFonts w:ascii="Arial Narrow" w:hAnsi="Arial Narrow" w:cs="Arial"/>
                <w:snapToGrid w:val="0"/>
                <w:sz w:val="20"/>
                <w:szCs w:val="20"/>
                <w:lang w:eastAsia="en-US"/>
              </w:rPr>
              <w:t>at 2 m</w:t>
            </w:r>
            <w:r w:rsidR="00C033DB">
              <w:rPr>
                <w:rFonts w:ascii="Arial Narrow" w:hAnsi="Arial Narrow" w:cs="Arial"/>
                <w:snapToGrid w:val="0"/>
                <w:sz w:val="20"/>
                <w:szCs w:val="20"/>
                <w:lang w:eastAsia="en-US"/>
              </w:rPr>
              <w:t xml:space="preserve">g per kg for patients &lt;100 kg or fixed </w:t>
            </w:r>
            <w:r w:rsidR="000003BE">
              <w:rPr>
                <w:rFonts w:ascii="Arial Narrow" w:hAnsi="Arial Narrow" w:cs="Arial"/>
                <w:snapToGrid w:val="0"/>
                <w:sz w:val="20"/>
                <w:szCs w:val="20"/>
                <w:lang w:eastAsia="en-US"/>
              </w:rPr>
              <w:t xml:space="preserve">at </w:t>
            </w:r>
            <w:r w:rsidR="00C033DB">
              <w:rPr>
                <w:rFonts w:ascii="Arial Narrow" w:hAnsi="Arial Narrow" w:cs="Arial"/>
                <w:snapToGrid w:val="0"/>
                <w:sz w:val="20"/>
                <w:szCs w:val="20"/>
                <w:lang w:eastAsia="en-US"/>
              </w:rPr>
              <w:t>200 </w:t>
            </w:r>
            <w:r w:rsidR="00C033DB" w:rsidRPr="00067E5B">
              <w:rPr>
                <w:rFonts w:ascii="Arial Narrow" w:hAnsi="Arial Narrow" w:cs="Arial"/>
                <w:snapToGrid w:val="0"/>
                <w:sz w:val="20"/>
                <w:szCs w:val="20"/>
                <w:lang w:eastAsia="en-US"/>
              </w:rPr>
              <w:t>mg</w:t>
            </w:r>
            <w:r w:rsidR="00C033DB">
              <w:rPr>
                <w:rFonts w:ascii="Arial Narrow" w:hAnsi="Arial Narrow" w:cs="Arial"/>
                <w:snapToGrid w:val="0"/>
                <w:sz w:val="20"/>
                <w:szCs w:val="20"/>
                <w:lang w:eastAsia="en-US"/>
              </w:rPr>
              <w:t>.</w:t>
            </w:r>
          </w:p>
        </w:tc>
      </w:tr>
      <w:tr w:rsidR="00D86043" w:rsidRPr="002873B2" w:rsidTr="00BD4589">
        <w:trPr>
          <w:cantSplit/>
          <w:trHeight w:val="360"/>
        </w:trPr>
        <w:tc>
          <w:tcPr>
            <w:tcW w:w="991" w:type="pct"/>
            <w:tcBorders>
              <w:top w:val="single" w:sz="4" w:space="0" w:color="auto"/>
              <w:left w:val="single" w:sz="4" w:space="0" w:color="auto"/>
              <w:bottom w:val="single" w:sz="4" w:space="0" w:color="auto"/>
              <w:right w:val="single" w:sz="4" w:space="0" w:color="auto"/>
            </w:tcBorders>
          </w:tcPr>
          <w:p w:rsidR="00D86043" w:rsidRPr="00260CE3" w:rsidRDefault="00D86043" w:rsidP="00BD4589">
            <w:pPr>
              <w:rPr>
                <w:rFonts w:ascii="Arial Narrow" w:hAnsi="Arial Narrow"/>
                <w:sz w:val="20"/>
              </w:rPr>
            </w:pPr>
            <w:r w:rsidRPr="00260CE3">
              <w:rPr>
                <w:rFonts w:ascii="Arial Narrow" w:hAnsi="Arial Narrow"/>
                <w:b/>
                <w:sz w:val="20"/>
              </w:rPr>
              <w:t>Prescriber Instructions</w:t>
            </w:r>
          </w:p>
        </w:tc>
        <w:tc>
          <w:tcPr>
            <w:tcW w:w="4009" w:type="pct"/>
            <w:tcBorders>
              <w:top w:val="single" w:sz="4" w:space="0" w:color="auto"/>
              <w:left w:val="single" w:sz="4" w:space="0" w:color="auto"/>
              <w:bottom w:val="single" w:sz="4" w:space="0" w:color="auto"/>
              <w:right w:val="single" w:sz="4" w:space="0" w:color="auto"/>
            </w:tcBorders>
          </w:tcPr>
          <w:p w:rsidR="00D86043" w:rsidRPr="00260CE3" w:rsidRDefault="00D86043" w:rsidP="00366E3B">
            <w:pPr>
              <w:spacing w:before="40" w:after="40"/>
              <w:rPr>
                <w:rFonts w:ascii="Arial Narrow" w:hAnsi="Arial Narrow"/>
                <w:sz w:val="20"/>
              </w:rPr>
            </w:pPr>
            <w:r w:rsidRPr="00305B45">
              <w:rPr>
                <w:rFonts w:ascii="Arial Narrow" w:hAnsi="Arial Narrow"/>
                <w:sz w:val="20"/>
              </w:rPr>
              <w:t>The patient's body weight must be documented in the patient's medical records at the time treatment is initiated.</w:t>
            </w:r>
          </w:p>
        </w:tc>
      </w:tr>
      <w:tr w:rsidR="00D86043" w:rsidRPr="002873B2" w:rsidTr="00BD4589">
        <w:trPr>
          <w:cantSplit/>
          <w:trHeight w:val="360"/>
        </w:trPr>
        <w:tc>
          <w:tcPr>
            <w:tcW w:w="991" w:type="pct"/>
            <w:tcBorders>
              <w:top w:val="single" w:sz="4" w:space="0" w:color="auto"/>
              <w:left w:val="single" w:sz="4" w:space="0" w:color="auto"/>
              <w:bottom w:val="single" w:sz="4" w:space="0" w:color="auto"/>
              <w:right w:val="single" w:sz="4" w:space="0" w:color="auto"/>
            </w:tcBorders>
          </w:tcPr>
          <w:p w:rsidR="00D86043" w:rsidRPr="00260CE3" w:rsidRDefault="00D86043" w:rsidP="00BD4589">
            <w:pPr>
              <w:spacing w:before="40" w:after="40"/>
              <w:jc w:val="both"/>
              <w:rPr>
                <w:rFonts w:ascii="Arial Narrow" w:hAnsi="Arial Narrow" w:cs="Arial"/>
                <w:i/>
                <w:sz w:val="20"/>
                <w:szCs w:val="20"/>
              </w:rPr>
            </w:pPr>
            <w:r w:rsidRPr="00260CE3">
              <w:rPr>
                <w:rFonts w:ascii="Arial Narrow" w:hAnsi="Arial Narrow" w:cs="Arial"/>
                <w:b/>
                <w:sz w:val="20"/>
                <w:szCs w:val="20"/>
              </w:rPr>
              <w:lastRenderedPageBreak/>
              <w:t>Administrative Advice</w:t>
            </w:r>
          </w:p>
        </w:tc>
        <w:tc>
          <w:tcPr>
            <w:tcW w:w="4009" w:type="pct"/>
            <w:tcBorders>
              <w:top w:val="single" w:sz="4" w:space="0" w:color="auto"/>
              <w:left w:val="single" w:sz="4" w:space="0" w:color="auto"/>
              <w:bottom w:val="single" w:sz="4" w:space="0" w:color="auto"/>
              <w:right w:val="single" w:sz="4" w:space="0" w:color="auto"/>
            </w:tcBorders>
          </w:tcPr>
          <w:p w:rsidR="00D86043" w:rsidRPr="00067E5B" w:rsidRDefault="00D86043" w:rsidP="00366E3B">
            <w:pPr>
              <w:widowControl w:val="0"/>
              <w:spacing w:before="40" w:after="40"/>
              <w:jc w:val="both"/>
              <w:rPr>
                <w:rFonts w:ascii="Arial Narrow" w:hAnsi="Arial Narrow" w:cs="Arial"/>
                <w:snapToGrid w:val="0"/>
                <w:sz w:val="20"/>
                <w:szCs w:val="20"/>
                <w:lang w:eastAsia="en-US"/>
              </w:rPr>
            </w:pPr>
            <w:r w:rsidRPr="00067E5B">
              <w:rPr>
                <w:rFonts w:ascii="Arial Narrow" w:hAnsi="Arial Narrow" w:cs="Arial"/>
                <w:snapToGrid w:val="0"/>
                <w:sz w:val="20"/>
                <w:szCs w:val="20"/>
                <w:lang w:eastAsia="en-US"/>
              </w:rPr>
              <w:t>No increase in the maximum number of repeats will be authorised.</w:t>
            </w:r>
          </w:p>
          <w:p w:rsidR="00D86043" w:rsidRPr="00260CE3" w:rsidRDefault="00D86043" w:rsidP="00366E3B">
            <w:pPr>
              <w:widowControl w:val="0"/>
              <w:spacing w:before="40" w:after="40"/>
              <w:jc w:val="both"/>
              <w:rPr>
                <w:rFonts w:ascii="Arial Narrow" w:hAnsi="Arial Narrow" w:cs="Arial"/>
                <w:sz w:val="20"/>
                <w:szCs w:val="20"/>
              </w:rPr>
            </w:pPr>
            <w:r w:rsidRPr="00875D05">
              <w:rPr>
                <w:rFonts w:ascii="Arial Narrow" w:hAnsi="Arial Narrow" w:cs="Arial"/>
                <w:snapToGrid w:val="0"/>
                <w:sz w:val="20"/>
                <w:szCs w:val="20"/>
                <w:lang w:eastAsia="en-US"/>
              </w:rPr>
              <w:t>In the first few months after start of immunotherapy, some patients can have a transient tumour flare with subsequent disease response. When progression is suspected, this should be confirmed through a confirmatory scan, taken at least 4 weeks later</w:t>
            </w:r>
            <w:r>
              <w:rPr>
                <w:rFonts w:ascii="Arial Narrow" w:hAnsi="Arial Narrow" w:cs="Arial"/>
                <w:snapToGrid w:val="0"/>
                <w:sz w:val="20"/>
                <w:szCs w:val="20"/>
                <w:lang w:eastAsia="en-US"/>
              </w:rPr>
              <w:t>.</w:t>
            </w:r>
          </w:p>
        </w:tc>
      </w:tr>
    </w:tbl>
    <w:p w:rsidR="00D86043" w:rsidRPr="002873B2" w:rsidRDefault="00D86043" w:rsidP="00366E3B">
      <w:pPr>
        <w:spacing w:before="120"/>
        <w:rPr>
          <w:rFonts w:ascii="Arial Narrow" w:hAnsi="Arial Narrow"/>
          <w:sz w:val="20"/>
          <w:szCs w:val="20"/>
        </w:rPr>
      </w:pPr>
      <w:r w:rsidRPr="00E17531">
        <w:rPr>
          <w:rFonts w:ascii="Arial Narrow" w:hAnsi="Arial Narrow"/>
          <w:b/>
          <w:sz w:val="20"/>
          <w:szCs w:val="20"/>
          <w:u w:val="single"/>
        </w:rPr>
        <w:t>Treatment phase: Continuing treatment</w:t>
      </w:r>
    </w:p>
    <w:tbl>
      <w:tblPr>
        <w:tblW w:w="4915" w:type="pct"/>
        <w:tblLook w:val="0000" w:firstRow="0" w:lastRow="0" w:firstColumn="0" w:lastColumn="0" w:noHBand="0" w:noVBand="0"/>
      </w:tblPr>
      <w:tblGrid>
        <w:gridCol w:w="1801"/>
        <w:gridCol w:w="7284"/>
      </w:tblGrid>
      <w:tr w:rsidR="00D86043" w:rsidRPr="002873B2" w:rsidTr="00BD4589">
        <w:trPr>
          <w:cantSplit/>
          <w:trHeight w:val="360"/>
        </w:trPr>
        <w:tc>
          <w:tcPr>
            <w:tcW w:w="991" w:type="pct"/>
            <w:tcBorders>
              <w:top w:val="single" w:sz="4" w:space="0" w:color="auto"/>
              <w:left w:val="single" w:sz="4" w:space="0" w:color="auto"/>
              <w:bottom w:val="single" w:sz="4" w:space="0" w:color="auto"/>
              <w:right w:val="single" w:sz="4" w:space="0" w:color="auto"/>
            </w:tcBorders>
          </w:tcPr>
          <w:p w:rsidR="00D86043" w:rsidRPr="00646A23" w:rsidRDefault="00D86043" w:rsidP="00BD4589">
            <w:pPr>
              <w:spacing w:before="40" w:after="40"/>
              <w:jc w:val="both"/>
              <w:rPr>
                <w:rFonts w:ascii="Arial Narrow" w:hAnsi="Arial Narrow" w:cs="Arial"/>
                <w:b/>
                <w:sz w:val="20"/>
                <w:szCs w:val="20"/>
              </w:rPr>
            </w:pPr>
            <w:r w:rsidRPr="00646A23">
              <w:rPr>
                <w:rFonts w:ascii="Arial Narrow" w:hAnsi="Arial Narrow" w:cs="Arial"/>
                <w:b/>
                <w:sz w:val="20"/>
                <w:szCs w:val="20"/>
              </w:rPr>
              <w:t>Category / Program</w:t>
            </w:r>
          </w:p>
        </w:tc>
        <w:tc>
          <w:tcPr>
            <w:tcW w:w="4009" w:type="pct"/>
            <w:tcBorders>
              <w:top w:val="single" w:sz="4" w:space="0" w:color="auto"/>
              <w:left w:val="single" w:sz="4" w:space="0" w:color="auto"/>
              <w:bottom w:val="single" w:sz="4" w:space="0" w:color="auto"/>
              <w:right w:val="single" w:sz="4" w:space="0" w:color="auto"/>
            </w:tcBorders>
          </w:tcPr>
          <w:p w:rsidR="00D86043" w:rsidRPr="002873B2" w:rsidRDefault="00D86043" w:rsidP="00BD4589">
            <w:pPr>
              <w:spacing w:before="40" w:after="40"/>
              <w:rPr>
                <w:rFonts w:ascii="Arial Narrow" w:hAnsi="Arial Narrow" w:cs="Arial"/>
                <w:sz w:val="20"/>
                <w:szCs w:val="20"/>
              </w:rPr>
            </w:pPr>
            <w:r w:rsidRPr="002873B2">
              <w:rPr>
                <w:rFonts w:ascii="Arial Narrow" w:hAnsi="Arial Narrow" w:cs="Arial"/>
                <w:sz w:val="20"/>
                <w:szCs w:val="20"/>
              </w:rPr>
              <w:t>Section 100 – Efficient funding of Chemotherapy</w:t>
            </w:r>
          </w:p>
        </w:tc>
      </w:tr>
      <w:tr w:rsidR="00D86043" w:rsidRPr="002873B2" w:rsidTr="00BD4589">
        <w:trPr>
          <w:cantSplit/>
          <w:trHeight w:val="360"/>
        </w:trPr>
        <w:tc>
          <w:tcPr>
            <w:tcW w:w="991" w:type="pct"/>
            <w:tcBorders>
              <w:top w:val="single" w:sz="4" w:space="0" w:color="auto"/>
              <w:left w:val="single" w:sz="4" w:space="0" w:color="auto"/>
              <w:bottom w:val="single" w:sz="4" w:space="0" w:color="auto"/>
              <w:right w:val="single" w:sz="4" w:space="0" w:color="auto"/>
            </w:tcBorders>
          </w:tcPr>
          <w:p w:rsidR="00D86043" w:rsidRPr="00260CE3" w:rsidRDefault="00D86043" w:rsidP="00BD4589">
            <w:pPr>
              <w:spacing w:before="40" w:after="40"/>
              <w:jc w:val="both"/>
              <w:rPr>
                <w:rFonts w:ascii="Arial Narrow" w:hAnsi="Arial Narrow" w:cs="Arial"/>
                <w:b/>
                <w:sz w:val="20"/>
                <w:szCs w:val="20"/>
              </w:rPr>
            </w:pPr>
            <w:r w:rsidRPr="00260CE3">
              <w:rPr>
                <w:rFonts w:ascii="Arial Narrow" w:hAnsi="Arial Narrow" w:cs="Arial"/>
                <w:b/>
                <w:sz w:val="20"/>
                <w:szCs w:val="20"/>
              </w:rPr>
              <w:t>Prescriber type:</w:t>
            </w:r>
          </w:p>
        </w:tc>
        <w:tc>
          <w:tcPr>
            <w:tcW w:w="4009" w:type="pct"/>
            <w:tcBorders>
              <w:top w:val="single" w:sz="4" w:space="0" w:color="auto"/>
              <w:left w:val="single" w:sz="4" w:space="0" w:color="auto"/>
              <w:bottom w:val="single" w:sz="4" w:space="0" w:color="auto"/>
              <w:right w:val="single" w:sz="4" w:space="0" w:color="auto"/>
            </w:tcBorders>
          </w:tcPr>
          <w:p w:rsidR="00D86043" w:rsidRPr="002873B2" w:rsidRDefault="00D86043" w:rsidP="00BD4589">
            <w:pPr>
              <w:spacing w:before="40" w:after="40"/>
              <w:rPr>
                <w:rFonts w:ascii="Arial Narrow" w:hAnsi="Arial Narrow" w:cs="Arial"/>
                <w:sz w:val="20"/>
                <w:szCs w:val="20"/>
              </w:rPr>
            </w:pPr>
            <w:r w:rsidRPr="002873B2">
              <w:rPr>
                <w:rFonts w:ascii="Arial Narrow" w:hAnsi="Arial Narrow" w:cs="Arial"/>
                <w:sz w:val="20"/>
                <w:szCs w:val="20"/>
              </w:rPr>
              <w:fldChar w:fldCharType="begin">
                <w:ffData>
                  <w:name w:val="Check1"/>
                  <w:enabled/>
                  <w:calcOnExit w:val="0"/>
                  <w:checkBox>
                    <w:sizeAuto/>
                    <w:default w:val="0"/>
                  </w:checkBox>
                </w:ffData>
              </w:fldChar>
            </w:r>
            <w:r w:rsidRPr="002873B2">
              <w:rPr>
                <w:rFonts w:ascii="Arial Narrow" w:hAnsi="Arial Narrow" w:cs="Arial"/>
                <w:sz w:val="20"/>
                <w:szCs w:val="20"/>
              </w:rPr>
              <w:instrText xml:space="preserve"> FORMCHECKBOX </w:instrText>
            </w:r>
            <w:r w:rsidR="00B52FA3">
              <w:rPr>
                <w:rFonts w:ascii="Arial Narrow" w:hAnsi="Arial Narrow" w:cs="Arial"/>
                <w:sz w:val="20"/>
                <w:szCs w:val="20"/>
              </w:rPr>
            </w:r>
            <w:r w:rsidR="00B52FA3">
              <w:rPr>
                <w:rFonts w:ascii="Arial Narrow" w:hAnsi="Arial Narrow" w:cs="Arial"/>
                <w:sz w:val="20"/>
                <w:szCs w:val="20"/>
              </w:rPr>
              <w:fldChar w:fldCharType="separate"/>
            </w:r>
            <w:r w:rsidRPr="002873B2">
              <w:rPr>
                <w:rFonts w:ascii="Arial Narrow" w:hAnsi="Arial Narrow" w:cs="Arial"/>
                <w:sz w:val="20"/>
                <w:szCs w:val="20"/>
              </w:rPr>
              <w:fldChar w:fldCharType="end"/>
            </w:r>
            <w:r w:rsidRPr="002873B2">
              <w:rPr>
                <w:rFonts w:ascii="Arial Narrow" w:hAnsi="Arial Narrow" w:cs="Arial"/>
                <w:sz w:val="20"/>
                <w:szCs w:val="20"/>
              </w:rPr>
              <w:t xml:space="preserve">Dental  </w:t>
            </w:r>
            <w:r w:rsidRPr="002873B2">
              <w:rPr>
                <w:rFonts w:ascii="Arial Narrow" w:hAnsi="Arial Narrow" w:cs="Arial"/>
                <w:sz w:val="20"/>
                <w:szCs w:val="20"/>
              </w:rPr>
              <w:fldChar w:fldCharType="begin">
                <w:ffData>
                  <w:name w:val=""/>
                  <w:enabled/>
                  <w:calcOnExit w:val="0"/>
                  <w:checkBox>
                    <w:sizeAuto/>
                    <w:default w:val="1"/>
                  </w:checkBox>
                </w:ffData>
              </w:fldChar>
            </w:r>
            <w:r w:rsidRPr="002873B2">
              <w:rPr>
                <w:rFonts w:ascii="Arial Narrow" w:hAnsi="Arial Narrow" w:cs="Arial"/>
                <w:sz w:val="20"/>
                <w:szCs w:val="20"/>
              </w:rPr>
              <w:instrText xml:space="preserve"> FORMCHECKBOX </w:instrText>
            </w:r>
            <w:r w:rsidR="00B52FA3">
              <w:rPr>
                <w:rFonts w:ascii="Arial Narrow" w:hAnsi="Arial Narrow" w:cs="Arial"/>
                <w:sz w:val="20"/>
                <w:szCs w:val="20"/>
              </w:rPr>
            </w:r>
            <w:r w:rsidR="00B52FA3">
              <w:rPr>
                <w:rFonts w:ascii="Arial Narrow" w:hAnsi="Arial Narrow" w:cs="Arial"/>
                <w:sz w:val="20"/>
                <w:szCs w:val="20"/>
              </w:rPr>
              <w:fldChar w:fldCharType="separate"/>
            </w:r>
            <w:r w:rsidRPr="002873B2">
              <w:rPr>
                <w:rFonts w:ascii="Arial Narrow" w:hAnsi="Arial Narrow" w:cs="Arial"/>
                <w:sz w:val="20"/>
                <w:szCs w:val="20"/>
              </w:rPr>
              <w:fldChar w:fldCharType="end"/>
            </w:r>
            <w:r w:rsidRPr="002873B2">
              <w:rPr>
                <w:rFonts w:ascii="Arial Narrow" w:hAnsi="Arial Narrow" w:cs="Arial"/>
                <w:sz w:val="20"/>
                <w:szCs w:val="20"/>
              </w:rPr>
              <w:t xml:space="preserve">Medical Practitioners  </w:t>
            </w:r>
            <w:r w:rsidRPr="002873B2">
              <w:rPr>
                <w:rFonts w:ascii="Arial Narrow" w:hAnsi="Arial Narrow" w:cs="Arial"/>
                <w:sz w:val="20"/>
                <w:szCs w:val="20"/>
              </w:rPr>
              <w:fldChar w:fldCharType="begin">
                <w:ffData>
                  <w:name w:val="Check3"/>
                  <w:enabled/>
                  <w:calcOnExit w:val="0"/>
                  <w:checkBox>
                    <w:sizeAuto/>
                    <w:default w:val="0"/>
                  </w:checkBox>
                </w:ffData>
              </w:fldChar>
            </w:r>
            <w:r w:rsidRPr="002873B2">
              <w:rPr>
                <w:rFonts w:ascii="Arial Narrow" w:hAnsi="Arial Narrow" w:cs="Arial"/>
                <w:sz w:val="20"/>
                <w:szCs w:val="20"/>
              </w:rPr>
              <w:instrText xml:space="preserve"> FORMCHECKBOX </w:instrText>
            </w:r>
            <w:r w:rsidR="00B52FA3">
              <w:rPr>
                <w:rFonts w:ascii="Arial Narrow" w:hAnsi="Arial Narrow" w:cs="Arial"/>
                <w:sz w:val="20"/>
                <w:szCs w:val="20"/>
              </w:rPr>
            </w:r>
            <w:r w:rsidR="00B52FA3">
              <w:rPr>
                <w:rFonts w:ascii="Arial Narrow" w:hAnsi="Arial Narrow" w:cs="Arial"/>
                <w:sz w:val="20"/>
                <w:szCs w:val="20"/>
              </w:rPr>
              <w:fldChar w:fldCharType="separate"/>
            </w:r>
            <w:r w:rsidRPr="002873B2">
              <w:rPr>
                <w:rFonts w:ascii="Arial Narrow" w:hAnsi="Arial Narrow" w:cs="Arial"/>
                <w:sz w:val="20"/>
                <w:szCs w:val="20"/>
              </w:rPr>
              <w:fldChar w:fldCharType="end"/>
            </w:r>
            <w:r w:rsidRPr="002873B2">
              <w:rPr>
                <w:rFonts w:ascii="Arial Narrow" w:hAnsi="Arial Narrow" w:cs="Arial"/>
                <w:sz w:val="20"/>
                <w:szCs w:val="20"/>
              </w:rPr>
              <w:t xml:space="preserve">Nurse practitioners  </w:t>
            </w:r>
            <w:r w:rsidRPr="002873B2">
              <w:rPr>
                <w:rFonts w:ascii="Arial Narrow" w:hAnsi="Arial Narrow" w:cs="Arial"/>
                <w:sz w:val="20"/>
                <w:szCs w:val="20"/>
              </w:rPr>
              <w:fldChar w:fldCharType="begin">
                <w:ffData>
                  <w:name w:val=""/>
                  <w:enabled/>
                  <w:calcOnExit w:val="0"/>
                  <w:checkBox>
                    <w:sizeAuto/>
                    <w:default w:val="0"/>
                  </w:checkBox>
                </w:ffData>
              </w:fldChar>
            </w:r>
            <w:r w:rsidRPr="002873B2">
              <w:rPr>
                <w:rFonts w:ascii="Arial Narrow" w:hAnsi="Arial Narrow" w:cs="Arial"/>
                <w:sz w:val="20"/>
                <w:szCs w:val="20"/>
              </w:rPr>
              <w:instrText xml:space="preserve"> FORMCHECKBOX </w:instrText>
            </w:r>
            <w:r w:rsidR="00B52FA3">
              <w:rPr>
                <w:rFonts w:ascii="Arial Narrow" w:hAnsi="Arial Narrow" w:cs="Arial"/>
                <w:sz w:val="20"/>
                <w:szCs w:val="20"/>
              </w:rPr>
            </w:r>
            <w:r w:rsidR="00B52FA3">
              <w:rPr>
                <w:rFonts w:ascii="Arial Narrow" w:hAnsi="Arial Narrow" w:cs="Arial"/>
                <w:sz w:val="20"/>
                <w:szCs w:val="20"/>
              </w:rPr>
              <w:fldChar w:fldCharType="separate"/>
            </w:r>
            <w:r w:rsidRPr="002873B2">
              <w:rPr>
                <w:rFonts w:ascii="Arial Narrow" w:hAnsi="Arial Narrow" w:cs="Arial"/>
                <w:sz w:val="20"/>
                <w:szCs w:val="20"/>
              </w:rPr>
              <w:fldChar w:fldCharType="end"/>
            </w:r>
            <w:r w:rsidRPr="002873B2">
              <w:rPr>
                <w:rFonts w:ascii="Arial Narrow" w:hAnsi="Arial Narrow" w:cs="Arial"/>
                <w:sz w:val="20"/>
                <w:szCs w:val="20"/>
              </w:rPr>
              <w:t xml:space="preserve">Optometrists </w:t>
            </w:r>
            <w:r w:rsidRPr="002873B2">
              <w:rPr>
                <w:rFonts w:ascii="Arial Narrow" w:hAnsi="Arial Narrow" w:cs="Arial"/>
                <w:sz w:val="20"/>
                <w:szCs w:val="20"/>
              </w:rPr>
              <w:fldChar w:fldCharType="begin">
                <w:ffData>
                  <w:name w:val="Check5"/>
                  <w:enabled/>
                  <w:calcOnExit w:val="0"/>
                  <w:checkBox>
                    <w:sizeAuto/>
                    <w:default w:val="0"/>
                  </w:checkBox>
                </w:ffData>
              </w:fldChar>
            </w:r>
            <w:r w:rsidRPr="002873B2">
              <w:rPr>
                <w:rFonts w:ascii="Arial Narrow" w:hAnsi="Arial Narrow" w:cs="Arial"/>
                <w:sz w:val="20"/>
                <w:szCs w:val="20"/>
              </w:rPr>
              <w:instrText xml:space="preserve"> FORMCHECKBOX </w:instrText>
            </w:r>
            <w:r w:rsidR="00B52FA3">
              <w:rPr>
                <w:rFonts w:ascii="Arial Narrow" w:hAnsi="Arial Narrow" w:cs="Arial"/>
                <w:sz w:val="20"/>
                <w:szCs w:val="20"/>
              </w:rPr>
            </w:r>
            <w:r w:rsidR="00B52FA3">
              <w:rPr>
                <w:rFonts w:ascii="Arial Narrow" w:hAnsi="Arial Narrow" w:cs="Arial"/>
                <w:sz w:val="20"/>
                <w:szCs w:val="20"/>
              </w:rPr>
              <w:fldChar w:fldCharType="separate"/>
            </w:r>
            <w:r w:rsidRPr="002873B2">
              <w:rPr>
                <w:rFonts w:ascii="Arial Narrow" w:hAnsi="Arial Narrow" w:cs="Arial"/>
                <w:sz w:val="20"/>
                <w:szCs w:val="20"/>
              </w:rPr>
              <w:fldChar w:fldCharType="end"/>
            </w:r>
            <w:r w:rsidRPr="002873B2">
              <w:rPr>
                <w:rFonts w:ascii="Arial Narrow" w:hAnsi="Arial Narrow" w:cs="Arial"/>
                <w:sz w:val="20"/>
                <w:szCs w:val="20"/>
              </w:rPr>
              <w:t>Midwives</w:t>
            </w:r>
          </w:p>
        </w:tc>
      </w:tr>
      <w:tr w:rsidR="00D86043" w:rsidRPr="002873B2" w:rsidTr="00BD4589">
        <w:trPr>
          <w:cantSplit/>
          <w:trHeight w:val="360"/>
        </w:trPr>
        <w:tc>
          <w:tcPr>
            <w:tcW w:w="991" w:type="pct"/>
            <w:tcBorders>
              <w:top w:val="single" w:sz="4" w:space="0" w:color="auto"/>
              <w:left w:val="single" w:sz="4" w:space="0" w:color="auto"/>
              <w:bottom w:val="single" w:sz="4" w:space="0" w:color="auto"/>
              <w:right w:val="single" w:sz="4" w:space="0" w:color="auto"/>
            </w:tcBorders>
          </w:tcPr>
          <w:p w:rsidR="00D86043" w:rsidRPr="00260CE3" w:rsidRDefault="00D86043" w:rsidP="00BD4589">
            <w:pPr>
              <w:spacing w:before="40" w:after="40"/>
              <w:jc w:val="both"/>
              <w:rPr>
                <w:rFonts w:ascii="Arial Narrow" w:hAnsi="Arial Narrow" w:cs="Arial"/>
                <w:b/>
                <w:sz w:val="20"/>
                <w:szCs w:val="20"/>
              </w:rPr>
            </w:pPr>
            <w:r w:rsidRPr="00260CE3">
              <w:rPr>
                <w:rFonts w:ascii="Arial Narrow" w:hAnsi="Arial Narrow" w:cs="Arial"/>
                <w:b/>
                <w:sz w:val="20"/>
                <w:szCs w:val="20"/>
              </w:rPr>
              <w:t>Severity:</w:t>
            </w:r>
          </w:p>
        </w:tc>
        <w:tc>
          <w:tcPr>
            <w:tcW w:w="4009" w:type="pct"/>
            <w:tcBorders>
              <w:top w:val="single" w:sz="4" w:space="0" w:color="auto"/>
              <w:left w:val="single" w:sz="4" w:space="0" w:color="auto"/>
              <w:bottom w:val="single" w:sz="4" w:space="0" w:color="auto"/>
              <w:right w:val="single" w:sz="4" w:space="0" w:color="auto"/>
            </w:tcBorders>
          </w:tcPr>
          <w:p w:rsidR="00D86043" w:rsidRPr="002873B2" w:rsidRDefault="00D86043" w:rsidP="00BD4589">
            <w:pPr>
              <w:spacing w:before="40" w:after="40"/>
              <w:rPr>
                <w:rFonts w:ascii="Arial Narrow" w:hAnsi="Arial Narrow" w:cs="Arial"/>
                <w:sz w:val="20"/>
                <w:szCs w:val="20"/>
              </w:rPr>
            </w:pPr>
            <w:proofErr w:type="spellStart"/>
            <w:r w:rsidRPr="002873B2">
              <w:rPr>
                <w:rFonts w:ascii="Arial Narrow" w:hAnsi="Arial Narrow"/>
                <w:sz w:val="20"/>
                <w:szCs w:val="20"/>
              </w:rPr>
              <w:t>Unresectable</w:t>
            </w:r>
            <w:proofErr w:type="spellEnd"/>
            <w:r w:rsidRPr="002873B2">
              <w:rPr>
                <w:rFonts w:ascii="Arial Narrow" w:hAnsi="Arial Narrow"/>
                <w:sz w:val="20"/>
                <w:szCs w:val="20"/>
              </w:rPr>
              <w:t xml:space="preserve"> Stage III or Stage IV</w:t>
            </w:r>
          </w:p>
        </w:tc>
      </w:tr>
      <w:tr w:rsidR="00D86043" w:rsidRPr="002873B2" w:rsidTr="00BD4589">
        <w:trPr>
          <w:cantSplit/>
          <w:trHeight w:val="360"/>
        </w:trPr>
        <w:tc>
          <w:tcPr>
            <w:tcW w:w="991" w:type="pct"/>
            <w:tcBorders>
              <w:top w:val="single" w:sz="4" w:space="0" w:color="auto"/>
              <w:left w:val="single" w:sz="4" w:space="0" w:color="auto"/>
              <w:bottom w:val="single" w:sz="4" w:space="0" w:color="auto"/>
              <w:right w:val="single" w:sz="4" w:space="0" w:color="auto"/>
            </w:tcBorders>
          </w:tcPr>
          <w:p w:rsidR="00D86043" w:rsidRPr="00260CE3" w:rsidRDefault="00D86043" w:rsidP="00BD4589">
            <w:pPr>
              <w:spacing w:before="40" w:after="40"/>
              <w:jc w:val="both"/>
              <w:rPr>
                <w:rFonts w:ascii="Arial Narrow" w:hAnsi="Arial Narrow" w:cs="Arial"/>
                <w:b/>
                <w:sz w:val="20"/>
                <w:szCs w:val="20"/>
              </w:rPr>
            </w:pPr>
            <w:r w:rsidRPr="00260CE3">
              <w:rPr>
                <w:rFonts w:ascii="Arial Narrow" w:hAnsi="Arial Narrow" w:cs="Arial"/>
                <w:b/>
                <w:sz w:val="20"/>
                <w:szCs w:val="20"/>
              </w:rPr>
              <w:t>Condition:</w:t>
            </w:r>
          </w:p>
        </w:tc>
        <w:tc>
          <w:tcPr>
            <w:tcW w:w="4009" w:type="pct"/>
            <w:tcBorders>
              <w:top w:val="single" w:sz="4" w:space="0" w:color="auto"/>
              <w:left w:val="single" w:sz="4" w:space="0" w:color="auto"/>
              <w:bottom w:val="single" w:sz="4" w:space="0" w:color="auto"/>
              <w:right w:val="single" w:sz="4" w:space="0" w:color="auto"/>
            </w:tcBorders>
          </w:tcPr>
          <w:p w:rsidR="00D86043" w:rsidRPr="002873B2" w:rsidRDefault="00D86043" w:rsidP="00BD4589">
            <w:pPr>
              <w:spacing w:before="40" w:after="40"/>
              <w:rPr>
                <w:rFonts w:ascii="Arial Narrow" w:hAnsi="Arial Narrow" w:cs="Arial"/>
                <w:sz w:val="20"/>
                <w:szCs w:val="20"/>
              </w:rPr>
            </w:pPr>
            <w:r w:rsidRPr="002873B2">
              <w:rPr>
                <w:rFonts w:ascii="Arial Narrow" w:hAnsi="Arial Narrow"/>
                <w:sz w:val="20"/>
                <w:szCs w:val="20"/>
              </w:rPr>
              <w:t>Malignant melanoma</w:t>
            </w:r>
          </w:p>
        </w:tc>
      </w:tr>
      <w:tr w:rsidR="00D86043" w:rsidRPr="002873B2" w:rsidTr="00BD4589">
        <w:trPr>
          <w:cantSplit/>
          <w:trHeight w:val="360"/>
        </w:trPr>
        <w:tc>
          <w:tcPr>
            <w:tcW w:w="991" w:type="pct"/>
            <w:tcBorders>
              <w:top w:val="single" w:sz="4" w:space="0" w:color="auto"/>
              <w:left w:val="single" w:sz="4" w:space="0" w:color="auto"/>
              <w:bottom w:val="single" w:sz="4" w:space="0" w:color="auto"/>
              <w:right w:val="single" w:sz="4" w:space="0" w:color="auto"/>
            </w:tcBorders>
          </w:tcPr>
          <w:p w:rsidR="00D86043" w:rsidRPr="00260CE3" w:rsidRDefault="00D86043" w:rsidP="00BD4589">
            <w:pPr>
              <w:spacing w:before="40" w:after="40"/>
              <w:jc w:val="both"/>
              <w:rPr>
                <w:rFonts w:ascii="Arial Narrow" w:hAnsi="Arial Narrow" w:cs="Arial"/>
                <w:b/>
                <w:sz w:val="20"/>
                <w:szCs w:val="20"/>
              </w:rPr>
            </w:pPr>
            <w:r w:rsidRPr="00260CE3">
              <w:rPr>
                <w:rFonts w:ascii="Arial Narrow" w:hAnsi="Arial Narrow" w:cs="Arial"/>
                <w:b/>
                <w:sz w:val="20"/>
                <w:szCs w:val="20"/>
              </w:rPr>
              <w:t>PBS Indication:</w:t>
            </w:r>
          </w:p>
        </w:tc>
        <w:tc>
          <w:tcPr>
            <w:tcW w:w="4009" w:type="pct"/>
            <w:tcBorders>
              <w:top w:val="single" w:sz="4" w:space="0" w:color="auto"/>
              <w:left w:val="single" w:sz="4" w:space="0" w:color="auto"/>
              <w:bottom w:val="single" w:sz="4" w:space="0" w:color="auto"/>
              <w:right w:val="single" w:sz="4" w:space="0" w:color="auto"/>
            </w:tcBorders>
          </w:tcPr>
          <w:p w:rsidR="00D86043" w:rsidRPr="002873B2" w:rsidRDefault="00D86043" w:rsidP="00BD4589">
            <w:pPr>
              <w:spacing w:before="40" w:after="40"/>
              <w:rPr>
                <w:rFonts w:ascii="Arial Narrow" w:hAnsi="Arial Narrow" w:cs="Arial"/>
                <w:sz w:val="20"/>
                <w:szCs w:val="20"/>
              </w:rPr>
            </w:pPr>
            <w:proofErr w:type="spellStart"/>
            <w:r w:rsidRPr="002873B2">
              <w:rPr>
                <w:rFonts w:ascii="Arial Narrow" w:hAnsi="Arial Narrow"/>
                <w:sz w:val="20"/>
                <w:szCs w:val="20"/>
              </w:rPr>
              <w:t>Unresectable</w:t>
            </w:r>
            <w:proofErr w:type="spellEnd"/>
            <w:r w:rsidRPr="002873B2">
              <w:rPr>
                <w:rFonts w:ascii="Arial Narrow" w:hAnsi="Arial Narrow"/>
                <w:sz w:val="20"/>
                <w:szCs w:val="20"/>
              </w:rPr>
              <w:t xml:space="preserve"> Stage III or Stage IV malignant melanoma</w:t>
            </w:r>
          </w:p>
        </w:tc>
      </w:tr>
      <w:tr w:rsidR="00D86043" w:rsidRPr="002873B2" w:rsidTr="00BD4589">
        <w:trPr>
          <w:cantSplit/>
          <w:trHeight w:val="360"/>
        </w:trPr>
        <w:tc>
          <w:tcPr>
            <w:tcW w:w="991" w:type="pct"/>
            <w:tcBorders>
              <w:top w:val="single" w:sz="4" w:space="0" w:color="auto"/>
              <w:left w:val="single" w:sz="4" w:space="0" w:color="auto"/>
              <w:bottom w:val="single" w:sz="4" w:space="0" w:color="auto"/>
              <w:right w:val="single" w:sz="4" w:space="0" w:color="auto"/>
            </w:tcBorders>
          </w:tcPr>
          <w:p w:rsidR="00D86043" w:rsidRPr="00260CE3" w:rsidRDefault="00D86043" w:rsidP="00BD4589">
            <w:pPr>
              <w:spacing w:before="40" w:after="40"/>
              <w:jc w:val="both"/>
              <w:rPr>
                <w:rFonts w:ascii="Arial Narrow" w:hAnsi="Arial Narrow" w:cs="Arial"/>
                <w:i/>
                <w:sz w:val="20"/>
                <w:szCs w:val="20"/>
              </w:rPr>
            </w:pPr>
            <w:r w:rsidRPr="00260CE3">
              <w:rPr>
                <w:rFonts w:ascii="Arial Narrow" w:hAnsi="Arial Narrow" w:cs="Arial"/>
                <w:b/>
                <w:sz w:val="20"/>
                <w:szCs w:val="20"/>
              </w:rPr>
              <w:t>Treatment phase:</w:t>
            </w:r>
          </w:p>
        </w:tc>
        <w:tc>
          <w:tcPr>
            <w:tcW w:w="4009" w:type="pct"/>
            <w:tcBorders>
              <w:top w:val="single" w:sz="4" w:space="0" w:color="auto"/>
              <w:left w:val="single" w:sz="4" w:space="0" w:color="auto"/>
              <w:bottom w:val="single" w:sz="4" w:space="0" w:color="auto"/>
              <w:right w:val="single" w:sz="4" w:space="0" w:color="auto"/>
            </w:tcBorders>
          </w:tcPr>
          <w:p w:rsidR="00D86043" w:rsidRPr="002873B2" w:rsidRDefault="00D86043" w:rsidP="00BD4589">
            <w:pPr>
              <w:spacing w:before="40" w:after="40"/>
              <w:rPr>
                <w:rFonts w:ascii="Arial Narrow" w:hAnsi="Arial Narrow" w:cs="Arial"/>
                <w:sz w:val="20"/>
                <w:szCs w:val="20"/>
              </w:rPr>
            </w:pPr>
            <w:r w:rsidRPr="002873B2">
              <w:rPr>
                <w:rFonts w:ascii="Arial Narrow" w:hAnsi="Arial Narrow" w:cs="Arial"/>
                <w:sz w:val="20"/>
                <w:szCs w:val="20"/>
              </w:rPr>
              <w:t>Continuing</w:t>
            </w:r>
          </w:p>
        </w:tc>
      </w:tr>
      <w:tr w:rsidR="00D86043" w:rsidRPr="002873B2" w:rsidTr="00BD4589">
        <w:trPr>
          <w:cantSplit/>
          <w:trHeight w:val="360"/>
        </w:trPr>
        <w:tc>
          <w:tcPr>
            <w:tcW w:w="991" w:type="pct"/>
            <w:tcBorders>
              <w:top w:val="single" w:sz="4" w:space="0" w:color="auto"/>
              <w:left w:val="single" w:sz="4" w:space="0" w:color="auto"/>
              <w:bottom w:val="single" w:sz="4" w:space="0" w:color="auto"/>
              <w:right w:val="single" w:sz="4" w:space="0" w:color="auto"/>
            </w:tcBorders>
          </w:tcPr>
          <w:p w:rsidR="00D86043" w:rsidRPr="00260CE3" w:rsidRDefault="00D86043" w:rsidP="00BD4589">
            <w:pPr>
              <w:spacing w:before="40" w:after="40"/>
              <w:jc w:val="both"/>
              <w:rPr>
                <w:rFonts w:ascii="Arial Narrow" w:hAnsi="Arial Narrow" w:cs="Arial"/>
                <w:sz w:val="20"/>
                <w:szCs w:val="20"/>
              </w:rPr>
            </w:pPr>
            <w:r w:rsidRPr="00260CE3">
              <w:rPr>
                <w:rFonts w:ascii="Arial Narrow" w:hAnsi="Arial Narrow" w:cs="Arial"/>
                <w:b/>
                <w:sz w:val="20"/>
                <w:szCs w:val="20"/>
              </w:rPr>
              <w:t>Restriction</w:t>
            </w:r>
            <w:r>
              <w:rPr>
                <w:rFonts w:ascii="Arial Narrow" w:hAnsi="Arial Narrow" w:cs="Arial"/>
                <w:b/>
                <w:sz w:val="20"/>
                <w:szCs w:val="20"/>
              </w:rPr>
              <w:t xml:space="preserve"> Level / Method</w:t>
            </w:r>
            <w:r w:rsidRPr="00260CE3">
              <w:rPr>
                <w:rFonts w:ascii="Arial Narrow" w:hAnsi="Arial Narrow" w:cs="Arial"/>
                <w:b/>
                <w:sz w:val="20"/>
                <w:szCs w:val="20"/>
              </w:rPr>
              <w:t>:</w:t>
            </w:r>
          </w:p>
        </w:tc>
        <w:tc>
          <w:tcPr>
            <w:tcW w:w="4009" w:type="pct"/>
            <w:tcBorders>
              <w:top w:val="single" w:sz="4" w:space="0" w:color="auto"/>
              <w:left w:val="single" w:sz="4" w:space="0" w:color="auto"/>
              <w:bottom w:val="single" w:sz="4" w:space="0" w:color="auto"/>
              <w:right w:val="single" w:sz="4" w:space="0" w:color="auto"/>
            </w:tcBorders>
          </w:tcPr>
          <w:p w:rsidR="00D86043" w:rsidRPr="002873B2" w:rsidRDefault="00D86043" w:rsidP="00BD4589">
            <w:pPr>
              <w:spacing w:before="40" w:after="40"/>
              <w:rPr>
                <w:rFonts w:ascii="Arial Narrow" w:hAnsi="Arial Narrow"/>
                <w:sz w:val="20"/>
                <w:szCs w:val="20"/>
              </w:rPr>
            </w:pPr>
            <w:r w:rsidRPr="002873B2">
              <w:rPr>
                <w:rFonts w:ascii="Arial Narrow" w:hAnsi="Arial Narrow"/>
                <w:sz w:val="20"/>
                <w:szCs w:val="20"/>
              </w:rPr>
              <w:fldChar w:fldCharType="begin">
                <w:ffData>
                  <w:name w:val="Check1"/>
                  <w:enabled/>
                  <w:calcOnExit w:val="0"/>
                  <w:checkBox>
                    <w:sizeAuto/>
                    <w:default w:val="0"/>
                  </w:checkBox>
                </w:ffData>
              </w:fldChar>
            </w:r>
            <w:r w:rsidRPr="002873B2">
              <w:rPr>
                <w:rFonts w:ascii="Arial Narrow" w:hAnsi="Arial Narrow"/>
                <w:sz w:val="20"/>
                <w:szCs w:val="20"/>
              </w:rPr>
              <w:instrText xml:space="preserve"> FORMCHECKBOX </w:instrText>
            </w:r>
            <w:r w:rsidR="00B52FA3">
              <w:rPr>
                <w:rFonts w:ascii="Arial Narrow" w:hAnsi="Arial Narrow"/>
                <w:sz w:val="20"/>
                <w:szCs w:val="20"/>
              </w:rPr>
            </w:r>
            <w:r w:rsidR="00B52FA3">
              <w:rPr>
                <w:rFonts w:ascii="Arial Narrow" w:hAnsi="Arial Narrow"/>
                <w:sz w:val="20"/>
                <w:szCs w:val="20"/>
              </w:rPr>
              <w:fldChar w:fldCharType="separate"/>
            </w:r>
            <w:r w:rsidRPr="002873B2">
              <w:rPr>
                <w:rFonts w:ascii="Arial Narrow" w:hAnsi="Arial Narrow"/>
                <w:sz w:val="20"/>
                <w:szCs w:val="20"/>
              </w:rPr>
              <w:fldChar w:fldCharType="end"/>
            </w:r>
            <w:r w:rsidRPr="002873B2">
              <w:rPr>
                <w:rFonts w:ascii="Arial Narrow" w:hAnsi="Arial Narrow"/>
                <w:sz w:val="20"/>
                <w:szCs w:val="20"/>
              </w:rPr>
              <w:t>Restricted benefit</w:t>
            </w:r>
          </w:p>
          <w:p w:rsidR="00D86043" w:rsidRPr="002873B2" w:rsidRDefault="00D86043" w:rsidP="00BD4589">
            <w:pPr>
              <w:spacing w:before="40" w:after="40"/>
              <w:rPr>
                <w:rFonts w:ascii="Arial Narrow" w:hAnsi="Arial Narrow"/>
                <w:sz w:val="20"/>
                <w:szCs w:val="20"/>
              </w:rPr>
            </w:pPr>
            <w:r w:rsidRPr="002873B2">
              <w:rPr>
                <w:rFonts w:ascii="Arial Narrow" w:hAnsi="Arial Narrow"/>
                <w:sz w:val="20"/>
                <w:szCs w:val="20"/>
              </w:rPr>
              <w:fldChar w:fldCharType="begin">
                <w:ffData>
                  <w:name w:val=""/>
                  <w:enabled/>
                  <w:calcOnExit w:val="0"/>
                  <w:checkBox>
                    <w:sizeAuto/>
                    <w:default w:val="0"/>
                  </w:checkBox>
                </w:ffData>
              </w:fldChar>
            </w:r>
            <w:r w:rsidRPr="002873B2">
              <w:rPr>
                <w:rFonts w:ascii="Arial Narrow" w:hAnsi="Arial Narrow"/>
                <w:sz w:val="20"/>
                <w:szCs w:val="20"/>
              </w:rPr>
              <w:instrText xml:space="preserve"> FORMCHECKBOX </w:instrText>
            </w:r>
            <w:r w:rsidR="00B52FA3">
              <w:rPr>
                <w:rFonts w:ascii="Arial Narrow" w:hAnsi="Arial Narrow"/>
                <w:sz w:val="20"/>
                <w:szCs w:val="20"/>
              </w:rPr>
            </w:r>
            <w:r w:rsidR="00B52FA3">
              <w:rPr>
                <w:rFonts w:ascii="Arial Narrow" w:hAnsi="Arial Narrow"/>
                <w:sz w:val="20"/>
                <w:szCs w:val="20"/>
              </w:rPr>
              <w:fldChar w:fldCharType="separate"/>
            </w:r>
            <w:r w:rsidRPr="002873B2">
              <w:rPr>
                <w:rFonts w:ascii="Arial Narrow" w:hAnsi="Arial Narrow"/>
                <w:sz w:val="20"/>
                <w:szCs w:val="20"/>
              </w:rPr>
              <w:fldChar w:fldCharType="end"/>
            </w:r>
            <w:r w:rsidRPr="002873B2">
              <w:rPr>
                <w:rFonts w:ascii="Arial Narrow" w:hAnsi="Arial Narrow"/>
                <w:sz w:val="20"/>
                <w:szCs w:val="20"/>
              </w:rPr>
              <w:t>Authority Required - In Writing</w:t>
            </w:r>
          </w:p>
          <w:p w:rsidR="00D86043" w:rsidRPr="002873B2" w:rsidRDefault="00D86043" w:rsidP="00BD4589">
            <w:pPr>
              <w:spacing w:before="40" w:after="40"/>
              <w:rPr>
                <w:rFonts w:ascii="Arial Narrow" w:hAnsi="Arial Narrow"/>
                <w:sz w:val="20"/>
                <w:szCs w:val="20"/>
              </w:rPr>
            </w:pPr>
            <w:r w:rsidRPr="002873B2">
              <w:rPr>
                <w:rFonts w:ascii="Arial Narrow" w:hAnsi="Arial Narrow"/>
                <w:sz w:val="20"/>
                <w:szCs w:val="20"/>
              </w:rPr>
              <w:fldChar w:fldCharType="begin">
                <w:ffData>
                  <w:name w:val="Check3"/>
                  <w:enabled/>
                  <w:calcOnExit w:val="0"/>
                  <w:checkBox>
                    <w:sizeAuto/>
                    <w:default w:val="0"/>
                  </w:checkBox>
                </w:ffData>
              </w:fldChar>
            </w:r>
            <w:r w:rsidRPr="002873B2">
              <w:rPr>
                <w:rFonts w:ascii="Arial Narrow" w:hAnsi="Arial Narrow"/>
                <w:sz w:val="20"/>
                <w:szCs w:val="20"/>
              </w:rPr>
              <w:instrText xml:space="preserve"> FORMCHECKBOX </w:instrText>
            </w:r>
            <w:r w:rsidR="00B52FA3">
              <w:rPr>
                <w:rFonts w:ascii="Arial Narrow" w:hAnsi="Arial Narrow"/>
                <w:sz w:val="20"/>
                <w:szCs w:val="20"/>
              </w:rPr>
            </w:r>
            <w:r w:rsidR="00B52FA3">
              <w:rPr>
                <w:rFonts w:ascii="Arial Narrow" w:hAnsi="Arial Narrow"/>
                <w:sz w:val="20"/>
                <w:szCs w:val="20"/>
              </w:rPr>
              <w:fldChar w:fldCharType="separate"/>
            </w:r>
            <w:r w:rsidRPr="002873B2">
              <w:rPr>
                <w:rFonts w:ascii="Arial Narrow" w:hAnsi="Arial Narrow"/>
                <w:sz w:val="20"/>
                <w:szCs w:val="20"/>
              </w:rPr>
              <w:fldChar w:fldCharType="end"/>
            </w:r>
            <w:r w:rsidRPr="002873B2">
              <w:rPr>
                <w:rFonts w:ascii="Arial Narrow" w:hAnsi="Arial Narrow"/>
                <w:sz w:val="20"/>
                <w:szCs w:val="20"/>
              </w:rPr>
              <w:t>Authority Required - Telephone</w:t>
            </w:r>
          </w:p>
          <w:p w:rsidR="00D86043" w:rsidRPr="002873B2" w:rsidRDefault="00D86043" w:rsidP="00BD4589">
            <w:pPr>
              <w:spacing w:before="40" w:after="40"/>
              <w:rPr>
                <w:rFonts w:ascii="Arial Narrow" w:hAnsi="Arial Narrow"/>
                <w:sz w:val="20"/>
                <w:szCs w:val="20"/>
              </w:rPr>
            </w:pPr>
            <w:r w:rsidRPr="002873B2">
              <w:rPr>
                <w:rFonts w:ascii="Arial Narrow" w:hAnsi="Arial Narrow"/>
                <w:sz w:val="20"/>
                <w:szCs w:val="20"/>
              </w:rPr>
              <w:fldChar w:fldCharType="begin">
                <w:ffData>
                  <w:name w:val=""/>
                  <w:enabled/>
                  <w:calcOnExit w:val="0"/>
                  <w:checkBox>
                    <w:sizeAuto/>
                    <w:default w:val="0"/>
                  </w:checkBox>
                </w:ffData>
              </w:fldChar>
            </w:r>
            <w:r w:rsidRPr="002873B2">
              <w:rPr>
                <w:rFonts w:ascii="Arial Narrow" w:hAnsi="Arial Narrow"/>
                <w:sz w:val="20"/>
                <w:szCs w:val="20"/>
              </w:rPr>
              <w:instrText xml:space="preserve"> FORMCHECKBOX </w:instrText>
            </w:r>
            <w:r w:rsidR="00B52FA3">
              <w:rPr>
                <w:rFonts w:ascii="Arial Narrow" w:hAnsi="Arial Narrow"/>
                <w:sz w:val="20"/>
                <w:szCs w:val="20"/>
              </w:rPr>
            </w:r>
            <w:r w:rsidR="00B52FA3">
              <w:rPr>
                <w:rFonts w:ascii="Arial Narrow" w:hAnsi="Arial Narrow"/>
                <w:sz w:val="20"/>
                <w:szCs w:val="20"/>
              </w:rPr>
              <w:fldChar w:fldCharType="separate"/>
            </w:r>
            <w:r w:rsidRPr="002873B2">
              <w:rPr>
                <w:rFonts w:ascii="Arial Narrow" w:hAnsi="Arial Narrow"/>
                <w:sz w:val="20"/>
                <w:szCs w:val="20"/>
              </w:rPr>
              <w:fldChar w:fldCharType="end"/>
            </w:r>
            <w:r w:rsidRPr="002873B2">
              <w:rPr>
                <w:rFonts w:ascii="Arial Narrow" w:hAnsi="Arial Narrow"/>
                <w:sz w:val="20"/>
                <w:szCs w:val="20"/>
              </w:rPr>
              <w:t>Authority Required – Emergency</w:t>
            </w:r>
          </w:p>
          <w:p w:rsidR="00D86043" w:rsidRPr="002873B2" w:rsidRDefault="00D86043" w:rsidP="00BD4589">
            <w:pPr>
              <w:spacing w:before="40" w:after="40"/>
              <w:rPr>
                <w:rFonts w:ascii="Arial Narrow" w:hAnsi="Arial Narrow"/>
                <w:sz w:val="20"/>
                <w:szCs w:val="20"/>
              </w:rPr>
            </w:pPr>
            <w:r w:rsidRPr="002873B2">
              <w:rPr>
                <w:rFonts w:ascii="Arial Narrow" w:hAnsi="Arial Narrow"/>
                <w:sz w:val="20"/>
                <w:szCs w:val="20"/>
              </w:rPr>
              <w:fldChar w:fldCharType="begin">
                <w:ffData>
                  <w:name w:val="Check5"/>
                  <w:enabled/>
                  <w:calcOnExit w:val="0"/>
                  <w:checkBox>
                    <w:sizeAuto/>
                    <w:default w:val="0"/>
                  </w:checkBox>
                </w:ffData>
              </w:fldChar>
            </w:r>
            <w:r w:rsidRPr="002873B2">
              <w:rPr>
                <w:rFonts w:ascii="Arial Narrow" w:hAnsi="Arial Narrow"/>
                <w:sz w:val="20"/>
                <w:szCs w:val="20"/>
              </w:rPr>
              <w:instrText xml:space="preserve"> FORMCHECKBOX </w:instrText>
            </w:r>
            <w:r w:rsidR="00B52FA3">
              <w:rPr>
                <w:rFonts w:ascii="Arial Narrow" w:hAnsi="Arial Narrow"/>
                <w:sz w:val="20"/>
                <w:szCs w:val="20"/>
              </w:rPr>
            </w:r>
            <w:r w:rsidR="00B52FA3">
              <w:rPr>
                <w:rFonts w:ascii="Arial Narrow" w:hAnsi="Arial Narrow"/>
                <w:sz w:val="20"/>
                <w:szCs w:val="20"/>
              </w:rPr>
              <w:fldChar w:fldCharType="separate"/>
            </w:r>
            <w:r w:rsidRPr="002873B2">
              <w:rPr>
                <w:rFonts w:ascii="Arial Narrow" w:hAnsi="Arial Narrow"/>
                <w:sz w:val="20"/>
                <w:szCs w:val="20"/>
              </w:rPr>
              <w:fldChar w:fldCharType="end"/>
            </w:r>
            <w:r w:rsidRPr="002873B2">
              <w:rPr>
                <w:rFonts w:ascii="Arial Narrow" w:hAnsi="Arial Narrow"/>
                <w:sz w:val="20"/>
                <w:szCs w:val="20"/>
              </w:rPr>
              <w:t>Authority Required - Electronic</w:t>
            </w:r>
          </w:p>
          <w:p w:rsidR="00D86043" w:rsidRPr="002873B2" w:rsidRDefault="00D86043" w:rsidP="00BD4589">
            <w:pPr>
              <w:spacing w:before="40" w:after="40"/>
              <w:rPr>
                <w:rFonts w:ascii="Arial Narrow" w:hAnsi="Arial Narrow" w:cs="Arial"/>
                <w:sz w:val="20"/>
                <w:szCs w:val="20"/>
              </w:rPr>
            </w:pPr>
            <w:r w:rsidRPr="002873B2">
              <w:rPr>
                <w:rFonts w:ascii="Arial Narrow" w:hAnsi="Arial Narrow"/>
                <w:sz w:val="20"/>
                <w:szCs w:val="20"/>
              </w:rPr>
              <w:fldChar w:fldCharType="begin">
                <w:ffData>
                  <w:name w:val=""/>
                  <w:enabled/>
                  <w:calcOnExit w:val="0"/>
                  <w:checkBox>
                    <w:sizeAuto/>
                    <w:default w:val="1"/>
                  </w:checkBox>
                </w:ffData>
              </w:fldChar>
            </w:r>
            <w:r w:rsidRPr="002873B2">
              <w:rPr>
                <w:rFonts w:ascii="Arial Narrow" w:hAnsi="Arial Narrow"/>
                <w:sz w:val="20"/>
                <w:szCs w:val="20"/>
              </w:rPr>
              <w:instrText xml:space="preserve"> FORMCHECKBOX </w:instrText>
            </w:r>
            <w:r w:rsidR="00B52FA3">
              <w:rPr>
                <w:rFonts w:ascii="Arial Narrow" w:hAnsi="Arial Narrow"/>
                <w:sz w:val="20"/>
                <w:szCs w:val="20"/>
              </w:rPr>
            </w:r>
            <w:r w:rsidR="00B52FA3">
              <w:rPr>
                <w:rFonts w:ascii="Arial Narrow" w:hAnsi="Arial Narrow"/>
                <w:sz w:val="20"/>
                <w:szCs w:val="20"/>
              </w:rPr>
              <w:fldChar w:fldCharType="separate"/>
            </w:r>
            <w:r w:rsidRPr="002873B2">
              <w:rPr>
                <w:rFonts w:ascii="Arial Narrow" w:hAnsi="Arial Narrow"/>
                <w:sz w:val="20"/>
                <w:szCs w:val="20"/>
              </w:rPr>
              <w:fldChar w:fldCharType="end"/>
            </w:r>
            <w:r w:rsidRPr="002873B2">
              <w:rPr>
                <w:rFonts w:ascii="Arial Narrow" w:hAnsi="Arial Narrow"/>
                <w:sz w:val="20"/>
                <w:szCs w:val="20"/>
              </w:rPr>
              <w:t>Streamlined</w:t>
            </w:r>
          </w:p>
        </w:tc>
      </w:tr>
      <w:tr w:rsidR="00D86043" w:rsidRPr="002873B2" w:rsidTr="00BD4589">
        <w:trPr>
          <w:cantSplit/>
          <w:trHeight w:val="360"/>
        </w:trPr>
        <w:tc>
          <w:tcPr>
            <w:tcW w:w="991" w:type="pct"/>
            <w:tcBorders>
              <w:top w:val="single" w:sz="4" w:space="0" w:color="auto"/>
              <w:left w:val="single" w:sz="4" w:space="0" w:color="auto"/>
              <w:bottom w:val="single" w:sz="4" w:space="0" w:color="auto"/>
              <w:right w:val="single" w:sz="4" w:space="0" w:color="auto"/>
            </w:tcBorders>
          </w:tcPr>
          <w:p w:rsidR="00D86043" w:rsidRPr="00260CE3" w:rsidRDefault="00D86043" w:rsidP="00BD4589">
            <w:pPr>
              <w:spacing w:before="40" w:after="40"/>
              <w:jc w:val="both"/>
              <w:rPr>
                <w:rFonts w:ascii="Arial Narrow" w:hAnsi="Arial Narrow" w:cs="Arial"/>
                <w:sz w:val="20"/>
                <w:szCs w:val="20"/>
              </w:rPr>
            </w:pPr>
            <w:r w:rsidRPr="00260CE3">
              <w:rPr>
                <w:rFonts w:ascii="Arial Narrow" w:hAnsi="Arial Narrow" w:cs="Arial"/>
                <w:b/>
                <w:sz w:val="20"/>
                <w:szCs w:val="20"/>
              </w:rPr>
              <w:t>Clinical criteria:</w:t>
            </w:r>
          </w:p>
        </w:tc>
        <w:tc>
          <w:tcPr>
            <w:tcW w:w="4009" w:type="pct"/>
            <w:tcBorders>
              <w:top w:val="single" w:sz="4" w:space="0" w:color="auto"/>
              <w:left w:val="single" w:sz="4" w:space="0" w:color="auto"/>
              <w:bottom w:val="single" w:sz="4" w:space="0" w:color="auto"/>
              <w:right w:val="single" w:sz="4" w:space="0" w:color="auto"/>
            </w:tcBorders>
          </w:tcPr>
          <w:p w:rsidR="00D86043" w:rsidRPr="002873B2" w:rsidRDefault="00D86043" w:rsidP="00366E3B">
            <w:pPr>
              <w:widowControl w:val="0"/>
              <w:spacing w:before="40" w:after="40"/>
              <w:jc w:val="both"/>
              <w:rPr>
                <w:rFonts w:ascii="Arial Narrow" w:hAnsi="Arial Narrow" w:cs="Arial"/>
                <w:snapToGrid w:val="0"/>
                <w:sz w:val="20"/>
                <w:szCs w:val="20"/>
                <w:lang w:eastAsia="en-US"/>
              </w:rPr>
            </w:pPr>
            <w:r w:rsidRPr="002873B2">
              <w:rPr>
                <w:rFonts w:ascii="Arial Narrow" w:hAnsi="Arial Narrow" w:cs="Arial"/>
                <w:snapToGrid w:val="0"/>
                <w:sz w:val="20"/>
                <w:szCs w:val="20"/>
                <w:lang w:eastAsia="en-US"/>
              </w:rPr>
              <w:t>The treatment must be the sole PBS-subsidised therapy for this condition,</w:t>
            </w:r>
          </w:p>
          <w:p w:rsidR="00D86043" w:rsidRPr="002873B2" w:rsidRDefault="00067E5B" w:rsidP="00366E3B">
            <w:pPr>
              <w:widowControl w:val="0"/>
              <w:spacing w:before="40" w:after="40"/>
              <w:jc w:val="both"/>
              <w:rPr>
                <w:rFonts w:ascii="Arial Narrow" w:hAnsi="Arial Narrow" w:cs="Arial"/>
                <w:snapToGrid w:val="0"/>
                <w:sz w:val="20"/>
                <w:szCs w:val="20"/>
                <w:lang w:eastAsia="en-US"/>
              </w:rPr>
            </w:pPr>
            <w:r w:rsidRPr="002873B2">
              <w:rPr>
                <w:rFonts w:ascii="Arial Narrow" w:hAnsi="Arial Narrow" w:cs="Arial"/>
                <w:snapToGrid w:val="0"/>
                <w:sz w:val="20"/>
                <w:szCs w:val="20"/>
                <w:lang w:eastAsia="en-US"/>
              </w:rPr>
              <w:t>AND</w:t>
            </w:r>
          </w:p>
          <w:p w:rsidR="00D86043" w:rsidRPr="002873B2" w:rsidRDefault="00D86043" w:rsidP="00366E3B">
            <w:pPr>
              <w:widowControl w:val="0"/>
              <w:spacing w:before="40" w:after="40"/>
              <w:jc w:val="both"/>
              <w:rPr>
                <w:rFonts w:ascii="Arial Narrow" w:hAnsi="Arial Narrow" w:cs="Arial"/>
                <w:snapToGrid w:val="0"/>
                <w:sz w:val="20"/>
                <w:szCs w:val="20"/>
                <w:lang w:eastAsia="en-US"/>
              </w:rPr>
            </w:pPr>
            <w:r w:rsidRPr="002873B2">
              <w:rPr>
                <w:rFonts w:ascii="Arial Narrow" w:hAnsi="Arial Narrow" w:cs="Arial"/>
                <w:snapToGrid w:val="0"/>
                <w:sz w:val="20"/>
                <w:szCs w:val="20"/>
                <w:lang w:eastAsia="en-US"/>
              </w:rPr>
              <w:t>Patient must have previously been issued with an authority prescription for this drug for this condition,</w:t>
            </w:r>
          </w:p>
          <w:p w:rsidR="00D86043" w:rsidRPr="002873B2" w:rsidRDefault="00D86043" w:rsidP="00366E3B">
            <w:pPr>
              <w:widowControl w:val="0"/>
              <w:spacing w:before="40" w:after="40"/>
              <w:jc w:val="both"/>
              <w:rPr>
                <w:rFonts w:ascii="Arial Narrow" w:hAnsi="Arial Narrow" w:cs="Arial"/>
                <w:snapToGrid w:val="0"/>
                <w:sz w:val="20"/>
                <w:szCs w:val="20"/>
                <w:lang w:eastAsia="en-US"/>
              </w:rPr>
            </w:pPr>
            <w:r w:rsidRPr="002873B2">
              <w:rPr>
                <w:rFonts w:ascii="Arial Narrow" w:hAnsi="Arial Narrow" w:cs="Arial"/>
                <w:snapToGrid w:val="0"/>
                <w:sz w:val="20"/>
                <w:szCs w:val="20"/>
                <w:lang w:eastAsia="en-US"/>
              </w:rPr>
              <w:t>AND</w:t>
            </w:r>
          </w:p>
          <w:p w:rsidR="00D86043" w:rsidRPr="002873B2" w:rsidRDefault="00D86043" w:rsidP="00366E3B">
            <w:pPr>
              <w:widowControl w:val="0"/>
              <w:spacing w:before="40" w:after="40"/>
              <w:jc w:val="both"/>
              <w:rPr>
                <w:rFonts w:ascii="Arial Narrow" w:hAnsi="Arial Narrow" w:cs="Arial"/>
                <w:snapToGrid w:val="0"/>
                <w:sz w:val="20"/>
                <w:szCs w:val="20"/>
                <w:lang w:eastAsia="en-US"/>
              </w:rPr>
            </w:pPr>
            <w:r w:rsidRPr="002873B2">
              <w:rPr>
                <w:rFonts w:ascii="Arial Narrow" w:hAnsi="Arial Narrow" w:cs="Arial"/>
                <w:snapToGrid w:val="0"/>
                <w:sz w:val="20"/>
                <w:szCs w:val="20"/>
                <w:lang w:eastAsia="en-US"/>
              </w:rPr>
              <w:t>Patient must have stable or responding disease,</w:t>
            </w:r>
          </w:p>
          <w:p w:rsidR="00D86043" w:rsidRPr="002873B2" w:rsidRDefault="00D86043" w:rsidP="00366E3B">
            <w:pPr>
              <w:widowControl w:val="0"/>
              <w:spacing w:before="40" w:after="40"/>
              <w:jc w:val="both"/>
              <w:rPr>
                <w:rFonts w:ascii="Arial Narrow" w:hAnsi="Arial Narrow" w:cs="Arial"/>
                <w:snapToGrid w:val="0"/>
                <w:sz w:val="20"/>
                <w:szCs w:val="20"/>
                <w:lang w:eastAsia="en-US"/>
              </w:rPr>
            </w:pPr>
            <w:r w:rsidRPr="002873B2">
              <w:rPr>
                <w:rFonts w:ascii="Arial Narrow" w:hAnsi="Arial Narrow" w:cs="Arial"/>
                <w:snapToGrid w:val="0"/>
                <w:sz w:val="20"/>
                <w:szCs w:val="20"/>
                <w:lang w:eastAsia="en-US"/>
              </w:rPr>
              <w:t>AND</w:t>
            </w:r>
          </w:p>
          <w:p w:rsidR="00D86043" w:rsidRPr="002873B2" w:rsidRDefault="00D86043" w:rsidP="00366E3B">
            <w:pPr>
              <w:widowControl w:val="0"/>
              <w:spacing w:before="40" w:after="40"/>
              <w:jc w:val="both"/>
              <w:rPr>
                <w:rFonts w:ascii="Arial Narrow" w:hAnsi="Arial Narrow" w:cs="Arial"/>
                <w:sz w:val="20"/>
                <w:szCs w:val="20"/>
              </w:rPr>
            </w:pPr>
            <w:r w:rsidRPr="002873B2">
              <w:rPr>
                <w:rFonts w:ascii="Arial Narrow" w:hAnsi="Arial Narrow" w:cs="Arial"/>
                <w:snapToGrid w:val="0"/>
                <w:sz w:val="20"/>
                <w:szCs w:val="20"/>
                <w:lang w:eastAsia="en-US"/>
              </w:rPr>
              <w:t xml:space="preserve">The treatment must not exceed </w:t>
            </w:r>
            <w:r w:rsidR="00C033DB" w:rsidRPr="002873B2">
              <w:rPr>
                <w:rFonts w:ascii="Arial Narrow" w:hAnsi="Arial Narrow" w:cs="Arial"/>
                <w:snapToGrid w:val="0"/>
                <w:sz w:val="20"/>
                <w:szCs w:val="20"/>
                <w:lang w:eastAsia="en-US"/>
              </w:rPr>
              <w:t xml:space="preserve">a </w:t>
            </w:r>
            <w:r w:rsidR="000003BE" w:rsidRPr="002873B2">
              <w:rPr>
                <w:rFonts w:ascii="Arial Narrow" w:hAnsi="Arial Narrow" w:cs="Arial"/>
                <w:snapToGrid w:val="0"/>
                <w:sz w:val="20"/>
                <w:szCs w:val="20"/>
                <w:lang w:eastAsia="en-US"/>
              </w:rPr>
              <w:t xml:space="preserve">maximum </w:t>
            </w:r>
            <w:r w:rsidR="00C033DB" w:rsidRPr="002873B2">
              <w:rPr>
                <w:rFonts w:ascii="Arial Narrow" w:hAnsi="Arial Narrow" w:cs="Arial"/>
                <w:snapToGrid w:val="0"/>
                <w:sz w:val="20"/>
                <w:szCs w:val="20"/>
                <w:lang w:eastAsia="en-US"/>
              </w:rPr>
              <w:t xml:space="preserve">dose </w:t>
            </w:r>
            <w:r w:rsidR="000003BE" w:rsidRPr="002873B2">
              <w:rPr>
                <w:rFonts w:ascii="Arial Narrow" w:hAnsi="Arial Narrow" w:cs="Arial"/>
                <w:snapToGrid w:val="0"/>
                <w:sz w:val="20"/>
                <w:szCs w:val="20"/>
                <w:lang w:eastAsia="en-US"/>
              </w:rPr>
              <w:t xml:space="preserve">administered every 3 weeks </w:t>
            </w:r>
            <w:r w:rsidR="00C033DB" w:rsidRPr="002873B2">
              <w:rPr>
                <w:rFonts w:ascii="Arial Narrow" w:hAnsi="Arial Narrow" w:cs="Arial"/>
                <w:snapToGrid w:val="0"/>
                <w:sz w:val="20"/>
                <w:szCs w:val="20"/>
                <w:lang w:eastAsia="en-US"/>
              </w:rPr>
              <w:t xml:space="preserve">either </w:t>
            </w:r>
            <w:r w:rsidR="000003BE" w:rsidRPr="002873B2">
              <w:rPr>
                <w:rFonts w:ascii="Arial Narrow" w:hAnsi="Arial Narrow" w:cs="Arial"/>
                <w:snapToGrid w:val="0"/>
                <w:sz w:val="20"/>
                <w:szCs w:val="20"/>
                <w:lang w:eastAsia="en-US"/>
              </w:rPr>
              <w:t xml:space="preserve">at </w:t>
            </w:r>
            <w:r w:rsidR="00C033DB" w:rsidRPr="002873B2">
              <w:rPr>
                <w:rFonts w:ascii="Arial Narrow" w:hAnsi="Arial Narrow" w:cs="Arial"/>
                <w:snapToGrid w:val="0"/>
                <w:sz w:val="20"/>
                <w:szCs w:val="20"/>
                <w:lang w:eastAsia="en-US"/>
              </w:rPr>
              <w:t xml:space="preserve">2 mg per kg for patients &lt;100 kg or fixed </w:t>
            </w:r>
            <w:r w:rsidR="000003BE" w:rsidRPr="002873B2">
              <w:rPr>
                <w:rFonts w:ascii="Arial Narrow" w:hAnsi="Arial Narrow" w:cs="Arial"/>
                <w:snapToGrid w:val="0"/>
                <w:sz w:val="20"/>
                <w:szCs w:val="20"/>
                <w:lang w:eastAsia="en-US"/>
              </w:rPr>
              <w:t xml:space="preserve">at </w:t>
            </w:r>
            <w:r w:rsidR="00C033DB" w:rsidRPr="002873B2">
              <w:rPr>
                <w:rFonts w:ascii="Arial Narrow" w:hAnsi="Arial Narrow" w:cs="Arial"/>
                <w:snapToGrid w:val="0"/>
                <w:sz w:val="20"/>
                <w:szCs w:val="20"/>
                <w:lang w:eastAsia="en-US"/>
              </w:rPr>
              <w:t>200 mg.</w:t>
            </w:r>
          </w:p>
        </w:tc>
      </w:tr>
      <w:tr w:rsidR="00D86043" w:rsidRPr="002873B2" w:rsidTr="00BD4589">
        <w:trPr>
          <w:cantSplit/>
          <w:trHeight w:val="360"/>
        </w:trPr>
        <w:tc>
          <w:tcPr>
            <w:tcW w:w="991" w:type="pct"/>
            <w:tcBorders>
              <w:top w:val="single" w:sz="4" w:space="0" w:color="auto"/>
              <w:left w:val="single" w:sz="4" w:space="0" w:color="auto"/>
              <w:bottom w:val="single" w:sz="4" w:space="0" w:color="auto"/>
              <w:right w:val="single" w:sz="4" w:space="0" w:color="auto"/>
            </w:tcBorders>
          </w:tcPr>
          <w:p w:rsidR="00D86043" w:rsidRPr="00260CE3" w:rsidRDefault="00D86043" w:rsidP="00BD4589">
            <w:pPr>
              <w:spacing w:before="40" w:after="40"/>
              <w:jc w:val="both"/>
              <w:rPr>
                <w:rFonts w:ascii="Arial Narrow" w:hAnsi="Arial Narrow" w:cs="Arial"/>
                <w:i/>
                <w:sz w:val="20"/>
                <w:szCs w:val="20"/>
              </w:rPr>
            </w:pPr>
            <w:r w:rsidRPr="00260CE3">
              <w:rPr>
                <w:rFonts w:ascii="Arial Narrow" w:hAnsi="Arial Narrow" w:cs="Arial"/>
                <w:b/>
                <w:sz w:val="20"/>
                <w:szCs w:val="20"/>
              </w:rPr>
              <w:t>Administrative Advice</w:t>
            </w:r>
          </w:p>
        </w:tc>
        <w:tc>
          <w:tcPr>
            <w:tcW w:w="4009" w:type="pct"/>
            <w:tcBorders>
              <w:top w:val="single" w:sz="4" w:space="0" w:color="auto"/>
              <w:left w:val="single" w:sz="4" w:space="0" w:color="auto"/>
              <w:bottom w:val="single" w:sz="4" w:space="0" w:color="auto"/>
              <w:right w:val="single" w:sz="4" w:space="0" w:color="auto"/>
            </w:tcBorders>
          </w:tcPr>
          <w:p w:rsidR="00D86043" w:rsidRPr="002873B2" w:rsidRDefault="00D86043" w:rsidP="00366E3B">
            <w:pPr>
              <w:widowControl w:val="0"/>
              <w:spacing w:before="40" w:after="40"/>
              <w:jc w:val="both"/>
              <w:rPr>
                <w:rFonts w:ascii="Arial Narrow" w:hAnsi="Arial Narrow" w:cs="Arial"/>
                <w:snapToGrid w:val="0"/>
                <w:sz w:val="20"/>
                <w:szCs w:val="20"/>
                <w:lang w:eastAsia="en-US"/>
              </w:rPr>
            </w:pPr>
            <w:r w:rsidRPr="002873B2">
              <w:rPr>
                <w:rFonts w:ascii="Arial Narrow" w:hAnsi="Arial Narrow" w:cs="Arial"/>
                <w:snapToGrid w:val="0"/>
                <w:sz w:val="20"/>
                <w:szCs w:val="20"/>
                <w:lang w:eastAsia="en-US"/>
              </w:rPr>
              <w:t>No increase in the maximum number of repeats will be authorised.</w:t>
            </w:r>
          </w:p>
          <w:p w:rsidR="00D86043" w:rsidRPr="002873B2" w:rsidRDefault="00D86043" w:rsidP="00366E3B">
            <w:pPr>
              <w:widowControl w:val="0"/>
              <w:spacing w:before="40" w:after="40"/>
              <w:jc w:val="both"/>
              <w:rPr>
                <w:rFonts w:ascii="Arial Narrow" w:hAnsi="Arial Narrow" w:cs="Arial"/>
                <w:sz w:val="20"/>
                <w:szCs w:val="20"/>
              </w:rPr>
            </w:pPr>
            <w:r w:rsidRPr="002873B2">
              <w:rPr>
                <w:rFonts w:ascii="Arial Narrow" w:hAnsi="Arial Narrow" w:cs="Arial"/>
                <w:snapToGrid w:val="0"/>
                <w:sz w:val="20"/>
                <w:szCs w:val="20"/>
                <w:lang w:eastAsia="en-US"/>
              </w:rPr>
              <w:t>In the first few months after start of immunotherapy, some patients can have a transient tumour flare with subsequent disease response. When progression is suspected, this should be confirmed through a confirmatory scan, taken at least 4 weeks later.</w:t>
            </w:r>
          </w:p>
        </w:tc>
      </w:tr>
    </w:tbl>
    <w:p w:rsidR="001922A4" w:rsidRPr="001922A4" w:rsidRDefault="001922A4" w:rsidP="00366E3B">
      <w:pPr>
        <w:pStyle w:val="PBACHeading1"/>
        <w:rPr>
          <w:rFonts w:eastAsiaTheme="minorHAnsi"/>
        </w:rPr>
      </w:pPr>
      <w:r w:rsidRPr="001922A4">
        <w:t>Context</w:t>
      </w:r>
      <w:r w:rsidRPr="001922A4">
        <w:rPr>
          <w:rFonts w:eastAsiaTheme="minorHAnsi"/>
        </w:rPr>
        <w:t xml:space="preserve"> for Decision</w:t>
      </w:r>
    </w:p>
    <w:p w:rsidR="001922A4" w:rsidRDefault="001922A4" w:rsidP="001E1A0C">
      <w:pPr>
        <w:rPr>
          <w:rFonts w:asciiTheme="minorHAnsi" w:eastAsiaTheme="minorHAnsi" w:hAnsiTheme="minorHAnsi"/>
        </w:rPr>
      </w:pPr>
      <w:r>
        <w:rPr>
          <w:rFonts w:asciiTheme="minorHAnsi" w:eastAsiaTheme="minorHAnsi" w:hAnsiTheme="minorHAnsi"/>
        </w:rPr>
        <w:t>The PBAC helps decide whether and, if so, how medicines should be subsidised in Australia. It considers submissions in this context. A PBAC decision not to recommend listing or not to recommend changing a listing does not represent a final PBAC view about the merits of the medicine. A company can resubmit to the PBAC or seek independent review of the PBAC decision.</w:t>
      </w:r>
    </w:p>
    <w:p w:rsidR="001922A4" w:rsidRPr="001922A4" w:rsidRDefault="001922A4" w:rsidP="00366E3B">
      <w:pPr>
        <w:pStyle w:val="PBACHeading1"/>
        <w:rPr>
          <w:rFonts w:eastAsiaTheme="minorHAnsi"/>
        </w:rPr>
      </w:pPr>
      <w:r w:rsidRPr="001922A4">
        <w:rPr>
          <w:rFonts w:eastAsiaTheme="minorHAnsi"/>
        </w:rPr>
        <w:t>Sponsor’s Comment</w:t>
      </w:r>
    </w:p>
    <w:p w:rsidR="00681010" w:rsidRPr="00366E3B" w:rsidRDefault="001922A4" w:rsidP="00366E3B">
      <w:pPr>
        <w:spacing w:after="120" w:line="276" w:lineRule="auto"/>
        <w:rPr>
          <w:rFonts w:asciiTheme="minorHAnsi" w:hAnsiTheme="minorHAnsi"/>
          <w:sz w:val="22"/>
          <w:szCs w:val="22"/>
        </w:rPr>
      </w:pPr>
      <w:r w:rsidRPr="003C48A0">
        <w:rPr>
          <w:rFonts w:asciiTheme="minorHAnsi" w:eastAsiaTheme="minorHAnsi" w:hAnsiTheme="minorHAnsi"/>
          <w:bCs/>
        </w:rPr>
        <w:t>The sponsor had no comment.</w:t>
      </w:r>
    </w:p>
    <w:sectPr w:rsidR="00681010" w:rsidRPr="00366E3B" w:rsidSect="00C27B58">
      <w:headerReference w:type="even" r:id="rId10"/>
      <w:headerReference w:type="default" r:id="rId11"/>
      <w:footerReference w:type="even" r:id="rId12"/>
      <w:footerReference w:type="default" r:id="rId13"/>
      <w:headerReference w:type="first" r:id="rId14"/>
      <w:footerReference w:type="first" r:id="rId15"/>
      <w:pgSz w:w="11906" w:h="16838" w:code="9"/>
      <w:pgMar w:top="1440" w:right="1440" w:bottom="1440" w:left="1440" w:header="1440" w:footer="1440"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12AD2" w:rsidRDefault="00F12AD2">
      <w:r>
        <w:separator/>
      </w:r>
    </w:p>
    <w:p w:rsidR="00F12AD2" w:rsidRDefault="00F12AD2"/>
  </w:endnote>
  <w:endnote w:type="continuationSeparator" w:id="0">
    <w:p w:rsidR="00F12AD2" w:rsidRDefault="00F12AD2">
      <w:r>
        <w:continuationSeparator/>
      </w:r>
    </w:p>
    <w:p w:rsidR="00F12AD2" w:rsidRDefault="00F12AD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Arial Narrow">
    <w:panose1 w:val="020B0606020202030204"/>
    <w:charset w:val="00"/>
    <w:family w:val="swiss"/>
    <w:pitch w:val="variable"/>
    <w:sig w:usb0="00000287" w:usb1="00000800" w:usb2="00000000" w:usb3="00000000" w:csb0="0000009F" w:csb1="00000000"/>
  </w:font>
  <w:font w:name="PMingLiU">
    <w:altName w:val="新細明體"/>
    <w:panose1 w:val="02020500000000000000"/>
    <w:charset w:val="88"/>
    <w:family w:val="roman"/>
    <w:pitch w:val="variable"/>
    <w:sig w:usb0="A00002FF" w:usb1="28CFFCFA" w:usb2="00000016" w:usb3="00000000" w:csb0="00100001" w:csb1="00000000"/>
  </w:font>
  <w:font w:name="Arial Bold">
    <w:panose1 w:val="020B07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notTrueType/>
    <w:pitch w:val="fixed"/>
    <w:sig w:usb0="00000001"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pPr w:leftFromText="187" w:rightFromText="187" w:bottomFromText="200" w:vertAnchor="text" w:tblpY="1"/>
      <w:tblW w:w="5000" w:type="pct"/>
      <w:tblLook w:val="04A0" w:firstRow="1" w:lastRow="0" w:firstColumn="1" w:lastColumn="0" w:noHBand="0" w:noVBand="1"/>
    </w:tblPr>
    <w:tblGrid>
      <w:gridCol w:w="3995"/>
      <w:gridCol w:w="1252"/>
      <w:gridCol w:w="3995"/>
    </w:tblGrid>
    <w:tr w:rsidR="00E54E21" w:rsidTr="005A3173">
      <w:trPr>
        <w:trHeight w:val="151"/>
      </w:trPr>
      <w:tc>
        <w:tcPr>
          <w:tcW w:w="2250" w:type="pct"/>
          <w:tcBorders>
            <w:top w:val="nil"/>
            <w:left w:val="nil"/>
            <w:bottom w:val="single" w:sz="4" w:space="0" w:color="4F81BD"/>
            <w:right w:val="nil"/>
          </w:tcBorders>
        </w:tcPr>
        <w:p w:rsidR="00E54E21" w:rsidRPr="005A3173" w:rsidRDefault="00E54E21" w:rsidP="005A3173">
          <w:pPr>
            <w:pStyle w:val="Header"/>
            <w:spacing w:line="276" w:lineRule="auto"/>
            <w:rPr>
              <w:rFonts w:ascii="Calibri" w:eastAsia="MS Gothic" w:hAnsi="Calibri"/>
              <w:b/>
              <w:bCs/>
              <w:color w:val="4F81BD"/>
            </w:rPr>
          </w:pPr>
        </w:p>
      </w:tc>
      <w:tc>
        <w:tcPr>
          <w:tcW w:w="500" w:type="pct"/>
          <w:vMerge w:val="restart"/>
          <w:noWrap/>
          <w:vAlign w:val="center"/>
          <w:hideMark/>
        </w:tcPr>
        <w:p w:rsidR="00E54E21" w:rsidRPr="005A3173" w:rsidRDefault="00E54E21" w:rsidP="005A3173">
          <w:pPr>
            <w:pStyle w:val="MediumGrid21"/>
            <w:spacing w:line="276" w:lineRule="auto"/>
            <w:rPr>
              <w:rFonts w:ascii="Calibri" w:hAnsi="Calibri"/>
              <w:color w:val="365F91"/>
            </w:rPr>
          </w:pPr>
          <w:r w:rsidRPr="005A3173">
            <w:rPr>
              <w:rFonts w:ascii="Cambria" w:hAnsi="Cambria"/>
              <w:color w:val="365F91"/>
            </w:rPr>
            <w:t>[Type text]</w:t>
          </w:r>
        </w:p>
      </w:tc>
      <w:tc>
        <w:tcPr>
          <w:tcW w:w="2250" w:type="pct"/>
          <w:tcBorders>
            <w:top w:val="nil"/>
            <w:left w:val="nil"/>
            <w:bottom w:val="single" w:sz="4" w:space="0" w:color="4F81BD"/>
            <w:right w:val="nil"/>
          </w:tcBorders>
        </w:tcPr>
        <w:p w:rsidR="00E54E21" w:rsidRPr="005A3173" w:rsidRDefault="00E54E21" w:rsidP="005A3173">
          <w:pPr>
            <w:pStyle w:val="Header"/>
            <w:spacing w:line="276" w:lineRule="auto"/>
            <w:rPr>
              <w:rFonts w:ascii="Calibri" w:eastAsia="MS Gothic" w:hAnsi="Calibri"/>
              <w:b/>
              <w:bCs/>
              <w:color w:val="4F81BD"/>
            </w:rPr>
          </w:pPr>
        </w:p>
      </w:tc>
    </w:tr>
    <w:tr w:rsidR="00E54E21" w:rsidTr="005A3173">
      <w:trPr>
        <w:trHeight w:val="150"/>
      </w:trPr>
      <w:tc>
        <w:tcPr>
          <w:tcW w:w="2250" w:type="pct"/>
          <w:tcBorders>
            <w:top w:val="single" w:sz="4" w:space="0" w:color="4F81BD"/>
            <w:left w:val="nil"/>
            <w:bottom w:val="nil"/>
            <w:right w:val="nil"/>
          </w:tcBorders>
        </w:tcPr>
        <w:p w:rsidR="00E54E21" w:rsidRPr="005A3173" w:rsidRDefault="00E54E21" w:rsidP="005A3173">
          <w:pPr>
            <w:pStyle w:val="Header"/>
            <w:spacing w:line="276" w:lineRule="auto"/>
            <w:rPr>
              <w:rFonts w:ascii="Calibri" w:eastAsia="MS Gothic" w:hAnsi="Calibri"/>
              <w:b/>
              <w:bCs/>
              <w:color w:val="4F81BD"/>
            </w:rPr>
          </w:pPr>
        </w:p>
      </w:tc>
      <w:tc>
        <w:tcPr>
          <w:tcW w:w="0" w:type="auto"/>
          <w:vMerge/>
          <w:vAlign w:val="center"/>
          <w:hideMark/>
        </w:tcPr>
        <w:p w:rsidR="00E54E21" w:rsidRPr="005A3173" w:rsidRDefault="00E54E21" w:rsidP="005A3173">
          <w:pPr>
            <w:rPr>
              <w:rFonts w:ascii="Calibri" w:hAnsi="Calibri"/>
              <w:color w:val="365F91"/>
              <w:sz w:val="22"/>
              <w:szCs w:val="22"/>
            </w:rPr>
          </w:pPr>
        </w:p>
      </w:tc>
      <w:tc>
        <w:tcPr>
          <w:tcW w:w="2250" w:type="pct"/>
          <w:tcBorders>
            <w:top w:val="single" w:sz="4" w:space="0" w:color="4F81BD"/>
            <w:left w:val="nil"/>
            <w:bottom w:val="nil"/>
            <w:right w:val="nil"/>
          </w:tcBorders>
        </w:tcPr>
        <w:p w:rsidR="00E54E21" w:rsidRPr="005A3173" w:rsidRDefault="00E54E21" w:rsidP="005A3173">
          <w:pPr>
            <w:pStyle w:val="Header"/>
            <w:spacing w:line="276" w:lineRule="auto"/>
            <w:rPr>
              <w:rFonts w:ascii="Calibri" w:eastAsia="MS Gothic" w:hAnsi="Calibri"/>
              <w:b/>
              <w:bCs/>
              <w:color w:val="4F81BD"/>
            </w:rPr>
          </w:pPr>
        </w:p>
      </w:tc>
    </w:tr>
  </w:tbl>
  <w:p w:rsidR="00E54E21" w:rsidRDefault="00E54E21" w:rsidP="00653D69">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E54E21" w:rsidRDefault="00E54E21">
    <w:pPr>
      <w:pStyle w:val="Footer"/>
    </w:pPr>
  </w:p>
  <w:p w:rsidR="00E54E21" w:rsidRDefault="00E54E21"/>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54E21" w:rsidRPr="00F90A91" w:rsidRDefault="00E54E21" w:rsidP="00DE3D08">
    <w:pPr>
      <w:pStyle w:val="Footer"/>
      <w:ind w:left="360"/>
      <w:jc w:val="center"/>
      <w:rPr>
        <w:rFonts w:ascii="Calibri" w:hAnsi="Calibri" w:cs="Arial"/>
        <w:b/>
        <w:sz w:val="20"/>
      </w:rPr>
    </w:pPr>
    <w:r w:rsidRPr="00F90A91">
      <w:rPr>
        <w:rFonts w:ascii="Calibri" w:hAnsi="Calibri" w:cs="Arial"/>
        <w:b/>
        <w:sz w:val="20"/>
      </w:rPr>
      <w:fldChar w:fldCharType="begin"/>
    </w:r>
    <w:r w:rsidRPr="00F90A91">
      <w:rPr>
        <w:rFonts w:ascii="Calibri" w:hAnsi="Calibri" w:cs="Arial"/>
        <w:b/>
        <w:sz w:val="20"/>
      </w:rPr>
      <w:instrText xml:space="preserve"> PAGE   \* MERGEFORMAT </w:instrText>
    </w:r>
    <w:r w:rsidRPr="00F90A91">
      <w:rPr>
        <w:rFonts w:ascii="Calibri" w:hAnsi="Calibri" w:cs="Arial"/>
        <w:b/>
        <w:sz w:val="20"/>
      </w:rPr>
      <w:fldChar w:fldCharType="separate"/>
    </w:r>
    <w:r w:rsidR="00B52FA3">
      <w:rPr>
        <w:rFonts w:ascii="Calibri" w:hAnsi="Calibri" w:cs="Arial"/>
        <w:b/>
        <w:noProof/>
        <w:sz w:val="20"/>
      </w:rPr>
      <w:t>13</w:t>
    </w:r>
    <w:r w:rsidRPr="00F90A91">
      <w:rPr>
        <w:rFonts w:ascii="Calibri" w:hAnsi="Calibri" w:cs="Arial"/>
        <w:b/>
        <w:noProof/>
        <w:sz w:val="20"/>
      </w:rPr>
      <w:fldChar w:fldCharType="end"/>
    </w:r>
  </w:p>
  <w:p w:rsidR="00E54E21" w:rsidRPr="00DE3D08" w:rsidRDefault="00E54E21" w:rsidP="00DE3D08">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5000" w:type="pct"/>
      <w:tblLook w:val="04A0" w:firstRow="1" w:lastRow="0" w:firstColumn="1" w:lastColumn="0" w:noHBand="0" w:noVBand="1"/>
    </w:tblPr>
    <w:tblGrid>
      <w:gridCol w:w="3995"/>
      <w:gridCol w:w="1252"/>
      <w:gridCol w:w="3995"/>
    </w:tblGrid>
    <w:tr w:rsidR="00E54E21" w:rsidTr="005A3173">
      <w:trPr>
        <w:trHeight w:val="151"/>
      </w:trPr>
      <w:tc>
        <w:tcPr>
          <w:tcW w:w="2250" w:type="pct"/>
          <w:tcBorders>
            <w:top w:val="nil"/>
            <w:left w:val="nil"/>
            <w:bottom w:val="single" w:sz="4" w:space="0" w:color="4F81BD"/>
            <w:right w:val="nil"/>
          </w:tcBorders>
        </w:tcPr>
        <w:p w:rsidR="00E54E21" w:rsidRPr="005A3173" w:rsidRDefault="00E54E21" w:rsidP="005A3173">
          <w:pPr>
            <w:pStyle w:val="Header"/>
            <w:spacing w:line="276" w:lineRule="auto"/>
            <w:rPr>
              <w:rFonts w:ascii="Calibri" w:eastAsia="MS Gothic" w:hAnsi="Calibri"/>
              <w:b/>
              <w:bCs/>
              <w:color w:val="4F81BD"/>
            </w:rPr>
          </w:pPr>
        </w:p>
      </w:tc>
      <w:tc>
        <w:tcPr>
          <w:tcW w:w="500" w:type="pct"/>
          <w:vMerge w:val="restart"/>
          <w:noWrap/>
          <w:vAlign w:val="center"/>
          <w:hideMark/>
        </w:tcPr>
        <w:p w:rsidR="00E54E21" w:rsidRPr="005A3173" w:rsidRDefault="00E54E21" w:rsidP="005A3173">
          <w:pPr>
            <w:pStyle w:val="MediumGrid21"/>
            <w:spacing w:line="276" w:lineRule="auto"/>
            <w:rPr>
              <w:rFonts w:ascii="Calibri" w:hAnsi="Calibri"/>
              <w:color w:val="365F91"/>
            </w:rPr>
          </w:pPr>
          <w:r w:rsidRPr="005A3173">
            <w:rPr>
              <w:rFonts w:ascii="Cambria" w:hAnsi="Cambria"/>
              <w:color w:val="365F91"/>
            </w:rPr>
            <w:t>[Type text]</w:t>
          </w:r>
        </w:p>
      </w:tc>
      <w:tc>
        <w:tcPr>
          <w:tcW w:w="2250" w:type="pct"/>
          <w:tcBorders>
            <w:top w:val="nil"/>
            <w:left w:val="nil"/>
            <w:bottom w:val="single" w:sz="4" w:space="0" w:color="4F81BD"/>
            <w:right w:val="nil"/>
          </w:tcBorders>
        </w:tcPr>
        <w:p w:rsidR="00E54E21" w:rsidRPr="005A3173" w:rsidRDefault="00E54E21" w:rsidP="005A3173">
          <w:pPr>
            <w:pStyle w:val="Header"/>
            <w:spacing w:line="276" w:lineRule="auto"/>
            <w:rPr>
              <w:rFonts w:ascii="Calibri" w:eastAsia="MS Gothic" w:hAnsi="Calibri"/>
              <w:b/>
              <w:bCs/>
              <w:color w:val="4F81BD"/>
            </w:rPr>
          </w:pPr>
        </w:p>
      </w:tc>
    </w:tr>
    <w:tr w:rsidR="00E54E21" w:rsidTr="005A3173">
      <w:trPr>
        <w:trHeight w:val="150"/>
      </w:trPr>
      <w:tc>
        <w:tcPr>
          <w:tcW w:w="2250" w:type="pct"/>
          <w:tcBorders>
            <w:top w:val="single" w:sz="4" w:space="0" w:color="4F81BD"/>
            <w:left w:val="nil"/>
            <w:bottom w:val="nil"/>
            <w:right w:val="nil"/>
          </w:tcBorders>
        </w:tcPr>
        <w:p w:rsidR="00E54E21" w:rsidRPr="005A3173" w:rsidRDefault="00E54E21" w:rsidP="005A3173">
          <w:pPr>
            <w:pStyle w:val="Header"/>
            <w:spacing w:line="276" w:lineRule="auto"/>
            <w:rPr>
              <w:rFonts w:ascii="Calibri" w:eastAsia="MS Gothic" w:hAnsi="Calibri"/>
              <w:b/>
              <w:bCs/>
              <w:color w:val="4F81BD"/>
            </w:rPr>
          </w:pPr>
        </w:p>
      </w:tc>
      <w:tc>
        <w:tcPr>
          <w:tcW w:w="0" w:type="auto"/>
          <w:vMerge/>
          <w:vAlign w:val="center"/>
          <w:hideMark/>
        </w:tcPr>
        <w:p w:rsidR="00E54E21" w:rsidRPr="005A3173" w:rsidRDefault="00E54E21" w:rsidP="005A3173">
          <w:pPr>
            <w:rPr>
              <w:rFonts w:ascii="Calibri" w:hAnsi="Calibri"/>
              <w:color w:val="365F91"/>
              <w:sz w:val="22"/>
              <w:szCs w:val="22"/>
            </w:rPr>
          </w:pPr>
        </w:p>
      </w:tc>
      <w:tc>
        <w:tcPr>
          <w:tcW w:w="2250" w:type="pct"/>
          <w:tcBorders>
            <w:top w:val="single" w:sz="4" w:space="0" w:color="4F81BD"/>
            <w:left w:val="nil"/>
            <w:bottom w:val="nil"/>
            <w:right w:val="nil"/>
          </w:tcBorders>
        </w:tcPr>
        <w:p w:rsidR="00E54E21" w:rsidRPr="005A3173" w:rsidRDefault="00E54E21" w:rsidP="005A3173">
          <w:pPr>
            <w:pStyle w:val="Header"/>
            <w:spacing w:line="276" w:lineRule="auto"/>
            <w:rPr>
              <w:rFonts w:ascii="Calibri" w:eastAsia="MS Gothic" w:hAnsi="Calibri"/>
              <w:b/>
              <w:bCs/>
              <w:color w:val="4F81BD"/>
            </w:rPr>
          </w:pPr>
        </w:p>
      </w:tc>
    </w:tr>
  </w:tbl>
  <w:tbl>
    <w:tblPr>
      <w:tblpPr w:leftFromText="187" w:rightFromText="187" w:bottomFromText="200" w:vertAnchor="text" w:tblpY="1"/>
      <w:tblW w:w="5000" w:type="pct"/>
      <w:tblLook w:val="04A0" w:firstRow="1" w:lastRow="0" w:firstColumn="1" w:lastColumn="0" w:noHBand="0" w:noVBand="1"/>
    </w:tblPr>
    <w:tblGrid>
      <w:gridCol w:w="3995"/>
      <w:gridCol w:w="1252"/>
      <w:gridCol w:w="3995"/>
    </w:tblGrid>
    <w:tr w:rsidR="00E54E21" w:rsidTr="005A3173">
      <w:trPr>
        <w:trHeight w:val="151"/>
      </w:trPr>
      <w:tc>
        <w:tcPr>
          <w:tcW w:w="2250" w:type="pct"/>
          <w:tcBorders>
            <w:top w:val="nil"/>
            <w:left w:val="nil"/>
            <w:bottom w:val="single" w:sz="4" w:space="0" w:color="4F81BD"/>
            <w:right w:val="nil"/>
          </w:tcBorders>
        </w:tcPr>
        <w:p w:rsidR="00E54E21" w:rsidRPr="005A3173" w:rsidRDefault="00E54E21" w:rsidP="005A3173">
          <w:pPr>
            <w:pStyle w:val="Header"/>
            <w:spacing w:line="276" w:lineRule="auto"/>
            <w:rPr>
              <w:rFonts w:ascii="Calibri" w:eastAsia="MS Gothic" w:hAnsi="Calibri"/>
              <w:b/>
              <w:bCs/>
              <w:color w:val="4F81BD"/>
            </w:rPr>
          </w:pPr>
        </w:p>
      </w:tc>
      <w:tc>
        <w:tcPr>
          <w:tcW w:w="500" w:type="pct"/>
          <w:vMerge w:val="restart"/>
          <w:noWrap/>
          <w:vAlign w:val="center"/>
          <w:hideMark/>
        </w:tcPr>
        <w:p w:rsidR="00E54E21" w:rsidRPr="005A3173" w:rsidRDefault="00E54E21" w:rsidP="005A3173">
          <w:pPr>
            <w:pStyle w:val="MediumGrid21"/>
            <w:spacing w:line="276" w:lineRule="auto"/>
            <w:rPr>
              <w:rFonts w:ascii="Calibri" w:hAnsi="Calibri"/>
              <w:color w:val="365F91"/>
            </w:rPr>
          </w:pPr>
          <w:r w:rsidRPr="005A3173">
            <w:rPr>
              <w:rFonts w:ascii="Cambria" w:hAnsi="Cambria"/>
              <w:color w:val="365F91"/>
            </w:rPr>
            <w:t>[Type text]</w:t>
          </w:r>
        </w:p>
      </w:tc>
      <w:tc>
        <w:tcPr>
          <w:tcW w:w="2250" w:type="pct"/>
          <w:tcBorders>
            <w:top w:val="nil"/>
            <w:left w:val="nil"/>
            <w:bottom w:val="single" w:sz="4" w:space="0" w:color="4F81BD"/>
            <w:right w:val="nil"/>
          </w:tcBorders>
        </w:tcPr>
        <w:p w:rsidR="00E54E21" w:rsidRPr="005A3173" w:rsidRDefault="00E54E21" w:rsidP="005A3173">
          <w:pPr>
            <w:pStyle w:val="Header"/>
            <w:spacing w:line="276" w:lineRule="auto"/>
            <w:rPr>
              <w:rFonts w:ascii="Calibri" w:eastAsia="MS Gothic" w:hAnsi="Calibri"/>
              <w:b/>
              <w:bCs/>
              <w:color w:val="4F81BD"/>
            </w:rPr>
          </w:pPr>
        </w:p>
      </w:tc>
    </w:tr>
    <w:tr w:rsidR="00E54E21" w:rsidTr="005A3173">
      <w:trPr>
        <w:trHeight w:val="150"/>
      </w:trPr>
      <w:tc>
        <w:tcPr>
          <w:tcW w:w="2250" w:type="pct"/>
          <w:tcBorders>
            <w:top w:val="single" w:sz="4" w:space="0" w:color="4F81BD"/>
            <w:left w:val="nil"/>
            <w:bottom w:val="nil"/>
            <w:right w:val="nil"/>
          </w:tcBorders>
        </w:tcPr>
        <w:p w:rsidR="00E54E21" w:rsidRPr="005A3173" w:rsidRDefault="00E54E21" w:rsidP="005A3173">
          <w:pPr>
            <w:pStyle w:val="Header"/>
            <w:spacing w:line="276" w:lineRule="auto"/>
            <w:rPr>
              <w:rFonts w:ascii="Calibri" w:eastAsia="MS Gothic" w:hAnsi="Calibri"/>
              <w:b/>
              <w:bCs/>
              <w:color w:val="4F81BD"/>
            </w:rPr>
          </w:pPr>
        </w:p>
      </w:tc>
      <w:tc>
        <w:tcPr>
          <w:tcW w:w="0" w:type="auto"/>
          <w:vMerge/>
          <w:vAlign w:val="center"/>
          <w:hideMark/>
        </w:tcPr>
        <w:p w:rsidR="00E54E21" w:rsidRPr="005A3173" w:rsidRDefault="00E54E21" w:rsidP="005A3173">
          <w:pPr>
            <w:rPr>
              <w:rFonts w:ascii="Calibri" w:hAnsi="Calibri"/>
              <w:color w:val="365F91"/>
              <w:sz w:val="22"/>
              <w:szCs w:val="22"/>
            </w:rPr>
          </w:pPr>
        </w:p>
      </w:tc>
      <w:tc>
        <w:tcPr>
          <w:tcW w:w="2250" w:type="pct"/>
          <w:tcBorders>
            <w:top w:val="single" w:sz="4" w:space="0" w:color="4F81BD"/>
            <w:left w:val="nil"/>
            <w:bottom w:val="nil"/>
            <w:right w:val="nil"/>
          </w:tcBorders>
        </w:tcPr>
        <w:p w:rsidR="00E54E21" w:rsidRPr="005A3173" w:rsidRDefault="00E54E21" w:rsidP="005A3173">
          <w:pPr>
            <w:pStyle w:val="Header"/>
            <w:spacing w:line="276" w:lineRule="auto"/>
            <w:rPr>
              <w:rFonts w:ascii="Calibri" w:eastAsia="MS Gothic" w:hAnsi="Calibri"/>
              <w:b/>
              <w:bCs/>
              <w:color w:val="4F81BD"/>
            </w:rPr>
          </w:pPr>
        </w:p>
      </w:tc>
    </w:tr>
  </w:tbl>
  <w:p w:rsidR="00E54E21" w:rsidRPr="007C0F57" w:rsidRDefault="00E54E21" w:rsidP="007C0F57">
    <w:pPr>
      <w:pStyle w:val="Footer"/>
      <w:jc w:val="center"/>
      <w:rPr>
        <w:b/>
        <w:i/>
        <w:sz w:val="20"/>
        <w:szCs w:val="20"/>
      </w:rPr>
    </w:pPr>
    <w:r w:rsidRPr="007C0F57">
      <w:rPr>
        <w:b/>
        <w:i/>
        <w:sz w:val="20"/>
        <w:szCs w:val="20"/>
      </w:rPr>
      <w:t xml:space="preserve">Draft Minutes </w:t>
    </w:r>
    <w:r>
      <w:rPr>
        <w:b/>
        <w:i/>
        <w:sz w:val="20"/>
        <w:szCs w:val="20"/>
      </w:rPr>
      <w:t xml:space="preserve">November 2011 </w:t>
    </w:r>
    <w:r w:rsidRPr="007C0F57">
      <w:rPr>
        <w:b/>
        <w:i/>
        <w:sz w:val="20"/>
        <w:szCs w:val="20"/>
      </w:rPr>
      <w:t>P</w:t>
    </w:r>
    <w:r>
      <w:rPr>
        <w:rStyle w:val="PageNumber"/>
      </w:rPr>
      <w:fldChar w:fldCharType="begin"/>
    </w:r>
    <w:r>
      <w:rPr>
        <w:rStyle w:val="PageNumber"/>
      </w:rPr>
      <w:instrText xml:space="preserve"> PAGE </w:instrText>
    </w:r>
    <w:r>
      <w:rPr>
        <w:rStyle w:val="PageNumber"/>
      </w:rPr>
      <w:fldChar w:fldCharType="separate"/>
    </w:r>
    <w:r>
      <w:rPr>
        <w:rStyle w:val="PageNumber"/>
        <w:noProof/>
      </w:rPr>
      <w:t>4</w:t>
    </w:r>
    <w:r>
      <w:rPr>
        <w:rStyle w:val="PageNumber"/>
      </w:rPr>
      <w:fldChar w:fldCharType="end"/>
    </w:r>
    <w:r w:rsidRPr="007C0F57">
      <w:rPr>
        <w:b/>
        <w:i/>
        <w:sz w:val="20"/>
        <w:szCs w:val="20"/>
      </w:rPr>
      <w:t>BAC Meeting</w:t>
    </w:r>
  </w:p>
  <w:p w:rsidR="00E54E21" w:rsidRPr="007C0F57" w:rsidRDefault="00E54E21" w:rsidP="007C0F57">
    <w:pPr>
      <w:pStyle w:val="Footer"/>
      <w:jc w:val="center"/>
      <w:rPr>
        <w:b/>
        <w:i/>
        <w:sz w:val="20"/>
        <w:szCs w:val="20"/>
      </w:rPr>
    </w:pPr>
    <w:r w:rsidRPr="007C0F57">
      <w:rPr>
        <w:b/>
        <w:i/>
        <w:sz w:val="20"/>
        <w:szCs w:val="20"/>
      </w:rPr>
      <w:t>Commercial-in-Confidence</w:t>
    </w:r>
  </w:p>
  <w:p w:rsidR="00E54E21" w:rsidRDefault="00E54E21"/>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12AD2" w:rsidRDefault="00F12AD2">
      <w:r>
        <w:separator/>
      </w:r>
    </w:p>
    <w:p w:rsidR="00F12AD2" w:rsidRDefault="00F12AD2"/>
  </w:footnote>
  <w:footnote w:type="continuationSeparator" w:id="0">
    <w:p w:rsidR="00F12AD2" w:rsidRDefault="00F12AD2">
      <w:r>
        <w:continuationSeparator/>
      </w:r>
    </w:p>
    <w:p w:rsidR="00F12AD2" w:rsidRDefault="00F12AD2"/>
  </w:footnote>
  <w:footnote w:id="1">
    <w:p w:rsidR="00E54E21" w:rsidRDefault="00E54E21">
      <w:pPr>
        <w:pStyle w:val="FootnoteText"/>
      </w:pPr>
      <w:r>
        <w:rPr>
          <w:rStyle w:val="FootnoteReference"/>
        </w:rPr>
        <w:footnoteRef/>
      </w:r>
      <w:r>
        <w:t xml:space="preserve"> Calculations applied weighted co-payments across patient categories using the 2016 fees of $38.30 and $6.20 for general and concessional patients respectively. These co-payments were increased in 2017 to $38.80 and $6.30 respectively. The impact of changes to the co-payments across time has minimal impact on the estimates presented.</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pPr w:leftFromText="187" w:rightFromText="187" w:bottomFromText="200" w:vertAnchor="text" w:tblpY="1"/>
      <w:tblW w:w="4937" w:type="pct"/>
      <w:tblLook w:val="04A0" w:firstRow="1" w:lastRow="0" w:firstColumn="1" w:lastColumn="0" w:noHBand="0" w:noVBand="1"/>
    </w:tblPr>
    <w:tblGrid>
      <w:gridCol w:w="4038"/>
      <w:gridCol w:w="1252"/>
      <w:gridCol w:w="3836"/>
    </w:tblGrid>
    <w:tr w:rsidR="00E54E21" w:rsidRPr="008E0D90" w:rsidTr="00A06225">
      <w:trPr>
        <w:trHeight w:val="151"/>
      </w:trPr>
      <w:tc>
        <w:tcPr>
          <w:tcW w:w="2389" w:type="pct"/>
          <w:tcBorders>
            <w:top w:val="nil"/>
            <w:left w:val="nil"/>
            <w:bottom w:val="single" w:sz="4" w:space="0" w:color="4F81BD"/>
            <w:right w:val="nil"/>
          </w:tcBorders>
        </w:tcPr>
        <w:p w:rsidR="00E54E21" w:rsidRPr="00A06225" w:rsidRDefault="00E54E21">
          <w:pPr>
            <w:pStyle w:val="Header"/>
            <w:spacing w:line="276" w:lineRule="auto"/>
            <w:rPr>
              <w:rFonts w:ascii="Cambria" w:eastAsia="MS Gothic" w:hAnsi="Cambria"/>
              <w:b/>
              <w:bCs/>
              <w:color w:val="4F81BD"/>
            </w:rPr>
          </w:pPr>
        </w:p>
      </w:tc>
      <w:tc>
        <w:tcPr>
          <w:tcW w:w="333" w:type="pct"/>
          <w:vMerge w:val="restart"/>
          <w:noWrap/>
          <w:vAlign w:val="center"/>
          <w:hideMark/>
        </w:tcPr>
        <w:p w:rsidR="00E54E21" w:rsidRPr="00A06225" w:rsidRDefault="00E54E21" w:rsidP="00A06225">
          <w:pPr>
            <w:pStyle w:val="MediumGrid21"/>
            <w:rPr>
              <w:rFonts w:ascii="Cambria" w:hAnsi="Cambria"/>
              <w:color w:val="4F81BD"/>
              <w:szCs w:val="20"/>
            </w:rPr>
          </w:pPr>
          <w:r w:rsidRPr="00A06225">
            <w:rPr>
              <w:rFonts w:ascii="Cambria" w:hAnsi="Cambria"/>
              <w:color w:val="4F81BD"/>
            </w:rPr>
            <w:t>[Type text]</w:t>
          </w:r>
        </w:p>
      </w:tc>
      <w:tc>
        <w:tcPr>
          <w:tcW w:w="2278" w:type="pct"/>
          <w:tcBorders>
            <w:top w:val="nil"/>
            <w:left w:val="nil"/>
            <w:bottom w:val="single" w:sz="4" w:space="0" w:color="4F81BD"/>
            <w:right w:val="nil"/>
          </w:tcBorders>
        </w:tcPr>
        <w:p w:rsidR="00E54E21" w:rsidRPr="00A06225" w:rsidRDefault="00E54E21">
          <w:pPr>
            <w:pStyle w:val="Header"/>
            <w:spacing w:line="276" w:lineRule="auto"/>
            <w:rPr>
              <w:rFonts w:ascii="Cambria" w:eastAsia="MS Gothic" w:hAnsi="Cambria"/>
              <w:b/>
              <w:bCs/>
              <w:color w:val="4F81BD"/>
            </w:rPr>
          </w:pPr>
        </w:p>
      </w:tc>
    </w:tr>
    <w:tr w:rsidR="00E54E21" w:rsidRPr="008E0D90" w:rsidTr="00A06225">
      <w:trPr>
        <w:trHeight w:val="150"/>
      </w:trPr>
      <w:tc>
        <w:tcPr>
          <w:tcW w:w="2389" w:type="pct"/>
          <w:tcBorders>
            <w:top w:val="single" w:sz="4" w:space="0" w:color="4F81BD"/>
            <w:left w:val="nil"/>
            <w:bottom w:val="nil"/>
            <w:right w:val="nil"/>
          </w:tcBorders>
        </w:tcPr>
        <w:p w:rsidR="00E54E21" w:rsidRPr="00A06225" w:rsidRDefault="00E54E21">
          <w:pPr>
            <w:pStyle w:val="Header"/>
            <w:spacing w:line="276" w:lineRule="auto"/>
            <w:rPr>
              <w:rFonts w:ascii="Cambria" w:eastAsia="MS Gothic" w:hAnsi="Cambria"/>
              <w:b/>
              <w:bCs/>
              <w:color w:val="4F81BD"/>
            </w:rPr>
          </w:pPr>
        </w:p>
      </w:tc>
      <w:tc>
        <w:tcPr>
          <w:tcW w:w="0" w:type="auto"/>
          <w:vMerge/>
          <w:vAlign w:val="center"/>
          <w:hideMark/>
        </w:tcPr>
        <w:p w:rsidR="00E54E21" w:rsidRPr="00A06225" w:rsidRDefault="00E54E21">
          <w:pPr>
            <w:rPr>
              <w:rFonts w:ascii="Cambria" w:hAnsi="Cambria"/>
              <w:color w:val="4F81BD"/>
              <w:sz w:val="22"/>
              <w:szCs w:val="22"/>
            </w:rPr>
          </w:pPr>
        </w:p>
      </w:tc>
      <w:tc>
        <w:tcPr>
          <w:tcW w:w="2278" w:type="pct"/>
          <w:tcBorders>
            <w:top w:val="single" w:sz="4" w:space="0" w:color="4F81BD"/>
            <w:left w:val="nil"/>
            <w:bottom w:val="nil"/>
            <w:right w:val="nil"/>
          </w:tcBorders>
        </w:tcPr>
        <w:p w:rsidR="00E54E21" w:rsidRPr="00A06225" w:rsidRDefault="00E54E21">
          <w:pPr>
            <w:pStyle w:val="Header"/>
            <w:spacing w:line="276" w:lineRule="auto"/>
            <w:rPr>
              <w:rFonts w:ascii="Cambria" w:eastAsia="MS Gothic" w:hAnsi="Cambria"/>
              <w:b/>
              <w:bCs/>
              <w:color w:val="4F81BD"/>
            </w:rPr>
          </w:pPr>
        </w:p>
      </w:tc>
    </w:tr>
  </w:tbl>
  <w:p w:rsidR="00E54E21" w:rsidRDefault="00E54E21">
    <w:pPr>
      <w:pStyle w:val="Header"/>
    </w:pPr>
  </w:p>
  <w:p w:rsidR="00E54E21" w:rsidRDefault="00E54E21"/>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54E21" w:rsidRPr="00F90A91" w:rsidRDefault="00E54E21" w:rsidP="00DE3D08">
    <w:pPr>
      <w:pStyle w:val="Header"/>
      <w:ind w:left="360"/>
      <w:jc w:val="center"/>
      <w:rPr>
        <w:rFonts w:asciiTheme="minorHAnsi" w:hAnsiTheme="minorHAnsi" w:cs="Arial"/>
        <w:i/>
        <w:color w:val="808080"/>
        <w:sz w:val="22"/>
      </w:rPr>
    </w:pPr>
    <w:r>
      <w:rPr>
        <w:rFonts w:asciiTheme="minorHAnsi" w:hAnsiTheme="minorHAnsi" w:cs="Arial"/>
        <w:i/>
        <w:color w:val="808080"/>
        <w:sz w:val="22"/>
      </w:rPr>
      <w:t>Public Summary Document</w:t>
    </w:r>
    <w:r w:rsidRPr="00F90A91">
      <w:rPr>
        <w:rFonts w:asciiTheme="minorHAnsi" w:hAnsiTheme="minorHAnsi" w:cs="Arial"/>
        <w:i/>
        <w:color w:val="808080"/>
        <w:sz w:val="22"/>
      </w:rPr>
      <w:t xml:space="preserve"> – </w:t>
    </w:r>
    <w:r>
      <w:rPr>
        <w:rFonts w:asciiTheme="minorHAnsi" w:hAnsiTheme="minorHAnsi" w:cs="Arial"/>
        <w:i/>
        <w:color w:val="808080"/>
        <w:sz w:val="22"/>
      </w:rPr>
      <w:t>March 2018</w:t>
    </w:r>
    <w:r w:rsidRPr="00F90A91">
      <w:rPr>
        <w:rFonts w:asciiTheme="minorHAnsi" w:hAnsiTheme="minorHAnsi" w:cs="Arial"/>
        <w:i/>
        <w:color w:val="808080"/>
        <w:sz w:val="22"/>
      </w:rPr>
      <w:t xml:space="preserve"> PBAC Meeting</w:t>
    </w:r>
  </w:p>
  <w:p w:rsidR="00E54E21" w:rsidRDefault="00E54E21" w:rsidP="00A128E6">
    <w:pPr>
      <w:pStyle w:val="NoSpacing"/>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54E21" w:rsidRDefault="00E54E21">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F"/>
    <w:multiLevelType w:val="singleLevel"/>
    <w:tmpl w:val="0B200EBA"/>
    <w:lvl w:ilvl="0">
      <w:start w:val="1"/>
      <w:numFmt w:val="decimal"/>
      <w:lvlText w:val="%1"/>
      <w:lvlJc w:val="left"/>
      <w:pPr>
        <w:tabs>
          <w:tab w:val="num" w:pos="643"/>
        </w:tabs>
        <w:ind w:left="643" w:hanging="360"/>
      </w:pPr>
      <w:rPr>
        <w:rFonts w:hint="default"/>
      </w:rPr>
    </w:lvl>
  </w:abstractNum>
  <w:abstractNum w:abstractNumId="1">
    <w:nsid w:val="FFFFFF88"/>
    <w:multiLevelType w:val="singleLevel"/>
    <w:tmpl w:val="EE52495A"/>
    <w:lvl w:ilvl="0">
      <w:start w:val="1"/>
      <w:numFmt w:val="decimal"/>
      <w:pStyle w:val="ListNumber"/>
      <w:lvlText w:val="%1."/>
      <w:lvlJc w:val="left"/>
      <w:pPr>
        <w:tabs>
          <w:tab w:val="num" w:pos="360"/>
        </w:tabs>
        <w:ind w:left="360" w:hanging="360"/>
      </w:pPr>
    </w:lvl>
  </w:abstractNum>
  <w:abstractNum w:abstractNumId="2">
    <w:nsid w:val="008D60B2"/>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
    <w:nsid w:val="00AC0811"/>
    <w:multiLevelType w:val="hybridMultilevel"/>
    <w:tmpl w:val="9E3E2776"/>
    <w:lvl w:ilvl="0" w:tplc="369A0A56">
      <w:start w:val="1"/>
      <w:numFmt w:val="bullet"/>
      <w:lvlText w:val=""/>
      <w:lvlJc w:val="left"/>
      <w:pPr>
        <w:tabs>
          <w:tab w:val="num" w:pos="720"/>
        </w:tabs>
        <w:ind w:left="720" w:hanging="360"/>
      </w:pPr>
      <w:rPr>
        <w:rFonts w:ascii="Symbol" w:hAnsi="Symbol" w:hint="default"/>
      </w:rPr>
    </w:lvl>
    <w:lvl w:ilvl="1" w:tplc="E4321262">
      <w:start w:val="1"/>
      <w:numFmt w:val="bullet"/>
      <w:lvlText w:val="o"/>
      <w:lvlJc w:val="left"/>
      <w:pPr>
        <w:tabs>
          <w:tab w:val="num" w:pos="1440"/>
        </w:tabs>
        <w:ind w:left="1440" w:hanging="360"/>
      </w:pPr>
      <w:rPr>
        <w:rFonts w:ascii="Courier New" w:hAnsi="Courier New" w:cs="Courier New" w:hint="default"/>
      </w:rPr>
    </w:lvl>
    <w:lvl w:ilvl="2" w:tplc="8E7CC4D4">
      <w:start w:val="1"/>
      <w:numFmt w:val="bullet"/>
      <w:lvlText w:val=""/>
      <w:lvlJc w:val="left"/>
      <w:pPr>
        <w:tabs>
          <w:tab w:val="num" w:pos="2160"/>
        </w:tabs>
        <w:ind w:left="2160" w:hanging="360"/>
      </w:pPr>
      <w:rPr>
        <w:rFonts w:ascii="Wingdings" w:hAnsi="Wingdings" w:hint="default"/>
      </w:rPr>
    </w:lvl>
    <w:lvl w:ilvl="3" w:tplc="B172EB80" w:tentative="1">
      <w:start w:val="1"/>
      <w:numFmt w:val="bullet"/>
      <w:lvlText w:val=""/>
      <w:lvlJc w:val="left"/>
      <w:pPr>
        <w:tabs>
          <w:tab w:val="num" w:pos="2880"/>
        </w:tabs>
        <w:ind w:left="2880" w:hanging="360"/>
      </w:pPr>
      <w:rPr>
        <w:rFonts w:ascii="Symbol" w:hAnsi="Symbol" w:hint="default"/>
      </w:rPr>
    </w:lvl>
    <w:lvl w:ilvl="4" w:tplc="1F10EB0A" w:tentative="1">
      <w:start w:val="1"/>
      <w:numFmt w:val="bullet"/>
      <w:lvlText w:val="o"/>
      <w:lvlJc w:val="left"/>
      <w:pPr>
        <w:tabs>
          <w:tab w:val="num" w:pos="3600"/>
        </w:tabs>
        <w:ind w:left="3600" w:hanging="360"/>
      </w:pPr>
      <w:rPr>
        <w:rFonts w:ascii="Courier New" w:hAnsi="Courier New" w:cs="Courier New" w:hint="default"/>
      </w:rPr>
    </w:lvl>
    <w:lvl w:ilvl="5" w:tplc="7D4EB088" w:tentative="1">
      <w:start w:val="1"/>
      <w:numFmt w:val="bullet"/>
      <w:lvlText w:val=""/>
      <w:lvlJc w:val="left"/>
      <w:pPr>
        <w:tabs>
          <w:tab w:val="num" w:pos="4320"/>
        </w:tabs>
        <w:ind w:left="4320" w:hanging="360"/>
      </w:pPr>
      <w:rPr>
        <w:rFonts w:ascii="Wingdings" w:hAnsi="Wingdings" w:hint="default"/>
      </w:rPr>
    </w:lvl>
    <w:lvl w:ilvl="6" w:tplc="EF8EA542" w:tentative="1">
      <w:start w:val="1"/>
      <w:numFmt w:val="bullet"/>
      <w:lvlText w:val=""/>
      <w:lvlJc w:val="left"/>
      <w:pPr>
        <w:tabs>
          <w:tab w:val="num" w:pos="5040"/>
        </w:tabs>
        <w:ind w:left="5040" w:hanging="360"/>
      </w:pPr>
      <w:rPr>
        <w:rFonts w:ascii="Symbol" w:hAnsi="Symbol" w:hint="default"/>
      </w:rPr>
    </w:lvl>
    <w:lvl w:ilvl="7" w:tplc="5A12F5AE" w:tentative="1">
      <w:start w:val="1"/>
      <w:numFmt w:val="bullet"/>
      <w:lvlText w:val="o"/>
      <w:lvlJc w:val="left"/>
      <w:pPr>
        <w:tabs>
          <w:tab w:val="num" w:pos="5760"/>
        </w:tabs>
        <w:ind w:left="5760" w:hanging="360"/>
      </w:pPr>
      <w:rPr>
        <w:rFonts w:ascii="Courier New" w:hAnsi="Courier New" w:cs="Courier New" w:hint="default"/>
      </w:rPr>
    </w:lvl>
    <w:lvl w:ilvl="8" w:tplc="D292A61E" w:tentative="1">
      <w:start w:val="1"/>
      <w:numFmt w:val="bullet"/>
      <w:lvlText w:val=""/>
      <w:lvlJc w:val="left"/>
      <w:pPr>
        <w:tabs>
          <w:tab w:val="num" w:pos="6480"/>
        </w:tabs>
        <w:ind w:left="6480" w:hanging="360"/>
      </w:pPr>
      <w:rPr>
        <w:rFonts w:ascii="Wingdings" w:hAnsi="Wingdings" w:hint="default"/>
      </w:rPr>
    </w:lvl>
  </w:abstractNum>
  <w:abstractNum w:abstractNumId="4">
    <w:nsid w:val="06C9011D"/>
    <w:multiLevelType w:val="hybridMultilevel"/>
    <w:tmpl w:val="54025948"/>
    <w:lvl w:ilvl="0" w:tplc="48F662A2">
      <w:start w:val="1"/>
      <w:numFmt w:val="lowerLetter"/>
      <w:lvlText w:val="(%1)"/>
      <w:lvlJc w:val="left"/>
      <w:pPr>
        <w:ind w:left="1080" w:hanging="36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5">
    <w:nsid w:val="0AAF0EBA"/>
    <w:multiLevelType w:val="multilevel"/>
    <w:tmpl w:val="642C45D8"/>
    <w:lvl w:ilvl="0">
      <w:start w:val="1"/>
      <w:numFmt w:val="decimal"/>
      <w:lvlText w:val="%1"/>
      <w:lvlJc w:val="left"/>
      <w:pPr>
        <w:ind w:left="720" w:hanging="720"/>
      </w:pPr>
      <w:rPr>
        <w:rFonts w:hint="default"/>
        <w:b/>
      </w:rPr>
    </w:lvl>
    <w:lvl w:ilvl="1">
      <w:start w:val="1"/>
      <w:numFmt w:val="bullet"/>
      <w:lvlText w:val=""/>
      <w:lvlJc w:val="left"/>
      <w:pPr>
        <w:ind w:left="720" w:hanging="720"/>
      </w:pPr>
      <w:rPr>
        <w:rFonts w:ascii="Symbol" w:hAnsi="Symbol" w:hint="default"/>
        <w:b w:val="0"/>
        <w:i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6">
    <w:nsid w:val="0F0015B3"/>
    <w:multiLevelType w:val="hybridMultilevel"/>
    <w:tmpl w:val="67C6A6E6"/>
    <w:lvl w:ilvl="0" w:tplc="18143B82">
      <w:start w:val="1"/>
      <w:numFmt w:val="bullet"/>
      <w:lvlText w:val=""/>
      <w:lvlJc w:val="left"/>
      <w:pPr>
        <w:tabs>
          <w:tab w:val="num" w:pos="720"/>
        </w:tabs>
        <w:ind w:left="720" w:hanging="360"/>
      </w:pPr>
      <w:rPr>
        <w:rFonts w:ascii="Symbol" w:hAnsi="Symbol" w:hint="default"/>
      </w:rPr>
    </w:lvl>
    <w:lvl w:ilvl="1" w:tplc="3BB87880" w:tentative="1">
      <w:start w:val="1"/>
      <w:numFmt w:val="bullet"/>
      <w:lvlText w:val="o"/>
      <w:lvlJc w:val="left"/>
      <w:pPr>
        <w:tabs>
          <w:tab w:val="num" w:pos="1440"/>
        </w:tabs>
        <w:ind w:left="1440" w:hanging="360"/>
      </w:pPr>
      <w:rPr>
        <w:rFonts w:ascii="Courier New" w:hAnsi="Courier New" w:cs="Courier New" w:hint="default"/>
      </w:rPr>
    </w:lvl>
    <w:lvl w:ilvl="2" w:tplc="32008766" w:tentative="1">
      <w:start w:val="1"/>
      <w:numFmt w:val="bullet"/>
      <w:lvlText w:val=""/>
      <w:lvlJc w:val="left"/>
      <w:pPr>
        <w:tabs>
          <w:tab w:val="num" w:pos="2160"/>
        </w:tabs>
        <w:ind w:left="2160" w:hanging="360"/>
      </w:pPr>
      <w:rPr>
        <w:rFonts w:ascii="Wingdings" w:hAnsi="Wingdings" w:hint="default"/>
      </w:rPr>
    </w:lvl>
    <w:lvl w:ilvl="3" w:tplc="E45AFFCC" w:tentative="1">
      <w:start w:val="1"/>
      <w:numFmt w:val="bullet"/>
      <w:lvlText w:val=""/>
      <w:lvlJc w:val="left"/>
      <w:pPr>
        <w:tabs>
          <w:tab w:val="num" w:pos="2880"/>
        </w:tabs>
        <w:ind w:left="2880" w:hanging="360"/>
      </w:pPr>
      <w:rPr>
        <w:rFonts w:ascii="Symbol" w:hAnsi="Symbol" w:hint="default"/>
      </w:rPr>
    </w:lvl>
    <w:lvl w:ilvl="4" w:tplc="E9C82456" w:tentative="1">
      <w:start w:val="1"/>
      <w:numFmt w:val="bullet"/>
      <w:lvlText w:val="o"/>
      <w:lvlJc w:val="left"/>
      <w:pPr>
        <w:tabs>
          <w:tab w:val="num" w:pos="3600"/>
        </w:tabs>
        <w:ind w:left="3600" w:hanging="360"/>
      </w:pPr>
      <w:rPr>
        <w:rFonts w:ascii="Courier New" w:hAnsi="Courier New" w:cs="Courier New" w:hint="default"/>
      </w:rPr>
    </w:lvl>
    <w:lvl w:ilvl="5" w:tplc="7640D61A" w:tentative="1">
      <w:start w:val="1"/>
      <w:numFmt w:val="bullet"/>
      <w:lvlText w:val=""/>
      <w:lvlJc w:val="left"/>
      <w:pPr>
        <w:tabs>
          <w:tab w:val="num" w:pos="4320"/>
        </w:tabs>
        <w:ind w:left="4320" w:hanging="360"/>
      </w:pPr>
      <w:rPr>
        <w:rFonts w:ascii="Wingdings" w:hAnsi="Wingdings" w:hint="default"/>
      </w:rPr>
    </w:lvl>
    <w:lvl w:ilvl="6" w:tplc="591CF4A6" w:tentative="1">
      <w:start w:val="1"/>
      <w:numFmt w:val="bullet"/>
      <w:lvlText w:val=""/>
      <w:lvlJc w:val="left"/>
      <w:pPr>
        <w:tabs>
          <w:tab w:val="num" w:pos="5040"/>
        </w:tabs>
        <w:ind w:left="5040" w:hanging="360"/>
      </w:pPr>
      <w:rPr>
        <w:rFonts w:ascii="Symbol" w:hAnsi="Symbol" w:hint="default"/>
      </w:rPr>
    </w:lvl>
    <w:lvl w:ilvl="7" w:tplc="0C2E83BC" w:tentative="1">
      <w:start w:val="1"/>
      <w:numFmt w:val="bullet"/>
      <w:lvlText w:val="o"/>
      <w:lvlJc w:val="left"/>
      <w:pPr>
        <w:tabs>
          <w:tab w:val="num" w:pos="5760"/>
        </w:tabs>
        <w:ind w:left="5760" w:hanging="360"/>
      </w:pPr>
      <w:rPr>
        <w:rFonts w:ascii="Courier New" w:hAnsi="Courier New" w:cs="Courier New" w:hint="default"/>
      </w:rPr>
    </w:lvl>
    <w:lvl w:ilvl="8" w:tplc="55C6FBAE" w:tentative="1">
      <w:start w:val="1"/>
      <w:numFmt w:val="bullet"/>
      <w:lvlText w:val=""/>
      <w:lvlJc w:val="left"/>
      <w:pPr>
        <w:tabs>
          <w:tab w:val="num" w:pos="6480"/>
        </w:tabs>
        <w:ind w:left="6480" w:hanging="360"/>
      </w:pPr>
      <w:rPr>
        <w:rFonts w:ascii="Wingdings" w:hAnsi="Wingdings" w:hint="default"/>
      </w:rPr>
    </w:lvl>
  </w:abstractNum>
  <w:abstractNum w:abstractNumId="7">
    <w:nsid w:val="11CC04FC"/>
    <w:multiLevelType w:val="hybridMultilevel"/>
    <w:tmpl w:val="F1B42FC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nsid w:val="197F422C"/>
    <w:multiLevelType w:val="hybridMultilevel"/>
    <w:tmpl w:val="BCDA968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nsid w:val="1E821623"/>
    <w:multiLevelType w:val="hybridMultilevel"/>
    <w:tmpl w:val="DFFEA42C"/>
    <w:lvl w:ilvl="0" w:tplc="27E62F28">
      <w:start w:val="1"/>
      <w:numFmt w:val="bullet"/>
      <w:lvlText w:val=""/>
      <w:lvlJc w:val="left"/>
      <w:pPr>
        <w:tabs>
          <w:tab w:val="num" w:pos="720"/>
        </w:tabs>
        <w:ind w:left="720" w:hanging="360"/>
      </w:pPr>
      <w:rPr>
        <w:rFonts w:ascii="Symbol" w:hAnsi="Symbol" w:hint="default"/>
      </w:rPr>
    </w:lvl>
    <w:lvl w:ilvl="1" w:tplc="869C860E" w:tentative="1">
      <w:start w:val="1"/>
      <w:numFmt w:val="bullet"/>
      <w:lvlText w:val="o"/>
      <w:lvlJc w:val="left"/>
      <w:pPr>
        <w:tabs>
          <w:tab w:val="num" w:pos="1440"/>
        </w:tabs>
        <w:ind w:left="1440" w:hanging="360"/>
      </w:pPr>
      <w:rPr>
        <w:rFonts w:ascii="Courier New" w:hAnsi="Courier New" w:cs="Courier New" w:hint="default"/>
      </w:rPr>
    </w:lvl>
    <w:lvl w:ilvl="2" w:tplc="41EE92A0" w:tentative="1">
      <w:start w:val="1"/>
      <w:numFmt w:val="bullet"/>
      <w:lvlText w:val=""/>
      <w:lvlJc w:val="left"/>
      <w:pPr>
        <w:tabs>
          <w:tab w:val="num" w:pos="2160"/>
        </w:tabs>
        <w:ind w:left="2160" w:hanging="360"/>
      </w:pPr>
      <w:rPr>
        <w:rFonts w:ascii="Wingdings" w:hAnsi="Wingdings" w:hint="default"/>
      </w:rPr>
    </w:lvl>
    <w:lvl w:ilvl="3" w:tplc="7BE80782" w:tentative="1">
      <w:start w:val="1"/>
      <w:numFmt w:val="bullet"/>
      <w:lvlText w:val=""/>
      <w:lvlJc w:val="left"/>
      <w:pPr>
        <w:tabs>
          <w:tab w:val="num" w:pos="2880"/>
        </w:tabs>
        <w:ind w:left="2880" w:hanging="360"/>
      </w:pPr>
      <w:rPr>
        <w:rFonts w:ascii="Symbol" w:hAnsi="Symbol" w:hint="default"/>
      </w:rPr>
    </w:lvl>
    <w:lvl w:ilvl="4" w:tplc="66BCBC84" w:tentative="1">
      <w:start w:val="1"/>
      <w:numFmt w:val="bullet"/>
      <w:lvlText w:val="o"/>
      <w:lvlJc w:val="left"/>
      <w:pPr>
        <w:tabs>
          <w:tab w:val="num" w:pos="3600"/>
        </w:tabs>
        <w:ind w:left="3600" w:hanging="360"/>
      </w:pPr>
      <w:rPr>
        <w:rFonts w:ascii="Courier New" w:hAnsi="Courier New" w:cs="Courier New" w:hint="default"/>
      </w:rPr>
    </w:lvl>
    <w:lvl w:ilvl="5" w:tplc="B920B2C2" w:tentative="1">
      <w:start w:val="1"/>
      <w:numFmt w:val="bullet"/>
      <w:lvlText w:val=""/>
      <w:lvlJc w:val="left"/>
      <w:pPr>
        <w:tabs>
          <w:tab w:val="num" w:pos="4320"/>
        </w:tabs>
        <w:ind w:left="4320" w:hanging="360"/>
      </w:pPr>
      <w:rPr>
        <w:rFonts w:ascii="Wingdings" w:hAnsi="Wingdings" w:hint="default"/>
      </w:rPr>
    </w:lvl>
    <w:lvl w:ilvl="6" w:tplc="59EE8322" w:tentative="1">
      <w:start w:val="1"/>
      <w:numFmt w:val="bullet"/>
      <w:lvlText w:val=""/>
      <w:lvlJc w:val="left"/>
      <w:pPr>
        <w:tabs>
          <w:tab w:val="num" w:pos="5040"/>
        </w:tabs>
        <w:ind w:left="5040" w:hanging="360"/>
      </w:pPr>
      <w:rPr>
        <w:rFonts w:ascii="Symbol" w:hAnsi="Symbol" w:hint="default"/>
      </w:rPr>
    </w:lvl>
    <w:lvl w:ilvl="7" w:tplc="52D41B08" w:tentative="1">
      <w:start w:val="1"/>
      <w:numFmt w:val="bullet"/>
      <w:lvlText w:val="o"/>
      <w:lvlJc w:val="left"/>
      <w:pPr>
        <w:tabs>
          <w:tab w:val="num" w:pos="5760"/>
        </w:tabs>
        <w:ind w:left="5760" w:hanging="360"/>
      </w:pPr>
      <w:rPr>
        <w:rFonts w:ascii="Courier New" w:hAnsi="Courier New" w:cs="Courier New" w:hint="default"/>
      </w:rPr>
    </w:lvl>
    <w:lvl w:ilvl="8" w:tplc="4ADC39B2" w:tentative="1">
      <w:start w:val="1"/>
      <w:numFmt w:val="bullet"/>
      <w:lvlText w:val=""/>
      <w:lvlJc w:val="left"/>
      <w:pPr>
        <w:tabs>
          <w:tab w:val="num" w:pos="6480"/>
        </w:tabs>
        <w:ind w:left="6480" w:hanging="360"/>
      </w:pPr>
      <w:rPr>
        <w:rFonts w:ascii="Wingdings" w:hAnsi="Wingdings" w:hint="default"/>
      </w:rPr>
    </w:lvl>
  </w:abstractNum>
  <w:abstractNum w:abstractNumId="10">
    <w:nsid w:val="23FB11E2"/>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
    <w:nsid w:val="252D607A"/>
    <w:multiLevelType w:val="multilevel"/>
    <w:tmpl w:val="10EEF272"/>
    <w:lvl w:ilvl="0">
      <w:start w:val="1"/>
      <w:numFmt w:val="decimal"/>
      <w:lvlText w:val="%1"/>
      <w:lvlJc w:val="left"/>
      <w:pPr>
        <w:ind w:left="720" w:hanging="720"/>
      </w:pPr>
      <w:rPr>
        <w:rFonts w:hint="default"/>
        <w:b/>
      </w:rPr>
    </w:lvl>
    <w:lvl w:ilvl="1">
      <w:start w:val="1"/>
      <w:numFmt w:val="bullet"/>
      <w:lvlText w:val=""/>
      <w:lvlJc w:val="left"/>
      <w:pPr>
        <w:ind w:left="720" w:hanging="720"/>
      </w:pPr>
      <w:rPr>
        <w:rFonts w:ascii="Symbol" w:hAnsi="Symbol" w:hint="default"/>
        <w:i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2">
    <w:nsid w:val="284E6825"/>
    <w:multiLevelType w:val="multilevel"/>
    <w:tmpl w:val="EB7802C2"/>
    <w:lvl w:ilvl="0">
      <w:start w:val="1"/>
      <w:numFmt w:val="decimal"/>
      <w:lvlText w:val="%1"/>
      <w:lvlJc w:val="left"/>
      <w:pPr>
        <w:ind w:left="432" w:hanging="432"/>
      </w:pPr>
      <w:rPr>
        <w:rFonts w:hint="default"/>
        <w:b/>
        <w:i w:val="0"/>
      </w:rPr>
    </w:lvl>
    <w:lvl w:ilvl="1">
      <w:start w:val="1"/>
      <w:numFmt w:val="decimal"/>
      <w:lvlText w:val="%1.%2"/>
      <w:lvlJc w:val="left"/>
      <w:pPr>
        <w:ind w:left="576" w:hanging="576"/>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3">
    <w:nsid w:val="2C0459B2"/>
    <w:multiLevelType w:val="hybridMultilevel"/>
    <w:tmpl w:val="75D4E640"/>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4">
    <w:nsid w:val="317E6951"/>
    <w:multiLevelType w:val="hybridMultilevel"/>
    <w:tmpl w:val="1038938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nsid w:val="34E904E0"/>
    <w:multiLevelType w:val="hybridMultilevel"/>
    <w:tmpl w:val="B4FCD872"/>
    <w:lvl w:ilvl="0" w:tplc="21D66824">
      <w:start w:val="1"/>
      <w:numFmt w:val="lowerLetter"/>
      <w:lvlText w:val="(%1)"/>
      <w:lvlJc w:val="left"/>
      <w:pPr>
        <w:ind w:left="720" w:hanging="360"/>
      </w:pPr>
      <w:rPr>
        <w:rFonts w:hint="default"/>
        <w:i/>
        <w:color w:val="auto"/>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6">
    <w:nsid w:val="37050A0B"/>
    <w:multiLevelType w:val="hybridMultilevel"/>
    <w:tmpl w:val="0FD6D48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nsid w:val="37D703EF"/>
    <w:multiLevelType w:val="hybridMultilevel"/>
    <w:tmpl w:val="52B2F7E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nsid w:val="45045F26"/>
    <w:multiLevelType w:val="multilevel"/>
    <w:tmpl w:val="CA582310"/>
    <w:lvl w:ilvl="0">
      <w:start w:val="1"/>
      <w:numFmt w:val="decimal"/>
      <w:lvlText w:val="%1"/>
      <w:lvlJc w:val="left"/>
      <w:pPr>
        <w:ind w:left="720" w:hanging="720"/>
      </w:pPr>
      <w:rPr>
        <w:rFonts w:hint="default"/>
        <w:b/>
      </w:rPr>
    </w:lvl>
    <w:lvl w:ilvl="1">
      <w:start w:val="1"/>
      <w:numFmt w:val="decimal"/>
      <w:lvlText w:val="6.%2"/>
      <w:lvlJc w:val="left"/>
      <w:pPr>
        <w:ind w:left="720" w:hanging="720"/>
      </w:pPr>
      <w:rPr>
        <w:rFonts w:asciiTheme="minorHAnsi" w:hAnsiTheme="minorHAnsi" w:hint="default"/>
        <w:i w:val="0"/>
        <w:color w:val="auto"/>
        <w:sz w:val="24"/>
        <w:szCs w:val="24"/>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9">
    <w:nsid w:val="4A2B0988"/>
    <w:multiLevelType w:val="hybridMultilevel"/>
    <w:tmpl w:val="90AA54FC"/>
    <w:lvl w:ilvl="0" w:tplc="FFFFFFFF">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20">
    <w:nsid w:val="52234693"/>
    <w:multiLevelType w:val="hybridMultilevel"/>
    <w:tmpl w:val="5BCE5926"/>
    <w:lvl w:ilvl="0" w:tplc="0C090001">
      <w:start w:val="1"/>
      <w:numFmt w:val="bullet"/>
      <w:lvlText w:val=""/>
      <w:lvlJc w:val="left"/>
      <w:pPr>
        <w:ind w:left="1429" w:hanging="360"/>
      </w:pPr>
      <w:rPr>
        <w:rFonts w:ascii="Symbol" w:hAnsi="Symbol" w:hint="default"/>
      </w:rPr>
    </w:lvl>
    <w:lvl w:ilvl="1" w:tplc="0C090003" w:tentative="1">
      <w:start w:val="1"/>
      <w:numFmt w:val="bullet"/>
      <w:lvlText w:val="o"/>
      <w:lvlJc w:val="left"/>
      <w:pPr>
        <w:ind w:left="2149" w:hanging="360"/>
      </w:pPr>
      <w:rPr>
        <w:rFonts w:ascii="Courier New" w:hAnsi="Courier New" w:cs="Courier New" w:hint="default"/>
      </w:rPr>
    </w:lvl>
    <w:lvl w:ilvl="2" w:tplc="0C090005" w:tentative="1">
      <w:start w:val="1"/>
      <w:numFmt w:val="bullet"/>
      <w:lvlText w:val=""/>
      <w:lvlJc w:val="left"/>
      <w:pPr>
        <w:ind w:left="2869" w:hanging="360"/>
      </w:pPr>
      <w:rPr>
        <w:rFonts w:ascii="Wingdings" w:hAnsi="Wingdings" w:hint="default"/>
      </w:rPr>
    </w:lvl>
    <w:lvl w:ilvl="3" w:tplc="0C090001" w:tentative="1">
      <w:start w:val="1"/>
      <w:numFmt w:val="bullet"/>
      <w:lvlText w:val=""/>
      <w:lvlJc w:val="left"/>
      <w:pPr>
        <w:ind w:left="3589" w:hanging="360"/>
      </w:pPr>
      <w:rPr>
        <w:rFonts w:ascii="Symbol" w:hAnsi="Symbol" w:hint="default"/>
      </w:rPr>
    </w:lvl>
    <w:lvl w:ilvl="4" w:tplc="0C090003" w:tentative="1">
      <w:start w:val="1"/>
      <w:numFmt w:val="bullet"/>
      <w:lvlText w:val="o"/>
      <w:lvlJc w:val="left"/>
      <w:pPr>
        <w:ind w:left="4309" w:hanging="360"/>
      </w:pPr>
      <w:rPr>
        <w:rFonts w:ascii="Courier New" w:hAnsi="Courier New" w:cs="Courier New" w:hint="default"/>
      </w:rPr>
    </w:lvl>
    <w:lvl w:ilvl="5" w:tplc="0C090005" w:tentative="1">
      <w:start w:val="1"/>
      <w:numFmt w:val="bullet"/>
      <w:lvlText w:val=""/>
      <w:lvlJc w:val="left"/>
      <w:pPr>
        <w:ind w:left="5029" w:hanging="360"/>
      </w:pPr>
      <w:rPr>
        <w:rFonts w:ascii="Wingdings" w:hAnsi="Wingdings" w:hint="default"/>
      </w:rPr>
    </w:lvl>
    <w:lvl w:ilvl="6" w:tplc="0C090001" w:tentative="1">
      <w:start w:val="1"/>
      <w:numFmt w:val="bullet"/>
      <w:lvlText w:val=""/>
      <w:lvlJc w:val="left"/>
      <w:pPr>
        <w:ind w:left="5749" w:hanging="360"/>
      </w:pPr>
      <w:rPr>
        <w:rFonts w:ascii="Symbol" w:hAnsi="Symbol" w:hint="default"/>
      </w:rPr>
    </w:lvl>
    <w:lvl w:ilvl="7" w:tplc="0C090003" w:tentative="1">
      <w:start w:val="1"/>
      <w:numFmt w:val="bullet"/>
      <w:lvlText w:val="o"/>
      <w:lvlJc w:val="left"/>
      <w:pPr>
        <w:ind w:left="6469" w:hanging="360"/>
      </w:pPr>
      <w:rPr>
        <w:rFonts w:ascii="Courier New" w:hAnsi="Courier New" w:cs="Courier New" w:hint="default"/>
      </w:rPr>
    </w:lvl>
    <w:lvl w:ilvl="8" w:tplc="0C090005" w:tentative="1">
      <w:start w:val="1"/>
      <w:numFmt w:val="bullet"/>
      <w:lvlText w:val=""/>
      <w:lvlJc w:val="left"/>
      <w:pPr>
        <w:ind w:left="7189" w:hanging="360"/>
      </w:pPr>
      <w:rPr>
        <w:rFonts w:ascii="Wingdings" w:hAnsi="Wingdings" w:hint="default"/>
      </w:rPr>
    </w:lvl>
  </w:abstractNum>
  <w:abstractNum w:abstractNumId="21">
    <w:nsid w:val="55031277"/>
    <w:multiLevelType w:val="hybridMultilevel"/>
    <w:tmpl w:val="25882BD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nsid w:val="57DC52D2"/>
    <w:multiLevelType w:val="hybridMultilevel"/>
    <w:tmpl w:val="9B101C56"/>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23">
    <w:nsid w:val="5E6D48FC"/>
    <w:multiLevelType w:val="hybridMultilevel"/>
    <w:tmpl w:val="EDFA2174"/>
    <w:lvl w:ilvl="0" w:tplc="0C09000F">
      <w:start w:val="1"/>
      <w:numFmt w:val="decimal"/>
      <w:lvlText w:val="%1."/>
      <w:lvlJc w:val="left"/>
      <w:pPr>
        <w:ind w:left="720" w:hanging="360"/>
      </w:pPr>
      <w:rPr>
        <w:rFonts w:cs="Times New Roman" w:hint="default"/>
      </w:rPr>
    </w:lvl>
    <w:lvl w:ilvl="1" w:tplc="0C090019" w:tentative="1">
      <w:start w:val="1"/>
      <w:numFmt w:val="lowerLetter"/>
      <w:lvlText w:val="%2."/>
      <w:lvlJc w:val="left"/>
      <w:pPr>
        <w:ind w:left="1440" w:hanging="360"/>
      </w:pPr>
      <w:rPr>
        <w:rFonts w:cs="Times New Roman"/>
      </w:rPr>
    </w:lvl>
    <w:lvl w:ilvl="2" w:tplc="0C09001B" w:tentative="1">
      <w:start w:val="1"/>
      <w:numFmt w:val="lowerRoman"/>
      <w:lvlText w:val="%3."/>
      <w:lvlJc w:val="right"/>
      <w:pPr>
        <w:ind w:left="2160" w:hanging="180"/>
      </w:pPr>
      <w:rPr>
        <w:rFonts w:cs="Times New Roman"/>
      </w:rPr>
    </w:lvl>
    <w:lvl w:ilvl="3" w:tplc="0C09000F" w:tentative="1">
      <w:start w:val="1"/>
      <w:numFmt w:val="decimal"/>
      <w:lvlText w:val="%4."/>
      <w:lvlJc w:val="left"/>
      <w:pPr>
        <w:ind w:left="2880" w:hanging="360"/>
      </w:pPr>
      <w:rPr>
        <w:rFonts w:cs="Times New Roman"/>
      </w:rPr>
    </w:lvl>
    <w:lvl w:ilvl="4" w:tplc="0C090019" w:tentative="1">
      <w:start w:val="1"/>
      <w:numFmt w:val="lowerLetter"/>
      <w:lvlText w:val="%5."/>
      <w:lvlJc w:val="left"/>
      <w:pPr>
        <w:ind w:left="3600" w:hanging="360"/>
      </w:pPr>
      <w:rPr>
        <w:rFonts w:cs="Times New Roman"/>
      </w:rPr>
    </w:lvl>
    <w:lvl w:ilvl="5" w:tplc="0C09001B" w:tentative="1">
      <w:start w:val="1"/>
      <w:numFmt w:val="lowerRoman"/>
      <w:lvlText w:val="%6."/>
      <w:lvlJc w:val="right"/>
      <w:pPr>
        <w:ind w:left="4320" w:hanging="180"/>
      </w:pPr>
      <w:rPr>
        <w:rFonts w:cs="Times New Roman"/>
      </w:rPr>
    </w:lvl>
    <w:lvl w:ilvl="6" w:tplc="0C09000F" w:tentative="1">
      <w:start w:val="1"/>
      <w:numFmt w:val="decimal"/>
      <w:lvlText w:val="%7."/>
      <w:lvlJc w:val="left"/>
      <w:pPr>
        <w:ind w:left="5040" w:hanging="360"/>
      </w:pPr>
      <w:rPr>
        <w:rFonts w:cs="Times New Roman"/>
      </w:rPr>
    </w:lvl>
    <w:lvl w:ilvl="7" w:tplc="0C090019" w:tentative="1">
      <w:start w:val="1"/>
      <w:numFmt w:val="lowerLetter"/>
      <w:lvlText w:val="%8."/>
      <w:lvlJc w:val="left"/>
      <w:pPr>
        <w:ind w:left="5760" w:hanging="360"/>
      </w:pPr>
      <w:rPr>
        <w:rFonts w:cs="Times New Roman"/>
      </w:rPr>
    </w:lvl>
    <w:lvl w:ilvl="8" w:tplc="0C09001B" w:tentative="1">
      <w:start w:val="1"/>
      <w:numFmt w:val="lowerRoman"/>
      <w:lvlText w:val="%9."/>
      <w:lvlJc w:val="right"/>
      <w:pPr>
        <w:ind w:left="6480" w:hanging="180"/>
      </w:pPr>
      <w:rPr>
        <w:rFonts w:cs="Times New Roman"/>
      </w:rPr>
    </w:lvl>
  </w:abstractNum>
  <w:abstractNum w:abstractNumId="24">
    <w:nsid w:val="61CE70BC"/>
    <w:multiLevelType w:val="hybridMultilevel"/>
    <w:tmpl w:val="381AC5C6"/>
    <w:lvl w:ilvl="0" w:tplc="0C090001">
      <w:start w:val="1"/>
      <w:numFmt w:val="bullet"/>
      <w:lvlText w:val=""/>
      <w:lvlJc w:val="left"/>
      <w:pPr>
        <w:ind w:left="3600" w:hanging="360"/>
      </w:pPr>
      <w:rPr>
        <w:rFonts w:ascii="Symbol" w:hAnsi="Symbol" w:hint="default"/>
      </w:rPr>
    </w:lvl>
    <w:lvl w:ilvl="1" w:tplc="0C090003" w:tentative="1">
      <w:start w:val="1"/>
      <w:numFmt w:val="bullet"/>
      <w:lvlText w:val="o"/>
      <w:lvlJc w:val="left"/>
      <w:pPr>
        <w:ind w:left="4320" w:hanging="360"/>
      </w:pPr>
      <w:rPr>
        <w:rFonts w:ascii="Courier New" w:hAnsi="Courier New" w:cs="Courier New" w:hint="default"/>
      </w:rPr>
    </w:lvl>
    <w:lvl w:ilvl="2" w:tplc="0C090005" w:tentative="1">
      <w:start w:val="1"/>
      <w:numFmt w:val="bullet"/>
      <w:lvlText w:val=""/>
      <w:lvlJc w:val="left"/>
      <w:pPr>
        <w:ind w:left="5040" w:hanging="360"/>
      </w:pPr>
      <w:rPr>
        <w:rFonts w:ascii="Wingdings" w:hAnsi="Wingdings" w:hint="default"/>
      </w:rPr>
    </w:lvl>
    <w:lvl w:ilvl="3" w:tplc="0C090001" w:tentative="1">
      <w:start w:val="1"/>
      <w:numFmt w:val="bullet"/>
      <w:lvlText w:val=""/>
      <w:lvlJc w:val="left"/>
      <w:pPr>
        <w:ind w:left="5760" w:hanging="360"/>
      </w:pPr>
      <w:rPr>
        <w:rFonts w:ascii="Symbol" w:hAnsi="Symbol" w:hint="default"/>
      </w:rPr>
    </w:lvl>
    <w:lvl w:ilvl="4" w:tplc="0C090003" w:tentative="1">
      <w:start w:val="1"/>
      <w:numFmt w:val="bullet"/>
      <w:lvlText w:val="o"/>
      <w:lvlJc w:val="left"/>
      <w:pPr>
        <w:ind w:left="6480" w:hanging="360"/>
      </w:pPr>
      <w:rPr>
        <w:rFonts w:ascii="Courier New" w:hAnsi="Courier New" w:cs="Courier New" w:hint="default"/>
      </w:rPr>
    </w:lvl>
    <w:lvl w:ilvl="5" w:tplc="0C090005" w:tentative="1">
      <w:start w:val="1"/>
      <w:numFmt w:val="bullet"/>
      <w:lvlText w:val=""/>
      <w:lvlJc w:val="left"/>
      <w:pPr>
        <w:ind w:left="7200" w:hanging="360"/>
      </w:pPr>
      <w:rPr>
        <w:rFonts w:ascii="Wingdings" w:hAnsi="Wingdings" w:hint="default"/>
      </w:rPr>
    </w:lvl>
    <w:lvl w:ilvl="6" w:tplc="0C090001" w:tentative="1">
      <w:start w:val="1"/>
      <w:numFmt w:val="bullet"/>
      <w:lvlText w:val=""/>
      <w:lvlJc w:val="left"/>
      <w:pPr>
        <w:ind w:left="7920" w:hanging="360"/>
      </w:pPr>
      <w:rPr>
        <w:rFonts w:ascii="Symbol" w:hAnsi="Symbol" w:hint="default"/>
      </w:rPr>
    </w:lvl>
    <w:lvl w:ilvl="7" w:tplc="0C090003" w:tentative="1">
      <w:start w:val="1"/>
      <w:numFmt w:val="bullet"/>
      <w:lvlText w:val="o"/>
      <w:lvlJc w:val="left"/>
      <w:pPr>
        <w:ind w:left="8640" w:hanging="360"/>
      </w:pPr>
      <w:rPr>
        <w:rFonts w:ascii="Courier New" w:hAnsi="Courier New" w:cs="Courier New" w:hint="default"/>
      </w:rPr>
    </w:lvl>
    <w:lvl w:ilvl="8" w:tplc="0C090005" w:tentative="1">
      <w:start w:val="1"/>
      <w:numFmt w:val="bullet"/>
      <w:lvlText w:val=""/>
      <w:lvlJc w:val="left"/>
      <w:pPr>
        <w:ind w:left="9360" w:hanging="360"/>
      </w:pPr>
      <w:rPr>
        <w:rFonts w:ascii="Wingdings" w:hAnsi="Wingdings" w:hint="default"/>
      </w:rPr>
    </w:lvl>
  </w:abstractNum>
  <w:abstractNum w:abstractNumId="25">
    <w:nsid w:val="6A115712"/>
    <w:multiLevelType w:val="hybridMultilevel"/>
    <w:tmpl w:val="40A0A7FA"/>
    <w:lvl w:ilvl="0" w:tplc="0C090019">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6">
    <w:nsid w:val="784D033C"/>
    <w:multiLevelType w:val="multilevel"/>
    <w:tmpl w:val="9DC2B45A"/>
    <w:lvl w:ilvl="0">
      <w:start w:val="1"/>
      <w:numFmt w:val="decimal"/>
      <w:pStyle w:val="PBACHeading1"/>
      <w:lvlText w:val="%1"/>
      <w:lvlJc w:val="left"/>
      <w:pPr>
        <w:ind w:left="720" w:hanging="720"/>
      </w:pPr>
      <w:rPr>
        <w:rFonts w:hint="default"/>
        <w:b/>
      </w:rPr>
    </w:lvl>
    <w:lvl w:ilvl="1">
      <w:start w:val="1"/>
      <w:numFmt w:val="decimal"/>
      <w:lvlText w:val="%1.%2"/>
      <w:lvlJc w:val="left"/>
      <w:pPr>
        <w:ind w:left="720" w:hanging="720"/>
      </w:pPr>
      <w:rPr>
        <w:rFonts w:hint="default"/>
        <w:i w:val="0"/>
        <w:color w:val="000000" w:themeColor="text1"/>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7">
    <w:nsid w:val="7D8649A5"/>
    <w:multiLevelType w:val="multilevel"/>
    <w:tmpl w:val="10EEF272"/>
    <w:lvl w:ilvl="0">
      <w:start w:val="1"/>
      <w:numFmt w:val="decimal"/>
      <w:lvlText w:val="%1"/>
      <w:lvlJc w:val="left"/>
      <w:pPr>
        <w:ind w:left="720" w:hanging="720"/>
      </w:pPr>
      <w:rPr>
        <w:rFonts w:hint="default"/>
        <w:b/>
      </w:rPr>
    </w:lvl>
    <w:lvl w:ilvl="1">
      <w:start w:val="1"/>
      <w:numFmt w:val="bullet"/>
      <w:lvlText w:val=""/>
      <w:lvlJc w:val="left"/>
      <w:pPr>
        <w:ind w:left="720" w:hanging="720"/>
      </w:pPr>
      <w:rPr>
        <w:rFonts w:ascii="Symbol" w:hAnsi="Symbol" w:hint="default"/>
        <w:i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8">
    <w:nsid w:val="7F664690"/>
    <w:multiLevelType w:val="hybridMultilevel"/>
    <w:tmpl w:val="B25E590E"/>
    <w:lvl w:ilvl="0" w:tplc="0C090011">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abstractNumId w:val="9"/>
  </w:num>
  <w:num w:numId="2">
    <w:abstractNumId w:val="3"/>
  </w:num>
  <w:num w:numId="3">
    <w:abstractNumId w:val="6"/>
  </w:num>
  <w:num w:numId="4">
    <w:abstractNumId w:val="19"/>
  </w:num>
  <w:num w:numId="5">
    <w:abstractNumId w:val="26"/>
  </w:num>
  <w:num w:numId="6">
    <w:abstractNumId w:val="8"/>
  </w:num>
  <w:num w:numId="7">
    <w:abstractNumId w:val="17"/>
  </w:num>
  <w:num w:numId="8">
    <w:abstractNumId w:val="4"/>
  </w:num>
  <w:num w:numId="9">
    <w:abstractNumId w:val="15"/>
  </w:num>
  <w:num w:numId="10">
    <w:abstractNumId w:val="14"/>
  </w:num>
  <w:num w:numId="11">
    <w:abstractNumId w:val="13"/>
  </w:num>
  <w:num w:numId="12">
    <w:abstractNumId w:val="1"/>
  </w:num>
  <w:num w:numId="13">
    <w:abstractNumId w:val="0"/>
  </w:num>
  <w:num w:numId="14">
    <w:abstractNumId w:val="26"/>
  </w:num>
  <w:num w:numId="15">
    <w:abstractNumId w:val="27"/>
  </w:num>
  <w:num w:numId="16">
    <w:abstractNumId w:val="7"/>
  </w:num>
  <w:num w:numId="17">
    <w:abstractNumId w:val="11"/>
  </w:num>
  <w:num w:numId="18">
    <w:abstractNumId w:val="23"/>
  </w:num>
  <w:num w:numId="19">
    <w:abstractNumId w:val="18"/>
  </w:num>
  <w:num w:numId="20">
    <w:abstractNumId w:val="12"/>
  </w:num>
  <w:num w:numId="21">
    <w:abstractNumId w:val="20"/>
  </w:num>
  <w:num w:numId="22">
    <w:abstractNumId w:val="24"/>
  </w:num>
  <w:num w:numId="23">
    <w:abstractNumId w:val="25"/>
  </w:num>
  <w:num w:numId="24">
    <w:abstractNumId w:val="16"/>
  </w:num>
  <w:num w:numId="25">
    <w:abstractNumId w:val="21"/>
  </w:num>
  <w:num w:numId="26">
    <w:abstractNumId w:val="5"/>
  </w:num>
  <w:num w:numId="27">
    <w:abstractNumId w:val="2"/>
  </w:num>
  <w:num w:numId="28">
    <w:abstractNumId w:val="10"/>
  </w:num>
  <w:num w:numId="29">
    <w:abstractNumId w:val="28"/>
  </w:num>
  <w:num w:numId="30">
    <w:abstractNumId w:val="22"/>
  </w:num>
  <w:num w:numId="31">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4"/>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Andrew Roberts">
    <w15:presenceInfo w15:providerId="None" w15:userId="Andrew Roberts"/>
  </w15:person>
  <w15:person w15:author="Robyn Ward">
    <w15:presenceInfo w15:providerId="Windows Live" w15:userId="2f8c0452c87ad33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3"/>
  <w:removePersonalInformation/>
  <w:removeDateAndTime/>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720"/>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4240E"/>
    <w:rsid w:val="000003BE"/>
    <w:rsid w:val="000025AD"/>
    <w:rsid w:val="00002CC7"/>
    <w:rsid w:val="0000335D"/>
    <w:rsid w:val="00005547"/>
    <w:rsid w:val="0001074F"/>
    <w:rsid w:val="00010A59"/>
    <w:rsid w:val="0001627D"/>
    <w:rsid w:val="0002464A"/>
    <w:rsid w:val="00025339"/>
    <w:rsid w:val="00026050"/>
    <w:rsid w:val="00030B07"/>
    <w:rsid w:val="0003106B"/>
    <w:rsid w:val="00040338"/>
    <w:rsid w:val="000421A1"/>
    <w:rsid w:val="0004240E"/>
    <w:rsid w:val="0004329B"/>
    <w:rsid w:val="0004410D"/>
    <w:rsid w:val="00045E26"/>
    <w:rsid w:val="000514B5"/>
    <w:rsid w:val="0005579B"/>
    <w:rsid w:val="00060E64"/>
    <w:rsid w:val="0006128B"/>
    <w:rsid w:val="00063079"/>
    <w:rsid w:val="00063C9E"/>
    <w:rsid w:val="00066755"/>
    <w:rsid w:val="00067E5B"/>
    <w:rsid w:val="00073A1F"/>
    <w:rsid w:val="0007561E"/>
    <w:rsid w:val="00077143"/>
    <w:rsid w:val="00080A67"/>
    <w:rsid w:val="00082169"/>
    <w:rsid w:val="00087081"/>
    <w:rsid w:val="00093880"/>
    <w:rsid w:val="00094ACC"/>
    <w:rsid w:val="000969AD"/>
    <w:rsid w:val="000A55E1"/>
    <w:rsid w:val="000A7140"/>
    <w:rsid w:val="000B2A32"/>
    <w:rsid w:val="000B3287"/>
    <w:rsid w:val="000B4F99"/>
    <w:rsid w:val="000B558D"/>
    <w:rsid w:val="000C44ED"/>
    <w:rsid w:val="000C6996"/>
    <w:rsid w:val="000C6F6B"/>
    <w:rsid w:val="000D140A"/>
    <w:rsid w:val="000D18AC"/>
    <w:rsid w:val="000D20BF"/>
    <w:rsid w:val="000D23BA"/>
    <w:rsid w:val="000E681E"/>
    <w:rsid w:val="000E70AA"/>
    <w:rsid w:val="000F0003"/>
    <w:rsid w:val="000F4E6A"/>
    <w:rsid w:val="000F6DB7"/>
    <w:rsid w:val="00104227"/>
    <w:rsid w:val="00106F04"/>
    <w:rsid w:val="001107BF"/>
    <w:rsid w:val="00112D79"/>
    <w:rsid w:val="00120DF4"/>
    <w:rsid w:val="0012417C"/>
    <w:rsid w:val="001253EE"/>
    <w:rsid w:val="001348A8"/>
    <w:rsid w:val="0013575C"/>
    <w:rsid w:val="001360A4"/>
    <w:rsid w:val="001361FB"/>
    <w:rsid w:val="00137BC1"/>
    <w:rsid w:val="001422EB"/>
    <w:rsid w:val="00142395"/>
    <w:rsid w:val="00142714"/>
    <w:rsid w:val="001452ED"/>
    <w:rsid w:val="00145AAF"/>
    <w:rsid w:val="00146E84"/>
    <w:rsid w:val="00150CEB"/>
    <w:rsid w:val="0015203C"/>
    <w:rsid w:val="00155066"/>
    <w:rsid w:val="00163329"/>
    <w:rsid w:val="00164623"/>
    <w:rsid w:val="001652AE"/>
    <w:rsid w:val="00165B64"/>
    <w:rsid w:val="00181907"/>
    <w:rsid w:val="001830CE"/>
    <w:rsid w:val="0018643B"/>
    <w:rsid w:val="00190151"/>
    <w:rsid w:val="00190533"/>
    <w:rsid w:val="001922A4"/>
    <w:rsid w:val="00196307"/>
    <w:rsid w:val="001A33EA"/>
    <w:rsid w:val="001A3FD7"/>
    <w:rsid w:val="001B017F"/>
    <w:rsid w:val="001B2BBC"/>
    <w:rsid w:val="001B5129"/>
    <w:rsid w:val="001C1195"/>
    <w:rsid w:val="001D2BCF"/>
    <w:rsid w:val="001D3B64"/>
    <w:rsid w:val="001E1A0C"/>
    <w:rsid w:val="001E39A9"/>
    <w:rsid w:val="001E3AC1"/>
    <w:rsid w:val="001E490F"/>
    <w:rsid w:val="001E53D7"/>
    <w:rsid w:val="001F0ECD"/>
    <w:rsid w:val="001F1850"/>
    <w:rsid w:val="001F6D3A"/>
    <w:rsid w:val="001F7933"/>
    <w:rsid w:val="0020182A"/>
    <w:rsid w:val="00203FAC"/>
    <w:rsid w:val="00204B40"/>
    <w:rsid w:val="00213CFB"/>
    <w:rsid w:val="00217BE1"/>
    <w:rsid w:val="00237C8F"/>
    <w:rsid w:val="0024004B"/>
    <w:rsid w:val="002450A6"/>
    <w:rsid w:val="0025284E"/>
    <w:rsid w:val="00253759"/>
    <w:rsid w:val="00256B68"/>
    <w:rsid w:val="00260792"/>
    <w:rsid w:val="002617B0"/>
    <w:rsid w:val="00271BA1"/>
    <w:rsid w:val="002762FA"/>
    <w:rsid w:val="00276815"/>
    <w:rsid w:val="00277505"/>
    <w:rsid w:val="00281318"/>
    <w:rsid w:val="002873B2"/>
    <w:rsid w:val="00292742"/>
    <w:rsid w:val="0029458F"/>
    <w:rsid w:val="00294597"/>
    <w:rsid w:val="00296865"/>
    <w:rsid w:val="002A104C"/>
    <w:rsid w:val="002A3A23"/>
    <w:rsid w:val="002A4960"/>
    <w:rsid w:val="002B05AE"/>
    <w:rsid w:val="002B1AE6"/>
    <w:rsid w:val="002B2DE8"/>
    <w:rsid w:val="002B30F8"/>
    <w:rsid w:val="002B5596"/>
    <w:rsid w:val="002B76E2"/>
    <w:rsid w:val="002B7AB5"/>
    <w:rsid w:val="002C212F"/>
    <w:rsid w:val="002D4543"/>
    <w:rsid w:val="002E0B9D"/>
    <w:rsid w:val="002E3153"/>
    <w:rsid w:val="002E72CA"/>
    <w:rsid w:val="00300AD6"/>
    <w:rsid w:val="00300B03"/>
    <w:rsid w:val="0030371B"/>
    <w:rsid w:val="00312DAE"/>
    <w:rsid w:val="00317C6C"/>
    <w:rsid w:val="00317D4F"/>
    <w:rsid w:val="003258C2"/>
    <w:rsid w:val="00326E79"/>
    <w:rsid w:val="003271F1"/>
    <w:rsid w:val="0033518A"/>
    <w:rsid w:val="003367EF"/>
    <w:rsid w:val="00341AE4"/>
    <w:rsid w:val="00345166"/>
    <w:rsid w:val="00345E62"/>
    <w:rsid w:val="00351438"/>
    <w:rsid w:val="00353D90"/>
    <w:rsid w:val="00357F65"/>
    <w:rsid w:val="00361432"/>
    <w:rsid w:val="00363098"/>
    <w:rsid w:val="00366E3B"/>
    <w:rsid w:val="003719F2"/>
    <w:rsid w:val="00377948"/>
    <w:rsid w:val="00381C49"/>
    <w:rsid w:val="003836FF"/>
    <w:rsid w:val="00384B15"/>
    <w:rsid w:val="003872CF"/>
    <w:rsid w:val="00395BFE"/>
    <w:rsid w:val="0039782C"/>
    <w:rsid w:val="003A2894"/>
    <w:rsid w:val="003A55E9"/>
    <w:rsid w:val="003A5B4A"/>
    <w:rsid w:val="003B168D"/>
    <w:rsid w:val="003B23C5"/>
    <w:rsid w:val="003B2A75"/>
    <w:rsid w:val="003B6124"/>
    <w:rsid w:val="003B63D3"/>
    <w:rsid w:val="003B7F5A"/>
    <w:rsid w:val="003C2FB5"/>
    <w:rsid w:val="003C48A0"/>
    <w:rsid w:val="003C5164"/>
    <w:rsid w:val="003C65BC"/>
    <w:rsid w:val="003D4AC4"/>
    <w:rsid w:val="003D63B7"/>
    <w:rsid w:val="003E2DD3"/>
    <w:rsid w:val="003E3A00"/>
    <w:rsid w:val="003E468B"/>
    <w:rsid w:val="003E48E3"/>
    <w:rsid w:val="003E4DA4"/>
    <w:rsid w:val="003F187B"/>
    <w:rsid w:val="003F2708"/>
    <w:rsid w:val="003F3228"/>
    <w:rsid w:val="003F5C8C"/>
    <w:rsid w:val="0042322C"/>
    <w:rsid w:val="004252EC"/>
    <w:rsid w:val="004257DA"/>
    <w:rsid w:val="00426F97"/>
    <w:rsid w:val="0043431C"/>
    <w:rsid w:val="0043442F"/>
    <w:rsid w:val="0043703F"/>
    <w:rsid w:val="00441659"/>
    <w:rsid w:val="00442CC5"/>
    <w:rsid w:val="004465BD"/>
    <w:rsid w:val="00452DD5"/>
    <w:rsid w:val="00456024"/>
    <w:rsid w:val="0046682C"/>
    <w:rsid w:val="00466ADA"/>
    <w:rsid w:val="00466D45"/>
    <w:rsid w:val="00475722"/>
    <w:rsid w:val="00476245"/>
    <w:rsid w:val="00483035"/>
    <w:rsid w:val="00485940"/>
    <w:rsid w:val="004A2484"/>
    <w:rsid w:val="004A5A85"/>
    <w:rsid w:val="004A71D1"/>
    <w:rsid w:val="004B55CD"/>
    <w:rsid w:val="004B5640"/>
    <w:rsid w:val="004C1BD7"/>
    <w:rsid w:val="004C31FE"/>
    <w:rsid w:val="004C691D"/>
    <w:rsid w:val="004C6C07"/>
    <w:rsid w:val="004E692D"/>
    <w:rsid w:val="004F2275"/>
    <w:rsid w:val="00501554"/>
    <w:rsid w:val="00514CD7"/>
    <w:rsid w:val="00523C50"/>
    <w:rsid w:val="005319B2"/>
    <w:rsid w:val="00532402"/>
    <w:rsid w:val="00532C74"/>
    <w:rsid w:val="00534E2E"/>
    <w:rsid w:val="00544552"/>
    <w:rsid w:val="0055427C"/>
    <w:rsid w:val="00554AEF"/>
    <w:rsid w:val="00562FE6"/>
    <w:rsid w:val="00567623"/>
    <w:rsid w:val="00570B4E"/>
    <w:rsid w:val="005712EA"/>
    <w:rsid w:val="00571884"/>
    <w:rsid w:val="00574991"/>
    <w:rsid w:val="00577C4D"/>
    <w:rsid w:val="00581932"/>
    <w:rsid w:val="00586141"/>
    <w:rsid w:val="00586AB3"/>
    <w:rsid w:val="00594524"/>
    <w:rsid w:val="005963BB"/>
    <w:rsid w:val="005A3173"/>
    <w:rsid w:val="005A3223"/>
    <w:rsid w:val="005A33AA"/>
    <w:rsid w:val="005A3DA3"/>
    <w:rsid w:val="005A52C4"/>
    <w:rsid w:val="005B0653"/>
    <w:rsid w:val="005B2FA2"/>
    <w:rsid w:val="005B79BA"/>
    <w:rsid w:val="005C22A3"/>
    <w:rsid w:val="005C78DA"/>
    <w:rsid w:val="005D03AB"/>
    <w:rsid w:val="005D19F1"/>
    <w:rsid w:val="005D5017"/>
    <w:rsid w:val="005D5604"/>
    <w:rsid w:val="005D7BAE"/>
    <w:rsid w:val="005D7D03"/>
    <w:rsid w:val="005E1333"/>
    <w:rsid w:val="005E2C4C"/>
    <w:rsid w:val="005E6D31"/>
    <w:rsid w:val="005F3F56"/>
    <w:rsid w:val="00601A91"/>
    <w:rsid w:val="00602BA3"/>
    <w:rsid w:val="00603042"/>
    <w:rsid w:val="006111A0"/>
    <w:rsid w:val="00612E34"/>
    <w:rsid w:val="00614159"/>
    <w:rsid w:val="00617C00"/>
    <w:rsid w:val="006263BF"/>
    <w:rsid w:val="0062748A"/>
    <w:rsid w:val="00630A2C"/>
    <w:rsid w:val="0063682E"/>
    <w:rsid w:val="00636BFE"/>
    <w:rsid w:val="006436CD"/>
    <w:rsid w:val="00644DA1"/>
    <w:rsid w:val="00646A23"/>
    <w:rsid w:val="00647E82"/>
    <w:rsid w:val="00651169"/>
    <w:rsid w:val="00653D69"/>
    <w:rsid w:val="0066583F"/>
    <w:rsid w:val="006670BE"/>
    <w:rsid w:val="00667BA2"/>
    <w:rsid w:val="00670A76"/>
    <w:rsid w:val="006711AA"/>
    <w:rsid w:val="00672B57"/>
    <w:rsid w:val="00675622"/>
    <w:rsid w:val="0067747D"/>
    <w:rsid w:val="00681010"/>
    <w:rsid w:val="00687E5E"/>
    <w:rsid w:val="006906DB"/>
    <w:rsid w:val="00691E6C"/>
    <w:rsid w:val="00696129"/>
    <w:rsid w:val="00697CF2"/>
    <w:rsid w:val="006A12A5"/>
    <w:rsid w:val="006A375F"/>
    <w:rsid w:val="006B0D94"/>
    <w:rsid w:val="006B485D"/>
    <w:rsid w:val="006C3250"/>
    <w:rsid w:val="006C708E"/>
    <w:rsid w:val="006D6493"/>
    <w:rsid w:val="006D6EC7"/>
    <w:rsid w:val="006D7BF8"/>
    <w:rsid w:val="006E4AF7"/>
    <w:rsid w:val="006E64C1"/>
    <w:rsid w:val="006F0481"/>
    <w:rsid w:val="006F2D8D"/>
    <w:rsid w:val="006F48CD"/>
    <w:rsid w:val="006F5125"/>
    <w:rsid w:val="006F5176"/>
    <w:rsid w:val="006F7262"/>
    <w:rsid w:val="00700795"/>
    <w:rsid w:val="007027E8"/>
    <w:rsid w:val="00702B6F"/>
    <w:rsid w:val="0071340B"/>
    <w:rsid w:val="00714E86"/>
    <w:rsid w:val="007174BB"/>
    <w:rsid w:val="0072025D"/>
    <w:rsid w:val="00725BF0"/>
    <w:rsid w:val="007353D3"/>
    <w:rsid w:val="00744BBE"/>
    <w:rsid w:val="0076420C"/>
    <w:rsid w:val="007753C2"/>
    <w:rsid w:val="00775AC6"/>
    <w:rsid w:val="007838B8"/>
    <w:rsid w:val="0079314F"/>
    <w:rsid w:val="0079478A"/>
    <w:rsid w:val="00797FD3"/>
    <w:rsid w:val="007A6453"/>
    <w:rsid w:val="007C0F57"/>
    <w:rsid w:val="007C10F9"/>
    <w:rsid w:val="007C34B2"/>
    <w:rsid w:val="007C40B6"/>
    <w:rsid w:val="007C4BD7"/>
    <w:rsid w:val="007C729F"/>
    <w:rsid w:val="007E1497"/>
    <w:rsid w:val="007E1D28"/>
    <w:rsid w:val="007E409C"/>
    <w:rsid w:val="007F2641"/>
    <w:rsid w:val="007F7C36"/>
    <w:rsid w:val="00804B2D"/>
    <w:rsid w:val="00806486"/>
    <w:rsid w:val="00806796"/>
    <w:rsid w:val="00807C2A"/>
    <w:rsid w:val="00811683"/>
    <w:rsid w:val="00811DEF"/>
    <w:rsid w:val="008151D6"/>
    <w:rsid w:val="00816635"/>
    <w:rsid w:val="00826F6D"/>
    <w:rsid w:val="00827E9F"/>
    <w:rsid w:val="008306F3"/>
    <w:rsid w:val="00856DDD"/>
    <w:rsid w:val="008575E5"/>
    <w:rsid w:val="00857E1C"/>
    <w:rsid w:val="00863E68"/>
    <w:rsid w:val="008755E7"/>
    <w:rsid w:val="00875D05"/>
    <w:rsid w:val="00882085"/>
    <w:rsid w:val="00883188"/>
    <w:rsid w:val="00897D58"/>
    <w:rsid w:val="00897F22"/>
    <w:rsid w:val="008A1956"/>
    <w:rsid w:val="008A4937"/>
    <w:rsid w:val="008A50F1"/>
    <w:rsid w:val="008A66A8"/>
    <w:rsid w:val="008B0214"/>
    <w:rsid w:val="008B3B11"/>
    <w:rsid w:val="008C4CE4"/>
    <w:rsid w:val="008C74B4"/>
    <w:rsid w:val="008D1B5C"/>
    <w:rsid w:val="008D3C82"/>
    <w:rsid w:val="008D447E"/>
    <w:rsid w:val="008D7A41"/>
    <w:rsid w:val="008E3680"/>
    <w:rsid w:val="008E5870"/>
    <w:rsid w:val="008F1434"/>
    <w:rsid w:val="008F4A1D"/>
    <w:rsid w:val="008F57AE"/>
    <w:rsid w:val="008F7355"/>
    <w:rsid w:val="009067B7"/>
    <w:rsid w:val="00906B87"/>
    <w:rsid w:val="00914EE3"/>
    <w:rsid w:val="0091579D"/>
    <w:rsid w:val="00924C0A"/>
    <w:rsid w:val="00930937"/>
    <w:rsid w:val="00933E6C"/>
    <w:rsid w:val="00937276"/>
    <w:rsid w:val="00937958"/>
    <w:rsid w:val="00942160"/>
    <w:rsid w:val="0095146F"/>
    <w:rsid w:val="009570B0"/>
    <w:rsid w:val="009602C5"/>
    <w:rsid w:val="00962223"/>
    <w:rsid w:val="00962D69"/>
    <w:rsid w:val="00966D0D"/>
    <w:rsid w:val="009747D2"/>
    <w:rsid w:val="00974C21"/>
    <w:rsid w:val="00976707"/>
    <w:rsid w:val="0098268C"/>
    <w:rsid w:val="00987F08"/>
    <w:rsid w:val="009928D6"/>
    <w:rsid w:val="009A0ADF"/>
    <w:rsid w:val="009A372C"/>
    <w:rsid w:val="009A745E"/>
    <w:rsid w:val="009B0F67"/>
    <w:rsid w:val="009B2F78"/>
    <w:rsid w:val="009C5BEB"/>
    <w:rsid w:val="009C703C"/>
    <w:rsid w:val="009D3CAA"/>
    <w:rsid w:val="009D6697"/>
    <w:rsid w:val="009E01D2"/>
    <w:rsid w:val="009E64A0"/>
    <w:rsid w:val="009F4E46"/>
    <w:rsid w:val="009F5B65"/>
    <w:rsid w:val="009F5F2E"/>
    <w:rsid w:val="009F60F2"/>
    <w:rsid w:val="00A00050"/>
    <w:rsid w:val="00A06225"/>
    <w:rsid w:val="00A128E6"/>
    <w:rsid w:val="00A13595"/>
    <w:rsid w:val="00A20068"/>
    <w:rsid w:val="00A20873"/>
    <w:rsid w:val="00A23C06"/>
    <w:rsid w:val="00A23CC0"/>
    <w:rsid w:val="00A252F9"/>
    <w:rsid w:val="00A30F63"/>
    <w:rsid w:val="00A34E6C"/>
    <w:rsid w:val="00A37C8D"/>
    <w:rsid w:val="00A42C9C"/>
    <w:rsid w:val="00A5031E"/>
    <w:rsid w:val="00A523CC"/>
    <w:rsid w:val="00A5273B"/>
    <w:rsid w:val="00A53A9D"/>
    <w:rsid w:val="00A55FEE"/>
    <w:rsid w:val="00A56BBA"/>
    <w:rsid w:val="00A61AF2"/>
    <w:rsid w:val="00A62C1A"/>
    <w:rsid w:val="00A6426D"/>
    <w:rsid w:val="00A65124"/>
    <w:rsid w:val="00A665C1"/>
    <w:rsid w:val="00A70622"/>
    <w:rsid w:val="00A70910"/>
    <w:rsid w:val="00A70977"/>
    <w:rsid w:val="00A72CBC"/>
    <w:rsid w:val="00A77613"/>
    <w:rsid w:val="00A77AE5"/>
    <w:rsid w:val="00A8390C"/>
    <w:rsid w:val="00A928BD"/>
    <w:rsid w:val="00A95B4C"/>
    <w:rsid w:val="00AA2ED3"/>
    <w:rsid w:val="00AA4D1C"/>
    <w:rsid w:val="00AA5100"/>
    <w:rsid w:val="00AB2194"/>
    <w:rsid w:val="00AC193C"/>
    <w:rsid w:val="00AC5206"/>
    <w:rsid w:val="00AD0567"/>
    <w:rsid w:val="00AE11A5"/>
    <w:rsid w:val="00AE13E2"/>
    <w:rsid w:val="00AE22D3"/>
    <w:rsid w:val="00AE4A0F"/>
    <w:rsid w:val="00AE5354"/>
    <w:rsid w:val="00AF62DF"/>
    <w:rsid w:val="00AF68CC"/>
    <w:rsid w:val="00B01C1C"/>
    <w:rsid w:val="00B0302B"/>
    <w:rsid w:val="00B1059E"/>
    <w:rsid w:val="00B13178"/>
    <w:rsid w:val="00B176C8"/>
    <w:rsid w:val="00B20209"/>
    <w:rsid w:val="00B205AA"/>
    <w:rsid w:val="00B206F3"/>
    <w:rsid w:val="00B22E84"/>
    <w:rsid w:val="00B24523"/>
    <w:rsid w:val="00B25F75"/>
    <w:rsid w:val="00B26B3F"/>
    <w:rsid w:val="00B32C8C"/>
    <w:rsid w:val="00B33A7F"/>
    <w:rsid w:val="00B43E90"/>
    <w:rsid w:val="00B467DC"/>
    <w:rsid w:val="00B528F4"/>
    <w:rsid w:val="00B52FA3"/>
    <w:rsid w:val="00B56118"/>
    <w:rsid w:val="00B56A17"/>
    <w:rsid w:val="00B57008"/>
    <w:rsid w:val="00B6773F"/>
    <w:rsid w:val="00B71FCB"/>
    <w:rsid w:val="00B801BA"/>
    <w:rsid w:val="00B80229"/>
    <w:rsid w:val="00B84D5C"/>
    <w:rsid w:val="00B857E5"/>
    <w:rsid w:val="00BA2913"/>
    <w:rsid w:val="00BB1682"/>
    <w:rsid w:val="00BB2452"/>
    <w:rsid w:val="00BB69F5"/>
    <w:rsid w:val="00BB7EC3"/>
    <w:rsid w:val="00BC3ED9"/>
    <w:rsid w:val="00BC4B9A"/>
    <w:rsid w:val="00BD4589"/>
    <w:rsid w:val="00BD513B"/>
    <w:rsid w:val="00BD784C"/>
    <w:rsid w:val="00BF39B4"/>
    <w:rsid w:val="00BF4CB6"/>
    <w:rsid w:val="00BF67C6"/>
    <w:rsid w:val="00C00DA7"/>
    <w:rsid w:val="00C033DB"/>
    <w:rsid w:val="00C07F6E"/>
    <w:rsid w:val="00C12768"/>
    <w:rsid w:val="00C149FD"/>
    <w:rsid w:val="00C27B58"/>
    <w:rsid w:val="00C35996"/>
    <w:rsid w:val="00C4747E"/>
    <w:rsid w:val="00C52726"/>
    <w:rsid w:val="00C5342C"/>
    <w:rsid w:val="00C56710"/>
    <w:rsid w:val="00C603D4"/>
    <w:rsid w:val="00C6256A"/>
    <w:rsid w:val="00C62A10"/>
    <w:rsid w:val="00C65CA5"/>
    <w:rsid w:val="00C67FAB"/>
    <w:rsid w:val="00C70582"/>
    <w:rsid w:val="00C705A0"/>
    <w:rsid w:val="00C7353D"/>
    <w:rsid w:val="00C77891"/>
    <w:rsid w:val="00C91449"/>
    <w:rsid w:val="00C92D10"/>
    <w:rsid w:val="00C96EC8"/>
    <w:rsid w:val="00CC6735"/>
    <w:rsid w:val="00CE10C4"/>
    <w:rsid w:val="00CE27B5"/>
    <w:rsid w:val="00CF630F"/>
    <w:rsid w:val="00D0321E"/>
    <w:rsid w:val="00D1455A"/>
    <w:rsid w:val="00D16BD7"/>
    <w:rsid w:val="00D24C01"/>
    <w:rsid w:val="00D31150"/>
    <w:rsid w:val="00D3138B"/>
    <w:rsid w:val="00D3280C"/>
    <w:rsid w:val="00D34043"/>
    <w:rsid w:val="00D3406A"/>
    <w:rsid w:val="00D4046A"/>
    <w:rsid w:val="00D4572C"/>
    <w:rsid w:val="00D469B2"/>
    <w:rsid w:val="00D64604"/>
    <w:rsid w:val="00D65E08"/>
    <w:rsid w:val="00D72921"/>
    <w:rsid w:val="00D741EB"/>
    <w:rsid w:val="00D8000D"/>
    <w:rsid w:val="00D80FC7"/>
    <w:rsid w:val="00D83605"/>
    <w:rsid w:val="00D83F61"/>
    <w:rsid w:val="00D84934"/>
    <w:rsid w:val="00D86043"/>
    <w:rsid w:val="00D867A2"/>
    <w:rsid w:val="00D91271"/>
    <w:rsid w:val="00DA0BFC"/>
    <w:rsid w:val="00DA0F9A"/>
    <w:rsid w:val="00DA2CB5"/>
    <w:rsid w:val="00DA4BAC"/>
    <w:rsid w:val="00DB6884"/>
    <w:rsid w:val="00DE213A"/>
    <w:rsid w:val="00DE3D08"/>
    <w:rsid w:val="00DE6D27"/>
    <w:rsid w:val="00DF217D"/>
    <w:rsid w:val="00DF26A7"/>
    <w:rsid w:val="00DF6E96"/>
    <w:rsid w:val="00E06DB2"/>
    <w:rsid w:val="00E15627"/>
    <w:rsid w:val="00E164B3"/>
    <w:rsid w:val="00E16910"/>
    <w:rsid w:val="00E23BFB"/>
    <w:rsid w:val="00E30BBF"/>
    <w:rsid w:val="00E36001"/>
    <w:rsid w:val="00E42BDB"/>
    <w:rsid w:val="00E443EE"/>
    <w:rsid w:val="00E54E21"/>
    <w:rsid w:val="00E572F3"/>
    <w:rsid w:val="00E573C0"/>
    <w:rsid w:val="00E57EEB"/>
    <w:rsid w:val="00E62D94"/>
    <w:rsid w:val="00E648F5"/>
    <w:rsid w:val="00E65E54"/>
    <w:rsid w:val="00E80155"/>
    <w:rsid w:val="00E81F28"/>
    <w:rsid w:val="00E83A36"/>
    <w:rsid w:val="00E848C0"/>
    <w:rsid w:val="00E852EE"/>
    <w:rsid w:val="00E91B96"/>
    <w:rsid w:val="00E9362B"/>
    <w:rsid w:val="00E941A1"/>
    <w:rsid w:val="00E95CE3"/>
    <w:rsid w:val="00E96597"/>
    <w:rsid w:val="00E96E7D"/>
    <w:rsid w:val="00EA2825"/>
    <w:rsid w:val="00EA5377"/>
    <w:rsid w:val="00EB0B63"/>
    <w:rsid w:val="00EB1936"/>
    <w:rsid w:val="00EB1D68"/>
    <w:rsid w:val="00EB5088"/>
    <w:rsid w:val="00EB585D"/>
    <w:rsid w:val="00EC47E3"/>
    <w:rsid w:val="00ED152C"/>
    <w:rsid w:val="00ED1644"/>
    <w:rsid w:val="00ED2593"/>
    <w:rsid w:val="00ED5EC8"/>
    <w:rsid w:val="00ED75C7"/>
    <w:rsid w:val="00ED7D9C"/>
    <w:rsid w:val="00EE442E"/>
    <w:rsid w:val="00EE4B9D"/>
    <w:rsid w:val="00EE5297"/>
    <w:rsid w:val="00EE697B"/>
    <w:rsid w:val="00EF44A0"/>
    <w:rsid w:val="00EF4FED"/>
    <w:rsid w:val="00EF501D"/>
    <w:rsid w:val="00EF70C2"/>
    <w:rsid w:val="00F050BD"/>
    <w:rsid w:val="00F05657"/>
    <w:rsid w:val="00F12AD2"/>
    <w:rsid w:val="00F144A9"/>
    <w:rsid w:val="00F168F8"/>
    <w:rsid w:val="00F2172D"/>
    <w:rsid w:val="00F23B24"/>
    <w:rsid w:val="00F24BE9"/>
    <w:rsid w:val="00F25578"/>
    <w:rsid w:val="00F258E5"/>
    <w:rsid w:val="00F300BC"/>
    <w:rsid w:val="00F30809"/>
    <w:rsid w:val="00F3334E"/>
    <w:rsid w:val="00F335DB"/>
    <w:rsid w:val="00F36CCB"/>
    <w:rsid w:val="00F374E5"/>
    <w:rsid w:val="00F43AF2"/>
    <w:rsid w:val="00F46669"/>
    <w:rsid w:val="00F46A57"/>
    <w:rsid w:val="00F50EC4"/>
    <w:rsid w:val="00F524CB"/>
    <w:rsid w:val="00F550CF"/>
    <w:rsid w:val="00F57A6D"/>
    <w:rsid w:val="00F638CC"/>
    <w:rsid w:val="00F64CC1"/>
    <w:rsid w:val="00F72317"/>
    <w:rsid w:val="00F7733A"/>
    <w:rsid w:val="00F80475"/>
    <w:rsid w:val="00F8201E"/>
    <w:rsid w:val="00F8247A"/>
    <w:rsid w:val="00F82D23"/>
    <w:rsid w:val="00F85503"/>
    <w:rsid w:val="00F9629A"/>
    <w:rsid w:val="00F97EFC"/>
    <w:rsid w:val="00FA3799"/>
    <w:rsid w:val="00FA5883"/>
    <w:rsid w:val="00FA6055"/>
    <w:rsid w:val="00FB1AEF"/>
    <w:rsid w:val="00FB322F"/>
    <w:rsid w:val="00FB442F"/>
    <w:rsid w:val="00FC1929"/>
    <w:rsid w:val="00FC3D32"/>
    <w:rsid w:val="00FC5B46"/>
    <w:rsid w:val="00FD046B"/>
    <w:rsid w:val="00FD6D8E"/>
    <w:rsid w:val="00FE03C5"/>
    <w:rsid w:val="00FE0E94"/>
    <w:rsid w:val="00FF00BD"/>
    <w:rsid w:val="00FF1ED4"/>
    <w:rsid w:val="00FF2801"/>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AU" w:eastAsia="en-AU" w:bidi="ar-SA"/>
      </w:rPr>
    </w:rPrDefault>
    <w:pPrDefault/>
  </w:docDefaults>
  <w:latentStyles w:defLockedState="0" w:defUIPriority="0" w:defSemiHidden="1" w:defUnhideWhenUsed="1" w:defQFormat="0" w:count="267">
    <w:lsdException w:name="Normal" w:semiHidden="0" w:unhideWhenUsed="0" w:qFormat="1"/>
    <w:lsdException w:name="heading 1" w:semiHidden="0" w:uiPriority="1" w:unhideWhenUsed="0" w:qFormat="1"/>
    <w:lsdException w:name="heading 2" w:semiHidden="0" w:uiPriority="1" w:unhideWhenUsed="0" w:qFormat="1"/>
    <w:lsdException w:name="heading 3" w:qFormat="1"/>
    <w:lsdException w:name="heading 4" w:qFormat="1"/>
    <w:lsdException w:name="heading 5" w:qFormat="1"/>
    <w:lsdException w:name="heading 6" w:qFormat="1"/>
    <w:lsdException w:name="heading 7" w:qFormat="1"/>
    <w:lsdException w:name="heading 8" w:uiPriority="7" w:qFormat="1"/>
    <w:lsdException w:name="heading 9" w:qFormat="1"/>
    <w:lsdException w:name="header" w:uiPriority="99"/>
    <w:lsdException w:name="footer" w:uiPriority="99"/>
    <w:lsdException w:name="caption" w:qFormat="1"/>
    <w:lsdException w:name="footnote reference" w:uiPriority="99"/>
    <w:lsdException w:name="annotation reference" w:qFormat="1"/>
    <w:lsdException w:name="macro" w:semiHidden="0" w:unhideWhenUsed="0"/>
    <w:lsdException w:name="List Bullet" w:semiHidden="0" w:unhideWhenUsed="0"/>
    <w:lsdException w:name="List Number" w:semiHidden="0" w:unhideWhenUsed="0"/>
    <w:lsdException w:name="Title" w:semiHidden="0" w:unhideWhenUsed="0" w:qFormat="1"/>
    <w:lsdException w:name="List Continue 3" w:semiHidden="0" w:unhideWhenUsed="0"/>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Hyperlink" w:uiPriority="99"/>
    <w:lsdException w:name="Strong" w:semiHidden="0" w:unhideWhenUsed="0" w:qFormat="1"/>
    <w:lsdException w:name="Emphasis" w:semiHidden="0" w:unhideWhenUsed="0" w:qFormat="1"/>
    <w:lsdException w:name="Balloon Text" w:semiHidden="0" w:unhideWhenUsed="0"/>
    <w:lsdException w:name="Table Grid" w:semiHidden="0" w:uiPriority="59" w:unhideWhenUsed="0"/>
    <w:lsdException w:name="Placeholder Text" w:uiPriority="99"/>
    <w:lsdException w:name="No Spacing" w:semiHidden="0" w:uiPriority="99" w:unhideWhenUsed="0" w:qFormat="1"/>
    <w:lsdException w:name="Light Shading" w:semiHidden="0" w:uiPriority="99" w:unhideWhenUsed="0"/>
    <w:lsdException w:name="Light List" w:semiHidden="0" w:uiPriority="99" w:unhideWhenUsed="0"/>
    <w:lsdException w:name="Light Grid" w:semiHidden="0" w:uiPriority="99" w:unhideWhenUsed="0"/>
    <w:lsdException w:name="Medium Shading 1" w:semiHidden="0" w:uiPriority="99" w:unhideWhenUsed="0"/>
    <w:lsdException w:name="Medium Shading 2" w:semiHidden="0" w:uiPriority="99" w:unhideWhenUsed="0"/>
    <w:lsdException w:name="Medium List 1" w:semiHidden="0" w:uiPriority="99" w:unhideWhenUsed="0"/>
    <w:lsdException w:name="Medium List 2" w:semiHidden="0" w:uiPriority="99" w:unhideWhenUsed="0"/>
    <w:lsdException w:name="Medium Grid 1" w:semiHidden="0" w:uiPriority="99" w:unhideWhenUsed="0"/>
    <w:lsdException w:name="Medium Grid 2" w:semiHidden="0" w:unhideWhenUsed="0" w:qFormat="1"/>
    <w:lsdException w:name="Medium Grid 3" w:semiHidden="0" w:uiPriority="60" w:unhideWhenUsed="0"/>
    <w:lsdException w:name="Dark List" w:semiHidden="0" w:uiPriority="61" w:unhideWhenUsed="0"/>
    <w:lsdException w:name="Colorful Shading" w:semiHidden="0" w:uiPriority="62" w:unhideWhenUsed="0"/>
    <w:lsdException w:name="Colorful List" w:semiHidden="0" w:uiPriority="63" w:unhideWhenUsed="0"/>
    <w:lsdException w:name="Colorful Grid" w:semiHidden="0" w:uiPriority="64" w:unhideWhenUsed="0"/>
    <w:lsdException w:name="Light Shading Accent 1" w:semiHidden="0" w:uiPriority="65" w:unhideWhenUsed="0"/>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uiPriority="71" w:unhideWhenUsed="0"/>
    <w:lsdException w:name="List Paragraph" w:semiHidden="0" w:uiPriority="34" w:unhideWhenUsed="0" w:qFormat="1"/>
    <w:lsdException w:name="Quote" w:semiHidden="0" w:uiPriority="73" w:unhideWhenUsed="0" w:qFormat="1"/>
    <w:lsdException w:name="Intense Quote" w:semiHidden="0" w:uiPriority="60" w:unhideWhenUsed="0" w:qFormat="1"/>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semiHidden="0" w:uiPriority="99" w:unhideWhenUsed="0"/>
    <w:lsdException w:name="Colorful List Accent 1" w:semiHidden="0" w:uiPriority="34" w:unhideWhenUsed="0" w:qFormat="1"/>
    <w:lsdException w:name="Colorful Grid Accent 1" w:semiHidden="0" w:uiPriority="29" w:unhideWhenUsed="0" w:qFormat="1"/>
    <w:lsdException w:name="Light Shading Accent 2" w:semiHidden="0" w:uiPriority="30" w:unhideWhenUsed="0" w:qFormat="1"/>
    <w:lsdException w:name="Light List Accent 2" w:semiHidden="0" w:uiPriority="66" w:unhideWhenUsed="0"/>
    <w:lsdException w:name="Light Grid Accent 2" w:semiHidden="0" w:uiPriority="67" w:unhideWhenUsed="0"/>
    <w:lsdException w:name="Medium Shading 1 Accent 2" w:semiHidden="0" w:uiPriority="68" w:unhideWhenUsed="0"/>
    <w:lsdException w:name="Medium Shading 2 Accent 2" w:semiHidden="0" w:uiPriority="69" w:unhideWhenUsed="0"/>
    <w:lsdException w:name="Medium List 1 Accent 2" w:semiHidden="0" w:uiPriority="70" w:unhideWhenUsed="0"/>
    <w:lsdException w:name="Medium List 2 Accent 2" w:semiHidden="0" w:uiPriority="71" w:unhideWhenUsed="0"/>
    <w:lsdException w:name="Medium Grid 1 Accent 2" w:semiHidden="0" w:uiPriority="72" w:unhideWhenUsed="0"/>
    <w:lsdException w:name="Medium Grid 2 Accent 2" w:semiHidden="0" w:uiPriority="73" w:unhideWhenUsed="0"/>
    <w:lsdException w:name="Medium Grid 3 Accent 2" w:semiHidden="0" w:uiPriority="60" w:unhideWhenUsed="0"/>
    <w:lsdException w:name="Dark List Accent 2" w:semiHidden="0" w:uiPriority="61" w:unhideWhenUsed="0"/>
    <w:lsdException w:name="Colorful Shading Accent 2" w:semiHidden="0" w:uiPriority="62" w:unhideWhenUsed="0"/>
    <w:lsdException w:name="Colorful List Accent 2" w:semiHidden="0" w:uiPriority="63" w:unhideWhenUsed="0"/>
    <w:lsdException w:name="Colorful Grid Accent 2" w:semiHidden="0" w:uiPriority="64" w:unhideWhenUsed="0"/>
    <w:lsdException w:name="Light Shading Accent 3" w:semiHidden="0" w:uiPriority="65" w:unhideWhenUsed="0"/>
    <w:lsdException w:name="Light List Accent 3" w:semiHidden="0" w:uiPriority="66" w:unhideWhenUsed="0"/>
    <w:lsdException w:name="Light Grid Accent 3" w:semiHidden="0" w:uiPriority="67" w:unhideWhenUsed="0"/>
    <w:lsdException w:name="Medium Shading 1 Accent 3" w:semiHidden="0" w:uiPriority="68" w:unhideWhenUsed="0"/>
    <w:lsdException w:name="Medium Shading 2 Accent 3" w:semiHidden="0" w:uiPriority="69" w:unhideWhenUsed="0"/>
    <w:lsdException w:name="Medium List 1 Accent 3" w:semiHidden="0" w:uiPriority="70" w:unhideWhenUsed="0"/>
    <w:lsdException w:name="Medium List 2 Accent 3" w:semiHidden="0" w:uiPriority="71" w:unhideWhenUsed="0"/>
    <w:lsdException w:name="Medium Grid 1 Accent 3" w:semiHidden="0" w:uiPriority="72" w:unhideWhenUsed="0"/>
    <w:lsdException w:name="Medium Grid 2 Accent 3" w:semiHidden="0" w:uiPriority="73" w:unhideWhenUsed="0"/>
    <w:lsdException w:name="Medium Grid 3 Accent 3" w:semiHidden="0" w:uiPriority="60" w:unhideWhenUsed="0"/>
    <w:lsdException w:name="Dark List Accent 3" w:semiHidden="0" w:uiPriority="61" w:unhideWhenUsed="0"/>
    <w:lsdException w:name="Colorful Shading Accent 3" w:semiHidden="0" w:uiPriority="62" w:unhideWhenUsed="0"/>
    <w:lsdException w:name="Colorful List Accent 3" w:semiHidden="0" w:uiPriority="63" w:unhideWhenUsed="0"/>
    <w:lsdException w:name="Colorful Grid Accent 3" w:semiHidden="0" w:uiPriority="64" w:unhideWhenUsed="0"/>
    <w:lsdException w:name="Light Shading Accent 4" w:semiHidden="0" w:uiPriority="65" w:unhideWhenUsed="0"/>
    <w:lsdException w:name="Light List Accent 4" w:semiHidden="0" w:uiPriority="66" w:unhideWhenUsed="0"/>
    <w:lsdException w:name="Light Grid Accent 4" w:semiHidden="0" w:uiPriority="67" w:unhideWhenUsed="0"/>
    <w:lsdException w:name="Medium Shading 1 Accent 4" w:semiHidden="0" w:uiPriority="68" w:unhideWhenUsed="0"/>
    <w:lsdException w:name="Medium Shading 2 Accent 4" w:semiHidden="0" w:uiPriority="69" w:unhideWhenUsed="0"/>
    <w:lsdException w:name="Medium List 1 Accent 4" w:semiHidden="0" w:uiPriority="70" w:unhideWhenUsed="0"/>
    <w:lsdException w:name="Medium List 2 Accent 4" w:semiHidden="0" w:uiPriority="71" w:unhideWhenUsed="0"/>
    <w:lsdException w:name="Medium Grid 1 Accent 4" w:semiHidden="0" w:uiPriority="72" w:unhideWhenUsed="0"/>
    <w:lsdException w:name="Medium Grid 2 Accent 4" w:semiHidden="0" w:uiPriority="73" w:unhideWhenUsed="0"/>
    <w:lsdException w:name="Medium Grid 3 Accent 4" w:semiHidden="0" w:uiPriority="60" w:unhideWhenUsed="0"/>
    <w:lsdException w:name="Dark List Accent 4" w:semiHidden="0" w:uiPriority="61" w:unhideWhenUsed="0"/>
    <w:lsdException w:name="Colorful Shading Accent 4" w:semiHidden="0" w:uiPriority="62" w:unhideWhenUsed="0"/>
    <w:lsdException w:name="Colorful List Accent 4" w:semiHidden="0" w:uiPriority="63" w:unhideWhenUsed="0"/>
    <w:lsdException w:name="Colorful Grid Accent 4" w:semiHidden="0" w:uiPriority="64" w:unhideWhenUsed="0"/>
    <w:lsdException w:name="Light Shading Accent 5" w:semiHidden="0" w:uiPriority="65" w:unhideWhenUsed="0"/>
    <w:lsdException w:name="Light List Accent 5" w:semiHidden="0" w:uiPriority="66" w:unhideWhenUsed="0"/>
    <w:lsdException w:name="Light Grid Accent 5" w:semiHidden="0" w:uiPriority="67" w:unhideWhenUsed="0"/>
    <w:lsdException w:name="Medium Shading 1 Accent 5" w:semiHidden="0" w:uiPriority="68" w:unhideWhenUsed="0"/>
    <w:lsdException w:name="Medium Shading 2 Accent 5" w:semiHidden="0" w:uiPriority="69" w:unhideWhenUsed="0"/>
    <w:lsdException w:name="Medium List 1 Accent 5" w:semiHidden="0" w:uiPriority="70" w:unhideWhenUsed="0"/>
    <w:lsdException w:name="Medium List 2 Accent 5" w:semiHidden="0" w:uiPriority="71" w:unhideWhenUsed="0"/>
    <w:lsdException w:name="Medium Grid 1 Accent 5" w:semiHidden="0" w:uiPriority="72" w:unhideWhenUsed="0"/>
    <w:lsdException w:name="Medium Grid 2 Accent 5" w:semiHidden="0" w:uiPriority="73" w:unhideWhenUsed="0"/>
    <w:lsdException w:name="Medium Grid 3 Accent 5" w:semiHidden="0" w:uiPriority="60" w:unhideWhenUsed="0"/>
    <w:lsdException w:name="Dark List Accent 5" w:semiHidden="0" w:uiPriority="61" w:unhideWhenUsed="0"/>
    <w:lsdException w:name="Colorful Shading Accent 5" w:semiHidden="0" w:uiPriority="62" w:unhideWhenUsed="0"/>
    <w:lsdException w:name="Colorful List Accent 5" w:semiHidden="0" w:uiPriority="63" w:unhideWhenUsed="0"/>
    <w:lsdException w:name="Colorful Grid Accent 5" w:semiHidden="0" w:uiPriority="64" w:unhideWhenUsed="0"/>
    <w:lsdException w:name="Light Shading Accent 6" w:semiHidden="0" w:uiPriority="65" w:unhideWhenUsed="0"/>
    <w:lsdException w:name="Light List Accent 6" w:semiHidden="0" w:uiPriority="66" w:unhideWhenUsed="0"/>
    <w:lsdException w:name="Light Grid Accent 6" w:semiHidden="0" w:uiPriority="67" w:unhideWhenUsed="0"/>
    <w:lsdException w:name="Medium Shading 1 Accent 6" w:semiHidden="0" w:uiPriority="68" w:unhideWhenUsed="0"/>
    <w:lsdException w:name="Medium Shading 2 Accent 6" w:semiHidden="0" w:uiPriority="69" w:unhideWhenUsed="0"/>
    <w:lsdException w:name="Medium List 1 Accent 6" w:semiHidden="0" w:uiPriority="70" w:unhideWhenUsed="0"/>
    <w:lsdException w:name="Medium List 2 Accent 6" w:semiHidden="0" w:uiPriority="71" w:unhideWhenUsed="0"/>
    <w:lsdException w:name="Medium Grid 1 Accent 6" w:semiHidden="0" w:uiPriority="72" w:unhideWhenUsed="0"/>
    <w:lsdException w:name="Medium Grid 2 Accent 6" w:semiHidden="0" w:uiPriority="73" w:unhideWhenUsed="0"/>
    <w:lsdException w:name="Medium Grid 3 Accent 6" w:semiHidden="0" w:uiPriority="60" w:unhideWhenUsed="0"/>
    <w:lsdException w:name="Dark List Accent 6" w:semiHidden="0" w:uiPriority="61" w:unhideWhenUsed="0"/>
    <w:lsdException w:name="Colorful Shading Accent 6" w:semiHidden="0" w:uiPriority="62" w:unhideWhenUsed="0"/>
    <w:lsdException w:name="Colorful List Accent 6" w:semiHidden="0" w:uiPriority="63" w:unhideWhenUsed="0"/>
    <w:lsdException w:name="Colorful Grid Accent 6" w:semiHidden="0" w:uiPriority="64" w:unhideWhenUsed="0"/>
    <w:lsdException w:name="Subtle Emphasis" w:semiHidden="0" w:uiPriority="65" w:unhideWhenUsed="0" w:qFormat="1"/>
    <w:lsdException w:name="Intense Emphasis" w:semiHidden="0" w:uiPriority="66" w:unhideWhenUsed="0" w:qFormat="1"/>
    <w:lsdException w:name="Subtle Reference" w:semiHidden="0" w:uiPriority="67" w:unhideWhenUsed="0" w:qFormat="1"/>
    <w:lsdException w:name="Intense Reference" w:semiHidden="0" w:uiPriority="68" w:unhideWhenUsed="0" w:qFormat="1"/>
    <w:lsdException w:name="Book Title" w:semiHidden="0" w:uiPriority="69" w:unhideWhenUsed="0" w:qFormat="1"/>
    <w:lsdException w:name="Bibliography" w:semiHidden="0" w:uiPriority="70" w:unhideWhenUsed="0"/>
    <w:lsdException w:name="TOC Heading" w:uiPriority="71" w:qFormat="1"/>
  </w:latentStyles>
  <w:style w:type="paragraph" w:default="1" w:styleId="Normal">
    <w:name w:val="Normal"/>
    <w:qFormat/>
    <w:rPr>
      <w:sz w:val="24"/>
      <w:szCs w:val="24"/>
    </w:rPr>
  </w:style>
  <w:style w:type="paragraph" w:styleId="Heading1">
    <w:name w:val="heading 1"/>
    <w:basedOn w:val="ListParagraph"/>
    <w:next w:val="Normal"/>
    <w:link w:val="Heading1Char"/>
    <w:uiPriority w:val="1"/>
    <w:qFormat/>
    <w:rsid w:val="00C603D4"/>
    <w:pPr>
      <w:ind w:left="0"/>
      <w:outlineLvl w:val="0"/>
    </w:pPr>
    <w:rPr>
      <w:b/>
      <w:szCs w:val="22"/>
    </w:rPr>
  </w:style>
  <w:style w:type="paragraph" w:styleId="Heading2">
    <w:name w:val="heading 2"/>
    <w:basedOn w:val="Normal"/>
    <w:next w:val="Normal"/>
    <w:link w:val="Heading2Char"/>
    <w:uiPriority w:val="1"/>
    <w:qFormat/>
    <w:rsid w:val="00366E3B"/>
    <w:pPr>
      <w:keepNext/>
      <w:keepLines/>
      <w:spacing w:before="240" w:after="120"/>
      <w:outlineLvl w:val="1"/>
    </w:pPr>
    <w:rPr>
      <w:rFonts w:asciiTheme="minorHAnsi" w:eastAsiaTheme="majorEastAsia" w:hAnsiTheme="minorHAnsi" w:cstheme="majorBidi"/>
      <w:b/>
      <w:i/>
      <w:sz w:val="28"/>
      <w:szCs w:val="28"/>
      <w:lang w:eastAsia="en-US"/>
    </w:rPr>
  </w:style>
  <w:style w:type="paragraph" w:styleId="Heading3">
    <w:name w:val="heading 3"/>
    <w:basedOn w:val="Normal"/>
    <w:next w:val="Normal"/>
    <w:link w:val="Heading3Char"/>
    <w:semiHidden/>
    <w:unhideWhenUsed/>
    <w:qFormat/>
    <w:rsid w:val="00856DDD"/>
    <w:pPr>
      <w:keepNext/>
      <w:keepLines/>
      <w:spacing w:before="200"/>
      <w:outlineLvl w:val="2"/>
    </w:pPr>
    <w:rPr>
      <w:rFonts w:asciiTheme="majorHAnsi" w:eastAsiaTheme="majorEastAsia" w:hAnsiTheme="majorHAnsi" w:cstheme="majorBidi"/>
      <w:b/>
      <w:bCs/>
      <w:color w:val="4F81BD" w:themeColor="accent1"/>
    </w:rPr>
  </w:style>
  <w:style w:type="paragraph" w:styleId="Heading5">
    <w:name w:val="heading 5"/>
    <w:basedOn w:val="Normal"/>
    <w:next w:val="Normal"/>
    <w:qFormat/>
    <w:pPr>
      <w:spacing w:before="240" w:after="60"/>
      <w:outlineLvl w:val="4"/>
    </w:pPr>
    <w:rPr>
      <w:b/>
      <w:bCs/>
      <w:i/>
      <w:iCs/>
      <w:sz w:val="26"/>
      <w:szCs w:val="26"/>
    </w:rPr>
  </w:style>
  <w:style w:type="paragraph" w:styleId="Heading6">
    <w:name w:val="heading 6"/>
    <w:basedOn w:val="Normal"/>
    <w:next w:val="Normal"/>
    <w:qFormat/>
    <w:pPr>
      <w:spacing w:before="240" w:after="60"/>
      <w:outlineLvl w:val="5"/>
    </w:pPr>
    <w:rPr>
      <w:b/>
      <w:bCs/>
      <w:sz w:val="22"/>
      <w:szCs w:val="22"/>
    </w:rPr>
  </w:style>
  <w:style w:type="paragraph" w:styleId="Heading8">
    <w:name w:val="heading 8"/>
    <w:basedOn w:val="Normal"/>
    <w:next w:val="Normal"/>
    <w:link w:val="Heading8Char"/>
    <w:uiPriority w:val="7"/>
    <w:unhideWhenUsed/>
    <w:qFormat/>
    <w:rsid w:val="003E48E3"/>
    <w:pPr>
      <w:keepNext/>
      <w:keepLines/>
      <w:spacing w:before="40"/>
      <w:ind w:left="1440" w:hanging="1440"/>
      <w:outlineLvl w:val="7"/>
    </w:pPr>
    <w:rPr>
      <w:rFonts w:asciiTheme="majorHAnsi" w:eastAsiaTheme="majorEastAsia" w:hAnsiTheme="majorHAnsi" w:cstheme="majorBidi"/>
      <w:color w:val="272727" w:themeColor="text1" w:themeTint="D8"/>
      <w:sz w:val="21"/>
      <w:szCs w:val="21"/>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Page Header,Header title,he=header,cntr/bld"/>
    <w:basedOn w:val="Normal"/>
    <w:link w:val="HeaderChar"/>
    <w:uiPriority w:val="99"/>
    <w:pPr>
      <w:tabs>
        <w:tab w:val="center" w:pos="4153"/>
        <w:tab w:val="right" w:pos="8306"/>
      </w:tabs>
    </w:pPr>
  </w:style>
  <w:style w:type="paragraph" w:styleId="Footer">
    <w:name w:val="footer"/>
    <w:basedOn w:val="Normal"/>
    <w:link w:val="FooterChar"/>
    <w:uiPriority w:val="99"/>
    <w:pPr>
      <w:tabs>
        <w:tab w:val="center" w:pos="4153"/>
        <w:tab w:val="right" w:pos="8306"/>
      </w:tabs>
    </w:pPr>
  </w:style>
  <w:style w:type="character" w:styleId="PageNumber">
    <w:name w:val="page number"/>
    <w:basedOn w:val="DefaultParagraphFont"/>
  </w:style>
  <w:style w:type="paragraph" w:styleId="BalloonText">
    <w:name w:val="Balloon Text"/>
    <w:basedOn w:val="Normal"/>
    <w:semiHidden/>
    <w:rPr>
      <w:rFonts w:ascii="Tahoma" w:hAnsi="Tahoma" w:cs="Tahoma"/>
      <w:sz w:val="16"/>
      <w:szCs w:val="16"/>
    </w:rPr>
  </w:style>
  <w:style w:type="table" w:styleId="TableGrid">
    <w:name w:val="Table Grid"/>
    <w:basedOn w:val="TableNormal"/>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2CharCharCharZchnZchnCharCharCharCharCharCharCharCharCharCharCharCharCharCharCharCharCharCharCharCharCharCharCharChar1CharCharCharCharCharCharCharCharCharCharCharChar1Char">
    <w:name w:val="Char2 Char Char Char Zchn Zchn Char Char Char Char Char Char Char Char Char Char Char Char Char Char Char Char Char Char Char Char Char Char Char Char1 Char Char Char Char Char Char Char Char Char Char Char Char1 Char"/>
    <w:basedOn w:val="Normal"/>
    <w:pPr>
      <w:spacing w:after="160" w:line="240" w:lineRule="exact"/>
    </w:pPr>
    <w:rPr>
      <w:rFonts w:ascii="Verdana" w:eastAsia="MS Mincho" w:hAnsi="Verdana" w:cs="Verdana"/>
      <w:sz w:val="20"/>
      <w:szCs w:val="20"/>
      <w:lang w:val="en-US" w:eastAsia="en-US"/>
    </w:rPr>
  </w:style>
  <w:style w:type="paragraph" w:customStyle="1" w:styleId="Tabletext">
    <w:name w:val="Table text"/>
    <w:basedOn w:val="Normal"/>
    <w:pPr>
      <w:spacing w:after="120"/>
    </w:pPr>
    <w:rPr>
      <w:rFonts w:ascii="Arial" w:hAnsi="Arial"/>
      <w:sz w:val="20"/>
      <w:szCs w:val="20"/>
      <w:lang w:eastAsia="en-US"/>
    </w:rPr>
  </w:style>
  <w:style w:type="paragraph" w:styleId="BodyText2">
    <w:name w:val="Body Text 2"/>
    <w:basedOn w:val="Normal"/>
    <w:link w:val="BodyText2Char"/>
    <w:pPr>
      <w:widowControl w:val="0"/>
      <w:jc w:val="both"/>
    </w:pPr>
    <w:rPr>
      <w:rFonts w:ascii="Arial" w:hAnsi="Arial"/>
      <w:snapToGrid w:val="0"/>
      <w:sz w:val="20"/>
      <w:szCs w:val="20"/>
      <w:lang w:eastAsia="en-US"/>
    </w:rPr>
  </w:style>
  <w:style w:type="paragraph" w:customStyle="1" w:styleId="TableHeading">
    <w:name w:val="TableHeading"/>
    <w:basedOn w:val="Normal"/>
    <w:pPr>
      <w:keepNext/>
      <w:spacing w:before="40" w:after="40"/>
    </w:pPr>
    <w:rPr>
      <w:rFonts w:ascii="Arial Narrow" w:hAnsi="Arial Narrow" w:cs="Arial Narrow"/>
      <w:b/>
      <w:bCs/>
      <w:sz w:val="20"/>
      <w:szCs w:val="20"/>
      <w:lang w:eastAsia="en-US"/>
    </w:rPr>
  </w:style>
  <w:style w:type="character" w:customStyle="1" w:styleId="BodyText2Char">
    <w:name w:val="Body Text 2 Char"/>
    <w:link w:val="BodyText2"/>
    <w:rPr>
      <w:rFonts w:ascii="Arial" w:hAnsi="Arial"/>
      <w:snapToGrid w:val="0"/>
      <w:lang w:val="en-AU" w:eastAsia="en-US" w:bidi="ar-SA"/>
    </w:rPr>
  </w:style>
  <w:style w:type="paragraph" w:customStyle="1" w:styleId="Char1CharCharChar">
    <w:name w:val="Char1 Char Char Char"/>
    <w:basedOn w:val="Normal"/>
    <w:pPr>
      <w:spacing w:after="160" w:line="240" w:lineRule="exact"/>
    </w:pPr>
    <w:rPr>
      <w:rFonts w:ascii="Verdana" w:eastAsia="MS Mincho" w:hAnsi="Verdana" w:cs="Verdana"/>
      <w:sz w:val="20"/>
      <w:szCs w:val="20"/>
      <w:lang w:val="en-US" w:eastAsia="en-US"/>
    </w:rPr>
  </w:style>
  <w:style w:type="paragraph" w:styleId="BodyText3">
    <w:name w:val="Body Text 3"/>
    <w:basedOn w:val="Normal"/>
    <w:pPr>
      <w:spacing w:after="120"/>
    </w:pPr>
    <w:rPr>
      <w:sz w:val="16"/>
      <w:szCs w:val="16"/>
    </w:rPr>
  </w:style>
  <w:style w:type="character" w:customStyle="1" w:styleId="SubtitleChar">
    <w:name w:val="Subtitle Char"/>
    <w:link w:val="Subtitle"/>
    <w:semiHidden/>
    <w:rPr>
      <w:lang w:val="en-AU" w:eastAsia="en-US" w:bidi="ar-SA"/>
    </w:rPr>
  </w:style>
  <w:style w:type="paragraph" w:styleId="Subtitle">
    <w:name w:val="Subtitle"/>
    <w:basedOn w:val="Normal"/>
    <w:link w:val="SubtitleChar"/>
    <w:qFormat/>
    <w:pPr>
      <w:jc w:val="both"/>
    </w:pPr>
    <w:rPr>
      <w:sz w:val="20"/>
      <w:szCs w:val="20"/>
      <w:lang w:eastAsia="en-US"/>
    </w:rPr>
  </w:style>
  <w:style w:type="character" w:customStyle="1" w:styleId="HeaderChar">
    <w:name w:val="Header Char"/>
    <w:aliases w:val="Page Header Char,Header title Char,he=header Char,cntr/bld Char"/>
    <w:link w:val="Header"/>
    <w:uiPriority w:val="99"/>
    <w:rsid w:val="005A3173"/>
    <w:rPr>
      <w:sz w:val="24"/>
      <w:szCs w:val="24"/>
      <w:lang w:eastAsia="en-AU"/>
    </w:rPr>
  </w:style>
  <w:style w:type="paragraph" w:customStyle="1" w:styleId="MediumGrid21">
    <w:name w:val="Medium Grid 21"/>
    <w:link w:val="MediumGrid2Char"/>
    <w:qFormat/>
    <w:rsid w:val="005A3173"/>
    <w:rPr>
      <w:rFonts w:ascii="PMingLiU" w:eastAsia="MS Mincho" w:hAnsi="PMingLiU"/>
      <w:sz w:val="22"/>
      <w:szCs w:val="22"/>
      <w:lang w:val="en-US" w:eastAsia="en-US"/>
    </w:rPr>
  </w:style>
  <w:style w:type="character" w:customStyle="1" w:styleId="MediumGrid2Char">
    <w:name w:val="Medium Grid 2 Char"/>
    <w:link w:val="MediumGrid21"/>
    <w:rsid w:val="005A3173"/>
    <w:rPr>
      <w:rFonts w:ascii="PMingLiU" w:eastAsia="MS Mincho" w:hAnsi="PMingLiU"/>
      <w:sz w:val="22"/>
      <w:szCs w:val="22"/>
      <w:lang w:val="en-US"/>
    </w:rPr>
  </w:style>
  <w:style w:type="table" w:customStyle="1" w:styleId="IntenseQuote1">
    <w:name w:val="Intense Quote1"/>
    <w:basedOn w:val="TableNormal"/>
    <w:uiPriority w:val="60"/>
    <w:qFormat/>
    <w:rsid w:val="00A06225"/>
    <w:rPr>
      <w:rFonts w:ascii="Cambria" w:eastAsia="MS Mincho" w:hAnsi="Cambria"/>
      <w:color w:val="365F91"/>
      <w:sz w:val="22"/>
      <w:szCs w:val="22"/>
      <w:lang w:val="en-US" w:eastAsia="zh-TW"/>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character" w:customStyle="1" w:styleId="FooterChar">
    <w:name w:val="Footer Char"/>
    <w:basedOn w:val="DefaultParagraphFont"/>
    <w:link w:val="Footer"/>
    <w:uiPriority w:val="99"/>
    <w:rsid w:val="00B205AA"/>
    <w:rPr>
      <w:sz w:val="24"/>
      <w:szCs w:val="24"/>
    </w:rPr>
  </w:style>
  <w:style w:type="paragraph" w:styleId="ListParagraph">
    <w:name w:val="List Paragraph"/>
    <w:aliases w:val="BulletPoints,List Paragraph1"/>
    <w:basedOn w:val="Normal"/>
    <w:link w:val="ListParagraphChar"/>
    <w:uiPriority w:val="34"/>
    <w:qFormat/>
    <w:rsid w:val="00300AD6"/>
    <w:pPr>
      <w:widowControl w:val="0"/>
      <w:ind w:left="720"/>
      <w:contextualSpacing/>
      <w:jc w:val="both"/>
    </w:pPr>
    <w:rPr>
      <w:rFonts w:ascii="Arial" w:hAnsi="Arial" w:cs="Arial"/>
      <w:snapToGrid w:val="0"/>
      <w:sz w:val="22"/>
      <w:szCs w:val="20"/>
      <w:lang w:eastAsia="en-US"/>
    </w:rPr>
  </w:style>
  <w:style w:type="character" w:styleId="CommentReference">
    <w:name w:val="annotation reference"/>
    <w:aliases w:val="Table Title"/>
    <w:basedOn w:val="DefaultParagraphFont"/>
    <w:qFormat/>
    <w:rsid w:val="00BB7EC3"/>
    <w:rPr>
      <w:sz w:val="16"/>
      <w:szCs w:val="16"/>
    </w:rPr>
  </w:style>
  <w:style w:type="paragraph" w:styleId="CommentText">
    <w:name w:val="annotation text"/>
    <w:basedOn w:val="Normal"/>
    <w:link w:val="CommentTextChar"/>
    <w:rsid w:val="00BB7EC3"/>
    <w:rPr>
      <w:sz w:val="20"/>
      <w:szCs w:val="20"/>
    </w:rPr>
  </w:style>
  <w:style w:type="character" w:customStyle="1" w:styleId="CommentTextChar">
    <w:name w:val="Comment Text Char"/>
    <w:basedOn w:val="DefaultParagraphFont"/>
    <w:link w:val="CommentText"/>
    <w:rsid w:val="00BB7EC3"/>
  </w:style>
  <w:style w:type="paragraph" w:styleId="CommentSubject">
    <w:name w:val="annotation subject"/>
    <w:basedOn w:val="CommentText"/>
    <w:next w:val="CommentText"/>
    <w:link w:val="CommentSubjectChar"/>
    <w:rsid w:val="00BB7EC3"/>
    <w:rPr>
      <w:b/>
      <w:bCs/>
    </w:rPr>
  </w:style>
  <w:style w:type="character" w:customStyle="1" w:styleId="CommentSubjectChar">
    <w:name w:val="Comment Subject Char"/>
    <w:basedOn w:val="CommentTextChar"/>
    <w:link w:val="CommentSubject"/>
    <w:rsid w:val="00BB7EC3"/>
    <w:rPr>
      <w:b/>
      <w:bCs/>
    </w:rPr>
  </w:style>
  <w:style w:type="character" w:customStyle="1" w:styleId="Heading3Char">
    <w:name w:val="Heading 3 Char"/>
    <w:basedOn w:val="DefaultParagraphFont"/>
    <w:link w:val="Heading3"/>
    <w:semiHidden/>
    <w:rsid w:val="00856DDD"/>
    <w:rPr>
      <w:rFonts w:asciiTheme="majorHAnsi" w:eastAsiaTheme="majorEastAsia" w:hAnsiTheme="majorHAnsi" w:cstheme="majorBidi"/>
      <w:b/>
      <w:bCs/>
      <w:color w:val="4F81BD" w:themeColor="accent1"/>
      <w:sz w:val="24"/>
      <w:szCs w:val="24"/>
    </w:rPr>
  </w:style>
  <w:style w:type="paragraph" w:customStyle="1" w:styleId="tablenotes">
    <w:name w:val="table notes"/>
    <w:basedOn w:val="BodyText2"/>
    <w:qFormat/>
    <w:rsid w:val="009F5F2E"/>
  </w:style>
  <w:style w:type="paragraph" w:styleId="NoSpacing">
    <w:name w:val="No Spacing"/>
    <w:basedOn w:val="Normal"/>
    <w:uiPriority w:val="99"/>
    <w:qFormat/>
    <w:rsid w:val="00C27B58"/>
    <w:pPr>
      <w:jc w:val="both"/>
    </w:pPr>
    <w:rPr>
      <w:rFonts w:ascii="Arial" w:hAnsi="Arial"/>
      <w:sz w:val="22"/>
      <w:szCs w:val="22"/>
    </w:rPr>
  </w:style>
  <w:style w:type="character" w:styleId="Hyperlink">
    <w:name w:val="Hyperlink"/>
    <w:uiPriority w:val="99"/>
    <w:rsid w:val="00AC193C"/>
    <w:rPr>
      <w:color w:val="0000FF"/>
      <w:u w:val="single"/>
    </w:rPr>
  </w:style>
  <w:style w:type="paragraph" w:styleId="Title">
    <w:name w:val="Title"/>
    <w:basedOn w:val="Normal"/>
    <w:next w:val="Normal"/>
    <w:link w:val="TitleChar"/>
    <w:qFormat/>
    <w:rsid w:val="00FE0E94"/>
    <w:pPr>
      <w:spacing w:after="300"/>
      <w:contextualSpacing/>
      <w:outlineLvl w:val="0"/>
    </w:pPr>
    <w:rPr>
      <w:rFonts w:ascii="Arial Bold" w:eastAsiaTheme="majorEastAsia" w:hAnsi="Arial Bold" w:cstheme="majorBidi"/>
      <w:b/>
      <w:spacing w:val="5"/>
      <w:kern w:val="28"/>
      <w:sz w:val="28"/>
      <w:szCs w:val="52"/>
    </w:rPr>
  </w:style>
  <w:style w:type="paragraph" w:styleId="ListNumber">
    <w:name w:val="List Number"/>
    <w:basedOn w:val="Normal"/>
    <w:rsid w:val="004A2484"/>
    <w:pPr>
      <w:numPr>
        <w:numId w:val="12"/>
      </w:numPr>
      <w:contextualSpacing/>
    </w:pPr>
  </w:style>
  <w:style w:type="paragraph" w:styleId="ListContinue2">
    <w:name w:val="List Continue 2"/>
    <w:basedOn w:val="Normal"/>
    <w:rsid w:val="004A2484"/>
    <w:pPr>
      <w:spacing w:after="120"/>
      <w:ind w:left="566"/>
      <w:contextualSpacing/>
    </w:pPr>
  </w:style>
  <w:style w:type="paragraph" w:styleId="ListNumber2">
    <w:name w:val="List Number 2"/>
    <w:basedOn w:val="Normal"/>
    <w:rsid w:val="004A2484"/>
    <w:pPr>
      <w:tabs>
        <w:tab w:val="num" w:pos="643"/>
      </w:tabs>
      <w:ind w:left="643" w:hanging="360"/>
      <w:contextualSpacing/>
    </w:pPr>
  </w:style>
  <w:style w:type="character" w:customStyle="1" w:styleId="TitleChar">
    <w:name w:val="Title Char"/>
    <w:basedOn w:val="DefaultParagraphFont"/>
    <w:link w:val="Title"/>
    <w:rsid w:val="00FE0E94"/>
    <w:rPr>
      <w:rFonts w:ascii="Arial Bold" w:eastAsiaTheme="majorEastAsia" w:hAnsi="Arial Bold" w:cstheme="majorBidi"/>
      <w:b/>
      <w:spacing w:val="5"/>
      <w:kern w:val="28"/>
      <w:sz w:val="28"/>
      <w:szCs w:val="52"/>
    </w:rPr>
  </w:style>
  <w:style w:type="character" w:customStyle="1" w:styleId="ListParagraphChar">
    <w:name w:val="List Paragraph Char"/>
    <w:aliases w:val="BulletPoints Char,List Paragraph1 Char"/>
    <w:basedOn w:val="DefaultParagraphFont"/>
    <w:link w:val="ListParagraph"/>
    <w:uiPriority w:val="72"/>
    <w:qFormat/>
    <w:rsid w:val="00077143"/>
    <w:rPr>
      <w:rFonts w:ascii="Arial" w:hAnsi="Arial" w:cs="Arial"/>
      <w:snapToGrid w:val="0"/>
      <w:sz w:val="22"/>
      <w:lang w:eastAsia="en-US"/>
    </w:rPr>
  </w:style>
  <w:style w:type="paragraph" w:customStyle="1" w:styleId="PBACHeading1">
    <w:name w:val="PBAC Heading 1"/>
    <w:qFormat/>
    <w:rsid w:val="00366E3B"/>
    <w:pPr>
      <w:numPr>
        <w:numId w:val="14"/>
      </w:numPr>
      <w:spacing w:before="240" w:after="120"/>
      <w:ind w:left="709" w:hanging="709"/>
      <w:outlineLvl w:val="0"/>
    </w:pPr>
    <w:rPr>
      <w:rFonts w:asciiTheme="minorHAnsi" w:hAnsiTheme="minorHAnsi" w:cs="Arial"/>
      <w:b/>
      <w:snapToGrid w:val="0"/>
      <w:sz w:val="32"/>
      <w:szCs w:val="32"/>
      <w:lang w:eastAsia="en-US"/>
    </w:rPr>
  </w:style>
  <w:style w:type="character" w:customStyle="1" w:styleId="Heading1Char">
    <w:name w:val="Heading 1 Char"/>
    <w:basedOn w:val="DefaultParagraphFont"/>
    <w:link w:val="Heading1"/>
    <w:uiPriority w:val="1"/>
    <w:rsid w:val="003C2FB5"/>
    <w:rPr>
      <w:rFonts w:ascii="Arial" w:hAnsi="Arial" w:cs="Arial"/>
      <w:b/>
      <w:snapToGrid w:val="0"/>
      <w:sz w:val="22"/>
      <w:szCs w:val="22"/>
      <w:lang w:eastAsia="en-US"/>
    </w:rPr>
  </w:style>
  <w:style w:type="character" w:customStyle="1" w:styleId="Heading2Char">
    <w:name w:val="Heading 2 Char"/>
    <w:basedOn w:val="DefaultParagraphFont"/>
    <w:link w:val="Heading2"/>
    <w:uiPriority w:val="1"/>
    <w:rsid w:val="00366E3B"/>
    <w:rPr>
      <w:rFonts w:asciiTheme="minorHAnsi" w:eastAsiaTheme="majorEastAsia" w:hAnsiTheme="minorHAnsi" w:cstheme="majorBidi"/>
      <w:b/>
      <w:i/>
      <w:sz w:val="28"/>
      <w:szCs w:val="28"/>
      <w:lang w:eastAsia="en-US"/>
    </w:rPr>
  </w:style>
  <w:style w:type="paragraph" w:styleId="BodyText">
    <w:name w:val="Body Text"/>
    <w:basedOn w:val="Normal"/>
    <w:link w:val="BodyTextChar"/>
    <w:rsid w:val="00FB1AEF"/>
    <w:pPr>
      <w:spacing w:after="120"/>
    </w:pPr>
  </w:style>
  <w:style w:type="character" w:customStyle="1" w:styleId="BodyTextChar">
    <w:name w:val="Body Text Char"/>
    <w:basedOn w:val="DefaultParagraphFont"/>
    <w:link w:val="BodyText"/>
    <w:rsid w:val="00FB1AEF"/>
    <w:rPr>
      <w:sz w:val="24"/>
      <w:szCs w:val="24"/>
    </w:rPr>
  </w:style>
  <w:style w:type="character" w:customStyle="1" w:styleId="FootnoteTextChar">
    <w:name w:val="Footnote Text Char"/>
    <w:aliases w:val="Footnote Text Char Char Char,Footnote Text Char2 Char,Footnote Text Char Char1 Char,Char Char,wcp_Footnote Char,Footnote_Bas Page Char, Char Char"/>
    <w:basedOn w:val="DefaultParagraphFont"/>
    <w:link w:val="FootnoteText"/>
    <w:locked/>
    <w:rsid w:val="00857E1C"/>
    <w:rPr>
      <w:rFonts w:asciiTheme="minorHAnsi" w:eastAsiaTheme="minorHAnsi" w:hAnsiTheme="minorHAnsi" w:cstheme="minorBidi"/>
      <w:sz w:val="18"/>
      <w:lang w:eastAsia="en-US"/>
    </w:rPr>
  </w:style>
  <w:style w:type="paragraph" w:styleId="FootnoteText">
    <w:name w:val="footnote text"/>
    <w:aliases w:val="Footnote Text Char Char,Footnote Text Char2,Footnote Text Char Char1,Char,wcp_Footnote,Footnote_Bas Page, Char"/>
    <w:basedOn w:val="Normal"/>
    <w:link w:val="FootnoteTextChar"/>
    <w:unhideWhenUsed/>
    <w:rsid w:val="00857E1C"/>
    <w:pPr>
      <w:jc w:val="both"/>
    </w:pPr>
    <w:rPr>
      <w:rFonts w:asciiTheme="minorHAnsi" w:eastAsiaTheme="minorHAnsi" w:hAnsiTheme="minorHAnsi" w:cstheme="minorBidi"/>
      <w:sz w:val="18"/>
      <w:szCs w:val="20"/>
      <w:lang w:eastAsia="en-US"/>
    </w:rPr>
  </w:style>
  <w:style w:type="character" w:customStyle="1" w:styleId="FootnoteTextChar1">
    <w:name w:val="Footnote Text Char1"/>
    <w:basedOn w:val="DefaultParagraphFont"/>
    <w:rsid w:val="00857E1C"/>
  </w:style>
  <w:style w:type="character" w:styleId="FootnoteReference">
    <w:name w:val="footnote reference"/>
    <w:basedOn w:val="DefaultParagraphFont"/>
    <w:uiPriority w:val="99"/>
    <w:unhideWhenUsed/>
    <w:rsid w:val="00857E1C"/>
    <w:rPr>
      <w:vertAlign w:val="superscript"/>
    </w:rPr>
  </w:style>
  <w:style w:type="character" w:customStyle="1" w:styleId="Heading8Char">
    <w:name w:val="Heading 8 Char"/>
    <w:basedOn w:val="DefaultParagraphFont"/>
    <w:link w:val="Heading8"/>
    <w:uiPriority w:val="7"/>
    <w:rsid w:val="003E48E3"/>
    <w:rPr>
      <w:rFonts w:asciiTheme="majorHAnsi" w:eastAsiaTheme="majorEastAsia" w:hAnsiTheme="majorHAnsi" w:cstheme="majorBidi"/>
      <w:color w:val="272727" w:themeColor="text1" w:themeTint="D8"/>
      <w:sz w:val="21"/>
      <w:szCs w:val="21"/>
      <w:lang w:eastAsia="en-US"/>
    </w:rPr>
  </w:style>
  <w:style w:type="paragraph" w:customStyle="1" w:styleId="TableText0">
    <w:name w:val="Table Text"/>
    <w:basedOn w:val="Normal"/>
    <w:link w:val="TableTextChar"/>
    <w:qFormat/>
    <w:rsid w:val="00F144A9"/>
    <w:pPr>
      <w:widowControl w:val="0"/>
      <w:spacing w:before="40" w:after="40"/>
      <w:jc w:val="both"/>
    </w:pPr>
    <w:rPr>
      <w:rFonts w:ascii="Arial Narrow" w:eastAsiaTheme="minorHAnsi" w:hAnsi="Arial Narrow" w:cstheme="minorBidi"/>
      <w:sz w:val="20"/>
      <w:szCs w:val="22"/>
      <w:lang w:eastAsia="en-US"/>
    </w:rPr>
  </w:style>
  <w:style w:type="character" w:customStyle="1" w:styleId="TableTextChar">
    <w:name w:val="Table Text Char"/>
    <w:link w:val="TableText0"/>
    <w:rsid w:val="00F144A9"/>
    <w:rPr>
      <w:rFonts w:ascii="Arial Narrow" w:eastAsiaTheme="minorHAnsi" w:hAnsi="Arial Narrow" w:cstheme="minorBidi"/>
      <w:szCs w:val="22"/>
      <w:lang w:eastAsia="en-US"/>
    </w:rPr>
  </w:style>
  <w:style w:type="paragraph" w:customStyle="1" w:styleId="TableHeading0">
    <w:name w:val="Table Heading"/>
    <w:basedOn w:val="Normal"/>
    <w:qFormat/>
    <w:rsid w:val="00B0302B"/>
    <w:pPr>
      <w:keepNext/>
      <w:spacing w:before="240" w:after="60"/>
      <w:jc w:val="both"/>
    </w:pPr>
    <w:rPr>
      <w:rFonts w:ascii="Arial Narrow" w:eastAsiaTheme="minorHAnsi" w:hAnsi="Arial Narrow" w:cstheme="minorBidi"/>
      <w:b/>
      <w:sz w:val="20"/>
      <w:szCs w:val="22"/>
      <w:lang w:eastAsia="en-US"/>
    </w:rPr>
  </w:style>
  <w:style w:type="paragraph" w:customStyle="1" w:styleId="PBACheading10">
    <w:name w:val="PBAC heading 1"/>
    <w:qFormat/>
    <w:rsid w:val="0046682C"/>
    <w:pPr>
      <w:ind w:left="720" w:hanging="720"/>
      <w:outlineLvl w:val="0"/>
    </w:pPr>
    <w:rPr>
      <w:rFonts w:ascii="Arial" w:hAnsi="Arial" w:cs="Arial"/>
      <w:snapToGrid w:val="0"/>
      <w:sz w:val="22"/>
      <w:szCs w:val="22"/>
      <w:lang w:eastAsia="en-US"/>
    </w:rPr>
  </w:style>
  <w:style w:type="paragraph" w:styleId="Caption">
    <w:name w:val="caption"/>
    <w:basedOn w:val="Normal"/>
    <w:next w:val="Normal"/>
    <w:unhideWhenUsed/>
    <w:qFormat/>
    <w:rsid w:val="00BF67C6"/>
    <w:pPr>
      <w:spacing w:after="200"/>
    </w:pPr>
    <w:rPr>
      <w:b/>
      <w:bCs/>
      <w:color w:val="4F81BD" w:themeColor="accent1"/>
      <w:sz w:val="18"/>
      <w:szCs w:val="18"/>
    </w:rPr>
  </w:style>
  <w:style w:type="paragraph" w:styleId="Revision">
    <w:name w:val="Revision"/>
    <w:hidden/>
    <w:uiPriority w:val="71"/>
    <w:rsid w:val="008F4A1D"/>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AU" w:eastAsia="en-AU" w:bidi="ar-SA"/>
      </w:rPr>
    </w:rPrDefault>
    <w:pPrDefault/>
  </w:docDefaults>
  <w:latentStyles w:defLockedState="0" w:defUIPriority="0" w:defSemiHidden="1" w:defUnhideWhenUsed="1" w:defQFormat="0" w:count="267">
    <w:lsdException w:name="Normal" w:semiHidden="0" w:unhideWhenUsed="0" w:qFormat="1"/>
    <w:lsdException w:name="heading 1" w:semiHidden="0" w:uiPriority="1" w:unhideWhenUsed="0" w:qFormat="1"/>
    <w:lsdException w:name="heading 2" w:semiHidden="0" w:uiPriority="1" w:unhideWhenUsed="0" w:qFormat="1"/>
    <w:lsdException w:name="heading 3" w:qFormat="1"/>
    <w:lsdException w:name="heading 4" w:qFormat="1"/>
    <w:lsdException w:name="heading 5" w:qFormat="1"/>
    <w:lsdException w:name="heading 6" w:qFormat="1"/>
    <w:lsdException w:name="heading 7" w:qFormat="1"/>
    <w:lsdException w:name="heading 8" w:uiPriority="7" w:qFormat="1"/>
    <w:lsdException w:name="heading 9" w:qFormat="1"/>
    <w:lsdException w:name="header" w:uiPriority="99"/>
    <w:lsdException w:name="footer" w:uiPriority="99"/>
    <w:lsdException w:name="caption" w:qFormat="1"/>
    <w:lsdException w:name="footnote reference" w:uiPriority="99"/>
    <w:lsdException w:name="annotation reference" w:qFormat="1"/>
    <w:lsdException w:name="macro" w:semiHidden="0" w:unhideWhenUsed="0"/>
    <w:lsdException w:name="List Bullet" w:semiHidden="0" w:unhideWhenUsed="0"/>
    <w:lsdException w:name="List Number" w:semiHidden="0" w:unhideWhenUsed="0"/>
    <w:lsdException w:name="Title" w:semiHidden="0" w:unhideWhenUsed="0" w:qFormat="1"/>
    <w:lsdException w:name="List Continue 3" w:semiHidden="0" w:unhideWhenUsed="0"/>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Hyperlink" w:uiPriority="99"/>
    <w:lsdException w:name="Strong" w:semiHidden="0" w:unhideWhenUsed="0" w:qFormat="1"/>
    <w:lsdException w:name="Emphasis" w:semiHidden="0" w:unhideWhenUsed="0" w:qFormat="1"/>
    <w:lsdException w:name="Balloon Text" w:semiHidden="0" w:unhideWhenUsed="0"/>
    <w:lsdException w:name="Table Grid" w:semiHidden="0" w:uiPriority="59" w:unhideWhenUsed="0"/>
    <w:lsdException w:name="Placeholder Text" w:uiPriority="99"/>
    <w:lsdException w:name="No Spacing" w:semiHidden="0" w:uiPriority="99" w:unhideWhenUsed="0" w:qFormat="1"/>
    <w:lsdException w:name="Light Shading" w:semiHidden="0" w:uiPriority="99" w:unhideWhenUsed="0"/>
    <w:lsdException w:name="Light List" w:semiHidden="0" w:uiPriority="99" w:unhideWhenUsed="0"/>
    <w:lsdException w:name="Light Grid" w:semiHidden="0" w:uiPriority="99" w:unhideWhenUsed="0"/>
    <w:lsdException w:name="Medium Shading 1" w:semiHidden="0" w:uiPriority="99" w:unhideWhenUsed="0"/>
    <w:lsdException w:name="Medium Shading 2" w:semiHidden="0" w:uiPriority="99" w:unhideWhenUsed="0"/>
    <w:lsdException w:name="Medium List 1" w:semiHidden="0" w:uiPriority="99" w:unhideWhenUsed="0"/>
    <w:lsdException w:name="Medium List 2" w:semiHidden="0" w:uiPriority="99" w:unhideWhenUsed="0"/>
    <w:lsdException w:name="Medium Grid 1" w:semiHidden="0" w:uiPriority="99" w:unhideWhenUsed="0"/>
    <w:lsdException w:name="Medium Grid 2" w:semiHidden="0" w:unhideWhenUsed="0" w:qFormat="1"/>
    <w:lsdException w:name="Medium Grid 3" w:semiHidden="0" w:uiPriority="60" w:unhideWhenUsed="0"/>
    <w:lsdException w:name="Dark List" w:semiHidden="0" w:uiPriority="61" w:unhideWhenUsed="0"/>
    <w:lsdException w:name="Colorful Shading" w:semiHidden="0" w:uiPriority="62" w:unhideWhenUsed="0"/>
    <w:lsdException w:name="Colorful List" w:semiHidden="0" w:uiPriority="63" w:unhideWhenUsed="0"/>
    <w:lsdException w:name="Colorful Grid" w:semiHidden="0" w:uiPriority="64" w:unhideWhenUsed="0"/>
    <w:lsdException w:name="Light Shading Accent 1" w:semiHidden="0" w:uiPriority="65" w:unhideWhenUsed="0"/>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uiPriority="71" w:unhideWhenUsed="0"/>
    <w:lsdException w:name="List Paragraph" w:semiHidden="0" w:uiPriority="34" w:unhideWhenUsed="0" w:qFormat="1"/>
    <w:lsdException w:name="Quote" w:semiHidden="0" w:uiPriority="73" w:unhideWhenUsed="0" w:qFormat="1"/>
    <w:lsdException w:name="Intense Quote" w:semiHidden="0" w:uiPriority="60" w:unhideWhenUsed="0" w:qFormat="1"/>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semiHidden="0" w:uiPriority="99" w:unhideWhenUsed="0"/>
    <w:lsdException w:name="Colorful List Accent 1" w:semiHidden="0" w:uiPriority="34" w:unhideWhenUsed="0" w:qFormat="1"/>
    <w:lsdException w:name="Colorful Grid Accent 1" w:semiHidden="0" w:uiPriority="29" w:unhideWhenUsed="0" w:qFormat="1"/>
    <w:lsdException w:name="Light Shading Accent 2" w:semiHidden="0" w:uiPriority="30" w:unhideWhenUsed="0" w:qFormat="1"/>
    <w:lsdException w:name="Light List Accent 2" w:semiHidden="0" w:uiPriority="66" w:unhideWhenUsed="0"/>
    <w:lsdException w:name="Light Grid Accent 2" w:semiHidden="0" w:uiPriority="67" w:unhideWhenUsed="0"/>
    <w:lsdException w:name="Medium Shading 1 Accent 2" w:semiHidden="0" w:uiPriority="68" w:unhideWhenUsed="0"/>
    <w:lsdException w:name="Medium Shading 2 Accent 2" w:semiHidden="0" w:uiPriority="69" w:unhideWhenUsed="0"/>
    <w:lsdException w:name="Medium List 1 Accent 2" w:semiHidden="0" w:uiPriority="70" w:unhideWhenUsed="0"/>
    <w:lsdException w:name="Medium List 2 Accent 2" w:semiHidden="0" w:uiPriority="71" w:unhideWhenUsed="0"/>
    <w:lsdException w:name="Medium Grid 1 Accent 2" w:semiHidden="0" w:uiPriority="72" w:unhideWhenUsed="0"/>
    <w:lsdException w:name="Medium Grid 2 Accent 2" w:semiHidden="0" w:uiPriority="73" w:unhideWhenUsed="0"/>
    <w:lsdException w:name="Medium Grid 3 Accent 2" w:semiHidden="0" w:uiPriority="60" w:unhideWhenUsed="0"/>
    <w:lsdException w:name="Dark List Accent 2" w:semiHidden="0" w:uiPriority="61" w:unhideWhenUsed="0"/>
    <w:lsdException w:name="Colorful Shading Accent 2" w:semiHidden="0" w:uiPriority="62" w:unhideWhenUsed="0"/>
    <w:lsdException w:name="Colorful List Accent 2" w:semiHidden="0" w:uiPriority="63" w:unhideWhenUsed="0"/>
    <w:lsdException w:name="Colorful Grid Accent 2" w:semiHidden="0" w:uiPriority="64" w:unhideWhenUsed="0"/>
    <w:lsdException w:name="Light Shading Accent 3" w:semiHidden="0" w:uiPriority="65" w:unhideWhenUsed="0"/>
    <w:lsdException w:name="Light List Accent 3" w:semiHidden="0" w:uiPriority="66" w:unhideWhenUsed="0"/>
    <w:lsdException w:name="Light Grid Accent 3" w:semiHidden="0" w:uiPriority="67" w:unhideWhenUsed="0"/>
    <w:lsdException w:name="Medium Shading 1 Accent 3" w:semiHidden="0" w:uiPriority="68" w:unhideWhenUsed="0"/>
    <w:lsdException w:name="Medium Shading 2 Accent 3" w:semiHidden="0" w:uiPriority="69" w:unhideWhenUsed="0"/>
    <w:lsdException w:name="Medium List 1 Accent 3" w:semiHidden="0" w:uiPriority="70" w:unhideWhenUsed="0"/>
    <w:lsdException w:name="Medium List 2 Accent 3" w:semiHidden="0" w:uiPriority="71" w:unhideWhenUsed="0"/>
    <w:lsdException w:name="Medium Grid 1 Accent 3" w:semiHidden="0" w:uiPriority="72" w:unhideWhenUsed="0"/>
    <w:lsdException w:name="Medium Grid 2 Accent 3" w:semiHidden="0" w:uiPriority="73" w:unhideWhenUsed="0"/>
    <w:lsdException w:name="Medium Grid 3 Accent 3" w:semiHidden="0" w:uiPriority="60" w:unhideWhenUsed="0"/>
    <w:lsdException w:name="Dark List Accent 3" w:semiHidden="0" w:uiPriority="61" w:unhideWhenUsed="0"/>
    <w:lsdException w:name="Colorful Shading Accent 3" w:semiHidden="0" w:uiPriority="62" w:unhideWhenUsed="0"/>
    <w:lsdException w:name="Colorful List Accent 3" w:semiHidden="0" w:uiPriority="63" w:unhideWhenUsed="0"/>
    <w:lsdException w:name="Colorful Grid Accent 3" w:semiHidden="0" w:uiPriority="64" w:unhideWhenUsed="0"/>
    <w:lsdException w:name="Light Shading Accent 4" w:semiHidden="0" w:uiPriority="65" w:unhideWhenUsed="0"/>
    <w:lsdException w:name="Light List Accent 4" w:semiHidden="0" w:uiPriority="66" w:unhideWhenUsed="0"/>
    <w:lsdException w:name="Light Grid Accent 4" w:semiHidden="0" w:uiPriority="67" w:unhideWhenUsed="0"/>
    <w:lsdException w:name="Medium Shading 1 Accent 4" w:semiHidden="0" w:uiPriority="68" w:unhideWhenUsed="0"/>
    <w:lsdException w:name="Medium Shading 2 Accent 4" w:semiHidden="0" w:uiPriority="69" w:unhideWhenUsed="0"/>
    <w:lsdException w:name="Medium List 1 Accent 4" w:semiHidden="0" w:uiPriority="70" w:unhideWhenUsed="0"/>
    <w:lsdException w:name="Medium List 2 Accent 4" w:semiHidden="0" w:uiPriority="71" w:unhideWhenUsed="0"/>
    <w:lsdException w:name="Medium Grid 1 Accent 4" w:semiHidden="0" w:uiPriority="72" w:unhideWhenUsed="0"/>
    <w:lsdException w:name="Medium Grid 2 Accent 4" w:semiHidden="0" w:uiPriority="73" w:unhideWhenUsed="0"/>
    <w:lsdException w:name="Medium Grid 3 Accent 4" w:semiHidden="0" w:uiPriority="60" w:unhideWhenUsed="0"/>
    <w:lsdException w:name="Dark List Accent 4" w:semiHidden="0" w:uiPriority="61" w:unhideWhenUsed="0"/>
    <w:lsdException w:name="Colorful Shading Accent 4" w:semiHidden="0" w:uiPriority="62" w:unhideWhenUsed="0"/>
    <w:lsdException w:name="Colorful List Accent 4" w:semiHidden="0" w:uiPriority="63" w:unhideWhenUsed="0"/>
    <w:lsdException w:name="Colorful Grid Accent 4" w:semiHidden="0" w:uiPriority="64" w:unhideWhenUsed="0"/>
    <w:lsdException w:name="Light Shading Accent 5" w:semiHidden="0" w:uiPriority="65" w:unhideWhenUsed="0"/>
    <w:lsdException w:name="Light List Accent 5" w:semiHidden="0" w:uiPriority="66" w:unhideWhenUsed="0"/>
    <w:lsdException w:name="Light Grid Accent 5" w:semiHidden="0" w:uiPriority="67" w:unhideWhenUsed="0"/>
    <w:lsdException w:name="Medium Shading 1 Accent 5" w:semiHidden="0" w:uiPriority="68" w:unhideWhenUsed="0"/>
    <w:lsdException w:name="Medium Shading 2 Accent 5" w:semiHidden="0" w:uiPriority="69" w:unhideWhenUsed="0"/>
    <w:lsdException w:name="Medium List 1 Accent 5" w:semiHidden="0" w:uiPriority="70" w:unhideWhenUsed="0"/>
    <w:lsdException w:name="Medium List 2 Accent 5" w:semiHidden="0" w:uiPriority="71" w:unhideWhenUsed="0"/>
    <w:lsdException w:name="Medium Grid 1 Accent 5" w:semiHidden="0" w:uiPriority="72" w:unhideWhenUsed="0"/>
    <w:lsdException w:name="Medium Grid 2 Accent 5" w:semiHidden="0" w:uiPriority="73" w:unhideWhenUsed="0"/>
    <w:lsdException w:name="Medium Grid 3 Accent 5" w:semiHidden="0" w:uiPriority="60" w:unhideWhenUsed="0"/>
    <w:lsdException w:name="Dark List Accent 5" w:semiHidden="0" w:uiPriority="61" w:unhideWhenUsed="0"/>
    <w:lsdException w:name="Colorful Shading Accent 5" w:semiHidden="0" w:uiPriority="62" w:unhideWhenUsed="0"/>
    <w:lsdException w:name="Colorful List Accent 5" w:semiHidden="0" w:uiPriority="63" w:unhideWhenUsed="0"/>
    <w:lsdException w:name="Colorful Grid Accent 5" w:semiHidden="0" w:uiPriority="64" w:unhideWhenUsed="0"/>
    <w:lsdException w:name="Light Shading Accent 6" w:semiHidden="0" w:uiPriority="65" w:unhideWhenUsed="0"/>
    <w:lsdException w:name="Light List Accent 6" w:semiHidden="0" w:uiPriority="66" w:unhideWhenUsed="0"/>
    <w:lsdException w:name="Light Grid Accent 6" w:semiHidden="0" w:uiPriority="67" w:unhideWhenUsed="0"/>
    <w:lsdException w:name="Medium Shading 1 Accent 6" w:semiHidden="0" w:uiPriority="68" w:unhideWhenUsed="0"/>
    <w:lsdException w:name="Medium Shading 2 Accent 6" w:semiHidden="0" w:uiPriority="69" w:unhideWhenUsed="0"/>
    <w:lsdException w:name="Medium List 1 Accent 6" w:semiHidden="0" w:uiPriority="70" w:unhideWhenUsed="0"/>
    <w:lsdException w:name="Medium List 2 Accent 6" w:semiHidden="0" w:uiPriority="71" w:unhideWhenUsed="0"/>
    <w:lsdException w:name="Medium Grid 1 Accent 6" w:semiHidden="0" w:uiPriority="72" w:unhideWhenUsed="0"/>
    <w:lsdException w:name="Medium Grid 2 Accent 6" w:semiHidden="0" w:uiPriority="73" w:unhideWhenUsed="0"/>
    <w:lsdException w:name="Medium Grid 3 Accent 6" w:semiHidden="0" w:uiPriority="60" w:unhideWhenUsed="0"/>
    <w:lsdException w:name="Dark List Accent 6" w:semiHidden="0" w:uiPriority="61" w:unhideWhenUsed="0"/>
    <w:lsdException w:name="Colorful Shading Accent 6" w:semiHidden="0" w:uiPriority="62" w:unhideWhenUsed="0"/>
    <w:lsdException w:name="Colorful List Accent 6" w:semiHidden="0" w:uiPriority="63" w:unhideWhenUsed="0"/>
    <w:lsdException w:name="Colorful Grid Accent 6" w:semiHidden="0" w:uiPriority="64" w:unhideWhenUsed="0"/>
    <w:lsdException w:name="Subtle Emphasis" w:semiHidden="0" w:uiPriority="65" w:unhideWhenUsed="0" w:qFormat="1"/>
    <w:lsdException w:name="Intense Emphasis" w:semiHidden="0" w:uiPriority="66" w:unhideWhenUsed="0" w:qFormat="1"/>
    <w:lsdException w:name="Subtle Reference" w:semiHidden="0" w:uiPriority="67" w:unhideWhenUsed="0" w:qFormat="1"/>
    <w:lsdException w:name="Intense Reference" w:semiHidden="0" w:uiPriority="68" w:unhideWhenUsed="0" w:qFormat="1"/>
    <w:lsdException w:name="Book Title" w:semiHidden="0" w:uiPriority="69" w:unhideWhenUsed="0" w:qFormat="1"/>
    <w:lsdException w:name="Bibliography" w:semiHidden="0" w:uiPriority="70" w:unhideWhenUsed="0"/>
    <w:lsdException w:name="TOC Heading" w:uiPriority="71" w:qFormat="1"/>
  </w:latentStyles>
  <w:style w:type="paragraph" w:default="1" w:styleId="Normal">
    <w:name w:val="Normal"/>
    <w:qFormat/>
    <w:rPr>
      <w:sz w:val="24"/>
      <w:szCs w:val="24"/>
    </w:rPr>
  </w:style>
  <w:style w:type="paragraph" w:styleId="Heading1">
    <w:name w:val="heading 1"/>
    <w:basedOn w:val="ListParagraph"/>
    <w:next w:val="Normal"/>
    <w:link w:val="Heading1Char"/>
    <w:uiPriority w:val="1"/>
    <w:qFormat/>
    <w:rsid w:val="00C603D4"/>
    <w:pPr>
      <w:ind w:left="0"/>
      <w:outlineLvl w:val="0"/>
    </w:pPr>
    <w:rPr>
      <w:b/>
      <w:szCs w:val="22"/>
    </w:rPr>
  </w:style>
  <w:style w:type="paragraph" w:styleId="Heading2">
    <w:name w:val="heading 2"/>
    <w:basedOn w:val="Normal"/>
    <w:next w:val="Normal"/>
    <w:link w:val="Heading2Char"/>
    <w:uiPriority w:val="1"/>
    <w:qFormat/>
    <w:rsid w:val="00366E3B"/>
    <w:pPr>
      <w:keepNext/>
      <w:keepLines/>
      <w:spacing w:before="240" w:after="120"/>
      <w:outlineLvl w:val="1"/>
    </w:pPr>
    <w:rPr>
      <w:rFonts w:asciiTheme="minorHAnsi" w:eastAsiaTheme="majorEastAsia" w:hAnsiTheme="minorHAnsi" w:cstheme="majorBidi"/>
      <w:b/>
      <w:i/>
      <w:sz w:val="28"/>
      <w:szCs w:val="28"/>
      <w:lang w:eastAsia="en-US"/>
    </w:rPr>
  </w:style>
  <w:style w:type="paragraph" w:styleId="Heading3">
    <w:name w:val="heading 3"/>
    <w:basedOn w:val="Normal"/>
    <w:next w:val="Normal"/>
    <w:link w:val="Heading3Char"/>
    <w:semiHidden/>
    <w:unhideWhenUsed/>
    <w:qFormat/>
    <w:rsid w:val="00856DDD"/>
    <w:pPr>
      <w:keepNext/>
      <w:keepLines/>
      <w:spacing w:before="200"/>
      <w:outlineLvl w:val="2"/>
    </w:pPr>
    <w:rPr>
      <w:rFonts w:asciiTheme="majorHAnsi" w:eastAsiaTheme="majorEastAsia" w:hAnsiTheme="majorHAnsi" w:cstheme="majorBidi"/>
      <w:b/>
      <w:bCs/>
      <w:color w:val="4F81BD" w:themeColor="accent1"/>
    </w:rPr>
  </w:style>
  <w:style w:type="paragraph" w:styleId="Heading5">
    <w:name w:val="heading 5"/>
    <w:basedOn w:val="Normal"/>
    <w:next w:val="Normal"/>
    <w:qFormat/>
    <w:pPr>
      <w:spacing w:before="240" w:after="60"/>
      <w:outlineLvl w:val="4"/>
    </w:pPr>
    <w:rPr>
      <w:b/>
      <w:bCs/>
      <w:i/>
      <w:iCs/>
      <w:sz w:val="26"/>
      <w:szCs w:val="26"/>
    </w:rPr>
  </w:style>
  <w:style w:type="paragraph" w:styleId="Heading6">
    <w:name w:val="heading 6"/>
    <w:basedOn w:val="Normal"/>
    <w:next w:val="Normal"/>
    <w:qFormat/>
    <w:pPr>
      <w:spacing w:before="240" w:after="60"/>
      <w:outlineLvl w:val="5"/>
    </w:pPr>
    <w:rPr>
      <w:b/>
      <w:bCs/>
      <w:sz w:val="22"/>
      <w:szCs w:val="22"/>
    </w:rPr>
  </w:style>
  <w:style w:type="paragraph" w:styleId="Heading8">
    <w:name w:val="heading 8"/>
    <w:basedOn w:val="Normal"/>
    <w:next w:val="Normal"/>
    <w:link w:val="Heading8Char"/>
    <w:uiPriority w:val="7"/>
    <w:unhideWhenUsed/>
    <w:qFormat/>
    <w:rsid w:val="003E48E3"/>
    <w:pPr>
      <w:keepNext/>
      <w:keepLines/>
      <w:spacing w:before="40"/>
      <w:ind w:left="1440" w:hanging="1440"/>
      <w:outlineLvl w:val="7"/>
    </w:pPr>
    <w:rPr>
      <w:rFonts w:asciiTheme="majorHAnsi" w:eastAsiaTheme="majorEastAsia" w:hAnsiTheme="majorHAnsi" w:cstheme="majorBidi"/>
      <w:color w:val="272727" w:themeColor="text1" w:themeTint="D8"/>
      <w:sz w:val="21"/>
      <w:szCs w:val="21"/>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Page Header,Header title,he=header,cntr/bld"/>
    <w:basedOn w:val="Normal"/>
    <w:link w:val="HeaderChar"/>
    <w:uiPriority w:val="99"/>
    <w:pPr>
      <w:tabs>
        <w:tab w:val="center" w:pos="4153"/>
        <w:tab w:val="right" w:pos="8306"/>
      </w:tabs>
    </w:pPr>
  </w:style>
  <w:style w:type="paragraph" w:styleId="Footer">
    <w:name w:val="footer"/>
    <w:basedOn w:val="Normal"/>
    <w:link w:val="FooterChar"/>
    <w:uiPriority w:val="99"/>
    <w:pPr>
      <w:tabs>
        <w:tab w:val="center" w:pos="4153"/>
        <w:tab w:val="right" w:pos="8306"/>
      </w:tabs>
    </w:pPr>
  </w:style>
  <w:style w:type="character" w:styleId="PageNumber">
    <w:name w:val="page number"/>
    <w:basedOn w:val="DefaultParagraphFont"/>
  </w:style>
  <w:style w:type="paragraph" w:styleId="BalloonText">
    <w:name w:val="Balloon Text"/>
    <w:basedOn w:val="Normal"/>
    <w:semiHidden/>
    <w:rPr>
      <w:rFonts w:ascii="Tahoma" w:hAnsi="Tahoma" w:cs="Tahoma"/>
      <w:sz w:val="16"/>
      <w:szCs w:val="16"/>
    </w:rPr>
  </w:style>
  <w:style w:type="table" w:styleId="TableGrid">
    <w:name w:val="Table Grid"/>
    <w:basedOn w:val="TableNormal"/>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2CharCharCharZchnZchnCharCharCharCharCharCharCharCharCharCharCharCharCharCharCharCharCharCharCharCharCharCharCharChar1CharCharCharCharCharCharCharCharCharCharCharChar1Char">
    <w:name w:val="Char2 Char Char Char Zchn Zchn Char Char Char Char Char Char Char Char Char Char Char Char Char Char Char Char Char Char Char Char Char Char Char Char1 Char Char Char Char Char Char Char Char Char Char Char Char1 Char"/>
    <w:basedOn w:val="Normal"/>
    <w:pPr>
      <w:spacing w:after="160" w:line="240" w:lineRule="exact"/>
    </w:pPr>
    <w:rPr>
      <w:rFonts w:ascii="Verdana" w:eastAsia="MS Mincho" w:hAnsi="Verdana" w:cs="Verdana"/>
      <w:sz w:val="20"/>
      <w:szCs w:val="20"/>
      <w:lang w:val="en-US" w:eastAsia="en-US"/>
    </w:rPr>
  </w:style>
  <w:style w:type="paragraph" w:customStyle="1" w:styleId="Tabletext">
    <w:name w:val="Table text"/>
    <w:basedOn w:val="Normal"/>
    <w:pPr>
      <w:spacing w:after="120"/>
    </w:pPr>
    <w:rPr>
      <w:rFonts w:ascii="Arial" w:hAnsi="Arial"/>
      <w:sz w:val="20"/>
      <w:szCs w:val="20"/>
      <w:lang w:eastAsia="en-US"/>
    </w:rPr>
  </w:style>
  <w:style w:type="paragraph" w:styleId="BodyText2">
    <w:name w:val="Body Text 2"/>
    <w:basedOn w:val="Normal"/>
    <w:link w:val="BodyText2Char"/>
    <w:pPr>
      <w:widowControl w:val="0"/>
      <w:jc w:val="both"/>
    </w:pPr>
    <w:rPr>
      <w:rFonts w:ascii="Arial" w:hAnsi="Arial"/>
      <w:snapToGrid w:val="0"/>
      <w:sz w:val="20"/>
      <w:szCs w:val="20"/>
      <w:lang w:eastAsia="en-US"/>
    </w:rPr>
  </w:style>
  <w:style w:type="paragraph" w:customStyle="1" w:styleId="TableHeading">
    <w:name w:val="TableHeading"/>
    <w:basedOn w:val="Normal"/>
    <w:pPr>
      <w:keepNext/>
      <w:spacing w:before="40" w:after="40"/>
    </w:pPr>
    <w:rPr>
      <w:rFonts w:ascii="Arial Narrow" w:hAnsi="Arial Narrow" w:cs="Arial Narrow"/>
      <w:b/>
      <w:bCs/>
      <w:sz w:val="20"/>
      <w:szCs w:val="20"/>
      <w:lang w:eastAsia="en-US"/>
    </w:rPr>
  </w:style>
  <w:style w:type="character" w:customStyle="1" w:styleId="BodyText2Char">
    <w:name w:val="Body Text 2 Char"/>
    <w:link w:val="BodyText2"/>
    <w:rPr>
      <w:rFonts w:ascii="Arial" w:hAnsi="Arial"/>
      <w:snapToGrid w:val="0"/>
      <w:lang w:val="en-AU" w:eastAsia="en-US" w:bidi="ar-SA"/>
    </w:rPr>
  </w:style>
  <w:style w:type="paragraph" w:customStyle="1" w:styleId="Char1CharCharChar">
    <w:name w:val="Char1 Char Char Char"/>
    <w:basedOn w:val="Normal"/>
    <w:pPr>
      <w:spacing w:after="160" w:line="240" w:lineRule="exact"/>
    </w:pPr>
    <w:rPr>
      <w:rFonts w:ascii="Verdana" w:eastAsia="MS Mincho" w:hAnsi="Verdana" w:cs="Verdana"/>
      <w:sz w:val="20"/>
      <w:szCs w:val="20"/>
      <w:lang w:val="en-US" w:eastAsia="en-US"/>
    </w:rPr>
  </w:style>
  <w:style w:type="paragraph" w:styleId="BodyText3">
    <w:name w:val="Body Text 3"/>
    <w:basedOn w:val="Normal"/>
    <w:pPr>
      <w:spacing w:after="120"/>
    </w:pPr>
    <w:rPr>
      <w:sz w:val="16"/>
      <w:szCs w:val="16"/>
    </w:rPr>
  </w:style>
  <w:style w:type="character" w:customStyle="1" w:styleId="SubtitleChar">
    <w:name w:val="Subtitle Char"/>
    <w:link w:val="Subtitle"/>
    <w:semiHidden/>
    <w:rPr>
      <w:lang w:val="en-AU" w:eastAsia="en-US" w:bidi="ar-SA"/>
    </w:rPr>
  </w:style>
  <w:style w:type="paragraph" w:styleId="Subtitle">
    <w:name w:val="Subtitle"/>
    <w:basedOn w:val="Normal"/>
    <w:link w:val="SubtitleChar"/>
    <w:qFormat/>
    <w:pPr>
      <w:jc w:val="both"/>
    </w:pPr>
    <w:rPr>
      <w:sz w:val="20"/>
      <w:szCs w:val="20"/>
      <w:lang w:eastAsia="en-US"/>
    </w:rPr>
  </w:style>
  <w:style w:type="character" w:customStyle="1" w:styleId="HeaderChar">
    <w:name w:val="Header Char"/>
    <w:aliases w:val="Page Header Char,Header title Char,he=header Char,cntr/bld Char"/>
    <w:link w:val="Header"/>
    <w:uiPriority w:val="99"/>
    <w:rsid w:val="005A3173"/>
    <w:rPr>
      <w:sz w:val="24"/>
      <w:szCs w:val="24"/>
      <w:lang w:eastAsia="en-AU"/>
    </w:rPr>
  </w:style>
  <w:style w:type="paragraph" w:customStyle="1" w:styleId="MediumGrid21">
    <w:name w:val="Medium Grid 21"/>
    <w:link w:val="MediumGrid2Char"/>
    <w:qFormat/>
    <w:rsid w:val="005A3173"/>
    <w:rPr>
      <w:rFonts w:ascii="PMingLiU" w:eastAsia="MS Mincho" w:hAnsi="PMingLiU"/>
      <w:sz w:val="22"/>
      <w:szCs w:val="22"/>
      <w:lang w:val="en-US" w:eastAsia="en-US"/>
    </w:rPr>
  </w:style>
  <w:style w:type="character" w:customStyle="1" w:styleId="MediumGrid2Char">
    <w:name w:val="Medium Grid 2 Char"/>
    <w:link w:val="MediumGrid21"/>
    <w:rsid w:val="005A3173"/>
    <w:rPr>
      <w:rFonts w:ascii="PMingLiU" w:eastAsia="MS Mincho" w:hAnsi="PMingLiU"/>
      <w:sz w:val="22"/>
      <w:szCs w:val="22"/>
      <w:lang w:val="en-US"/>
    </w:rPr>
  </w:style>
  <w:style w:type="table" w:customStyle="1" w:styleId="IntenseQuote1">
    <w:name w:val="Intense Quote1"/>
    <w:basedOn w:val="TableNormal"/>
    <w:uiPriority w:val="60"/>
    <w:qFormat/>
    <w:rsid w:val="00A06225"/>
    <w:rPr>
      <w:rFonts w:ascii="Cambria" w:eastAsia="MS Mincho" w:hAnsi="Cambria"/>
      <w:color w:val="365F91"/>
      <w:sz w:val="22"/>
      <w:szCs w:val="22"/>
      <w:lang w:val="en-US" w:eastAsia="zh-TW"/>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character" w:customStyle="1" w:styleId="FooterChar">
    <w:name w:val="Footer Char"/>
    <w:basedOn w:val="DefaultParagraphFont"/>
    <w:link w:val="Footer"/>
    <w:uiPriority w:val="99"/>
    <w:rsid w:val="00B205AA"/>
    <w:rPr>
      <w:sz w:val="24"/>
      <w:szCs w:val="24"/>
    </w:rPr>
  </w:style>
  <w:style w:type="paragraph" w:styleId="ListParagraph">
    <w:name w:val="List Paragraph"/>
    <w:aliases w:val="BulletPoints,List Paragraph1"/>
    <w:basedOn w:val="Normal"/>
    <w:link w:val="ListParagraphChar"/>
    <w:uiPriority w:val="34"/>
    <w:qFormat/>
    <w:rsid w:val="00300AD6"/>
    <w:pPr>
      <w:widowControl w:val="0"/>
      <w:ind w:left="720"/>
      <w:contextualSpacing/>
      <w:jc w:val="both"/>
    </w:pPr>
    <w:rPr>
      <w:rFonts w:ascii="Arial" w:hAnsi="Arial" w:cs="Arial"/>
      <w:snapToGrid w:val="0"/>
      <w:sz w:val="22"/>
      <w:szCs w:val="20"/>
      <w:lang w:eastAsia="en-US"/>
    </w:rPr>
  </w:style>
  <w:style w:type="character" w:styleId="CommentReference">
    <w:name w:val="annotation reference"/>
    <w:aliases w:val="Table Title"/>
    <w:basedOn w:val="DefaultParagraphFont"/>
    <w:qFormat/>
    <w:rsid w:val="00BB7EC3"/>
    <w:rPr>
      <w:sz w:val="16"/>
      <w:szCs w:val="16"/>
    </w:rPr>
  </w:style>
  <w:style w:type="paragraph" w:styleId="CommentText">
    <w:name w:val="annotation text"/>
    <w:basedOn w:val="Normal"/>
    <w:link w:val="CommentTextChar"/>
    <w:rsid w:val="00BB7EC3"/>
    <w:rPr>
      <w:sz w:val="20"/>
      <w:szCs w:val="20"/>
    </w:rPr>
  </w:style>
  <w:style w:type="character" w:customStyle="1" w:styleId="CommentTextChar">
    <w:name w:val="Comment Text Char"/>
    <w:basedOn w:val="DefaultParagraphFont"/>
    <w:link w:val="CommentText"/>
    <w:rsid w:val="00BB7EC3"/>
  </w:style>
  <w:style w:type="paragraph" w:styleId="CommentSubject">
    <w:name w:val="annotation subject"/>
    <w:basedOn w:val="CommentText"/>
    <w:next w:val="CommentText"/>
    <w:link w:val="CommentSubjectChar"/>
    <w:rsid w:val="00BB7EC3"/>
    <w:rPr>
      <w:b/>
      <w:bCs/>
    </w:rPr>
  </w:style>
  <w:style w:type="character" w:customStyle="1" w:styleId="CommentSubjectChar">
    <w:name w:val="Comment Subject Char"/>
    <w:basedOn w:val="CommentTextChar"/>
    <w:link w:val="CommentSubject"/>
    <w:rsid w:val="00BB7EC3"/>
    <w:rPr>
      <w:b/>
      <w:bCs/>
    </w:rPr>
  </w:style>
  <w:style w:type="character" w:customStyle="1" w:styleId="Heading3Char">
    <w:name w:val="Heading 3 Char"/>
    <w:basedOn w:val="DefaultParagraphFont"/>
    <w:link w:val="Heading3"/>
    <w:semiHidden/>
    <w:rsid w:val="00856DDD"/>
    <w:rPr>
      <w:rFonts w:asciiTheme="majorHAnsi" w:eastAsiaTheme="majorEastAsia" w:hAnsiTheme="majorHAnsi" w:cstheme="majorBidi"/>
      <w:b/>
      <w:bCs/>
      <w:color w:val="4F81BD" w:themeColor="accent1"/>
      <w:sz w:val="24"/>
      <w:szCs w:val="24"/>
    </w:rPr>
  </w:style>
  <w:style w:type="paragraph" w:customStyle="1" w:styleId="tablenotes">
    <w:name w:val="table notes"/>
    <w:basedOn w:val="BodyText2"/>
    <w:qFormat/>
    <w:rsid w:val="009F5F2E"/>
  </w:style>
  <w:style w:type="paragraph" w:styleId="NoSpacing">
    <w:name w:val="No Spacing"/>
    <w:basedOn w:val="Normal"/>
    <w:uiPriority w:val="99"/>
    <w:qFormat/>
    <w:rsid w:val="00C27B58"/>
    <w:pPr>
      <w:jc w:val="both"/>
    </w:pPr>
    <w:rPr>
      <w:rFonts w:ascii="Arial" w:hAnsi="Arial"/>
      <w:sz w:val="22"/>
      <w:szCs w:val="22"/>
    </w:rPr>
  </w:style>
  <w:style w:type="character" w:styleId="Hyperlink">
    <w:name w:val="Hyperlink"/>
    <w:uiPriority w:val="99"/>
    <w:rsid w:val="00AC193C"/>
    <w:rPr>
      <w:color w:val="0000FF"/>
      <w:u w:val="single"/>
    </w:rPr>
  </w:style>
  <w:style w:type="paragraph" w:styleId="Title">
    <w:name w:val="Title"/>
    <w:basedOn w:val="Normal"/>
    <w:next w:val="Normal"/>
    <w:link w:val="TitleChar"/>
    <w:qFormat/>
    <w:rsid w:val="00FE0E94"/>
    <w:pPr>
      <w:spacing w:after="300"/>
      <w:contextualSpacing/>
      <w:outlineLvl w:val="0"/>
    </w:pPr>
    <w:rPr>
      <w:rFonts w:ascii="Arial Bold" w:eastAsiaTheme="majorEastAsia" w:hAnsi="Arial Bold" w:cstheme="majorBidi"/>
      <w:b/>
      <w:spacing w:val="5"/>
      <w:kern w:val="28"/>
      <w:sz w:val="28"/>
      <w:szCs w:val="52"/>
    </w:rPr>
  </w:style>
  <w:style w:type="paragraph" w:styleId="ListNumber">
    <w:name w:val="List Number"/>
    <w:basedOn w:val="Normal"/>
    <w:rsid w:val="004A2484"/>
    <w:pPr>
      <w:numPr>
        <w:numId w:val="12"/>
      </w:numPr>
      <w:contextualSpacing/>
    </w:pPr>
  </w:style>
  <w:style w:type="paragraph" w:styleId="ListContinue2">
    <w:name w:val="List Continue 2"/>
    <w:basedOn w:val="Normal"/>
    <w:rsid w:val="004A2484"/>
    <w:pPr>
      <w:spacing w:after="120"/>
      <w:ind w:left="566"/>
      <w:contextualSpacing/>
    </w:pPr>
  </w:style>
  <w:style w:type="paragraph" w:styleId="ListNumber2">
    <w:name w:val="List Number 2"/>
    <w:basedOn w:val="Normal"/>
    <w:rsid w:val="004A2484"/>
    <w:pPr>
      <w:tabs>
        <w:tab w:val="num" w:pos="643"/>
      </w:tabs>
      <w:ind w:left="643" w:hanging="360"/>
      <w:contextualSpacing/>
    </w:pPr>
  </w:style>
  <w:style w:type="character" w:customStyle="1" w:styleId="TitleChar">
    <w:name w:val="Title Char"/>
    <w:basedOn w:val="DefaultParagraphFont"/>
    <w:link w:val="Title"/>
    <w:rsid w:val="00FE0E94"/>
    <w:rPr>
      <w:rFonts w:ascii="Arial Bold" w:eastAsiaTheme="majorEastAsia" w:hAnsi="Arial Bold" w:cstheme="majorBidi"/>
      <w:b/>
      <w:spacing w:val="5"/>
      <w:kern w:val="28"/>
      <w:sz w:val="28"/>
      <w:szCs w:val="52"/>
    </w:rPr>
  </w:style>
  <w:style w:type="character" w:customStyle="1" w:styleId="ListParagraphChar">
    <w:name w:val="List Paragraph Char"/>
    <w:aliases w:val="BulletPoints Char,List Paragraph1 Char"/>
    <w:basedOn w:val="DefaultParagraphFont"/>
    <w:link w:val="ListParagraph"/>
    <w:uiPriority w:val="72"/>
    <w:qFormat/>
    <w:rsid w:val="00077143"/>
    <w:rPr>
      <w:rFonts w:ascii="Arial" w:hAnsi="Arial" w:cs="Arial"/>
      <w:snapToGrid w:val="0"/>
      <w:sz w:val="22"/>
      <w:lang w:eastAsia="en-US"/>
    </w:rPr>
  </w:style>
  <w:style w:type="paragraph" w:customStyle="1" w:styleId="PBACHeading1">
    <w:name w:val="PBAC Heading 1"/>
    <w:qFormat/>
    <w:rsid w:val="00366E3B"/>
    <w:pPr>
      <w:numPr>
        <w:numId w:val="14"/>
      </w:numPr>
      <w:spacing w:before="240" w:after="120"/>
      <w:ind w:left="709" w:hanging="709"/>
      <w:outlineLvl w:val="0"/>
    </w:pPr>
    <w:rPr>
      <w:rFonts w:asciiTheme="minorHAnsi" w:hAnsiTheme="minorHAnsi" w:cs="Arial"/>
      <w:b/>
      <w:snapToGrid w:val="0"/>
      <w:sz w:val="32"/>
      <w:szCs w:val="32"/>
      <w:lang w:eastAsia="en-US"/>
    </w:rPr>
  </w:style>
  <w:style w:type="character" w:customStyle="1" w:styleId="Heading1Char">
    <w:name w:val="Heading 1 Char"/>
    <w:basedOn w:val="DefaultParagraphFont"/>
    <w:link w:val="Heading1"/>
    <w:uiPriority w:val="1"/>
    <w:rsid w:val="003C2FB5"/>
    <w:rPr>
      <w:rFonts w:ascii="Arial" w:hAnsi="Arial" w:cs="Arial"/>
      <w:b/>
      <w:snapToGrid w:val="0"/>
      <w:sz w:val="22"/>
      <w:szCs w:val="22"/>
      <w:lang w:eastAsia="en-US"/>
    </w:rPr>
  </w:style>
  <w:style w:type="character" w:customStyle="1" w:styleId="Heading2Char">
    <w:name w:val="Heading 2 Char"/>
    <w:basedOn w:val="DefaultParagraphFont"/>
    <w:link w:val="Heading2"/>
    <w:uiPriority w:val="1"/>
    <w:rsid w:val="00366E3B"/>
    <w:rPr>
      <w:rFonts w:asciiTheme="minorHAnsi" w:eastAsiaTheme="majorEastAsia" w:hAnsiTheme="minorHAnsi" w:cstheme="majorBidi"/>
      <w:b/>
      <w:i/>
      <w:sz w:val="28"/>
      <w:szCs w:val="28"/>
      <w:lang w:eastAsia="en-US"/>
    </w:rPr>
  </w:style>
  <w:style w:type="paragraph" w:styleId="BodyText">
    <w:name w:val="Body Text"/>
    <w:basedOn w:val="Normal"/>
    <w:link w:val="BodyTextChar"/>
    <w:rsid w:val="00FB1AEF"/>
    <w:pPr>
      <w:spacing w:after="120"/>
    </w:pPr>
  </w:style>
  <w:style w:type="character" w:customStyle="1" w:styleId="BodyTextChar">
    <w:name w:val="Body Text Char"/>
    <w:basedOn w:val="DefaultParagraphFont"/>
    <w:link w:val="BodyText"/>
    <w:rsid w:val="00FB1AEF"/>
    <w:rPr>
      <w:sz w:val="24"/>
      <w:szCs w:val="24"/>
    </w:rPr>
  </w:style>
  <w:style w:type="character" w:customStyle="1" w:styleId="FootnoteTextChar">
    <w:name w:val="Footnote Text Char"/>
    <w:aliases w:val="Footnote Text Char Char Char,Footnote Text Char2 Char,Footnote Text Char Char1 Char,Char Char,wcp_Footnote Char,Footnote_Bas Page Char, Char Char"/>
    <w:basedOn w:val="DefaultParagraphFont"/>
    <w:link w:val="FootnoteText"/>
    <w:locked/>
    <w:rsid w:val="00857E1C"/>
    <w:rPr>
      <w:rFonts w:asciiTheme="minorHAnsi" w:eastAsiaTheme="minorHAnsi" w:hAnsiTheme="minorHAnsi" w:cstheme="minorBidi"/>
      <w:sz w:val="18"/>
      <w:lang w:eastAsia="en-US"/>
    </w:rPr>
  </w:style>
  <w:style w:type="paragraph" w:styleId="FootnoteText">
    <w:name w:val="footnote text"/>
    <w:aliases w:val="Footnote Text Char Char,Footnote Text Char2,Footnote Text Char Char1,Char,wcp_Footnote,Footnote_Bas Page, Char"/>
    <w:basedOn w:val="Normal"/>
    <w:link w:val="FootnoteTextChar"/>
    <w:unhideWhenUsed/>
    <w:rsid w:val="00857E1C"/>
    <w:pPr>
      <w:jc w:val="both"/>
    </w:pPr>
    <w:rPr>
      <w:rFonts w:asciiTheme="minorHAnsi" w:eastAsiaTheme="minorHAnsi" w:hAnsiTheme="minorHAnsi" w:cstheme="minorBidi"/>
      <w:sz w:val="18"/>
      <w:szCs w:val="20"/>
      <w:lang w:eastAsia="en-US"/>
    </w:rPr>
  </w:style>
  <w:style w:type="character" w:customStyle="1" w:styleId="FootnoteTextChar1">
    <w:name w:val="Footnote Text Char1"/>
    <w:basedOn w:val="DefaultParagraphFont"/>
    <w:rsid w:val="00857E1C"/>
  </w:style>
  <w:style w:type="character" w:styleId="FootnoteReference">
    <w:name w:val="footnote reference"/>
    <w:basedOn w:val="DefaultParagraphFont"/>
    <w:uiPriority w:val="99"/>
    <w:unhideWhenUsed/>
    <w:rsid w:val="00857E1C"/>
    <w:rPr>
      <w:vertAlign w:val="superscript"/>
    </w:rPr>
  </w:style>
  <w:style w:type="character" w:customStyle="1" w:styleId="Heading8Char">
    <w:name w:val="Heading 8 Char"/>
    <w:basedOn w:val="DefaultParagraphFont"/>
    <w:link w:val="Heading8"/>
    <w:uiPriority w:val="7"/>
    <w:rsid w:val="003E48E3"/>
    <w:rPr>
      <w:rFonts w:asciiTheme="majorHAnsi" w:eastAsiaTheme="majorEastAsia" w:hAnsiTheme="majorHAnsi" w:cstheme="majorBidi"/>
      <w:color w:val="272727" w:themeColor="text1" w:themeTint="D8"/>
      <w:sz w:val="21"/>
      <w:szCs w:val="21"/>
      <w:lang w:eastAsia="en-US"/>
    </w:rPr>
  </w:style>
  <w:style w:type="paragraph" w:customStyle="1" w:styleId="TableText0">
    <w:name w:val="Table Text"/>
    <w:basedOn w:val="Normal"/>
    <w:link w:val="TableTextChar"/>
    <w:qFormat/>
    <w:rsid w:val="00F144A9"/>
    <w:pPr>
      <w:widowControl w:val="0"/>
      <w:spacing w:before="40" w:after="40"/>
      <w:jc w:val="both"/>
    </w:pPr>
    <w:rPr>
      <w:rFonts w:ascii="Arial Narrow" w:eastAsiaTheme="minorHAnsi" w:hAnsi="Arial Narrow" w:cstheme="minorBidi"/>
      <w:sz w:val="20"/>
      <w:szCs w:val="22"/>
      <w:lang w:eastAsia="en-US"/>
    </w:rPr>
  </w:style>
  <w:style w:type="character" w:customStyle="1" w:styleId="TableTextChar">
    <w:name w:val="Table Text Char"/>
    <w:link w:val="TableText0"/>
    <w:rsid w:val="00F144A9"/>
    <w:rPr>
      <w:rFonts w:ascii="Arial Narrow" w:eastAsiaTheme="minorHAnsi" w:hAnsi="Arial Narrow" w:cstheme="minorBidi"/>
      <w:szCs w:val="22"/>
      <w:lang w:eastAsia="en-US"/>
    </w:rPr>
  </w:style>
  <w:style w:type="paragraph" w:customStyle="1" w:styleId="TableHeading0">
    <w:name w:val="Table Heading"/>
    <w:basedOn w:val="Normal"/>
    <w:qFormat/>
    <w:rsid w:val="00B0302B"/>
    <w:pPr>
      <w:keepNext/>
      <w:spacing w:before="240" w:after="60"/>
      <w:jc w:val="both"/>
    </w:pPr>
    <w:rPr>
      <w:rFonts w:ascii="Arial Narrow" w:eastAsiaTheme="minorHAnsi" w:hAnsi="Arial Narrow" w:cstheme="minorBidi"/>
      <w:b/>
      <w:sz w:val="20"/>
      <w:szCs w:val="22"/>
      <w:lang w:eastAsia="en-US"/>
    </w:rPr>
  </w:style>
  <w:style w:type="paragraph" w:customStyle="1" w:styleId="PBACheading10">
    <w:name w:val="PBAC heading 1"/>
    <w:qFormat/>
    <w:rsid w:val="0046682C"/>
    <w:pPr>
      <w:ind w:left="720" w:hanging="720"/>
      <w:outlineLvl w:val="0"/>
    </w:pPr>
    <w:rPr>
      <w:rFonts w:ascii="Arial" w:hAnsi="Arial" w:cs="Arial"/>
      <w:snapToGrid w:val="0"/>
      <w:sz w:val="22"/>
      <w:szCs w:val="22"/>
      <w:lang w:eastAsia="en-US"/>
    </w:rPr>
  </w:style>
  <w:style w:type="paragraph" w:styleId="Caption">
    <w:name w:val="caption"/>
    <w:basedOn w:val="Normal"/>
    <w:next w:val="Normal"/>
    <w:unhideWhenUsed/>
    <w:qFormat/>
    <w:rsid w:val="00BF67C6"/>
    <w:pPr>
      <w:spacing w:after="200"/>
    </w:pPr>
    <w:rPr>
      <w:b/>
      <w:bCs/>
      <w:color w:val="4F81BD" w:themeColor="accent1"/>
      <w:sz w:val="18"/>
      <w:szCs w:val="18"/>
    </w:rPr>
  </w:style>
  <w:style w:type="paragraph" w:styleId="Revision">
    <w:name w:val="Revision"/>
    <w:hidden/>
    <w:uiPriority w:val="71"/>
    <w:rsid w:val="008F4A1D"/>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7902015">
      <w:bodyDiv w:val="1"/>
      <w:marLeft w:val="0"/>
      <w:marRight w:val="0"/>
      <w:marTop w:val="0"/>
      <w:marBottom w:val="0"/>
      <w:divBdr>
        <w:top w:val="none" w:sz="0" w:space="0" w:color="auto"/>
        <w:left w:val="none" w:sz="0" w:space="0" w:color="auto"/>
        <w:bottom w:val="none" w:sz="0" w:space="0" w:color="auto"/>
        <w:right w:val="none" w:sz="0" w:space="0" w:color="auto"/>
      </w:divBdr>
    </w:div>
    <w:div w:id="395251251">
      <w:bodyDiv w:val="1"/>
      <w:marLeft w:val="0"/>
      <w:marRight w:val="0"/>
      <w:marTop w:val="0"/>
      <w:marBottom w:val="0"/>
      <w:divBdr>
        <w:top w:val="none" w:sz="0" w:space="0" w:color="auto"/>
        <w:left w:val="none" w:sz="0" w:space="0" w:color="auto"/>
        <w:bottom w:val="none" w:sz="0" w:space="0" w:color="auto"/>
        <w:right w:val="none" w:sz="0" w:space="0" w:color="auto"/>
      </w:divBdr>
    </w:div>
    <w:div w:id="783423854">
      <w:bodyDiv w:val="1"/>
      <w:marLeft w:val="0"/>
      <w:marRight w:val="0"/>
      <w:marTop w:val="0"/>
      <w:marBottom w:val="0"/>
      <w:divBdr>
        <w:top w:val="none" w:sz="0" w:space="0" w:color="auto"/>
        <w:left w:val="none" w:sz="0" w:space="0" w:color="auto"/>
        <w:bottom w:val="none" w:sz="0" w:space="0" w:color="auto"/>
        <w:right w:val="none" w:sz="0" w:space="0" w:color="auto"/>
      </w:divBdr>
    </w:div>
    <w:div w:id="801387817">
      <w:bodyDiv w:val="1"/>
      <w:marLeft w:val="0"/>
      <w:marRight w:val="0"/>
      <w:marTop w:val="0"/>
      <w:marBottom w:val="0"/>
      <w:divBdr>
        <w:top w:val="none" w:sz="0" w:space="0" w:color="auto"/>
        <w:left w:val="none" w:sz="0" w:space="0" w:color="auto"/>
        <w:bottom w:val="none" w:sz="0" w:space="0" w:color="auto"/>
        <w:right w:val="none" w:sz="0" w:space="0" w:color="auto"/>
      </w:divBdr>
    </w:div>
    <w:div w:id="804812052">
      <w:bodyDiv w:val="1"/>
      <w:marLeft w:val="0"/>
      <w:marRight w:val="0"/>
      <w:marTop w:val="0"/>
      <w:marBottom w:val="0"/>
      <w:divBdr>
        <w:top w:val="none" w:sz="0" w:space="0" w:color="auto"/>
        <w:left w:val="none" w:sz="0" w:space="0" w:color="auto"/>
        <w:bottom w:val="none" w:sz="0" w:space="0" w:color="auto"/>
        <w:right w:val="none" w:sz="0" w:space="0" w:color="auto"/>
      </w:divBdr>
      <w:divsChild>
        <w:div w:id="1533179380">
          <w:marLeft w:val="0"/>
          <w:marRight w:val="0"/>
          <w:marTop w:val="0"/>
          <w:marBottom w:val="0"/>
          <w:divBdr>
            <w:top w:val="none" w:sz="0" w:space="0" w:color="auto"/>
            <w:left w:val="none" w:sz="0" w:space="0" w:color="auto"/>
            <w:bottom w:val="none" w:sz="0" w:space="0" w:color="auto"/>
            <w:right w:val="none" w:sz="0" w:space="0" w:color="auto"/>
          </w:divBdr>
        </w:div>
      </w:divsChild>
    </w:div>
    <w:div w:id="1201236832">
      <w:bodyDiv w:val="1"/>
      <w:marLeft w:val="0"/>
      <w:marRight w:val="0"/>
      <w:marTop w:val="0"/>
      <w:marBottom w:val="0"/>
      <w:divBdr>
        <w:top w:val="none" w:sz="0" w:space="0" w:color="auto"/>
        <w:left w:val="none" w:sz="0" w:space="0" w:color="auto"/>
        <w:bottom w:val="none" w:sz="0" w:space="0" w:color="auto"/>
        <w:right w:val="none" w:sz="0" w:space="0" w:color="auto"/>
      </w:divBdr>
    </w:div>
    <w:div w:id="1501502234">
      <w:bodyDiv w:val="1"/>
      <w:marLeft w:val="0"/>
      <w:marRight w:val="0"/>
      <w:marTop w:val="0"/>
      <w:marBottom w:val="0"/>
      <w:divBdr>
        <w:top w:val="none" w:sz="0" w:space="0" w:color="auto"/>
        <w:left w:val="none" w:sz="0" w:space="0" w:color="auto"/>
        <w:bottom w:val="none" w:sz="0" w:space="0" w:color="auto"/>
        <w:right w:val="none" w:sz="0" w:space="0" w:color="auto"/>
      </w:divBdr>
    </w:div>
    <w:div w:id="1540826107">
      <w:bodyDiv w:val="1"/>
      <w:marLeft w:val="0"/>
      <w:marRight w:val="0"/>
      <w:marTop w:val="0"/>
      <w:marBottom w:val="0"/>
      <w:divBdr>
        <w:top w:val="none" w:sz="0" w:space="0" w:color="auto"/>
        <w:left w:val="none" w:sz="0" w:space="0" w:color="auto"/>
        <w:bottom w:val="none" w:sz="0" w:space="0" w:color="auto"/>
        <w:right w:val="none" w:sz="0" w:space="0" w:color="auto"/>
      </w:divBdr>
    </w:div>
    <w:div w:id="1586843175">
      <w:bodyDiv w:val="1"/>
      <w:marLeft w:val="0"/>
      <w:marRight w:val="0"/>
      <w:marTop w:val="0"/>
      <w:marBottom w:val="0"/>
      <w:divBdr>
        <w:top w:val="none" w:sz="0" w:space="0" w:color="auto"/>
        <w:left w:val="none" w:sz="0" w:space="0" w:color="auto"/>
        <w:bottom w:val="none" w:sz="0" w:space="0" w:color="auto"/>
        <w:right w:val="none" w:sz="0" w:space="0" w:color="auto"/>
      </w:divBdr>
    </w:div>
    <w:div w:id="1696230981">
      <w:bodyDiv w:val="1"/>
      <w:marLeft w:val="0"/>
      <w:marRight w:val="0"/>
      <w:marTop w:val="0"/>
      <w:marBottom w:val="0"/>
      <w:divBdr>
        <w:top w:val="none" w:sz="0" w:space="0" w:color="auto"/>
        <w:left w:val="none" w:sz="0" w:space="0" w:color="auto"/>
        <w:bottom w:val="none" w:sz="0" w:space="0" w:color="auto"/>
        <w:right w:val="none" w:sz="0" w:space="0" w:color="auto"/>
      </w:divBdr>
      <w:divsChild>
        <w:div w:id="748698824">
          <w:marLeft w:val="0"/>
          <w:marRight w:val="0"/>
          <w:marTop w:val="0"/>
          <w:marBottom w:val="0"/>
          <w:divBdr>
            <w:top w:val="none" w:sz="0" w:space="0" w:color="auto"/>
            <w:left w:val="none" w:sz="0" w:space="0" w:color="auto"/>
            <w:bottom w:val="none" w:sz="0" w:space="0" w:color="auto"/>
            <w:right w:val="none" w:sz="0" w:space="0" w:color="auto"/>
          </w:divBdr>
        </w:div>
      </w:divsChild>
    </w:div>
    <w:div w:id="18995116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header" Target="header1.xml"/><Relationship Id="rId19" Type="http://schemas.microsoft.com/office/2011/relationships/people" Target="people.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327D140-93C9-461A-A2CB-EB2D8AC8D8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13</Pages>
  <Words>4493</Words>
  <Characters>30725</Characters>
  <Application>Microsoft Office Word</Application>
  <DocSecurity>0</DocSecurity>
  <Lines>256</Lines>
  <Paragraphs>70</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35148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2018-06-19T08:23:00Z</dcterms:created>
  <dcterms:modified xsi:type="dcterms:W3CDTF">2018-06-22T01:20:00Z</dcterms:modified>
</cp:coreProperties>
</file>