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5B" w:rsidRDefault="003B395F" w:rsidP="0037625B">
      <w:pPr>
        <w:pStyle w:val="Title"/>
        <w:spacing w:after="0"/>
        <w:ind w:left="709" w:hanging="709"/>
        <w:rPr>
          <w:rFonts w:asciiTheme="minorHAnsi" w:hAnsiTheme="minorHAnsi"/>
          <w:sz w:val="36"/>
          <w:szCs w:val="36"/>
        </w:rPr>
      </w:pPr>
      <w:r>
        <w:rPr>
          <w:rFonts w:asciiTheme="minorHAnsi" w:hAnsiTheme="minorHAnsi"/>
          <w:sz w:val="36"/>
          <w:szCs w:val="36"/>
        </w:rPr>
        <w:t>7.14</w:t>
      </w:r>
      <w:r w:rsidR="007C0F57" w:rsidRPr="00EB3307">
        <w:rPr>
          <w:rFonts w:asciiTheme="minorHAnsi" w:hAnsiTheme="minorHAnsi"/>
          <w:sz w:val="36"/>
          <w:szCs w:val="36"/>
        </w:rPr>
        <w:tab/>
      </w:r>
      <w:r>
        <w:rPr>
          <w:rFonts w:asciiTheme="minorHAnsi" w:hAnsiTheme="minorHAnsi"/>
          <w:sz w:val="36"/>
          <w:szCs w:val="36"/>
        </w:rPr>
        <w:t>NIVOLUMAB</w:t>
      </w:r>
    </w:p>
    <w:p w:rsidR="00EB3307" w:rsidRPr="00EB3307" w:rsidRDefault="003B395F" w:rsidP="0037625B">
      <w:pPr>
        <w:pStyle w:val="Title"/>
        <w:spacing w:after="0"/>
        <w:ind w:left="709" w:hanging="11"/>
        <w:rPr>
          <w:rFonts w:asciiTheme="minorHAnsi" w:hAnsiTheme="minorHAnsi"/>
          <w:sz w:val="36"/>
          <w:szCs w:val="36"/>
        </w:rPr>
      </w:pPr>
      <w:r>
        <w:rPr>
          <w:rFonts w:asciiTheme="minorHAnsi" w:hAnsiTheme="minorHAnsi"/>
          <w:sz w:val="36"/>
          <w:szCs w:val="36"/>
        </w:rPr>
        <w:t>Injectio</w:t>
      </w:r>
      <w:r w:rsidR="0037625B">
        <w:rPr>
          <w:rFonts w:asciiTheme="minorHAnsi" w:hAnsiTheme="minorHAnsi"/>
          <w:sz w:val="36"/>
          <w:szCs w:val="36"/>
        </w:rPr>
        <w:t xml:space="preserve">n concentrate for I.V. infusion, </w:t>
      </w:r>
      <w:r>
        <w:rPr>
          <w:rFonts w:asciiTheme="minorHAnsi" w:hAnsiTheme="minorHAnsi"/>
          <w:sz w:val="36"/>
          <w:szCs w:val="36"/>
        </w:rPr>
        <w:t>40</w:t>
      </w:r>
      <w:r w:rsidR="00005831">
        <w:rPr>
          <w:rFonts w:asciiTheme="minorHAnsi" w:hAnsiTheme="minorHAnsi"/>
          <w:sz w:val="36"/>
          <w:szCs w:val="36"/>
        </w:rPr>
        <w:t> mg in 4 </w:t>
      </w:r>
      <w:r>
        <w:rPr>
          <w:rFonts w:asciiTheme="minorHAnsi" w:hAnsiTheme="minorHAnsi"/>
          <w:sz w:val="36"/>
          <w:szCs w:val="36"/>
        </w:rPr>
        <w:t>mL</w:t>
      </w:r>
      <w:r w:rsidR="00005831">
        <w:rPr>
          <w:rFonts w:asciiTheme="minorHAnsi" w:hAnsiTheme="minorHAnsi"/>
          <w:sz w:val="36"/>
          <w:szCs w:val="36"/>
        </w:rPr>
        <w:t>,</w:t>
      </w:r>
    </w:p>
    <w:p w:rsidR="0037625B" w:rsidRDefault="003B395F" w:rsidP="0037625B">
      <w:pPr>
        <w:pStyle w:val="Title"/>
        <w:spacing w:after="0"/>
        <w:ind w:left="709" w:hanging="11"/>
        <w:rPr>
          <w:rFonts w:asciiTheme="minorHAnsi" w:hAnsiTheme="minorHAnsi"/>
          <w:sz w:val="36"/>
          <w:szCs w:val="36"/>
        </w:rPr>
      </w:pPr>
      <w:r>
        <w:rPr>
          <w:rFonts w:asciiTheme="minorHAnsi" w:hAnsiTheme="minorHAnsi"/>
          <w:sz w:val="36"/>
          <w:szCs w:val="36"/>
        </w:rPr>
        <w:t>Injection concentrate</w:t>
      </w:r>
      <w:r w:rsidR="0037625B">
        <w:rPr>
          <w:rFonts w:asciiTheme="minorHAnsi" w:hAnsiTheme="minorHAnsi"/>
          <w:sz w:val="36"/>
          <w:szCs w:val="36"/>
        </w:rPr>
        <w:t xml:space="preserve"> for I.V. infusion, 100 mg in </w:t>
      </w:r>
      <w:r w:rsidR="00005831">
        <w:rPr>
          <w:rFonts w:asciiTheme="minorHAnsi" w:hAnsiTheme="minorHAnsi"/>
          <w:sz w:val="36"/>
          <w:szCs w:val="36"/>
        </w:rPr>
        <w:t>10 </w:t>
      </w:r>
      <w:r>
        <w:rPr>
          <w:rFonts w:asciiTheme="minorHAnsi" w:hAnsiTheme="minorHAnsi"/>
          <w:sz w:val="36"/>
          <w:szCs w:val="36"/>
        </w:rPr>
        <w:t>mL</w:t>
      </w:r>
      <w:r w:rsidR="00EB3307" w:rsidRPr="00EB3307">
        <w:rPr>
          <w:rFonts w:asciiTheme="minorHAnsi" w:hAnsiTheme="minorHAnsi"/>
          <w:sz w:val="36"/>
          <w:szCs w:val="36"/>
        </w:rPr>
        <w:t>,</w:t>
      </w:r>
      <w:r w:rsidR="0037625B">
        <w:rPr>
          <w:rFonts w:asciiTheme="minorHAnsi" w:hAnsiTheme="minorHAnsi"/>
          <w:sz w:val="36"/>
          <w:szCs w:val="36"/>
        </w:rPr>
        <w:t xml:space="preserve"> </w:t>
      </w:r>
    </w:p>
    <w:p w:rsidR="00C27B58" w:rsidRPr="00EB3307" w:rsidRDefault="003B395F" w:rsidP="0037625B">
      <w:pPr>
        <w:pStyle w:val="Title"/>
        <w:spacing w:after="0"/>
        <w:ind w:left="709" w:hanging="11"/>
        <w:rPr>
          <w:rFonts w:asciiTheme="minorHAnsi" w:hAnsiTheme="minorHAnsi"/>
          <w:sz w:val="36"/>
          <w:szCs w:val="36"/>
        </w:rPr>
      </w:pPr>
      <w:r>
        <w:rPr>
          <w:rFonts w:asciiTheme="minorHAnsi" w:hAnsiTheme="minorHAnsi"/>
          <w:sz w:val="36"/>
          <w:szCs w:val="36"/>
        </w:rPr>
        <w:t>Opdivo</w:t>
      </w:r>
      <w:r w:rsidR="009D2709" w:rsidRPr="00EB3307">
        <w:rPr>
          <w:rFonts w:asciiTheme="minorHAnsi" w:hAnsiTheme="minorHAnsi"/>
          <w:sz w:val="36"/>
          <w:szCs w:val="36"/>
        </w:rPr>
        <w:t xml:space="preserve">®, </w:t>
      </w:r>
      <w:r>
        <w:rPr>
          <w:rFonts w:asciiTheme="minorHAnsi" w:hAnsiTheme="minorHAnsi"/>
          <w:sz w:val="36"/>
          <w:szCs w:val="36"/>
        </w:rPr>
        <w:t>Bristol-Myers Squibb Australia</w:t>
      </w:r>
      <w:r w:rsidR="001A5008">
        <w:rPr>
          <w:rFonts w:asciiTheme="minorHAnsi" w:hAnsiTheme="minorHAnsi"/>
          <w:sz w:val="36"/>
          <w:szCs w:val="36"/>
        </w:rPr>
        <w:t xml:space="preserve"> Ltd</w:t>
      </w:r>
    </w:p>
    <w:p w:rsidR="008A50F1" w:rsidRPr="0037625B" w:rsidRDefault="00CE10C4" w:rsidP="0037625B">
      <w:pPr>
        <w:pStyle w:val="PBACHeading1"/>
      </w:pPr>
      <w:r w:rsidRPr="0037625B">
        <w:t xml:space="preserve">Purpose of </w:t>
      </w:r>
      <w:r w:rsidR="0004240E" w:rsidRPr="0037625B">
        <w:t>Application</w:t>
      </w:r>
    </w:p>
    <w:p w:rsidR="009D2709" w:rsidRPr="00DC2788" w:rsidRDefault="00EF44A0" w:rsidP="00D73F28">
      <w:pPr>
        <w:pStyle w:val="ListParagraph"/>
        <w:widowControl/>
        <w:numPr>
          <w:ilvl w:val="1"/>
          <w:numId w:val="5"/>
        </w:numPr>
        <w:spacing w:before="120" w:after="160"/>
        <w:contextualSpacing w:val="0"/>
        <w:rPr>
          <w:rFonts w:ascii="Calibri" w:hAnsi="Calibri"/>
          <w:sz w:val="24"/>
          <w:szCs w:val="24"/>
        </w:rPr>
      </w:pPr>
      <w:r w:rsidRPr="00EB3307">
        <w:rPr>
          <w:rFonts w:ascii="Calibri" w:eastAsiaTheme="minorHAnsi" w:hAnsi="Calibri" w:cstheme="minorBidi"/>
          <w:snapToGrid/>
          <w:sz w:val="24"/>
          <w:szCs w:val="24"/>
        </w:rPr>
        <w:t>Th</w:t>
      </w:r>
      <w:r w:rsidR="00E960F7">
        <w:rPr>
          <w:rFonts w:ascii="Calibri" w:eastAsiaTheme="minorHAnsi" w:hAnsi="Calibri" w:cstheme="minorBidi"/>
          <w:snapToGrid/>
          <w:sz w:val="24"/>
          <w:szCs w:val="24"/>
        </w:rPr>
        <w:t>is</w:t>
      </w:r>
      <w:r w:rsidRPr="00EB3307">
        <w:rPr>
          <w:rFonts w:ascii="Calibri" w:eastAsiaTheme="minorHAnsi" w:hAnsi="Calibri" w:cstheme="minorBidi"/>
          <w:snapToGrid/>
          <w:sz w:val="24"/>
          <w:szCs w:val="24"/>
        </w:rPr>
        <w:t xml:space="preserve"> mi</w:t>
      </w:r>
      <w:r w:rsidR="00FF2801" w:rsidRPr="00EB3307">
        <w:rPr>
          <w:rFonts w:ascii="Calibri" w:eastAsiaTheme="minorHAnsi" w:hAnsi="Calibri" w:cstheme="minorBidi"/>
          <w:snapToGrid/>
          <w:sz w:val="24"/>
          <w:szCs w:val="24"/>
        </w:rPr>
        <w:t xml:space="preserve">nor </w:t>
      </w:r>
      <w:r w:rsidR="00C671A5" w:rsidRPr="00EB3307">
        <w:rPr>
          <w:rFonts w:ascii="Calibri" w:eastAsiaTheme="minorHAnsi" w:hAnsi="Calibri" w:cstheme="minorBidi"/>
          <w:snapToGrid/>
          <w:sz w:val="24"/>
          <w:szCs w:val="24"/>
        </w:rPr>
        <w:t>re</w:t>
      </w:r>
      <w:r w:rsidR="00FF2801" w:rsidRPr="00EB3307">
        <w:rPr>
          <w:rFonts w:ascii="Calibri" w:eastAsiaTheme="minorHAnsi" w:hAnsi="Calibri" w:cstheme="minorBidi"/>
          <w:snapToGrid/>
          <w:sz w:val="24"/>
          <w:szCs w:val="24"/>
        </w:rPr>
        <w:t>submission requested</w:t>
      </w:r>
      <w:r w:rsidR="009D2709" w:rsidRPr="00EB3307">
        <w:rPr>
          <w:rFonts w:ascii="Calibri" w:eastAsiaTheme="minorHAnsi" w:hAnsi="Calibri" w:cstheme="minorBidi"/>
          <w:snapToGrid/>
          <w:sz w:val="24"/>
          <w:szCs w:val="24"/>
        </w:rPr>
        <w:t xml:space="preserve"> </w:t>
      </w:r>
      <w:r w:rsidR="003B395F">
        <w:rPr>
          <w:rFonts w:ascii="Calibri" w:eastAsiaTheme="minorHAnsi" w:hAnsi="Calibri" w:cstheme="minorBidi"/>
          <w:snapToGrid/>
          <w:sz w:val="24"/>
          <w:szCs w:val="24"/>
        </w:rPr>
        <w:t xml:space="preserve">a </w:t>
      </w:r>
      <w:r w:rsidR="003B395F">
        <w:rPr>
          <w:rFonts w:ascii="Calibri" w:hAnsi="Calibri"/>
          <w:sz w:val="24"/>
          <w:szCs w:val="24"/>
        </w:rPr>
        <w:t xml:space="preserve">Section 100 </w:t>
      </w:r>
      <w:r w:rsidR="003B395F" w:rsidRPr="003B395F">
        <w:rPr>
          <w:rFonts w:ascii="Calibri" w:hAnsi="Calibri"/>
          <w:sz w:val="24"/>
          <w:szCs w:val="24"/>
        </w:rPr>
        <w:t>(</w:t>
      </w:r>
      <w:r w:rsidR="003B395F" w:rsidRPr="003B395F">
        <w:rPr>
          <w:rFonts w:asciiTheme="minorHAnsi" w:hAnsiTheme="minorHAnsi"/>
          <w:sz w:val="24"/>
          <w:szCs w:val="24"/>
        </w:rPr>
        <w:t>Efficient Funding of chemotherapy – Public and Private Hospital)</w:t>
      </w:r>
      <w:r w:rsidR="00395A72" w:rsidRPr="00EB3307">
        <w:rPr>
          <w:rFonts w:ascii="Calibri" w:hAnsi="Calibri"/>
          <w:sz w:val="24"/>
          <w:szCs w:val="24"/>
        </w:rPr>
        <w:t xml:space="preserve"> </w:t>
      </w:r>
      <w:r w:rsidR="009D2709" w:rsidRPr="00EB3307">
        <w:rPr>
          <w:rFonts w:ascii="Calibri" w:hAnsi="Calibri"/>
          <w:sz w:val="24"/>
          <w:szCs w:val="24"/>
        </w:rPr>
        <w:t xml:space="preserve">listing </w:t>
      </w:r>
      <w:r w:rsidR="003B395F" w:rsidRPr="003B395F">
        <w:rPr>
          <w:rFonts w:asciiTheme="minorHAnsi" w:hAnsiTheme="minorHAnsi"/>
          <w:sz w:val="24"/>
          <w:szCs w:val="24"/>
        </w:rPr>
        <w:t xml:space="preserve">for treatment of recurrent or metastatic (RM) squamous cell carcinoma of the oral cavity, pharynx or larynx (SSCHN) </w:t>
      </w:r>
      <w:r w:rsidR="00F17D1F">
        <w:rPr>
          <w:rFonts w:asciiTheme="minorHAnsi" w:hAnsiTheme="minorHAnsi"/>
          <w:sz w:val="24"/>
          <w:szCs w:val="24"/>
        </w:rPr>
        <w:t xml:space="preserve">in patients </w:t>
      </w:r>
      <w:r w:rsidR="003B395F" w:rsidRPr="003B395F">
        <w:rPr>
          <w:rFonts w:asciiTheme="minorHAnsi" w:hAnsiTheme="minorHAnsi"/>
          <w:sz w:val="24"/>
          <w:szCs w:val="24"/>
        </w:rPr>
        <w:t>who have progressed within 6-months after platinum-based chemotherapy.</w:t>
      </w:r>
    </w:p>
    <w:p w:rsidR="00B03397" w:rsidRPr="00DC2788" w:rsidRDefault="00DC2788" w:rsidP="00D73F28">
      <w:pPr>
        <w:pStyle w:val="ListParagraph"/>
        <w:widowControl/>
        <w:numPr>
          <w:ilvl w:val="1"/>
          <w:numId w:val="5"/>
        </w:numPr>
        <w:spacing w:before="120" w:after="160"/>
        <w:contextualSpacing w:val="0"/>
        <w:rPr>
          <w:rFonts w:asciiTheme="minorHAnsi" w:hAnsiTheme="minorHAnsi"/>
          <w:sz w:val="24"/>
          <w:szCs w:val="24"/>
        </w:rPr>
      </w:pPr>
      <w:r w:rsidRPr="00DC2788">
        <w:rPr>
          <w:rFonts w:ascii="Calibri" w:hAnsi="Calibri"/>
          <w:sz w:val="24"/>
          <w:szCs w:val="24"/>
        </w:rPr>
        <w:t xml:space="preserve">This minor resubmission </w:t>
      </w:r>
      <w:r w:rsidR="00E960F7">
        <w:rPr>
          <w:rFonts w:ascii="Calibri" w:hAnsi="Calibri"/>
          <w:sz w:val="24"/>
          <w:szCs w:val="24"/>
        </w:rPr>
        <w:t xml:space="preserve">also </w:t>
      </w:r>
      <w:r w:rsidRPr="00DC2788">
        <w:rPr>
          <w:rFonts w:ascii="Calibri" w:hAnsi="Calibri"/>
          <w:sz w:val="24"/>
          <w:szCs w:val="24"/>
        </w:rPr>
        <w:t xml:space="preserve">sought </w:t>
      </w:r>
      <w:r w:rsidR="007E6110">
        <w:rPr>
          <w:rFonts w:ascii="Calibri" w:hAnsi="Calibri"/>
          <w:sz w:val="24"/>
          <w:szCs w:val="24"/>
        </w:rPr>
        <w:t xml:space="preserve">to </w:t>
      </w:r>
      <w:r w:rsidRPr="00DC2788">
        <w:rPr>
          <w:rFonts w:ascii="Calibri" w:hAnsi="Calibri"/>
          <w:sz w:val="24"/>
          <w:szCs w:val="24"/>
        </w:rPr>
        <w:t>address the issues</w:t>
      </w:r>
      <w:r w:rsidR="002C6128">
        <w:rPr>
          <w:rFonts w:ascii="Calibri" w:hAnsi="Calibri"/>
          <w:sz w:val="24"/>
          <w:szCs w:val="24"/>
        </w:rPr>
        <w:t xml:space="preserve"> regarding the economic model raised by the PBAC at its November 2017 meeting.</w:t>
      </w:r>
      <w:r w:rsidRPr="00DC2788">
        <w:rPr>
          <w:rFonts w:ascii="Calibri" w:hAnsi="Calibri"/>
          <w:sz w:val="24"/>
          <w:szCs w:val="24"/>
        </w:rPr>
        <w:t xml:space="preserve"> </w:t>
      </w:r>
      <w:r w:rsidR="00185D95">
        <w:rPr>
          <w:rFonts w:ascii="Calibri" w:hAnsi="Calibri"/>
          <w:sz w:val="24"/>
          <w:szCs w:val="24"/>
        </w:rPr>
        <w:t xml:space="preserve">The minor resubmission proposed a </w:t>
      </w:r>
      <w:r w:rsidR="007B0774">
        <w:rPr>
          <w:rFonts w:ascii="Calibri" w:hAnsi="Calibri"/>
          <w:noProof/>
          <w:color w:val="000000"/>
          <w:sz w:val="24"/>
          <w:szCs w:val="24"/>
          <w:highlight w:val="black"/>
        </w:rPr>
        <w:t>''''''''</w:t>
      </w:r>
      <w:r w:rsidR="00185D95">
        <w:rPr>
          <w:rFonts w:ascii="Calibri" w:hAnsi="Calibri"/>
          <w:sz w:val="24"/>
          <w:szCs w:val="24"/>
        </w:rPr>
        <w:t>% reduction to the effective price offered in November 2017</w:t>
      </w:r>
      <w:r w:rsidR="007E6110">
        <w:rPr>
          <w:rFonts w:ascii="Calibri" w:hAnsi="Calibri"/>
          <w:sz w:val="24"/>
          <w:szCs w:val="24"/>
        </w:rPr>
        <w:t>,</w:t>
      </w:r>
      <w:r w:rsidR="00185D95">
        <w:rPr>
          <w:rFonts w:ascii="Calibri" w:hAnsi="Calibri"/>
          <w:sz w:val="24"/>
          <w:szCs w:val="24"/>
        </w:rPr>
        <w:t xml:space="preserve"> and a </w:t>
      </w:r>
      <w:r w:rsidR="007B0774">
        <w:rPr>
          <w:rFonts w:ascii="Calibri" w:hAnsi="Calibri"/>
          <w:noProof/>
          <w:color w:val="000000"/>
          <w:sz w:val="24"/>
          <w:szCs w:val="24"/>
          <w:highlight w:val="black"/>
        </w:rPr>
        <w:t>'''''</w:t>
      </w:r>
      <w:r w:rsidR="00185D95">
        <w:rPr>
          <w:rFonts w:ascii="Calibri" w:hAnsi="Calibri"/>
          <w:sz w:val="24"/>
          <w:szCs w:val="24"/>
        </w:rPr>
        <w:t>% reduction in the number of eligible patients</w:t>
      </w:r>
      <w:r w:rsidR="0086620D">
        <w:rPr>
          <w:rFonts w:ascii="Calibri" w:hAnsi="Calibri"/>
          <w:sz w:val="24"/>
          <w:szCs w:val="24"/>
        </w:rPr>
        <w:t xml:space="preserve">. </w:t>
      </w:r>
      <w:r w:rsidR="00E960F7">
        <w:rPr>
          <w:rFonts w:ascii="Calibri" w:hAnsi="Calibri"/>
          <w:sz w:val="24"/>
          <w:szCs w:val="24"/>
        </w:rPr>
        <w:t xml:space="preserve">It also </w:t>
      </w:r>
      <w:r w:rsidR="00185D95">
        <w:rPr>
          <w:rFonts w:ascii="Calibri" w:hAnsi="Calibri"/>
          <w:sz w:val="24"/>
          <w:szCs w:val="24"/>
        </w:rPr>
        <w:t xml:space="preserve">presented revised financial estimates to reflect the price reduction </w:t>
      </w:r>
      <w:r w:rsidR="00333230" w:rsidRPr="00F62235">
        <w:rPr>
          <w:rFonts w:asciiTheme="minorHAnsi" w:eastAsia="Calibri" w:hAnsiTheme="minorHAnsi"/>
          <w:sz w:val="24"/>
          <w:szCs w:val="24"/>
        </w:rPr>
        <w:t>offered in the minor resubmission</w:t>
      </w:r>
      <w:r w:rsidR="00333230">
        <w:rPr>
          <w:rFonts w:ascii="Calibri" w:hAnsi="Calibri"/>
          <w:sz w:val="24"/>
          <w:szCs w:val="24"/>
        </w:rPr>
        <w:t xml:space="preserve"> </w:t>
      </w:r>
      <w:r w:rsidR="00185D95">
        <w:rPr>
          <w:rFonts w:ascii="Calibri" w:hAnsi="Calibri"/>
          <w:sz w:val="24"/>
          <w:szCs w:val="24"/>
        </w:rPr>
        <w:t xml:space="preserve">and other concerns raised by DUSC and PBAC at their September 2017 and November 2017 considerations of the </w:t>
      </w:r>
      <w:r w:rsidR="008B2231">
        <w:rPr>
          <w:rFonts w:ascii="Calibri" w:hAnsi="Calibri"/>
          <w:sz w:val="24"/>
          <w:szCs w:val="24"/>
        </w:rPr>
        <w:t xml:space="preserve">previous </w:t>
      </w:r>
      <w:r w:rsidR="00185D95">
        <w:rPr>
          <w:rFonts w:ascii="Calibri" w:hAnsi="Calibri"/>
          <w:sz w:val="24"/>
          <w:szCs w:val="24"/>
        </w:rPr>
        <w:t>major submission, respectively.</w:t>
      </w:r>
    </w:p>
    <w:p w:rsidR="006A12A5" w:rsidRPr="00EB3307" w:rsidRDefault="006A12A5" w:rsidP="0037625B">
      <w:pPr>
        <w:pStyle w:val="PBACHeading1"/>
      </w:pPr>
      <w:r w:rsidRPr="00EB3307">
        <w:t>Requested listing</w:t>
      </w:r>
    </w:p>
    <w:p w:rsidR="003D6886" w:rsidRPr="00915B58" w:rsidRDefault="00867525" w:rsidP="00D73F28">
      <w:pPr>
        <w:pStyle w:val="ListParagraph"/>
        <w:numPr>
          <w:ilvl w:val="1"/>
          <w:numId w:val="5"/>
        </w:numPr>
        <w:spacing w:before="120" w:after="160"/>
        <w:contextualSpacing w:val="0"/>
        <w:rPr>
          <w:rFonts w:asciiTheme="minorHAnsi" w:eastAsiaTheme="minorHAnsi" w:hAnsiTheme="minorHAnsi" w:cstheme="minorBidi"/>
          <w:snapToGrid/>
          <w:sz w:val="24"/>
          <w:szCs w:val="22"/>
        </w:rPr>
      </w:pPr>
      <w:r>
        <w:rPr>
          <w:rFonts w:ascii="Calibri" w:hAnsi="Calibri"/>
          <w:sz w:val="24"/>
          <w:szCs w:val="24"/>
        </w:rPr>
        <w:t>This</w:t>
      </w:r>
      <w:r w:rsidR="009D2709" w:rsidRPr="00EB3307">
        <w:rPr>
          <w:rFonts w:ascii="Calibri" w:hAnsi="Calibri"/>
          <w:sz w:val="24"/>
          <w:szCs w:val="24"/>
        </w:rPr>
        <w:t xml:space="preserve"> minor </w:t>
      </w:r>
      <w:r>
        <w:rPr>
          <w:rFonts w:ascii="Calibri" w:hAnsi="Calibri"/>
          <w:sz w:val="24"/>
          <w:szCs w:val="24"/>
        </w:rPr>
        <w:t>re</w:t>
      </w:r>
      <w:r w:rsidR="009D2709" w:rsidRPr="00EB3307">
        <w:rPr>
          <w:rFonts w:ascii="Calibri" w:hAnsi="Calibri"/>
          <w:sz w:val="24"/>
          <w:szCs w:val="24"/>
        </w:rPr>
        <w:t>submission</w:t>
      </w:r>
      <w:r>
        <w:rPr>
          <w:rFonts w:ascii="Calibri" w:hAnsi="Calibri"/>
          <w:sz w:val="24"/>
          <w:szCs w:val="24"/>
        </w:rPr>
        <w:t xml:space="preserve"> did not propose any changes to the listing </w:t>
      </w:r>
      <w:r w:rsidR="002B4221">
        <w:rPr>
          <w:rFonts w:ascii="Calibri" w:hAnsi="Calibri"/>
          <w:sz w:val="24"/>
          <w:szCs w:val="24"/>
        </w:rPr>
        <w:t xml:space="preserve">requested in the </w:t>
      </w:r>
      <w:r w:rsidR="00337D25" w:rsidRPr="00915B58">
        <w:rPr>
          <w:rFonts w:ascii="Calibri" w:hAnsi="Calibri"/>
          <w:sz w:val="24"/>
          <w:szCs w:val="24"/>
        </w:rPr>
        <w:t>previous major submission</w:t>
      </w:r>
      <w:r w:rsidR="00395A72" w:rsidRPr="00915B58">
        <w:rPr>
          <w:rFonts w:ascii="Calibri" w:hAnsi="Calibri"/>
          <w:sz w:val="24"/>
          <w:szCs w:val="24"/>
        </w:rPr>
        <w:t xml:space="preserve">. </w:t>
      </w:r>
      <w:r w:rsidR="003D6886" w:rsidRPr="00915B58">
        <w:rPr>
          <w:rFonts w:asciiTheme="minorHAnsi" w:eastAsiaTheme="minorHAnsi" w:hAnsiTheme="minorHAnsi" w:cstheme="minorBidi"/>
          <w:snapToGrid/>
          <w:sz w:val="24"/>
          <w:szCs w:val="22"/>
        </w:rPr>
        <w:t xml:space="preserve">Additions proposed by the Secretariat to the </w:t>
      </w:r>
      <w:r w:rsidR="00C937E4" w:rsidRPr="00915B58">
        <w:rPr>
          <w:rFonts w:asciiTheme="minorHAnsi" w:eastAsiaTheme="minorHAnsi" w:hAnsiTheme="minorHAnsi" w:cstheme="minorBidi"/>
          <w:snapToGrid/>
          <w:sz w:val="24"/>
          <w:szCs w:val="22"/>
        </w:rPr>
        <w:t xml:space="preserve">previously </w:t>
      </w:r>
      <w:r w:rsidR="003D6886" w:rsidRPr="00915B58">
        <w:rPr>
          <w:rFonts w:asciiTheme="minorHAnsi" w:eastAsiaTheme="minorHAnsi" w:hAnsiTheme="minorHAnsi" w:cstheme="minorBidi"/>
          <w:snapToGrid/>
          <w:sz w:val="24"/>
          <w:szCs w:val="22"/>
        </w:rPr>
        <w:t xml:space="preserve">requested listing are in italics. </w:t>
      </w:r>
      <w:r w:rsidR="00BA18C0" w:rsidRPr="00915B58">
        <w:rPr>
          <w:rFonts w:asciiTheme="minorHAnsi" w:eastAsiaTheme="minorHAnsi" w:hAnsiTheme="minorHAnsi" w:cstheme="minorBidi"/>
          <w:snapToGrid/>
          <w:sz w:val="24"/>
          <w:szCs w:val="22"/>
        </w:rPr>
        <w:t xml:space="preserve">The effective price listed below reflects the </w:t>
      </w:r>
      <w:r w:rsidR="007B0774">
        <w:rPr>
          <w:rFonts w:asciiTheme="minorHAnsi" w:eastAsiaTheme="minorHAnsi" w:hAnsiTheme="minorHAnsi" w:cstheme="minorBidi"/>
          <w:noProof/>
          <w:snapToGrid/>
          <w:color w:val="000000"/>
          <w:sz w:val="24"/>
          <w:szCs w:val="22"/>
          <w:highlight w:val="black"/>
        </w:rPr>
        <w:t>''''''''</w:t>
      </w:r>
      <w:r w:rsidR="00BA18C0" w:rsidRPr="00915B58">
        <w:rPr>
          <w:rFonts w:asciiTheme="minorHAnsi" w:eastAsiaTheme="minorHAnsi" w:hAnsiTheme="minorHAnsi" w:cstheme="minorBidi"/>
          <w:snapToGrid/>
          <w:sz w:val="24"/>
          <w:szCs w:val="22"/>
        </w:rPr>
        <w:t>% reduction offered in the minor resubmission.</w:t>
      </w:r>
    </w:p>
    <w:p w:rsidR="00C671A5" w:rsidRPr="002B4221" w:rsidRDefault="002B4221" w:rsidP="00D73F28">
      <w:pPr>
        <w:pStyle w:val="ListParagraph"/>
        <w:widowControl/>
        <w:numPr>
          <w:ilvl w:val="1"/>
          <w:numId w:val="14"/>
        </w:numPr>
        <w:spacing w:before="120" w:after="160"/>
        <w:contextualSpacing w:val="0"/>
      </w:pPr>
      <w:r>
        <w:rPr>
          <w:rFonts w:ascii="Calibri" w:hAnsi="Calibri"/>
          <w:sz w:val="24"/>
          <w:szCs w:val="24"/>
        </w:rPr>
        <w:t>In November 2017 the PBAC</w:t>
      </w:r>
      <w:r w:rsidR="00867525">
        <w:rPr>
          <w:rFonts w:ascii="Calibri" w:hAnsi="Calibri"/>
          <w:sz w:val="24"/>
          <w:szCs w:val="24"/>
        </w:rPr>
        <w:t xml:space="preserve"> advised that the ‘PBS indication’ component of any PBS restriction should exclude the nasopharyngeal subgroup of SCCHN. The PBAC previously advised that all remaining aspects of the proposed restriction were appropriate and consistent with the current listing of nivolumab for unresectable Stage III or Stage IV malignant melanoma, </w:t>
      </w:r>
      <w:r w:rsidR="00F17D1F">
        <w:rPr>
          <w:rFonts w:ascii="Calibri" w:hAnsi="Calibri"/>
          <w:sz w:val="24"/>
          <w:szCs w:val="24"/>
        </w:rPr>
        <w:t>non-small cell lung cancer (</w:t>
      </w:r>
      <w:r w:rsidR="00867525">
        <w:rPr>
          <w:rFonts w:ascii="Calibri" w:hAnsi="Calibri"/>
          <w:sz w:val="24"/>
          <w:szCs w:val="24"/>
        </w:rPr>
        <w:t>NSCLC</w:t>
      </w:r>
      <w:r w:rsidR="00F17D1F">
        <w:rPr>
          <w:rFonts w:ascii="Calibri" w:hAnsi="Calibri"/>
          <w:sz w:val="24"/>
          <w:szCs w:val="24"/>
        </w:rPr>
        <w:t>)</w:t>
      </w:r>
      <w:r w:rsidR="00867525">
        <w:rPr>
          <w:rFonts w:ascii="Calibri" w:hAnsi="Calibri"/>
          <w:sz w:val="24"/>
          <w:szCs w:val="24"/>
        </w:rPr>
        <w:t xml:space="preserve">, and </w:t>
      </w:r>
      <w:r w:rsidR="00A63600">
        <w:rPr>
          <w:rFonts w:ascii="Calibri" w:hAnsi="Calibri"/>
          <w:sz w:val="24"/>
          <w:szCs w:val="24"/>
        </w:rPr>
        <w:t xml:space="preserve">renal cell carcinoma </w:t>
      </w:r>
      <w:r w:rsidR="00F17D1F">
        <w:rPr>
          <w:rFonts w:ascii="Calibri" w:hAnsi="Calibri"/>
          <w:sz w:val="24"/>
          <w:szCs w:val="24"/>
        </w:rPr>
        <w:t>(</w:t>
      </w:r>
      <w:r w:rsidR="00867525">
        <w:rPr>
          <w:rFonts w:ascii="Calibri" w:hAnsi="Calibri"/>
          <w:sz w:val="24"/>
          <w:szCs w:val="24"/>
        </w:rPr>
        <w:t>RCC</w:t>
      </w:r>
      <w:r w:rsidR="00F17D1F">
        <w:rPr>
          <w:rFonts w:ascii="Calibri" w:hAnsi="Calibri"/>
          <w:sz w:val="24"/>
          <w:szCs w:val="24"/>
        </w:rPr>
        <w:t>)</w:t>
      </w:r>
      <w:r w:rsidR="002C6128">
        <w:rPr>
          <w:rFonts w:ascii="Calibri" w:hAnsi="Calibri"/>
          <w:sz w:val="24"/>
          <w:szCs w:val="24"/>
        </w:rPr>
        <w:t xml:space="preserve"> (</w:t>
      </w:r>
      <w:r w:rsidR="001E5F33">
        <w:rPr>
          <w:rFonts w:ascii="Calibri" w:hAnsi="Calibri"/>
          <w:sz w:val="24"/>
          <w:szCs w:val="24"/>
        </w:rPr>
        <w:t>paragraph 7.2, November 2017 PBAC meeting</w:t>
      </w:r>
      <w:r w:rsidR="002C6128">
        <w:rPr>
          <w:rFonts w:ascii="Calibri" w:hAnsi="Calibri"/>
          <w:sz w:val="24"/>
          <w:szCs w:val="24"/>
        </w:rPr>
        <w:t>)</w:t>
      </w:r>
      <w:r w:rsidR="00867525">
        <w:rPr>
          <w:rFonts w:ascii="Calibri" w:hAnsi="Calibri"/>
          <w:sz w:val="24"/>
          <w:szCs w:val="24"/>
        </w:rPr>
        <w:t>.</w:t>
      </w:r>
    </w:p>
    <w:tbl>
      <w:tblPr>
        <w:tblW w:w="5000" w:type="pct"/>
        <w:tblLook w:val="04A0" w:firstRow="1" w:lastRow="0" w:firstColumn="1" w:lastColumn="0" w:noHBand="0" w:noVBand="1"/>
      </w:tblPr>
      <w:tblGrid>
        <w:gridCol w:w="2092"/>
        <w:gridCol w:w="1442"/>
        <w:gridCol w:w="571"/>
        <w:gridCol w:w="2427"/>
        <w:gridCol w:w="858"/>
        <w:gridCol w:w="1852"/>
      </w:tblGrid>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r w:rsidRPr="00B74566">
              <w:rPr>
                <w:rFonts w:ascii="Arial Narrow" w:hAnsi="Arial Narrow"/>
                <w:sz w:val="20"/>
              </w:rPr>
              <w:lastRenderedPageBreak/>
              <w:t>Name, Restriction,</w:t>
            </w:r>
          </w:p>
          <w:p w:rsidR="006430B0" w:rsidRPr="00B74566" w:rsidRDefault="006430B0" w:rsidP="00D73F28">
            <w:pPr>
              <w:keepNext/>
              <w:ind w:left="-108"/>
              <w:rPr>
                <w:rFonts w:ascii="Arial Narrow" w:hAnsi="Arial Narrow"/>
                <w:sz w:val="20"/>
              </w:rPr>
            </w:pPr>
            <w:r w:rsidRPr="00B74566">
              <w:rPr>
                <w:rFonts w:ascii="Arial Narrow" w:hAnsi="Arial Narrow"/>
                <w:sz w:val="20"/>
              </w:rPr>
              <w:t>Manner of administration and form</w:t>
            </w:r>
          </w:p>
        </w:tc>
        <w:tc>
          <w:tcPr>
            <w:tcW w:w="780"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jc w:val="center"/>
              <w:rPr>
                <w:rFonts w:ascii="Arial Narrow" w:hAnsi="Arial Narrow"/>
                <w:sz w:val="20"/>
              </w:rPr>
            </w:pPr>
            <w:r w:rsidRPr="00B74566">
              <w:rPr>
                <w:rFonts w:ascii="Arial Narrow" w:hAnsi="Arial Narrow"/>
                <w:sz w:val="20"/>
              </w:rPr>
              <w:t>Max.</w:t>
            </w:r>
          </w:p>
          <w:p w:rsidR="006430B0" w:rsidRPr="00B74566" w:rsidRDefault="006430B0" w:rsidP="00D73F28">
            <w:pPr>
              <w:keepNext/>
              <w:ind w:left="-108"/>
              <w:jc w:val="center"/>
              <w:rPr>
                <w:rFonts w:ascii="Arial Narrow" w:hAnsi="Arial Narrow"/>
                <w:sz w:val="20"/>
              </w:rPr>
            </w:pPr>
            <w:r w:rsidRPr="00B74566">
              <w:rPr>
                <w:rFonts w:ascii="Arial Narrow" w:hAnsi="Arial Narrow"/>
                <w:sz w:val="20"/>
              </w:rPr>
              <w:t>Amount</w:t>
            </w:r>
          </w:p>
        </w:tc>
        <w:tc>
          <w:tcPr>
            <w:tcW w:w="309"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jc w:val="center"/>
              <w:rPr>
                <w:rFonts w:ascii="Arial Narrow" w:hAnsi="Arial Narrow"/>
                <w:sz w:val="20"/>
              </w:rPr>
            </w:pPr>
            <w:r w:rsidRPr="00B74566">
              <w:rPr>
                <w:rFonts w:ascii="Arial Narrow" w:hAnsi="Arial Narrow"/>
                <w:sz w:val="20"/>
              </w:rPr>
              <w:t>№.of</w:t>
            </w:r>
          </w:p>
          <w:p w:rsidR="006430B0" w:rsidRPr="00B74566" w:rsidRDefault="006430B0" w:rsidP="00D73F28">
            <w:pPr>
              <w:keepNext/>
              <w:ind w:left="-108"/>
              <w:jc w:val="center"/>
              <w:rPr>
                <w:rFonts w:ascii="Arial Narrow" w:hAnsi="Arial Narrow"/>
                <w:sz w:val="20"/>
              </w:rPr>
            </w:pPr>
            <w:r w:rsidRPr="00B74566">
              <w:rPr>
                <w:rFonts w:ascii="Arial Narrow" w:hAnsi="Arial Narrow"/>
                <w:sz w:val="20"/>
              </w:rPr>
              <w:t>Rpts</w:t>
            </w:r>
          </w:p>
        </w:tc>
        <w:tc>
          <w:tcPr>
            <w:tcW w:w="1313"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jc w:val="center"/>
              <w:rPr>
                <w:rFonts w:ascii="Arial Narrow" w:hAnsi="Arial Narrow"/>
                <w:sz w:val="20"/>
              </w:rPr>
            </w:pPr>
            <w:r w:rsidRPr="00B74566">
              <w:rPr>
                <w:rFonts w:ascii="Arial Narrow" w:hAnsi="Arial Narrow"/>
                <w:sz w:val="20"/>
              </w:rPr>
              <w:t>Dispensed Price for Max. Amount</w:t>
            </w:r>
          </w:p>
        </w:tc>
        <w:tc>
          <w:tcPr>
            <w:tcW w:w="1466" w:type="pct"/>
            <w:gridSpan w:val="2"/>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r w:rsidRPr="00B74566">
              <w:rPr>
                <w:rFonts w:ascii="Arial Narrow" w:hAnsi="Arial Narrow"/>
                <w:sz w:val="20"/>
              </w:rPr>
              <w:t>Proprietary Name and Manufacturer</w:t>
            </w:r>
          </w:p>
        </w:tc>
      </w:tr>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r w:rsidRPr="00B74566">
              <w:rPr>
                <w:rFonts w:ascii="Arial Narrow" w:hAnsi="Arial Narrow"/>
                <w:smallCaps/>
                <w:sz w:val="20"/>
              </w:rPr>
              <w:t>NIVOLUMAB</w:t>
            </w:r>
          </w:p>
          <w:p w:rsidR="006430B0" w:rsidRDefault="006430B0" w:rsidP="00D73F28">
            <w:pPr>
              <w:keepNext/>
              <w:ind w:left="-108"/>
              <w:rPr>
                <w:rFonts w:ascii="Arial Narrow" w:hAnsi="Arial Narrow"/>
                <w:sz w:val="20"/>
              </w:rPr>
            </w:pPr>
            <w:r w:rsidRPr="00B74566">
              <w:rPr>
                <w:rFonts w:ascii="Arial Narrow" w:hAnsi="Arial Narrow"/>
                <w:sz w:val="20"/>
              </w:rPr>
              <w:t>nivolumab 40 mg/4 mL injection, 1 x 4 mL vial</w:t>
            </w:r>
          </w:p>
          <w:p w:rsidR="006430B0" w:rsidRPr="00B74566" w:rsidRDefault="006430B0" w:rsidP="00D73F28">
            <w:pPr>
              <w:keepNext/>
              <w:ind w:left="-108"/>
              <w:rPr>
                <w:rFonts w:ascii="Arial Narrow" w:hAnsi="Arial Narrow"/>
                <w:sz w:val="20"/>
              </w:rPr>
            </w:pPr>
          </w:p>
          <w:p w:rsidR="006430B0" w:rsidRPr="00B74566" w:rsidRDefault="006430B0" w:rsidP="00D73F28">
            <w:pPr>
              <w:keepNext/>
              <w:ind w:left="-108"/>
              <w:rPr>
                <w:rFonts w:ascii="Arial Narrow" w:hAnsi="Arial Narrow"/>
                <w:sz w:val="20"/>
              </w:rPr>
            </w:pPr>
            <w:r w:rsidRPr="00B74566">
              <w:rPr>
                <w:rFonts w:ascii="Arial Narrow" w:hAnsi="Arial Narrow"/>
                <w:sz w:val="20"/>
              </w:rPr>
              <w:t>nivolumab 100 mg/10 mL injection, 1 x 10 mL vial</w:t>
            </w:r>
          </w:p>
        </w:tc>
        <w:tc>
          <w:tcPr>
            <w:tcW w:w="780"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p>
          <w:p w:rsidR="006430B0" w:rsidRDefault="006430B0" w:rsidP="00D73F28">
            <w:pPr>
              <w:keepNext/>
              <w:ind w:left="-108"/>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p w:rsidR="006430B0" w:rsidRDefault="006430B0" w:rsidP="00D73F28">
            <w:pPr>
              <w:keepNext/>
              <w:ind w:left="-108"/>
              <w:rPr>
                <w:rFonts w:ascii="Arial Narrow" w:hAnsi="Arial Narrow"/>
                <w:sz w:val="20"/>
              </w:rPr>
            </w:pPr>
            <w:r>
              <w:rPr>
                <w:rFonts w:ascii="Arial Narrow" w:hAnsi="Arial Narrow"/>
                <w:sz w:val="20"/>
              </w:rPr>
              <w:br/>
            </w:r>
          </w:p>
          <w:p w:rsidR="006430B0" w:rsidRPr="00B74566" w:rsidRDefault="006430B0" w:rsidP="00D73F28">
            <w:pPr>
              <w:keepNext/>
              <w:ind w:left="-108"/>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tc>
        <w:tc>
          <w:tcPr>
            <w:tcW w:w="309" w:type="pct"/>
            <w:tcBorders>
              <w:top w:val="single" w:sz="4" w:space="0" w:color="auto"/>
              <w:left w:val="single" w:sz="4" w:space="0" w:color="auto"/>
              <w:bottom w:val="single" w:sz="4" w:space="0" w:color="auto"/>
              <w:right w:val="single" w:sz="4" w:space="0" w:color="auto"/>
            </w:tcBorders>
          </w:tcPr>
          <w:p w:rsidR="006430B0" w:rsidRPr="00526F73" w:rsidRDefault="006430B0" w:rsidP="00D73F28">
            <w:pPr>
              <w:keepNext/>
              <w:ind w:left="-108"/>
              <w:rPr>
                <w:rFonts w:ascii="Arial Narrow" w:hAnsi="Arial Narrow"/>
                <w:strike/>
                <w:sz w:val="20"/>
              </w:rPr>
            </w:pPr>
          </w:p>
          <w:p w:rsidR="006430B0" w:rsidRDefault="006430B0" w:rsidP="00D73F28">
            <w:pPr>
              <w:keepNext/>
              <w:ind w:left="-108"/>
              <w:jc w:val="center"/>
              <w:rPr>
                <w:rFonts w:ascii="Arial Narrow" w:hAnsi="Arial Narrow"/>
                <w:sz w:val="20"/>
              </w:rPr>
            </w:pPr>
            <w:r w:rsidRPr="00C84C78">
              <w:rPr>
                <w:rFonts w:ascii="Arial Narrow" w:hAnsi="Arial Narrow"/>
                <w:sz w:val="20"/>
              </w:rPr>
              <w:t>8</w:t>
            </w:r>
          </w:p>
          <w:p w:rsidR="006430B0" w:rsidRDefault="006430B0" w:rsidP="00D73F28">
            <w:pPr>
              <w:keepNext/>
              <w:ind w:left="-108"/>
              <w:rPr>
                <w:rFonts w:ascii="Arial Narrow" w:hAnsi="Arial Narrow"/>
                <w:sz w:val="20"/>
              </w:rPr>
            </w:pPr>
            <w:r>
              <w:rPr>
                <w:rFonts w:ascii="Arial Narrow" w:hAnsi="Arial Narrow"/>
                <w:sz w:val="20"/>
              </w:rPr>
              <w:br/>
            </w:r>
          </w:p>
          <w:p w:rsidR="006430B0" w:rsidRPr="00C84C78" w:rsidRDefault="006430B0" w:rsidP="00D73F28">
            <w:pPr>
              <w:keepNext/>
              <w:ind w:left="-108"/>
              <w:jc w:val="center"/>
              <w:rPr>
                <w:rFonts w:ascii="Arial Narrow" w:hAnsi="Arial Narrow"/>
                <w:i/>
                <w:sz w:val="20"/>
              </w:rPr>
            </w:pPr>
            <w:r>
              <w:rPr>
                <w:rFonts w:ascii="Arial Narrow" w:hAnsi="Arial Narrow"/>
                <w:sz w:val="20"/>
              </w:rPr>
              <w:t>8</w:t>
            </w:r>
          </w:p>
        </w:tc>
        <w:tc>
          <w:tcPr>
            <w:tcW w:w="1313"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p>
          <w:p w:rsidR="006430B0" w:rsidRPr="00BA18C0" w:rsidRDefault="006430B0" w:rsidP="00D73F28">
            <w:pPr>
              <w:keepNext/>
              <w:ind w:left="-108"/>
              <w:rPr>
                <w:rFonts w:ascii="Arial Narrow" w:hAnsi="Arial Narrow"/>
                <w:sz w:val="20"/>
              </w:rPr>
            </w:pPr>
            <w:r w:rsidRPr="00BA18C0">
              <w:rPr>
                <w:rFonts w:ascii="Arial Narrow" w:hAnsi="Arial Narrow"/>
                <w:sz w:val="20"/>
              </w:rPr>
              <w:t>$7560.13 (Public, published)</w:t>
            </w:r>
          </w:p>
          <w:p w:rsidR="006430B0" w:rsidRPr="00247633" w:rsidRDefault="006430B0" w:rsidP="00D73F28">
            <w:pPr>
              <w:keepNext/>
              <w:ind w:left="-108"/>
              <w:rPr>
                <w:rFonts w:ascii="Arial Narrow" w:hAnsi="Arial Narrow"/>
                <w:i/>
                <w:sz w:val="20"/>
              </w:rPr>
            </w:pPr>
            <w:r w:rsidRPr="00247633">
              <w:rPr>
                <w:rFonts w:ascii="Arial Narrow" w:hAnsi="Arial Narrow"/>
                <w:i/>
                <w:sz w:val="20"/>
              </w:rPr>
              <w:t>$</w:t>
            </w:r>
            <w:r w:rsidR="007B0774">
              <w:rPr>
                <w:rFonts w:ascii="Arial Narrow" w:hAnsi="Arial Narrow"/>
                <w:i/>
                <w:noProof/>
                <w:color w:val="000000"/>
                <w:sz w:val="20"/>
                <w:highlight w:val="black"/>
              </w:rPr>
              <w:t>'''''''''''''''''''</w:t>
            </w:r>
            <w:r w:rsidRPr="00247633">
              <w:rPr>
                <w:rFonts w:ascii="Arial Narrow" w:hAnsi="Arial Narrow"/>
                <w:i/>
                <w:sz w:val="20"/>
              </w:rPr>
              <w:t xml:space="preserve"> </w:t>
            </w:r>
            <w:r w:rsidRPr="00F17D1F">
              <w:rPr>
                <w:rFonts w:ascii="Arial Narrow" w:hAnsi="Arial Narrow"/>
                <w:i/>
                <w:sz w:val="20"/>
              </w:rPr>
              <w:t>(Public, effective)</w:t>
            </w:r>
          </w:p>
          <w:p w:rsidR="006430B0" w:rsidRPr="00247633" w:rsidRDefault="006430B0" w:rsidP="00D73F28">
            <w:pPr>
              <w:keepNext/>
              <w:ind w:left="-108"/>
              <w:rPr>
                <w:rFonts w:ascii="Arial Narrow" w:hAnsi="Arial Narrow"/>
                <w:i/>
                <w:sz w:val="20"/>
              </w:rPr>
            </w:pPr>
          </w:p>
          <w:p w:rsidR="006430B0" w:rsidRPr="00F17D1F" w:rsidRDefault="006430B0" w:rsidP="00D73F28">
            <w:pPr>
              <w:keepNext/>
              <w:ind w:left="-108"/>
              <w:rPr>
                <w:rFonts w:ascii="Arial Narrow" w:hAnsi="Arial Narrow"/>
                <w:i/>
                <w:sz w:val="20"/>
              </w:rPr>
            </w:pPr>
            <w:r w:rsidRPr="00BA18C0">
              <w:rPr>
                <w:rFonts w:ascii="Arial Narrow" w:hAnsi="Arial Narrow"/>
                <w:sz w:val="20"/>
              </w:rPr>
              <w:t>$7703.43 (Private, published</w:t>
            </w:r>
            <w:r w:rsidRPr="00247633">
              <w:rPr>
                <w:rFonts w:ascii="Arial Narrow" w:hAnsi="Arial Narrow"/>
                <w:sz w:val="20"/>
              </w:rPr>
              <w:t xml:space="preserve">) </w:t>
            </w:r>
            <w:r w:rsidRPr="00247633">
              <w:rPr>
                <w:rFonts w:ascii="Arial Narrow" w:hAnsi="Arial Narrow"/>
                <w:i/>
                <w:sz w:val="20"/>
              </w:rPr>
              <w:t>$</w:t>
            </w:r>
            <w:r w:rsidR="007B0774">
              <w:rPr>
                <w:rFonts w:ascii="Arial Narrow" w:hAnsi="Arial Narrow"/>
                <w:i/>
                <w:noProof/>
                <w:color w:val="000000"/>
                <w:sz w:val="20"/>
                <w:highlight w:val="black"/>
              </w:rPr>
              <w:t>'''''''''''''''''''</w:t>
            </w:r>
            <w:r w:rsidR="00F17D1F">
              <w:rPr>
                <w:rFonts w:ascii="Arial Narrow" w:hAnsi="Arial Narrow"/>
                <w:i/>
                <w:sz w:val="20"/>
              </w:rPr>
              <w:t xml:space="preserve"> </w:t>
            </w:r>
            <w:r w:rsidRPr="00F17D1F">
              <w:rPr>
                <w:rFonts w:ascii="Arial Narrow" w:hAnsi="Arial Narrow"/>
                <w:i/>
                <w:sz w:val="20"/>
              </w:rPr>
              <w:t>(Private, effective)</w:t>
            </w:r>
          </w:p>
          <w:p w:rsidR="006430B0" w:rsidRPr="00B74566" w:rsidRDefault="006430B0" w:rsidP="00D73F28">
            <w:pPr>
              <w:keepNext/>
              <w:ind w:left="-108"/>
              <w:rPr>
                <w:rFonts w:ascii="Arial Narrow" w:hAnsi="Arial Narrow"/>
                <w:sz w:val="20"/>
              </w:rPr>
            </w:pPr>
          </w:p>
        </w:tc>
        <w:tc>
          <w:tcPr>
            <w:tcW w:w="464" w:type="pct"/>
            <w:tcBorders>
              <w:top w:val="single" w:sz="4" w:space="0" w:color="auto"/>
              <w:left w:val="single" w:sz="4" w:space="0" w:color="auto"/>
              <w:bottom w:val="single" w:sz="4" w:space="0" w:color="auto"/>
              <w:right w:val="single" w:sz="4" w:space="0" w:color="auto"/>
            </w:tcBorders>
            <w:vAlign w:val="center"/>
          </w:tcPr>
          <w:p w:rsidR="006430B0" w:rsidRPr="00B74566" w:rsidRDefault="006430B0" w:rsidP="00D73F28">
            <w:pPr>
              <w:keepNext/>
              <w:jc w:val="center"/>
              <w:rPr>
                <w:rFonts w:ascii="Arial Narrow" w:hAnsi="Arial Narrow"/>
                <w:sz w:val="20"/>
              </w:rPr>
            </w:pPr>
            <w:r w:rsidRPr="00B74566">
              <w:rPr>
                <w:rFonts w:ascii="Arial Narrow" w:hAnsi="Arial Narrow"/>
                <w:sz w:val="20"/>
              </w:rPr>
              <w:t>Opdivo</w:t>
            </w:r>
          </w:p>
        </w:tc>
        <w:tc>
          <w:tcPr>
            <w:tcW w:w="1002" w:type="pct"/>
            <w:tcBorders>
              <w:top w:val="single" w:sz="4" w:space="0" w:color="auto"/>
              <w:left w:val="single" w:sz="4" w:space="0" w:color="auto"/>
              <w:bottom w:val="single" w:sz="4" w:space="0" w:color="auto"/>
              <w:right w:val="single" w:sz="4" w:space="0" w:color="auto"/>
            </w:tcBorders>
            <w:vAlign w:val="center"/>
          </w:tcPr>
          <w:p w:rsidR="006430B0" w:rsidRPr="00B74566" w:rsidRDefault="006430B0" w:rsidP="00D73F28">
            <w:pPr>
              <w:keepNext/>
              <w:ind w:left="-108"/>
              <w:jc w:val="center"/>
              <w:rPr>
                <w:rFonts w:ascii="Arial Narrow" w:hAnsi="Arial Narrow"/>
                <w:sz w:val="20"/>
              </w:rPr>
            </w:pPr>
            <w:r>
              <w:rPr>
                <w:rFonts w:ascii="Arial Narrow" w:hAnsi="Arial Narrow"/>
                <w:sz w:val="20"/>
              </w:rPr>
              <w:t>Bristol Myers Squibb Pty Ltd.</w:t>
            </w:r>
          </w:p>
        </w:tc>
      </w:tr>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 xml:space="preserve">Category / Program </w:t>
            </w:r>
            <w:r>
              <w:rPr>
                <w:rFonts w:ascii="Arial Narrow" w:hAnsi="Arial Narrow"/>
                <w:b/>
                <w:color w:val="000000" w:themeColor="text1"/>
                <w:sz w:val="20"/>
              </w:rPr>
              <w:t>:</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Section 100 - Efficient funding of Chemotherapy</w:t>
            </w:r>
          </w:p>
        </w:tc>
      </w:tr>
      <w:tr w:rsidR="006430B0" w:rsidRPr="00F15216" w:rsidTr="00573269">
        <w:trPr>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B74566" w:rsidRDefault="006430B0" w:rsidP="00D73F28">
            <w:pPr>
              <w:rPr>
                <w:rFonts w:ascii="Arial Narrow" w:hAnsi="Arial Narrow"/>
                <w:b/>
                <w:sz w:val="20"/>
              </w:rPr>
            </w:pPr>
            <w:r w:rsidRPr="00B74566">
              <w:rPr>
                <w:rFonts w:ascii="Arial Narrow" w:hAnsi="Arial Narrow"/>
                <w:b/>
                <w:sz w:val="20"/>
              </w:rPr>
              <w:t>Prescriber type:</w:t>
            </w:r>
          </w:p>
        </w:tc>
        <w:tc>
          <w:tcPr>
            <w:tcW w:w="3868" w:type="pct"/>
            <w:gridSpan w:val="5"/>
            <w:tcBorders>
              <w:top w:val="single" w:sz="4" w:space="0" w:color="auto"/>
              <w:left w:val="single" w:sz="4" w:space="0" w:color="auto"/>
              <w:bottom w:val="single" w:sz="4" w:space="0" w:color="auto"/>
              <w:right w:val="single" w:sz="4" w:space="0" w:color="auto"/>
            </w:tcBorders>
            <w:shd w:val="clear" w:color="auto" w:fill="auto"/>
            <w:hideMark/>
          </w:tcPr>
          <w:p w:rsidR="006430B0" w:rsidRPr="00573269" w:rsidRDefault="006430B0" w:rsidP="00D73F28">
            <w:pPr>
              <w:rPr>
                <w:rFonts w:ascii="Arial Narrow" w:hAnsi="Arial Narrow"/>
                <w:sz w:val="20"/>
              </w:rPr>
            </w:pPr>
            <w:r w:rsidRPr="00573269">
              <w:rPr>
                <w:rFonts w:ascii="Arial Narrow" w:hAnsi="Arial Narrow"/>
                <w:sz w:val="20"/>
              </w:rPr>
              <w:fldChar w:fldCharType="begin">
                <w:ffData>
                  <w:name w:val="Check1"/>
                  <w:enabled/>
                  <w:calcOnExit w:val="0"/>
                  <w:checkBox>
                    <w:sizeAuto/>
                    <w:default w:val="0"/>
                  </w:checkBox>
                </w:ffData>
              </w:fldChar>
            </w:r>
            <w:r w:rsidRPr="00573269">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573269">
              <w:rPr>
                <w:rFonts w:ascii="Arial Narrow" w:hAnsi="Arial Narrow"/>
                <w:sz w:val="20"/>
              </w:rPr>
              <w:fldChar w:fldCharType="end"/>
            </w:r>
            <w:r w:rsidRPr="00573269">
              <w:rPr>
                <w:rFonts w:ascii="Arial Narrow" w:hAnsi="Arial Narrow"/>
                <w:sz w:val="20"/>
              </w:rPr>
              <w:t xml:space="preserve">Dental  </w:t>
            </w:r>
            <w:r w:rsidRPr="00573269">
              <w:rPr>
                <w:rFonts w:ascii="Arial Narrow" w:hAnsi="Arial Narrow"/>
                <w:sz w:val="20"/>
              </w:rPr>
              <w:fldChar w:fldCharType="begin">
                <w:ffData>
                  <w:name w:val=""/>
                  <w:enabled/>
                  <w:calcOnExit w:val="0"/>
                  <w:checkBox>
                    <w:sizeAuto/>
                    <w:default w:val="1"/>
                  </w:checkBox>
                </w:ffData>
              </w:fldChar>
            </w:r>
            <w:r w:rsidRPr="00573269">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573269">
              <w:rPr>
                <w:rFonts w:ascii="Arial Narrow" w:hAnsi="Arial Narrow"/>
                <w:sz w:val="20"/>
              </w:rPr>
              <w:fldChar w:fldCharType="end"/>
            </w:r>
            <w:r w:rsidRPr="00573269">
              <w:rPr>
                <w:rFonts w:ascii="Arial Narrow" w:hAnsi="Arial Narrow"/>
                <w:sz w:val="20"/>
              </w:rPr>
              <w:t xml:space="preserve">Medical Practitioners  </w:t>
            </w:r>
            <w:r w:rsidRPr="00573269">
              <w:rPr>
                <w:rFonts w:ascii="Arial Narrow" w:hAnsi="Arial Narrow"/>
                <w:sz w:val="20"/>
              </w:rPr>
              <w:fldChar w:fldCharType="begin">
                <w:ffData>
                  <w:name w:val="Check3"/>
                  <w:enabled/>
                  <w:calcOnExit w:val="0"/>
                  <w:checkBox>
                    <w:sizeAuto/>
                    <w:default w:val="0"/>
                  </w:checkBox>
                </w:ffData>
              </w:fldChar>
            </w:r>
            <w:r w:rsidRPr="00573269">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573269">
              <w:rPr>
                <w:rFonts w:ascii="Arial Narrow" w:hAnsi="Arial Narrow"/>
                <w:sz w:val="20"/>
              </w:rPr>
              <w:fldChar w:fldCharType="end"/>
            </w:r>
            <w:r w:rsidRPr="00573269">
              <w:rPr>
                <w:rFonts w:ascii="Arial Narrow" w:hAnsi="Arial Narrow"/>
                <w:sz w:val="20"/>
              </w:rPr>
              <w:t xml:space="preserve">Nurse practitioners  </w:t>
            </w:r>
            <w:r w:rsidRPr="00573269">
              <w:rPr>
                <w:rFonts w:ascii="Arial Narrow" w:hAnsi="Arial Narrow"/>
                <w:sz w:val="20"/>
              </w:rPr>
              <w:fldChar w:fldCharType="begin">
                <w:ffData>
                  <w:name w:val=""/>
                  <w:enabled/>
                  <w:calcOnExit w:val="0"/>
                  <w:checkBox>
                    <w:sizeAuto/>
                    <w:default w:val="0"/>
                  </w:checkBox>
                </w:ffData>
              </w:fldChar>
            </w:r>
            <w:r w:rsidRPr="00573269">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573269">
              <w:rPr>
                <w:rFonts w:ascii="Arial Narrow" w:hAnsi="Arial Narrow"/>
                <w:sz w:val="20"/>
              </w:rPr>
              <w:fldChar w:fldCharType="end"/>
            </w:r>
            <w:r w:rsidRPr="00573269">
              <w:rPr>
                <w:rFonts w:ascii="Arial Narrow" w:hAnsi="Arial Narrow"/>
                <w:sz w:val="20"/>
              </w:rPr>
              <w:t>Optometrists</w:t>
            </w:r>
          </w:p>
          <w:p w:rsidR="006430B0" w:rsidRPr="00573269" w:rsidRDefault="006430B0" w:rsidP="00D73F28">
            <w:pPr>
              <w:rPr>
                <w:rFonts w:ascii="Arial Narrow" w:hAnsi="Arial Narrow"/>
                <w:sz w:val="20"/>
              </w:rPr>
            </w:pPr>
            <w:r w:rsidRPr="00573269">
              <w:rPr>
                <w:rFonts w:ascii="Arial Narrow" w:hAnsi="Arial Narrow"/>
                <w:sz w:val="20"/>
              </w:rPr>
              <w:fldChar w:fldCharType="begin">
                <w:ffData>
                  <w:name w:val="Check5"/>
                  <w:enabled/>
                  <w:calcOnExit w:val="0"/>
                  <w:checkBox>
                    <w:sizeAuto/>
                    <w:default w:val="0"/>
                  </w:checkBox>
                </w:ffData>
              </w:fldChar>
            </w:r>
            <w:r w:rsidRPr="00573269">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573269">
              <w:rPr>
                <w:rFonts w:ascii="Arial Narrow" w:hAnsi="Arial Narrow"/>
                <w:sz w:val="20"/>
              </w:rPr>
              <w:fldChar w:fldCharType="end"/>
            </w:r>
            <w:r w:rsidRPr="00573269">
              <w:rPr>
                <w:rFonts w:ascii="Arial Narrow" w:hAnsi="Arial Narrow"/>
                <w:sz w:val="20"/>
              </w:rPr>
              <w:t>Midwives</w:t>
            </w:r>
          </w:p>
        </w:tc>
      </w:tr>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Severity:</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Recurrent or metastatic</w:t>
            </w:r>
          </w:p>
        </w:tc>
      </w:tr>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Condition:</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Squamous cell carcinoma of the oral cavity, pharynx or larynx</w:t>
            </w:r>
          </w:p>
        </w:tc>
      </w:tr>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PBS Indication:</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Recurrent or metastatic squamous cell carcinoma of the oral cavity, pharynx or larynx</w:t>
            </w:r>
          </w:p>
        </w:tc>
      </w:tr>
      <w:tr w:rsidR="006430B0" w:rsidRPr="00F15216" w:rsidTr="00CA07C1">
        <w:trPr>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Treatment phase:</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Initial treatment</w:t>
            </w:r>
          </w:p>
        </w:tc>
      </w:tr>
      <w:tr w:rsidR="006430B0" w:rsidRPr="00F15216" w:rsidTr="00CA07C1">
        <w:trPr>
          <w:trHeight w:val="360"/>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Restriction Level / Method:</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1"/>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Restricted benefit</w:t>
            </w:r>
          </w:p>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In Writing</w:t>
            </w:r>
          </w:p>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3"/>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Telephone</w:t>
            </w:r>
          </w:p>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Emergency</w:t>
            </w:r>
          </w:p>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0"/>
                  </w:checkBox>
                </w:ffData>
              </w:fldChar>
            </w:r>
            <w:r w:rsidRPr="00F15216">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Authority Required - Electronic</w:t>
            </w:r>
          </w:p>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fldChar w:fldCharType="begin">
                <w:ffData>
                  <w:name w:val="Check5"/>
                  <w:enabled/>
                  <w:calcOnExit w:val="0"/>
                  <w:checkBox>
                    <w:sizeAuto/>
                    <w:default w:val="1"/>
                  </w:checkBox>
                </w:ffData>
              </w:fldChar>
            </w:r>
            <w:r w:rsidRPr="00F15216">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F15216">
              <w:rPr>
                <w:rFonts w:ascii="Arial Narrow" w:hAnsi="Arial Narrow"/>
                <w:color w:val="000000" w:themeColor="text1"/>
                <w:sz w:val="20"/>
              </w:rPr>
              <w:fldChar w:fldCharType="end"/>
            </w:r>
            <w:r w:rsidRPr="00F15216">
              <w:rPr>
                <w:rFonts w:ascii="Arial Narrow" w:hAnsi="Arial Narrow"/>
                <w:color w:val="000000" w:themeColor="text1"/>
                <w:sz w:val="20"/>
              </w:rPr>
              <w:t>Streamlined</w:t>
            </w:r>
          </w:p>
        </w:tc>
      </w:tr>
      <w:tr w:rsidR="006430B0" w:rsidRPr="00F15216" w:rsidTr="00CA07C1">
        <w:trPr>
          <w:trHeight w:val="274"/>
        </w:trPr>
        <w:tc>
          <w:tcPr>
            <w:tcW w:w="1132" w:type="pct"/>
            <w:tcBorders>
              <w:top w:val="single" w:sz="4" w:space="0" w:color="auto"/>
              <w:left w:val="single" w:sz="4" w:space="0" w:color="auto"/>
              <w:bottom w:val="single" w:sz="4" w:space="0" w:color="auto"/>
              <w:right w:val="single" w:sz="4" w:space="0" w:color="auto"/>
            </w:tcBorders>
            <w:hideMark/>
          </w:tcPr>
          <w:p w:rsidR="006430B0" w:rsidRPr="00DE23E7" w:rsidRDefault="006430B0" w:rsidP="00D73F28">
            <w:pPr>
              <w:rPr>
                <w:rFonts w:ascii="Arial Narrow" w:hAnsi="Arial Narrow"/>
                <w:b/>
                <w:sz w:val="20"/>
              </w:rPr>
            </w:pPr>
            <w:r w:rsidRPr="00DE23E7">
              <w:rPr>
                <w:rFonts w:ascii="Arial Narrow" w:hAnsi="Arial Narrow"/>
                <w:b/>
                <w:sz w:val="20"/>
              </w:rPr>
              <w:t>Clinical criteria:</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DE23E7" w:rsidRDefault="006430B0" w:rsidP="00D73F28">
            <w:pPr>
              <w:rPr>
                <w:rFonts w:ascii="Arial Narrow" w:hAnsi="Arial Narrow"/>
                <w:sz w:val="20"/>
              </w:rPr>
            </w:pPr>
            <w:r w:rsidRPr="00DE23E7">
              <w:rPr>
                <w:rFonts w:ascii="Arial Narrow" w:hAnsi="Arial Narrow"/>
                <w:sz w:val="20"/>
              </w:rPr>
              <w:t>Patient must have a WHO performance status of 0 or 1</w:t>
            </w:r>
          </w:p>
          <w:p w:rsidR="006430B0" w:rsidRPr="00DE23E7" w:rsidRDefault="006430B0" w:rsidP="00D73F28">
            <w:pPr>
              <w:rPr>
                <w:rFonts w:ascii="Arial Narrow" w:hAnsi="Arial Narrow"/>
                <w:sz w:val="20"/>
              </w:rPr>
            </w:pPr>
            <w:r w:rsidRPr="00DE23E7">
              <w:rPr>
                <w:rFonts w:ascii="Arial Narrow" w:hAnsi="Arial Narrow"/>
                <w:sz w:val="20"/>
              </w:rPr>
              <w:t>AND</w:t>
            </w:r>
          </w:p>
          <w:p w:rsidR="006430B0" w:rsidRPr="00DE23E7" w:rsidRDefault="006430B0" w:rsidP="00D73F28">
            <w:pPr>
              <w:rPr>
                <w:rFonts w:ascii="Arial Narrow" w:hAnsi="Arial Narrow"/>
                <w:sz w:val="20"/>
              </w:rPr>
            </w:pPr>
            <w:r w:rsidRPr="00DE23E7">
              <w:rPr>
                <w:rFonts w:ascii="Arial Narrow" w:hAnsi="Arial Narrow"/>
                <w:sz w:val="20"/>
              </w:rPr>
              <w:t>The treatment must be the sole PBS-subsidised therapy for this condition</w:t>
            </w:r>
          </w:p>
          <w:p w:rsidR="006430B0" w:rsidRPr="00DE23E7" w:rsidRDefault="006430B0" w:rsidP="00D73F28">
            <w:pPr>
              <w:rPr>
                <w:rFonts w:ascii="Arial Narrow" w:hAnsi="Arial Narrow"/>
                <w:sz w:val="20"/>
              </w:rPr>
            </w:pPr>
            <w:r w:rsidRPr="00DE23E7">
              <w:rPr>
                <w:rFonts w:ascii="Arial Narrow" w:hAnsi="Arial Narrow"/>
                <w:sz w:val="20"/>
              </w:rPr>
              <w:t>AND</w:t>
            </w:r>
          </w:p>
          <w:p w:rsidR="006430B0" w:rsidRPr="00DE23E7" w:rsidRDefault="006430B0" w:rsidP="00D73F28">
            <w:pPr>
              <w:rPr>
                <w:rFonts w:ascii="Arial Narrow" w:hAnsi="Arial Narrow"/>
                <w:sz w:val="20"/>
              </w:rPr>
            </w:pPr>
            <w:r w:rsidRPr="00DE23E7">
              <w:rPr>
                <w:rFonts w:ascii="Arial Narrow" w:hAnsi="Arial Narrow"/>
                <w:sz w:val="20"/>
              </w:rPr>
              <w:t>The condition must have progressed within 6 months of receiving prior platinum based chemotherapy</w:t>
            </w:r>
          </w:p>
          <w:p w:rsidR="006430B0" w:rsidRPr="00DE23E7" w:rsidRDefault="006430B0" w:rsidP="00D73F28">
            <w:pPr>
              <w:rPr>
                <w:rFonts w:ascii="Arial Narrow" w:hAnsi="Arial Narrow"/>
                <w:i/>
                <w:sz w:val="20"/>
              </w:rPr>
            </w:pPr>
            <w:r w:rsidRPr="00DE23E7">
              <w:rPr>
                <w:rFonts w:ascii="Arial Narrow" w:hAnsi="Arial Narrow"/>
                <w:i/>
                <w:sz w:val="20"/>
              </w:rPr>
              <w:t>AND</w:t>
            </w:r>
          </w:p>
          <w:p w:rsidR="006430B0" w:rsidRPr="00DE23E7" w:rsidRDefault="006430B0" w:rsidP="00D73F28">
            <w:pPr>
              <w:rPr>
                <w:rFonts w:ascii="Arial Narrow" w:hAnsi="Arial Narrow"/>
                <w:i/>
                <w:sz w:val="20"/>
              </w:rPr>
            </w:pPr>
            <w:r w:rsidRPr="00DE23E7">
              <w:rPr>
                <w:rFonts w:ascii="Arial Narrow" w:hAnsi="Arial Narrow"/>
                <w:i/>
                <w:sz w:val="20"/>
              </w:rPr>
              <w:t>Patient must not have received prior treatment with a PD-1 inhibitor for this condition</w:t>
            </w:r>
            <w:r>
              <w:rPr>
                <w:rFonts w:ascii="Arial Narrow" w:hAnsi="Arial Narrow"/>
                <w:i/>
                <w:sz w:val="20"/>
              </w:rPr>
              <w:t>.</w:t>
            </w:r>
          </w:p>
        </w:tc>
      </w:tr>
      <w:tr w:rsidR="006430B0" w:rsidRPr="00F15216" w:rsidTr="00CA07C1">
        <w:trPr>
          <w:trHeight w:val="278"/>
        </w:trPr>
        <w:tc>
          <w:tcPr>
            <w:tcW w:w="1132" w:type="pct"/>
            <w:tcBorders>
              <w:top w:val="single" w:sz="4" w:space="0" w:color="auto"/>
              <w:left w:val="single" w:sz="4" w:space="0" w:color="auto"/>
              <w:bottom w:val="single" w:sz="4" w:space="0" w:color="auto"/>
              <w:right w:val="single" w:sz="4" w:space="0" w:color="auto"/>
            </w:tcBorders>
            <w:vAlign w:val="center"/>
            <w:hideMark/>
          </w:tcPr>
          <w:p w:rsidR="006430B0" w:rsidRPr="00F15216" w:rsidRDefault="006430B0" w:rsidP="00D73F28">
            <w:pPr>
              <w:rPr>
                <w:rFonts w:ascii="Arial Narrow" w:hAnsi="Arial Narrow"/>
                <w:color w:val="000000" w:themeColor="text1"/>
                <w:sz w:val="20"/>
              </w:rPr>
            </w:pPr>
            <w:r w:rsidRPr="00F15216">
              <w:rPr>
                <w:rFonts w:ascii="Arial Narrow" w:hAnsi="Arial Narrow"/>
                <w:b/>
                <w:color w:val="000000" w:themeColor="text1"/>
                <w:sz w:val="20"/>
              </w:rPr>
              <w:t>Prescriber Instructions</w:t>
            </w:r>
          </w:p>
        </w:tc>
        <w:tc>
          <w:tcPr>
            <w:tcW w:w="3868" w:type="pct"/>
            <w:gridSpan w:val="5"/>
            <w:tcBorders>
              <w:top w:val="single" w:sz="4" w:space="0" w:color="auto"/>
              <w:left w:val="single" w:sz="4" w:space="0" w:color="auto"/>
              <w:bottom w:val="single" w:sz="4" w:space="0" w:color="auto"/>
              <w:right w:val="single" w:sz="4" w:space="0" w:color="auto"/>
            </w:tcBorders>
            <w:vAlign w:val="center"/>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The patient’s body weight must be documented in the patient’s medical records at the time treatment is initiated.</w:t>
            </w:r>
          </w:p>
        </w:tc>
      </w:tr>
      <w:tr w:rsidR="006430B0" w:rsidRPr="00F15216" w:rsidTr="00CA07C1">
        <w:trPr>
          <w:trHeight w:val="670"/>
        </w:trPr>
        <w:tc>
          <w:tcPr>
            <w:tcW w:w="1132" w:type="pct"/>
            <w:tcBorders>
              <w:top w:val="single" w:sz="4" w:space="0" w:color="auto"/>
              <w:left w:val="single" w:sz="4" w:space="0" w:color="auto"/>
              <w:bottom w:val="single" w:sz="4" w:space="0" w:color="auto"/>
              <w:right w:val="single" w:sz="4" w:space="0" w:color="auto"/>
            </w:tcBorders>
            <w:vAlign w:val="center"/>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Administrative Advice</w:t>
            </w:r>
          </w:p>
        </w:tc>
        <w:tc>
          <w:tcPr>
            <w:tcW w:w="3868" w:type="pct"/>
            <w:gridSpan w:val="5"/>
            <w:tcBorders>
              <w:top w:val="single" w:sz="4" w:space="0" w:color="auto"/>
              <w:left w:val="single" w:sz="4" w:space="0" w:color="auto"/>
              <w:bottom w:val="single" w:sz="4" w:space="0" w:color="auto"/>
              <w:right w:val="single" w:sz="4" w:space="0" w:color="auto"/>
            </w:tcBorders>
            <w:vAlign w:val="center"/>
          </w:tcPr>
          <w:p w:rsidR="006430B0" w:rsidRPr="00F15216" w:rsidRDefault="006430B0" w:rsidP="00D73F28">
            <w:pPr>
              <w:rPr>
                <w:rFonts w:ascii="Arial Narrow" w:hAnsi="Arial Narrow"/>
                <w:color w:val="000000" w:themeColor="text1"/>
                <w:sz w:val="20"/>
              </w:rPr>
            </w:pPr>
            <w:r w:rsidRPr="00F15216">
              <w:rPr>
                <w:rFonts w:ascii="Arial Narrow" w:hAnsi="Arial Narrow"/>
                <w:color w:val="000000" w:themeColor="text1"/>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6430B0" w:rsidRDefault="006430B0" w:rsidP="00D73F28">
            <w:pPr>
              <w:rPr>
                <w:rFonts w:ascii="Arial Narrow" w:hAnsi="Arial Narrow"/>
                <w:color w:val="000000" w:themeColor="text1"/>
                <w:sz w:val="20"/>
              </w:rPr>
            </w:pPr>
            <w:r w:rsidRPr="00F15216">
              <w:rPr>
                <w:rFonts w:ascii="Arial Narrow" w:hAnsi="Arial Narrow"/>
                <w:color w:val="000000" w:themeColor="text1"/>
                <w:sz w:val="20"/>
              </w:rPr>
              <w:t xml:space="preserve">No increase in the maximum number of repeats may be authorised. </w:t>
            </w:r>
          </w:p>
          <w:p w:rsidR="006430B0" w:rsidRPr="00F15216" w:rsidRDefault="006430B0" w:rsidP="00D73F28">
            <w:pPr>
              <w:rPr>
                <w:rFonts w:ascii="Arial Narrow" w:hAnsi="Arial Narrow"/>
                <w:sz w:val="20"/>
              </w:rPr>
            </w:pPr>
            <w:r w:rsidRPr="00F15216">
              <w:rPr>
                <w:rFonts w:ascii="Arial Narrow" w:hAnsi="Arial Narrow"/>
                <w:color w:val="000000" w:themeColor="text1"/>
                <w:sz w:val="20"/>
              </w:rPr>
              <w:t>Special Pricing Arrangements apply.</w:t>
            </w:r>
          </w:p>
        </w:tc>
      </w:tr>
    </w:tbl>
    <w:p w:rsidR="006430B0" w:rsidRDefault="006430B0" w:rsidP="00D73F28">
      <w:pPr>
        <w:pStyle w:val="ListParagraph"/>
        <w:widowControl/>
        <w:spacing w:before="120" w:after="160"/>
        <w:contextualSpacing w:val="0"/>
      </w:pPr>
    </w:p>
    <w:tbl>
      <w:tblPr>
        <w:tblW w:w="5000" w:type="pct"/>
        <w:tblLook w:val="0000" w:firstRow="0" w:lastRow="0" w:firstColumn="0" w:lastColumn="0" w:noHBand="0" w:noVBand="0"/>
      </w:tblPr>
      <w:tblGrid>
        <w:gridCol w:w="2092"/>
        <w:gridCol w:w="1418"/>
        <w:gridCol w:w="567"/>
        <w:gridCol w:w="2466"/>
        <w:gridCol w:w="795"/>
        <w:gridCol w:w="1904"/>
      </w:tblGrid>
      <w:tr w:rsidR="006430B0" w:rsidRPr="00B74566" w:rsidTr="00CA07C1">
        <w:trPr>
          <w:cantSplit/>
          <w:trHeight w:val="471"/>
        </w:trPr>
        <w:tc>
          <w:tcPr>
            <w:tcW w:w="1132"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r w:rsidRPr="00B74566">
              <w:rPr>
                <w:rFonts w:ascii="Arial Narrow" w:hAnsi="Arial Narrow"/>
                <w:sz w:val="20"/>
              </w:rPr>
              <w:t>Name, Restriction,</w:t>
            </w:r>
          </w:p>
          <w:p w:rsidR="006430B0" w:rsidRPr="00B74566" w:rsidRDefault="006430B0" w:rsidP="00D73F28">
            <w:pPr>
              <w:keepNext/>
              <w:ind w:left="-108"/>
              <w:rPr>
                <w:rFonts w:ascii="Arial Narrow" w:hAnsi="Arial Narrow"/>
                <w:sz w:val="20"/>
              </w:rPr>
            </w:pPr>
            <w:r w:rsidRPr="00B74566">
              <w:rPr>
                <w:rFonts w:ascii="Arial Narrow" w:hAnsi="Arial Narrow"/>
                <w:sz w:val="20"/>
              </w:rPr>
              <w:t>Manner of administration and form</w:t>
            </w:r>
          </w:p>
        </w:tc>
        <w:tc>
          <w:tcPr>
            <w:tcW w:w="767"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jc w:val="center"/>
              <w:rPr>
                <w:rFonts w:ascii="Arial Narrow" w:hAnsi="Arial Narrow"/>
                <w:sz w:val="20"/>
              </w:rPr>
            </w:pPr>
            <w:r w:rsidRPr="00B74566">
              <w:rPr>
                <w:rFonts w:ascii="Arial Narrow" w:hAnsi="Arial Narrow"/>
                <w:sz w:val="20"/>
              </w:rPr>
              <w:t>Max.</w:t>
            </w:r>
          </w:p>
          <w:p w:rsidR="006430B0" w:rsidRPr="00B74566" w:rsidRDefault="006430B0" w:rsidP="00D73F28">
            <w:pPr>
              <w:keepNext/>
              <w:ind w:left="-108"/>
              <w:jc w:val="center"/>
              <w:rPr>
                <w:rFonts w:ascii="Arial Narrow" w:hAnsi="Arial Narrow"/>
                <w:sz w:val="20"/>
              </w:rPr>
            </w:pPr>
            <w:r w:rsidRPr="00B74566">
              <w:rPr>
                <w:rFonts w:ascii="Arial Narrow" w:hAnsi="Arial Narrow"/>
                <w:sz w:val="20"/>
              </w:rPr>
              <w:t>Amount</w:t>
            </w:r>
          </w:p>
        </w:tc>
        <w:tc>
          <w:tcPr>
            <w:tcW w:w="307"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jc w:val="center"/>
              <w:rPr>
                <w:rFonts w:ascii="Arial Narrow" w:hAnsi="Arial Narrow"/>
                <w:sz w:val="20"/>
              </w:rPr>
            </w:pPr>
            <w:r w:rsidRPr="00B74566">
              <w:rPr>
                <w:rFonts w:ascii="Arial Narrow" w:hAnsi="Arial Narrow"/>
                <w:sz w:val="20"/>
              </w:rPr>
              <w:t>№.of</w:t>
            </w:r>
          </w:p>
          <w:p w:rsidR="006430B0" w:rsidRPr="00B74566" w:rsidRDefault="006430B0" w:rsidP="00D73F28">
            <w:pPr>
              <w:keepNext/>
              <w:ind w:left="-108"/>
              <w:jc w:val="center"/>
              <w:rPr>
                <w:rFonts w:ascii="Arial Narrow" w:hAnsi="Arial Narrow"/>
                <w:sz w:val="20"/>
              </w:rPr>
            </w:pPr>
            <w:r w:rsidRPr="00B74566">
              <w:rPr>
                <w:rFonts w:ascii="Arial Narrow" w:hAnsi="Arial Narrow"/>
                <w:sz w:val="20"/>
              </w:rPr>
              <w:t>Rpts</w:t>
            </w:r>
          </w:p>
        </w:tc>
        <w:tc>
          <w:tcPr>
            <w:tcW w:w="1334"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jc w:val="center"/>
              <w:rPr>
                <w:rFonts w:ascii="Arial Narrow" w:hAnsi="Arial Narrow"/>
                <w:sz w:val="20"/>
              </w:rPr>
            </w:pPr>
            <w:r w:rsidRPr="00B74566">
              <w:rPr>
                <w:rFonts w:ascii="Arial Narrow" w:hAnsi="Arial Narrow"/>
                <w:sz w:val="20"/>
              </w:rPr>
              <w:t>Dispensed Price for Max. Amount</w:t>
            </w:r>
          </w:p>
        </w:tc>
        <w:tc>
          <w:tcPr>
            <w:tcW w:w="1460" w:type="pct"/>
            <w:gridSpan w:val="2"/>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jc w:val="center"/>
              <w:rPr>
                <w:rFonts w:ascii="Arial Narrow" w:hAnsi="Arial Narrow"/>
                <w:sz w:val="20"/>
                <w:lang w:val="fr-FR"/>
              </w:rPr>
            </w:pPr>
            <w:r w:rsidRPr="00B74566">
              <w:rPr>
                <w:rFonts w:ascii="Arial Narrow" w:hAnsi="Arial Narrow"/>
                <w:sz w:val="20"/>
              </w:rPr>
              <w:t>Proprietary Name and Manufacturer</w:t>
            </w:r>
          </w:p>
        </w:tc>
      </w:tr>
      <w:tr w:rsidR="006430B0" w:rsidRPr="00B74566" w:rsidTr="00CA07C1">
        <w:trPr>
          <w:cantSplit/>
          <w:trHeight w:val="577"/>
        </w:trPr>
        <w:tc>
          <w:tcPr>
            <w:tcW w:w="1132"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r w:rsidRPr="00B74566">
              <w:rPr>
                <w:rFonts w:ascii="Arial Narrow" w:hAnsi="Arial Narrow"/>
                <w:smallCaps/>
                <w:sz w:val="20"/>
              </w:rPr>
              <w:t>NIVOLUMAB</w:t>
            </w:r>
          </w:p>
          <w:p w:rsidR="006430B0" w:rsidRDefault="006430B0" w:rsidP="00D73F28">
            <w:pPr>
              <w:keepNext/>
              <w:ind w:left="-108"/>
              <w:rPr>
                <w:rFonts w:ascii="Arial Narrow" w:hAnsi="Arial Narrow"/>
                <w:sz w:val="20"/>
              </w:rPr>
            </w:pPr>
            <w:r w:rsidRPr="00B74566">
              <w:rPr>
                <w:rFonts w:ascii="Arial Narrow" w:hAnsi="Arial Narrow"/>
                <w:sz w:val="20"/>
              </w:rPr>
              <w:t>nivolumab 40 mg/4 mL injection, 1 x 4 mL vial</w:t>
            </w:r>
          </w:p>
          <w:p w:rsidR="006430B0" w:rsidRPr="00B74566" w:rsidRDefault="006430B0" w:rsidP="00D73F28">
            <w:pPr>
              <w:keepNext/>
              <w:ind w:left="-108"/>
              <w:rPr>
                <w:rFonts w:ascii="Arial Narrow" w:hAnsi="Arial Narrow"/>
                <w:sz w:val="20"/>
              </w:rPr>
            </w:pPr>
          </w:p>
          <w:p w:rsidR="006430B0" w:rsidRPr="00B74566" w:rsidRDefault="006430B0" w:rsidP="00D73F28">
            <w:pPr>
              <w:keepNext/>
              <w:ind w:left="-108"/>
              <w:rPr>
                <w:rFonts w:ascii="Arial Narrow" w:hAnsi="Arial Narrow"/>
                <w:sz w:val="20"/>
              </w:rPr>
            </w:pPr>
            <w:r w:rsidRPr="00B74566">
              <w:rPr>
                <w:rFonts w:ascii="Arial Narrow" w:hAnsi="Arial Narrow"/>
                <w:sz w:val="20"/>
              </w:rPr>
              <w:t>nivolumab 100 mg/10 mL injection, 1 x 10 mL vial</w:t>
            </w:r>
          </w:p>
        </w:tc>
        <w:tc>
          <w:tcPr>
            <w:tcW w:w="767"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p>
          <w:p w:rsidR="006430B0" w:rsidRDefault="006430B0" w:rsidP="00D73F28">
            <w:pPr>
              <w:keepNext/>
              <w:ind w:left="-108"/>
              <w:jc w:val="center"/>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p w:rsidR="006430B0" w:rsidRDefault="006430B0" w:rsidP="00D73F28">
            <w:pPr>
              <w:keepNext/>
              <w:ind w:left="-108"/>
              <w:jc w:val="center"/>
              <w:rPr>
                <w:rFonts w:ascii="Arial Narrow" w:hAnsi="Arial Narrow"/>
                <w:sz w:val="20"/>
              </w:rPr>
            </w:pPr>
            <w:r>
              <w:rPr>
                <w:rFonts w:ascii="Arial Narrow" w:hAnsi="Arial Narrow"/>
                <w:sz w:val="20"/>
              </w:rPr>
              <w:br/>
            </w:r>
          </w:p>
          <w:p w:rsidR="006430B0" w:rsidRPr="00B74566" w:rsidRDefault="006430B0" w:rsidP="00D73F28">
            <w:pPr>
              <w:keepNext/>
              <w:ind w:left="-108"/>
              <w:jc w:val="center"/>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tc>
        <w:tc>
          <w:tcPr>
            <w:tcW w:w="307" w:type="pct"/>
            <w:tcBorders>
              <w:top w:val="single" w:sz="4" w:space="0" w:color="auto"/>
              <w:left w:val="single" w:sz="4" w:space="0" w:color="auto"/>
              <w:bottom w:val="single" w:sz="4" w:space="0" w:color="auto"/>
              <w:right w:val="single" w:sz="4" w:space="0" w:color="auto"/>
            </w:tcBorders>
          </w:tcPr>
          <w:p w:rsidR="006430B0" w:rsidRPr="00526F73" w:rsidRDefault="006430B0" w:rsidP="00D73F28">
            <w:pPr>
              <w:keepNext/>
              <w:ind w:left="-108"/>
              <w:rPr>
                <w:rFonts w:ascii="Arial Narrow" w:hAnsi="Arial Narrow"/>
                <w:strike/>
                <w:sz w:val="20"/>
              </w:rPr>
            </w:pPr>
          </w:p>
          <w:p w:rsidR="006430B0" w:rsidRDefault="006430B0" w:rsidP="00D73F28">
            <w:pPr>
              <w:keepNext/>
              <w:ind w:left="-108"/>
              <w:jc w:val="center"/>
              <w:rPr>
                <w:rFonts w:ascii="Arial Narrow" w:hAnsi="Arial Narrow"/>
                <w:sz w:val="20"/>
              </w:rPr>
            </w:pPr>
            <w:r>
              <w:rPr>
                <w:rFonts w:ascii="Arial Narrow" w:hAnsi="Arial Narrow"/>
                <w:sz w:val="20"/>
              </w:rPr>
              <w:t>11</w:t>
            </w:r>
          </w:p>
          <w:p w:rsidR="006430B0" w:rsidRDefault="006430B0" w:rsidP="00D73F28">
            <w:pPr>
              <w:keepNext/>
              <w:ind w:left="-108"/>
              <w:jc w:val="center"/>
              <w:rPr>
                <w:rFonts w:ascii="Arial Narrow" w:hAnsi="Arial Narrow"/>
                <w:sz w:val="20"/>
              </w:rPr>
            </w:pPr>
            <w:r>
              <w:rPr>
                <w:rFonts w:ascii="Arial Narrow" w:hAnsi="Arial Narrow"/>
                <w:sz w:val="20"/>
              </w:rPr>
              <w:br/>
            </w:r>
          </w:p>
          <w:p w:rsidR="006430B0" w:rsidRPr="00C84C78" w:rsidRDefault="006430B0" w:rsidP="00D73F28">
            <w:pPr>
              <w:keepNext/>
              <w:ind w:left="-108"/>
              <w:jc w:val="center"/>
              <w:rPr>
                <w:rFonts w:ascii="Arial Narrow" w:hAnsi="Arial Narrow"/>
                <w:i/>
                <w:sz w:val="20"/>
              </w:rPr>
            </w:pPr>
            <w:r>
              <w:rPr>
                <w:rFonts w:ascii="Arial Narrow" w:hAnsi="Arial Narrow"/>
                <w:sz w:val="20"/>
              </w:rPr>
              <w:t>11</w:t>
            </w:r>
          </w:p>
        </w:tc>
        <w:tc>
          <w:tcPr>
            <w:tcW w:w="1334" w:type="pct"/>
            <w:tcBorders>
              <w:top w:val="single" w:sz="4" w:space="0" w:color="auto"/>
              <w:left w:val="single" w:sz="4" w:space="0" w:color="auto"/>
              <w:bottom w:val="single" w:sz="4" w:space="0" w:color="auto"/>
              <w:right w:val="single" w:sz="4" w:space="0" w:color="auto"/>
            </w:tcBorders>
          </w:tcPr>
          <w:p w:rsidR="006430B0" w:rsidRPr="00B74566" w:rsidRDefault="006430B0" w:rsidP="00D73F28">
            <w:pPr>
              <w:keepNext/>
              <w:ind w:left="-108"/>
              <w:rPr>
                <w:rFonts w:ascii="Arial Narrow" w:hAnsi="Arial Narrow"/>
                <w:sz w:val="20"/>
              </w:rPr>
            </w:pPr>
          </w:p>
          <w:p w:rsidR="00337D25" w:rsidRPr="00337D25" w:rsidRDefault="00337D25" w:rsidP="00D73F28">
            <w:pPr>
              <w:keepNext/>
              <w:ind w:left="-108"/>
              <w:rPr>
                <w:rFonts w:ascii="Arial Narrow" w:hAnsi="Arial Narrow"/>
                <w:sz w:val="20"/>
              </w:rPr>
            </w:pPr>
            <w:r w:rsidRPr="00337D25">
              <w:rPr>
                <w:rFonts w:ascii="Arial Narrow" w:hAnsi="Arial Narrow"/>
                <w:sz w:val="20"/>
              </w:rPr>
              <w:t>$7560.13 (Public, published)</w:t>
            </w:r>
          </w:p>
          <w:p w:rsidR="00337D25" w:rsidRPr="00F17D1F" w:rsidRDefault="00337D25" w:rsidP="00D73F28">
            <w:pPr>
              <w:keepNext/>
              <w:ind w:left="-108"/>
              <w:rPr>
                <w:rFonts w:ascii="Arial Narrow" w:hAnsi="Arial Narrow"/>
                <w:i/>
                <w:sz w:val="20"/>
              </w:rPr>
            </w:pPr>
            <w:r w:rsidRPr="00F17D1F">
              <w:rPr>
                <w:rFonts w:ascii="Arial Narrow" w:hAnsi="Arial Narrow"/>
                <w:i/>
                <w:sz w:val="20"/>
              </w:rPr>
              <w:t>$</w:t>
            </w:r>
            <w:r w:rsidR="007B0774">
              <w:rPr>
                <w:rFonts w:ascii="Arial Narrow" w:hAnsi="Arial Narrow"/>
                <w:i/>
                <w:noProof/>
                <w:color w:val="000000"/>
                <w:sz w:val="20"/>
                <w:highlight w:val="black"/>
              </w:rPr>
              <w:t>'''''''''''''''''</w:t>
            </w:r>
            <w:r w:rsidRPr="00F17D1F">
              <w:rPr>
                <w:rFonts w:ascii="Arial Narrow" w:hAnsi="Arial Narrow"/>
                <w:i/>
                <w:sz w:val="20"/>
              </w:rPr>
              <w:t xml:space="preserve"> (Public, effective)</w:t>
            </w:r>
          </w:p>
          <w:p w:rsidR="00337D25" w:rsidRPr="00337D25" w:rsidRDefault="00337D25" w:rsidP="00D73F28">
            <w:pPr>
              <w:keepNext/>
              <w:ind w:left="-108"/>
              <w:rPr>
                <w:rFonts w:ascii="Arial Narrow" w:hAnsi="Arial Narrow"/>
                <w:sz w:val="20"/>
              </w:rPr>
            </w:pPr>
          </w:p>
          <w:p w:rsidR="00337D25" w:rsidRPr="00F17D1F" w:rsidRDefault="00337D25" w:rsidP="00D73F28">
            <w:pPr>
              <w:keepNext/>
              <w:ind w:left="-108"/>
              <w:rPr>
                <w:rFonts w:ascii="Arial Narrow" w:hAnsi="Arial Narrow"/>
                <w:i/>
                <w:sz w:val="20"/>
              </w:rPr>
            </w:pPr>
            <w:r w:rsidRPr="00337D25">
              <w:rPr>
                <w:rFonts w:ascii="Arial Narrow" w:hAnsi="Arial Narrow"/>
                <w:sz w:val="20"/>
              </w:rPr>
              <w:t xml:space="preserve">$7703.43 (Private, published) </w:t>
            </w:r>
            <w:r w:rsidRPr="00F17D1F">
              <w:rPr>
                <w:rFonts w:ascii="Arial Narrow" w:hAnsi="Arial Narrow"/>
                <w:i/>
                <w:sz w:val="20"/>
              </w:rPr>
              <w:t>$</w:t>
            </w:r>
            <w:r w:rsidR="007B0774">
              <w:rPr>
                <w:rFonts w:ascii="Arial Narrow" w:hAnsi="Arial Narrow"/>
                <w:i/>
                <w:noProof/>
                <w:color w:val="000000"/>
                <w:sz w:val="20"/>
                <w:highlight w:val="black"/>
              </w:rPr>
              <w:t>'''''''''''''''''</w:t>
            </w:r>
            <w:r w:rsidRPr="00F17D1F">
              <w:rPr>
                <w:rFonts w:ascii="Arial Narrow" w:hAnsi="Arial Narrow"/>
                <w:i/>
                <w:sz w:val="20"/>
              </w:rPr>
              <w:t>(Private, effective)</w:t>
            </w:r>
          </w:p>
          <w:p w:rsidR="006430B0" w:rsidRPr="00B74566" w:rsidRDefault="006430B0" w:rsidP="00D73F28">
            <w:pPr>
              <w:keepNext/>
              <w:ind w:left="-108"/>
              <w:rPr>
                <w:rFonts w:ascii="Arial Narrow" w:hAnsi="Arial Narrow"/>
                <w:sz w:val="20"/>
              </w:rPr>
            </w:pPr>
          </w:p>
        </w:tc>
        <w:tc>
          <w:tcPr>
            <w:tcW w:w="430" w:type="pct"/>
            <w:tcBorders>
              <w:top w:val="single" w:sz="4" w:space="0" w:color="auto"/>
              <w:left w:val="single" w:sz="4" w:space="0" w:color="auto"/>
              <w:bottom w:val="single" w:sz="4" w:space="0" w:color="auto"/>
              <w:right w:val="single" w:sz="4" w:space="0" w:color="auto"/>
            </w:tcBorders>
            <w:vAlign w:val="center"/>
          </w:tcPr>
          <w:p w:rsidR="006430B0" w:rsidRPr="00B74566" w:rsidRDefault="006430B0" w:rsidP="00D73F28">
            <w:pPr>
              <w:keepNext/>
              <w:jc w:val="center"/>
              <w:rPr>
                <w:rFonts w:ascii="Arial Narrow" w:hAnsi="Arial Narrow"/>
                <w:sz w:val="20"/>
              </w:rPr>
            </w:pPr>
            <w:r w:rsidRPr="00B74566">
              <w:rPr>
                <w:rFonts w:ascii="Arial Narrow" w:hAnsi="Arial Narrow"/>
                <w:sz w:val="20"/>
              </w:rPr>
              <w:t>Opdivo</w:t>
            </w:r>
          </w:p>
        </w:tc>
        <w:tc>
          <w:tcPr>
            <w:tcW w:w="1030" w:type="pct"/>
            <w:tcBorders>
              <w:top w:val="single" w:sz="4" w:space="0" w:color="auto"/>
              <w:left w:val="single" w:sz="4" w:space="0" w:color="auto"/>
              <w:bottom w:val="single" w:sz="4" w:space="0" w:color="auto"/>
              <w:right w:val="single" w:sz="4" w:space="0" w:color="auto"/>
            </w:tcBorders>
            <w:vAlign w:val="center"/>
          </w:tcPr>
          <w:p w:rsidR="006430B0" w:rsidRPr="00B74566" w:rsidRDefault="006430B0" w:rsidP="00D73F28">
            <w:pPr>
              <w:keepNext/>
              <w:jc w:val="center"/>
              <w:rPr>
                <w:rFonts w:ascii="Arial Narrow" w:hAnsi="Arial Narrow"/>
                <w:sz w:val="20"/>
              </w:rPr>
            </w:pPr>
            <w:r>
              <w:rPr>
                <w:rFonts w:ascii="Arial Narrow" w:hAnsi="Arial Narrow"/>
                <w:sz w:val="20"/>
              </w:rPr>
              <w:t>Bristol Myers Squibb Pty Ltd.</w:t>
            </w:r>
          </w:p>
        </w:tc>
      </w:tr>
      <w:tr w:rsidR="006430B0" w:rsidRPr="00F15216" w:rsidTr="00CA07C1">
        <w:tblPrEx>
          <w:tblLook w:val="04A0" w:firstRow="1" w:lastRow="0" w:firstColumn="1" w:lastColumn="0" w:noHBand="0" w:noVBand="1"/>
        </w:tblPrEx>
        <w:trPr>
          <w:cantSplit/>
          <w:trHeight w:val="110"/>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Category / Program</w:t>
            </w:r>
            <w:r>
              <w:rPr>
                <w:rFonts w:ascii="Arial Narrow" w:hAnsi="Arial Narrow"/>
                <w:b/>
                <w:color w:val="000000" w:themeColor="text1"/>
                <w:sz w:val="20"/>
              </w:rPr>
              <w:t>:</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t>Section 100 - Efficient funding of Chemotherapy</w:t>
            </w:r>
          </w:p>
        </w:tc>
      </w:tr>
      <w:tr w:rsidR="006430B0" w:rsidRPr="00F15216" w:rsidTr="00CA07C1">
        <w:tblPrEx>
          <w:tblLook w:val="04A0" w:firstRow="1" w:lastRow="0" w:firstColumn="1" w:lastColumn="0" w:noHBand="0" w:noVBand="1"/>
        </w:tblPrEx>
        <w:trPr>
          <w:cantSplit/>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Prescriber type</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t>Medical Practitioners</w:t>
            </w:r>
          </w:p>
        </w:tc>
      </w:tr>
      <w:tr w:rsidR="006430B0" w:rsidRPr="00F15216" w:rsidTr="00CA07C1">
        <w:tblPrEx>
          <w:tblLook w:val="04A0" w:firstRow="1" w:lastRow="0" w:firstColumn="1" w:lastColumn="0" w:noHBand="0" w:noVBand="1"/>
        </w:tblPrEx>
        <w:trPr>
          <w:cantSplit/>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Severity:</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t>Recurrent or metastatic</w:t>
            </w:r>
          </w:p>
        </w:tc>
      </w:tr>
      <w:tr w:rsidR="006430B0" w:rsidRPr="00F15216" w:rsidTr="00CA07C1">
        <w:tblPrEx>
          <w:tblLook w:val="04A0" w:firstRow="1" w:lastRow="0" w:firstColumn="1" w:lastColumn="0" w:noHBand="0" w:noVBand="1"/>
        </w:tblPrEx>
        <w:trPr>
          <w:cantSplit/>
          <w:trHeight w:val="91"/>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Condition:</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t>Squamous cell carcinoma of the oral cavity, pharynx or larynx</w:t>
            </w:r>
          </w:p>
        </w:tc>
      </w:tr>
      <w:tr w:rsidR="006430B0" w:rsidRPr="00F15216" w:rsidTr="00CA07C1">
        <w:tblPrEx>
          <w:tblLook w:val="04A0" w:firstRow="1" w:lastRow="0" w:firstColumn="1" w:lastColumn="0" w:noHBand="0" w:noVBand="1"/>
        </w:tblPrEx>
        <w:trPr>
          <w:cantSplit/>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lastRenderedPageBreak/>
              <w:t>PBS Indication:</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t>Recurrent or metastatic squamous cell carcinoma of the oral cavity, pharynx or larynx</w:t>
            </w:r>
          </w:p>
        </w:tc>
      </w:tr>
      <w:tr w:rsidR="006430B0" w:rsidRPr="00F15216" w:rsidTr="00CA07C1">
        <w:tblPrEx>
          <w:tblLook w:val="04A0" w:firstRow="1" w:lastRow="0" w:firstColumn="1" w:lastColumn="0" w:noHBand="0" w:noVBand="1"/>
        </w:tblPrEx>
        <w:trPr>
          <w:cantSplit/>
          <w:trHeight w:val="58"/>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Treatment phase:</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t>Continuing treatment</w:t>
            </w:r>
          </w:p>
        </w:tc>
      </w:tr>
      <w:tr w:rsidR="006430B0" w:rsidRPr="00F15216" w:rsidTr="00CA07C1">
        <w:tblPrEx>
          <w:tblLook w:val="04A0" w:firstRow="1" w:lastRow="0" w:firstColumn="1" w:lastColumn="0" w:noHBand="0" w:noVBand="1"/>
        </w:tblPrEx>
        <w:trPr>
          <w:cantSplit/>
          <w:trHeight w:val="360"/>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Restriction Level / Method:</w:t>
            </w:r>
          </w:p>
        </w:tc>
        <w:tc>
          <w:tcPr>
            <w:tcW w:w="3868" w:type="pct"/>
            <w:gridSpan w:val="5"/>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sz w:val="20"/>
              </w:rPr>
            </w:pPr>
            <w:r w:rsidRPr="00F15216">
              <w:rPr>
                <w:rFonts w:ascii="Arial Narrow" w:hAnsi="Arial Narrow"/>
                <w:sz w:val="20"/>
              </w:rPr>
              <w:fldChar w:fldCharType="begin">
                <w:ffData>
                  <w:name w:val="Check1"/>
                  <w:enabled/>
                  <w:calcOnExit w:val="0"/>
                  <w:checkBox>
                    <w:sizeAuto/>
                    <w:default w:val="0"/>
                  </w:checkBox>
                </w:ffData>
              </w:fldChar>
            </w:r>
            <w:r w:rsidRPr="00F15216">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Restricted benefit</w:t>
            </w:r>
          </w:p>
          <w:p w:rsidR="006430B0" w:rsidRPr="00F15216" w:rsidRDefault="006430B0" w:rsidP="00D73F28">
            <w:pPr>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In Writing</w:t>
            </w:r>
          </w:p>
          <w:p w:rsidR="006430B0" w:rsidRPr="00F15216" w:rsidRDefault="006430B0" w:rsidP="00D73F28">
            <w:pPr>
              <w:rPr>
                <w:rFonts w:ascii="Arial Narrow" w:hAnsi="Arial Narrow"/>
                <w:sz w:val="20"/>
              </w:rPr>
            </w:pPr>
            <w:r w:rsidRPr="00F15216">
              <w:rPr>
                <w:rFonts w:ascii="Arial Narrow" w:hAnsi="Arial Narrow"/>
                <w:sz w:val="20"/>
              </w:rPr>
              <w:fldChar w:fldCharType="begin">
                <w:ffData>
                  <w:name w:val="Check3"/>
                  <w:enabled/>
                  <w:calcOnExit w:val="0"/>
                  <w:checkBox>
                    <w:sizeAuto/>
                    <w:default w:val="0"/>
                  </w:checkBox>
                </w:ffData>
              </w:fldChar>
            </w:r>
            <w:r w:rsidRPr="00F15216">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Telephone</w:t>
            </w:r>
          </w:p>
          <w:p w:rsidR="006430B0" w:rsidRPr="00F15216" w:rsidRDefault="006430B0" w:rsidP="00D73F28">
            <w:pPr>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Emergency</w:t>
            </w:r>
          </w:p>
          <w:p w:rsidR="006430B0" w:rsidRPr="00F15216" w:rsidRDefault="006430B0" w:rsidP="00D73F28">
            <w:pPr>
              <w:rPr>
                <w:rFonts w:ascii="Arial Narrow" w:hAnsi="Arial Narrow"/>
                <w:sz w:val="20"/>
              </w:rPr>
            </w:pPr>
            <w:r w:rsidRPr="00F15216">
              <w:rPr>
                <w:rFonts w:ascii="Arial Narrow" w:hAnsi="Arial Narrow"/>
                <w:sz w:val="20"/>
              </w:rPr>
              <w:fldChar w:fldCharType="begin">
                <w:ffData>
                  <w:name w:val="Check5"/>
                  <w:enabled/>
                  <w:calcOnExit w:val="0"/>
                  <w:checkBox>
                    <w:sizeAuto/>
                    <w:default w:val="0"/>
                  </w:checkBox>
                </w:ffData>
              </w:fldChar>
            </w:r>
            <w:r w:rsidRPr="00F15216">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Electronic</w:t>
            </w:r>
          </w:p>
          <w:p w:rsidR="006430B0" w:rsidRPr="00F15216" w:rsidRDefault="006430B0" w:rsidP="00D73F28">
            <w:pPr>
              <w:rPr>
                <w:rFonts w:ascii="Arial Narrow" w:hAnsi="Arial Narrow"/>
                <w:sz w:val="20"/>
              </w:rPr>
            </w:pPr>
            <w:r w:rsidRPr="00F15216">
              <w:rPr>
                <w:rFonts w:ascii="Arial Narrow" w:hAnsi="Arial Narrow"/>
                <w:sz w:val="20"/>
              </w:rPr>
              <w:fldChar w:fldCharType="begin">
                <w:ffData>
                  <w:name w:val="Check5"/>
                  <w:enabled/>
                  <w:calcOnExit w:val="0"/>
                  <w:checkBox>
                    <w:sizeAuto/>
                    <w:default w:val="1"/>
                  </w:checkBox>
                </w:ffData>
              </w:fldChar>
            </w:r>
            <w:r w:rsidRPr="00F15216">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Streamlined</w:t>
            </w:r>
          </w:p>
        </w:tc>
      </w:tr>
      <w:tr w:rsidR="006430B0" w:rsidRPr="00F15216" w:rsidTr="00CA07C1">
        <w:tblPrEx>
          <w:tblLook w:val="04A0" w:firstRow="1" w:lastRow="0" w:firstColumn="1" w:lastColumn="0" w:noHBand="0" w:noVBand="1"/>
        </w:tblPrEx>
        <w:trPr>
          <w:cantSplit/>
          <w:trHeight w:val="426"/>
        </w:trPr>
        <w:tc>
          <w:tcPr>
            <w:tcW w:w="1132" w:type="pct"/>
            <w:tcBorders>
              <w:top w:val="single" w:sz="4" w:space="0" w:color="auto"/>
              <w:left w:val="single" w:sz="4" w:space="0" w:color="auto"/>
              <w:bottom w:val="single" w:sz="4" w:space="0" w:color="auto"/>
              <w:right w:val="single" w:sz="4" w:space="0" w:color="auto"/>
            </w:tcBorders>
            <w:hideMark/>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Clinical criteria:</w:t>
            </w:r>
          </w:p>
        </w:tc>
        <w:tc>
          <w:tcPr>
            <w:tcW w:w="3868" w:type="pct"/>
            <w:gridSpan w:val="5"/>
            <w:tcBorders>
              <w:top w:val="single" w:sz="4" w:space="0" w:color="auto"/>
              <w:left w:val="single" w:sz="4" w:space="0" w:color="auto"/>
              <w:bottom w:val="single" w:sz="4" w:space="0" w:color="auto"/>
              <w:right w:val="single" w:sz="4" w:space="0" w:color="auto"/>
            </w:tcBorders>
          </w:tcPr>
          <w:p w:rsidR="006430B0" w:rsidRPr="00F15216" w:rsidRDefault="006430B0" w:rsidP="00D73F28">
            <w:pPr>
              <w:rPr>
                <w:rFonts w:ascii="Arial Narrow" w:hAnsi="Arial Narrow"/>
                <w:sz w:val="20"/>
              </w:rPr>
            </w:pPr>
            <w:r w:rsidRPr="00F15216">
              <w:rPr>
                <w:rFonts w:ascii="Arial Narrow" w:hAnsi="Arial Narrow"/>
                <w:sz w:val="20"/>
              </w:rPr>
              <w:t>Patient must have previously been issued with an authority prescription for this drug for this condition</w:t>
            </w:r>
          </w:p>
          <w:p w:rsidR="006430B0" w:rsidRPr="00F15216" w:rsidRDefault="006430B0" w:rsidP="00D73F28">
            <w:pPr>
              <w:rPr>
                <w:rFonts w:ascii="Arial Narrow" w:hAnsi="Arial Narrow"/>
                <w:sz w:val="20"/>
              </w:rPr>
            </w:pPr>
            <w:r w:rsidRPr="00F15216">
              <w:rPr>
                <w:rFonts w:ascii="Arial Narrow" w:hAnsi="Arial Narrow"/>
                <w:sz w:val="20"/>
              </w:rPr>
              <w:t>AND</w:t>
            </w:r>
          </w:p>
          <w:p w:rsidR="006430B0" w:rsidRPr="00F15216" w:rsidRDefault="006430B0" w:rsidP="00D73F28">
            <w:pPr>
              <w:rPr>
                <w:rFonts w:ascii="Arial Narrow" w:hAnsi="Arial Narrow"/>
                <w:sz w:val="20"/>
              </w:rPr>
            </w:pPr>
            <w:r w:rsidRPr="00F15216">
              <w:rPr>
                <w:rFonts w:ascii="Arial Narrow" w:hAnsi="Arial Narrow"/>
                <w:sz w:val="20"/>
              </w:rPr>
              <w:t>Patient must have stable or responding disease</w:t>
            </w:r>
          </w:p>
          <w:p w:rsidR="006430B0" w:rsidRPr="00F15216" w:rsidRDefault="006430B0" w:rsidP="00D73F28">
            <w:pPr>
              <w:rPr>
                <w:rFonts w:ascii="Arial Narrow" w:hAnsi="Arial Narrow"/>
                <w:sz w:val="20"/>
              </w:rPr>
            </w:pPr>
            <w:r w:rsidRPr="00F15216">
              <w:rPr>
                <w:rFonts w:ascii="Arial Narrow" w:hAnsi="Arial Narrow"/>
                <w:sz w:val="20"/>
              </w:rPr>
              <w:t>AND</w:t>
            </w:r>
          </w:p>
          <w:p w:rsidR="006430B0" w:rsidRPr="00C5572D" w:rsidRDefault="006430B0" w:rsidP="00D73F28">
            <w:pPr>
              <w:rPr>
                <w:rFonts w:ascii="Arial Narrow" w:hAnsi="Arial Narrow"/>
                <w:i/>
                <w:sz w:val="20"/>
              </w:rPr>
            </w:pPr>
            <w:r w:rsidRPr="00F15216">
              <w:rPr>
                <w:rFonts w:ascii="Arial Narrow" w:hAnsi="Arial Narrow"/>
                <w:sz w:val="20"/>
              </w:rPr>
              <w:t>The treatment must be the sole PBS-subsidised therapy for this condition</w:t>
            </w:r>
          </w:p>
        </w:tc>
      </w:tr>
      <w:tr w:rsidR="006430B0" w:rsidRPr="00F15216" w:rsidTr="00CA07C1">
        <w:tblPrEx>
          <w:tblLook w:val="04A0" w:firstRow="1" w:lastRow="0" w:firstColumn="1" w:lastColumn="0" w:noHBand="0" w:noVBand="1"/>
        </w:tblPrEx>
        <w:trPr>
          <w:cantSplit/>
          <w:trHeight w:val="408"/>
        </w:trPr>
        <w:tc>
          <w:tcPr>
            <w:tcW w:w="1132" w:type="pct"/>
            <w:tcBorders>
              <w:top w:val="single" w:sz="4" w:space="0" w:color="auto"/>
              <w:left w:val="single" w:sz="4" w:space="0" w:color="auto"/>
              <w:bottom w:val="single" w:sz="4" w:space="0" w:color="auto"/>
              <w:right w:val="single" w:sz="4" w:space="0" w:color="auto"/>
            </w:tcBorders>
            <w:vAlign w:val="center"/>
          </w:tcPr>
          <w:p w:rsidR="006430B0" w:rsidRPr="00F15216" w:rsidRDefault="006430B0" w:rsidP="00D73F28">
            <w:pPr>
              <w:rPr>
                <w:rFonts w:ascii="Arial Narrow" w:hAnsi="Arial Narrow"/>
                <w:b/>
                <w:color w:val="000000" w:themeColor="text1"/>
                <w:sz w:val="20"/>
              </w:rPr>
            </w:pPr>
            <w:r w:rsidRPr="00F15216">
              <w:rPr>
                <w:rFonts w:ascii="Arial Narrow" w:hAnsi="Arial Narrow"/>
                <w:b/>
                <w:color w:val="000000" w:themeColor="text1"/>
                <w:sz w:val="20"/>
              </w:rPr>
              <w:t>Administrative Advice</w:t>
            </w:r>
          </w:p>
        </w:tc>
        <w:tc>
          <w:tcPr>
            <w:tcW w:w="3868" w:type="pct"/>
            <w:gridSpan w:val="5"/>
            <w:tcBorders>
              <w:top w:val="single" w:sz="4" w:space="0" w:color="auto"/>
              <w:left w:val="single" w:sz="4" w:space="0" w:color="auto"/>
              <w:bottom w:val="single" w:sz="4" w:space="0" w:color="auto"/>
              <w:right w:val="single" w:sz="4" w:space="0" w:color="auto"/>
            </w:tcBorders>
            <w:vAlign w:val="center"/>
          </w:tcPr>
          <w:p w:rsidR="006430B0" w:rsidRDefault="006430B0" w:rsidP="00D73F28">
            <w:pPr>
              <w:rPr>
                <w:rFonts w:ascii="Arial Narrow" w:hAnsi="Arial Narrow"/>
                <w:color w:val="000000" w:themeColor="text1"/>
                <w:sz w:val="20"/>
              </w:rPr>
            </w:pPr>
            <w:r w:rsidRPr="00F15216">
              <w:rPr>
                <w:rFonts w:ascii="Arial Narrow" w:hAnsi="Arial Narrow"/>
                <w:color w:val="000000" w:themeColor="text1"/>
                <w:sz w:val="20"/>
              </w:rPr>
              <w:t xml:space="preserve">No increase in the maximum number of repeats may be authorised. </w:t>
            </w:r>
          </w:p>
          <w:p w:rsidR="006430B0" w:rsidRPr="00F15216" w:rsidRDefault="006430B0" w:rsidP="00D73F28">
            <w:pPr>
              <w:rPr>
                <w:rFonts w:ascii="Arial Narrow" w:hAnsi="Arial Narrow"/>
                <w:sz w:val="20"/>
              </w:rPr>
            </w:pPr>
            <w:r w:rsidRPr="00F15216">
              <w:rPr>
                <w:rFonts w:ascii="Arial Narrow" w:hAnsi="Arial Narrow"/>
                <w:color w:val="000000" w:themeColor="text1"/>
                <w:sz w:val="20"/>
              </w:rPr>
              <w:t>Special Pricing Arrangements apply.</w:t>
            </w:r>
          </w:p>
        </w:tc>
      </w:tr>
    </w:tbl>
    <w:p w:rsidR="00915B58" w:rsidRPr="0037625B" w:rsidRDefault="00915B58" w:rsidP="0037625B">
      <w:pPr>
        <w:spacing w:before="120" w:after="120"/>
        <w:rPr>
          <w:rFonts w:asciiTheme="minorHAnsi" w:eastAsiaTheme="minorHAnsi" w:hAnsiTheme="minorHAnsi"/>
          <w:b/>
          <w:i/>
        </w:rPr>
      </w:pPr>
      <w:r w:rsidRPr="0037625B">
        <w:rPr>
          <w:rFonts w:asciiTheme="minorHAnsi" w:eastAsiaTheme="minorHAnsi" w:hAnsiTheme="minorHAnsi"/>
          <w:i/>
        </w:rPr>
        <w:t xml:space="preserve">For more detail on the PBAC’s view, see section </w:t>
      </w:r>
      <w:r w:rsidR="00721EF6" w:rsidRPr="0037625B">
        <w:rPr>
          <w:rFonts w:asciiTheme="minorHAnsi" w:eastAsiaTheme="minorHAnsi" w:hAnsiTheme="minorHAnsi"/>
          <w:i/>
        </w:rPr>
        <w:t xml:space="preserve">6 </w:t>
      </w:r>
      <w:r w:rsidRPr="0037625B">
        <w:rPr>
          <w:rFonts w:asciiTheme="minorHAnsi" w:eastAsiaTheme="minorHAnsi" w:hAnsiTheme="minorHAnsi"/>
          <w:i/>
        </w:rPr>
        <w:t>PBAC outcome.</w:t>
      </w:r>
    </w:p>
    <w:p w:rsidR="00C603D4" w:rsidRPr="00EB3307" w:rsidRDefault="00CE10C4" w:rsidP="0037625B">
      <w:pPr>
        <w:pStyle w:val="PBACHeading1"/>
      </w:pPr>
      <w:r w:rsidRPr="00EB3307">
        <w:t>Background</w:t>
      </w:r>
    </w:p>
    <w:p w:rsidR="008F42E6" w:rsidRPr="00915B58" w:rsidRDefault="004834BB" w:rsidP="00D73F28">
      <w:pPr>
        <w:pStyle w:val="ListParagraph"/>
        <w:widowControl/>
        <w:numPr>
          <w:ilvl w:val="1"/>
          <w:numId w:val="14"/>
        </w:numPr>
        <w:spacing w:before="120" w:after="160"/>
        <w:contextualSpacing w:val="0"/>
        <w:rPr>
          <w:rFonts w:asciiTheme="minorHAnsi" w:hAnsiTheme="minorHAnsi"/>
          <w:sz w:val="24"/>
          <w:szCs w:val="24"/>
        </w:rPr>
      </w:pPr>
      <w:r w:rsidRPr="00915B58">
        <w:rPr>
          <w:rFonts w:asciiTheme="minorHAnsi" w:hAnsiTheme="minorHAnsi"/>
          <w:sz w:val="24"/>
          <w:szCs w:val="24"/>
        </w:rPr>
        <w:t>N</w:t>
      </w:r>
      <w:r w:rsidR="008F42E6" w:rsidRPr="00915B58">
        <w:rPr>
          <w:rFonts w:asciiTheme="minorHAnsi" w:hAnsiTheme="minorHAnsi"/>
          <w:sz w:val="24"/>
          <w:szCs w:val="24"/>
        </w:rPr>
        <w:t xml:space="preserve">ivolumab was registered </w:t>
      </w:r>
      <w:r w:rsidR="00B27E12" w:rsidRPr="00915B58">
        <w:rPr>
          <w:rFonts w:asciiTheme="minorHAnsi" w:hAnsiTheme="minorHAnsi"/>
          <w:sz w:val="24"/>
          <w:szCs w:val="24"/>
        </w:rPr>
        <w:t>on the Australian Register of Therapeutic Goods (ARTG)</w:t>
      </w:r>
      <w:r w:rsidRPr="00915B58">
        <w:rPr>
          <w:rFonts w:asciiTheme="minorHAnsi" w:hAnsiTheme="minorHAnsi"/>
          <w:sz w:val="24"/>
          <w:szCs w:val="24"/>
        </w:rPr>
        <w:t xml:space="preserve"> </w:t>
      </w:r>
      <w:r w:rsidR="008F42E6" w:rsidRPr="00915B58">
        <w:rPr>
          <w:rFonts w:asciiTheme="minorHAnsi" w:hAnsiTheme="minorHAnsi"/>
          <w:sz w:val="24"/>
          <w:szCs w:val="24"/>
        </w:rPr>
        <w:t>on 11 July 2017 for the following indication: as monotherapy for the treatment of recurrent or metastatic squamous cell cancer of the head and neck in adults progressing on or after platinum based therapy.</w:t>
      </w:r>
    </w:p>
    <w:p w:rsidR="003405DF" w:rsidRPr="00915B58" w:rsidRDefault="003405DF"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15B58">
        <w:rPr>
          <w:rFonts w:asciiTheme="minorHAnsi" w:eastAsiaTheme="minorHAnsi" w:hAnsiTheme="minorHAnsi" w:cstheme="minorBidi"/>
          <w:snapToGrid/>
          <w:sz w:val="24"/>
          <w:szCs w:val="22"/>
        </w:rPr>
        <w:t xml:space="preserve">Nivolumab is PBS listed for unresectable Stage III or Stage IV malignant melanoma, locally advanced or metastatic </w:t>
      </w:r>
      <w:r w:rsidR="00A63600" w:rsidRPr="00915B58">
        <w:rPr>
          <w:rFonts w:asciiTheme="minorHAnsi" w:eastAsiaTheme="minorHAnsi" w:hAnsiTheme="minorHAnsi" w:cstheme="minorBidi"/>
          <w:snapToGrid/>
          <w:sz w:val="24"/>
          <w:szCs w:val="22"/>
        </w:rPr>
        <w:t>NSCLC</w:t>
      </w:r>
      <w:r w:rsidRPr="00915B58">
        <w:rPr>
          <w:rFonts w:asciiTheme="minorHAnsi" w:eastAsiaTheme="minorHAnsi" w:hAnsiTheme="minorHAnsi" w:cstheme="minorBidi"/>
          <w:snapToGrid/>
          <w:sz w:val="24"/>
          <w:szCs w:val="22"/>
        </w:rPr>
        <w:t>, and s</w:t>
      </w:r>
      <w:r w:rsidR="008B2231" w:rsidRPr="00915B58">
        <w:rPr>
          <w:rFonts w:asciiTheme="minorHAnsi" w:eastAsiaTheme="minorHAnsi" w:hAnsiTheme="minorHAnsi" w:cstheme="minorBidi"/>
          <w:snapToGrid/>
          <w:sz w:val="24"/>
          <w:szCs w:val="22"/>
        </w:rPr>
        <w:t>tage IV clear cell variant RCC.</w:t>
      </w:r>
    </w:p>
    <w:p w:rsidR="004D4E6A" w:rsidRPr="00915B58" w:rsidRDefault="008C3B41"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15B58">
        <w:rPr>
          <w:rFonts w:asciiTheme="minorHAnsi" w:eastAsiaTheme="minorHAnsi" w:hAnsiTheme="minorHAnsi" w:cstheme="minorBidi"/>
          <w:snapToGrid/>
          <w:sz w:val="24"/>
          <w:szCs w:val="22"/>
        </w:rPr>
        <w:t xml:space="preserve">Nivolumab for the treatment of </w:t>
      </w:r>
      <w:r w:rsidR="00DD3474" w:rsidRPr="00915B58">
        <w:rPr>
          <w:rFonts w:asciiTheme="minorHAnsi" w:eastAsiaTheme="minorHAnsi" w:hAnsiTheme="minorHAnsi" w:cstheme="minorBidi"/>
          <w:snapToGrid/>
          <w:sz w:val="24"/>
          <w:szCs w:val="22"/>
        </w:rPr>
        <w:t>RM</w:t>
      </w:r>
      <w:r w:rsidRPr="00915B58">
        <w:rPr>
          <w:rFonts w:asciiTheme="minorHAnsi" w:eastAsiaTheme="minorHAnsi" w:hAnsiTheme="minorHAnsi" w:cstheme="minorBidi"/>
          <w:snapToGrid/>
          <w:sz w:val="24"/>
          <w:szCs w:val="22"/>
        </w:rPr>
        <w:t xml:space="preserve"> </w:t>
      </w:r>
      <w:r w:rsidRPr="00915B58">
        <w:rPr>
          <w:rFonts w:asciiTheme="minorHAnsi" w:hAnsiTheme="minorHAnsi"/>
          <w:sz w:val="24"/>
          <w:szCs w:val="24"/>
        </w:rPr>
        <w:t>SSCHN</w:t>
      </w:r>
      <w:r w:rsidRPr="00915B58">
        <w:rPr>
          <w:rFonts w:asciiTheme="minorHAnsi" w:eastAsiaTheme="minorHAnsi" w:hAnsiTheme="minorHAnsi" w:cstheme="minorBidi"/>
          <w:snapToGrid/>
          <w:sz w:val="24"/>
          <w:szCs w:val="22"/>
        </w:rPr>
        <w:t xml:space="preserve"> was considered by the PBAC in November 2017. </w:t>
      </w:r>
      <w:r w:rsidR="008B2231" w:rsidRPr="00915B58">
        <w:rPr>
          <w:rFonts w:asciiTheme="minorHAnsi" w:eastAsiaTheme="minorHAnsi" w:hAnsiTheme="minorHAnsi" w:cstheme="minorBidi"/>
          <w:snapToGrid/>
          <w:sz w:val="24"/>
          <w:szCs w:val="22"/>
        </w:rPr>
        <w:t>T</w:t>
      </w:r>
      <w:r w:rsidRPr="00915B58">
        <w:rPr>
          <w:rFonts w:asciiTheme="minorHAnsi" w:eastAsiaTheme="minorHAnsi" w:hAnsiTheme="minorHAnsi" w:cstheme="minorBidi"/>
          <w:snapToGrid/>
          <w:sz w:val="24"/>
          <w:szCs w:val="22"/>
        </w:rPr>
        <w:t>he</w:t>
      </w:r>
      <w:r w:rsidR="00C671A5" w:rsidRPr="00915B58">
        <w:rPr>
          <w:rFonts w:asciiTheme="minorHAnsi" w:eastAsiaTheme="minorHAnsi" w:hAnsiTheme="minorHAnsi" w:cstheme="minorBidi"/>
          <w:snapToGrid/>
          <w:sz w:val="24"/>
          <w:szCs w:val="22"/>
        </w:rPr>
        <w:t xml:space="preserve"> PBAC </w:t>
      </w:r>
      <w:r w:rsidRPr="00915B58">
        <w:rPr>
          <w:rFonts w:asciiTheme="minorHAnsi" w:eastAsiaTheme="minorHAnsi" w:hAnsiTheme="minorHAnsi" w:cstheme="minorBidi"/>
          <w:snapToGrid/>
          <w:sz w:val="24"/>
          <w:szCs w:val="22"/>
        </w:rPr>
        <w:t>decided not to recommend listing</w:t>
      </w:r>
      <w:r w:rsidR="00580E66" w:rsidRPr="00915B58">
        <w:rPr>
          <w:rFonts w:asciiTheme="minorHAnsi" w:eastAsiaTheme="minorHAnsi" w:hAnsiTheme="minorHAnsi" w:cstheme="minorBidi"/>
          <w:snapToGrid/>
          <w:sz w:val="24"/>
          <w:szCs w:val="22"/>
        </w:rPr>
        <w:t xml:space="preserve"> based on </w:t>
      </w:r>
      <w:r w:rsidR="00CA767E" w:rsidRPr="00915B58">
        <w:rPr>
          <w:rFonts w:asciiTheme="minorHAnsi" w:eastAsiaTheme="minorHAnsi" w:hAnsiTheme="minorHAnsi" w:cstheme="minorBidi"/>
          <w:snapToGrid/>
          <w:sz w:val="24"/>
          <w:szCs w:val="22"/>
        </w:rPr>
        <w:t>“</w:t>
      </w:r>
      <w:r w:rsidRPr="00915B58">
        <w:rPr>
          <w:rFonts w:asciiTheme="minorHAnsi" w:eastAsiaTheme="minorHAnsi" w:hAnsiTheme="minorHAnsi" w:cstheme="minorBidi"/>
          <w:snapToGrid/>
          <w:sz w:val="24"/>
          <w:szCs w:val="22"/>
        </w:rPr>
        <w:t>uncertainty in the nature and magnitude of its incremental clinical benefit in Australian clinical practice, and a high and overoptimistic estimated incremental cost effectiveness ratio at the price proposed by the submission.</w:t>
      </w:r>
      <w:r w:rsidR="00CA767E" w:rsidRPr="00915B58">
        <w:rPr>
          <w:rFonts w:asciiTheme="minorHAnsi" w:eastAsiaTheme="minorHAnsi" w:hAnsiTheme="minorHAnsi" w:cstheme="minorBidi"/>
          <w:snapToGrid/>
          <w:sz w:val="24"/>
          <w:szCs w:val="22"/>
        </w:rPr>
        <w:t>”</w:t>
      </w:r>
    </w:p>
    <w:p w:rsidR="002C6128" w:rsidRPr="00915B58" w:rsidRDefault="002C6128"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15B58">
        <w:rPr>
          <w:rFonts w:asciiTheme="minorHAnsi" w:eastAsiaTheme="minorHAnsi" w:hAnsiTheme="minorHAnsi" w:cstheme="minorBidi"/>
          <w:snapToGrid/>
          <w:sz w:val="24"/>
          <w:szCs w:val="22"/>
        </w:rPr>
        <w:t xml:space="preserve">A summary of the matters of </w:t>
      </w:r>
      <w:r w:rsidR="007B60BE" w:rsidRPr="00915B58">
        <w:rPr>
          <w:rFonts w:asciiTheme="minorHAnsi" w:eastAsiaTheme="minorHAnsi" w:hAnsiTheme="minorHAnsi" w:cstheme="minorBidi"/>
          <w:snapToGrid/>
          <w:sz w:val="24"/>
          <w:szCs w:val="22"/>
        </w:rPr>
        <w:t>outstanding concern to the PBAC</w:t>
      </w:r>
      <w:r w:rsidRPr="00915B58">
        <w:rPr>
          <w:rFonts w:asciiTheme="minorHAnsi" w:eastAsiaTheme="minorHAnsi" w:hAnsiTheme="minorHAnsi" w:cstheme="minorBidi"/>
          <w:snapToGrid/>
          <w:sz w:val="24"/>
          <w:szCs w:val="22"/>
        </w:rPr>
        <w:t xml:space="preserve"> as noted in the minutes of the November 2017 meeting, and how they have been addressed in the minor resubmission</w:t>
      </w:r>
      <w:r w:rsidR="00B27E12" w:rsidRPr="00915B58">
        <w:rPr>
          <w:rFonts w:asciiTheme="minorHAnsi" w:eastAsiaTheme="minorHAnsi" w:hAnsiTheme="minorHAnsi" w:cstheme="minorBidi"/>
          <w:snapToGrid/>
          <w:sz w:val="24"/>
          <w:szCs w:val="22"/>
        </w:rPr>
        <w:t>,</w:t>
      </w:r>
      <w:r w:rsidRPr="00915B58">
        <w:rPr>
          <w:rFonts w:asciiTheme="minorHAnsi" w:eastAsiaTheme="minorHAnsi" w:hAnsiTheme="minorHAnsi" w:cstheme="minorBidi"/>
          <w:snapToGrid/>
          <w:sz w:val="24"/>
          <w:szCs w:val="22"/>
        </w:rPr>
        <w:t xml:space="preserve"> </w:t>
      </w:r>
      <w:r w:rsidR="008B2231" w:rsidRPr="00915B58">
        <w:rPr>
          <w:rFonts w:asciiTheme="minorHAnsi" w:eastAsiaTheme="minorHAnsi" w:hAnsiTheme="minorHAnsi" w:cstheme="minorBidi"/>
          <w:snapToGrid/>
          <w:sz w:val="24"/>
          <w:szCs w:val="22"/>
        </w:rPr>
        <w:t>i</w:t>
      </w:r>
      <w:r w:rsidRPr="00915B58">
        <w:rPr>
          <w:rFonts w:asciiTheme="minorHAnsi" w:eastAsiaTheme="minorHAnsi" w:hAnsiTheme="minorHAnsi" w:cstheme="minorBidi"/>
          <w:snapToGrid/>
          <w:sz w:val="24"/>
          <w:szCs w:val="22"/>
        </w:rPr>
        <w:t>s provided in the table below.</w:t>
      </w:r>
    </w:p>
    <w:p w:rsidR="00891F69" w:rsidRPr="00915B58" w:rsidRDefault="00891F69" w:rsidP="006C12CE">
      <w:pPr>
        <w:pStyle w:val="TableHeading0"/>
        <w:keepNext w:val="0"/>
        <w:widowControl w:val="0"/>
      </w:pPr>
      <w:r w:rsidRPr="00915B58">
        <w:t xml:space="preserve">Table </w:t>
      </w:r>
      <w:r w:rsidR="005973EE" w:rsidRPr="00915B58">
        <w:t>1</w:t>
      </w:r>
      <w:r w:rsidRPr="00915B58">
        <w:t xml:space="preserve">: </w:t>
      </w:r>
      <w:r w:rsidR="00906641" w:rsidRPr="00915B58">
        <w:t xml:space="preserve">Matters of outstanding concern </w:t>
      </w:r>
      <w:r w:rsidR="00E960F7" w:rsidRPr="00915B58">
        <w:t xml:space="preserve">to the PBAC </w:t>
      </w:r>
      <w:r w:rsidR="00906641" w:rsidRPr="00915B58">
        <w:t xml:space="preserve">and how they have been addressed in the minor </w:t>
      </w:r>
      <w:r w:rsidR="008026BF" w:rsidRPr="00915B58">
        <w:t>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4659"/>
      </w:tblGrid>
      <w:tr w:rsidR="00891F69" w:rsidRPr="00915B58" w:rsidTr="006C12CE">
        <w:trPr>
          <w:trHeight w:val="240"/>
          <w:tblHeader/>
        </w:trPr>
        <w:tc>
          <w:tcPr>
            <w:tcW w:w="4423" w:type="dxa"/>
            <w:shd w:val="clear" w:color="auto" w:fill="auto"/>
          </w:tcPr>
          <w:p w:rsidR="00891F69" w:rsidRPr="00915B58" w:rsidRDefault="00891F69" w:rsidP="006C12CE">
            <w:pPr>
              <w:widowControl w:val="0"/>
              <w:spacing w:after="60"/>
              <w:jc w:val="center"/>
              <w:rPr>
                <w:rFonts w:ascii="Arial Narrow" w:hAnsi="Arial Narrow"/>
                <w:b/>
                <w:sz w:val="20"/>
                <w:szCs w:val="20"/>
              </w:rPr>
            </w:pPr>
            <w:r w:rsidRPr="00915B58">
              <w:rPr>
                <w:rFonts w:ascii="Arial Narrow" w:hAnsi="Arial Narrow"/>
                <w:b/>
                <w:sz w:val="20"/>
                <w:szCs w:val="20"/>
              </w:rPr>
              <w:t>Matters of outstanding concern at November 2017 consideration</w:t>
            </w:r>
          </w:p>
        </w:tc>
        <w:tc>
          <w:tcPr>
            <w:tcW w:w="4659" w:type="dxa"/>
            <w:shd w:val="clear" w:color="auto" w:fill="auto"/>
          </w:tcPr>
          <w:p w:rsidR="00891F69" w:rsidRPr="00915B58" w:rsidRDefault="00891F69" w:rsidP="006C12CE">
            <w:pPr>
              <w:widowControl w:val="0"/>
              <w:spacing w:after="60"/>
              <w:jc w:val="center"/>
              <w:rPr>
                <w:rFonts w:ascii="Arial Narrow" w:hAnsi="Arial Narrow"/>
                <w:b/>
                <w:sz w:val="20"/>
                <w:szCs w:val="20"/>
              </w:rPr>
            </w:pPr>
            <w:r w:rsidRPr="00915B58">
              <w:rPr>
                <w:rFonts w:ascii="Arial Narrow" w:hAnsi="Arial Narrow"/>
                <w:b/>
                <w:sz w:val="20"/>
                <w:szCs w:val="20"/>
              </w:rPr>
              <w:t>Response in minor resubmission</w:t>
            </w:r>
          </w:p>
        </w:tc>
      </w:tr>
      <w:tr w:rsidR="00DD3474" w:rsidRPr="00915B58" w:rsidTr="006C12CE">
        <w:trPr>
          <w:trHeight w:val="788"/>
        </w:trPr>
        <w:tc>
          <w:tcPr>
            <w:tcW w:w="4423" w:type="dxa"/>
            <w:shd w:val="clear" w:color="auto" w:fill="auto"/>
          </w:tcPr>
          <w:p w:rsidR="00DD3474" w:rsidRPr="00915B58" w:rsidRDefault="00DD3474" w:rsidP="006C12CE">
            <w:pPr>
              <w:widowControl w:val="0"/>
              <w:spacing w:after="60"/>
              <w:rPr>
                <w:rFonts w:ascii="Arial Narrow" w:hAnsi="Arial Narrow"/>
                <w:sz w:val="20"/>
                <w:szCs w:val="20"/>
              </w:rPr>
            </w:pPr>
            <w:r w:rsidRPr="00915B58">
              <w:rPr>
                <w:rFonts w:ascii="Arial Narrow" w:hAnsi="Arial Narrow"/>
                <w:sz w:val="20"/>
                <w:szCs w:val="20"/>
              </w:rPr>
              <w:t>‘…a high and overoptimistic estimated incremental cost effectiveness ratio at the price proposed by the submission.’</w:t>
            </w:r>
          </w:p>
          <w:p w:rsidR="00DD3474" w:rsidRPr="00915B58" w:rsidRDefault="00DD3474" w:rsidP="00B72BBB">
            <w:pPr>
              <w:widowControl w:val="0"/>
              <w:spacing w:after="60"/>
              <w:rPr>
                <w:rFonts w:ascii="Arial Narrow" w:hAnsi="Arial Narrow"/>
                <w:sz w:val="20"/>
                <w:szCs w:val="20"/>
              </w:rPr>
            </w:pPr>
            <w:r w:rsidRPr="00915B58">
              <w:rPr>
                <w:rFonts w:ascii="Arial Narrow" w:hAnsi="Arial Narrow"/>
                <w:sz w:val="20"/>
                <w:szCs w:val="20"/>
              </w:rPr>
              <w:t xml:space="preserve">(paragraph 7.1,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DD3474" w:rsidRPr="00915B58" w:rsidRDefault="00DD3474" w:rsidP="006C12CE">
            <w:pPr>
              <w:widowControl w:val="0"/>
              <w:spacing w:after="60"/>
              <w:rPr>
                <w:rFonts w:ascii="Arial Narrow" w:hAnsi="Arial Narrow"/>
                <w:sz w:val="20"/>
                <w:szCs w:val="20"/>
              </w:rPr>
            </w:pPr>
            <w:r w:rsidRPr="00915B58">
              <w:rPr>
                <w:rFonts w:ascii="Arial Narrow" w:hAnsi="Arial Narrow"/>
                <w:sz w:val="20"/>
                <w:szCs w:val="20"/>
              </w:rPr>
              <w:t>Revised effective price of $</w:t>
            </w:r>
            <w:r w:rsidR="007B0774">
              <w:rPr>
                <w:rFonts w:ascii="Arial Narrow" w:hAnsi="Arial Narrow"/>
                <w:noProof/>
                <w:color w:val="000000"/>
                <w:sz w:val="20"/>
                <w:szCs w:val="20"/>
                <w:highlight w:val="black"/>
              </w:rPr>
              <w:t>'''''''''</w:t>
            </w:r>
            <w:r w:rsidRPr="00915B58">
              <w:rPr>
                <w:rFonts w:ascii="Arial Narrow" w:hAnsi="Arial Narrow"/>
                <w:sz w:val="20"/>
                <w:szCs w:val="20"/>
              </w:rPr>
              <w:t>/100</w:t>
            </w:r>
            <w:r w:rsidR="00E960F7" w:rsidRPr="00915B58">
              <w:rPr>
                <w:rFonts w:ascii="Arial Narrow" w:hAnsi="Arial Narrow"/>
                <w:sz w:val="20"/>
                <w:szCs w:val="20"/>
              </w:rPr>
              <w:t> </w:t>
            </w:r>
            <w:r w:rsidRPr="00915B58">
              <w:rPr>
                <w:rFonts w:ascii="Arial Narrow" w:hAnsi="Arial Narrow"/>
                <w:sz w:val="20"/>
                <w:szCs w:val="20"/>
              </w:rPr>
              <w:t>mg vi</w:t>
            </w:r>
            <w:r w:rsidR="00E960F7" w:rsidRPr="00915B58">
              <w:rPr>
                <w:rFonts w:ascii="Arial Narrow" w:hAnsi="Arial Narrow"/>
                <w:sz w:val="20"/>
                <w:szCs w:val="20"/>
              </w:rPr>
              <w:t xml:space="preserve">al reflecting a </w:t>
            </w:r>
            <w:r w:rsidR="007B0774">
              <w:rPr>
                <w:rFonts w:ascii="Arial Narrow" w:hAnsi="Arial Narrow"/>
                <w:noProof/>
                <w:color w:val="000000"/>
                <w:sz w:val="20"/>
                <w:szCs w:val="20"/>
                <w:highlight w:val="black"/>
              </w:rPr>
              <w:t>''''''''''''</w:t>
            </w:r>
            <w:r w:rsidR="00E960F7" w:rsidRPr="00915B58">
              <w:rPr>
                <w:rFonts w:ascii="Arial Narrow" w:hAnsi="Arial Narrow"/>
                <w:sz w:val="20"/>
                <w:szCs w:val="20"/>
              </w:rPr>
              <w:t>% reduction</w:t>
            </w:r>
          </w:p>
        </w:tc>
      </w:tr>
      <w:tr w:rsidR="00891F69" w:rsidRPr="00915B58" w:rsidTr="006C12CE">
        <w:trPr>
          <w:trHeight w:val="788"/>
        </w:trPr>
        <w:tc>
          <w:tcPr>
            <w:tcW w:w="4423" w:type="dxa"/>
            <w:shd w:val="clear" w:color="auto" w:fill="auto"/>
          </w:tcPr>
          <w:p w:rsidR="00891F69" w:rsidRPr="00915B58" w:rsidRDefault="00891F69" w:rsidP="006C12CE">
            <w:pPr>
              <w:widowControl w:val="0"/>
              <w:spacing w:after="60"/>
              <w:rPr>
                <w:rFonts w:ascii="Arial Narrow" w:hAnsi="Arial Narrow"/>
                <w:sz w:val="20"/>
                <w:szCs w:val="20"/>
              </w:rPr>
            </w:pPr>
            <w:r w:rsidRPr="00915B58">
              <w:rPr>
                <w:rFonts w:ascii="Arial Narrow" w:hAnsi="Arial Narrow"/>
                <w:sz w:val="20"/>
                <w:szCs w:val="20"/>
              </w:rPr>
              <w:t>‘</w:t>
            </w:r>
            <w:r w:rsidR="00F036B5" w:rsidRPr="00915B58">
              <w:rPr>
                <w:rFonts w:ascii="Arial Narrow" w:hAnsi="Arial Narrow"/>
                <w:sz w:val="20"/>
                <w:szCs w:val="20"/>
              </w:rPr>
              <w:t>...</w:t>
            </w:r>
            <w:r w:rsidRPr="00915B58">
              <w:rPr>
                <w:rFonts w:ascii="Arial Narrow" w:hAnsi="Arial Narrow"/>
                <w:sz w:val="20"/>
                <w:szCs w:val="20"/>
              </w:rPr>
              <w:t>the PBAC agreed with ESC, and advised that the applicability of the results to the Australian setting remained uncertain. The PBAC remained particularly uncertain about the consequence of replacing cetuximab with capecitabine as a comparator on the incremental effectiveness of nivolumab</w:t>
            </w:r>
            <w:r w:rsidR="00E960F7" w:rsidRPr="00915B58">
              <w:rPr>
                <w:rFonts w:ascii="Arial Narrow" w:hAnsi="Arial Narrow"/>
                <w:sz w:val="20"/>
                <w:szCs w:val="20"/>
              </w:rPr>
              <w:t>.</w:t>
            </w:r>
            <w:r w:rsidRPr="00915B58">
              <w:rPr>
                <w:rFonts w:ascii="Arial Narrow" w:hAnsi="Arial Narrow"/>
                <w:sz w:val="20"/>
                <w:szCs w:val="20"/>
              </w:rPr>
              <w:t>’</w:t>
            </w:r>
          </w:p>
          <w:p w:rsidR="00891F69" w:rsidRPr="00915B58" w:rsidRDefault="00891F69" w:rsidP="00B72BBB">
            <w:pPr>
              <w:widowControl w:val="0"/>
              <w:spacing w:after="60"/>
              <w:rPr>
                <w:rFonts w:ascii="Arial Narrow" w:hAnsi="Arial Narrow"/>
                <w:sz w:val="20"/>
                <w:szCs w:val="20"/>
              </w:rPr>
            </w:pPr>
            <w:r w:rsidRPr="00915B58">
              <w:rPr>
                <w:rFonts w:ascii="Arial Narrow" w:hAnsi="Arial Narrow"/>
                <w:sz w:val="20"/>
                <w:szCs w:val="20"/>
              </w:rPr>
              <w:t xml:space="preserve">(paragraph 7.4,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891F69" w:rsidRPr="00915B58" w:rsidDel="00F3738B" w:rsidRDefault="00891F69" w:rsidP="006C12CE">
            <w:pPr>
              <w:widowControl w:val="0"/>
              <w:spacing w:after="60"/>
              <w:rPr>
                <w:rFonts w:ascii="Arial Narrow" w:hAnsi="Arial Narrow"/>
                <w:sz w:val="20"/>
                <w:szCs w:val="20"/>
              </w:rPr>
            </w:pPr>
            <w:r w:rsidRPr="00915B58">
              <w:rPr>
                <w:rFonts w:ascii="Arial Narrow" w:hAnsi="Arial Narrow"/>
                <w:sz w:val="20"/>
                <w:szCs w:val="20"/>
              </w:rPr>
              <w:t>Comparators unchanged; disparity acknowledged</w:t>
            </w:r>
          </w:p>
        </w:tc>
      </w:tr>
      <w:tr w:rsidR="00F036B5" w:rsidRPr="00915B58" w:rsidTr="006C12CE">
        <w:trPr>
          <w:trHeight w:val="788"/>
        </w:trPr>
        <w:tc>
          <w:tcPr>
            <w:tcW w:w="4423" w:type="dxa"/>
            <w:shd w:val="clear" w:color="auto" w:fill="auto"/>
          </w:tcPr>
          <w:p w:rsidR="00F036B5" w:rsidRPr="00915B58" w:rsidRDefault="00A63600" w:rsidP="006C12CE">
            <w:pPr>
              <w:widowControl w:val="0"/>
              <w:spacing w:after="120"/>
              <w:jc w:val="both"/>
              <w:rPr>
                <w:rFonts w:ascii="Arial Narrow" w:hAnsi="Arial Narrow"/>
                <w:sz w:val="20"/>
                <w:szCs w:val="20"/>
              </w:rPr>
            </w:pPr>
            <w:r w:rsidRPr="00915B58">
              <w:rPr>
                <w:rFonts w:ascii="Arial Narrow" w:hAnsi="Arial Narrow"/>
                <w:sz w:val="20"/>
                <w:szCs w:val="20"/>
              </w:rPr>
              <w:t>‘</w:t>
            </w:r>
            <w:r w:rsidR="00F036B5" w:rsidRPr="00915B58">
              <w:rPr>
                <w:rFonts w:ascii="Arial Narrow" w:hAnsi="Arial Narrow"/>
                <w:sz w:val="20"/>
                <w:szCs w:val="20"/>
              </w:rPr>
              <w:t>The PBAC was concerned that the results of a subgroup analysis showed that OS HR (</w:t>
            </w:r>
            <w:r w:rsidR="007B0774">
              <w:rPr>
                <w:rFonts w:ascii="Arial Narrow" w:hAnsi="Arial Narrow"/>
                <w:noProof/>
                <w:color w:val="000000"/>
                <w:sz w:val="20"/>
                <w:szCs w:val="20"/>
                <w:highlight w:val="black"/>
              </w:rPr>
              <w:t>'''''''''''</w:t>
            </w:r>
            <w:r w:rsidR="00F036B5" w:rsidRPr="00915B58">
              <w:rPr>
                <w:rFonts w:ascii="Arial Narrow" w:hAnsi="Arial Narrow"/>
                <w:sz w:val="20"/>
                <w:szCs w:val="20"/>
              </w:rPr>
              <w:t xml:space="preserve"> (95% CI: </w:t>
            </w:r>
            <w:r w:rsidR="007B0774">
              <w:rPr>
                <w:rFonts w:ascii="Arial Narrow" w:hAnsi="Arial Narrow"/>
                <w:noProof/>
                <w:color w:val="000000"/>
                <w:sz w:val="20"/>
                <w:szCs w:val="20"/>
                <w:highlight w:val="black"/>
              </w:rPr>
              <w:t>''''''''''''' ''''''''''''</w:t>
            </w:r>
            <w:r w:rsidR="00F036B5" w:rsidRPr="00915B58">
              <w:rPr>
                <w:rFonts w:ascii="Arial Narrow" w:hAnsi="Arial Narrow"/>
                <w:sz w:val="20"/>
                <w:szCs w:val="20"/>
              </w:rPr>
              <w:t>)) was more favourable when nivolumab was compared to cetuximab, than to methotrexate or docetaxel, noting that this disparity in comparators contributed to uncertainty in estimating the magnitude of incremental clinical benefit derived with nivolumab in the Australian clinical setting</w:t>
            </w:r>
            <w:r w:rsidR="00E960F7" w:rsidRPr="00915B58">
              <w:rPr>
                <w:rFonts w:ascii="Arial Narrow" w:hAnsi="Arial Narrow"/>
                <w:sz w:val="20"/>
                <w:szCs w:val="20"/>
              </w:rPr>
              <w:t>.’</w:t>
            </w:r>
          </w:p>
          <w:p w:rsidR="00F036B5" w:rsidRPr="00915B58" w:rsidRDefault="00F036B5" w:rsidP="00B72BBB">
            <w:pPr>
              <w:widowControl w:val="0"/>
              <w:spacing w:after="60"/>
              <w:rPr>
                <w:rFonts w:ascii="Arial Narrow" w:hAnsi="Arial Narrow"/>
                <w:sz w:val="20"/>
                <w:szCs w:val="20"/>
              </w:rPr>
            </w:pPr>
            <w:r w:rsidRPr="00915B58">
              <w:rPr>
                <w:rFonts w:ascii="Arial Narrow" w:hAnsi="Arial Narrow"/>
                <w:sz w:val="20"/>
                <w:szCs w:val="20"/>
              </w:rPr>
              <w:t xml:space="preserve">(paragraph 7.6,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F036B5" w:rsidRPr="00915B58" w:rsidRDefault="00F036B5" w:rsidP="006C12CE">
            <w:pPr>
              <w:widowControl w:val="0"/>
              <w:spacing w:after="60"/>
              <w:rPr>
                <w:rFonts w:ascii="Arial Narrow" w:hAnsi="Arial Narrow"/>
                <w:sz w:val="20"/>
                <w:szCs w:val="20"/>
              </w:rPr>
            </w:pPr>
            <w:r w:rsidRPr="00915B58">
              <w:rPr>
                <w:rFonts w:ascii="Arial Narrow" w:hAnsi="Arial Narrow"/>
                <w:sz w:val="20"/>
                <w:szCs w:val="20"/>
              </w:rPr>
              <w:t>Not addressed</w:t>
            </w:r>
          </w:p>
        </w:tc>
      </w:tr>
      <w:tr w:rsidR="00F036B5" w:rsidRPr="00915B58" w:rsidTr="006C12CE">
        <w:trPr>
          <w:trHeight w:val="788"/>
        </w:trPr>
        <w:tc>
          <w:tcPr>
            <w:tcW w:w="4423" w:type="dxa"/>
            <w:shd w:val="clear" w:color="auto" w:fill="auto"/>
          </w:tcPr>
          <w:p w:rsidR="00F036B5" w:rsidRPr="00915B58" w:rsidRDefault="00A63600" w:rsidP="006C12CE">
            <w:pPr>
              <w:widowControl w:val="0"/>
              <w:spacing w:after="60"/>
              <w:rPr>
                <w:rFonts w:ascii="Arial Narrow" w:hAnsi="Arial Narrow"/>
                <w:sz w:val="20"/>
                <w:szCs w:val="20"/>
              </w:rPr>
            </w:pPr>
            <w:r w:rsidRPr="00915B58">
              <w:rPr>
                <w:rFonts w:ascii="Arial Narrow" w:hAnsi="Arial Narrow"/>
                <w:sz w:val="20"/>
                <w:szCs w:val="20"/>
              </w:rPr>
              <w:t>‘</w:t>
            </w:r>
            <w:r w:rsidR="00F036B5" w:rsidRPr="00915B58">
              <w:rPr>
                <w:rFonts w:ascii="Arial Narrow" w:hAnsi="Arial Narrow"/>
                <w:sz w:val="20"/>
                <w:szCs w:val="20"/>
              </w:rPr>
              <w:t>The PBAC was also concerned regarding the likely reduced effectiveness of nivolumab in the older</w:t>
            </w:r>
            <w:r w:rsidR="00E960F7" w:rsidRPr="00915B58">
              <w:rPr>
                <w:rFonts w:ascii="Arial Narrow" w:hAnsi="Arial Narrow"/>
                <w:sz w:val="20"/>
                <w:szCs w:val="20"/>
              </w:rPr>
              <w:t xml:space="preserve"> patient population (&gt;75 years.</w:t>
            </w:r>
            <w:r w:rsidR="00F036B5" w:rsidRPr="00915B58">
              <w:rPr>
                <w:rFonts w:ascii="Arial Narrow" w:hAnsi="Arial Narrow"/>
                <w:sz w:val="20"/>
                <w:szCs w:val="20"/>
              </w:rPr>
              <w:t>’</w:t>
            </w:r>
          </w:p>
          <w:p w:rsidR="00F036B5" w:rsidRPr="00915B58" w:rsidRDefault="00F036B5" w:rsidP="00B72BBB">
            <w:pPr>
              <w:widowControl w:val="0"/>
              <w:spacing w:after="60"/>
              <w:rPr>
                <w:rFonts w:ascii="Arial Narrow" w:hAnsi="Arial Narrow"/>
                <w:sz w:val="20"/>
                <w:szCs w:val="20"/>
              </w:rPr>
            </w:pPr>
            <w:r w:rsidRPr="00915B58">
              <w:rPr>
                <w:rFonts w:ascii="Arial Narrow" w:hAnsi="Arial Narrow"/>
                <w:sz w:val="20"/>
                <w:szCs w:val="20"/>
              </w:rPr>
              <w:t xml:space="preserve">(paragraph 7.7,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F036B5" w:rsidRPr="00915B58" w:rsidRDefault="00F036B5" w:rsidP="006C12CE">
            <w:pPr>
              <w:widowControl w:val="0"/>
              <w:spacing w:after="60"/>
              <w:rPr>
                <w:rFonts w:ascii="Arial Narrow" w:hAnsi="Arial Narrow"/>
                <w:sz w:val="20"/>
                <w:szCs w:val="20"/>
              </w:rPr>
            </w:pPr>
            <w:r w:rsidRPr="00915B58">
              <w:rPr>
                <w:rFonts w:ascii="Arial Narrow" w:hAnsi="Arial Narrow"/>
                <w:sz w:val="20"/>
                <w:szCs w:val="20"/>
              </w:rPr>
              <w:t>Not addressed</w:t>
            </w:r>
          </w:p>
        </w:tc>
      </w:tr>
      <w:tr w:rsidR="00891F69" w:rsidRPr="00915B58" w:rsidTr="006C12CE">
        <w:trPr>
          <w:trHeight w:val="788"/>
        </w:trPr>
        <w:tc>
          <w:tcPr>
            <w:tcW w:w="4423" w:type="dxa"/>
            <w:shd w:val="clear" w:color="auto" w:fill="auto"/>
          </w:tcPr>
          <w:p w:rsidR="00891F69" w:rsidRPr="00915B58" w:rsidRDefault="00E960F7" w:rsidP="006C12CE">
            <w:pPr>
              <w:widowControl w:val="0"/>
              <w:spacing w:after="60"/>
              <w:rPr>
                <w:rFonts w:ascii="Arial Narrow" w:hAnsi="Arial Narrow"/>
                <w:sz w:val="20"/>
                <w:szCs w:val="20"/>
              </w:rPr>
            </w:pPr>
            <w:r w:rsidRPr="00915B58">
              <w:rPr>
                <w:rFonts w:ascii="Arial Narrow" w:hAnsi="Arial Narrow"/>
                <w:sz w:val="20"/>
                <w:szCs w:val="20"/>
              </w:rPr>
              <w:t>‘</w:t>
            </w:r>
            <w:r w:rsidR="00F036B5" w:rsidRPr="00915B58">
              <w:rPr>
                <w:rFonts w:ascii="Arial Narrow" w:hAnsi="Arial Narrow"/>
                <w:sz w:val="20"/>
                <w:szCs w:val="20"/>
              </w:rPr>
              <w:t>…</w:t>
            </w:r>
            <w:r w:rsidR="00891F69" w:rsidRPr="00915B58">
              <w:rPr>
                <w:rFonts w:ascii="Arial Narrow" w:hAnsi="Arial Narrow"/>
                <w:sz w:val="20"/>
                <w:szCs w:val="20"/>
              </w:rPr>
              <w:t>any further evidence that may be available to demonstrate the comparative effectiveness of nivolumab in the proposed PBS population, to compensate for the disparity in comparator choice</w:t>
            </w:r>
            <w:r w:rsidR="00F036B5" w:rsidRPr="00915B58">
              <w:rPr>
                <w:rFonts w:ascii="Arial Narrow" w:hAnsi="Arial Narrow"/>
                <w:sz w:val="20"/>
                <w:szCs w:val="20"/>
              </w:rPr>
              <w:t>;</w:t>
            </w:r>
            <w:r w:rsidRPr="00915B58">
              <w:rPr>
                <w:rFonts w:ascii="Arial Narrow" w:hAnsi="Arial Narrow"/>
                <w:sz w:val="20"/>
                <w:szCs w:val="20"/>
              </w:rPr>
              <w:t>’</w:t>
            </w:r>
          </w:p>
          <w:p w:rsidR="00891F69" w:rsidRPr="00915B58" w:rsidRDefault="00891F69" w:rsidP="00B72BBB">
            <w:pPr>
              <w:widowControl w:val="0"/>
              <w:spacing w:after="60"/>
              <w:rPr>
                <w:rFonts w:ascii="Arial Narrow" w:hAnsi="Arial Narrow"/>
                <w:sz w:val="20"/>
                <w:szCs w:val="20"/>
              </w:rPr>
            </w:pPr>
            <w:r w:rsidRPr="00915B58">
              <w:rPr>
                <w:rFonts w:ascii="Arial Narrow" w:hAnsi="Arial Narrow"/>
                <w:sz w:val="20"/>
                <w:szCs w:val="20"/>
              </w:rPr>
              <w:t xml:space="preserve">(paragraph 7.19,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891F69" w:rsidRPr="00915B58" w:rsidRDefault="00891F69" w:rsidP="006C12CE">
            <w:pPr>
              <w:widowControl w:val="0"/>
              <w:spacing w:after="60"/>
              <w:rPr>
                <w:rFonts w:ascii="Arial Narrow" w:hAnsi="Arial Narrow"/>
                <w:sz w:val="20"/>
                <w:szCs w:val="20"/>
              </w:rPr>
            </w:pPr>
            <w:r w:rsidRPr="00915B58">
              <w:rPr>
                <w:rFonts w:ascii="Arial Narrow" w:hAnsi="Arial Narrow"/>
                <w:sz w:val="20"/>
                <w:szCs w:val="20"/>
              </w:rPr>
              <w:t>Not addressed</w:t>
            </w:r>
          </w:p>
        </w:tc>
      </w:tr>
      <w:tr w:rsidR="00891F69" w:rsidRPr="00915B58" w:rsidTr="006C12CE">
        <w:trPr>
          <w:trHeight w:val="489"/>
        </w:trPr>
        <w:tc>
          <w:tcPr>
            <w:tcW w:w="4423" w:type="dxa"/>
            <w:shd w:val="clear" w:color="auto" w:fill="auto"/>
          </w:tcPr>
          <w:p w:rsidR="00891F69" w:rsidRPr="00915B58" w:rsidRDefault="00F036B5" w:rsidP="006C12CE">
            <w:pPr>
              <w:widowControl w:val="0"/>
              <w:spacing w:after="60"/>
              <w:rPr>
                <w:rFonts w:ascii="Arial Narrow" w:hAnsi="Arial Narrow"/>
                <w:sz w:val="20"/>
                <w:szCs w:val="20"/>
              </w:rPr>
            </w:pPr>
            <w:r w:rsidRPr="00915B58">
              <w:rPr>
                <w:rFonts w:ascii="Arial Narrow" w:hAnsi="Arial Narrow"/>
                <w:sz w:val="20"/>
                <w:szCs w:val="20"/>
              </w:rPr>
              <w:t xml:space="preserve">‘...an updated economic model based on more realistic post-progression utilities in modelled arms, and either methods of extrapolation and estimates of nivolumab treatment duration which are less favourable to nivolumab, or which are based on more persuasive justifications of the log-logistic method of extrapolating OS and the </w:t>
            </w:r>
            <w:r w:rsidR="007B0774">
              <w:rPr>
                <w:rFonts w:ascii="Arial Narrow" w:hAnsi="Arial Narrow"/>
                <w:noProof/>
                <w:color w:val="000000"/>
                <w:sz w:val="20"/>
                <w:szCs w:val="20"/>
                <w:highlight w:val="black"/>
              </w:rPr>
              <w:t>'''''''''''</w:t>
            </w:r>
            <w:r w:rsidRPr="00915B58">
              <w:rPr>
                <w:rFonts w:ascii="Arial Narrow" w:hAnsi="Arial Narrow"/>
                <w:sz w:val="20"/>
                <w:szCs w:val="20"/>
              </w:rPr>
              <w:t>% increase in nivolumab treatment duration for the base case of the updated economic model;</w:t>
            </w:r>
            <w:r w:rsidR="00891F69" w:rsidRPr="00915B58">
              <w:rPr>
                <w:rFonts w:ascii="Arial Narrow" w:hAnsi="Arial Narrow"/>
                <w:sz w:val="20"/>
                <w:szCs w:val="20"/>
              </w:rPr>
              <w:t>’</w:t>
            </w:r>
          </w:p>
          <w:p w:rsidR="00891F69" w:rsidRPr="00915B58" w:rsidRDefault="00891F69" w:rsidP="00B72BBB">
            <w:pPr>
              <w:widowControl w:val="0"/>
              <w:spacing w:after="60"/>
              <w:rPr>
                <w:rFonts w:ascii="Arial Narrow" w:hAnsi="Arial Narrow"/>
                <w:sz w:val="20"/>
                <w:szCs w:val="20"/>
              </w:rPr>
            </w:pPr>
            <w:r w:rsidRPr="00915B58">
              <w:rPr>
                <w:rFonts w:ascii="Arial Narrow" w:hAnsi="Arial Narrow"/>
                <w:sz w:val="20"/>
                <w:szCs w:val="20"/>
              </w:rPr>
              <w:t xml:space="preserve">(paragraph 7.19,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F036B5" w:rsidRPr="00915B58" w:rsidRDefault="00F036B5" w:rsidP="006C12CE">
            <w:pPr>
              <w:pStyle w:val="ListParagraph"/>
              <w:numPr>
                <w:ilvl w:val="0"/>
                <w:numId w:val="22"/>
              </w:numPr>
              <w:spacing w:after="60"/>
              <w:ind w:left="255" w:hanging="141"/>
              <w:rPr>
                <w:rFonts w:ascii="Arial Narrow" w:hAnsi="Arial Narrow"/>
                <w:sz w:val="20"/>
              </w:rPr>
            </w:pPr>
            <w:r w:rsidRPr="00915B58">
              <w:rPr>
                <w:rFonts w:ascii="Arial Narrow" w:hAnsi="Arial Narrow"/>
                <w:sz w:val="20"/>
              </w:rPr>
              <w:t>“Modified” utility values were applied to the ‘Alive Following Progression’ health state using treatment specific utilities observed in Study CA209141 for the within trial period, and then equal utility values (</w:t>
            </w:r>
            <w:r w:rsidR="007B0774">
              <w:rPr>
                <w:rFonts w:ascii="Arial Narrow" w:hAnsi="Arial Narrow"/>
                <w:noProof/>
                <w:color w:val="000000"/>
                <w:sz w:val="20"/>
                <w:highlight w:val="black"/>
              </w:rPr>
              <w:t>'''''''''''''''</w:t>
            </w:r>
            <w:r w:rsidRPr="00915B58">
              <w:rPr>
                <w:rFonts w:ascii="Arial Narrow" w:hAnsi="Arial Narrow"/>
                <w:sz w:val="20"/>
              </w:rPr>
              <w:t>) appl</w:t>
            </w:r>
            <w:r w:rsidR="00E960F7" w:rsidRPr="00915B58">
              <w:rPr>
                <w:rFonts w:ascii="Arial Narrow" w:hAnsi="Arial Narrow"/>
                <w:sz w:val="20"/>
              </w:rPr>
              <w:t>ied for the extrapolated period</w:t>
            </w:r>
          </w:p>
          <w:p w:rsidR="00891F69" w:rsidRPr="00915B58" w:rsidRDefault="00F036B5" w:rsidP="006C12CE">
            <w:pPr>
              <w:pStyle w:val="ListParagraph"/>
              <w:numPr>
                <w:ilvl w:val="0"/>
                <w:numId w:val="22"/>
              </w:numPr>
              <w:spacing w:after="60"/>
              <w:ind w:left="255" w:hanging="141"/>
              <w:rPr>
                <w:rFonts w:ascii="Arial Narrow" w:hAnsi="Arial Narrow"/>
                <w:sz w:val="20"/>
              </w:rPr>
            </w:pPr>
            <w:r w:rsidRPr="00915B58">
              <w:rPr>
                <w:rFonts w:ascii="Arial Narrow" w:hAnsi="Arial Narrow"/>
                <w:sz w:val="20"/>
              </w:rPr>
              <w:t>Method of extrapolation u</w:t>
            </w:r>
            <w:r w:rsidR="00CA07C1" w:rsidRPr="00915B58">
              <w:rPr>
                <w:rFonts w:ascii="Arial Narrow" w:hAnsi="Arial Narrow"/>
                <w:sz w:val="20"/>
              </w:rPr>
              <w:t>nchanged (i.e. log-logistic);</w:t>
            </w:r>
            <w:r w:rsidR="00B5106D" w:rsidRPr="00915B58">
              <w:rPr>
                <w:rFonts w:ascii="Arial Narrow" w:hAnsi="Arial Narrow"/>
                <w:sz w:val="20"/>
              </w:rPr>
              <w:t xml:space="preserve"> </w:t>
            </w:r>
            <w:r w:rsidR="009E3BDD" w:rsidRPr="00915B58">
              <w:rPr>
                <w:rFonts w:ascii="Arial Narrow" w:hAnsi="Arial Narrow"/>
                <w:sz w:val="20"/>
              </w:rPr>
              <w:t xml:space="preserve">the </w:t>
            </w:r>
            <w:r w:rsidR="00A44841" w:rsidRPr="00915B58">
              <w:rPr>
                <w:rFonts w:ascii="Arial Narrow" w:hAnsi="Arial Narrow"/>
                <w:sz w:val="20"/>
              </w:rPr>
              <w:t>j</w:t>
            </w:r>
            <w:r w:rsidR="00B5106D" w:rsidRPr="00915B58">
              <w:rPr>
                <w:rFonts w:ascii="Arial Narrow" w:hAnsi="Arial Narrow"/>
                <w:sz w:val="20"/>
              </w:rPr>
              <w:t xml:space="preserve">ustification </w:t>
            </w:r>
            <w:r w:rsidR="009E3BDD" w:rsidRPr="00915B58">
              <w:rPr>
                <w:rFonts w:ascii="Arial Narrow" w:hAnsi="Arial Narrow"/>
                <w:sz w:val="20"/>
              </w:rPr>
              <w:t xml:space="preserve">provided </w:t>
            </w:r>
            <w:r w:rsidR="00B5106D" w:rsidRPr="00915B58">
              <w:rPr>
                <w:rFonts w:ascii="Arial Narrow" w:hAnsi="Arial Narrow"/>
                <w:sz w:val="20"/>
              </w:rPr>
              <w:t xml:space="preserve">centred on </w:t>
            </w:r>
            <w:r w:rsidR="00292871" w:rsidRPr="00915B58">
              <w:rPr>
                <w:rFonts w:ascii="Arial Narrow" w:hAnsi="Arial Narrow"/>
                <w:sz w:val="20"/>
              </w:rPr>
              <w:t xml:space="preserve">comparison with proposed </w:t>
            </w:r>
            <w:r w:rsidR="00B5106D" w:rsidRPr="00915B58">
              <w:rPr>
                <w:rFonts w:ascii="Arial Narrow" w:hAnsi="Arial Narrow"/>
                <w:sz w:val="20"/>
              </w:rPr>
              <w:t xml:space="preserve">trends in long-term OS </w:t>
            </w:r>
            <w:r w:rsidR="00292871" w:rsidRPr="00915B58">
              <w:rPr>
                <w:rFonts w:ascii="Arial Narrow" w:hAnsi="Arial Narrow"/>
                <w:sz w:val="20"/>
              </w:rPr>
              <w:t>from</w:t>
            </w:r>
            <w:r w:rsidR="00B5106D" w:rsidRPr="00915B58">
              <w:rPr>
                <w:rFonts w:ascii="Arial Narrow" w:hAnsi="Arial Narrow"/>
                <w:sz w:val="20"/>
              </w:rPr>
              <w:t xml:space="preserve"> other immunotherapies</w:t>
            </w:r>
            <w:r w:rsidR="00292871" w:rsidRPr="00915B58">
              <w:rPr>
                <w:rFonts w:ascii="Arial Narrow" w:hAnsi="Arial Narrow"/>
                <w:sz w:val="20"/>
              </w:rPr>
              <w:t>,</w:t>
            </w:r>
            <w:r w:rsidR="00B5106D" w:rsidRPr="00915B58">
              <w:rPr>
                <w:rFonts w:ascii="Arial Narrow" w:hAnsi="Arial Narrow"/>
                <w:sz w:val="20"/>
              </w:rPr>
              <w:t xml:space="preserve"> and mathematical properties of the model</w:t>
            </w:r>
          </w:p>
          <w:p w:rsidR="00F036B5" w:rsidRPr="00915B58" w:rsidRDefault="007B0774" w:rsidP="006C12CE">
            <w:pPr>
              <w:pStyle w:val="ListParagraph"/>
              <w:numPr>
                <w:ilvl w:val="0"/>
                <w:numId w:val="22"/>
              </w:numPr>
              <w:spacing w:after="60"/>
              <w:ind w:left="255" w:hanging="141"/>
              <w:rPr>
                <w:rFonts w:ascii="Arial Narrow" w:hAnsi="Arial Narrow"/>
                <w:sz w:val="20"/>
              </w:rPr>
            </w:pPr>
            <w:r>
              <w:rPr>
                <w:rFonts w:ascii="Arial Narrow" w:hAnsi="Arial Narrow"/>
                <w:noProof/>
                <w:color w:val="000000"/>
                <w:sz w:val="20"/>
                <w:highlight w:val="black"/>
              </w:rPr>
              <w:t>'''''''''''</w:t>
            </w:r>
            <w:r w:rsidR="00F036B5" w:rsidRPr="00915B58">
              <w:rPr>
                <w:rFonts w:ascii="Arial Narrow" w:hAnsi="Arial Narrow"/>
                <w:sz w:val="20"/>
              </w:rPr>
              <w:t>% increase in nivolumab treatment duration</w:t>
            </w:r>
            <w:r w:rsidR="003C57C6" w:rsidRPr="00915B58">
              <w:rPr>
                <w:rFonts w:ascii="Arial Narrow" w:hAnsi="Arial Narrow"/>
                <w:sz w:val="20"/>
              </w:rPr>
              <w:t>;</w:t>
            </w:r>
            <w:r w:rsidR="005803BC" w:rsidRPr="00915B58">
              <w:rPr>
                <w:rFonts w:ascii="Arial Narrow" w:hAnsi="Arial Narrow"/>
                <w:sz w:val="20"/>
              </w:rPr>
              <w:t xml:space="preserve"> </w:t>
            </w:r>
            <w:r w:rsidR="00927B32" w:rsidRPr="00915B58">
              <w:rPr>
                <w:rFonts w:ascii="Arial Narrow" w:hAnsi="Arial Narrow"/>
                <w:sz w:val="20"/>
              </w:rPr>
              <w:t xml:space="preserve">which was stated to be </w:t>
            </w:r>
            <w:r w:rsidR="005803BC" w:rsidRPr="00915B58">
              <w:rPr>
                <w:rFonts w:ascii="Arial Narrow" w:hAnsi="Arial Narrow"/>
                <w:sz w:val="20"/>
              </w:rPr>
              <w:t>based on the mean number of additional infusions received by patients treated beyond progression</w:t>
            </w:r>
          </w:p>
        </w:tc>
      </w:tr>
      <w:tr w:rsidR="00891F69" w:rsidRPr="00915B58" w:rsidTr="006C12CE">
        <w:trPr>
          <w:trHeight w:val="487"/>
        </w:trPr>
        <w:tc>
          <w:tcPr>
            <w:tcW w:w="4423" w:type="dxa"/>
            <w:shd w:val="clear" w:color="auto" w:fill="auto"/>
          </w:tcPr>
          <w:p w:rsidR="00F036B5" w:rsidRPr="00915B58" w:rsidRDefault="00F036B5" w:rsidP="006C12CE">
            <w:pPr>
              <w:widowControl w:val="0"/>
              <w:spacing w:after="60"/>
              <w:rPr>
                <w:rFonts w:ascii="Arial Narrow" w:hAnsi="Arial Narrow"/>
                <w:sz w:val="20"/>
                <w:szCs w:val="20"/>
              </w:rPr>
            </w:pPr>
            <w:r w:rsidRPr="00915B58">
              <w:rPr>
                <w:rFonts w:ascii="Arial Narrow" w:hAnsi="Arial Narrow"/>
                <w:sz w:val="20"/>
                <w:szCs w:val="20"/>
              </w:rPr>
              <w:t xml:space="preserve">‘...a base case ICER of </w:t>
            </w:r>
            <w:r w:rsidR="007B0774">
              <w:rPr>
                <w:rFonts w:ascii="Arial Narrow" w:hAnsi="Arial Narrow"/>
                <w:noProof/>
                <w:color w:val="000000"/>
                <w:sz w:val="20"/>
                <w:szCs w:val="20"/>
                <w:highlight w:val="black"/>
              </w:rPr>
              <w:t>''''''''''''''''''''''''</w:t>
            </w:r>
            <w:r w:rsidRPr="00915B58">
              <w:rPr>
                <w:rFonts w:ascii="Arial Narrow" w:hAnsi="Arial Narrow"/>
                <w:sz w:val="20"/>
                <w:szCs w:val="20"/>
              </w:rPr>
              <w:t>/QALY, which the PBAC considered would be a relevant incremental cost-effectiveness target to account for the current context given the uncertainties from the clinical evidence in estimating the extent to which nivolumab would address the unmet clinical need in Australian patients and also in the economic model;’</w:t>
            </w:r>
          </w:p>
          <w:p w:rsidR="00891F69" w:rsidRPr="00915B58" w:rsidRDefault="00891F69" w:rsidP="00B72BBB">
            <w:pPr>
              <w:widowControl w:val="0"/>
              <w:spacing w:after="60"/>
              <w:rPr>
                <w:rFonts w:ascii="Arial Narrow" w:hAnsi="Arial Narrow"/>
                <w:sz w:val="20"/>
                <w:szCs w:val="20"/>
              </w:rPr>
            </w:pPr>
            <w:r w:rsidRPr="00915B58">
              <w:rPr>
                <w:rFonts w:ascii="Arial Narrow" w:hAnsi="Arial Narrow"/>
                <w:sz w:val="20"/>
                <w:szCs w:val="20"/>
              </w:rPr>
              <w:t xml:space="preserve">(paragraph 7.19,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891F69" w:rsidRPr="00915B58" w:rsidRDefault="00F036B5" w:rsidP="006C12CE">
            <w:pPr>
              <w:widowControl w:val="0"/>
              <w:spacing w:after="60"/>
              <w:rPr>
                <w:rFonts w:ascii="Arial Narrow" w:hAnsi="Arial Narrow"/>
                <w:sz w:val="20"/>
                <w:szCs w:val="20"/>
              </w:rPr>
            </w:pPr>
            <w:r w:rsidRPr="00915B58">
              <w:rPr>
                <w:rFonts w:ascii="Arial Narrow" w:hAnsi="Arial Narrow"/>
                <w:sz w:val="20"/>
                <w:szCs w:val="20"/>
              </w:rPr>
              <w:t>Revised base case ICER = $</w:t>
            </w:r>
            <w:r w:rsidR="007B0774">
              <w:rPr>
                <w:rFonts w:ascii="Arial Narrow" w:hAnsi="Arial Narrow"/>
                <w:noProof/>
                <w:color w:val="000000"/>
                <w:sz w:val="20"/>
                <w:szCs w:val="20"/>
                <w:highlight w:val="black"/>
              </w:rPr>
              <w:t>'''''''''''''''</w:t>
            </w:r>
            <w:r w:rsidRPr="00915B58">
              <w:rPr>
                <w:rFonts w:ascii="Arial Narrow" w:hAnsi="Arial Narrow"/>
                <w:sz w:val="20"/>
                <w:szCs w:val="20"/>
              </w:rPr>
              <w:t>/QALY</w:t>
            </w:r>
            <w:r w:rsidR="00A44841" w:rsidRPr="00915B58">
              <w:rPr>
                <w:rFonts w:ascii="Arial Narrow" w:hAnsi="Arial Narrow"/>
                <w:sz w:val="20"/>
                <w:szCs w:val="20"/>
              </w:rPr>
              <w:t xml:space="preserve">; </w:t>
            </w:r>
            <w:r w:rsidR="00927B32" w:rsidRPr="00915B58">
              <w:rPr>
                <w:rFonts w:ascii="Arial Narrow" w:hAnsi="Arial Narrow"/>
                <w:sz w:val="20"/>
                <w:szCs w:val="20"/>
              </w:rPr>
              <w:t xml:space="preserve">which was </w:t>
            </w:r>
            <w:r w:rsidR="009E3BDD" w:rsidRPr="00915B58">
              <w:rPr>
                <w:rFonts w:ascii="Arial Narrow" w:hAnsi="Arial Narrow"/>
                <w:sz w:val="20"/>
                <w:szCs w:val="20"/>
              </w:rPr>
              <w:t xml:space="preserve">stated </w:t>
            </w:r>
            <w:r w:rsidR="00927B32" w:rsidRPr="00915B58">
              <w:rPr>
                <w:rFonts w:ascii="Arial Narrow" w:hAnsi="Arial Narrow"/>
                <w:sz w:val="20"/>
                <w:szCs w:val="20"/>
              </w:rPr>
              <w:t xml:space="preserve">to be based on </w:t>
            </w:r>
            <w:r w:rsidR="00A44841" w:rsidRPr="00915B58">
              <w:rPr>
                <w:rFonts w:ascii="Arial Narrow" w:hAnsi="Arial Narrow"/>
                <w:sz w:val="20"/>
                <w:szCs w:val="20"/>
              </w:rPr>
              <w:t xml:space="preserve">the lowest effective price available from </w:t>
            </w:r>
            <w:r w:rsidR="00082FBC" w:rsidRPr="00915B58">
              <w:rPr>
                <w:rFonts w:ascii="Arial Narrow" w:hAnsi="Arial Narrow"/>
                <w:sz w:val="20"/>
                <w:szCs w:val="20"/>
              </w:rPr>
              <w:t>the</w:t>
            </w:r>
            <w:r w:rsidR="00927B32" w:rsidRPr="00915B58">
              <w:rPr>
                <w:rFonts w:ascii="Arial Narrow" w:hAnsi="Arial Narrow"/>
                <w:sz w:val="20"/>
                <w:szCs w:val="20"/>
              </w:rPr>
              <w:t xml:space="preserve"> sponsor’s </w:t>
            </w:r>
            <w:r w:rsidR="00A44841" w:rsidRPr="00915B58">
              <w:rPr>
                <w:rFonts w:ascii="Arial Narrow" w:hAnsi="Arial Narrow"/>
                <w:sz w:val="20"/>
                <w:szCs w:val="20"/>
              </w:rPr>
              <w:t>global partner</w:t>
            </w:r>
          </w:p>
        </w:tc>
      </w:tr>
      <w:tr w:rsidR="00891F69" w:rsidRPr="00915B58" w:rsidTr="006C12CE">
        <w:trPr>
          <w:trHeight w:val="772"/>
        </w:trPr>
        <w:tc>
          <w:tcPr>
            <w:tcW w:w="4423" w:type="dxa"/>
            <w:shd w:val="clear" w:color="auto" w:fill="auto"/>
          </w:tcPr>
          <w:p w:rsidR="00906641" w:rsidRPr="00915B58" w:rsidRDefault="00CA07C1" w:rsidP="006C12CE">
            <w:pPr>
              <w:widowControl w:val="0"/>
              <w:spacing w:after="60"/>
              <w:rPr>
                <w:rFonts w:ascii="Arial Narrow" w:hAnsi="Arial Narrow"/>
                <w:sz w:val="20"/>
                <w:szCs w:val="20"/>
              </w:rPr>
            </w:pPr>
            <w:r w:rsidRPr="00915B58">
              <w:rPr>
                <w:rFonts w:ascii="Arial Narrow" w:hAnsi="Arial Narrow"/>
                <w:sz w:val="20"/>
                <w:szCs w:val="20"/>
              </w:rPr>
              <w:t>‘</w:t>
            </w:r>
            <w:r w:rsidR="00906641" w:rsidRPr="00915B58">
              <w:rPr>
                <w:rFonts w:ascii="Arial Narrow" w:hAnsi="Arial Narrow"/>
                <w:sz w:val="20"/>
                <w:szCs w:val="20"/>
              </w:rPr>
              <w:t xml:space="preserve">The PBAC considered that the estimated financial cost to the PBS was high, and that there were significant uncertainties in the financial estimates presented in the submission, noting the concerns raised by DUSC regarding potential (i) overestimation of the eligible patient population; (ii) overestimation of the uptake rate; (iii) underestimation of the treatment duration due to risk of post-progression treatment; and (iv) underestimation of the </w:t>
            </w:r>
            <w:r w:rsidR="00E960F7" w:rsidRPr="00915B58">
              <w:rPr>
                <w:rFonts w:ascii="Arial Narrow" w:hAnsi="Arial Narrow"/>
                <w:sz w:val="20"/>
                <w:szCs w:val="20"/>
              </w:rPr>
              <w:t>average Australian body weight.</w:t>
            </w:r>
            <w:r w:rsidRPr="00915B58">
              <w:rPr>
                <w:rFonts w:ascii="Arial Narrow" w:hAnsi="Arial Narrow"/>
                <w:sz w:val="20"/>
                <w:szCs w:val="20"/>
              </w:rPr>
              <w:t>’</w:t>
            </w:r>
          </w:p>
          <w:p w:rsidR="00891F69" w:rsidRPr="00915B58" w:rsidRDefault="00891F69" w:rsidP="00B72BBB">
            <w:pPr>
              <w:widowControl w:val="0"/>
              <w:spacing w:after="60"/>
              <w:rPr>
                <w:rFonts w:ascii="Arial Narrow" w:hAnsi="Arial Narrow"/>
                <w:sz w:val="20"/>
                <w:szCs w:val="20"/>
              </w:rPr>
            </w:pPr>
            <w:r w:rsidRPr="00915B58">
              <w:rPr>
                <w:rFonts w:ascii="Arial Narrow" w:hAnsi="Arial Narrow"/>
                <w:sz w:val="20"/>
                <w:szCs w:val="20"/>
              </w:rPr>
              <w:t>(paragraph 7.1</w:t>
            </w:r>
            <w:r w:rsidR="00906641" w:rsidRPr="00915B58">
              <w:rPr>
                <w:rFonts w:ascii="Arial Narrow" w:hAnsi="Arial Narrow"/>
                <w:sz w:val="20"/>
                <w:szCs w:val="20"/>
              </w:rPr>
              <w:t>8</w:t>
            </w:r>
            <w:r w:rsidRPr="00915B58">
              <w:rPr>
                <w:rFonts w:ascii="Arial Narrow" w:hAnsi="Arial Narrow"/>
                <w:sz w:val="20"/>
                <w:szCs w:val="20"/>
              </w:rPr>
              <w:t xml:space="preserve">,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891F69" w:rsidRPr="00915B58" w:rsidRDefault="007B0774" w:rsidP="006C12CE">
            <w:pPr>
              <w:widowControl w:val="0"/>
              <w:spacing w:after="60"/>
              <w:rPr>
                <w:rFonts w:ascii="Arial Narrow" w:hAnsi="Arial Narrow"/>
                <w:sz w:val="20"/>
                <w:szCs w:val="20"/>
              </w:rPr>
            </w:pPr>
            <w:r>
              <w:rPr>
                <w:rFonts w:ascii="Arial Narrow" w:hAnsi="Arial Narrow"/>
                <w:noProof/>
                <w:color w:val="000000"/>
                <w:sz w:val="20"/>
                <w:szCs w:val="20"/>
                <w:highlight w:val="black"/>
              </w:rPr>
              <w:t>''''''</w:t>
            </w:r>
            <w:r w:rsidR="00906641" w:rsidRPr="00915B58">
              <w:rPr>
                <w:rFonts w:ascii="Arial Narrow" w:hAnsi="Arial Narrow"/>
                <w:sz w:val="20"/>
                <w:szCs w:val="20"/>
              </w:rPr>
              <w:t>% reduction in the eligible patient numbers</w:t>
            </w:r>
          </w:p>
          <w:p w:rsidR="00906641" w:rsidRPr="00915B58" w:rsidRDefault="00906641" w:rsidP="006C12CE">
            <w:pPr>
              <w:widowControl w:val="0"/>
              <w:spacing w:after="60"/>
              <w:rPr>
                <w:rFonts w:ascii="Arial Narrow" w:hAnsi="Arial Narrow"/>
                <w:sz w:val="20"/>
                <w:szCs w:val="20"/>
              </w:rPr>
            </w:pPr>
            <w:r w:rsidRPr="00915B58">
              <w:rPr>
                <w:rFonts w:ascii="Arial Narrow" w:hAnsi="Arial Narrow"/>
                <w:sz w:val="20"/>
                <w:szCs w:val="20"/>
              </w:rPr>
              <w:t xml:space="preserve">Mean number of infusions revised from </w:t>
            </w:r>
            <w:r w:rsidR="007B0774">
              <w:rPr>
                <w:rFonts w:ascii="Arial Narrow" w:hAnsi="Arial Narrow"/>
                <w:noProof/>
                <w:color w:val="000000"/>
                <w:sz w:val="20"/>
                <w:szCs w:val="20"/>
                <w:highlight w:val="black"/>
              </w:rPr>
              <w:t>'''''''</w:t>
            </w:r>
            <w:r w:rsidRPr="00B55EC8">
              <w:rPr>
                <w:rFonts w:ascii="Arial Narrow" w:hAnsi="Arial Narrow"/>
                <w:sz w:val="20"/>
                <w:szCs w:val="20"/>
              </w:rPr>
              <w:t xml:space="preserve"> to </w:t>
            </w:r>
            <w:r w:rsidR="007B0774">
              <w:rPr>
                <w:rFonts w:ascii="Arial Narrow" w:hAnsi="Arial Narrow"/>
                <w:noProof/>
                <w:color w:val="000000"/>
                <w:sz w:val="20"/>
                <w:szCs w:val="20"/>
                <w:highlight w:val="black"/>
              </w:rPr>
              <w:t>'''''''''''</w:t>
            </w:r>
          </w:p>
          <w:p w:rsidR="00891F69" w:rsidRPr="00915B58" w:rsidRDefault="00906641" w:rsidP="006C12CE">
            <w:pPr>
              <w:widowControl w:val="0"/>
              <w:spacing w:after="60"/>
              <w:rPr>
                <w:rFonts w:ascii="Arial Narrow" w:hAnsi="Arial Narrow"/>
                <w:sz w:val="20"/>
                <w:szCs w:val="20"/>
                <w:highlight w:val="yellow"/>
              </w:rPr>
            </w:pPr>
            <w:r w:rsidRPr="00915B58">
              <w:rPr>
                <w:rFonts w:ascii="Arial Narrow" w:hAnsi="Arial Narrow"/>
                <w:sz w:val="20"/>
                <w:szCs w:val="20"/>
              </w:rPr>
              <w:t>Uptake rate and average Australian body weight unchanged</w:t>
            </w:r>
          </w:p>
        </w:tc>
      </w:tr>
      <w:tr w:rsidR="00906641" w:rsidRPr="00915B58" w:rsidTr="006C12CE">
        <w:trPr>
          <w:trHeight w:val="772"/>
        </w:trPr>
        <w:tc>
          <w:tcPr>
            <w:tcW w:w="4423" w:type="dxa"/>
            <w:shd w:val="clear" w:color="auto" w:fill="auto"/>
          </w:tcPr>
          <w:p w:rsidR="00906641" w:rsidRPr="00915B58" w:rsidRDefault="00906641" w:rsidP="006C12CE">
            <w:pPr>
              <w:widowControl w:val="0"/>
              <w:spacing w:after="60"/>
              <w:rPr>
                <w:rFonts w:ascii="Arial Narrow" w:hAnsi="Arial Narrow"/>
                <w:sz w:val="20"/>
                <w:szCs w:val="20"/>
              </w:rPr>
            </w:pPr>
            <w:r w:rsidRPr="00915B58">
              <w:rPr>
                <w:rFonts w:ascii="Arial Narrow" w:hAnsi="Arial Narrow"/>
                <w:sz w:val="20"/>
                <w:szCs w:val="20"/>
              </w:rPr>
              <w:t>‘…a proposal for a risk-share agreement with 100% rebate beyond the agreed subsidisation caps to mitigate the uncertainties raised by DUSC, including the risk of nivolumab use beyond disease progression.’</w:t>
            </w:r>
          </w:p>
          <w:p w:rsidR="00906641" w:rsidRPr="00915B58" w:rsidRDefault="00906641" w:rsidP="00B72BBB">
            <w:pPr>
              <w:widowControl w:val="0"/>
              <w:spacing w:after="60"/>
              <w:rPr>
                <w:rFonts w:ascii="Arial Narrow" w:hAnsi="Arial Narrow"/>
                <w:sz w:val="20"/>
                <w:szCs w:val="20"/>
              </w:rPr>
            </w:pPr>
            <w:r w:rsidRPr="00915B58">
              <w:rPr>
                <w:rFonts w:ascii="Arial Narrow" w:hAnsi="Arial Narrow"/>
                <w:sz w:val="20"/>
                <w:szCs w:val="20"/>
              </w:rPr>
              <w:t xml:space="preserve">(paragraph 7.19, November 2017 PBAC </w:t>
            </w:r>
            <w:r w:rsidR="00B72BBB">
              <w:rPr>
                <w:rFonts w:ascii="Arial Narrow" w:hAnsi="Arial Narrow"/>
                <w:sz w:val="20"/>
                <w:szCs w:val="20"/>
              </w:rPr>
              <w:t>PSD</w:t>
            </w:r>
            <w:r w:rsidRPr="00915B58">
              <w:rPr>
                <w:rFonts w:ascii="Arial Narrow" w:hAnsi="Arial Narrow"/>
                <w:sz w:val="20"/>
                <w:szCs w:val="20"/>
              </w:rPr>
              <w:t>)</w:t>
            </w:r>
          </w:p>
        </w:tc>
        <w:tc>
          <w:tcPr>
            <w:tcW w:w="4659" w:type="dxa"/>
            <w:shd w:val="clear" w:color="auto" w:fill="auto"/>
          </w:tcPr>
          <w:p w:rsidR="00906641" w:rsidRPr="00915B58" w:rsidRDefault="00906641" w:rsidP="006C12CE">
            <w:pPr>
              <w:widowControl w:val="0"/>
              <w:spacing w:after="60"/>
              <w:rPr>
                <w:rFonts w:ascii="Arial Narrow" w:hAnsi="Arial Narrow"/>
                <w:sz w:val="20"/>
                <w:szCs w:val="20"/>
              </w:rPr>
            </w:pPr>
            <w:r w:rsidRPr="00915B58">
              <w:rPr>
                <w:rFonts w:ascii="Arial Narrow" w:hAnsi="Arial Narrow"/>
                <w:sz w:val="20"/>
                <w:szCs w:val="20"/>
              </w:rPr>
              <w:t>Agreed</w:t>
            </w:r>
          </w:p>
        </w:tc>
      </w:tr>
    </w:tbl>
    <w:p w:rsidR="002C6128" w:rsidRDefault="009550D6" w:rsidP="009550D6">
      <w:pPr>
        <w:pStyle w:val="TableFooter"/>
        <w:contextualSpacing w:val="0"/>
        <w:rPr>
          <w:szCs w:val="18"/>
        </w:rPr>
      </w:pPr>
      <w:r w:rsidRPr="002F2188">
        <w:rPr>
          <w:szCs w:val="18"/>
        </w:rPr>
        <w:t xml:space="preserve">Source: </w:t>
      </w:r>
      <w:r>
        <w:rPr>
          <w:szCs w:val="18"/>
        </w:rPr>
        <w:t>November 2017 PBAC minutes; March 2018</w:t>
      </w:r>
      <w:r w:rsidRPr="002F2188">
        <w:rPr>
          <w:szCs w:val="18"/>
        </w:rPr>
        <w:t xml:space="preserve"> minor resubmission.</w:t>
      </w:r>
    </w:p>
    <w:p w:rsidR="00AB661A" w:rsidRPr="00AB661A" w:rsidRDefault="00AB661A" w:rsidP="00C208F6">
      <w:pPr>
        <w:pStyle w:val="TableFooter"/>
        <w:spacing w:before="160" w:after="160"/>
        <w:rPr>
          <w:rFonts w:asciiTheme="minorHAnsi" w:hAnsiTheme="minorHAnsi"/>
          <w:sz w:val="24"/>
          <w:szCs w:val="24"/>
        </w:rPr>
      </w:pPr>
      <w:r>
        <w:rPr>
          <w:rFonts w:asciiTheme="minorHAnsi" w:hAnsiTheme="minorHAnsi"/>
          <w:sz w:val="24"/>
          <w:szCs w:val="24"/>
        </w:rPr>
        <w:t>The redacted table shows ICER</w:t>
      </w:r>
      <w:r w:rsidR="00C208F6">
        <w:rPr>
          <w:rFonts w:asciiTheme="minorHAnsi" w:hAnsiTheme="minorHAnsi"/>
          <w:sz w:val="24"/>
          <w:szCs w:val="24"/>
        </w:rPr>
        <w:t>s</w:t>
      </w:r>
      <w:r>
        <w:rPr>
          <w:rFonts w:asciiTheme="minorHAnsi" w:hAnsiTheme="minorHAnsi"/>
          <w:sz w:val="24"/>
          <w:szCs w:val="24"/>
        </w:rPr>
        <w:t xml:space="preserve"> in the range of $45,000</w:t>
      </w:r>
      <w:r w:rsidR="00C208F6">
        <w:rPr>
          <w:rFonts w:asciiTheme="minorHAnsi" w:hAnsiTheme="minorHAnsi"/>
          <w:sz w:val="24"/>
          <w:szCs w:val="24"/>
        </w:rPr>
        <w:t>/QALY - $75,000/QALY.</w:t>
      </w:r>
    </w:p>
    <w:p w:rsidR="00915B58" w:rsidRPr="008E280F" w:rsidRDefault="00915B58" w:rsidP="00915B58">
      <w:pPr>
        <w:spacing w:before="120" w:after="160"/>
        <w:rPr>
          <w:rFonts w:asciiTheme="minorHAnsi" w:eastAsiaTheme="minorHAnsi" w:hAnsiTheme="minorHAnsi" w:cstheme="minorBidi"/>
          <w:i/>
          <w:szCs w:val="22"/>
        </w:rPr>
      </w:pPr>
      <w:r w:rsidRPr="00054066">
        <w:rPr>
          <w:rFonts w:asciiTheme="minorHAnsi" w:eastAsiaTheme="minorHAnsi" w:hAnsiTheme="minorHAnsi" w:cstheme="minorBidi"/>
          <w:i/>
          <w:szCs w:val="22"/>
        </w:rPr>
        <w:t xml:space="preserve">For more detail on the PBAC’s view, see section </w:t>
      </w:r>
      <w:r w:rsidR="00D41FCF">
        <w:rPr>
          <w:rFonts w:asciiTheme="minorHAnsi" w:eastAsiaTheme="minorHAnsi" w:hAnsiTheme="minorHAnsi" w:cstheme="minorBidi"/>
          <w:i/>
          <w:szCs w:val="22"/>
        </w:rPr>
        <w:t>6</w:t>
      </w:r>
      <w:r w:rsidRPr="00054066">
        <w:rPr>
          <w:rFonts w:asciiTheme="minorHAnsi" w:eastAsiaTheme="minorHAnsi" w:hAnsiTheme="minorHAnsi" w:cstheme="minorBidi"/>
          <w:i/>
          <w:szCs w:val="22"/>
        </w:rPr>
        <w:t xml:space="preserve"> PBAC outcome.</w:t>
      </w:r>
    </w:p>
    <w:p w:rsidR="005A3173" w:rsidRPr="00EB3307" w:rsidRDefault="005A3173" w:rsidP="0037625B">
      <w:pPr>
        <w:pStyle w:val="PBACHeading1"/>
      </w:pPr>
      <w:r w:rsidRPr="00EB3307">
        <w:t>Comparator</w:t>
      </w:r>
    </w:p>
    <w:p w:rsidR="00C72686" w:rsidRPr="00C72686" w:rsidRDefault="00476245" w:rsidP="00235050">
      <w:pPr>
        <w:pStyle w:val="ListParagraph"/>
        <w:widowControl/>
        <w:numPr>
          <w:ilvl w:val="1"/>
          <w:numId w:val="14"/>
        </w:numPr>
        <w:spacing w:before="120" w:after="160"/>
        <w:contextualSpacing w:val="0"/>
        <w:rPr>
          <w:rFonts w:asciiTheme="minorHAnsi" w:hAnsiTheme="minorHAnsi"/>
          <w:sz w:val="24"/>
          <w:szCs w:val="24"/>
        </w:rPr>
      </w:pPr>
      <w:r w:rsidRPr="00EB3307">
        <w:rPr>
          <w:rFonts w:asciiTheme="minorHAnsi" w:hAnsiTheme="minorHAnsi"/>
          <w:sz w:val="24"/>
          <w:szCs w:val="24"/>
        </w:rPr>
        <w:t xml:space="preserve">The previous major submission </w:t>
      </w:r>
      <w:r w:rsidR="00FF2801" w:rsidRPr="00EB3307">
        <w:rPr>
          <w:rFonts w:asciiTheme="minorHAnsi" w:hAnsiTheme="minorHAnsi"/>
          <w:sz w:val="24"/>
          <w:szCs w:val="24"/>
        </w:rPr>
        <w:t xml:space="preserve">nominated </w:t>
      </w:r>
      <w:r w:rsidR="002B792F">
        <w:rPr>
          <w:rFonts w:asciiTheme="minorHAnsi" w:hAnsiTheme="minorHAnsi"/>
          <w:sz w:val="24"/>
          <w:szCs w:val="24"/>
        </w:rPr>
        <w:t>current Australian s</w:t>
      </w:r>
      <w:r w:rsidR="009D39EB">
        <w:rPr>
          <w:rFonts w:asciiTheme="minorHAnsi" w:hAnsiTheme="minorHAnsi"/>
          <w:sz w:val="24"/>
          <w:szCs w:val="24"/>
        </w:rPr>
        <w:t xml:space="preserve">tandard of </w:t>
      </w:r>
      <w:r w:rsidR="002B792F">
        <w:rPr>
          <w:rFonts w:asciiTheme="minorHAnsi" w:hAnsiTheme="minorHAnsi"/>
          <w:sz w:val="24"/>
          <w:szCs w:val="24"/>
        </w:rPr>
        <w:t>c</w:t>
      </w:r>
      <w:r w:rsidR="009D39EB">
        <w:rPr>
          <w:rFonts w:asciiTheme="minorHAnsi" w:hAnsiTheme="minorHAnsi"/>
          <w:sz w:val="24"/>
          <w:szCs w:val="24"/>
        </w:rPr>
        <w:t xml:space="preserve">are (SOC) </w:t>
      </w:r>
      <w:r w:rsidR="002B792F">
        <w:rPr>
          <w:rFonts w:asciiTheme="minorHAnsi" w:hAnsiTheme="minorHAnsi"/>
          <w:sz w:val="24"/>
          <w:szCs w:val="24"/>
        </w:rPr>
        <w:t>as the main comparator, specifically one of</w:t>
      </w:r>
      <w:r w:rsidR="00C72686">
        <w:rPr>
          <w:rFonts w:asciiTheme="minorHAnsi" w:hAnsiTheme="minorHAnsi"/>
          <w:sz w:val="24"/>
          <w:szCs w:val="24"/>
        </w:rPr>
        <w:t xml:space="preserve">: </w:t>
      </w:r>
      <w:r w:rsidR="009D39EB">
        <w:rPr>
          <w:rFonts w:asciiTheme="minorHAnsi" w:hAnsiTheme="minorHAnsi"/>
          <w:sz w:val="24"/>
          <w:szCs w:val="24"/>
        </w:rPr>
        <w:t>pacl</w:t>
      </w:r>
      <w:r w:rsidR="00F11BE8">
        <w:rPr>
          <w:rFonts w:asciiTheme="minorHAnsi" w:hAnsiTheme="minorHAnsi"/>
          <w:sz w:val="24"/>
          <w:szCs w:val="24"/>
        </w:rPr>
        <w:t>i</w:t>
      </w:r>
      <w:r w:rsidR="009D39EB">
        <w:rPr>
          <w:rFonts w:asciiTheme="minorHAnsi" w:hAnsiTheme="minorHAnsi"/>
          <w:sz w:val="24"/>
          <w:szCs w:val="24"/>
        </w:rPr>
        <w:t>taxel, docetaxel, methotrexate or capecitabine</w:t>
      </w:r>
      <w:r w:rsidR="00FF2801" w:rsidRPr="00EB3307">
        <w:rPr>
          <w:rFonts w:asciiTheme="minorHAnsi" w:hAnsiTheme="minorHAnsi"/>
          <w:sz w:val="24"/>
          <w:szCs w:val="24"/>
        </w:rPr>
        <w:t xml:space="preserve">. </w:t>
      </w:r>
      <w:r w:rsidR="00235050" w:rsidRPr="00235050">
        <w:rPr>
          <w:rFonts w:asciiTheme="minorHAnsi" w:hAnsiTheme="minorHAnsi"/>
          <w:sz w:val="24"/>
          <w:szCs w:val="24"/>
        </w:rPr>
        <w:t xml:space="preserve">The nominated main comparator was unchanged </w:t>
      </w:r>
      <w:r w:rsidR="00235050">
        <w:rPr>
          <w:rFonts w:asciiTheme="minorHAnsi" w:hAnsiTheme="minorHAnsi"/>
          <w:sz w:val="24"/>
          <w:szCs w:val="24"/>
        </w:rPr>
        <w:t>in the minor resubmission.</w:t>
      </w:r>
    </w:p>
    <w:p w:rsidR="008A1956" w:rsidRDefault="00235050" w:rsidP="00D73F28">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At its November 2017 meeting, t</w:t>
      </w:r>
      <w:r w:rsidR="001D20B4">
        <w:rPr>
          <w:rFonts w:asciiTheme="minorHAnsi" w:hAnsiTheme="minorHAnsi"/>
          <w:sz w:val="24"/>
          <w:szCs w:val="24"/>
        </w:rPr>
        <w:t xml:space="preserve">he PBAC </w:t>
      </w:r>
      <w:r w:rsidR="00BA131A">
        <w:rPr>
          <w:rFonts w:asciiTheme="minorHAnsi" w:hAnsiTheme="minorHAnsi"/>
          <w:sz w:val="24"/>
          <w:szCs w:val="24"/>
        </w:rPr>
        <w:t xml:space="preserve">was </w:t>
      </w:r>
      <w:r w:rsidR="001D20B4">
        <w:rPr>
          <w:rFonts w:asciiTheme="minorHAnsi" w:hAnsiTheme="minorHAnsi"/>
          <w:sz w:val="24"/>
          <w:szCs w:val="24"/>
        </w:rPr>
        <w:t xml:space="preserve">uncertain of the applicability of the </w:t>
      </w:r>
      <w:r w:rsidR="00BA131A">
        <w:rPr>
          <w:rFonts w:asciiTheme="minorHAnsi" w:hAnsiTheme="minorHAnsi"/>
          <w:sz w:val="24"/>
          <w:szCs w:val="24"/>
        </w:rPr>
        <w:t xml:space="preserve">SOC comparators in the key trial to the </w:t>
      </w:r>
      <w:r w:rsidR="001D20B4">
        <w:rPr>
          <w:rFonts w:asciiTheme="minorHAnsi" w:hAnsiTheme="minorHAnsi"/>
          <w:sz w:val="24"/>
          <w:szCs w:val="24"/>
        </w:rPr>
        <w:t xml:space="preserve">nominated </w:t>
      </w:r>
      <w:r w:rsidR="00BA131A">
        <w:rPr>
          <w:rFonts w:asciiTheme="minorHAnsi" w:hAnsiTheme="minorHAnsi"/>
          <w:sz w:val="24"/>
          <w:szCs w:val="24"/>
        </w:rPr>
        <w:t xml:space="preserve">SOC </w:t>
      </w:r>
      <w:r w:rsidR="001D20B4">
        <w:rPr>
          <w:rFonts w:asciiTheme="minorHAnsi" w:hAnsiTheme="minorHAnsi"/>
          <w:sz w:val="24"/>
          <w:szCs w:val="24"/>
        </w:rPr>
        <w:t xml:space="preserve">comparators in Australia, and </w:t>
      </w:r>
      <w:r>
        <w:rPr>
          <w:rFonts w:asciiTheme="minorHAnsi" w:hAnsiTheme="minorHAnsi"/>
          <w:sz w:val="24"/>
          <w:szCs w:val="24"/>
        </w:rPr>
        <w:t xml:space="preserve">was </w:t>
      </w:r>
      <w:r w:rsidR="001D20B4">
        <w:rPr>
          <w:rFonts w:asciiTheme="minorHAnsi" w:hAnsiTheme="minorHAnsi"/>
          <w:sz w:val="24"/>
          <w:szCs w:val="24"/>
        </w:rPr>
        <w:t>particularly uncertain regarding the consequence of replacing cetuximab with capecitabine as a comparator on the incremental effectiveness of nivolumab</w:t>
      </w:r>
      <w:r>
        <w:rPr>
          <w:rFonts w:asciiTheme="minorHAnsi" w:hAnsiTheme="minorHAnsi"/>
          <w:sz w:val="24"/>
          <w:szCs w:val="24"/>
        </w:rPr>
        <w:t xml:space="preserve"> (paragraph 7.4, November 2017 PBAC </w:t>
      </w:r>
      <w:r w:rsidR="00B72BBB">
        <w:rPr>
          <w:rFonts w:asciiTheme="minorHAnsi" w:hAnsiTheme="minorHAnsi"/>
          <w:sz w:val="24"/>
          <w:szCs w:val="24"/>
        </w:rPr>
        <w:t>PSD</w:t>
      </w:r>
      <w:r>
        <w:rPr>
          <w:rFonts w:asciiTheme="minorHAnsi" w:hAnsiTheme="minorHAnsi"/>
          <w:sz w:val="24"/>
          <w:szCs w:val="24"/>
        </w:rPr>
        <w:t>)</w:t>
      </w:r>
      <w:r w:rsidR="001D20B4">
        <w:rPr>
          <w:rFonts w:asciiTheme="minorHAnsi" w:hAnsiTheme="minorHAnsi"/>
          <w:sz w:val="24"/>
          <w:szCs w:val="24"/>
        </w:rPr>
        <w:t>.</w:t>
      </w:r>
    </w:p>
    <w:p w:rsidR="00D2136C" w:rsidRPr="00D2136C" w:rsidRDefault="00A53EEF" w:rsidP="00D2136C">
      <w:pPr>
        <w:pStyle w:val="ListParagraph"/>
        <w:numPr>
          <w:ilvl w:val="1"/>
          <w:numId w:val="14"/>
        </w:numPr>
        <w:spacing w:before="120" w:after="160"/>
        <w:contextualSpacing w:val="0"/>
        <w:rPr>
          <w:rFonts w:asciiTheme="minorHAnsi" w:hAnsiTheme="minorHAnsi"/>
          <w:sz w:val="24"/>
          <w:szCs w:val="24"/>
        </w:rPr>
      </w:pPr>
      <w:r w:rsidRPr="00A53EEF">
        <w:rPr>
          <w:rFonts w:asciiTheme="minorHAnsi" w:hAnsiTheme="minorHAnsi"/>
          <w:sz w:val="24"/>
          <w:szCs w:val="24"/>
        </w:rPr>
        <w:t xml:space="preserve">The PBAC </w:t>
      </w:r>
      <w:r w:rsidR="00235050">
        <w:rPr>
          <w:rFonts w:asciiTheme="minorHAnsi" w:hAnsiTheme="minorHAnsi"/>
          <w:sz w:val="24"/>
          <w:szCs w:val="24"/>
        </w:rPr>
        <w:t xml:space="preserve">had also </w:t>
      </w:r>
      <w:r w:rsidRPr="00A53EEF">
        <w:rPr>
          <w:rFonts w:asciiTheme="minorHAnsi" w:hAnsiTheme="minorHAnsi"/>
          <w:sz w:val="24"/>
          <w:szCs w:val="24"/>
        </w:rPr>
        <w:t>requested that any future resubmission should include further evidence that may be available to demonstrate the comparative effectiveness of nivolumab in the proposed PBS population, to compensate for the</w:t>
      </w:r>
      <w:r>
        <w:rPr>
          <w:rFonts w:asciiTheme="minorHAnsi" w:hAnsiTheme="minorHAnsi"/>
          <w:sz w:val="24"/>
          <w:szCs w:val="24"/>
        </w:rPr>
        <w:t xml:space="preserve"> disparity in comparator choice</w:t>
      </w:r>
      <w:r w:rsidR="00235050">
        <w:rPr>
          <w:rFonts w:asciiTheme="minorHAnsi" w:hAnsiTheme="minorHAnsi"/>
          <w:sz w:val="24"/>
          <w:szCs w:val="24"/>
        </w:rPr>
        <w:t xml:space="preserve"> (paragraph 7.19, November 2017 PBAC </w:t>
      </w:r>
      <w:r w:rsidR="00B72BBB">
        <w:rPr>
          <w:rFonts w:asciiTheme="minorHAnsi" w:hAnsiTheme="minorHAnsi"/>
          <w:sz w:val="24"/>
          <w:szCs w:val="24"/>
        </w:rPr>
        <w:t>PSD</w:t>
      </w:r>
      <w:r w:rsidR="00235050">
        <w:rPr>
          <w:rFonts w:asciiTheme="minorHAnsi" w:hAnsiTheme="minorHAnsi"/>
          <w:sz w:val="24"/>
          <w:szCs w:val="24"/>
        </w:rPr>
        <w:t>)</w:t>
      </w:r>
      <w:r>
        <w:rPr>
          <w:rFonts w:asciiTheme="minorHAnsi" w:hAnsiTheme="minorHAnsi"/>
          <w:sz w:val="24"/>
          <w:szCs w:val="24"/>
        </w:rPr>
        <w:t>.</w:t>
      </w:r>
    </w:p>
    <w:p w:rsidR="00FD0BB9" w:rsidRPr="00EA6F31" w:rsidRDefault="00FD0BB9" w:rsidP="00D2136C">
      <w:pPr>
        <w:pStyle w:val="ListParagraph"/>
        <w:widowControl/>
        <w:numPr>
          <w:ilvl w:val="1"/>
          <w:numId w:val="14"/>
        </w:numPr>
        <w:spacing w:before="120" w:after="160"/>
        <w:contextualSpacing w:val="0"/>
        <w:rPr>
          <w:rFonts w:asciiTheme="minorHAnsi" w:hAnsiTheme="minorHAnsi"/>
          <w:sz w:val="24"/>
          <w:szCs w:val="24"/>
        </w:rPr>
      </w:pPr>
      <w:r>
        <w:rPr>
          <w:rFonts w:asciiTheme="minorHAnsi" w:hAnsiTheme="minorHAnsi"/>
          <w:sz w:val="24"/>
          <w:szCs w:val="24"/>
        </w:rPr>
        <w:t>The minor resubmission acknowledged that one of the</w:t>
      </w:r>
      <w:r w:rsidR="00D2136C">
        <w:rPr>
          <w:rFonts w:asciiTheme="minorHAnsi" w:hAnsiTheme="minorHAnsi"/>
          <w:sz w:val="24"/>
          <w:szCs w:val="24"/>
        </w:rPr>
        <w:t xml:space="preserve"> investigator’s choice</w:t>
      </w:r>
      <w:r>
        <w:rPr>
          <w:rFonts w:asciiTheme="minorHAnsi" w:hAnsiTheme="minorHAnsi"/>
          <w:sz w:val="24"/>
          <w:szCs w:val="24"/>
        </w:rPr>
        <w:t xml:space="preserve"> </w:t>
      </w:r>
      <w:r w:rsidR="00D2136C">
        <w:rPr>
          <w:rFonts w:asciiTheme="minorHAnsi" w:hAnsiTheme="minorHAnsi"/>
          <w:sz w:val="24"/>
          <w:szCs w:val="24"/>
        </w:rPr>
        <w:t>(</w:t>
      </w:r>
      <w:r>
        <w:rPr>
          <w:rFonts w:asciiTheme="minorHAnsi" w:hAnsiTheme="minorHAnsi"/>
          <w:sz w:val="24"/>
          <w:szCs w:val="24"/>
        </w:rPr>
        <w:t>IC</w:t>
      </w:r>
      <w:r w:rsidR="00D2136C">
        <w:rPr>
          <w:rFonts w:asciiTheme="minorHAnsi" w:hAnsiTheme="minorHAnsi"/>
          <w:sz w:val="24"/>
          <w:szCs w:val="24"/>
        </w:rPr>
        <w:t>)</w:t>
      </w:r>
      <w:r>
        <w:rPr>
          <w:rFonts w:asciiTheme="minorHAnsi" w:hAnsiTheme="minorHAnsi"/>
          <w:sz w:val="24"/>
          <w:szCs w:val="24"/>
        </w:rPr>
        <w:t xml:space="preserve"> options is not used in the Australian setting, but argued that </w:t>
      </w:r>
      <w:r w:rsidR="00EC2082">
        <w:rPr>
          <w:rFonts w:asciiTheme="minorHAnsi" w:hAnsiTheme="minorHAnsi"/>
          <w:sz w:val="24"/>
          <w:szCs w:val="24"/>
        </w:rPr>
        <w:t xml:space="preserve">the </w:t>
      </w:r>
      <w:r>
        <w:rPr>
          <w:rFonts w:asciiTheme="minorHAnsi" w:hAnsiTheme="minorHAnsi"/>
          <w:sz w:val="24"/>
          <w:szCs w:val="24"/>
        </w:rPr>
        <w:t>SOC for treating this condition is varied, and therefore maintained the previous</w:t>
      </w:r>
      <w:r w:rsidR="00BA131A">
        <w:rPr>
          <w:rFonts w:asciiTheme="minorHAnsi" w:hAnsiTheme="minorHAnsi"/>
          <w:sz w:val="24"/>
          <w:szCs w:val="24"/>
        </w:rPr>
        <w:t xml:space="preserve"> approach of assuming the trial’s comparative results applied directly to Australia</w:t>
      </w:r>
      <w:r>
        <w:rPr>
          <w:rFonts w:asciiTheme="minorHAnsi" w:hAnsiTheme="minorHAnsi"/>
          <w:sz w:val="24"/>
          <w:szCs w:val="24"/>
        </w:rPr>
        <w:t xml:space="preserve">. The </w:t>
      </w:r>
      <w:r w:rsidR="00235050">
        <w:rPr>
          <w:rFonts w:asciiTheme="minorHAnsi" w:hAnsiTheme="minorHAnsi"/>
          <w:sz w:val="24"/>
          <w:szCs w:val="24"/>
        </w:rPr>
        <w:t xml:space="preserve">minor </w:t>
      </w:r>
      <w:r>
        <w:rPr>
          <w:rFonts w:asciiTheme="minorHAnsi" w:hAnsiTheme="minorHAnsi"/>
          <w:sz w:val="24"/>
          <w:szCs w:val="24"/>
        </w:rPr>
        <w:t>resubmission confirmed that no additional trial evidence was</w:t>
      </w:r>
      <w:r w:rsidR="00235050">
        <w:rPr>
          <w:rFonts w:asciiTheme="minorHAnsi" w:hAnsiTheme="minorHAnsi"/>
          <w:sz w:val="24"/>
          <w:szCs w:val="24"/>
        </w:rPr>
        <w:t xml:space="preserve"> likely to be</w:t>
      </w:r>
      <w:r>
        <w:rPr>
          <w:rFonts w:asciiTheme="minorHAnsi" w:hAnsiTheme="minorHAnsi"/>
          <w:sz w:val="24"/>
          <w:szCs w:val="24"/>
        </w:rPr>
        <w:t xml:space="preserve"> available</w:t>
      </w:r>
      <w:r w:rsidR="00235050">
        <w:rPr>
          <w:rFonts w:asciiTheme="minorHAnsi" w:hAnsiTheme="minorHAnsi"/>
          <w:sz w:val="24"/>
          <w:szCs w:val="24"/>
        </w:rPr>
        <w:t xml:space="preserve"> in the near future</w:t>
      </w:r>
      <w:r>
        <w:rPr>
          <w:rFonts w:asciiTheme="minorHAnsi" w:hAnsiTheme="minorHAnsi"/>
          <w:sz w:val="24"/>
          <w:szCs w:val="24"/>
        </w:rPr>
        <w:t xml:space="preserve"> to inform the comparative efficacy or safety of nivolumab monotherapy </w:t>
      </w:r>
      <w:r w:rsidRPr="00EA6F31">
        <w:rPr>
          <w:rFonts w:asciiTheme="minorHAnsi" w:hAnsiTheme="minorHAnsi"/>
          <w:sz w:val="24"/>
          <w:szCs w:val="24"/>
        </w:rPr>
        <w:t xml:space="preserve">versus the SOC </w:t>
      </w:r>
      <w:r w:rsidR="00BA131A" w:rsidRPr="00EA6F31">
        <w:rPr>
          <w:rFonts w:asciiTheme="minorHAnsi" w:hAnsiTheme="minorHAnsi"/>
          <w:sz w:val="24"/>
          <w:szCs w:val="24"/>
        </w:rPr>
        <w:t>defined for the proposed PBS population.</w:t>
      </w:r>
    </w:p>
    <w:p w:rsidR="00915B58" w:rsidRPr="008E280F" w:rsidRDefault="00915B58" w:rsidP="00915B58">
      <w:pPr>
        <w:spacing w:before="120" w:after="160"/>
        <w:rPr>
          <w:rFonts w:asciiTheme="minorHAnsi" w:eastAsiaTheme="minorHAnsi" w:hAnsiTheme="minorHAnsi" w:cstheme="minorBidi"/>
          <w:i/>
          <w:szCs w:val="22"/>
        </w:rPr>
      </w:pPr>
      <w:r w:rsidRPr="00EA6F31">
        <w:rPr>
          <w:rFonts w:asciiTheme="minorHAnsi" w:eastAsiaTheme="minorHAnsi" w:hAnsiTheme="minorHAnsi" w:cstheme="minorBidi"/>
          <w:i/>
          <w:szCs w:val="22"/>
        </w:rPr>
        <w:t xml:space="preserve">For more detail on the PBAC’s view, see section </w:t>
      </w:r>
      <w:r w:rsidR="00D41FCF">
        <w:rPr>
          <w:rFonts w:asciiTheme="minorHAnsi" w:eastAsiaTheme="minorHAnsi" w:hAnsiTheme="minorHAnsi" w:cstheme="minorBidi"/>
          <w:i/>
          <w:szCs w:val="22"/>
        </w:rPr>
        <w:t>6</w:t>
      </w:r>
      <w:r w:rsidRPr="00EA6F31">
        <w:rPr>
          <w:rFonts w:asciiTheme="minorHAnsi" w:eastAsiaTheme="minorHAnsi" w:hAnsiTheme="minorHAnsi" w:cstheme="minorBidi"/>
          <w:i/>
          <w:szCs w:val="22"/>
        </w:rPr>
        <w:t xml:space="preserve"> PBAC outcome.</w:t>
      </w:r>
    </w:p>
    <w:p w:rsidR="000B558D" w:rsidRDefault="008D7A41" w:rsidP="00D73F28">
      <w:pPr>
        <w:pStyle w:val="Heading1"/>
        <w:keepNext/>
        <w:keepLines/>
        <w:widowControl/>
        <w:numPr>
          <w:ilvl w:val="0"/>
          <w:numId w:val="14"/>
        </w:numPr>
        <w:spacing w:before="120" w:after="160"/>
        <w:ind w:left="709" w:hanging="709"/>
        <w:contextualSpacing w:val="0"/>
        <w:jc w:val="left"/>
        <w:rPr>
          <w:rFonts w:asciiTheme="minorHAnsi" w:hAnsiTheme="minorHAnsi"/>
          <w:sz w:val="32"/>
          <w:szCs w:val="32"/>
        </w:rPr>
      </w:pPr>
      <w:r w:rsidRPr="00EB3307">
        <w:rPr>
          <w:rFonts w:asciiTheme="minorHAnsi" w:hAnsiTheme="minorHAnsi"/>
          <w:sz w:val="32"/>
          <w:szCs w:val="32"/>
        </w:rPr>
        <w:t>C</w:t>
      </w:r>
      <w:r w:rsidR="00D84934" w:rsidRPr="00EB3307">
        <w:rPr>
          <w:rFonts w:asciiTheme="minorHAnsi" w:hAnsiTheme="minorHAnsi"/>
          <w:sz w:val="32"/>
          <w:szCs w:val="32"/>
        </w:rPr>
        <w:t>onsideration of the evidence</w:t>
      </w:r>
    </w:p>
    <w:p w:rsidR="00EA6F31" w:rsidRDefault="00EA6F31" w:rsidP="0037625B">
      <w:pPr>
        <w:pStyle w:val="Heading2"/>
      </w:pPr>
      <w:r>
        <w:t>Sponsor hearing</w:t>
      </w:r>
    </w:p>
    <w:p w:rsidR="00EA6F31" w:rsidRPr="008E280F" w:rsidRDefault="00EA6F31" w:rsidP="00EA6F3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8E280F">
        <w:rPr>
          <w:rFonts w:asciiTheme="minorHAnsi" w:eastAsiaTheme="minorHAnsi" w:hAnsiTheme="minorHAnsi" w:cstheme="minorBidi"/>
          <w:snapToGrid/>
          <w:sz w:val="24"/>
          <w:szCs w:val="22"/>
        </w:rPr>
        <w:t>There was no hearing for this item as it was a minor submission.</w:t>
      </w:r>
    </w:p>
    <w:p w:rsidR="00EA6F31" w:rsidRDefault="00EA6F31" w:rsidP="0037625B">
      <w:pPr>
        <w:pStyle w:val="Heading2"/>
      </w:pPr>
      <w:r>
        <w:t>Consumer comments</w:t>
      </w:r>
    </w:p>
    <w:p w:rsidR="00EA6F31" w:rsidRPr="00EA6F31" w:rsidRDefault="00EA6F31" w:rsidP="00EA6F3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EA6F31">
        <w:rPr>
          <w:rFonts w:asciiTheme="minorHAnsi" w:eastAsiaTheme="minorHAnsi" w:hAnsiTheme="minorHAnsi" w:cstheme="minorBidi"/>
          <w:snapToGrid/>
          <w:sz w:val="24"/>
          <w:szCs w:val="22"/>
        </w:rPr>
        <w:t>The PBAC noted and welcomed the input from individuals (2), health care professionals (3) and organisations (1) via the Consumer comments facility on the PBS website. The comments described a range of benefits of treatment with nivolumab for SSCHN including increased survival and avoidance of surgery.</w:t>
      </w:r>
    </w:p>
    <w:p w:rsidR="00EA6F31" w:rsidRPr="00EA6F31" w:rsidRDefault="00EA6F31" w:rsidP="006C12CE">
      <w:pPr>
        <w:widowControl w:val="0"/>
        <w:numPr>
          <w:ilvl w:val="1"/>
          <w:numId w:val="5"/>
        </w:numPr>
        <w:spacing w:after="120"/>
        <w:jc w:val="both"/>
        <w:rPr>
          <w:rFonts w:asciiTheme="minorHAnsi" w:hAnsiTheme="minorHAnsi" w:cs="Arial"/>
          <w:bCs/>
          <w:snapToGrid w:val="0"/>
        </w:rPr>
      </w:pPr>
      <w:r w:rsidRPr="00EA6F31">
        <w:rPr>
          <w:rFonts w:asciiTheme="minorHAnsi" w:hAnsiTheme="minorHAnsi" w:cs="Arial"/>
          <w:bCs/>
          <w:snapToGrid w:val="0"/>
        </w:rPr>
        <w:t xml:space="preserve">The Medical Oncology Group of Australia (MOGA) also expressed its strong and ongoing support for nivolumab for treatment of </w:t>
      </w:r>
      <w:r w:rsidRPr="00EA6F31">
        <w:rPr>
          <w:rFonts w:asciiTheme="minorHAnsi" w:eastAsiaTheme="minorHAnsi" w:hAnsiTheme="minorHAnsi" w:cstheme="minorBidi"/>
          <w:szCs w:val="22"/>
        </w:rPr>
        <w:t>S</w:t>
      </w:r>
      <w:r w:rsidR="00534DDA">
        <w:rPr>
          <w:rFonts w:asciiTheme="minorHAnsi" w:eastAsiaTheme="minorHAnsi" w:hAnsiTheme="minorHAnsi" w:cstheme="minorBidi"/>
          <w:szCs w:val="22"/>
        </w:rPr>
        <w:t>C</w:t>
      </w:r>
      <w:r w:rsidRPr="00EA6F31">
        <w:rPr>
          <w:rFonts w:asciiTheme="minorHAnsi" w:eastAsiaTheme="minorHAnsi" w:hAnsiTheme="minorHAnsi" w:cstheme="minorBidi"/>
          <w:szCs w:val="22"/>
        </w:rPr>
        <w:t>CHN</w:t>
      </w:r>
      <w:r w:rsidRPr="00EA6F31">
        <w:rPr>
          <w:rFonts w:asciiTheme="minorHAnsi" w:hAnsiTheme="minorHAnsi" w:cs="Arial"/>
          <w:bCs/>
          <w:snapToGrid w:val="0"/>
        </w:rPr>
        <w:t xml:space="preserve">, on the basis of high clinical need. The PBAC noted that the MOGA presented the European Society for Medical Oncology Magnitude of Clinical Benefit Scale (ESMO-MCBS) </w:t>
      </w:r>
      <w:r w:rsidR="00BE48E8">
        <w:rPr>
          <w:rFonts w:asciiTheme="minorHAnsi" w:hAnsiTheme="minorHAnsi" w:cs="Arial"/>
          <w:bCs/>
          <w:snapToGrid w:val="0"/>
        </w:rPr>
        <w:t>for nivolumab for SCCHN</w:t>
      </w:r>
      <w:r w:rsidRPr="00EA6F31">
        <w:rPr>
          <w:rFonts w:asciiTheme="minorHAnsi" w:hAnsiTheme="minorHAnsi" w:cs="Arial"/>
          <w:bCs/>
          <w:snapToGrid w:val="0"/>
        </w:rPr>
        <w:t xml:space="preserve">, which was </w:t>
      </w:r>
      <w:r w:rsidR="006C12CE">
        <w:rPr>
          <w:rFonts w:asciiTheme="minorHAnsi" w:hAnsiTheme="minorHAnsi" w:cs="Arial"/>
          <w:bCs/>
          <w:snapToGrid w:val="0"/>
        </w:rPr>
        <w:t>5</w:t>
      </w:r>
      <w:r w:rsidRPr="00EA6F31">
        <w:rPr>
          <w:rFonts w:asciiTheme="minorHAnsi" w:hAnsiTheme="minorHAnsi" w:cs="Arial"/>
          <w:bCs/>
          <w:snapToGrid w:val="0"/>
        </w:rPr>
        <w:t xml:space="preserve"> (out of a maximum of 5, where 5 and 4 represent the grades with substantial improvement), based on a comparison with chemotherapy</w:t>
      </w:r>
      <w:r>
        <w:rPr>
          <w:rStyle w:val="FootnoteReference"/>
          <w:rFonts w:asciiTheme="minorHAnsi" w:hAnsiTheme="minorHAnsi" w:cs="Arial"/>
          <w:bCs/>
          <w:snapToGrid w:val="0"/>
        </w:rPr>
        <w:footnoteReference w:id="1"/>
      </w:r>
      <w:r w:rsidR="004F78F7">
        <w:rPr>
          <w:rFonts w:asciiTheme="minorHAnsi" w:hAnsiTheme="minorHAnsi" w:cs="Arial"/>
          <w:bCs/>
          <w:snapToGrid w:val="0"/>
        </w:rPr>
        <w:t>.</w:t>
      </w:r>
      <w:r w:rsidR="006C12CE">
        <w:rPr>
          <w:rFonts w:asciiTheme="minorHAnsi" w:hAnsiTheme="minorHAnsi" w:cs="Arial"/>
          <w:bCs/>
          <w:snapToGrid w:val="0"/>
        </w:rPr>
        <w:t xml:space="preserve"> The </w:t>
      </w:r>
      <w:r w:rsidR="006C12CE" w:rsidRPr="006C12CE">
        <w:rPr>
          <w:rFonts w:asciiTheme="minorHAnsi" w:hAnsiTheme="minorHAnsi" w:cs="Arial"/>
          <w:bCs/>
          <w:snapToGrid w:val="0"/>
        </w:rPr>
        <w:t>PBAC considered that an ESMO-MCBS of 3 better reflected the evidence available</w:t>
      </w:r>
      <w:r w:rsidR="00B206F8">
        <w:rPr>
          <w:rFonts w:asciiTheme="minorHAnsi" w:hAnsiTheme="minorHAnsi" w:cs="Arial"/>
          <w:bCs/>
          <w:snapToGrid w:val="0"/>
        </w:rPr>
        <w:t xml:space="preserve">, </w:t>
      </w:r>
      <w:r w:rsidR="00D94BEE">
        <w:rPr>
          <w:rFonts w:asciiTheme="minorHAnsi" w:hAnsiTheme="minorHAnsi" w:cs="Arial"/>
          <w:bCs/>
          <w:snapToGrid w:val="0"/>
        </w:rPr>
        <w:t xml:space="preserve">and </w:t>
      </w:r>
      <w:r w:rsidR="00B206F8">
        <w:rPr>
          <w:rFonts w:asciiTheme="minorHAnsi" w:hAnsiTheme="minorHAnsi" w:cs="Arial"/>
          <w:bCs/>
          <w:snapToGrid w:val="0"/>
        </w:rPr>
        <w:t>acknowledg</w:t>
      </w:r>
      <w:r w:rsidR="00D94BEE">
        <w:rPr>
          <w:rFonts w:asciiTheme="minorHAnsi" w:hAnsiTheme="minorHAnsi" w:cs="Arial"/>
          <w:bCs/>
          <w:snapToGrid w:val="0"/>
        </w:rPr>
        <w:t>ed</w:t>
      </w:r>
      <w:r w:rsidR="00B206F8">
        <w:rPr>
          <w:rFonts w:asciiTheme="minorHAnsi" w:hAnsiTheme="minorHAnsi" w:cs="Arial"/>
          <w:bCs/>
          <w:snapToGrid w:val="0"/>
        </w:rPr>
        <w:t xml:space="preserve"> that the score may increase with expected updated data</w:t>
      </w:r>
      <w:r w:rsidR="006C12CE" w:rsidRPr="006C12CE">
        <w:rPr>
          <w:rFonts w:asciiTheme="minorHAnsi" w:hAnsiTheme="minorHAnsi" w:cs="Arial"/>
          <w:bCs/>
          <w:snapToGrid w:val="0"/>
        </w:rPr>
        <w:t>.</w:t>
      </w:r>
    </w:p>
    <w:p w:rsidR="00915B58" w:rsidRPr="0037625B" w:rsidRDefault="00915B58" w:rsidP="0037625B">
      <w:pPr>
        <w:pStyle w:val="Heading2"/>
      </w:pPr>
      <w:r w:rsidRPr="0037625B">
        <w:t>Clinical trials</w:t>
      </w:r>
    </w:p>
    <w:p w:rsidR="00EC2082" w:rsidRPr="00162378" w:rsidRDefault="00EC2082"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62378">
        <w:rPr>
          <w:rFonts w:asciiTheme="minorHAnsi" w:eastAsiaTheme="minorHAnsi" w:hAnsiTheme="minorHAnsi" w:cstheme="minorBidi"/>
          <w:snapToGrid/>
          <w:sz w:val="24"/>
          <w:szCs w:val="22"/>
        </w:rPr>
        <w:t xml:space="preserve">As a minor submission, no new clinical </w:t>
      </w:r>
      <w:r w:rsidR="00D5004D">
        <w:rPr>
          <w:rFonts w:asciiTheme="minorHAnsi" w:eastAsiaTheme="minorHAnsi" w:hAnsiTheme="minorHAnsi" w:cstheme="minorBidi"/>
          <w:snapToGrid/>
          <w:sz w:val="24"/>
          <w:szCs w:val="22"/>
        </w:rPr>
        <w:t>evidence</w:t>
      </w:r>
      <w:r w:rsidR="00D5004D" w:rsidRPr="00162378">
        <w:rPr>
          <w:rFonts w:asciiTheme="minorHAnsi" w:eastAsiaTheme="minorHAnsi" w:hAnsiTheme="minorHAnsi" w:cstheme="minorBidi"/>
          <w:snapToGrid/>
          <w:sz w:val="24"/>
          <w:szCs w:val="22"/>
        </w:rPr>
        <w:t xml:space="preserve"> </w:t>
      </w:r>
      <w:r w:rsidR="00D2136C" w:rsidRPr="00162378">
        <w:rPr>
          <w:rFonts w:asciiTheme="minorHAnsi" w:eastAsiaTheme="minorHAnsi" w:hAnsiTheme="minorHAnsi" w:cstheme="minorBidi"/>
          <w:snapToGrid/>
          <w:sz w:val="24"/>
          <w:szCs w:val="22"/>
        </w:rPr>
        <w:t>w</w:t>
      </w:r>
      <w:r w:rsidR="00D2136C">
        <w:rPr>
          <w:rFonts w:asciiTheme="minorHAnsi" w:eastAsiaTheme="minorHAnsi" w:hAnsiTheme="minorHAnsi" w:cstheme="minorBidi"/>
          <w:snapToGrid/>
          <w:sz w:val="24"/>
          <w:szCs w:val="22"/>
        </w:rPr>
        <w:t>as</w:t>
      </w:r>
      <w:r w:rsidRPr="00162378">
        <w:rPr>
          <w:rFonts w:asciiTheme="minorHAnsi" w:eastAsiaTheme="minorHAnsi" w:hAnsiTheme="minorHAnsi" w:cstheme="minorBidi"/>
          <w:snapToGrid/>
          <w:sz w:val="24"/>
          <w:szCs w:val="22"/>
        </w:rPr>
        <w:t xml:space="preserve"> presented in the resubmission.</w:t>
      </w:r>
    </w:p>
    <w:p w:rsidR="00525CAF" w:rsidRPr="00D5004D" w:rsidRDefault="00FE06E9" w:rsidP="00D73F28">
      <w:pPr>
        <w:pStyle w:val="ListParagraph"/>
        <w:widowControl/>
        <w:numPr>
          <w:ilvl w:val="1"/>
          <w:numId w:val="14"/>
        </w:numPr>
        <w:spacing w:before="120" w:after="160"/>
        <w:contextualSpacing w:val="0"/>
        <w:rPr>
          <w:rFonts w:asciiTheme="minorHAnsi" w:hAnsiTheme="minorHAnsi"/>
          <w:sz w:val="28"/>
          <w:szCs w:val="24"/>
        </w:rPr>
      </w:pPr>
      <w:r>
        <w:rPr>
          <w:rFonts w:asciiTheme="minorHAnsi" w:hAnsiTheme="minorHAnsi"/>
          <w:sz w:val="24"/>
        </w:rPr>
        <w:t>The minor resubmission</w:t>
      </w:r>
      <w:r w:rsidR="0066350A">
        <w:rPr>
          <w:rFonts w:asciiTheme="minorHAnsi" w:hAnsiTheme="minorHAnsi"/>
          <w:sz w:val="24"/>
        </w:rPr>
        <w:t xml:space="preserve"> re-emphasised previously presented </w:t>
      </w:r>
      <w:r w:rsidR="00BA131A">
        <w:rPr>
          <w:rFonts w:asciiTheme="minorHAnsi" w:hAnsiTheme="minorHAnsi"/>
          <w:sz w:val="24"/>
        </w:rPr>
        <w:t>q</w:t>
      </w:r>
      <w:r w:rsidR="0066350A">
        <w:rPr>
          <w:rFonts w:asciiTheme="minorHAnsi" w:hAnsiTheme="minorHAnsi"/>
          <w:sz w:val="24"/>
        </w:rPr>
        <w:t xml:space="preserve">uality of </w:t>
      </w:r>
      <w:r w:rsidR="00BA131A">
        <w:rPr>
          <w:rFonts w:asciiTheme="minorHAnsi" w:hAnsiTheme="minorHAnsi"/>
          <w:sz w:val="24"/>
        </w:rPr>
        <w:t>l</w:t>
      </w:r>
      <w:r w:rsidR="0066350A">
        <w:rPr>
          <w:rFonts w:asciiTheme="minorHAnsi" w:hAnsiTheme="minorHAnsi"/>
          <w:sz w:val="24"/>
        </w:rPr>
        <w:t xml:space="preserve">ife (QoL) data </w:t>
      </w:r>
      <w:r w:rsidR="0066350A" w:rsidRPr="0066350A">
        <w:rPr>
          <w:rFonts w:asciiTheme="minorHAnsi" w:hAnsiTheme="minorHAnsi"/>
          <w:sz w:val="24"/>
        </w:rPr>
        <w:t>(EORTC-QLQ-C30, EORTC-QLQ-H&amp;N35 and EQ-5D)</w:t>
      </w:r>
      <w:r w:rsidR="00BA18C0">
        <w:rPr>
          <w:rFonts w:asciiTheme="minorHAnsi" w:hAnsiTheme="minorHAnsi"/>
          <w:sz w:val="24"/>
        </w:rPr>
        <w:t xml:space="preserve">, claiming </w:t>
      </w:r>
      <w:r w:rsidR="0066350A" w:rsidRPr="0066350A">
        <w:rPr>
          <w:rFonts w:asciiTheme="minorHAnsi" w:hAnsiTheme="minorHAnsi"/>
          <w:sz w:val="24"/>
        </w:rPr>
        <w:t xml:space="preserve">that nivolumab stabilised patient-reported symptoms and functioning from baseline to weeks 9 and 15, whereas treatment with the </w:t>
      </w:r>
      <w:r w:rsidR="00D2136C">
        <w:rPr>
          <w:rFonts w:asciiTheme="minorHAnsi" w:hAnsiTheme="minorHAnsi"/>
          <w:sz w:val="24"/>
        </w:rPr>
        <w:t>IC</w:t>
      </w:r>
      <w:r w:rsidR="0066350A" w:rsidRPr="0066350A">
        <w:rPr>
          <w:rFonts w:asciiTheme="minorHAnsi" w:hAnsiTheme="minorHAnsi"/>
          <w:sz w:val="24"/>
        </w:rPr>
        <w:t xml:space="preserve"> led to clinically meaningful deterioration.</w:t>
      </w:r>
    </w:p>
    <w:p w:rsidR="00D5004D" w:rsidRPr="00EB3307" w:rsidRDefault="00D5004D" w:rsidP="00D73F28">
      <w:pPr>
        <w:pStyle w:val="ListParagraph"/>
        <w:widowControl/>
        <w:numPr>
          <w:ilvl w:val="1"/>
          <w:numId w:val="14"/>
        </w:numPr>
        <w:spacing w:before="120" w:after="160"/>
        <w:contextualSpacing w:val="0"/>
        <w:rPr>
          <w:rFonts w:asciiTheme="minorHAnsi" w:hAnsiTheme="minorHAnsi"/>
          <w:sz w:val="28"/>
          <w:szCs w:val="24"/>
        </w:rPr>
      </w:pPr>
      <w:r>
        <w:rPr>
          <w:rFonts w:asciiTheme="minorHAnsi" w:hAnsiTheme="minorHAnsi"/>
          <w:sz w:val="24"/>
        </w:rPr>
        <w:t>The clinical claim was unchanged in the minor resubmission.</w:t>
      </w:r>
    </w:p>
    <w:p w:rsidR="005A3173" w:rsidRPr="00EB3307" w:rsidRDefault="005A3173" w:rsidP="0037625B">
      <w:pPr>
        <w:pStyle w:val="Heading2"/>
      </w:pPr>
      <w:r w:rsidRPr="00EB3307">
        <w:t>Economic analysis</w:t>
      </w:r>
    </w:p>
    <w:p w:rsidR="00245200" w:rsidRPr="00A53EEF" w:rsidRDefault="00537EBA"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hAnsiTheme="minorHAnsi"/>
          <w:sz w:val="24"/>
          <w:szCs w:val="24"/>
        </w:rPr>
        <w:t>In response to several concerns raised by the PBAC at its November 2017 consideration of the major submission</w:t>
      </w:r>
      <w:r w:rsidR="00745776">
        <w:rPr>
          <w:rFonts w:asciiTheme="minorHAnsi" w:hAnsiTheme="minorHAnsi"/>
          <w:sz w:val="24"/>
          <w:szCs w:val="24"/>
        </w:rPr>
        <w:t xml:space="preserve">, </w:t>
      </w:r>
      <w:r>
        <w:rPr>
          <w:rFonts w:asciiTheme="minorHAnsi" w:hAnsiTheme="minorHAnsi"/>
          <w:sz w:val="24"/>
          <w:szCs w:val="24"/>
        </w:rPr>
        <w:t xml:space="preserve">the minor resubmission presented revised assumptions in the cost-utility </w:t>
      </w:r>
      <w:r w:rsidR="00A53EEF" w:rsidRPr="00A53EEF">
        <w:rPr>
          <w:rFonts w:ascii="Calibri" w:eastAsia="Calibri" w:hAnsi="Calibri" w:cs="Calibri"/>
          <w:sz w:val="24"/>
        </w:rPr>
        <w:t xml:space="preserve">(cost per QALY gained) </w:t>
      </w:r>
      <w:r>
        <w:rPr>
          <w:rFonts w:ascii="Calibri" w:eastAsia="Calibri" w:hAnsi="Calibri" w:cs="Calibri"/>
          <w:sz w:val="24"/>
        </w:rPr>
        <w:t>model</w:t>
      </w:r>
      <w:r w:rsidRPr="00A53EEF">
        <w:rPr>
          <w:rFonts w:ascii="Calibri" w:eastAsia="Calibri" w:hAnsi="Calibri" w:cs="Calibri"/>
          <w:sz w:val="24"/>
        </w:rPr>
        <w:t xml:space="preserve"> </w:t>
      </w:r>
      <w:r w:rsidR="00A53EEF" w:rsidRPr="00A53EEF">
        <w:rPr>
          <w:rFonts w:ascii="Calibri" w:eastAsia="Calibri" w:hAnsi="Calibri" w:cs="Calibri"/>
          <w:sz w:val="24"/>
        </w:rPr>
        <w:t>comparing nivolumab to current SOC for the treatment of patients with recurrent or metastatic SCCHN</w:t>
      </w:r>
      <w:r>
        <w:rPr>
          <w:rFonts w:asciiTheme="minorHAnsi" w:hAnsiTheme="minorHAnsi"/>
          <w:sz w:val="24"/>
          <w:szCs w:val="24"/>
        </w:rPr>
        <w:t>.</w:t>
      </w:r>
    </w:p>
    <w:p w:rsidR="00BA301C" w:rsidRPr="00BA301C" w:rsidRDefault="00A53EEF"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53EEF">
        <w:rPr>
          <w:rFonts w:asciiTheme="minorHAnsi" w:hAnsiTheme="minorHAnsi"/>
          <w:sz w:val="24"/>
          <w:szCs w:val="24"/>
        </w:rPr>
        <w:t xml:space="preserve">The PBAC </w:t>
      </w:r>
      <w:r w:rsidR="00537EBA">
        <w:rPr>
          <w:rFonts w:asciiTheme="minorHAnsi" w:hAnsiTheme="minorHAnsi"/>
          <w:sz w:val="24"/>
          <w:szCs w:val="24"/>
        </w:rPr>
        <w:t xml:space="preserve">had </w:t>
      </w:r>
      <w:r w:rsidRPr="00A53EEF">
        <w:rPr>
          <w:rFonts w:asciiTheme="minorHAnsi" w:hAnsiTheme="minorHAnsi"/>
          <w:sz w:val="24"/>
          <w:szCs w:val="24"/>
        </w:rPr>
        <w:t>considered that a number of key drivers in the economic model favoured nivolumab</w:t>
      </w:r>
      <w:r w:rsidR="00A3341E">
        <w:rPr>
          <w:rFonts w:asciiTheme="minorHAnsi" w:hAnsiTheme="minorHAnsi"/>
          <w:sz w:val="24"/>
          <w:szCs w:val="24"/>
        </w:rPr>
        <w:t>,</w:t>
      </w:r>
      <w:r w:rsidR="00850A61">
        <w:rPr>
          <w:rFonts w:asciiTheme="minorHAnsi" w:hAnsiTheme="minorHAnsi"/>
          <w:sz w:val="24"/>
          <w:szCs w:val="24"/>
        </w:rPr>
        <w:t xml:space="preserve"> </w:t>
      </w:r>
      <w:r w:rsidR="00BA301C">
        <w:rPr>
          <w:rFonts w:asciiTheme="minorHAnsi" w:hAnsiTheme="minorHAnsi"/>
          <w:sz w:val="24"/>
          <w:szCs w:val="24"/>
        </w:rPr>
        <w:t xml:space="preserve">including: the model used to extrapolate </w:t>
      </w:r>
      <w:r w:rsidR="00C500B8">
        <w:rPr>
          <w:rFonts w:asciiTheme="minorHAnsi" w:hAnsiTheme="minorHAnsi"/>
          <w:sz w:val="24"/>
          <w:szCs w:val="24"/>
        </w:rPr>
        <w:t>overall survival (</w:t>
      </w:r>
      <w:r w:rsidR="00BA301C">
        <w:rPr>
          <w:rFonts w:asciiTheme="minorHAnsi" w:hAnsiTheme="minorHAnsi"/>
          <w:sz w:val="24"/>
          <w:szCs w:val="24"/>
        </w:rPr>
        <w:t>OS</w:t>
      </w:r>
      <w:r w:rsidR="00C500B8">
        <w:rPr>
          <w:rFonts w:asciiTheme="minorHAnsi" w:hAnsiTheme="minorHAnsi"/>
          <w:sz w:val="24"/>
          <w:szCs w:val="24"/>
        </w:rPr>
        <w:t>)</w:t>
      </w:r>
      <w:r w:rsidR="00BA301C">
        <w:rPr>
          <w:rFonts w:asciiTheme="minorHAnsi" w:hAnsiTheme="minorHAnsi"/>
          <w:sz w:val="24"/>
          <w:szCs w:val="24"/>
        </w:rPr>
        <w:t xml:space="preserve">; the application of different utility values across the post-progression health state; the use of </w:t>
      </w:r>
      <w:r w:rsidR="00A3341E">
        <w:rPr>
          <w:rFonts w:asciiTheme="minorHAnsi" w:hAnsiTheme="minorHAnsi"/>
          <w:sz w:val="24"/>
          <w:szCs w:val="24"/>
        </w:rPr>
        <w:t>progression-free survival (</w:t>
      </w:r>
      <w:r w:rsidR="00BA301C">
        <w:rPr>
          <w:rFonts w:asciiTheme="minorHAnsi" w:hAnsiTheme="minorHAnsi"/>
          <w:sz w:val="24"/>
          <w:szCs w:val="24"/>
        </w:rPr>
        <w:t>PFS</w:t>
      </w:r>
      <w:r w:rsidR="00A3341E">
        <w:rPr>
          <w:rFonts w:asciiTheme="minorHAnsi" w:hAnsiTheme="minorHAnsi"/>
          <w:sz w:val="24"/>
          <w:szCs w:val="24"/>
        </w:rPr>
        <w:t>)</w:t>
      </w:r>
      <w:r w:rsidR="00BA301C">
        <w:rPr>
          <w:rFonts w:asciiTheme="minorHAnsi" w:hAnsiTheme="minorHAnsi"/>
          <w:sz w:val="24"/>
          <w:szCs w:val="24"/>
        </w:rPr>
        <w:t xml:space="preserve"> to estimate treatment duration; and the exclusion of costs associated with subsequent therapies in the economic model </w:t>
      </w:r>
      <w:r w:rsidR="00850A61">
        <w:rPr>
          <w:rFonts w:asciiTheme="minorHAnsi" w:hAnsiTheme="minorHAnsi"/>
          <w:sz w:val="24"/>
          <w:szCs w:val="24"/>
        </w:rPr>
        <w:t>(paragraph</w:t>
      </w:r>
      <w:r w:rsidR="00817F79">
        <w:rPr>
          <w:rFonts w:asciiTheme="minorHAnsi" w:hAnsiTheme="minorHAnsi"/>
          <w:sz w:val="24"/>
          <w:szCs w:val="24"/>
        </w:rPr>
        <w:t>s</w:t>
      </w:r>
      <w:r w:rsidR="00850A61">
        <w:rPr>
          <w:rFonts w:asciiTheme="minorHAnsi" w:hAnsiTheme="minorHAnsi"/>
          <w:sz w:val="24"/>
          <w:szCs w:val="24"/>
        </w:rPr>
        <w:t xml:space="preserve"> 7.11</w:t>
      </w:r>
      <w:r w:rsidR="00BA18C0">
        <w:rPr>
          <w:rFonts w:asciiTheme="minorHAnsi" w:hAnsiTheme="minorHAnsi"/>
          <w:sz w:val="24"/>
          <w:szCs w:val="24"/>
        </w:rPr>
        <w:t xml:space="preserve"> and</w:t>
      </w:r>
      <w:r w:rsidR="00817F79">
        <w:rPr>
          <w:rFonts w:asciiTheme="minorHAnsi" w:hAnsiTheme="minorHAnsi"/>
          <w:sz w:val="24"/>
          <w:szCs w:val="24"/>
        </w:rPr>
        <w:t xml:space="preserve"> 7.19</w:t>
      </w:r>
      <w:r w:rsidR="00537EBA">
        <w:rPr>
          <w:rFonts w:asciiTheme="minorHAnsi" w:hAnsiTheme="minorHAnsi"/>
          <w:sz w:val="24"/>
          <w:szCs w:val="24"/>
        </w:rPr>
        <w:t xml:space="preserve">, November 2017 PBAC </w:t>
      </w:r>
      <w:r w:rsidR="00B72BBB">
        <w:rPr>
          <w:rFonts w:asciiTheme="minorHAnsi" w:hAnsiTheme="minorHAnsi"/>
          <w:sz w:val="24"/>
          <w:szCs w:val="24"/>
        </w:rPr>
        <w:t>PSD</w:t>
      </w:r>
      <w:r w:rsidR="00850A61">
        <w:rPr>
          <w:rFonts w:asciiTheme="minorHAnsi" w:hAnsiTheme="minorHAnsi"/>
          <w:sz w:val="24"/>
          <w:szCs w:val="24"/>
        </w:rPr>
        <w:t>)</w:t>
      </w:r>
      <w:r w:rsidR="00BA301C">
        <w:rPr>
          <w:rFonts w:asciiTheme="minorHAnsi" w:hAnsiTheme="minorHAnsi"/>
          <w:sz w:val="24"/>
          <w:szCs w:val="24"/>
        </w:rPr>
        <w:t>. The Committee</w:t>
      </w:r>
      <w:r w:rsidR="00850A61">
        <w:rPr>
          <w:rFonts w:asciiTheme="minorHAnsi" w:hAnsiTheme="minorHAnsi"/>
          <w:sz w:val="24"/>
          <w:szCs w:val="24"/>
        </w:rPr>
        <w:t xml:space="preserve"> </w:t>
      </w:r>
      <w:r w:rsidR="00537EBA">
        <w:rPr>
          <w:rFonts w:asciiTheme="minorHAnsi" w:hAnsiTheme="minorHAnsi"/>
          <w:sz w:val="24"/>
          <w:szCs w:val="24"/>
        </w:rPr>
        <w:t xml:space="preserve">had </w:t>
      </w:r>
      <w:r w:rsidR="00850A61" w:rsidRPr="00850A61">
        <w:rPr>
          <w:rFonts w:asciiTheme="minorHAnsi" w:hAnsiTheme="minorHAnsi"/>
          <w:sz w:val="24"/>
          <w:szCs w:val="24"/>
        </w:rPr>
        <w:t xml:space="preserve">advised </w:t>
      </w:r>
      <w:r w:rsidR="00850A61">
        <w:rPr>
          <w:rFonts w:asciiTheme="minorHAnsi" w:hAnsiTheme="minorHAnsi"/>
          <w:sz w:val="24"/>
          <w:szCs w:val="24"/>
        </w:rPr>
        <w:t xml:space="preserve">that </w:t>
      </w:r>
      <w:r w:rsidR="00850A61" w:rsidRPr="00850A61">
        <w:rPr>
          <w:rFonts w:asciiTheme="minorHAnsi" w:hAnsiTheme="minorHAnsi"/>
          <w:sz w:val="24"/>
          <w:szCs w:val="24"/>
        </w:rPr>
        <w:t>any future resubmission should address these issues</w:t>
      </w:r>
      <w:r w:rsidR="00537EBA">
        <w:rPr>
          <w:rFonts w:asciiTheme="minorHAnsi" w:hAnsiTheme="minorHAnsi"/>
          <w:sz w:val="24"/>
          <w:szCs w:val="24"/>
        </w:rPr>
        <w:t xml:space="preserve"> with the economic model</w:t>
      </w:r>
      <w:r w:rsidR="007A537A">
        <w:rPr>
          <w:rFonts w:asciiTheme="minorHAnsi" w:hAnsiTheme="minorHAnsi"/>
          <w:sz w:val="24"/>
          <w:szCs w:val="24"/>
        </w:rPr>
        <w:t>.</w:t>
      </w:r>
    </w:p>
    <w:p w:rsidR="00DE4093" w:rsidRPr="00850A61" w:rsidRDefault="00773265" w:rsidP="00DE409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bookmarkStart w:id="0" w:name="_Ref504656648"/>
      <w:r>
        <w:rPr>
          <w:rFonts w:asciiTheme="minorHAnsi" w:hAnsiTheme="minorHAnsi"/>
          <w:sz w:val="24"/>
          <w:szCs w:val="24"/>
        </w:rPr>
        <w:t>Revisions to the key assumptions in the economic model across the November 2017 and March 2018 submission</w:t>
      </w:r>
      <w:r w:rsidR="009465B3">
        <w:rPr>
          <w:rFonts w:asciiTheme="minorHAnsi" w:hAnsiTheme="minorHAnsi"/>
          <w:sz w:val="24"/>
          <w:szCs w:val="24"/>
        </w:rPr>
        <w:t>s</w:t>
      </w:r>
      <w:r>
        <w:rPr>
          <w:rFonts w:asciiTheme="minorHAnsi" w:hAnsiTheme="minorHAnsi"/>
          <w:sz w:val="24"/>
          <w:szCs w:val="24"/>
        </w:rPr>
        <w:t xml:space="preserve"> are presented in the table below.</w:t>
      </w:r>
    </w:p>
    <w:p w:rsidR="00024BD4" w:rsidRPr="00D73F28" w:rsidRDefault="00024BD4" w:rsidP="00445FCD">
      <w:pPr>
        <w:pStyle w:val="Caption"/>
        <w:keepNext/>
        <w:spacing w:before="120" w:after="60"/>
        <w:jc w:val="both"/>
        <w:rPr>
          <w:rFonts w:ascii="Arial Narrow" w:hAnsi="Arial Narrow"/>
          <w:color w:val="auto"/>
          <w:sz w:val="20"/>
          <w:szCs w:val="20"/>
        </w:rPr>
      </w:pPr>
      <w:bookmarkStart w:id="1" w:name="_GoBack"/>
      <w:bookmarkEnd w:id="1"/>
      <w:r w:rsidRPr="00D73F28">
        <w:rPr>
          <w:rFonts w:ascii="Arial Narrow" w:hAnsi="Arial Narrow"/>
          <w:color w:val="auto"/>
          <w:sz w:val="20"/>
          <w:szCs w:val="20"/>
        </w:rPr>
        <w:t xml:space="preserve">Table </w:t>
      </w:r>
      <w:bookmarkEnd w:id="0"/>
      <w:r w:rsidR="002C4F25">
        <w:rPr>
          <w:rFonts w:ascii="Arial Narrow" w:hAnsi="Arial Narrow"/>
          <w:color w:val="auto"/>
          <w:sz w:val="20"/>
          <w:szCs w:val="20"/>
        </w:rPr>
        <w:t>2</w:t>
      </w:r>
      <w:r w:rsidRPr="00D73F28">
        <w:rPr>
          <w:rFonts w:ascii="Arial Narrow" w:hAnsi="Arial Narrow"/>
          <w:color w:val="auto"/>
          <w:sz w:val="20"/>
          <w:szCs w:val="20"/>
        </w:rPr>
        <w:t xml:space="preserve">: </w:t>
      </w:r>
      <w:r w:rsidR="00745776">
        <w:rPr>
          <w:rFonts w:ascii="Arial Narrow" w:hAnsi="Arial Narrow"/>
          <w:color w:val="auto"/>
          <w:sz w:val="20"/>
          <w:szCs w:val="20"/>
        </w:rPr>
        <w:t>Revisions to the economic model</w:t>
      </w:r>
      <w:r w:rsidR="006A0846">
        <w:rPr>
          <w:rFonts w:ascii="Arial Narrow" w:hAnsi="Arial Narrow"/>
          <w:color w:val="auto"/>
          <w:sz w:val="20"/>
          <w:szCs w:val="20"/>
        </w:rPr>
        <w:t xml:space="preserve"> across submissions</w:t>
      </w:r>
    </w:p>
    <w:tbl>
      <w:tblPr>
        <w:tblStyle w:val="TableGrid"/>
        <w:tblW w:w="5000" w:type="pct"/>
        <w:tblLook w:val="04A0" w:firstRow="1" w:lastRow="0" w:firstColumn="1" w:lastColumn="0" w:noHBand="0" w:noVBand="1"/>
      </w:tblPr>
      <w:tblGrid>
        <w:gridCol w:w="1990"/>
        <w:gridCol w:w="2512"/>
        <w:gridCol w:w="2126"/>
        <w:gridCol w:w="2614"/>
      </w:tblGrid>
      <w:tr w:rsidR="00766E04" w:rsidRPr="00862162" w:rsidTr="005A5119">
        <w:tc>
          <w:tcPr>
            <w:tcW w:w="1077" w:type="pct"/>
            <w:tcBorders>
              <w:bottom w:val="single" w:sz="4" w:space="0" w:color="auto"/>
            </w:tcBorders>
            <w:shd w:val="clear" w:color="auto" w:fill="auto"/>
            <w:vAlign w:val="center"/>
          </w:tcPr>
          <w:p w:rsidR="00766E04" w:rsidRPr="00862162" w:rsidRDefault="00766E04" w:rsidP="00445FCD">
            <w:pPr>
              <w:pStyle w:val="Tabletext"/>
              <w:keepNext/>
              <w:spacing w:before="100" w:beforeAutospacing="1" w:after="100" w:afterAutospacing="1"/>
              <w:jc w:val="center"/>
              <w:rPr>
                <w:rFonts w:ascii="Arial Narrow" w:hAnsi="Arial Narrow"/>
                <w:b/>
              </w:rPr>
            </w:pPr>
            <w:r w:rsidRPr="00862162">
              <w:rPr>
                <w:rFonts w:ascii="Arial Narrow" w:hAnsi="Arial Narrow"/>
                <w:b/>
              </w:rPr>
              <w:t>Matters of outstanding concern</w:t>
            </w:r>
          </w:p>
        </w:tc>
        <w:tc>
          <w:tcPr>
            <w:tcW w:w="1359" w:type="pct"/>
            <w:tcBorders>
              <w:bottom w:val="single" w:sz="4" w:space="0" w:color="auto"/>
            </w:tcBorders>
            <w:shd w:val="clear" w:color="auto" w:fill="auto"/>
            <w:vAlign w:val="center"/>
          </w:tcPr>
          <w:p w:rsidR="00766E04" w:rsidRPr="00862162" w:rsidRDefault="00766E04" w:rsidP="00BA131A">
            <w:pPr>
              <w:pStyle w:val="Tabletext"/>
              <w:keepNext/>
              <w:spacing w:before="100" w:beforeAutospacing="1" w:after="100" w:afterAutospacing="1"/>
              <w:jc w:val="center"/>
              <w:rPr>
                <w:rFonts w:ascii="Arial Narrow" w:hAnsi="Arial Narrow"/>
                <w:b/>
              </w:rPr>
            </w:pPr>
            <w:r w:rsidRPr="00862162">
              <w:rPr>
                <w:rFonts w:ascii="Arial Narrow" w:hAnsi="Arial Narrow"/>
                <w:b/>
              </w:rPr>
              <w:t xml:space="preserve">Nov-17 </w:t>
            </w:r>
            <w:r w:rsidR="00BA131A" w:rsidRPr="00862162">
              <w:rPr>
                <w:rFonts w:ascii="Arial Narrow" w:hAnsi="Arial Narrow"/>
                <w:b/>
              </w:rPr>
              <w:t>m</w:t>
            </w:r>
            <w:r w:rsidRPr="00862162">
              <w:rPr>
                <w:rFonts w:ascii="Arial Narrow" w:hAnsi="Arial Narrow"/>
                <w:b/>
              </w:rPr>
              <w:t>ajor submission</w:t>
            </w:r>
          </w:p>
        </w:tc>
        <w:tc>
          <w:tcPr>
            <w:tcW w:w="1150" w:type="pct"/>
            <w:tcBorders>
              <w:bottom w:val="single" w:sz="4" w:space="0" w:color="auto"/>
            </w:tcBorders>
            <w:shd w:val="clear" w:color="auto" w:fill="auto"/>
            <w:vAlign w:val="center"/>
          </w:tcPr>
          <w:p w:rsidR="00766E04" w:rsidRPr="00862162" w:rsidRDefault="00766E04" w:rsidP="00445FCD">
            <w:pPr>
              <w:pStyle w:val="Tabletext"/>
              <w:keepNext/>
              <w:spacing w:before="100" w:beforeAutospacing="1" w:after="100" w:afterAutospacing="1"/>
              <w:jc w:val="center"/>
              <w:rPr>
                <w:rFonts w:ascii="Arial Narrow" w:hAnsi="Arial Narrow"/>
                <w:b/>
              </w:rPr>
            </w:pPr>
            <w:r w:rsidRPr="00862162">
              <w:rPr>
                <w:rFonts w:ascii="Arial Narrow" w:hAnsi="Arial Narrow"/>
                <w:b/>
              </w:rPr>
              <w:t>Nov-17 Pre-PBAC response</w:t>
            </w:r>
          </w:p>
        </w:tc>
        <w:tc>
          <w:tcPr>
            <w:tcW w:w="1414" w:type="pct"/>
            <w:tcBorders>
              <w:bottom w:val="single" w:sz="4" w:space="0" w:color="auto"/>
            </w:tcBorders>
            <w:shd w:val="clear" w:color="auto" w:fill="auto"/>
            <w:vAlign w:val="center"/>
          </w:tcPr>
          <w:p w:rsidR="00766E04" w:rsidRPr="00862162" w:rsidRDefault="00D41FCF" w:rsidP="00BA131A">
            <w:pPr>
              <w:pStyle w:val="Tabletext"/>
              <w:keepNext/>
              <w:spacing w:before="100" w:beforeAutospacing="1" w:after="100" w:afterAutospacing="1"/>
              <w:jc w:val="center"/>
              <w:rPr>
                <w:rFonts w:ascii="Arial Narrow" w:hAnsi="Arial Narrow"/>
                <w:b/>
              </w:rPr>
            </w:pPr>
            <w:r>
              <w:rPr>
                <w:rFonts w:ascii="Arial Narrow" w:hAnsi="Arial Narrow"/>
                <w:b/>
              </w:rPr>
              <w:t>Mar</w:t>
            </w:r>
            <w:r w:rsidR="00766E04" w:rsidRPr="00862162">
              <w:rPr>
                <w:rFonts w:ascii="Arial Narrow" w:hAnsi="Arial Narrow"/>
                <w:b/>
              </w:rPr>
              <w:t xml:space="preserve">-18 </w:t>
            </w:r>
            <w:r w:rsidR="00BA131A" w:rsidRPr="00862162">
              <w:rPr>
                <w:rFonts w:ascii="Arial Narrow" w:hAnsi="Arial Narrow"/>
                <w:b/>
              </w:rPr>
              <w:t>m</w:t>
            </w:r>
            <w:r w:rsidR="00766E04" w:rsidRPr="00862162">
              <w:rPr>
                <w:rFonts w:ascii="Arial Narrow" w:hAnsi="Arial Narrow"/>
                <w:b/>
              </w:rPr>
              <w:t>inor resubmission</w:t>
            </w:r>
          </w:p>
        </w:tc>
      </w:tr>
      <w:tr w:rsidR="00766E04" w:rsidRPr="00862162" w:rsidTr="00082FBC">
        <w:trPr>
          <w:trHeight w:val="359"/>
        </w:trPr>
        <w:tc>
          <w:tcPr>
            <w:tcW w:w="5000" w:type="pct"/>
            <w:gridSpan w:val="4"/>
            <w:shd w:val="clear" w:color="auto" w:fill="auto"/>
            <w:vAlign w:val="center"/>
          </w:tcPr>
          <w:p w:rsidR="00766E04" w:rsidRPr="00862162" w:rsidRDefault="00082FBC" w:rsidP="00445FCD">
            <w:pPr>
              <w:pStyle w:val="Tabletext"/>
              <w:keepNext/>
              <w:spacing w:before="100" w:beforeAutospacing="1" w:after="100" w:afterAutospacing="1"/>
              <w:jc w:val="center"/>
              <w:rPr>
                <w:rFonts w:ascii="Arial Narrow" w:hAnsi="Arial Narrow"/>
              </w:rPr>
            </w:pPr>
            <w:r w:rsidRPr="00862162">
              <w:rPr>
                <w:rFonts w:ascii="Arial Narrow" w:hAnsi="Arial Narrow"/>
              </w:rPr>
              <w:t>KEY ASSUMPTIONS</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Time &amp; convergence</w:t>
            </w:r>
          </w:p>
        </w:tc>
        <w:tc>
          <w:tcPr>
            <w:tcW w:w="1359" w:type="pct"/>
            <w:vAlign w:val="center"/>
          </w:tcPr>
          <w:p w:rsidR="00766E04" w:rsidRPr="000F2ABF" w:rsidRDefault="007B0774" w:rsidP="00445FCD">
            <w:pPr>
              <w:pStyle w:val="Tabletext"/>
              <w:keepNext/>
              <w:spacing w:before="100" w:beforeAutospacing="1" w:after="100" w:afterAutospacing="1"/>
              <w:jc w:val="center"/>
              <w:rPr>
                <w:rFonts w:ascii="Arial Narrow" w:hAnsi="Arial Narrow"/>
              </w:rPr>
            </w:pPr>
            <w:r>
              <w:rPr>
                <w:rFonts w:ascii="Arial Narrow" w:hAnsi="Arial Narrow"/>
                <w:noProof/>
                <w:color w:val="000000"/>
                <w:highlight w:val="black"/>
              </w:rPr>
              <w:t>''''</w:t>
            </w:r>
            <w:r w:rsidR="00766E04" w:rsidRPr="00B55EC8">
              <w:rPr>
                <w:rFonts w:ascii="Arial Narrow" w:hAnsi="Arial Narrow"/>
              </w:rPr>
              <w:t xml:space="preserve"> years; </w:t>
            </w:r>
            <w:r w:rsidR="00766E04" w:rsidRPr="0009556E">
              <w:rPr>
                <w:rFonts w:ascii="Arial Narrow" w:hAnsi="Arial Narrow"/>
              </w:rPr>
              <w:t xml:space="preserve">converge from </w:t>
            </w:r>
            <w:r>
              <w:rPr>
                <w:rFonts w:ascii="Arial Narrow" w:hAnsi="Arial Narrow"/>
                <w:noProof/>
                <w:color w:val="000000"/>
                <w:highlight w:val="black"/>
              </w:rPr>
              <w:t>'''</w:t>
            </w:r>
            <w:r w:rsidR="00766E04" w:rsidRPr="0009556E">
              <w:rPr>
                <w:rFonts w:ascii="Arial Narrow" w:hAnsi="Arial Narrow"/>
              </w:rPr>
              <w:t xml:space="preserve"> years</w:t>
            </w:r>
          </w:p>
        </w:tc>
        <w:tc>
          <w:tcPr>
            <w:tcW w:w="1150"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c>
          <w:tcPr>
            <w:tcW w:w="1414"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Parametric function</w:t>
            </w:r>
          </w:p>
        </w:tc>
        <w:tc>
          <w:tcPr>
            <w:tcW w:w="1359"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Log-logistic PFS &amp; OS</w:t>
            </w:r>
          </w:p>
        </w:tc>
        <w:tc>
          <w:tcPr>
            <w:tcW w:w="1150"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c>
          <w:tcPr>
            <w:tcW w:w="1414"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KM estimates</w:t>
            </w:r>
          </w:p>
        </w:tc>
        <w:tc>
          <w:tcPr>
            <w:tcW w:w="1359" w:type="pct"/>
            <w:vAlign w:val="center"/>
          </w:tcPr>
          <w:p w:rsidR="00766E04" w:rsidRPr="000F2ABF" w:rsidRDefault="00766E04" w:rsidP="00394602">
            <w:pPr>
              <w:pStyle w:val="Tabletext"/>
              <w:keepNext/>
              <w:spacing w:before="100" w:beforeAutospacing="1" w:after="100" w:afterAutospacing="1"/>
              <w:jc w:val="center"/>
              <w:rPr>
                <w:rFonts w:ascii="Arial Narrow" w:hAnsi="Arial Narrow"/>
              </w:rPr>
            </w:pPr>
            <w:r w:rsidRPr="000F2ABF">
              <w:rPr>
                <w:rFonts w:ascii="Arial Narrow" w:hAnsi="Arial Narrow"/>
              </w:rPr>
              <w:t xml:space="preserve">Median time to </w:t>
            </w:r>
            <w:r w:rsidR="00394602">
              <w:rPr>
                <w:rFonts w:ascii="Arial Narrow" w:hAnsi="Arial Narrow"/>
              </w:rPr>
              <w:t>follow-up</w:t>
            </w:r>
          </w:p>
        </w:tc>
        <w:tc>
          <w:tcPr>
            <w:tcW w:w="1150"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c>
          <w:tcPr>
            <w:tcW w:w="1414"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Utilities</w:t>
            </w:r>
          </w:p>
        </w:tc>
        <w:tc>
          <w:tcPr>
            <w:tcW w:w="1359" w:type="pct"/>
            <w:vAlign w:val="center"/>
          </w:tcPr>
          <w:p w:rsidR="00766E04" w:rsidRPr="000F2ABF" w:rsidRDefault="00BA18C0" w:rsidP="00BA18C0">
            <w:pPr>
              <w:pStyle w:val="Tabletext"/>
              <w:keepNext/>
              <w:spacing w:before="100" w:beforeAutospacing="1" w:after="100" w:afterAutospacing="1"/>
              <w:jc w:val="center"/>
              <w:rPr>
                <w:rFonts w:ascii="Arial Narrow" w:hAnsi="Arial Narrow"/>
              </w:rPr>
            </w:pPr>
            <w:r w:rsidRPr="000F2ABF">
              <w:rPr>
                <w:rFonts w:ascii="Arial Narrow" w:hAnsi="Arial Narrow"/>
              </w:rPr>
              <w:t>T</w:t>
            </w:r>
            <w:r>
              <w:rPr>
                <w:rFonts w:ascii="Arial Narrow" w:hAnsi="Arial Narrow"/>
              </w:rPr>
              <w:t>reatment</w:t>
            </w:r>
            <w:r w:rsidRPr="000F2ABF">
              <w:rPr>
                <w:rFonts w:ascii="Arial Narrow" w:hAnsi="Arial Narrow"/>
              </w:rPr>
              <w:t xml:space="preserve"> </w:t>
            </w:r>
            <w:r w:rsidR="00766E04" w:rsidRPr="000F2ABF">
              <w:rPr>
                <w:rFonts w:ascii="Arial Narrow" w:hAnsi="Arial Narrow"/>
              </w:rPr>
              <w:t>specific based on CA209141</w:t>
            </w:r>
          </w:p>
        </w:tc>
        <w:tc>
          <w:tcPr>
            <w:tcW w:w="1150"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c>
          <w:tcPr>
            <w:tcW w:w="1414" w:type="pct"/>
            <w:vAlign w:val="center"/>
          </w:tcPr>
          <w:p w:rsidR="00766E04" w:rsidRPr="000F2ABF" w:rsidRDefault="005973EE" w:rsidP="005973EE">
            <w:pPr>
              <w:pStyle w:val="Tabletext"/>
              <w:keepNext/>
              <w:spacing w:before="100" w:beforeAutospacing="1" w:after="100" w:afterAutospacing="1"/>
              <w:jc w:val="center"/>
              <w:rPr>
                <w:rFonts w:ascii="Arial Narrow" w:hAnsi="Arial Narrow"/>
              </w:rPr>
            </w:pPr>
            <w:r w:rsidRPr="000F2ABF">
              <w:rPr>
                <w:rFonts w:ascii="Arial Narrow" w:hAnsi="Arial Narrow"/>
              </w:rPr>
              <w:t>T</w:t>
            </w:r>
            <w:r>
              <w:rPr>
                <w:rFonts w:ascii="Arial Narrow" w:hAnsi="Arial Narrow"/>
              </w:rPr>
              <w:t>reatment-</w:t>
            </w:r>
            <w:r w:rsidR="00766E04" w:rsidRPr="000F2ABF">
              <w:rPr>
                <w:rFonts w:ascii="Arial Narrow" w:hAnsi="Arial Narrow"/>
              </w:rPr>
              <w:t xml:space="preserve">specific </w:t>
            </w:r>
            <w:r>
              <w:rPr>
                <w:rFonts w:ascii="Arial Narrow" w:hAnsi="Arial Narrow"/>
              </w:rPr>
              <w:t>utilities</w:t>
            </w:r>
            <w:r w:rsidR="00766E04" w:rsidRPr="000F2ABF">
              <w:rPr>
                <w:rFonts w:ascii="Arial Narrow" w:hAnsi="Arial Narrow"/>
              </w:rPr>
              <w:t xml:space="preserve"> within trial; same values post-trial</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Patient weight</w:t>
            </w:r>
          </w:p>
        </w:tc>
        <w:tc>
          <w:tcPr>
            <w:tcW w:w="1359" w:type="pct"/>
            <w:vAlign w:val="center"/>
          </w:tcPr>
          <w:p w:rsidR="00766E04" w:rsidRPr="000F2ABF" w:rsidRDefault="007B0774" w:rsidP="00445FCD">
            <w:pPr>
              <w:pStyle w:val="Tabletext"/>
              <w:keepNext/>
              <w:spacing w:before="100" w:beforeAutospacing="1" w:after="100" w:afterAutospacing="1"/>
              <w:jc w:val="center"/>
              <w:rPr>
                <w:rFonts w:ascii="Arial Narrow" w:hAnsi="Arial Narrow"/>
              </w:rPr>
            </w:pPr>
            <w:r>
              <w:rPr>
                <w:rFonts w:ascii="Arial Narrow" w:hAnsi="Arial Narrow"/>
                <w:noProof/>
                <w:color w:val="000000"/>
                <w:highlight w:val="black"/>
              </w:rPr>
              <w:t>''''''''''''</w:t>
            </w:r>
            <w:r w:rsidR="00766E04" w:rsidRPr="000F2ABF">
              <w:rPr>
                <w:rFonts w:ascii="Arial Narrow" w:hAnsi="Arial Narrow"/>
              </w:rPr>
              <w:t xml:space="preserve"> kg</w:t>
            </w:r>
          </w:p>
        </w:tc>
        <w:tc>
          <w:tcPr>
            <w:tcW w:w="1150"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c>
          <w:tcPr>
            <w:tcW w:w="1414"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Unchanged</w:t>
            </w:r>
          </w:p>
        </w:tc>
      </w:tr>
      <w:tr w:rsidR="00766E04" w:rsidRPr="000F2ABF" w:rsidTr="005A5119">
        <w:trPr>
          <w:trHeight w:val="269"/>
        </w:trPr>
        <w:tc>
          <w:tcPr>
            <w:tcW w:w="1077" w:type="pct"/>
            <w:vAlign w:val="center"/>
          </w:tcPr>
          <w:p w:rsidR="00766E04" w:rsidRPr="000F2ABF" w:rsidRDefault="00766E04" w:rsidP="00773265">
            <w:pPr>
              <w:pStyle w:val="Tabletext"/>
              <w:keepNext/>
              <w:spacing w:before="100" w:beforeAutospacing="1" w:after="100" w:afterAutospacing="1"/>
              <w:jc w:val="center"/>
              <w:rPr>
                <w:rFonts w:ascii="Arial Narrow" w:hAnsi="Arial Narrow"/>
              </w:rPr>
            </w:pPr>
            <w:r w:rsidRPr="000F2ABF">
              <w:rPr>
                <w:rFonts w:ascii="Arial Narrow" w:hAnsi="Arial Narrow"/>
              </w:rPr>
              <w:t>Max</w:t>
            </w:r>
            <w:r w:rsidR="00773265">
              <w:rPr>
                <w:rFonts w:ascii="Arial Narrow" w:hAnsi="Arial Narrow"/>
              </w:rPr>
              <w:t>imum duration of treatment</w:t>
            </w:r>
          </w:p>
        </w:tc>
        <w:tc>
          <w:tcPr>
            <w:tcW w:w="1359" w:type="pct"/>
            <w:vAlign w:val="center"/>
          </w:tcPr>
          <w:p w:rsidR="00766E04" w:rsidRPr="00B55EC8" w:rsidRDefault="00766E04" w:rsidP="00445FCD">
            <w:pPr>
              <w:pStyle w:val="Tabletext"/>
              <w:keepNext/>
              <w:spacing w:before="100" w:beforeAutospacing="1" w:after="100" w:afterAutospacing="1"/>
              <w:jc w:val="center"/>
              <w:rPr>
                <w:rFonts w:ascii="Arial Narrow" w:hAnsi="Arial Narrow"/>
              </w:rPr>
            </w:pPr>
            <w:r w:rsidRPr="00B55EC8">
              <w:rPr>
                <w:rFonts w:ascii="Arial Narrow" w:hAnsi="Arial Narrow"/>
              </w:rPr>
              <w:t>Modelled PFS</w:t>
            </w:r>
          </w:p>
        </w:tc>
        <w:tc>
          <w:tcPr>
            <w:tcW w:w="1150" w:type="pct"/>
            <w:vAlign w:val="center"/>
          </w:tcPr>
          <w:p w:rsidR="00766E04" w:rsidRPr="00B55EC8" w:rsidRDefault="00766E04" w:rsidP="00394602">
            <w:pPr>
              <w:pStyle w:val="Tabletext"/>
              <w:keepNext/>
              <w:spacing w:before="100" w:beforeAutospacing="1" w:after="100" w:afterAutospacing="1"/>
              <w:jc w:val="center"/>
              <w:rPr>
                <w:rFonts w:ascii="Arial Narrow" w:hAnsi="Arial Narrow"/>
              </w:rPr>
            </w:pPr>
            <w:r w:rsidRPr="00B55EC8">
              <w:rPr>
                <w:rFonts w:ascii="Arial Narrow" w:hAnsi="Arial Narrow"/>
              </w:rPr>
              <w:t xml:space="preserve">Modelled </w:t>
            </w:r>
            <w:r w:rsidR="00394602" w:rsidRPr="00B55EC8">
              <w:rPr>
                <w:rFonts w:ascii="Arial Narrow" w:hAnsi="Arial Narrow"/>
              </w:rPr>
              <w:t xml:space="preserve">nivolumab </w:t>
            </w:r>
            <w:r w:rsidRPr="00B55EC8">
              <w:rPr>
                <w:rFonts w:ascii="Arial Narrow" w:hAnsi="Arial Narrow"/>
              </w:rPr>
              <w:t xml:space="preserve">PFS + </w:t>
            </w:r>
            <w:r w:rsidR="007B0774">
              <w:rPr>
                <w:rFonts w:ascii="Arial Narrow" w:hAnsi="Arial Narrow"/>
                <w:noProof/>
                <w:color w:val="000000"/>
                <w:highlight w:val="black"/>
              </w:rPr>
              <w:t>'''''''''''</w:t>
            </w:r>
            <w:r w:rsidRPr="00B55EC8">
              <w:rPr>
                <w:rFonts w:ascii="Arial Narrow" w:hAnsi="Arial Narrow"/>
              </w:rPr>
              <w:t>%</w:t>
            </w:r>
          </w:p>
        </w:tc>
        <w:tc>
          <w:tcPr>
            <w:tcW w:w="1414" w:type="pct"/>
            <w:vAlign w:val="center"/>
          </w:tcPr>
          <w:p w:rsidR="005973EE" w:rsidRPr="00B55EC8" w:rsidRDefault="005973EE" w:rsidP="005973EE">
            <w:pPr>
              <w:pStyle w:val="Tabletext"/>
              <w:keepNext/>
              <w:spacing w:before="100" w:beforeAutospacing="1" w:after="100" w:afterAutospacing="1"/>
              <w:jc w:val="center"/>
              <w:rPr>
                <w:rFonts w:ascii="Arial Narrow" w:hAnsi="Arial Narrow"/>
              </w:rPr>
            </w:pPr>
            <w:r w:rsidRPr="00B55EC8">
              <w:rPr>
                <w:rFonts w:ascii="Arial Narrow" w:hAnsi="Arial Narrow"/>
              </w:rPr>
              <w:t>Unchanged</w:t>
            </w:r>
          </w:p>
        </w:tc>
      </w:tr>
      <w:tr w:rsidR="00766E04" w:rsidRPr="000F2ABF" w:rsidTr="005A5119">
        <w:tc>
          <w:tcPr>
            <w:tcW w:w="1077" w:type="pct"/>
            <w:tcBorders>
              <w:bottom w:val="single" w:sz="4" w:space="0" w:color="auto"/>
            </w:tcBorders>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Price per 100</w:t>
            </w:r>
            <w:r w:rsidR="00005831">
              <w:rPr>
                <w:rFonts w:ascii="Arial Narrow" w:hAnsi="Arial Narrow"/>
              </w:rPr>
              <w:t> </w:t>
            </w:r>
            <w:r w:rsidRPr="000F2ABF">
              <w:rPr>
                <w:rFonts w:ascii="Arial Narrow" w:hAnsi="Arial Narrow"/>
              </w:rPr>
              <w:t>mg vial</w:t>
            </w:r>
          </w:p>
        </w:tc>
        <w:tc>
          <w:tcPr>
            <w:tcW w:w="1359" w:type="pct"/>
            <w:tcBorders>
              <w:bottom w:val="single" w:sz="4" w:space="0" w:color="auto"/>
            </w:tcBorders>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150" w:type="pct"/>
            <w:tcBorders>
              <w:bottom w:val="single" w:sz="4" w:space="0" w:color="auto"/>
            </w:tcBorders>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414" w:type="pct"/>
            <w:tcBorders>
              <w:bottom w:val="single" w:sz="4" w:space="0" w:color="auto"/>
            </w:tcBorders>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r>
      <w:tr w:rsidR="00766E04" w:rsidRPr="000F2ABF" w:rsidTr="00082FBC">
        <w:trPr>
          <w:trHeight w:val="423"/>
        </w:trPr>
        <w:tc>
          <w:tcPr>
            <w:tcW w:w="5000" w:type="pct"/>
            <w:gridSpan w:val="4"/>
            <w:shd w:val="clear" w:color="auto" w:fill="auto"/>
            <w:vAlign w:val="center"/>
          </w:tcPr>
          <w:p w:rsidR="00766E04" w:rsidRPr="00B55EC8" w:rsidRDefault="00766E04" w:rsidP="00445FCD">
            <w:pPr>
              <w:pStyle w:val="Tabletext"/>
              <w:keepNext/>
              <w:spacing w:before="100" w:beforeAutospacing="1" w:after="100" w:afterAutospacing="1"/>
              <w:jc w:val="center"/>
              <w:rPr>
                <w:rFonts w:ascii="Arial Narrow" w:hAnsi="Arial Narrow"/>
              </w:rPr>
            </w:pPr>
            <w:r w:rsidRPr="00B55EC8">
              <w:rPr>
                <w:rFonts w:ascii="Arial Narrow" w:hAnsi="Arial Narrow"/>
              </w:rPr>
              <w:t>ICER</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Cost/LY</w:t>
            </w:r>
          </w:p>
        </w:tc>
        <w:tc>
          <w:tcPr>
            <w:tcW w:w="1359" w:type="pct"/>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150" w:type="pct"/>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414" w:type="pct"/>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r>
      <w:tr w:rsidR="00766E04" w:rsidRPr="000F2ABF" w:rsidTr="005A5119">
        <w:tc>
          <w:tcPr>
            <w:tcW w:w="1077" w:type="pct"/>
            <w:vAlign w:val="center"/>
          </w:tcPr>
          <w:p w:rsidR="00766E04" w:rsidRPr="000F2ABF" w:rsidRDefault="00766E04" w:rsidP="00445FCD">
            <w:pPr>
              <w:pStyle w:val="Tabletext"/>
              <w:keepNext/>
              <w:spacing w:before="100" w:beforeAutospacing="1" w:after="100" w:afterAutospacing="1"/>
              <w:jc w:val="center"/>
              <w:rPr>
                <w:rFonts w:ascii="Arial Narrow" w:hAnsi="Arial Narrow"/>
              </w:rPr>
            </w:pPr>
            <w:r w:rsidRPr="000F2ABF">
              <w:rPr>
                <w:rFonts w:ascii="Arial Narrow" w:hAnsi="Arial Narrow"/>
              </w:rPr>
              <w:t>Cost/QALY</w:t>
            </w:r>
          </w:p>
        </w:tc>
        <w:tc>
          <w:tcPr>
            <w:tcW w:w="1359" w:type="pct"/>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150" w:type="pct"/>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414" w:type="pct"/>
            <w:vAlign w:val="center"/>
          </w:tcPr>
          <w:p w:rsidR="00766E04" w:rsidRPr="007B0774" w:rsidRDefault="007B0774" w:rsidP="00445FCD">
            <w:pPr>
              <w:pStyle w:val="Tabletext"/>
              <w:keepN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r>
    </w:tbl>
    <w:p w:rsidR="000F2ABF" w:rsidRPr="002F2188" w:rsidRDefault="000F2ABF" w:rsidP="001F201C">
      <w:pPr>
        <w:pStyle w:val="TableFooter"/>
        <w:rPr>
          <w:szCs w:val="18"/>
        </w:rPr>
      </w:pPr>
      <w:r w:rsidRPr="002F2188">
        <w:rPr>
          <w:szCs w:val="18"/>
        </w:rPr>
        <w:t xml:space="preserve">Source: </w:t>
      </w:r>
      <w:r w:rsidR="00445FCD" w:rsidRPr="002F2188">
        <w:rPr>
          <w:szCs w:val="18"/>
        </w:rPr>
        <w:t>Table 11, p.12 of the</w:t>
      </w:r>
      <w:r w:rsidRPr="002F2188">
        <w:rPr>
          <w:szCs w:val="18"/>
        </w:rPr>
        <w:t xml:space="preserve"> minor resubmission.</w:t>
      </w:r>
    </w:p>
    <w:p w:rsidR="002F2188" w:rsidRDefault="002F2188" w:rsidP="001F201C">
      <w:pPr>
        <w:pStyle w:val="TableFooter"/>
        <w:contextualSpacing w:val="0"/>
        <w:rPr>
          <w:szCs w:val="18"/>
        </w:rPr>
      </w:pPr>
      <w:r w:rsidRPr="002F2188">
        <w:rPr>
          <w:szCs w:val="18"/>
        </w:rPr>
        <w:t xml:space="preserve">Abbreviations: ICER = incremental cost effectiveness ratio; </w:t>
      </w:r>
      <w:r w:rsidR="009465B3">
        <w:rPr>
          <w:szCs w:val="18"/>
        </w:rPr>
        <w:t>LY = life year</w:t>
      </w:r>
      <w:r w:rsidRPr="002F2188">
        <w:rPr>
          <w:szCs w:val="18"/>
        </w:rPr>
        <w:t>; QALY = quality adjusted life year; KM = Kaplan-Meier</w:t>
      </w:r>
      <w:r w:rsidRPr="002F2188">
        <w:rPr>
          <w:b/>
          <w:szCs w:val="18"/>
        </w:rPr>
        <w:t>;</w:t>
      </w:r>
      <w:r w:rsidRPr="002F2188">
        <w:rPr>
          <w:szCs w:val="18"/>
        </w:rPr>
        <w:t xml:space="preserve"> OS = overall survival; PFS = progression-free survival.</w:t>
      </w:r>
    </w:p>
    <w:p w:rsidR="00C208F6" w:rsidRPr="00C208F6" w:rsidRDefault="00C208F6" w:rsidP="00C208F6">
      <w:pPr>
        <w:pStyle w:val="TableFooter"/>
        <w:spacing w:before="120" w:after="160"/>
        <w:rPr>
          <w:rFonts w:asciiTheme="minorHAnsi" w:hAnsiTheme="minorHAnsi"/>
          <w:sz w:val="24"/>
          <w:szCs w:val="24"/>
        </w:rPr>
      </w:pPr>
      <w:r>
        <w:rPr>
          <w:rFonts w:asciiTheme="minorHAnsi" w:hAnsiTheme="minorHAnsi"/>
          <w:sz w:val="24"/>
          <w:szCs w:val="24"/>
        </w:rPr>
        <w:t>The redacted table shows ICERs in the range of $45,000 – $105,000.</w:t>
      </w:r>
    </w:p>
    <w:p w:rsidR="00773265" w:rsidRDefault="00773265" w:rsidP="005E41A1">
      <w:pPr>
        <w:pStyle w:val="ListParagraph"/>
        <w:widowControl/>
        <w:numPr>
          <w:ilvl w:val="1"/>
          <w:numId w:val="14"/>
        </w:numPr>
        <w:spacing w:before="120" w:after="160"/>
        <w:ind w:left="567"/>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minor resubmission noted that </w:t>
      </w:r>
      <w:r w:rsidR="007B0774">
        <w:rPr>
          <w:rFonts w:asciiTheme="minorHAnsi" w:eastAsiaTheme="minorHAnsi" w:hAnsiTheme="minorHAnsi" w:cstheme="minorBidi"/>
          <w:noProof/>
          <w:snapToGrid/>
          <w:color w:val="000000"/>
          <w:sz w:val="24"/>
          <w:szCs w:val="24"/>
          <w:highlight w:val="black"/>
        </w:rPr>
        <w:t>''''''''</w:t>
      </w:r>
      <w:r w:rsidRPr="00773265">
        <w:rPr>
          <w:rFonts w:asciiTheme="minorHAnsi" w:eastAsiaTheme="minorHAnsi" w:hAnsiTheme="minorHAnsi" w:cstheme="minorBidi"/>
          <w:snapToGrid/>
          <w:sz w:val="24"/>
          <w:szCs w:val="24"/>
        </w:rPr>
        <w:t>% of patients were treated beyond</w:t>
      </w:r>
      <w:r w:rsidR="001F4998">
        <w:rPr>
          <w:rFonts w:asciiTheme="minorHAnsi" w:eastAsiaTheme="minorHAnsi" w:hAnsiTheme="minorHAnsi" w:cstheme="minorBidi"/>
          <w:snapToGrid/>
          <w:sz w:val="24"/>
          <w:szCs w:val="24"/>
        </w:rPr>
        <w:t xml:space="preserve"> a</w:t>
      </w:r>
      <w:r w:rsidRPr="00773265">
        <w:rPr>
          <w:rFonts w:asciiTheme="minorHAnsi" w:eastAsiaTheme="minorHAnsi" w:hAnsiTheme="minorHAnsi" w:cstheme="minorBidi"/>
          <w:snapToGrid/>
          <w:sz w:val="24"/>
          <w:szCs w:val="24"/>
        </w:rPr>
        <w:t xml:space="preserve"> </w:t>
      </w:r>
      <w:r w:rsidR="001F4998">
        <w:rPr>
          <w:rFonts w:asciiTheme="minorHAnsi" w:eastAsiaTheme="minorHAnsi" w:hAnsiTheme="minorHAnsi" w:cstheme="minorBidi"/>
          <w:snapToGrid/>
          <w:sz w:val="24"/>
          <w:szCs w:val="24"/>
        </w:rPr>
        <w:t>‘response evaluation criteria in solid tumours’ (</w:t>
      </w:r>
      <w:r w:rsidRPr="00773265">
        <w:rPr>
          <w:rFonts w:asciiTheme="minorHAnsi" w:eastAsiaTheme="minorHAnsi" w:hAnsiTheme="minorHAnsi" w:cstheme="minorBidi"/>
          <w:snapToGrid/>
          <w:sz w:val="24"/>
          <w:szCs w:val="24"/>
        </w:rPr>
        <w:t>RECIST</w:t>
      </w:r>
      <w:r w:rsidR="001F4998">
        <w:rPr>
          <w:rFonts w:asciiTheme="minorHAnsi" w:eastAsiaTheme="minorHAnsi" w:hAnsiTheme="minorHAnsi" w:cstheme="minorBidi"/>
          <w:snapToGrid/>
          <w:sz w:val="24"/>
          <w:szCs w:val="24"/>
        </w:rPr>
        <w:t>)-</w:t>
      </w:r>
      <w:r w:rsidRPr="00773265">
        <w:rPr>
          <w:rFonts w:asciiTheme="minorHAnsi" w:eastAsiaTheme="minorHAnsi" w:hAnsiTheme="minorHAnsi" w:cstheme="minorBidi"/>
          <w:snapToGrid/>
          <w:sz w:val="24"/>
          <w:szCs w:val="24"/>
        </w:rPr>
        <w:t>defined progression, therefore the ‘Alive Following Progression’ health state includes patients still on therapy.</w:t>
      </w:r>
      <w:r>
        <w:rPr>
          <w:rFonts w:asciiTheme="minorHAnsi" w:eastAsiaTheme="minorHAnsi" w:hAnsiTheme="minorHAnsi" w:cstheme="minorBidi"/>
          <w:snapToGrid/>
          <w:sz w:val="24"/>
          <w:szCs w:val="24"/>
        </w:rPr>
        <w:t xml:space="preserve"> As such, the resubmission claimed that </w:t>
      </w:r>
      <w:r w:rsidRPr="00773265">
        <w:rPr>
          <w:rFonts w:asciiTheme="minorHAnsi" w:eastAsiaTheme="minorHAnsi" w:hAnsiTheme="minorHAnsi" w:cstheme="minorBidi"/>
          <w:snapToGrid/>
          <w:sz w:val="24"/>
          <w:szCs w:val="24"/>
        </w:rPr>
        <w:t xml:space="preserve">it </w:t>
      </w:r>
      <w:r>
        <w:rPr>
          <w:rFonts w:asciiTheme="minorHAnsi" w:eastAsiaTheme="minorHAnsi" w:hAnsiTheme="minorHAnsi" w:cstheme="minorBidi"/>
          <w:snapToGrid/>
          <w:sz w:val="24"/>
          <w:szCs w:val="24"/>
        </w:rPr>
        <w:t xml:space="preserve">was </w:t>
      </w:r>
      <w:r w:rsidRPr="00773265">
        <w:rPr>
          <w:rFonts w:asciiTheme="minorHAnsi" w:eastAsiaTheme="minorHAnsi" w:hAnsiTheme="minorHAnsi" w:cstheme="minorBidi"/>
          <w:snapToGrid/>
          <w:sz w:val="24"/>
          <w:szCs w:val="24"/>
        </w:rPr>
        <w:t>reasonable to apply treatment specific utilities in this health state that are higher than those in the IC arm.</w:t>
      </w:r>
      <w:r>
        <w:rPr>
          <w:rFonts w:asciiTheme="minorHAnsi" w:eastAsiaTheme="minorHAnsi" w:hAnsiTheme="minorHAnsi" w:cstheme="minorBidi"/>
          <w:snapToGrid/>
          <w:sz w:val="24"/>
          <w:szCs w:val="24"/>
        </w:rPr>
        <w:t xml:space="preserve"> However, in light of </w:t>
      </w:r>
      <w:r w:rsidRPr="00773265">
        <w:rPr>
          <w:rFonts w:asciiTheme="minorHAnsi" w:eastAsiaTheme="minorHAnsi" w:hAnsiTheme="minorHAnsi" w:cstheme="minorBidi"/>
          <w:snapToGrid/>
          <w:sz w:val="24"/>
          <w:szCs w:val="24"/>
        </w:rPr>
        <w:t xml:space="preserve">PBAC’s concerns regarding the appropriateness of assuming an ongoing difference in utility values in the ‘Alive Following Progression’ health state beyond </w:t>
      </w:r>
      <w:r>
        <w:rPr>
          <w:rFonts w:asciiTheme="minorHAnsi" w:eastAsiaTheme="minorHAnsi" w:hAnsiTheme="minorHAnsi" w:cstheme="minorBidi"/>
          <w:snapToGrid/>
          <w:sz w:val="24"/>
          <w:szCs w:val="24"/>
        </w:rPr>
        <w:t>the trial period</w:t>
      </w:r>
      <w:r w:rsidR="00333425">
        <w:rPr>
          <w:rFonts w:asciiTheme="minorHAnsi" w:eastAsiaTheme="minorHAnsi" w:hAnsiTheme="minorHAnsi" w:cstheme="minorBidi"/>
          <w:snapToGrid/>
          <w:sz w:val="24"/>
          <w:szCs w:val="24"/>
        </w:rPr>
        <w:t xml:space="preserve"> (paragraphs 7.17 and 7.19, November 2017 PBAC </w:t>
      </w:r>
      <w:r w:rsidR="00B72BBB">
        <w:rPr>
          <w:rFonts w:asciiTheme="minorHAnsi" w:eastAsiaTheme="minorHAnsi" w:hAnsiTheme="minorHAnsi" w:cstheme="minorBidi"/>
          <w:snapToGrid/>
          <w:sz w:val="24"/>
          <w:szCs w:val="24"/>
        </w:rPr>
        <w:t>PSD</w:t>
      </w:r>
      <w:r w:rsidR="00333425">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the minor resubmission applied ‘modified’ utility values in this health state</w:t>
      </w:r>
      <w:r w:rsidR="00417E51">
        <w:rPr>
          <w:rFonts w:asciiTheme="minorHAnsi" w:eastAsiaTheme="minorHAnsi" w:hAnsiTheme="minorHAnsi" w:cstheme="minorBidi"/>
          <w:snapToGrid/>
          <w:sz w:val="24"/>
          <w:szCs w:val="24"/>
        </w:rPr>
        <w:t>. These modified utility values</w:t>
      </w:r>
      <w:r>
        <w:rPr>
          <w:rFonts w:asciiTheme="minorHAnsi" w:eastAsiaTheme="minorHAnsi" w:hAnsiTheme="minorHAnsi" w:cstheme="minorBidi"/>
          <w:snapToGrid/>
          <w:sz w:val="24"/>
          <w:szCs w:val="24"/>
        </w:rPr>
        <w:t xml:space="preserve"> comprised an ongoing difference for the trial period</w:t>
      </w:r>
      <w:r w:rsidR="00C7512B">
        <w:rPr>
          <w:rFonts w:asciiTheme="minorHAnsi" w:eastAsiaTheme="minorHAnsi" w:hAnsiTheme="minorHAnsi" w:cstheme="minorBidi"/>
          <w:snapToGrid/>
          <w:sz w:val="24"/>
          <w:szCs w:val="24"/>
        </w:rPr>
        <w:t xml:space="preserve"> (</w:t>
      </w:r>
      <w:r w:rsidR="007B0774">
        <w:rPr>
          <w:rFonts w:asciiTheme="minorHAnsi" w:eastAsiaTheme="minorHAnsi" w:hAnsiTheme="minorHAnsi" w:cstheme="minorBidi"/>
          <w:noProof/>
          <w:snapToGrid/>
          <w:color w:val="000000"/>
          <w:sz w:val="24"/>
          <w:szCs w:val="24"/>
          <w:highlight w:val="black"/>
        </w:rPr>
        <w:t>''''''''''</w:t>
      </w:r>
      <w:r w:rsidR="00C7512B">
        <w:rPr>
          <w:rFonts w:asciiTheme="minorHAnsi" w:eastAsiaTheme="minorHAnsi" w:hAnsiTheme="minorHAnsi" w:cstheme="minorBidi"/>
          <w:snapToGrid/>
          <w:sz w:val="24"/>
          <w:szCs w:val="24"/>
        </w:rPr>
        <w:t xml:space="preserve"> for the nivolumab arm versus </w:t>
      </w:r>
      <w:r w:rsidR="007B0774">
        <w:rPr>
          <w:rFonts w:asciiTheme="minorHAnsi" w:eastAsiaTheme="minorHAnsi" w:hAnsiTheme="minorHAnsi" w:cstheme="minorBidi"/>
          <w:noProof/>
          <w:snapToGrid/>
          <w:color w:val="000000"/>
          <w:sz w:val="24"/>
          <w:szCs w:val="24"/>
          <w:highlight w:val="black"/>
        </w:rPr>
        <w:t>'''''''''''</w:t>
      </w:r>
      <w:r w:rsidR="00C7512B">
        <w:rPr>
          <w:rFonts w:asciiTheme="minorHAnsi" w:eastAsiaTheme="minorHAnsi" w:hAnsiTheme="minorHAnsi" w:cstheme="minorBidi"/>
          <w:snapToGrid/>
          <w:sz w:val="24"/>
          <w:szCs w:val="24"/>
        </w:rPr>
        <w:t xml:space="preserve"> for the IC arm</w:t>
      </w:r>
      <w:r w:rsidR="008026BF">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and the same utility value (</w:t>
      </w:r>
      <w:r w:rsidR="007B0774">
        <w:rPr>
          <w:rFonts w:asciiTheme="minorHAnsi" w:eastAsiaTheme="minorHAnsi" w:hAnsiTheme="minorHAnsi" w:cstheme="minorBidi"/>
          <w:noProof/>
          <w:snapToGrid/>
          <w:color w:val="000000"/>
          <w:sz w:val="24"/>
          <w:szCs w:val="24"/>
          <w:highlight w:val="black"/>
        </w:rPr>
        <w:t>''''''''''</w:t>
      </w:r>
      <w:r>
        <w:rPr>
          <w:rFonts w:asciiTheme="minorHAnsi" w:eastAsiaTheme="minorHAnsi" w:hAnsiTheme="minorHAnsi" w:cstheme="minorBidi"/>
          <w:snapToGrid/>
          <w:sz w:val="24"/>
          <w:szCs w:val="24"/>
        </w:rPr>
        <w:t>)</w:t>
      </w:r>
      <w:r w:rsidR="00C7512B">
        <w:rPr>
          <w:rFonts w:asciiTheme="minorHAnsi" w:eastAsiaTheme="minorHAnsi" w:hAnsiTheme="minorHAnsi" w:cstheme="minorBidi"/>
          <w:snapToGrid/>
          <w:sz w:val="24"/>
          <w:szCs w:val="24"/>
        </w:rPr>
        <w:t xml:space="preserve"> in both arms</w:t>
      </w:r>
      <w:r>
        <w:rPr>
          <w:rFonts w:asciiTheme="minorHAnsi" w:eastAsiaTheme="minorHAnsi" w:hAnsiTheme="minorHAnsi" w:cstheme="minorBidi"/>
          <w:snapToGrid/>
          <w:sz w:val="24"/>
          <w:szCs w:val="24"/>
        </w:rPr>
        <w:t xml:space="preserve"> for the extrapolated period</w:t>
      </w:r>
      <w:r w:rsidR="00BA18C0">
        <w:rPr>
          <w:rFonts w:asciiTheme="minorHAnsi" w:eastAsiaTheme="minorHAnsi" w:hAnsiTheme="minorHAnsi" w:cstheme="minorBidi"/>
          <w:snapToGrid/>
          <w:sz w:val="24"/>
          <w:szCs w:val="24"/>
        </w:rPr>
        <w:t xml:space="preserve">, in the </w:t>
      </w:r>
      <w:r w:rsidR="00BA18C0" w:rsidRPr="00773265">
        <w:rPr>
          <w:rFonts w:asciiTheme="minorHAnsi" w:eastAsiaTheme="minorHAnsi" w:hAnsiTheme="minorHAnsi" w:cstheme="minorBidi"/>
          <w:snapToGrid/>
          <w:sz w:val="24"/>
          <w:szCs w:val="24"/>
        </w:rPr>
        <w:t>‘Alive Following Progression’</w:t>
      </w:r>
      <w:r w:rsidR="00BA18C0">
        <w:rPr>
          <w:rFonts w:asciiTheme="minorHAnsi" w:eastAsiaTheme="minorHAnsi" w:hAnsiTheme="minorHAnsi" w:cstheme="minorBidi"/>
          <w:snapToGrid/>
          <w:sz w:val="24"/>
          <w:szCs w:val="24"/>
        </w:rPr>
        <w:t xml:space="preserve"> health state</w:t>
      </w:r>
      <w:r w:rsidR="00BA131A">
        <w:rPr>
          <w:rFonts w:asciiTheme="minorHAnsi" w:eastAsiaTheme="minorHAnsi" w:hAnsiTheme="minorHAnsi" w:cstheme="minorBidi"/>
          <w:snapToGrid/>
          <w:sz w:val="24"/>
          <w:szCs w:val="24"/>
        </w:rPr>
        <w:t>.</w:t>
      </w:r>
    </w:p>
    <w:p w:rsidR="002C4F25" w:rsidRDefault="00417E51" w:rsidP="005E41A1">
      <w:pPr>
        <w:pStyle w:val="ListParagraph"/>
        <w:widowControl/>
        <w:numPr>
          <w:ilvl w:val="1"/>
          <w:numId w:val="14"/>
        </w:numPr>
        <w:spacing w:before="120" w:after="160"/>
        <w:ind w:left="567"/>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In the November 2017 submission,</w:t>
      </w:r>
      <w:r w:rsidR="00C500B8">
        <w:rPr>
          <w:rFonts w:asciiTheme="minorHAnsi" w:eastAsiaTheme="minorHAnsi" w:hAnsiTheme="minorHAnsi" w:cstheme="minorBidi"/>
          <w:snapToGrid/>
          <w:sz w:val="24"/>
          <w:szCs w:val="24"/>
        </w:rPr>
        <w:t xml:space="preserve"> </w:t>
      </w:r>
      <w:r w:rsidR="001F4998">
        <w:rPr>
          <w:rFonts w:asciiTheme="minorHAnsi" w:eastAsiaTheme="minorHAnsi" w:hAnsiTheme="minorHAnsi" w:cstheme="minorBidi"/>
          <w:snapToGrid/>
          <w:sz w:val="24"/>
          <w:szCs w:val="24"/>
        </w:rPr>
        <w:t xml:space="preserve">a </w:t>
      </w:r>
      <w:r>
        <w:rPr>
          <w:rFonts w:asciiTheme="minorHAnsi" w:eastAsiaTheme="minorHAnsi" w:hAnsiTheme="minorHAnsi" w:cstheme="minorBidi"/>
          <w:snapToGrid/>
          <w:sz w:val="24"/>
          <w:szCs w:val="24"/>
        </w:rPr>
        <w:t xml:space="preserve">log-logistic function was used to extrapolate OS </w:t>
      </w:r>
      <w:r w:rsidR="001F4998">
        <w:rPr>
          <w:rFonts w:asciiTheme="minorHAnsi" w:eastAsiaTheme="minorHAnsi" w:hAnsiTheme="minorHAnsi" w:cstheme="minorBidi"/>
          <w:snapToGrid/>
          <w:sz w:val="24"/>
          <w:szCs w:val="24"/>
        </w:rPr>
        <w:t xml:space="preserve">in the </w:t>
      </w:r>
      <w:r w:rsidR="001F4998" w:rsidRPr="00AC696E">
        <w:rPr>
          <w:rFonts w:asciiTheme="minorHAnsi" w:eastAsiaTheme="minorHAnsi" w:hAnsiTheme="minorHAnsi" w:cstheme="minorBidi"/>
          <w:snapToGrid/>
          <w:sz w:val="24"/>
          <w:szCs w:val="24"/>
        </w:rPr>
        <w:t>nivolumab arm of Study CA209141</w:t>
      </w:r>
      <w:r>
        <w:rPr>
          <w:rFonts w:asciiTheme="minorHAnsi" w:eastAsiaTheme="minorHAnsi" w:hAnsiTheme="minorHAnsi" w:cstheme="minorBidi"/>
          <w:snapToGrid/>
          <w:sz w:val="24"/>
          <w:szCs w:val="24"/>
        </w:rPr>
        <w:t xml:space="preserve">. </w:t>
      </w:r>
      <w:r w:rsidR="002F2188">
        <w:rPr>
          <w:rFonts w:asciiTheme="minorHAnsi" w:eastAsiaTheme="minorHAnsi" w:hAnsiTheme="minorHAnsi" w:cstheme="minorBidi"/>
          <w:snapToGrid/>
          <w:sz w:val="24"/>
          <w:szCs w:val="24"/>
        </w:rPr>
        <w:t xml:space="preserve">At its </w:t>
      </w:r>
      <w:r w:rsidR="00AC696E">
        <w:rPr>
          <w:rFonts w:asciiTheme="minorHAnsi" w:eastAsiaTheme="minorHAnsi" w:hAnsiTheme="minorHAnsi" w:cstheme="minorBidi"/>
          <w:snapToGrid/>
          <w:sz w:val="24"/>
          <w:szCs w:val="24"/>
        </w:rPr>
        <w:t>October</w:t>
      </w:r>
      <w:r w:rsidR="002F2188">
        <w:rPr>
          <w:rFonts w:asciiTheme="minorHAnsi" w:eastAsiaTheme="minorHAnsi" w:hAnsiTheme="minorHAnsi" w:cstheme="minorBidi"/>
          <w:snapToGrid/>
          <w:sz w:val="24"/>
          <w:szCs w:val="24"/>
        </w:rPr>
        <w:t xml:space="preserve"> 2017 meeting</w:t>
      </w:r>
      <w:r w:rsidR="00AC696E">
        <w:rPr>
          <w:rFonts w:asciiTheme="minorHAnsi" w:eastAsiaTheme="minorHAnsi" w:hAnsiTheme="minorHAnsi" w:cstheme="minorBidi"/>
          <w:snapToGrid/>
          <w:sz w:val="24"/>
          <w:szCs w:val="24"/>
        </w:rPr>
        <w:t>,</w:t>
      </w:r>
      <w:r w:rsidR="002C4F25">
        <w:rPr>
          <w:rFonts w:asciiTheme="minorHAnsi" w:eastAsiaTheme="minorHAnsi" w:hAnsiTheme="minorHAnsi" w:cstheme="minorBidi"/>
          <w:snapToGrid/>
          <w:sz w:val="24"/>
          <w:szCs w:val="24"/>
        </w:rPr>
        <w:t xml:space="preserve"> the</w:t>
      </w:r>
      <w:r w:rsidR="002F2188">
        <w:rPr>
          <w:rFonts w:asciiTheme="minorHAnsi" w:eastAsiaTheme="minorHAnsi" w:hAnsiTheme="minorHAnsi" w:cstheme="minorBidi"/>
          <w:snapToGrid/>
          <w:sz w:val="24"/>
          <w:szCs w:val="24"/>
        </w:rPr>
        <w:t xml:space="preserve"> ESC considered</w:t>
      </w:r>
      <w:r w:rsidR="002C4F25">
        <w:rPr>
          <w:rFonts w:asciiTheme="minorHAnsi" w:eastAsiaTheme="minorHAnsi" w:hAnsiTheme="minorHAnsi" w:cstheme="minorBidi"/>
          <w:snapToGrid/>
          <w:sz w:val="24"/>
          <w:szCs w:val="24"/>
        </w:rPr>
        <w:t xml:space="preserve"> </w:t>
      </w:r>
      <w:r w:rsidR="002F2188">
        <w:rPr>
          <w:rFonts w:asciiTheme="minorHAnsi" w:eastAsiaTheme="minorHAnsi" w:hAnsiTheme="minorHAnsi" w:cstheme="minorBidi"/>
          <w:snapToGrid/>
          <w:sz w:val="24"/>
          <w:szCs w:val="24"/>
        </w:rPr>
        <w:t xml:space="preserve">that fitting </w:t>
      </w:r>
      <w:r w:rsidR="00DA19A4">
        <w:rPr>
          <w:rFonts w:asciiTheme="minorHAnsi" w:eastAsiaTheme="minorHAnsi" w:hAnsiTheme="minorHAnsi" w:cstheme="minorBidi"/>
          <w:snapToGrid/>
          <w:sz w:val="24"/>
          <w:szCs w:val="24"/>
        </w:rPr>
        <w:t xml:space="preserve">a </w:t>
      </w:r>
      <w:r w:rsidR="002F2188">
        <w:rPr>
          <w:rFonts w:asciiTheme="minorHAnsi" w:eastAsiaTheme="minorHAnsi" w:hAnsiTheme="minorHAnsi" w:cstheme="minorBidi"/>
          <w:snapToGrid/>
          <w:sz w:val="24"/>
          <w:szCs w:val="24"/>
        </w:rPr>
        <w:t xml:space="preserve">log-logistic model to the OS </w:t>
      </w:r>
      <w:r w:rsidR="00C500B8">
        <w:rPr>
          <w:rFonts w:asciiTheme="minorHAnsi" w:eastAsiaTheme="minorHAnsi" w:hAnsiTheme="minorHAnsi" w:cstheme="minorBidi"/>
          <w:snapToGrid/>
          <w:sz w:val="24"/>
          <w:szCs w:val="24"/>
        </w:rPr>
        <w:t>data</w:t>
      </w:r>
      <w:r w:rsidR="00DA19A4">
        <w:rPr>
          <w:rFonts w:asciiTheme="minorHAnsi" w:eastAsiaTheme="minorHAnsi" w:hAnsiTheme="minorHAnsi" w:cstheme="minorBidi"/>
          <w:snapToGrid/>
          <w:sz w:val="24"/>
          <w:szCs w:val="24"/>
        </w:rPr>
        <w:t xml:space="preserve"> </w:t>
      </w:r>
      <w:r w:rsidR="002F2188">
        <w:rPr>
          <w:rFonts w:asciiTheme="minorHAnsi" w:eastAsiaTheme="minorHAnsi" w:hAnsiTheme="minorHAnsi" w:cstheme="minorBidi"/>
          <w:snapToGrid/>
          <w:sz w:val="24"/>
          <w:szCs w:val="24"/>
        </w:rPr>
        <w:t xml:space="preserve">was </w:t>
      </w:r>
      <w:r w:rsidR="00DA19A4">
        <w:rPr>
          <w:rFonts w:asciiTheme="minorHAnsi" w:eastAsiaTheme="minorHAnsi" w:hAnsiTheme="minorHAnsi" w:cstheme="minorBidi"/>
          <w:snapToGrid/>
          <w:sz w:val="24"/>
          <w:szCs w:val="24"/>
        </w:rPr>
        <w:t>the least conservative choice</w:t>
      </w:r>
      <w:r w:rsidR="002C4F25">
        <w:rPr>
          <w:rFonts w:asciiTheme="minorHAnsi" w:eastAsiaTheme="minorHAnsi" w:hAnsiTheme="minorHAnsi" w:cstheme="minorBidi"/>
          <w:snapToGrid/>
          <w:sz w:val="24"/>
          <w:szCs w:val="24"/>
        </w:rPr>
        <w:t xml:space="preserve">, </w:t>
      </w:r>
      <w:r w:rsidR="00DA19A4">
        <w:rPr>
          <w:rFonts w:asciiTheme="minorHAnsi" w:eastAsiaTheme="minorHAnsi" w:hAnsiTheme="minorHAnsi" w:cstheme="minorBidi"/>
          <w:snapToGrid/>
          <w:sz w:val="24"/>
          <w:szCs w:val="24"/>
        </w:rPr>
        <w:t xml:space="preserve">and advised that exponential curves would have been the most appropriate method </w:t>
      </w:r>
      <w:r w:rsidR="00C500B8">
        <w:rPr>
          <w:rFonts w:asciiTheme="minorHAnsi" w:eastAsiaTheme="minorHAnsi" w:hAnsiTheme="minorHAnsi" w:cstheme="minorBidi"/>
          <w:snapToGrid/>
          <w:sz w:val="24"/>
          <w:szCs w:val="24"/>
        </w:rPr>
        <w:t>for</w:t>
      </w:r>
      <w:r w:rsidR="00DA19A4">
        <w:rPr>
          <w:rFonts w:asciiTheme="minorHAnsi" w:eastAsiaTheme="minorHAnsi" w:hAnsiTheme="minorHAnsi" w:cstheme="minorBidi"/>
          <w:snapToGrid/>
          <w:sz w:val="24"/>
          <w:szCs w:val="24"/>
        </w:rPr>
        <w:t xml:space="preserve"> extrapolation. </w:t>
      </w:r>
      <w:r w:rsidR="00AC696E">
        <w:rPr>
          <w:rFonts w:asciiTheme="minorHAnsi" w:eastAsiaTheme="minorHAnsi" w:hAnsiTheme="minorHAnsi" w:cstheme="minorBidi"/>
          <w:snapToGrid/>
          <w:sz w:val="24"/>
          <w:szCs w:val="24"/>
        </w:rPr>
        <w:t>Additionally, the PBAC had sought for ‘…</w:t>
      </w:r>
      <w:r w:rsidR="00AC696E" w:rsidRPr="00AC696E">
        <w:rPr>
          <w:rFonts w:asciiTheme="minorHAnsi" w:eastAsiaTheme="minorHAnsi" w:hAnsiTheme="minorHAnsi" w:cstheme="minorBidi"/>
          <w:snapToGrid/>
          <w:sz w:val="24"/>
          <w:szCs w:val="24"/>
        </w:rPr>
        <w:t>more persuasive justifications of the log-logistic method of extrapolating OS…’</w:t>
      </w:r>
      <w:r w:rsidR="00AC696E">
        <w:rPr>
          <w:rFonts w:asciiTheme="minorHAnsi" w:eastAsiaTheme="minorHAnsi" w:hAnsiTheme="minorHAnsi" w:cstheme="minorBidi"/>
          <w:snapToGrid/>
          <w:sz w:val="24"/>
          <w:szCs w:val="24"/>
        </w:rPr>
        <w:t xml:space="preserve"> in a future resubmission (paragraph 7.19, </w:t>
      </w:r>
      <w:r w:rsidR="00AC696E" w:rsidRPr="00AC696E">
        <w:rPr>
          <w:rFonts w:asciiTheme="minorHAnsi" w:eastAsiaTheme="minorHAnsi" w:hAnsiTheme="minorHAnsi" w:cstheme="minorBidi"/>
          <w:snapToGrid/>
          <w:sz w:val="24"/>
          <w:szCs w:val="24"/>
        </w:rPr>
        <w:t xml:space="preserve">November 2017 PBAC </w:t>
      </w:r>
      <w:r w:rsidR="00B72BBB">
        <w:rPr>
          <w:rFonts w:asciiTheme="minorHAnsi" w:eastAsiaTheme="minorHAnsi" w:hAnsiTheme="minorHAnsi" w:cstheme="minorBidi"/>
          <w:snapToGrid/>
          <w:sz w:val="24"/>
          <w:szCs w:val="24"/>
        </w:rPr>
        <w:t>PSD</w:t>
      </w:r>
      <w:r w:rsidR="00AC696E" w:rsidRPr="00AC696E">
        <w:rPr>
          <w:rFonts w:asciiTheme="minorHAnsi" w:eastAsiaTheme="minorHAnsi" w:hAnsiTheme="minorHAnsi" w:cstheme="minorBidi"/>
          <w:snapToGrid/>
          <w:sz w:val="24"/>
          <w:szCs w:val="24"/>
        </w:rPr>
        <w:t>).</w:t>
      </w:r>
    </w:p>
    <w:p w:rsidR="00D1342C" w:rsidRPr="001B5A0E" w:rsidRDefault="00AB3083" w:rsidP="005E41A1">
      <w:pPr>
        <w:pStyle w:val="ListParagraph"/>
        <w:widowControl/>
        <w:numPr>
          <w:ilvl w:val="1"/>
          <w:numId w:val="14"/>
        </w:numPr>
        <w:spacing w:before="120" w:after="160"/>
        <w:ind w:left="567"/>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minor </w:t>
      </w:r>
      <w:r w:rsidR="00DA19A4">
        <w:rPr>
          <w:rFonts w:asciiTheme="minorHAnsi" w:eastAsiaTheme="minorHAnsi" w:hAnsiTheme="minorHAnsi" w:cstheme="minorBidi"/>
          <w:snapToGrid/>
          <w:sz w:val="24"/>
          <w:szCs w:val="24"/>
        </w:rPr>
        <w:t>re</w:t>
      </w:r>
      <w:r>
        <w:rPr>
          <w:rFonts w:asciiTheme="minorHAnsi" w:eastAsiaTheme="minorHAnsi" w:hAnsiTheme="minorHAnsi" w:cstheme="minorBidi"/>
          <w:snapToGrid/>
          <w:sz w:val="24"/>
          <w:szCs w:val="24"/>
        </w:rPr>
        <w:t xml:space="preserve">submission maintained that </w:t>
      </w:r>
      <w:r w:rsidR="00D1342C">
        <w:rPr>
          <w:rFonts w:asciiTheme="minorHAnsi" w:eastAsiaTheme="minorHAnsi" w:hAnsiTheme="minorHAnsi" w:cstheme="minorBidi"/>
          <w:snapToGrid/>
          <w:sz w:val="24"/>
          <w:szCs w:val="24"/>
        </w:rPr>
        <w:t xml:space="preserve">log-logistic, and not exponential, </w:t>
      </w:r>
      <w:r>
        <w:rPr>
          <w:rFonts w:asciiTheme="minorHAnsi" w:eastAsiaTheme="minorHAnsi" w:hAnsiTheme="minorHAnsi" w:cstheme="minorBidi"/>
          <w:snapToGrid/>
          <w:sz w:val="24"/>
          <w:szCs w:val="24"/>
        </w:rPr>
        <w:t>w</w:t>
      </w:r>
      <w:r w:rsidRPr="00AB3083">
        <w:rPr>
          <w:rFonts w:asciiTheme="minorHAnsi" w:eastAsiaTheme="minorHAnsi" w:hAnsiTheme="minorHAnsi" w:cstheme="minorBidi"/>
          <w:snapToGrid/>
          <w:sz w:val="24"/>
          <w:szCs w:val="24"/>
        </w:rPr>
        <w:t>as the most appropriate method to extrapolate OS</w:t>
      </w:r>
      <w:r>
        <w:rPr>
          <w:rFonts w:asciiTheme="minorHAnsi" w:eastAsiaTheme="minorHAnsi" w:hAnsiTheme="minorHAnsi" w:cstheme="minorBidi"/>
          <w:snapToGrid/>
          <w:sz w:val="24"/>
          <w:szCs w:val="24"/>
        </w:rPr>
        <w:t xml:space="preserve">, </w:t>
      </w:r>
      <w:r w:rsidR="00EA4AB4">
        <w:rPr>
          <w:rFonts w:asciiTheme="minorHAnsi" w:eastAsiaTheme="minorHAnsi" w:hAnsiTheme="minorHAnsi" w:cstheme="minorBidi"/>
          <w:snapToGrid/>
          <w:sz w:val="24"/>
          <w:szCs w:val="24"/>
        </w:rPr>
        <w:t>in terms of g</w:t>
      </w:r>
      <w:r w:rsidR="00D1342C" w:rsidRPr="00EA4AB4">
        <w:rPr>
          <w:rFonts w:asciiTheme="minorHAnsi" w:eastAsiaTheme="minorHAnsi" w:hAnsiTheme="minorHAnsi" w:cstheme="minorBidi"/>
          <w:snapToGrid/>
          <w:sz w:val="24"/>
          <w:szCs w:val="24"/>
        </w:rPr>
        <w:t>oodness of fit statistics</w:t>
      </w:r>
      <w:r w:rsidR="00EA4AB4">
        <w:rPr>
          <w:rFonts w:asciiTheme="minorHAnsi" w:eastAsiaTheme="minorHAnsi" w:hAnsiTheme="minorHAnsi" w:cstheme="minorBidi"/>
          <w:snapToGrid/>
          <w:sz w:val="24"/>
          <w:szCs w:val="24"/>
        </w:rPr>
        <w:t xml:space="preserve">, consistency with the trial data and clinical plausibility, as summarised in the table </w:t>
      </w:r>
      <w:r w:rsidR="00EA4AB4" w:rsidRPr="001B5A0E">
        <w:rPr>
          <w:rFonts w:asciiTheme="minorHAnsi" w:eastAsiaTheme="minorHAnsi" w:hAnsiTheme="minorHAnsi" w:cstheme="minorBidi"/>
          <w:snapToGrid/>
          <w:sz w:val="24"/>
          <w:szCs w:val="24"/>
        </w:rPr>
        <w:t>below.</w:t>
      </w:r>
      <w:r w:rsidR="00394602" w:rsidRPr="001B5A0E">
        <w:rPr>
          <w:rFonts w:asciiTheme="minorHAnsi" w:eastAsiaTheme="minorHAnsi" w:hAnsiTheme="minorHAnsi" w:cstheme="minorBidi"/>
          <w:snapToGrid/>
          <w:sz w:val="24"/>
          <w:szCs w:val="24"/>
        </w:rPr>
        <w:t xml:space="preserve"> This information has not been independently verified.</w:t>
      </w:r>
    </w:p>
    <w:p w:rsidR="00737742" w:rsidRPr="00D61352" w:rsidRDefault="00737742" w:rsidP="00D61352">
      <w:pPr>
        <w:pStyle w:val="Caption"/>
        <w:keepNext/>
        <w:spacing w:before="120" w:after="60"/>
        <w:jc w:val="both"/>
        <w:rPr>
          <w:rFonts w:ascii="Arial Narrow" w:hAnsi="Arial Narrow"/>
          <w:color w:val="auto"/>
          <w:sz w:val="20"/>
        </w:rPr>
      </w:pPr>
      <w:bookmarkStart w:id="2" w:name="_Ref501172476"/>
      <w:r w:rsidRPr="00D61352">
        <w:rPr>
          <w:rFonts w:ascii="Arial Narrow" w:hAnsi="Arial Narrow"/>
          <w:color w:val="auto"/>
          <w:sz w:val="20"/>
        </w:rPr>
        <w:t>Table</w:t>
      </w:r>
      <w:bookmarkEnd w:id="2"/>
      <w:r w:rsidR="00390F39" w:rsidRPr="00D61352">
        <w:rPr>
          <w:rFonts w:ascii="Arial Narrow" w:hAnsi="Arial Narrow"/>
          <w:color w:val="auto"/>
          <w:sz w:val="20"/>
        </w:rPr>
        <w:t xml:space="preserve"> </w:t>
      </w:r>
      <w:r w:rsidR="005973EE" w:rsidRPr="00D61352">
        <w:rPr>
          <w:rFonts w:ascii="Arial Narrow" w:hAnsi="Arial Narrow"/>
          <w:color w:val="auto"/>
          <w:sz w:val="20"/>
        </w:rPr>
        <w:t>3</w:t>
      </w:r>
      <w:r w:rsidRPr="00D61352">
        <w:rPr>
          <w:rFonts w:ascii="Arial Narrow" w:hAnsi="Arial Narrow"/>
          <w:color w:val="auto"/>
          <w:sz w:val="20"/>
        </w:rPr>
        <w:t>: Comparison of log-logistic and exponential models to extrapolate OS</w:t>
      </w:r>
    </w:p>
    <w:tbl>
      <w:tblPr>
        <w:tblStyle w:val="TableGrid"/>
        <w:tblW w:w="9180" w:type="dxa"/>
        <w:tblLook w:val="04A0" w:firstRow="1" w:lastRow="0" w:firstColumn="1" w:lastColumn="0" w:noHBand="0" w:noVBand="1"/>
      </w:tblPr>
      <w:tblGrid>
        <w:gridCol w:w="3085"/>
        <w:gridCol w:w="3544"/>
        <w:gridCol w:w="2551"/>
      </w:tblGrid>
      <w:tr w:rsidR="00737742" w:rsidRPr="00737742" w:rsidTr="00862162">
        <w:trPr>
          <w:trHeight w:val="86"/>
        </w:trPr>
        <w:tc>
          <w:tcPr>
            <w:tcW w:w="3085" w:type="dxa"/>
            <w:shd w:val="clear" w:color="auto" w:fill="auto"/>
          </w:tcPr>
          <w:p w:rsidR="00737742" w:rsidRPr="00737742" w:rsidRDefault="00737742" w:rsidP="00862162">
            <w:pPr>
              <w:pStyle w:val="Tabletext"/>
              <w:spacing w:after="0"/>
              <w:rPr>
                <w:rFonts w:ascii="Arial Narrow" w:hAnsi="Arial Narrow"/>
                <w:b/>
              </w:rPr>
            </w:pPr>
          </w:p>
        </w:tc>
        <w:tc>
          <w:tcPr>
            <w:tcW w:w="3544" w:type="dxa"/>
            <w:shd w:val="clear" w:color="auto" w:fill="auto"/>
          </w:tcPr>
          <w:p w:rsidR="00737742" w:rsidRPr="00737742" w:rsidRDefault="00737742" w:rsidP="00862162">
            <w:pPr>
              <w:pStyle w:val="Tabletext"/>
              <w:spacing w:after="0"/>
              <w:jc w:val="center"/>
              <w:rPr>
                <w:rFonts w:ascii="Arial Narrow" w:hAnsi="Arial Narrow"/>
                <w:b/>
              </w:rPr>
            </w:pPr>
            <w:r w:rsidRPr="00737742">
              <w:rPr>
                <w:rFonts w:ascii="Arial Narrow" w:hAnsi="Arial Narrow"/>
                <w:b/>
              </w:rPr>
              <w:t>Log-logistic</w:t>
            </w:r>
          </w:p>
        </w:tc>
        <w:tc>
          <w:tcPr>
            <w:tcW w:w="2551" w:type="dxa"/>
            <w:shd w:val="clear" w:color="auto" w:fill="auto"/>
          </w:tcPr>
          <w:p w:rsidR="00737742" w:rsidRPr="00737742" w:rsidRDefault="00737742" w:rsidP="00862162">
            <w:pPr>
              <w:pStyle w:val="Tabletext"/>
              <w:spacing w:after="0"/>
              <w:jc w:val="center"/>
              <w:rPr>
                <w:rFonts w:ascii="Arial Narrow" w:hAnsi="Arial Narrow"/>
                <w:b/>
              </w:rPr>
            </w:pPr>
            <w:r w:rsidRPr="00737742">
              <w:rPr>
                <w:rFonts w:ascii="Arial Narrow" w:hAnsi="Arial Narrow"/>
                <w:b/>
              </w:rPr>
              <w:t>Exponential</w:t>
            </w:r>
          </w:p>
        </w:tc>
      </w:tr>
      <w:tr w:rsidR="00737742" w:rsidRPr="00737742" w:rsidTr="00F21CD9">
        <w:tc>
          <w:tcPr>
            <w:tcW w:w="3085" w:type="dxa"/>
          </w:tcPr>
          <w:p w:rsidR="00737742" w:rsidRPr="00737742" w:rsidRDefault="00737742" w:rsidP="00F21CD9">
            <w:pPr>
              <w:pStyle w:val="Tabletext"/>
              <w:spacing w:after="0"/>
              <w:rPr>
                <w:rFonts w:ascii="Arial Narrow" w:hAnsi="Arial Narrow"/>
              </w:rPr>
            </w:pPr>
            <w:r w:rsidRPr="00737742">
              <w:rPr>
                <w:rFonts w:ascii="Arial Narrow" w:hAnsi="Arial Narrow"/>
              </w:rPr>
              <w:t>Goodness of fit statistics</w:t>
            </w:r>
          </w:p>
        </w:tc>
        <w:tc>
          <w:tcPr>
            <w:tcW w:w="3544" w:type="dxa"/>
          </w:tcPr>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AIC: </w:t>
            </w:r>
            <w:r w:rsidR="007B0774">
              <w:rPr>
                <w:rFonts w:ascii="Arial Narrow" w:hAnsi="Arial Narrow"/>
                <w:noProof/>
                <w:color w:val="000000"/>
                <w:highlight w:val="black"/>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BIC: </w:t>
            </w:r>
            <w:r w:rsidR="007B0774">
              <w:rPr>
                <w:rFonts w:ascii="Arial Narrow" w:hAnsi="Arial Narrow"/>
                <w:noProof/>
                <w:color w:val="000000"/>
                <w:highlight w:val="black"/>
              </w:rPr>
              <w:t>''''''''''''''''''</w:t>
            </w:r>
          </w:p>
        </w:tc>
        <w:tc>
          <w:tcPr>
            <w:tcW w:w="2551" w:type="dxa"/>
          </w:tcPr>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AIC: </w:t>
            </w:r>
            <w:r w:rsidR="007B0774">
              <w:rPr>
                <w:rFonts w:ascii="Arial Narrow" w:hAnsi="Arial Narrow"/>
                <w:noProof/>
                <w:color w:val="000000"/>
                <w:highlight w:val="black"/>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BIC: </w:t>
            </w:r>
            <w:r w:rsidR="007B0774">
              <w:rPr>
                <w:rFonts w:ascii="Arial Narrow" w:hAnsi="Arial Narrow"/>
                <w:noProof/>
                <w:color w:val="000000"/>
                <w:highlight w:val="black"/>
              </w:rPr>
              <w:t>'''''''''''''''''</w:t>
            </w:r>
          </w:p>
        </w:tc>
      </w:tr>
      <w:tr w:rsidR="00737742" w:rsidRPr="00737742" w:rsidTr="00F21CD9">
        <w:tc>
          <w:tcPr>
            <w:tcW w:w="3085" w:type="dxa"/>
          </w:tcPr>
          <w:p w:rsidR="00737742" w:rsidRPr="00737742" w:rsidRDefault="00737742" w:rsidP="00F21CD9">
            <w:pPr>
              <w:pStyle w:val="Tabletext"/>
              <w:spacing w:after="0"/>
              <w:rPr>
                <w:rFonts w:ascii="Arial Narrow" w:hAnsi="Arial Narrow"/>
              </w:rPr>
            </w:pPr>
            <w:r w:rsidRPr="00737742">
              <w:rPr>
                <w:rFonts w:ascii="Arial Narrow" w:hAnsi="Arial Narrow"/>
              </w:rPr>
              <w:t>Visual inspection</w:t>
            </w:r>
          </w:p>
        </w:tc>
        <w:tc>
          <w:tcPr>
            <w:tcW w:w="3544" w:type="dxa"/>
          </w:tcPr>
          <w:p w:rsidR="00737742" w:rsidRPr="00B55EC8" w:rsidRDefault="00737742" w:rsidP="00F21CD9">
            <w:pPr>
              <w:pStyle w:val="Tabletext"/>
              <w:spacing w:after="0"/>
              <w:jc w:val="center"/>
              <w:rPr>
                <w:rFonts w:ascii="Arial Narrow" w:hAnsi="Arial Narrow"/>
              </w:rPr>
            </w:pPr>
            <w:r w:rsidRPr="00B55EC8">
              <w:rPr>
                <w:rFonts w:ascii="Arial Narrow" w:hAnsi="Arial Narrow"/>
              </w:rPr>
              <w:t>Best fit with KM data</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1 years: </w:t>
            </w:r>
            <w:r w:rsidR="007B0774">
              <w:rPr>
                <w:rFonts w:ascii="Arial Narrow" w:hAnsi="Arial Narrow"/>
                <w:noProof/>
                <w:color w:val="000000"/>
                <w:highlight w:val="black"/>
              </w:rPr>
              <w:t>'''''''''''</w:t>
            </w:r>
            <w:r w:rsidRPr="00B55EC8">
              <w:rPr>
                <w:rFonts w:ascii="Arial Narrow" w:hAnsi="Arial Narrow"/>
              </w:rPr>
              <w:t xml:space="preserve">% v </w:t>
            </w:r>
            <w:r w:rsidR="007B0774">
              <w:rPr>
                <w:rFonts w:ascii="Arial Narrow" w:hAnsi="Arial Narrow"/>
                <w:noProof/>
                <w:color w:val="000000"/>
                <w:highlight w:val="black"/>
              </w:rPr>
              <w:t>'''''</w:t>
            </w:r>
            <w:r w:rsidRPr="00B55EC8">
              <w:rPr>
                <w:rFonts w:ascii="Arial Narrow" w:hAnsi="Arial Narrow"/>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2 years: </w:t>
            </w:r>
            <w:r w:rsidR="007B0774">
              <w:rPr>
                <w:rFonts w:ascii="Arial Narrow" w:hAnsi="Arial Narrow"/>
                <w:noProof/>
                <w:color w:val="000000"/>
                <w:highlight w:val="black"/>
              </w:rPr>
              <w:t>''''''''''</w:t>
            </w:r>
            <w:r w:rsidRPr="00B55EC8">
              <w:rPr>
                <w:rFonts w:ascii="Arial Narrow" w:hAnsi="Arial Narrow"/>
              </w:rPr>
              <w:t xml:space="preserve">% v </w:t>
            </w:r>
            <w:r w:rsidR="007B0774">
              <w:rPr>
                <w:rFonts w:ascii="Arial Narrow" w:hAnsi="Arial Narrow"/>
                <w:noProof/>
                <w:color w:val="000000"/>
                <w:highlight w:val="black"/>
              </w:rPr>
              <w:t>'''''''''''</w:t>
            </w:r>
            <w:r w:rsidRPr="00B55EC8">
              <w:rPr>
                <w:rFonts w:ascii="Arial Narrow" w:hAnsi="Arial Narrow"/>
              </w:rPr>
              <w:t>%</w:t>
            </w:r>
          </w:p>
        </w:tc>
        <w:tc>
          <w:tcPr>
            <w:tcW w:w="2551" w:type="dxa"/>
          </w:tcPr>
          <w:p w:rsidR="00737742" w:rsidRPr="00B55EC8" w:rsidRDefault="00737742" w:rsidP="00F21CD9">
            <w:pPr>
              <w:pStyle w:val="Tabletext"/>
              <w:spacing w:after="0"/>
              <w:jc w:val="center"/>
              <w:rPr>
                <w:rFonts w:ascii="Arial Narrow" w:hAnsi="Arial Narrow"/>
              </w:rPr>
            </w:pPr>
            <w:r w:rsidRPr="00B55EC8">
              <w:rPr>
                <w:rFonts w:ascii="Arial Narrow" w:hAnsi="Arial Narrow"/>
              </w:rPr>
              <w:t>Not a good fit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1 years: </w:t>
            </w:r>
            <w:r w:rsidR="007B0774">
              <w:rPr>
                <w:rFonts w:ascii="Arial Narrow" w:hAnsi="Arial Narrow"/>
                <w:noProof/>
                <w:color w:val="000000"/>
                <w:highlight w:val="black"/>
              </w:rPr>
              <w:t>'''''''''''</w:t>
            </w:r>
            <w:r w:rsidRPr="00B55EC8">
              <w:rPr>
                <w:rFonts w:ascii="Arial Narrow" w:hAnsi="Arial Narrow"/>
              </w:rPr>
              <w:t xml:space="preserve">% v </w:t>
            </w:r>
            <w:r w:rsidR="007B0774">
              <w:rPr>
                <w:rFonts w:ascii="Arial Narrow" w:hAnsi="Arial Narrow"/>
                <w:noProof/>
                <w:color w:val="000000"/>
                <w:highlight w:val="black"/>
              </w:rPr>
              <w:t>''''''</w:t>
            </w:r>
            <w:r w:rsidRPr="00B55EC8">
              <w:rPr>
                <w:rFonts w:ascii="Arial Narrow" w:hAnsi="Arial Narrow"/>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2 years: </w:t>
            </w:r>
            <w:r w:rsidR="007B0774">
              <w:rPr>
                <w:rFonts w:ascii="Arial Narrow" w:hAnsi="Arial Narrow"/>
                <w:noProof/>
                <w:color w:val="000000"/>
                <w:highlight w:val="black"/>
              </w:rPr>
              <w:t>''''''''''</w:t>
            </w:r>
            <w:r w:rsidRPr="00B55EC8">
              <w:rPr>
                <w:rFonts w:ascii="Arial Narrow" w:hAnsi="Arial Narrow"/>
              </w:rPr>
              <w:t xml:space="preserve">% v </w:t>
            </w:r>
            <w:r w:rsidR="007B0774">
              <w:rPr>
                <w:rFonts w:ascii="Arial Narrow" w:hAnsi="Arial Narrow"/>
                <w:noProof/>
                <w:color w:val="000000"/>
                <w:highlight w:val="black"/>
              </w:rPr>
              <w:t>''''''''''''</w:t>
            </w:r>
            <w:r w:rsidRPr="00B55EC8">
              <w:rPr>
                <w:rFonts w:ascii="Arial Narrow" w:hAnsi="Arial Narrow"/>
              </w:rPr>
              <w:t>%</w:t>
            </w:r>
          </w:p>
        </w:tc>
      </w:tr>
      <w:tr w:rsidR="00737742" w:rsidRPr="00737742" w:rsidTr="00F21CD9">
        <w:tc>
          <w:tcPr>
            <w:tcW w:w="3085" w:type="dxa"/>
          </w:tcPr>
          <w:p w:rsidR="00737742" w:rsidRPr="00737742" w:rsidRDefault="00737742" w:rsidP="00F21CD9">
            <w:pPr>
              <w:pStyle w:val="Tabletext"/>
              <w:spacing w:after="0"/>
              <w:rPr>
                <w:rFonts w:ascii="Arial Narrow" w:hAnsi="Arial Narrow"/>
              </w:rPr>
            </w:pPr>
            <w:r w:rsidRPr="00737742">
              <w:rPr>
                <w:rFonts w:ascii="Arial Narrow" w:hAnsi="Arial Narrow"/>
              </w:rPr>
              <w:t xml:space="preserve">Clinical plausibility: long term extrapolation of OS for </w:t>
            </w:r>
            <w:r>
              <w:rPr>
                <w:rFonts w:ascii="Arial Narrow" w:hAnsi="Arial Narrow"/>
              </w:rPr>
              <w:t>nivolumab</w:t>
            </w:r>
          </w:p>
        </w:tc>
        <w:tc>
          <w:tcPr>
            <w:tcW w:w="3544" w:type="dxa"/>
          </w:tcPr>
          <w:p w:rsidR="00737742" w:rsidRPr="00B55EC8" w:rsidRDefault="00737742" w:rsidP="00F21CD9">
            <w:pPr>
              <w:pStyle w:val="Tabletext"/>
              <w:spacing w:after="0"/>
              <w:jc w:val="center"/>
              <w:rPr>
                <w:rFonts w:ascii="Arial Narrow" w:hAnsi="Arial Narrow"/>
              </w:rPr>
            </w:pPr>
            <w:r w:rsidRPr="00B55EC8">
              <w:rPr>
                <w:rFonts w:ascii="Arial Narrow" w:hAnsi="Arial Narrow"/>
              </w:rPr>
              <w:t>Gradually declining OS</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3 years: </w:t>
            </w:r>
            <w:r w:rsidR="007B0774">
              <w:rPr>
                <w:rFonts w:ascii="Arial Narrow" w:hAnsi="Arial Narrow"/>
                <w:noProof/>
                <w:color w:val="000000"/>
                <w:highlight w:val="black"/>
              </w:rPr>
              <w:t>'''''''''''</w:t>
            </w:r>
            <w:r w:rsidRPr="00B55EC8">
              <w:rPr>
                <w:rFonts w:ascii="Arial Narrow" w:hAnsi="Arial Narrow"/>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4 years: </w:t>
            </w:r>
            <w:r w:rsidR="007B0774">
              <w:rPr>
                <w:rFonts w:ascii="Arial Narrow" w:hAnsi="Arial Narrow"/>
                <w:noProof/>
                <w:color w:val="000000"/>
                <w:highlight w:val="black"/>
              </w:rPr>
              <w:t>'''''''</w:t>
            </w:r>
            <w:r w:rsidRPr="00B55EC8">
              <w:rPr>
                <w:rFonts w:ascii="Arial Narrow" w:hAnsi="Arial Narrow"/>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5 years: </w:t>
            </w:r>
            <w:r w:rsidR="007B0774">
              <w:rPr>
                <w:rFonts w:ascii="Arial Narrow" w:hAnsi="Arial Narrow"/>
                <w:noProof/>
                <w:color w:val="000000"/>
                <w:highlight w:val="black"/>
              </w:rPr>
              <w:t>''''''''</w:t>
            </w:r>
            <w:r w:rsidRPr="00B55EC8">
              <w:rPr>
                <w:rFonts w:ascii="Arial Narrow" w:hAnsi="Arial Narrow"/>
              </w:rPr>
              <w:t>%</w:t>
            </w:r>
          </w:p>
        </w:tc>
        <w:tc>
          <w:tcPr>
            <w:tcW w:w="2551" w:type="dxa"/>
          </w:tcPr>
          <w:p w:rsidR="00737742" w:rsidRPr="00B55EC8" w:rsidRDefault="00737742" w:rsidP="00F21CD9">
            <w:pPr>
              <w:pStyle w:val="Tabletext"/>
              <w:spacing w:after="0"/>
              <w:jc w:val="center"/>
              <w:rPr>
                <w:rFonts w:ascii="Arial Narrow" w:hAnsi="Arial Narrow"/>
              </w:rPr>
            </w:pPr>
            <w:r w:rsidRPr="00B55EC8">
              <w:rPr>
                <w:rFonts w:ascii="Arial Narrow" w:hAnsi="Arial Narrow"/>
              </w:rPr>
              <w:t>Sharp decrease in OS</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3 years: </w:t>
            </w:r>
            <w:r w:rsidR="007B0774">
              <w:rPr>
                <w:rFonts w:ascii="Arial Narrow" w:hAnsi="Arial Narrow"/>
                <w:noProof/>
                <w:color w:val="000000"/>
                <w:highlight w:val="black"/>
              </w:rPr>
              <w:t>''''''''</w:t>
            </w:r>
            <w:r w:rsidRPr="00B55EC8">
              <w:rPr>
                <w:rFonts w:ascii="Arial Narrow" w:hAnsi="Arial Narrow"/>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4 years: </w:t>
            </w:r>
            <w:r w:rsidR="007B0774">
              <w:rPr>
                <w:rFonts w:ascii="Arial Narrow" w:hAnsi="Arial Narrow"/>
                <w:noProof/>
                <w:color w:val="000000"/>
                <w:highlight w:val="black"/>
              </w:rPr>
              <w:t>''''''''</w:t>
            </w:r>
            <w:r w:rsidRPr="00B55EC8">
              <w:rPr>
                <w:rFonts w:ascii="Arial Narrow" w:hAnsi="Arial Narrow"/>
              </w:rPr>
              <w:t>%</w:t>
            </w:r>
          </w:p>
          <w:p w:rsidR="00737742" w:rsidRPr="00B55EC8" w:rsidRDefault="00737742" w:rsidP="00F21CD9">
            <w:pPr>
              <w:pStyle w:val="Tabletext"/>
              <w:spacing w:after="0"/>
              <w:jc w:val="center"/>
              <w:rPr>
                <w:rFonts w:ascii="Arial Narrow" w:hAnsi="Arial Narrow"/>
              </w:rPr>
            </w:pPr>
            <w:r w:rsidRPr="00B55EC8">
              <w:rPr>
                <w:rFonts w:ascii="Arial Narrow" w:hAnsi="Arial Narrow"/>
              </w:rPr>
              <w:t xml:space="preserve">5 years: </w:t>
            </w:r>
            <w:r w:rsidR="007B0774">
              <w:rPr>
                <w:rFonts w:ascii="Arial Narrow" w:hAnsi="Arial Narrow"/>
                <w:noProof/>
                <w:color w:val="000000"/>
                <w:highlight w:val="black"/>
              </w:rPr>
              <w:t>'''''''</w:t>
            </w:r>
            <w:r w:rsidRPr="00B55EC8">
              <w:rPr>
                <w:rFonts w:ascii="Arial Narrow" w:hAnsi="Arial Narrow"/>
              </w:rPr>
              <w:t>%</w:t>
            </w:r>
          </w:p>
        </w:tc>
      </w:tr>
    </w:tbl>
    <w:p w:rsidR="00390F39" w:rsidRPr="002F2188" w:rsidRDefault="00390F39" w:rsidP="00390F39">
      <w:pPr>
        <w:pStyle w:val="TableFooter"/>
        <w:spacing w:after="0"/>
        <w:rPr>
          <w:szCs w:val="18"/>
        </w:rPr>
      </w:pPr>
      <w:r w:rsidRPr="002F2188">
        <w:rPr>
          <w:szCs w:val="18"/>
        </w:rPr>
        <w:t xml:space="preserve">Source: Table </w:t>
      </w:r>
      <w:r>
        <w:rPr>
          <w:szCs w:val="18"/>
        </w:rPr>
        <w:t>5</w:t>
      </w:r>
      <w:r w:rsidRPr="002F2188">
        <w:rPr>
          <w:szCs w:val="18"/>
        </w:rPr>
        <w:t>, p.</w:t>
      </w:r>
      <w:r>
        <w:rPr>
          <w:szCs w:val="18"/>
        </w:rPr>
        <w:t>6</w:t>
      </w:r>
      <w:r w:rsidRPr="002F2188">
        <w:rPr>
          <w:szCs w:val="18"/>
        </w:rPr>
        <w:t xml:space="preserve"> of the minor resubmission.</w:t>
      </w:r>
    </w:p>
    <w:p w:rsidR="00737742" w:rsidRPr="002F2188" w:rsidRDefault="00737742" w:rsidP="00D61352">
      <w:pPr>
        <w:pStyle w:val="TableFooter"/>
        <w:rPr>
          <w:b/>
          <w:szCs w:val="18"/>
        </w:rPr>
      </w:pPr>
      <w:r w:rsidRPr="002F2188">
        <w:rPr>
          <w:szCs w:val="18"/>
        </w:rPr>
        <w:t>Abbreviations: AIC = Akaike information criteria; BIC = Bayesian information criteria; KM = Kaplan-Meier; OS = overall survival.</w:t>
      </w:r>
    </w:p>
    <w:p w:rsidR="00EA4AB4" w:rsidRPr="001B5A0E" w:rsidRDefault="00EA4AB4" w:rsidP="00EA4AB4">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1B5A0E">
        <w:rPr>
          <w:rFonts w:asciiTheme="minorHAnsi" w:eastAsiaTheme="minorHAnsi" w:hAnsiTheme="minorHAnsi" w:cstheme="minorBidi"/>
          <w:snapToGrid/>
          <w:sz w:val="24"/>
          <w:szCs w:val="24"/>
        </w:rPr>
        <w:t xml:space="preserve">Additionally, the minor resubmission claimed that the mathematical properties of the log-logistic distribution matched the underlying scientific assumptions of immunotherapy agents as it allows a clinically plausible </w:t>
      </w:r>
      <w:r w:rsidR="00BA131A" w:rsidRPr="001B5A0E">
        <w:rPr>
          <w:rFonts w:asciiTheme="minorHAnsi" w:eastAsiaTheme="minorHAnsi" w:hAnsiTheme="minorHAnsi" w:cstheme="minorBidi"/>
          <w:snapToGrid/>
          <w:sz w:val="24"/>
          <w:szCs w:val="24"/>
        </w:rPr>
        <w:t>“</w:t>
      </w:r>
      <w:r w:rsidRPr="001B5A0E">
        <w:rPr>
          <w:rFonts w:asciiTheme="minorHAnsi" w:eastAsiaTheme="minorHAnsi" w:hAnsiTheme="minorHAnsi" w:cstheme="minorBidi"/>
          <w:snapToGrid/>
          <w:sz w:val="24"/>
          <w:szCs w:val="24"/>
        </w:rPr>
        <w:t>plateau</w:t>
      </w:r>
      <w:r w:rsidR="00BA131A" w:rsidRPr="001B5A0E">
        <w:rPr>
          <w:rFonts w:asciiTheme="minorHAnsi" w:eastAsiaTheme="minorHAnsi" w:hAnsiTheme="minorHAnsi" w:cstheme="minorBidi"/>
          <w:snapToGrid/>
          <w:sz w:val="24"/>
          <w:szCs w:val="24"/>
        </w:rPr>
        <w:t>”</w:t>
      </w:r>
      <w:r w:rsidRPr="001B5A0E">
        <w:rPr>
          <w:rFonts w:asciiTheme="minorHAnsi" w:eastAsiaTheme="minorHAnsi" w:hAnsiTheme="minorHAnsi" w:cstheme="minorBidi"/>
          <w:snapToGrid/>
          <w:sz w:val="24"/>
          <w:szCs w:val="24"/>
        </w:rPr>
        <w:t xml:space="preserve"> in survival, noting that it is an accelerated failure time model that allows non-zero initial hazards as well as non-monotonic decreasing hazards. </w:t>
      </w:r>
      <w:r w:rsidR="00394602" w:rsidRPr="001B5A0E">
        <w:rPr>
          <w:rFonts w:asciiTheme="minorHAnsi" w:eastAsiaTheme="minorHAnsi" w:hAnsiTheme="minorHAnsi" w:cstheme="minorBidi"/>
          <w:snapToGrid/>
          <w:sz w:val="24"/>
          <w:szCs w:val="24"/>
        </w:rPr>
        <w:t>The PBAC had previously noted this argument, and advised that ‘</w:t>
      </w:r>
      <w:r w:rsidR="00906641" w:rsidRPr="001B5A0E">
        <w:rPr>
          <w:rFonts w:asciiTheme="minorHAnsi" w:eastAsiaTheme="minorHAnsi" w:hAnsiTheme="minorHAnsi" w:cstheme="minorBidi"/>
          <w:snapToGrid/>
          <w:sz w:val="24"/>
          <w:szCs w:val="24"/>
        </w:rPr>
        <w:t>..</w:t>
      </w:r>
      <w:r w:rsidR="00394602" w:rsidRPr="001B5A0E">
        <w:rPr>
          <w:rFonts w:asciiTheme="minorHAnsi" w:eastAsiaTheme="minorHAnsi" w:hAnsiTheme="minorHAnsi" w:cstheme="minorBidi"/>
          <w:snapToGrid/>
          <w:sz w:val="24"/>
          <w:szCs w:val="24"/>
        </w:rPr>
        <w:t xml:space="preserve">.the choice of the method of extrapolation of OS </w:t>
      </w:r>
      <w:r w:rsidR="00B86BB0" w:rsidRPr="001B5A0E">
        <w:rPr>
          <w:rFonts w:asciiTheme="minorHAnsi" w:eastAsiaTheme="minorHAnsi" w:hAnsiTheme="minorHAnsi" w:cstheme="minorBidi"/>
          <w:snapToGrid/>
          <w:sz w:val="24"/>
          <w:szCs w:val="24"/>
        </w:rPr>
        <w:t>[</w:t>
      </w:r>
      <w:r w:rsidR="00394602" w:rsidRPr="001B5A0E">
        <w:rPr>
          <w:rFonts w:asciiTheme="minorHAnsi" w:eastAsiaTheme="minorHAnsi" w:hAnsiTheme="minorHAnsi" w:cstheme="minorBidi"/>
          <w:snapToGrid/>
          <w:sz w:val="24"/>
          <w:szCs w:val="24"/>
        </w:rPr>
        <w:t>and of different post-progression utilities</w:t>
      </w:r>
      <w:r w:rsidR="00B86BB0" w:rsidRPr="001B5A0E">
        <w:rPr>
          <w:rFonts w:asciiTheme="minorHAnsi" w:eastAsiaTheme="minorHAnsi" w:hAnsiTheme="minorHAnsi" w:cstheme="minorBidi"/>
          <w:snapToGrid/>
          <w:sz w:val="24"/>
          <w:szCs w:val="24"/>
        </w:rPr>
        <w:t>]</w:t>
      </w:r>
      <w:r w:rsidR="00394602" w:rsidRPr="001B5A0E">
        <w:rPr>
          <w:rFonts w:asciiTheme="minorHAnsi" w:eastAsiaTheme="minorHAnsi" w:hAnsiTheme="minorHAnsi" w:cstheme="minorBidi"/>
          <w:snapToGrid/>
          <w:sz w:val="24"/>
          <w:szCs w:val="24"/>
        </w:rPr>
        <w:t xml:space="preserve"> depended on the nature of the clinical evidence, and therefore what was deemed appropriate in one cancer setting was not necessarily pred</w:t>
      </w:r>
      <w:r w:rsidR="00390F39" w:rsidRPr="001B5A0E">
        <w:rPr>
          <w:rFonts w:asciiTheme="minorHAnsi" w:eastAsiaTheme="minorHAnsi" w:hAnsiTheme="minorHAnsi" w:cstheme="minorBidi"/>
          <w:snapToGrid/>
          <w:sz w:val="24"/>
          <w:szCs w:val="24"/>
        </w:rPr>
        <w:t>ictive of other cancer settings</w:t>
      </w:r>
      <w:r w:rsidR="00394602" w:rsidRPr="001B5A0E">
        <w:rPr>
          <w:rFonts w:asciiTheme="minorHAnsi" w:eastAsiaTheme="minorHAnsi" w:hAnsiTheme="minorHAnsi" w:cstheme="minorBidi"/>
          <w:snapToGrid/>
          <w:sz w:val="24"/>
          <w:szCs w:val="24"/>
        </w:rPr>
        <w:t>’</w:t>
      </w:r>
      <w:r w:rsidR="00B86BB0" w:rsidRPr="001B5A0E">
        <w:rPr>
          <w:rFonts w:asciiTheme="minorHAnsi" w:eastAsiaTheme="minorHAnsi" w:hAnsiTheme="minorHAnsi" w:cstheme="minorBidi"/>
          <w:snapToGrid/>
          <w:sz w:val="24"/>
          <w:szCs w:val="24"/>
        </w:rPr>
        <w:t xml:space="preserve"> (paragraph 7.16, November 2017 PBAC meeting).</w:t>
      </w:r>
    </w:p>
    <w:p w:rsidR="007F7885" w:rsidRPr="001B5A0E" w:rsidRDefault="00AB3083" w:rsidP="00C67D94">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A81610">
        <w:rPr>
          <w:rFonts w:asciiTheme="minorHAnsi" w:eastAsiaTheme="minorHAnsi" w:hAnsiTheme="minorHAnsi" w:cstheme="minorBidi"/>
          <w:snapToGrid/>
          <w:sz w:val="24"/>
          <w:szCs w:val="24"/>
        </w:rPr>
        <w:t>The updated economic model in the minor resubmission also included a</w:t>
      </w:r>
      <w:r w:rsidR="00390F39" w:rsidRPr="00A81610">
        <w:rPr>
          <w:rFonts w:asciiTheme="minorHAnsi" w:eastAsiaTheme="minorHAnsi" w:hAnsiTheme="minorHAnsi" w:cstheme="minorBidi"/>
          <w:snapToGrid/>
          <w:sz w:val="24"/>
          <w:szCs w:val="24"/>
        </w:rPr>
        <w:t>n</w:t>
      </w:r>
      <w:r w:rsidRPr="00A81610">
        <w:rPr>
          <w:rFonts w:asciiTheme="minorHAnsi" w:eastAsiaTheme="minorHAnsi" w:hAnsiTheme="minorHAnsi" w:cstheme="minorBidi"/>
          <w:snapToGrid/>
          <w:sz w:val="24"/>
          <w:szCs w:val="24"/>
        </w:rPr>
        <w:t xml:space="preserve"> </w:t>
      </w:r>
      <w:r w:rsidR="007B0774">
        <w:rPr>
          <w:rFonts w:asciiTheme="minorHAnsi" w:eastAsiaTheme="minorHAnsi" w:hAnsiTheme="minorHAnsi" w:cstheme="minorBidi"/>
          <w:noProof/>
          <w:snapToGrid/>
          <w:color w:val="000000"/>
          <w:sz w:val="24"/>
          <w:szCs w:val="24"/>
          <w:highlight w:val="black"/>
        </w:rPr>
        <w:t>'''''''''</w:t>
      </w:r>
      <w:r w:rsidRPr="00A81610">
        <w:rPr>
          <w:rFonts w:asciiTheme="minorHAnsi" w:eastAsiaTheme="minorHAnsi" w:hAnsiTheme="minorHAnsi" w:cstheme="minorBidi"/>
          <w:snapToGrid/>
          <w:sz w:val="24"/>
          <w:szCs w:val="24"/>
        </w:rPr>
        <w:t>% increase in nivolumab treatment duration for the base case</w:t>
      </w:r>
      <w:r w:rsidR="00A3341E" w:rsidRPr="00A81610">
        <w:rPr>
          <w:rFonts w:asciiTheme="minorHAnsi" w:eastAsiaTheme="minorHAnsi" w:hAnsiTheme="minorHAnsi" w:cstheme="minorBidi"/>
          <w:snapToGrid/>
          <w:sz w:val="24"/>
          <w:szCs w:val="24"/>
        </w:rPr>
        <w:t>.</w:t>
      </w:r>
      <w:r w:rsidR="003C57C6" w:rsidRPr="00A81610">
        <w:rPr>
          <w:rFonts w:asciiTheme="minorHAnsi" w:eastAsiaTheme="minorHAnsi" w:hAnsiTheme="minorHAnsi" w:cstheme="minorBidi"/>
          <w:snapToGrid/>
          <w:sz w:val="24"/>
          <w:szCs w:val="24"/>
        </w:rPr>
        <w:t xml:space="preserve"> </w:t>
      </w:r>
      <w:r w:rsidR="00ED771D" w:rsidRPr="00A81610">
        <w:rPr>
          <w:rFonts w:asciiTheme="minorHAnsi" w:eastAsiaTheme="minorHAnsi" w:hAnsiTheme="minorHAnsi" w:cstheme="minorBidi"/>
          <w:snapToGrid/>
          <w:sz w:val="24"/>
          <w:szCs w:val="24"/>
        </w:rPr>
        <w:t>A</w:t>
      </w:r>
      <w:r w:rsidR="00A3341E" w:rsidRPr="00A81610">
        <w:rPr>
          <w:rFonts w:asciiTheme="minorHAnsi" w:eastAsiaTheme="minorHAnsi" w:hAnsiTheme="minorHAnsi" w:cstheme="minorBidi"/>
          <w:snapToGrid/>
          <w:sz w:val="24"/>
          <w:szCs w:val="24"/>
        </w:rPr>
        <w:t xml:space="preserve">n </w:t>
      </w:r>
      <w:r w:rsidR="007B0774">
        <w:rPr>
          <w:rFonts w:asciiTheme="minorHAnsi" w:eastAsiaTheme="minorHAnsi" w:hAnsiTheme="minorHAnsi" w:cstheme="minorBidi"/>
          <w:noProof/>
          <w:snapToGrid/>
          <w:color w:val="000000"/>
          <w:sz w:val="24"/>
          <w:szCs w:val="24"/>
          <w:highlight w:val="black"/>
        </w:rPr>
        <w:t>'''''''''</w:t>
      </w:r>
      <w:r w:rsidR="00A3341E" w:rsidRPr="00A81610">
        <w:rPr>
          <w:rFonts w:asciiTheme="minorHAnsi" w:eastAsiaTheme="minorHAnsi" w:hAnsiTheme="minorHAnsi" w:cstheme="minorBidi"/>
          <w:snapToGrid/>
          <w:sz w:val="24"/>
          <w:szCs w:val="24"/>
        </w:rPr>
        <w:t xml:space="preserve">% increase (i.e. PFS </w:t>
      </w:r>
      <w:r w:rsidR="00FB4292" w:rsidRPr="00A81610">
        <w:rPr>
          <w:rFonts w:asciiTheme="minorHAnsi" w:eastAsiaTheme="minorHAnsi" w:hAnsiTheme="minorHAnsi" w:cstheme="minorBidi"/>
          <w:snapToGrid/>
          <w:sz w:val="24"/>
          <w:szCs w:val="24"/>
        </w:rPr>
        <w:t>duration of treatment (</w:t>
      </w:r>
      <w:r w:rsidR="00287B47" w:rsidRPr="00A81610">
        <w:rPr>
          <w:rFonts w:asciiTheme="minorHAnsi" w:eastAsiaTheme="minorHAnsi" w:hAnsiTheme="minorHAnsi" w:cstheme="minorBidi"/>
          <w:snapToGrid/>
          <w:sz w:val="24"/>
          <w:szCs w:val="24"/>
        </w:rPr>
        <w:t>DOT</w:t>
      </w:r>
      <w:r w:rsidR="00FB4292" w:rsidRPr="00A81610">
        <w:rPr>
          <w:rFonts w:asciiTheme="minorHAnsi" w:eastAsiaTheme="minorHAnsi" w:hAnsiTheme="minorHAnsi" w:cstheme="minorBidi"/>
          <w:snapToGrid/>
          <w:sz w:val="24"/>
          <w:szCs w:val="24"/>
        </w:rPr>
        <w:t>)</w:t>
      </w:r>
      <w:r w:rsidR="00A3341E" w:rsidRPr="00A81610">
        <w:rPr>
          <w:rFonts w:asciiTheme="minorHAnsi" w:eastAsiaTheme="minorHAnsi" w:hAnsiTheme="minorHAnsi" w:cstheme="minorBidi"/>
          <w:snapToGrid/>
          <w:sz w:val="24"/>
          <w:szCs w:val="24"/>
        </w:rPr>
        <w:t xml:space="preserve"> + </w:t>
      </w:r>
      <w:r w:rsidR="007B0774">
        <w:rPr>
          <w:rFonts w:asciiTheme="minorHAnsi" w:eastAsiaTheme="minorHAnsi" w:hAnsiTheme="minorHAnsi" w:cstheme="minorBidi"/>
          <w:noProof/>
          <w:snapToGrid/>
          <w:color w:val="000000"/>
          <w:sz w:val="24"/>
          <w:szCs w:val="24"/>
          <w:highlight w:val="black"/>
        </w:rPr>
        <w:t>'''''''''</w:t>
      </w:r>
      <w:r w:rsidR="00A3341E" w:rsidRPr="00A81610">
        <w:rPr>
          <w:rFonts w:asciiTheme="minorHAnsi" w:eastAsiaTheme="minorHAnsi" w:hAnsiTheme="minorHAnsi" w:cstheme="minorBidi"/>
          <w:snapToGrid/>
          <w:sz w:val="24"/>
          <w:szCs w:val="24"/>
        </w:rPr>
        <w:t xml:space="preserve">%) in nivolumab treatment duration </w:t>
      </w:r>
      <w:r w:rsidR="00ED771D" w:rsidRPr="00A81610">
        <w:rPr>
          <w:rFonts w:asciiTheme="minorHAnsi" w:eastAsiaTheme="minorHAnsi" w:hAnsiTheme="minorHAnsi" w:cstheme="minorBidi"/>
          <w:snapToGrid/>
          <w:sz w:val="24"/>
          <w:szCs w:val="24"/>
        </w:rPr>
        <w:t>was previously used as the rationale for a reduction in requested price during the November 2017 pre-PBAC response</w:t>
      </w:r>
      <w:r w:rsidR="007F6AFB" w:rsidRPr="00A81610">
        <w:rPr>
          <w:rFonts w:asciiTheme="minorHAnsi" w:eastAsiaTheme="minorHAnsi" w:hAnsiTheme="minorHAnsi" w:cstheme="minorBidi"/>
          <w:snapToGrid/>
          <w:sz w:val="24"/>
          <w:szCs w:val="24"/>
        </w:rPr>
        <w:t xml:space="preserve">, </w:t>
      </w:r>
      <w:r w:rsidR="00FD5478" w:rsidRPr="00A81610">
        <w:rPr>
          <w:rFonts w:asciiTheme="minorHAnsi" w:eastAsiaTheme="minorHAnsi" w:hAnsiTheme="minorHAnsi" w:cstheme="minorBidi"/>
          <w:snapToGrid/>
          <w:sz w:val="24"/>
          <w:szCs w:val="24"/>
        </w:rPr>
        <w:t>which stated</w:t>
      </w:r>
      <w:r w:rsidR="007F6AFB" w:rsidRPr="00A81610">
        <w:rPr>
          <w:rFonts w:asciiTheme="minorHAnsi" w:eastAsiaTheme="minorHAnsi" w:hAnsiTheme="minorHAnsi" w:cstheme="minorBidi"/>
          <w:snapToGrid/>
          <w:sz w:val="24"/>
          <w:szCs w:val="24"/>
        </w:rPr>
        <w:t xml:space="preserve"> that</w:t>
      </w:r>
      <w:r w:rsidR="00ED771D" w:rsidRPr="00A81610">
        <w:rPr>
          <w:rFonts w:asciiTheme="minorHAnsi" w:eastAsiaTheme="minorHAnsi" w:hAnsiTheme="minorHAnsi" w:cstheme="minorBidi"/>
          <w:snapToGrid/>
          <w:sz w:val="24"/>
          <w:szCs w:val="24"/>
        </w:rPr>
        <w:t xml:space="preserve"> </w:t>
      </w:r>
      <w:r w:rsidR="007F6AFB" w:rsidRPr="00A81610">
        <w:rPr>
          <w:rFonts w:asciiTheme="minorHAnsi" w:eastAsiaTheme="minorHAnsi" w:hAnsiTheme="minorHAnsi" w:cstheme="minorBidi"/>
          <w:snapToGrid/>
          <w:sz w:val="24"/>
          <w:szCs w:val="24"/>
        </w:rPr>
        <w:t>the estimate</w:t>
      </w:r>
      <w:r w:rsidR="00FD5478" w:rsidRPr="00A81610">
        <w:rPr>
          <w:rFonts w:asciiTheme="minorHAnsi" w:eastAsiaTheme="minorHAnsi" w:hAnsiTheme="minorHAnsi" w:cstheme="minorBidi"/>
          <w:snapToGrid/>
          <w:sz w:val="24"/>
          <w:szCs w:val="24"/>
        </w:rPr>
        <w:t xml:space="preserve"> of</w:t>
      </w:r>
      <w:r w:rsidR="007F6AFB" w:rsidRPr="00A81610">
        <w:rPr>
          <w:rFonts w:asciiTheme="minorHAnsi" w:eastAsiaTheme="minorHAnsi" w:hAnsiTheme="minorHAnsi" w:cstheme="minorBidi"/>
          <w:snapToGrid/>
          <w:sz w:val="24"/>
          <w:szCs w:val="24"/>
        </w:rPr>
        <w:t xml:space="preserve"> </w:t>
      </w:r>
      <w:r w:rsidR="007B0774">
        <w:rPr>
          <w:rFonts w:asciiTheme="minorHAnsi" w:eastAsiaTheme="minorHAnsi" w:hAnsiTheme="minorHAnsi" w:cstheme="minorBidi"/>
          <w:noProof/>
          <w:snapToGrid/>
          <w:color w:val="000000"/>
          <w:sz w:val="24"/>
          <w:szCs w:val="24"/>
          <w:highlight w:val="black"/>
        </w:rPr>
        <w:t>''''''''</w:t>
      </w:r>
      <w:r w:rsidR="007F6AFB" w:rsidRPr="00A81610">
        <w:rPr>
          <w:rFonts w:asciiTheme="minorHAnsi" w:eastAsiaTheme="minorHAnsi" w:hAnsiTheme="minorHAnsi" w:cstheme="minorBidi"/>
          <w:snapToGrid/>
          <w:sz w:val="24"/>
          <w:szCs w:val="24"/>
        </w:rPr>
        <w:t>% was based on the</w:t>
      </w:r>
      <w:r w:rsidR="007F6AFB" w:rsidRPr="001B5A0E">
        <w:rPr>
          <w:rFonts w:asciiTheme="minorHAnsi" w:eastAsiaTheme="minorHAnsi" w:hAnsiTheme="minorHAnsi" w:cstheme="minorBidi"/>
          <w:snapToGrid/>
          <w:sz w:val="24"/>
          <w:szCs w:val="24"/>
        </w:rPr>
        <w:t xml:space="preserve"> mean</w:t>
      </w:r>
      <w:r w:rsidR="00FD5478" w:rsidRPr="001B5A0E">
        <w:rPr>
          <w:rFonts w:asciiTheme="minorHAnsi" w:eastAsiaTheme="minorHAnsi" w:hAnsiTheme="minorHAnsi" w:cstheme="minorBidi"/>
          <w:snapToGrid/>
          <w:sz w:val="24"/>
          <w:szCs w:val="24"/>
        </w:rPr>
        <w:t xml:space="preserve"> number of</w:t>
      </w:r>
      <w:r w:rsidR="007F6AFB" w:rsidRPr="001B5A0E">
        <w:rPr>
          <w:rFonts w:asciiTheme="minorHAnsi" w:eastAsiaTheme="minorHAnsi" w:hAnsiTheme="minorHAnsi" w:cstheme="minorBidi"/>
          <w:snapToGrid/>
          <w:sz w:val="24"/>
          <w:szCs w:val="24"/>
        </w:rPr>
        <w:t xml:space="preserve"> additional infusions received per patient treated beyond progression</w:t>
      </w:r>
      <w:r w:rsidR="0087411A" w:rsidRPr="001B5A0E">
        <w:rPr>
          <w:rFonts w:asciiTheme="minorHAnsi" w:eastAsiaTheme="minorHAnsi" w:hAnsiTheme="minorHAnsi" w:cstheme="minorBidi"/>
          <w:snapToGrid/>
          <w:sz w:val="24"/>
          <w:szCs w:val="24"/>
        </w:rPr>
        <w:t xml:space="preserve"> (</w:t>
      </w:r>
      <w:r w:rsidR="00FB4292" w:rsidRPr="001B5A0E">
        <w:rPr>
          <w:rFonts w:asciiTheme="minorHAnsi" w:eastAsiaTheme="minorHAnsi" w:hAnsiTheme="minorHAnsi" w:cstheme="minorBidi"/>
          <w:snapToGrid/>
          <w:sz w:val="24"/>
          <w:szCs w:val="24"/>
        </w:rPr>
        <w:t xml:space="preserve">constituting </w:t>
      </w:r>
      <w:r w:rsidR="007B0774">
        <w:rPr>
          <w:rFonts w:asciiTheme="minorHAnsi" w:eastAsiaTheme="minorHAnsi" w:hAnsiTheme="minorHAnsi" w:cstheme="minorBidi"/>
          <w:noProof/>
          <w:snapToGrid/>
          <w:color w:val="000000"/>
          <w:sz w:val="24"/>
          <w:szCs w:val="24"/>
          <w:highlight w:val="black"/>
        </w:rPr>
        <w:t>''''''''</w:t>
      </w:r>
      <w:r w:rsidR="0087411A" w:rsidRPr="00A81610">
        <w:rPr>
          <w:rFonts w:asciiTheme="minorHAnsi" w:eastAsiaTheme="minorHAnsi" w:hAnsiTheme="minorHAnsi" w:cstheme="minorBidi"/>
          <w:snapToGrid/>
          <w:sz w:val="24"/>
          <w:szCs w:val="24"/>
        </w:rPr>
        <w:t>%</w:t>
      </w:r>
      <w:r w:rsidR="00FB4292" w:rsidRPr="00A81610">
        <w:rPr>
          <w:rFonts w:asciiTheme="minorHAnsi" w:eastAsiaTheme="minorHAnsi" w:hAnsiTheme="minorHAnsi" w:cstheme="minorBidi"/>
          <w:snapToGrid/>
          <w:sz w:val="24"/>
          <w:szCs w:val="24"/>
        </w:rPr>
        <w:t xml:space="preserve"> of patients from </w:t>
      </w:r>
      <w:r w:rsidR="00927B32" w:rsidRPr="00A81610">
        <w:rPr>
          <w:rFonts w:asciiTheme="minorHAnsi" w:eastAsiaTheme="minorHAnsi" w:hAnsiTheme="minorHAnsi" w:cstheme="minorBidi"/>
          <w:snapToGrid/>
          <w:sz w:val="24"/>
          <w:szCs w:val="24"/>
        </w:rPr>
        <w:t xml:space="preserve">the </w:t>
      </w:r>
      <w:r w:rsidR="00FB4292" w:rsidRPr="00A81610">
        <w:rPr>
          <w:rFonts w:asciiTheme="minorHAnsi" w:eastAsiaTheme="minorHAnsi" w:hAnsiTheme="minorHAnsi" w:cstheme="minorBidi"/>
          <w:snapToGrid/>
          <w:sz w:val="24"/>
          <w:szCs w:val="24"/>
        </w:rPr>
        <w:t>trial</w:t>
      </w:r>
      <w:r w:rsidR="0087411A" w:rsidRPr="00A81610">
        <w:rPr>
          <w:rFonts w:asciiTheme="minorHAnsi" w:eastAsiaTheme="minorHAnsi" w:hAnsiTheme="minorHAnsi" w:cstheme="minorBidi"/>
          <w:snapToGrid/>
          <w:sz w:val="24"/>
          <w:szCs w:val="24"/>
        </w:rPr>
        <w:t>)</w:t>
      </w:r>
      <w:r w:rsidR="007F6AFB" w:rsidRPr="00A81610">
        <w:rPr>
          <w:rFonts w:asciiTheme="minorHAnsi" w:eastAsiaTheme="minorHAnsi" w:hAnsiTheme="minorHAnsi" w:cstheme="minorBidi"/>
          <w:snapToGrid/>
          <w:sz w:val="24"/>
          <w:szCs w:val="24"/>
        </w:rPr>
        <w:t xml:space="preserve"> </w:t>
      </w:r>
      <w:r w:rsidR="00ED771D" w:rsidRPr="00A81610">
        <w:rPr>
          <w:rFonts w:asciiTheme="minorHAnsi" w:eastAsiaTheme="minorHAnsi" w:hAnsiTheme="minorHAnsi" w:cstheme="minorBidi"/>
          <w:snapToGrid/>
          <w:sz w:val="24"/>
          <w:szCs w:val="24"/>
        </w:rPr>
        <w:t xml:space="preserve">(paragraph 7.14, November 2017 PBAC </w:t>
      </w:r>
      <w:r w:rsidR="00B72BBB" w:rsidRPr="00A81610">
        <w:rPr>
          <w:rFonts w:asciiTheme="minorHAnsi" w:eastAsiaTheme="minorHAnsi" w:hAnsiTheme="minorHAnsi" w:cstheme="minorBidi"/>
          <w:snapToGrid/>
          <w:sz w:val="24"/>
          <w:szCs w:val="24"/>
        </w:rPr>
        <w:t>PSD</w:t>
      </w:r>
      <w:r w:rsidR="00ED771D" w:rsidRPr="00A81610">
        <w:rPr>
          <w:rFonts w:asciiTheme="minorHAnsi" w:eastAsiaTheme="minorHAnsi" w:hAnsiTheme="minorHAnsi" w:cstheme="minorBidi"/>
          <w:snapToGrid/>
          <w:sz w:val="24"/>
          <w:szCs w:val="24"/>
        </w:rPr>
        <w:t xml:space="preserve">). </w:t>
      </w:r>
      <w:r w:rsidR="000A3EED" w:rsidRPr="00A81610">
        <w:rPr>
          <w:rFonts w:asciiTheme="minorHAnsi" w:eastAsiaTheme="minorHAnsi" w:hAnsiTheme="minorHAnsi" w:cstheme="minorBidi"/>
          <w:snapToGrid/>
          <w:sz w:val="24"/>
          <w:szCs w:val="24"/>
        </w:rPr>
        <w:t xml:space="preserve">The underlying assumption of this </w:t>
      </w:r>
      <w:r w:rsidR="00927B32" w:rsidRPr="00A81610">
        <w:rPr>
          <w:rFonts w:asciiTheme="minorHAnsi" w:eastAsiaTheme="minorHAnsi" w:hAnsiTheme="minorHAnsi" w:cstheme="minorBidi"/>
          <w:snapToGrid/>
          <w:sz w:val="24"/>
          <w:szCs w:val="24"/>
        </w:rPr>
        <w:t>estimate</w:t>
      </w:r>
      <w:r w:rsidR="000A3EED" w:rsidRPr="00A81610">
        <w:rPr>
          <w:rFonts w:asciiTheme="minorHAnsi" w:eastAsiaTheme="minorHAnsi" w:hAnsiTheme="minorHAnsi" w:cstheme="minorBidi"/>
          <w:snapToGrid/>
          <w:sz w:val="24"/>
          <w:szCs w:val="24"/>
        </w:rPr>
        <w:t xml:space="preserve"> was that the mean DOT observed in CA209141 (</w:t>
      </w:r>
      <w:r w:rsidR="007B0774">
        <w:rPr>
          <w:rFonts w:asciiTheme="minorHAnsi" w:eastAsiaTheme="minorHAnsi" w:hAnsiTheme="minorHAnsi" w:cstheme="minorBidi"/>
          <w:noProof/>
          <w:snapToGrid/>
          <w:color w:val="000000"/>
          <w:sz w:val="24"/>
          <w:szCs w:val="24"/>
          <w:highlight w:val="black"/>
        </w:rPr>
        <w:t>'''''''</w:t>
      </w:r>
      <w:r w:rsidR="000A3EED" w:rsidRPr="00A81610">
        <w:rPr>
          <w:rFonts w:asciiTheme="minorHAnsi" w:eastAsiaTheme="minorHAnsi" w:hAnsiTheme="minorHAnsi" w:cstheme="minorBidi"/>
          <w:snapToGrid/>
          <w:sz w:val="24"/>
          <w:szCs w:val="24"/>
        </w:rPr>
        <w:t xml:space="preserve"> infusions</w:t>
      </w:r>
      <w:r w:rsidR="000A3EED" w:rsidRPr="001B5A0E">
        <w:rPr>
          <w:rFonts w:asciiTheme="minorHAnsi" w:eastAsiaTheme="minorHAnsi" w:hAnsiTheme="minorHAnsi" w:cstheme="minorBidi"/>
          <w:snapToGrid/>
          <w:sz w:val="24"/>
          <w:szCs w:val="24"/>
        </w:rPr>
        <w:t xml:space="preserve">) applied to patients treated no further than RECIST-defined PFS, and that the mean DOT for patients treated beyond progression </w:t>
      </w:r>
      <w:r w:rsidR="000A3EED" w:rsidRPr="00A81610">
        <w:rPr>
          <w:rFonts w:asciiTheme="minorHAnsi" w:eastAsiaTheme="minorHAnsi" w:hAnsiTheme="minorHAnsi" w:cstheme="minorBidi"/>
          <w:snapToGrid/>
          <w:sz w:val="24"/>
          <w:szCs w:val="24"/>
        </w:rPr>
        <w:t xml:space="preserve">was </w:t>
      </w:r>
      <w:r w:rsidR="007B0774">
        <w:rPr>
          <w:rFonts w:asciiTheme="minorHAnsi" w:eastAsiaTheme="minorHAnsi" w:hAnsiTheme="minorHAnsi" w:cstheme="minorBidi"/>
          <w:noProof/>
          <w:snapToGrid/>
          <w:color w:val="000000"/>
          <w:sz w:val="24"/>
          <w:szCs w:val="24"/>
          <w:highlight w:val="black"/>
        </w:rPr>
        <w:t>''''''''</w:t>
      </w:r>
      <w:r w:rsidR="000A3EED" w:rsidRPr="00A81610">
        <w:rPr>
          <w:rFonts w:asciiTheme="minorHAnsi" w:eastAsiaTheme="minorHAnsi" w:hAnsiTheme="minorHAnsi" w:cstheme="minorBidi"/>
          <w:snapToGrid/>
          <w:sz w:val="24"/>
          <w:szCs w:val="24"/>
        </w:rPr>
        <w:t xml:space="preserve"> infusions (</w:t>
      </w:r>
      <w:r w:rsidR="007B0774">
        <w:rPr>
          <w:rFonts w:asciiTheme="minorHAnsi" w:eastAsiaTheme="minorHAnsi" w:hAnsiTheme="minorHAnsi" w:cstheme="minorBidi"/>
          <w:noProof/>
          <w:snapToGrid/>
          <w:color w:val="000000"/>
          <w:sz w:val="24"/>
          <w:szCs w:val="24"/>
          <w:highlight w:val="black"/>
        </w:rPr>
        <w:t>'''''' '' ''''''</w:t>
      </w:r>
      <w:r w:rsidR="000A3EED" w:rsidRPr="00A81610">
        <w:rPr>
          <w:rFonts w:asciiTheme="minorHAnsi" w:eastAsiaTheme="minorHAnsi" w:hAnsiTheme="minorHAnsi" w:cstheme="minorBidi"/>
          <w:snapToGrid/>
          <w:sz w:val="24"/>
          <w:szCs w:val="24"/>
        </w:rPr>
        <w:t>); as</w:t>
      </w:r>
      <w:r w:rsidR="000A3EED" w:rsidRPr="001B5A0E">
        <w:rPr>
          <w:rFonts w:asciiTheme="minorHAnsi" w:eastAsiaTheme="minorHAnsi" w:hAnsiTheme="minorHAnsi" w:cstheme="minorBidi"/>
          <w:snapToGrid/>
          <w:sz w:val="24"/>
          <w:szCs w:val="24"/>
        </w:rPr>
        <w:t xml:space="preserve"> such, an overall mean DOT for the patients in the nivolumab arm </w:t>
      </w:r>
      <w:r w:rsidR="000A3EED" w:rsidRPr="00A81610">
        <w:rPr>
          <w:rFonts w:asciiTheme="minorHAnsi" w:eastAsiaTheme="minorHAnsi" w:hAnsiTheme="minorHAnsi" w:cstheme="minorBidi"/>
          <w:snapToGrid/>
          <w:sz w:val="24"/>
          <w:szCs w:val="24"/>
        </w:rPr>
        <w:t xml:space="preserve">should be </w:t>
      </w:r>
      <w:r w:rsidR="007B0774">
        <w:rPr>
          <w:rFonts w:asciiTheme="minorHAnsi" w:eastAsiaTheme="minorHAnsi" w:hAnsiTheme="minorHAnsi" w:cstheme="minorBidi"/>
          <w:noProof/>
          <w:snapToGrid/>
          <w:color w:val="000000"/>
          <w:sz w:val="24"/>
          <w:szCs w:val="24"/>
          <w:highlight w:val="black"/>
        </w:rPr>
        <w:t>''''''''</w:t>
      </w:r>
      <w:r w:rsidR="000A3EED" w:rsidRPr="00A81610">
        <w:rPr>
          <w:rFonts w:asciiTheme="minorHAnsi" w:eastAsiaTheme="minorHAnsi" w:hAnsiTheme="minorHAnsi" w:cstheme="minorBidi"/>
          <w:snapToGrid/>
          <w:sz w:val="24"/>
          <w:szCs w:val="24"/>
        </w:rPr>
        <w:t xml:space="preserve"> infusions (</w:t>
      </w:r>
      <w:r w:rsidR="007B0774">
        <w:rPr>
          <w:rFonts w:asciiTheme="minorHAnsi" w:eastAsiaTheme="minorHAnsi" w:hAnsiTheme="minorHAnsi" w:cstheme="minorBidi"/>
          <w:noProof/>
          <w:snapToGrid/>
          <w:color w:val="000000"/>
          <w:sz w:val="24"/>
          <w:szCs w:val="24"/>
          <w:highlight w:val="black"/>
        </w:rPr>
        <w:t>''''''''' ''' ''''''''''''''''''' ''' '''''''''' '' ''''''''</w:t>
      </w:r>
      <w:r w:rsidR="000A3EED" w:rsidRPr="00A81610">
        <w:rPr>
          <w:rFonts w:asciiTheme="minorHAnsi" w:eastAsiaTheme="minorHAnsi" w:hAnsiTheme="minorHAnsi" w:cstheme="minorBidi"/>
          <w:snapToGrid/>
          <w:sz w:val="24"/>
          <w:szCs w:val="24"/>
        </w:rPr>
        <w:t xml:space="preserve">). The minor resubmission’s </w:t>
      </w:r>
      <w:r w:rsidR="00927B32" w:rsidRPr="00A81610">
        <w:rPr>
          <w:rFonts w:asciiTheme="minorHAnsi" w:eastAsiaTheme="minorHAnsi" w:hAnsiTheme="minorHAnsi" w:cstheme="minorBidi"/>
          <w:snapToGrid/>
          <w:sz w:val="24"/>
          <w:szCs w:val="24"/>
        </w:rPr>
        <w:t xml:space="preserve">statement </w:t>
      </w:r>
      <w:r w:rsidR="000A3EED" w:rsidRPr="00A81610">
        <w:rPr>
          <w:rFonts w:asciiTheme="minorHAnsi" w:eastAsiaTheme="minorHAnsi" w:hAnsiTheme="minorHAnsi" w:cstheme="minorBidi"/>
          <w:snapToGrid/>
          <w:sz w:val="24"/>
          <w:szCs w:val="24"/>
        </w:rPr>
        <w:t>that patients treated beyond progression in Study CA209141 receiv</w:t>
      </w:r>
      <w:r w:rsidR="006D7D3B" w:rsidRPr="00A81610">
        <w:rPr>
          <w:rFonts w:asciiTheme="minorHAnsi" w:eastAsiaTheme="minorHAnsi" w:hAnsiTheme="minorHAnsi" w:cstheme="minorBidi"/>
          <w:snapToGrid/>
          <w:sz w:val="24"/>
          <w:szCs w:val="24"/>
        </w:rPr>
        <w:t xml:space="preserve">ed </w:t>
      </w:r>
      <w:r w:rsidR="007B0774">
        <w:rPr>
          <w:rFonts w:asciiTheme="minorHAnsi" w:eastAsiaTheme="minorHAnsi" w:hAnsiTheme="minorHAnsi" w:cstheme="minorBidi"/>
          <w:noProof/>
          <w:snapToGrid/>
          <w:color w:val="000000"/>
          <w:sz w:val="24"/>
          <w:szCs w:val="24"/>
          <w:highlight w:val="black"/>
        </w:rPr>
        <w:t>'''''''</w:t>
      </w:r>
      <w:r w:rsidR="006D7D3B" w:rsidRPr="00A81610">
        <w:rPr>
          <w:rFonts w:asciiTheme="minorHAnsi" w:eastAsiaTheme="minorHAnsi" w:hAnsiTheme="minorHAnsi" w:cstheme="minorBidi"/>
          <w:snapToGrid/>
          <w:sz w:val="24"/>
          <w:szCs w:val="24"/>
        </w:rPr>
        <w:t xml:space="preserve"> infusions </w:t>
      </w:r>
      <w:r w:rsidR="00927B32" w:rsidRPr="00A81610">
        <w:rPr>
          <w:rFonts w:asciiTheme="minorHAnsi" w:eastAsiaTheme="minorHAnsi" w:hAnsiTheme="minorHAnsi" w:cstheme="minorBidi"/>
          <w:snapToGrid/>
          <w:sz w:val="24"/>
          <w:szCs w:val="24"/>
        </w:rPr>
        <w:t xml:space="preserve">on average </w:t>
      </w:r>
      <w:r w:rsidR="006D7D3B" w:rsidRPr="00A81610">
        <w:rPr>
          <w:rFonts w:asciiTheme="minorHAnsi" w:eastAsiaTheme="minorHAnsi" w:hAnsiTheme="minorHAnsi" w:cstheme="minorBidi"/>
          <w:snapToGrid/>
          <w:sz w:val="24"/>
          <w:szCs w:val="24"/>
        </w:rPr>
        <w:t xml:space="preserve">was not </w:t>
      </w:r>
      <w:r w:rsidR="00927B32" w:rsidRPr="00A81610">
        <w:rPr>
          <w:rFonts w:asciiTheme="minorHAnsi" w:eastAsiaTheme="minorHAnsi" w:hAnsiTheme="minorHAnsi" w:cstheme="minorBidi"/>
          <w:snapToGrid/>
          <w:sz w:val="24"/>
          <w:szCs w:val="24"/>
        </w:rPr>
        <w:t>independently</w:t>
      </w:r>
      <w:r w:rsidR="000A3EED" w:rsidRPr="00A81610">
        <w:rPr>
          <w:rFonts w:asciiTheme="minorHAnsi" w:eastAsiaTheme="minorHAnsi" w:hAnsiTheme="minorHAnsi" w:cstheme="minorBidi"/>
          <w:snapToGrid/>
          <w:sz w:val="24"/>
          <w:szCs w:val="24"/>
        </w:rPr>
        <w:t xml:space="preserve"> verifiable</w:t>
      </w:r>
      <w:r w:rsidR="00927B32" w:rsidRPr="00A81610">
        <w:rPr>
          <w:rFonts w:asciiTheme="minorHAnsi" w:eastAsiaTheme="minorHAnsi" w:hAnsiTheme="minorHAnsi" w:cstheme="minorBidi"/>
          <w:snapToGrid/>
          <w:sz w:val="24"/>
          <w:szCs w:val="24"/>
        </w:rPr>
        <w:t>, and may itself be an underestimate</w:t>
      </w:r>
      <w:r w:rsidR="00927B32" w:rsidRPr="001B5A0E">
        <w:rPr>
          <w:rFonts w:asciiTheme="minorHAnsi" w:eastAsiaTheme="minorHAnsi" w:hAnsiTheme="minorHAnsi" w:cstheme="minorBidi"/>
          <w:snapToGrid/>
          <w:sz w:val="24"/>
          <w:szCs w:val="24"/>
        </w:rPr>
        <w:t xml:space="preserve"> due to </w:t>
      </w:r>
      <w:r w:rsidR="00CB128B" w:rsidRPr="001B5A0E">
        <w:rPr>
          <w:rFonts w:asciiTheme="minorHAnsi" w:eastAsiaTheme="minorHAnsi" w:hAnsiTheme="minorHAnsi" w:cstheme="minorBidi"/>
          <w:snapToGrid/>
          <w:sz w:val="24"/>
          <w:szCs w:val="24"/>
        </w:rPr>
        <w:t>truncated follow-up</w:t>
      </w:r>
      <w:r w:rsidR="00927B32" w:rsidRPr="001B5A0E">
        <w:rPr>
          <w:rFonts w:asciiTheme="minorHAnsi" w:eastAsiaTheme="minorHAnsi" w:hAnsiTheme="minorHAnsi" w:cstheme="minorBidi"/>
          <w:snapToGrid/>
          <w:sz w:val="24"/>
          <w:szCs w:val="24"/>
        </w:rPr>
        <w:t xml:space="preserve"> (i.e., not all of these patients may have recorded their final dose at the time their results were used to calculate the average estimate</w:t>
      </w:r>
      <w:r w:rsidR="00CB128B" w:rsidRPr="001B5A0E">
        <w:rPr>
          <w:rFonts w:asciiTheme="minorHAnsi" w:eastAsiaTheme="minorHAnsi" w:hAnsiTheme="minorHAnsi" w:cstheme="minorBidi"/>
          <w:snapToGrid/>
          <w:sz w:val="24"/>
          <w:szCs w:val="24"/>
        </w:rPr>
        <w:t>)</w:t>
      </w:r>
      <w:r w:rsidR="000A3EED" w:rsidRPr="001B5A0E">
        <w:rPr>
          <w:rFonts w:asciiTheme="minorHAnsi" w:eastAsiaTheme="minorHAnsi" w:hAnsiTheme="minorHAnsi" w:cstheme="minorBidi"/>
          <w:snapToGrid/>
          <w:sz w:val="24"/>
          <w:szCs w:val="24"/>
        </w:rPr>
        <w:t>.</w:t>
      </w:r>
    </w:p>
    <w:p w:rsidR="000A3EED" w:rsidRPr="001B5A0E" w:rsidRDefault="007F7885" w:rsidP="000A3EED">
      <w:pPr>
        <w:pStyle w:val="ListParagraph"/>
        <w:numPr>
          <w:ilvl w:val="1"/>
          <w:numId w:val="14"/>
        </w:numPr>
        <w:rPr>
          <w:rFonts w:asciiTheme="minorHAnsi" w:eastAsiaTheme="minorHAnsi" w:hAnsiTheme="minorHAnsi" w:cstheme="minorBidi"/>
          <w:snapToGrid/>
          <w:sz w:val="24"/>
          <w:szCs w:val="24"/>
        </w:rPr>
      </w:pPr>
      <w:r w:rsidRPr="001B5A0E">
        <w:rPr>
          <w:rFonts w:asciiTheme="minorHAnsi" w:eastAsiaTheme="minorHAnsi" w:hAnsiTheme="minorHAnsi" w:cstheme="minorBidi"/>
          <w:snapToGrid/>
          <w:sz w:val="24"/>
          <w:szCs w:val="24"/>
        </w:rPr>
        <w:t xml:space="preserve">The PBAC had </w:t>
      </w:r>
      <w:r w:rsidR="00CB128B" w:rsidRPr="001B5A0E">
        <w:rPr>
          <w:rFonts w:asciiTheme="minorHAnsi" w:eastAsiaTheme="minorHAnsi" w:hAnsiTheme="minorHAnsi" w:cstheme="minorBidi"/>
          <w:snapToGrid/>
          <w:sz w:val="24"/>
          <w:szCs w:val="24"/>
        </w:rPr>
        <w:t xml:space="preserve">previously </w:t>
      </w:r>
      <w:r w:rsidRPr="001B5A0E">
        <w:rPr>
          <w:rFonts w:asciiTheme="minorHAnsi" w:eastAsiaTheme="minorHAnsi" w:hAnsiTheme="minorHAnsi" w:cstheme="minorBidi"/>
          <w:snapToGrid/>
          <w:sz w:val="24"/>
          <w:szCs w:val="24"/>
        </w:rPr>
        <w:t xml:space="preserve">considered that this estimate was not independently verified, and could be an underestimate of the treatment duration due to truncated follow-up (paragraph 7.15, November 2017 PBAC </w:t>
      </w:r>
      <w:r w:rsidR="00B72BBB">
        <w:rPr>
          <w:rFonts w:asciiTheme="minorHAnsi" w:eastAsiaTheme="minorHAnsi" w:hAnsiTheme="minorHAnsi" w:cstheme="minorBidi"/>
          <w:snapToGrid/>
          <w:sz w:val="24"/>
          <w:szCs w:val="24"/>
        </w:rPr>
        <w:t>PSD</w:t>
      </w:r>
      <w:r w:rsidRPr="001B5A0E">
        <w:rPr>
          <w:rFonts w:asciiTheme="minorHAnsi" w:eastAsiaTheme="minorHAnsi" w:hAnsiTheme="minorHAnsi" w:cstheme="minorBidi"/>
          <w:snapToGrid/>
          <w:sz w:val="24"/>
          <w:szCs w:val="24"/>
        </w:rPr>
        <w:t xml:space="preserve">). </w:t>
      </w:r>
      <w:r w:rsidRPr="001B5A0E">
        <w:rPr>
          <w:rFonts w:asciiTheme="minorHAnsi" w:hAnsiTheme="minorHAnsi"/>
          <w:sz w:val="24"/>
          <w:szCs w:val="24"/>
        </w:rPr>
        <w:t>It remained</w:t>
      </w:r>
      <w:r w:rsidR="000A3EED" w:rsidRPr="001B5A0E">
        <w:rPr>
          <w:rFonts w:asciiTheme="minorHAnsi" w:hAnsiTheme="minorHAnsi"/>
          <w:sz w:val="24"/>
          <w:szCs w:val="24"/>
        </w:rPr>
        <w:t xml:space="preserve"> unclear </w:t>
      </w:r>
      <w:r w:rsidRPr="001B5A0E">
        <w:rPr>
          <w:rFonts w:asciiTheme="minorHAnsi" w:hAnsiTheme="minorHAnsi"/>
          <w:sz w:val="24"/>
          <w:szCs w:val="24"/>
        </w:rPr>
        <w:t xml:space="preserve">in the minor resubmission </w:t>
      </w:r>
      <w:r w:rsidR="000A3EED" w:rsidRPr="001B5A0E">
        <w:rPr>
          <w:rFonts w:asciiTheme="minorHAnsi" w:hAnsiTheme="minorHAnsi"/>
          <w:sz w:val="24"/>
          <w:szCs w:val="24"/>
        </w:rPr>
        <w:t xml:space="preserve">whether </w:t>
      </w:r>
      <w:r w:rsidR="000A3EED" w:rsidRPr="001B5A0E">
        <w:rPr>
          <w:rFonts w:asciiTheme="minorHAnsi" w:eastAsiaTheme="minorHAnsi" w:hAnsiTheme="minorHAnsi" w:cstheme="minorBidi"/>
          <w:snapToGrid/>
          <w:sz w:val="24"/>
          <w:szCs w:val="24"/>
        </w:rPr>
        <w:t>patients whose treatment was continuing when they were last followed-up were either censored from the calculation of the average, or if their duration of use contributing to the calculation of the average was truncated. The PBAC may also wish to note that the implied assumptions about average duration of use might not align with the selection of a log-logistic extrapolation function for health outcomes.</w:t>
      </w:r>
    </w:p>
    <w:p w:rsidR="00E2228F" w:rsidRPr="00E2228F" w:rsidRDefault="00850A61" w:rsidP="00CB128B">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850A61">
        <w:rPr>
          <w:rFonts w:asciiTheme="minorHAnsi" w:hAnsiTheme="minorHAnsi"/>
          <w:sz w:val="24"/>
          <w:szCs w:val="24"/>
        </w:rPr>
        <w:t xml:space="preserve">With the reduced </w:t>
      </w:r>
      <w:r w:rsidR="00E2228F">
        <w:rPr>
          <w:rFonts w:asciiTheme="minorHAnsi" w:hAnsiTheme="minorHAnsi"/>
          <w:sz w:val="24"/>
          <w:szCs w:val="24"/>
        </w:rPr>
        <w:t xml:space="preserve">effective </w:t>
      </w:r>
      <w:r w:rsidRPr="00850A61">
        <w:rPr>
          <w:rFonts w:asciiTheme="minorHAnsi" w:hAnsiTheme="minorHAnsi"/>
          <w:sz w:val="24"/>
          <w:szCs w:val="24"/>
        </w:rPr>
        <w:t xml:space="preserve">price proposed in the minor resubmission, equal </w:t>
      </w:r>
      <w:r w:rsidR="00E2228F" w:rsidRPr="00850A61">
        <w:rPr>
          <w:rFonts w:asciiTheme="minorHAnsi" w:hAnsiTheme="minorHAnsi"/>
          <w:sz w:val="24"/>
          <w:szCs w:val="24"/>
        </w:rPr>
        <w:t xml:space="preserve">post-progression </w:t>
      </w:r>
      <w:r w:rsidRPr="00850A61">
        <w:rPr>
          <w:rFonts w:asciiTheme="minorHAnsi" w:hAnsiTheme="minorHAnsi"/>
          <w:sz w:val="24"/>
          <w:szCs w:val="24"/>
        </w:rPr>
        <w:t xml:space="preserve">utility values </w:t>
      </w:r>
      <w:r w:rsidR="00E2228F">
        <w:rPr>
          <w:rFonts w:asciiTheme="minorHAnsi" w:hAnsiTheme="minorHAnsi"/>
          <w:sz w:val="24"/>
          <w:szCs w:val="24"/>
        </w:rPr>
        <w:t>for the extrapolated period</w:t>
      </w:r>
      <w:r w:rsidRPr="00850A61">
        <w:rPr>
          <w:rFonts w:asciiTheme="minorHAnsi" w:hAnsiTheme="minorHAnsi"/>
          <w:sz w:val="24"/>
          <w:szCs w:val="24"/>
        </w:rPr>
        <w:t xml:space="preserve"> and application of an </w:t>
      </w:r>
      <w:r w:rsidR="007B0774">
        <w:rPr>
          <w:rFonts w:asciiTheme="minorHAnsi" w:hAnsiTheme="minorHAnsi"/>
          <w:noProof/>
          <w:color w:val="000000"/>
          <w:sz w:val="24"/>
          <w:szCs w:val="24"/>
          <w:highlight w:val="black"/>
        </w:rPr>
        <w:t>''''''''</w:t>
      </w:r>
      <w:r w:rsidRPr="00850A61">
        <w:rPr>
          <w:rFonts w:asciiTheme="minorHAnsi" w:hAnsiTheme="minorHAnsi"/>
          <w:sz w:val="24"/>
          <w:szCs w:val="24"/>
        </w:rPr>
        <w:t>% increase in nivolumab treatment duration, the revised base case ICER was</w:t>
      </w:r>
      <w:r w:rsidR="003B6AE0">
        <w:rPr>
          <w:rFonts w:asciiTheme="minorHAnsi" w:hAnsiTheme="minorHAnsi"/>
          <w:sz w:val="24"/>
          <w:szCs w:val="24"/>
        </w:rPr>
        <w:t xml:space="preserve"> </w:t>
      </w:r>
      <w:r w:rsidR="00E45F2B">
        <w:rPr>
          <w:rFonts w:asciiTheme="minorHAnsi" w:hAnsiTheme="minorHAnsi"/>
          <w:sz w:val="24"/>
          <w:szCs w:val="24"/>
        </w:rPr>
        <w:t>$45,000/QALY – 75,000/QALY gained</w:t>
      </w:r>
      <w:r w:rsidR="0077338D">
        <w:rPr>
          <w:rFonts w:asciiTheme="minorHAnsi" w:hAnsiTheme="minorHAnsi"/>
          <w:sz w:val="24"/>
          <w:szCs w:val="24"/>
        </w:rPr>
        <w:t xml:space="preserve">, compared to </w:t>
      </w:r>
      <w:r w:rsidR="00E45F2B">
        <w:rPr>
          <w:rFonts w:asciiTheme="minorHAnsi" w:hAnsiTheme="minorHAnsi"/>
          <w:sz w:val="24"/>
          <w:szCs w:val="24"/>
        </w:rPr>
        <w:t xml:space="preserve">$75,000/QALY – $105,000/QALY gained </w:t>
      </w:r>
      <w:r w:rsidR="0077338D">
        <w:rPr>
          <w:rFonts w:asciiTheme="minorHAnsi" w:hAnsiTheme="minorHAnsi"/>
          <w:sz w:val="24"/>
          <w:szCs w:val="24"/>
        </w:rPr>
        <w:t>in the November 2017 major submission</w:t>
      </w:r>
      <w:r w:rsidR="00CB128B">
        <w:rPr>
          <w:rFonts w:asciiTheme="minorHAnsi" w:hAnsiTheme="minorHAnsi"/>
          <w:sz w:val="24"/>
          <w:szCs w:val="24"/>
        </w:rPr>
        <w:t xml:space="preserve"> and </w:t>
      </w:r>
      <w:r w:rsidR="00944C02">
        <w:rPr>
          <w:rFonts w:asciiTheme="minorHAnsi" w:hAnsiTheme="minorHAnsi"/>
          <w:sz w:val="24"/>
          <w:szCs w:val="24"/>
        </w:rPr>
        <w:t xml:space="preserve">the </w:t>
      </w:r>
      <w:r w:rsidR="00CB128B">
        <w:rPr>
          <w:rFonts w:asciiTheme="minorHAnsi" w:hAnsiTheme="minorHAnsi"/>
          <w:sz w:val="24"/>
          <w:szCs w:val="24"/>
        </w:rPr>
        <w:t xml:space="preserve">PBAC’s </w:t>
      </w:r>
      <w:r w:rsidR="00944C02">
        <w:rPr>
          <w:rFonts w:asciiTheme="minorHAnsi" w:hAnsiTheme="minorHAnsi"/>
          <w:sz w:val="24"/>
          <w:szCs w:val="24"/>
        </w:rPr>
        <w:t xml:space="preserve">target </w:t>
      </w:r>
      <w:r w:rsidR="00CB128B">
        <w:rPr>
          <w:rFonts w:asciiTheme="minorHAnsi" w:hAnsiTheme="minorHAnsi"/>
          <w:sz w:val="24"/>
          <w:szCs w:val="24"/>
        </w:rPr>
        <w:t xml:space="preserve">of </w:t>
      </w:r>
      <w:r w:rsidR="00E45F2B">
        <w:rPr>
          <w:rFonts w:asciiTheme="minorHAnsi" w:hAnsiTheme="minorHAnsi"/>
          <w:sz w:val="24"/>
          <w:szCs w:val="24"/>
        </w:rPr>
        <w:t xml:space="preserve">$45,000/QALY – 75,000/QALY </w:t>
      </w:r>
      <w:r w:rsidR="00CB128B">
        <w:rPr>
          <w:rFonts w:asciiTheme="minorHAnsi" w:hAnsiTheme="minorHAnsi"/>
          <w:sz w:val="24"/>
          <w:szCs w:val="24"/>
        </w:rPr>
        <w:t xml:space="preserve">defined to be </w:t>
      </w:r>
      <w:r w:rsidR="00CB128B" w:rsidRPr="00CB128B">
        <w:rPr>
          <w:rFonts w:asciiTheme="minorHAnsi" w:hAnsiTheme="minorHAnsi"/>
          <w:sz w:val="24"/>
          <w:szCs w:val="24"/>
        </w:rPr>
        <w:t xml:space="preserve">relevant </w:t>
      </w:r>
      <w:r w:rsidR="00CB128B">
        <w:rPr>
          <w:rFonts w:asciiTheme="minorHAnsi" w:hAnsiTheme="minorHAnsi"/>
          <w:sz w:val="24"/>
          <w:szCs w:val="24"/>
        </w:rPr>
        <w:t xml:space="preserve">in the current context </w:t>
      </w:r>
      <w:r w:rsidR="00CB128B" w:rsidRPr="00CB128B">
        <w:rPr>
          <w:rFonts w:asciiTheme="minorHAnsi" w:hAnsiTheme="minorHAnsi"/>
          <w:sz w:val="24"/>
          <w:szCs w:val="24"/>
        </w:rPr>
        <w:t xml:space="preserve">(paragraph 7.19, November 2017 PBAC </w:t>
      </w:r>
      <w:r w:rsidR="00B72BBB">
        <w:rPr>
          <w:rFonts w:asciiTheme="minorHAnsi" w:hAnsiTheme="minorHAnsi"/>
          <w:sz w:val="24"/>
          <w:szCs w:val="24"/>
        </w:rPr>
        <w:t>PSD</w:t>
      </w:r>
      <w:r w:rsidR="00CB128B" w:rsidRPr="00CB128B">
        <w:rPr>
          <w:rFonts w:asciiTheme="minorHAnsi" w:hAnsiTheme="minorHAnsi"/>
          <w:sz w:val="24"/>
          <w:szCs w:val="24"/>
        </w:rPr>
        <w:t>)</w:t>
      </w:r>
      <w:r w:rsidRPr="00850A61">
        <w:rPr>
          <w:rFonts w:asciiTheme="minorHAnsi" w:hAnsiTheme="minorHAnsi"/>
          <w:sz w:val="24"/>
          <w:szCs w:val="24"/>
        </w:rPr>
        <w:t xml:space="preserve">. </w:t>
      </w:r>
    </w:p>
    <w:p w:rsidR="00850A61" w:rsidRPr="00445FCD" w:rsidRDefault="00E2228F" w:rsidP="00D73F28">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Pr>
          <w:rFonts w:asciiTheme="minorHAnsi" w:hAnsiTheme="minorHAnsi"/>
          <w:sz w:val="24"/>
          <w:szCs w:val="24"/>
        </w:rPr>
        <w:t>A summary of key sensitivity analyses on the issues of outstanding concern have been presented in the table below.</w:t>
      </w:r>
    </w:p>
    <w:p w:rsidR="00445FCD" w:rsidRPr="00445FCD" w:rsidRDefault="00445FCD" w:rsidP="00445FCD">
      <w:pPr>
        <w:pStyle w:val="Caption"/>
        <w:keepNext/>
        <w:spacing w:before="120" w:after="60"/>
        <w:jc w:val="both"/>
        <w:rPr>
          <w:rStyle w:val="CommentReference"/>
          <w:rFonts w:ascii="Arial Narrow" w:hAnsi="Arial Narrow"/>
          <w:color w:val="auto"/>
          <w:sz w:val="20"/>
          <w:szCs w:val="20"/>
        </w:rPr>
      </w:pPr>
      <w:bookmarkStart w:id="3" w:name="_Ref504657668"/>
      <w:r w:rsidRPr="00445FCD">
        <w:rPr>
          <w:rFonts w:ascii="Arial Narrow" w:hAnsi="Arial Narrow"/>
          <w:color w:val="auto"/>
          <w:sz w:val="20"/>
          <w:szCs w:val="20"/>
        </w:rPr>
        <w:t xml:space="preserve">Table </w:t>
      </w:r>
      <w:bookmarkEnd w:id="3"/>
      <w:r w:rsidR="005973EE">
        <w:rPr>
          <w:rFonts w:ascii="Arial Narrow" w:hAnsi="Arial Narrow"/>
          <w:color w:val="auto"/>
          <w:sz w:val="20"/>
          <w:szCs w:val="20"/>
        </w:rPr>
        <w:t>4</w:t>
      </w:r>
      <w:r w:rsidRPr="00445FCD">
        <w:rPr>
          <w:rStyle w:val="CommentReference"/>
          <w:rFonts w:ascii="Arial Narrow" w:hAnsi="Arial Narrow"/>
          <w:color w:val="auto"/>
          <w:sz w:val="20"/>
          <w:szCs w:val="20"/>
        </w:rPr>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2"/>
        <w:gridCol w:w="1843"/>
        <w:gridCol w:w="2126"/>
        <w:gridCol w:w="1621"/>
      </w:tblGrid>
      <w:tr w:rsidR="00844964" w:rsidTr="00862162">
        <w:trPr>
          <w:trHeight w:val="285"/>
        </w:trPr>
        <w:tc>
          <w:tcPr>
            <w:tcW w:w="1976" w:type="pct"/>
            <w:shd w:val="clear" w:color="auto" w:fill="auto"/>
            <w:tcMar>
              <w:top w:w="0" w:type="dxa"/>
              <w:left w:w="108" w:type="dxa"/>
              <w:bottom w:w="0" w:type="dxa"/>
              <w:right w:w="108" w:type="dxa"/>
            </w:tcMar>
            <w:vAlign w:val="center"/>
          </w:tcPr>
          <w:p w:rsidR="00445FCD" w:rsidRDefault="00445FCD">
            <w:pPr>
              <w:spacing w:line="276" w:lineRule="auto"/>
              <w:rPr>
                <w:rFonts w:ascii="Arial Narrow" w:eastAsiaTheme="minorHAnsi" w:hAnsi="Arial Narrow"/>
                <w:b/>
                <w:bCs/>
                <w:sz w:val="20"/>
                <w:szCs w:val="20"/>
                <w:lang w:val="en-US" w:eastAsia="en-US"/>
              </w:rPr>
            </w:pPr>
          </w:p>
        </w:tc>
        <w:tc>
          <w:tcPr>
            <w:tcW w:w="997" w:type="pct"/>
            <w:shd w:val="clear" w:color="auto" w:fill="auto"/>
            <w:tcMar>
              <w:top w:w="0" w:type="dxa"/>
              <w:left w:w="108" w:type="dxa"/>
              <w:bottom w:w="0" w:type="dxa"/>
              <w:right w:w="108" w:type="dxa"/>
            </w:tcMar>
            <w:vAlign w:val="center"/>
            <w:hideMark/>
          </w:tcPr>
          <w:p w:rsidR="00445FCD" w:rsidRDefault="00445FCD" w:rsidP="00862162">
            <w:pPr>
              <w:spacing w:line="276" w:lineRule="auto"/>
              <w:jc w:val="center"/>
              <w:rPr>
                <w:rFonts w:ascii="Arial Narrow" w:eastAsiaTheme="minorHAnsi" w:hAnsi="Arial Narrow"/>
                <w:b/>
                <w:bCs/>
                <w:sz w:val="20"/>
                <w:szCs w:val="20"/>
                <w:lang w:val="en-US" w:eastAsia="en-US"/>
              </w:rPr>
            </w:pPr>
            <w:r>
              <w:rPr>
                <w:rFonts w:ascii="Arial Narrow" w:hAnsi="Arial Narrow"/>
                <w:b/>
                <w:bCs/>
                <w:sz w:val="20"/>
                <w:szCs w:val="20"/>
                <w:lang w:val="en-US"/>
              </w:rPr>
              <w:t xml:space="preserve">Incremental </w:t>
            </w:r>
            <w:r w:rsidR="00862162">
              <w:rPr>
                <w:rFonts w:ascii="Arial Narrow" w:hAnsi="Arial Narrow"/>
                <w:b/>
                <w:bCs/>
                <w:sz w:val="20"/>
                <w:szCs w:val="20"/>
                <w:lang w:val="en-US"/>
              </w:rPr>
              <w:t>c</w:t>
            </w:r>
            <w:r>
              <w:rPr>
                <w:rFonts w:ascii="Arial Narrow" w:hAnsi="Arial Narrow"/>
                <w:b/>
                <w:bCs/>
                <w:sz w:val="20"/>
                <w:szCs w:val="20"/>
                <w:lang w:val="en-US"/>
              </w:rPr>
              <w:t>ost</w:t>
            </w:r>
          </w:p>
        </w:tc>
        <w:tc>
          <w:tcPr>
            <w:tcW w:w="1150" w:type="pct"/>
            <w:shd w:val="clear" w:color="auto" w:fill="auto"/>
            <w:tcMar>
              <w:top w:w="0" w:type="dxa"/>
              <w:left w:w="108" w:type="dxa"/>
              <w:bottom w:w="0" w:type="dxa"/>
              <w:right w:w="108" w:type="dxa"/>
            </w:tcMar>
            <w:vAlign w:val="center"/>
            <w:hideMark/>
          </w:tcPr>
          <w:p w:rsidR="00445FCD" w:rsidRDefault="00445FCD" w:rsidP="00862162">
            <w:pPr>
              <w:spacing w:line="276" w:lineRule="auto"/>
              <w:jc w:val="center"/>
              <w:rPr>
                <w:rFonts w:ascii="Arial Narrow" w:eastAsiaTheme="minorHAnsi" w:hAnsi="Arial Narrow"/>
                <w:b/>
                <w:bCs/>
                <w:sz w:val="20"/>
                <w:szCs w:val="20"/>
                <w:lang w:val="en-US" w:eastAsia="en-US"/>
              </w:rPr>
            </w:pPr>
            <w:r>
              <w:rPr>
                <w:rFonts w:ascii="Arial Narrow" w:hAnsi="Arial Narrow"/>
                <w:b/>
                <w:bCs/>
                <w:sz w:val="20"/>
                <w:szCs w:val="20"/>
                <w:lang w:val="en-US"/>
              </w:rPr>
              <w:t xml:space="preserve">Incremental </w:t>
            </w:r>
            <w:r w:rsidR="00862162">
              <w:rPr>
                <w:rFonts w:ascii="Arial Narrow" w:hAnsi="Arial Narrow"/>
                <w:b/>
                <w:bCs/>
                <w:sz w:val="20"/>
                <w:szCs w:val="20"/>
                <w:lang w:val="en-US"/>
              </w:rPr>
              <w:t>QALYs</w:t>
            </w:r>
          </w:p>
        </w:tc>
        <w:tc>
          <w:tcPr>
            <w:tcW w:w="877" w:type="pct"/>
            <w:shd w:val="clear" w:color="auto" w:fill="auto"/>
            <w:tcMar>
              <w:top w:w="0" w:type="dxa"/>
              <w:left w:w="108" w:type="dxa"/>
              <w:bottom w:w="0" w:type="dxa"/>
              <w:right w:w="108" w:type="dxa"/>
            </w:tcMar>
            <w:vAlign w:val="center"/>
            <w:hideMark/>
          </w:tcPr>
          <w:p w:rsidR="00445FCD" w:rsidRDefault="00445FCD" w:rsidP="00862162">
            <w:pPr>
              <w:spacing w:line="276" w:lineRule="auto"/>
              <w:jc w:val="center"/>
              <w:rPr>
                <w:rFonts w:ascii="Arial Narrow" w:eastAsiaTheme="minorHAnsi" w:hAnsi="Arial Narrow"/>
                <w:b/>
                <w:bCs/>
                <w:sz w:val="20"/>
                <w:szCs w:val="20"/>
                <w:lang w:val="en-US" w:eastAsia="en-US"/>
              </w:rPr>
            </w:pPr>
            <w:r>
              <w:rPr>
                <w:rFonts w:ascii="Arial Narrow" w:hAnsi="Arial Narrow"/>
                <w:b/>
                <w:bCs/>
                <w:sz w:val="20"/>
                <w:szCs w:val="20"/>
                <w:lang w:val="en-US"/>
              </w:rPr>
              <w:t>ICER/QALY</w:t>
            </w:r>
          </w:p>
        </w:tc>
      </w:tr>
      <w:tr w:rsidR="00844964" w:rsidRPr="00E45F2B" w:rsidTr="00844964">
        <w:trPr>
          <w:trHeight w:val="270"/>
        </w:trPr>
        <w:tc>
          <w:tcPr>
            <w:tcW w:w="1976" w:type="pct"/>
            <w:tcMar>
              <w:top w:w="0" w:type="dxa"/>
              <w:left w:w="108" w:type="dxa"/>
              <w:bottom w:w="0" w:type="dxa"/>
              <w:right w:w="108" w:type="dxa"/>
            </w:tcMar>
            <w:vAlign w:val="center"/>
            <w:hideMark/>
          </w:tcPr>
          <w:p w:rsidR="00445FCD" w:rsidRPr="00A81610" w:rsidRDefault="00445FCD">
            <w:pPr>
              <w:spacing w:line="276" w:lineRule="auto"/>
              <w:rPr>
                <w:rFonts w:ascii="Arial Narrow" w:eastAsiaTheme="minorHAnsi" w:hAnsi="Arial Narrow"/>
                <w:sz w:val="20"/>
                <w:szCs w:val="20"/>
                <w:lang w:val="en-US" w:eastAsia="en-US"/>
              </w:rPr>
            </w:pPr>
            <w:r w:rsidRPr="00A81610">
              <w:rPr>
                <w:rFonts w:ascii="Arial Narrow" w:hAnsi="Arial Narrow"/>
                <w:sz w:val="20"/>
                <w:szCs w:val="20"/>
                <w:lang w:val="en-US"/>
              </w:rPr>
              <w:t>Base case</w:t>
            </w:r>
            <w:r w:rsidR="00433F25" w:rsidRPr="00A81610">
              <w:rPr>
                <w:rFonts w:ascii="Arial Narrow" w:hAnsi="Arial Narrow"/>
                <w:sz w:val="20"/>
                <w:szCs w:val="20"/>
                <w:lang w:val="en-US"/>
              </w:rPr>
              <w:t xml:space="preserve"> (log-logistic OS, ‘modified’ post-progression utilities, DOT – PFS+</w:t>
            </w:r>
            <w:r w:rsidR="007B0774">
              <w:rPr>
                <w:rFonts w:ascii="Arial Narrow" w:hAnsi="Arial Narrow"/>
                <w:noProof/>
                <w:color w:val="000000"/>
                <w:sz w:val="20"/>
                <w:szCs w:val="20"/>
                <w:highlight w:val="black"/>
                <w:lang w:val="en-US"/>
              </w:rPr>
              <w:t>'''''''''''</w:t>
            </w:r>
            <w:r w:rsidR="00433F25" w:rsidRPr="00A81610">
              <w:rPr>
                <w:rFonts w:ascii="Arial Narrow" w:hAnsi="Arial Narrow"/>
                <w:sz w:val="20"/>
                <w:szCs w:val="20"/>
                <w:lang w:val="en-US"/>
              </w:rPr>
              <w:t>%)</w:t>
            </w:r>
          </w:p>
        </w:tc>
        <w:tc>
          <w:tcPr>
            <w:tcW w:w="997"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sz w:val="20"/>
                <w:szCs w:val="20"/>
                <w:highlight w:val="black"/>
                <w:lang w:val="en-US" w:eastAsia="en-US"/>
              </w:rPr>
            </w:pPr>
            <w:r>
              <w:rPr>
                <w:rFonts w:ascii="Arial Narrow" w:hAnsi="Arial Narrow"/>
                <w:noProof/>
                <w:color w:val="000000"/>
                <w:sz w:val="20"/>
                <w:szCs w:val="20"/>
                <w:highlight w:val="black"/>
                <w:lang w:val="en-US"/>
              </w:rPr>
              <w:t>'''''''''''''''''''</w:t>
            </w:r>
          </w:p>
        </w:tc>
        <w:tc>
          <w:tcPr>
            <w:tcW w:w="1150"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sz w:val="20"/>
                <w:szCs w:val="20"/>
                <w:highlight w:val="black"/>
                <w:lang w:val="en-US" w:eastAsia="en-US"/>
              </w:rPr>
            </w:pPr>
            <w:r>
              <w:rPr>
                <w:rFonts w:ascii="Arial Narrow" w:hAnsi="Arial Narrow"/>
                <w:noProof/>
                <w:color w:val="000000"/>
                <w:sz w:val="20"/>
                <w:szCs w:val="20"/>
                <w:highlight w:val="black"/>
                <w:lang w:val="en-US"/>
              </w:rPr>
              <w:t>''''''''''''''</w:t>
            </w:r>
          </w:p>
        </w:tc>
        <w:tc>
          <w:tcPr>
            <w:tcW w:w="877"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sz w:val="20"/>
                <w:szCs w:val="20"/>
                <w:highlight w:val="black"/>
                <w:lang w:val="en-US" w:eastAsia="en-US"/>
              </w:rPr>
            </w:pPr>
            <w:r>
              <w:rPr>
                <w:rFonts w:ascii="Arial Narrow" w:hAnsi="Arial Narrow"/>
                <w:noProof/>
                <w:color w:val="000000"/>
                <w:sz w:val="20"/>
                <w:szCs w:val="20"/>
                <w:highlight w:val="black"/>
                <w:lang w:val="en-US"/>
              </w:rPr>
              <w:t>'''''''''''''''''''</w:t>
            </w:r>
          </w:p>
        </w:tc>
      </w:tr>
      <w:tr w:rsidR="00445FCD" w:rsidRPr="00E45F2B" w:rsidTr="00844964">
        <w:trPr>
          <w:trHeight w:val="239"/>
        </w:trPr>
        <w:tc>
          <w:tcPr>
            <w:tcW w:w="5000" w:type="pct"/>
            <w:gridSpan w:val="4"/>
            <w:tcMar>
              <w:top w:w="0" w:type="dxa"/>
              <w:left w:w="108" w:type="dxa"/>
              <w:bottom w:w="0" w:type="dxa"/>
              <w:right w:w="108" w:type="dxa"/>
            </w:tcMar>
            <w:vAlign w:val="center"/>
            <w:hideMark/>
          </w:tcPr>
          <w:p w:rsidR="00445FCD" w:rsidRPr="00E45F2B" w:rsidRDefault="006A0846">
            <w:pPr>
              <w:keepNext/>
              <w:spacing w:line="276" w:lineRule="auto"/>
              <w:rPr>
                <w:rFonts w:ascii="Arial Narrow" w:eastAsiaTheme="minorHAnsi" w:hAnsi="Arial Narrow"/>
                <w:b/>
                <w:bCs/>
                <w:iCs/>
                <w:sz w:val="20"/>
                <w:szCs w:val="20"/>
                <w:lang w:val="en-US" w:eastAsia="en-US"/>
              </w:rPr>
            </w:pPr>
            <w:r w:rsidRPr="00E45F2B">
              <w:rPr>
                <w:rFonts w:ascii="Arial Narrow" w:hAnsi="Arial Narrow"/>
                <w:b/>
                <w:bCs/>
                <w:iCs/>
                <w:sz w:val="20"/>
                <w:szCs w:val="20"/>
                <w:lang w:val="en-US"/>
              </w:rPr>
              <w:t>Univariate s</w:t>
            </w:r>
            <w:r w:rsidR="00445FCD" w:rsidRPr="00E45F2B">
              <w:rPr>
                <w:rFonts w:ascii="Arial Narrow" w:hAnsi="Arial Narrow"/>
                <w:b/>
                <w:bCs/>
                <w:iCs/>
                <w:sz w:val="20"/>
                <w:szCs w:val="20"/>
                <w:lang w:val="en-US"/>
              </w:rPr>
              <w:t>ensitivity analysis</w:t>
            </w:r>
          </w:p>
        </w:tc>
      </w:tr>
      <w:tr w:rsidR="00844964" w:rsidRPr="00E45F2B" w:rsidTr="00844964">
        <w:trPr>
          <w:trHeight w:val="105"/>
        </w:trPr>
        <w:tc>
          <w:tcPr>
            <w:tcW w:w="1976" w:type="pct"/>
            <w:tcMar>
              <w:top w:w="0" w:type="dxa"/>
              <w:left w:w="108" w:type="dxa"/>
              <w:bottom w:w="0" w:type="dxa"/>
              <w:right w:w="108" w:type="dxa"/>
            </w:tcMar>
            <w:vAlign w:val="center"/>
            <w:hideMark/>
          </w:tcPr>
          <w:p w:rsidR="00445FCD" w:rsidRPr="00E45F2B" w:rsidRDefault="00445FCD">
            <w:pPr>
              <w:spacing w:line="276" w:lineRule="auto"/>
              <w:rPr>
                <w:rFonts w:ascii="Arial Narrow" w:eastAsiaTheme="minorHAnsi" w:hAnsi="Arial Narrow"/>
                <w:iCs/>
                <w:sz w:val="20"/>
                <w:szCs w:val="20"/>
                <w:lang w:val="en-US" w:eastAsia="en-US"/>
              </w:rPr>
            </w:pPr>
            <w:r w:rsidRPr="00E45F2B">
              <w:rPr>
                <w:rFonts w:ascii="Arial Narrow" w:hAnsi="Arial Narrow"/>
                <w:iCs/>
                <w:sz w:val="20"/>
                <w:szCs w:val="20"/>
                <w:lang w:val="en-US"/>
              </w:rPr>
              <w:t>OS – exponential extrapolation in both arms</w:t>
            </w:r>
          </w:p>
        </w:tc>
        <w:tc>
          <w:tcPr>
            <w:tcW w:w="997"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c>
          <w:tcPr>
            <w:tcW w:w="1150"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c>
          <w:tcPr>
            <w:tcW w:w="877"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r>
      <w:tr w:rsidR="00844964" w:rsidRPr="00E45F2B" w:rsidTr="00844964">
        <w:trPr>
          <w:trHeight w:val="270"/>
        </w:trPr>
        <w:tc>
          <w:tcPr>
            <w:tcW w:w="1976" w:type="pct"/>
            <w:tcMar>
              <w:top w:w="0" w:type="dxa"/>
              <w:left w:w="108" w:type="dxa"/>
              <w:bottom w:w="0" w:type="dxa"/>
              <w:right w:w="108" w:type="dxa"/>
            </w:tcMar>
            <w:vAlign w:val="center"/>
            <w:hideMark/>
          </w:tcPr>
          <w:p w:rsidR="00445FCD" w:rsidRPr="00E45F2B" w:rsidRDefault="00445FCD">
            <w:pPr>
              <w:spacing w:line="276" w:lineRule="auto"/>
              <w:rPr>
                <w:rFonts w:ascii="Arial Narrow" w:eastAsiaTheme="minorHAnsi" w:hAnsi="Arial Narrow"/>
                <w:iCs/>
                <w:sz w:val="20"/>
                <w:szCs w:val="20"/>
                <w:lang w:val="en-US" w:eastAsia="en-US"/>
              </w:rPr>
            </w:pPr>
            <w:r w:rsidRPr="00E45F2B">
              <w:rPr>
                <w:rFonts w:ascii="Arial Narrow" w:hAnsi="Arial Narrow"/>
                <w:iCs/>
                <w:sz w:val="20"/>
                <w:szCs w:val="20"/>
                <w:lang w:val="en-US"/>
              </w:rPr>
              <w:t>Same post-progression utilities in both arms</w:t>
            </w:r>
          </w:p>
        </w:tc>
        <w:tc>
          <w:tcPr>
            <w:tcW w:w="997"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c>
          <w:tcPr>
            <w:tcW w:w="1150"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c>
          <w:tcPr>
            <w:tcW w:w="877" w:type="pct"/>
            <w:tcMar>
              <w:top w:w="0" w:type="dxa"/>
              <w:left w:w="108" w:type="dxa"/>
              <w:bottom w:w="0" w:type="dxa"/>
              <w:right w:w="108" w:type="dxa"/>
            </w:tcMar>
            <w:vAlign w:val="bottom"/>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r>
      <w:tr w:rsidR="00433F25" w:rsidRPr="00E45F2B" w:rsidTr="00844964">
        <w:trPr>
          <w:trHeight w:val="270"/>
        </w:trPr>
        <w:tc>
          <w:tcPr>
            <w:tcW w:w="1976" w:type="pct"/>
            <w:tcMar>
              <w:top w:w="0" w:type="dxa"/>
              <w:left w:w="108" w:type="dxa"/>
              <w:bottom w:w="0" w:type="dxa"/>
              <w:right w:w="108" w:type="dxa"/>
            </w:tcMar>
            <w:vAlign w:val="center"/>
          </w:tcPr>
          <w:p w:rsidR="00433F25" w:rsidRPr="00E45F2B" w:rsidRDefault="00433F25">
            <w:pPr>
              <w:spacing w:line="276" w:lineRule="auto"/>
              <w:rPr>
                <w:rFonts w:ascii="Arial Narrow" w:hAnsi="Arial Narrow"/>
                <w:iCs/>
                <w:sz w:val="20"/>
                <w:szCs w:val="20"/>
                <w:lang w:val="en-US"/>
              </w:rPr>
            </w:pPr>
            <w:r w:rsidRPr="00E45F2B">
              <w:rPr>
                <w:rFonts w:ascii="Arial Narrow" w:hAnsi="Arial Narrow"/>
                <w:iCs/>
                <w:sz w:val="20"/>
                <w:szCs w:val="20"/>
                <w:lang w:val="en-US"/>
              </w:rPr>
              <w:t>Duration of treatment (PFS+</w:t>
            </w:r>
            <w:r w:rsidR="007B0774">
              <w:rPr>
                <w:rFonts w:ascii="Arial Narrow" w:hAnsi="Arial Narrow"/>
                <w:iCs/>
                <w:noProof/>
                <w:color w:val="000000"/>
                <w:sz w:val="20"/>
                <w:szCs w:val="20"/>
                <w:highlight w:val="black"/>
                <w:lang w:val="en-US"/>
              </w:rPr>
              <w:t>''''''</w:t>
            </w:r>
            <w:r w:rsidRPr="00E45F2B">
              <w:rPr>
                <w:rFonts w:ascii="Arial Narrow" w:hAnsi="Arial Narrow"/>
                <w:iCs/>
                <w:sz w:val="20"/>
                <w:szCs w:val="20"/>
                <w:lang w:val="en-US"/>
              </w:rPr>
              <w:t>%)</w:t>
            </w:r>
            <w:r w:rsidR="00C7122C" w:rsidRPr="00E45F2B">
              <w:rPr>
                <w:rFonts w:ascii="Arial Narrow" w:hAnsi="Arial Narrow"/>
                <w:iCs/>
                <w:sz w:val="20"/>
                <w:szCs w:val="20"/>
                <w:lang w:val="en-US"/>
              </w:rPr>
              <w:t>^</w:t>
            </w:r>
          </w:p>
        </w:tc>
        <w:tc>
          <w:tcPr>
            <w:tcW w:w="997" w:type="pct"/>
            <w:tcMar>
              <w:top w:w="0" w:type="dxa"/>
              <w:left w:w="108" w:type="dxa"/>
              <w:bottom w:w="0" w:type="dxa"/>
              <w:right w:w="108" w:type="dxa"/>
            </w:tcMar>
            <w:vAlign w:val="bottom"/>
          </w:tcPr>
          <w:p w:rsidR="00433F25" w:rsidRPr="007B0774" w:rsidRDefault="007B0774">
            <w:pPr>
              <w:spacing w:line="276" w:lineRule="auto"/>
              <w:jc w:val="center"/>
              <w:rPr>
                <w:rFonts w:ascii="Arial Narrow" w:hAnsi="Arial Narrow"/>
                <w:iCs/>
                <w:sz w:val="20"/>
                <w:szCs w:val="20"/>
                <w:highlight w:val="black"/>
                <w:lang w:val="en-US"/>
              </w:rPr>
            </w:pPr>
            <w:r>
              <w:rPr>
                <w:rFonts w:ascii="Arial Narrow" w:hAnsi="Arial Narrow"/>
                <w:iCs/>
                <w:noProof/>
                <w:color w:val="000000"/>
                <w:sz w:val="20"/>
                <w:szCs w:val="20"/>
                <w:highlight w:val="black"/>
                <w:lang w:val="en-US"/>
              </w:rPr>
              <w:t>'''''''''''''''''</w:t>
            </w:r>
          </w:p>
        </w:tc>
        <w:tc>
          <w:tcPr>
            <w:tcW w:w="1150" w:type="pct"/>
            <w:tcMar>
              <w:top w:w="0" w:type="dxa"/>
              <w:left w:w="108" w:type="dxa"/>
              <w:bottom w:w="0" w:type="dxa"/>
              <w:right w:w="108" w:type="dxa"/>
            </w:tcMar>
            <w:vAlign w:val="bottom"/>
          </w:tcPr>
          <w:p w:rsidR="00433F25" w:rsidRPr="007B0774" w:rsidRDefault="007B0774">
            <w:pPr>
              <w:spacing w:line="276" w:lineRule="auto"/>
              <w:jc w:val="center"/>
              <w:rPr>
                <w:rFonts w:ascii="Arial Narrow" w:hAnsi="Arial Narrow"/>
                <w:iCs/>
                <w:sz w:val="20"/>
                <w:szCs w:val="20"/>
                <w:highlight w:val="black"/>
                <w:lang w:val="en-US"/>
              </w:rPr>
            </w:pPr>
            <w:r>
              <w:rPr>
                <w:rFonts w:ascii="Arial Narrow" w:hAnsi="Arial Narrow"/>
                <w:iCs/>
                <w:noProof/>
                <w:color w:val="000000"/>
                <w:sz w:val="20"/>
                <w:szCs w:val="20"/>
                <w:highlight w:val="black"/>
                <w:lang w:val="en-US"/>
              </w:rPr>
              <w:t>'''''''''''''</w:t>
            </w:r>
          </w:p>
        </w:tc>
        <w:tc>
          <w:tcPr>
            <w:tcW w:w="877" w:type="pct"/>
            <w:tcMar>
              <w:top w:w="0" w:type="dxa"/>
              <w:left w:w="108" w:type="dxa"/>
              <w:bottom w:w="0" w:type="dxa"/>
              <w:right w:w="108" w:type="dxa"/>
            </w:tcMar>
            <w:vAlign w:val="bottom"/>
          </w:tcPr>
          <w:p w:rsidR="00433F25" w:rsidRPr="007B0774" w:rsidRDefault="007B0774">
            <w:pPr>
              <w:spacing w:line="276" w:lineRule="auto"/>
              <w:jc w:val="center"/>
              <w:rPr>
                <w:rFonts w:ascii="Arial Narrow" w:hAnsi="Arial Narrow"/>
                <w:iCs/>
                <w:sz w:val="20"/>
                <w:szCs w:val="20"/>
                <w:highlight w:val="black"/>
                <w:lang w:val="en-US"/>
              </w:rPr>
            </w:pPr>
            <w:r>
              <w:rPr>
                <w:rFonts w:ascii="Arial Narrow" w:hAnsi="Arial Narrow"/>
                <w:iCs/>
                <w:noProof/>
                <w:color w:val="000000"/>
                <w:sz w:val="20"/>
                <w:szCs w:val="20"/>
                <w:highlight w:val="black"/>
                <w:lang w:val="en-US"/>
              </w:rPr>
              <w:t>''''''''''''''''''</w:t>
            </w:r>
          </w:p>
        </w:tc>
      </w:tr>
      <w:tr w:rsidR="00445FCD" w:rsidRPr="00E45F2B" w:rsidTr="00844964">
        <w:trPr>
          <w:trHeight w:val="59"/>
        </w:trPr>
        <w:tc>
          <w:tcPr>
            <w:tcW w:w="5000" w:type="pct"/>
            <w:gridSpan w:val="4"/>
            <w:tcMar>
              <w:top w:w="0" w:type="dxa"/>
              <w:left w:w="108" w:type="dxa"/>
              <w:bottom w:w="0" w:type="dxa"/>
              <w:right w:w="108" w:type="dxa"/>
            </w:tcMar>
            <w:vAlign w:val="center"/>
            <w:hideMark/>
          </w:tcPr>
          <w:p w:rsidR="00445FCD" w:rsidRPr="00A81610" w:rsidRDefault="00445FCD">
            <w:pPr>
              <w:spacing w:line="276" w:lineRule="auto"/>
              <w:rPr>
                <w:rFonts w:ascii="Arial Narrow" w:eastAsiaTheme="minorHAnsi" w:hAnsi="Arial Narrow"/>
                <w:b/>
                <w:bCs/>
                <w:iCs/>
                <w:sz w:val="20"/>
                <w:szCs w:val="20"/>
                <w:lang w:val="en-US" w:eastAsia="en-US"/>
              </w:rPr>
            </w:pPr>
            <w:r w:rsidRPr="00A81610">
              <w:rPr>
                <w:rFonts w:ascii="Arial Narrow" w:hAnsi="Arial Narrow"/>
                <w:b/>
                <w:bCs/>
                <w:iCs/>
                <w:sz w:val="20"/>
                <w:szCs w:val="20"/>
                <w:lang w:val="en-US"/>
              </w:rPr>
              <w:t>Multivariate sensitivity analysis</w:t>
            </w:r>
          </w:p>
        </w:tc>
      </w:tr>
      <w:tr w:rsidR="00844964" w:rsidRPr="00E45F2B" w:rsidTr="00844964">
        <w:trPr>
          <w:trHeight w:val="59"/>
        </w:trPr>
        <w:tc>
          <w:tcPr>
            <w:tcW w:w="1976" w:type="pct"/>
            <w:tcMar>
              <w:top w:w="0" w:type="dxa"/>
              <w:left w:w="108" w:type="dxa"/>
              <w:bottom w:w="0" w:type="dxa"/>
              <w:right w:w="108" w:type="dxa"/>
            </w:tcMar>
            <w:vAlign w:val="center"/>
            <w:hideMark/>
          </w:tcPr>
          <w:p w:rsidR="00445FCD" w:rsidRPr="00E45F2B" w:rsidRDefault="00445FCD">
            <w:pPr>
              <w:spacing w:line="276" w:lineRule="auto"/>
              <w:rPr>
                <w:rFonts w:ascii="Arial Narrow" w:eastAsiaTheme="minorHAnsi" w:hAnsi="Arial Narrow"/>
                <w:iCs/>
                <w:sz w:val="20"/>
                <w:szCs w:val="20"/>
                <w:lang w:val="en-US" w:eastAsia="en-US"/>
              </w:rPr>
            </w:pPr>
            <w:r w:rsidRPr="00E45F2B">
              <w:rPr>
                <w:rFonts w:ascii="Arial Narrow" w:hAnsi="Arial Narrow"/>
                <w:iCs/>
                <w:sz w:val="20"/>
                <w:szCs w:val="20"/>
                <w:lang w:val="en-US"/>
              </w:rPr>
              <w:t>Exponential extrapolation of OS + same post-progression utilities (</w:t>
            </w:r>
            <w:r w:rsidR="007B0774">
              <w:rPr>
                <w:rFonts w:ascii="Arial Narrow" w:hAnsi="Arial Narrow"/>
                <w:iCs/>
                <w:noProof/>
                <w:color w:val="000000"/>
                <w:sz w:val="20"/>
                <w:szCs w:val="20"/>
                <w:highlight w:val="black"/>
                <w:lang w:val="en-US"/>
              </w:rPr>
              <w:t>''''''''''''''</w:t>
            </w:r>
            <w:r w:rsidRPr="00E45F2B">
              <w:rPr>
                <w:rFonts w:ascii="Arial Narrow" w:hAnsi="Arial Narrow"/>
                <w:iCs/>
                <w:sz w:val="20"/>
                <w:szCs w:val="20"/>
                <w:lang w:val="en-US"/>
              </w:rPr>
              <w:t>)  in both arms</w:t>
            </w:r>
          </w:p>
        </w:tc>
        <w:tc>
          <w:tcPr>
            <w:tcW w:w="997" w:type="pct"/>
            <w:tcMar>
              <w:top w:w="0" w:type="dxa"/>
              <w:left w:w="108" w:type="dxa"/>
              <w:bottom w:w="0" w:type="dxa"/>
              <w:right w:w="108" w:type="dxa"/>
            </w:tcMar>
            <w:vAlign w:val="center"/>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c>
          <w:tcPr>
            <w:tcW w:w="1150" w:type="pct"/>
            <w:tcMar>
              <w:top w:w="0" w:type="dxa"/>
              <w:left w:w="108" w:type="dxa"/>
              <w:bottom w:w="0" w:type="dxa"/>
              <w:right w:w="108" w:type="dxa"/>
            </w:tcMar>
            <w:vAlign w:val="center"/>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c>
          <w:tcPr>
            <w:tcW w:w="877" w:type="pct"/>
            <w:tcMar>
              <w:top w:w="0" w:type="dxa"/>
              <w:left w:w="108" w:type="dxa"/>
              <w:bottom w:w="0" w:type="dxa"/>
              <w:right w:w="108" w:type="dxa"/>
            </w:tcMar>
            <w:vAlign w:val="center"/>
            <w:hideMark/>
          </w:tcPr>
          <w:p w:rsidR="00445FCD" w:rsidRPr="007B0774" w:rsidRDefault="007B0774">
            <w:pPr>
              <w:spacing w:line="276" w:lineRule="auto"/>
              <w:jc w:val="center"/>
              <w:rPr>
                <w:rFonts w:ascii="Arial Narrow" w:eastAsiaTheme="minorHAnsi" w:hAnsi="Arial Narrow"/>
                <w:iCs/>
                <w:sz w:val="20"/>
                <w:szCs w:val="20"/>
                <w:highlight w:val="black"/>
                <w:lang w:val="en-US" w:eastAsia="en-US"/>
              </w:rPr>
            </w:pPr>
            <w:r>
              <w:rPr>
                <w:rFonts w:ascii="Arial Narrow" w:hAnsi="Arial Narrow"/>
                <w:iCs/>
                <w:noProof/>
                <w:color w:val="000000"/>
                <w:sz w:val="20"/>
                <w:szCs w:val="20"/>
                <w:highlight w:val="black"/>
                <w:lang w:val="en-US"/>
              </w:rPr>
              <w:t>''''''''''''''''''''''''</w:t>
            </w:r>
          </w:p>
        </w:tc>
      </w:tr>
      <w:tr w:rsidR="00433F25" w:rsidRPr="001B5A0E" w:rsidTr="00844964">
        <w:trPr>
          <w:trHeight w:val="59"/>
        </w:trPr>
        <w:tc>
          <w:tcPr>
            <w:tcW w:w="1976" w:type="pct"/>
            <w:tcMar>
              <w:top w:w="0" w:type="dxa"/>
              <w:left w:w="108" w:type="dxa"/>
              <w:bottom w:w="0" w:type="dxa"/>
              <w:right w:w="108" w:type="dxa"/>
            </w:tcMar>
            <w:vAlign w:val="center"/>
          </w:tcPr>
          <w:p w:rsidR="00433F25" w:rsidRPr="00E45F2B" w:rsidRDefault="00433F25" w:rsidP="00433F25">
            <w:pPr>
              <w:spacing w:line="276" w:lineRule="auto"/>
              <w:rPr>
                <w:rFonts w:ascii="Arial Narrow" w:hAnsi="Arial Narrow"/>
                <w:iCs/>
                <w:sz w:val="20"/>
                <w:szCs w:val="20"/>
                <w:lang w:val="en-US"/>
              </w:rPr>
            </w:pPr>
            <w:r w:rsidRPr="00E45F2B">
              <w:rPr>
                <w:rFonts w:ascii="Arial Narrow" w:hAnsi="Arial Narrow"/>
                <w:iCs/>
                <w:sz w:val="20"/>
                <w:szCs w:val="20"/>
                <w:lang w:val="en-US"/>
              </w:rPr>
              <w:t xml:space="preserve">Exponential extrapolation of OS + same post-progression </w:t>
            </w:r>
            <w:r w:rsidRPr="00A81610">
              <w:rPr>
                <w:rFonts w:ascii="Arial Narrow" w:hAnsi="Arial Narrow"/>
                <w:iCs/>
                <w:sz w:val="20"/>
                <w:szCs w:val="20"/>
                <w:lang w:val="en-US"/>
              </w:rPr>
              <w:t>utilities (</w:t>
            </w:r>
            <w:r w:rsidR="007B0774">
              <w:rPr>
                <w:rFonts w:ascii="Arial Narrow" w:hAnsi="Arial Narrow"/>
                <w:iCs/>
                <w:noProof/>
                <w:color w:val="000000"/>
                <w:sz w:val="20"/>
                <w:szCs w:val="20"/>
                <w:highlight w:val="black"/>
                <w:lang w:val="en-US"/>
              </w:rPr>
              <w:t>''''''''''''</w:t>
            </w:r>
            <w:r w:rsidRPr="00A81610">
              <w:rPr>
                <w:rFonts w:ascii="Arial Narrow" w:hAnsi="Arial Narrow"/>
                <w:iCs/>
                <w:sz w:val="20"/>
                <w:szCs w:val="20"/>
                <w:lang w:val="en-US"/>
              </w:rPr>
              <w:t>) in both arms + duration of treatment (PFS+</w:t>
            </w:r>
            <w:r w:rsidR="007B0774">
              <w:rPr>
                <w:rFonts w:ascii="Arial Narrow" w:hAnsi="Arial Narrow"/>
                <w:iCs/>
                <w:noProof/>
                <w:color w:val="000000"/>
                <w:sz w:val="20"/>
                <w:szCs w:val="20"/>
                <w:highlight w:val="black"/>
                <w:lang w:val="en-US"/>
              </w:rPr>
              <w:t>''''''</w:t>
            </w:r>
            <w:r w:rsidRPr="00A81610">
              <w:rPr>
                <w:rFonts w:ascii="Arial Narrow" w:hAnsi="Arial Narrow"/>
                <w:iCs/>
                <w:sz w:val="20"/>
                <w:szCs w:val="20"/>
                <w:lang w:val="en-US"/>
              </w:rPr>
              <w:t>%)</w:t>
            </w:r>
          </w:p>
        </w:tc>
        <w:tc>
          <w:tcPr>
            <w:tcW w:w="997" w:type="pct"/>
            <w:tcMar>
              <w:top w:w="0" w:type="dxa"/>
              <w:left w:w="108" w:type="dxa"/>
              <w:bottom w:w="0" w:type="dxa"/>
              <w:right w:w="108" w:type="dxa"/>
            </w:tcMar>
            <w:vAlign w:val="center"/>
          </w:tcPr>
          <w:p w:rsidR="00433F25" w:rsidRPr="007B0774" w:rsidRDefault="007B0774">
            <w:pPr>
              <w:spacing w:line="276" w:lineRule="auto"/>
              <w:jc w:val="center"/>
              <w:rPr>
                <w:rFonts w:ascii="Arial Narrow" w:hAnsi="Arial Narrow"/>
                <w:iCs/>
                <w:sz w:val="20"/>
                <w:szCs w:val="20"/>
                <w:highlight w:val="black"/>
                <w:lang w:val="en-US"/>
              </w:rPr>
            </w:pPr>
            <w:r>
              <w:rPr>
                <w:rFonts w:ascii="Arial Narrow" w:hAnsi="Arial Narrow"/>
                <w:iCs/>
                <w:noProof/>
                <w:color w:val="000000"/>
                <w:sz w:val="20"/>
                <w:szCs w:val="20"/>
                <w:highlight w:val="black"/>
                <w:lang w:val="en-US"/>
              </w:rPr>
              <w:t>''''''''''''''''''''''</w:t>
            </w:r>
          </w:p>
        </w:tc>
        <w:tc>
          <w:tcPr>
            <w:tcW w:w="1150" w:type="pct"/>
            <w:tcMar>
              <w:top w:w="0" w:type="dxa"/>
              <w:left w:w="108" w:type="dxa"/>
              <w:bottom w:w="0" w:type="dxa"/>
              <w:right w:w="108" w:type="dxa"/>
            </w:tcMar>
            <w:vAlign w:val="center"/>
          </w:tcPr>
          <w:p w:rsidR="00433F25" w:rsidRPr="007B0774" w:rsidRDefault="007B0774">
            <w:pPr>
              <w:spacing w:line="276" w:lineRule="auto"/>
              <w:jc w:val="center"/>
              <w:rPr>
                <w:rFonts w:ascii="Arial Narrow" w:hAnsi="Arial Narrow"/>
                <w:iCs/>
                <w:sz w:val="20"/>
                <w:szCs w:val="20"/>
                <w:highlight w:val="black"/>
                <w:lang w:val="en-US"/>
              </w:rPr>
            </w:pPr>
            <w:r>
              <w:rPr>
                <w:rFonts w:ascii="Arial Narrow" w:hAnsi="Arial Narrow"/>
                <w:iCs/>
                <w:noProof/>
                <w:color w:val="000000"/>
                <w:sz w:val="20"/>
                <w:szCs w:val="20"/>
                <w:highlight w:val="black"/>
                <w:lang w:val="en-US"/>
              </w:rPr>
              <w:t>'''''''''''''''</w:t>
            </w:r>
          </w:p>
        </w:tc>
        <w:tc>
          <w:tcPr>
            <w:tcW w:w="877" w:type="pct"/>
            <w:tcMar>
              <w:top w:w="0" w:type="dxa"/>
              <w:left w:w="108" w:type="dxa"/>
              <w:bottom w:w="0" w:type="dxa"/>
              <w:right w:w="108" w:type="dxa"/>
            </w:tcMar>
            <w:vAlign w:val="center"/>
          </w:tcPr>
          <w:p w:rsidR="00433F25" w:rsidRPr="007B0774" w:rsidRDefault="007B0774">
            <w:pPr>
              <w:spacing w:line="276" w:lineRule="auto"/>
              <w:jc w:val="center"/>
              <w:rPr>
                <w:rFonts w:ascii="Arial Narrow" w:hAnsi="Arial Narrow"/>
                <w:iCs/>
                <w:sz w:val="20"/>
                <w:szCs w:val="20"/>
                <w:highlight w:val="black"/>
                <w:lang w:val="en-US"/>
              </w:rPr>
            </w:pPr>
            <w:r>
              <w:rPr>
                <w:rFonts w:ascii="Arial Narrow" w:hAnsi="Arial Narrow"/>
                <w:iCs/>
                <w:noProof/>
                <w:color w:val="000000"/>
                <w:sz w:val="20"/>
                <w:szCs w:val="20"/>
                <w:highlight w:val="black"/>
                <w:lang w:val="en-US"/>
              </w:rPr>
              <w:t>''''''''''''''''''''</w:t>
            </w:r>
          </w:p>
        </w:tc>
      </w:tr>
    </w:tbl>
    <w:p w:rsidR="00445FCD" w:rsidRPr="00326C9B" w:rsidRDefault="00390F39" w:rsidP="001F201C">
      <w:pPr>
        <w:pStyle w:val="TableFooter"/>
        <w:rPr>
          <w:rFonts w:eastAsiaTheme="minorHAnsi"/>
          <w:i/>
        </w:rPr>
      </w:pPr>
      <w:r>
        <w:rPr>
          <w:i/>
        </w:rPr>
        <w:t>Analyse</w:t>
      </w:r>
      <w:r w:rsidR="00445FCD" w:rsidRPr="00326C9B">
        <w:rPr>
          <w:i/>
        </w:rPr>
        <w:t>s in italics were carried out for the minor overview</w:t>
      </w:r>
      <w:r>
        <w:rPr>
          <w:i/>
        </w:rPr>
        <w:t>.</w:t>
      </w:r>
    </w:p>
    <w:p w:rsidR="00445FCD" w:rsidRPr="00844964" w:rsidRDefault="00445FCD" w:rsidP="001F201C">
      <w:pPr>
        <w:pStyle w:val="TableFooter"/>
        <w:rPr>
          <w:lang w:eastAsia="en-AU"/>
        </w:rPr>
      </w:pPr>
      <w:r w:rsidRPr="00844964">
        <w:t xml:space="preserve">Abbreviations: </w:t>
      </w:r>
      <w:r w:rsidR="00CB128B">
        <w:t>DOT=duration of treatment;</w:t>
      </w:r>
      <w:r w:rsidR="00CB128B" w:rsidRPr="00844964">
        <w:t xml:space="preserve"> </w:t>
      </w:r>
      <w:r w:rsidRPr="00844964">
        <w:t>ICER</w:t>
      </w:r>
      <w:r w:rsidR="00F04C80">
        <w:t xml:space="preserve"> </w:t>
      </w:r>
      <w:r w:rsidRPr="00844964">
        <w:t>= incremental cost effectiveness ratio; OS</w:t>
      </w:r>
      <w:r w:rsidR="00F04C80">
        <w:t xml:space="preserve"> </w:t>
      </w:r>
      <w:r w:rsidRPr="00844964">
        <w:t>= overall survival; QALY</w:t>
      </w:r>
      <w:r w:rsidR="00F04C80">
        <w:t xml:space="preserve"> </w:t>
      </w:r>
      <w:r w:rsidRPr="00844964">
        <w:t>= quality adjusted life year</w:t>
      </w:r>
      <w:r w:rsidR="00390F39">
        <w:t>.</w:t>
      </w:r>
    </w:p>
    <w:p w:rsidR="00C7122C" w:rsidRDefault="00C7122C" w:rsidP="001F201C">
      <w:pPr>
        <w:pStyle w:val="TableFooter"/>
      </w:pPr>
      <w:r>
        <w:t xml:space="preserve">^as advised by ESC at its October 2017 meeting (paragraphs 6.33 and 6.40, November 2017 PBAC </w:t>
      </w:r>
      <w:r w:rsidR="00B72BBB">
        <w:t>PSD</w:t>
      </w:r>
      <w:r>
        <w:t>)</w:t>
      </w:r>
    </w:p>
    <w:p w:rsidR="00445FCD" w:rsidRDefault="00445FCD" w:rsidP="001F201C">
      <w:pPr>
        <w:pStyle w:val="TableFooter"/>
      </w:pPr>
      <w:r w:rsidRPr="00844964">
        <w:t xml:space="preserve">Source: Economic model spreadsheet App_1_nivo SCCHN economic evaluation_minor resubmission.xlsx provided with the </w:t>
      </w:r>
      <w:r w:rsidR="00326C9B">
        <w:t>re</w:t>
      </w:r>
      <w:r w:rsidR="00F04C80">
        <w:t>submission.</w:t>
      </w:r>
    </w:p>
    <w:p w:rsidR="00187C36" w:rsidRPr="00D61352" w:rsidRDefault="00187C36" w:rsidP="0037625B">
      <w:pPr>
        <w:pStyle w:val="Heading2"/>
      </w:pPr>
      <w:r w:rsidRPr="00D61352">
        <w:t>Drug cost/patient/course</w:t>
      </w:r>
    </w:p>
    <w:p w:rsidR="0064746D" w:rsidRPr="0064746D" w:rsidRDefault="00884ECA" w:rsidP="00884ECA">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884ECA">
        <w:rPr>
          <w:rFonts w:asciiTheme="minorHAnsi" w:hAnsiTheme="minorHAnsi"/>
          <w:sz w:val="24"/>
          <w:szCs w:val="24"/>
        </w:rPr>
        <w:t xml:space="preserve">The </w:t>
      </w:r>
      <w:r w:rsidR="001F201C" w:rsidRPr="00884ECA">
        <w:rPr>
          <w:rFonts w:asciiTheme="minorHAnsi" w:eastAsia="Calibri" w:hAnsiTheme="minorHAnsi"/>
          <w:sz w:val="24"/>
          <w:szCs w:val="24"/>
        </w:rPr>
        <w:t xml:space="preserve">November </w:t>
      </w:r>
      <w:r w:rsidR="00454292">
        <w:rPr>
          <w:rFonts w:asciiTheme="minorHAnsi" w:eastAsia="Calibri" w:hAnsiTheme="minorHAnsi"/>
          <w:sz w:val="24"/>
          <w:szCs w:val="24"/>
        </w:rPr>
        <w:t xml:space="preserve">2017 </w:t>
      </w:r>
      <w:r w:rsidR="001F201C" w:rsidRPr="00884ECA">
        <w:rPr>
          <w:rFonts w:asciiTheme="minorHAnsi" w:eastAsia="Calibri" w:hAnsiTheme="minorHAnsi"/>
          <w:sz w:val="24"/>
          <w:szCs w:val="24"/>
        </w:rPr>
        <w:t xml:space="preserve">major submission presented an average cost for nivolumab of </w:t>
      </w:r>
      <w:r w:rsidR="001F201C" w:rsidRPr="00A81610">
        <w:rPr>
          <w:rFonts w:asciiTheme="minorHAnsi" w:eastAsia="Calibri" w:hAnsiTheme="minorHAnsi"/>
          <w:sz w:val="24"/>
          <w:szCs w:val="24"/>
        </w:rPr>
        <w:t>$</w:t>
      </w:r>
      <w:r w:rsidR="007B0774">
        <w:rPr>
          <w:rFonts w:asciiTheme="minorHAnsi" w:eastAsia="Calibri" w:hAnsiTheme="minorHAnsi"/>
          <w:noProof/>
          <w:color w:val="000000"/>
          <w:sz w:val="24"/>
          <w:szCs w:val="24"/>
          <w:highlight w:val="black"/>
        </w:rPr>
        <w:t>''''''''''''''''''</w:t>
      </w:r>
      <w:r w:rsidR="001F201C" w:rsidRPr="00A81610">
        <w:rPr>
          <w:rFonts w:asciiTheme="minorHAnsi" w:eastAsia="Calibri" w:hAnsiTheme="minorHAnsi"/>
          <w:sz w:val="24"/>
          <w:szCs w:val="24"/>
        </w:rPr>
        <w:t xml:space="preserve">, assuming a </w:t>
      </w:r>
      <w:r w:rsidR="00187C36" w:rsidRPr="00A81610">
        <w:rPr>
          <w:rFonts w:asciiTheme="minorHAnsi" w:eastAsia="Calibri" w:hAnsiTheme="minorHAnsi"/>
          <w:sz w:val="24"/>
          <w:szCs w:val="24"/>
        </w:rPr>
        <w:t>cost of $</w:t>
      </w:r>
      <w:r w:rsidR="007B0774">
        <w:rPr>
          <w:rFonts w:asciiTheme="minorHAnsi" w:eastAsia="Calibri" w:hAnsiTheme="minorHAnsi"/>
          <w:noProof/>
          <w:color w:val="000000"/>
          <w:sz w:val="24"/>
          <w:szCs w:val="24"/>
          <w:highlight w:val="black"/>
        </w:rPr>
        <w:t>''''''''''''''''</w:t>
      </w:r>
      <w:r w:rsidR="00187C36" w:rsidRPr="00A81610">
        <w:rPr>
          <w:rFonts w:asciiTheme="minorHAnsi" w:eastAsia="Calibri" w:hAnsiTheme="minorHAnsi"/>
          <w:sz w:val="24"/>
          <w:szCs w:val="24"/>
        </w:rPr>
        <w:t xml:space="preserve"> per infusion and patients </w:t>
      </w:r>
      <w:r w:rsidR="001F201C" w:rsidRPr="00A81610">
        <w:rPr>
          <w:rFonts w:asciiTheme="minorHAnsi" w:eastAsia="Calibri" w:hAnsiTheme="minorHAnsi"/>
          <w:sz w:val="24"/>
          <w:szCs w:val="24"/>
        </w:rPr>
        <w:t>r</w:t>
      </w:r>
      <w:r w:rsidR="00187C36" w:rsidRPr="00A81610">
        <w:rPr>
          <w:rFonts w:asciiTheme="minorHAnsi" w:eastAsia="Calibri" w:hAnsiTheme="minorHAnsi"/>
          <w:sz w:val="24"/>
          <w:szCs w:val="24"/>
        </w:rPr>
        <w:t>eceiv</w:t>
      </w:r>
      <w:r w:rsidR="001F201C" w:rsidRPr="00A81610">
        <w:rPr>
          <w:rFonts w:asciiTheme="minorHAnsi" w:eastAsia="Calibri" w:hAnsiTheme="minorHAnsi"/>
          <w:sz w:val="24"/>
          <w:szCs w:val="24"/>
        </w:rPr>
        <w:t>ing</w:t>
      </w:r>
      <w:r w:rsidR="00187C36" w:rsidRPr="00A81610">
        <w:rPr>
          <w:rFonts w:asciiTheme="minorHAnsi" w:eastAsia="Calibri" w:hAnsiTheme="minorHAnsi"/>
          <w:sz w:val="24"/>
          <w:szCs w:val="24"/>
        </w:rPr>
        <w:t xml:space="preserve"> </w:t>
      </w:r>
      <w:r w:rsidR="007B0774">
        <w:rPr>
          <w:rFonts w:asciiTheme="minorHAnsi" w:eastAsia="Calibri" w:hAnsiTheme="minorHAnsi"/>
          <w:noProof/>
          <w:color w:val="000000"/>
          <w:sz w:val="24"/>
          <w:szCs w:val="24"/>
          <w:highlight w:val="black"/>
        </w:rPr>
        <w:t>'''''''</w:t>
      </w:r>
      <w:r w:rsidR="00187C36" w:rsidRPr="00884ECA">
        <w:rPr>
          <w:rFonts w:asciiTheme="minorHAnsi" w:eastAsia="Calibri" w:hAnsiTheme="minorHAnsi"/>
          <w:sz w:val="24"/>
          <w:szCs w:val="24"/>
        </w:rPr>
        <w:t xml:space="preserve"> infusions of nivolumab, based on the mean number of doses received by patients in the nivo</w:t>
      </w:r>
      <w:r w:rsidR="004913B5">
        <w:rPr>
          <w:rFonts w:asciiTheme="minorHAnsi" w:eastAsia="Calibri" w:hAnsiTheme="minorHAnsi"/>
          <w:sz w:val="24"/>
          <w:szCs w:val="24"/>
        </w:rPr>
        <w:t>lumab arm of Trial CA209141.</w:t>
      </w:r>
    </w:p>
    <w:p w:rsidR="0064746D" w:rsidRPr="0064746D" w:rsidRDefault="00874648" w:rsidP="00466DCE">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Noting that an</w:t>
      </w:r>
      <w:r w:rsidR="0064746D" w:rsidRPr="0064746D">
        <w:rPr>
          <w:rFonts w:asciiTheme="minorHAnsi" w:eastAsiaTheme="minorHAnsi" w:hAnsiTheme="minorHAnsi" w:cstheme="minorBidi"/>
          <w:snapToGrid/>
          <w:sz w:val="24"/>
          <w:szCs w:val="24"/>
        </w:rPr>
        <w:t xml:space="preserve"> </w:t>
      </w:r>
      <w:r w:rsidR="0064746D" w:rsidRPr="00A81610">
        <w:rPr>
          <w:rFonts w:asciiTheme="minorHAnsi" w:eastAsiaTheme="minorHAnsi" w:hAnsiTheme="minorHAnsi" w:cstheme="minorBidi"/>
          <w:snapToGrid/>
          <w:sz w:val="24"/>
          <w:szCs w:val="24"/>
        </w:rPr>
        <w:t xml:space="preserve">additional </w:t>
      </w:r>
      <w:r w:rsidR="007B0774">
        <w:rPr>
          <w:rFonts w:asciiTheme="minorHAnsi" w:eastAsiaTheme="minorHAnsi" w:hAnsiTheme="minorHAnsi" w:cstheme="minorBidi"/>
          <w:noProof/>
          <w:snapToGrid/>
          <w:color w:val="000000"/>
          <w:sz w:val="24"/>
          <w:szCs w:val="24"/>
          <w:highlight w:val="black"/>
        </w:rPr>
        <w:t>''''''''</w:t>
      </w:r>
      <w:r w:rsidR="0064746D" w:rsidRPr="00A81610">
        <w:rPr>
          <w:rFonts w:asciiTheme="minorHAnsi" w:eastAsiaTheme="minorHAnsi" w:hAnsiTheme="minorHAnsi" w:cstheme="minorBidi"/>
          <w:snapToGrid/>
          <w:sz w:val="24"/>
          <w:szCs w:val="24"/>
        </w:rPr>
        <w:t xml:space="preserve">% treatment duration (beyond PFS) was incorporated in the economic model to account for the </w:t>
      </w:r>
      <w:r w:rsidR="007B0774">
        <w:rPr>
          <w:rFonts w:asciiTheme="minorHAnsi" w:eastAsiaTheme="minorHAnsi" w:hAnsiTheme="minorHAnsi" w:cstheme="minorBidi"/>
          <w:noProof/>
          <w:snapToGrid/>
          <w:color w:val="000000"/>
          <w:sz w:val="24"/>
          <w:szCs w:val="24"/>
          <w:highlight w:val="black"/>
        </w:rPr>
        <w:t>'''''''''</w:t>
      </w:r>
      <w:r w:rsidR="0064746D" w:rsidRPr="00A81610">
        <w:rPr>
          <w:rFonts w:asciiTheme="minorHAnsi" w:eastAsiaTheme="minorHAnsi" w:hAnsiTheme="minorHAnsi" w:cstheme="minorBidi"/>
          <w:snapToGrid/>
          <w:sz w:val="24"/>
          <w:szCs w:val="24"/>
        </w:rPr>
        <w:t>% of nivolumab patients on Study CA</w:t>
      </w:r>
      <w:r w:rsidR="004913B5" w:rsidRPr="00A81610">
        <w:rPr>
          <w:rFonts w:asciiTheme="minorHAnsi" w:eastAsiaTheme="minorHAnsi" w:hAnsiTheme="minorHAnsi" w:cstheme="minorBidi"/>
          <w:snapToGrid/>
          <w:sz w:val="24"/>
          <w:szCs w:val="24"/>
        </w:rPr>
        <w:t xml:space="preserve">209141 who were treated beyond </w:t>
      </w:r>
      <w:r w:rsidR="0064746D" w:rsidRPr="00A81610">
        <w:rPr>
          <w:rFonts w:asciiTheme="minorHAnsi" w:eastAsiaTheme="minorHAnsi" w:hAnsiTheme="minorHAnsi" w:cstheme="minorBidi"/>
          <w:snapToGrid/>
          <w:sz w:val="24"/>
          <w:szCs w:val="24"/>
        </w:rPr>
        <w:t>progression</w:t>
      </w:r>
      <w:r w:rsidRPr="00A81610">
        <w:rPr>
          <w:rFonts w:asciiTheme="minorHAnsi" w:eastAsiaTheme="minorHAnsi" w:hAnsiTheme="minorHAnsi" w:cstheme="minorBidi"/>
          <w:snapToGrid/>
          <w:sz w:val="24"/>
          <w:szCs w:val="24"/>
        </w:rPr>
        <w:t xml:space="preserve">, the minor </w:t>
      </w:r>
      <w:r w:rsidR="001F4998" w:rsidRPr="00A81610">
        <w:rPr>
          <w:rFonts w:asciiTheme="minorHAnsi" w:eastAsiaTheme="minorHAnsi" w:hAnsiTheme="minorHAnsi" w:cstheme="minorBidi"/>
          <w:snapToGrid/>
          <w:sz w:val="24"/>
          <w:szCs w:val="24"/>
        </w:rPr>
        <w:t>re</w:t>
      </w:r>
      <w:r w:rsidRPr="00A81610">
        <w:rPr>
          <w:rFonts w:asciiTheme="minorHAnsi" w:eastAsiaTheme="minorHAnsi" w:hAnsiTheme="minorHAnsi" w:cstheme="minorBidi"/>
          <w:snapToGrid/>
          <w:sz w:val="24"/>
          <w:szCs w:val="24"/>
        </w:rPr>
        <w:t xml:space="preserve">submission proposed that the mean number of infusions be updated from </w:t>
      </w:r>
      <w:r w:rsidR="007B0774">
        <w:rPr>
          <w:rFonts w:asciiTheme="minorHAnsi" w:eastAsiaTheme="minorHAnsi" w:hAnsiTheme="minorHAnsi" w:cstheme="minorBidi"/>
          <w:noProof/>
          <w:snapToGrid/>
          <w:color w:val="000000"/>
          <w:sz w:val="24"/>
          <w:szCs w:val="24"/>
          <w:highlight w:val="black"/>
        </w:rPr>
        <w:t>'''''''</w:t>
      </w:r>
      <w:r w:rsidRPr="00A81610">
        <w:rPr>
          <w:rFonts w:asciiTheme="minorHAnsi" w:eastAsiaTheme="minorHAnsi" w:hAnsiTheme="minorHAnsi" w:cstheme="minorBidi"/>
          <w:snapToGrid/>
          <w:sz w:val="24"/>
          <w:szCs w:val="24"/>
        </w:rPr>
        <w:t xml:space="preserve"> to </w:t>
      </w:r>
      <w:r w:rsidR="007B0774">
        <w:rPr>
          <w:rFonts w:asciiTheme="minorHAnsi" w:eastAsiaTheme="minorHAnsi" w:hAnsiTheme="minorHAnsi" w:cstheme="minorBidi"/>
          <w:noProof/>
          <w:snapToGrid/>
          <w:color w:val="000000"/>
          <w:sz w:val="24"/>
          <w:szCs w:val="24"/>
          <w:highlight w:val="black"/>
        </w:rPr>
        <w:t>''''''''</w:t>
      </w:r>
      <w:r>
        <w:rPr>
          <w:rFonts w:asciiTheme="minorHAnsi" w:eastAsiaTheme="minorHAnsi" w:hAnsiTheme="minorHAnsi" w:cstheme="minorBidi"/>
          <w:snapToGrid/>
          <w:sz w:val="24"/>
          <w:szCs w:val="24"/>
        </w:rPr>
        <w:t xml:space="preserve">. </w:t>
      </w:r>
    </w:p>
    <w:p w:rsidR="004B0C46" w:rsidRPr="00F62235" w:rsidRDefault="004913B5" w:rsidP="00884ECA">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F62235">
        <w:rPr>
          <w:rFonts w:asciiTheme="minorHAnsi" w:eastAsia="Calibri" w:hAnsiTheme="minorHAnsi"/>
          <w:sz w:val="24"/>
          <w:szCs w:val="24"/>
        </w:rPr>
        <w:t>I</w:t>
      </w:r>
      <w:r w:rsidR="002A33C5" w:rsidRPr="00F62235">
        <w:rPr>
          <w:rFonts w:asciiTheme="minorHAnsi" w:eastAsia="Calibri" w:hAnsiTheme="minorHAnsi"/>
          <w:sz w:val="24"/>
          <w:szCs w:val="24"/>
        </w:rPr>
        <w:t>f recommended</w:t>
      </w:r>
      <w:r w:rsidR="009550D6" w:rsidRPr="00F62235">
        <w:rPr>
          <w:rFonts w:asciiTheme="minorHAnsi" w:eastAsia="Calibri" w:hAnsiTheme="minorHAnsi"/>
          <w:sz w:val="24"/>
          <w:szCs w:val="24"/>
        </w:rPr>
        <w:t xml:space="preserve"> for listing</w:t>
      </w:r>
      <w:r w:rsidR="002A33C5" w:rsidRPr="00F62235">
        <w:rPr>
          <w:rFonts w:asciiTheme="minorHAnsi" w:eastAsia="Calibri" w:hAnsiTheme="minorHAnsi"/>
          <w:sz w:val="24"/>
          <w:szCs w:val="24"/>
        </w:rPr>
        <w:t xml:space="preserve">, the drug cost/patient/course </w:t>
      </w:r>
      <w:r w:rsidR="004D5F1C" w:rsidRPr="00F62235">
        <w:rPr>
          <w:rFonts w:asciiTheme="minorHAnsi" w:eastAsia="Calibri" w:hAnsiTheme="minorHAnsi"/>
          <w:sz w:val="24"/>
          <w:szCs w:val="24"/>
        </w:rPr>
        <w:t xml:space="preserve">would need </w:t>
      </w:r>
      <w:r w:rsidR="002A33C5" w:rsidRPr="00F62235">
        <w:rPr>
          <w:rFonts w:asciiTheme="minorHAnsi" w:eastAsia="Calibri" w:hAnsiTheme="minorHAnsi"/>
          <w:sz w:val="24"/>
          <w:szCs w:val="24"/>
        </w:rPr>
        <w:t>to be re-</w:t>
      </w:r>
      <w:r w:rsidR="002A33C5" w:rsidRPr="0095764C">
        <w:rPr>
          <w:rFonts w:asciiTheme="minorHAnsi" w:eastAsia="Calibri" w:hAnsiTheme="minorHAnsi"/>
          <w:sz w:val="24"/>
          <w:szCs w:val="24"/>
        </w:rPr>
        <w:t xml:space="preserve">estimated to reflect the </w:t>
      </w:r>
      <w:r w:rsidR="007B0774">
        <w:rPr>
          <w:rFonts w:asciiTheme="minorHAnsi" w:eastAsia="Calibri" w:hAnsiTheme="minorHAnsi"/>
          <w:noProof/>
          <w:color w:val="000000"/>
          <w:sz w:val="24"/>
          <w:szCs w:val="24"/>
          <w:highlight w:val="black"/>
        </w:rPr>
        <w:t>''''''''</w:t>
      </w:r>
      <w:r w:rsidR="002A33C5" w:rsidRPr="0095764C">
        <w:rPr>
          <w:rFonts w:asciiTheme="minorHAnsi" w:eastAsia="Calibri" w:hAnsiTheme="minorHAnsi"/>
          <w:sz w:val="24"/>
          <w:szCs w:val="24"/>
        </w:rPr>
        <w:t xml:space="preserve">% price reduction offered in the minor resubmission. The PBAC’s advice on whether the mean number of infusions </w:t>
      </w:r>
      <w:r w:rsidR="00C67D94" w:rsidRPr="0095764C">
        <w:rPr>
          <w:rFonts w:asciiTheme="minorHAnsi" w:eastAsia="Calibri" w:hAnsiTheme="minorHAnsi"/>
          <w:sz w:val="24"/>
          <w:szCs w:val="24"/>
        </w:rPr>
        <w:t xml:space="preserve">be updated from </w:t>
      </w:r>
      <w:r w:rsidR="007B0774">
        <w:rPr>
          <w:rFonts w:asciiTheme="minorHAnsi" w:eastAsiaTheme="minorHAnsi" w:hAnsiTheme="minorHAnsi" w:cstheme="minorBidi"/>
          <w:noProof/>
          <w:snapToGrid/>
          <w:color w:val="000000"/>
          <w:sz w:val="24"/>
          <w:szCs w:val="24"/>
          <w:highlight w:val="black"/>
        </w:rPr>
        <w:t>''''''</w:t>
      </w:r>
      <w:r w:rsidR="00C67D94" w:rsidRPr="0095764C">
        <w:rPr>
          <w:rFonts w:asciiTheme="minorHAnsi" w:eastAsiaTheme="minorHAnsi" w:hAnsiTheme="minorHAnsi" w:cstheme="minorBidi"/>
          <w:snapToGrid/>
          <w:sz w:val="24"/>
          <w:szCs w:val="24"/>
        </w:rPr>
        <w:t xml:space="preserve"> to </w:t>
      </w:r>
      <w:r w:rsidR="007B0774">
        <w:rPr>
          <w:rFonts w:asciiTheme="minorHAnsi" w:eastAsia="Calibri" w:hAnsiTheme="minorHAnsi"/>
          <w:noProof/>
          <w:color w:val="000000"/>
          <w:sz w:val="24"/>
          <w:szCs w:val="24"/>
          <w:highlight w:val="black"/>
        </w:rPr>
        <w:t>''''''''</w:t>
      </w:r>
      <w:r w:rsidR="0064746D" w:rsidRPr="0095764C">
        <w:rPr>
          <w:rFonts w:asciiTheme="minorHAnsi" w:eastAsia="Calibri" w:hAnsiTheme="minorHAnsi"/>
          <w:sz w:val="24"/>
          <w:szCs w:val="24"/>
        </w:rPr>
        <w:t xml:space="preserve"> (as proposed by the minor resubmission</w:t>
      </w:r>
      <w:r w:rsidR="007A504E" w:rsidRPr="0095764C">
        <w:rPr>
          <w:rFonts w:asciiTheme="minorHAnsi" w:eastAsia="Calibri" w:hAnsiTheme="minorHAnsi"/>
          <w:sz w:val="24"/>
          <w:szCs w:val="24"/>
        </w:rPr>
        <w:t>)</w:t>
      </w:r>
      <w:r w:rsidRPr="0095764C">
        <w:rPr>
          <w:rFonts w:asciiTheme="minorHAnsi" w:eastAsia="Calibri" w:hAnsiTheme="minorHAnsi"/>
          <w:sz w:val="24"/>
          <w:szCs w:val="24"/>
        </w:rPr>
        <w:t xml:space="preserve"> </w:t>
      </w:r>
      <w:r w:rsidR="0064746D" w:rsidRPr="0095764C">
        <w:rPr>
          <w:rFonts w:asciiTheme="minorHAnsi" w:eastAsia="Calibri" w:hAnsiTheme="minorHAnsi"/>
          <w:sz w:val="24"/>
          <w:szCs w:val="24"/>
        </w:rPr>
        <w:t>would also</w:t>
      </w:r>
      <w:r w:rsidR="0064746D" w:rsidRPr="00F62235">
        <w:rPr>
          <w:rFonts w:asciiTheme="minorHAnsi" w:eastAsia="Calibri" w:hAnsiTheme="minorHAnsi"/>
          <w:sz w:val="24"/>
          <w:szCs w:val="24"/>
        </w:rPr>
        <w:t xml:space="preserve"> need to be accounted for in the estimation of drug cost/patient/course.</w:t>
      </w:r>
    </w:p>
    <w:p w:rsidR="00310F91" w:rsidRPr="00D61352" w:rsidRDefault="005A3173" w:rsidP="0037625B">
      <w:pPr>
        <w:pStyle w:val="Heading2"/>
      </w:pPr>
      <w:r w:rsidRPr="00EB3307">
        <w:t>Estimated PBS usage &amp; financial implications</w:t>
      </w:r>
    </w:p>
    <w:p w:rsidR="00884ECA" w:rsidRDefault="00884ECA" w:rsidP="00884ECA">
      <w:pPr>
        <w:pStyle w:val="ListParagraph"/>
        <w:widowControl/>
        <w:numPr>
          <w:ilvl w:val="1"/>
          <w:numId w:val="5"/>
        </w:numPr>
        <w:spacing w:before="120" w:after="160"/>
        <w:contextualSpacing w:val="0"/>
        <w:rPr>
          <w:rFonts w:asciiTheme="minorHAnsi" w:hAnsiTheme="minorHAnsi"/>
          <w:sz w:val="24"/>
          <w:szCs w:val="24"/>
        </w:rPr>
      </w:pPr>
      <w:r w:rsidRPr="00A53EEF">
        <w:rPr>
          <w:rFonts w:asciiTheme="minorHAnsi" w:hAnsiTheme="minorHAnsi"/>
          <w:sz w:val="24"/>
          <w:szCs w:val="24"/>
        </w:rPr>
        <w:t xml:space="preserve">The PBAC previously requested that </w:t>
      </w:r>
      <w:r w:rsidR="00FC0EEC">
        <w:rPr>
          <w:rFonts w:asciiTheme="minorHAnsi" w:hAnsiTheme="minorHAnsi"/>
          <w:sz w:val="24"/>
          <w:szCs w:val="24"/>
        </w:rPr>
        <w:t>“</w:t>
      </w:r>
      <w:r w:rsidRPr="00A53EEF">
        <w:rPr>
          <w:rFonts w:asciiTheme="minorHAnsi" w:hAnsiTheme="minorHAnsi"/>
          <w:sz w:val="24"/>
          <w:szCs w:val="24"/>
        </w:rPr>
        <w:t xml:space="preserve">any future resubmission include </w:t>
      </w:r>
      <w:r>
        <w:rPr>
          <w:rFonts w:asciiTheme="minorHAnsi" w:hAnsiTheme="minorHAnsi"/>
          <w:sz w:val="24"/>
          <w:szCs w:val="24"/>
        </w:rPr>
        <w:t xml:space="preserve">amended utilisation estimates addressing the concerns raised by </w:t>
      </w:r>
      <w:r w:rsidR="00310F91">
        <w:rPr>
          <w:rFonts w:asciiTheme="minorHAnsi" w:hAnsiTheme="minorHAnsi"/>
          <w:sz w:val="24"/>
          <w:szCs w:val="24"/>
        </w:rPr>
        <w:t>DUSC regarding potential: overestimation of the eligible patient population; overestimation of the uptake rate; … and underestimation of the average Australian body weight</w:t>
      </w:r>
      <w:r w:rsidR="00FC0EEC">
        <w:rPr>
          <w:rFonts w:asciiTheme="minorHAnsi" w:hAnsiTheme="minorHAnsi"/>
          <w:sz w:val="24"/>
          <w:szCs w:val="24"/>
        </w:rPr>
        <w:t>”</w:t>
      </w:r>
      <w:r w:rsidR="00310F91">
        <w:rPr>
          <w:rFonts w:asciiTheme="minorHAnsi" w:hAnsiTheme="minorHAnsi"/>
          <w:sz w:val="24"/>
          <w:szCs w:val="24"/>
        </w:rPr>
        <w:t xml:space="preserve"> (paragraph 7.1</w:t>
      </w:r>
      <w:r w:rsidR="00906641">
        <w:rPr>
          <w:rFonts w:asciiTheme="minorHAnsi" w:hAnsiTheme="minorHAnsi"/>
          <w:sz w:val="24"/>
          <w:szCs w:val="24"/>
        </w:rPr>
        <w:t>8</w:t>
      </w:r>
      <w:r w:rsidR="0029379A">
        <w:rPr>
          <w:rFonts w:asciiTheme="minorHAnsi" w:hAnsiTheme="minorHAnsi"/>
          <w:sz w:val="24"/>
          <w:szCs w:val="24"/>
        </w:rPr>
        <w:t>,</w:t>
      </w:r>
      <w:r w:rsidR="00310F91">
        <w:rPr>
          <w:rFonts w:asciiTheme="minorHAnsi" w:hAnsiTheme="minorHAnsi"/>
          <w:sz w:val="24"/>
          <w:szCs w:val="24"/>
        </w:rPr>
        <w:t xml:space="preserve"> November 2017 PBAC </w:t>
      </w:r>
      <w:r w:rsidR="00B72BBB">
        <w:rPr>
          <w:rFonts w:asciiTheme="minorHAnsi" w:hAnsiTheme="minorHAnsi"/>
          <w:sz w:val="24"/>
          <w:szCs w:val="24"/>
        </w:rPr>
        <w:t>PSD</w:t>
      </w:r>
      <w:r w:rsidR="00310F91">
        <w:rPr>
          <w:rFonts w:asciiTheme="minorHAnsi" w:hAnsiTheme="minorHAnsi"/>
          <w:sz w:val="24"/>
          <w:szCs w:val="24"/>
        </w:rPr>
        <w:t>)</w:t>
      </w:r>
      <w:r>
        <w:rPr>
          <w:rFonts w:asciiTheme="minorHAnsi" w:hAnsiTheme="minorHAnsi"/>
          <w:sz w:val="24"/>
          <w:szCs w:val="24"/>
        </w:rPr>
        <w:t>.</w:t>
      </w:r>
    </w:p>
    <w:p w:rsidR="00EB792C" w:rsidRDefault="00EB792C" w:rsidP="004D5F1C">
      <w:pPr>
        <w:pStyle w:val="ListParagraph"/>
        <w:widowControl/>
        <w:numPr>
          <w:ilvl w:val="1"/>
          <w:numId w:val="5"/>
        </w:numPr>
        <w:spacing w:before="120"/>
        <w:contextualSpacing w:val="0"/>
        <w:rPr>
          <w:rFonts w:asciiTheme="minorHAnsi" w:hAnsiTheme="minorHAnsi"/>
          <w:sz w:val="24"/>
          <w:szCs w:val="24"/>
        </w:rPr>
      </w:pPr>
      <w:r>
        <w:rPr>
          <w:rFonts w:asciiTheme="minorHAnsi" w:hAnsiTheme="minorHAnsi"/>
          <w:sz w:val="24"/>
          <w:szCs w:val="24"/>
        </w:rPr>
        <w:t xml:space="preserve">In response to the PBAC’s </w:t>
      </w:r>
      <w:r w:rsidR="004913B5">
        <w:rPr>
          <w:rFonts w:asciiTheme="minorHAnsi" w:hAnsiTheme="minorHAnsi"/>
          <w:sz w:val="24"/>
          <w:szCs w:val="24"/>
        </w:rPr>
        <w:t xml:space="preserve">previous </w:t>
      </w:r>
      <w:r>
        <w:rPr>
          <w:rFonts w:asciiTheme="minorHAnsi" w:hAnsiTheme="minorHAnsi"/>
          <w:sz w:val="24"/>
          <w:szCs w:val="24"/>
        </w:rPr>
        <w:t>concerns</w:t>
      </w:r>
      <w:r w:rsidR="004913B5">
        <w:rPr>
          <w:rFonts w:asciiTheme="minorHAnsi" w:hAnsiTheme="minorHAnsi"/>
          <w:sz w:val="24"/>
          <w:szCs w:val="24"/>
        </w:rPr>
        <w:t xml:space="preserve"> about the estimated financial implications</w:t>
      </w:r>
      <w:r>
        <w:rPr>
          <w:rFonts w:asciiTheme="minorHAnsi" w:hAnsiTheme="minorHAnsi"/>
          <w:sz w:val="24"/>
          <w:szCs w:val="24"/>
        </w:rPr>
        <w:t>, the minor resubmission:</w:t>
      </w:r>
    </w:p>
    <w:p w:rsidR="00EB792C" w:rsidRPr="0095764C" w:rsidRDefault="00EB792C" w:rsidP="009550D6">
      <w:pPr>
        <w:pStyle w:val="ListParagraph"/>
        <w:widowControl/>
        <w:numPr>
          <w:ilvl w:val="3"/>
          <w:numId w:val="5"/>
        </w:numPr>
        <w:tabs>
          <w:tab w:val="left" w:pos="1134"/>
        </w:tabs>
        <w:ind w:hanging="371"/>
        <w:contextualSpacing w:val="0"/>
        <w:rPr>
          <w:rFonts w:asciiTheme="minorHAnsi" w:hAnsiTheme="minorHAnsi"/>
          <w:sz w:val="24"/>
          <w:szCs w:val="24"/>
        </w:rPr>
      </w:pPr>
      <w:r>
        <w:rPr>
          <w:rFonts w:asciiTheme="minorHAnsi" w:hAnsiTheme="minorHAnsi"/>
          <w:sz w:val="24"/>
          <w:szCs w:val="24"/>
        </w:rPr>
        <w:t xml:space="preserve">reduced the number of eligible </w:t>
      </w:r>
      <w:r w:rsidRPr="0095764C">
        <w:rPr>
          <w:rFonts w:asciiTheme="minorHAnsi" w:hAnsiTheme="minorHAnsi"/>
          <w:sz w:val="24"/>
          <w:szCs w:val="24"/>
        </w:rPr>
        <w:t xml:space="preserve">patients by </w:t>
      </w:r>
      <w:r w:rsidR="007B0774">
        <w:rPr>
          <w:rFonts w:asciiTheme="minorHAnsi" w:hAnsiTheme="minorHAnsi"/>
          <w:noProof/>
          <w:color w:val="000000"/>
          <w:sz w:val="24"/>
          <w:szCs w:val="24"/>
          <w:highlight w:val="black"/>
        </w:rPr>
        <w:t>''''''</w:t>
      </w:r>
      <w:r w:rsidRPr="0095764C">
        <w:rPr>
          <w:rFonts w:asciiTheme="minorHAnsi" w:hAnsiTheme="minorHAnsi"/>
          <w:sz w:val="24"/>
          <w:szCs w:val="24"/>
        </w:rPr>
        <w:t>%;</w:t>
      </w:r>
    </w:p>
    <w:p w:rsidR="009550D6" w:rsidRPr="0095764C" w:rsidRDefault="00EB792C" w:rsidP="009550D6">
      <w:pPr>
        <w:pStyle w:val="ListParagraph"/>
        <w:widowControl/>
        <w:numPr>
          <w:ilvl w:val="3"/>
          <w:numId w:val="5"/>
        </w:numPr>
        <w:tabs>
          <w:tab w:val="left" w:pos="1134"/>
        </w:tabs>
        <w:ind w:hanging="371"/>
        <w:contextualSpacing w:val="0"/>
        <w:rPr>
          <w:rFonts w:asciiTheme="minorHAnsi" w:hAnsiTheme="minorHAnsi"/>
          <w:sz w:val="24"/>
          <w:szCs w:val="24"/>
        </w:rPr>
      </w:pPr>
      <w:r w:rsidRPr="0095764C">
        <w:rPr>
          <w:rFonts w:asciiTheme="minorHAnsi" w:hAnsiTheme="minorHAnsi"/>
          <w:sz w:val="24"/>
          <w:szCs w:val="24"/>
        </w:rPr>
        <w:t xml:space="preserve">reduced the % of patients rechallenged with platinum therapy from </w:t>
      </w:r>
      <w:r w:rsidR="007B0774">
        <w:rPr>
          <w:rFonts w:asciiTheme="minorHAnsi" w:hAnsiTheme="minorHAnsi"/>
          <w:noProof/>
          <w:color w:val="000000"/>
          <w:sz w:val="24"/>
          <w:szCs w:val="24"/>
          <w:highlight w:val="black"/>
        </w:rPr>
        <w:t>'''''</w:t>
      </w:r>
      <w:r w:rsidRPr="0095764C">
        <w:rPr>
          <w:rFonts w:asciiTheme="minorHAnsi" w:hAnsiTheme="minorHAnsi"/>
          <w:sz w:val="24"/>
          <w:szCs w:val="24"/>
        </w:rPr>
        <w:t xml:space="preserve">% to </w:t>
      </w:r>
      <w:r w:rsidR="007B0774">
        <w:rPr>
          <w:rFonts w:asciiTheme="minorHAnsi" w:hAnsiTheme="minorHAnsi"/>
          <w:noProof/>
          <w:color w:val="000000"/>
          <w:sz w:val="24"/>
          <w:szCs w:val="24"/>
          <w:highlight w:val="black"/>
        </w:rPr>
        <w:t>'''''</w:t>
      </w:r>
      <w:r w:rsidRPr="0095764C">
        <w:rPr>
          <w:rFonts w:asciiTheme="minorHAnsi" w:hAnsiTheme="minorHAnsi"/>
          <w:sz w:val="24"/>
          <w:szCs w:val="24"/>
        </w:rPr>
        <w:t>%</w:t>
      </w:r>
      <w:r w:rsidR="004D5F1C" w:rsidRPr="0095764C">
        <w:rPr>
          <w:rFonts w:asciiTheme="minorHAnsi" w:hAnsiTheme="minorHAnsi"/>
          <w:sz w:val="24"/>
          <w:szCs w:val="24"/>
        </w:rPr>
        <w:t>;</w:t>
      </w:r>
      <w:r w:rsidR="00D70E66" w:rsidRPr="0095764C">
        <w:rPr>
          <w:rFonts w:asciiTheme="minorHAnsi" w:hAnsiTheme="minorHAnsi"/>
          <w:sz w:val="24"/>
          <w:szCs w:val="24"/>
        </w:rPr>
        <w:t xml:space="preserve"> and</w:t>
      </w:r>
    </w:p>
    <w:p w:rsidR="00EB792C" w:rsidRPr="0095764C" w:rsidRDefault="00EB792C" w:rsidP="009550D6">
      <w:pPr>
        <w:pStyle w:val="ListParagraph"/>
        <w:widowControl/>
        <w:numPr>
          <w:ilvl w:val="3"/>
          <w:numId w:val="5"/>
        </w:numPr>
        <w:tabs>
          <w:tab w:val="left" w:pos="1134"/>
        </w:tabs>
        <w:ind w:hanging="371"/>
        <w:contextualSpacing w:val="0"/>
        <w:rPr>
          <w:rFonts w:asciiTheme="minorHAnsi" w:hAnsiTheme="minorHAnsi"/>
          <w:sz w:val="24"/>
          <w:szCs w:val="24"/>
        </w:rPr>
      </w:pPr>
      <w:r w:rsidRPr="0095764C">
        <w:rPr>
          <w:rFonts w:asciiTheme="minorHAnsi" w:hAnsiTheme="minorHAnsi"/>
          <w:sz w:val="24"/>
          <w:szCs w:val="24"/>
        </w:rPr>
        <w:t xml:space="preserve">maintained that the mean duration of therapy was </w:t>
      </w:r>
      <w:r w:rsidR="007B0774">
        <w:rPr>
          <w:rFonts w:asciiTheme="minorHAnsi" w:hAnsiTheme="minorHAnsi"/>
          <w:noProof/>
          <w:color w:val="000000"/>
          <w:sz w:val="24"/>
          <w:szCs w:val="24"/>
          <w:highlight w:val="black"/>
        </w:rPr>
        <w:t>''''''''</w:t>
      </w:r>
      <w:r w:rsidRPr="0095764C">
        <w:rPr>
          <w:rFonts w:asciiTheme="minorHAnsi" w:hAnsiTheme="minorHAnsi"/>
          <w:sz w:val="24"/>
          <w:szCs w:val="24"/>
        </w:rPr>
        <w:t xml:space="preserve"> infusions</w:t>
      </w:r>
      <w:r w:rsidR="004D5F1C" w:rsidRPr="0095764C">
        <w:rPr>
          <w:rFonts w:asciiTheme="minorHAnsi" w:hAnsiTheme="minorHAnsi"/>
          <w:sz w:val="24"/>
          <w:szCs w:val="24"/>
        </w:rPr>
        <w:t>.</w:t>
      </w:r>
    </w:p>
    <w:p w:rsidR="0075514D" w:rsidRDefault="0075514D" w:rsidP="00884ECA">
      <w:pPr>
        <w:pStyle w:val="ListParagraph"/>
        <w:widowControl/>
        <w:numPr>
          <w:ilvl w:val="1"/>
          <w:numId w:val="5"/>
        </w:numPr>
        <w:spacing w:before="120" w:after="160"/>
        <w:contextualSpacing w:val="0"/>
        <w:rPr>
          <w:rFonts w:asciiTheme="minorHAnsi" w:hAnsiTheme="minorHAnsi"/>
          <w:sz w:val="24"/>
          <w:szCs w:val="24"/>
        </w:rPr>
      </w:pPr>
      <w:r w:rsidRPr="0095764C">
        <w:rPr>
          <w:rFonts w:asciiTheme="minorHAnsi" w:hAnsiTheme="minorHAnsi"/>
          <w:sz w:val="24"/>
          <w:szCs w:val="24"/>
        </w:rPr>
        <w:t>The table</w:t>
      </w:r>
      <w:r w:rsidR="00195845" w:rsidRPr="0095764C">
        <w:rPr>
          <w:rFonts w:asciiTheme="minorHAnsi" w:hAnsiTheme="minorHAnsi"/>
          <w:sz w:val="24"/>
          <w:szCs w:val="24"/>
        </w:rPr>
        <w:t>s</w:t>
      </w:r>
      <w:r w:rsidRPr="0095764C">
        <w:rPr>
          <w:rFonts w:asciiTheme="minorHAnsi" w:hAnsiTheme="minorHAnsi"/>
          <w:sz w:val="24"/>
          <w:szCs w:val="24"/>
        </w:rPr>
        <w:t xml:space="preserve"> below summari</w:t>
      </w:r>
      <w:r w:rsidR="00721EF6" w:rsidRPr="0095764C">
        <w:rPr>
          <w:rFonts w:asciiTheme="minorHAnsi" w:hAnsiTheme="minorHAnsi"/>
          <w:sz w:val="24"/>
          <w:szCs w:val="24"/>
        </w:rPr>
        <w:t>s</w:t>
      </w:r>
      <w:r w:rsidRPr="0095764C">
        <w:rPr>
          <w:rFonts w:asciiTheme="minorHAnsi" w:hAnsiTheme="minorHAnsi"/>
          <w:sz w:val="24"/>
          <w:szCs w:val="24"/>
        </w:rPr>
        <w:t>e the revised PBS usage estimates presented in the</w:t>
      </w:r>
      <w:r>
        <w:rPr>
          <w:rFonts w:asciiTheme="minorHAnsi" w:hAnsiTheme="minorHAnsi"/>
          <w:sz w:val="24"/>
          <w:szCs w:val="24"/>
        </w:rPr>
        <w:t xml:space="preserve"> minor resubmission.</w:t>
      </w:r>
    </w:p>
    <w:p w:rsidR="0075514D" w:rsidRPr="0075514D" w:rsidRDefault="0075514D" w:rsidP="0075514D">
      <w:pPr>
        <w:pStyle w:val="TableHeading0"/>
        <w:rPr>
          <w:rFonts w:asciiTheme="minorHAnsi" w:hAnsiTheme="minorHAnsi"/>
          <w:sz w:val="24"/>
          <w:szCs w:val="24"/>
        </w:rPr>
      </w:pPr>
      <w:r>
        <w:t>Table</w:t>
      </w:r>
      <w:r w:rsidR="005973EE">
        <w:t xml:space="preserve"> 5</w:t>
      </w:r>
      <w:r>
        <w:t xml:space="preserve">: Summary of </w:t>
      </w:r>
      <w:r w:rsidR="001A7F74">
        <w:t>utilisation assumptions</w:t>
      </w:r>
      <w:r w:rsidR="0029379A">
        <w:t xml:space="preserve"> </w:t>
      </w:r>
      <w:r>
        <w:t>presented across PBAC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5"/>
        <w:gridCol w:w="1702"/>
        <w:gridCol w:w="1842"/>
        <w:gridCol w:w="1660"/>
      </w:tblGrid>
      <w:tr w:rsidR="0075514D" w:rsidRPr="0075514D" w:rsidTr="00807392">
        <w:tc>
          <w:tcPr>
            <w:tcW w:w="2153" w:type="pct"/>
            <w:shd w:val="clear" w:color="auto" w:fill="auto"/>
            <w:tcMar>
              <w:top w:w="0" w:type="dxa"/>
              <w:left w:w="108" w:type="dxa"/>
              <w:bottom w:w="0" w:type="dxa"/>
              <w:right w:w="108" w:type="dxa"/>
            </w:tcMar>
            <w:hideMark/>
          </w:tcPr>
          <w:p w:rsidR="0075514D" w:rsidRPr="0075514D" w:rsidRDefault="0075514D" w:rsidP="0075514D">
            <w:pPr>
              <w:pStyle w:val="Tabletext"/>
              <w:spacing w:before="100" w:beforeAutospacing="1" w:after="100" w:afterAutospacing="1"/>
              <w:rPr>
                <w:rFonts w:ascii="Arial Narrow" w:hAnsi="Arial Narrow"/>
                <w:b/>
              </w:rPr>
            </w:pPr>
            <w:r w:rsidRPr="0075514D">
              <w:rPr>
                <w:rFonts w:ascii="Arial Narrow" w:hAnsi="Arial Narrow"/>
                <w:b/>
              </w:rPr>
              <w:t>Variable</w:t>
            </w:r>
          </w:p>
        </w:tc>
        <w:tc>
          <w:tcPr>
            <w:tcW w:w="931" w:type="pct"/>
            <w:shd w:val="clear" w:color="auto" w:fill="auto"/>
            <w:tcMar>
              <w:top w:w="0" w:type="dxa"/>
              <w:left w:w="108" w:type="dxa"/>
              <w:bottom w:w="0" w:type="dxa"/>
              <w:right w:w="108" w:type="dxa"/>
            </w:tcMar>
            <w:hideMark/>
          </w:tcPr>
          <w:p w:rsidR="0075514D" w:rsidRPr="0075514D" w:rsidRDefault="009A4E1B" w:rsidP="0075514D">
            <w:pPr>
              <w:pStyle w:val="Tabletext"/>
              <w:spacing w:before="100" w:beforeAutospacing="1" w:after="100" w:afterAutospacing="1"/>
              <w:jc w:val="center"/>
              <w:rPr>
                <w:rFonts w:ascii="Arial Narrow" w:hAnsi="Arial Narrow"/>
                <w:b/>
              </w:rPr>
            </w:pPr>
            <w:r>
              <w:rPr>
                <w:rFonts w:ascii="Arial Narrow" w:hAnsi="Arial Narrow"/>
                <w:b/>
              </w:rPr>
              <w:t>November 2017 submission</w:t>
            </w:r>
          </w:p>
        </w:tc>
        <w:tc>
          <w:tcPr>
            <w:tcW w:w="1008" w:type="pct"/>
            <w:shd w:val="clear" w:color="auto" w:fill="auto"/>
            <w:tcMar>
              <w:top w:w="0" w:type="dxa"/>
              <w:left w:w="108" w:type="dxa"/>
              <w:bottom w:w="0" w:type="dxa"/>
              <w:right w:w="108" w:type="dxa"/>
            </w:tcMar>
            <w:hideMark/>
          </w:tcPr>
          <w:p w:rsidR="0075514D" w:rsidRPr="0075514D" w:rsidRDefault="009A4E1B" w:rsidP="0075514D">
            <w:pPr>
              <w:pStyle w:val="Tabletext"/>
              <w:spacing w:before="100" w:beforeAutospacing="1" w:after="100" w:afterAutospacing="1"/>
              <w:jc w:val="center"/>
              <w:rPr>
                <w:rFonts w:ascii="Arial Narrow" w:hAnsi="Arial Narrow"/>
                <w:b/>
              </w:rPr>
            </w:pPr>
            <w:r>
              <w:rPr>
                <w:rFonts w:ascii="Arial Narrow" w:hAnsi="Arial Narrow"/>
                <w:b/>
              </w:rPr>
              <w:t>November 2017</w:t>
            </w:r>
            <w:r w:rsidR="0075514D" w:rsidRPr="0075514D">
              <w:rPr>
                <w:rFonts w:ascii="Arial Narrow" w:hAnsi="Arial Narrow"/>
                <w:b/>
              </w:rPr>
              <w:t xml:space="preserve"> pre-PBAC response</w:t>
            </w:r>
          </w:p>
        </w:tc>
        <w:tc>
          <w:tcPr>
            <w:tcW w:w="908" w:type="pct"/>
            <w:shd w:val="clear" w:color="auto" w:fill="auto"/>
          </w:tcPr>
          <w:p w:rsidR="0075514D" w:rsidRPr="0075514D" w:rsidRDefault="009A4E1B" w:rsidP="009A4E1B">
            <w:pPr>
              <w:pStyle w:val="Tabletext"/>
              <w:spacing w:before="100" w:beforeAutospacing="1" w:after="100" w:afterAutospacing="1"/>
              <w:jc w:val="center"/>
              <w:rPr>
                <w:rFonts w:ascii="Arial Narrow" w:hAnsi="Arial Narrow"/>
                <w:b/>
              </w:rPr>
            </w:pPr>
            <w:r>
              <w:rPr>
                <w:rFonts w:ascii="Arial Narrow" w:hAnsi="Arial Narrow"/>
                <w:b/>
              </w:rPr>
              <w:t>March 2018 minor re</w:t>
            </w:r>
            <w:r w:rsidR="0075514D" w:rsidRPr="0075514D">
              <w:rPr>
                <w:rFonts w:ascii="Arial Narrow" w:hAnsi="Arial Narrow"/>
                <w:b/>
              </w:rPr>
              <w:t>submission</w:t>
            </w:r>
          </w:p>
        </w:tc>
      </w:tr>
      <w:tr w:rsidR="0075514D" w:rsidRPr="0075514D" w:rsidTr="00807392">
        <w:tc>
          <w:tcPr>
            <w:tcW w:w="2153" w:type="pct"/>
            <w:tcMar>
              <w:top w:w="0" w:type="dxa"/>
              <w:left w:w="108" w:type="dxa"/>
              <w:bottom w:w="0" w:type="dxa"/>
              <w:right w:w="108" w:type="dxa"/>
            </w:tcMar>
            <w:hideMark/>
          </w:tcPr>
          <w:p w:rsidR="0075514D" w:rsidRPr="0075514D" w:rsidRDefault="00EB792C" w:rsidP="0075514D">
            <w:pPr>
              <w:pStyle w:val="Tabletext"/>
              <w:spacing w:before="100" w:beforeAutospacing="1" w:after="100" w:afterAutospacing="1"/>
              <w:rPr>
                <w:rFonts w:ascii="Arial Narrow" w:hAnsi="Arial Narrow"/>
              </w:rPr>
            </w:pPr>
            <w:r>
              <w:rPr>
                <w:rFonts w:ascii="Arial Narrow" w:hAnsi="Arial Narrow"/>
              </w:rPr>
              <w:t>Eligible population</w:t>
            </w:r>
          </w:p>
        </w:tc>
        <w:tc>
          <w:tcPr>
            <w:tcW w:w="931" w:type="pct"/>
            <w:tcMar>
              <w:top w:w="0" w:type="dxa"/>
              <w:left w:w="108" w:type="dxa"/>
              <w:bottom w:w="0" w:type="dxa"/>
              <w:right w:w="108" w:type="dxa"/>
            </w:tcMar>
            <w:hideMark/>
          </w:tcPr>
          <w:p w:rsidR="0075514D" w:rsidRPr="0075514D" w:rsidRDefault="00EB792C" w:rsidP="0075514D">
            <w:pPr>
              <w:pStyle w:val="Tabletext"/>
              <w:spacing w:before="100" w:beforeAutospacing="1" w:after="100" w:afterAutospacing="1"/>
              <w:jc w:val="center"/>
              <w:rPr>
                <w:rFonts w:ascii="Arial Narrow" w:hAnsi="Arial Narrow"/>
              </w:rPr>
            </w:pPr>
            <w:r>
              <w:rPr>
                <w:rFonts w:ascii="Arial Narrow" w:hAnsi="Arial Narrow"/>
              </w:rPr>
              <w:t>-</w:t>
            </w:r>
          </w:p>
        </w:tc>
        <w:tc>
          <w:tcPr>
            <w:tcW w:w="1008" w:type="pct"/>
            <w:tcMar>
              <w:top w:w="0" w:type="dxa"/>
              <w:left w:w="108" w:type="dxa"/>
              <w:bottom w:w="0" w:type="dxa"/>
              <w:right w:w="108" w:type="dxa"/>
            </w:tcMar>
            <w:hideMark/>
          </w:tcPr>
          <w:p w:rsidR="0075514D" w:rsidRPr="0075514D" w:rsidRDefault="0075514D" w:rsidP="0075514D">
            <w:pPr>
              <w:pStyle w:val="Tabletext"/>
              <w:spacing w:before="100" w:beforeAutospacing="1" w:after="100" w:afterAutospacing="1"/>
              <w:jc w:val="center"/>
              <w:rPr>
                <w:rFonts w:ascii="Arial Narrow" w:hAnsi="Arial Narrow"/>
              </w:rPr>
            </w:pPr>
            <w:r w:rsidRPr="0075514D">
              <w:rPr>
                <w:rFonts w:ascii="Arial Narrow" w:hAnsi="Arial Narrow"/>
              </w:rPr>
              <w:t>No adjustment</w:t>
            </w:r>
          </w:p>
        </w:tc>
        <w:tc>
          <w:tcPr>
            <w:tcW w:w="908" w:type="pct"/>
          </w:tcPr>
          <w:p w:rsidR="0075514D" w:rsidRPr="0095764C" w:rsidRDefault="007B0774" w:rsidP="00EB792C">
            <w:pPr>
              <w:pStyle w:val="Tabletext"/>
              <w:spacing w:before="100" w:beforeAutospacing="1" w:after="100" w:afterAutospacing="1"/>
              <w:jc w:val="center"/>
              <w:rPr>
                <w:rFonts w:ascii="Arial Narrow" w:hAnsi="Arial Narrow"/>
              </w:rPr>
            </w:pPr>
            <w:r>
              <w:rPr>
                <w:rFonts w:ascii="Arial Narrow" w:hAnsi="Arial Narrow"/>
                <w:noProof/>
                <w:color w:val="000000"/>
                <w:highlight w:val="black"/>
              </w:rPr>
              <w:t>'''''''</w:t>
            </w:r>
            <w:r w:rsidR="0075514D" w:rsidRPr="0095764C">
              <w:rPr>
                <w:rFonts w:ascii="Arial Narrow" w:hAnsi="Arial Narrow"/>
              </w:rPr>
              <w:t>% reduction in eligible patients</w:t>
            </w:r>
          </w:p>
        </w:tc>
      </w:tr>
      <w:tr w:rsidR="0075514D" w:rsidRPr="0075514D" w:rsidTr="00807392">
        <w:tc>
          <w:tcPr>
            <w:tcW w:w="2153" w:type="pct"/>
            <w:tcMar>
              <w:top w:w="0" w:type="dxa"/>
              <w:left w:w="108" w:type="dxa"/>
              <w:bottom w:w="0" w:type="dxa"/>
              <w:right w:w="108" w:type="dxa"/>
            </w:tcMar>
            <w:hideMark/>
          </w:tcPr>
          <w:p w:rsidR="0075514D" w:rsidRPr="0075514D" w:rsidRDefault="0075514D" w:rsidP="0075514D">
            <w:pPr>
              <w:pStyle w:val="Tabletext"/>
              <w:spacing w:before="100" w:beforeAutospacing="1" w:after="100" w:afterAutospacing="1"/>
              <w:rPr>
                <w:rFonts w:ascii="Arial Narrow" w:hAnsi="Arial Narrow"/>
              </w:rPr>
            </w:pPr>
            <w:r w:rsidRPr="0075514D">
              <w:rPr>
                <w:rFonts w:ascii="Arial Narrow" w:hAnsi="Arial Narrow"/>
              </w:rPr>
              <w:t>% p</w:t>
            </w:r>
            <w:r w:rsidR="00D70E66">
              <w:rPr>
                <w:rFonts w:ascii="Arial Narrow" w:hAnsi="Arial Narrow"/>
              </w:rPr>
              <w:t>a</w:t>
            </w:r>
            <w:r w:rsidRPr="0075514D">
              <w:rPr>
                <w:rFonts w:ascii="Arial Narrow" w:hAnsi="Arial Narrow"/>
              </w:rPr>
              <w:t>t</w:t>
            </w:r>
            <w:r w:rsidR="00D70E66">
              <w:rPr>
                <w:rFonts w:ascii="Arial Narrow" w:hAnsi="Arial Narrow"/>
              </w:rPr>
              <w:t>ient</w:t>
            </w:r>
            <w:r w:rsidRPr="0075514D">
              <w:rPr>
                <w:rFonts w:ascii="Arial Narrow" w:hAnsi="Arial Narrow"/>
              </w:rPr>
              <w:t>s rechallenged with platinum therapy</w:t>
            </w:r>
          </w:p>
        </w:tc>
        <w:tc>
          <w:tcPr>
            <w:tcW w:w="931" w:type="pct"/>
            <w:tcMar>
              <w:top w:w="0" w:type="dxa"/>
              <w:left w:w="108" w:type="dxa"/>
              <w:bottom w:w="0" w:type="dxa"/>
              <w:right w:w="108" w:type="dxa"/>
            </w:tcMar>
            <w:hideMark/>
          </w:tcPr>
          <w:p w:rsidR="0075514D" w:rsidRPr="0095764C" w:rsidRDefault="007B0774" w:rsidP="0075514D">
            <w:pPr>
              <w:pStyle w:val="Tabletext"/>
              <w:spacing w:before="100" w:beforeAutospacing="1" w:after="100" w:afterAutospacing="1"/>
              <w:jc w:val="center"/>
              <w:rPr>
                <w:rFonts w:ascii="Arial Narrow" w:hAnsi="Arial Narrow"/>
              </w:rPr>
            </w:pPr>
            <w:r>
              <w:rPr>
                <w:rFonts w:ascii="Arial Narrow" w:hAnsi="Arial Narrow"/>
                <w:noProof/>
                <w:color w:val="000000"/>
                <w:highlight w:val="black"/>
              </w:rPr>
              <w:t>'''''''</w:t>
            </w:r>
            <w:r w:rsidR="0075514D" w:rsidRPr="0095764C">
              <w:rPr>
                <w:rFonts w:ascii="Arial Narrow" w:hAnsi="Arial Narrow"/>
              </w:rPr>
              <w:t>%</w:t>
            </w:r>
          </w:p>
        </w:tc>
        <w:tc>
          <w:tcPr>
            <w:tcW w:w="1008" w:type="pct"/>
            <w:tcMar>
              <w:top w:w="0" w:type="dxa"/>
              <w:left w:w="108" w:type="dxa"/>
              <w:bottom w:w="0" w:type="dxa"/>
              <w:right w:w="108" w:type="dxa"/>
            </w:tcMar>
            <w:hideMark/>
          </w:tcPr>
          <w:p w:rsidR="0075514D" w:rsidRPr="0075514D" w:rsidRDefault="0075514D" w:rsidP="0075514D">
            <w:pPr>
              <w:pStyle w:val="Tabletext"/>
              <w:spacing w:before="100" w:beforeAutospacing="1" w:after="100" w:afterAutospacing="1"/>
              <w:jc w:val="center"/>
              <w:rPr>
                <w:rFonts w:ascii="Arial Narrow" w:hAnsi="Arial Narrow"/>
              </w:rPr>
            </w:pPr>
            <w:r w:rsidRPr="0075514D">
              <w:rPr>
                <w:rFonts w:ascii="Arial Narrow" w:hAnsi="Arial Narrow"/>
              </w:rPr>
              <w:t>No change</w:t>
            </w:r>
          </w:p>
        </w:tc>
        <w:tc>
          <w:tcPr>
            <w:tcW w:w="908" w:type="pct"/>
          </w:tcPr>
          <w:p w:rsidR="0075514D" w:rsidRPr="0095764C" w:rsidRDefault="0029379A" w:rsidP="0029379A">
            <w:pPr>
              <w:pStyle w:val="Tabletext"/>
              <w:spacing w:before="100" w:beforeAutospacing="1" w:after="100" w:afterAutospacing="1"/>
              <w:jc w:val="center"/>
              <w:rPr>
                <w:rFonts w:ascii="Arial Narrow" w:hAnsi="Arial Narrow"/>
              </w:rPr>
            </w:pPr>
            <w:r w:rsidRPr="0095764C">
              <w:rPr>
                <w:rFonts w:ascii="Arial Narrow" w:hAnsi="Arial Narrow"/>
              </w:rPr>
              <w:t xml:space="preserve">Reduced </w:t>
            </w:r>
            <w:r w:rsidR="0075514D" w:rsidRPr="0095764C">
              <w:rPr>
                <w:rFonts w:ascii="Arial Narrow" w:hAnsi="Arial Narrow"/>
              </w:rPr>
              <w:t xml:space="preserve">to </w:t>
            </w:r>
            <w:r w:rsidR="007B0774">
              <w:rPr>
                <w:rFonts w:ascii="Arial Narrow" w:hAnsi="Arial Narrow"/>
                <w:noProof/>
                <w:color w:val="000000"/>
                <w:highlight w:val="black"/>
              </w:rPr>
              <w:t>'''''''</w:t>
            </w:r>
            <w:r w:rsidR="0075514D" w:rsidRPr="0095764C">
              <w:rPr>
                <w:rFonts w:ascii="Arial Narrow" w:hAnsi="Arial Narrow"/>
              </w:rPr>
              <w:t>%</w:t>
            </w:r>
          </w:p>
        </w:tc>
      </w:tr>
      <w:tr w:rsidR="0075514D" w:rsidRPr="0075514D" w:rsidTr="00DA1B18">
        <w:trPr>
          <w:trHeight w:val="483"/>
        </w:trPr>
        <w:tc>
          <w:tcPr>
            <w:tcW w:w="2153" w:type="pct"/>
            <w:tcMar>
              <w:top w:w="0" w:type="dxa"/>
              <w:left w:w="108" w:type="dxa"/>
              <w:bottom w:w="0" w:type="dxa"/>
              <w:right w:w="108" w:type="dxa"/>
            </w:tcMar>
            <w:hideMark/>
          </w:tcPr>
          <w:p w:rsidR="0075514D" w:rsidRPr="0075514D" w:rsidRDefault="0075514D" w:rsidP="0029379A">
            <w:pPr>
              <w:pStyle w:val="Tabletext"/>
              <w:spacing w:before="100" w:beforeAutospacing="1" w:after="100" w:afterAutospacing="1"/>
              <w:rPr>
                <w:rFonts w:ascii="Arial Narrow" w:hAnsi="Arial Narrow"/>
              </w:rPr>
            </w:pPr>
            <w:r w:rsidRPr="0075514D">
              <w:rPr>
                <w:rFonts w:ascii="Arial Narrow" w:hAnsi="Arial Narrow"/>
              </w:rPr>
              <w:t xml:space="preserve">Uptake of </w:t>
            </w:r>
            <w:r w:rsidR="0029379A">
              <w:rPr>
                <w:rFonts w:ascii="Arial Narrow" w:hAnsi="Arial Narrow"/>
              </w:rPr>
              <w:t>nivolumab</w:t>
            </w:r>
          </w:p>
        </w:tc>
        <w:tc>
          <w:tcPr>
            <w:tcW w:w="931" w:type="pct"/>
            <w:tcMar>
              <w:top w:w="0" w:type="dxa"/>
              <w:left w:w="108" w:type="dxa"/>
              <w:bottom w:w="0" w:type="dxa"/>
              <w:right w:w="108" w:type="dxa"/>
            </w:tcMar>
            <w:hideMark/>
          </w:tcPr>
          <w:p w:rsidR="0075514D" w:rsidRPr="0095764C" w:rsidRDefault="007B0774" w:rsidP="0075514D">
            <w:pPr>
              <w:pStyle w:val="Tabletext"/>
              <w:spacing w:before="100" w:beforeAutospacing="1" w:after="100" w:afterAutospacing="1"/>
              <w:jc w:val="center"/>
              <w:rPr>
                <w:rFonts w:ascii="Arial Narrow" w:hAnsi="Arial Narrow"/>
              </w:rPr>
            </w:pPr>
            <w:r>
              <w:rPr>
                <w:rFonts w:ascii="Arial Narrow" w:hAnsi="Arial Narrow"/>
                <w:noProof/>
                <w:color w:val="000000"/>
                <w:highlight w:val="black"/>
              </w:rPr>
              <w:t>''''''</w:t>
            </w:r>
            <w:r w:rsidR="0075514D" w:rsidRPr="0095764C">
              <w:rPr>
                <w:rFonts w:ascii="Arial Narrow" w:hAnsi="Arial Narrow"/>
              </w:rPr>
              <w:t>%</w:t>
            </w:r>
          </w:p>
        </w:tc>
        <w:tc>
          <w:tcPr>
            <w:tcW w:w="1008" w:type="pct"/>
            <w:tcMar>
              <w:top w:w="0" w:type="dxa"/>
              <w:left w:w="108" w:type="dxa"/>
              <w:bottom w:w="0" w:type="dxa"/>
              <w:right w:w="108" w:type="dxa"/>
            </w:tcMar>
            <w:hideMark/>
          </w:tcPr>
          <w:p w:rsidR="0075514D" w:rsidRPr="0075514D" w:rsidRDefault="0075514D" w:rsidP="0075514D">
            <w:pPr>
              <w:pStyle w:val="Tabletext"/>
              <w:spacing w:before="100" w:beforeAutospacing="1" w:after="100" w:afterAutospacing="1"/>
              <w:jc w:val="center"/>
              <w:rPr>
                <w:rFonts w:ascii="Arial Narrow" w:hAnsi="Arial Narrow"/>
              </w:rPr>
            </w:pPr>
            <w:r w:rsidRPr="0075514D">
              <w:rPr>
                <w:rFonts w:ascii="Arial Narrow" w:hAnsi="Arial Narrow"/>
              </w:rPr>
              <w:t>No change</w:t>
            </w:r>
          </w:p>
        </w:tc>
        <w:tc>
          <w:tcPr>
            <w:tcW w:w="908" w:type="pct"/>
          </w:tcPr>
          <w:p w:rsidR="0075514D" w:rsidRPr="0095764C" w:rsidRDefault="0075514D" w:rsidP="0075514D">
            <w:pPr>
              <w:pStyle w:val="Tabletext"/>
              <w:spacing w:before="100" w:beforeAutospacing="1" w:after="100" w:afterAutospacing="1"/>
              <w:jc w:val="center"/>
              <w:rPr>
                <w:rFonts w:ascii="Arial Narrow" w:hAnsi="Arial Narrow"/>
              </w:rPr>
            </w:pPr>
            <w:r w:rsidRPr="0095764C">
              <w:rPr>
                <w:rFonts w:ascii="Arial Narrow" w:hAnsi="Arial Narrow"/>
              </w:rPr>
              <w:t>No change</w:t>
            </w:r>
          </w:p>
        </w:tc>
      </w:tr>
      <w:tr w:rsidR="0075514D" w:rsidRPr="0075514D" w:rsidTr="00807392">
        <w:tc>
          <w:tcPr>
            <w:tcW w:w="2153" w:type="pct"/>
            <w:tcMar>
              <w:top w:w="0" w:type="dxa"/>
              <w:left w:w="108" w:type="dxa"/>
              <w:bottom w:w="0" w:type="dxa"/>
              <w:right w:w="108" w:type="dxa"/>
            </w:tcMar>
            <w:hideMark/>
          </w:tcPr>
          <w:p w:rsidR="0075514D" w:rsidRPr="0075514D" w:rsidRDefault="004913B5" w:rsidP="0075514D">
            <w:pPr>
              <w:pStyle w:val="Tabletext"/>
              <w:spacing w:before="100" w:beforeAutospacing="1" w:after="100" w:afterAutospacing="1"/>
              <w:rPr>
                <w:rFonts w:ascii="Arial Narrow" w:hAnsi="Arial Narrow"/>
              </w:rPr>
            </w:pPr>
            <w:r>
              <w:rPr>
                <w:rFonts w:ascii="Arial Narrow" w:hAnsi="Arial Narrow"/>
              </w:rPr>
              <w:t>Average weight</w:t>
            </w:r>
          </w:p>
        </w:tc>
        <w:tc>
          <w:tcPr>
            <w:tcW w:w="931" w:type="pct"/>
            <w:tcMar>
              <w:top w:w="0" w:type="dxa"/>
              <w:left w:w="108" w:type="dxa"/>
              <w:bottom w:w="0" w:type="dxa"/>
              <w:right w:w="108" w:type="dxa"/>
            </w:tcMar>
            <w:hideMark/>
          </w:tcPr>
          <w:p w:rsidR="0075514D" w:rsidRPr="0095764C" w:rsidRDefault="007B0774" w:rsidP="0075514D">
            <w:pPr>
              <w:pStyle w:val="Tabletext"/>
              <w:spacing w:before="100" w:beforeAutospacing="1" w:after="100" w:afterAutospacing="1"/>
              <w:jc w:val="center"/>
              <w:rPr>
                <w:rFonts w:ascii="Arial Narrow" w:hAnsi="Arial Narrow"/>
              </w:rPr>
            </w:pPr>
            <w:r>
              <w:rPr>
                <w:rFonts w:ascii="Arial Narrow" w:hAnsi="Arial Narrow"/>
                <w:noProof/>
                <w:color w:val="000000"/>
                <w:highlight w:val="black"/>
              </w:rPr>
              <w:t>''''''''''</w:t>
            </w:r>
            <w:r w:rsidR="0072663D" w:rsidRPr="0095764C">
              <w:rPr>
                <w:rFonts w:ascii="Arial Narrow" w:hAnsi="Arial Narrow"/>
              </w:rPr>
              <w:t xml:space="preserve"> </w:t>
            </w:r>
            <w:r w:rsidR="0075514D" w:rsidRPr="0095764C">
              <w:rPr>
                <w:rFonts w:ascii="Arial Narrow" w:hAnsi="Arial Narrow"/>
              </w:rPr>
              <w:t>kg</w:t>
            </w:r>
          </w:p>
        </w:tc>
        <w:tc>
          <w:tcPr>
            <w:tcW w:w="1008" w:type="pct"/>
            <w:tcMar>
              <w:top w:w="0" w:type="dxa"/>
              <w:left w:w="108" w:type="dxa"/>
              <w:bottom w:w="0" w:type="dxa"/>
              <w:right w:w="108" w:type="dxa"/>
            </w:tcMar>
            <w:hideMark/>
          </w:tcPr>
          <w:p w:rsidR="0075514D" w:rsidRPr="0075514D" w:rsidRDefault="0075514D" w:rsidP="0075514D">
            <w:pPr>
              <w:pStyle w:val="Tabletext"/>
              <w:spacing w:before="100" w:beforeAutospacing="1" w:after="100" w:afterAutospacing="1"/>
              <w:jc w:val="center"/>
              <w:rPr>
                <w:rFonts w:ascii="Arial Narrow" w:hAnsi="Arial Narrow"/>
              </w:rPr>
            </w:pPr>
            <w:r w:rsidRPr="0075514D">
              <w:rPr>
                <w:rFonts w:ascii="Arial Narrow" w:hAnsi="Arial Narrow"/>
              </w:rPr>
              <w:t>No change</w:t>
            </w:r>
          </w:p>
        </w:tc>
        <w:tc>
          <w:tcPr>
            <w:tcW w:w="908" w:type="pct"/>
          </w:tcPr>
          <w:p w:rsidR="0075514D" w:rsidRPr="0095764C" w:rsidRDefault="0075514D" w:rsidP="0075514D">
            <w:pPr>
              <w:pStyle w:val="Tabletext"/>
              <w:spacing w:before="100" w:beforeAutospacing="1" w:after="100" w:afterAutospacing="1"/>
              <w:jc w:val="center"/>
              <w:rPr>
                <w:rFonts w:ascii="Arial Narrow" w:hAnsi="Arial Narrow"/>
              </w:rPr>
            </w:pPr>
            <w:r w:rsidRPr="0095764C">
              <w:rPr>
                <w:rFonts w:ascii="Arial Narrow" w:hAnsi="Arial Narrow"/>
              </w:rPr>
              <w:t>No change</w:t>
            </w:r>
          </w:p>
        </w:tc>
      </w:tr>
      <w:tr w:rsidR="0075514D" w:rsidRPr="0075514D" w:rsidTr="00807392">
        <w:tc>
          <w:tcPr>
            <w:tcW w:w="2153" w:type="pct"/>
            <w:tcMar>
              <w:top w:w="0" w:type="dxa"/>
              <w:left w:w="108" w:type="dxa"/>
              <w:bottom w:w="0" w:type="dxa"/>
              <w:right w:w="108" w:type="dxa"/>
            </w:tcMar>
            <w:hideMark/>
          </w:tcPr>
          <w:p w:rsidR="0075514D" w:rsidRPr="0075514D" w:rsidRDefault="00D70E66" w:rsidP="00005831">
            <w:pPr>
              <w:pStyle w:val="Tabletext"/>
              <w:spacing w:before="100" w:beforeAutospacing="1" w:after="100" w:afterAutospacing="1"/>
              <w:rPr>
                <w:rFonts w:ascii="Arial Narrow" w:hAnsi="Arial Narrow"/>
              </w:rPr>
            </w:pPr>
            <w:r>
              <w:rPr>
                <w:rFonts w:ascii="Arial Narrow" w:hAnsi="Arial Narrow"/>
              </w:rPr>
              <w:t>Average number of</w:t>
            </w:r>
            <w:r w:rsidR="0075514D" w:rsidRPr="0075514D">
              <w:rPr>
                <w:rFonts w:ascii="Arial Narrow" w:hAnsi="Arial Narrow"/>
              </w:rPr>
              <w:t xml:space="preserve"> vials</w:t>
            </w:r>
            <w:r w:rsidR="00005831">
              <w:rPr>
                <w:rFonts w:ascii="Arial Narrow" w:hAnsi="Arial Narrow"/>
              </w:rPr>
              <w:t xml:space="preserve"> per </w:t>
            </w:r>
            <w:r w:rsidR="0029379A">
              <w:rPr>
                <w:rFonts w:ascii="Arial Narrow" w:hAnsi="Arial Narrow"/>
              </w:rPr>
              <w:t>patient</w:t>
            </w:r>
            <w:r w:rsidR="00005831">
              <w:rPr>
                <w:rFonts w:ascii="Arial Narrow" w:hAnsi="Arial Narrow"/>
              </w:rPr>
              <w:t xml:space="preserve"> per </w:t>
            </w:r>
            <w:r w:rsidR="0029379A">
              <w:rPr>
                <w:rFonts w:ascii="Arial Narrow" w:hAnsi="Arial Narrow"/>
              </w:rPr>
              <w:t>course</w:t>
            </w:r>
          </w:p>
        </w:tc>
        <w:tc>
          <w:tcPr>
            <w:tcW w:w="931" w:type="pct"/>
            <w:tcMar>
              <w:top w:w="0" w:type="dxa"/>
              <w:left w:w="108" w:type="dxa"/>
              <w:bottom w:w="0" w:type="dxa"/>
              <w:right w:w="108" w:type="dxa"/>
            </w:tcMar>
            <w:hideMark/>
          </w:tcPr>
          <w:p w:rsidR="0075514D" w:rsidRPr="007B0774" w:rsidRDefault="007B0774" w:rsidP="0075514D">
            <w:pPr>
              <w:pStyle w:val="Tablet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1008" w:type="pct"/>
            <w:tcMar>
              <w:top w:w="0" w:type="dxa"/>
              <w:left w:w="108" w:type="dxa"/>
              <w:bottom w:w="0" w:type="dxa"/>
              <w:right w:w="108" w:type="dxa"/>
            </w:tcMar>
            <w:hideMark/>
          </w:tcPr>
          <w:p w:rsidR="0075514D" w:rsidRPr="007B0774" w:rsidRDefault="007B0774" w:rsidP="0075514D">
            <w:pPr>
              <w:pStyle w:val="Tablet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c>
          <w:tcPr>
            <w:tcW w:w="908" w:type="pct"/>
          </w:tcPr>
          <w:p w:rsidR="0075514D" w:rsidRPr="007B0774" w:rsidRDefault="007B0774" w:rsidP="0075514D">
            <w:pPr>
              <w:pStyle w:val="Tabletext"/>
              <w:spacing w:before="100" w:beforeAutospacing="1" w:after="100" w:afterAutospacing="1"/>
              <w:jc w:val="center"/>
              <w:rPr>
                <w:rFonts w:ascii="Arial Narrow" w:hAnsi="Arial Narrow"/>
                <w:highlight w:val="black"/>
              </w:rPr>
            </w:pPr>
            <w:r>
              <w:rPr>
                <w:rFonts w:ascii="Arial Narrow" w:hAnsi="Arial Narrow"/>
                <w:noProof/>
                <w:color w:val="000000"/>
                <w:highlight w:val="black"/>
              </w:rPr>
              <w:t>'''''''''''</w:t>
            </w:r>
          </w:p>
        </w:tc>
      </w:tr>
      <w:tr w:rsidR="0075514D" w:rsidRPr="0075514D" w:rsidTr="00807392">
        <w:tc>
          <w:tcPr>
            <w:tcW w:w="2153" w:type="pct"/>
            <w:tcMar>
              <w:top w:w="0" w:type="dxa"/>
              <w:left w:w="108" w:type="dxa"/>
              <w:bottom w:w="0" w:type="dxa"/>
              <w:right w:w="108" w:type="dxa"/>
            </w:tcMar>
            <w:hideMark/>
          </w:tcPr>
          <w:p w:rsidR="0075514D" w:rsidRPr="0075514D" w:rsidRDefault="0075514D" w:rsidP="00005831">
            <w:pPr>
              <w:pStyle w:val="Tabletext"/>
              <w:spacing w:before="100" w:beforeAutospacing="1" w:after="100" w:afterAutospacing="1"/>
              <w:rPr>
                <w:rFonts w:ascii="Arial Narrow" w:hAnsi="Arial Narrow"/>
              </w:rPr>
            </w:pPr>
            <w:r w:rsidRPr="0075514D">
              <w:rPr>
                <w:rFonts w:ascii="Arial Narrow" w:hAnsi="Arial Narrow"/>
              </w:rPr>
              <w:t>Price</w:t>
            </w:r>
            <w:r w:rsidR="00005831">
              <w:rPr>
                <w:rFonts w:ascii="Arial Narrow" w:hAnsi="Arial Narrow"/>
              </w:rPr>
              <w:t xml:space="preserve"> per </w:t>
            </w:r>
            <w:r w:rsidRPr="0075514D">
              <w:rPr>
                <w:rFonts w:ascii="Arial Narrow" w:hAnsi="Arial Narrow"/>
              </w:rPr>
              <w:t>100</w:t>
            </w:r>
            <w:r w:rsidR="004913B5">
              <w:rPr>
                <w:rFonts w:ascii="Arial Narrow" w:hAnsi="Arial Narrow"/>
              </w:rPr>
              <w:t> </w:t>
            </w:r>
            <w:r w:rsidRPr="0075514D">
              <w:rPr>
                <w:rFonts w:ascii="Arial Narrow" w:hAnsi="Arial Narrow"/>
              </w:rPr>
              <w:t>mg vial</w:t>
            </w:r>
          </w:p>
        </w:tc>
        <w:tc>
          <w:tcPr>
            <w:tcW w:w="931" w:type="pct"/>
            <w:tcMar>
              <w:top w:w="0" w:type="dxa"/>
              <w:left w:w="108" w:type="dxa"/>
              <w:bottom w:w="0" w:type="dxa"/>
              <w:right w:w="108" w:type="dxa"/>
            </w:tcMar>
            <w:hideMark/>
          </w:tcPr>
          <w:p w:rsidR="0075514D" w:rsidRPr="0095764C" w:rsidRDefault="0075514D" w:rsidP="0075514D">
            <w:pPr>
              <w:pStyle w:val="Tabletext"/>
              <w:spacing w:before="100" w:beforeAutospacing="1" w:after="100" w:afterAutospacing="1"/>
              <w:jc w:val="center"/>
              <w:rPr>
                <w:rFonts w:ascii="Arial Narrow" w:hAnsi="Arial Narrow"/>
              </w:rPr>
            </w:pPr>
            <w:r w:rsidRPr="0095764C">
              <w:rPr>
                <w:rFonts w:ascii="Arial Narrow" w:hAnsi="Arial Narrow"/>
              </w:rPr>
              <w:t>$</w:t>
            </w:r>
            <w:r w:rsidR="007B0774">
              <w:rPr>
                <w:rFonts w:ascii="Arial Narrow" w:hAnsi="Arial Narrow"/>
                <w:noProof/>
                <w:color w:val="000000"/>
                <w:highlight w:val="black"/>
              </w:rPr>
              <w:t>'''''''''''''''''''</w:t>
            </w:r>
          </w:p>
        </w:tc>
        <w:tc>
          <w:tcPr>
            <w:tcW w:w="1008" w:type="pct"/>
            <w:tcMar>
              <w:top w:w="0" w:type="dxa"/>
              <w:left w:w="108" w:type="dxa"/>
              <w:bottom w:w="0" w:type="dxa"/>
              <w:right w:w="108" w:type="dxa"/>
            </w:tcMar>
            <w:hideMark/>
          </w:tcPr>
          <w:p w:rsidR="0075514D" w:rsidRPr="00AC28DB" w:rsidRDefault="0075514D" w:rsidP="0075514D">
            <w:pPr>
              <w:pStyle w:val="Tabletext"/>
              <w:spacing w:before="100" w:beforeAutospacing="1" w:after="100" w:afterAutospacing="1"/>
              <w:jc w:val="center"/>
              <w:rPr>
                <w:rFonts w:ascii="Arial Narrow" w:hAnsi="Arial Narrow"/>
              </w:rPr>
            </w:pPr>
            <w:r w:rsidRPr="00AC28DB">
              <w:rPr>
                <w:rFonts w:ascii="Arial Narrow" w:hAnsi="Arial Narrow"/>
              </w:rPr>
              <w:t>$</w:t>
            </w:r>
            <w:r w:rsidR="007B0774">
              <w:rPr>
                <w:rFonts w:ascii="Arial Narrow" w:hAnsi="Arial Narrow"/>
                <w:noProof/>
                <w:color w:val="000000"/>
                <w:highlight w:val="black"/>
              </w:rPr>
              <w:t>'''''''''''''''''''''</w:t>
            </w:r>
          </w:p>
        </w:tc>
        <w:tc>
          <w:tcPr>
            <w:tcW w:w="908" w:type="pct"/>
          </w:tcPr>
          <w:p w:rsidR="0075514D" w:rsidRPr="0095764C" w:rsidRDefault="0075514D" w:rsidP="0075514D">
            <w:pPr>
              <w:pStyle w:val="Tabletext"/>
              <w:spacing w:before="100" w:beforeAutospacing="1" w:after="100" w:afterAutospacing="1"/>
              <w:jc w:val="center"/>
              <w:rPr>
                <w:rFonts w:ascii="Arial Narrow" w:hAnsi="Arial Narrow"/>
              </w:rPr>
            </w:pPr>
            <w:r w:rsidRPr="0095764C">
              <w:rPr>
                <w:rFonts w:ascii="Arial Narrow" w:hAnsi="Arial Narrow"/>
              </w:rPr>
              <w:t>$</w:t>
            </w:r>
            <w:r w:rsidR="007B0774">
              <w:rPr>
                <w:rFonts w:ascii="Arial Narrow" w:hAnsi="Arial Narrow"/>
                <w:noProof/>
                <w:color w:val="000000"/>
                <w:highlight w:val="black"/>
              </w:rPr>
              <w:t>'''''''''''''''</w:t>
            </w:r>
          </w:p>
        </w:tc>
      </w:tr>
    </w:tbl>
    <w:p w:rsidR="0075514D" w:rsidRPr="00D70E66" w:rsidRDefault="0029379A" w:rsidP="0037625B">
      <w:pPr>
        <w:pStyle w:val="Tablenotes0"/>
        <w:spacing w:after="120"/>
        <w:rPr>
          <w:rFonts w:ascii="Arial Narrow" w:hAnsi="Arial Narrow"/>
          <w:i w:val="0"/>
        </w:rPr>
      </w:pPr>
      <w:r w:rsidRPr="00D70E66">
        <w:rPr>
          <w:rFonts w:ascii="Arial Narrow" w:hAnsi="Arial Narrow"/>
          <w:i w:val="0"/>
        </w:rPr>
        <w:t xml:space="preserve">Source: </w:t>
      </w:r>
      <w:r w:rsidR="00D70E66" w:rsidRPr="00D70E66">
        <w:rPr>
          <w:rFonts w:ascii="Arial Narrow" w:hAnsi="Arial Narrow"/>
          <w:i w:val="0"/>
        </w:rPr>
        <w:t xml:space="preserve">Table 12, p.17 of the </w:t>
      </w:r>
      <w:r w:rsidRPr="00D70E66">
        <w:rPr>
          <w:rFonts w:ascii="Arial Narrow" w:hAnsi="Arial Narrow"/>
          <w:i w:val="0"/>
        </w:rPr>
        <w:t xml:space="preserve">minor </w:t>
      </w:r>
      <w:r w:rsidR="00D70E66" w:rsidRPr="00D70E66">
        <w:rPr>
          <w:rFonts w:ascii="Arial Narrow" w:hAnsi="Arial Narrow"/>
          <w:i w:val="0"/>
        </w:rPr>
        <w:t>re</w:t>
      </w:r>
      <w:r w:rsidRPr="00D70E66">
        <w:rPr>
          <w:rFonts w:ascii="Arial Narrow" w:hAnsi="Arial Narrow"/>
          <w:i w:val="0"/>
        </w:rPr>
        <w:t>submission</w:t>
      </w:r>
      <w:r w:rsidR="00F04C80">
        <w:rPr>
          <w:rFonts w:ascii="Arial Narrow" w:hAnsi="Arial Narrow"/>
          <w:i w:val="0"/>
        </w:rPr>
        <w:t>.</w:t>
      </w:r>
    </w:p>
    <w:p w:rsidR="00195845" w:rsidRPr="00195845" w:rsidRDefault="00195845" w:rsidP="0037625B">
      <w:pPr>
        <w:pStyle w:val="TableHeader"/>
        <w:rPr>
          <w:rFonts w:eastAsiaTheme="minorHAnsi"/>
          <w:snapToGrid/>
        </w:rPr>
      </w:pPr>
      <w:r w:rsidRPr="00195845">
        <w:rPr>
          <w:rFonts w:eastAsiaTheme="minorHAnsi"/>
          <w:snapToGrid/>
        </w:rPr>
        <w:t xml:space="preserve">Table </w:t>
      </w:r>
      <w:r w:rsidR="00721EF6">
        <w:rPr>
          <w:rFonts w:eastAsiaTheme="minorHAnsi"/>
          <w:snapToGrid/>
        </w:rPr>
        <w:t>6</w:t>
      </w:r>
      <w:r w:rsidRPr="00195845">
        <w:rPr>
          <w:rFonts w:eastAsiaTheme="minorHAnsi"/>
          <w:snapToGrid/>
        </w:rPr>
        <w:t>: Summary of patient number estimates presented across PBAC submissions</w:t>
      </w:r>
    </w:p>
    <w:tbl>
      <w:tblPr>
        <w:tblW w:w="9183" w:type="dxa"/>
        <w:tblInd w:w="-3" w:type="dxa"/>
        <w:tblLayout w:type="fixed"/>
        <w:tblCellMar>
          <w:left w:w="0" w:type="dxa"/>
          <w:right w:w="0" w:type="dxa"/>
        </w:tblCellMar>
        <w:tblLook w:val="04A0" w:firstRow="1" w:lastRow="0" w:firstColumn="1" w:lastColumn="0" w:noHBand="0" w:noVBand="1"/>
      </w:tblPr>
      <w:tblGrid>
        <w:gridCol w:w="4080"/>
        <w:gridCol w:w="851"/>
        <w:gridCol w:w="850"/>
        <w:gridCol w:w="851"/>
        <w:gridCol w:w="850"/>
        <w:gridCol w:w="851"/>
        <w:gridCol w:w="850"/>
      </w:tblGrid>
      <w:tr w:rsidR="00195845" w:rsidRPr="00F61237" w:rsidTr="007A537A">
        <w:trPr>
          <w:trHeight w:val="322"/>
        </w:trPr>
        <w:tc>
          <w:tcPr>
            <w:tcW w:w="4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195845" w:rsidRPr="001515AE" w:rsidRDefault="00195845" w:rsidP="007A537A">
            <w:pPr>
              <w:pStyle w:val="Tabletext"/>
              <w:spacing w:after="0"/>
              <w:rPr>
                <w:rFonts w:ascii="Arial Narrow" w:hAnsi="Arial Narrow"/>
                <w:b/>
              </w:rPr>
            </w:pPr>
            <w:r w:rsidRPr="001515AE">
              <w:rPr>
                <w:rFonts w:ascii="Arial Narrow" w:hAnsi="Arial Narrow"/>
                <w:b/>
              </w:rPr>
              <w:t>P</w:t>
            </w:r>
            <w:r w:rsidR="007A537A" w:rsidRPr="001515AE">
              <w:rPr>
                <w:rFonts w:ascii="Arial Narrow" w:hAnsi="Arial Narrow"/>
                <w:b/>
              </w:rPr>
              <w:t>atien</w:t>
            </w:r>
            <w:r w:rsidRPr="001515AE">
              <w:rPr>
                <w:rFonts w:ascii="Arial Narrow" w:hAnsi="Arial Narrow"/>
                <w:b/>
              </w:rPr>
              <w:t xml:space="preserve">ts </w:t>
            </w:r>
            <w:r w:rsidR="007A537A" w:rsidRPr="001515AE">
              <w:rPr>
                <w:rFonts w:ascii="Arial Narrow" w:hAnsi="Arial Narrow"/>
                <w:b/>
              </w:rPr>
              <w:t>treated</w:t>
            </w:r>
            <w:r w:rsidRPr="001515AE">
              <w:rPr>
                <w:rFonts w:ascii="Arial Narrow" w:hAnsi="Arial Narrow"/>
                <w:b/>
              </w:rPr>
              <w:t xml:space="preserve"> on PBS/RPBS</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DD147B">
            <w:pPr>
              <w:pStyle w:val="Tabletext"/>
              <w:spacing w:after="0"/>
              <w:jc w:val="center"/>
              <w:rPr>
                <w:rFonts w:ascii="Arial Narrow" w:hAnsi="Arial Narrow"/>
                <w:b/>
              </w:rPr>
            </w:pPr>
            <w:r w:rsidRPr="001515AE">
              <w:rPr>
                <w:rFonts w:ascii="Arial Narrow" w:hAnsi="Arial Narrow"/>
                <w:b/>
              </w:rPr>
              <w:t>Year 1</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DD147B">
            <w:pPr>
              <w:pStyle w:val="Tabletext"/>
              <w:spacing w:after="0"/>
              <w:jc w:val="center"/>
              <w:rPr>
                <w:rFonts w:ascii="Arial Narrow" w:hAnsi="Arial Narrow"/>
                <w:b/>
              </w:rPr>
            </w:pPr>
            <w:r w:rsidRPr="001515AE">
              <w:rPr>
                <w:rFonts w:ascii="Arial Narrow" w:hAnsi="Arial Narrow"/>
                <w:b/>
              </w:rPr>
              <w:t>Year 2</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DD147B">
            <w:pPr>
              <w:pStyle w:val="Tabletext"/>
              <w:spacing w:after="0"/>
              <w:jc w:val="center"/>
              <w:rPr>
                <w:rFonts w:ascii="Arial Narrow" w:hAnsi="Arial Narrow"/>
                <w:b/>
              </w:rPr>
            </w:pPr>
            <w:r w:rsidRPr="001515AE">
              <w:rPr>
                <w:rFonts w:ascii="Arial Narrow" w:hAnsi="Arial Narrow"/>
                <w:b/>
              </w:rPr>
              <w:t>Year 3</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DD147B">
            <w:pPr>
              <w:pStyle w:val="Tabletext"/>
              <w:spacing w:after="0"/>
              <w:jc w:val="center"/>
              <w:rPr>
                <w:rFonts w:ascii="Arial Narrow" w:hAnsi="Arial Narrow"/>
                <w:b/>
              </w:rPr>
            </w:pPr>
            <w:r w:rsidRPr="001515AE">
              <w:rPr>
                <w:rFonts w:ascii="Arial Narrow" w:hAnsi="Arial Narrow"/>
                <w:b/>
              </w:rPr>
              <w:t>Year 4</w:t>
            </w:r>
          </w:p>
        </w:tc>
        <w:tc>
          <w:tcPr>
            <w:tcW w:w="85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DD147B">
            <w:pPr>
              <w:pStyle w:val="Tabletext"/>
              <w:spacing w:after="0"/>
              <w:jc w:val="center"/>
              <w:rPr>
                <w:rFonts w:ascii="Arial Narrow" w:hAnsi="Arial Narrow"/>
                <w:b/>
              </w:rPr>
            </w:pPr>
            <w:r w:rsidRPr="001515AE">
              <w:rPr>
                <w:rFonts w:ascii="Arial Narrow" w:hAnsi="Arial Narrow"/>
                <w:b/>
              </w:rPr>
              <w:t>Year 5</w:t>
            </w:r>
          </w:p>
        </w:tc>
        <w:tc>
          <w:tcPr>
            <w:tcW w:w="8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DD147B">
            <w:pPr>
              <w:pStyle w:val="Tabletext"/>
              <w:spacing w:after="0"/>
              <w:jc w:val="center"/>
              <w:rPr>
                <w:rFonts w:ascii="Arial Narrow" w:hAnsi="Arial Narrow"/>
                <w:b/>
              </w:rPr>
            </w:pPr>
            <w:r w:rsidRPr="001515AE">
              <w:rPr>
                <w:rFonts w:ascii="Arial Narrow" w:hAnsi="Arial Narrow"/>
                <w:b/>
              </w:rPr>
              <w:t>Year 6</w:t>
            </w:r>
          </w:p>
        </w:tc>
      </w:tr>
      <w:tr w:rsidR="00195845" w:rsidRPr="00F61237" w:rsidTr="007A537A">
        <w:trPr>
          <w:trHeight w:val="322"/>
        </w:trPr>
        <w:tc>
          <w:tcPr>
            <w:tcW w:w="4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95845" w:rsidRPr="001515AE" w:rsidRDefault="0026220C" w:rsidP="00DD147B">
            <w:pPr>
              <w:pStyle w:val="Tabletext"/>
              <w:spacing w:after="0"/>
              <w:rPr>
                <w:rFonts w:ascii="Arial Narrow" w:hAnsi="Arial Narrow"/>
              </w:rPr>
            </w:pPr>
            <w:r w:rsidRPr="001515AE">
              <w:rPr>
                <w:rFonts w:ascii="Arial Narrow" w:hAnsi="Arial Narrow"/>
              </w:rPr>
              <w:t>Number of patients treated</w:t>
            </w:r>
            <w:r w:rsidR="00195845" w:rsidRPr="001515AE">
              <w:rPr>
                <w:rFonts w:ascii="Arial Narrow" w:hAnsi="Arial Narrow"/>
              </w:rPr>
              <w:t xml:space="preserve"> – </w:t>
            </w:r>
            <w:r w:rsidR="00195845" w:rsidRPr="001515AE">
              <w:rPr>
                <w:rFonts w:ascii="Arial Narrow" w:hAnsi="Arial Narrow"/>
                <w:bCs/>
              </w:rPr>
              <w:t xml:space="preserve">original </w:t>
            </w:r>
            <w:r w:rsidR="007A537A" w:rsidRPr="001515AE">
              <w:rPr>
                <w:rFonts w:ascii="Arial Narrow" w:hAnsi="Arial Narrow"/>
                <w:bCs/>
              </w:rPr>
              <w:t>m</w:t>
            </w:r>
            <w:r w:rsidR="00195845" w:rsidRPr="001515AE">
              <w:rPr>
                <w:rFonts w:ascii="Arial Narrow" w:hAnsi="Arial Narrow"/>
                <w:bCs/>
              </w:rPr>
              <w:t>ajor submission</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r>
      <w:tr w:rsidR="00195845" w:rsidRPr="00F61237" w:rsidTr="007A537A">
        <w:trPr>
          <w:trHeight w:val="322"/>
        </w:trPr>
        <w:tc>
          <w:tcPr>
            <w:tcW w:w="4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95845" w:rsidRPr="001515AE" w:rsidRDefault="0026220C" w:rsidP="00DD147B">
            <w:pPr>
              <w:pStyle w:val="Tabletext"/>
              <w:spacing w:after="0"/>
              <w:rPr>
                <w:rFonts w:ascii="Arial Narrow" w:hAnsi="Arial Narrow"/>
              </w:rPr>
            </w:pPr>
            <w:r w:rsidRPr="001515AE">
              <w:rPr>
                <w:rFonts w:ascii="Arial Narrow" w:hAnsi="Arial Narrow"/>
              </w:rPr>
              <w:t>Number of patients treated</w:t>
            </w:r>
            <w:r w:rsidR="00195845" w:rsidRPr="001515AE">
              <w:rPr>
                <w:rFonts w:ascii="Arial Narrow" w:hAnsi="Arial Narrow"/>
              </w:rPr>
              <w:t xml:space="preserve"> </w:t>
            </w:r>
            <w:r w:rsidRPr="001515AE">
              <w:rPr>
                <w:rFonts w:ascii="Arial Narrow" w:hAnsi="Arial Narrow"/>
              </w:rPr>
              <w:t xml:space="preserve">– </w:t>
            </w:r>
            <w:r w:rsidR="00195845" w:rsidRPr="001515AE">
              <w:rPr>
                <w:rFonts w:ascii="Arial Narrow" w:hAnsi="Arial Narrow"/>
                <w:bCs/>
              </w:rPr>
              <w:t xml:space="preserve">pre-PBAC response </w:t>
            </w:r>
            <w:r w:rsidR="007A537A" w:rsidRPr="001515AE">
              <w:rPr>
                <w:rFonts w:ascii="Arial Narrow" w:hAnsi="Arial Narrow"/>
                <w:bCs/>
              </w:rPr>
              <w:t>m</w:t>
            </w:r>
            <w:r w:rsidR="00195845" w:rsidRPr="001515AE">
              <w:rPr>
                <w:rFonts w:ascii="Arial Narrow" w:hAnsi="Arial Narrow"/>
                <w:bCs/>
              </w:rPr>
              <w:t>ajor submission</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r>
      <w:tr w:rsidR="00195845" w:rsidRPr="00F61237" w:rsidTr="007A537A">
        <w:trPr>
          <w:trHeight w:val="322"/>
        </w:trPr>
        <w:tc>
          <w:tcPr>
            <w:tcW w:w="4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95845" w:rsidRPr="001515AE" w:rsidRDefault="0026220C" w:rsidP="00DD147B">
            <w:pPr>
              <w:pStyle w:val="Tabletext"/>
              <w:spacing w:after="0"/>
              <w:rPr>
                <w:rFonts w:ascii="Arial Narrow" w:hAnsi="Arial Narrow"/>
              </w:rPr>
            </w:pPr>
            <w:r w:rsidRPr="001515AE">
              <w:rPr>
                <w:rFonts w:ascii="Arial Narrow" w:hAnsi="Arial Narrow"/>
              </w:rPr>
              <w:t>Number of patients treated</w:t>
            </w:r>
            <w:r w:rsidR="00195845" w:rsidRPr="001515AE">
              <w:rPr>
                <w:rFonts w:ascii="Arial Narrow" w:hAnsi="Arial Narrow"/>
              </w:rPr>
              <w:t xml:space="preserve"> – </w:t>
            </w:r>
            <w:r w:rsidR="007A537A" w:rsidRPr="001515AE">
              <w:rPr>
                <w:rFonts w:ascii="Arial Narrow" w:hAnsi="Arial Narrow"/>
              </w:rPr>
              <w:t>m</w:t>
            </w:r>
            <w:r w:rsidR="00195845" w:rsidRPr="001515AE">
              <w:rPr>
                <w:rFonts w:ascii="Arial Narrow" w:hAnsi="Arial Narrow"/>
              </w:rPr>
              <w:t>inor re</w:t>
            </w:r>
            <w:r w:rsidR="00195845" w:rsidRPr="001515AE">
              <w:rPr>
                <w:rFonts w:ascii="Arial Narrow" w:hAnsi="Arial Narrow"/>
                <w:bCs/>
              </w:rPr>
              <w:t>submission</w:t>
            </w:r>
          </w:p>
        </w:tc>
        <w:tc>
          <w:tcPr>
            <w:tcW w:w="8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8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7B0774" w:rsidRDefault="007B0774" w:rsidP="00DD147B">
            <w:pPr>
              <w:pStyle w:val="Tabletext"/>
              <w:spacing w:after="0"/>
              <w:jc w:val="center"/>
              <w:rPr>
                <w:rFonts w:ascii="Arial Narrow" w:hAnsi="Arial Narrow"/>
                <w:highlight w:val="black"/>
              </w:rPr>
            </w:pPr>
            <w:r>
              <w:rPr>
                <w:rFonts w:ascii="Arial Narrow" w:hAnsi="Arial Narrow"/>
                <w:noProof/>
                <w:color w:val="000000"/>
                <w:highlight w:val="black"/>
              </w:rPr>
              <w:t>''''''''''</w:t>
            </w:r>
          </w:p>
        </w:tc>
      </w:tr>
    </w:tbl>
    <w:p w:rsidR="00195845" w:rsidRPr="00D70E66" w:rsidRDefault="00195845" w:rsidP="0037625B">
      <w:pPr>
        <w:pStyle w:val="Tablenotes0"/>
        <w:spacing w:after="120"/>
        <w:rPr>
          <w:rFonts w:ascii="Arial Narrow" w:hAnsi="Arial Narrow"/>
          <w:i w:val="0"/>
        </w:rPr>
      </w:pPr>
      <w:r w:rsidRPr="00D70E66">
        <w:rPr>
          <w:rFonts w:ascii="Arial Narrow" w:hAnsi="Arial Narrow"/>
          <w:i w:val="0"/>
        </w:rPr>
        <w:t xml:space="preserve">Source: </w:t>
      </w:r>
      <w:r>
        <w:rPr>
          <w:rFonts w:ascii="Arial Narrow" w:hAnsi="Arial Narrow"/>
          <w:i w:val="0"/>
        </w:rPr>
        <w:t>Table 13</w:t>
      </w:r>
      <w:r w:rsidRPr="00D70E66">
        <w:rPr>
          <w:rFonts w:ascii="Arial Narrow" w:hAnsi="Arial Narrow"/>
          <w:i w:val="0"/>
        </w:rPr>
        <w:t>, p.17 of the minor resubmission</w:t>
      </w:r>
      <w:r>
        <w:rPr>
          <w:rFonts w:ascii="Arial Narrow" w:hAnsi="Arial Narrow"/>
          <w:i w:val="0"/>
        </w:rPr>
        <w:t>.</w:t>
      </w:r>
    </w:p>
    <w:p w:rsidR="00195845" w:rsidRPr="00195845" w:rsidRDefault="00195845" w:rsidP="0037625B">
      <w:pPr>
        <w:pStyle w:val="TableHeader"/>
        <w:keepNext/>
      </w:pPr>
      <w:r w:rsidRPr="00195845">
        <w:t xml:space="preserve">Table </w:t>
      </w:r>
      <w:r>
        <w:t>7</w:t>
      </w:r>
      <w:r w:rsidRPr="00195845">
        <w:t xml:space="preserve">: Summary of </w:t>
      </w:r>
      <w:r w:rsidR="007A537A" w:rsidRPr="00195845">
        <w:t>net cost to combined government health b</w:t>
      </w:r>
      <w:r w:rsidRPr="00195845">
        <w:t>udgets presented across PBAC submissions</w:t>
      </w:r>
    </w:p>
    <w:tbl>
      <w:tblPr>
        <w:tblW w:w="9183" w:type="dxa"/>
        <w:tblInd w:w="-3" w:type="dxa"/>
        <w:tblLayout w:type="fixed"/>
        <w:tblCellMar>
          <w:left w:w="0" w:type="dxa"/>
          <w:right w:w="0" w:type="dxa"/>
        </w:tblCellMar>
        <w:tblLook w:val="04A0" w:firstRow="1" w:lastRow="0" w:firstColumn="1" w:lastColumn="0" w:noHBand="0" w:noVBand="1"/>
      </w:tblPr>
      <w:tblGrid>
        <w:gridCol w:w="2379"/>
        <w:gridCol w:w="1134"/>
        <w:gridCol w:w="1134"/>
        <w:gridCol w:w="1134"/>
        <w:gridCol w:w="1134"/>
        <w:gridCol w:w="1134"/>
        <w:gridCol w:w="1134"/>
      </w:tblGrid>
      <w:tr w:rsidR="00195845" w:rsidRPr="00F61237" w:rsidTr="007A537A">
        <w:trPr>
          <w:trHeight w:val="322"/>
        </w:trPr>
        <w:tc>
          <w:tcPr>
            <w:tcW w:w="237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tcPr>
          <w:p w:rsidR="00195845" w:rsidRPr="001515AE" w:rsidRDefault="00195845" w:rsidP="0037625B">
            <w:pPr>
              <w:pStyle w:val="Tabletext"/>
              <w:keepNext/>
              <w:spacing w:after="0"/>
              <w:rPr>
                <w:rFonts w:ascii="Arial Narrow" w:hAnsi="Arial Narrow"/>
              </w:rPr>
            </w:pP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37625B">
            <w:pPr>
              <w:pStyle w:val="Tabletext"/>
              <w:keepNext/>
              <w:spacing w:after="0"/>
              <w:jc w:val="center"/>
              <w:rPr>
                <w:rFonts w:ascii="Arial Narrow" w:hAnsi="Arial Narrow"/>
                <w:b/>
              </w:rPr>
            </w:pPr>
            <w:r w:rsidRPr="001515AE">
              <w:rPr>
                <w:rFonts w:ascii="Arial Narrow" w:hAnsi="Arial Narrow"/>
                <w:b/>
              </w:rPr>
              <w:t>Year 1</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37625B">
            <w:pPr>
              <w:pStyle w:val="Tabletext"/>
              <w:keepNext/>
              <w:spacing w:after="0"/>
              <w:jc w:val="center"/>
              <w:rPr>
                <w:rFonts w:ascii="Arial Narrow" w:hAnsi="Arial Narrow"/>
                <w:b/>
              </w:rPr>
            </w:pPr>
            <w:r w:rsidRPr="001515AE">
              <w:rPr>
                <w:rFonts w:ascii="Arial Narrow" w:hAnsi="Arial Narrow"/>
                <w:b/>
              </w:rPr>
              <w:t>Year 2</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37625B">
            <w:pPr>
              <w:pStyle w:val="Tabletext"/>
              <w:keepNext/>
              <w:spacing w:after="0"/>
              <w:jc w:val="center"/>
              <w:rPr>
                <w:rFonts w:ascii="Arial Narrow" w:hAnsi="Arial Narrow"/>
                <w:b/>
              </w:rPr>
            </w:pPr>
            <w:r w:rsidRPr="001515AE">
              <w:rPr>
                <w:rFonts w:ascii="Arial Narrow" w:hAnsi="Arial Narrow"/>
                <w:b/>
              </w:rPr>
              <w:t>Year 3</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37625B">
            <w:pPr>
              <w:pStyle w:val="Tabletext"/>
              <w:keepNext/>
              <w:spacing w:after="0"/>
              <w:jc w:val="center"/>
              <w:rPr>
                <w:rFonts w:ascii="Arial Narrow" w:hAnsi="Arial Narrow"/>
                <w:b/>
              </w:rPr>
            </w:pPr>
            <w:r w:rsidRPr="001515AE">
              <w:rPr>
                <w:rFonts w:ascii="Arial Narrow" w:hAnsi="Arial Narrow"/>
                <w:b/>
              </w:rPr>
              <w:t>Year 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37625B">
            <w:pPr>
              <w:pStyle w:val="Tabletext"/>
              <w:keepNext/>
              <w:spacing w:after="0"/>
              <w:jc w:val="center"/>
              <w:rPr>
                <w:rFonts w:ascii="Arial Narrow" w:hAnsi="Arial Narrow"/>
                <w:b/>
              </w:rPr>
            </w:pPr>
            <w:r w:rsidRPr="001515AE">
              <w:rPr>
                <w:rFonts w:ascii="Arial Narrow" w:hAnsi="Arial Narrow"/>
                <w:b/>
              </w:rPr>
              <w:t>Year 5</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195845" w:rsidRPr="001515AE" w:rsidRDefault="00195845" w:rsidP="0037625B">
            <w:pPr>
              <w:pStyle w:val="Tabletext"/>
              <w:keepNext/>
              <w:spacing w:after="0"/>
              <w:jc w:val="center"/>
              <w:rPr>
                <w:rFonts w:ascii="Arial Narrow" w:hAnsi="Arial Narrow"/>
                <w:b/>
              </w:rPr>
            </w:pPr>
            <w:r w:rsidRPr="001515AE">
              <w:rPr>
                <w:rFonts w:ascii="Arial Narrow" w:hAnsi="Arial Narrow"/>
                <w:b/>
              </w:rPr>
              <w:t>Year 6</w:t>
            </w:r>
          </w:p>
        </w:tc>
      </w:tr>
      <w:tr w:rsidR="00195845" w:rsidRPr="00F61237" w:rsidTr="007A537A">
        <w:trPr>
          <w:trHeight w:val="322"/>
        </w:trPr>
        <w:tc>
          <w:tcPr>
            <w:tcW w:w="2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95845" w:rsidRPr="001515AE" w:rsidRDefault="00195845" w:rsidP="0037625B">
            <w:pPr>
              <w:pStyle w:val="Tabletext"/>
              <w:keepNext/>
              <w:spacing w:after="0"/>
              <w:rPr>
                <w:rFonts w:ascii="Arial Narrow" w:hAnsi="Arial Narrow"/>
              </w:rPr>
            </w:pPr>
            <w:r w:rsidRPr="001515AE">
              <w:rPr>
                <w:rFonts w:ascii="Arial Narrow" w:hAnsi="Arial Narrow"/>
              </w:rPr>
              <w:t xml:space="preserve">Net cost – </w:t>
            </w:r>
            <w:r w:rsidRPr="001515AE">
              <w:rPr>
                <w:rFonts w:ascii="Arial Narrow" w:hAnsi="Arial Narrow"/>
                <w:bCs/>
              </w:rPr>
              <w:t xml:space="preserve">original </w:t>
            </w:r>
            <w:r w:rsidR="007A537A" w:rsidRPr="001515AE">
              <w:rPr>
                <w:rFonts w:ascii="Arial Narrow" w:hAnsi="Arial Narrow"/>
                <w:bCs/>
              </w:rPr>
              <w:t>m</w:t>
            </w:r>
            <w:r w:rsidRPr="001515AE">
              <w:rPr>
                <w:rFonts w:ascii="Arial Narrow" w:hAnsi="Arial Narrow"/>
                <w:bCs/>
              </w:rPr>
              <w:t>ajor submission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r>
      <w:tr w:rsidR="00195845" w:rsidRPr="00F61237" w:rsidTr="007A537A">
        <w:trPr>
          <w:trHeight w:val="322"/>
        </w:trPr>
        <w:tc>
          <w:tcPr>
            <w:tcW w:w="237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95845" w:rsidRPr="001515AE" w:rsidRDefault="00195845" w:rsidP="0037625B">
            <w:pPr>
              <w:pStyle w:val="Tabletext"/>
              <w:keepNext/>
              <w:spacing w:after="0"/>
              <w:rPr>
                <w:rFonts w:ascii="Arial Narrow" w:hAnsi="Arial Narrow"/>
              </w:rPr>
            </w:pPr>
            <w:r w:rsidRPr="001515AE">
              <w:rPr>
                <w:rFonts w:ascii="Arial Narrow" w:hAnsi="Arial Narrow"/>
              </w:rPr>
              <w:t xml:space="preserve">Net cost - </w:t>
            </w:r>
            <w:r w:rsidRPr="001515AE">
              <w:rPr>
                <w:rFonts w:ascii="Arial Narrow" w:hAnsi="Arial Narrow"/>
                <w:bCs/>
              </w:rPr>
              <w:t xml:space="preserve">pre-PBAC response </w:t>
            </w:r>
            <w:r w:rsidR="007A537A" w:rsidRPr="001515AE">
              <w:rPr>
                <w:rFonts w:ascii="Arial Narrow" w:hAnsi="Arial Narrow"/>
                <w:bCs/>
              </w:rPr>
              <w:t>m</w:t>
            </w:r>
            <w:r w:rsidRPr="001515AE">
              <w:rPr>
                <w:rFonts w:ascii="Arial Narrow" w:hAnsi="Arial Narrow"/>
                <w:bCs/>
              </w:rPr>
              <w:t>ajor submission</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hAnsi="Arial Narrow"/>
              </w:rPr>
            </w:pPr>
            <w:r w:rsidRPr="001515AE">
              <w:rPr>
                <w:rFonts w:ascii="Arial Narrow" w:hAnsi="Arial Narrow"/>
              </w:rPr>
              <w:t>$</w:t>
            </w:r>
            <w:r w:rsidR="007B0774">
              <w:rPr>
                <w:rFonts w:ascii="Arial Narrow" w:hAnsi="Arial Narrow"/>
                <w:noProof/>
                <w:color w:val="000000"/>
                <w:highlight w:val="black"/>
              </w:rPr>
              <w:t>'''''''''''''''''''''''''''</w:t>
            </w:r>
          </w:p>
        </w:tc>
      </w:tr>
      <w:tr w:rsidR="00195845" w:rsidRPr="00F61237" w:rsidTr="007A537A">
        <w:trPr>
          <w:trHeight w:val="322"/>
        </w:trPr>
        <w:tc>
          <w:tcPr>
            <w:tcW w:w="237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195845" w:rsidRPr="001515AE" w:rsidRDefault="00195845" w:rsidP="0037625B">
            <w:pPr>
              <w:pStyle w:val="Tabletext"/>
              <w:keepNext/>
              <w:spacing w:after="0"/>
              <w:rPr>
                <w:rFonts w:ascii="Arial Narrow" w:eastAsiaTheme="minorHAnsi" w:hAnsi="Arial Narrow" w:cstheme="minorBidi"/>
              </w:rPr>
            </w:pPr>
            <w:r w:rsidRPr="001515AE">
              <w:rPr>
                <w:rFonts w:ascii="Arial Narrow" w:eastAsiaTheme="minorHAnsi" w:hAnsi="Arial Narrow" w:cstheme="minorBidi"/>
              </w:rPr>
              <w:t xml:space="preserve">Net cost – </w:t>
            </w:r>
            <w:r w:rsidR="007A537A" w:rsidRPr="001515AE">
              <w:rPr>
                <w:rFonts w:ascii="Arial Narrow" w:eastAsiaTheme="minorHAnsi" w:hAnsi="Arial Narrow" w:cstheme="minorBidi"/>
              </w:rPr>
              <w:t>m</w:t>
            </w:r>
            <w:r w:rsidRPr="001515AE">
              <w:rPr>
                <w:rFonts w:ascii="Arial Narrow" w:eastAsiaTheme="minorHAnsi" w:hAnsi="Arial Narrow" w:cstheme="minorBidi"/>
              </w:rPr>
              <w:t>inor resubmission</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eastAsiaTheme="minorHAnsi" w:hAnsi="Arial Narrow" w:cstheme="minorBidi"/>
              </w:rPr>
            </w:pPr>
            <w:r w:rsidRPr="001515AE">
              <w:rPr>
                <w:rFonts w:ascii="Arial Narrow" w:eastAsiaTheme="minorHAnsi" w:hAnsi="Arial Narrow" w:cstheme="minorBidi"/>
              </w:rPr>
              <w:t>$</w:t>
            </w:r>
            <w:r w:rsidR="007B0774">
              <w:rPr>
                <w:rFonts w:ascii="Arial Narrow" w:eastAsiaTheme="minorHAnsi" w:hAnsi="Arial Narrow" w:cstheme="minorBidi"/>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eastAsiaTheme="minorHAnsi" w:hAnsi="Arial Narrow" w:cstheme="minorBidi"/>
              </w:rPr>
            </w:pPr>
            <w:r w:rsidRPr="001515AE">
              <w:rPr>
                <w:rFonts w:ascii="Arial Narrow" w:eastAsiaTheme="minorHAnsi" w:hAnsi="Arial Narrow" w:cstheme="minorBidi"/>
              </w:rPr>
              <w:t>$</w:t>
            </w:r>
            <w:r w:rsidR="007B0774">
              <w:rPr>
                <w:rFonts w:ascii="Arial Narrow" w:eastAsiaTheme="minorHAnsi" w:hAnsi="Arial Narrow" w:cstheme="minorBidi"/>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eastAsiaTheme="minorHAnsi" w:hAnsi="Arial Narrow" w:cstheme="minorBidi"/>
              </w:rPr>
            </w:pPr>
            <w:r w:rsidRPr="001515AE">
              <w:rPr>
                <w:rFonts w:ascii="Arial Narrow" w:eastAsiaTheme="minorHAnsi" w:hAnsi="Arial Narrow" w:cstheme="minorBidi"/>
              </w:rPr>
              <w:t>$</w:t>
            </w:r>
            <w:r w:rsidR="007B0774">
              <w:rPr>
                <w:rFonts w:ascii="Arial Narrow" w:eastAsiaTheme="minorHAnsi" w:hAnsi="Arial Narrow" w:cstheme="minorBidi"/>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eastAsiaTheme="minorHAnsi" w:hAnsi="Arial Narrow" w:cstheme="minorBidi"/>
              </w:rPr>
            </w:pPr>
            <w:r w:rsidRPr="001515AE">
              <w:rPr>
                <w:rFonts w:ascii="Arial Narrow" w:eastAsiaTheme="minorHAnsi" w:hAnsi="Arial Narrow" w:cstheme="minorBidi"/>
              </w:rPr>
              <w:t>$</w:t>
            </w:r>
            <w:r w:rsidR="007B0774">
              <w:rPr>
                <w:rFonts w:ascii="Arial Narrow" w:eastAsiaTheme="minorHAnsi" w:hAnsi="Arial Narrow" w:cstheme="minorBidi"/>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eastAsiaTheme="minorHAnsi" w:hAnsi="Arial Narrow" w:cstheme="minorBidi"/>
              </w:rPr>
            </w:pPr>
            <w:r w:rsidRPr="001515AE">
              <w:rPr>
                <w:rFonts w:ascii="Arial Narrow" w:eastAsiaTheme="minorHAnsi" w:hAnsi="Arial Narrow" w:cstheme="minorBidi"/>
              </w:rPr>
              <w:t>$</w:t>
            </w:r>
            <w:r w:rsidR="007B0774">
              <w:rPr>
                <w:rFonts w:ascii="Arial Narrow" w:eastAsiaTheme="minorHAnsi" w:hAnsi="Arial Narrow" w:cstheme="minorBidi"/>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195845" w:rsidRPr="001515AE" w:rsidRDefault="00195845" w:rsidP="0037625B">
            <w:pPr>
              <w:pStyle w:val="Tabletext"/>
              <w:keepNext/>
              <w:spacing w:after="0"/>
              <w:jc w:val="center"/>
              <w:rPr>
                <w:rFonts w:ascii="Arial Narrow" w:eastAsiaTheme="minorHAnsi" w:hAnsi="Arial Narrow" w:cstheme="minorBidi"/>
              </w:rPr>
            </w:pPr>
            <w:r w:rsidRPr="001515AE">
              <w:rPr>
                <w:rFonts w:ascii="Arial Narrow" w:eastAsiaTheme="minorHAnsi" w:hAnsi="Arial Narrow" w:cstheme="minorBidi"/>
              </w:rPr>
              <w:t>$</w:t>
            </w:r>
            <w:r w:rsidR="007B0774">
              <w:rPr>
                <w:rFonts w:ascii="Arial Narrow" w:eastAsiaTheme="minorHAnsi" w:hAnsi="Arial Narrow" w:cstheme="minorBidi"/>
                <w:noProof/>
                <w:color w:val="000000"/>
                <w:highlight w:val="black"/>
              </w:rPr>
              <w:t>''''''''''''''''''''''''''</w:t>
            </w:r>
          </w:p>
        </w:tc>
      </w:tr>
    </w:tbl>
    <w:p w:rsidR="00195845" w:rsidRDefault="00195845" w:rsidP="00195845">
      <w:pPr>
        <w:pStyle w:val="Tabletext"/>
        <w:rPr>
          <w:rFonts w:ascii="Arial Narrow" w:hAnsi="Arial Narrow"/>
        </w:rPr>
      </w:pPr>
      <w:r w:rsidRPr="00195845">
        <w:rPr>
          <w:rFonts w:ascii="Arial Narrow" w:hAnsi="Arial Narrow"/>
        </w:rPr>
        <w:t xml:space="preserve">Source: </w:t>
      </w:r>
      <w:r>
        <w:rPr>
          <w:rFonts w:ascii="Arial Narrow" w:hAnsi="Arial Narrow"/>
        </w:rPr>
        <w:t>Table 14</w:t>
      </w:r>
      <w:r w:rsidRPr="00195845">
        <w:rPr>
          <w:rFonts w:ascii="Arial Narrow" w:hAnsi="Arial Narrow"/>
        </w:rPr>
        <w:t>, p.17 of the minor resubmission</w:t>
      </w:r>
    </w:p>
    <w:p w:rsidR="0072663D" w:rsidRDefault="0072663D" w:rsidP="00195845">
      <w:pPr>
        <w:pStyle w:val="Tabletext"/>
        <w:rPr>
          <w:rFonts w:asciiTheme="minorHAnsi" w:hAnsiTheme="minorHAnsi"/>
          <w:sz w:val="24"/>
          <w:szCs w:val="24"/>
        </w:rPr>
      </w:pPr>
      <w:r>
        <w:rPr>
          <w:rFonts w:asciiTheme="minorHAnsi" w:hAnsiTheme="minorHAnsi"/>
          <w:sz w:val="24"/>
          <w:szCs w:val="24"/>
        </w:rPr>
        <w:t>The redacted table</w:t>
      </w:r>
      <w:r w:rsidR="006E5106">
        <w:rPr>
          <w:rFonts w:asciiTheme="minorHAnsi" w:hAnsiTheme="minorHAnsi"/>
          <w:sz w:val="24"/>
          <w:szCs w:val="24"/>
        </w:rPr>
        <w:t>s show</w:t>
      </w:r>
      <w:r>
        <w:rPr>
          <w:rFonts w:asciiTheme="minorHAnsi" w:hAnsiTheme="minorHAnsi"/>
          <w:sz w:val="24"/>
          <w:szCs w:val="24"/>
        </w:rPr>
        <w:t xml:space="preserve"> that at year </w:t>
      </w:r>
      <w:r w:rsidR="0026220C">
        <w:rPr>
          <w:rFonts w:asciiTheme="minorHAnsi" w:hAnsiTheme="minorHAnsi"/>
          <w:sz w:val="24"/>
          <w:szCs w:val="24"/>
        </w:rPr>
        <w:t>6</w:t>
      </w:r>
      <w:r>
        <w:rPr>
          <w:rFonts w:asciiTheme="minorHAnsi" w:hAnsiTheme="minorHAnsi"/>
          <w:sz w:val="24"/>
          <w:szCs w:val="24"/>
        </w:rPr>
        <w:t xml:space="preserve">, the estimated number of patients was less than 10,000 and the net cost to the PBS </w:t>
      </w:r>
      <w:r w:rsidR="0026220C">
        <w:rPr>
          <w:rFonts w:asciiTheme="minorHAnsi" w:hAnsiTheme="minorHAnsi"/>
          <w:sz w:val="24"/>
          <w:szCs w:val="24"/>
        </w:rPr>
        <w:t xml:space="preserve">would be $20 – 30 million. </w:t>
      </w:r>
      <w:r>
        <w:rPr>
          <w:rFonts w:asciiTheme="minorHAnsi" w:hAnsiTheme="minorHAnsi"/>
          <w:sz w:val="24"/>
          <w:szCs w:val="24"/>
        </w:rPr>
        <w:t xml:space="preserve"> </w:t>
      </w:r>
    </w:p>
    <w:p w:rsidR="0049156E" w:rsidRPr="00976ADA" w:rsidRDefault="00884ECA" w:rsidP="00D61352">
      <w:pPr>
        <w:pStyle w:val="ListParagraph"/>
        <w:numPr>
          <w:ilvl w:val="1"/>
          <w:numId w:val="5"/>
        </w:numPr>
        <w:spacing w:after="120"/>
        <w:contextualSpacing w:val="0"/>
        <w:rPr>
          <w:rFonts w:asciiTheme="minorHAnsi" w:hAnsiTheme="minorHAnsi"/>
        </w:rPr>
      </w:pPr>
      <w:r w:rsidRPr="00F62235">
        <w:rPr>
          <w:rFonts w:asciiTheme="minorHAnsi" w:hAnsiTheme="minorHAnsi"/>
          <w:snapToGrid/>
          <w:sz w:val="24"/>
          <w:szCs w:val="24"/>
        </w:rPr>
        <w:t>The minor resubmission estimated the revised net cost to the PBS/RPBS of $</w:t>
      </w:r>
      <w:r w:rsidR="0026220C">
        <w:rPr>
          <w:rFonts w:asciiTheme="minorHAnsi" w:hAnsiTheme="minorHAnsi"/>
          <w:snapToGrid/>
          <w:sz w:val="24"/>
          <w:szCs w:val="24"/>
        </w:rPr>
        <w:t>20 – 30</w:t>
      </w:r>
      <w:r w:rsidR="00DE0839" w:rsidRPr="00F62235">
        <w:rPr>
          <w:rFonts w:asciiTheme="minorHAnsi" w:hAnsiTheme="minorHAnsi"/>
          <w:snapToGrid/>
          <w:sz w:val="24"/>
          <w:szCs w:val="24"/>
        </w:rPr>
        <w:t xml:space="preserve"> </w:t>
      </w:r>
      <w:r w:rsidRPr="00F62235">
        <w:rPr>
          <w:rFonts w:asciiTheme="minorHAnsi" w:hAnsiTheme="minorHAnsi"/>
          <w:snapToGrid/>
          <w:sz w:val="24"/>
          <w:szCs w:val="24"/>
        </w:rPr>
        <w:t xml:space="preserve">million in the </w:t>
      </w:r>
      <w:r w:rsidR="00DE0839" w:rsidRPr="00F62235">
        <w:rPr>
          <w:rFonts w:asciiTheme="minorHAnsi" w:hAnsiTheme="minorHAnsi"/>
          <w:snapToGrid/>
          <w:sz w:val="24"/>
          <w:szCs w:val="24"/>
        </w:rPr>
        <w:t xml:space="preserve">first </w:t>
      </w:r>
      <w:r w:rsidRPr="00F62235">
        <w:rPr>
          <w:rFonts w:asciiTheme="minorHAnsi" w:hAnsiTheme="minorHAnsi"/>
          <w:snapToGrid/>
          <w:sz w:val="24"/>
          <w:szCs w:val="24"/>
        </w:rPr>
        <w:t>year of listing</w:t>
      </w:r>
      <w:r w:rsidR="00430519">
        <w:rPr>
          <w:rFonts w:asciiTheme="minorHAnsi" w:hAnsiTheme="minorHAnsi"/>
          <w:snapToGrid/>
          <w:sz w:val="24"/>
          <w:szCs w:val="24"/>
        </w:rPr>
        <w:t xml:space="preserve">, increasing to </w:t>
      </w:r>
      <w:r w:rsidR="00430519" w:rsidRPr="00F62235">
        <w:rPr>
          <w:rFonts w:asciiTheme="minorHAnsi" w:hAnsiTheme="minorHAnsi"/>
          <w:snapToGrid/>
          <w:sz w:val="24"/>
          <w:szCs w:val="24"/>
        </w:rPr>
        <w:t>$</w:t>
      </w:r>
      <w:r w:rsidR="00430519">
        <w:rPr>
          <w:rFonts w:asciiTheme="minorHAnsi" w:hAnsiTheme="minorHAnsi"/>
          <w:snapToGrid/>
          <w:sz w:val="24"/>
          <w:szCs w:val="24"/>
        </w:rPr>
        <w:t>20 – 30</w:t>
      </w:r>
      <w:r w:rsidR="00430519" w:rsidRPr="00F62235">
        <w:rPr>
          <w:rFonts w:asciiTheme="minorHAnsi" w:hAnsiTheme="minorHAnsi"/>
          <w:snapToGrid/>
          <w:sz w:val="24"/>
          <w:szCs w:val="24"/>
        </w:rPr>
        <w:t xml:space="preserve"> million in the </w:t>
      </w:r>
      <w:r w:rsidR="00430519">
        <w:rPr>
          <w:rFonts w:asciiTheme="minorHAnsi" w:hAnsiTheme="minorHAnsi"/>
          <w:snapToGrid/>
          <w:sz w:val="24"/>
          <w:szCs w:val="24"/>
        </w:rPr>
        <w:t>sixth</w:t>
      </w:r>
      <w:r w:rsidR="00430519" w:rsidRPr="00F62235">
        <w:rPr>
          <w:rFonts w:asciiTheme="minorHAnsi" w:hAnsiTheme="minorHAnsi"/>
          <w:snapToGrid/>
          <w:sz w:val="24"/>
          <w:szCs w:val="24"/>
        </w:rPr>
        <w:t xml:space="preserve"> year of listing</w:t>
      </w:r>
      <w:r w:rsidR="00807392" w:rsidRPr="00F62235">
        <w:rPr>
          <w:rFonts w:asciiTheme="minorHAnsi" w:hAnsiTheme="minorHAnsi"/>
          <w:snapToGrid/>
          <w:sz w:val="24"/>
          <w:szCs w:val="24"/>
        </w:rPr>
        <w:t xml:space="preserve"> (compared to</w:t>
      </w:r>
      <w:r w:rsidR="0087631B" w:rsidRPr="00F62235">
        <w:rPr>
          <w:rFonts w:asciiTheme="minorHAnsi" w:hAnsiTheme="minorHAnsi"/>
          <w:snapToGrid/>
          <w:sz w:val="24"/>
          <w:szCs w:val="24"/>
        </w:rPr>
        <w:t xml:space="preserve"> the </w:t>
      </w:r>
      <w:r w:rsidR="001338A7" w:rsidRPr="00F62235">
        <w:rPr>
          <w:rFonts w:asciiTheme="minorHAnsi" w:hAnsiTheme="minorHAnsi"/>
          <w:snapToGrid/>
          <w:sz w:val="24"/>
          <w:szCs w:val="24"/>
        </w:rPr>
        <w:t>November 2017</w:t>
      </w:r>
      <w:r w:rsidR="0087631B" w:rsidRPr="00F62235">
        <w:rPr>
          <w:rFonts w:asciiTheme="minorHAnsi" w:hAnsiTheme="minorHAnsi"/>
          <w:snapToGrid/>
          <w:sz w:val="24"/>
          <w:szCs w:val="24"/>
        </w:rPr>
        <w:t xml:space="preserve"> major submission</w:t>
      </w:r>
      <w:r w:rsidR="001338A7" w:rsidRPr="00F62235">
        <w:rPr>
          <w:rFonts w:asciiTheme="minorHAnsi" w:hAnsiTheme="minorHAnsi"/>
          <w:snapToGrid/>
          <w:sz w:val="24"/>
          <w:szCs w:val="24"/>
        </w:rPr>
        <w:t>’s</w:t>
      </w:r>
      <w:r w:rsidR="0087631B" w:rsidRPr="00F62235">
        <w:rPr>
          <w:rFonts w:asciiTheme="minorHAnsi" w:hAnsiTheme="minorHAnsi"/>
          <w:snapToGrid/>
          <w:sz w:val="24"/>
          <w:szCs w:val="24"/>
        </w:rPr>
        <w:t xml:space="preserve"> net cost estimates of</w:t>
      </w:r>
      <w:r w:rsidR="00807392" w:rsidRPr="00F62235">
        <w:rPr>
          <w:rFonts w:asciiTheme="minorHAnsi" w:hAnsiTheme="minorHAnsi"/>
          <w:snapToGrid/>
          <w:sz w:val="24"/>
          <w:szCs w:val="24"/>
        </w:rPr>
        <w:t xml:space="preserve"> $</w:t>
      </w:r>
      <w:r w:rsidR="00E476F9">
        <w:rPr>
          <w:rFonts w:asciiTheme="minorHAnsi" w:hAnsiTheme="minorHAnsi"/>
          <w:snapToGrid/>
          <w:sz w:val="24"/>
          <w:szCs w:val="24"/>
        </w:rPr>
        <w:t>30 – 60</w:t>
      </w:r>
      <w:r w:rsidR="00807392" w:rsidRPr="00F62235">
        <w:rPr>
          <w:rFonts w:asciiTheme="minorHAnsi" w:hAnsiTheme="minorHAnsi"/>
          <w:snapToGrid/>
          <w:sz w:val="24"/>
          <w:szCs w:val="24"/>
        </w:rPr>
        <w:t xml:space="preserve"> million</w:t>
      </w:r>
      <w:r w:rsidR="0087631B" w:rsidRPr="00F62235">
        <w:rPr>
          <w:rFonts w:asciiTheme="minorHAnsi" w:hAnsiTheme="minorHAnsi"/>
          <w:snapToGrid/>
          <w:sz w:val="24"/>
          <w:szCs w:val="24"/>
        </w:rPr>
        <w:t xml:space="preserve"> in the first year</w:t>
      </w:r>
      <w:r w:rsidR="00430519">
        <w:rPr>
          <w:rFonts w:asciiTheme="minorHAnsi" w:hAnsiTheme="minorHAnsi"/>
          <w:snapToGrid/>
          <w:sz w:val="24"/>
          <w:szCs w:val="24"/>
        </w:rPr>
        <w:t>, increasing to $30 – 60 million in the sixth year of listing</w:t>
      </w:r>
      <w:r w:rsidR="0087631B" w:rsidRPr="00F62235">
        <w:rPr>
          <w:rFonts w:asciiTheme="minorHAnsi" w:hAnsiTheme="minorHAnsi"/>
          <w:snapToGrid/>
          <w:sz w:val="24"/>
          <w:szCs w:val="24"/>
        </w:rPr>
        <w:t>)</w:t>
      </w:r>
      <w:r w:rsidR="00DE0839" w:rsidRPr="00F62235">
        <w:rPr>
          <w:rFonts w:asciiTheme="minorHAnsi" w:hAnsiTheme="minorHAnsi"/>
          <w:snapToGrid/>
          <w:sz w:val="24"/>
          <w:szCs w:val="24"/>
        </w:rPr>
        <w:t>. These estimates were not independently verified.</w:t>
      </w:r>
      <w:bookmarkStart w:id="4" w:name="_Toc413139286"/>
      <w:bookmarkStart w:id="5" w:name="_Toc476306896"/>
      <w:bookmarkStart w:id="6" w:name="_Toc482193602"/>
    </w:p>
    <w:p w:rsidR="00976ADA" w:rsidRPr="00231D98" w:rsidRDefault="00976ADA" w:rsidP="00976ADA">
      <w:pPr>
        <w:pStyle w:val="ListParagraph"/>
        <w:numPr>
          <w:ilvl w:val="1"/>
          <w:numId w:val="5"/>
        </w:numPr>
        <w:spacing w:after="120"/>
        <w:contextualSpacing w:val="0"/>
        <w:rPr>
          <w:rFonts w:asciiTheme="minorHAnsi" w:hAnsiTheme="minorHAnsi"/>
          <w:snapToGrid/>
          <w:sz w:val="24"/>
          <w:szCs w:val="24"/>
        </w:rPr>
      </w:pPr>
      <w:r w:rsidRPr="00231D98">
        <w:rPr>
          <w:rFonts w:asciiTheme="minorHAnsi" w:hAnsiTheme="minorHAnsi"/>
          <w:snapToGrid/>
          <w:sz w:val="24"/>
          <w:szCs w:val="24"/>
        </w:rPr>
        <w:t>The Secretariat noted that the number of eligible patients in the minor resubmission was higher than anticipated, based on the incidence and prevalence of head and neck cancers in Australia</w:t>
      </w:r>
      <w:r w:rsidRPr="00231D98">
        <w:rPr>
          <w:snapToGrid/>
          <w:sz w:val="24"/>
          <w:szCs w:val="24"/>
          <w:vertAlign w:val="superscript"/>
        </w:rPr>
        <w:footnoteReference w:id="2"/>
      </w:r>
      <w:r w:rsidRPr="00231D98">
        <w:rPr>
          <w:rFonts w:asciiTheme="minorHAnsi" w:hAnsiTheme="minorHAnsi"/>
          <w:snapToGrid/>
          <w:sz w:val="24"/>
          <w:szCs w:val="24"/>
        </w:rPr>
        <w:t xml:space="preserve">. The Secretariat noted that this disparity was due to the inclusion of patients with lip neoplasms in the </w:t>
      </w:r>
      <w:r w:rsidR="00A62C65">
        <w:rPr>
          <w:rFonts w:asciiTheme="minorHAnsi" w:hAnsiTheme="minorHAnsi"/>
          <w:snapToGrid/>
          <w:sz w:val="24"/>
          <w:szCs w:val="24"/>
        </w:rPr>
        <w:t>estimated</w:t>
      </w:r>
      <w:r w:rsidRPr="00231D98">
        <w:rPr>
          <w:rFonts w:asciiTheme="minorHAnsi" w:hAnsiTheme="minorHAnsi"/>
          <w:snapToGrid/>
          <w:sz w:val="24"/>
          <w:szCs w:val="24"/>
        </w:rPr>
        <w:t xml:space="preserve"> PBS population. </w:t>
      </w:r>
    </w:p>
    <w:p w:rsidR="00014A0F" w:rsidRPr="00162378" w:rsidRDefault="00014A0F" w:rsidP="00014A0F">
      <w:pPr>
        <w:keepNext/>
        <w:keepLines/>
        <w:spacing w:before="240" w:after="120"/>
        <w:jc w:val="both"/>
        <w:outlineLvl w:val="1"/>
        <w:rPr>
          <w:rFonts w:ascii="Calibri" w:hAnsi="Calibri"/>
          <w:b/>
          <w:i/>
          <w:sz w:val="28"/>
          <w:szCs w:val="28"/>
          <w:lang w:eastAsia="en-US"/>
        </w:rPr>
      </w:pPr>
      <w:r w:rsidRPr="00162378">
        <w:rPr>
          <w:rFonts w:ascii="Calibri" w:hAnsi="Calibri"/>
          <w:b/>
          <w:i/>
          <w:sz w:val="28"/>
          <w:szCs w:val="28"/>
          <w:lang w:eastAsia="en-US"/>
        </w:rPr>
        <w:t>Financial Management – Risk Sharing Arrangements</w:t>
      </w:r>
      <w:bookmarkEnd w:id="4"/>
      <w:bookmarkEnd w:id="5"/>
      <w:bookmarkEnd w:id="6"/>
    </w:p>
    <w:p w:rsidR="00DE0839" w:rsidRPr="00DE0839" w:rsidRDefault="00DE0839" w:rsidP="00DE0839">
      <w:pPr>
        <w:pStyle w:val="ListParagraph"/>
        <w:numPr>
          <w:ilvl w:val="1"/>
          <w:numId w:val="5"/>
        </w:numPr>
        <w:spacing w:after="12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The PBAC had previously requested ‘</w:t>
      </w:r>
      <w:r w:rsidRPr="00DE0839">
        <w:rPr>
          <w:rFonts w:asciiTheme="minorHAnsi" w:eastAsiaTheme="minorHAnsi" w:hAnsiTheme="minorHAnsi" w:cstheme="minorBidi"/>
          <w:snapToGrid/>
          <w:sz w:val="24"/>
          <w:szCs w:val="24"/>
        </w:rPr>
        <w:t>a proposal for a risk-share agreement with 100% rebate beyond the agreed subsidisation caps to mitigate the uncertainties raised by DUSC, including the risk of nivolumab use beyond disease progression</w:t>
      </w:r>
      <w:r>
        <w:rPr>
          <w:rFonts w:asciiTheme="minorHAnsi" w:eastAsiaTheme="minorHAnsi" w:hAnsiTheme="minorHAnsi" w:cstheme="minorBidi"/>
          <w:snapToGrid/>
          <w:sz w:val="24"/>
          <w:szCs w:val="24"/>
        </w:rPr>
        <w:t xml:space="preserve">’ (paragraph 7.19, November 2017 PBAC </w:t>
      </w:r>
      <w:r w:rsidR="00B72BBB">
        <w:rPr>
          <w:rFonts w:asciiTheme="minorHAnsi" w:eastAsiaTheme="minorHAnsi" w:hAnsiTheme="minorHAnsi" w:cstheme="minorBidi"/>
          <w:snapToGrid/>
          <w:sz w:val="24"/>
          <w:szCs w:val="24"/>
        </w:rPr>
        <w:t>PSD</w:t>
      </w:r>
      <w:r>
        <w:rPr>
          <w:rFonts w:asciiTheme="minorHAnsi" w:eastAsiaTheme="minorHAnsi" w:hAnsiTheme="minorHAnsi" w:cstheme="minorBidi"/>
          <w:snapToGrid/>
          <w:sz w:val="24"/>
          <w:szCs w:val="24"/>
        </w:rPr>
        <w:t>).</w:t>
      </w:r>
    </w:p>
    <w:p w:rsidR="00014A0F" w:rsidRPr="00162378" w:rsidRDefault="00014A0F" w:rsidP="00EB792C">
      <w:pPr>
        <w:pStyle w:val="ListParagraph"/>
        <w:numPr>
          <w:ilvl w:val="1"/>
          <w:numId w:val="5"/>
        </w:numPr>
        <w:spacing w:after="120"/>
        <w:contextualSpacing w:val="0"/>
        <w:rPr>
          <w:rFonts w:asciiTheme="minorHAnsi" w:eastAsiaTheme="minorHAnsi" w:hAnsiTheme="minorHAnsi" w:cstheme="minorBidi"/>
          <w:snapToGrid/>
          <w:sz w:val="24"/>
          <w:szCs w:val="24"/>
        </w:rPr>
      </w:pPr>
      <w:r w:rsidRPr="00162378">
        <w:rPr>
          <w:rFonts w:asciiTheme="minorHAnsi" w:eastAsiaTheme="minorHAnsi" w:hAnsiTheme="minorHAnsi" w:cstheme="minorBidi"/>
          <w:snapToGrid/>
          <w:sz w:val="24"/>
          <w:szCs w:val="24"/>
        </w:rPr>
        <w:t xml:space="preserve">The </w:t>
      </w:r>
      <w:r w:rsidR="00946336">
        <w:rPr>
          <w:rFonts w:asciiTheme="minorHAnsi" w:eastAsiaTheme="minorHAnsi" w:hAnsiTheme="minorHAnsi" w:cstheme="minorBidi"/>
          <w:snapToGrid/>
          <w:sz w:val="24"/>
          <w:szCs w:val="24"/>
        </w:rPr>
        <w:t xml:space="preserve">minor </w:t>
      </w:r>
      <w:r w:rsidRPr="00162378">
        <w:rPr>
          <w:rFonts w:asciiTheme="minorHAnsi" w:eastAsiaTheme="minorHAnsi" w:hAnsiTheme="minorHAnsi" w:cstheme="minorBidi"/>
          <w:snapToGrid/>
          <w:sz w:val="24"/>
          <w:szCs w:val="24"/>
        </w:rPr>
        <w:t xml:space="preserve">resubmission </w:t>
      </w:r>
      <w:r w:rsidR="00EB792C">
        <w:rPr>
          <w:rFonts w:asciiTheme="minorHAnsi" w:eastAsiaTheme="minorHAnsi" w:hAnsiTheme="minorHAnsi" w:cstheme="minorBidi"/>
          <w:snapToGrid/>
          <w:sz w:val="24"/>
          <w:szCs w:val="24"/>
        </w:rPr>
        <w:t xml:space="preserve">emphasised the sponsor’s </w:t>
      </w:r>
      <w:r w:rsidR="00EB792C" w:rsidRPr="00EB792C">
        <w:rPr>
          <w:rFonts w:asciiTheme="minorHAnsi" w:eastAsiaTheme="minorHAnsi" w:hAnsiTheme="minorHAnsi" w:cstheme="minorBidi"/>
          <w:snapToGrid/>
          <w:sz w:val="24"/>
          <w:szCs w:val="24"/>
        </w:rPr>
        <w:t xml:space="preserve">willingness </w:t>
      </w:r>
      <w:r w:rsidR="00B57B32">
        <w:rPr>
          <w:rFonts w:asciiTheme="minorHAnsi" w:eastAsiaTheme="minorHAnsi" w:hAnsiTheme="minorHAnsi" w:cstheme="minorBidi"/>
          <w:snapToGrid/>
          <w:sz w:val="24"/>
          <w:szCs w:val="24"/>
        </w:rPr>
        <w:t xml:space="preserve">to enter a </w:t>
      </w:r>
      <w:r w:rsidRPr="00162378">
        <w:rPr>
          <w:rFonts w:asciiTheme="minorHAnsi" w:eastAsiaTheme="minorHAnsi" w:hAnsiTheme="minorHAnsi" w:cstheme="minorBidi"/>
          <w:snapToGrid/>
          <w:sz w:val="24"/>
          <w:szCs w:val="24"/>
        </w:rPr>
        <w:t>risk sharing arrangement (RSA)</w:t>
      </w:r>
      <w:r w:rsidR="00005831">
        <w:rPr>
          <w:rFonts w:asciiTheme="minorHAnsi" w:eastAsiaTheme="minorHAnsi" w:hAnsiTheme="minorHAnsi" w:cstheme="minorBidi"/>
          <w:snapToGrid/>
          <w:sz w:val="24"/>
          <w:szCs w:val="24"/>
        </w:rPr>
        <w:t>, agreeing to a</w:t>
      </w:r>
      <w:r w:rsidR="00B57B32">
        <w:rPr>
          <w:rFonts w:asciiTheme="minorHAnsi" w:eastAsiaTheme="minorHAnsi" w:hAnsiTheme="minorHAnsi" w:cstheme="minorBidi"/>
          <w:snapToGrid/>
          <w:sz w:val="24"/>
          <w:szCs w:val="24"/>
        </w:rPr>
        <w:t xml:space="preserve"> 100% rebate beyond the agreed subsidisation caps to mitigate the uncertainties raised by DUSC</w:t>
      </w:r>
      <w:r w:rsidR="00EB792C">
        <w:rPr>
          <w:rFonts w:asciiTheme="minorHAnsi" w:eastAsiaTheme="minorHAnsi" w:hAnsiTheme="minorHAnsi" w:cstheme="minorBidi"/>
          <w:snapToGrid/>
          <w:sz w:val="24"/>
          <w:szCs w:val="24"/>
        </w:rPr>
        <w:t xml:space="preserve"> and PBAC</w:t>
      </w:r>
      <w:r w:rsidR="00B57B32">
        <w:rPr>
          <w:rFonts w:asciiTheme="minorHAnsi" w:eastAsiaTheme="minorHAnsi" w:hAnsiTheme="minorHAnsi" w:cstheme="minorBidi"/>
          <w:snapToGrid/>
          <w:sz w:val="24"/>
          <w:szCs w:val="24"/>
        </w:rPr>
        <w:t xml:space="preserve"> </w:t>
      </w:r>
      <w:r w:rsidR="00EB792C">
        <w:rPr>
          <w:rFonts w:asciiTheme="minorHAnsi" w:eastAsiaTheme="minorHAnsi" w:hAnsiTheme="minorHAnsi" w:cstheme="minorBidi"/>
          <w:snapToGrid/>
          <w:sz w:val="24"/>
          <w:szCs w:val="24"/>
        </w:rPr>
        <w:t>at the</w:t>
      </w:r>
      <w:r w:rsidR="00946336">
        <w:rPr>
          <w:rFonts w:asciiTheme="minorHAnsi" w:eastAsiaTheme="minorHAnsi" w:hAnsiTheme="minorHAnsi" w:cstheme="minorBidi"/>
          <w:snapToGrid/>
          <w:sz w:val="24"/>
          <w:szCs w:val="24"/>
        </w:rPr>
        <w:t xml:space="preserve">ir </w:t>
      </w:r>
      <w:r w:rsidR="0049156E">
        <w:rPr>
          <w:rFonts w:asciiTheme="minorHAnsi" w:eastAsiaTheme="minorHAnsi" w:hAnsiTheme="minorHAnsi" w:cstheme="minorBidi"/>
          <w:snapToGrid/>
          <w:sz w:val="24"/>
          <w:szCs w:val="24"/>
        </w:rPr>
        <w:t xml:space="preserve">respective </w:t>
      </w:r>
      <w:r w:rsidR="00946336">
        <w:rPr>
          <w:rFonts w:asciiTheme="minorHAnsi" w:eastAsiaTheme="minorHAnsi" w:hAnsiTheme="minorHAnsi" w:cstheme="minorBidi"/>
          <w:snapToGrid/>
          <w:sz w:val="24"/>
          <w:szCs w:val="24"/>
        </w:rPr>
        <w:t>September 2017 and November 20</w:t>
      </w:r>
      <w:r w:rsidR="00EB792C">
        <w:rPr>
          <w:rFonts w:asciiTheme="minorHAnsi" w:eastAsiaTheme="minorHAnsi" w:hAnsiTheme="minorHAnsi" w:cstheme="minorBidi"/>
          <w:snapToGrid/>
          <w:sz w:val="24"/>
          <w:szCs w:val="24"/>
        </w:rPr>
        <w:t>17 considerations</w:t>
      </w:r>
      <w:r w:rsidR="009A4E1B">
        <w:rPr>
          <w:rFonts w:asciiTheme="minorHAnsi" w:eastAsiaTheme="minorHAnsi" w:hAnsiTheme="minorHAnsi" w:cstheme="minorBidi"/>
          <w:snapToGrid/>
          <w:sz w:val="24"/>
          <w:szCs w:val="24"/>
        </w:rPr>
        <w:t xml:space="preserve"> of</w:t>
      </w:r>
      <w:r w:rsidR="0049156E">
        <w:rPr>
          <w:rFonts w:asciiTheme="minorHAnsi" w:eastAsiaTheme="minorHAnsi" w:hAnsiTheme="minorHAnsi" w:cstheme="minorBidi"/>
          <w:snapToGrid/>
          <w:sz w:val="24"/>
          <w:szCs w:val="24"/>
        </w:rPr>
        <w:t xml:space="preserve"> the previous major submission</w:t>
      </w:r>
      <w:r w:rsidR="00EB792C">
        <w:rPr>
          <w:rFonts w:asciiTheme="minorHAnsi" w:eastAsiaTheme="minorHAnsi" w:hAnsiTheme="minorHAnsi" w:cstheme="minorBidi"/>
          <w:snapToGrid/>
          <w:sz w:val="24"/>
          <w:szCs w:val="24"/>
        </w:rPr>
        <w:t>.</w:t>
      </w:r>
    </w:p>
    <w:p w:rsidR="00F62235" w:rsidRDefault="00F62235" w:rsidP="00F62235">
      <w:pPr>
        <w:rPr>
          <w:rFonts w:asciiTheme="minorHAnsi" w:eastAsiaTheme="minorHAnsi" w:hAnsiTheme="minorHAnsi" w:cstheme="minorBidi"/>
          <w:i/>
          <w:szCs w:val="22"/>
        </w:rPr>
      </w:pPr>
      <w:r w:rsidRPr="00EA6F31">
        <w:rPr>
          <w:rFonts w:asciiTheme="minorHAnsi" w:eastAsiaTheme="minorHAnsi" w:hAnsiTheme="minorHAnsi" w:cstheme="minorBidi"/>
          <w:i/>
          <w:szCs w:val="22"/>
        </w:rPr>
        <w:t xml:space="preserve">For more detail on the PBAC’s view, see section </w:t>
      </w:r>
      <w:r w:rsidR="00721EF6">
        <w:rPr>
          <w:rFonts w:asciiTheme="minorHAnsi" w:eastAsiaTheme="minorHAnsi" w:hAnsiTheme="minorHAnsi" w:cstheme="minorBidi"/>
          <w:i/>
          <w:szCs w:val="22"/>
        </w:rPr>
        <w:t xml:space="preserve">6 </w:t>
      </w:r>
      <w:r w:rsidRPr="00EA6F31">
        <w:rPr>
          <w:rFonts w:asciiTheme="minorHAnsi" w:eastAsiaTheme="minorHAnsi" w:hAnsiTheme="minorHAnsi" w:cstheme="minorBidi"/>
          <w:i/>
          <w:szCs w:val="22"/>
        </w:rPr>
        <w:t>PBAC outcome.</w:t>
      </w:r>
    </w:p>
    <w:p w:rsidR="00F62235" w:rsidRPr="00D61352" w:rsidRDefault="00F62235" w:rsidP="00D61352">
      <w:pPr>
        <w:pStyle w:val="Heading1"/>
        <w:keepNext/>
        <w:keepLines/>
        <w:widowControl/>
        <w:numPr>
          <w:ilvl w:val="0"/>
          <w:numId w:val="14"/>
        </w:numPr>
        <w:spacing w:before="120" w:after="160"/>
        <w:ind w:left="709" w:hanging="709"/>
        <w:contextualSpacing w:val="0"/>
        <w:jc w:val="left"/>
        <w:rPr>
          <w:rFonts w:asciiTheme="minorHAnsi" w:hAnsiTheme="minorHAnsi"/>
          <w:b w:val="0"/>
          <w:bCs/>
          <w:sz w:val="32"/>
        </w:rPr>
      </w:pPr>
      <w:r w:rsidRPr="00D61352">
        <w:rPr>
          <w:rFonts w:asciiTheme="minorHAnsi" w:hAnsiTheme="minorHAnsi"/>
          <w:bCs/>
          <w:sz w:val="32"/>
        </w:rPr>
        <w:t xml:space="preserve">PBAC </w:t>
      </w:r>
      <w:r w:rsidR="00842F62" w:rsidRPr="00D61352">
        <w:rPr>
          <w:rFonts w:asciiTheme="minorHAnsi" w:hAnsiTheme="minorHAnsi"/>
          <w:bCs/>
          <w:sz w:val="32"/>
        </w:rPr>
        <w:t>o</w:t>
      </w:r>
      <w:r w:rsidRPr="00D61352">
        <w:rPr>
          <w:rFonts w:asciiTheme="minorHAnsi" w:hAnsiTheme="minorHAnsi"/>
          <w:bCs/>
          <w:sz w:val="32"/>
        </w:rPr>
        <w:t>utcome</w:t>
      </w:r>
    </w:p>
    <w:p w:rsidR="004F78F7" w:rsidRPr="00054066" w:rsidRDefault="004F78F7" w:rsidP="004F78F7">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054066">
        <w:rPr>
          <w:rFonts w:asciiTheme="minorHAnsi" w:eastAsiaTheme="minorHAnsi" w:hAnsiTheme="minorHAnsi" w:cstheme="minorBidi"/>
          <w:snapToGrid/>
          <w:sz w:val="24"/>
          <w:szCs w:val="24"/>
        </w:rPr>
        <w:t xml:space="preserve">The PBAC recommended the Section 100 (Efficient Funding of Chemotherapy - Public and Private Hospital) Authority Required (STREAMLINED) listing of nivolumab for the treatment of SCCHN. In making this recommendation, the PBAC considered the high unmet clinical need in an aggressive and debilitating malignancy and advised that nivolumab treatment resulted in modest yet meaningful clinical benefit </w:t>
      </w:r>
      <w:r w:rsidR="00842F62">
        <w:rPr>
          <w:rFonts w:asciiTheme="minorHAnsi" w:eastAsiaTheme="minorHAnsi" w:hAnsiTheme="minorHAnsi" w:cstheme="minorBidi"/>
          <w:snapToGrid/>
          <w:sz w:val="24"/>
          <w:szCs w:val="24"/>
        </w:rPr>
        <w:t>for</w:t>
      </w:r>
      <w:r w:rsidRPr="00054066">
        <w:rPr>
          <w:rFonts w:asciiTheme="minorHAnsi" w:eastAsiaTheme="minorHAnsi" w:hAnsiTheme="minorHAnsi" w:cstheme="minorBidi"/>
          <w:snapToGrid/>
          <w:sz w:val="24"/>
          <w:szCs w:val="24"/>
        </w:rPr>
        <w:t xml:space="preserve"> some patients.</w:t>
      </w:r>
    </w:p>
    <w:p w:rsidR="00054066" w:rsidRPr="00054066" w:rsidRDefault="00054066" w:rsidP="00EA6F31">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054066">
        <w:rPr>
          <w:rFonts w:asciiTheme="minorHAnsi" w:eastAsiaTheme="minorHAnsi" w:hAnsiTheme="minorHAnsi" w:cstheme="minorBidi"/>
          <w:snapToGrid/>
          <w:sz w:val="24"/>
          <w:szCs w:val="24"/>
        </w:rPr>
        <w:t>The PBAC noted that</w:t>
      </w:r>
      <w:r w:rsidR="00842F62">
        <w:rPr>
          <w:rFonts w:asciiTheme="minorHAnsi" w:eastAsiaTheme="minorHAnsi" w:hAnsiTheme="minorHAnsi" w:cstheme="minorBidi"/>
          <w:snapToGrid/>
          <w:sz w:val="24"/>
          <w:szCs w:val="24"/>
        </w:rPr>
        <w:t>, following the exclusion of the nasopharyngeal subgroup of SCCHN,</w:t>
      </w:r>
      <w:r w:rsidRPr="00054066">
        <w:rPr>
          <w:rFonts w:asciiTheme="minorHAnsi" w:eastAsiaTheme="minorHAnsi" w:hAnsiTheme="minorHAnsi" w:cstheme="minorBidi"/>
          <w:snapToGrid/>
          <w:sz w:val="24"/>
          <w:szCs w:val="24"/>
        </w:rPr>
        <w:t xml:space="preserve"> the proposed restriction and clinical place in therapy </w:t>
      </w:r>
      <w:r w:rsidR="00842F62">
        <w:rPr>
          <w:rFonts w:asciiTheme="minorHAnsi" w:eastAsiaTheme="minorHAnsi" w:hAnsiTheme="minorHAnsi" w:cstheme="minorBidi"/>
          <w:snapToGrid/>
          <w:sz w:val="24"/>
          <w:szCs w:val="24"/>
        </w:rPr>
        <w:t>were</w:t>
      </w:r>
      <w:r w:rsidRPr="00054066">
        <w:rPr>
          <w:rFonts w:asciiTheme="minorHAnsi" w:eastAsiaTheme="minorHAnsi" w:hAnsiTheme="minorHAnsi" w:cstheme="minorBidi"/>
          <w:snapToGrid/>
          <w:sz w:val="24"/>
          <w:szCs w:val="24"/>
        </w:rPr>
        <w:t xml:space="preserve"> appropriately </w:t>
      </w:r>
      <w:r w:rsidR="00842F62">
        <w:rPr>
          <w:rFonts w:asciiTheme="minorHAnsi" w:eastAsiaTheme="minorHAnsi" w:hAnsiTheme="minorHAnsi" w:cstheme="minorBidi"/>
          <w:snapToGrid/>
          <w:sz w:val="24"/>
          <w:szCs w:val="24"/>
        </w:rPr>
        <w:t xml:space="preserve">not further modified </w:t>
      </w:r>
      <w:r w:rsidRPr="00054066">
        <w:rPr>
          <w:rFonts w:asciiTheme="minorHAnsi" w:eastAsiaTheme="minorHAnsi" w:hAnsiTheme="minorHAnsi" w:cstheme="minorBidi"/>
          <w:snapToGrid/>
          <w:sz w:val="24"/>
          <w:szCs w:val="24"/>
        </w:rPr>
        <w:t>in the minor resubmission.</w:t>
      </w:r>
    </w:p>
    <w:p w:rsidR="00EA6F31" w:rsidRDefault="00054066" w:rsidP="00054066">
      <w:pPr>
        <w:pStyle w:val="ListParagraph"/>
        <w:numPr>
          <w:ilvl w:val="1"/>
          <w:numId w:val="5"/>
        </w:numPr>
        <w:spacing w:before="120" w:after="160"/>
        <w:contextualSpacing w:val="0"/>
        <w:rPr>
          <w:rFonts w:asciiTheme="minorHAnsi" w:eastAsiaTheme="minorHAnsi" w:hAnsiTheme="minorHAnsi" w:cstheme="minorBidi"/>
          <w:snapToGrid/>
          <w:sz w:val="24"/>
          <w:szCs w:val="24"/>
        </w:rPr>
      </w:pPr>
      <w:r w:rsidRPr="00054066">
        <w:rPr>
          <w:rFonts w:asciiTheme="minorHAnsi" w:eastAsiaTheme="minorHAnsi" w:hAnsiTheme="minorHAnsi" w:cstheme="minorBidi"/>
          <w:snapToGrid/>
          <w:sz w:val="24"/>
          <w:szCs w:val="24"/>
        </w:rPr>
        <w:t xml:space="preserve">The PBAC noted that the minor resubmission acknowledged that the comparators differed between those included in the investigator’s choice of therapy arm of Trial CA209141 (docetaxel, methotrexate, or cetuximab) and </w:t>
      </w:r>
      <w:r w:rsidR="000A3B64">
        <w:rPr>
          <w:rFonts w:asciiTheme="minorHAnsi" w:eastAsiaTheme="minorHAnsi" w:hAnsiTheme="minorHAnsi" w:cstheme="minorBidi"/>
          <w:snapToGrid/>
          <w:sz w:val="24"/>
          <w:szCs w:val="24"/>
        </w:rPr>
        <w:t>standard of care in Australia</w:t>
      </w:r>
      <w:r w:rsidRPr="00054066">
        <w:rPr>
          <w:rFonts w:asciiTheme="minorHAnsi" w:eastAsiaTheme="minorHAnsi" w:hAnsiTheme="minorHAnsi" w:cstheme="minorBidi"/>
          <w:snapToGrid/>
          <w:sz w:val="24"/>
          <w:szCs w:val="24"/>
        </w:rPr>
        <w:t xml:space="preserve"> (paclitaxel, docetaxel, methotrexate, or capecitabine). The PBAC recalled that</w:t>
      </w:r>
      <w:r w:rsidR="00842F62">
        <w:rPr>
          <w:rFonts w:asciiTheme="minorHAnsi" w:eastAsiaTheme="minorHAnsi" w:hAnsiTheme="minorHAnsi" w:cstheme="minorBidi"/>
          <w:snapToGrid/>
          <w:sz w:val="24"/>
          <w:szCs w:val="24"/>
        </w:rPr>
        <w:t>,</w:t>
      </w:r>
      <w:r w:rsidRPr="00054066">
        <w:rPr>
          <w:rFonts w:asciiTheme="minorHAnsi" w:eastAsiaTheme="minorHAnsi" w:hAnsiTheme="minorHAnsi" w:cstheme="minorBidi"/>
          <w:snapToGrid/>
          <w:sz w:val="24"/>
          <w:szCs w:val="24"/>
        </w:rPr>
        <w:t xml:space="preserve"> at its November 2017 consideration of this submission, it had advised that the applicability of the results to the Australian setting </w:t>
      </w:r>
      <w:r>
        <w:rPr>
          <w:rFonts w:asciiTheme="minorHAnsi" w:eastAsiaTheme="minorHAnsi" w:hAnsiTheme="minorHAnsi" w:cstheme="minorBidi"/>
          <w:snapToGrid/>
          <w:sz w:val="24"/>
          <w:szCs w:val="24"/>
        </w:rPr>
        <w:t>was</w:t>
      </w:r>
      <w:r w:rsidRPr="00054066">
        <w:rPr>
          <w:rFonts w:asciiTheme="minorHAnsi" w:eastAsiaTheme="minorHAnsi" w:hAnsiTheme="minorHAnsi" w:cstheme="minorBidi"/>
          <w:snapToGrid/>
          <w:sz w:val="24"/>
          <w:szCs w:val="24"/>
        </w:rPr>
        <w:t xml:space="preserve"> uncertain</w:t>
      </w:r>
      <w:r>
        <w:rPr>
          <w:rFonts w:asciiTheme="minorHAnsi" w:eastAsiaTheme="minorHAnsi" w:hAnsiTheme="minorHAnsi" w:cstheme="minorBidi"/>
          <w:snapToGrid/>
          <w:sz w:val="24"/>
          <w:szCs w:val="24"/>
        </w:rPr>
        <w:t xml:space="preserve"> </w:t>
      </w:r>
      <w:r w:rsidRPr="00054066">
        <w:rPr>
          <w:rFonts w:asciiTheme="minorHAnsi" w:eastAsiaTheme="minorHAnsi" w:hAnsiTheme="minorHAnsi" w:cstheme="minorBidi"/>
          <w:snapToGrid/>
          <w:sz w:val="24"/>
          <w:szCs w:val="24"/>
        </w:rPr>
        <w:t xml:space="preserve">(paragraph 7.4, November 2017 PBAC </w:t>
      </w:r>
      <w:r w:rsidR="00EA74CA">
        <w:rPr>
          <w:rFonts w:asciiTheme="minorHAnsi" w:eastAsiaTheme="minorHAnsi" w:hAnsiTheme="minorHAnsi" w:cstheme="minorBidi"/>
          <w:snapToGrid/>
          <w:sz w:val="24"/>
          <w:szCs w:val="24"/>
        </w:rPr>
        <w:t>PSD</w:t>
      </w:r>
      <w:r w:rsidRPr="00054066">
        <w:rPr>
          <w:rFonts w:asciiTheme="minorHAnsi" w:eastAsiaTheme="minorHAnsi" w:hAnsiTheme="minorHAnsi" w:cstheme="minorBidi"/>
          <w:snapToGrid/>
          <w:sz w:val="24"/>
          <w:szCs w:val="24"/>
        </w:rPr>
        <w:t xml:space="preserve">). The PBAC </w:t>
      </w:r>
      <w:r>
        <w:rPr>
          <w:rFonts w:asciiTheme="minorHAnsi" w:eastAsiaTheme="minorHAnsi" w:hAnsiTheme="minorHAnsi" w:cstheme="minorBidi"/>
          <w:snapToGrid/>
          <w:sz w:val="24"/>
          <w:szCs w:val="24"/>
        </w:rPr>
        <w:t xml:space="preserve">recalled that it </w:t>
      </w:r>
      <w:r w:rsidRPr="00054066">
        <w:rPr>
          <w:rFonts w:asciiTheme="minorHAnsi" w:eastAsiaTheme="minorHAnsi" w:hAnsiTheme="minorHAnsi" w:cstheme="minorBidi"/>
          <w:snapToGrid/>
          <w:sz w:val="24"/>
          <w:szCs w:val="24"/>
        </w:rPr>
        <w:t xml:space="preserve">was </w:t>
      </w:r>
      <w:r>
        <w:rPr>
          <w:rFonts w:asciiTheme="minorHAnsi" w:eastAsiaTheme="minorHAnsi" w:hAnsiTheme="minorHAnsi" w:cstheme="minorBidi"/>
          <w:snapToGrid/>
          <w:sz w:val="24"/>
          <w:szCs w:val="24"/>
        </w:rPr>
        <w:t xml:space="preserve">particularly </w:t>
      </w:r>
      <w:r w:rsidRPr="00054066">
        <w:rPr>
          <w:rFonts w:asciiTheme="minorHAnsi" w:eastAsiaTheme="minorHAnsi" w:hAnsiTheme="minorHAnsi" w:cstheme="minorBidi"/>
          <w:snapToGrid/>
          <w:sz w:val="24"/>
          <w:szCs w:val="24"/>
        </w:rPr>
        <w:t>concerned that the results of a subgroup analysis showed that OS HR (</w:t>
      </w:r>
      <w:r w:rsidR="007B0774">
        <w:rPr>
          <w:rFonts w:asciiTheme="minorHAnsi" w:eastAsiaTheme="minorHAnsi" w:hAnsiTheme="minorHAnsi" w:cstheme="minorBidi"/>
          <w:noProof/>
          <w:snapToGrid/>
          <w:color w:val="000000"/>
          <w:sz w:val="24"/>
          <w:szCs w:val="24"/>
          <w:highlight w:val="black"/>
        </w:rPr>
        <w:t>'''''''''</w:t>
      </w:r>
      <w:r w:rsidRPr="00F61237">
        <w:rPr>
          <w:rFonts w:asciiTheme="minorHAnsi" w:eastAsiaTheme="minorHAnsi" w:hAnsiTheme="minorHAnsi" w:cstheme="minorBidi"/>
          <w:snapToGrid/>
          <w:sz w:val="24"/>
          <w:szCs w:val="24"/>
        </w:rPr>
        <w:t xml:space="preserve"> (95% CI: </w:t>
      </w:r>
      <w:r w:rsidR="007B0774">
        <w:rPr>
          <w:rFonts w:asciiTheme="minorHAnsi" w:eastAsiaTheme="minorHAnsi" w:hAnsiTheme="minorHAnsi" w:cstheme="minorBidi"/>
          <w:noProof/>
          <w:snapToGrid/>
          <w:color w:val="000000"/>
          <w:sz w:val="24"/>
          <w:szCs w:val="24"/>
          <w:highlight w:val="black"/>
        </w:rPr>
        <w:t>''''''''' '''''''''</w:t>
      </w:r>
      <w:r w:rsidRPr="00054066">
        <w:rPr>
          <w:rFonts w:asciiTheme="minorHAnsi" w:eastAsiaTheme="minorHAnsi" w:hAnsiTheme="minorHAnsi" w:cstheme="minorBidi"/>
          <w:snapToGrid/>
          <w:sz w:val="24"/>
          <w:szCs w:val="24"/>
        </w:rPr>
        <w:t xml:space="preserve">)) was more favourable when nivolumab was compared to cetuximab, than to methotrexate or docetaxel, noting that this disparity in comparators contributed to </w:t>
      </w:r>
      <w:r w:rsidR="000A3B64">
        <w:rPr>
          <w:rFonts w:asciiTheme="minorHAnsi" w:eastAsiaTheme="minorHAnsi" w:hAnsiTheme="minorHAnsi" w:cstheme="minorBidi"/>
          <w:snapToGrid/>
          <w:sz w:val="24"/>
          <w:szCs w:val="24"/>
        </w:rPr>
        <w:t xml:space="preserve">the </w:t>
      </w:r>
      <w:r w:rsidRPr="00054066">
        <w:rPr>
          <w:rFonts w:asciiTheme="minorHAnsi" w:eastAsiaTheme="minorHAnsi" w:hAnsiTheme="minorHAnsi" w:cstheme="minorBidi"/>
          <w:snapToGrid/>
          <w:sz w:val="24"/>
          <w:szCs w:val="24"/>
        </w:rPr>
        <w:t>uncertainty in estimating the magnitude of incremental clinical benefit derived with nivolumab in t</w:t>
      </w:r>
      <w:r>
        <w:rPr>
          <w:rFonts w:asciiTheme="minorHAnsi" w:eastAsiaTheme="minorHAnsi" w:hAnsiTheme="minorHAnsi" w:cstheme="minorBidi"/>
          <w:snapToGrid/>
          <w:sz w:val="24"/>
          <w:szCs w:val="24"/>
        </w:rPr>
        <w:t xml:space="preserve">he Australian clinical setting </w:t>
      </w:r>
      <w:r w:rsidRPr="00054066">
        <w:rPr>
          <w:rFonts w:asciiTheme="minorHAnsi" w:eastAsiaTheme="minorHAnsi" w:hAnsiTheme="minorHAnsi" w:cstheme="minorBidi"/>
          <w:snapToGrid/>
          <w:sz w:val="24"/>
          <w:szCs w:val="24"/>
        </w:rPr>
        <w:t xml:space="preserve">(paragraph 7.6, November 2017 PBAC </w:t>
      </w:r>
      <w:r w:rsidR="00EA74CA">
        <w:rPr>
          <w:rFonts w:asciiTheme="minorHAnsi" w:eastAsiaTheme="minorHAnsi" w:hAnsiTheme="minorHAnsi" w:cstheme="minorBidi"/>
          <w:snapToGrid/>
          <w:sz w:val="24"/>
          <w:szCs w:val="24"/>
        </w:rPr>
        <w:t>PSD</w:t>
      </w:r>
      <w:r w:rsidRPr="00054066">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w:t>
      </w:r>
    </w:p>
    <w:p w:rsidR="00054066" w:rsidRDefault="00054066" w:rsidP="00054066">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The PBAC noted that</w:t>
      </w:r>
      <w:r w:rsidR="006048C2">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although it had </w:t>
      </w:r>
      <w:r w:rsidR="000A3B64">
        <w:rPr>
          <w:rFonts w:asciiTheme="minorHAnsi" w:eastAsiaTheme="minorHAnsi" w:hAnsiTheme="minorHAnsi" w:cstheme="minorBidi"/>
          <w:snapToGrid/>
          <w:sz w:val="24"/>
          <w:szCs w:val="24"/>
        </w:rPr>
        <w:t>requested</w:t>
      </w:r>
      <w:r>
        <w:rPr>
          <w:rFonts w:asciiTheme="minorHAnsi" w:eastAsiaTheme="minorHAnsi" w:hAnsiTheme="minorHAnsi" w:cstheme="minorBidi"/>
          <w:snapToGrid/>
          <w:sz w:val="24"/>
          <w:szCs w:val="24"/>
        </w:rPr>
        <w:t xml:space="preserve"> </w:t>
      </w:r>
      <w:r w:rsidR="006048C2">
        <w:rPr>
          <w:rFonts w:asciiTheme="minorHAnsi" w:eastAsiaTheme="minorHAnsi" w:hAnsiTheme="minorHAnsi" w:cstheme="minorBidi"/>
          <w:snapToGrid/>
          <w:sz w:val="24"/>
          <w:szCs w:val="24"/>
        </w:rPr>
        <w:t>the provision of</w:t>
      </w:r>
      <w:r>
        <w:rPr>
          <w:rFonts w:asciiTheme="minorHAnsi" w:eastAsiaTheme="minorHAnsi" w:hAnsiTheme="minorHAnsi" w:cstheme="minorBidi"/>
          <w:snapToGrid/>
          <w:sz w:val="24"/>
          <w:szCs w:val="24"/>
        </w:rPr>
        <w:t xml:space="preserve"> </w:t>
      </w:r>
      <w:r w:rsidRPr="00054066">
        <w:rPr>
          <w:rFonts w:asciiTheme="minorHAnsi" w:eastAsiaTheme="minorHAnsi" w:hAnsiTheme="minorHAnsi" w:cstheme="minorBidi"/>
          <w:snapToGrid/>
          <w:sz w:val="24"/>
          <w:szCs w:val="24"/>
        </w:rPr>
        <w:t xml:space="preserve">any further evidence that may be available to demonstrate the comparative effectiveness of nivolumab in the proposed PBS population, to compensate for the disparity in </w:t>
      </w:r>
      <w:r>
        <w:rPr>
          <w:rFonts w:asciiTheme="minorHAnsi" w:eastAsiaTheme="minorHAnsi" w:hAnsiTheme="minorHAnsi" w:cstheme="minorBidi"/>
          <w:snapToGrid/>
          <w:sz w:val="24"/>
          <w:szCs w:val="24"/>
        </w:rPr>
        <w:t xml:space="preserve">comparator choice </w:t>
      </w:r>
      <w:r w:rsidRPr="00054066">
        <w:rPr>
          <w:rFonts w:asciiTheme="minorHAnsi" w:eastAsiaTheme="minorHAnsi" w:hAnsiTheme="minorHAnsi" w:cstheme="minorBidi"/>
          <w:snapToGrid/>
          <w:sz w:val="24"/>
          <w:szCs w:val="24"/>
        </w:rPr>
        <w:t xml:space="preserve">(paragraph 7.19, November 2017 PBAC </w:t>
      </w:r>
      <w:r w:rsidR="00EA74CA">
        <w:rPr>
          <w:rFonts w:asciiTheme="minorHAnsi" w:eastAsiaTheme="minorHAnsi" w:hAnsiTheme="minorHAnsi" w:cstheme="minorBidi"/>
          <w:snapToGrid/>
          <w:sz w:val="24"/>
          <w:szCs w:val="24"/>
        </w:rPr>
        <w:t>PSD</w:t>
      </w:r>
      <w:r w:rsidRPr="00054066">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no such evidence was provided in the minor resubmission. The PBAC </w:t>
      </w:r>
      <w:r w:rsidR="006048C2">
        <w:rPr>
          <w:rFonts w:asciiTheme="minorHAnsi" w:eastAsiaTheme="minorHAnsi" w:hAnsiTheme="minorHAnsi" w:cstheme="minorBidi"/>
          <w:snapToGrid/>
          <w:sz w:val="24"/>
          <w:szCs w:val="24"/>
        </w:rPr>
        <w:t xml:space="preserve">also </w:t>
      </w:r>
      <w:r>
        <w:rPr>
          <w:rFonts w:asciiTheme="minorHAnsi" w:eastAsiaTheme="minorHAnsi" w:hAnsiTheme="minorHAnsi" w:cstheme="minorBidi"/>
          <w:snapToGrid/>
          <w:sz w:val="24"/>
          <w:szCs w:val="24"/>
        </w:rPr>
        <w:t xml:space="preserve">noted that no evidence or justification to address PBAC’s concerns regarding the efficacy of nivolumab in the </w:t>
      </w:r>
      <w:r w:rsidRPr="00054066">
        <w:rPr>
          <w:rFonts w:asciiTheme="minorHAnsi" w:eastAsiaTheme="minorHAnsi" w:hAnsiTheme="minorHAnsi" w:cstheme="minorBidi"/>
          <w:snapToGrid/>
          <w:sz w:val="24"/>
          <w:szCs w:val="24"/>
        </w:rPr>
        <w:t>older</w:t>
      </w:r>
      <w:r>
        <w:rPr>
          <w:rFonts w:asciiTheme="minorHAnsi" w:eastAsiaTheme="minorHAnsi" w:hAnsiTheme="minorHAnsi" w:cstheme="minorBidi"/>
          <w:snapToGrid/>
          <w:sz w:val="24"/>
          <w:szCs w:val="24"/>
        </w:rPr>
        <w:t xml:space="preserve"> patient population (&gt;75 years) was </w:t>
      </w:r>
      <w:r w:rsidR="009F4855">
        <w:rPr>
          <w:rFonts w:asciiTheme="minorHAnsi" w:eastAsiaTheme="minorHAnsi" w:hAnsiTheme="minorHAnsi" w:cstheme="minorBidi"/>
          <w:snapToGrid/>
          <w:sz w:val="24"/>
          <w:szCs w:val="24"/>
        </w:rPr>
        <w:t xml:space="preserve">provided </w:t>
      </w:r>
      <w:r>
        <w:rPr>
          <w:rFonts w:asciiTheme="minorHAnsi" w:eastAsiaTheme="minorHAnsi" w:hAnsiTheme="minorHAnsi" w:cstheme="minorBidi"/>
          <w:snapToGrid/>
          <w:sz w:val="24"/>
          <w:szCs w:val="24"/>
        </w:rPr>
        <w:t>in the minor resubmission.</w:t>
      </w:r>
    </w:p>
    <w:p w:rsidR="00054066" w:rsidRDefault="00054066" w:rsidP="00054066">
      <w:pPr>
        <w:pStyle w:val="ListParagraph"/>
        <w:numPr>
          <w:ilvl w:val="1"/>
          <w:numId w:val="5"/>
        </w:numPr>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As such, the PBAC’s advice regarding the clinical evidence presented in the minor resubmission remained unchanged. </w:t>
      </w:r>
      <w:r w:rsidRPr="00054066">
        <w:rPr>
          <w:rFonts w:asciiTheme="minorHAnsi" w:eastAsiaTheme="minorHAnsi" w:hAnsiTheme="minorHAnsi" w:cstheme="minorBidi"/>
          <w:snapToGrid/>
          <w:sz w:val="24"/>
          <w:szCs w:val="24"/>
        </w:rPr>
        <w:t xml:space="preserve">The PBAC </w:t>
      </w:r>
      <w:r>
        <w:rPr>
          <w:rFonts w:asciiTheme="minorHAnsi" w:eastAsiaTheme="minorHAnsi" w:hAnsiTheme="minorHAnsi" w:cstheme="minorBidi"/>
          <w:snapToGrid/>
          <w:sz w:val="24"/>
          <w:szCs w:val="24"/>
        </w:rPr>
        <w:t>maintained that</w:t>
      </w:r>
      <w:r w:rsidR="006048C2">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while </w:t>
      </w:r>
      <w:r w:rsidRPr="00054066">
        <w:rPr>
          <w:rFonts w:asciiTheme="minorHAnsi" w:eastAsiaTheme="minorHAnsi" w:hAnsiTheme="minorHAnsi" w:cstheme="minorBidi"/>
          <w:snapToGrid/>
          <w:sz w:val="24"/>
          <w:szCs w:val="24"/>
        </w:rPr>
        <w:t>nivolumab treatment resulted in modest clinical benefit</w:t>
      </w:r>
      <w:r>
        <w:rPr>
          <w:rFonts w:asciiTheme="minorHAnsi" w:eastAsiaTheme="minorHAnsi" w:hAnsiTheme="minorHAnsi" w:cstheme="minorBidi"/>
          <w:snapToGrid/>
          <w:sz w:val="24"/>
          <w:szCs w:val="24"/>
        </w:rPr>
        <w:t xml:space="preserve"> in some patients</w:t>
      </w:r>
      <w:r w:rsidRPr="00054066">
        <w:rPr>
          <w:rFonts w:asciiTheme="minorHAnsi" w:eastAsiaTheme="minorHAnsi" w:hAnsiTheme="minorHAnsi" w:cstheme="minorBidi"/>
          <w:snapToGrid/>
          <w:sz w:val="24"/>
          <w:szCs w:val="24"/>
        </w:rPr>
        <w:t xml:space="preserve">, </w:t>
      </w:r>
      <w:r>
        <w:rPr>
          <w:rFonts w:asciiTheme="minorHAnsi" w:eastAsiaTheme="minorHAnsi" w:hAnsiTheme="minorHAnsi" w:cstheme="minorBidi"/>
          <w:snapToGrid/>
          <w:sz w:val="24"/>
          <w:szCs w:val="24"/>
        </w:rPr>
        <w:t>the estimation of</w:t>
      </w:r>
      <w:r w:rsidRPr="00054066">
        <w:rPr>
          <w:rFonts w:asciiTheme="minorHAnsi" w:eastAsiaTheme="minorHAnsi" w:hAnsiTheme="minorHAnsi" w:cstheme="minorBidi"/>
          <w:snapToGrid/>
          <w:sz w:val="24"/>
          <w:szCs w:val="24"/>
        </w:rPr>
        <w:t xml:space="preserve"> the magnitude of incremental benefit in Australian clinical practice from Trial CA209141 was confounded.</w:t>
      </w:r>
    </w:p>
    <w:p w:rsidR="00BA60B9" w:rsidRPr="00054066" w:rsidRDefault="00BA60B9" w:rsidP="00BA60B9">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PBAC recalled that the November 2017 submission </w:t>
      </w:r>
      <w:r w:rsidRPr="00BA60B9">
        <w:rPr>
          <w:rFonts w:asciiTheme="minorHAnsi" w:eastAsiaTheme="minorHAnsi" w:hAnsiTheme="minorHAnsi" w:cstheme="minorBidi"/>
          <w:snapToGrid/>
          <w:sz w:val="24"/>
          <w:szCs w:val="24"/>
        </w:rPr>
        <w:t xml:space="preserve">presented a partitioned survival model with a </w:t>
      </w:r>
      <w:r w:rsidR="007B0774">
        <w:rPr>
          <w:rFonts w:asciiTheme="minorHAnsi" w:eastAsiaTheme="minorHAnsi" w:hAnsiTheme="minorHAnsi" w:cstheme="minorBidi"/>
          <w:noProof/>
          <w:snapToGrid/>
          <w:color w:val="000000"/>
          <w:sz w:val="24"/>
          <w:szCs w:val="24"/>
          <w:highlight w:val="black"/>
        </w:rPr>
        <w:t>'''</w:t>
      </w:r>
      <w:r w:rsidRPr="00F61237">
        <w:rPr>
          <w:rFonts w:asciiTheme="minorHAnsi" w:eastAsiaTheme="minorHAnsi" w:hAnsiTheme="minorHAnsi" w:cstheme="minorBidi"/>
          <w:snapToGrid/>
          <w:sz w:val="24"/>
          <w:szCs w:val="24"/>
        </w:rPr>
        <w:t xml:space="preserve">-year time horizon to estimate the cost-effectiveness of nivolumab. The PBAC recalled that it had considered that a number of key drivers in the economic model favoured nivolumab. These included (i) use of a log-logistic model to extrapolate OS; (ii) application of different utility values across the model’s arms for the post-progression health state; (iii) the use of PFS to estimate treatment duration (noting that </w:t>
      </w:r>
      <w:r w:rsidR="007B0774">
        <w:rPr>
          <w:rFonts w:asciiTheme="minorHAnsi" w:eastAsiaTheme="minorHAnsi" w:hAnsiTheme="minorHAnsi" w:cstheme="minorBidi"/>
          <w:noProof/>
          <w:snapToGrid/>
          <w:color w:val="000000"/>
          <w:sz w:val="24"/>
          <w:szCs w:val="24"/>
          <w:highlight w:val="black"/>
        </w:rPr>
        <w:t>'''''''''</w:t>
      </w:r>
      <w:r w:rsidRPr="00BA60B9">
        <w:rPr>
          <w:rFonts w:asciiTheme="minorHAnsi" w:eastAsiaTheme="minorHAnsi" w:hAnsiTheme="minorHAnsi" w:cstheme="minorBidi"/>
          <w:snapToGrid/>
          <w:sz w:val="24"/>
          <w:szCs w:val="24"/>
        </w:rPr>
        <w:t xml:space="preserve">% of nivolumab patients were treated beyond disease progression); and (iv) the exclusion of costs associated with subsequent therapies in the economic model </w:t>
      </w:r>
      <w:r>
        <w:rPr>
          <w:rFonts w:asciiTheme="minorHAnsi" w:eastAsiaTheme="minorHAnsi" w:hAnsiTheme="minorHAnsi" w:cstheme="minorBidi"/>
          <w:snapToGrid/>
          <w:sz w:val="24"/>
          <w:szCs w:val="24"/>
        </w:rPr>
        <w:t>(paragraph 7.11</w:t>
      </w:r>
      <w:r w:rsidRPr="00BA60B9">
        <w:rPr>
          <w:rFonts w:asciiTheme="minorHAnsi" w:eastAsiaTheme="minorHAnsi" w:hAnsiTheme="minorHAnsi" w:cstheme="minorBidi"/>
          <w:snapToGrid/>
          <w:sz w:val="24"/>
          <w:szCs w:val="24"/>
        </w:rPr>
        <w:t xml:space="preserve">, November 2017 PBAC </w:t>
      </w:r>
      <w:r w:rsidR="00EA74CA">
        <w:rPr>
          <w:rFonts w:asciiTheme="minorHAnsi" w:eastAsiaTheme="minorHAnsi" w:hAnsiTheme="minorHAnsi" w:cstheme="minorBidi"/>
          <w:snapToGrid/>
          <w:sz w:val="24"/>
          <w:szCs w:val="24"/>
        </w:rPr>
        <w:t>PSD</w:t>
      </w:r>
      <w:r w:rsidRPr="00BA60B9">
        <w:rPr>
          <w:rFonts w:asciiTheme="minorHAnsi" w:eastAsiaTheme="minorHAnsi" w:hAnsiTheme="minorHAnsi" w:cstheme="minorBidi"/>
          <w:snapToGrid/>
          <w:sz w:val="24"/>
          <w:szCs w:val="24"/>
        </w:rPr>
        <w:t>)</w:t>
      </w:r>
    </w:p>
    <w:p w:rsidR="00054066" w:rsidRPr="00F61237" w:rsidRDefault="00BA60B9" w:rsidP="00BA60B9">
      <w:pPr>
        <w:pStyle w:val="ListParagraph"/>
        <w:numPr>
          <w:ilvl w:val="1"/>
          <w:numId w:val="5"/>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PBAC recalled that it had therefore advised that a future resubmission should present </w:t>
      </w:r>
      <w:r w:rsidRPr="00BA60B9">
        <w:rPr>
          <w:rFonts w:asciiTheme="minorHAnsi" w:eastAsiaTheme="minorHAnsi" w:hAnsiTheme="minorHAnsi" w:cstheme="minorBidi"/>
          <w:snapToGrid/>
          <w:sz w:val="24"/>
          <w:szCs w:val="24"/>
        </w:rPr>
        <w:t xml:space="preserve">an updated economic model based on more realistic post-progression utilities in modelled arms, and either methods of extrapolation and estimates of nivolumab treatment duration which are less favourable to nivolumab, or which are </w:t>
      </w:r>
      <w:r w:rsidRPr="00F61237">
        <w:rPr>
          <w:rFonts w:asciiTheme="minorHAnsi" w:eastAsiaTheme="minorHAnsi" w:hAnsiTheme="minorHAnsi" w:cstheme="minorBidi"/>
          <w:snapToGrid/>
          <w:sz w:val="24"/>
          <w:szCs w:val="24"/>
        </w:rPr>
        <w:t xml:space="preserve">based on more persuasive justifications of the log-logistic method of extrapolating OS and the </w:t>
      </w:r>
      <w:r w:rsidR="007B0774">
        <w:rPr>
          <w:rFonts w:asciiTheme="minorHAnsi" w:eastAsiaTheme="minorHAnsi" w:hAnsiTheme="minorHAnsi" w:cstheme="minorBidi"/>
          <w:noProof/>
          <w:snapToGrid/>
          <w:color w:val="000000"/>
          <w:sz w:val="24"/>
          <w:szCs w:val="24"/>
          <w:highlight w:val="black"/>
        </w:rPr>
        <w:t>'''''''''</w:t>
      </w:r>
      <w:r w:rsidRPr="00F61237">
        <w:rPr>
          <w:rFonts w:asciiTheme="minorHAnsi" w:eastAsiaTheme="minorHAnsi" w:hAnsiTheme="minorHAnsi" w:cstheme="minorBidi"/>
          <w:snapToGrid/>
          <w:sz w:val="24"/>
          <w:szCs w:val="24"/>
        </w:rPr>
        <w:t xml:space="preserve">% increase in nivolumab treatment duration for the base case of the updated economic model (paragraph 7.19, November 2017 PBAC </w:t>
      </w:r>
      <w:r w:rsidR="00EA74CA" w:rsidRPr="00F61237">
        <w:rPr>
          <w:rFonts w:asciiTheme="minorHAnsi" w:eastAsiaTheme="minorHAnsi" w:hAnsiTheme="minorHAnsi" w:cstheme="minorBidi"/>
          <w:snapToGrid/>
          <w:sz w:val="24"/>
          <w:szCs w:val="24"/>
        </w:rPr>
        <w:t>PSD</w:t>
      </w:r>
      <w:r w:rsidRPr="00F61237">
        <w:rPr>
          <w:rFonts w:asciiTheme="minorHAnsi" w:eastAsiaTheme="minorHAnsi" w:hAnsiTheme="minorHAnsi" w:cstheme="minorBidi"/>
          <w:snapToGrid/>
          <w:sz w:val="24"/>
          <w:szCs w:val="24"/>
        </w:rPr>
        <w:t>).</w:t>
      </w:r>
    </w:p>
    <w:p w:rsidR="00BA60B9" w:rsidRPr="00F61237" w:rsidRDefault="00BA60B9" w:rsidP="00BA60B9">
      <w:pPr>
        <w:pStyle w:val="ListParagraph"/>
        <w:numPr>
          <w:ilvl w:val="1"/>
          <w:numId w:val="5"/>
        </w:numPr>
        <w:spacing w:before="120" w:after="160"/>
        <w:rPr>
          <w:rFonts w:asciiTheme="minorHAnsi" w:eastAsiaTheme="minorHAnsi" w:hAnsiTheme="minorHAnsi" w:cstheme="minorBidi"/>
          <w:snapToGrid/>
          <w:sz w:val="24"/>
          <w:szCs w:val="24"/>
        </w:rPr>
      </w:pPr>
      <w:r w:rsidRPr="00F61237">
        <w:rPr>
          <w:rFonts w:asciiTheme="minorHAnsi" w:eastAsiaTheme="minorHAnsi" w:hAnsiTheme="minorHAnsi" w:cstheme="minorBidi"/>
          <w:snapToGrid/>
          <w:sz w:val="24"/>
          <w:szCs w:val="24"/>
        </w:rPr>
        <w:t xml:space="preserve">The PBAC noted that the minor </w:t>
      </w:r>
      <w:r w:rsidR="00C21DBD" w:rsidRPr="00F61237">
        <w:rPr>
          <w:rFonts w:asciiTheme="minorHAnsi" w:eastAsiaTheme="minorHAnsi" w:hAnsiTheme="minorHAnsi" w:cstheme="minorBidi"/>
          <w:snapToGrid/>
          <w:sz w:val="24"/>
          <w:szCs w:val="24"/>
        </w:rPr>
        <w:t xml:space="preserve">resubmission </w:t>
      </w:r>
      <w:r w:rsidRPr="00F61237">
        <w:rPr>
          <w:rFonts w:asciiTheme="minorHAnsi" w:eastAsiaTheme="minorHAnsi" w:hAnsiTheme="minorHAnsi" w:cstheme="minorBidi"/>
          <w:snapToGrid/>
          <w:sz w:val="24"/>
          <w:szCs w:val="24"/>
        </w:rPr>
        <w:t>presented an updated economic model, with the following key amendments:</w:t>
      </w:r>
    </w:p>
    <w:p w:rsidR="00BA60B9" w:rsidRPr="00F61237" w:rsidRDefault="00DD147B" w:rsidP="006048C2">
      <w:pPr>
        <w:pStyle w:val="ListParagraph"/>
        <w:widowControl/>
        <w:numPr>
          <w:ilvl w:val="3"/>
          <w:numId w:val="5"/>
        </w:numPr>
        <w:tabs>
          <w:tab w:val="left" w:pos="1134"/>
        </w:tabs>
        <w:ind w:hanging="371"/>
        <w:contextualSpacing w:val="0"/>
        <w:rPr>
          <w:rFonts w:asciiTheme="minorHAnsi" w:eastAsiaTheme="minorHAnsi" w:hAnsiTheme="minorHAnsi" w:cstheme="minorBidi"/>
          <w:snapToGrid/>
          <w:sz w:val="24"/>
          <w:szCs w:val="24"/>
        </w:rPr>
      </w:pPr>
      <w:r w:rsidRPr="00F61237">
        <w:rPr>
          <w:rFonts w:asciiTheme="minorHAnsi" w:eastAsiaTheme="minorHAnsi" w:hAnsiTheme="minorHAnsi" w:cstheme="minorBidi"/>
          <w:snapToGrid/>
          <w:sz w:val="24"/>
          <w:szCs w:val="24"/>
        </w:rPr>
        <w:t>“</w:t>
      </w:r>
      <w:r w:rsidR="006048C2" w:rsidRPr="00F61237">
        <w:rPr>
          <w:rFonts w:asciiTheme="minorHAnsi" w:hAnsiTheme="minorHAnsi"/>
          <w:sz w:val="24"/>
          <w:szCs w:val="24"/>
        </w:rPr>
        <w:t>m</w:t>
      </w:r>
      <w:r w:rsidR="00BA60B9" w:rsidRPr="00F61237">
        <w:rPr>
          <w:rFonts w:asciiTheme="minorHAnsi" w:hAnsiTheme="minorHAnsi"/>
          <w:sz w:val="24"/>
          <w:szCs w:val="24"/>
        </w:rPr>
        <w:t>odified</w:t>
      </w:r>
      <w:r w:rsidR="00BA60B9" w:rsidRPr="00F61237">
        <w:rPr>
          <w:rFonts w:asciiTheme="minorHAnsi" w:eastAsiaTheme="minorHAnsi" w:hAnsiTheme="minorHAnsi" w:cstheme="minorBidi"/>
          <w:snapToGrid/>
          <w:sz w:val="24"/>
          <w:szCs w:val="24"/>
        </w:rPr>
        <w:t>” utility values were applied to the ‘Alive Following Progression’ health state using treatment specific utilities observed in Study CA209141 for the trial period, and equal utility values (</w:t>
      </w:r>
      <w:r w:rsidR="007B0774">
        <w:rPr>
          <w:rFonts w:asciiTheme="minorHAnsi" w:eastAsiaTheme="minorHAnsi" w:hAnsiTheme="minorHAnsi" w:cstheme="minorBidi"/>
          <w:noProof/>
          <w:snapToGrid/>
          <w:color w:val="000000"/>
          <w:sz w:val="24"/>
          <w:szCs w:val="24"/>
          <w:highlight w:val="black"/>
        </w:rPr>
        <w:t>''''''''''</w:t>
      </w:r>
      <w:r w:rsidR="00BA60B9" w:rsidRPr="00F61237">
        <w:rPr>
          <w:rFonts w:asciiTheme="minorHAnsi" w:eastAsiaTheme="minorHAnsi" w:hAnsiTheme="minorHAnsi" w:cstheme="minorBidi"/>
          <w:snapToGrid/>
          <w:sz w:val="24"/>
          <w:szCs w:val="24"/>
        </w:rPr>
        <w:t>) for the extrapolated period;</w:t>
      </w:r>
    </w:p>
    <w:p w:rsidR="00BA60B9" w:rsidRPr="00F61237" w:rsidRDefault="006048C2" w:rsidP="006048C2">
      <w:pPr>
        <w:pStyle w:val="ListParagraph"/>
        <w:widowControl/>
        <w:numPr>
          <w:ilvl w:val="3"/>
          <w:numId w:val="5"/>
        </w:numPr>
        <w:tabs>
          <w:tab w:val="left" w:pos="1134"/>
        </w:tabs>
        <w:ind w:left="1078" w:hanging="369"/>
        <w:contextualSpacing w:val="0"/>
        <w:rPr>
          <w:rFonts w:asciiTheme="minorHAnsi" w:eastAsiaTheme="minorHAnsi" w:hAnsiTheme="minorHAnsi" w:cstheme="minorBidi"/>
          <w:snapToGrid/>
          <w:sz w:val="24"/>
          <w:szCs w:val="24"/>
        </w:rPr>
      </w:pPr>
      <w:r w:rsidRPr="00F61237">
        <w:rPr>
          <w:rFonts w:asciiTheme="minorHAnsi" w:eastAsiaTheme="minorHAnsi" w:hAnsiTheme="minorHAnsi" w:cstheme="minorBidi"/>
          <w:snapToGrid/>
          <w:sz w:val="24"/>
          <w:szCs w:val="24"/>
        </w:rPr>
        <w:t>a</w:t>
      </w:r>
      <w:r w:rsidR="00DD147B" w:rsidRPr="00F61237">
        <w:rPr>
          <w:rFonts w:asciiTheme="minorHAnsi" w:eastAsiaTheme="minorHAnsi" w:hAnsiTheme="minorHAnsi" w:cstheme="minorBidi"/>
          <w:snapToGrid/>
          <w:sz w:val="24"/>
          <w:szCs w:val="24"/>
        </w:rPr>
        <w:t xml:space="preserve">n </w:t>
      </w:r>
      <w:r w:rsidR="007B0774">
        <w:rPr>
          <w:rFonts w:asciiTheme="minorHAnsi" w:eastAsiaTheme="minorHAnsi" w:hAnsiTheme="minorHAnsi" w:cstheme="minorBidi"/>
          <w:noProof/>
          <w:snapToGrid/>
          <w:color w:val="000000"/>
          <w:sz w:val="24"/>
          <w:szCs w:val="24"/>
          <w:highlight w:val="black"/>
        </w:rPr>
        <w:t>'''''''''</w:t>
      </w:r>
      <w:r w:rsidR="00BA60B9" w:rsidRPr="00F61237">
        <w:rPr>
          <w:rFonts w:asciiTheme="minorHAnsi" w:eastAsiaTheme="minorHAnsi" w:hAnsiTheme="minorHAnsi" w:cstheme="minorBidi"/>
          <w:snapToGrid/>
          <w:sz w:val="24"/>
          <w:szCs w:val="24"/>
        </w:rPr>
        <w:t>% increase in nivolumab treatment duration, based on the mean number of additional infusions received by patients treated beyond progression.</w:t>
      </w:r>
    </w:p>
    <w:p w:rsidR="00BA60B9" w:rsidRPr="00BA60B9" w:rsidRDefault="00DD147B" w:rsidP="006048C2">
      <w:pPr>
        <w:spacing w:after="160"/>
        <w:ind w:left="709"/>
        <w:jc w:val="both"/>
        <w:rPr>
          <w:rFonts w:asciiTheme="minorHAnsi" w:eastAsiaTheme="minorHAnsi" w:hAnsiTheme="minorHAnsi" w:cstheme="minorBidi"/>
          <w:lang w:eastAsia="en-US"/>
        </w:rPr>
      </w:pPr>
      <w:r w:rsidRPr="00F61237">
        <w:rPr>
          <w:rFonts w:asciiTheme="minorHAnsi" w:eastAsiaTheme="minorHAnsi" w:hAnsiTheme="minorHAnsi" w:cstheme="minorBidi"/>
          <w:lang w:eastAsia="en-US"/>
        </w:rPr>
        <w:t>T</w:t>
      </w:r>
      <w:r w:rsidR="00BA60B9" w:rsidRPr="00F61237">
        <w:rPr>
          <w:rFonts w:asciiTheme="minorHAnsi" w:eastAsiaTheme="minorHAnsi" w:hAnsiTheme="minorHAnsi" w:cstheme="minorBidi"/>
          <w:lang w:eastAsia="en-US"/>
        </w:rPr>
        <w:t xml:space="preserve">he PBAC </w:t>
      </w:r>
      <w:r w:rsidRPr="00F61237">
        <w:rPr>
          <w:rFonts w:asciiTheme="minorHAnsi" w:eastAsiaTheme="minorHAnsi" w:hAnsiTheme="minorHAnsi" w:cstheme="minorBidi"/>
          <w:lang w:eastAsia="en-US"/>
        </w:rPr>
        <w:t xml:space="preserve">further </w:t>
      </w:r>
      <w:r w:rsidR="00BA60B9" w:rsidRPr="00F61237">
        <w:rPr>
          <w:rFonts w:asciiTheme="minorHAnsi" w:eastAsiaTheme="minorHAnsi" w:hAnsiTheme="minorHAnsi" w:cstheme="minorBidi"/>
          <w:lang w:eastAsia="en-US"/>
        </w:rPr>
        <w:t>noted that</w:t>
      </w:r>
      <w:r w:rsidR="006048C2">
        <w:rPr>
          <w:rFonts w:asciiTheme="minorHAnsi" w:eastAsiaTheme="minorHAnsi" w:hAnsiTheme="minorHAnsi" w:cstheme="minorBidi"/>
          <w:lang w:eastAsia="en-US"/>
        </w:rPr>
        <w:t>,</w:t>
      </w:r>
      <w:r w:rsidR="00BA60B9">
        <w:rPr>
          <w:rFonts w:asciiTheme="minorHAnsi" w:eastAsiaTheme="minorHAnsi" w:hAnsiTheme="minorHAnsi" w:cstheme="minorBidi"/>
          <w:lang w:eastAsia="en-US"/>
        </w:rPr>
        <w:t xml:space="preserve"> </w:t>
      </w:r>
      <w:r w:rsidR="00BA60B9" w:rsidRPr="00BA60B9">
        <w:rPr>
          <w:rFonts w:asciiTheme="minorHAnsi" w:eastAsiaTheme="minorHAnsi" w:hAnsiTheme="minorHAnsi" w:cstheme="minorBidi"/>
          <w:lang w:eastAsia="en-US"/>
        </w:rPr>
        <w:t xml:space="preserve">while the updated economic model </w:t>
      </w:r>
      <w:r w:rsidR="00BA60B9">
        <w:rPr>
          <w:rFonts w:asciiTheme="minorHAnsi" w:eastAsiaTheme="minorHAnsi" w:hAnsiTheme="minorHAnsi" w:cstheme="minorBidi"/>
          <w:lang w:eastAsia="en-US"/>
        </w:rPr>
        <w:t>m</w:t>
      </w:r>
      <w:r w:rsidR="00BA60B9" w:rsidRPr="00BA60B9">
        <w:rPr>
          <w:rFonts w:asciiTheme="minorHAnsi" w:eastAsiaTheme="minorHAnsi" w:hAnsiTheme="minorHAnsi" w:cstheme="minorBidi"/>
          <w:lang w:eastAsia="en-US"/>
        </w:rPr>
        <w:t>ethod of extrapolation</w:t>
      </w:r>
      <w:r w:rsidR="00BA60B9">
        <w:rPr>
          <w:rFonts w:asciiTheme="minorHAnsi" w:eastAsiaTheme="minorHAnsi" w:hAnsiTheme="minorHAnsi" w:cstheme="minorBidi"/>
          <w:lang w:eastAsia="en-US"/>
        </w:rPr>
        <w:t xml:space="preserve"> of OS remained</w:t>
      </w:r>
      <w:r w:rsidR="00BA60B9" w:rsidRPr="00BA60B9">
        <w:rPr>
          <w:rFonts w:asciiTheme="minorHAnsi" w:eastAsiaTheme="minorHAnsi" w:hAnsiTheme="minorHAnsi" w:cstheme="minorBidi"/>
          <w:lang w:eastAsia="en-US"/>
        </w:rPr>
        <w:t xml:space="preserve"> unchanged (i.e. log-logistic)</w:t>
      </w:r>
      <w:r w:rsidR="00BA60B9">
        <w:rPr>
          <w:rFonts w:asciiTheme="minorHAnsi" w:eastAsiaTheme="minorHAnsi" w:hAnsiTheme="minorHAnsi" w:cstheme="minorBidi"/>
          <w:lang w:eastAsia="en-US"/>
        </w:rPr>
        <w:t xml:space="preserve"> in the minor resubmission, </w:t>
      </w:r>
      <w:r w:rsidR="00BA60B9" w:rsidRPr="00BA60B9">
        <w:rPr>
          <w:rFonts w:asciiTheme="minorHAnsi" w:eastAsiaTheme="minorHAnsi" w:hAnsiTheme="minorHAnsi" w:cstheme="minorBidi"/>
          <w:lang w:eastAsia="en-US"/>
        </w:rPr>
        <w:t>the justification provided centred on comparison with proposed trends in long-term OS from other immunotherapies, and mathematical properties of the model</w:t>
      </w:r>
      <w:r w:rsidR="00BA60B9">
        <w:rPr>
          <w:rFonts w:asciiTheme="minorHAnsi" w:eastAsiaTheme="minorHAnsi" w:hAnsiTheme="minorHAnsi" w:cstheme="minorBidi"/>
          <w:lang w:eastAsia="en-US"/>
        </w:rPr>
        <w:t>.</w:t>
      </w:r>
    </w:p>
    <w:p w:rsidR="00BA60B9" w:rsidRDefault="00F22300" w:rsidP="00BA60B9">
      <w:pPr>
        <w:pStyle w:val="ListParagraph"/>
        <w:numPr>
          <w:ilvl w:val="1"/>
          <w:numId w:val="5"/>
        </w:numPr>
        <w:spacing w:before="120" w:after="160"/>
        <w:contextualSpacing w:val="0"/>
        <w:rPr>
          <w:rFonts w:asciiTheme="minorHAnsi" w:eastAsiaTheme="minorHAnsi" w:hAnsiTheme="minorHAnsi" w:cstheme="minorBidi"/>
          <w:snapToGrid/>
          <w:sz w:val="24"/>
          <w:szCs w:val="24"/>
        </w:rPr>
      </w:pPr>
      <w:r>
        <w:rPr>
          <w:rFonts w:asciiTheme="minorHAnsi" w:eastAsiaTheme="minorHAnsi" w:hAnsiTheme="minorHAnsi" w:cstheme="minorBidi"/>
          <w:snapToGrid/>
          <w:sz w:val="24"/>
          <w:szCs w:val="24"/>
        </w:rPr>
        <w:t xml:space="preserve">The PBAC noted that the revised base case ICER presented in the minor resubmission was </w:t>
      </w:r>
      <w:r w:rsidR="00C21DBD">
        <w:rPr>
          <w:rFonts w:asciiTheme="minorHAnsi" w:eastAsiaTheme="minorHAnsi" w:hAnsiTheme="minorHAnsi" w:cstheme="minorBidi"/>
          <w:snapToGrid/>
          <w:sz w:val="24"/>
          <w:szCs w:val="24"/>
        </w:rPr>
        <w:t>$45,000 – $75,000</w:t>
      </w:r>
      <w:r w:rsidRPr="00F22300">
        <w:rPr>
          <w:rFonts w:asciiTheme="minorHAnsi" w:eastAsiaTheme="minorHAnsi" w:hAnsiTheme="minorHAnsi" w:cstheme="minorBidi"/>
          <w:snapToGrid/>
          <w:sz w:val="24"/>
          <w:szCs w:val="24"/>
        </w:rPr>
        <w:t xml:space="preserve">/QALY. The PBAC also noted that </w:t>
      </w:r>
      <w:r w:rsidR="002830DE">
        <w:rPr>
          <w:rFonts w:asciiTheme="minorHAnsi" w:eastAsiaTheme="minorHAnsi" w:hAnsiTheme="minorHAnsi" w:cstheme="minorBidi"/>
          <w:snapToGrid/>
          <w:sz w:val="24"/>
          <w:szCs w:val="24"/>
        </w:rPr>
        <w:t xml:space="preserve">the </w:t>
      </w:r>
      <w:r w:rsidRPr="00F22300">
        <w:rPr>
          <w:rFonts w:asciiTheme="minorHAnsi" w:eastAsiaTheme="minorHAnsi" w:hAnsiTheme="minorHAnsi" w:cstheme="minorBidi"/>
          <w:snapToGrid/>
          <w:sz w:val="24"/>
          <w:szCs w:val="24"/>
        </w:rPr>
        <w:t>method of extrapolation remained the key driver of the updated economic model.</w:t>
      </w:r>
    </w:p>
    <w:p w:rsidR="00F22300" w:rsidRDefault="00F22300" w:rsidP="00F22300">
      <w:pPr>
        <w:pStyle w:val="ListParagraph"/>
        <w:numPr>
          <w:ilvl w:val="1"/>
          <w:numId w:val="5"/>
        </w:numPr>
        <w:spacing w:before="120" w:after="160"/>
        <w:contextualSpacing w:val="0"/>
        <w:rPr>
          <w:rFonts w:asciiTheme="minorHAnsi" w:eastAsiaTheme="minorHAnsi" w:hAnsiTheme="minorHAnsi" w:cstheme="minorBidi"/>
          <w:sz w:val="24"/>
          <w:szCs w:val="24"/>
        </w:rPr>
      </w:pPr>
      <w:r>
        <w:rPr>
          <w:rFonts w:asciiTheme="minorHAnsi" w:eastAsiaTheme="minorHAnsi" w:hAnsiTheme="minorHAnsi" w:cstheme="minorBidi"/>
          <w:snapToGrid/>
          <w:sz w:val="24"/>
          <w:szCs w:val="24"/>
        </w:rPr>
        <w:t xml:space="preserve">The PBAC recalled that it had advised that </w:t>
      </w:r>
      <w:r w:rsidRPr="00F22300">
        <w:rPr>
          <w:rFonts w:asciiTheme="minorHAnsi" w:eastAsiaTheme="minorHAnsi" w:hAnsiTheme="minorHAnsi" w:cstheme="minorBidi"/>
          <w:sz w:val="24"/>
          <w:szCs w:val="24"/>
        </w:rPr>
        <w:t xml:space="preserve">a base case ICER of </w:t>
      </w:r>
      <w:r w:rsidR="00C21DBD">
        <w:rPr>
          <w:rFonts w:asciiTheme="minorHAnsi" w:eastAsiaTheme="minorHAnsi" w:hAnsiTheme="minorHAnsi" w:cstheme="minorBidi"/>
          <w:sz w:val="24"/>
          <w:szCs w:val="24"/>
        </w:rPr>
        <w:t>$45,000 - $75,000</w:t>
      </w:r>
      <w:r w:rsidRPr="00F22300">
        <w:rPr>
          <w:rFonts w:asciiTheme="minorHAnsi" w:eastAsiaTheme="minorHAnsi" w:hAnsiTheme="minorHAnsi" w:cstheme="minorBidi"/>
          <w:sz w:val="24"/>
          <w:szCs w:val="24"/>
        </w:rPr>
        <w:t xml:space="preserve">/QALY would be a relevant incremental cost-effectiveness target to account for the uncertainties from the clinical evidence in estimating the extent to which nivolumab would address the unmet clinical need in Australian patients </w:t>
      </w:r>
      <w:r>
        <w:rPr>
          <w:rFonts w:asciiTheme="minorHAnsi" w:eastAsiaTheme="minorHAnsi" w:hAnsiTheme="minorHAnsi" w:cstheme="minorBidi"/>
          <w:sz w:val="24"/>
          <w:szCs w:val="24"/>
        </w:rPr>
        <w:t xml:space="preserve">and also in the economic model </w:t>
      </w:r>
      <w:r w:rsidRPr="00F22300">
        <w:rPr>
          <w:rFonts w:asciiTheme="minorHAnsi" w:eastAsiaTheme="minorHAnsi" w:hAnsiTheme="minorHAnsi" w:cstheme="minorBidi"/>
          <w:snapToGrid/>
          <w:sz w:val="24"/>
          <w:szCs w:val="24"/>
        </w:rPr>
        <w:t xml:space="preserve">(paragraph 7.19, November 2017 PBAC </w:t>
      </w:r>
      <w:r w:rsidR="00EA74CA">
        <w:rPr>
          <w:rFonts w:asciiTheme="minorHAnsi" w:eastAsiaTheme="minorHAnsi" w:hAnsiTheme="minorHAnsi" w:cstheme="minorBidi"/>
          <w:snapToGrid/>
          <w:sz w:val="24"/>
          <w:szCs w:val="24"/>
        </w:rPr>
        <w:t>PSD</w:t>
      </w:r>
      <w:r w:rsidRPr="00F22300">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The PBAC </w:t>
      </w:r>
      <w:r w:rsidR="002D3A25">
        <w:rPr>
          <w:rFonts w:asciiTheme="minorHAnsi" w:eastAsiaTheme="minorHAnsi" w:hAnsiTheme="minorHAnsi" w:cstheme="minorBidi"/>
          <w:snapToGrid/>
          <w:sz w:val="24"/>
          <w:szCs w:val="24"/>
        </w:rPr>
        <w:t xml:space="preserve">advised </w:t>
      </w:r>
      <w:r>
        <w:rPr>
          <w:rFonts w:asciiTheme="minorHAnsi" w:eastAsiaTheme="minorHAnsi" w:hAnsiTheme="minorHAnsi" w:cstheme="minorBidi"/>
          <w:snapToGrid/>
          <w:sz w:val="24"/>
          <w:szCs w:val="24"/>
        </w:rPr>
        <w:t xml:space="preserve">that there was no </w:t>
      </w:r>
      <w:r w:rsidR="002D3A25">
        <w:rPr>
          <w:rFonts w:asciiTheme="minorHAnsi" w:eastAsiaTheme="minorHAnsi" w:hAnsiTheme="minorHAnsi" w:cstheme="minorBidi"/>
          <w:snapToGrid/>
          <w:sz w:val="24"/>
          <w:szCs w:val="24"/>
        </w:rPr>
        <w:t xml:space="preserve">persuasive justification provided in the minor resubmission that warranted any change to its previous advice on the </w:t>
      </w:r>
      <w:r w:rsidR="002D3A25" w:rsidRPr="00F22300">
        <w:rPr>
          <w:rFonts w:asciiTheme="minorHAnsi" w:eastAsiaTheme="minorHAnsi" w:hAnsiTheme="minorHAnsi" w:cstheme="minorBidi"/>
          <w:sz w:val="24"/>
          <w:szCs w:val="24"/>
        </w:rPr>
        <w:t>relevant incremental cost-effectiveness target</w:t>
      </w:r>
      <w:r w:rsidR="002D3A25">
        <w:rPr>
          <w:rFonts w:asciiTheme="minorHAnsi" w:eastAsiaTheme="minorHAnsi" w:hAnsiTheme="minorHAnsi" w:cstheme="minorBidi"/>
          <w:sz w:val="24"/>
          <w:szCs w:val="24"/>
        </w:rPr>
        <w:t xml:space="preserve"> for nivolumab, and </w:t>
      </w:r>
      <w:r>
        <w:rPr>
          <w:rFonts w:asciiTheme="minorHAnsi" w:eastAsiaTheme="minorHAnsi" w:hAnsiTheme="minorHAnsi" w:cstheme="minorBidi"/>
          <w:snapToGrid/>
          <w:sz w:val="24"/>
          <w:szCs w:val="24"/>
        </w:rPr>
        <w:t>noted that</w:t>
      </w:r>
      <w:r w:rsidR="002517F2">
        <w:rPr>
          <w:rFonts w:asciiTheme="minorHAnsi" w:eastAsiaTheme="minorHAnsi" w:hAnsiTheme="minorHAnsi" w:cstheme="minorBidi"/>
          <w:snapToGrid/>
          <w:sz w:val="24"/>
          <w:szCs w:val="24"/>
        </w:rPr>
        <w:t>,</w:t>
      </w:r>
      <w:r>
        <w:rPr>
          <w:rFonts w:asciiTheme="minorHAnsi" w:eastAsiaTheme="minorHAnsi" w:hAnsiTheme="minorHAnsi" w:cstheme="minorBidi"/>
          <w:snapToGrid/>
          <w:sz w:val="24"/>
          <w:szCs w:val="24"/>
        </w:rPr>
        <w:t xml:space="preserve"> </w:t>
      </w:r>
      <w:r w:rsidR="006048C2">
        <w:rPr>
          <w:rFonts w:asciiTheme="minorHAnsi" w:eastAsiaTheme="minorHAnsi" w:hAnsiTheme="minorHAnsi" w:cstheme="minorBidi"/>
          <w:snapToGrid/>
          <w:sz w:val="24"/>
          <w:szCs w:val="24"/>
        </w:rPr>
        <w:t xml:space="preserve">with </w:t>
      </w:r>
      <w:r>
        <w:rPr>
          <w:rFonts w:asciiTheme="minorHAnsi" w:eastAsiaTheme="minorHAnsi" w:hAnsiTheme="minorHAnsi" w:cstheme="minorBidi"/>
          <w:snapToGrid/>
          <w:sz w:val="24"/>
          <w:szCs w:val="24"/>
        </w:rPr>
        <w:t xml:space="preserve">all </w:t>
      </w:r>
      <w:r w:rsidR="006048C2">
        <w:rPr>
          <w:rFonts w:asciiTheme="minorHAnsi" w:eastAsiaTheme="minorHAnsi" w:hAnsiTheme="minorHAnsi" w:cstheme="minorBidi"/>
          <w:snapToGrid/>
          <w:sz w:val="24"/>
          <w:szCs w:val="24"/>
        </w:rPr>
        <w:t xml:space="preserve">other </w:t>
      </w:r>
      <w:r>
        <w:rPr>
          <w:rFonts w:asciiTheme="minorHAnsi" w:eastAsiaTheme="minorHAnsi" w:hAnsiTheme="minorHAnsi" w:cstheme="minorBidi"/>
          <w:snapToGrid/>
          <w:sz w:val="24"/>
          <w:szCs w:val="24"/>
        </w:rPr>
        <w:t>assumptions remaining unchanged</w:t>
      </w:r>
      <w:r w:rsidR="006048C2">
        <w:rPr>
          <w:rFonts w:asciiTheme="minorHAnsi" w:eastAsiaTheme="minorHAnsi" w:hAnsiTheme="minorHAnsi" w:cstheme="minorBidi"/>
          <w:snapToGrid/>
          <w:sz w:val="24"/>
          <w:szCs w:val="24"/>
        </w:rPr>
        <w:t xml:space="preserve"> from the minor resubmission</w:t>
      </w:r>
      <w:r>
        <w:rPr>
          <w:rFonts w:asciiTheme="minorHAnsi" w:eastAsiaTheme="minorHAnsi" w:hAnsiTheme="minorHAnsi" w:cstheme="minorBidi"/>
          <w:snapToGrid/>
          <w:sz w:val="24"/>
          <w:szCs w:val="24"/>
        </w:rPr>
        <w:t xml:space="preserve">, a </w:t>
      </w:r>
      <w:r w:rsidR="00B206F8">
        <w:rPr>
          <w:rFonts w:asciiTheme="minorHAnsi" w:eastAsiaTheme="minorHAnsi" w:hAnsiTheme="minorHAnsi" w:cstheme="minorBidi"/>
          <w:snapToGrid/>
          <w:sz w:val="24"/>
          <w:szCs w:val="24"/>
        </w:rPr>
        <w:t xml:space="preserve">further </w:t>
      </w:r>
      <w:r w:rsidR="003F0077">
        <w:rPr>
          <w:rFonts w:asciiTheme="minorHAnsi" w:eastAsiaTheme="minorHAnsi" w:hAnsiTheme="minorHAnsi" w:cstheme="minorBidi"/>
          <w:snapToGrid/>
          <w:sz w:val="24"/>
          <w:szCs w:val="24"/>
        </w:rPr>
        <w:t xml:space="preserve">reduction to the vial price </w:t>
      </w:r>
      <w:r w:rsidR="007947F1">
        <w:rPr>
          <w:rFonts w:asciiTheme="minorHAnsi" w:eastAsiaTheme="minorHAnsi" w:hAnsiTheme="minorHAnsi" w:cstheme="minorBidi"/>
          <w:snapToGrid/>
          <w:sz w:val="24"/>
          <w:szCs w:val="24"/>
        </w:rPr>
        <w:t>of a</w:t>
      </w:r>
      <w:r w:rsidR="009D6A1C">
        <w:rPr>
          <w:rFonts w:asciiTheme="minorHAnsi" w:eastAsiaTheme="minorHAnsi" w:hAnsiTheme="minorHAnsi" w:cstheme="minorBidi"/>
          <w:snapToGrid/>
          <w:sz w:val="24"/>
          <w:szCs w:val="24"/>
        </w:rPr>
        <w:t>t least</w:t>
      </w:r>
      <w:r w:rsidR="007947F1">
        <w:rPr>
          <w:rFonts w:asciiTheme="minorHAnsi" w:eastAsiaTheme="minorHAnsi" w:hAnsiTheme="minorHAnsi" w:cstheme="minorBidi"/>
          <w:snapToGrid/>
          <w:sz w:val="24"/>
          <w:szCs w:val="24"/>
        </w:rPr>
        <w:t xml:space="preserve"> </w:t>
      </w:r>
      <w:r w:rsidR="007B0774">
        <w:rPr>
          <w:rFonts w:asciiTheme="minorHAnsi" w:eastAsiaTheme="minorHAnsi" w:hAnsiTheme="minorHAnsi" w:cstheme="minorBidi"/>
          <w:noProof/>
          <w:snapToGrid/>
          <w:color w:val="000000"/>
          <w:sz w:val="24"/>
          <w:szCs w:val="24"/>
          <w:highlight w:val="black"/>
        </w:rPr>
        <w:t>'''''''</w:t>
      </w:r>
      <w:r>
        <w:rPr>
          <w:rFonts w:asciiTheme="minorHAnsi" w:eastAsiaTheme="minorHAnsi" w:hAnsiTheme="minorHAnsi" w:cstheme="minorBidi"/>
          <w:snapToGrid/>
          <w:sz w:val="24"/>
          <w:szCs w:val="24"/>
        </w:rPr>
        <w:t xml:space="preserve">% would be required to decrease the current base case </w:t>
      </w:r>
      <w:r w:rsidR="002517F2">
        <w:rPr>
          <w:rFonts w:asciiTheme="minorHAnsi" w:eastAsiaTheme="minorHAnsi" w:hAnsiTheme="minorHAnsi" w:cstheme="minorBidi"/>
          <w:snapToGrid/>
          <w:sz w:val="24"/>
          <w:szCs w:val="24"/>
        </w:rPr>
        <w:t xml:space="preserve">ICER </w:t>
      </w:r>
      <w:r>
        <w:rPr>
          <w:rFonts w:asciiTheme="minorHAnsi" w:eastAsiaTheme="minorHAnsi" w:hAnsiTheme="minorHAnsi" w:cstheme="minorBidi"/>
          <w:snapToGrid/>
          <w:sz w:val="24"/>
          <w:szCs w:val="24"/>
        </w:rPr>
        <w:t xml:space="preserve">to </w:t>
      </w:r>
      <w:r w:rsidR="009C6A3E">
        <w:rPr>
          <w:rFonts w:asciiTheme="minorHAnsi" w:eastAsiaTheme="minorHAnsi" w:hAnsiTheme="minorHAnsi" w:cstheme="minorBidi"/>
          <w:snapToGrid/>
          <w:sz w:val="24"/>
          <w:szCs w:val="24"/>
        </w:rPr>
        <w:t xml:space="preserve">below the previously defined </w:t>
      </w:r>
      <w:r w:rsidR="00C21DBD">
        <w:rPr>
          <w:rFonts w:asciiTheme="minorHAnsi" w:eastAsiaTheme="minorHAnsi" w:hAnsiTheme="minorHAnsi" w:cstheme="minorBidi"/>
          <w:sz w:val="24"/>
          <w:szCs w:val="24"/>
        </w:rPr>
        <w:t>$45,000 - $75,000</w:t>
      </w:r>
      <w:r w:rsidRPr="00F22300">
        <w:rPr>
          <w:rFonts w:asciiTheme="minorHAnsi" w:eastAsiaTheme="minorHAnsi" w:hAnsiTheme="minorHAnsi" w:cstheme="minorBidi"/>
          <w:sz w:val="24"/>
          <w:szCs w:val="24"/>
        </w:rPr>
        <w:t>/QALY</w:t>
      </w:r>
      <w:r w:rsidR="009C6A3E">
        <w:rPr>
          <w:rFonts w:asciiTheme="minorHAnsi" w:eastAsiaTheme="minorHAnsi" w:hAnsiTheme="minorHAnsi" w:cstheme="minorBidi"/>
          <w:sz w:val="24"/>
          <w:szCs w:val="24"/>
        </w:rPr>
        <w:t xml:space="preserve"> threshold</w:t>
      </w:r>
      <w:r>
        <w:rPr>
          <w:rFonts w:asciiTheme="minorHAnsi" w:eastAsiaTheme="minorHAnsi" w:hAnsiTheme="minorHAnsi" w:cstheme="minorBidi"/>
          <w:sz w:val="24"/>
          <w:szCs w:val="24"/>
        </w:rPr>
        <w:t>.</w:t>
      </w:r>
      <w:r w:rsidR="009C6A3E">
        <w:rPr>
          <w:rFonts w:asciiTheme="minorHAnsi" w:eastAsiaTheme="minorHAnsi" w:hAnsiTheme="minorHAnsi" w:cstheme="minorBidi"/>
          <w:sz w:val="24"/>
          <w:szCs w:val="24"/>
        </w:rPr>
        <w:t xml:space="preserve"> Without this further reduction, the PBAC advised that nivolumab was not acceptably cost-effective</w:t>
      </w:r>
      <w:r w:rsidR="009C6A3E" w:rsidRPr="009C6A3E">
        <w:rPr>
          <w:rFonts w:asciiTheme="minorHAnsi" w:eastAsiaTheme="minorHAnsi" w:hAnsiTheme="minorHAnsi" w:cstheme="minorBidi"/>
          <w:sz w:val="24"/>
          <w:szCs w:val="24"/>
        </w:rPr>
        <w:t xml:space="preserve"> </w:t>
      </w:r>
      <w:r w:rsidR="009C6A3E">
        <w:rPr>
          <w:rFonts w:asciiTheme="minorHAnsi" w:eastAsiaTheme="minorHAnsi" w:hAnsiTheme="minorHAnsi" w:cstheme="minorBidi"/>
          <w:sz w:val="24"/>
          <w:szCs w:val="24"/>
        </w:rPr>
        <w:t>in this context.</w:t>
      </w:r>
    </w:p>
    <w:p w:rsidR="006759C2" w:rsidRDefault="006759C2" w:rsidP="00AF44E1">
      <w:pPr>
        <w:pStyle w:val="ListParagraph"/>
        <w:numPr>
          <w:ilvl w:val="1"/>
          <w:numId w:val="5"/>
        </w:numPr>
        <w:spacing w:before="120" w:after="160"/>
        <w:contextualSpacing w:val="0"/>
        <w:rPr>
          <w:rFonts w:asciiTheme="minorHAnsi" w:eastAsiaTheme="minorHAnsi" w:hAnsiTheme="minorHAnsi" w:cstheme="minorBidi"/>
          <w:sz w:val="24"/>
          <w:szCs w:val="24"/>
        </w:rPr>
      </w:pPr>
      <w:r>
        <w:rPr>
          <w:rFonts w:asciiTheme="minorHAnsi" w:eastAsiaTheme="minorHAnsi" w:hAnsiTheme="minorHAnsi" w:cstheme="minorBidi"/>
          <w:sz w:val="24"/>
          <w:szCs w:val="24"/>
        </w:rPr>
        <w:t>The PBAC noted that</w:t>
      </w:r>
      <w:r w:rsidR="006048C2">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in response to its previous concerns regarding the uncertainties in assumptions in the financial estimates</w:t>
      </w:r>
      <w:r w:rsidR="00AF44E1">
        <w:rPr>
          <w:rFonts w:asciiTheme="minorHAnsi" w:eastAsiaTheme="minorHAnsi" w:hAnsiTheme="minorHAnsi" w:cstheme="minorBidi"/>
          <w:sz w:val="24"/>
          <w:szCs w:val="24"/>
        </w:rPr>
        <w:t xml:space="preserve"> </w:t>
      </w:r>
      <w:r w:rsidR="00AF44E1" w:rsidRPr="00AF44E1">
        <w:rPr>
          <w:rFonts w:asciiTheme="minorHAnsi" w:eastAsiaTheme="minorHAnsi" w:hAnsiTheme="minorHAnsi" w:cstheme="minorBidi"/>
          <w:sz w:val="24"/>
          <w:szCs w:val="24"/>
        </w:rPr>
        <w:t xml:space="preserve">(paragraph 7.18, November 2017 PBAC </w:t>
      </w:r>
      <w:r w:rsidR="00EA74CA">
        <w:rPr>
          <w:rFonts w:asciiTheme="minorHAnsi" w:eastAsiaTheme="minorHAnsi" w:hAnsiTheme="minorHAnsi" w:cstheme="minorBidi"/>
          <w:sz w:val="24"/>
          <w:szCs w:val="24"/>
        </w:rPr>
        <w:t>PSD</w:t>
      </w:r>
      <w:r w:rsidR="00AF44E1" w:rsidRPr="00AF44E1">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the minor </w:t>
      </w:r>
      <w:r w:rsidR="006048C2">
        <w:rPr>
          <w:rFonts w:asciiTheme="minorHAnsi" w:eastAsiaTheme="minorHAnsi" w:hAnsiTheme="minorHAnsi" w:cstheme="minorBidi"/>
          <w:sz w:val="24"/>
          <w:szCs w:val="24"/>
        </w:rPr>
        <w:t>re</w:t>
      </w:r>
      <w:r>
        <w:rPr>
          <w:rFonts w:asciiTheme="minorHAnsi" w:eastAsiaTheme="minorHAnsi" w:hAnsiTheme="minorHAnsi" w:cstheme="minorBidi"/>
          <w:sz w:val="24"/>
          <w:szCs w:val="24"/>
        </w:rPr>
        <w:t xml:space="preserve">submission proposed a </w:t>
      </w:r>
      <w:r w:rsidR="007B0774">
        <w:rPr>
          <w:rFonts w:asciiTheme="minorHAnsi" w:eastAsiaTheme="minorHAnsi" w:hAnsiTheme="minorHAnsi" w:cstheme="minorBidi"/>
          <w:noProof/>
          <w:color w:val="000000"/>
          <w:sz w:val="24"/>
          <w:szCs w:val="24"/>
          <w:highlight w:val="black"/>
        </w:rPr>
        <w:t>'''''</w:t>
      </w:r>
      <w:r w:rsidRPr="00F61237">
        <w:rPr>
          <w:rFonts w:asciiTheme="minorHAnsi" w:eastAsiaTheme="minorHAnsi" w:hAnsiTheme="minorHAnsi" w:cstheme="minorBidi"/>
          <w:sz w:val="24"/>
          <w:szCs w:val="24"/>
        </w:rPr>
        <w:t xml:space="preserve">% reduction in the eligible patient numbers and revised the mean number of </w:t>
      </w:r>
      <w:r w:rsidR="006048C2" w:rsidRPr="00F61237">
        <w:rPr>
          <w:rFonts w:asciiTheme="minorHAnsi" w:eastAsiaTheme="minorHAnsi" w:hAnsiTheme="minorHAnsi" w:cstheme="minorBidi"/>
          <w:sz w:val="24"/>
          <w:szCs w:val="24"/>
        </w:rPr>
        <w:t xml:space="preserve">nivolumab </w:t>
      </w:r>
      <w:r w:rsidRPr="00F61237">
        <w:rPr>
          <w:rFonts w:asciiTheme="minorHAnsi" w:eastAsiaTheme="minorHAnsi" w:hAnsiTheme="minorHAnsi" w:cstheme="minorBidi"/>
          <w:sz w:val="24"/>
          <w:szCs w:val="24"/>
        </w:rPr>
        <w:t xml:space="preserve">infusions </w:t>
      </w:r>
      <w:r w:rsidR="006048C2" w:rsidRPr="00F61237">
        <w:rPr>
          <w:rFonts w:asciiTheme="minorHAnsi" w:eastAsiaTheme="minorHAnsi" w:hAnsiTheme="minorHAnsi" w:cstheme="minorBidi"/>
          <w:sz w:val="24"/>
          <w:szCs w:val="24"/>
        </w:rPr>
        <w:t xml:space="preserve">per patient </w:t>
      </w:r>
      <w:r w:rsidRPr="00F61237">
        <w:rPr>
          <w:rFonts w:asciiTheme="minorHAnsi" w:eastAsiaTheme="minorHAnsi" w:hAnsiTheme="minorHAnsi" w:cstheme="minorBidi"/>
          <w:sz w:val="24"/>
          <w:szCs w:val="24"/>
        </w:rPr>
        <w:t xml:space="preserve">from </w:t>
      </w:r>
      <w:r w:rsidR="007B0774">
        <w:rPr>
          <w:rFonts w:asciiTheme="minorHAnsi" w:eastAsiaTheme="minorHAnsi" w:hAnsiTheme="minorHAnsi" w:cstheme="minorBidi"/>
          <w:noProof/>
          <w:color w:val="000000"/>
          <w:sz w:val="24"/>
          <w:szCs w:val="24"/>
          <w:highlight w:val="black"/>
        </w:rPr>
        <w:t>''''''</w:t>
      </w:r>
      <w:r w:rsidRPr="00F61237">
        <w:rPr>
          <w:rFonts w:asciiTheme="minorHAnsi" w:eastAsiaTheme="minorHAnsi" w:hAnsiTheme="minorHAnsi" w:cstheme="minorBidi"/>
          <w:sz w:val="24"/>
          <w:szCs w:val="24"/>
        </w:rPr>
        <w:t xml:space="preserve"> to </w:t>
      </w:r>
      <w:r w:rsidR="007B0774">
        <w:rPr>
          <w:rFonts w:asciiTheme="minorHAnsi" w:eastAsiaTheme="minorHAnsi" w:hAnsiTheme="minorHAnsi" w:cstheme="minorBidi"/>
          <w:noProof/>
          <w:color w:val="000000"/>
          <w:sz w:val="24"/>
          <w:szCs w:val="24"/>
          <w:highlight w:val="black"/>
        </w:rPr>
        <w:t>''''''''</w:t>
      </w:r>
      <w:r w:rsidRPr="00F61237">
        <w:rPr>
          <w:rFonts w:asciiTheme="minorHAnsi" w:eastAsiaTheme="minorHAnsi" w:hAnsiTheme="minorHAnsi" w:cstheme="minorBidi"/>
          <w:sz w:val="24"/>
          <w:szCs w:val="24"/>
        </w:rPr>
        <w:t>. The PBAC noted that assumptions regarding</w:t>
      </w:r>
      <w:r>
        <w:rPr>
          <w:rFonts w:asciiTheme="minorHAnsi" w:eastAsiaTheme="minorHAnsi" w:hAnsiTheme="minorHAnsi" w:cstheme="minorBidi"/>
          <w:sz w:val="24"/>
          <w:szCs w:val="24"/>
        </w:rPr>
        <w:t xml:space="preserve"> the u</w:t>
      </w:r>
      <w:r w:rsidRPr="006759C2">
        <w:rPr>
          <w:rFonts w:asciiTheme="minorHAnsi" w:eastAsiaTheme="minorHAnsi" w:hAnsiTheme="minorHAnsi" w:cstheme="minorBidi"/>
          <w:sz w:val="24"/>
          <w:szCs w:val="24"/>
        </w:rPr>
        <w:t>ptake rate</w:t>
      </w:r>
      <w:r w:rsidR="006048C2">
        <w:rPr>
          <w:rFonts w:asciiTheme="minorHAnsi" w:eastAsiaTheme="minorHAnsi" w:hAnsiTheme="minorHAnsi" w:cstheme="minorBidi"/>
          <w:sz w:val="24"/>
          <w:szCs w:val="24"/>
        </w:rPr>
        <w:t>s</w:t>
      </w:r>
      <w:r w:rsidRPr="006759C2">
        <w:rPr>
          <w:rFonts w:asciiTheme="minorHAnsi" w:eastAsiaTheme="minorHAnsi" w:hAnsiTheme="minorHAnsi" w:cstheme="minorBidi"/>
          <w:sz w:val="24"/>
          <w:szCs w:val="24"/>
        </w:rPr>
        <w:t xml:space="preserve"> and average Australian body weight </w:t>
      </w:r>
      <w:r>
        <w:rPr>
          <w:rFonts w:asciiTheme="minorHAnsi" w:eastAsiaTheme="minorHAnsi" w:hAnsiTheme="minorHAnsi" w:cstheme="minorBidi"/>
          <w:sz w:val="24"/>
          <w:szCs w:val="24"/>
        </w:rPr>
        <w:t>remained unchanged in the minor resubmission.</w:t>
      </w:r>
    </w:p>
    <w:p w:rsidR="003B032C" w:rsidRDefault="00FD052E" w:rsidP="0066542A">
      <w:pPr>
        <w:pStyle w:val="ListParagraph"/>
        <w:numPr>
          <w:ilvl w:val="1"/>
          <w:numId w:val="5"/>
        </w:numPr>
        <w:spacing w:before="120" w:after="160"/>
        <w:contextualSpacing w:val="0"/>
        <w:rPr>
          <w:rFonts w:asciiTheme="minorHAnsi" w:eastAsiaTheme="minorHAnsi" w:hAnsiTheme="minorHAnsi" w:cstheme="minorBidi"/>
          <w:sz w:val="24"/>
          <w:szCs w:val="24"/>
        </w:rPr>
      </w:pPr>
      <w:r>
        <w:rPr>
          <w:rFonts w:asciiTheme="minorHAnsi" w:eastAsiaTheme="minorHAnsi" w:hAnsiTheme="minorHAnsi" w:cstheme="minorBidi"/>
          <w:sz w:val="24"/>
          <w:szCs w:val="24"/>
        </w:rPr>
        <w:t>The PBAC considered that</w:t>
      </w:r>
      <w:r w:rsidR="006048C2">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while all other assumptions were potentially reasonable, the number of eligible patients was unacceptably high. </w:t>
      </w:r>
      <w:r w:rsidR="0066542A">
        <w:rPr>
          <w:rFonts w:asciiTheme="minorHAnsi" w:eastAsiaTheme="minorHAnsi" w:hAnsiTheme="minorHAnsi" w:cstheme="minorBidi"/>
          <w:sz w:val="24"/>
          <w:szCs w:val="24"/>
        </w:rPr>
        <w:t xml:space="preserve">The </w:t>
      </w:r>
      <w:r w:rsidR="0066542A" w:rsidRPr="0066542A">
        <w:rPr>
          <w:rFonts w:asciiTheme="minorHAnsi" w:eastAsiaTheme="minorHAnsi" w:hAnsiTheme="minorHAnsi" w:cstheme="minorBidi"/>
          <w:sz w:val="24"/>
          <w:szCs w:val="24"/>
        </w:rPr>
        <w:t xml:space="preserve">PBAC considered that the higher than anticipated number of eligible patients in the minor resubmission was potentially due to an overestimate in percentage of patients from the overall HNSCC population proceeding to first and second-line therapy. </w:t>
      </w:r>
      <w:r w:rsidR="0066542A">
        <w:rPr>
          <w:rFonts w:asciiTheme="minorHAnsi" w:eastAsiaTheme="minorHAnsi" w:hAnsiTheme="minorHAnsi" w:cstheme="minorBidi"/>
          <w:sz w:val="24"/>
          <w:szCs w:val="24"/>
        </w:rPr>
        <w:t xml:space="preserve">The </w:t>
      </w:r>
      <w:r w:rsidR="0066542A" w:rsidRPr="0066542A">
        <w:rPr>
          <w:rFonts w:asciiTheme="minorHAnsi" w:eastAsiaTheme="minorHAnsi" w:hAnsiTheme="minorHAnsi" w:cstheme="minorBidi"/>
          <w:sz w:val="24"/>
          <w:szCs w:val="24"/>
        </w:rPr>
        <w:t xml:space="preserve">PBAC </w:t>
      </w:r>
      <w:r w:rsidR="0066542A">
        <w:rPr>
          <w:rFonts w:asciiTheme="minorHAnsi" w:eastAsiaTheme="minorHAnsi" w:hAnsiTheme="minorHAnsi" w:cstheme="minorBidi"/>
          <w:sz w:val="24"/>
          <w:szCs w:val="24"/>
        </w:rPr>
        <w:t xml:space="preserve">therefore </w:t>
      </w:r>
      <w:r w:rsidR="0066542A" w:rsidRPr="0066542A">
        <w:rPr>
          <w:rFonts w:asciiTheme="minorHAnsi" w:eastAsiaTheme="minorHAnsi" w:hAnsiTheme="minorHAnsi" w:cstheme="minorBidi"/>
          <w:sz w:val="24"/>
          <w:szCs w:val="24"/>
        </w:rPr>
        <w:t xml:space="preserve">advised that a reduction of </w:t>
      </w:r>
      <w:r w:rsidR="007B0774">
        <w:rPr>
          <w:rFonts w:asciiTheme="minorHAnsi" w:eastAsiaTheme="minorHAnsi" w:hAnsiTheme="minorHAnsi" w:cstheme="minorBidi"/>
          <w:noProof/>
          <w:color w:val="000000"/>
          <w:sz w:val="24"/>
          <w:szCs w:val="24"/>
          <w:highlight w:val="black"/>
        </w:rPr>
        <w:t>'''''</w:t>
      </w:r>
      <w:r w:rsidR="0066542A" w:rsidRPr="0066542A">
        <w:rPr>
          <w:rFonts w:asciiTheme="minorHAnsi" w:eastAsiaTheme="minorHAnsi" w:hAnsiTheme="minorHAnsi" w:cstheme="minorBidi"/>
          <w:sz w:val="24"/>
          <w:szCs w:val="24"/>
        </w:rPr>
        <w:t>% or more in usage would be considered appropriate</w:t>
      </w:r>
      <w:r w:rsidR="0066542A">
        <w:rPr>
          <w:rFonts w:asciiTheme="minorHAnsi" w:eastAsiaTheme="minorHAnsi" w:hAnsiTheme="minorHAnsi" w:cstheme="minorBidi"/>
          <w:sz w:val="24"/>
          <w:szCs w:val="24"/>
        </w:rPr>
        <w:t>.</w:t>
      </w:r>
      <w:r w:rsidR="0066542A" w:rsidRPr="0066542A">
        <w:rPr>
          <w:rFonts w:asciiTheme="minorHAnsi" w:eastAsiaTheme="minorHAnsi" w:hAnsiTheme="minorHAnsi" w:cstheme="minorBidi"/>
          <w:sz w:val="24"/>
          <w:szCs w:val="24"/>
        </w:rPr>
        <w:t xml:space="preserve"> </w:t>
      </w:r>
    </w:p>
    <w:p w:rsidR="0023586E" w:rsidRDefault="003B032C" w:rsidP="003B032C">
      <w:pPr>
        <w:pStyle w:val="ListParagraph"/>
        <w:numPr>
          <w:ilvl w:val="1"/>
          <w:numId w:val="5"/>
        </w:numPr>
        <w:spacing w:before="120" w:after="160"/>
        <w:contextualSpacing w:val="0"/>
        <w:rPr>
          <w:rFonts w:asciiTheme="minorHAnsi" w:eastAsiaTheme="minorHAnsi" w:hAnsiTheme="minorHAnsi" w:cstheme="minorBidi"/>
          <w:sz w:val="24"/>
          <w:szCs w:val="24"/>
        </w:rPr>
      </w:pPr>
      <w:r w:rsidRPr="003B032C">
        <w:rPr>
          <w:rFonts w:asciiTheme="minorHAnsi" w:eastAsiaTheme="minorHAnsi" w:hAnsiTheme="minorHAnsi" w:cstheme="minorBidi"/>
          <w:sz w:val="24"/>
          <w:szCs w:val="24"/>
        </w:rPr>
        <w:t>Following its previous advice</w:t>
      </w:r>
      <w:r>
        <w:rPr>
          <w:rFonts w:asciiTheme="minorHAnsi" w:eastAsiaTheme="minorHAnsi" w:hAnsiTheme="minorHAnsi" w:cstheme="minorBidi"/>
          <w:sz w:val="24"/>
          <w:szCs w:val="24"/>
        </w:rPr>
        <w:t xml:space="preserve"> </w:t>
      </w:r>
      <w:r w:rsidRPr="003B032C">
        <w:rPr>
          <w:rFonts w:asciiTheme="minorHAnsi" w:eastAsiaTheme="minorHAnsi" w:hAnsiTheme="minorHAnsi" w:cstheme="minorBidi"/>
          <w:sz w:val="24"/>
          <w:szCs w:val="24"/>
        </w:rPr>
        <w:t xml:space="preserve">(paragraph 7.19, November 2017 PBAC </w:t>
      </w:r>
      <w:r w:rsidR="00EA74CA">
        <w:rPr>
          <w:rFonts w:asciiTheme="minorHAnsi" w:eastAsiaTheme="minorHAnsi" w:hAnsiTheme="minorHAnsi" w:cstheme="minorBidi"/>
          <w:sz w:val="24"/>
          <w:szCs w:val="24"/>
        </w:rPr>
        <w:t>PSD</w:t>
      </w:r>
      <w:r w:rsidRPr="003B032C">
        <w:rPr>
          <w:rFonts w:asciiTheme="minorHAnsi" w:eastAsiaTheme="minorHAnsi" w:hAnsiTheme="minorHAnsi" w:cstheme="minorBidi"/>
          <w:sz w:val="24"/>
          <w:szCs w:val="24"/>
        </w:rPr>
        <w:t xml:space="preserve">), the PBAC maintained that a risk-share agreement </w:t>
      </w:r>
      <w:r>
        <w:rPr>
          <w:rFonts w:asciiTheme="minorHAnsi" w:eastAsiaTheme="minorHAnsi" w:hAnsiTheme="minorHAnsi" w:cstheme="minorBidi"/>
          <w:sz w:val="24"/>
          <w:szCs w:val="24"/>
        </w:rPr>
        <w:t xml:space="preserve">should be established based on the </w:t>
      </w:r>
      <w:r w:rsidR="006B52AF">
        <w:rPr>
          <w:rFonts w:asciiTheme="minorHAnsi" w:eastAsiaTheme="minorHAnsi" w:hAnsiTheme="minorHAnsi" w:cstheme="minorBidi"/>
          <w:sz w:val="24"/>
          <w:szCs w:val="24"/>
        </w:rPr>
        <w:t xml:space="preserve">revised </w:t>
      </w:r>
      <w:r>
        <w:rPr>
          <w:rFonts w:asciiTheme="minorHAnsi" w:eastAsiaTheme="minorHAnsi" w:hAnsiTheme="minorHAnsi" w:cstheme="minorBidi"/>
          <w:sz w:val="24"/>
          <w:szCs w:val="24"/>
        </w:rPr>
        <w:t xml:space="preserve">eligible number of patients, </w:t>
      </w:r>
      <w:r w:rsidRPr="003B032C">
        <w:rPr>
          <w:rFonts w:asciiTheme="minorHAnsi" w:eastAsiaTheme="minorHAnsi" w:hAnsiTheme="minorHAnsi" w:cstheme="minorBidi"/>
          <w:sz w:val="24"/>
          <w:szCs w:val="24"/>
        </w:rPr>
        <w:t>with 100% rebate beyond the agreed subsidisation caps to mitigate the uncertainties raised, including the risk of nivolumab use beyond disease progression.</w:t>
      </w:r>
      <w:r w:rsidR="006B52AF">
        <w:rPr>
          <w:rFonts w:asciiTheme="minorHAnsi" w:eastAsiaTheme="minorHAnsi" w:hAnsiTheme="minorHAnsi" w:cstheme="minorBidi"/>
          <w:sz w:val="24"/>
          <w:szCs w:val="24"/>
        </w:rPr>
        <w:t xml:space="preserve"> </w:t>
      </w:r>
    </w:p>
    <w:p w:rsidR="003B032C" w:rsidRDefault="00D94BEE" w:rsidP="0023586E">
      <w:pPr>
        <w:pStyle w:val="ListParagraph"/>
        <w:numPr>
          <w:ilvl w:val="1"/>
          <w:numId w:val="5"/>
        </w:numPr>
        <w:spacing w:before="120" w:after="160"/>
        <w:contextualSpacing w:val="0"/>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The </w:t>
      </w:r>
      <w:r w:rsidR="006B52AF">
        <w:rPr>
          <w:rFonts w:asciiTheme="minorHAnsi" w:eastAsiaTheme="minorHAnsi" w:hAnsiTheme="minorHAnsi" w:cstheme="minorBidi"/>
          <w:sz w:val="24"/>
          <w:szCs w:val="24"/>
        </w:rPr>
        <w:t xml:space="preserve">PBAC </w:t>
      </w:r>
      <w:r w:rsidR="0023586E">
        <w:rPr>
          <w:rFonts w:asciiTheme="minorHAnsi" w:eastAsiaTheme="minorHAnsi" w:hAnsiTheme="minorHAnsi" w:cstheme="minorBidi"/>
          <w:sz w:val="24"/>
          <w:szCs w:val="24"/>
        </w:rPr>
        <w:t xml:space="preserve">foreshadowed that </w:t>
      </w:r>
      <w:r w:rsidR="006B52AF">
        <w:rPr>
          <w:rFonts w:asciiTheme="minorHAnsi" w:eastAsiaTheme="minorHAnsi" w:hAnsiTheme="minorHAnsi" w:cstheme="minorBidi"/>
          <w:sz w:val="24"/>
          <w:szCs w:val="24"/>
        </w:rPr>
        <w:t>further updated data may delineate subgroups of patients who do not derive</w:t>
      </w:r>
      <w:r w:rsidR="00B13176">
        <w:rPr>
          <w:rFonts w:asciiTheme="minorHAnsi" w:eastAsiaTheme="minorHAnsi" w:hAnsiTheme="minorHAnsi" w:cstheme="minorBidi"/>
          <w:sz w:val="24"/>
          <w:szCs w:val="24"/>
        </w:rPr>
        <w:t xml:space="preserve"> the same magnitude of</w:t>
      </w:r>
      <w:r w:rsidR="006B52AF">
        <w:rPr>
          <w:rFonts w:asciiTheme="minorHAnsi" w:eastAsiaTheme="minorHAnsi" w:hAnsiTheme="minorHAnsi" w:cstheme="minorBidi"/>
          <w:sz w:val="24"/>
          <w:szCs w:val="24"/>
        </w:rPr>
        <w:t xml:space="preserve"> benefit from nivolumab</w:t>
      </w:r>
      <w:r w:rsidR="00B13176">
        <w:rPr>
          <w:rFonts w:asciiTheme="minorHAnsi" w:eastAsiaTheme="minorHAnsi" w:hAnsiTheme="minorHAnsi" w:cstheme="minorBidi"/>
          <w:sz w:val="24"/>
          <w:szCs w:val="24"/>
        </w:rPr>
        <w:t xml:space="preserve"> treatment</w:t>
      </w:r>
      <w:r w:rsidR="006B52AF">
        <w:rPr>
          <w:rFonts w:asciiTheme="minorHAnsi" w:eastAsiaTheme="minorHAnsi" w:hAnsiTheme="minorHAnsi" w:cstheme="minorBidi"/>
          <w:sz w:val="24"/>
          <w:szCs w:val="24"/>
        </w:rPr>
        <w:t xml:space="preserve">, </w:t>
      </w:r>
      <w:r w:rsidR="00A039B9">
        <w:rPr>
          <w:rFonts w:asciiTheme="minorHAnsi" w:eastAsiaTheme="minorHAnsi" w:hAnsiTheme="minorHAnsi" w:cstheme="minorBidi"/>
          <w:sz w:val="24"/>
          <w:szCs w:val="24"/>
        </w:rPr>
        <w:t>and therefore</w:t>
      </w:r>
      <w:r w:rsidR="0023586E">
        <w:rPr>
          <w:rFonts w:asciiTheme="minorHAnsi" w:eastAsiaTheme="minorHAnsi" w:hAnsiTheme="minorHAnsi" w:cstheme="minorBidi"/>
          <w:sz w:val="24"/>
          <w:szCs w:val="24"/>
        </w:rPr>
        <w:t xml:space="preserve"> a</w:t>
      </w:r>
      <w:r>
        <w:rPr>
          <w:rFonts w:asciiTheme="minorHAnsi" w:eastAsiaTheme="minorHAnsi" w:hAnsiTheme="minorHAnsi" w:cstheme="minorBidi"/>
          <w:sz w:val="24"/>
          <w:szCs w:val="24"/>
        </w:rPr>
        <w:t xml:space="preserve"> </w:t>
      </w:r>
      <w:r w:rsidR="0023586E" w:rsidRPr="0023586E">
        <w:rPr>
          <w:rFonts w:asciiTheme="minorHAnsi" w:eastAsiaTheme="minorHAnsi" w:hAnsiTheme="minorHAnsi" w:cstheme="minorBidi"/>
          <w:sz w:val="24"/>
          <w:szCs w:val="24"/>
        </w:rPr>
        <w:t xml:space="preserve">review of the </w:t>
      </w:r>
      <w:r w:rsidR="0023586E">
        <w:rPr>
          <w:rFonts w:asciiTheme="minorHAnsi" w:eastAsiaTheme="minorHAnsi" w:hAnsiTheme="minorHAnsi" w:cstheme="minorBidi"/>
          <w:sz w:val="24"/>
          <w:szCs w:val="24"/>
        </w:rPr>
        <w:t>eligible PBS population</w:t>
      </w:r>
      <w:r w:rsidR="0023586E" w:rsidRPr="0023586E">
        <w:rPr>
          <w:rFonts w:asciiTheme="minorHAnsi" w:eastAsiaTheme="minorHAnsi" w:hAnsiTheme="minorHAnsi" w:cstheme="minorBidi"/>
          <w:sz w:val="24"/>
          <w:szCs w:val="24"/>
        </w:rPr>
        <w:t>, cost effectiveness and risk share arrangement</w:t>
      </w:r>
      <w:r w:rsidR="0023586E">
        <w:rPr>
          <w:rFonts w:asciiTheme="minorHAnsi" w:eastAsiaTheme="minorHAnsi" w:hAnsiTheme="minorHAnsi" w:cstheme="minorBidi"/>
          <w:sz w:val="24"/>
          <w:szCs w:val="24"/>
        </w:rPr>
        <w:t xml:space="preserve"> </w:t>
      </w:r>
      <w:r w:rsidR="004E66A8">
        <w:rPr>
          <w:rFonts w:asciiTheme="minorHAnsi" w:eastAsiaTheme="minorHAnsi" w:hAnsiTheme="minorHAnsi" w:cstheme="minorBidi"/>
          <w:sz w:val="24"/>
          <w:szCs w:val="24"/>
        </w:rPr>
        <w:t xml:space="preserve">may </w:t>
      </w:r>
      <w:r w:rsidR="0023586E">
        <w:rPr>
          <w:rFonts w:asciiTheme="minorHAnsi" w:eastAsiaTheme="minorHAnsi" w:hAnsiTheme="minorHAnsi" w:cstheme="minorBidi"/>
          <w:sz w:val="24"/>
          <w:szCs w:val="24"/>
        </w:rPr>
        <w:t>be warranted in the future</w:t>
      </w:r>
      <w:r w:rsidR="0023586E" w:rsidRPr="0023586E">
        <w:rPr>
          <w:rFonts w:asciiTheme="minorHAnsi" w:eastAsiaTheme="minorHAnsi" w:hAnsiTheme="minorHAnsi" w:cstheme="minorBidi"/>
          <w:sz w:val="24"/>
          <w:szCs w:val="24"/>
        </w:rPr>
        <w:t>.</w:t>
      </w:r>
    </w:p>
    <w:p w:rsidR="003B032C" w:rsidRPr="003B032C" w:rsidRDefault="003B032C" w:rsidP="003B032C">
      <w:pPr>
        <w:pStyle w:val="ListParagraph"/>
        <w:numPr>
          <w:ilvl w:val="1"/>
          <w:numId w:val="5"/>
        </w:numPr>
        <w:spacing w:before="120" w:after="160"/>
        <w:contextualSpacing w:val="0"/>
        <w:rPr>
          <w:rFonts w:asciiTheme="minorHAnsi" w:eastAsiaTheme="minorHAnsi" w:hAnsiTheme="minorHAnsi" w:cstheme="minorBidi"/>
          <w:sz w:val="24"/>
          <w:szCs w:val="24"/>
        </w:rPr>
      </w:pPr>
      <w:r w:rsidRPr="003B032C">
        <w:rPr>
          <w:rFonts w:asciiTheme="minorHAnsi" w:eastAsiaTheme="minorHAnsi" w:hAnsiTheme="minorHAnsi" w:cstheme="minorBidi"/>
          <w:sz w:val="24"/>
          <w:szCs w:val="24"/>
        </w:rPr>
        <w:t xml:space="preserve">The PBAC advised that the Early Supply Rule should </w:t>
      </w:r>
      <w:r w:rsidR="00DD147B">
        <w:rPr>
          <w:rFonts w:asciiTheme="minorHAnsi" w:eastAsiaTheme="minorHAnsi" w:hAnsiTheme="minorHAnsi" w:cstheme="minorBidi"/>
          <w:sz w:val="24"/>
          <w:szCs w:val="24"/>
        </w:rPr>
        <w:t xml:space="preserve">not </w:t>
      </w:r>
      <w:r w:rsidRPr="003B032C">
        <w:rPr>
          <w:rFonts w:asciiTheme="minorHAnsi" w:eastAsiaTheme="minorHAnsi" w:hAnsiTheme="minorHAnsi" w:cstheme="minorBidi"/>
          <w:sz w:val="24"/>
          <w:szCs w:val="24"/>
        </w:rPr>
        <w:t xml:space="preserve">apply to the listing of </w:t>
      </w:r>
      <w:r w:rsidR="00FD6372">
        <w:rPr>
          <w:rFonts w:asciiTheme="minorHAnsi" w:eastAsiaTheme="minorHAnsi" w:hAnsiTheme="minorHAnsi" w:cstheme="minorBidi"/>
          <w:sz w:val="24"/>
          <w:szCs w:val="24"/>
        </w:rPr>
        <w:t>nivolu</w:t>
      </w:r>
      <w:r w:rsidRPr="003B032C">
        <w:rPr>
          <w:rFonts w:asciiTheme="minorHAnsi" w:eastAsiaTheme="minorHAnsi" w:hAnsiTheme="minorHAnsi" w:cstheme="minorBidi"/>
          <w:sz w:val="24"/>
          <w:szCs w:val="24"/>
        </w:rPr>
        <w:t>mab.</w:t>
      </w:r>
    </w:p>
    <w:p w:rsidR="003B032C" w:rsidRPr="003B032C" w:rsidRDefault="003B032C" w:rsidP="003B032C">
      <w:pPr>
        <w:pStyle w:val="ListParagraph"/>
        <w:numPr>
          <w:ilvl w:val="1"/>
          <w:numId w:val="5"/>
        </w:numPr>
        <w:spacing w:before="120" w:after="160"/>
        <w:contextualSpacing w:val="0"/>
        <w:rPr>
          <w:rFonts w:asciiTheme="minorHAnsi" w:eastAsiaTheme="minorHAnsi" w:hAnsiTheme="minorHAnsi" w:cstheme="minorBidi"/>
          <w:sz w:val="24"/>
          <w:szCs w:val="24"/>
        </w:rPr>
      </w:pPr>
      <w:r w:rsidRPr="003B032C">
        <w:rPr>
          <w:rFonts w:asciiTheme="minorHAnsi" w:eastAsiaTheme="minorHAnsi" w:hAnsiTheme="minorHAnsi" w:cstheme="minorBidi"/>
          <w:sz w:val="24"/>
          <w:szCs w:val="24"/>
        </w:rPr>
        <w:t xml:space="preserve">The PBAC advised that under subsection 101(3BA) of the </w:t>
      </w:r>
      <w:r w:rsidRPr="00DD147B">
        <w:rPr>
          <w:rFonts w:asciiTheme="minorHAnsi" w:eastAsiaTheme="minorHAnsi" w:hAnsiTheme="minorHAnsi" w:cstheme="minorBidi"/>
          <w:i/>
          <w:sz w:val="24"/>
          <w:szCs w:val="24"/>
        </w:rPr>
        <w:t>National Health Act, 1953</w:t>
      </w:r>
      <w:r w:rsidRPr="003B032C">
        <w:rPr>
          <w:rFonts w:asciiTheme="minorHAnsi" w:eastAsiaTheme="minorHAnsi" w:hAnsiTheme="minorHAnsi" w:cstheme="minorBidi"/>
          <w:sz w:val="24"/>
          <w:szCs w:val="24"/>
        </w:rPr>
        <w:t xml:space="preserve"> that </w:t>
      </w:r>
      <w:r w:rsidR="00FD6372">
        <w:rPr>
          <w:rFonts w:asciiTheme="minorHAnsi" w:eastAsiaTheme="minorHAnsi" w:hAnsiTheme="minorHAnsi" w:cstheme="minorBidi"/>
          <w:sz w:val="24"/>
          <w:szCs w:val="24"/>
        </w:rPr>
        <w:t>nivolu</w:t>
      </w:r>
      <w:r w:rsidRPr="003B032C">
        <w:rPr>
          <w:rFonts w:asciiTheme="minorHAnsi" w:eastAsiaTheme="minorHAnsi" w:hAnsiTheme="minorHAnsi" w:cstheme="minorBidi"/>
          <w:sz w:val="24"/>
          <w:szCs w:val="24"/>
        </w:rPr>
        <w:t>mab should not be treated as interchangeable on an individual patient basis with any other drugs.</w:t>
      </w:r>
    </w:p>
    <w:p w:rsidR="003B032C" w:rsidRPr="003B032C" w:rsidRDefault="003B032C" w:rsidP="003B032C">
      <w:pPr>
        <w:pStyle w:val="ListParagraph"/>
        <w:numPr>
          <w:ilvl w:val="1"/>
          <w:numId w:val="5"/>
        </w:numPr>
        <w:spacing w:before="120" w:after="160"/>
        <w:contextualSpacing w:val="0"/>
        <w:rPr>
          <w:rFonts w:asciiTheme="minorHAnsi" w:eastAsiaTheme="minorHAnsi" w:hAnsiTheme="minorHAnsi" w:cstheme="minorBidi"/>
          <w:sz w:val="24"/>
          <w:szCs w:val="24"/>
        </w:rPr>
      </w:pPr>
      <w:r w:rsidRPr="003B032C">
        <w:rPr>
          <w:rFonts w:asciiTheme="minorHAnsi" w:eastAsiaTheme="minorHAnsi" w:hAnsiTheme="minorHAnsi" w:cstheme="minorBidi"/>
          <w:sz w:val="24"/>
          <w:szCs w:val="24"/>
        </w:rPr>
        <w:t xml:space="preserve">The PBAC advised that </w:t>
      </w:r>
      <w:r w:rsidR="00FD6372">
        <w:rPr>
          <w:rFonts w:asciiTheme="minorHAnsi" w:eastAsiaTheme="minorHAnsi" w:hAnsiTheme="minorHAnsi" w:cstheme="minorBidi"/>
          <w:sz w:val="24"/>
          <w:szCs w:val="24"/>
        </w:rPr>
        <w:t>nivolu</w:t>
      </w:r>
      <w:r w:rsidRPr="003B032C">
        <w:rPr>
          <w:rFonts w:asciiTheme="minorHAnsi" w:eastAsiaTheme="minorHAnsi" w:hAnsiTheme="minorHAnsi" w:cstheme="minorBidi"/>
          <w:sz w:val="24"/>
          <w:szCs w:val="24"/>
        </w:rPr>
        <w:t>mab is not suitable for prescribing by nurse practitioners.</w:t>
      </w:r>
    </w:p>
    <w:p w:rsidR="003B032C" w:rsidRDefault="003B032C" w:rsidP="003B032C">
      <w:pPr>
        <w:pStyle w:val="ListParagraph"/>
        <w:numPr>
          <w:ilvl w:val="1"/>
          <w:numId w:val="5"/>
        </w:numPr>
        <w:spacing w:before="120" w:after="160"/>
        <w:contextualSpacing w:val="0"/>
        <w:rPr>
          <w:rFonts w:asciiTheme="minorHAnsi" w:eastAsiaTheme="minorHAnsi" w:hAnsiTheme="minorHAnsi" w:cstheme="minorBidi"/>
          <w:sz w:val="24"/>
          <w:szCs w:val="24"/>
        </w:rPr>
      </w:pPr>
      <w:r w:rsidRPr="003B032C">
        <w:rPr>
          <w:rFonts w:asciiTheme="minorHAnsi" w:eastAsiaTheme="minorHAnsi" w:hAnsiTheme="minorHAnsi" w:cstheme="minorBidi"/>
          <w:sz w:val="24"/>
          <w:szCs w:val="24"/>
        </w:rPr>
        <w:t>The PBAC noted that this submission is not eligible for an Independent Review because the PBAC has made a positive recommendation.</w:t>
      </w:r>
    </w:p>
    <w:p w:rsidR="00534DDA" w:rsidRPr="0098482D" w:rsidRDefault="00534DDA" w:rsidP="0098482D">
      <w:pPr>
        <w:rPr>
          <w:rFonts w:asciiTheme="minorHAnsi" w:hAnsiTheme="minorHAnsi"/>
          <w:b/>
        </w:rPr>
      </w:pPr>
      <w:r w:rsidRPr="0098482D">
        <w:rPr>
          <w:rFonts w:asciiTheme="minorHAnsi" w:hAnsiTheme="minorHAnsi"/>
          <w:b/>
        </w:rPr>
        <w:t>Subsequent to the meeting, the PBAC considered the grandfathering arrangements out of session in May 2018.</w:t>
      </w:r>
    </w:p>
    <w:p w:rsidR="00534DDA" w:rsidRPr="00534DDA" w:rsidRDefault="00534DDA" w:rsidP="00534DDA">
      <w:pPr>
        <w:pStyle w:val="ListParagraph"/>
        <w:numPr>
          <w:ilvl w:val="1"/>
          <w:numId w:val="5"/>
        </w:numPr>
        <w:snapToGrid w:val="0"/>
        <w:spacing w:before="120" w:after="120"/>
        <w:rPr>
          <w:rFonts w:asciiTheme="minorHAnsi" w:eastAsiaTheme="minorHAnsi" w:hAnsiTheme="minorHAnsi" w:cstheme="minorBidi"/>
          <w:sz w:val="24"/>
          <w:szCs w:val="24"/>
        </w:rPr>
      </w:pPr>
      <w:r>
        <w:rPr>
          <w:rFonts w:asciiTheme="minorHAnsi" w:eastAsiaTheme="minorHAnsi" w:hAnsiTheme="minorHAnsi" w:cstheme="minorBidi"/>
          <w:sz w:val="24"/>
          <w:szCs w:val="24"/>
        </w:rPr>
        <w:t>The PBAC noted advice from the sponsor that approximately 30 additional patients are receiving nivolumab for SCCHN via a co-pay program. The PBAC recommended a grandfather arrangement be added to the listing of nivolumab for SCCHN. The PBAC noted that a grandfather arrangement would provide equity of access for a small number of patients who would have met the initial PBS criteria at the time of commencing treatment, but are receiving non-PBS subsidised treatment with nivolumab via another source (such as self-funding). The PBAC noted that the sponsor did not propose to change the patient number caps, and as the rebate above the patient number caps was 100%, this would not represent any additional financial cost to government.</w:t>
      </w:r>
    </w:p>
    <w:p w:rsidR="00F62235" w:rsidRPr="00D61352" w:rsidRDefault="00F62235" w:rsidP="00F62235">
      <w:pPr>
        <w:spacing w:before="240"/>
        <w:jc w:val="both"/>
        <w:rPr>
          <w:rFonts w:asciiTheme="minorHAnsi" w:hAnsiTheme="minorHAnsi" w:cs="Arial"/>
          <w:b/>
          <w:bCs/>
          <w:snapToGrid w:val="0"/>
        </w:rPr>
      </w:pPr>
      <w:r w:rsidRPr="00D61352">
        <w:rPr>
          <w:rFonts w:asciiTheme="minorHAnsi" w:hAnsiTheme="minorHAnsi" w:cs="Arial"/>
          <w:b/>
          <w:bCs/>
          <w:snapToGrid w:val="0"/>
        </w:rPr>
        <w:t>Outcome:</w:t>
      </w:r>
    </w:p>
    <w:p w:rsidR="00F62235" w:rsidRPr="00D61352" w:rsidRDefault="009C6A3E" w:rsidP="00F62235">
      <w:pPr>
        <w:jc w:val="both"/>
        <w:rPr>
          <w:rFonts w:asciiTheme="minorHAnsi" w:hAnsiTheme="minorHAnsi" w:cs="Arial"/>
          <w:bCs/>
          <w:snapToGrid w:val="0"/>
        </w:rPr>
      </w:pPr>
      <w:r>
        <w:rPr>
          <w:rFonts w:asciiTheme="minorHAnsi" w:hAnsiTheme="minorHAnsi" w:cs="Arial"/>
          <w:bCs/>
          <w:snapToGrid w:val="0"/>
        </w:rPr>
        <w:t>Recommended</w:t>
      </w:r>
    </w:p>
    <w:p w:rsidR="00F62235" w:rsidRPr="00D61352" w:rsidRDefault="00F62235" w:rsidP="00D61352">
      <w:pPr>
        <w:pStyle w:val="Heading1"/>
        <w:keepNext/>
        <w:keepLines/>
        <w:widowControl/>
        <w:numPr>
          <w:ilvl w:val="0"/>
          <w:numId w:val="14"/>
        </w:numPr>
        <w:spacing w:before="120" w:after="160"/>
        <w:ind w:left="709" w:hanging="709"/>
        <w:contextualSpacing w:val="0"/>
        <w:jc w:val="left"/>
        <w:rPr>
          <w:rFonts w:asciiTheme="minorHAnsi" w:hAnsiTheme="minorHAnsi"/>
          <w:sz w:val="32"/>
          <w:szCs w:val="32"/>
        </w:rPr>
      </w:pPr>
      <w:r w:rsidRPr="00D61352">
        <w:rPr>
          <w:rFonts w:asciiTheme="minorHAnsi" w:hAnsiTheme="minorHAnsi"/>
          <w:sz w:val="32"/>
          <w:szCs w:val="32"/>
        </w:rPr>
        <w:t>Recommended listing</w:t>
      </w:r>
    </w:p>
    <w:p w:rsidR="00F62235" w:rsidRPr="00D61352" w:rsidRDefault="00F62235" w:rsidP="00EA6F31">
      <w:pPr>
        <w:widowControl w:val="0"/>
        <w:numPr>
          <w:ilvl w:val="1"/>
          <w:numId w:val="5"/>
        </w:numPr>
        <w:spacing w:after="120"/>
        <w:jc w:val="both"/>
        <w:rPr>
          <w:rFonts w:asciiTheme="minorHAnsi" w:hAnsiTheme="minorHAnsi" w:cs="Arial"/>
          <w:bCs/>
          <w:snapToGrid w:val="0"/>
        </w:rPr>
      </w:pPr>
      <w:r w:rsidRPr="00D61352">
        <w:rPr>
          <w:rFonts w:asciiTheme="minorHAnsi" w:hAnsiTheme="minorHAnsi" w:cs="Arial"/>
          <w:bCs/>
          <w:snapToGrid w:val="0"/>
        </w:rPr>
        <w:t>Add new item:</w:t>
      </w:r>
    </w:p>
    <w:tbl>
      <w:tblPr>
        <w:tblW w:w="5000" w:type="pct"/>
        <w:tblLook w:val="04A0" w:firstRow="1" w:lastRow="0" w:firstColumn="1" w:lastColumn="0" w:noHBand="0" w:noVBand="1"/>
      </w:tblPr>
      <w:tblGrid>
        <w:gridCol w:w="2090"/>
        <w:gridCol w:w="14"/>
        <w:gridCol w:w="1393"/>
        <w:gridCol w:w="46"/>
        <w:gridCol w:w="11"/>
        <w:gridCol w:w="640"/>
        <w:gridCol w:w="48"/>
        <w:gridCol w:w="34"/>
        <w:gridCol w:w="660"/>
        <w:gridCol w:w="58"/>
        <w:gridCol w:w="21"/>
        <w:gridCol w:w="4227"/>
      </w:tblGrid>
      <w:tr w:rsidR="002C6A10"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z w:val="20"/>
              </w:rPr>
            </w:pPr>
            <w:r w:rsidRPr="000A3B64">
              <w:rPr>
                <w:rFonts w:ascii="Arial Narrow" w:hAnsi="Arial Narrow"/>
                <w:sz w:val="20"/>
              </w:rPr>
              <w:t>Name, Restriction,</w:t>
            </w:r>
          </w:p>
          <w:p w:rsidR="002C6A10" w:rsidRPr="000A3B64" w:rsidRDefault="002C6A10" w:rsidP="002830DE">
            <w:pPr>
              <w:keepNext/>
              <w:ind w:left="-108"/>
              <w:rPr>
                <w:rFonts w:ascii="Arial Narrow" w:hAnsi="Arial Narrow"/>
                <w:sz w:val="20"/>
              </w:rPr>
            </w:pPr>
            <w:r w:rsidRPr="000A3B64">
              <w:rPr>
                <w:rFonts w:ascii="Arial Narrow" w:hAnsi="Arial Narrow"/>
                <w:sz w:val="20"/>
              </w:rPr>
              <w:t>Manner of administration and form</w:t>
            </w:r>
          </w:p>
        </w:tc>
        <w:tc>
          <w:tcPr>
            <w:tcW w:w="785" w:type="pct"/>
            <w:gridSpan w:val="3"/>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jc w:val="center"/>
              <w:rPr>
                <w:rFonts w:ascii="Arial Narrow" w:hAnsi="Arial Narrow"/>
                <w:sz w:val="20"/>
              </w:rPr>
            </w:pPr>
            <w:r w:rsidRPr="000A3B64">
              <w:rPr>
                <w:rFonts w:ascii="Arial Narrow" w:hAnsi="Arial Narrow"/>
                <w:sz w:val="20"/>
              </w:rPr>
              <w:t>Max.</w:t>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Amount</w:t>
            </w:r>
          </w:p>
        </w:tc>
        <w:tc>
          <w:tcPr>
            <w:tcW w:w="372" w:type="pct"/>
            <w:gridSpan w:val="2"/>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jc w:val="center"/>
              <w:rPr>
                <w:rFonts w:ascii="Arial Narrow" w:hAnsi="Arial Narrow"/>
                <w:sz w:val="20"/>
              </w:rPr>
            </w:pPr>
            <w:r w:rsidRPr="000A3B64">
              <w:rPr>
                <w:rFonts w:ascii="Arial Narrow" w:hAnsi="Arial Narrow"/>
                <w:sz w:val="20"/>
              </w:rPr>
              <w:t>№.of</w:t>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Rpts</w:t>
            </w:r>
          </w:p>
        </w:tc>
        <w:tc>
          <w:tcPr>
            <w:tcW w:w="2703" w:type="pct"/>
            <w:gridSpan w:val="5"/>
            <w:tcBorders>
              <w:top w:val="single" w:sz="4" w:space="0" w:color="auto"/>
              <w:left w:val="single" w:sz="4" w:space="0" w:color="auto"/>
              <w:bottom w:val="single" w:sz="4" w:space="0" w:color="auto"/>
              <w:right w:val="single" w:sz="4" w:space="0" w:color="auto"/>
            </w:tcBorders>
          </w:tcPr>
          <w:p w:rsidR="002C6A10" w:rsidRPr="000A3B64" w:rsidRDefault="002C6A10" w:rsidP="002C6A10">
            <w:pPr>
              <w:keepNext/>
              <w:ind w:left="-108"/>
              <w:jc w:val="center"/>
              <w:rPr>
                <w:rFonts w:ascii="Arial Narrow" w:hAnsi="Arial Narrow"/>
                <w:sz w:val="20"/>
              </w:rPr>
            </w:pPr>
            <w:r w:rsidRPr="000A3B64">
              <w:rPr>
                <w:rFonts w:ascii="Arial Narrow" w:hAnsi="Arial Narrow"/>
                <w:sz w:val="20"/>
              </w:rPr>
              <w:t>Proprietary Name and Manufacturer</w:t>
            </w:r>
          </w:p>
        </w:tc>
      </w:tr>
      <w:tr w:rsidR="002C6A10"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z w:val="20"/>
              </w:rPr>
            </w:pPr>
            <w:r w:rsidRPr="000A3B64">
              <w:rPr>
                <w:rFonts w:ascii="Arial Narrow" w:hAnsi="Arial Narrow"/>
                <w:smallCaps/>
                <w:sz w:val="20"/>
              </w:rPr>
              <w:t>NIVOLUMAB</w:t>
            </w:r>
          </w:p>
          <w:p w:rsidR="002C6A10" w:rsidRPr="000A3B64" w:rsidRDefault="002C6A10" w:rsidP="002830DE">
            <w:pPr>
              <w:keepNext/>
              <w:ind w:left="-108"/>
              <w:rPr>
                <w:rFonts w:ascii="Arial Narrow" w:hAnsi="Arial Narrow"/>
                <w:sz w:val="20"/>
              </w:rPr>
            </w:pPr>
            <w:r w:rsidRPr="000A3B64">
              <w:rPr>
                <w:rFonts w:ascii="Arial Narrow" w:hAnsi="Arial Narrow"/>
                <w:sz w:val="20"/>
              </w:rPr>
              <w:t>nivolumab 40 mg/4 mL injection, 1 x 4 mL vial</w:t>
            </w:r>
          </w:p>
          <w:p w:rsidR="002C6A10" w:rsidRPr="000A3B64" w:rsidRDefault="002C6A10" w:rsidP="002830DE">
            <w:pPr>
              <w:keepNext/>
              <w:ind w:left="-108"/>
              <w:rPr>
                <w:rFonts w:ascii="Arial Narrow" w:hAnsi="Arial Narrow"/>
                <w:sz w:val="20"/>
              </w:rPr>
            </w:pPr>
          </w:p>
          <w:p w:rsidR="002C6A10" w:rsidRPr="000A3B64" w:rsidRDefault="002C6A10" w:rsidP="002830DE">
            <w:pPr>
              <w:keepNext/>
              <w:ind w:left="-108"/>
              <w:rPr>
                <w:rFonts w:ascii="Arial Narrow" w:hAnsi="Arial Narrow"/>
                <w:sz w:val="20"/>
              </w:rPr>
            </w:pPr>
            <w:r w:rsidRPr="000A3B64">
              <w:rPr>
                <w:rFonts w:ascii="Arial Narrow" w:hAnsi="Arial Narrow"/>
                <w:sz w:val="20"/>
              </w:rPr>
              <w:t>nivolumab 100 mg/10 mL injection, 1 x 10 mL vial</w:t>
            </w:r>
          </w:p>
        </w:tc>
        <w:tc>
          <w:tcPr>
            <w:tcW w:w="785" w:type="pct"/>
            <w:gridSpan w:val="3"/>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z w:val="20"/>
              </w:rPr>
            </w:pPr>
          </w:p>
          <w:p w:rsidR="002C6A10" w:rsidRPr="000A3B64" w:rsidRDefault="002C6A10" w:rsidP="002830DE">
            <w:pPr>
              <w:keepNext/>
              <w:ind w:left="-108"/>
              <w:rPr>
                <w:rFonts w:ascii="Arial Narrow" w:hAnsi="Arial Narrow"/>
                <w:sz w:val="20"/>
              </w:rPr>
            </w:pPr>
            <w:r w:rsidRPr="000A3B64">
              <w:rPr>
                <w:rFonts w:ascii="Arial Narrow" w:hAnsi="Arial Narrow"/>
                <w:sz w:val="20"/>
              </w:rPr>
              <w:t>360 mg</w:t>
            </w:r>
          </w:p>
          <w:p w:rsidR="002C6A10" w:rsidRPr="000A3B64" w:rsidRDefault="002C6A10" w:rsidP="002830DE">
            <w:pPr>
              <w:keepNext/>
              <w:ind w:left="-108"/>
              <w:rPr>
                <w:rFonts w:ascii="Arial Narrow" w:hAnsi="Arial Narrow"/>
                <w:sz w:val="20"/>
              </w:rPr>
            </w:pPr>
            <w:r w:rsidRPr="000A3B64">
              <w:rPr>
                <w:rFonts w:ascii="Arial Narrow" w:hAnsi="Arial Narrow"/>
                <w:sz w:val="20"/>
              </w:rPr>
              <w:br/>
            </w:r>
          </w:p>
          <w:p w:rsidR="002C6A10" w:rsidRPr="000A3B64" w:rsidRDefault="002C6A10" w:rsidP="002830DE">
            <w:pPr>
              <w:keepNext/>
              <w:ind w:left="-108"/>
              <w:rPr>
                <w:rFonts w:ascii="Arial Narrow" w:hAnsi="Arial Narrow"/>
                <w:sz w:val="20"/>
              </w:rPr>
            </w:pPr>
            <w:r w:rsidRPr="000A3B64">
              <w:rPr>
                <w:rFonts w:ascii="Arial Narrow" w:hAnsi="Arial Narrow"/>
                <w:sz w:val="20"/>
              </w:rPr>
              <w:t>360 mg</w:t>
            </w:r>
          </w:p>
        </w:tc>
        <w:tc>
          <w:tcPr>
            <w:tcW w:w="372" w:type="pct"/>
            <w:gridSpan w:val="2"/>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trike/>
                <w:sz w:val="20"/>
              </w:rPr>
            </w:pP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8</w:t>
            </w:r>
          </w:p>
          <w:p w:rsidR="002C6A10" w:rsidRPr="000A3B64" w:rsidRDefault="002C6A10" w:rsidP="002830DE">
            <w:pPr>
              <w:keepNext/>
              <w:ind w:left="-108"/>
              <w:rPr>
                <w:rFonts w:ascii="Arial Narrow" w:hAnsi="Arial Narrow"/>
                <w:sz w:val="20"/>
              </w:rPr>
            </w:pPr>
            <w:r w:rsidRPr="000A3B64">
              <w:rPr>
                <w:rFonts w:ascii="Arial Narrow" w:hAnsi="Arial Narrow"/>
                <w:sz w:val="20"/>
              </w:rPr>
              <w:br/>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8</w:t>
            </w:r>
          </w:p>
        </w:tc>
        <w:tc>
          <w:tcPr>
            <w:tcW w:w="406" w:type="pct"/>
            <w:gridSpan w:val="3"/>
            <w:tcBorders>
              <w:top w:val="single" w:sz="4" w:space="0" w:color="auto"/>
              <w:left w:val="single" w:sz="4" w:space="0" w:color="auto"/>
              <w:bottom w:val="single" w:sz="4" w:space="0" w:color="auto"/>
              <w:right w:val="single" w:sz="4" w:space="0" w:color="auto"/>
            </w:tcBorders>
            <w:vAlign w:val="center"/>
          </w:tcPr>
          <w:p w:rsidR="002C6A10" w:rsidRPr="000A3B64" w:rsidRDefault="002C6A10" w:rsidP="002830DE">
            <w:pPr>
              <w:keepNext/>
              <w:jc w:val="center"/>
              <w:rPr>
                <w:rFonts w:ascii="Arial Narrow" w:hAnsi="Arial Narrow"/>
                <w:sz w:val="20"/>
              </w:rPr>
            </w:pPr>
            <w:r w:rsidRPr="000A3B64">
              <w:rPr>
                <w:rFonts w:ascii="Arial Narrow" w:hAnsi="Arial Narrow"/>
                <w:sz w:val="20"/>
              </w:rPr>
              <w:t>Opdivo</w:t>
            </w:r>
          </w:p>
        </w:tc>
        <w:tc>
          <w:tcPr>
            <w:tcW w:w="2297" w:type="pct"/>
            <w:gridSpan w:val="2"/>
            <w:tcBorders>
              <w:top w:val="single" w:sz="4" w:space="0" w:color="auto"/>
              <w:left w:val="single" w:sz="4" w:space="0" w:color="auto"/>
              <w:bottom w:val="single" w:sz="4" w:space="0" w:color="auto"/>
              <w:right w:val="single" w:sz="4" w:space="0" w:color="auto"/>
            </w:tcBorders>
            <w:vAlign w:val="center"/>
          </w:tcPr>
          <w:p w:rsidR="002C6A10" w:rsidRPr="000A3B64" w:rsidRDefault="002C6A10" w:rsidP="002830DE">
            <w:pPr>
              <w:keepNext/>
              <w:ind w:left="-108"/>
              <w:jc w:val="center"/>
              <w:rPr>
                <w:rFonts w:ascii="Arial Narrow" w:hAnsi="Arial Narrow"/>
                <w:sz w:val="20"/>
              </w:rPr>
            </w:pPr>
            <w:r w:rsidRPr="000A3B64">
              <w:rPr>
                <w:rFonts w:ascii="Arial Narrow" w:hAnsi="Arial Narrow"/>
                <w:sz w:val="20"/>
              </w:rPr>
              <w:t>Bristol Myers Squibb Pty Ltd.</w:t>
            </w:r>
          </w:p>
        </w:tc>
      </w:tr>
      <w:tr w:rsidR="00EA6F31"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Category / Program :</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Section 100 - Efficient funding of Chemotherapy</w:t>
            </w:r>
          </w:p>
        </w:tc>
      </w:tr>
      <w:tr w:rsidR="00EA6F31"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sz w:val="20"/>
              </w:rPr>
            </w:pPr>
            <w:r w:rsidRPr="000A3B64">
              <w:rPr>
                <w:rFonts w:ascii="Arial Narrow" w:hAnsi="Arial Narrow"/>
                <w:b/>
                <w:sz w:val="20"/>
              </w:rPr>
              <w:t>Prescriber type:</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Check1"/>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 xml:space="preserve">Dental  </w:t>
            </w:r>
            <w:r w:rsidRPr="000A3B64">
              <w:rPr>
                <w:rFonts w:ascii="Arial Narrow" w:hAnsi="Arial Narrow"/>
                <w:sz w:val="20"/>
              </w:rPr>
              <w:fldChar w:fldCharType="begin">
                <w:ffData>
                  <w:name w:val=""/>
                  <w:enabled/>
                  <w:calcOnExit w:val="0"/>
                  <w:checkBox>
                    <w:sizeAuto/>
                    <w:default w:val="1"/>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 xml:space="preserve">Medical Practitioners  </w:t>
            </w:r>
            <w:r w:rsidRPr="000A3B64">
              <w:rPr>
                <w:rFonts w:ascii="Arial Narrow" w:hAnsi="Arial Narrow"/>
                <w:sz w:val="20"/>
              </w:rPr>
              <w:fldChar w:fldCharType="begin">
                <w:ffData>
                  <w:name w:val="Check3"/>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 xml:space="preserve">Nurse practitioners  </w:t>
            </w:r>
            <w:r w:rsidRPr="000A3B64">
              <w:rPr>
                <w:rFonts w:ascii="Arial Narrow" w:hAnsi="Arial Narrow"/>
                <w:sz w:val="20"/>
              </w:rPr>
              <w:fldChar w:fldCharType="begin">
                <w:ffData>
                  <w:name w:val=""/>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Optometrists</w:t>
            </w:r>
          </w:p>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Check5"/>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Midwives</w:t>
            </w:r>
          </w:p>
        </w:tc>
      </w:tr>
      <w:tr w:rsidR="00EA6F31"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Severity:</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Recurrent or metastatic</w:t>
            </w:r>
          </w:p>
        </w:tc>
      </w:tr>
      <w:tr w:rsidR="00EA6F31"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Condition:</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Squamous cell carcinoma of the oral cavity, pharynx or larynx</w:t>
            </w:r>
          </w:p>
        </w:tc>
      </w:tr>
      <w:tr w:rsidR="00EA6F31"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PBS Indication:</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Recurrent or metastatic squamous cell carcinoma of the oral cavity, pharynx or larynx</w:t>
            </w:r>
          </w:p>
        </w:tc>
      </w:tr>
      <w:tr w:rsidR="00EA6F31" w:rsidRPr="000A3B64" w:rsidTr="0098482D">
        <w:trPr>
          <w:trHeight w:val="58"/>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Treatment phase:</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Initial treatment</w:t>
            </w:r>
          </w:p>
        </w:tc>
      </w:tr>
      <w:tr w:rsidR="00EA6F31" w:rsidRPr="000A3B64" w:rsidTr="0098482D">
        <w:trPr>
          <w:trHeight w:val="360"/>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Restriction Level / Method:</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fldChar w:fldCharType="begin">
                <w:ffData>
                  <w:name w:val="Check1"/>
                  <w:enabled/>
                  <w:calcOnExit w:val="0"/>
                  <w:checkBox>
                    <w:sizeAuto/>
                    <w:default w:val="0"/>
                  </w:checkBox>
                </w:ffData>
              </w:fldChar>
            </w:r>
            <w:r w:rsidRPr="000A3B64">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0A3B64">
              <w:rPr>
                <w:rFonts w:ascii="Arial Narrow" w:hAnsi="Arial Narrow"/>
                <w:color w:val="000000" w:themeColor="text1"/>
                <w:sz w:val="20"/>
              </w:rPr>
              <w:fldChar w:fldCharType="end"/>
            </w:r>
            <w:r w:rsidRPr="000A3B64">
              <w:rPr>
                <w:rFonts w:ascii="Arial Narrow" w:hAnsi="Arial Narrow"/>
                <w:color w:val="000000" w:themeColor="text1"/>
                <w:sz w:val="20"/>
              </w:rPr>
              <w:t>Restricted benefit</w:t>
            </w:r>
          </w:p>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fldChar w:fldCharType="begin">
                <w:ffData>
                  <w:name w:val=""/>
                  <w:enabled/>
                  <w:calcOnExit w:val="0"/>
                  <w:checkBox>
                    <w:sizeAuto/>
                    <w:default w:val="0"/>
                  </w:checkBox>
                </w:ffData>
              </w:fldChar>
            </w:r>
            <w:r w:rsidRPr="000A3B64">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0A3B64">
              <w:rPr>
                <w:rFonts w:ascii="Arial Narrow" w:hAnsi="Arial Narrow"/>
                <w:color w:val="000000" w:themeColor="text1"/>
                <w:sz w:val="20"/>
              </w:rPr>
              <w:fldChar w:fldCharType="end"/>
            </w:r>
            <w:r w:rsidRPr="000A3B64">
              <w:rPr>
                <w:rFonts w:ascii="Arial Narrow" w:hAnsi="Arial Narrow"/>
                <w:color w:val="000000" w:themeColor="text1"/>
                <w:sz w:val="20"/>
              </w:rPr>
              <w:t>Authority Required - In Writing</w:t>
            </w:r>
          </w:p>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fldChar w:fldCharType="begin">
                <w:ffData>
                  <w:name w:val="Check3"/>
                  <w:enabled/>
                  <w:calcOnExit w:val="0"/>
                  <w:checkBox>
                    <w:sizeAuto/>
                    <w:default w:val="0"/>
                  </w:checkBox>
                </w:ffData>
              </w:fldChar>
            </w:r>
            <w:r w:rsidRPr="000A3B64">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0A3B64">
              <w:rPr>
                <w:rFonts w:ascii="Arial Narrow" w:hAnsi="Arial Narrow"/>
                <w:color w:val="000000" w:themeColor="text1"/>
                <w:sz w:val="20"/>
              </w:rPr>
              <w:fldChar w:fldCharType="end"/>
            </w:r>
            <w:r w:rsidRPr="000A3B64">
              <w:rPr>
                <w:rFonts w:ascii="Arial Narrow" w:hAnsi="Arial Narrow"/>
                <w:color w:val="000000" w:themeColor="text1"/>
                <w:sz w:val="20"/>
              </w:rPr>
              <w:t>Authority Required - Telephone</w:t>
            </w:r>
          </w:p>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fldChar w:fldCharType="begin">
                <w:ffData>
                  <w:name w:val=""/>
                  <w:enabled/>
                  <w:calcOnExit w:val="0"/>
                  <w:checkBox>
                    <w:sizeAuto/>
                    <w:default w:val="0"/>
                  </w:checkBox>
                </w:ffData>
              </w:fldChar>
            </w:r>
            <w:r w:rsidRPr="000A3B64">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0A3B64">
              <w:rPr>
                <w:rFonts w:ascii="Arial Narrow" w:hAnsi="Arial Narrow"/>
                <w:color w:val="000000" w:themeColor="text1"/>
                <w:sz w:val="20"/>
              </w:rPr>
              <w:fldChar w:fldCharType="end"/>
            </w:r>
            <w:r w:rsidRPr="000A3B64">
              <w:rPr>
                <w:rFonts w:ascii="Arial Narrow" w:hAnsi="Arial Narrow"/>
                <w:color w:val="000000" w:themeColor="text1"/>
                <w:sz w:val="20"/>
              </w:rPr>
              <w:t>Authority Required – Emergency</w:t>
            </w:r>
          </w:p>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fldChar w:fldCharType="begin">
                <w:ffData>
                  <w:name w:val="Check5"/>
                  <w:enabled/>
                  <w:calcOnExit w:val="0"/>
                  <w:checkBox>
                    <w:sizeAuto/>
                    <w:default w:val="0"/>
                  </w:checkBox>
                </w:ffData>
              </w:fldChar>
            </w:r>
            <w:r w:rsidRPr="000A3B64">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0A3B64">
              <w:rPr>
                <w:rFonts w:ascii="Arial Narrow" w:hAnsi="Arial Narrow"/>
                <w:color w:val="000000" w:themeColor="text1"/>
                <w:sz w:val="20"/>
              </w:rPr>
              <w:fldChar w:fldCharType="end"/>
            </w:r>
            <w:r w:rsidRPr="000A3B64">
              <w:rPr>
                <w:rFonts w:ascii="Arial Narrow" w:hAnsi="Arial Narrow"/>
                <w:color w:val="000000" w:themeColor="text1"/>
                <w:sz w:val="20"/>
              </w:rPr>
              <w:t>Authority Required - Electronic</w:t>
            </w:r>
          </w:p>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fldChar w:fldCharType="begin">
                <w:ffData>
                  <w:name w:val="Check5"/>
                  <w:enabled/>
                  <w:calcOnExit w:val="0"/>
                  <w:checkBox>
                    <w:sizeAuto/>
                    <w:default w:val="1"/>
                  </w:checkBox>
                </w:ffData>
              </w:fldChar>
            </w:r>
            <w:r w:rsidRPr="000A3B64">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sidRPr="000A3B64">
              <w:rPr>
                <w:rFonts w:ascii="Arial Narrow" w:hAnsi="Arial Narrow"/>
                <w:color w:val="000000" w:themeColor="text1"/>
                <w:sz w:val="20"/>
              </w:rPr>
              <w:fldChar w:fldCharType="end"/>
            </w:r>
            <w:r w:rsidRPr="000A3B64">
              <w:rPr>
                <w:rFonts w:ascii="Arial Narrow" w:hAnsi="Arial Narrow"/>
                <w:color w:val="000000" w:themeColor="text1"/>
                <w:sz w:val="20"/>
              </w:rPr>
              <w:t>Streamlined</w:t>
            </w:r>
          </w:p>
        </w:tc>
      </w:tr>
      <w:tr w:rsidR="00EA6F31" w:rsidRPr="000A3B64" w:rsidTr="0098482D">
        <w:trPr>
          <w:trHeight w:val="274"/>
        </w:trPr>
        <w:tc>
          <w:tcPr>
            <w:tcW w:w="1139" w:type="pct"/>
            <w:gridSpan w:val="2"/>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sz w:val="20"/>
              </w:rPr>
            </w:pPr>
            <w:r w:rsidRPr="000A3B64">
              <w:rPr>
                <w:rFonts w:ascii="Arial Narrow" w:hAnsi="Arial Narrow"/>
                <w:b/>
                <w:sz w:val="20"/>
              </w:rPr>
              <w:t>Clinical criteria:</w:t>
            </w:r>
          </w:p>
        </w:tc>
        <w:tc>
          <w:tcPr>
            <w:tcW w:w="3861" w:type="pct"/>
            <w:gridSpan w:val="10"/>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Patient must have a WHO performance status of 0 or 1</w:t>
            </w:r>
          </w:p>
          <w:p w:rsidR="00EA6F31" w:rsidRPr="000A3B64" w:rsidRDefault="00EA6F31" w:rsidP="002830DE">
            <w:pPr>
              <w:rPr>
                <w:rFonts w:ascii="Arial Narrow" w:hAnsi="Arial Narrow"/>
                <w:sz w:val="20"/>
              </w:rPr>
            </w:pPr>
            <w:r w:rsidRPr="000A3B64">
              <w:rPr>
                <w:rFonts w:ascii="Arial Narrow" w:hAnsi="Arial Narrow"/>
                <w:sz w:val="20"/>
              </w:rPr>
              <w:t>AND</w:t>
            </w:r>
          </w:p>
          <w:p w:rsidR="00EA6F31" w:rsidRPr="000A3B64" w:rsidRDefault="00EA6F31" w:rsidP="002830DE">
            <w:pPr>
              <w:rPr>
                <w:rFonts w:ascii="Arial Narrow" w:hAnsi="Arial Narrow"/>
                <w:sz w:val="20"/>
              </w:rPr>
            </w:pPr>
            <w:r w:rsidRPr="000A3B64">
              <w:rPr>
                <w:rFonts w:ascii="Arial Narrow" w:hAnsi="Arial Narrow"/>
                <w:sz w:val="20"/>
              </w:rPr>
              <w:t>The treatment must be the sole PBS-subsidised therapy for this condition</w:t>
            </w:r>
          </w:p>
          <w:p w:rsidR="00EA6F31" w:rsidRDefault="00EA6F31" w:rsidP="002830DE">
            <w:pPr>
              <w:rPr>
                <w:rFonts w:ascii="Arial Narrow" w:hAnsi="Arial Narrow"/>
                <w:sz w:val="20"/>
              </w:rPr>
            </w:pPr>
            <w:r w:rsidRPr="000A3B64">
              <w:rPr>
                <w:rFonts w:ascii="Arial Narrow" w:hAnsi="Arial Narrow"/>
                <w:sz w:val="20"/>
              </w:rPr>
              <w:t>AND</w:t>
            </w:r>
          </w:p>
          <w:p w:rsidR="00EA6F31" w:rsidRPr="000A3B64" w:rsidRDefault="00EA6F31" w:rsidP="002830DE">
            <w:pPr>
              <w:rPr>
                <w:rFonts w:ascii="Arial Narrow" w:hAnsi="Arial Narrow"/>
                <w:sz w:val="20"/>
              </w:rPr>
            </w:pPr>
            <w:r w:rsidRPr="000A3B64">
              <w:rPr>
                <w:rFonts w:ascii="Arial Narrow" w:hAnsi="Arial Narrow"/>
                <w:sz w:val="20"/>
              </w:rPr>
              <w:t>The condition must have progressed within 6 months of receiving prior platinum based chemotherapy.</w:t>
            </w:r>
          </w:p>
          <w:p w:rsidR="00EA6F31" w:rsidRPr="000A3B64" w:rsidRDefault="00EA6F31" w:rsidP="002830DE">
            <w:pPr>
              <w:rPr>
                <w:rFonts w:ascii="Arial Narrow" w:hAnsi="Arial Narrow"/>
                <w:sz w:val="20"/>
              </w:rPr>
            </w:pPr>
            <w:r w:rsidRPr="000A3B64">
              <w:rPr>
                <w:rFonts w:ascii="Arial Narrow" w:hAnsi="Arial Narrow"/>
                <w:sz w:val="20"/>
              </w:rPr>
              <w:t>AND</w:t>
            </w:r>
          </w:p>
          <w:p w:rsidR="00EA6F31" w:rsidRPr="000A3B64" w:rsidRDefault="00EA6F31" w:rsidP="002830DE">
            <w:pPr>
              <w:rPr>
                <w:rFonts w:ascii="Arial Narrow" w:hAnsi="Arial Narrow"/>
                <w:sz w:val="20"/>
              </w:rPr>
            </w:pPr>
            <w:r w:rsidRPr="000A3B64">
              <w:rPr>
                <w:rFonts w:ascii="Arial Narrow" w:hAnsi="Arial Narrow"/>
                <w:sz w:val="20"/>
              </w:rPr>
              <w:t>Patient must not have received prior treatment with a PD-1 inhibitor for this condition.</w:t>
            </w:r>
          </w:p>
        </w:tc>
      </w:tr>
      <w:tr w:rsidR="00EA6F31" w:rsidRPr="000A3B64" w:rsidTr="0098482D">
        <w:trPr>
          <w:trHeight w:val="278"/>
        </w:trPr>
        <w:tc>
          <w:tcPr>
            <w:tcW w:w="1139" w:type="pct"/>
            <w:gridSpan w:val="2"/>
            <w:tcBorders>
              <w:top w:val="single" w:sz="4" w:space="0" w:color="auto"/>
              <w:left w:val="single" w:sz="4" w:space="0" w:color="auto"/>
              <w:bottom w:val="single" w:sz="4" w:space="0" w:color="auto"/>
              <w:right w:val="single" w:sz="4" w:space="0" w:color="auto"/>
            </w:tcBorders>
            <w:vAlign w:val="center"/>
            <w:hideMark/>
          </w:tcPr>
          <w:p w:rsidR="00EA6F31" w:rsidRPr="000A3B64" w:rsidRDefault="00EA6F31" w:rsidP="002830DE">
            <w:pPr>
              <w:rPr>
                <w:rFonts w:ascii="Arial Narrow" w:hAnsi="Arial Narrow"/>
                <w:color w:val="000000" w:themeColor="text1"/>
                <w:sz w:val="20"/>
              </w:rPr>
            </w:pPr>
            <w:r w:rsidRPr="000A3B64">
              <w:rPr>
                <w:rFonts w:ascii="Arial Narrow" w:hAnsi="Arial Narrow"/>
                <w:b/>
                <w:color w:val="000000" w:themeColor="text1"/>
                <w:sz w:val="20"/>
              </w:rPr>
              <w:t>Prescriber Instructions</w:t>
            </w:r>
          </w:p>
        </w:tc>
        <w:tc>
          <w:tcPr>
            <w:tcW w:w="3861" w:type="pct"/>
            <w:gridSpan w:val="10"/>
            <w:tcBorders>
              <w:top w:val="single" w:sz="4" w:space="0" w:color="auto"/>
              <w:left w:val="single" w:sz="4" w:space="0" w:color="auto"/>
              <w:bottom w:val="single" w:sz="4" w:space="0" w:color="auto"/>
              <w:right w:val="single" w:sz="4" w:space="0" w:color="auto"/>
            </w:tcBorders>
            <w:vAlign w:val="center"/>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The patient’s body weight must be documented in the patient’s medical records at the time treatment is initiated.</w:t>
            </w:r>
          </w:p>
        </w:tc>
      </w:tr>
      <w:tr w:rsidR="00EA6F31" w:rsidRPr="000A3B64" w:rsidTr="0098482D">
        <w:trPr>
          <w:trHeight w:val="670"/>
        </w:trPr>
        <w:tc>
          <w:tcPr>
            <w:tcW w:w="1139" w:type="pct"/>
            <w:gridSpan w:val="2"/>
            <w:tcBorders>
              <w:top w:val="single" w:sz="4" w:space="0" w:color="auto"/>
              <w:left w:val="single" w:sz="4" w:space="0" w:color="auto"/>
              <w:bottom w:val="single" w:sz="4" w:space="0" w:color="auto"/>
              <w:right w:val="single" w:sz="4" w:space="0" w:color="auto"/>
            </w:tcBorders>
            <w:vAlign w:val="center"/>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Administrative Advice</w:t>
            </w:r>
          </w:p>
        </w:tc>
        <w:tc>
          <w:tcPr>
            <w:tcW w:w="3861" w:type="pct"/>
            <w:gridSpan w:val="10"/>
            <w:tcBorders>
              <w:top w:val="single" w:sz="4" w:space="0" w:color="auto"/>
              <w:left w:val="single" w:sz="4" w:space="0" w:color="auto"/>
              <w:bottom w:val="single" w:sz="4" w:space="0" w:color="auto"/>
              <w:right w:val="single" w:sz="4" w:space="0" w:color="auto"/>
            </w:tcBorders>
            <w:vAlign w:val="center"/>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 xml:space="preserve">No increase in the maximum number of repeats may be authorised. </w:t>
            </w:r>
          </w:p>
          <w:p w:rsidR="00EA6F31" w:rsidRPr="000A3B64" w:rsidRDefault="00EA6F31" w:rsidP="002830DE">
            <w:pPr>
              <w:rPr>
                <w:rFonts w:ascii="Arial Narrow" w:hAnsi="Arial Narrow"/>
                <w:sz w:val="20"/>
              </w:rPr>
            </w:pPr>
            <w:r w:rsidRPr="000A3B64">
              <w:rPr>
                <w:rFonts w:ascii="Arial Narrow" w:hAnsi="Arial Narrow"/>
                <w:color w:val="000000" w:themeColor="text1"/>
                <w:sz w:val="20"/>
              </w:rPr>
              <w:t>Special Pricing Arrangements apply.</w:t>
            </w:r>
          </w:p>
        </w:tc>
      </w:tr>
      <w:tr w:rsidR="0098482D" w:rsidTr="0098482D">
        <w:trPr>
          <w:trHeight w:val="58"/>
        </w:trPr>
        <w:tc>
          <w:tcPr>
            <w:tcW w:w="1131" w:type="pct"/>
            <w:tcBorders>
              <w:top w:val="single" w:sz="4" w:space="0" w:color="auto"/>
              <w:bottom w:val="single" w:sz="4" w:space="0" w:color="auto"/>
            </w:tcBorders>
          </w:tcPr>
          <w:p w:rsidR="0098482D" w:rsidRDefault="0098482D">
            <w:pPr>
              <w:keepNext/>
              <w:ind w:left="-108"/>
              <w:rPr>
                <w:rFonts w:ascii="Arial Narrow" w:hAnsi="Arial Narrow"/>
                <w:sz w:val="20"/>
              </w:rPr>
            </w:pPr>
          </w:p>
        </w:tc>
        <w:tc>
          <w:tcPr>
            <w:tcW w:w="787" w:type="pct"/>
            <w:gridSpan w:val="3"/>
            <w:tcBorders>
              <w:top w:val="single" w:sz="4" w:space="0" w:color="auto"/>
              <w:bottom w:val="single" w:sz="4" w:space="0" w:color="auto"/>
            </w:tcBorders>
          </w:tcPr>
          <w:p w:rsidR="0098482D" w:rsidRDefault="0098482D">
            <w:pPr>
              <w:keepNext/>
              <w:ind w:left="-108"/>
              <w:jc w:val="center"/>
              <w:rPr>
                <w:rFonts w:ascii="Arial Narrow" w:hAnsi="Arial Narrow"/>
                <w:sz w:val="20"/>
              </w:rPr>
            </w:pPr>
          </w:p>
        </w:tc>
        <w:tc>
          <w:tcPr>
            <w:tcW w:w="396" w:type="pct"/>
            <w:gridSpan w:val="4"/>
            <w:tcBorders>
              <w:top w:val="single" w:sz="4" w:space="0" w:color="auto"/>
              <w:bottom w:val="single" w:sz="4" w:space="0" w:color="auto"/>
            </w:tcBorders>
          </w:tcPr>
          <w:p w:rsidR="0098482D" w:rsidRDefault="0098482D">
            <w:pPr>
              <w:keepNext/>
              <w:ind w:left="-108"/>
              <w:jc w:val="center"/>
              <w:rPr>
                <w:rFonts w:ascii="Arial Narrow" w:hAnsi="Arial Narrow"/>
                <w:sz w:val="20"/>
              </w:rPr>
            </w:pPr>
          </w:p>
        </w:tc>
        <w:tc>
          <w:tcPr>
            <w:tcW w:w="2687" w:type="pct"/>
            <w:gridSpan w:val="4"/>
            <w:tcBorders>
              <w:top w:val="single" w:sz="4" w:space="0" w:color="auto"/>
              <w:bottom w:val="single" w:sz="4" w:space="0" w:color="auto"/>
            </w:tcBorders>
          </w:tcPr>
          <w:p w:rsidR="0098482D" w:rsidRDefault="0098482D">
            <w:pPr>
              <w:keepNext/>
              <w:ind w:left="-108"/>
              <w:jc w:val="center"/>
              <w:rPr>
                <w:rFonts w:ascii="Arial Narrow" w:hAnsi="Arial Narrow"/>
                <w:sz w:val="20"/>
              </w:rPr>
            </w:pPr>
          </w:p>
        </w:tc>
      </w:tr>
      <w:tr w:rsidR="00534DDA" w:rsidTr="0098482D">
        <w:trPr>
          <w:trHeight w:val="58"/>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keepNext/>
              <w:ind w:left="-108"/>
              <w:rPr>
                <w:rFonts w:ascii="Arial Narrow" w:hAnsi="Arial Narrow"/>
                <w:sz w:val="20"/>
              </w:rPr>
            </w:pPr>
            <w:r>
              <w:rPr>
                <w:rFonts w:ascii="Arial Narrow" w:hAnsi="Arial Narrow"/>
                <w:sz w:val="20"/>
              </w:rPr>
              <w:t>Name, Restriction,</w:t>
            </w:r>
          </w:p>
          <w:p w:rsidR="00534DDA" w:rsidRDefault="00534DDA">
            <w:pPr>
              <w:keepNext/>
              <w:ind w:left="-108"/>
              <w:rPr>
                <w:rFonts w:ascii="Arial Narrow" w:hAnsi="Arial Narrow"/>
                <w:sz w:val="20"/>
              </w:rPr>
            </w:pPr>
            <w:r>
              <w:rPr>
                <w:rFonts w:ascii="Arial Narrow" w:hAnsi="Arial Narrow"/>
                <w:sz w:val="20"/>
              </w:rPr>
              <w:t>Manner of administration and form</w:t>
            </w:r>
          </w:p>
        </w:tc>
        <w:tc>
          <w:tcPr>
            <w:tcW w:w="787" w:type="pct"/>
            <w:gridSpan w:val="3"/>
            <w:tcBorders>
              <w:top w:val="single" w:sz="4" w:space="0" w:color="auto"/>
              <w:left w:val="single" w:sz="4" w:space="0" w:color="auto"/>
              <w:bottom w:val="single" w:sz="4" w:space="0" w:color="auto"/>
              <w:right w:val="single" w:sz="4" w:space="0" w:color="auto"/>
            </w:tcBorders>
            <w:hideMark/>
          </w:tcPr>
          <w:p w:rsidR="00534DDA" w:rsidRDefault="00534DDA">
            <w:pPr>
              <w:keepNext/>
              <w:ind w:left="-108"/>
              <w:jc w:val="center"/>
              <w:rPr>
                <w:rFonts w:ascii="Arial Narrow" w:hAnsi="Arial Narrow"/>
                <w:sz w:val="20"/>
              </w:rPr>
            </w:pPr>
            <w:r>
              <w:rPr>
                <w:rFonts w:ascii="Arial Narrow" w:hAnsi="Arial Narrow"/>
                <w:sz w:val="20"/>
              </w:rPr>
              <w:t>Max.</w:t>
            </w:r>
          </w:p>
          <w:p w:rsidR="00534DDA" w:rsidRDefault="00534DDA">
            <w:pPr>
              <w:keepNext/>
              <w:ind w:left="-108"/>
              <w:jc w:val="center"/>
              <w:rPr>
                <w:rFonts w:ascii="Arial Narrow" w:hAnsi="Arial Narrow"/>
                <w:sz w:val="20"/>
              </w:rPr>
            </w:pPr>
            <w:r>
              <w:rPr>
                <w:rFonts w:ascii="Arial Narrow" w:hAnsi="Arial Narrow"/>
                <w:sz w:val="20"/>
              </w:rPr>
              <w:t>Amount</w:t>
            </w:r>
          </w:p>
        </w:tc>
        <w:tc>
          <w:tcPr>
            <w:tcW w:w="396" w:type="pct"/>
            <w:gridSpan w:val="4"/>
            <w:tcBorders>
              <w:top w:val="single" w:sz="4" w:space="0" w:color="auto"/>
              <w:left w:val="single" w:sz="4" w:space="0" w:color="auto"/>
              <w:bottom w:val="single" w:sz="4" w:space="0" w:color="auto"/>
              <w:right w:val="single" w:sz="4" w:space="0" w:color="auto"/>
            </w:tcBorders>
            <w:hideMark/>
          </w:tcPr>
          <w:p w:rsidR="00534DDA" w:rsidRDefault="00534DDA">
            <w:pPr>
              <w:keepNext/>
              <w:ind w:left="-108"/>
              <w:jc w:val="center"/>
              <w:rPr>
                <w:rFonts w:ascii="Arial Narrow" w:hAnsi="Arial Narrow"/>
                <w:sz w:val="20"/>
              </w:rPr>
            </w:pPr>
            <w:r>
              <w:rPr>
                <w:rFonts w:ascii="Arial Narrow" w:hAnsi="Arial Narrow"/>
                <w:sz w:val="20"/>
              </w:rPr>
              <w:t>№.of</w:t>
            </w:r>
          </w:p>
          <w:p w:rsidR="00534DDA" w:rsidRDefault="00534DDA">
            <w:pPr>
              <w:keepNext/>
              <w:ind w:left="-108"/>
              <w:jc w:val="center"/>
              <w:rPr>
                <w:rFonts w:ascii="Arial Narrow" w:hAnsi="Arial Narrow"/>
                <w:sz w:val="20"/>
              </w:rPr>
            </w:pPr>
            <w:r>
              <w:rPr>
                <w:rFonts w:ascii="Arial Narrow" w:hAnsi="Arial Narrow"/>
                <w:sz w:val="20"/>
              </w:rPr>
              <w:t>Rpts</w:t>
            </w:r>
          </w:p>
        </w:tc>
        <w:tc>
          <w:tcPr>
            <w:tcW w:w="2687" w:type="pct"/>
            <w:gridSpan w:val="4"/>
            <w:tcBorders>
              <w:top w:val="single" w:sz="4" w:space="0" w:color="auto"/>
              <w:left w:val="single" w:sz="4" w:space="0" w:color="auto"/>
              <w:bottom w:val="single" w:sz="4" w:space="0" w:color="auto"/>
              <w:right w:val="single" w:sz="4" w:space="0" w:color="auto"/>
            </w:tcBorders>
            <w:hideMark/>
          </w:tcPr>
          <w:p w:rsidR="00534DDA" w:rsidRDefault="00534DDA">
            <w:pPr>
              <w:keepNext/>
              <w:ind w:left="-108"/>
              <w:jc w:val="center"/>
              <w:rPr>
                <w:rFonts w:ascii="Arial Narrow" w:hAnsi="Arial Narrow"/>
                <w:sz w:val="20"/>
              </w:rPr>
            </w:pPr>
            <w:r>
              <w:rPr>
                <w:rFonts w:ascii="Arial Narrow" w:hAnsi="Arial Narrow"/>
                <w:sz w:val="20"/>
              </w:rPr>
              <w:t>Proprietary Name and Manufacturer</w:t>
            </w:r>
          </w:p>
        </w:tc>
      </w:tr>
      <w:tr w:rsidR="00534DDA" w:rsidTr="0098482D">
        <w:trPr>
          <w:trHeight w:val="58"/>
        </w:trPr>
        <w:tc>
          <w:tcPr>
            <w:tcW w:w="1131" w:type="pct"/>
            <w:tcBorders>
              <w:top w:val="single" w:sz="4" w:space="0" w:color="auto"/>
              <w:left w:val="single" w:sz="4" w:space="0" w:color="auto"/>
              <w:bottom w:val="single" w:sz="4" w:space="0" w:color="auto"/>
              <w:right w:val="single" w:sz="4" w:space="0" w:color="auto"/>
            </w:tcBorders>
          </w:tcPr>
          <w:p w:rsidR="00534DDA" w:rsidRDefault="00534DDA">
            <w:pPr>
              <w:keepNext/>
              <w:ind w:left="-108"/>
              <w:rPr>
                <w:rFonts w:ascii="Arial Narrow" w:hAnsi="Arial Narrow"/>
                <w:sz w:val="20"/>
              </w:rPr>
            </w:pPr>
            <w:r>
              <w:rPr>
                <w:rFonts w:ascii="Arial Narrow" w:hAnsi="Arial Narrow"/>
                <w:smallCaps/>
                <w:sz w:val="20"/>
              </w:rPr>
              <w:t>NIVOLUMAB</w:t>
            </w:r>
          </w:p>
          <w:p w:rsidR="00534DDA" w:rsidRDefault="00534DDA">
            <w:pPr>
              <w:keepNext/>
              <w:ind w:left="-108"/>
              <w:rPr>
                <w:rFonts w:ascii="Arial Narrow" w:hAnsi="Arial Narrow"/>
                <w:sz w:val="20"/>
              </w:rPr>
            </w:pPr>
            <w:r>
              <w:rPr>
                <w:rFonts w:ascii="Arial Narrow" w:hAnsi="Arial Narrow"/>
                <w:sz w:val="20"/>
              </w:rPr>
              <w:t>nivolumab 40 mg/4 mL injection, 1 x 4 mL vial</w:t>
            </w:r>
          </w:p>
          <w:p w:rsidR="00534DDA" w:rsidRDefault="00534DDA">
            <w:pPr>
              <w:keepNext/>
              <w:ind w:left="-108"/>
              <w:rPr>
                <w:rFonts w:ascii="Arial Narrow" w:hAnsi="Arial Narrow"/>
                <w:sz w:val="20"/>
              </w:rPr>
            </w:pPr>
          </w:p>
          <w:p w:rsidR="00534DDA" w:rsidRDefault="00534DDA">
            <w:pPr>
              <w:keepNext/>
              <w:ind w:left="-108"/>
              <w:rPr>
                <w:rFonts w:ascii="Arial Narrow" w:hAnsi="Arial Narrow"/>
                <w:sz w:val="20"/>
              </w:rPr>
            </w:pPr>
            <w:r>
              <w:rPr>
                <w:rFonts w:ascii="Arial Narrow" w:hAnsi="Arial Narrow"/>
                <w:sz w:val="20"/>
              </w:rPr>
              <w:t>nivolumab 100 mg/10 mL injection, 1 x 10 mL vial</w:t>
            </w:r>
          </w:p>
        </w:tc>
        <w:tc>
          <w:tcPr>
            <w:tcW w:w="787" w:type="pct"/>
            <w:gridSpan w:val="3"/>
            <w:tcBorders>
              <w:top w:val="single" w:sz="4" w:space="0" w:color="auto"/>
              <w:left w:val="single" w:sz="4" w:space="0" w:color="auto"/>
              <w:bottom w:val="single" w:sz="4" w:space="0" w:color="auto"/>
              <w:right w:val="single" w:sz="4" w:space="0" w:color="auto"/>
            </w:tcBorders>
          </w:tcPr>
          <w:p w:rsidR="00534DDA" w:rsidRDefault="00534DDA">
            <w:pPr>
              <w:keepNext/>
              <w:ind w:left="-108"/>
              <w:rPr>
                <w:rFonts w:ascii="Arial Narrow" w:hAnsi="Arial Narrow"/>
                <w:sz w:val="20"/>
              </w:rPr>
            </w:pPr>
          </w:p>
          <w:p w:rsidR="00534DDA" w:rsidRDefault="00534DDA">
            <w:pPr>
              <w:keepNext/>
              <w:ind w:left="-108"/>
              <w:jc w:val="center"/>
              <w:rPr>
                <w:rFonts w:ascii="Arial Narrow" w:hAnsi="Arial Narrow"/>
                <w:sz w:val="20"/>
              </w:rPr>
            </w:pPr>
            <w:r>
              <w:rPr>
                <w:rFonts w:ascii="Arial Narrow" w:hAnsi="Arial Narrow"/>
                <w:sz w:val="20"/>
              </w:rPr>
              <w:t>360 mg</w:t>
            </w:r>
          </w:p>
          <w:p w:rsidR="00534DDA" w:rsidRDefault="00534DDA">
            <w:pPr>
              <w:keepNext/>
              <w:ind w:left="-108"/>
              <w:jc w:val="center"/>
              <w:rPr>
                <w:rFonts w:ascii="Arial Narrow" w:hAnsi="Arial Narrow"/>
                <w:sz w:val="20"/>
              </w:rPr>
            </w:pPr>
            <w:r>
              <w:rPr>
                <w:rFonts w:ascii="Arial Narrow" w:hAnsi="Arial Narrow"/>
                <w:sz w:val="20"/>
              </w:rPr>
              <w:br/>
            </w:r>
          </w:p>
          <w:p w:rsidR="00534DDA" w:rsidRDefault="00534DDA">
            <w:pPr>
              <w:keepNext/>
              <w:ind w:left="-108"/>
              <w:jc w:val="center"/>
              <w:rPr>
                <w:rFonts w:ascii="Arial Narrow" w:hAnsi="Arial Narrow"/>
                <w:sz w:val="20"/>
              </w:rPr>
            </w:pPr>
            <w:r>
              <w:rPr>
                <w:rFonts w:ascii="Arial Narrow" w:hAnsi="Arial Narrow"/>
                <w:sz w:val="20"/>
              </w:rPr>
              <w:t>360 mg</w:t>
            </w:r>
          </w:p>
        </w:tc>
        <w:tc>
          <w:tcPr>
            <w:tcW w:w="396" w:type="pct"/>
            <w:gridSpan w:val="4"/>
            <w:tcBorders>
              <w:top w:val="single" w:sz="4" w:space="0" w:color="auto"/>
              <w:left w:val="single" w:sz="4" w:space="0" w:color="auto"/>
              <w:bottom w:val="single" w:sz="4" w:space="0" w:color="auto"/>
              <w:right w:val="single" w:sz="4" w:space="0" w:color="auto"/>
            </w:tcBorders>
          </w:tcPr>
          <w:p w:rsidR="00534DDA" w:rsidRDefault="00534DDA">
            <w:pPr>
              <w:keepNext/>
              <w:ind w:left="-108"/>
              <w:rPr>
                <w:rFonts w:ascii="Arial Narrow" w:hAnsi="Arial Narrow"/>
                <w:strike/>
                <w:sz w:val="20"/>
              </w:rPr>
            </w:pPr>
          </w:p>
          <w:p w:rsidR="00534DDA" w:rsidRDefault="00534DDA">
            <w:pPr>
              <w:keepNext/>
              <w:ind w:left="-108"/>
              <w:jc w:val="center"/>
              <w:rPr>
                <w:rFonts w:ascii="Arial Narrow" w:hAnsi="Arial Narrow"/>
                <w:sz w:val="20"/>
              </w:rPr>
            </w:pPr>
            <w:r>
              <w:rPr>
                <w:rFonts w:ascii="Arial Narrow" w:hAnsi="Arial Narrow"/>
                <w:sz w:val="20"/>
              </w:rPr>
              <w:t>8</w:t>
            </w:r>
          </w:p>
          <w:p w:rsidR="00534DDA" w:rsidRDefault="00534DDA">
            <w:pPr>
              <w:keepNext/>
              <w:ind w:left="-108"/>
              <w:jc w:val="center"/>
              <w:rPr>
                <w:rFonts w:ascii="Arial Narrow" w:hAnsi="Arial Narrow"/>
                <w:sz w:val="20"/>
              </w:rPr>
            </w:pPr>
            <w:r>
              <w:rPr>
                <w:rFonts w:ascii="Arial Narrow" w:hAnsi="Arial Narrow"/>
                <w:sz w:val="20"/>
              </w:rPr>
              <w:br/>
            </w:r>
          </w:p>
          <w:p w:rsidR="00534DDA" w:rsidRDefault="00534DDA">
            <w:pPr>
              <w:keepNext/>
              <w:ind w:left="-108"/>
              <w:jc w:val="center"/>
              <w:rPr>
                <w:rFonts w:ascii="Arial Narrow" w:hAnsi="Arial Narrow"/>
                <w:strike/>
                <w:sz w:val="20"/>
              </w:rPr>
            </w:pPr>
            <w:r>
              <w:rPr>
                <w:rFonts w:ascii="Arial Narrow" w:hAnsi="Arial Narrow"/>
                <w:sz w:val="20"/>
              </w:rPr>
              <w:t>8</w:t>
            </w:r>
          </w:p>
        </w:tc>
        <w:tc>
          <w:tcPr>
            <w:tcW w:w="399" w:type="pct"/>
            <w:gridSpan w:val="3"/>
            <w:tcBorders>
              <w:top w:val="single" w:sz="4" w:space="0" w:color="auto"/>
              <w:left w:val="single" w:sz="4" w:space="0" w:color="auto"/>
              <w:bottom w:val="single" w:sz="4" w:space="0" w:color="auto"/>
              <w:right w:val="single" w:sz="4" w:space="0" w:color="auto"/>
            </w:tcBorders>
            <w:vAlign w:val="center"/>
            <w:hideMark/>
          </w:tcPr>
          <w:p w:rsidR="00534DDA" w:rsidRDefault="00534DDA">
            <w:pPr>
              <w:keepNext/>
              <w:jc w:val="center"/>
              <w:rPr>
                <w:rFonts w:ascii="Arial Narrow" w:hAnsi="Arial Narrow"/>
                <w:sz w:val="20"/>
              </w:rPr>
            </w:pPr>
            <w:r>
              <w:rPr>
                <w:rFonts w:ascii="Arial Narrow" w:hAnsi="Arial Narrow"/>
                <w:sz w:val="20"/>
              </w:rPr>
              <w:t>Opdivo</w:t>
            </w:r>
          </w:p>
        </w:tc>
        <w:tc>
          <w:tcPr>
            <w:tcW w:w="2288" w:type="pct"/>
            <w:tcBorders>
              <w:top w:val="single" w:sz="4" w:space="0" w:color="auto"/>
              <w:left w:val="single" w:sz="4" w:space="0" w:color="auto"/>
              <w:bottom w:val="single" w:sz="4" w:space="0" w:color="auto"/>
              <w:right w:val="single" w:sz="4" w:space="0" w:color="auto"/>
            </w:tcBorders>
            <w:vAlign w:val="center"/>
            <w:hideMark/>
          </w:tcPr>
          <w:p w:rsidR="00534DDA" w:rsidRDefault="00534DDA">
            <w:pPr>
              <w:keepNext/>
              <w:ind w:left="-108"/>
              <w:jc w:val="center"/>
              <w:rPr>
                <w:rFonts w:ascii="Arial Narrow" w:hAnsi="Arial Narrow"/>
                <w:sz w:val="20"/>
              </w:rPr>
            </w:pPr>
            <w:r>
              <w:rPr>
                <w:rFonts w:ascii="Arial Narrow" w:hAnsi="Arial Narrow"/>
                <w:sz w:val="20"/>
              </w:rPr>
              <w:t>Bristol Myers Squibb Pty Ltd.</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 xml:space="preserve">Category / </w:t>
            </w:r>
          </w:p>
          <w:p w:rsidR="00534DDA" w:rsidRDefault="00534DDA">
            <w:pPr>
              <w:rPr>
                <w:rFonts w:ascii="Arial Narrow" w:hAnsi="Arial Narrow"/>
                <w:b/>
                <w:sz w:val="20"/>
              </w:rPr>
            </w:pPr>
            <w:r>
              <w:rPr>
                <w:rFonts w:ascii="Arial Narrow" w:hAnsi="Arial Narrow"/>
                <w:b/>
                <w:sz w:val="20"/>
              </w:rPr>
              <w:t>Program</w:t>
            </w: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sz w:val="20"/>
              </w:rPr>
            </w:pPr>
            <w:r>
              <w:rPr>
                <w:rFonts w:ascii="Arial Narrow" w:hAnsi="Arial Narrow"/>
                <w:sz w:val="20"/>
              </w:rPr>
              <w:t>Section 100 – Efficient funding of Chemotherapy</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tcPr>
          <w:p w:rsidR="00534DDA" w:rsidRDefault="00534DDA">
            <w:pPr>
              <w:rPr>
                <w:rFonts w:ascii="Arial Narrow" w:hAnsi="Arial Narrow"/>
                <w:b/>
                <w:sz w:val="20"/>
              </w:rPr>
            </w:pPr>
            <w:r>
              <w:rPr>
                <w:rFonts w:ascii="Arial Narrow" w:hAnsi="Arial Narrow"/>
                <w:b/>
                <w:sz w:val="20"/>
              </w:rPr>
              <w:t>Prescriber type:</w:t>
            </w:r>
          </w:p>
          <w:p w:rsidR="00534DDA" w:rsidRDefault="00534DDA">
            <w:pPr>
              <w:rPr>
                <w:rFonts w:ascii="Arial Narrow" w:hAnsi="Arial Narrow"/>
                <w:b/>
                <w:sz w:val="20"/>
              </w:rPr>
            </w:pP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Pr>
                <w:rFonts w:ascii="Arial Narrow" w:hAnsi="Arial Narrow"/>
                <w:sz w:val="20"/>
              </w:rPr>
              <w:fldChar w:fldCharType="end"/>
            </w:r>
            <w:r>
              <w:rPr>
                <w:rFonts w:ascii="Arial Narrow" w:hAnsi="Arial Narrow"/>
                <w:sz w:val="20"/>
              </w:rPr>
              <w:t>Optometrists</w:t>
            </w:r>
          </w:p>
          <w:p w:rsidR="00534DDA" w:rsidRDefault="00534DDA">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Pr>
                <w:rFonts w:ascii="Arial Narrow" w:hAnsi="Arial Narrow"/>
                <w:sz w:val="20"/>
              </w:rPr>
              <w:fldChar w:fldCharType="end"/>
            </w:r>
            <w:r>
              <w:rPr>
                <w:rFonts w:ascii="Arial Narrow" w:hAnsi="Arial Narrow"/>
                <w:sz w:val="20"/>
              </w:rPr>
              <w:t>Midwives</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Severity:</w:t>
            </w: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sz w:val="20"/>
              </w:rPr>
            </w:pPr>
            <w:r>
              <w:rPr>
                <w:rFonts w:ascii="Arial Narrow" w:hAnsi="Arial Narrow"/>
                <w:color w:val="000000" w:themeColor="text1"/>
                <w:sz w:val="20"/>
              </w:rPr>
              <w:t>Recurrent or metastatic</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Condition:</w:t>
            </w: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sz w:val="20"/>
              </w:rPr>
            </w:pPr>
            <w:r>
              <w:rPr>
                <w:rFonts w:ascii="Arial Narrow" w:hAnsi="Arial Narrow"/>
                <w:color w:val="000000" w:themeColor="text1"/>
                <w:sz w:val="20"/>
              </w:rPr>
              <w:t>Squamous cell carcinoma of the oral cavity, pharynx or larynx</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PBS Indication:</w:t>
            </w: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sz w:val="20"/>
              </w:rPr>
            </w:pPr>
            <w:r>
              <w:rPr>
                <w:rFonts w:ascii="Arial Narrow" w:hAnsi="Arial Narrow"/>
                <w:color w:val="000000" w:themeColor="text1"/>
                <w:sz w:val="20"/>
              </w:rPr>
              <w:t>Recurrent or metastatic squamous cell carcinoma of the oral cavity, pharynx or larynx</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Treatment phase:</w:t>
            </w: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sz w:val="20"/>
              </w:rPr>
            </w:pPr>
            <w:r>
              <w:rPr>
                <w:rFonts w:ascii="Arial Narrow" w:hAnsi="Arial Narrow"/>
                <w:sz w:val="20"/>
              </w:rPr>
              <w:t>Initial treatment – Grandfather patients</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tcPr>
          <w:p w:rsidR="00534DDA" w:rsidRDefault="00534DDA">
            <w:pPr>
              <w:rPr>
                <w:rFonts w:ascii="Arial Narrow" w:hAnsi="Arial Narrow"/>
                <w:b/>
                <w:sz w:val="20"/>
              </w:rPr>
            </w:pPr>
            <w:r>
              <w:rPr>
                <w:rFonts w:ascii="Arial Narrow" w:hAnsi="Arial Narrow"/>
                <w:b/>
                <w:sz w:val="20"/>
              </w:rPr>
              <w:t>Restriction Level / Method:</w:t>
            </w:r>
          </w:p>
          <w:p w:rsidR="00534DDA" w:rsidRDefault="00534DDA">
            <w:pPr>
              <w:rPr>
                <w:rFonts w:ascii="Arial Narrow" w:hAnsi="Arial Narrow"/>
                <w:i/>
                <w:sz w:val="20"/>
              </w:rPr>
            </w:pPr>
          </w:p>
        </w:tc>
        <w:tc>
          <w:tcPr>
            <w:tcW w:w="3869" w:type="pct"/>
            <w:gridSpan w:val="11"/>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color w:val="000000" w:themeColor="text1"/>
                <w:sz w:val="20"/>
              </w:rPr>
            </w:pPr>
            <w:r>
              <w:rPr>
                <w:rFonts w:ascii="Arial Narrow" w:hAnsi="Arial Narrow"/>
                <w:color w:val="000000" w:themeColor="text1"/>
                <w:sz w:val="20"/>
              </w:rPr>
              <w:fldChar w:fldCharType="begin">
                <w:ffData>
                  <w:name w:val="Check1"/>
                  <w:enabled/>
                  <w:calcOnExit w:val="0"/>
                  <w:checkBox>
                    <w:sizeAuto/>
                    <w:default w:val="0"/>
                  </w:checkBox>
                </w:ffData>
              </w:fldChar>
            </w:r>
            <w:r>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Pr>
                <w:rFonts w:ascii="Arial Narrow" w:hAnsi="Arial Narrow"/>
                <w:color w:val="000000" w:themeColor="text1"/>
                <w:sz w:val="20"/>
              </w:rPr>
              <w:fldChar w:fldCharType="end"/>
            </w:r>
            <w:r>
              <w:rPr>
                <w:rFonts w:ascii="Arial Narrow" w:hAnsi="Arial Narrow"/>
                <w:color w:val="000000" w:themeColor="text1"/>
                <w:sz w:val="20"/>
              </w:rPr>
              <w:t>Restricted benefit</w:t>
            </w:r>
          </w:p>
          <w:p w:rsidR="00534DDA" w:rsidRDefault="00534DDA">
            <w:pPr>
              <w:rPr>
                <w:rFonts w:ascii="Arial Narrow" w:hAnsi="Arial Narrow"/>
                <w:color w:val="000000" w:themeColor="text1"/>
                <w:sz w:val="20"/>
              </w:rPr>
            </w:pPr>
            <w:r>
              <w:rPr>
                <w:rFonts w:ascii="Arial Narrow" w:hAnsi="Arial Narrow"/>
                <w:color w:val="000000" w:themeColor="text1"/>
                <w:sz w:val="20"/>
              </w:rPr>
              <w:fldChar w:fldCharType="begin">
                <w:ffData>
                  <w:name w:val=""/>
                  <w:enabled/>
                  <w:calcOnExit w:val="0"/>
                  <w:checkBox>
                    <w:sizeAuto/>
                    <w:default w:val="0"/>
                  </w:checkBox>
                </w:ffData>
              </w:fldChar>
            </w:r>
            <w:r>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Pr>
                <w:rFonts w:ascii="Arial Narrow" w:hAnsi="Arial Narrow"/>
                <w:color w:val="000000" w:themeColor="text1"/>
                <w:sz w:val="20"/>
              </w:rPr>
              <w:fldChar w:fldCharType="end"/>
            </w:r>
            <w:r>
              <w:rPr>
                <w:rFonts w:ascii="Arial Narrow" w:hAnsi="Arial Narrow"/>
                <w:color w:val="000000" w:themeColor="text1"/>
                <w:sz w:val="20"/>
              </w:rPr>
              <w:t>Authority Required - In Writing</w:t>
            </w:r>
          </w:p>
          <w:p w:rsidR="00534DDA" w:rsidRDefault="00534DDA">
            <w:pPr>
              <w:rPr>
                <w:rFonts w:ascii="Arial Narrow" w:hAnsi="Arial Narrow"/>
                <w:color w:val="000000" w:themeColor="text1"/>
                <w:sz w:val="20"/>
              </w:rPr>
            </w:pPr>
            <w:r>
              <w:rPr>
                <w:rFonts w:ascii="Arial Narrow" w:hAnsi="Arial Narrow"/>
                <w:color w:val="000000" w:themeColor="text1"/>
                <w:sz w:val="20"/>
              </w:rPr>
              <w:fldChar w:fldCharType="begin">
                <w:ffData>
                  <w:name w:val="Check3"/>
                  <w:enabled/>
                  <w:calcOnExit w:val="0"/>
                  <w:checkBox>
                    <w:sizeAuto/>
                    <w:default w:val="0"/>
                  </w:checkBox>
                </w:ffData>
              </w:fldChar>
            </w:r>
            <w:r>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Pr>
                <w:rFonts w:ascii="Arial Narrow" w:hAnsi="Arial Narrow"/>
                <w:color w:val="000000" w:themeColor="text1"/>
                <w:sz w:val="20"/>
              </w:rPr>
              <w:fldChar w:fldCharType="end"/>
            </w:r>
            <w:r>
              <w:rPr>
                <w:rFonts w:ascii="Arial Narrow" w:hAnsi="Arial Narrow"/>
                <w:color w:val="000000" w:themeColor="text1"/>
                <w:sz w:val="20"/>
              </w:rPr>
              <w:t>Authority Required - Telephone</w:t>
            </w:r>
          </w:p>
          <w:p w:rsidR="00534DDA" w:rsidRDefault="00534DDA">
            <w:pPr>
              <w:rPr>
                <w:rFonts w:ascii="Arial Narrow" w:hAnsi="Arial Narrow"/>
                <w:color w:val="000000" w:themeColor="text1"/>
                <w:sz w:val="20"/>
              </w:rPr>
            </w:pPr>
            <w:r>
              <w:rPr>
                <w:rFonts w:ascii="Arial Narrow" w:hAnsi="Arial Narrow"/>
                <w:color w:val="000000" w:themeColor="text1"/>
                <w:sz w:val="20"/>
              </w:rPr>
              <w:fldChar w:fldCharType="begin">
                <w:ffData>
                  <w:name w:val=""/>
                  <w:enabled/>
                  <w:calcOnExit w:val="0"/>
                  <w:checkBox>
                    <w:sizeAuto/>
                    <w:default w:val="0"/>
                  </w:checkBox>
                </w:ffData>
              </w:fldChar>
            </w:r>
            <w:r>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Pr>
                <w:rFonts w:ascii="Arial Narrow" w:hAnsi="Arial Narrow"/>
                <w:color w:val="000000" w:themeColor="text1"/>
                <w:sz w:val="20"/>
              </w:rPr>
              <w:fldChar w:fldCharType="end"/>
            </w:r>
            <w:r>
              <w:rPr>
                <w:rFonts w:ascii="Arial Narrow" w:hAnsi="Arial Narrow"/>
                <w:color w:val="000000" w:themeColor="text1"/>
                <w:sz w:val="20"/>
              </w:rPr>
              <w:t>Authority Required – Emergency</w:t>
            </w:r>
          </w:p>
          <w:p w:rsidR="00534DDA" w:rsidRDefault="00534DDA">
            <w:pPr>
              <w:rPr>
                <w:rFonts w:ascii="Arial Narrow" w:hAnsi="Arial Narrow"/>
                <w:color w:val="000000" w:themeColor="text1"/>
                <w:sz w:val="20"/>
              </w:rPr>
            </w:pPr>
            <w:r>
              <w:rPr>
                <w:rFonts w:ascii="Arial Narrow" w:hAnsi="Arial Narrow"/>
                <w:color w:val="000000" w:themeColor="text1"/>
                <w:sz w:val="20"/>
              </w:rPr>
              <w:fldChar w:fldCharType="begin">
                <w:ffData>
                  <w:name w:val="Check5"/>
                  <w:enabled/>
                  <w:calcOnExit w:val="0"/>
                  <w:checkBox>
                    <w:sizeAuto/>
                    <w:default w:val="0"/>
                  </w:checkBox>
                </w:ffData>
              </w:fldChar>
            </w:r>
            <w:r>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Pr>
                <w:rFonts w:ascii="Arial Narrow" w:hAnsi="Arial Narrow"/>
                <w:color w:val="000000" w:themeColor="text1"/>
                <w:sz w:val="20"/>
              </w:rPr>
              <w:fldChar w:fldCharType="end"/>
            </w:r>
            <w:r>
              <w:rPr>
                <w:rFonts w:ascii="Arial Narrow" w:hAnsi="Arial Narrow"/>
                <w:color w:val="000000" w:themeColor="text1"/>
                <w:sz w:val="20"/>
              </w:rPr>
              <w:t>Authority Required - Electronic</w:t>
            </w:r>
          </w:p>
          <w:p w:rsidR="00534DDA" w:rsidRDefault="00534DDA">
            <w:pPr>
              <w:rPr>
                <w:rFonts w:ascii="Arial Narrow" w:hAnsi="Arial Narrow"/>
                <w:sz w:val="20"/>
              </w:rPr>
            </w:pPr>
            <w:r>
              <w:rPr>
                <w:rFonts w:ascii="Arial Narrow" w:hAnsi="Arial Narrow"/>
                <w:color w:val="000000" w:themeColor="text1"/>
                <w:sz w:val="20"/>
              </w:rPr>
              <w:fldChar w:fldCharType="begin">
                <w:ffData>
                  <w:name w:val="Check5"/>
                  <w:enabled/>
                  <w:calcOnExit w:val="0"/>
                  <w:checkBox>
                    <w:sizeAuto/>
                    <w:default w:val="1"/>
                  </w:checkBox>
                </w:ffData>
              </w:fldChar>
            </w:r>
            <w:r>
              <w:rPr>
                <w:rFonts w:ascii="Arial Narrow" w:hAnsi="Arial Narrow"/>
                <w:color w:val="000000" w:themeColor="text1"/>
                <w:sz w:val="20"/>
              </w:rPr>
              <w:instrText xml:space="preserve"> FORMCHECKBOX </w:instrText>
            </w:r>
            <w:r w:rsidR="007B0774">
              <w:rPr>
                <w:rFonts w:ascii="Arial Narrow" w:hAnsi="Arial Narrow"/>
                <w:color w:val="000000" w:themeColor="text1"/>
                <w:sz w:val="20"/>
              </w:rPr>
            </w:r>
            <w:r w:rsidR="007B0774">
              <w:rPr>
                <w:rFonts w:ascii="Arial Narrow" w:hAnsi="Arial Narrow"/>
                <w:color w:val="000000" w:themeColor="text1"/>
                <w:sz w:val="20"/>
              </w:rPr>
              <w:fldChar w:fldCharType="separate"/>
            </w:r>
            <w:r>
              <w:rPr>
                <w:rFonts w:ascii="Arial Narrow" w:hAnsi="Arial Narrow"/>
                <w:color w:val="000000" w:themeColor="text1"/>
                <w:sz w:val="20"/>
              </w:rPr>
              <w:fldChar w:fldCharType="end"/>
            </w:r>
            <w:r>
              <w:rPr>
                <w:rFonts w:ascii="Arial Narrow" w:hAnsi="Arial Narrow"/>
                <w:color w:val="000000" w:themeColor="text1"/>
                <w:sz w:val="20"/>
              </w:rPr>
              <w:t>Streamlined</w:t>
            </w:r>
            <w:r>
              <w:rPr>
                <w:rFonts w:ascii="Arial Narrow" w:hAnsi="Arial Narrow"/>
                <w:sz w:val="20"/>
              </w:rPr>
              <w:t xml:space="preserve"> </w:t>
            </w: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Clinical criteria:</w:t>
            </w:r>
          </w:p>
        </w:tc>
        <w:tc>
          <w:tcPr>
            <w:tcW w:w="3869" w:type="pct"/>
            <w:gridSpan w:val="11"/>
            <w:tcBorders>
              <w:top w:val="single" w:sz="4" w:space="0" w:color="auto"/>
              <w:left w:val="single" w:sz="4" w:space="0" w:color="auto"/>
              <w:bottom w:val="single" w:sz="4" w:space="0" w:color="auto"/>
              <w:right w:val="single" w:sz="4" w:space="0" w:color="auto"/>
            </w:tcBorders>
          </w:tcPr>
          <w:p w:rsidR="00534DDA" w:rsidRDefault="00534DDA">
            <w:pPr>
              <w:rPr>
                <w:rFonts w:ascii="Arial Narrow" w:hAnsi="Arial Narrow"/>
                <w:sz w:val="20"/>
              </w:rPr>
            </w:pPr>
            <w:r>
              <w:rPr>
                <w:rFonts w:ascii="Arial Narrow" w:hAnsi="Arial Narrow"/>
                <w:sz w:val="20"/>
              </w:rPr>
              <w:t>Patient must have received non-PBS-subsidised treatment with this drug for this condition prior to &lt;listing date&gt;</w:t>
            </w:r>
          </w:p>
          <w:p w:rsidR="00534DDA" w:rsidRDefault="00534DDA">
            <w:pPr>
              <w:rPr>
                <w:rFonts w:ascii="Arial Narrow" w:hAnsi="Arial Narrow"/>
                <w:sz w:val="20"/>
              </w:rPr>
            </w:pPr>
            <w:r>
              <w:rPr>
                <w:rFonts w:ascii="Arial Narrow" w:hAnsi="Arial Narrow"/>
                <w:sz w:val="20"/>
              </w:rPr>
              <w:t>AND</w:t>
            </w:r>
          </w:p>
          <w:p w:rsidR="00534DDA" w:rsidRDefault="00534DDA">
            <w:pPr>
              <w:rPr>
                <w:rFonts w:ascii="Arial Narrow" w:hAnsi="Arial Narrow"/>
                <w:sz w:val="20"/>
              </w:rPr>
            </w:pPr>
            <w:r>
              <w:rPr>
                <w:rFonts w:ascii="Arial Narrow" w:hAnsi="Arial Narrow"/>
                <w:sz w:val="20"/>
              </w:rPr>
              <w:t>Patient must have had a WHO performance status of 0 or 1 prior to commencing treatment with this drug for this condition</w:t>
            </w:r>
          </w:p>
          <w:p w:rsidR="00534DDA" w:rsidRDefault="00534DDA">
            <w:pPr>
              <w:rPr>
                <w:rFonts w:ascii="Arial Narrow" w:hAnsi="Arial Narrow"/>
                <w:sz w:val="20"/>
              </w:rPr>
            </w:pPr>
            <w:r>
              <w:rPr>
                <w:rFonts w:ascii="Arial Narrow" w:hAnsi="Arial Narrow"/>
                <w:sz w:val="20"/>
              </w:rPr>
              <w:t>AND</w:t>
            </w:r>
          </w:p>
          <w:p w:rsidR="00534DDA" w:rsidRDefault="00534DDA">
            <w:pPr>
              <w:rPr>
                <w:rFonts w:ascii="Arial Narrow" w:hAnsi="Arial Narrow"/>
                <w:sz w:val="20"/>
              </w:rPr>
            </w:pPr>
            <w:r>
              <w:rPr>
                <w:rFonts w:ascii="Arial Narrow" w:hAnsi="Arial Narrow"/>
                <w:sz w:val="20"/>
              </w:rPr>
              <w:t>The condition must have progressed within 6 months of receiving prior platinum based chemotherapy prior to commencing treatment with this drug for this condition</w:t>
            </w:r>
          </w:p>
          <w:p w:rsidR="00534DDA" w:rsidRDefault="00534DDA">
            <w:pPr>
              <w:rPr>
                <w:rFonts w:ascii="Arial Narrow" w:hAnsi="Arial Narrow"/>
                <w:sz w:val="20"/>
              </w:rPr>
            </w:pPr>
            <w:r>
              <w:rPr>
                <w:rFonts w:ascii="Arial Narrow" w:hAnsi="Arial Narrow"/>
                <w:sz w:val="20"/>
              </w:rPr>
              <w:t>AND</w:t>
            </w:r>
          </w:p>
          <w:p w:rsidR="00534DDA" w:rsidRDefault="00534DDA">
            <w:pPr>
              <w:rPr>
                <w:rFonts w:ascii="Arial Narrow" w:hAnsi="Arial Narrow"/>
                <w:sz w:val="20"/>
              </w:rPr>
            </w:pPr>
            <w:r>
              <w:rPr>
                <w:rFonts w:ascii="Arial Narrow" w:hAnsi="Arial Narrow"/>
                <w:sz w:val="20"/>
              </w:rPr>
              <w:t>Patient must not have developed disease progression while receiving treatment with this drug for this condition</w:t>
            </w:r>
          </w:p>
          <w:p w:rsidR="00534DDA" w:rsidRDefault="00534DDA">
            <w:pPr>
              <w:rPr>
                <w:rFonts w:ascii="Arial Narrow" w:hAnsi="Arial Narrow"/>
                <w:sz w:val="20"/>
              </w:rPr>
            </w:pPr>
            <w:r>
              <w:rPr>
                <w:rFonts w:ascii="Arial Narrow" w:hAnsi="Arial Narrow"/>
                <w:sz w:val="20"/>
              </w:rPr>
              <w:t>AND</w:t>
            </w:r>
          </w:p>
          <w:p w:rsidR="00534DDA" w:rsidRDefault="00534DDA">
            <w:pPr>
              <w:rPr>
                <w:rFonts w:ascii="Arial Narrow" w:hAnsi="Arial Narrow"/>
                <w:sz w:val="20"/>
              </w:rPr>
            </w:pPr>
            <w:r>
              <w:rPr>
                <w:rFonts w:ascii="Arial Narrow" w:hAnsi="Arial Narrow"/>
                <w:sz w:val="20"/>
              </w:rPr>
              <w:t xml:space="preserve">The treatment must be the sole PBS-subsidised therapy for this condition </w:t>
            </w:r>
          </w:p>
          <w:p w:rsidR="00534DDA" w:rsidRDefault="00534DDA">
            <w:pPr>
              <w:rPr>
                <w:rFonts w:ascii="Arial Narrow" w:hAnsi="Arial Narrow"/>
                <w:sz w:val="20"/>
              </w:rPr>
            </w:pP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534DDA" w:rsidRDefault="00534DDA">
            <w:pPr>
              <w:rPr>
                <w:rFonts w:ascii="Arial Narrow" w:hAnsi="Arial Narrow"/>
                <w:b/>
                <w:sz w:val="20"/>
              </w:rPr>
            </w:pPr>
            <w:r>
              <w:rPr>
                <w:rFonts w:ascii="Arial Narrow" w:hAnsi="Arial Narrow"/>
                <w:b/>
                <w:sz w:val="20"/>
              </w:rPr>
              <w:t>Prescriber Instructions</w:t>
            </w:r>
          </w:p>
          <w:p w:rsidR="00534DDA" w:rsidRDefault="00534DDA">
            <w:pPr>
              <w:rPr>
                <w:rFonts w:ascii="Arial Narrow" w:hAnsi="Arial Narrow"/>
                <w:b/>
                <w:sz w:val="20"/>
              </w:rPr>
            </w:pPr>
            <w:r>
              <w:rPr>
                <w:rFonts w:ascii="Arial Narrow" w:hAnsi="Arial Narrow"/>
                <w:sz w:val="20"/>
              </w:rPr>
              <w:t xml:space="preserve"> </w:t>
            </w:r>
          </w:p>
        </w:tc>
        <w:tc>
          <w:tcPr>
            <w:tcW w:w="3869" w:type="pct"/>
            <w:gridSpan w:val="11"/>
            <w:tcBorders>
              <w:top w:val="single" w:sz="4" w:space="0" w:color="auto"/>
              <w:left w:val="single" w:sz="4" w:space="0" w:color="auto"/>
              <w:bottom w:val="single" w:sz="4" w:space="0" w:color="auto"/>
              <w:right w:val="single" w:sz="4" w:space="0" w:color="auto"/>
            </w:tcBorders>
          </w:tcPr>
          <w:p w:rsidR="00534DDA" w:rsidRDefault="00534DDA">
            <w:pPr>
              <w:rPr>
                <w:rFonts w:ascii="Arial Narrow" w:hAnsi="Arial Narrow"/>
                <w:sz w:val="20"/>
              </w:rPr>
            </w:pPr>
            <w:r>
              <w:rPr>
                <w:rFonts w:ascii="Arial Narrow" w:hAnsi="Arial Narrow"/>
                <w:sz w:val="20"/>
              </w:rPr>
              <w:t>A patient may qualify for PBS-subsidised treatment under this restriction once only. For continuing PBS-subsidised treatment, a Grandfathered patient must qualify under the Continuing treatment criteria.</w:t>
            </w:r>
          </w:p>
          <w:p w:rsidR="00534DDA" w:rsidRDefault="00534DDA">
            <w:pPr>
              <w:rPr>
                <w:rFonts w:ascii="Arial Narrow" w:hAnsi="Arial Narrow"/>
                <w:sz w:val="20"/>
              </w:rPr>
            </w:pPr>
          </w:p>
        </w:tc>
      </w:tr>
      <w:tr w:rsidR="00534DDA" w:rsidTr="0098482D">
        <w:trPr>
          <w:cantSplit/>
          <w:trHeight w:val="360"/>
        </w:trPr>
        <w:tc>
          <w:tcPr>
            <w:tcW w:w="1131" w:type="pct"/>
            <w:tcBorders>
              <w:top w:val="single" w:sz="4" w:space="0" w:color="auto"/>
              <w:left w:val="single" w:sz="4" w:space="0" w:color="auto"/>
              <w:bottom w:val="single" w:sz="4" w:space="0" w:color="auto"/>
              <w:right w:val="single" w:sz="4" w:space="0" w:color="auto"/>
            </w:tcBorders>
          </w:tcPr>
          <w:p w:rsidR="00534DDA" w:rsidRDefault="00534DDA">
            <w:pPr>
              <w:rPr>
                <w:rFonts w:ascii="Arial Narrow" w:hAnsi="Arial Narrow"/>
                <w:b/>
                <w:sz w:val="20"/>
              </w:rPr>
            </w:pPr>
            <w:r>
              <w:rPr>
                <w:rFonts w:ascii="Arial Narrow" w:hAnsi="Arial Narrow"/>
                <w:b/>
                <w:sz w:val="20"/>
              </w:rPr>
              <w:t>Administrative Advice</w:t>
            </w:r>
          </w:p>
          <w:p w:rsidR="00534DDA" w:rsidRDefault="00534DDA">
            <w:pPr>
              <w:rPr>
                <w:rFonts w:ascii="Arial Narrow" w:hAnsi="Arial Narrow"/>
                <w:i/>
                <w:sz w:val="20"/>
              </w:rPr>
            </w:pPr>
          </w:p>
        </w:tc>
        <w:tc>
          <w:tcPr>
            <w:tcW w:w="3869" w:type="pct"/>
            <w:gridSpan w:val="11"/>
            <w:tcBorders>
              <w:top w:val="single" w:sz="4" w:space="0" w:color="auto"/>
              <w:left w:val="single" w:sz="4" w:space="0" w:color="auto"/>
              <w:bottom w:val="single" w:sz="4" w:space="0" w:color="auto"/>
              <w:right w:val="single" w:sz="4" w:space="0" w:color="auto"/>
            </w:tcBorders>
          </w:tcPr>
          <w:p w:rsidR="00534DDA" w:rsidRDefault="00534DDA">
            <w:pPr>
              <w:rPr>
                <w:rFonts w:ascii="Arial Narrow" w:hAnsi="Arial Narrow"/>
                <w:color w:val="000000" w:themeColor="text1"/>
                <w:sz w:val="20"/>
              </w:rPr>
            </w:pPr>
            <w:r>
              <w:rPr>
                <w:rFonts w:ascii="Arial Narrow" w:hAnsi="Arial Narrow"/>
                <w:color w:val="000000" w:themeColor="text1"/>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534DDA" w:rsidRDefault="00534DDA">
            <w:pPr>
              <w:rPr>
                <w:rFonts w:ascii="Arial Narrow" w:hAnsi="Arial Narrow"/>
                <w:sz w:val="20"/>
              </w:rPr>
            </w:pPr>
          </w:p>
          <w:p w:rsidR="00534DDA" w:rsidRDefault="00534DDA">
            <w:pPr>
              <w:rPr>
                <w:rFonts w:ascii="Arial Narrow" w:hAnsi="Arial Narrow"/>
                <w:sz w:val="20"/>
              </w:rPr>
            </w:pPr>
            <w:r>
              <w:rPr>
                <w:rFonts w:ascii="Arial Narrow" w:hAnsi="Arial Narrow"/>
                <w:sz w:val="20"/>
              </w:rPr>
              <w:t>No increase in the maximum number of repeats may be authorised.</w:t>
            </w:r>
          </w:p>
          <w:p w:rsidR="00534DDA" w:rsidRDefault="00534DDA">
            <w:pPr>
              <w:rPr>
                <w:rFonts w:ascii="Arial Narrow" w:hAnsi="Arial Narrow"/>
                <w:sz w:val="20"/>
              </w:rPr>
            </w:pPr>
          </w:p>
          <w:p w:rsidR="00534DDA" w:rsidRDefault="00534DDA">
            <w:pPr>
              <w:rPr>
                <w:rFonts w:ascii="Arial Narrow" w:hAnsi="Arial Narrow"/>
                <w:sz w:val="20"/>
              </w:rPr>
            </w:pPr>
            <w:r>
              <w:rPr>
                <w:rFonts w:ascii="Arial Narrow" w:hAnsi="Arial Narrow"/>
                <w:sz w:val="20"/>
              </w:rPr>
              <w:t>Special Pricing Arrangements apply.</w:t>
            </w:r>
          </w:p>
          <w:p w:rsidR="00534DDA" w:rsidRDefault="00534DDA">
            <w:pPr>
              <w:rPr>
                <w:rFonts w:ascii="Arial Narrow" w:hAnsi="Arial Narrow"/>
                <w:sz w:val="20"/>
              </w:rPr>
            </w:pPr>
          </w:p>
        </w:tc>
      </w:tr>
      <w:tr w:rsidR="0098482D" w:rsidRPr="000A3B64" w:rsidTr="0098482D">
        <w:tblPrEx>
          <w:tblLook w:val="0000" w:firstRow="0" w:lastRow="0" w:firstColumn="0" w:lastColumn="0" w:noHBand="0" w:noVBand="0"/>
        </w:tblPrEx>
        <w:trPr>
          <w:cantSplit/>
          <w:trHeight w:val="471"/>
        </w:trPr>
        <w:tc>
          <w:tcPr>
            <w:tcW w:w="1131" w:type="pct"/>
            <w:tcBorders>
              <w:top w:val="single" w:sz="4" w:space="0" w:color="auto"/>
              <w:bottom w:val="single" w:sz="4" w:space="0" w:color="auto"/>
            </w:tcBorders>
          </w:tcPr>
          <w:p w:rsidR="0098482D" w:rsidRPr="000A3B64" w:rsidRDefault="0098482D" w:rsidP="002830DE">
            <w:pPr>
              <w:keepNext/>
              <w:ind w:left="-108"/>
              <w:rPr>
                <w:rFonts w:ascii="Arial Narrow" w:hAnsi="Arial Narrow"/>
                <w:sz w:val="20"/>
              </w:rPr>
            </w:pPr>
          </w:p>
        </w:tc>
        <w:tc>
          <w:tcPr>
            <w:tcW w:w="762" w:type="pct"/>
            <w:gridSpan w:val="2"/>
            <w:tcBorders>
              <w:top w:val="single" w:sz="4" w:space="0" w:color="auto"/>
              <w:bottom w:val="single" w:sz="4" w:space="0" w:color="auto"/>
            </w:tcBorders>
          </w:tcPr>
          <w:p w:rsidR="0098482D" w:rsidRPr="000A3B64" w:rsidRDefault="0098482D" w:rsidP="002830DE">
            <w:pPr>
              <w:keepNext/>
              <w:ind w:left="-108"/>
              <w:jc w:val="center"/>
              <w:rPr>
                <w:rFonts w:ascii="Arial Narrow" w:hAnsi="Arial Narrow"/>
                <w:sz w:val="20"/>
              </w:rPr>
            </w:pPr>
          </w:p>
        </w:tc>
        <w:tc>
          <w:tcPr>
            <w:tcW w:w="377" w:type="pct"/>
            <w:gridSpan w:val="3"/>
            <w:tcBorders>
              <w:top w:val="single" w:sz="4" w:space="0" w:color="auto"/>
              <w:bottom w:val="single" w:sz="4" w:space="0" w:color="auto"/>
            </w:tcBorders>
          </w:tcPr>
          <w:p w:rsidR="0098482D" w:rsidRPr="000A3B64" w:rsidRDefault="0098482D" w:rsidP="002830DE">
            <w:pPr>
              <w:keepNext/>
              <w:ind w:left="-108"/>
              <w:jc w:val="center"/>
              <w:rPr>
                <w:rFonts w:ascii="Arial Narrow" w:hAnsi="Arial Narrow"/>
                <w:sz w:val="20"/>
              </w:rPr>
            </w:pPr>
          </w:p>
        </w:tc>
        <w:tc>
          <w:tcPr>
            <w:tcW w:w="2730" w:type="pct"/>
            <w:gridSpan w:val="6"/>
            <w:tcBorders>
              <w:top w:val="single" w:sz="4" w:space="0" w:color="auto"/>
              <w:bottom w:val="single" w:sz="4" w:space="0" w:color="auto"/>
            </w:tcBorders>
          </w:tcPr>
          <w:p w:rsidR="0098482D" w:rsidRPr="000A3B64" w:rsidRDefault="0098482D" w:rsidP="002C6A10">
            <w:pPr>
              <w:keepNext/>
              <w:jc w:val="center"/>
              <w:rPr>
                <w:rFonts w:ascii="Arial Narrow" w:hAnsi="Arial Narrow"/>
                <w:sz w:val="20"/>
              </w:rPr>
            </w:pPr>
          </w:p>
        </w:tc>
      </w:tr>
      <w:tr w:rsidR="002C6A10" w:rsidRPr="000A3B64" w:rsidTr="0098482D">
        <w:tblPrEx>
          <w:tblLook w:val="0000" w:firstRow="0" w:lastRow="0" w:firstColumn="0" w:lastColumn="0" w:noHBand="0" w:noVBand="0"/>
        </w:tblPrEx>
        <w:trPr>
          <w:cantSplit/>
          <w:trHeight w:val="471"/>
        </w:trPr>
        <w:tc>
          <w:tcPr>
            <w:tcW w:w="1131" w:type="pct"/>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z w:val="20"/>
              </w:rPr>
            </w:pPr>
            <w:r w:rsidRPr="000A3B64">
              <w:rPr>
                <w:rFonts w:ascii="Arial Narrow" w:hAnsi="Arial Narrow"/>
                <w:sz w:val="20"/>
              </w:rPr>
              <w:t>Name, Restriction,</w:t>
            </w:r>
          </w:p>
          <w:p w:rsidR="002C6A10" w:rsidRPr="000A3B64" w:rsidRDefault="002C6A10" w:rsidP="002830DE">
            <w:pPr>
              <w:keepNext/>
              <w:ind w:left="-108"/>
              <w:rPr>
                <w:rFonts w:ascii="Arial Narrow" w:hAnsi="Arial Narrow"/>
                <w:sz w:val="20"/>
              </w:rPr>
            </w:pPr>
            <w:r w:rsidRPr="000A3B64">
              <w:rPr>
                <w:rFonts w:ascii="Arial Narrow" w:hAnsi="Arial Narrow"/>
                <w:sz w:val="20"/>
              </w:rPr>
              <w:t>Manner of administration and form</w:t>
            </w:r>
          </w:p>
        </w:tc>
        <w:tc>
          <w:tcPr>
            <w:tcW w:w="762" w:type="pct"/>
            <w:gridSpan w:val="2"/>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jc w:val="center"/>
              <w:rPr>
                <w:rFonts w:ascii="Arial Narrow" w:hAnsi="Arial Narrow"/>
                <w:sz w:val="20"/>
              </w:rPr>
            </w:pPr>
            <w:r w:rsidRPr="000A3B64">
              <w:rPr>
                <w:rFonts w:ascii="Arial Narrow" w:hAnsi="Arial Narrow"/>
                <w:sz w:val="20"/>
              </w:rPr>
              <w:t>Max.</w:t>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Amount</w:t>
            </w:r>
          </w:p>
        </w:tc>
        <w:tc>
          <w:tcPr>
            <w:tcW w:w="377" w:type="pct"/>
            <w:gridSpan w:val="3"/>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jc w:val="center"/>
              <w:rPr>
                <w:rFonts w:ascii="Arial Narrow" w:hAnsi="Arial Narrow"/>
                <w:sz w:val="20"/>
              </w:rPr>
            </w:pPr>
            <w:r w:rsidRPr="000A3B64">
              <w:rPr>
                <w:rFonts w:ascii="Arial Narrow" w:hAnsi="Arial Narrow"/>
                <w:sz w:val="20"/>
              </w:rPr>
              <w:t>№.of</w:t>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Rpts</w:t>
            </w:r>
          </w:p>
        </w:tc>
        <w:tc>
          <w:tcPr>
            <w:tcW w:w="2730" w:type="pct"/>
            <w:gridSpan w:val="6"/>
            <w:tcBorders>
              <w:top w:val="single" w:sz="4" w:space="0" w:color="auto"/>
              <w:left w:val="single" w:sz="4" w:space="0" w:color="auto"/>
              <w:bottom w:val="single" w:sz="4" w:space="0" w:color="auto"/>
              <w:right w:val="single" w:sz="4" w:space="0" w:color="auto"/>
            </w:tcBorders>
          </w:tcPr>
          <w:p w:rsidR="002C6A10" w:rsidRPr="000A3B64" w:rsidRDefault="002C6A10" w:rsidP="002C6A10">
            <w:pPr>
              <w:keepNext/>
              <w:jc w:val="center"/>
              <w:rPr>
                <w:rFonts w:ascii="Arial Narrow" w:hAnsi="Arial Narrow"/>
                <w:sz w:val="20"/>
                <w:lang w:val="fr-FR"/>
              </w:rPr>
            </w:pPr>
            <w:r w:rsidRPr="000A3B64">
              <w:rPr>
                <w:rFonts w:ascii="Arial Narrow" w:hAnsi="Arial Narrow"/>
                <w:sz w:val="20"/>
              </w:rPr>
              <w:t>Proprietary Name and Manufacturer</w:t>
            </w:r>
          </w:p>
        </w:tc>
      </w:tr>
      <w:tr w:rsidR="002C6A10" w:rsidRPr="000A3B64" w:rsidTr="002C6A10">
        <w:tblPrEx>
          <w:tblLook w:val="0000" w:firstRow="0" w:lastRow="0" w:firstColumn="0" w:lastColumn="0" w:noHBand="0" w:noVBand="0"/>
        </w:tblPrEx>
        <w:trPr>
          <w:cantSplit/>
          <w:trHeight w:val="577"/>
        </w:trPr>
        <w:tc>
          <w:tcPr>
            <w:tcW w:w="1131" w:type="pct"/>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z w:val="20"/>
              </w:rPr>
            </w:pPr>
            <w:r w:rsidRPr="000A3B64">
              <w:rPr>
                <w:rFonts w:ascii="Arial Narrow" w:hAnsi="Arial Narrow"/>
                <w:smallCaps/>
                <w:sz w:val="20"/>
              </w:rPr>
              <w:t>NIVOLUMAB</w:t>
            </w:r>
          </w:p>
          <w:p w:rsidR="002C6A10" w:rsidRPr="000A3B64" w:rsidRDefault="002C6A10" w:rsidP="002830DE">
            <w:pPr>
              <w:keepNext/>
              <w:ind w:left="-108"/>
              <w:rPr>
                <w:rFonts w:ascii="Arial Narrow" w:hAnsi="Arial Narrow"/>
                <w:sz w:val="20"/>
              </w:rPr>
            </w:pPr>
            <w:r w:rsidRPr="000A3B64">
              <w:rPr>
                <w:rFonts w:ascii="Arial Narrow" w:hAnsi="Arial Narrow"/>
                <w:sz w:val="20"/>
              </w:rPr>
              <w:t>nivolumab 40 mg/4 mL injection, 1 x 4 mL vial</w:t>
            </w:r>
          </w:p>
          <w:p w:rsidR="002C6A10" w:rsidRPr="000A3B64" w:rsidRDefault="002C6A10" w:rsidP="002830DE">
            <w:pPr>
              <w:keepNext/>
              <w:ind w:left="-108"/>
              <w:rPr>
                <w:rFonts w:ascii="Arial Narrow" w:hAnsi="Arial Narrow"/>
                <w:sz w:val="20"/>
              </w:rPr>
            </w:pPr>
          </w:p>
          <w:p w:rsidR="002C6A10" w:rsidRPr="000A3B64" w:rsidRDefault="002C6A10" w:rsidP="002830DE">
            <w:pPr>
              <w:keepNext/>
              <w:ind w:left="-108"/>
              <w:rPr>
                <w:rFonts w:ascii="Arial Narrow" w:hAnsi="Arial Narrow"/>
                <w:sz w:val="20"/>
              </w:rPr>
            </w:pPr>
            <w:r w:rsidRPr="000A3B64">
              <w:rPr>
                <w:rFonts w:ascii="Arial Narrow" w:hAnsi="Arial Narrow"/>
                <w:sz w:val="20"/>
              </w:rPr>
              <w:t>nivolumab 100 mg/10 mL injection, 1 x 10 mL vial</w:t>
            </w:r>
          </w:p>
        </w:tc>
        <w:tc>
          <w:tcPr>
            <w:tcW w:w="762" w:type="pct"/>
            <w:gridSpan w:val="2"/>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z w:val="20"/>
              </w:rPr>
            </w:pP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360 mg</w:t>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br/>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360 mg</w:t>
            </w:r>
          </w:p>
        </w:tc>
        <w:tc>
          <w:tcPr>
            <w:tcW w:w="377" w:type="pct"/>
            <w:gridSpan w:val="3"/>
            <w:tcBorders>
              <w:top w:val="single" w:sz="4" w:space="0" w:color="auto"/>
              <w:left w:val="single" w:sz="4" w:space="0" w:color="auto"/>
              <w:bottom w:val="single" w:sz="4" w:space="0" w:color="auto"/>
              <w:right w:val="single" w:sz="4" w:space="0" w:color="auto"/>
            </w:tcBorders>
          </w:tcPr>
          <w:p w:rsidR="002C6A10" w:rsidRPr="000A3B64" w:rsidRDefault="002C6A10" w:rsidP="002830DE">
            <w:pPr>
              <w:keepNext/>
              <w:ind w:left="-108"/>
              <w:rPr>
                <w:rFonts w:ascii="Arial Narrow" w:hAnsi="Arial Narrow"/>
                <w:strike/>
                <w:sz w:val="20"/>
              </w:rPr>
            </w:pP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11</w:t>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br/>
            </w:r>
          </w:p>
          <w:p w:rsidR="002C6A10" w:rsidRPr="000A3B64" w:rsidRDefault="002C6A10" w:rsidP="002830DE">
            <w:pPr>
              <w:keepNext/>
              <w:ind w:left="-108"/>
              <w:jc w:val="center"/>
              <w:rPr>
                <w:rFonts w:ascii="Arial Narrow" w:hAnsi="Arial Narrow"/>
                <w:sz w:val="20"/>
              </w:rPr>
            </w:pPr>
            <w:r w:rsidRPr="000A3B64">
              <w:rPr>
                <w:rFonts w:ascii="Arial Narrow" w:hAnsi="Arial Narrow"/>
                <w:sz w:val="20"/>
              </w:rPr>
              <w:t>11</w:t>
            </w:r>
          </w:p>
        </w:tc>
        <w:tc>
          <w:tcPr>
            <w:tcW w:w="401" w:type="pct"/>
            <w:gridSpan w:val="3"/>
            <w:tcBorders>
              <w:top w:val="single" w:sz="4" w:space="0" w:color="auto"/>
              <w:left w:val="single" w:sz="4" w:space="0" w:color="auto"/>
              <w:bottom w:val="single" w:sz="4" w:space="0" w:color="auto"/>
              <w:right w:val="single" w:sz="4" w:space="0" w:color="auto"/>
            </w:tcBorders>
            <w:vAlign w:val="center"/>
          </w:tcPr>
          <w:p w:rsidR="002C6A10" w:rsidRPr="000A3B64" w:rsidRDefault="002C6A10" w:rsidP="002830DE">
            <w:pPr>
              <w:keepNext/>
              <w:jc w:val="center"/>
              <w:rPr>
                <w:rFonts w:ascii="Arial Narrow" w:hAnsi="Arial Narrow"/>
                <w:sz w:val="20"/>
              </w:rPr>
            </w:pPr>
            <w:r w:rsidRPr="000A3B64">
              <w:rPr>
                <w:rFonts w:ascii="Arial Narrow" w:hAnsi="Arial Narrow"/>
                <w:sz w:val="20"/>
              </w:rPr>
              <w:t>Opdivo</w:t>
            </w:r>
          </w:p>
        </w:tc>
        <w:tc>
          <w:tcPr>
            <w:tcW w:w="2329" w:type="pct"/>
            <w:gridSpan w:val="3"/>
            <w:tcBorders>
              <w:top w:val="single" w:sz="4" w:space="0" w:color="auto"/>
              <w:left w:val="single" w:sz="4" w:space="0" w:color="auto"/>
              <w:bottom w:val="single" w:sz="4" w:space="0" w:color="auto"/>
              <w:right w:val="single" w:sz="4" w:space="0" w:color="auto"/>
            </w:tcBorders>
            <w:vAlign w:val="center"/>
          </w:tcPr>
          <w:p w:rsidR="002C6A10" w:rsidRPr="000A3B64" w:rsidRDefault="002C6A10" w:rsidP="002830DE">
            <w:pPr>
              <w:keepNext/>
              <w:jc w:val="center"/>
              <w:rPr>
                <w:rFonts w:ascii="Arial Narrow" w:hAnsi="Arial Narrow"/>
                <w:sz w:val="20"/>
              </w:rPr>
            </w:pPr>
            <w:r w:rsidRPr="000A3B64">
              <w:rPr>
                <w:rFonts w:ascii="Arial Narrow" w:hAnsi="Arial Narrow"/>
                <w:sz w:val="20"/>
              </w:rPr>
              <w:t>Bristol Myers Squibb Pty Ltd.</w:t>
            </w:r>
          </w:p>
        </w:tc>
      </w:tr>
      <w:tr w:rsidR="00EA6F31" w:rsidRPr="000A3B64" w:rsidTr="002C6A10">
        <w:trPr>
          <w:cantSplit/>
          <w:trHeight w:val="110"/>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Category / Program:</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Section 100 - Efficient funding of Chemotherapy</w:t>
            </w:r>
          </w:p>
        </w:tc>
      </w:tr>
      <w:tr w:rsidR="00EA6F31" w:rsidRPr="000A3B64" w:rsidTr="002C6A10">
        <w:trPr>
          <w:cantSplit/>
          <w:trHeight w:val="58"/>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Prescriber type</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Medical Practitioners</w:t>
            </w:r>
          </w:p>
        </w:tc>
      </w:tr>
      <w:tr w:rsidR="00EA6F31" w:rsidRPr="000A3B64" w:rsidTr="002C6A10">
        <w:trPr>
          <w:cantSplit/>
          <w:trHeight w:val="58"/>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Severity:</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Recurrent or metastatic</w:t>
            </w:r>
          </w:p>
        </w:tc>
      </w:tr>
      <w:tr w:rsidR="00EA6F31" w:rsidRPr="000A3B64" w:rsidTr="002C6A10">
        <w:trPr>
          <w:cantSplit/>
          <w:trHeight w:val="91"/>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Condition:</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Squamous cell carcinoma of the oral cavity, pharynx or larynx</w:t>
            </w:r>
          </w:p>
        </w:tc>
      </w:tr>
      <w:tr w:rsidR="00EA6F31" w:rsidRPr="000A3B64" w:rsidTr="002C6A10">
        <w:trPr>
          <w:cantSplit/>
          <w:trHeight w:val="58"/>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PBS Indication:</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Recurrent or metastatic squamous cell carcinoma of the oral cavity, pharynx or larynx</w:t>
            </w:r>
          </w:p>
        </w:tc>
      </w:tr>
      <w:tr w:rsidR="00EA6F31" w:rsidRPr="000A3B64" w:rsidTr="002C6A10">
        <w:trPr>
          <w:cantSplit/>
          <w:trHeight w:val="58"/>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Treatment phase:</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t>Continuing treatment</w:t>
            </w:r>
          </w:p>
        </w:tc>
      </w:tr>
      <w:tr w:rsidR="00EA6F31" w:rsidRPr="000A3B64" w:rsidTr="002C6A10">
        <w:trPr>
          <w:cantSplit/>
          <w:trHeight w:val="360"/>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Restriction Level / Method:</w:t>
            </w:r>
          </w:p>
        </w:tc>
        <w:tc>
          <w:tcPr>
            <w:tcW w:w="3869" w:type="pct"/>
            <w:gridSpan w:val="11"/>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Check1"/>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Restricted benefit</w:t>
            </w:r>
          </w:p>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Authority Required - In Writing</w:t>
            </w:r>
          </w:p>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Check3"/>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Authority Required - Telephone</w:t>
            </w:r>
          </w:p>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Authority Required – Emergency</w:t>
            </w:r>
          </w:p>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Check5"/>
                  <w:enabled/>
                  <w:calcOnExit w:val="0"/>
                  <w:checkBox>
                    <w:sizeAuto/>
                    <w:default w:val="0"/>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Authority Required - Electronic</w:t>
            </w:r>
          </w:p>
          <w:p w:rsidR="00EA6F31" w:rsidRPr="000A3B64" w:rsidRDefault="00EA6F31" w:rsidP="002830DE">
            <w:pPr>
              <w:rPr>
                <w:rFonts w:ascii="Arial Narrow" w:hAnsi="Arial Narrow"/>
                <w:sz w:val="20"/>
              </w:rPr>
            </w:pPr>
            <w:r w:rsidRPr="000A3B64">
              <w:rPr>
                <w:rFonts w:ascii="Arial Narrow" w:hAnsi="Arial Narrow"/>
                <w:sz w:val="20"/>
              </w:rPr>
              <w:fldChar w:fldCharType="begin">
                <w:ffData>
                  <w:name w:val="Check5"/>
                  <w:enabled/>
                  <w:calcOnExit w:val="0"/>
                  <w:checkBox>
                    <w:sizeAuto/>
                    <w:default w:val="1"/>
                  </w:checkBox>
                </w:ffData>
              </w:fldChar>
            </w:r>
            <w:r w:rsidRPr="000A3B64">
              <w:rPr>
                <w:rFonts w:ascii="Arial Narrow" w:hAnsi="Arial Narrow"/>
                <w:sz w:val="20"/>
              </w:rPr>
              <w:instrText xml:space="preserve"> FORMCHECKBOX </w:instrText>
            </w:r>
            <w:r w:rsidR="007B0774">
              <w:rPr>
                <w:rFonts w:ascii="Arial Narrow" w:hAnsi="Arial Narrow"/>
                <w:sz w:val="20"/>
              </w:rPr>
            </w:r>
            <w:r w:rsidR="007B0774">
              <w:rPr>
                <w:rFonts w:ascii="Arial Narrow" w:hAnsi="Arial Narrow"/>
                <w:sz w:val="20"/>
              </w:rPr>
              <w:fldChar w:fldCharType="separate"/>
            </w:r>
            <w:r w:rsidRPr="000A3B64">
              <w:rPr>
                <w:rFonts w:ascii="Arial Narrow" w:hAnsi="Arial Narrow"/>
                <w:sz w:val="20"/>
              </w:rPr>
              <w:fldChar w:fldCharType="end"/>
            </w:r>
            <w:r w:rsidRPr="000A3B64">
              <w:rPr>
                <w:rFonts w:ascii="Arial Narrow" w:hAnsi="Arial Narrow"/>
                <w:sz w:val="20"/>
              </w:rPr>
              <w:t>Streamlined</w:t>
            </w:r>
          </w:p>
        </w:tc>
      </w:tr>
      <w:tr w:rsidR="00EA6F31" w:rsidRPr="000A3B64" w:rsidTr="002C6A10">
        <w:trPr>
          <w:cantSplit/>
          <w:trHeight w:val="426"/>
        </w:trPr>
        <w:tc>
          <w:tcPr>
            <w:tcW w:w="1131" w:type="pct"/>
            <w:tcBorders>
              <w:top w:val="single" w:sz="4" w:space="0" w:color="auto"/>
              <w:left w:val="single" w:sz="4" w:space="0" w:color="auto"/>
              <w:bottom w:val="single" w:sz="4" w:space="0" w:color="auto"/>
              <w:right w:val="single" w:sz="4" w:space="0" w:color="auto"/>
            </w:tcBorders>
            <w:hideMark/>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Clinical criteria:</w:t>
            </w:r>
          </w:p>
        </w:tc>
        <w:tc>
          <w:tcPr>
            <w:tcW w:w="3869" w:type="pct"/>
            <w:gridSpan w:val="11"/>
            <w:tcBorders>
              <w:top w:val="single" w:sz="4" w:space="0" w:color="auto"/>
              <w:left w:val="single" w:sz="4" w:space="0" w:color="auto"/>
              <w:bottom w:val="single" w:sz="4" w:space="0" w:color="auto"/>
              <w:right w:val="single" w:sz="4" w:space="0" w:color="auto"/>
            </w:tcBorders>
          </w:tcPr>
          <w:p w:rsidR="00EA6F31" w:rsidRPr="000A3B64" w:rsidRDefault="00EA6F31" w:rsidP="002830DE">
            <w:pPr>
              <w:rPr>
                <w:rFonts w:ascii="Arial Narrow" w:hAnsi="Arial Narrow"/>
                <w:sz w:val="20"/>
              </w:rPr>
            </w:pPr>
            <w:r w:rsidRPr="000A3B64">
              <w:rPr>
                <w:rFonts w:ascii="Arial Narrow" w:hAnsi="Arial Narrow"/>
                <w:sz w:val="20"/>
              </w:rPr>
              <w:t>Patient must have previously been issued with an authority prescription for this drug for this condition</w:t>
            </w:r>
          </w:p>
          <w:p w:rsidR="00465E5F" w:rsidRPr="000A3B64" w:rsidRDefault="00465E5F" w:rsidP="00465E5F">
            <w:pPr>
              <w:rPr>
                <w:rFonts w:ascii="Arial Narrow" w:hAnsi="Arial Narrow"/>
                <w:sz w:val="20"/>
              </w:rPr>
            </w:pPr>
            <w:r>
              <w:rPr>
                <w:rFonts w:ascii="Arial Narrow" w:hAnsi="Arial Narrow"/>
                <w:sz w:val="20"/>
              </w:rPr>
              <w:t>AND</w:t>
            </w:r>
          </w:p>
          <w:p w:rsidR="00EA6F31" w:rsidRPr="000A3B64" w:rsidRDefault="00EA6F31" w:rsidP="002830DE">
            <w:pPr>
              <w:rPr>
                <w:rFonts w:ascii="Arial Narrow" w:hAnsi="Arial Narrow"/>
                <w:sz w:val="20"/>
              </w:rPr>
            </w:pPr>
            <w:r w:rsidRPr="000A3B64">
              <w:rPr>
                <w:rFonts w:ascii="Arial Narrow" w:hAnsi="Arial Narrow"/>
                <w:sz w:val="20"/>
              </w:rPr>
              <w:t>Patient must have stable or responding disease</w:t>
            </w:r>
          </w:p>
          <w:p w:rsidR="00EA6F31" w:rsidRPr="000A3B64" w:rsidRDefault="00EA6F31" w:rsidP="002830DE">
            <w:pPr>
              <w:rPr>
                <w:rFonts w:ascii="Arial Narrow" w:hAnsi="Arial Narrow"/>
                <w:sz w:val="20"/>
              </w:rPr>
            </w:pPr>
            <w:r w:rsidRPr="000A3B64">
              <w:rPr>
                <w:rFonts w:ascii="Arial Narrow" w:hAnsi="Arial Narrow"/>
                <w:sz w:val="20"/>
              </w:rPr>
              <w:t>AND</w:t>
            </w:r>
          </w:p>
          <w:p w:rsidR="00EA6F31" w:rsidRPr="000A3B64" w:rsidRDefault="00EA6F31" w:rsidP="002830DE">
            <w:pPr>
              <w:rPr>
                <w:rFonts w:ascii="Arial Narrow" w:hAnsi="Arial Narrow"/>
                <w:sz w:val="20"/>
              </w:rPr>
            </w:pPr>
            <w:r w:rsidRPr="000A3B64">
              <w:rPr>
                <w:rFonts w:ascii="Arial Narrow" w:hAnsi="Arial Narrow"/>
                <w:sz w:val="20"/>
              </w:rPr>
              <w:t>The treatment must be the sole PBS-subsidised therapy for this condition</w:t>
            </w:r>
          </w:p>
        </w:tc>
      </w:tr>
      <w:tr w:rsidR="00EA6F31" w:rsidRPr="000A3B64" w:rsidTr="002C6A10">
        <w:trPr>
          <w:cantSplit/>
          <w:trHeight w:val="408"/>
        </w:trPr>
        <w:tc>
          <w:tcPr>
            <w:tcW w:w="1131" w:type="pct"/>
            <w:tcBorders>
              <w:top w:val="single" w:sz="4" w:space="0" w:color="auto"/>
              <w:left w:val="single" w:sz="4" w:space="0" w:color="auto"/>
              <w:bottom w:val="single" w:sz="4" w:space="0" w:color="auto"/>
              <w:right w:val="single" w:sz="4" w:space="0" w:color="auto"/>
            </w:tcBorders>
            <w:vAlign w:val="center"/>
          </w:tcPr>
          <w:p w:rsidR="00EA6F31" w:rsidRPr="000A3B64" w:rsidRDefault="00EA6F31" w:rsidP="002830DE">
            <w:pPr>
              <w:rPr>
                <w:rFonts w:ascii="Arial Narrow" w:hAnsi="Arial Narrow"/>
                <w:b/>
                <w:color w:val="000000" w:themeColor="text1"/>
                <w:sz w:val="20"/>
              </w:rPr>
            </w:pPr>
            <w:r w:rsidRPr="000A3B64">
              <w:rPr>
                <w:rFonts w:ascii="Arial Narrow" w:hAnsi="Arial Narrow"/>
                <w:b/>
                <w:color w:val="000000" w:themeColor="text1"/>
                <w:sz w:val="20"/>
              </w:rPr>
              <w:t>Administrative Advice</w:t>
            </w:r>
          </w:p>
        </w:tc>
        <w:tc>
          <w:tcPr>
            <w:tcW w:w="3869" w:type="pct"/>
            <w:gridSpan w:val="11"/>
            <w:tcBorders>
              <w:top w:val="single" w:sz="4" w:space="0" w:color="auto"/>
              <w:left w:val="single" w:sz="4" w:space="0" w:color="auto"/>
              <w:bottom w:val="single" w:sz="4" w:space="0" w:color="auto"/>
              <w:right w:val="single" w:sz="4" w:space="0" w:color="auto"/>
            </w:tcBorders>
            <w:vAlign w:val="center"/>
          </w:tcPr>
          <w:p w:rsidR="00EA6F31" w:rsidRPr="000A3B64" w:rsidRDefault="00EA6F31" w:rsidP="002830DE">
            <w:pPr>
              <w:rPr>
                <w:rFonts w:ascii="Arial Narrow" w:hAnsi="Arial Narrow"/>
                <w:color w:val="000000" w:themeColor="text1"/>
                <w:sz w:val="20"/>
              </w:rPr>
            </w:pPr>
            <w:r w:rsidRPr="000A3B64">
              <w:rPr>
                <w:rFonts w:ascii="Arial Narrow" w:hAnsi="Arial Narrow"/>
                <w:color w:val="000000" w:themeColor="text1"/>
                <w:sz w:val="20"/>
              </w:rPr>
              <w:t xml:space="preserve">No increase in the maximum number of repeats may be authorised. </w:t>
            </w:r>
          </w:p>
          <w:p w:rsidR="00EA6F31" w:rsidRPr="000A3B64" w:rsidRDefault="00EA6F31" w:rsidP="002830DE">
            <w:pPr>
              <w:rPr>
                <w:rFonts w:ascii="Arial Narrow" w:hAnsi="Arial Narrow"/>
                <w:sz w:val="20"/>
              </w:rPr>
            </w:pPr>
            <w:r w:rsidRPr="000A3B64">
              <w:rPr>
                <w:rFonts w:ascii="Arial Narrow" w:hAnsi="Arial Narrow"/>
                <w:color w:val="000000" w:themeColor="text1"/>
                <w:sz w:val="20"/>
              </w:rPr>
              <w:t>Special Pricing Arrangements apply.</w:t>
            </w:r>
          </w:p>
        </w:tc>
      </w:tr>
    </w:tbl>
    <w:p w:rsidR="000C20F0" w:rsidRPr="00C07617" w:rsidRDefault="000C20F0" w:rsidP="0098482D">
      <w:pPr>
        <w:pStyle w:val="Heading1"/>
        <w:keepNext/>
        <w:keepLines/>
        <w:widowControl/>
        <w:numPr>
          <w:ilvl w:val="0"/>
          <w:numId w:val="14"/>
        </w:numPr>
        <w:spacing w:before="240" w:after="120"/>
        <w:ind w:left="709" w:hanging="709"/>
        <w:contextualSpacing w:val="0"/>
        <w:jc w:val="left"/>
        <w:rPr>
          <w:rFonts w:asciiTheme="minorHAnsi" w:hAnsiTheme="minorHAnsi"/>
          <w:b w:val="0"/>
          <w:sz w:val="32"/>
        </w:rPr>
      </w:pPr>
      <w:r w:rsidRPr="002E4454">
        <w:rPr>
          <w:rFonts w:asciiTheme="minorHAnsi" w:hAnsiTheme="minorHAnsi"/>
          <w:bCs/>
          <w:sz w:val="32"/>
        </w:rPr>
        <w:t>Context</w:t>
      </w:r>
      <w:r w:rsidRPr="00C07617">
        <w:rPr>
          <w:rFonts w:asciiTheme="minorHAnsi" w:hAnsiTheme="minorHAnsi"/>
          <w:sz w:val="32"/>
        </w:rPr>
        <w:t xml:space="preserve"> for Decision</w:t>
      </w:r>
    </w:p>
    <w:p w:rsidR="000C20F0" w:rsidRPr="00C07617" w:rsidRDefault="000C20F0" w:rsidP="000C20F0">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C20F0" w:rsidRPr="00C07617" w:rsidRDefault="000C20F0" w:rsidP="0098482D">
      <w:pPr>
        <w:pStyle w:val="Heading1"/>
        <w:keepNext/>
        <w:keepLines/>
        <w:widowControl/>
        <w:numPr>
          <w:ilvl w:val="0"/>
          <w:numId w:val="14"/>
        </w:numPr>
        <w:spacing w:before="240" w:after="120"/>
        <w:ind w:left="709" w:hanging="709"/>
        <w:contextualSpacing w:val="0"/>
        <w:jc w:val="left"/>
        <w:rPr>
          <w:rFonts w:asciiTheme="minorHAnsi" w:hAnsiTheme="minorHAnsi"/>
          <w:b w:val="0"/>
          <w:sz w:val="32"/>
        </w:rPr>
      </w:pPr>
      <w:r w:rsidRPr="00C07617">
        <w:rPr>
          <w:rFonts w:asciiTheme="minorHAnsi" w:hAnsiTheme="minorHAnsi"/>
          <w:sz w:val="32"/>
        </w:rPr>
        <w:t xml:space="preserve"> </w:t>
      </w:r>
      <w:r>
        <w:rPr>
          <w:rFonts w:asciiTheme="minorHAnsi" w:hAnsiTheme="minorHAnsi"/>
          <w:sz w:val="32"/>
        </w:rPr>
        <w:t>Sponsor’s Comment</w:t>
      </w:r>
    </w:p>
    <w:p w:rsidR="000C20F0" w:rsidRPr="00525B39" w:rsidRDefault="00126DC9" w:rsidP="00126DC9">
      <w:pPr>
        <w:widowControl w:val="0"/>
        <w:jc w:val="both"/>
        <w:rPr>
          <w:rFonts w:asciiTheme="minorHAnsi" w:hAnsiTheme="minorHAnsi" w:cs="Arial"/>
          <w:bCs/>
          <w:snapToGrid w:val="0"/>
        </w:rPr>
      </w:pPr>
      <w:r>
        <w:rPr>
          <w:rFonts w:asciiTheme="minorHAnsi" w:hAnsiTheme="minorHAnsi" w:cs="Arial"/>
          <w:bCs/>
          <w:snapToGrid w:val="0"/>
        </w:rPr>
        <w:t xml:space="preserve">The </w:t>
      </w:r>
      <w:r w:rsidRPr="00126DC9">
        <w:rPr>
          <w:rFonts w:asciiTheme="minorHAnsi" w:hAnsiTheme="minorHAnsi" w:cs="Arial"/>
          <w:bCs/>
          <w:snapToGrid w:val="0"/>
        </w:rPr>
        <w:t>Sponsor thanks the PBAC for its consideration of this item and looks forward to eligible Australian patients being able to access nivolumab for the treatment of recurrent or metastatic SCCHN via the PBS in the near future.</w:t>
      </w:r>
    </w:p>
    <w:p w:rsidR="000C20F0" w:rsidRPr="000C20F0" w:rsidRDefault="000C20F0" w:rsidP="000C20F0"/>
    <w:sectPr w:rsidR="000C20F0" w:rsidRPr="000C20F0" w:rsidSect="00EA6F31">
      <w:headerReference w:type="even" r:id="rId9"/>
      <w:headerReference w:type="default" r:id="rId10"/>
      <w:footerReference w:type="even" r:id="rId11"/>
      <w:footerReference w:type="default" r:id="rId12"/>
      <w:headerReference w:type="first" r:id="rId13"/>
      <w:footerReference w:type="first" r:id="rId14"/>
      <w:pgSz w:w="11906" w:h="16838" w:code="9"/>
      <w:pgMar w:top="1223"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0A1788" w15:done="0"/>
  <w15:commentEx w15:paraId="7A0C6674" w15:done="0"/>
  <w15:commentEx w15:paraId="0D6440C0" w15:done="0"/>
  <w15:commentEx w15:paraId="704501BC" w15:done="0"/>
  <w15:commentEx w15:paraId="09EDF1FF" w15:done="0"/>
  <w15:commentEx w15:paraId="0A0E3E48" w15:done="0"/>
  <w15:commentEx w15:paraId="519DFE9C" w15:done="0"/>
  <w15:commentEx w15:paraId="1FD42332" w15:paraIdParent="519DFE9C" w15:done="0"/>
  <w15:commentEx w15:paraId="16030A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A1788" w16cid:durableId="1E637718"/>
  <w16cid:commentId w16cid:paraId="7A0C6674" w16cid:durableId="1E637636"/>
  <w16cid:commentId w16cid:paraId="0D6440C0" w16cid:durableId="1E637857"/>
  <w16cid:commentId w16cid:paraId="704501BC" w16cid:durableId="1E637B18"/>
  <w16cid:commentId w16cid:paraId="09EDF1FF" w16cid:durableId="1E637637"/>
  <w16cid:commentId w16cid:paraId="0A0E3E48" w16cid:durableId="1E6378F2"/>
  <w16cid:commentId w16cid:paraId="519DFE9C" w16cid:durableId="1E637638"/>
  <w16cid:commentId w16cid:paraId="1FD42332" w16cid:durableId="1E637998"/>
  <w16cid:commentId w16cid:paraId="16030AA5" w16cid:durableId="1E6379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74" w:rsidRDefault="007B0774">
      <w:r>
        <w:separator/>
      </w:r>
    </w:p>
    <w:p w:rsidR="007B0774" w:rsidRDefault="007B0774"/>
    <w:p w:rsidR="007B0774" w:rsidRDefault="007B0774"/>
    <w:p w:rsidR="007B0774" w:rsidRDefault="007B0774" w:rsidP="0037625B"/>
  </w:endnote>
  <w:endnote w:type="continuationSeparator" w:id="0">
    <w:p w:rsidR="007B0774" w:rsidRDefault="007B0774">
      <w:r>
        <w:continuationSeparator/>
      </w:r>
    </w:p>
    <w:p w:rsidR="007B0774" w:rsidRDefault="007B0774"/>
    <w:p w:rsidR="007B0774" w:rsidRDefault="007B0774"/>
    <w:p w:rsidR="007B0774" w:rsidRDefault="007B0774" w:rsidP="00376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625B" w:rsidTr="005A3173">
      <w:trPr>
        <w:trHeight w:val="151"/>
      </w:trPr>
      <w:tc>
        <w:tcPr>
          <w:tcW w:w="2250" w:type="pct"/>
          <w:tcBorders>
            <w:top w:val="nil"/>
            <w:left w:val="nil"/>
            <w:bottom w:val="single" w:sz="4" w:space="0" w:color="4F81BD"/>
            <w:right w:val="nil"/>
          </w:tcBorders>
        </w:tcPr>
        <w:p w:rsidR="0037625B" w:rsidRPr="005A3173" w:rsidRDefault="0037625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625B" w:rsidRPr="005A3173" w:rsidRDefault="0037625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625B" w:rsidRPr="005A3173" w:rsidRDefault="0037625B" w:rsidP="005A3173">
          <w:pPr>
            <w:pStyle w:val="Header"/>
            <w:spacing w:line="276" w:lineRule="auto"/>
            <w:rPr>
              <w:rFonts w:ascii="Calibri" w:eastAsia="MS Gothic" w:hAnsi="Calibri"/>
              <w:b/>
              <w:bCs/>
              <w:color w:val="4F81BD"/>
            </w:rPr>
          </w:pPr>
        </w:p>
      </w:tc>
    </w:tr>
    <w:tr w:rsidR="0037625B" w:rsidTr="005A3173">
      <w:trPr>
        <w:trHeight w:val="150"/>
      </w:trPr>
      <w:tc>
        <w:tcPr>
          <w:tcW w:w="2250" w:type="pct"/>
          <w:tcBorders>
            <w:top w:val="single" w:sz="4" w:space="0" w:color="4F81BD"/>
            <w:left w:val="nil"/>
            <w:bottom w:val="nil"/>
            <w:right w:val="nil"/>
          </w:tcBorders>
        </w:tcPr>
        <w:p w:rsidR="0037625B" w:rsidRPr="005A3173" w:rsidRDefault="0037625B" w:rsidP="005A3173">
          <w:pPr>
            <w:pStyle w:val="Header"/>
            <w:spacing w:line="276" w:lineRule="auto"/>
            <w:rPr>
              <w:rFonts w:ascii="Calibri" w:eastAsia="MS Gothic" w:hAnsi="Calibri"/>
              <w:b/>
              <w:bCs/>
              <w:color w:val="4F81BD"/>
            </w:rPr>
          </w:pPr>
        </w:p>
      </w:tc>
      <w:tc>
        <w:tcPr>
          <w:tcW w:w="0" w:type="auto"/>
          <w:vMerge/>
          <w:vAlign w:val="center"/>
          <w:hideMark/>
        </w:tcPr>
        <w:p w:rsidR="0037625B" w:rsidRPr="005A3173" w:rsidRDefault="0037625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625B" w:rsidRPr="005A3173" w:rsidRDefault="0037625B" w:rsidP="005A3173">
          <w:pPr>
            <w:pStyle w:val="Header"/>
            <w:spacing w:line="276" w:lineRule="auto"/>
            <w:rPr>
              <w:rFonts w:ascii="Calibri" w:eastAsia="MS Gothic" w:hAnsi="Calibri"/>
              <w:b/>
              <w:bCs/>
              <w:color w:val="4F81BD"/>
            </w:rPr>
          </w:pPr>
        </w:p>
      </w:tc>
    </w:tr>
  </w:tbl>
  <w:p w:rsidR="0037625B" w:rsidRDefault="0037625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625B" w:rsidRDefault="0037625B">
    <w:pPr>
      <w:pStyle w:val="Footer"/>
    </w:pPr>
  </w:p>
  <w:p w:rsidR="0037625B" w:rsidRDefault="0037625B"/>
  <w:p w:rsidR="0037625B" w:rsidRDefault="0037625B"/>
  <w:p w:rsidR="0037625B" w:rsidRDefault="0037625B" w:rsidP="003762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406129"/>
      <w:docPartObj>
        <w:docPartGallery w:val="Page Numbers (Bottom of Page)"/>
        <w:docPartUnique/>
      </w:docPartObj>
    </w:sdtPr>
    <w:sdtEndPr>
      <w:rPr>
        <w:noProof/>
      </w:rPr>
    </w:sdtEndPr>
    <w:sdtContent>
      <w:p w:rsidR="00D2438B" w:rsidRDefault="00D2438B" w:rsidP="00D2438B">
        <w:pPr>
          <w:pStyle w:val="Footer"/>
          <w:jc w:val="center"/>
        </w:pPr>
      </w:p>
      <w:p w:rsidR="0037625B" w:rsidRDefault="0037625B" w:rsidP="00D2438B">
        <w:pPr>
          <w:pStyle w:val="Footer"/>
          <w:jc w:val="center"/>
        </w:pPr>
        <w:r>
          <w:fldChar w:fldCharType="begin"/>
        </w:r>
        <w:r>
          <w:instrText xml:space="preserve"> PAGE   \* MERGEFORMAT </w:instrText>
        </w:r>
        <w:r>
          <w:fldChar w:fldCharType="separate"/>
        </w:r>
        <w:r w:rsidR="007B0774">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7625B" w:rsidTr="005A3173">
      <w:trPr>
        <w:trHeight w:val="151"/>
      </w:trPr>
      <w:tc>
        <w:tcPr>
          <w:tcW w:w="2250" w:type="pct"/>
          <w:tcBorders>
            <w:top w:val="nil"/>
            <w:left w:val="nil"/>
            <w:bottom w:val="single" w:sz="4" w:space="0" w:color="4F81BD"/>
            <w:right w:val="nil"/>
          </w:tcBorders>
        </w:tcPr>
        <w:p w:rsidR="0037625B" w:rsidRPr="005A3173" w:rsidRDefault="0037625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625B" w:rsidRPr="005A3173" w:rsidRDefault="0037625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625B" w:rsidRPr="005A3173" w:rsidRDefault="0037625B" w:rsidP="005A3173">
          <w:pPr>
            <w:pStyle w:val="Header"/>
            <w:spacing w:line="276" w:lineRule="auto"/>
            <w:rPr>
              <w:rFonts w:ascii="Calibri" w:eastAsia="MS Gothic" w:hAnsi="Calibri"/>
              <w:b/>
              <w:bCs/>
              <w:color w:val="4F81BD"/>
            </w:rPr>
          </w:pPr>
        </w:p>
      </w:tc>
    </w:tr>
    <w:tr w:rsidR="0037625B" w:rsidTr="005A3173">
      <w:trPr>
        <w:trHeight w:val="150"/>
      </w:trPr>
      <w:tc>
        <w:tcPr>
          <w:tcW w:w="2250" w:type="pct"/>
          <w:tcBorders>
            <w:top w:val="single" w:sz="4" w:space="0" w:color="4F81BD"/>
            <w:left w:val="nil"/>
            <w:bottom w:val="nil"/>
            <w:right w:val="nil"/>
          </w:tcBorders>
        </w:tcPr>
        <w:p w:rsidR="0037625B" w:rsidRPr="005A3173" w:rsidRDefault="0037625B" w:rsidP="005A3173">
          <w:pPr>
            <w:pStyle w:val="Header"/>
            <w:spacing w:line="276" w:lineRule="auto"/>
            <w:rPr>
              <w:rFonts w:ascii="Calibri" w:eastAsia="MS Gothic" w:hAnsi="Calibri"/>
              <w:b/>
              <w:bCs/>
              <w:color w:val="4F81BD"/>
            </w:rPr>
          </w:pPr>
        </w:p>
      </w:tc>
      <w:tc>
        <w:tcPr>
          <w:tcW w:w="0" w:type="auto"/>
          <w:vMerge/>
          <w:vAlign w:val="center"/>
          <w:hideMark/>
        </w:tcPr>
        <w:p w:rsidR="0037625B" w:rsidRPr="005A3173" w:rsidRDefault="0037625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625B" w:rsidRPr="005A3173" w:rsidRDefault="0037625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625B" w:rsidTr="005A3173">
      <w:trPr>
        <w:trHeight w:val="151"/>
      </w:trPr>
      <w:tc>
        <w:tcPr>
          <w:tcW w:w="2250" w:type="pct"/>
          <w:tcBorders>
            <w:top w:val="nil"/>
            <w:left w:val="nil"/>
            <w:bottom w:val="single" w:sz="4" w:space="0" w:color="4F81BD"/>
            <w:right w:val="nil"/>
          </w:tcBorders>
        </w:tcPr>
        <w:p w:rsidR="0037625B" w:rsidRPr="005A3173" w:rsidRDefault="0037625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625B" w:rsidRPr="005A3173" w:rsidRDefault="0037625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625B" w:rsidRPr="005A3173" w:rsidRDefault="0037625B" w:rsidP="005A3173">
          <w:pPr>
            <w:pStyle w:val="Header"/>
            <w:spacing w:line="276" w:lineRule="auto"/>
            <w:rPr>
              <w:rFonts w:ascii="Calibri" w:eastAsia="MS Gothic" w:hAnsi="Calibri"/>
              <w:b/>
              <w:bCs/>
              <w:color w:val="4F81BD"/>
            </w:rPr>
          </w:pPr>
        </w:p>
      </w:tc>
    </w:tr>
    <w:tr w:rsidR="0037625B" w:rsidTr="005A3173">
      <w:trPr>
        <w:trHeight w:val="150"/>
      </w:trPr>
      <w:tc>
        <w:tcPr>
          <w:tcW w:w="2250" w:type="pct"/>
          <w:tcBorders>
            <w:top w:val="single" w:sz="4" w:space="0" w:color="4F81BD"/>
            <w:left w:val="nil"/>
            <w:bottom w:val="nil"/>
            <w:right w:val="nil"/>
          </w:tcBorders>
        </w:tcPr>
        <w:p w:rsidR="0037625B" w:rsidRPr="005A3173" w:rsidRDefault="0037625B" w:rsidP="005A3173">
          <w:pPr>
            <w:pStyle w:val="Header"/>
            <w:spacing w:line="276" w:lineRule="auto"/>
            <w:rPr>
              <w:rFonts w:ascii="Calibri" w:eastAsia="MS Gothic" w:hAnsi="Calibri"/>
              <w:b/>
              <w:bCs/>
              <w:color w:val="4F81BD"/>
            </w:rPr>
          </w:pPr>
        </w:p>
      </w:tc>
      <w:tc>
        <w:tcPr>
          <w:tcW w:w="0" w:type="auto"/>
          <w:vMerge/>
          <w:vAlign w:val="center"/>
          <w:hideMark/>
        </w:tcPr>
        <w:p w:rsidR="0037625B" w:rsidRPr="005A3173" w:rsidRDefault="0037625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625B" w:rsidRPr="005A3173" w:rsidRDefault="0037625B" w:rsidP="005A3173">
          <w:pPr>
            <w:pStyle w:val="Header"/>
            <w:spacing w:line="276" w:lineRule="auto"/>
            <w:rPr>
              <w:rFonts w:ascii="Calibri" w:eastAsia="MS Gothic" w:hAnsi="Calibri"/>
              <w:b/>
              <w:bCs/>
              <w:color w:val="4F81BD"/>
            </w:rPr>
          </w:pPr>
        </w:p>
      </w:tc>
    </w:tr>
  </w:tbl>
  <w:p w:rsidR="0037625B" w:rsidRPr="007C0F57" w:rsidRDefault="0037625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7625B" w:rsidRPr="007C0F57" w:rsidRDefault="0037625B" w:rsidP="007C0F57">
    <w:pPr>
      <w:pStyle w:val="Footer"/>
      <w:jc w:val="center"/>
      <w:rPr>
        <w:b/>
        <w:i/>
        <w:sz w:val="20"/>
        <w:szCs w:val="20"/>
      </w:rPr>
    </w:pPr>
    <w:r w:rsidRPr="007C0F57">
      <w:rPr>
        <w:b/>
        <w:i/>
        <w:sz w:val="20"/>
        <w:szCs w:val="20"/>
      </w:rPr>
      <w:t>Commercial-in-Confidence</w:t>
    </w:r>
  </w:p>
  <w:p w:rsidR="0037625B" w:rsidRDefault="0037625B"/>
  <w:p w:rsidR="0037625B" w:rsidRDefault="0037625B"/>
  <w:p w:rsidR="0037625B" w:rsidRDefault="0037625B" w:rsidP="003762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74" w:rsidRDefault="007B0774">
      <w:r>
        <w:separator/>
      </w:r>
    </w:p>
    <w:p w:rsidR="007B0774" w:rsidRDefault="007B0774" w:rsidP="0037625B"/>
  </w:footnote>
  <w:footnote w:type="continuationSeparator" w:id="0">
    <w:p w:rsidR="007B0774" w:rsidRDefault="007B0774">
      <w:r>
        <w:continuationSeparator/>
      </w:r>
    </w:p>
    <w:p w:rsidR="007B0774" w:rsidRDefault="007B0774"/>
    <w:p w:rsidR="007B0774" w:rsidRDefault="007B0774"/>
    <w:p w:rsidR="007B0774" w:rsidRDefault="007B0774" w:rsidP="0037625B"/>
  </w:footnote>
  <w:footnote w:id="1">
    <w:p w:rsidR="0037625B" w:rsidRDefault="0037625B" w:rsidP="004F78F7">
      <w:pPr>
        <w:pStyle w:val="FootnoteText"/>
        <w:jc w:val="both"/>
      </w:pPr>
      <w:r w:rsidRPr="004F78F7">
        <w:rPr>
          <w:rFonts w:asciiTheme="minorHAnsi" w:hAnsiTheme="minorHAnsi" w:cs="Arial"/>
          <w:bCs/>
          <w:snapToGrid w:val="0"/>
          <w:sz w:val="16"/>
          <w:szCs w:val="24"/>
        </w:rPr>
        <w:footnoteRef/>
      </w:r>
      <w:r w:rsidRPr="007A537A">
        <w:t xml:space="preserve"> </w:t>
      </w:r>
      <w:r w:rsidRPr="007A537A">
        <w:rPr>
          <w:rFonts w:asciiTheme="minorHAnsi" w:hAnsiTheme="minorHAnsi" w:cs="Arial"/>
          <w:bCs/>
          <w:snapToGrid w:val="0"/>
          <w:sz w:val="16"/>
          <w:szCs w:val="24"/>
        </w:rPr>
        <w:t>Cherny NI, Dafni U, Bogaerts J, et al: ESMO-Magnitude of Clinical Benefit Scale version 1.1. Annals of Oncology 28:2340-2366, 2017</w:t>
      </w:r>
    </w:p>
  </w:footnote>
  <w:footnote w:id="2">
    <w:p w:rsidR="0037625B" w:rsidRDefault="0037625B">
      <w:pPr>
        <w:pStyle w:val="FootnoteText"/>
      </w:pPr>
      <w:r>
        <w:rPr>
          <w:rStyle w:val="FootnoteReference"/>
        </w:rPr>
        <w:footnoteRef/>
      </w:r>
      <w:r>
        <w:t xml:space="preserve"> </w:t>
      </w:r>
      <w:hyperlink r:id="rId1" w:history="1">
        <w:r w:rsidRPr="005E4AE7">
          <w:rPr>
            <w:rStyle w:val="Hyperlink"/>
          </w:rPr>
          <w:t>https://www.aihw.gov.au/getmedia/bdccebf2-dbe6-44e2-9104-8461d7e7c165/16933.pdf.aspx?inline=true</w:t>
        </w:r>
      </w:hyperlink>
    </w:p>
    <w:p w:rsidR="0037625B" w:rsidRDefault="0037625B">
      <w:pPr>
        <w:pStyle w:val="FootnoteText"/>
      </w:pPr>
      <w:r>
        <w:t xml:space="preserve">  </w:t>
      </w:r>
      <w:hyperlink r:id="rId2" w:history="1">
        <w:r w:rsidRPr="005E4AE7">
          <w:rPr>
            <w:rStyle w:val="Hyperlink"/>
          </w:rPr>
          <w:t>https://head-neck-cancer.canceraustralia.gov.au/statistics</w:t>
        </w:r>
      </w:hyperlink>
    </w:p>
    <w:p w:rsidR="0037625B" w:rsidRDefault="003762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7625B" w:rsidRPr="008E0D90" w:rsidTr="00A06225">
      <w:trPr>
        <w:trHeight w:val="151"/>
      </w:trPr>
      <w:tc>
        <w:tcPr>
          <w:tcW w:w="2389" w:type="pct"/>
          <w:tcBorders>
            <w:top w:val="nil"/>
            <w:left w:val="nil"/>
            <w:bottom w:val="single" w:sz="4" w:space="0" w:color="4F81BD"/>
            <w:right w:val="nil"/>
          </w:tcBorders>
        </w:tcPr>
        <w:p w:rsidR="0037625B" w:rsidRPr="00A06225" w:rsidRDefault="0037625B">
          <w:pPr>
            <w:pStyle w:val="Header"/>
            <w:spacing w:line="276" w:lineRule="auto"/>
            <w:rPr>
              <w:rFonts w:ascii="Cambria" w:eastAsia="MS Gothic" w:hAnsi="Cambria"/>
              <w:b/>
              <w:bCs/>
              <w:color w:val="4F81BD"/>
            </w:rPr>
          </w:pPr>
        </w:p>
      </w:tc>
      <w:tc>
        <w:tcPr>
          <w:tcW w:w="333" w:type="pct"/>
          <w:vMerge w:val="restart"/>
          <w:noWrap/>
          <w:vAlign w:val="center"/>
          <w:hideMark/>
        </w:tcPr>
        <w:p w:rsidR="0037625B" w:rsidRPr="00A06225" w:rsidRDefault="0037625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7625B" w:rsidRPr="00A06225" w:rsidRDefault="0037625B">
          <w:pPr>
            <w:pStyle w:val="Header"/>
            <w:spacing w:line="276" w:lineRule="auto"/>
            <w:rPr>
              <w:rFonts w:ascii="Cambria" w:eastAsia="MS Gothic" w:hAnsi="Cambria"/>
              <w:b/>
              <w:bCs/>
              <w:color w:val="4F81BD"/>
            </w:rPr>
          </w:pPr>
        </w:p>
      </w:tc>
    </w:tr>
    <w:tr w:rsidR="0037625B" w:rsidRPr="008E0D90" w:rsidTr="00A06225">
      <w:trPr>
        <w:trHeight w:val="150"/>
      </w:trPr>
      <w:tc>
        <w:tcPr>
          <w:tcW w:w="2389" w:type="pct"/>
          <w:tcBorders>
            <w:top w:val="single" w:sz="4" w:space="0" w:color="4F81BD"/>
            <w:left w:val="nil"/>
            <w:bottom w:val="nil"/>
            <w:right w:val="nil"/>
          </w:tcBorders>
        </w:tcPr>
        <w:p w:rsidR="0037625B" w:rsidRPr="00A06225" w:rsidRDefault="0037625B">
          <w:pPr>
            <w:pStyle w:val="Header"/>
            <w:spacing w:line="276" w:lineRule="auto"/>
            <w:rPr>
              <w:rFonts w:ascii="Cambria" w:eastAsia="MS Gothic" w:hAnsi="Cambria"/>
              <w:b/>
              <w:bCs/>
              <w:color w:val="4F81BD"/>
            </w:rPr>
          </w:pPr>
        </w:p>
      </w:tc>
      <w:tc>
        <w:tcPr>
          <w:tcW w:w="0" w:type="auto"/>
          <w:vMerge/>
          <w:vAlign w:val="center"/>
          <w:hideMark/>
        </w:tcPr>
        <w:p w:rsidR="0037625B" w:rsidRPr="00A06225" w:rsidRDefault="0037625B">
          <w:pPr>
            <w:rPr>
              <w:rFonts w:ascii="Cambria" w:hAnsi="Cambria"/>
              <w:color w:val="4F81BD"/>
              <w:sz w:val="22"/>
              <w:szCs w:val="22"/>
            </w:rPr>
          </w:pPr>
        </w:p>
      </w:tc>
      <w:tc>
        <w:tcPr>
          <w:tcW w:w="2278" w:type="pct"/>
          <w:tcBorders>
            <w:top w:val="single" w:sz="4" w:space="0" w:color="4F81BD"/>
            <w:left w:val="nil"/>
            <w:bottom w:val="nil"/>
            <w:right w:val="nil"/>
          </w:tcBorders>
        </w:tcPr>
        <w:p w:rsidR="0037625B" w:rsidRPr="00A06225" w:rsidRDefault="0037625B">
          <w:pPr>
            <w:pStyle w:val="Header"/>
            <w:spacing w:line="276" w:lineRule="auto"/>
            <w:rPr>
              <w:rFonts w:ascii="Cambria" w:eastAsia="MS Gothic" w:hAnsi="Cambria"/>
              <w:b/>
              <w:bCs/>
              <w:color w:val="4F81BD"/>
            </w:rPr>
          </w:pPr>
        </w:p>
      </w:tc>
    </w:tr>
  </w:tbl>
  <w:p w:rsidR="0037625B" w:rsidRDefault="0037625B">
    <w:pPr>
      <w:pStyle w:val="Header"/>
    </w:pPr>
  </w:p>
  <w:p w:rsidR="0037625B" w:rsidRDefault="0037625B"/>
  <w:p w:rsidR="0037625B" w:rsidRDefault="0037625B"/>
  <w:p w:rsidR="0037625B" w:rsidRDefault="0037625B" w:rsidP="003762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5B" w:rsidRPr="00D2438B" w:rsidRDefault="0037625B" w:rsidP="00D2438B">
    <w:pPr>
      <w:pStyle w:val="NoSpacing"/>
      <w:jc w:val="center"/>
      <w:rPr>
        <w:rFonts w:asciiTheme="minorHAnsi" w:hAnsiTheme="minorHAnsi"/>
        <w:i/>
      </w:rPr>
    </w:pPr>
    <w:r>
      <w:rPr>
        <w:rFonts w:asciiTheme="minorHAnsi" w:hAnsiTheme="minorHAnsi"/>
        <w:i/>
      </w:rPr>
      <w:t>Public Summary Document</w:t>
    </w:r>
    <w:r w:rsidRPr="00EA6F31">
      <w:rPr>
        <w:rFonts w:asciiTheme="minorHAnsi" w:hAnsiTheme="minorHAnsi"/>
        <w:i/>
      </w:rPr>
      <w:t xml:space="preserve"> – March 2018 PBAC Meeting</w:t>
    </w:r>
  </w:p>
  <w:p w:rsidR="0037625B" w:rsidRDefault="0037625B" w:rsidP="003762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8B" w:rsidRDefault="00D24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212F55"/>
    <w:multiLevelType w:val="hybridMultilevel"/>
    <w:tmpl w:val="07B65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004661A"/>
    <w:multiLevelType w:val="hybridMultilevel"/>
    <w:tmpl w:val="FA6CB808"/>
    <w:lvl w:ilvl="0" w:tplc="56A8DEC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8C32D1"/>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04911A9"/>
    <w:multiLevelType w:val="hybridMultilevel"/>
    <w:tmpl w:val="53D43BB0"/>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ED5FF0"/>
    <w:multiLevelType w:val="hybridMultilevel"/>
    <w:tmpl w:val="8DCEBC8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5C842E4"/>
    <w:multiLevelType w:val="hybridMultilevel"/>
    <w:tmpl w:val="F138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38C8A64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9E22706"/>
    <w:multiLevelType w:val="hybridMultilevel"/>
    <w:tmpl w:val="5B7882C8"/>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1"/>
  </w:num>
  <w:num w:numId="5">
    <w:abstractNumId w:val="24"/>
  </w:num>
  <w:num w:numId="6">
    <w:abstractNumId w:val="8"/>
  </w:num>
  <w:num w:numId="7">
    <w:abstractNumId w:val="18"/>
  </w:num>
  <w:num w:numId="8">
    <w:abstractNumId w:val="5"/>
  </w:num>
  <w:num w:numId="9">
    <w:abstractNumId w:val="17"/>
  </w:num>
  <w:num w:numId="10">
    <w:abstractNumId w:val="16"/>
  </w:num>
  <w:num w:numId="11">
    <w:abstractNumId w:val="14"/>
  </w:num>
  <w:num w:numId="12">
    <w:abstractNumId w:val="1"/>
  </w:num>
  <w:num w:numId="13">
    <w:abstractNumId w:val="0"/>
  </w:num>
  <w:num w:numId="14">
    <w:abstractNumId w:val="24"/>
  </w:num>
  <w:num w:numId="15">
    <w:abstractNumId w:val="15"/>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23"/>
  </w:num>
  <w:num w:numId="25">
    <w:abstractNumId w:val="6"/>
  </w:num>
  <w:num w:numId="26">
    <w:abstractNumId w:val="3"/>
  </w:num>
  <w:num w:numId="27">
    <w:abstractNumId w:val="12"/>
  </w:num>
  <w:num w:numId="28">
    <w:abstractNumId w:val="13"/>
  </w:num>
  <w:num w:numId="29">
    <w:abstractNumId w:val="13"/>
  </w:num>
  <w:num w:numId="30">
    <w:abstractNumId w:val="11"/>
  </w:num>
  <w:num w:numId="31">
    <w:abstractNumId w:val="13"/>
  </w:num>
  <w:num w:numId="32">
    <w:abstractNumId w:val="13"/>
  </w:num>
  <w:num w:numId="33">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5831"/>
    <w:rsid w:val="00014A0F"/>
    <w:rsid w:val="0002464A"/>
    <w:rsid w:val="00024BD4"/>
    <w:rsid w:val="0003106B"/>
    <w:rsid w:val="000421A1"/>
    <w:rsid w:val="0004240E"/>
    <w:rsid w:val="0004540E"/>
    <w:rsid w:val="00045E26"/>
    <w:rsid w:val="000514B5"/>
    <w:rsid w:val="00054066"/>
    <w:rsid w:val="00055462"/>
    <w:rsid w:val="00060E64"/>
    <w:rsid w:val="0006607C"/>
    <w:rsid w:val="00066755"/>
    <w:rsid w:val="0007332B"/>
    <w:rsid w:val="00077143"/>
    <w:rsid w:val="00082169"/>
    <w:rsid w:val="00082FBC"/>
    <w:rsid w:val="0009556E"/>
    <w:rsid w:val="000969AD"/>
    <w:rsid w:val="000A3B64"/>
    <w:rsid w:val="000A3EED"/>
    <w:rsid w:val="000B558D"/>
    <w:rsid w:val="000C02EE"/>
    <w:rsid w:val="000C20F0"/>
    <w:rsid w:val="000C6996"/>
    <w:rsid w:val="000C72C6"/>
    <w:rsid w:val="000D11DD"/>
    <w:rsid w:val="000D23BA"/>
    <w:rsid w:val="000E681E"/>
    <w:rsid w:val="000F0003"/>
    <w:rsid w:val="000F2ABF"/>
    <w:rsid w:val="000F4E6A"/>
    <w:rsid w:val="00104227"/>
    <w:rsid w:val="001107BF"/>
    <w:rsid w:val="001159DE"/>
    <w:rsid w:val="0012417C"/>
    <w:rsid w:val="00126DC9"/>
    <w:rsid w:val="001314DB"/>
    <w:rsid w:val="001338A7"/>
    <w:rsid w:val="00137E16"/>
    <w:rsid w:val="00142395"/>
    <w:rsid w:val="00142714"/>
    <w:rsid w:val="001452ED"/>
    <w:rsid w:val="001515AE"/>
    <w:rsid w:val="00163213"/>
    <w:rsid w:val="00163329"/>
    <w:rsid w:val="00164623"/>
    <w:rsid w:val="00165B64"/>
    <w:rsid w:val="001748DD"/>
    <w:rsid w:val="001830CE"/>
    <w:rsid w:val="00185D95"/>
    <w:rsid w:val="0018643B"/>
    <w:rsid w:val="00187C36"/>
    <w:rsid w:val="00193AD2"/>
    <w:rsid w:val="001949D9"/>
    <w:rsid w:val="00194B42"/>
    <w:rsid w:val="00195845"/>
    <w:rsid w:val="00196307"/>
    <w:rsid w:val="001A1190"/>
    <w:rsid w:val="001A33EA"/>
    <w:rsid w:val="001A5008"/>
    <w:rsid w:val="001A51E0"/>
    <w:rsid w:val="001A7F74"/>
    <w:rsid w:val="001B017F"/>
    <w:rsid w:val="001B2BBC"/>
    <w:rsid w:val="001B5129"/>
    <w:rsid w:val="001B5A0E"/>
    <w:rsid w:val="001C1195"/>
    <w:rsid w:val="001D20B4"/>
    <w:rsid w:val="001E5F33"/>
    <w:rsid w:val="001F1850"/>
    <w:rsid w:val="001F201C"/>
    <w:rsid w:val="001F4998"/>
    <w:rsid w:val="001F62E9"/>
    <w:rsid w:val="00203FAC"/>
    <w:rsid w:val="0021187B"/>
    <w:rsid w:val="00213CFB"/>
    <w:rsid w:val="00217BE1"/>
    <w:rsid w:val="002247A0"/>
    <w:rsid w:val="00231D98"/>
    <w:rsid w:val="00232168"/>
    <w:rsid w:val="00235050"/>
    <w:rsid w:val="0023586E"/>
    <w:rsid w:val="00245200"/>
    <w:rsid w:val="00247633"/>
    <w:rsid w:val="002517F2"/>
    <w:rsid w:val="00260A3D"/>
    <w:rsid w:val="0026220C"/>
    <w:rsid w:val="00271BA1"/>
    <w:rsid w:val="002762FA"/>
    <w:rsid w:val="00277505"/>
    <w:rsid w:val="002830DE"/>
    <w:rsid w:val="002830E6"/>
    <w:rsid w:val="00287B47"/>
    <w:rsid w:val="00292871"/>
    <w:rsid w:val="0029379A"/>
    <w:rsid w:val="0029458F"/>
    <w:rsid w:val="002A104C"/>
    <w:rsid w:val="002A33C5"/>
    <w:rsid w:val="002A4960"/>
    <w:rsid w:val="002B1AE6"/>
    <w:rsid w:val="002B2DE8"/>
    <w:rsid w:val="002B30F8"/>
    <w:rsid w:val="002B4221"/>
    <w:rsid w:val="002B5596"/>
    <w:rsid w:val="002B792F"/>
    <w:rsid w:val="002C08AF"/>
    <w:rsid w:val="002C212F"/>
    <w:rsid w:val="002C4F25"/>
    <w:rsid w:val="002C6128"/>
    <w:rsid w:val="002C6A10"/>
    <w:rsid w:val="002D3A25"/>
    <w:rsid w:val="002D4543"/>
    <w:rsid w:val="002E3153"/>
    <w:rsid w:val="002E72CA"/>
    <w:rsid w:val="002F2188"/>
    <w:rsid w:val="002F5D76"/>
    <w:rsid w:val="00300AD6"/>
    <w:rsid w:val="00310F91"/>
    <w:rsid w:val="003179DF"/>
    <w:rsid w:val="00317C6C"/>
    <w:rsid w:val="00326C9B"/>
    <w:rsid w:val="00326E79"/>
    <w:rsid w:val="00333230"/>
    <w:rsid w:val="00333425"/>
    <w:rsid w:val="0033518A"/>
    <w:rsid w:val="003367EF"/>
    <w:rsid w:val="00337D25"/>
    <w:rsid w:val="003405DF"/>
    <w:rsid w:val="00341AE4"/>
    <w:rsid w:val="00342495"/>
    <w:rsid w:val="00347050"/>
    <w:rsid w:val="003530EF"/>
    <w:rsid w:val="0037625B"/>
    <w:rsid w:val="003872CF"/>
    <w:rsid w:val="00390F39"/>
    <w:rsid w:val="00394602"/>
    <w:rsid w:val="00395A72"/>
    <w:rsid w:val="0039782C"/>
    <w:rsid w:val="00397FB0"/>
    <w:rsid w:val="003A5B4A"/>
    <w:rsid w:val="003A7C76"/>
    <w:rsid w:val="003B032C"/>
    <w:rsid w:val="003B156F"/>
    <w:rsid w:val="003B23C5"/>
    <w:rsid w:val="003B2A75"/>
    <w:rsid w:val="003B395F"/>
    <w:rsid w:val="003B6124"/>
    <w:rsid w:val="003B6AE0"/>
    <w:rsid w:val="003C2FB5"/>
    <w:rsid w:val="003C57C6"/>
    <w:rsid w:val="003C6587"/>
    <w:rsid w:val="003D4AC4"/>
    <w:rsid w:val="003D4C68"/>
    <w:rsid w:val="003D63B7"/>
    <w:rsid w:val="003D6886"/>
    <w:rsid w:val="003E4424"/>
    <w:rsid w:val="003E468B"/>
    <w:rsid w:val="003F0077"/>
    <w:rsid w:val="003F3228"/>
    <w:rsid w:val="003F5C8C"/>
    <w:rsid w:val="00407588"/>
    <w:rsid w:val="00417E51"/>
    <w:rsid w:val="004252EC"/>
    <w:rsid w:val="00430519"/>
    <w:rsid w:val="00433F25"/>
    <w:rsid w:val="0043418E"/>
    <w:rsid w:val="0044239B"/>
    <w:rsid w:val="004445DF"/>
    <w:rsid w:val="00445FCD"/>
    <w:rsid w:val="004465BD"/>
    <w:rsid w:val="00454292"/>
    <w:rsid w:val="00454B33"/>
    <w:rsid w:val="00455942"/>
    <w:rsid w:val="00465E5F"/>
    <w:rsid w:val="00466ADA"/>
    <w:rsid w:val="00466DCE"/>
    <w:rsid w:val="00472713"/>
    <w:rsid w:val="004737EF"/>
    <w:rsid w:val="00476245"/>
    <w:rsid w:val="00483035"/>
    <w:rsid w:val="004834BB"/>
    <w:rsid w:val="00485940"/>
    <w:rsid w:val="004913B5"/>
    <w:rsid w:val="0049156E"/>
    <w:rsid w:val="004A2484"/>
    <w:rsid w:val="004A5A85"/>
    <w:rsid w:val="004A71D1"/>
    <w:rsid w:val="004B0C46"/>
    <w:rsid w:val="004B5640"/>
    <w:rsid w:val="004C1BD7"/>
    <w:rsid w:val="004C31FE"/>
    <w:rsid w:val="004C420C"/>
    <w:rsid w:val="004C691D"/>
    <w:rsid w:val="004C6C07"/>
    <w:rsid w:val="004D4E6A"/>
    <w:rsid w:val="004D5F1C"/>
    <w:rsid w:val="004E66A8"/>
    <w:rsid w:val="004E692D"/>
    <w:rsid w:val="004F048D"/>
    <w:rsid w:val="004F78F7"/>
    <w:rsid w:val="00501554"/>
    <w:rsid w:val="005063B0"/>
    <w:rsid w:val="00514CD7"/>
    <w:rsid w:val="00520905"/>
    <w:rsid w:val="00525CAF"/>
    <w:rsid w:val="005319B2"/>
    <w:rsid w:val="00532402"/>
    <w:rsid w:val="00532C74"/>
    <w:rsid w:val="00534DDA"/>
    <w:rsid w:val="00534E2E"/>
    <w:rsid w:val="00537EBA"/>
    <w:rsid w:val="00541053"/>
    <w:rsid w:val="00544552"/>
    <w:rsid w:val="00573269"/>
    <w:rsid w:val="00577C4D"/>
    <w:rsid w:val="005803BC"/>
    <w:rsid w:val="00580E66"/>
    <w:rsid w:val="00581932"/>
    <w:rsid w:val="0058505D"/>
    <w:rsid w:val="005963BB"/>
    <w:rsid w:val="005973EE"/>
    <w:rsid w:val="005A3173"/>
    <w:rsid w:val="005A3223"/>
    <w:rsid w:val="005A3DA3"/>
    <w:rsid w:val="005A5119"/>
    <w:rsid w:val="005A524E"/>
    <w:rsid w:val="005A52C4"/>
    <w:rsid w:val="005B3CA5"/>
    <w:rsid w:val="005D03AB"/>
    <w:rsid w:val="005D5017"/>
    <w:rsid w:val="005E1333"/>
    <w:rsid w:val="005E41A1"/>
    <w:rsid w:val="00601A91"/>
    <w:rsid w:val="00602BA3"/>
    <w:rsid w:val="006048C2"/>
    <w:rsid w:val="00612E34"/>
    <w:rsid w:val="00614159"/>
    <w:rsid w:val="00617C00"/>
    <w:rsid w:val="00622BFA"/>
    <w:rsid w:val="00626051"/>
    <w:rsid w:val="006263BF"/>
    <w:rsid w:val="0062748A"/>
    <w:rsid w:val="00630A2C"/>
    <w:rsid w:val="0063682E"/>
    <w:rsid w:val="006430B0"/>
    <w:rsid w:val="006436CD"/>
    <w:rsid w:val="0064746D"/>
    <w:rsid w:val="00651169"/>
    <w:rsid w:val="0065266E"/>
    <w:rsid w:val="00653D69"/>
    <w:rsid w:val="0066350A"/>
    <w:rsid w:val="00663C6A"/>
    <w:rsid w:val="0066542A"/>
    <w:rsid w:val="006670BE"/>
    <w:rsid w:val="00670A76"/>
    <w:rsid w:val="006711AA"/>
    <w:rsid w:val="00672B57"/>
    <w:rsid w:val="00675622"/>
    <w:rsid w:val="006759C2"/>
    <w:rsid w:val="0067705C"/>
    <w:rsid w:val="006906DB"/>
    <w:rsid w:val="00691E6C"/>
    <w:rsid w:val="0069419C"/>
    <w:rsid w:val="00696129"/>
    <w:rsid w:val="00697CF2"/>
    <w:rsid w:val="006A0846"/>
    <w:rsid w:val="006A09E7"/>
    <w:rsid w:val="006A12A5"/>
    <w:rsid w:val="006A31F9"/>
    <w:rsid w:val="006B0D94"/>
    <w:rsid w:val="006B485D"/>
    <w:rsid w:val="006B52AF"/>
    <w:rsid w:val="006C12CE"/>
    <w:rsid w:val="006C708E"/>
    <w:rsid w:val="006D5A6B"/>
    <w:rsid w:val="006D6EC7"/>
    <w:rsid w:val="006D7D3B"/>
    <w:rsid w:val="006E5106"/>
    <w:rsid w:val="006F3E93"/>
    <w:rsid w:val="006F5125"/>
    <w:rsid w:val="00702B6F"/>
    <w:rsid w:val="0071340B"/>
    <w:rsid w:val="007174BB"/>
    <w:rsid w:val="0072025D"/>
    <w:rsid w:val="00721EF6"/>
    <w:rsid w:val="0072663D"/>
    <w:rsid w:val="00730E44"/>
    <w:rsid w:val="007353D3"/>
    <w:rsid w:val="00737742"/>
    <w:rsid w:val="00737AA3"/>
    <w:rsid w:val="00745776"/>
    <w:rsid w:val="0075514D"/>
    <w:rsid w:val="0076420C"/>
    <w:rsid w:val="00766E04"/>
    <w:rsid w:val="00770321"/>
    <w:rsid w:val="00773265"/>
    <w:rsid w:val="0077338D"/>
    <w:rsid w:val="007753C2"/>
    <w:rsid w:val="007838B8"/>
    <w:rsid w:val="007947F1"/>
    <w:rsid w:val="007A3367"/>
    <w:rsid w:val="007A504E"/>
    <w:rsid w:val="007A537A"/>
    <w:rsid w:val="007B0774"/>
    <w:rsid w:val="007B60BE"/>
    <w:rsid w:val="007C0F57"/>
    <w:rsid w:val="007C40B6"/>
    <w:rsid w:val="007C729F"/>
    <w:rsid w:val="007D16F1"/>
    <w:rsid w:val="007D6CA5"/>
    <w:rsid w:val="007E1D28"/>
    <w:rsid w:val="007E6110"/>
    <w:rsid w:val="007E7A70"/>
    <w:rsid w:val="007F2641"/>
    <w:rsid w:val="007F6AFB"/>
    <w:rsid w:val="007F7885"/>
    <w:rsid w:val="007F7C36"/>
    <w:rsid w:val="008026BF"/>
    <w:rsid w:val="00806796"/>
    <w:rsid w:val="00807392"/>
    <w:rsid w:val="0080786F"/>
    <w:rsid w:val="008151D6"/>
    <w:rsid w:val="00817F79"/>
    <w:rsid w:val="00826A99"/>
    <w:rsid w:val="00826F6D"/>
    <w:rsid w:val="008306F3"/>
    <w:rsid w:val="00842F62"/>
    <w:rsid w:val="00844964"/>
    <w:rsid w:val="00850A61"/>
    <w:rsid w:val="00856DDD"/>
    <w:rsid w:val="00857AB2"/>
    <w:rsid w:val="0086087C"/>
    <w:rsid w:val="00862162"/>
    <w:rsid w:val="0086334D"/>
    <w:rsid w:val="00863E68"/>
    <w:rsid w:val="0086620D"/>
    <w:rsid w:val="00867525"/>
    <w:rsid w:val="0087411A"/>
    <w:rsid w:val="00874648"/>
    <w:rsid w:val="00875CAC"/>
    <w:rsid w:val="0087631B"/>
    <w:rsid w:val="00882085"/>
    <w:rsid w:val="008822C3"/>
    <w:rsid w:val="00883188"/>
    <w:rsid w:val="00884E05"/>
    <w:rsid w:val="00884ECA"/>
    <w:rsid w:val="00885153"/>
    <w:rsid w:val="00891F69"/>
    <w:rsid w:val="00893B24"/>
    <w:rsid w:val="00897D58"/>
    <w:rsid w:val="00897F22"/>
    <w:rsid w:val="008A1956"/>
    <w:rsid w:val="008A4937"/>
    <w:rsid w:val="008A50F1"/>
    <w:rsid w:val="008B00E3"/>
    <w:rsid w:val="008B2231"/>
    <w:rsid w:val="008C3B41"/>
    <w:rsid w:val="008D1B5C"/>
    <w:rsid w:val="008D3C82"/>
    <w:rsid w:val="008D447E"/>
    <w:rsid w:val="008D7A41"/>
    <w:rsid w:val="008E3680"/>
    <w:rsid w:val="008E5870"/>
    <w:rsid w:val="008F1434"/>
    <w:rsid w:val="008F42E6"/>
    <w:rsid w:val="008F7355"/>
    <w:rsid w:val="00900DEA"/>
    <w:rsid w:val="0090288E"/>
    <w:rsid w:val="00903B1B"/>
    <w:rsid w:val="00906641"/>
    <w:rsid w:val="009067B7"/>
    <w:rsid w:val="009105C9"/>
    <w:rsid w:val="00915B58"/>
    <w:rsid w:val="009246D6"/>
    <w:rsid w:val="00927B32"/>
    <w:rsid w:val="00930937"/>
    <w:rsid w:val="00933E6C"/>
    <w:rsid w:val="00937958"/>
    <w:rsid w:val="00942160"/>
    <w:rsid w:val="00943294"/>
    <w:rsid w:val="00944C02"/>
    <w:rsid w:val="00946336"/>
    <w:rsid w:val="009465B3"/>
    <w:rsid w:val="0095146F"/>
    <w:rsid w:val="009546D2"/>
    <w:rsid w:val="009550D6"/>
    <w:rsid w:val="0095764C"/>
    <w:rsid w:val="009602C5"/>
    <w:rsid w:val="00961994"/>
    <w:rsid w:val="00962223"/>
    <w:rsid w:val="00966D0D"/>
    <w:rsid w:val="00974C21"/>
    <w:rsid w:val="009768B3"/>
    <w:rsid w:val="00976ADA"/>
    <w:rsid w:val="0098482D"/>
    <w:rsid w:val="009875F8"/>
    <w:rsid w:val="009A4E1B"/>
    <w:rsid w:val="009B0F67"/>
    <w:rsid w:val="009C1B1B"/>
    <w:rsid w:val="009C6A3E"/>
    <w:rsid w:val="009C703C"/>
    <w:rsid w:val="009D2709"/>
    <w:rsid w:val="009D39EB"/>
    <w:rsid w:val="009D3CAA"/>
    <w:rsid w:val="009D6A1C"/>
    <w:rsid w:val="009E3BDD"/>
    <w:rsid w:val="009F4855"/>
    <w:rsid w:val="009F4E46"/>
    <w:rsid w:val="009F5B65"/>
    <w:rsid w:val="009F5F2E"/>
    <w:rsid w:val="00A039B9"/>
    <w:rsid w:val="00A06225"/>
    <w:rsid w:val="00A11A22"/>
    <w:rsid w:val="00A128E6"/>
    <w:rsid w:val="00A2043D"/>
    <w:rsid w:val="00A3341E"/>
    <w:rsid w:val="00A34E6C"/>
    <w:rsid w:val="00A35992"/>
    <w:rsid w:val="00A37C8D"/>
    <w:rsid w:val="00A44841"/>
    <w:rsid w:val="00A474F8"/>
    <w:rsid w:val="00A5273B"/>
    <w:rsid w:val="00A53A9D"/>
    <w:rsid w:val="00A53EEF"/>
    <w:rsid w:val="00A55FEE"/>
    <w:rsid w:val="00A62C1A"/>
    <w:rsid w:val="00A62C65"/>
    <w:rsid w:val="00A63600"/>
    <w:rsid w:val="00A63899"/>
    <w:rsid w:val="00A6426D"/>
    <w:rsid w:val="00A64D36"/>
    <w:rsid w:val="00A665C1"/>
    <w:rsid w:val="00A70622"/>
    <w:rsid w:val="00A70977"/>
    <w:rsid w:val="00A70CB0"/>
    <w:rsid w:val="00A77613"/>
    <w:rsid w:val="00A8132E"/>
    <w:rsid w:val="00A81610"/>
    <w:rsid w:val="00A8390C"/>
    <w:rsid w:val="00A8441A"/>
    <w:rsid w:val="00A928BD"/>
    <w:rsid w:val="00A93CB5"/>
    <w:rsid w:val="00A97E9E"/>
    <w:rsid w:val="00AA4D1C"/>
    <w:rsid w:val="00AB3083"/>
    <w:rsid w:val="00AB661A"/>
    <w:rsid w:val="00AC193C"/>
    <w:rsid w:val="00AC28DB"/>
    <w:rsid w:val="00AC5206"/>
    <w:rsid w:val="00AC696E"/>
    <w:rsid w:val="00AE11A5"/>
    <w:rsid w:val="00AE13E2"/>
    <w:rsid w:val="00AE22D3"/>
    <w:rsid w:val="00AE3D4F"/>
    <w:rsid w:val="00AF44E1"/>
    <w:rsid w:val="00AF62DF"/>
    <w:rsid w:val="00AF68CC"/>
    <w:rsid w:val="00B03397"/>
    <w:rsid w:val="00B03BE3"/>
    <w:rsid w:val="00B06B46"/>
    <w:rsid w:val="00B1059E"/>
    <w:rsid w:val="00B13176"/>
    <w:rsid w:val="00B1319F"/>
    <w:rsid w:val="00B14D9A"/>
    <w:rsid w:val="00B176C8"/>
    <w:rsid w:val="00B205AA"/>
    <w:rsid w:val="00B206F8"/>
    <w:rsid w:val="00B22E84"/>
    <w:rsid w:val="00B25F75"/>
    <w:rsid w:val="00B26B3F"/>
    <w:rsid w:val="00B27E12"/>
    <w:rsid w:val="00B43E90"/>
    <w:rsid w:val="00B467DC"/>
    <w:rsid w:val="00B5106D"/>
    <w:rsid w:val="00B55EC8"/>
    <w:rsid w:val="00B56118"/>
    <w:rsid w:val="00B56DA5"/>
    <w:rsid w:val="00B57B32"/>
    <w:rsid w:val="00B6773F"/>
    <w:rsid w:val="00B72BBB"/>
    <w:rsid w:val="00B73C05"/>
    <w:rsid w:val="00B801BA"/>
    <w:rsid w:val="00B83303"/>
    <w:rsid w:val="00B84D5C"/>
    <w:rsid w:val="00B86BB0"/>
    <w:rsid w:val="00B950A5"/>
    <w:rsid w:val="00BA131A"/>
    <w:rsid w:val="00BA18C0"/>
    <w:rsid w:val="00BA301C"/>
    <w:rsid w:val="00BA5F04"/>
    <w:rsid w:val="00BA60B9"/>
    <w:rsid w:val="00BB69F5"/>
    <w:rsid w:val="00BB7EC3"/>
    <w:rsid w:val="00BC4B9A"/>
    <w:rsid w:val="00BD3434"/>
    <w:rsid w:val="00BD784C"/>
    <w:rsid w:val="00BE48E8"/>
    <w:rsid w:val="00BF4CB6"/>
    <w:rsid w:val="00BF643C"/>
    <w:rsid w:val="00C00DA7"/>
    <w:rsid w:val="00C12768"/>
    <w:rsid w:val="00C154C2"/>
    <w:rsid w:val="00C208F6"/>
    <w:rsid w:val="00C21DBD"/>
    <w:rsid w:val="00C27B58"/>
    <w:rsid w:val="00C32009"/>
    <w:rsid w:val="00C3460F"/>
    <w:rsid w:val="00C35996"/>
    <w:rsid w:val="00C37230"/>
    <w:rsid w:val="00C37439"/>
    <w:rsid w:val="00C4747E"/>
    <w:rsid w:val="00C500B8"/>
    <w:rsid w:val="00C5342C"/>
    <w:rsid w:val="00C603D4"/>
    <w:rsid w:val="00C6071F"/>
    <w:rsid w:val="00C6256A"/>
    <w:rsid w:val="00C671A5"/>
    <w:rsid w:val="00C67D94"/>
    <w:rsid w:val="00C7122C"/>
    <w:rsid w:val="00C72686"/>
    <w:rsid w:val="00C7512B"/>
    <w:rsid w:val="00C77891"/>
    <w:rsid w:val="00C85428"/>
    <w:rsid w:val="00C91449"/>
    <w:rsid w:val="00C92D10"/>
    <w:rsid w:val="00C937E4"/>
    <w:rsid w:val="00CA07C1"/>
    <w:rsid w:val="00CA767E"/>
    <w:rsid w:val="00CB128B"/>
    <w:rsid w:val="00CE10C4"/>
    <w:rsid w:val="00CE27B5"/>
    <w:rsid w:val="00D0321E"/>
    <w:rsid w:val="00D11ED0"/>
    <w:rsid w:val="00D1342C"/>
    <w:rsid w:val="00D1455A"/>
    <w:rsid w:val="00D2136C"/>
    <w:rsid w:val="00D2438B"/>
    <w:rsid w:val="00D31150"/>
    <w:rsid w:val="00D3138B"/>
    <w:rsid w:val="00D3280C"/>
    <w:rsid w:val="00D3406A"/>
    <w:rsid w:val="00D41FCF"/>
    <w:rsid w:val="00D4572C"/>
    <w:rsid w:val="00D469B2"/>
    <w:rsid w:val="00D5004D"/>
    <w:rsid w:val="00D516D7"/>
    <w:rsid w:val="00D61352"/>
    <w:rsid w:val="00D70E66"/>
    <w:rsid w:val="00D71814"/>
    <w:rsid w:val="00D73F28"/>
    <w:rsid w:val="00D741EB"/>
    <w:rsid w:val="00D809CA"/>
    <w:rsid w:val="00D83605"/>
    <w:rsid w:val="00D84934"/>
    <w:rsid w:val="00D91271"/>
    <w:rsid w:val="00D94BEE"/>
    <w:rsid w:val="00DA19A4"/>
    <w:rsid w:val="00DA1B18"/>
    <w:rsid w:val="00DA2CB5"/>
    <w:rsid w:val="00DA4BAC"/>
    <w:rsid w:val="00DA574C"/>
    <w:rsid w:val="00DA5908"/>
    <w:rsid w:val="00DB2A32"/>
    <w:rsid w:val="00DC2788"/>
    <w:rsid w:val="00DD147B"/>
    <w:rsid w:val="00DD3474"/>
    <w:rsid w:val="00DE0839"/>
    <w:rsid w:val="00DE4093"/>
    <w:rsid w:val="00DE6D27"/>
    <w:rsid w:val="00DF217D"/>
    <w:rsid w:val="00DF26A7"/>
    <w:rsid w:val="00E15627"/>
    <w:rsid w:val="00E164B3"/>
    <w:rsid w:val="00E16910"/>
    <w:rsid w:val="00E2228F"/>
    <w:rsid w:val="00E33780"/>
    <w:rsid w:val="00E42BDB"/>
    <w:rsid w:val="00E45AC6"/>
    <w:rsid w:val="00E45F2B"/>
    <w:rsid w:val="00E476F9"/>
    <w:rsid w:val="00E532B0"/>
    <w:rsid w:val="00E57EEB"/>
    <w:rsid w:val="00E62D94"/>
    <w:rsid w:val="00E65E54"/>
    <w:rsid w:val="00E7044D"/>
    <w:rsid w:val="00E80155"/>
    <w:rsid w:val="00E848C0"/>
    <w:rsid w:val="00E91B96"/>
    <w:rsid w:val="00E941A1"/>
    <w:rsid w:val="00E95CE3"/>
    <w:rsid w:val="00E960F7"/>
    <w:rsid w:val="00EA2825"/>
    <w:rsid w:val="00EA3369"/>
    <w:rsid w:val="00EA4AB4"/>
    <w:rsid w:val="00EA6F31"/>
    <w:rsid w:val="00EA74CA"/>
    <w:rsid w:val="00EB0B63"/>
    <w:rsid w:val="00EB0FAE"/>
    <w:rsid w:val="00EB3307"/>
    <w:rsid w:val="00EB5088"/>
    <w:rsid w:val="00EB792C"/>
    <w:rsid w:val="00EC2082"/>
    <w:rsid w:val="00EC4614"/>
    <w:rsid w:val="00ED1644"/>
    <w:rsid w:val="00ED2583"/>
    <w:rsid w:val="00ED2593"/>
    <w:rsid w:val="00ED771D"/>
    <w:rsid w:val="00ED7D9C"/>
    <w:rsid w:val="00EF44A0"/>
    <w:rsid w:val="00EF4FED"/>
    <w:rsid w:val="00F036B5"/>
    <w:rsid w:val="00F04C80"/>
    <w:rsid w:val="00F050BD"/>
    <w:rsid w:val="00F05657"/>
    <w:rsid w:val="00F11BE8"/>
    <w:rsid w:val="00F17D1F"/>
    <w:rsid w:val="00F21CD9"/>
    <w:rsid w:val="00F22300"/>
    <w:rsid w:val="00F25578"/>
    <w:rsid w:val="00F258E5"/>
    <w:rsid w:val="00F300BC"/>
    <w:rsid w:val="00F312C9"/>
    <w:rsid w:val="00F3334E"/>
    <w:rsid w:val="00F36CCB"/>
    <w:rsid w:val="00F3738B"/>
    <w:rsid w:val="00F374E5"/>
    <w:rsid w:val="00F43AF2"/>
    <w:rsid w:val="00F50EC4"/>
    <w:rsid w:val="00F5332A"/>
    <w:rsid w:val="00F550CF"/>
    <w:rsid w:val="00F57A6D"/>
    <w:rsid w:val="00F57BF2"/>
    <w:rsid w:val="00F61237"/>
    <w:rsid w:val="00F62235"/>
    <w:rsid w:val="00F62A68"/>
    <w:rsid w:val="00F638CC"/>
    <w:rsid w:val="00F64CC1"/>
    <w:rsid w:val="00F72317"/>
    <w:rsid w:val="00F80475"/>
    <w:rsid w:val="00F8247A"/>
    <w:rsid w:val="00F9629A"/>
    <w:rsid w:val="00F97EFC"/>
    <w:rsid w:val="00FA5883"/>
    <w:rsid w:val="00FA6055"/>
    <w:rsid w:val="00FB322F"/>
    <w:rsid w:val="00FB4292"/>
    <w:rsid w:val="00FB442F"/>
    <w:rsid w:val="00FC0EEC"/>
    <w:rsid w:val="00FC1929"/>
    <w:rsid w:val="00FC5B46"/>
    <w:rsid w:val="00FD052E"/>
    <w:rsid w:val="00FD0BB9"/>
    <w:rsid w:val="00FD0D33"/>
    <w:rsid w:val="00FD5478"/>
    <w:rsid w:val="00FD6372"/>
    <w:rsid w:val="00FD6D8E"/>
    <w:rsid w:val="00FE06E9"/>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36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35" w:qFormat="1"/>
    <w:lsdException w:name="footnote reference"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numPr>
        <w:numId w:val="19"/>
      </w:numPr>
      <w:outlineLvl w:val="0"/>
    </w:pPr>
    <w:rPr>
      <w:b/>
      <w:szCs w:val="22"/>
    </w:rPr>
  </w:style>
  <w:style w:type="paragraph" w:styleId="Heading2">
    <w:name w:val="heading 2"/>
    <w:basedOn w:val="Normal"/>
    <w:next w:val="Normal"/>
    <w:link w:val="Heading2Char"/>
    <w:uiPriority w:val="1"/>
    <w:qFormat/>
    <w:rsid w:val="0037625B"/>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10F91"/>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37625B"/>
    <w:pPr>
      <w:numPr>
        <w:numId w:val="5"/>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7625B"/>
    <w:rPr>
      <w:rFonts w:asciiTheme="minorHAnsi" w:eastAsiaTheme="majorEastAsia" w:hAnsiTheme="minorHAnsi" w:cstheme="majorBidi"/>
      <w:b/>
      <w:i/>
      <w:sz w:val="28"/>
      <w:szCs w:val="28"/>
      <w:lang w:eastAsia="en-US"/>
    </w:rPr>
  </w:style>
  <w:style w:type="character" w:customStyle="1" w:styleId="TabletextChar">
    <w:name w:val="Table text Char"/>
    <w:link w:val="Tabletext"/>
    <w:rsid w:val="009D2709"/>
    <w:rPr>
      <w:rFonts w:ascii="Arial" w:hAnsi="Arial"/>
      <w:lang w:eastAsia="en-US"/>
    </w:rPr>
  </w:style>
  <w:style w:type="paragraph" w:customStyle="1" w:styleId="TableText0">
    <w:name w:val="Table Text"/>
    <w:basedOn w:val="Normal"/>
    <w:link w:val="TableTextChar0"/>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qFormat/>
    <w:rsid w:val="0004540E"/>
    <w:pPr>
      <w:keepNext/>
      <w:spacing w:after="60"/>
    </w:pPr>
    <w:rPr>
      <w:rFonts w:ascii="Arial Narrow" w:eastAsiaTheme="minorHAnsi" w:hAnsi="Arial Narrow" w:cstheme="minorBidi"/>
      <w:b/>
      <w:sz w:val="20"/>
      <w:szCs w:val="22"/>
      <w:lang w:eastAsia="en-US"/>
    </w:rPr>
  </w:style>
  <w:style w:type="character" w:customStyle="1" w:styleId="TableTextChar0">
    <w:name w:val="Table Text Char"/>
    <w:link w:val="TableText0"/>
    <w:rsid w:val="0004540E"/>
    <w:rPr>
      <w:rFonts w:ascii="Arial Narrow" w:eastAsiaTheme="minorHAnsi" w:hAnsi="Arial Narrow" w:cstheme="minorBidi"/>
      <w:szCs w:val="22"/>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D73F28"/>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817F79"/>
    <w:rPr>
      <w:b/>
      <w:bCs/>
      <w:color w:val="4F81BD" w:themeColor="accent1"/>
      <w:sz w:val="18"/>
      <w:szCs w:val="18"/>
    </w:rPr>
  </w:style>
  <w:style w:type="paragraph" w:customStyle="1" w:styleId="Heading81">
    <w:name w:val="Heading 81"/>
    <w:basedOn w:val="Normal"/>
    <w:next w:val="Normal"/>
    <w:uiPriority w:val="7"/>
    <w:unhideWhenUsed/>
    <w:qFormat/>
    <w:rsid w:val="00187C36"/>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310F91"/>
    <w:rPr>
      <w:rFonts w:asciiTheme="majorHAnsi" w:eastAsiaTheme="majorEastAsia" w:hAnsiTheme="majorHAnsi" w:cstheme="majorBidi"/>
      <w:color w:val="272727" w:themeColor="text1" w:themeTint="D8"/>
      <w:sz w:val="21"/>
      <w:szCs w:val="21"/>
      <w:lang w:eastAsia="en-US"/>
    </w:rPr>
  </w:style>
  <w:style w:type="paragraph" w:customStyle="1" w:styleId="Tablenotes0">
    <w:name w:val="Table notes"/>
    <w:basedOn w:val="Normal"/>
    <w:link w:val="TablenotesChar"/>
    <w:qFormat/>
    <w:rsid w:val="0075514D"/>
    <w:pPr>
      <w:jc w:val="both"/>
    </w:pPr>
    <w:rPr>
      <w:rFonts w:asciiTheme="minorHAnsi" w:eastAsiaTheme="minorHAnsi" w:hAnsiTheme="minorHAnsi" w:cstheme="minorBidi"/>
      <w:i/>
      <w:sz w:val="18"/>
      <w:szCs w:val="16"/>
      <w:lang w:eastAsia="en-US"/>
    </w:rPr>
  </w:style>
  <w:style w:type="character" w:customStyle="1" w:styleId="TablenotesChar">
    <w:name w:val="Table notes Char"/>
    <w:basedOn w:val="DefaultParagraphFont"/>
    <w:link w:val="Tablenotes0"/>
    <w:rsid w:val="0075514D"/>
    <w:rPr>
      <w:rFonts w:asciiTheme="minorHAnsi" w:eastAsiaTheme="minorHAnsi" w:hAnsiTheme="minorHAnsi" w:cstheme="minorBidi"/>
      <w:i/>
      <w:sz w:val="18"/>
      <w:szCs w:val="16"/>
      <w:lang w:eastAsia="en-US"/>
    </w:rPr>
  </w:style>
  <w:style w:type="paragraph" w:styleId="FootnoteText">
    <w:name w:val="footnote text"/>
    <w:basedOn w:val="Normal"/>
    <w:link w:val="FootnoteTextChar"/>
    <w:rsid w:val="00EA6F31"/>
    <w:rPr>
      <w:sz w:val="20"/>
      <w:szCs w:val="20"/>
    </w:rPr>
  </w:style>
  <w:style w:type="character" w:customStyle="1" w:styleId="FootnoteTextChar">
    <w:name w:val="Footnote Text Char"/>
    <w:basedOn w:val="DefaultParagraphFont"/>
    <w:link w:val="FootnoteText"/>
    <w:rsid w:val="00EA6F31"/>
  </w:style>
  <w:style w:type="character" w:styleId="FootnoteReference">
    <w:name w:val="footnote reference"/>
    <w:basedOn w:val="DefaultParagraphFont"/>
    <w:uiPriority w:val="99"/>
    <w:rsid w:val="00EA6F31"/>
    <w:rPr>
      <w:vertAlign w:val="superscript"/>
    </w:rPr>
  </w:style>
  <w:style w:type="character" w:styleId="FollowedHyperlink">
    <w:name w:val="FollowedHyperlink"/>
    <w:basedOn w:val="DefaultParagraphFont"/>
    <w:semiHidden/>
    <w:unhideWhenUsed/>
    <w:rsid w:val="001632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35" w:qFormat="1"/>
    <w:lsdException w:name="footnote reference"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numPr>
        <w:numId w:val="19"/>
      </w:numPr>
      <w:outlineLvl w:val="0"/>
    </w:pPr>
    <w:rPr>
      <w:b/>
      <w:szCs w:val="22"/>
    </w:rPr>
  </w:style>
  <w:style w:type="paragraph" w:styleId="Heading2">
    <w:name w:val="heading 2"/>
    <w:basedOn w:val="Normal"/>
    <w:next w:val="Normal"/>
    <w:link w:val="Heading2Char"/>
    <w:uiPriority w:val="1"/>
    <w:qFormat/>
    <w:rsid w:val="0037625B"/>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10F91"/>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37625B"/>
    <w:pPr>
      <w:numPr>
        <w:numId w:val="5"/>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7625B"/>
    <w:rPr>
      <w:rFonts w:asciiTheme="minorHAnsi" w:eastAsiaTheme="majorEastAsia" w:hAnsiTheme="minorHAnsi" w:cstheme="majorBidi"/>
      <w:b/>
      <w:i/>
      <w:sz w:val="28"/>
      <w:szCs w:val="28"/>
      <w:lang w:eastAsia="en-US"/>
    </w:rPr>
  </w:style>
  <w:style w:type="character" w:customStyle="1" w:styleId="TabletextChar">
    <w:name w:val="Table text Char"/>
    <w:link w:val="Tabletext"/>
    <w:rsid w:val="009D2709"/>
    <w:rPr>
      <w:rFonts w:ascii="Arial" w:hAnsi="Arial"/>
      <w:lang w:eastAsia="en-US"/>
    </w:rPr>
  </w:style>
  <w:style w:type="paragraph" w:customStyle="1" w:styleId="TableText0">
    <w:name w:val="Table Text"/>
    <w:basedOn w:val="Normal"/>
    <w:link w:val="TableTextChar0"/>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qFormat/>
    <w:rsid w:val="0004540E"/>
    <w:pPr>
      <w:keepNext/>
      <w:spacing w:after="60"/>
    </w:pPr>
    <w:rPr>
      <w:rFonts w:ascii="Arial Narrow" w:eastAsiaTheme="minorHAnsi" w:hAnsi="Arial Narrow" w:cstheme="minorBidi"/>
      <w:b/>
      <w:sz w:val="20"/>
      <w:szCs w:val="22"/>
      <w:lang w:eastAsia="en-US"/>
    </w:rPr>
  </w:style>
  <w:style w:type="character" w:customStyle="1" w:styleId="TableTextChar0">
    <w:name w:val="Table Text Char"/>
    <w:link w:val="TableText0"/>
    <w:rsid w:val="0004540E"/>
    <w:rPr>
      <w:rFonts w:ascii="Arial Narrow" w:eastAsiaTheme="minorHAnsi" w:hAnsi="Arial Narrow" w:cstheme="minorBidi"/>
      <w:szCs w:val="22"/>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D73F28"/>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817F79"/>
    <w:rPr>
      <w:b/>
      <w:bCs/>
      <w:color w:val="4F81BD" w:themeColor="accent1"/>
      <w:sz w:val="18"/>
      <w:szCs w:val="18"/>
    </w:rPr>
  </w:style>
  <w:style w:type="paragraph" w:customStyle="1" w:styleId="Heading81">
    <w:name w:val="Heading 81"/>
    <w:basedOn w:val="Normal"/>
    <w:next w:val="Normal"/>
    <w:uiPriority w:val="7"/>
    <w:unhideWhenUsed/>
    <w:qFormat/>
    <w:rsid w:val="00187C36"/>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310F91"/>
    <w:rPr>
      <w:rFonts w:asciiTheme="majorHAnsi" w:eastAsiaTheme="majorEastAsia" w:hAnsiTheme="majorHAnsi" w:cstheme="majorBidi"/>
      <w:color w:val="272727" w:themeColor="text1" w:themeTint="D8"/>
      <w:sz w:val="21"/>
      <w:szCs w:val="21"/>
      <w:lang w:eastAsia="en-US"/>
    </w:rPr>
  </w:style>
  <w:style w:type="paragraph" w:customStyle="1" w:styleId="Tablenotes0">
    <w:name w:val="Table notes"/>
    <w:basedOn w:val="Normal"/>
    <w:link w:val="TablenotesChar"/>
    <w:qFormat/>
    <w:rsid w:val="0075514D"/>
    <w:pPr>
      <w:jc w:val="both"/>
    </w:pPr>
    <w:rPr>
      <w:rFonts w:asciiTheme="minorHAnsi" w:eastAsiaTheme="minorHAnsi" w:hAnsiTheme="minorHAnsi" w:cstheme="minorBidi"/>
      <w:i/>
      <w:sz w:val="18"/>
      <w:szCs w:val="16"/>
      <w:lang w:eastAsia="en-US"/>
    </w:rPr>
  </w:style>
  <w:style w:type="character" w:customStyle="1" w:styleId="TablenotesChar">
    <w:name w:val="Table notes Char"/>
    <w:basedOn w:val="DefaultParagraphFont"/>
    <w:link w:val="Tablenotes0"/>
    <w:rsid w:val="0075514D"/>
    <w:rPr>
      <w:rFonts w:asciiTheme="minorHAnsi" w:eastAsiaTheme="minorHAnsi" w:hAnsiTheme="minorHAnsi" w:cstheme="minorBidi"/>
      <w:i/>
      <w:sz w:val="18"/>
      <w:szCs w:val="16"/>
      <w:lang w:eastAsia="en-US"/>
    </w:rPr>
  </w:style>
  <w:style w:type="paragraph" w:styleId="FootnoteText">
    <w:name w:val="footnote text"/>
    <w:basedOn w:val="Normal"/>
    <w:link w:val="FootnoteTextChar"/>
    <w:rsid w:val="00EA6F31"/>
    <w:rPr>
      <w:sz w:val="20"/>
      <w:szCs w:val="20"/>
    </w:rPr>
  </w:style>
  <w:style w:type="character" w:customStyle="1" w:styleId="FootnoteTextChar">
    <w:name w:val="Footnote Text Char"/>
    <w:basedOn w:val="DefaultParagraphFont"/>
    <w:link w:val="FootnoteText"/>
    <w:rsid w:val="00EA6F31"/>
  </w:style>
  <w:style w:type="character" w:styleId="FootnoteReference">
    <w:name w:val="footnote reference"/>
    <w:basedOn w:val="DefaultParagraphFont"/>
    <w:uiPriority w:val="99"/>
    <w:rsid w:val="00EA6F31"/>
    <w:rPr>
      <w:vertAlign w:val="superscript"/>
    </w:rPr>
  </w:style>
  <w:style w:type="character" w:styleId="FollowedHyperlink">
    <w:name w:val="FollowedHyperlink"/>
    <w:basedOn w:val="DefaultParagraphFont"/>
    <w:semiHidden/>
    <w:unhideWhenUsed/>
    <w:rsid w:val="00163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419521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79244177">
      <w:bodyDiv w:val="1"/>
      <w:marLeft w:val="0"/>
      <w:marRight w:val="0"/>
      <w:marTop w:val="0"/>
      <w:marBottom w:val="0"/>
      <w:divBdr>
        <w:top w:val="none" w:sz="0" w:space="0" w:color="auto"/>
        <w:left w:val="none" w:sz="0" w:space="0" w:color="auto"/>
        <w:bottom w:val="none" w:sz="0" w:space="0" w:color="auto"/>
        <w:right w:val="none" w:sz="0" w:space="0" w:color="auto"/>
      </w:divBdr>
    </w:div>
    <w:div w:id="162778339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0823545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92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head-neck-cancer.canceraustralia.gov.au/statistics" TargetMode="External"/><Relationship Id="rId1" Type="http://schemas.openxmlformats.org/officeDocument/2006/relationships/hyperlink" Target="https://www.aihw.gov.au/getmedia/bdccebf2-dbe6-44e2-9104-8461d7e7c165/16933.pdf.aspx?inlin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89BB-CD90-4AC0-80ED-8521CB28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6641</Words>
  <Characters>37855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2018-06-20T04:45:00Z</dcterms:created>
  <dcterms:modified xsi:type="dcterms:W3CDTF">2018-06-20T04:46:00Z</dcterms:modified>
</cp:coreProperties>
</file>