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E60" w:rsidRPr="005D54D4" w:rsidRDefault="00D66E60" w:rsidP="0087600B">
      <w:pPr>
        <w:rPr>
          <w:rFonts w:asciiTheme="minorHAnsi" w:hAnsiTheme="minorHAnsi" w:cstheme="minorHAnsi"/>
          <w:szCs w:val="24"/>
        </w:rPr>
      </w:pPr>
    </w:p>
    <w:p w:rsidR="00C30D0C" w:rsidRPr="00434176" w:rsidRDefault="00544B2E" w:rsidP="00C22DB8">
      <w:pPr>
        <w:pStyle w:val="Heading1"/>
        <w:ind w:left="720" w:hanging="720"/>
      </w:pPr>
      <w:r w:rsidRPr="00434176">
        <w:t>5.07</w:t>
      </w:r>
      <w:r w:rsidR="00B60939" w:rsidRPr="00434176">
        <w:tab/>
      </w:r>
      <w:r w:rsidR="003870F9" w:rsidRPr="00434176">
        <w:t xml:space="preserve">MENINGOCOCCAL POLYSACCHARIDE CONJUGATE </w:t>
      </w:r>
      <w:r w:rsidR="00C22DB8">
        <w:t xml:space="preserve">  </w:t>
      </w:r>
      <w:r w:rsidR="003870F9" w:rsidRPr="00434176">
        <w:t>VACCINE SEROGROUPS A, C, W-135 and Y</w:t>
      </w:r>
    </w:p>
    <w:p w:rsidR="00C30D0C" w:rsidRPr="00434176" w:rsidRDefault="003870F9" w:rsidP="00C22DB8">
      <w:pPr>
        <w:pStyle w:val="Heading1"/>
        <w:ind w:firstLine="720"/>
      </w:pPr>
      <w:r w:rsidRPr="00434176">
        <w:t>Pre-filled syringe, 0.5mL,</w:t>
      </w:r>
    </w:p>
    <w:p w:rsidR="002E0E9E" w:rsidRPr="00434176" w:rsidRDefault="003870F9" w:rsidP="00C22DB8">
      <w:pPr>
        <w:pStyle w:val="Heading1"/>
        <w:ind w:firstLine="720"/>
      </w:pPr>
      <w:proofErr w:type="spellStart"/>
      <w:r w:rsidRPr="00434176">
        <w:t>Nimenrix</w:t>
      </w:r>
      <w:proofErr w:type="spellEnd"/>
      <w:r w:rsidRPr="00434176">
        <w:t xml:space="preserve"> ®</w:t>
      </w:r>
      <w:r w:rsidR="00D946AA" w:rsidRPr="00434176">
        <w:t>,</w:t>
      </w:r>
    </w:p>
    <w:p w:rsidR="00433044" w:rsidRDefault="003870F9" w:rsidP="00C22DB8">
      <w:pPr>
        <w:pStyle w:val="Heading1"/>
        <w:ind w:firstLine="720"/>
      </w:pPr>
      <w:r w:rsidRPr="00434176">
        <w:t xml:space="preserve">Pfizer </w:t>
      </w:r>
      <w:r w:rsidR="007A35A0" w:rsidRPr="00434176">
        <w:t>Australia Pty Ltd.</w:t>
      </w:r>
    </w:p>
    <w:p w:rsidR="00B50DB8"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0" w:name="_Toc501621771"/>
      <w:r w:rsidRPr="00C22DB8">
        <w:rPr>
          <w:rFonts w:asciiTheme="minorHAnsi" w:hAnsiTheme="minorHAnsi"/>
          <w:bCs/>
          <w:sz w:val="32"/>
          <w:szCs w:val="24"/>
          <w:lang w:eastAsia="en-AU"/>
        </w:rPr>
        <w:t xml:space="preserve">Purpose of </w:t>
      </w:r>
      <w:r w:rsidR="00526BA4" w:rsidRPr="00C22DB8">
        <w:rPr>
          <w:rFonts w:asciiTheme="minorHAnsi" w:hAnsiTheme="minorHAnsi"/>
          <w:bCs/>
          <w:sz w:val="32"/>
          <w:szCs w:val="24"/>
          <w:lang w:eastAsia="en-AU"/>
        </w:rPr>
        <w:t>a</w:t>
      </w:r>
      <w:r w:rsidRPr="00C22DB8">
        <w:rPr>
          <w:rFonts w:asciiTheme="minorHAnsi" w:hAnsiTheme="minorHAnsi"/>
          <w:bCs/>
          <w:sz w:val="32"/>
          <w:szCs w:val="24"/>
          <w:lang w:eastAsia="en-AU"/>
        </w:rPr>
        <w:t>pplication</w:t>
      </w:r>
      <w:bookmarkEnd w:id="0"/>
    </w:p>
    <w:p w:rsidR="002C2775" w:rsidRPr="00590BD8" w:rsidRDefault="003870F9" w:rsidP="009E2CAD">
      <w:pPr>
        <w:pStyle w:val="ListParagraph"/>
        <w:widowControl/>
        <w:numPr>
          <w:ilvl w:val="1"/>
          <w:numId w:val="1"/>
        </w:numPr>
      </w:pPr>
      <w:r w:rsidRPr="00590BD8">
        <w:t>NIP listing for a meningococcal polysaccharide serogroups A, C, W</w:t>
      </w:r>
      <w:r w:rsidRPr="00590BD8">
        <w:rPr>
          <w:vertAlign w:val="subscript"/>
        </w:rPr>
        <w:t>135</w:t>
      </w:r>
      <w:r w:rsidRPr="00590BD8">
        <w:t xml:space="preserve"> and Y </w:t>
      </w:r>
      <w:r w:rsidR="005961D8" w:rsidRPr="00590BD8">
        <w:t xml:space="preserve">tetanus toxoid </w:t>
      </w:r>
      <w:r w:rsidRPr="00590BD8">
        <w:t>conjugate (</w:t>
      </w:r>
      <w:proofErr w:type="spellStart"/>
      <w:r w:rsidRPr="00590BD8">
        <w:t>MenACWY</w:t>
      </w:r>
      <w:proofErr w:type="spellEnd"/>
      <w:r w:rsidRPr="00590BD8">
        <w:t xml:space="preserve">-TT) vaccine for the prevention of </w:t>
      </w:r>
      <w:r w:rsidR="009D6B33">
        <w:t>invasive meningococcal disease (</w:t>
      </w:r>
      <w:r w:rsidRPr="00590BD8">
        <w:t>IMD</w:t>
      </w:r>
      <w:r w:rsidR="009D6B33">
        <w:t>)</w:t>
      </w:r>
      <w:r w:rsidRPr="00590BD8">
        <w:t xml:space="preserve"> caused by Neisseria </w:t>
      </w:r>
      <w:proofErr w:type="spellStart"/>
      <w:r w:rsidRPr="00590BD8">
        <w:t>meningitidis</w:t>
      </w:r>
      <w:proofErr w:type="spellEnd"/>
      <w:r w:rsidRPr="00590BD8">
        <w:t xml:space="preserve"> serogroups A, C, W</w:t>
      </w:r>
      <w:r w:rsidRPr="00590BD8">
        <w:rPr>
          <w:vertAlign w:val="subscript"/>
        </w:rPr>
        <w:t>135</w:t>
      </w:r>
      <w:r w:rsidRPr="00590BD8">
        <w:t>, and Y (</w:t>
      </w:r>
      <w:proofErr w:type="spellStart"/>
      <w:r w:rsidRPr="00590BD8">
        <w:t>MenA</w:t>
      </w:r>
      <w:proofErr w:type="spellEnd"/>
      <w:r w:rsidRPr="00590BD8">
        <w:t xml:space="preserve">, </w:t>
      </w:r>
      <w:proofErr w:type="spellStart"/>
      <w:r w:rsidRPr="00590BD8">
        <w:t>MenC</w:t>
      </w:r>
      <w:proofErr w:type="spellEnd"/>
      <w:r w:rsidRPr="00590BD8">
        <w:t>, MenW</w:t>
      </w:r>
      <w:r w:rsidRPr="00590BD8">
        <w:rPr>
          <w:vertAlign w:val="subscript"/>
        </w:rPr>
        <w:t>135</w:t>
      </w:r>
      <w:r w:rsidRPr="00590BD8">
        <w:t xml:space="preserve"> and </w:t>
      </w:r>
      <w:proofErr w:type="spellStart"/>
      <w:r w:rsidRPr="00590BD8">
        <w:t>MenY</w:t>
      </w:r>
      <w:proofErr w:type="spellEnd"/>
      <w:r w:rsidRPr="00590BD8">
        <w:t>, respectively) in adolescents. The PBAC ha</w:t>
      </w:r>
      <w:r w:rsidR="00D66E60">
        <w:t>d</w:t>
      </w:r>
      <w:r w:rsidRPr="00590BD8">
        <w:t xml:space="preserve"> not previously considered this vaccine</w:t>
      </w:r>
      <w:r w:rsidR="00785963">
        <w:t xml:space="preserve"> for adolescents</w:t>
      </w:r>
      <w:r w:rsidRPr="00590BD8">
        <w:t>, however a PBAC submission for NIP listing of the vaccine for infants</w:t>
      </w:r>
      <w:r w:rsidR="002556A6">
        <w:t xml:space="preserve"> was recommended </w:t>
      </w:r>
      <w:r w:rsidR="00123137">
        <w:t>out-of-session in</w:t>
      </w:r>
      <w:r w:rsidR="002556A6" w:rsidRPr="00123137">
        <w:t xml:space="preserve"> January 2018</w:t>
      </w:r>
      <w:r w:rsidR="000A09EB" w:rsidRPr="00123137">
        <w:t xml:space="preserve">. If </w:t>
      </w:r>
      <w:r w:rsidR="002556A6" w:rsidRPr="00123137">
        <w:t>this</w:t>
      </w:r>
      <w:r w:rsidR="002556A6" w:rsidRPr="00590BD8">
        <w:t xml:space="preserve"> </w:t>
      </w:r>
      <w:r w:rsidR="000A09EB" w:rsidRPr="00590BD8">
        <w:t>submission</w:t>
      </w:r>
      <w:r w:rsidR="002556A6">
        <w:t xml:space="preserve"> is</w:t>
      </w:r>
      <w:r w:rsidR="00123137">
        <w:t xml:space="preserve"> </w:t>
      </w:r>
      <w:r w:rsidR="000A09EB" w:rsidRPr="00590BD8">
        <w:t xml:space="preserve">recommended </w:t>
      </w:r>
      <w:r w:rsidR="00E40183" w:rsidRPr="00590BD8">
        <w:t xml:space="preserve">the NIP Schedule could include two doses of </w:t>
      </w:r>
      <w:proofErr w:type="spellStart"/>
      <w:r w:rsidR="00E40183" w:rsidRPr="00590BD8">
        <w:t>MenACWY</w:t>
      </w:r>
      <w:proofErr w:type="spellEnd"/>
      <w:r w:rsidR="00E40183" w:rsidRPr="00590BD8">
        <w:t>-TT vaccine over the lifespan</w:t>
      </w:r>
      <w:r w:rsidRPr="00590BD8">
        <w:t>.</w:t>
      </w:r>
    </w:p>
    <w:p w:rsidR="00C2778B" w:rsidRDefault="003870F9" w:rsidP="009E2CAD">
      <w:pPr>
        <w:pStyle w:val="ListParagraph"/>
        <w:widowControl/>
        <w:numPr>
          <w:ilvl w:val="1"/>
          <w:numId w:val="1"/>
        </w:numPr>
        <w:spacing w:after="120"/>
      </w:pPr>
      <w:r w:rsidRPr="003870F9">
        <w:t xml:space="preserve">The submission requested the </w:t>
      </w:r>
      <w:proofErr w:type="spellStart"/>
      <w:r w:rsidRPr="003870F9">
        <w:t>MenACWY</w:t>
      </w:r>
      <w:proofErr w:type="spellEnd"/>
      <w:r w:rsidRPr="003870F9">
        <w:t>-TT vaccine to be listed on a cost-</w:t>
      </w:r>
      <w:r>
        <w:t>effectiveness</w:t>
      </w:r>
      <w:r w:rsidRPr="003870F9">
        <w:t xml:space="preserve"> basis compared to </w:t>
      </w:r>
      <w:r>
        <w:t>no vaccination</w:t>
      </w:r>
      <w:r w:rsidRPr="003870F9">
        <w:t>.</w:t>
      </w:r>
    </w:p>
    <w:p w:rsidR="00E45BF0" w:rsidRDefault="00E45BF0" w:rsidP="00E45BF0">
      <w:pPr>
        <w:pStyle w:val="PBACHeading1"/>
        <w:ind w:left="720" w:hanging="720"/>
      </w:pPr>
    </w:p>
    <w:p w:rsidR="008B1757" w:rsidRPr="008B1757" w:rsidRDefault="008B1757" w:rsidP="000E2E5C">
      <w:pPr>
        <w:keepNext/>
        <w:rPr>
          <w:rStyle w:val="CommentReference"/>
        </w:rPr>
      </w:pPr>
      <w:r>
        <w:rPr>
          <w:rStyle w:val="CommentReference"/>
        </w:rPr>
        <w:t xml:space="preserve">Table </w:t>
      </w:r>
      <w:r w:rsidR="00965938">
        <w:rPr>
          <w:rStyle w:val="CommentReference"/>
        </w:rPr>
        <w:t>1</w:t>
      </w:r>
      <w:r>
        <w:rPr>
          <w:rStyle w:val="CommentReference"/>
        </w:rPr>
        <w:t>:</w:t>
      </w:r>
      <w:r w:rsidR="008C2E43">
        <w:rPr>
          <w:rStyle w:val="CommentReference"/>
        </w:rPr>
        <w:t xml:space="preserve"> </w:t>
      </w:r>
      <w:r>
        <w:rPr>
          <w:rStyle w:val="CommentReference"/>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909"/>
      </w:tblGrid>
      <w:tr w:rsidR="008B1757" w:rsidRPr="00691913" w:rsidTr="00965938">
        <w:trPr>
          <w:cantSplit/>
          <w:tblHeader/>
        </w:trPr>
        <w:tc>
          <w:tcPr>
            <w:tcW w:w="1271" w:type="dxa"/>
            <w:shd w:val="clear" w:color="auto" w:fill="auto"/>
          </w:tcPr>
          <w:p w:rsidR="008B1757" w:rsidRPr="008B1757" w:rsidRDefault="008B1757" w:rsidP="008B1757">
            <w:pPr>
              <w:pStyle w:val="Tabletext"/>
              <w:rPr>
                <w:b/>
                <w:szCs w:val="20"/>
              </w:rPr>
            </w:pPr>
            <w:r w:rsidRPr="008B1757">
              <w:rPr>
                <w:b/>
              </w:rPr>
              <w:t>Component</w:t>
            </w:r>
          </w:p>
        </w:tc>
        <w:tc>
          <w:tcPr>
            <w:tcW w:w="7909" w:type="dxa"/>
            <w:shd w:val="clear" w:color="auto" w:fill="auto"/>
          </w:tcPr>
          <w:p w:rsidR="008B1757" w:rsidRPr="008B1757" w:rsidRDefault="008B1757" w:rsidP="008B1757">
            <w:pPr>
              <w:pStyle w:val="Tabletext"/>
              <w:jc w:val="center"/>
              <w:rPr>
                <w:b/>
              </w:rPr>
            </w:pPr>
            <w:r w:rsidRPr="008B1757">
              <w:rPr>
                <w:b/>
              </w:rPr>
              <w:t>Description</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Population</w:t>
            </w:r>
          </w:p>
        </w:tc>
        <w:tc>
          <w:tcPr>
            <w:tcW w:w="7909" w:type="dxa"/>
            <w:shd w:val="clear" w:color="auto" w:fill="auto"/>
            <w:vAlign w:val="center"/>
          </w:tcPr>
          <w:p w:rsidR="006C55F0" w:rsidRPr="00691913" w:rsidRDefault="0001699D" w:rsidP="0001699D">
            <w:pPr>
              <w:pStyle w:val="Tabletext"/>
            </w:pPr>
            <w:r>
              <w:t>Adolescents in Y</w:t>
            </w:r>
            <w:r w:rsidR="006C55F0" w:rsidRPr="00533867">
              <w:t>ear 10 (15-16 years of age) who are meningococcal vaccine naïve. In addition, a catch-up program is proposed for adolescents/young adults aged up to 19 years of age.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Intervention</w:t>
            </w:r>
          </w:p>
        </w:tc>
        <w:tc>
          <w:tcPr>
            <w:tcW w:w="7909" w:type="dxa"/>
            <w:shd w:val="clear" w:color="auto" w:fill="auto"/>
            <w:vAlign w:val="center"/>
          </w:tcPr>
          <w:p w:rsidR="006C55F0" w:rsidRPr="00691913" w:rsidRDefault="006C55F0" w:rsidP="006C55F0">
            <w:pPr>
              <w:pStyle w:val="Tabletext"/>
            </w:pPr>
            <w:r w:rsidRPr="0072043B">
              <w:t>A single dose of meningococcal polysaccharide serogroups A, C, W</w:t>
            </w:r>
            <w:r w:rsidRPr="004B715A">
              <w:rPr>
                <w:vertAlign w:val="subscript"/>
              </w:rPr>
              <w:t>135</w:t>
            </w:r>
            <w:r w:rsidRPr="0072043B">
              <w:t xml:space="preserve"> and Y conjugate vaccine (</w:t>
            </w:r>
            <w:proofErr w:type="spellStart"/>
            <w:r>
              <w:t>MenACWY</w:t>
            </w:r>
            <w:proofErr w:type="spellEnd"/>
            <w:r>
              <w:t>-TT</w:t>
            </w:r>
            <w:r w:rsidRPr="0072043B">
              <w:t>)</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Comparator</w:t>
            </w:r>
          </w:p>
        </w:tc>
        <w:tc>
          <w:tcPr>
            <w:tcW w:w="7909" w:type="dxa"/>
            <w:shd w:val="clear" w:color="auto" w:fill="auto"/>
            <w:vAlign w:val="center"/>
          </w:tcPr>
          <w:p w:rsidR="006C55F0" w:rsidRPr="00691913" w:rsidRDefault="006C55F0" w:rsidP="006C55F0">
            <w:pPr>
              <w:pStyle w:val="Tabletext"/>
            </w:pPr>
            <w:r>
              <w:t>No vaccine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Outcomes</w:t>
            </w:r>
          </w:p>
        </w:tc>
        <w:tc>
          <w:tcPr>
            <w:tcW w:w="7909" w:type="dxa"/>
            <w:shd w:val="clear" w:color="auto" w:fill="auto"/>
            <w:vAlign w:val="center"/>
          </w:tcPr>
          <w:p w:rsidR="006C55F0" w:rsidRPr="00691913" w:rsidRDefault="006C55F0" w:rsidP="006C55F0">
            <w:pPr>
              <w:pStyle w:val="Tabletext"/>
            </w:pPr>
            <w:r>
              <w:t>Immunogenicity, persistence</w:t>
            </w:r>
          </w:p>
        </w:tc>
      </w:tr>
      <w:tr w:rsidR="006C55F0" w:rsidRPr="00691913" w:rsidTr="00965938">
        <w:trPr>
          <w:cantSplit/>
        </w:trPr>
        <w:tc>
          <w:tcPr>
            <w:tcW w:w="1271" w:type="dxa"/>
            <w:shd w:val="clear" w:color="auto" w:fill="auto"/>
          </w:tcPr>
          <w:p w:rsidR="006C55F0" w:rsidRPr="00691913" w:rsidRDefault="006C55F0" w:rsidP="006C55F0">
            <w:pPr>
              <w:pStyle w:val="Tabletext"/>
            </w:pPr>
            <w:r w:rsidRPr="00691913">
              <w:t>Clinical claim</w:t>
            </w:r>
          </w:p>
        </w:tc>
        <w:tc>
          <w:tcPr>
            <w:tcW w:w="7909" w:type="dxa"/>
            <w:shd w:val="clear" w:color="auto" w:fill="auto"/>
            <w:vAlign w:val="center"/>
          </w:tcPr>
          <w:p w:rsidR="006C55F0" w:rsidRPr="00691913" w:rsidRDefault="006C55F0" w:rsidP="006C55F0">
            <w:pPr>
              <w:pStyle w:val="Tabletext"/>
            </w:pPr>
            <w:proofErr w:type="spellStart"/>
            <w:r w:rsidRPr="00533867">
              <w:t>MenACWY</w:t>
            </w:r>
            <w:proofErr w:type="spellEnd"/>
            <w:r w:rsidRPr="00533867">
              <w:t xml:space="preserve">-TT is superior to the current scenario of ‘no vaccine’ at preventing </w:t>
            </w:r>
            <w:r>
              <w:t>IMD</w:t>
            </w:r>
            <w:r w:rsidRPr="00533867">
              <w:t xml:space="preserve"> caused by </w:t>
            </w:r>
            <w:r w:rsidRPr="00533867">
              <w:rPr>
                <w:i/>
              </w:rPr>
              <w:t xml:space="preserve">Neisseria </w:t>
            </w:r>
            <w:proofErr w:type="spellStart"/>
            <w:r w:rsidRPr="00533867">
              <w:rPr>
                <w:i/>
              </w:rPr>
              <w:t>meningitidis</w:t>
            </w:r>
            <w:proofErr w:type="spellEnd"/>
            <w:r w:rsidRPr="00533867">
              <w:t xml:space="preserve"> and inferior to ‘no vaccine’ in terms of safety.</w:t>
            </w:r>
          </w:p>
        </w:tc>
      </w:tr>
    </w:tbl>
    <w:p w:rsidR="006C55F0" w:rsidRDefault="006C55F0" w:rsidP="006C55F0">
      <w:pPr>
        <w:pStyle w:val="TableFooter"/>
      </w:pPr>
      <w:r>
        <w:t>IMD: Invasive meningococcal disease. Source: Table 1.1.1, p13 of the submission</w:t>
      </w:r>
    </w:p>
    <w:p w:rsidR="004E43B2" w:rsidRDefault="004E43B2" w:rsidP="004B1CB4"/>
    <w:p w:rsidR="00B60939"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1" w:name="_Toc501621772"/>
      <w:r w:rsidRPr="00C22DB8">
        <w:rPr>
          <w:rFonts w:asciiTheme="minorHAnsi" w:hAnsiTheme="minorHAnsi"/>
          <w:bCs/>
          <w:sz w:val="32"/>
          <w:szCs w:val="24"/>
          <w:lang w:eastAsia="en-AU"/>
        </w:rPr>
        <w:t>Requested listing</w:t>
      </w:r>
      <w:bookmarkEnd w:id="1"/>
    </w:p>
    <w:p w:rsidR="000F0A25" w:rsidRPr="004B342A" w:rsidRDefault="000F0A25" w:rsidP="000F0A25">
      <w:pPr>
        <w:spacing w:after="120" w:line="276" w:lineRule="auto"/>
        <w:ind w:left="360"/>
        <w:rPr>
          <w:rFonts w:eastAsia="SimSun"/>
          <w:iCs/>
          <w:color w:val="000000"/>
        </w:rPr>
      </w:pPr>
      <w:r w:rsidRPr="004B342A">
        <w:rPr>
          <w:rFonts w:eastAsia="SimSun"/>
          <w:iCs/>
          <w:color w:val="000000"/>
        </w:rPr>
        <w:t xml:space="preserve">Suggestions and additions proposed by the Secretariat to the requested NIP listing are added in </w:t>
      </w:r>
      <w:r w:rsidRPr="00994CFE">
        <w:rPr>
          <w:rFonts w:eastAsia="SimSun"/>
          <w:i/>
          <w:iCs/>
          <w:color w:val="000000"/>
        </w:rPr>
        <w:t>italics</w:t>
      </w:r>
      <w:r w:rsidRPr="004B342A">
        <w:rPr>
          <w:rFonts w:eastAsia="SimSun"/>
          <w:iCs/>
          <w:color w:val="000000"/>
        </w:rPr>
        <w:t xml:space="preserve"> and suggested deletions are crossed out with </w:t>
      </w:r>
      <w:r w:rsidRPr="00994CFE">
        <w:rPr>
          <w:rFonts w:eastAsia="SimSun"/>
          <w:iCs/>
          <w:strike/>
          <w:color w:val="000000"/>
        </w:rPr>
        <w:t>strikethrough</w:t>
      </w:r>
      <w:r w:rsidRPr="004B342A">
        <w:rPr>
          <w:rFonts w:eastAsia="SimSun"/>
          <w:iCs/>
          <w:color w:val="000000"/>
        </w:rPr>
        <w:t>.</w:t>
      </w:r>
    </w:p>
    <w:p w:rsidR="000F0A25" w:rsidRPr="007C609A" w:rsidRDefault="000F0A25" w:rsidP="00617E12"/>
    <w:tbl>
      <w:tblPr>
        <w:tblW w:w="4967" w:type="pct"/>
        <w:tblInd w:w="38" w:type="dxa"/>
        <w:tblCellMar>
          <w:left w:w="28" w:type="dxa"/>
          <w:right w:w="28" w:type="dxa"/>
        </w:tblCellMar>
        <w:tblLook w:val="0000" w:firstRow="0" w:lastRow="0" w:firstColumn="0" w:lastColumn="0" w:noHBand="0" w:noVBand="0"/>
      </w:tblPr>
      <w:tblGrid>
        <w:gridCol w:w="2253"/>
        <w:gridCol w:w="1126"/>
        <w:gridCol w:w="1086"/>
        <w:gridCol w:w="843"/>
        <w:gridCol w:w="1516"/>
        <w:gridCol w:w="707"/>
        <w:gridCol w:w="1492"/>
      </w:tblGrid>
      <w:tr w:rsidR="003517F9" w:rsidRPr="00413860" w:rsidTr="003870F9">
        <w:trPr>
          <w:cantSplit/>
          <w:trHeight w:val="463"/>
        </w:trPr>
        <w:tc>
          <w:tcPr>
            <w:tcW w:w="1872" w:type="pct"/>
            <w:gridSpan w:val="2"/>
            <w:tcBorders>
              <w:top w:val="single" w:sz="4" w:space="0" w:color="auto"/>
              <w:bottom w:val="single" w:sz="4" w:space="0" w:color="auto"/>
            </w:tcBorders>
            <w:vAlign w:val="center"/>
          </w:tcPr>
          <w:p w:rsidR="00617E12" w:rsidRPr="00C7151A" w:rsidRDefault="00617E12" w:rsidP="00617E12">
            <w:pPr>
              <w:keepNext/>
              <w:jc w:val="left"/>
              <w:rPr>
                <w:rFonts w:ascii="Arial Narrow" w:hAnsi="Arial Narrow"/>
                <w:b/>
                <w:sz w:val="20"/>
              </w:rPr>
            </w:pPr>
            <w:r w:rsidRPr="00C7151A">
              <w:rPr>
                <w:rFonts w:ascii="Arial Narrow" w:hAnsi="Arial Narrow"/>
                <w:b/>
                <w:sz w:val="20"/>
              </w:rPr>
              <w:lastRenderedPageBreak/>
              <w:t>Name, Restriction,</w:t>
            </w:r>
          </w:p>
          <w:p w:rsidR="00617E12" w:rsidRPr="00C7151A" w:rsidRDefault="00617E12" w:rsidP="00617E12">
            <w:pPr>
              <w:keepNext/>
              <w:jc w:val="left"/>
              <w:rPr>
                <w:rFonts w:ascii="Arial Narrow" w:hAnsi="Arial Narrow"/>
                <w:b/>
                <w:sz w:val="20"/>
              </w:rPr>
            </w:pPr>
            <w:r w:rsidRPr="00C7151A">
              <w:rPr>
                <w:rFonts w:ascii="Arial Narrow" w:hAnsi="Arial Narrow"/>
                <w:b/>
                <w:sz w:val="20"/>
              </w:rPr>
              <w:t>Manner of administration and form</w:t>
            </w:r>
          </w:p>
        </w:tc>
        <w:tc>
          <w:tcPr>
            <w:tcW w:w="602" w:type="pct"/>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b/>
                <w:sz w:val="20"/>
              </w:rPr>
              <w:t>Max.</w:t>
            </w:r>
          </w:p>
          <w:p w:rsidR="00617E12" w:rsidRPr="00965938" w:rsidRDefault="00617E12" w:rsidP="00965938">
            <w:pPr>
              <w:keepNext/>
              <w:jc w:val="center"/>
              <w:rPr>
                <w:rFonts w:ascii="Arial Narrow" w:hAnsi="Arial Narrow"/>
                <w:b/>
                <w:sz w:val="20"/>
              </w:rPr>
            </w:pPr>
            <w:proofErr w:type="spellStart"/>
            <w:r w:rsidRPr="00965938">
              <w:rPr>
                <w:rFonts w:ascii="Arial Narrow" w:hAnsi="Arial Narrow"/>
                <w:b/>
                <w:sz w:val="20"/>
              </w:rPr>
              <w:t>Qty</w:t>
            </w:r>
            <w:proofErr w:type="spellEnd"/>
          </w:p>
        </w:tc>
        <w:tc>
          <w:tcPr>
            <w:tcW w:w="467" w:type="pct"/>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cs="Times New Roman"/>
                <w:b/>
                <w:sz w:val="20"/>
              </w:rPr>
              <w:t>№</w:t>
            </w:r>
            <w:r w:rsidRPr="00965938">
              <w:rPr>
                <w:rFonts w:ascii="Arial Narrow" w:hAnsi="Arial Narrow"/>
                <w:b/>
                <w:sz w:val="20"/>
              </w:rPr>
              <w:t>.of</w:t>
            </w:r>
          </w:p>
          <w:p w:rsidR="00617E12" w:rsidRPr="00965938" w:rsidRDefault="00617E12" w:rsidP="00617E12">
            <w:pPr>
              <w:keepNext/>
              <w:jc w:val="center"/>
              <w:rPr>
                <w:rFonts w:ascii="Arial Narrow" w:hAnsi="Arial Narrow"/>
                <w:b/>
                <w:sz w:val="20"/>
              </w:rPr>
            </w:pPr>
            <w:proofErr w:type="spellStart"/>
            <w:r w:rsidRPr="00965938">
              <w:rPr>
                <w:rFonts w:ascii="Arial Narrow" w:hAnsi="Arial Narrow"/>
                <w:b/>
                <w:sz w:val="20"/>
              </w:rPr>
              <w:t>Rpts</w:t>
            </w:r>
            <w:proofErr w:type="spellEnd"/>
          </w:p>
        </w:tc>
        <w:tc>
          <w:tcPr>
            <w:tcW w:w="840" w:type="pct"/>
            <w:tcBorders>
              <w:top w:val="single" w:sz="4" w:space="0" w:color="auto"/>
              <w:bottom w:val="single" w:sz="4" w:space="0" w:color="auto"/>
            </w:tcBorders>
            <w:vAlign w:val="center"/>
          </w:tcPr>
          <w:p w:rsidR="00617E12" w:rsidRPr="00965938" w:rsidRDefault="00193390" w:rsidP="00617E12">
            <w:pPr>
              <w:keepNext/>
              <w:jc w:val="center"/>
              <w:rPr>
                <w:rFonts w:ascii="Arial Narrow" w:hAnsi="Arial Narrow"/>
                <w:b/>
                <w:sz w:val="20"/>
              </w:rPr>
            </w:pPr>
            <w:r>
              <w:rPr>
                <w:rFonts w:ascii="Arial Narrow" w:hAnsi="Arial Narrow"/>
                <w:b/>
                <w:sz w:val="20"/>
              </w:rPr>
              <w:t>Nationally Negotiated Price</w:t>
            </w:r>
          </w:p>
        </w:tc>
        <w:tc>
          <w:tcPr>
            <w:tcW w:w="1219" w:type="pct"/>
            <w:gridSpan w:val="2"/>
            <w:tcBorders>
              <w:top w:val="single" w:sz="4" w:space="0" w:color="auto"/>
              <w:bottom w:val="single" w:sz="4" w:space="0" w:color="auto"/>
            </w:tcBorders>
            <w:vAlign w:val="center"/>
          </w:tcPr>
          <w:p w:rsidR="00617E12" w:rsidRPr="00965938" w:rsidRDefault="00617E12" w:rsidP="00617E12">
            <w:pPr>
              <w:keepNext/>
              <w:jc w:val="center"/>
              <w:rPr>
                <w:rFonts w:ascii="Arial Narrow" w:hAnsi="Arial Narrow"/>
                <w:b/>
                <w:sz w:val="20"/>
              </w:rPr>
            </w:pPr>
            <w:r w:rsidRPr="00965938">
              <w:rPr>
                <w:rFonts w:ascii="Arial Narrow" w:hAnsi="Arial Narrow"/>
                <w:b/>
                <w:sz w:val="20"/>
              </w:rPr>
              <w:t>Proprietary Name and Manufacturer</w:t>
            </w:r>
          </w:p>
        </w:tc>
      </w:tr>
      <w:tr w:rsidR="003870F9" w:rsidRPr="00413860" w:rsidTr="003870F9">
        <w:trPr>
          <w:cantSplit/>
          <w:trHeight w:val="567"/>
        </w:trPr>
        <w:tc>
          <w:tcPr>
            <w:tcW w:w="1872" w:type="pct"/>
            <w:gridSpan w:val="2"/>
            <w:vAlign w:val="center"/>
          </w:tcPr>
          <w:p w:rsidR="003870F9" w:rsidRPr="00591957" w:rsidRDefault="003870F9" w:rsidP="003870F9">
            <w:pPr>
              <w:keepNext/>
              <w:jc w:val="left"/>
              <w:rPr>
                <w:rFonts w:ascii="Arial Narrow" w:hAnsi="Arial Narrow"/>
                <w:sz w:val="20"/>
              </w:rPr>
            </w:pPr>
            <w:r>
              <w:rPr>
                <w:rFonts w:ascii="Arial Narrow" w:hAnsi="Arial Narrow"/>
                <w:smallCaps/>
                <w:sz w:val="20"/>
              </w:rPr>
              <w:t xml:space="preserve">Meningococcal Polysaccharide conjugate vaccine, serogroups A, C, W-135 and Y, </w:t>
            </w:r>
            <w:r w:rsidRPr="003870F9">
              <w:rPr>
                <w:rFonts w:ascii="Arial Narrow" w:hAnsi="Arial Narrow"/>
                <w:sz w:val="20"/>
              </w:rPr>
              <w:t>Pre-filled syringe, 0.5mL</w:t>
            </w:r>
          </w:p>
        </w:tc>
        <w:tc>
          <w:tcPr>
            <w:tcW w:w="602" w:type="pct"/>
            <w:vAlign w:val="center"/>
          </w:tcPr>
          <w:p w:rsidR="003870F9" w:rsidRPr="00591957" w:rsidRDefault="003870F9" w:rsidP="003870F9">
            <w:pPr>
              <w:keepNext/>
              <w:jc w:val="center"/>
              <w:rPr>
                <w:rFonts w:ascii="Arial Narrow" w:hAnsi="Arial Narrow"/>
                <w:sz w:val="20"/>
              </w:rPr>
            </w:pPr>
            <w:r>
              <w:rPr>
                <w:rFonts w:ascii="Arial Narrow" w:hAnsi="Arial Narrow"/>
                <w:sz w:val="20"/>
              </w:rPr>
              <w:t>1</w:t>
            </w:r>
          </w:p>
        </w:tc>
        <w:tc>
          <w:tcPr>
            <w:tcW w:w="467" w:type="pct"/>
            <w:vAlign w:val="center"/>
          </w:tcPr>
          <w:p w:rsidR="003870F9" w:rsidRPr="00591957" w:rsidRDefault="003870F9" w:rsidP="003870F9">
            <w:pPr>
              <w:keepNext/>
              <w:jc w:val="center"/>
              <w:rPr>
                <w:rFonts w:ascii="Arial Narrow" w:hAnsi="Arial Narrow"/>
                <w:sz w:val="20"/>
              </w:rPr>
            </w:pPr>
            <w:r>
              <w:rPr>
                <w:rFonts w:ascii="Arial Narrow" w:hAnsi="Arial Narrow"/>
                <w:sz w:val="20"/>
              </w:rPr>
              <w:t>0</w:t>
            </w:r>
          </w:p>
        </w:tc>
        <w:tc>
          <w:tcPr>
            <w:tcW w:w="840" w:type="pct"/>
            <w:vAlign w:val="center"/>
          </w:tcPr>
          <w:p w:rsidR="003870F9" w:rsidRPr="00591957" w:rsidRDefault="003870F9" w:rsidP="003870F9">
            <w:pPr>
              <w:keepNext/>
              <w:jc w:val="center"/>
              <w:rPr>
                <w:rFonts w:ascii="Arial Narrow" w:hAnsi="Arial Narrow"/>
                <w:sz w:val="20"/>
              </w:rPr>
            </w:pPr>
            <w:r w:rsidRPr="00591957">
              <w:rPr>
                <w:rFonts w:ascii="Arial Narrow" w:hAnsi="Arial Narrow"/>
                <w:sz w:val="20"/>
              </w:rPr>
              <w:t>$</w:t>
            </w:r>
            <w:r w:rsidR="0010557D">
              <w:rPr>
                <w:rFonts w:ascii="Arial Narrow" w:hAnsi="Arial Narrow"/>
                <w:noProof/>
                <w:color w:val="000000"/>
                <w:sz w:val="20"/>
                <w:highlight w:val="black"/>
              </w:rPr>
              <w:t>''''''''''''</w:t>
            </w:r>
          </w:p>
        </w:tc>
        <w:tc>
          <w:tcPr>
            <w:tcW w:w="392" w:type="pct"/>
            <w:vAlign w:val="center"/>
          </w:tcPr>
          <w:p w:rsidR="003870F9" w:rsidRPr="00591957" w:rsidRDefault="003870F9" w:rsidP="003870F9">
            <w:pPr>
              <w:keepNext/>
              <w:jc w:val="center"/>
              <w:rPr>
                <w:rFonts w:ascii="Arial Narrow" w:hAnsi="Arial Narrow"/>
                <w:sz w:val="20"/>
              </w:rPr>
            </w:pPr>
            <w:proofErr w:type="spellStart"/>
            <w:r>
              <w:rPr>
                <w:rFonts w:ascii="Arial Narrow" w:hAnsi="Arial Narrow"/>
                <w:sz w:val="20"/>
              </w:rPr>
              <w:t>Nimenrix</w:t>
            </w:r>
            <w:proofErr w:type="spellEnd"/>
          </w:p>
        </w:tc>
        <w:tc>
          <w:tcPr>
            <w:tcW w:w="827" w:type="pct"/>
            <w:vAlign w:val="center"/>
          </w:tcPr>
          <w:p w:rsidR="003870F9" w:rsidRPr="00591957" w:rsidRDefault="003870F9" w:rsidP="003870F9">
            <w:pPr>
              <w:keepNext/>
              <w:rPr>
                <w:rFonts w:ascii="Arial Narrow" w:hAnsi="Arial Narrow"/>
                <w:sz w:val="20"/>
              </w:rPr>
            </w:pPr>
            <w:r>
              <w:rPr>
                <w:rFonts w:ascii="Arial Narrow" w:hAnsi="Arial Narrow"/>
                <w:sz w:val="20"/>
              </w:rPr>
              <w:t>Pfizer Australia Pty Ltd</w:t>
            </w:r>
          </w:p>
        </w:tc>
      </w:tr>
      <w:tr w:rsidR="00542C2D" w:rsidRPr="00EF2872" w:rsidTr="0038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EF2872" w:rsidRDefault="00591957" w:rsidP="00591957">
            <w:pPr>
              <w:pStyle w:val="Tabletext"/>
              <w:rPr>
                <w:lang w:eastAsia="en-AU"/>
              </w:rPr>
            </w:pPr>
            <w:r w:rsidRPr="00EF2872">
              <w:rPr>
                <w:lang w:eastAsia="en-AU"/>
              </w:rPr>
              <w:t>Category/Program:</w:t>
            </w:r>
          </w:p>
        </w:tc>
        <w:tc>
          <w:tcPr>
            <w:tcW w:w="3752" w:type="pct"/>
            <w:gridSpan w:val="6"/>
            <w:tcBorders>
              <w:top w:val="single" w:sz="4" w:space="0" w:color="auto"/>
              <w:left w:val="single" w:sz="4" w:space="0" w:color="auto"/>
              <w:bottom w:val="single" w:sz="4" w:space="0" w:color="auto"/>
              <w:right w:val="single" w:sz="4" w:space="0" w:color="auto"/>
            </w:tcBorders>
          </w:tcPr>
          <w:p w:rsidR="00542C2D" w:rsidRPr="00EF2872" w:rsidRDefault="003870F9" w:rsidP="00591957">
            <w:pPr>
              <w:pStyle w:val="Tabletext"/>
              <w:rPr>
                <w:lang w:eastAsia="en-AU"/>
              </w:rPr>
            </w:pPr>
            <w:r w:rsidRPr="00EF2872">
              <w:rPr>
                <w:lang w:eastAsia="en-AU"/>
              </w:rPr>
              <w:t>NIP</w:t>
            </w:r>
          </w:p>
        </w:tc>
      </w:tr>
      <w:tr w:rsidR="00542C2D" w:rsidRPr="00A30A33" w:rsidTr="0038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8" w:type="pct"/>
            <w:tcBorders>
              <w:top w:val="single" w:sz="4" w:space="0" w:color="auto"/>
              <w:left w:val="single" w:sz="4" w:space="0" w:color="auto"/>
              <w:bottom w:val="single" w:sz="4" w:space="0" w:color="auto"/>
              <w:right w:val="single" w:sz="4" w:space="0" w:color="auto"/>
            </w:tcBorders>
            <w:hideMark/>
          </w:tcPr>
          <w:p w:rsidR="00542C2D" w:rsidRPr="00EF2872" w:rsidRDefault="003870F9" w:rsidP="00591957">
            <w:pPr>
              <w:pStyle w:val="Tabletext"/>
              <w:rPr>
                <w:lang w:eastAsia="en-AU"/>
              </w:rPr>
            </w:pPr>
            <w:r w:rsidRPr="00EF2872">
              <w:rPr>
                <w:lang w:eastAsia="en-AU"/>
              </w:rPr>
              <w:t>NIP</w:t>
            </w:r>
            <w:r w:rsidR="00591957" w:rsidRPr="00EF2872">
              <w:rPr>
                <w:lang w:eastAsia="en-AU"/>
              </w:rPr>
              <w:t xml:space="preserve"> indication:</w:t>
            </w:r>
          </w:p>
        </w:tc>
        <w:tc>
          <w:tcPr>
            <w:tcW w:w="3752" w:type="pct"/>
            <w:gridSpan w:val="6"/>
            <w:tcBorders>
              <w:top w:val="single" w:sz="4" w:space="0" w:color="auto"/>
              <w:left w:val="single" w:sz="4" w:space="0" w:color="auto"/>
              <w:bottom w:val="single" w:sz="4" w:space="0" w:color="auto"/>
              <w:right w:val="single" w:sz="4" w:space="0" w:color="auto"/>
            </w:tcBorders>
          </w:tcPr>
          <w:p w:rsidR="00EF2872" w:rsidRPr="00A03D92" w:rsidRDefault="00EF2872" w:rsidP="00965938">
            <w:pPr>
              <w:pStyle w:val="Tabletext"/>
              <w:ind w:left="388" w:hanging="388"/>
              <w:rPr>
                <w:i/>
              </w:rPr>
            </w:pPr>
            <w:r w:rsidRPr="00EF2872">
              <w:t>•</w:t>
            </w:r>
            <w:r w:rsidRPr="00EF2872">
              <w:tab/>
              <w:t xml:space="preserve">A single dose of </w:t>
            </w:r>
            <w:proofErr w:type="spellStart"/>
            <w:r w:rsidRPr="00EF2872">
              <w:t>Nimenrix</w:t>
            </w:r>
            <w:proofErr w:type="spellEnd"/>
            <w:r w:rsidRPr="00EF2872">
              <w:t xml:space="preserve"> (</w:t>
            </w:r>
            <w:proofErr w:type="spellStart"/>
            <w:r w:rsidRPr="00EF2872">
              <w:t>MenACWY</w:t>
            </w:r>
            <w:proofErr w:type="spellEnd"/>
            <w:r w:rsidRPr="00EF2872">
              <w:t xml:space="preserve">-TT) for </w:t>
            </w:r>
            <w:r w:rsidR="001E3290" w:rsidRPr="00A03D92">
              <w:rPr>
                <w:i/>
              </w:rPr>
              <w:t xml:space="preserve">adolescents aged </w:t>
            </w:r>
            <w:r w:rsidR="00B12A79" w:rsidRPr="00A03D92">
              <w:rPr>
                <w:i/>
              </w:rPr>
              <w:t>1</w:t>
            </w:r>
            <w:r w:rsidR="00A03D92" w:rsidRPr="00A03D92">
              <w:rPr>
                <w:i/>
              </w:rPr>
              <w:t>4</w:t>
            </w:r>
            <w:r w:rsidR="00B12A79" w:rsidRPr="00A03D92">
              <w:rPr>
                <w:i/>
                <w:strike/>
              </w:rPr>
              <w:t>5</w:t>
            </w:r>
            <w:r w:rsidR="00B12A79" w:rsidRPr="00A03D92">
              <w:t xml:space="preserve"> </w:t>
            </w:r>
            <w:r w:rsidR="00B12A79" w:rsidRPr="00A03D92">
              <w:rPr>
                <w:i/>
              </w:rPr>
              <w:t>to 16 years</w:t>
            </w:r>
            <w:r w:rsidR="001E3290">
              <w:t xml:space="preserve"> </w:t>
            </w:r>
            <w:r w:rsidRPr="001E3290">
              <w:rPr>
                <w:strike/>
              </w:rPr>
              <w:t>Year 10 students</w:t>
            </w:r>
            <w:r w:rsidRPr="00EF2872">
              <w:t xml:space="preserve"> administered via a school-based program</w:t>
            </w:r>
            <w:r w:rsidR="001E3290" w:rsidRPr="001B3B40">
              <w:rPr>
                <w:b/>
              </w:rPr>
              <w:t>*</w:t>
            </w:r>
            <w:r w:rsidR="00291512" w:rsidRPr="001B3B40">
              <w:rPr>
                <w:b/>
              </w:rPr>
              <w:t xml:space="preserve"> </w:t>
            </w:r>
            <w:r w:rsidR="00291512" w:rsidRPr="00A03D92">
              <w:rPr>
                <w:i/>
              </w:rPr>
              <w:t>OR</w:t>
            </w:r>
          </w:p>
          <w:p w:rsidR="00542C2D" w:rsidRDefault="00EF2872" w:rsidP="00965938">
            <w:pPr>
              <w:pStyle w:val="Tabletext"/>
              <w:ind w:left="388" w:hanging="388"/>
            </w:pPr>
            <w:r w:rsidRPr="00EF2872">
              <w:t>•</w:t>
            </w:r>
            <w:r w:rsidRPr="00EF2872">
              <w:tab/>
              <w:t xml:space="preserve">A single dose of </w:t>
            </w:r>
            <w:proofErr w:type="spellStart"/>
            <w:r w:rsidRPr="00EF2872">
              <w:t>Nimenrix</w:t>
            </w:r>
            <w:proofErr w:type="spellEnd"/>
            <w:r w:rsidRPr="00EF2872">
              <w:t xml:space="preserve"> (</w:t>
            </w:r>
            <w:proofErr w:type="spellStart"/>
            <w:r w:rsidRPr="00EF2872">
              <w:t>MenACWY</w:t>
            </w:r>
            <w:proofErr w:type="spellEnd"/>
            <w:r w:rsidRPr="00EF2872">
              <w:t xml:space="preserve">-TT) for adolescents aged up to 19 years administered via a school-based program catch-up program </w:t>
            </w:r>
            <w:r w:rsidRPr="001B3B40">
              <w:rPr>
                <w:strike/>
              </w:rPr>
              <w:t xml:space="preserve">(Year 11 and 12 students) </w:t>
            </w:r>
            <w:r w:rsidRPr="00EF2872">
              <w:t>or accessed via the GP (school-leavers).</w:t>
            </w:r>
            <w:r w:rsidR="001B3B40">
              <w:t>**</w:t>
            </w:r>
          </w:p>
          <w:p w:rsidR="001E3290" w:rsidRPr="00A03D92" w:rsidRDefault="001E3290" w:rsidP="00965938">
            <w:pPr>
              <w:pStyle w:val="Tabletext"/>
              <w:ind w:left="388" w:hanging="388"/>
              <w:rPr>
                <w:i/>
              </w:rPr>
            </w:pPr>
            <w:r w:rsidRPr="00A03D92">
              <w:rPr>
                <w:i/>
              </w:rPr>
              <w:t xml:space="preserve">*for all adolescents  in year 10 </w:t>
            </w:r>
          </w:p>
          <w:p w:rsidR="001E3290" w:rsidRPr="00A30A33" w:rsidRDefault="001E3290" w:rsidP="001E3290">
            <w:pPr>
              <w:pStyle w:val="Tabletext"/>
              <w:ind w:left="388" w:hanging="388"/>
            </w:pPr>
            <w:r w:rsidRPr="00A03D92">
              <w:rPr>
                <w:i/>
              </w:rPr>
              <w:t>** for all adolescents in year 11 and 12 (or school-leavers) who did not receive the vaccination in year 10</w:t>
            </w:r>
          </w:p>
        </w:tc>
      </w:tr>
    </w:tbl>
    <w:p w:rsidR="00B60939" w:rsidRPr="00882085" w:rsidRDefault="00B60939" w:rsidP="004B1CB4"/>
    <w:p w:rsidR="0020732F" w:rsidRPr="00590BD8" w:rsidRDefault="003870F9" w:rsidP="009E2CAD">
      <w:pPr>
        <w:pStyle w:val="ListParagraph"/>
        <w:widowControl/>
        <w:numPr>
          <w:ilvl w:val="1"/>
          <w:numId w:val="1"/>
        </w:numPr>
      </w:pPr>
      <w:r w:rsidRPr="003870F9">
        <w:t>The submission proposed an ex</w:t>
      </w:r>
      <w:r w:rsidR="00D66E60">
        <w:t>-</w:t>
      </w:r>
      <w:r w:rsidRPr="003870F9">
        <w:t>manufacturer price of $</w:t>
      </w:r>
      <w:r w:rsidR="0010557D">
        <w:rPr>
          <w:noProof/>
          <w:color w:val="000000"/>
          <w:highlight w:val="black"/>
        </w:rPr>
        <w:t>'''''''''''</w:t>
      </w:r>
      <w:r w:rsidRPr="003870F9">
        <w:t xml:space="preserve">. </w:t>
      </w:r>
    </w:p>
    <w:p w:rsidR="00F565B5" w:rsidRDefault="002F7EFA" w:rsidP="008B6C96">
      <w:pPr>
        <w:pStyle w:val="ListParagraph"/>
        <w:widowControl/>
        <w:numPr>
          <w:ilvl w:val="1"/>
          <w:numId w:val="1"/>
        </w:numPr>
      </w:pPr>
      <w:r w:rsidRPr="00B87FD3">
        <w:t>The submission suggested a target age for the va</w:t>
      </w:r>
      <w:r w:rsidR="009D6B33">
        <w:t>ccination program to be Year 10</w:t>
      </w:r>
      <w:r w:rsidRPr="00B87FD3">
        <w:t>,</w:t>
      </w:r>
      <w:r>
        <w:t xml:space="preserve"> however t</w:t>
      </w:r>
      <w:r w:rsidR="00EF2872" w:rsidRPr="00590BD8">
        <w:t xml:space="preserve">he </w:t>
      </w:r>
      <w:r w:rsidR="00771362">
        <w:t xml:space="preserve">proposed </w:t>
      </w:r>
      <w:r w:rsidR="00EF2872" w:rsidRPr="00590BD8">
        <w:t>restriction d</w:t>
      </w:r>
      <w:r w:rsidR="00771362">
        <w:t xml:space="preserve">id </w:t>
      </w:r>
      <w:r w:rsidR="00EF2872" w:rsidRPr="00590BD8">
        <w:t>not specify the age of vaccination.</w:t>
      </w:r>
      <w:r w:rsidR="00291512" w:rsidRPr="00590BD8">
        <w:t xml:space="preserve"> The NIP Schedule lists immunisations for the target age groups under s</w:t>
      </w:r>
      <w:r w:rsidR="001E3290" w:rsidRPr="00590BD8">
        <w:t>chool programs.</w:t>
      </w:r>
      <w:r w:rsidR="0039375A">
        <w:t xml:space="preserve"> </w:t>
      </w:r>
      <w:r w:rsidR="0039375A" w:rsidRPr="00590BD8">
        <w:t>ATAGI recommended that the preferred target age for an ongoing vaccination program is 14-15 years (p1 of the ATAGI pre-PBAC submission advice, October 2017).</w:t>
      </w:r>
      <w:r w:rsidR="0039375A" w:rsidRPr="008713B5">
        <w:t xml:space="preserve">  </w:t>
      </w:r>
      <w:r w:rsidR="0039375A" w:rsidRPr="004B342A">
        <w:t>The ESC noted that the ATAGI advice recommended vaccination at ye</w:t>
      </w:r>
      <w:r w:rsidR="008352F2">
        <w:t xml:space="preserve">ar 10, starting 14 to 15 </w:t>
      </w:r>
      <w:proofErr w:type="gramStart"/>
      <w:r w:rsidR="008352F2">
        <w:t xml:space="preserve">years, </w:t>
      </w:r>
      <w:r w:rsidR="0039375A" w:rsidRPr="004B342A">
        <w:t>that</w:t>
      </w:r>
      <w:proofErr w:type="gramEnd"/>
      <w:r w:rsidR="0039375A" w:rsidRPr="004B342A">
        <w:t xml:space="preserve"> </w:t>
      </w:r>
      <w:r w:rsidR="00BD01E2">
        <w:t>S</w:t>
      </w:r>
      <w:r w:rsidR="00BD01E2" w:rsidRPr="004B342A">
        <w:t>tate</w:t>
      </w:r>
      <w:r w:rsidR="00BD01E2">
        <w:t>-</w:t>
      </w:r>
      <w:r w:rsidR="0039375A" w:rsidRPr="004B342A">
        <w:t>based programs have been</w:t>
      </w:r>
      <w:r w:rsidR="008713B5" w:rsidRPr="004B342A">
        <w:t xml:space="preserve"> mostly for year 10 students</w:t>
      </w:r>
      <w:r w:rsidR="009D6B33">
        <w:t xml:space="preserve"> (</w:t>
      </w:r>
      <w:r w:rsidR="004A20D6">
        <w:t>see T</w:t>
      </w:r>
      <w:r w:rsidR="00F565B5">
        <w:t xml:space="preserve">able </w:t>
      </w:r>
      <w:r w:rsidR="00DA4EE8" w:rsidRPr="00DA4EE8">
        <w:t>2</w:t>
      </w:r>
      <w:r w:rsidR="009D6B33">
        <w:t>)</w:t>
      </w:r>
      <w:r w:rsidR="0039375A" w:rsidRPr="004B342A">
        <w:t xml:space="preserve"> and school age entry varies. The ESC advised that the age for vaccination would need to include </w:t>
      </w:r>
      <w:r w:rsidR="008713B5" w:rsidRPr="004B342A">
        <w:t xml:space="preserve">ages </w:t>
      </w:r>
      <w:r w:rsidR="0039375A" w:rsidRPr="004B342A">
        <w:t>14 to 16 year</w:t>
      </w:r>
      <w:r w:rsidR="008713B5" w:rsidRPr="004B342A">
        <w:t xml:space="preserve">s </w:t>
      </w:r>
      <w:r w:rsidR="0039375A" w:rsidRPr="004B342A">
        <w:t>to cover all students in year 10.</w:t>
      </w:r>
      <w:r w:rsidR="001E3290" w:rsidRPr="004B342A">
        <w:t xml:space="preserve"> </w:t>
      </w:r>
      <w:r w:rsidR="006F61B3" w:rsidRPr="004B342A">
        <w:t xml:space="preserve">The </w:t>
      </w:r>
      <w:r w:rsidR="009D6B33">
        <w:t>pre-subcommittee response (</w:t>
      </w:r>
      <w:r w:rsidR="006F61B3" w:rsidRPr="004B342A">
        <w:t xml:space="preserve">PSCR) acknowledged the inconsistent target presented in the submission and </w:t>
      </w:r>
      <w:r w:rsidR="009D6B33">
        <w:t xml:space="preserve">stated that </w:t>
      </w:r>
      <w:r w:rsidR="00591871">
        <w:t>the sponsor is</w:t>
      </w:r>
      <w:r w:rsidR="006F61B3" w:rsidRPr="004B342A">
        <w:t xml:space="preserve"> willing to work with the NIP to support an approach that is practical for the school setting. </w:t>
      </w:r>
      <w:r w:rsidR="008713B5" w:rsidRPr="004B342A">
        <w:t>The p</w:t>
      </w:r>
      <w:r w:rsidR="001E3290" w:rsidRPr="004B342A">
        <w:t>roposed changes to the re</w:t>
      </w:r>
      <w:r w:rsidR="001E3290" w:rsidRPr="00DA4EE8">
        <w:t>striction are outlined above</w:t>
      </w:r>
      <w:r w:rsidR="005F5E8F">
        <w:t>.</w:t>
      </w:r>
    </w:p>
    <w:p w:rsidR="002E0E9E" w:rsidRDefault="002E0E9E">
      <w:pPr>
        <w:widowControl/>
        <w:jc w:val="left"/>
        <w:rPr>
          <w:rStyle w:val="CommentReference"/>
        </w:rPr>
      </w:pPr>
      <w:r>
        <w:rPr>
          <w:rStyle w:val="CommentReference"/>
        </w:rPr>
        <w:br w:type="page"/>
      </w:r>
    </w:p>
    <w:p w:rsidR="00E619D0" w:rsidRPr="00E832B8" w:rsidRDefault="00E619D0" w:rsidP="00E619D0">
      <w:pPr>
        <w:widowControl/>
        <w:ind w:firstLine="720"/>
        <w:jc w:val="left"/>
        <w:rPr>
          <w:rStyle w:val="CommentReference"/>
          <w:b w:val="0"/>
        </w:rPr>
      </w:pPr>
      <w:r w:rsidRPr="00E832B8">
        <w:rPr>
          <w:rStyle w:val="CommentReference"/>
        </w:rPr>
        <w:lastRenderedPageBreak/>
        <w:t>Table 2</w:t>
      </w:r>
      <w:r w:rsidRPr="00E832B8">
        <w:rPr>
          <w:rStyle w:val="CommentReference"/>
          <w:b w:val="0"/>
        </w:rPr>
        <w:t xml:space="preserve">: </w:t>
      </w:r>
      <w:r w:rsidRPr="00E832B8">
        <w:rPr>
          <w:rFonts w:ascii="Arial Narrow" w:hAnsi="Arial Narrow"/>
          <w:b/>
          <w:bCs/>
          <w:sz w:val="20"/>
          <w:szCs w:val="16"/>
        </w:rPr>
        <w:t xml:space="preserve">Details of State-based </w:t>
      </w:r>
      <w:proofErr w:type="spellStart"/>
      <w:r w:rsidRPr="00E832B8">
        <w:rPr>
          <w:rFonts w:ascii="Arial Narrow" w:hAnsi="Arial Narrow"/>
          <w:b/>
          <w:bCs/>
          <w:sz w:val="20"/>
          <w:szCs w:val="16"/>
        </w:rPr>
        <w:t>MenACWY</w:t>
      </w:r>
      <w:proofErr w:type="spellEnd"/>
      <w:r w:rsidRPr="00E832B8">
        <w:rPr>
          <w:rFonts w:ascii="Arial Narrow" w:hAnsi="Arial Narrow"/>
          <w:b/>
          <w:bCs/>
          <w:sz w:val="20"/>
          <w:szCs w:val="16"/>
        </w:rPr>
        <w:t xml:space="preserve"> programs </w:t>
      </w:r>
      <w:r w:rsidR="006C2770">
        <w:rPr>
          <w:rFonts w:ascii="Arial Narrow" w:hAnsi="Arial Narrow"/>
          <w:b/>
          <w:bCs/>
          <w:sz w:val="20"/>
          <w:szCs w:val="16"/>
        </w:rPr>
        <w:t>(as at November 2017)</w:t>
      </w:r>
    </w:p>
    <w:tbl>
      <w:tblPr>
        <w:tblStyle w:val="TableGrid"/>
        <w:tblW w:w="0" w:type="auto"/>
        <w:tblInd w:w="720" w:type="dxa"/>
        <w:tblLook w:val="04A0" w:firstRow="1" w:lastRow="0" w:firstColumn="1" w:lastColumn="0" w:noHBand="0" w:noVBand="1"/>
      </w:tblPr>
      <w:tblGrid>
        <w:gridCol w:w="1060"/>
        <w:gridCol w:w="1534"/>
        <w:gridCol w:w="1890"/>
        <w:gridCol w:w="2087"/>
        <w:gridCol w:w="1952"/>
      </w:tblGrid>
      <w:tr w:rsidR="00DA4EE8" w:rsidRPr="006C2770" w:rsidTr="00DA4EE8">
        <w:tc>
          <w:tcPr>
            <w:tcW w:w="0" w:type="auto"/>
          </w:tcPr>
          <w:p w:rsidR="00DA4EE8" w:rsidRPr="006C2770" w:rsidRDefault="006C2770" w:rsidP="00F565B5">
            <w:pPr>
              <w:pStyle w:val="ListParagraph"/>
              <w:widowControl/>
              <w:ind w:left="0"/>
              <w:jc w:val="left"/>
              <w:rPr>
                <w:rFonts w:ascii="Arial Narrow" w:hAnsi="Arial Narrow"/>
                <w:b/>
                <w:sz w:val="20"/>
                <w:szCs w:val="20"/>
              </w:rPr>
            </w:pPr>
            <w:r>
              <w:rPr>
                <w:rFonts w:ascii="Arial Narrow" w:hAnsi="Arial Narrow"/>
                <w:b/>
                <w:sz w:val="20"/>
                <w:szCs w:val="20"/>
              </w:rPr>
              <w:t>State</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Dates</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Vaccine</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Target group</w:t>
            </w:r>
          </w:p>
        </w:tc>
        <w:tc>
          <w:tcPr>
            <w:tcW w:w="0" w:type="auto"/>
          </w:tcPr>
          <w:p w:rsidR="00DA4EE8" w:rsidRPr="006C2770" w:rsidRDefault="00DA4EE8" w:rsidP="00F565B5">
            <w:pPr>
              <w:pStyle w:val="ListParagraph"/>
              <w:widowControl/>
              <w:ind w:left="0"/>
              <w:jc w:val="left"/>
              <w:rPr>
                <w:rFonts w:ascii="Arial Narrow" w:hAnsi="Arial Narrow"/>
                <w:b/>
                <w:sz w:val="20"/>
                <w:szCs w:val="20"/>
              </w:rPr>
            </w:pPr>
            <w:r w:rsidRPr="006C2770">
              <w:rPr>
                <w:rFonts w:ascii="Arial Narrow" w:hAnsi="Arial Narrow"/>
                <w:b/>
                <w:sz w:val="20"/>
                <w:szCs w:val="20"/>
              </w:rPr>
              <w:t>Providers</w:t>
            </w:r>
          </w:p>
        </w:tc>
      </w:tr>
      <w:tr w:rsidR="00DA4EE8" w:rsidTr="008B6C96">
        <w:tc>
          <w:tcPr>
            <w:tcW w:w="0" w:type="auto"/>
          </w:tcPr>
          <w:p w:rsidR="00DA4EE8" w:rsidRPr="006C2770" w:rsidRDefault="00DA4EE8"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ACT</w:t>
            </w:r>
          </w:p>
        </w:tc>
        <w:tc>
          <w:tcPr>
            <w:tcW w:w="0" w:type="auto"/>
            <w:gridSpan w:val="4"/>
          </w:tcPr>
          <w:p w:rsidR="00DA4EE8" w:rsidRPr="006C2770" w:rsidRDefault="00DA4EE8"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No program implemented</w:t>
            </w:r>
            <w:r w:rsidR="00945869" w:rsidRPr="006C2770">
              <w:rPr>
                <w:rFonts w:ascii="Arial Narrow" w:hAnsi="Arial Narrow"/>
                <w:sz w:val="20"/>
                <w:szCs w:val="20"/>
              </w:rPr>
              <w:t>*</w:t>
            </w:r>
          </w:p>
        </w:tc>
      </w:tr>
      <w:tr w:rsidR="00F83BA1" w:rsidTr="006C2770">
        <w:trPr>
          <w:trHeight w:val="600"/>
        </w:trPr>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NSW</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Term 2 2017 and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Meningococcal ACWY (brand unknown)</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 years 11-12</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NT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Mid November</w:t>
            </w:r>
            <w:r w:rsidR="005F5E8F">
              <w:rPr>
                <w:rFonts w:ascii="Arial Narrow" w:hAnsi="Arial Narrow"/>
                <w:sz w:val="20"/>
                <w:szCs w:val="20"/>
              </w:rPr>
              <w:t xml:space="preserve"> 2017</w:t>
            </w:r>
          </w:p>
        </w:tc>
        <w:tc>
          <w:tcPr>
            <w:tcW w:w="0" w:type="auto"/>
          </w:tcPr>
          <w:p w:rsidR="00F83BA1" w:rsidRPr="006C2770" w:rsidRDefault="00F83BA1" w:rsidP="006C2770">
            <w:pPr>
              <w:pStyle w:val="ListParagraph"/>
              <w:widowControl/>
              <w:spacing w:after="0"/>
              <w:ind w:left="0"/>
              <w:rPr>
                <w:rFonts w:ascii="Arial Narrow" w:hAnsi="Arial Narrow"/>
                <w:sz w:val="20"/>
                <w:szCs w:val="20"/>
              </w:rPr>
            </w:pPr>
            <w:r w:rsidRPr="006C2770">
              <w:rPr>
                <w:rFonts w:ascii="Arial Narrow" w:hAnsi="Arial Narrow"/>
                <w:sz w:val="20"/>
                <w:szCs w:val="20"/>
              </w:rPr>
              <w:t xml:space="preserve">12 months to &lt;24 </w:t>
            </w:r>
            <w:r w:rsidR="009633D4" w:rsidRPr="006C2770">
              <w:rPr>
                <w:rFonts w:ascii="Arial Narrow" w:hAnsi="Arial Narrow"/>
                <w:sz w:val="20"/>
                <w:szCs w:val="20"/>
              </w:rPr>
              <w:t>months</w:t>
            </w:r>
            <w:r w:rsidRPr="006C2770">
              <w:rPr>
                <w:rFonts w:ascii="Arial Narrow" w:hAnsi="Arial Narrow"/>
                <w:sz w:val="20"/>
                <w:szCs w:val="20"/>
              </w:rPr>
              <w:t xml:space="preserve">: </w:t>
            </w:r>
            <w:proofErr w:type="spellStart"/>
            <w:r w:rsidRPr="006C2770">
              <w:rPr>
                <w:rFonts w:ascii="Arial Narrow" w:hAnsi="Arial Narrow"/>
                <w:sz w:val="20"/>
                <w:szCs w:val="20"/>
              </w:rPr>
              <w:t>MenACWY</w:t>
            </w:r>
            <w:proofErr w:type="spellEnd"/>
            <w:r w:rsidRPr="006C2770">
              <w:rPr>
                <w:rFonts w:ascii="Arial Narrow" w:hAnsi="Arial Narrow"/>
                <w:sz w:val="20"/>
                <w:szCs w:val="20"/>
              </w:rPr>
              <w:t>-TT (</w:t>
            </w:r>
            <w:proofErr w:type="spellStart"/>
            <w:r w:rsidRPr="006C2770">
              <w:rPr>
                <w:rFonts w:ascii="Arial Narrow" w:hAnsi="Arial Narrow"/>
                <w:sz w:val="20"/>
                <w:szCs w:val="20"/>
              </w:rPr>
              <w:t>Nimenrix</w:t>
            </w:r>
            <w:proofErr w:type="spellEnd"/>
            <w:r w:rsidRPr="006C2770">
              <w:rPr>
                <w:rFonts w:ascii="Arial Narrow" w:hAnsi="Arial Narrow"/>
                <w:sz w:val="20"/>
                <w:szCs w:val="20"/>
              </w:rPr>
              <w:t>)</w:t>
            </w:r>
          </w:p>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 xml:space="preserve">2 years to 19 years: </w:t>
            </w:r>
            <w:proofErr w:type="spellStart"/>
            <w:r w:rsidRPr="006C2770">
              <w:rPr>
                <w:rFonts w:ascii="Arial Narrow" w:hAnsi="Arial Narrow"/>
                <w:sz w:val="20"/>
                <w:szCs w:val="20"/>
              </w:rPr>
              <w:t>MenACWY</w:t>
            </w:r>
            <w:proofErr w:type="spellEnd"/>
            <w:r w:rsidRPr="006C2770">
              <w:rPr>
                <w:rFonts w:ascii="Arial Narrow" w:hAnsi="Arial Narrow"/>
                <w:sz w:val="20"/>
                <w:szCs w:val="20"/>
              </w:rPr>
              <w:t xml:space="preserve"> (</w:t>
            </w:r>
            <w:proofErr w:type="spellStart"/>
            <w:r w:rsidRPr="006C2770">
              <w:rPr>
                <w:rFonts w:ascii="Arial Narrow" w:hAnsi="Arial Narrow"/>
                <w:sz w:val="20"/>
                <w:szCs w:val="20"/>
              </w:rPr>
              <w:t>Menactra</w:t>
            </w:r>
            <w:proofErr w:type="spellEnd"/>
            <w:r w:rsidRPr="006C2770">
              <w:rPr>
                <w:rFonts w:ascii="Arial Narrow" w:hAnsi="Arial Narrow"/>
                <w:sz w:val="20"/>
                <w:szCs w:val="20"/>
              </w:rPr>
              <w: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12 months to 19 years in Central Australia, Barkley and Katherine West regions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Community health centres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QLD</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2017 to May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proofErr w:type="spellStart"/>
            <w:r w:rsidRPr="006C2770">
              <w:rPr>
                <w:rFonts w:ascii="Arial Narrow" w:hAnsi="Arial Narrow"/>
                <w:sz w:val="20"/>
                <w:szCs w:val="20"/>
              </w:rPr>
              <w:t>MenACWY</w:t>
            </w:r>
            <w:proofErr w:type="spellEnd"/>
            <w:r w:rsidRPr="006C2770">
              <w:rPr>
                <w:rFonts w:ascii="Arial Narrow" w:hAnsi="Arial Narrow"/>
                <w:sz w:val="20"/>
                <w:szCs w:val="20"/>
              </w:rPr>
              <w:t xml:space="preserve"> (</w:t>
            </w:r>
            <w:proofErr w:type="spellStart"/>
            <w:r w:rsidRPr="006C2770">
              <w:rPr>
                <w:rFonts w:ascii="Arial Narrow" w:hAnsi="Arial Narrow"/>
                <w:sz w:val="20"/>
                <w:szCs w:val="20"/>
              </w:rPr>
              <w:t>Menveo</w:t>
            </w:r>
            <w:proofErr w:type="spellEnd"/>
            <w:r w:rsidRPr="006C2770">
              <w:rPr>
                <w:rFonts w:ascii="Arial Narrow" w:hAnsi="Arial Narrow"/>
                <w:sz w:val="20"/>
                <w:szCs w:val="20"/>
              </w:rPr>
              <w:t xml:space="preserve"> and </w:t>
            </w:r>
            <w:proofErr w:type="spellStart"/>
            <w:r w:rsidRPr="006C2770">
              <w:rPr>
                <w:rFonts w:ascii="Arial Narrow" w:hAnsi="Arial Narrow"/>
                <w:sz w:val="20"/>
                <w:szCs w:val="20"/>
              </w:rPr>
              <w:t>Menactra</w:t>
            </w:r>
            <w:proofErr w:type="spellEnd"/>
            <w:r w:rsidRPr="006C2770">
              <w:rPr>
                <w:rFonts w:ascii="Arial Narrow" w:hAnsi="Arial Narrow"/>
                <w:sz w:val="20"/>
                <w:szCs w:val="20"/>
              </w:rPr>
              <w: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GPs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South Australia</w:t>
            </w:r>
          </w:p>
        </w:tc>
        <w:tc>
          <w:tcPr>
            <w:tcW w:w="0" w:type="auto"/>
          </w:tcPr>
          <w:p w:rsidR="00F83BA1" w:rsidRPr="006C2770" w:rsidRDefault="00F83BA1" w:rsidP="006C2770">
            <w:pPr>
              <w:pStyle w:val="ListParagraph"/>
              <w:widowControl/>
              <w:spacing w:after="0"/>
              <w:ind w:left="0"/>
              <w:rPr>
                <w:rFonts w:ascii="Arial Narrow" w:hAnsi="Arial Narrow"/>
                <w:sz w:val="20"/>
                <w:szCs w:val="20"/>
              </w:rPr>
            </w:pPr>
            <w:r w:rsidRPr="006C2770">
              <w:rPr>
                <w:rFonts w:ascii="Arial Narrow" w:hAnsi="Arial Narrow"/>
                <w:sz w:val="20"/>
                <w:szCs w:val="20"/>
              </w:rPr>
              <w:t>Ceduna region: 6 March 2017 to 30 June 2017</w:t>
            </w:r>
          </w:p>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APY lands: unknown</w:t>
            </w:r>
          </w:p>
        </w:tc>
        <w:tc>
          <w:tcPr>
            <w:tcW w:w="0" w:type="auto"/>
          </w:tcPr>
          <w:p w:rsidR="00F83BA1" w:rsidRPr="006C2770" w:rsidRDefault="00F83BA1" w:rsidP="005F5E8F">
            <w:pPr>
              <w:pStyle w:val="ListParagraph"/>
              <w:widowControl/>
              <w:spacing w:after="0"/>
              <w:ind w:left="0"/>
              <w:jc w:val="left"/>
              <w:rPr>
                <w:rFonts w:ascii="Arial Narrow" w:hAnsi="Arial Narrow"/>
                <w:sz w:val="20"/>
                <w:szCs w:val="20"/>
              </w:rPr>
            </w:pPr>
            <w:r w:rsidRPr="006C2770">
              <w:rPr>
                <w:rFonts w:ascii="Arial Narrow" w:hAnsi="Arial Narrow"/>
                <w:sz w:val="20"/>
                <w:szCs w:val="20"/>
              </w:rPr>
              <w:t xml:space="preserve">2 months to 11 months: </w:t>
            </w:r>
            <w:proofErr w:type="spellStart"/>
            <w:r w:rsidRPr="006C2770">
              <w:rPr>
                <w:rFonts w:ascii="Arial Narrow" w:hAnsi="Arial Narrow"/>
                <w:sz w:val="20"/>
                <w:szCs w:val="20"/>
              </w:rPr>
              <w:t>MenACWY</w:t>
            </w:r>
            <w:proofErr w:type="spellEnd"/>
            <w:r w:rsidRPr="006C2770">
              <w:rPr>
                <w:rFonts w:ascii="Arial Narrow" w:hAnsi="Arial Narrow"/>
                <w:sz w:val="20"/>
                <w:szCs w:val="20"/>
              </w:rPr>
              <w:t xml:space="preserve"> (</w:t>
            </w:r>
            <w:proofErr w:type="spellStart"/>
            <w:r w:rsidRPr="006C2770">
              <w:rPr>
                <w:rFonts w:ascii="Arial Narrow" w:hAnsi="Arial Narrow"/>
                <w:sz w:val="20"/>
                <w:szCs w:val="20"/>
              </w:rPr>
              <w:t>Menveo</w:t>
            </w:r>
            <w:proofErr w:type="spellEnd"/>
            <w:r w:rsidRPr="006C2770">
              <w:rPr>
                <w:rFonts w:ascii="Arial Narrow" w:hAnsi="Arial Narrow"/>
                <w:sz w:val="20"/>
                <w:szCs w:val="20"/>
              </w:rPr>
              <w:t>)</w:t>
            </w:r>
          </w:p>
          <w:p w:rsidR="00F83BA1" w:rsidRPr="006C2770" w:rsidRDefault="00F83BA1" w:rsidP="005F5E8F">
            <w:pPr>
              <w:pStyle w:val="ListParagraph"/>
              <w:widowControl/>
              <w:spacing w:after="0"/>
              <w:ind w:left="0"/>
              <w:jc w:val="left"/>
              <w:rPr>
                <w:rFonts w:ascii="Arial Narrow" w:hAnsi="Arial Narrow"/>
                <w:sz w:val="20"/>
                <w:szCs w:val="20"/>
              </w:rPr>
            </w:pPr>
            <w:r w:rsidRPr="006C2770">
              <w:rPr>
                <w:rFonts w:ascii="Arial Narrow" w:hAnsi="Arial Narrow"/>
                <w:sz w:val="20"/>
                <w:szCs w:val="20"/>
              </w:rPr>
              <w:t xml:space="preserve">12+ months: </w:t>
            </w:r>
            <w:proofErr w:type="spellStart"/>
            <w:r w:rsidRPr="006C2770">
              <w:rPr>
                <w:rFonts w:ascii="Arial Narrow" w:hAnsi="Arial Narrow"/>
                <w:sz w:val="20"/>
                <w:szCs w:val="20"/>
              </w:rPr>
              <w:t>MenACWY</w:t>
            </w:r>
            <w:proofErr w:type="spellEnd"/>
            <w:r w:rsidRPr="006C2770">
              <w:rPr>
                <w:rFonts w:ascii="Arial Narrow" w:hAnsi="Arial Narrow"/>
                <w:sz w:val="20"/>
                <w:szCs w:val="20"/>
              </w:rPr>
              <w:t>-TT (</w:t>
            </w:r>
            <w:proofErr w:type="spellStart"/>
            <w:r w:rsidRPr="006C2770">
              <w:rPr>
                <w:rFonts w:ascii="Arial Narrow" w:hAnsi="Arial Narrow"/>
                <w:sz w:val="20"/>
                <w:szCs w:val="20"/>
              </w:rPr>
              <w:t>Nimenrix</w:t>
            </w:r>
            <w:proofErr w:type="spellEnd"/>
            <w:r w:rsidRPr="006C2770">
              <w:rPr>
                <w:rFonts w:ascii="Arial Narrow" w:hAnsi="Arial Narrow"/>
                <w:sz w:val="20"/>
                <w:szCs w:val="20"/>
              </w:rPr>
              <w: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2 months and older in Ceduna region and  APY lands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Community health centres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Tasmania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1 August 2017 to 30 April 2018</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proofErr w:type="spellStart"/>
            <w:r w:rsidRPr="006C2770">
              <w:rPr>
                <w:rFonts w:ascii="Arial Narrow" w:hAnsi="Arial Narrow"/>
                <w:sz w:val="20"/>
                <w:szCs w:val="20"/>
              </w:rPr>
              <w:t>MenACWY</w:t>
            </w:r>
            <w:proofErr w:type="spellEnd"/>
            <w:r w:rsidRPr="006C2770">
              <w:rPr>
                <w:rFonts w:ascii="Arial Narrow" w:hAnsi="Arial Narrow"/>
                <w:sz w:val="20"/>
                <w:szCs w:val="20"/>
              </w:rPr>
              <w:t xml:space="preserve"> (brand unknown)</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GPs and community health centres</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Victoria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18 April 2017 until 31 December 2017</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proofErr w:type="spellStart"/>
            <w:r w:rsidRPr="006C2770">
              <w:rPr>
                <w:rFonts w:ascii="Arial Narrow" w:hAnsi="Arial Narrow"/>
                <w:sz w:val="20"/>
                <w:szCs w:val="20"/>
              </w:rPr>
              <w:t>MenACWY</w:t>
            </w:r>
            <w:proofErr w:type="spellEnd"/>
            <w:r w:rsidRPr="006C2770">
              <w:rPr>
                <w:rFonts w:ascii="Arial Narrow" w:hAnsi="Arial Narrow"/>
                <w:sz w:val="20"/>
                <w:szCs w:val="20"/>
              </w:rPr>
              <w:t xml:space="preserve"> (</w:t>
            </w:r>
            <w:proofErr w:type="spellStart"/>
            <w:r w:rsidRPr="006C2770">
              <w:rPr>
                <w:rFonts w:ascii="Arial Narrow" w:hAnsi="Arial Narrow"/>
                <w:sz w:val="20"/>
                <w:szCs w:val="20"/>
              </w:rPr>
              <w:t>Menactra</w:t>
            </w:r>
            <w:proofErr w:type="spellEnd"/>
            <w:r w:rsidRPr="006C2770">
              <w:rPr>
                <w:rFonts w:ascii="Arial Narrow" w:hAnsi="Arial Narrow"/>
                <w:sz w:val="20"/>
                <w:szCs w:val="20"/>
              </w:rPr>
              <w: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GPs and community health</w:t>
            </w:r>
          </w:p>
        </w:tc>
      </w:tr>
      <w:tr w:rsidR="00F83BA1" w:rsidTr="00DA4EE8">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Western Australia</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April 2017 to 2019</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proofErr w:type="spellStart"/>
            <w:r w:rsidRPr="006C2770">
              <w:rPr>
                <w:rFonts w:ascii="Arial Narrow" w:hAnsi="Arial Narrow"/>
                <w:sz w:val="20"/>
                <w:szCs w:val="20"/>
              </w:rPr>
              <w:t>MenACWY</w:t>
            </w:r>
            <w:proofErr w:type="spellEnd"/>
            <w:r w:rsidRPr="006C2770">
              <w:rPr>
                <w:rFonts w:ascii="Arial Narrow" w:hAnsi="Arial Narrow"/>
                <w:sz w:val="20"/>
                <w:szCs w:val="20"/>
              </w:rPr>
              <w:t>-TT (</w:t>
            </w:r>
            <w:proofErr w:type="spellStart"/>
            <w:r w:rsidRPr="006C2770">
              <w:rPr>
                <w:rFonts w:ascii="Arial Narrow" w:hAnsi="Arial Narrow"/>
                <w:sz w:val="20"/>
                <w:szCs w:val="20"/>
              </w:rPr>
              <w:t>Nimenrix</w:t>
            </w:r>
            <w:proofErr w:type="spellEnd"/>
            <w:r w:rsidRPr="006C2770">
              <w:rPr>
                <w:rFonts w:ascii="Arial Narrow" w:hAnsi="Arial Narrow"/>
                <w:sz w:val="20"/>
                <w:szCs w:val="20"/>
              </w:rPr>
              <w:t>)</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Aged 15-19 years</w:t>
            </w:r>
          </w:p>
        </w:tc>
        <w:tc>
          <w:tcPr>
            <w:tcW w:w="0" w:type="auto"/>
          </w:tcPr>
          <w:p w:rsidR="00F83BA1" w:rsidRPr="006C2770" w:rsidRDefault="00F83BA1" w:rsidP="006C2770">
            <w:pPr>
              <w:pStyle w:val="ListParagraph"/>
              <w:widowControl/>
              <w:spacing w:after="0"/>
              <w:ind w:left="0"/>
              <w:jc w:val="left"/>
              <w:rPr>
                <w:rFonts w:ascii="Arial Narrow" w:hAnsi="Arial Narrow"/>
                <w:sz w:val="20"/>
                <w:szCs w:val="20"/>
              </w:rPr>
            </w:pPr>
            <w:r w:rsidRPr="006C2770">
              <w:rPr>
                <w:rFonts w:ascii="Arial Narrow" w:hAnsi="Arial Narrow"/>
                <w:sz w:val="20"/>
                <w:szCs w:val="20"/>
              </w:rPr>
              <w:t>Schools and university health centres, GPs, community health centres</w:t>
            </w:r>
          </w:p>
        </w:tc>
      </w:tr>
    </w:tbl>
    <w:p w:rsidR="00DA4EE8" w:rsidRPr="006C2770" w:rsidRDefault="00945869" w:rsidP="00F565B5">
      <w:pPr>
        <w:pStyle w:val="ListParagraph"/>
        <w:widowControl/>
        <w:jc w:val="left"/>
        <w:rPr>
          <w:rFonts w:ascii="Arial Narrow" w:hAnsi="Arial Narrow"/>
          <w:sz w:val="18"/>
          <w:szCs w:val="18"/>
        </w:rPr>
      </w:pPr>
      <w:r w:rsidRPr="006C2770">
        <w:rPr>
          <w:rFonts w:ascii="Arial Narrow" w:hAnsi="Arial Narrow"/>
          <w:sz w:val="18"/>
          <w:szCs w:val="18"/>
        </w:rPr>
        <w:t>*Information as of November 2017.  Since that time, the ACT has implemented a program.</w:t>
      </w:r>
    </w:p>
    <w:p w:rsidR="00F565B5" w:rsidRDefault="00F565B5" w:rsidP="00F565B5">
      <w:pPr>
        <w:widowControl/>
        <w:jc w:val="left"/>
      </w:pPr>
    </w:p>
    <w:p w:rsidR="007267E3" w:rsidRPr="00E125C8" w:rsidRDefault="00771362" w:rsidP="00E125C8">
      <w:pPr>
        <w:pStyle w:val="ListParagraph"/>
        <w:widowControl/>
        <w:numPr>
          <w:ilvl w:val="1"/>
          <w:numId w:val="1"/>
        </w:numPr>
      </w:pPr>
      <w:r>
        <w:t>T</w:t>
      </w:r>
      <w:r w:rsidR="00EF2872" w:rsidRPr="00590BD8">
        <w:t xml:space="preserve">he </w:t>
      </w:r>
      <w:r w:rsidR="009D6B33">
        <w:t xml:space="preserve">proposed </w:t>
      </w:r>
      <w:r w:rsidR="00EF2872" w:rsidRPr="00590BD8">
        <w:t xml:space="preserve">catch-up program is an </w:t>
      </w:r>
      <w:r w:rsidR="00EF2872" w:rsidRPr="00785963">
        <w:t>ongoing program f</w:t>
      </w:r>
      <w:r w:rsidR="00EF2872" w:rsidRPr="00590BD8">
        <w:t xml:space="preserve">or </w:t>
      </w:r>
      <w:r w:rsidR="002C5A8C">
        <w:t>adolescents aged up to 19 years</w:t>
      </w:r>
      <w:r w:rsidR="002C5A8C" w:rsidRPr="00590BD8">
        <w:t xml:space="preserve"> </w:t>
      </w:r>
      <w:r w:rsidR="00EF2872" w:rsidRPr="00590BD8">
        <w:t>who miss</w:t>
      </w:r>
      <w:r w:rsidR="002C5A8C">
        <w:t>ed</w:t>
      </w:r>
      <w:r w:rsidR="00EF2872" w:rsidRPr="00590BD8">
        <w:t xml:space="preserve"> school-based vaccination.</w:t>
      </w:r>
      <w:r w:rsidR="007267E3" w:rsidRPr="00E125C8">
        <w:t xml:space="preserve"> </w:t>
      </w:r>
    </w:p>
    <w:p w:rsidR="004E43B2" w:rsidRPr="007267E3" w:rsidRDefault="007267E3" w:rsidP="007267E3">
      <w:pPr>
        <w:pStyle w:val="ListParagraph"/>
        <w:ind w:left="709"/>
        <w:rPr>
          <w:rFonts w:asciiTheme="minorHAnsi" w:hAnsiTheme="minorHAnsi"/>
          <w:i/>
        </w:rPr>
      </w:pPr>
      <w:r w:rsidRPr="00E45BF0">
        <w:rPr>
          <w:rFonts w:asciiTheme="minorHAnsi" w:hAnsiTheme="minorHAnsi"/>
          <w:i/>
        </w:rPr>
        <w:t>For more detail on PBAC’s view, see section 7 PBAC outcome.</w:t>
      </w:r>
    </w:p>
    <w:p w:rsidR="00B50DB8" w:rsidRPr="00C22DB8" w:rsidRDefault="00B50DB8" w:rsidP="00C22DB8">
      <w:pPr>
        <w:pStyle w:val="Heading1"/>
        <w:numPr>
          <w:ilvl w:val="0"/>
          <w:numId w:val="1"/>
        </w:numPr>
        <w:spacing w:before="240" w:after="120"/>
        <w:jc w:val="both"/>
        <w:rPr>
          <w:rFonts w:asciiTheme="minorHAnsi" w:hAnsiTheme="minorHAnsi"/>
          <w:bCs/>
          <w:sz w:val="32"/>
          <w:szCs w:val="24"/>
          <w:lang w:eastAsia="en-AU"/>
        </w:rPr>
      </w:pPr>
      <w:bookmarkStart w:id="2" w:name="_Toc501621773"/>
      <w:r w:rsidRPr="00C22DB8">
        <w:rPr>
          <w:rFonts w:asciiTheme="minorHAnsi" w:hAnsiTheme="minorHAnsi"/>
          <w:bCs/>
          <w:sz w:val="32"/>
          <w:szCs w:val="24"/>
          <w:lang w:eastAsia="en-AU"/>
        </w:rPr>
        <w:t>Background</w:t>
      </w:r>
      <w:bookmarkEnd w:id="2"/>
    </w:p>
    <w:p w:rsidR="00B60939" w:rsidRPr="004151CF" w:rsidRDefault="00591957" w:rsidP="00B60939">
      <w:pPr>
        <w:rPr>
          <w:b/>
          <w:i/>
          <w:sz w:val="28"/>
          <w:szCs w:val="28"/>
        </w:rPr>
      </w:pPr>
      <w:r w:rsidRPr="004151CF">
        <w:rPr>
          <w:b/>
          <w:i/>
          <w:sz w:val="28"/>
          <w:szCs w:val="28"/>
        </w:rPr>
        <w:t>Registration status</w:t>
      </w:r>
    </w:p>
    <w:p w:rsidR="00E55BB5" w:rsidRPr="003D5C0B" w:rsidRDefault="003870F9" w:rsidP="009E2CAD">
      <w:pPr>
        <w:pStyle w:val="ListParagraph"/>
        <w:widowControl/>
        <w:numPr>
          <w:ilvl w:val="1"/>
          <w:numId w:val="1"/>
        </w:numPr>
      </w:pPr>
      <w:r w:rsidRPr="003870F9">
        <w:t xml:space="preserve">The </w:t>
      </w:r>
      <w:proofErr w:type="spellStart"/>
      <w:r w:rsidRPr="003870F9">
        <w:t>MenACWY</w:t>
      </w:r>
      <w:proofErr w:type="spellEnd"/>
      <w:r w:rsidRPr="003870F9">
        <w:t xml:space="preserve">-TT vaccine was registered on the ARTG on 29 August 2013 for: active immunisation of individuals from the age of 12 months through 55 years against invasive </w:t>
      </w:r>
      <w:r w:rsidRPr="003D5C0B">
        <w:t xml:space="preserve">meningococcal diseases caused by </w:t>
      </w:r>
      <w:r w:rsidRPr="004103FE">
        <w:rPr>
          <w:i/>
        </w:rPr>
        <w:t xml:space="preserve">Neisseria </w:t>
      </w:r>
      <w:proofErr w:type="spellStart"/>
      <w:r w:rsidRPr="004103FE">
        <w:rPr>
          <w:i/>
        </w:rPr>
        <w:t>meningitidis</w:t>
      </w:r>
      <w:proofErr w:type="spellEnd"/>
      <w:r w:rsidR="00806A25" w:rsidRPr="003D5C0B">
        <w:t xml:space="preserve"> serogroups A, C, W</w:t>
      </w:r>
      <w:r w:rsidR="00806A25" w:rsidRPr="003D5C0B">
        <w:rPr>
          <w:vertAlign w:val="subscript"/>
        </w:rPr>
        <w:t>135</w:t>
      </w:r>
      <w:r w:rsidR="00806A25" w:rsidRPr="003D5C0B">
        <w:t xml:space="preserve"> and Y.</w:t>
      </w:r>
      <w:r w:rsidR="00512322" w:rsidRPr="003D5C0B">
        <w:t xml:space="preserve">  </w:t>
      </w:r>
      <w:r w:rsidR="005D2B6A" w:rsidRPr="003D5C0B">
        <w:t xml:space="preserve">The </w:t>
      </w:r>
      <w:r w:rsidR="00436DB5" w:rsidRPr="003D5C0B">
        <w:t xml:space="preserve">ESC noted that </w:t>
      </w:r>
      <w:r w:rsidR="005D2B6A" w:rsidRPr="003D5C0B">
        <w:t xml:space="preserve">ATAGI (Pre-submission advice, p1) </w:t>
      </w:r>
      <w:r w:rsidR="00CB3A21" w:rsidRPr="003D5C0B">
        <w:t xml:space="preserve">had </w:t>
      </w:r>
      <w:r w:rsidR="005D2B6A" w:rsidRPr="003D5C0B">
        <w:t xml:space="preserve">recommended use of </w:t>
      </w:r>
      <w:r w:rsidR="00436DB5" w:rsidRPr="003D5C0B">
        <w:t>the vaccine</w:t>
      </w:r>
      <w:r w:rsidR="00CB3A21" w:rsidRPr="003D5C0B">
        <w:t xml:space="preserve"> in several population sub-</w:t>
      </w:r>
      <w:r w:rsidR="00512322" w:rsidRPr="003D5C0B">
        <w:t>groups</w:t>
      </w:r>
      <w:r w:rsidR="00CB3A21" w:rsidRPr="003D5C0B">
        <w:t xml:space="preserve"> including infants, adolescents and at-risk groups</w:t>
      </w:r>
      <w:r w:rsidR="00512322" w:rsidRPr="003D5C0B">
        <w:t>.</w:t>
      </w:r>
    </w:p>
    <w:p w:rsidR="002E0E9E" w:rsidRDefault="002E0E9E">
      <w:pPr>
        <w:widowControl/>
        <w:jc w:val="left"/>
        <w:rPr>
          <w:b/>
          <w:sz w:val="32"/>
        </w:rPr>
      </w:pPr>
      <w:bookmarkStart w:id="3" w:name="_Toc501621774"/>
      <w:r>
        <w:br w:type="page"/>
      </w:r>
    </w:p>
    <w:p w:rsidR="00B50DB8" w:rsidRPr="00C22DB8" w:rsidRDefault="00203181" w:rsidP="00C22DB8">
      <w:pPr>
        <w:pStyle w:val="Heading1"/>
        <w:numPr>
          <w:ilvl w:val="0"/>
          <w:numId w:val="1"/>
        </w:numPr>
        <w:spacing w:before="240" w:after="120"/>
        <w:jc w:val="both"/>
        <w:rPr>
          <w:szCs w:val="32"/>
        </w:rPr>
      </w:pPr>
      <w:r w:rsidRPr="00C22DB8">
        <w:rPr>
          <w:szCs w:val="32"/>
        </w:rPr>
        <w:lastRenderedPageBreak/>
        <w:t xml:space="preserve">Population and </w:t>
      </w:r>
      <w:r w:rsidR="008E0D3C" w:rsidRPr="00C22DB8">
        <w:rPr>
          <w:szCs w:val="32"/>
        </w:rPr>
        <w:t>d</w:t>
      </w:r>
      <w:r w:rsidRPr="00C22DB8">
        <w:rPr>
          <w:szCs w:val="32"/>
        </w:rPr>
        <w:t>isease</w:t>
      </w:r>
      <w:bookmarkEnd w:id="3"/>
    </w:p>
    <w:p w:rsidR="003870F9" w:rsidRPr="00590BD8" w:rsidRDefault="003870F9" w:rsidP="009E2CAD">
      <w:pPr>
        <w:pStyle w:val="ListParagraph"/>
        <w:widowControl/>
        <w:numPr>
          <w:ilvl w:val="1"/>
          <w:numId w:val="1"/>
        </w:numPr>
      </w:pPr>
      <w:r w:rsidRPr="00590BD8">
        <w:t xml:space="preserve">IMD is a rare disease caused by the bacterium </w:t>
      </w:r>
      <w:r w:rsidRPr="004103FE">
        <w:rPr>
          <w:i/>
        </w:rPr>
        <w:t xml:space="preserve">Neisseria </w:t>
      </w:r>
      <w:proofErr w:type="spellStart"/>
      <w:r w:rsidRPr="004103FE">
        <w:rPr>
          <w:i/>
        </w:rPr>
        <w:t>meningitidis</w:t>
      </w:r>
      <w:proofErr w:type="spellEnd"/>
      <w:r w:rsidRPr="00590BD8">
        <w:t>. IMD can also cause meningitis and sepsis, leading to long-term sequelae including: sensorineural hearing loss, cognitive problems, physical or neurological disability, major amputations, very low IQ, and seizures.</w:t>
      </w:r>
      <w:r w:rsidR="001B3B40" w:rsidRPr="00590BD8">
        <w:rPr>
          <w:rStyle w:val="FootnoteReference"/>
          <w:rFonts w:eastAsiaTheme="minorHAnsi"/>
        </w:rPr>
        <w:footnoteReference w:id="1"/>
      </w:r>
      <w:r w:rsidRPr="00590BD8">
        <w:t xml:space="preserve"> About 10 – 30% of survivors of meningococcal disease have permanent sequelae.</w:t>
      </w:r>
      <w:r w:rsidR="001B3B40" w:rsidRPr="00590BD8">
        <w:rPr>
          <w:rStyle w:val="FootnoteReference"/>
          <w:rFonts w:eastAsiaTheme="minorHAnsi"/>
        </w:rPr>
        <w:footnoteReference w:id="2"/>
      </w:r>
      <w:r w:rsidRPr="00590BD8">
        <w:t xml:space="preserve"> The case fatality rate for all cases of IMD is around 4.7%</w:t>
      </w:r>
      <w:r w:rsidR="001B3B40" w:rsidRPr="00590BD8">
        <w:rPr>
          <w:rStyle w:val="FootnoteReference"/>
          <w:rFonts w:eastAsiaTheme="minorHAnsi"/>
        </w:rPr>
        <w:footnoteReference w:id="3"/>
      </w:r>
      <w:r w:rsidRPr="00590BD8">
        <w:t xml:space="preserve">, however may be higher for </w:t>
      </w:r>
      <w:proofErr w:type="spellStart"/>
      <w:r w:rsidRPr="00590BD8">
        <w:t>MenW</w:t>
      </w:r>
      <w:proofErr w:type="spellEnd"/>
      <w:r w:rsidRPr="00590BD8">
        <w:t>.</w:t>
      </w:r>
      <w:r w:rsidR="006C55F0" w:rsidRPr="00590BD8">
        <w:rPr>
          <w:rStyle w:val="FootnoteReference"/>
          <w:rFonts w:eastAsiaTheme="minorHAnsi"/>
        </w:rPr>
        <w:footnoteReference w:id="4"/>
      </w:r>
    </w:p>
    <w:p w:rsidR="003870F9" w:rsidRDefault="003870F9" w:rsidP="009E2CAD">
      <w:pPr>
        <w:pStyle w:val="ListParagraph"/>
        <w:widowControl/>
        <w:numPr>
          <w:ilvl w:val="1"/>
          <w:numId w:val="1"/>
        </w:numPr>
      </w:pPr>
      <w:r>
        <w:t xml:space="preserve">There has been an increase in the number of cases caused by </w:t>
      </w:r>
      <w:proofErr w:type="spellStart"/>
      <w:r>
        <w:t>MenW</w:t>
      </w:r>
      <w:proofErr w:type="spellEnd"/>
      <w:r>
        <w:t xml:space="preserve"> and </w:t>
      </w:r>
      <w:proofErr w:type="spellStart"/>
      <w:r>
        <w:t>MenY</w:t>
      </w:r>
      <w:proofErr w:type="spellEnd"/>
      <w:r>
        <w:t xml:space="preserve"> in recent years (see Figure</w:t>
      </w:r>
      <w:r w:rsidR="00022EF5">
        <w:t>s</w:t>
      </w:r>
      <w:r>
        <w:t xml:space="preserve"> 1</w:t>
      </w:r>
      <w:r w:rsidR="00022EF5">
        <w:t xml:space="preserve"> and 2</w:t>
      </w:r>
      <w:r>
        <w:t>).</w:t>
      </w:r>
    </w:p>
    <w:p w:rsidR="004952C4" w:rsidRDefault="004952C4" w:rsidP="004952C4">
      <w:pPr>
        <w:pStyle w:val="ListParagraph"/>
        <w:widowControl/>
      </w:pPr>
    </w:p>
    <w:p w:rsidR="003870F9" w:rsidRPr="009830FA" w:rsidRDefault="003870F9" w:rsidP="003870F9">
      <w:pPr>
        <w:keepNext/>
        <w:rPr>
          <w:rStyle w:val="CommentReference"/>
          <w:b w:val="0"/>
        </w:rPr>
      </w:pPr>
      <w:r>
        <w:rPr>
          <w:rStyle w:val="CommentReference"/>
        </w:rPr>
        <w:t>Figure 1:</w:t>
      </w:r>
      <w:r w:rsidRPr="00B64C62">
        <w:rPr>
          <w:rStyle w:val="CommentReference"/>
        </w:rPr>
        <w:t xml:space="preserve"> Notifications and rates of IMD in Australia (2012 </w:t>
      </w:r>
      <w:r w:rsidR="00785963">
        <w:rPr>
          <w:rStyle w:val="CommentReference"/>
        </w:rPr>
        <w:t>–</w:t>
      </w:r>
      <w:r w:rsidRPr="00B64C62">
        <w:rPr>
          <w:rStyle w:val="CommentReference"/>
        </w:rPr>
        <w:t xml:space="preserve"> 2017</w:t>
      </w:r>
      <w:r w:rsidR="00785963">
        <w:rPr>
          <w:rStyle w:val="CommentReference"/>
        </w:rPr>
        <w:t xml:space="preserve"> by quarter</w:t>
      </w:r>
      <w:r w:rsidRPr="00B64C62">
        <w:rPr>
          <w:rStyle w:val="CommentReference"/>
        </w:rPr>
        <w:t>)*, by serogroup</w:t>
      </w:r>
    </w:p>
    <w:p w:rsidR="003870F9" w:rsidRPr="009830FA" w:rsidRDefault="003870F9" w:rsidP="003870F9">
      <w:r w:rsidRPr="009830FA">
        <w:rPr>
          <w:noProof/>
          <w:lang w:eastAsia="en-AU"/>
        </w:rPr>
        <w:drawing>
          <wp:inline distT="0" distB="0" distL="0" distR="0" wp14:anchorId="0DBFE71F" wp14:editId="1612540E">
            <wp:extent cx="5176124" cy="32689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8754" cy="3270641"/>
                    </a:xfrm>
                    <a:prstGeom prst="rect">
                      <a:avLst/>
                    </a:prstGeom>
                  </pic:spPr>
                </pic:pic>
              </a:graphicData>
            </a:graphic>
          </wp:inline>
        </w:drawing>
      </w:r>
    </w:p>
    <w:p w:rsidR="00301AF0" w:rsidRDefault="00301AF0" w:rsidP="00301AF0">
      <w:pPr>
        <w:pStyle w:val="TableFooter"/>
      </w:pPr>
      <w:r>
        <w:t xml:space="preserve">Source: </w:t>
      </w:r>
      <w:r w:rsidR="0057619E">
        <w:t>NDSS data, access 11 September 2017</w:t>
      </w:r>
      <w:r>
        <w:t>.</w:t>
      </w:r>
    </w:p>
    <w:p w:rsidR="00F663EC" w:rsidRDefault="00F663EC" w:rsidP="00301AF0">
      <w:pPr>
        <w:pStyle w:val="TableFooter"/>
      </w:pPr>
    </w:p>
    <w:p w:rsidR="00F663EC" w:rsidRDefault="00F663EC" w:rsidP="00F663EC">
      <w:pPr>
        <w:keepNext/>
        <w:rPr>
          <w:rStyle w:val="CommentReference"/>
        </w:rPr>
      </w:pPr>
      <w:r>
        <w:rPr>
          <w:rStyle w:val="CommentReference"/>
        </w:rPr>
        <w:lastRenderedPageBreak/>
        <w:t xml:space="preserve">Figure 2: </w:t>
      </w:r>
      <w:r w:rsidRPr="00B64C62">
        <w:rPr>
          <w:rStyle w:val="CommentReference"/>
        </w:rPr>
        <w:t>Notifications and rates of IMD in Australia (</w:t>
      </w:r>
      <w:r>
        <w:rPr>
          <w:rStyle w:val="CommentReference"/>
        </w:rPr>
        <w:t>1999</w:t>
      </w:r>
      <w:r w:rsidRPr="00B64C62">
        <w:rPr>
          <w:rStyle w:val="CommentReference"/>
        </w:rPr>
        <w:t xml:space="preserve"> - 2017)*, by serogroup</w:t>
      </w:r>
    </w:p>
    <w:p w:rsidR="00F663EC" w:rsidRDefault="00F663EC" w:rsidP="00F663EC">
      <w:pPr>
        <w:keepNext/>
        <w:rPr>
          <w:rStyle w:val="CommentReference"/>
        </w:rPr>
      </w:pPr>
      <w:r w:rsidRPr="007F00E4">
        <w:rPr>
          <w:noProof/>
          <w:lang w:eastAsia="en-AU"/>
        </w:rPr>
        <w:drawing>
          <wp:inline distT="0" distB="0" distL="0" distR="0" wp14:anchorId="582F672C" wp14:editId="2D95D6F6">
            <wp:extent cx="5427652" cy="349758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4498" cy="3501992"/>
                    </a:xfrm>
                    <a:prstGeom prst="rect">
                      <a:avLst/>
                    </a:prstGeom>
                  </pic:spPr>
                </pic:pic>
              </a:graphicData>
            </a:graphic>
          </wp:inline>
        </w:drawing>
      </w:r>
    </w:p>
    <w:p w:rsidR="0057619E" w:rsidRDefault="0057619E" w:rsidP="0057619E">
      <w:pPr>
        <w:pStyle w:val="TableFooter"/>
      </w:pPr>
      <w:r>
        <w:t>Source: NDSS data, access 11 September 2017.</w:t>
      </w:r>
    </w:p>
    <w:p w:rsidR="00F663EC" w:rsidRPr="00963065" w:rsidRDefault="00F663EC" w:rsidP="00F663EC">
      <w:pPr>
        <w:pStyle w:val="TableFooter"/>
      </w:pPr>
    </w:p>
    <w:p w:rsidR="003870F9" w:rsidRDefault="003870F9" w:rsidP="003870F9">
      <w:pPr>
        <w:widowControl/>
      </w:pPr>
    </w:p>
    <w:p w:rsidR="00E55BB5" w:rsidRPr="003D5C0B" w:rsidRDefault="003870F9" w:rsidP="009E2CAD">
      <w:pPr>
        <w:pStyle w:val="ListParagraph"/>
        <w:widowControl/>
        <w:numPr>
          <w:ilvl w:val="1"/>
          <w:numId w:val="1"/>
        </w:numPr>
      </w:pPr>
      <w:r w:rsidRPr="003D5C0B">
        <w:t xml:space="preserve">There </w:t>
      </w:r>
      <w:r w:rsidR="00531656" w:rsidRPr="003D5C0B">
        <w:t>were</w:t>
      </w:r>
      <w:r w:rsidRPr="003D5C0B">
        <w:t xml:space="preserve"> 337 cases of IMD</w:t>
      </w:r>
      <w:r w:rsidR="00A974FD" w:rsidRPr="003D5C0B">
        <w:t xml:space="preserve"> in Australia</w:t>
      </w:r>
      <w:r w:rsidRPr="003D5C0B">
        <w:t xml:space="preserve"> </w:t>
      </w:r>
      <w:r w:rsidR="00553D33" w:rsidRPr="003D5C0B">
        <w:t xml:space="preserve">from January until November 2017 </w:t>
      </w:r>
      <w:r w:rsidRPr="003D5C0B">
        <w:t xml:space="preserve">(National Notifiable Diseases Surveillance System, NNDSS), of which around </w:t>
      </w:r>
      <w:r w:rsidR="00301AF0" w:rsidRPr="003D5C0B">
        <w:t>37</w:t>
      </w:r>
      <w:r w:rsidRPr="003D5C0B">
        <w:t xml:space="preserve"> cases were caused by </w:t>
      </w:r>
      <w:proofErr w:type="spellStart"/>
      <w:r w:rsidRPr="003D5C0B">
        <w:t>MenACWY</w:t>
      </w:r>
      <w:proofErr w:type="spellEnd"/>
      <w:r w:rsidRPr="003D5C0B">
        <w:t xml:space="preserve"> in </w:t>
      </w:r>
      <w:r w:rsidR="00301AF0" w:rsidRPr="003D5C0B">
        <w:t>adolescents</w:t>
      </w:r>
      <w:r w:rsidRPr="003D5C0B">
        <w:t>, of which three died</w:t>
      </w:r>
      <w:r w:rsidR="00A31277" w:rsidRPr="003D5C0B">
        <w:t>.</w:t>
      </w:r>
      <w:r w:rsidRPr="003D5C0B">
        <w:rPr>
          <w:vertAlign w:val="superscript"/>
        </w:rPr>
        <w:footnoteReference w:id="5"/>
      </w:r>
      <w:r w:rsidR="00444893" w:rsidRPr="003D5C0B">
        <w:t xml:space="preserve"> The ESC noted the increasing number of</w:t>
      </w:r>
      <w:r w:rsidR="00AC6F16" w:rsidRPr="003D5C0B">
        <w:t xml:space="preserve"> IMD</w:t>
      </w:r>
      <w:r w:rsidR="00444893" w:rsidRPr="003D5C0B">
        <w:t xml:space="preserve"> cases </w:t>
      </w:r>
      <w:r w:rsidR="00AC6F16" w:rsidRPr="003D5C0B">
        <w:t>due to</w:t>
      </w:r>
      <w:r w:rsidR="00444893" w:rsidRPr="003D5C0B">
        <w:t xml:space="preserve"> </w:t>
      </w:r>
      <w:r w:rsidR="009A665F" w:rsidRPr="003D5C0B">
        <w:t>sero</w:t>
      </w:r>
      <w:r w:rsidR="00D47F1D" w:rsidRPr="003D5C0B">
        <w:t>group</w:t>
      </w:r>
      <w:r w:rsidR="009A665F" w:rsidRPr="003D5C0B">
        <w:t xml:space="preserve"> </w:t>
      </w:r>
      <w:r w:rsidR="00545171" w:rsidRPr="003D5C0B">
        <w:t>W</w:t>
      </w:r>
      <w:r w:rsidR="00444893" w:rsidRPr="003D5C0B">
        <w:t xml:space="preserve"> and</w:t>
      </w:r>
      <w:r w:rsidR="009A665F" w:rsidRPr="003D5C0B">
        <w:t xml:space="preserve"> that</w:t>
      </w:r>
      <w:r w:rsidR="00AC6F16" w:rsidRPr="003D5C0B">
        <w:t xml:space="preserve"> </w:t>
      </w:r>
      <w:r w:rsidR="00545171" w:rsidRPr="003D5C0B">
        <w:t xml:space="preserve">the </w:t>
      </w:r>
      <w:r w:rsidR="00444893" w:rsidRPr="003D5C0B">
        <w:t xml:space="preserve">characteristics </w:t>
      </w:r>
      <w:r w:rsidR="0062281C" w:rsidRPr="003D5C0B">
        <w:t xml:space="preserve">of </w:t>
      </w:r>
      <w:proofErr w:type="spellStart"/>
      <w:r w:rsidR="0062281C" w:rsidRPr="003D5C0B">
        <w:t>Men</w:t>
      </w:r>
      <w:r w:rsidR="00545171" w:rsidRPr="003D5C0B">
        <w:t>W</w:t>
      </w:r>
      <w:proofErr w:type="spellEnd"/>
      <w:r w:rsidR="00545171" w:rsidRPr="003D5C0B">
        <w:t xml:space="preserve"> </w:t>
      </w:r>
      <w:r w:rsidR="0062281C" w:rsidRPr="003D5C0B">
        <w:t>are</w:t>
      </w:r>
      <w:r w:rsidR="00444893" w:rsidRPr="003D5C0B">
        <w:t xml:space="preserve"> similar to those </w:t>
      </w:r>
      <w:r w:rsidR="00545171" w:rsidRPr="003D5C0B">
        <w:t xml:space="preserve">of </w:t>
      </w:r>
      <w:proofErr w:type="spellStart"/>
      <w:r w:rsidR="0062281C" w:rsidRPr="003D5C0B">
        <w:t>Men</w:t>
      </w:r>
      <w:r w:rsidR="00545171" w:rsidRPr="003D5C0B">
        <w:t>C</w:t>
      </w:r>
      <w:proofErr w:type="spellEnd"/>
      <w:r w:rsidR="00545171" w:rsidRPr="003D5C0B">
        <w:t xml:space="preserve"> with a </w:t>
      </w:r>
      <w:r w:rsidR="00AC6F16" w:rsidRPr="003D5C0B">
        <w:t xml:space="preserve">relatively </w:t>
      </w:r>
      <w:r w:rsidR="00545171" w:rsidRPr="003D5C0B">
        <w:t>high mortality rate</w:t>
      </w:r>
      <w:r w:rsidR="00444893" w:rsidRPr="003D5C0B">
        <w:t>.</w:t>
      </w:r>
    </w:p>
    <w:p w:rsidR="009C5900" w:rsidRPr="003D5C0B" w:rsidRDefault="009C5900" w:rsidP="009C5900">
      <w:pPr>
        <w:pStyle w:val="ListParagraph"/>
        <w:widowControl/>
        <w:numPr>
          <w:ilvl w:val="1"/>
          <w:numId w:val="1"/>
        </w:numPr>
      </w:pPr>
      <w:r w:rsidRPr="003D5C0B">
        <w:t xml:space="preserve">The ESC noted the significant reduction in </w:t>
      </w:r>
      <w:proofErr w:type="spellStart"/>
      <w:r w:rsidR="007618DD" w:rsidRPr="003D5C0B">
        <w:t>MenC</w:t>
      </w:r>
      <w:proofErr w:type="spellEnd"/>
      <w:r w:rsidRPr="003D5C0B">
        <w:t xml:space="preserve"> cases since </w:t>
      </w:r>
      <w:r w:rsidR="009A665F" w:rsidRPr="003D5C0B">
        <w:t xml:space="preserve">the </w:t>
      </w:r>
      <w:r w:rsidRPr="003D5C0B">
        <w:t xml:space="preserve">introduction of the </w:t>
      </w:r>
      <w:proofErr w:type="spellStart"/>
      <w:r w:rsidR="00F075E4" w:rsidRPr="003D5C0B">
        <w:t>MenC</w:t>
      </w:r>
      <w:proofErr w:type="spellEnd"/>
      <w:r w:rsidRPr="003D5C0B">
        <w:t xml:space="preserve"> vaccine for infants </w:t>
      </w:r>
      <w:r w:rsidR="00AD77E6" w:rsidRPr="003D5C0B">
        <w:t>in 2003 which included</w:t>
      </w:r>
      <w:r w:rsidRPr="003D5C0B">
        <w:t xml:space="preserve"> a catch</w:t>
      </w:r>
      <w:r w:rsidR="00E14B14">
        <w:t>-</w:t>
      </w:r>
      <w:r w:rsidRPr="003D5C0B">
        <w:t>up program</w:t>
      </w:r>
      <w:r w:rsidR="00AC6F16" w:rsidRPr="003D5C0B">
        <w:t xml:space="preserve"> in 2006 and 2007</w:t>
      </w:r>
      <w:r w:rsidRPr="003D5C0B">
        <w:t xml:space="preserve"> </w:t>
      </w:r>
      <w:r w:rsidR="00AD77E6" w:rsidRPr="003D5C0B">
        <w:t xml:space="preserve">for </w:t>
      </w:r>
      <w:r w:rsidR="00F4757B" w:rsidRPr="003D5C0B">
        <w:t xml:space="preserve">people aged 1 to 19 years of age </w:t>
      </w:r>
      <w:r w:rsidR="00F075E4" w:rsidRPr="003D5C0B">
        <w:t>(Figure 2</w:t>
      </w:r>
      <w:r w:rsidR="00AA14F5" w:rsidRPr="003D5C0B">
        <w:t>)</w:t>
      </w:r>
      <w:r w:rsidR="00AD77E6" w:rsidRPr="003D5C0B">
        <w:t>.</w:t>
      </w:r>
      <w:r w:rsidRPr="003D5C0B">
        <w:t xml:space="preserve"> </w:t>
      </w:r>
      <w:r w:rsidR="004815FD" w:rsidRPr="003D5C0B">
        <w:t xml:space="preserve">The ESC </w:t>
      </w:r>
      <w:r w:rsidR="009A665F" w:rsidRPr="003D5C0B">
        <w:t xml:space="preserve">further </w:t>
      </w:r>
      <w:r w:rsidR="004815FD" w:rsidRPr="003D5C0B">
        <w:t xml:space="preserve">noted </w:t>
      </w:r>
      <w:r w:rsidRPr="003D5C0B">
        <w:t>the low number of vaccine failures which suggests a strong immunogenic response in those vaccinated through mass immunisation programs as well as herd immunity</w:t>
      </w:r>
      <w:r w:rsidR="00EF27E0" w:rsidRPr="003D5C0B">
        <w:rPr>
          <w:rStyle w:val="FootnoteReference"/>
        </w:rPr>
        <w:footnoteReference w:id="6"/>
      </w:r>
      <w:r w:rsidRPr="003D5C0B">
        <w:t xml:space="preserve">. The ESC noted ATAGI’s caution in directly translating outcomes related to </w:t>
      </w:r>
      <w:proofErr w:type="spellStart"/>
      <w:r w:rsidR="004815FD" w:rsidRPr="003D5C0B">
        <w:t>MenC</w:t>
      </w:r>
      <w:proofErr w:type="spellEnd"/>
      <w:r w:rsidRPr="003D5C0B">
        <w:t>, including inter</w:t>
      </w:r>
      <w:r w:rsidR="00D47F1D" w:rsidRPr="003D5C0B">
        <w:t>national data, to other serogroup</w:t>
      </w:r>
      <w:r w:rsidRPr="003D5C0B">
        <w:t>s in Australia (Post-submission advice p6).</w:t>
      </w:r>
    </w:p>
    <w:p w:rsidR="003870F9" w:rsidRPr="00591871" w:rsidRDefault="00C12D52" w:rsidP="003870F9">
      <w:pPr>
        <w:pStyle w:val="ListParagraph"/>
        <w:widowControl/>
        <w:numPr>
          <w:ilvl w:val="1"/>
          <w:numId w:val="1"/>
        </w:numPr>
      </w:pPr>
      <w:r w:rsidRPr="003D5C0B">
        <w:lastRenderedPageBreak/>
        <w:t xml:space="preserve">Overall, </w:t>
      </w:r>
      <w:r w:rsidRPr="003D5C0B">
        <w:rPr>
          <w:rFonts w:cs="Calibri"/>
          <w:snapToGrid/>
          <w:szCs w:val="24"/>
          <w:lang w:val="en-US" w:eastAsia="en-AU"/>
        </w:rPr>
        <w:t>the ESC considered that the future incidence of IMD by sero</w:t>
      </w:r>
      <w:r w:rsidR="00D47F1D" w:rsidRPr="003D5C0B">
        <w:rPr>
          <w:rFonts w:cs="Calibri"/>
          <w:snapToGrid/>
          <w:szCs w:val="24"/>
          <w:lang w:val="en-US" w:eastAsia="en-AU"/>
        </w:rPr>
        <w:t>group</w:t>
      </w:r>
      <w:r w:rsidRPr="003D5C0B">
        <w:rPr>
          <w:rFonts w:cs="Calibri"/>
          <w:snapToGrid/>
          <w:szCs w:val="24"/>
          <w:lang w:val="en-US" w:eastAsia="en-AU"/>
        </w:rPr>
        <w:t xml:space="preserve"> without (and with) the </w:t>
      </w:r>
      <w:proofErr w:type="spellStart"/>
      <w:r w:rsidRPr="003D5C0B">
        <w:rPr>
          <w:rFonts w:cs="Calibri"/>
          <w:snapToGrid/>
          <w:szCs w:val="24"/>
          <w:lang w:val="en-US" w:eastAsia="en-AU"/>
        </w:rPr>
        <w:t>MenACWY</w:t>
      </w:r>
      <w:proofErr w:type="spellEnd"/>
      <w:r w:rsidRPr="003D5C0B">
        <w:rPr>
          <w:rFonts w:cs="Calibri"/>
          <w:snapToGrid/>
          <w:szCs w:val="24"/>
          <w:lang w:val="en-US" w:eastAsia="en-AU"/>
        </w:rPr>
        <w:t xml:space="preserve"> vaccine was hard to predict.</w:t>
      </w:r>
    </w:p>
    <w:p w:rsidR="00E125C8" w:rsidRPr="00E125C8" w:rsidRDefault="00591871" w:rsidP="003870F9">
      <w:pPr>
        <w:pStyle w:val="ListParagraph"/>
        <w:widowControl/>
        <w:numPr>
          <w:ilvl w:val="1"/>
          <w:numId w:val="1"/>
        </w:numPr>
      </w:pPr>
      <w:r w:rsidRPr="00E125C8">
        <w:rPr>
          <w:rFonts w:cs="Calibri"/>
          <w:snapToGrid/>
          <w:szCs w:val="24"/>
          <w:lang w:val="en-US" w:eastAsia="en-AU"/>
        </w:rPr>
        <w:t>The PBAC no</w:t>
      </w:r>
      <w:r w:rsidR="00E14574" w:rsidRPr="00E125C8">
        <w:rPr>
          <w:rFonts w:cs="Calibri"/>
          <w:snapToGrid/>
          <w:szCs w:val="24"/>
          <w:lang w:val="en-US" w:eastAsia="en-AU"/>
        </w:rPr>
        <w:t xml:space="preserve">ted the increase in </w:t>
      </w:r>
      <w:proofErr w:type="spellStart"/>
      <w:r w:rsidR="00E14574" w:rsidRPr="00E125C8">
        <w:rPr>
          <w:rFonts w:cs="Calibri"/>
          <w:snapToGrid/>
          <w:szCs w:val="24"/>
          <w:lang w:val="en-US" w:eastAsia="en-AU"/>
        </w:rPr>
        <w:t>MenW</w:t>
      </w:r>
      <w:proofErr w:type="spellEnd"/>
      <w:r w:rsidR="00E14574" w:rsidRPr="00E125C8">
        <w:rPr>
          <w:rFonts w:cs="Calibri"/>
          <w:snapToGrid/>
          <w:szCs w:val="24"/>
          <w:lang w:val="en-US" w:eastAsia="en-AU"/>
        </w:rPr>
        <w:t xml:space="preserve"> and Y </w:t>
      </w:r>
      <w:r w:rsidR="00E125C8" w:rsidRPr="00E125C8">
        <w:rPr>
          <w:rFonts w:cs="Calibri"/>
          <w:snapToGrid/>
          <w:szCs w:val="24"/>
          <w:lang w:val="en-US" w:eastAsia="en-AU"/>
        </w:rPr>
        <w:t xml:space="preserve">cases </w:t>
      </w:r>
      <w:r w:rsidR="00E14574" w:rsidRPr="00E125C8">
        <w:rPr>
          <w:rFonts w:cs="Calibri"/>
          <w:snapToGrid/>
          <w:szCs w:val="24"/>
          <w:lang w:val="en-US" w:eastAsia="en-AU"/>
        </w:rPr>
        <w:t xml:space="preserve">in </w:t>
      </w:r>
      <w:r w:rsidR="00D26022" w:rsidRPr="00E125C8">
        <w:rPr>
          <w:rFonts w:cs="Calibri"/>
          <w:snapToGrid/>
          <w:szCs w:val="24"/>
          <w:lang w:val="en-US" w:eastAsia="en-AU"/>
        </w:rPr>
        <w:t>recent</w:t>
      </w:r>
      <w:r w:rsidR="00E14574" w:rsidRPr="00E125C8">
        <w:rPr>
          <w:rFonts w:cs="Calibri"/>
          <w:snapToGrid/>
          <w:szCs w:val="24"/>
          <w:lang w:val="en-US" w:eastAsia="en-AU"/>
        </w:rPr>
        <w:t xml:space="preserve"> years. </w:t>
      </w:r>
      <w:r w:rsidR="005B7A71" w:rsidRPr="00E125C8">
        <w:rPr>
          <w:rFonts w:cs="Calibri"/>
          <w:snapToGrid/>
          <w:szCs w:val="24"/>
          <w:lang w:val="en-US" w:eastAsia="en-AU"/>
        </w:rPr>
        <w:t xml:space="preserve">The PBAC noted the </w:t>
      </w:r>
      <w:r w:rsidR="00E14574" w:rsidRPr="00E125C8">
        <w:rPr>
          <w:rFonts w:cs="Calibri"/>
          <w:snapToGrid/>
          <w:szCs w:val="24"/>
          <w:lang w:val="en-US" w:eastAsia="en-AU"/>
        </w:rPr>
        <w:t xml:space="preserve">ESC and ATAGI </w:t>
      </w:r>
      <w:r w:rsidR="004103FE" w:rsidRPr="00E125C8">
        <w:rPr>
          <w:rFonts w:cs="Calibri"/>
          <w:snapToGrid/>
          <w:szCs w:val="24"/>
          <w:lang w:val="en-US" w:eastAsia="en-AU"/>
        </w:rPr>
        <w:t>advice</w:t>
      </w:r>
      <w:r w:rsidR="004103FE">
        <w:rPr>
          <w:rFonts w:cs="Calibri"/>
          <w:snapToGrid/>
          <w:szCs w:val="24"/>
          <w:lang w:val="en-US" w:eastAsia="en-AU"/>
        </w:rPr>
        <w:t>,</w:t>
      </w:r>
      <w:r w:rsidR="00E14574" w:rsidRPr="00E125C8">
        <w:rPr>
          <w:rFonts w:cs="Calibri"/>
          <w:snapToGrid/>
          <w:szCs w:val="24"/>
          <w:lang w:val="en-US" w:eastAsia="en-AU"/>
        </w:rPr>
        <w:t xml:space="preserve"> and </w:t>
      </w:r>
      <w:r w:rsidR="00E125C8" w:rsidRPr="00E125C8">
        <w:rPr>
          <w:rFonts w:cs="Calibri"/>
          <w:snapToGrid/>
          <w:szCs w:val="24"/>
          <w:lang w:val="en-US" w:eastAsia="en-AU"/>
        </w:rPr>
        <w:t xml:space="preserve">specifically </w:t>
      </w:r>
      <w:r w:rsidR="00E14574" w:rsidRPr="00E125C8">
        <w:rPr>
          <w:rFonts w:cs="Calibri"/>
          <w:snapToGrid/>
          <w:szCs w:val="24"/>
          <w:lang w:val="en-US" w:eastAsia="en-AU"/>
        </w:rPr>
        <w:t xml:space="preserve">the </w:t>
      </w:r>
      <w:r w:rsidR="005B7A71" w:rsidRPr="00E125C8">
        <w:rPr>
          <w:rFonts w:cs="Calibri"/>
          <w:snapToGrid/>
          <w:szCs w:val="24"/>
          <w:lang w:val="en-US" w:eastAsia="en-AU"/>
        </w:rPr>
        <w:t xml:space="preserve">rapid </w:t>
      </w:r>
      <w:r w:rsidR="00B87FD3" w:rsidRPr="00E125C8">
        <w:rPr>
          <w:rFonts w:cs="Calibri"/>
          <w:snapToGrid/>
          <w:szCs w:val="24"/>
          <w:lang w:val="en-US" w:eastAsia="en-AU"/>
        </w:rPr>
        <w:t>decline</w:t>
      </w:r>
      <w:r w:rsidR="005B7A71" w:rsidRPr="00E125C8">
        <w:rPr>
          <w:rFonts w:cs="Calibri"/>
          <w:snapToGrid/>
          <w:szCs w:val="24"/>
          <w:lang w:val="en-US" w:eastAsia="en-AU"/>
        </w:rPr>
        <w:t xml:space="preserve"> in</w:t>
      </w:r>
      <w:r w:rsidR="009D6B33">
        <w:rPr>
          <w:rFonts w:cs="Calibri"/>
          <w:snapToGrid/>
          <w:szCs w:val="24"/>
          <w:lang w:val="en-US" w:eastAsia="en-AU"/>
        </w:rPr>
        <w:t xml:space="preserve"> IMD due to</w:t>
      </w:r>
      <w:r w:rsidR="005B7A71" w:rsidRPr="00E125C8">
        <w:rPr>
          <w:rFonts w:cs="Calibri"/>
          <w:snapToGrid/>
          <w:szCs w:val="24"/>
          <w:lang w:val="en-US" w:eastAsia="en-AU"/>
        </w:rPr>
        <w:t xml:space="preserve"> </w:t>
      </w:r>
      <w:proofErr w:type="spellStart"/>
      <w:r w:rsidR="005B7A71" w:rsidRPr="00E125C8">
        <w:rPr>
          <w:rFonts w:cs="Calibri"/>
          <w:snapToGrid/>
          <w:szCs w:val="24"/>
          <w:lang w:val="en-US" w:eastAsia="en-AU"/>
        </w:rPr>
        <w:t>MenC</w:t>
      </w:r>
      <w:proofErr w:type="spellEnd"/>
      <w:r w:rsidR="005B7A71" w:rsidRPr="00E125C8">
        <w:rPr>
          <w:rFonts w:cs="Calibri"/>
          <w:snapToGrid/>
          <w:szCs w:val="24"/>
          <w:lang w:val="en-US" w:eastAsia="en-AU"/>
        </w:rPr>
        <w:t xml:space="preserve"> post</w:t>
      </w:r>
      <w:r w:rsidR="00E125C8" w:rsidRPr="00E125C8">
        <w:rPr>
          <w:rFonts w:cs="Calibri"/>
          <w:snapToGrid/>
          <w:szCs w:val="24"/>
          <w:lang w:val="en-US" w:eastAsia="en-AU"/>
        </w:rPr>
        <w:t xml:space="preserve"> the</w:t>
      </w:r>
      <w:r w:rsidR="005B7A71" w:rsidRPr="00E125C8">
        <w:rPr>
          <w:rFonts w:cs="Calibri"/>
          <w:snapToGrid/>
          <w:szCs w:val="24"/>
          <w:lang w:val="en-US" w:eastAsia="en-AU"/>
        </w:rPr>
        <w:t xml:space="preserve"> </w:t>
      </w:r>
      <w:r w:rsidR="0057619E">
        <w:rPr>
          <w:rFonts w:cs="Calibri"/>
          <w:snapToGrid/>
          <w:szCs w:val="24"/>
          <w:lang w:val="en-US" w:eastAsia="en-AU"/>
        </w:rPr>
        <w:t xml:space="preserve">introduction of the </w:t>
      </w:r>
      <w:proofErr w:type="spellStart"/>
      <w:r w:rsidR="0057619E">
        <w:rPr>
          <w:rFonts w:cs="Calibri"/>
          <w:snapToGrid/>
          <w:szCs w:val="24"/>
          <w:lang w:val="en-US" w:eastAsia="en-AU"/>
        </w:rPr>
        <w:t>MenC</w:t>
      </w:r>
      <w:proofErr w:type="spellEnd"/>
      <w:r w:rsidR="0057619E">
        <w:rPr>
          <w:rFonts w:cs="Calibri"/>
          <w:snapToGrid/>
          <w:szCs w:val="24"/>
          <w:lang w:val="en-US" w:eastAsia="en-AU"/>
        </w:rPr>
        <w:t xml:space="preserve"> vaccine on to the N</w:t>
      </w:r>
      <w:r w:rsidR="00E125C8">
        <w:rPr>
          <w:rFonts w:cs="Calibri"/>
          <w:snapToGrid/>
          <w:szCs w:val="24"/>
          <w:lang w:val="en-US" w:eastAsia="en-AU"/>
        </w:rPr>
        <w:t xml:space="preserve">ational </w:t>
      </w:r>
      <w:proofErr w:type="spellStart"/>
      <w:r w:rsidR="0057619E">
        <w:rPr>
          <w:rFonts w:cs="Calibri"/>
          <w:snapToGrid/>
          <w:szCs w:val="24"/>
          <w:lang w:val="en-US" w:eastAsia="en-AU"/>
        </w:rPr>
        <w:t>Immunisation</w:t>
      </w:r>
      <w:proofErr w:type="spellEnd"/>
      <w:r w:rsidR="0057619E">
        <w:rPr>
          <w:rFonts w:cs="Calibri"/>
          <w:snapToGrid/>
          <w:szCs w:val="24"/>
          <w:lang w:val="en-US" w:eastAsia="en-AU"/>
        </w:rPr>
        <w:t xml:space="preserve"> P</w:t>
      </w:r>
      <w:r w:rsidR="005B7A71" w:rsidRPr="00E125C8">
        <w:rPr>
          <w:rFonts w:cs="Calibri"/>
          <w:snapToGrid/>
          <w:szCs w:val="24"/>
          <w:lang w:val="en-US" w:eastAsia="en-AU"/>
        </w:rPr>
        <w:t xml:space="preserve">rogram, </w:t>
      </w:r>
      <w:r w:rsidR="00B87FD3" w:rsidRPr="00E125C8">
        <w:rPr>
          <w:rFonts w:cs="Calibri"/>
          <w:snapToGrid/>
          <w:szCs w:val="24"/>
          <w:lang w:val="en-US" w:eastAsia="en-AU"/>
        </w:rPr>
        <w:t xml:space="preserve">and </w:t>
      </w:r>
      <w:r w:rsidR="005B7A71" w:rsidRPr="00E125C8">
        <w:rPr>
          <w:rFonts w:cs="Calibri"/>
          <w:snapToGrid/>
          <w:szCs w:val="24"/>
          <w:lang w:val="en-US" w:eastAsia="en-AU"/>
        </w:rPr>
        <w:t xml:space="preserve">the decline of </w:t>
      </w:r>
      <w:proofErr w:type="spellStart"/>
      <w:r w:rsidR="005B7A71" w:rsidRPr="00E125C8">
        <w:rPr>
          <w:rFonts w:cs="Calibri"/>
          <w:snapToGrid/>
          <w:szCs w:val="24"/>
          <w:lang w:val="en-US" w:eastAsia="en-AU"/>
        </w:rPr>
        <w:t>MenB</w:t>
      </w:r>
      <w:proofErr w:type="spellEnd"/>
      <w:r w:rsidR="005B7A71" w:rsidRPr="00E125C8">
        <w:rPr>
          <w:rFonts w:cs="Calibri"/>
          <w:snapToGrid/>
          <w:szCs w:val="24"/>
          <w:lang w:val="en-US" w:eastAsia="en-AU"/>
        </w:rPr>
        <w:t xml:space="preserve"> </w:t>
      </w:r>
      <w:r w:rsidR="009D6B33">
        <w:rPr>
          <w:rFonts w:cs="Calibri"/>
          <w:snapToGrid/>
          <w:szCs w:val="24"/>
          <w:lang w:val="en-US" w:eastAsia="en-AU"/>
        </w:rPr>
        <w:t xml:space="preserve">cases </w:t>
      </w:r>
      <w:r w:rsidR="005B7A71" w:rsidRPr="00E125C8">
        <w:rPr>
          <w:rFonts w:cs="Calibri"/>
          <w:snapToGrid/>
          <w:szCs w:val="24"/>
          <w:lang w:val="en-US" w:eastAsia="en-AU"/>
        </w:rPr>
        <w:t>in the absence of a</w:t>
      </w:r>
      <w:r w:rsidR="00E125C8">
        <w:rPr>
          <w:rFonts w:cs="Calibri"/>
          <w:snapToGrid/>
          <w:szCs w:val="24"/>
          <w:lang w:val="en-US" w:eastAsia="en-AU"/>
        </w:rPr>
        <w:t xml:space="preserve"> national</w:t>
      </w:r>
      <w:r w:rsidR="005B7A71" w:rsidRPr="00E125C8">
        <w:rPr>
          <w:rFonts w:cs="Calibri"/>
          <w:snapToGrid/>
          <w:szCs w:val="24"/>
          <w:lang w:val="en-US" w:eastAsia="en-AU"/>
        </w:rPr>
        <w:t xml:space="preserve"> </w:t>
      </w:r>
      <w:proofErr w:type="spellStart"/>
      <w:r w:rsidR="005B7A71" w:rsidRPr="00E125C8">
        <w:rPr>
          <w:rFonts w:cs="Calibri"/>
          <w:snapToGrid/>
          <w:szCs w:val="24"/>
          <w:lang w:val="en-US" w:eastAsia="en-AU"/>
        </w:rPr>
        <w:t>immunisation</w:t>
      </w:r>
      <w:proofErr w:type="spellEnd"/>
      <w:r w:rsidR="005B7A71" w:rsidRPr="00E125C8">
        <w:rPr>
          <w:rFonts w:cs="Calibri"/>
          <w:snapToGrid/>
          <w:szCs w:val="24"/>
          <w:lang w:val="en-US" w:eastAsia="en-AU"/>
        </w:rPr>
        <w:t xml:space="preserve"> program</w:t>
      </w:r>
      <w:r w:rsidR="00E125C8">
        <w:rPr>
          <w:rFonts w:cs="Calibri"/>
          <w:snapToGrid/>
          <w:szCs w:val="24"/>
          <w:lang w:val="en-US" w:eastAsia="en-AU"/>
        </w:rPr>
        <w:t xml:space="preserve">. Overall the PBAC noted </w:t>
      </w:r>
      <w:r w:rsidR="005B7A71" w:rsidRPr="00E125C8">
        <w:rPr>
          <w:rFonts w:cs="Calibri"/>
          <w:snapToGrid/>
          <w:szCs w:val="24"/>
          <w:lang w:val="en-US" w:eastAsia="en-AU"/>
        </w:rPr>
        <w:t xml:space="preserve">the variability </w:t>
      </w:r>
      <w:r w:rsidR="00E125C8">
        <w:rPr>
          <w:rFonts w:cs="Calibri"/>
          <w:snapToGrid/>
          <w:szCs w:val="24"/>
          <w:lang w:val="en-US" w:eastAsia="en-AU"/>
        </w:rPr>
        <w:t>in the number of</w:t>
      </w:r>
      <w:r w:rsidR="00E125C8" w:rsidRPr="00E125C8">
        <w:rPr>
          <w:rFonts w:cs="Calibri"/>
          <w:snapToGrid/>
          <w:szCs w:val="24"/>
          <w:lang w:val="en-US" w:eastAsia="en-AU"/>
        </w:rPr>
        <w:t xml:space="preserve"> </w:t>
      </w:r>
      <w:r w:rsidR="005B7A71" w:rsidRPr="00E125C8">
        <w:rPr>
          <w:rFonts w:cs="Calibri"/>
          <w:snapToGrid/>
          <w:szCs w:val="24"/>
          <w:lang w:val="en-US" w:eastAsia="en-AU"/>
        </w:rPr>
        <w:t xml:space="preserve">meningococcal </w:t>
      </w:r>
      <w:r w:rsidR="00E125C8">
        <w:rPr>
          <w:rFonts w:cs="Calibri"/>
          <w:snapToGrid/>
          <w:szCs w:val="24"/>
          <w:lang w:val="en-US" w:eastAsia="en-AU"/>
        </w:rPr>
        <w:t>cases over time</w:t>
      </w:r>
      <w:r w:rsidR="00E125C8" w:rsidRPr="00E125C8">
        <w:rPr>
          <w:rFonts w:cs="Calibri"/>
          <w:snapToGrid/>
          <w:szCs w:val="24"/>
          <w:lang w:val="en-US" w:eastAsia="en-AU"/>
        </w:rPr>
        <w:t xml:space="preserve"> </w:t>
      </w:r>
      <w:r w:rsidR="00E14574" w:rsidRPr="00E125C8">
        <w:rPr>
          <w:rFonts w:cs="Calibri"/>
          <w:snapToGrid/>
          <w:szCs w:val="24"/>
          <w:lang w:val="en-US" w:eastAsia="en-AU"/>
        </w:rPr>
        <w:t xml:space="preserve">and </w:t>
      </w:r>
      <w:r w:rsidR="004103FE">
        <w:rPr>
          <w:rFonts w:cs="Calibri"/>
          <w:snapToGrid/>
          <w:szCs w:val="24"/>
          <w:lang w:val="en-US" w:eastAsia="en-AU"/>
        </w:rPr>
        <w:t xml:space="preserve">considered </w:t>
      </w:r>
      <w:r w:rsidR="00E125C8">
        <w:rPr>
          <w:rFonts w:cs="Calibri"/>
          <w:snapToGrid/>
          <w:szCs w:val="24"/>
          <w:lang w:val="en-US" w:eastAsia="en-AU"/>
        </w:rPr>
        <w:t xml:space="preserve">that it is </w:t>
      </w:r>
      <w:r w:rsidR="00E14574" w:rsidRPr="00E125C8">
        <w:rPr>
          <w:rFonts w:cs="Calibri"/>
          <w:snapToGrid/>
          <w:szCs w:val="24"/>
          <w:lang w:val="en-US" w:eastAsia="en-AU"/>
        </w:rPr>
        <w:t>difficult</w:t>
      </w:r>
      <w:r w:rsidR="00E125C8">
        <w:rPr>
          <w:rFonts w:cs="Calibri"/>
          <w:snapToGrid/>
          <w:szCs w:val="24"/>
          <w:lang w:val="en-US" w:eastAsia="en-AU"/>
        </w:rPr>
        <w:t xml:space="preserve"> to</w:t>
      </w:r>
      <w:r w:rsidR="00E14574" w:rsidRPr="00E125C8">
        <w:rPr>
          <w:rFonts w:cs="Calibri"/>
          <w:snapToGrid/>
          <w:szCs w:val="24"/>
          <w:lang w:val="en-US" w:eastAsia="en-AU"/>
        </w:rPr>
        <w:t xml:space="preserve"> predict </w:t>
      </w:r>
      <w:r w:rsidR="00E125C8">
        <w:rPr>
          <w:rFonts w:cs="Calibri"/>
          <w:snapToGrid/>
          <w:szCs w:val="24"/>
          <w:lang w:val="en-US" w:eastAsia="en-AU"/>
        </w:rPr>
        <w:t xml:space="preserve">future </w:t>
      </w:r>
      <w:r w:rsidR="00E14574" w:rsidRPr="00E125C8">
        <w:rPr>
          <w:rFonts w:cs="Calibri"/>
          <w:snapToGrid/>
          <w:szCs w:val="24"/>
          <w:lang w:val="en-US" w:eastAsia="en-AU"/>
        </w:rPr>
        <w:t xml:space="preserve">trends. </w:t>
      </w:r>
    </w:p>
    <w:p w:rsidR="00591871" w:rsidRPr="00E125C8" w:rsidRDefault="00954A37" w:rsidP="003870F9">
      <w:pPr>
        <w:pStyle w:val="ListParagraph"/>
        <w:widowControl/>
        <w:numPr>
          <w:ilvl w:val="1"/>
          <w:numId w:val="1"/>
        </w:numPr>
      </w:pPr>
      <w:r>
        <w:rPr>
          <w:rFonts w:cs="Calibri"/>
          <w:snapToGrid/>
          <w:szCs w:val="24"/>
          <w:lang w:val="en-US" w:eastAsia="en-AU"/>
        </w:rPr>
        <w:t>The PBAC noted</w:t>
      </w:r>
      <w:r w:rsidR="00B77A5C">
        <w:rPr>
          <w:rFonts w:cs="Calibri"/>
          <w:snapToGrid/>
          <w:szCs w:val="24"/>
          <w:lang w:val="en-US" w:eastAsia="en-AU"/>
        </w:rPr>
        <w:t xml:space="preserve"> </w:t>
      </w:r>
      <w:r w:rsidR="002D6074">
        <w:rPr>
          <w:rFonts w:cs="Calibri"/>
          <w:snapToGrid/>
          <w:szCs w:val="24"/>
          <w:lang w:val="en-US" w:eastAsia="en-AU"/>
        </w:rPr>
        <w:t>that</w:t>
      </w:r>
      <w:r>
        <w:rPr>
          <w:rFonts w:cs="Calibri"/>
          <w:snapToGrid/>
          <w:szCs w:val="24"/>
          <w:lang w:val="en-US" w:eastAsia="en-AU"/>
        </w:rPr>
        <w:t xml:space="preserve"> in the adolescent age group (ages 15-19 years) that the majority of cases of IMD were due to </w:t>
      </w:r>
      <w:proofErr w:type="spellStart"/>
      <w:r>
        <w:rPr>
          <w:rFonts w:cs="Calibri"/>
          <w:snapToGrid/>
          <w:szCs w:val="24"/>
          <w:lang w:val="en-US" w:eastAsia="en-AU"/>
        </w:rPr>
        <w:t>MenB</w:t>
      </w:r>
      <w:proofErr w:type="spellEnd"/>
      <w:r>
        <w:rPr>
          <w:rFonts w:cs="Calibri"/>
          <w:snapToGrid/>
          <w:szCs w:val="24"/>
          <w:lang w:val="en-US" w:eastAsia="en-AU"/>
        </w:rPr>
        <w:t>, followe</w:t>
      </w:r>
      <w:r w:rsidR="007C7C4A">
        <w:rPr>
          <w:rFonts w:cs="Calibri"/>
          <w:snapToGrid/>
          <w:szCs w:val="24"/>
          <w:lang w:val="en-US" w:eastAsia="en-AU"/>
        </w:rPr>
        <w:t xml:space="preserve">d by </w:t>
      </w:r>
      <w:proofErr w:type="spellStart"/>
      <w:r w:rsidR="007C7C4A">
        <w:rPr>
          <w:rFonts w:cs="Calibri"/>
          <w:snapToGrid/>
          <w:szCs w:val="24"/>
          <w:lang w:val="en-US" w:eastAsia="en-AU"/>
        </w:rPr>
        <w:t>MenW</w:t>
      </w:r>
      <w:proofErr w:type="spellEnd"/>
      <w:r w:rsidR="007C7C4A">
        <w:rPr>
          <w:rFonts w:cs="Calibri"/>
          <w:snapToGrid/>
          <w:szCs w:val="24"/>
          <w:lang w:val="en-US" w:eastAsia="en-AU"/>
        </w:rPr>
        <w:t xml:space="preserve"> with very few cases due to</w:t>
      </w:r>
      <w:r>
        <w:rPr>
          <w:rFonts w:cs="Calibri"/>
          <w:snapToGrid/>
          <w:szCs w:val="24"/>
          <w:lang w:val="en-US" w:eastAsia="en-AU"/>
        </w:rPr>
        <w:t xml:space="preserve"> </w:t>
      </w:r>
      <w:proofErr w:type="spellStart"/>
      <w:r>
        <w:rPr>
          <w:rFonts w:cs="Calibri"/>
          <w:snapToGrid/>
          <w:szCs w:val="24"/>
          <w:lang w:val="en-US" w:eastAsia="en-AU"/>
        </w:rPr>
        <w:t>MenY</w:t>
      </w:r>
      <w:proofErr w:type="spellEnd"/>
      <w:r>
        <w:rPr>
          <w:rFonts w:cs="Calibri"/>
          <w:snapToGrid/>
          <w:szCs w:val="24"/>
          <w:lang w:val="en-US" w:eastAsia="en-AU"/>
        </w:rPr>
        <w:t xml:space="preserve"> and </w:t>
      </w:r>
      <w:proofErr w:type="spellStart"/>
      <w:r>
        <w:rPr>
          <w:rFonts w:cs="Calibri"/>
          <w:snapToGrid/>
          <w:szCs w:val="24"/>
          <w:lang w:val="en-US" w:eastAsia="en-AU"/>
        </w:rPr>
        <w:t>MenC</w:t>
      </w:r>
      <w:proofErr w:type="spellEnd"/>
      <w:r w:rsidR="004103FE">
        <w:rPr>
          <w:rFonts w:cs="Calibri"/>
          <w:snapToGrid/>
          <w:szCs w:val="24"/>
          <w:lang w:val="en-US" w:eastAsia="en-AU"/>
        </w:rPr>
        <w:t xml:space="preserve"> (see Figure 3)</w:t>
      </w:r>
      <w:r>
        <w:rPr>
          <w:rFonts w:cs="Calibri"/>
          <w:snapToGrid/>
          <w:szCs w:val="24"/>
          <w:lang w:val="en-US" w:eastAsia="en-AU"/>
        </w:rPr>
        <w:t xml:space="preserve">. In contrast, in the older age groups (45-64 years and 65+ years) a much higher proportion of IMD cases were due to </w:t>
      </w:r>
      <w:proofErr w:type="spellStart"/>
      <w:r>
        <w:rPr>
          <w:rFonts w:cs="Calibri"/>
          <w:snapToGrid/>
          <w:szCs w:val="24"/>
          <w:lang w:val="en-US" w:eastAsia="en-AU"/>
        </w:rPr>
        <w:t>MenW</w:t>
      </w:r>
      <w:proofErr w:type="spellEnd"/>
      <w:r>
        <w:rPr>
          <w:rFonts w:cs="Calibri"/>
          <w:snapToGrid/>
          <w:szCs w:val="24"/>
          <w:lang w:val="en-US" w:eastAsia="en-AU"/>
        </w:rPr>
        <w:t xml:space="preserve"> and </w:t>
      </w:r>
      <w:proofErr w:type="spellStart"/>
      <w:r>
        <w:rPr>
          <w:rFonts w:cs="Calibri"/>
          <w:snapToGrid/>
          <w:szCs w:val="24"/>
          <w:lang w:val="en-US" w:eastAsia="en-AU"/>
        </w:rPr>
        <w:t>MenY</w:t>
      </w:r>
      <w:proofErr w:type="spellEnd"/>
      <w:r>
        <w:rPr>
          <w:rFonts w:cs="Calibri"/>
          <w:snapToGrid/>
          <w:szCs w:val="24"/>
          <w:lang w:val="en-US" w:eastAsia="en-AU"/>
        </w:rPr>
        <w:t>.</w:t>
      </w:r>
    </w:p>
    <w:p w:rsidR="002D6074" w:rsidRPr="00B77A5C" w:rsidRDefault="002D6074" w:rsidP="004103FE">
      <w:pPr>
        <w:pStyle w:val="ListParagraph"/>
        <w:keepNext/>
        <w:ind w:left="709"/>
        <w:rPr>
          <w:rFonts w:ascii="Arial" w:hAnsi="Arial"/>
          <w:b/>
          <w:sz w:val="20"/>
          <w:szCs w:val="20"/>
        </w:rPr>
      </w:pPr>
      <w:r w:rsidRPr="00E832B8">
        <w:rPr>
          <w:rFonts w:ascii="Arial" w:hAnsi="Arial"/>
          <w:b/>
          <w:sz w:val="20"/>
          <w:szCs w:val="20"/>
        </w:rPr>
        <w:t>Figure 3</w:t>
      </w:r>
      <w:r w:rsidR="00904B1B" w:rsidRPr="00E832B8">
        <w:rPr>
          <w:rFonts w:ascii="Arial" w:hAnsi="Arial"/>
          <w:b/>
          <w:sz w:val="20"/>
          <w:szCs w:val="20"/>
        </w:rPr>
        <w:t>: Notifications and rates of IMD in Australia (2017) by age group and serogroup</w:t>
      </w:r>
    </w:p>
    <w:p w:rsidR="00B664DD" w:rsidRDefault="00B664DD" w:rsidP="00E45BF0">
      <w:pPr>
        <w:pStyle w:val="ListParagraph"/>
        <w:ind w:left="709"/>
        <w:rPr>
          <w:rFonts w:asciiTheme="minorHAnsi" w:hAnsiTheme="minorHAnsi"/>
          <w:i/>
        </w:rPr>
      </w:pPr>
      <w:r w:rsidRPr="00B664DD">
        <w:rPr>
          <w:rFonts w:asciiTheme="minorHAnsi" w:hAnsiTheme="minorHAnsi"/>
          <w:i/>
          <w:noProof/>
          <w:lang w:eastAsia="en-AU"/>
        </w:rPr>
        <w:drawing>
          <wp:inline distT="0" distB="0" distL="0" distR="0" wp14:anchorId="68646E76" wp14:editId="6FEE8F90">
            <wp:extent cx="4809507" cy="2909455"/>
            <wp:effectExtent l="0" t="0" r="0" b="5715"/>
            <wp:docPr id="7" name="Content Placeholder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w15="http://schemas.microsoft.com/office/word/2012/wordml" id="{D3ADAC72-FCA3-4CB9-B280-A016E5D3AEDF}"/>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w15="http://schemas.microsoft.com/office/word/2012/wordml" id="{D3ADAC72-FCA3-4CB9-B280-A016E5D3AEDF}"/>
                        </a:ext>
                      </a:extLst>
                    </pic:cNvPr>
                    <pic:cNvPicPr>
                      <a:picLocks noGrp="1"/>
                    </pic:cNvPicPr>
                  </pic:nvPicPr>
                  <pic:blipFill>
                    <a:blip r:embed="rId11"/>
                    <a:stretch>
                      <a:fillRect/>
                    </a:stretch>
                  </pic:blipFill>
                  <pic:spPr>
                    <a:xfrm>
                      <a:off x="0" y="0"/>
                      <a:ext cx="4806457" cy="2907610"/>
                    </a:xfrm>
                    <a:prstGeom prst="rect">
                      <a:avLst/>
                    </a:prstGeom>
                  </pic:spPr>
                </pic:pic>
              </a:graphicData>
            </a:graphic>
          </wp:inline>
        </w:drawing>
      </w:r>
    </w:p>
    <w:p w:rsidR="00C4770A" w:rsidRDefault="00C4770A" w:rsidP="00C4770A">
      <w:pPr>
        <w:pStyle w:val="TableFooter"/>
      </w:pPr>
      <w:r>
        <w:t xml:space="preserve">Source: Invasive Meningococcal Disease National Surveillance Report – with a focus on </w:t>
      </w:r>
      <w:proofErr w:type="spellStart"/>
      <w:r>
        <w:t>MenW</w:t>
      </w:r>
      <w:proofErr w:type="spellEnd"/>
      <w:r>
        <w:t>, Australian Government Department of Health, 30 September 2017</w:t>
      </w:r>
    </w:p>
    <w:p w:rsidR="00C4770A" w:rsidRPr="00C4770A" w:rsidRDefault="00C4770A" w:rsidP="00C4770A">
      <w:pPr>
        <w:rPr>
          <w:rFonts w:asciiTheme="minorHAnsi" w:hAnsiTheme="minorHAnsi"/>
          <w:i/>
        </w:rPr>
      </w:pPr>
    </w:p>
    <w:p w:rsidR="00E45BF0" w:rsidRDefault="00E45BF0" w:rsidP="00C4770A">
      <w:pPr>
        <w:pStyle w:val="ListParagraph"/>
        <w:ind w:left="709"/>
        <w:rPr>
          <w:rFonts w:asciiTheme="minorHAnsi" w:hAnsiTheme="minorHAnsi"/>
          <w:i/>
        </w:rPr>
      </w:pPr>
      <w:r w:rsidRPr="00E45BF0">
        <w:rPr>
          <w:rFonts w:asciiTheme="minorHAnsi" w:hAnsiTheme="minorHAnsi"/>
          <w:i/>
        </w:rPr>
        <w:t>For more detail on PBAC’s view, see section 7 PBAC outcome.</w:t>
      </w:r>
    </w:p>
    <w:p w:rsidR="00C4770A" w:rsidRPr="00C4770A" w:rsidRDefault="00C4770A" w:rsidP="00C4770A">
      <w:pPr>
        <w:pStyle w:val="ListParagraph"/>
        <w:ind w:left="709"/>
        <w:rPr>
          <w:rFonts w:asciiTheme="minorHAnsi" w:hAnsiTheme="minorHAnsi"/>
          <w:i/>
        </w:rPr>
      </w:pPr>
    </w:p>
    <w:p w:rsidR="00B50DB8" w:rsidRPr="00C22DB8" w:rsidRDefault="00B50DB8" w:rsidP="00C22DB8">
      <w:pPr>
        <w:pStyle w:val="Heading1"/>
        <w:numPr>
          <w:ilvl w:val="0"/>
          <w:numId w:val="1"/>
        </w:numPr>
        <w:spacing w:before="240" w:after="120"/>
        <w:jc w:val="both"/>
        <w:rPr>
          <w:szCs w:val="32"/>
        </w:rPr>
      </w:pPr>
      <w:bookmarkStart w:id="4" w:name="_Toc501621775"/>
      <w:r w:rsidRPr="00C22DB8">
        <w:rPr>
          <w:szCs w:val="32"/>
        </w:rPr>
        <w:t>Comparator</w:t>
      </w:r>
      <w:bookmarkEnd w:id="4"/>
    </w:p>
    <w:p w:rsidR="005D2B6A" w:rsidRPr="00590BD8" w:rsidRDefault="003870F9" w:rsidP="005D2B6A">
      <w:pPr>
        <w:pStyle w:val="ListParagraph"/>
        <w:widowControl/>
        <w:numPr>
          <w:ilvl w:val="1"/>
          <w:numId w:val="1"/>
        </w:numPr>
        <w:rPr>
          <w:rFonts w:cs="Calibri"/>
          <w:snapToGrid/>
          <w:szCs w:val="24"/>
          <w:lang w:val="en-US" w:eastAsia="en-AU"/>
        </w:rPr>
      </w:pPr>
      <w:r w:rsidRPr="00301AF0">
        <w:rPr>
          <w:rFonts w:cs="Calibri"/>
          <w:snapToGrid/>
          <w:szCs w:val="24"/>
          <w:lang w:val="en-US" w:eastAsia="en-AU"/>
        </w:rPr>
        <w:t xml:space="preserve">The submission nominated no </w:t>
      </w:r>
      <w:r w:rsidR="00301AF0" w:rsidRPr="00301AF0">
        <w:rPr>
          <w:rFonts w:cs="Calibri"/>
          <w:snapToGrid/>
          <w:szCs w:val="24"/>
          <w:lang w:val="en-US" w:eastAsia="en-AU"/>
        </w:rPr>
        <w:t>vaccine</w:t>
      </w:r>
      <w:r w:rsidRPr="00301AF0">
        <w:rPr>
          <w:rFonts w:cs="Calibri"/>
          <w:snapToGrid/>
          <w:szCs w:val="24"/>
          <w:lang w:val="en-US" w:eastAsia="en-AU"/>
        </w:rPr>
        <w:t xml:space="preserve"> as the main comparator. Th</w:t>
      </w:r>
      <w:r w:rsidR="009A665F">
        <w:rPr>
          <w:rFonts w:cs="Calibri"/>
          <w:snapToGrid/>
          <w:szCs w:val="24"/>
          <w:lang w:val="en-US" w:eastAsia="en-AU"/>
        </w:rPr>
        <w:t xml:space="preserve">is was on the basis of there being </w:t>
      </w:r>
      <w:r w:rsidR="00301AF0" w:rsidRPr="00301AF0">
        <w:t xml:space="preserve">no </w:t>
      </w:r>
      <w:r w:rsidR="00A31277">
        <w:t xml:space="preserve">national </w:t>
      </w:r>
      <w:r w:rsidR="00301AF0" w:rsidRPr="00301AF0">
        <w:t xml:space="preserve">immunisation program for adolescents for the prevention of IMD. </w:t>
      </w:r>
      <w:r w:rsidR="00BD7420">
        <w:t>However</w:t>
      </w:r>
      <w:r w:rsidR="00A31277" w:rsidRPr="00590BD8">
        <w:t xml:space="preserve">, </w:t>
      </w:r>
      <w:r w:rsidR="00AA68DC" w:rsidRPr="00590BD8">
        <w:t xml:space="preserve">currently </w:t>
      </w:r>
      <w:r w:rsidR="00301AF0" w:rsidRPr="00590BD8">
        <w:t xml:space="preserve">there are several </w:t>
      </w:r>
      <w:r w:rsidR="00BC60D5" w:rsidRPr="00590BD8">
        <w:t>State</w:t>
      </w:r>
      <w:r w:rsidR="00301AF0" w:rsidRPr="00590BD8">
        <w:t xml:space="preserve">-based meningococcal programs </w:t>
      </w:r>
      <w:r w:rsidR="00301AF0" w:rsidRPr="00590BD8">
        <w:lastRenderedPageBreak/>
        <w:t xml:space="preserve">for the provision of </w:t>
      </w:r>
      <w:proofErr w:type="spellStart"/>
      <w:r w:rsidR="00301AF0" w:rsidRPr="00590BD8">
        <w:t>MenACWY</w:t>
      </w:r>
      <w:proofErr w:type="spellEnd"/>
      <w:r w:rsidR="00301AF0" w:rsidRPr="00590BD8">
        <w:t xml:space="preserve"> vaccines.</w:t>
      </w:r>
      <w:r w:rsidR="005D2B6A" w:rsidRPr="003D5C0B">
        <w:rPr>
          <w:rFonts w:cs="Calibri"/>
          <w:snapToGrid/>
          <w:szCs w:val="24"/>
          <w:lang w:val="en-US" w:eastAsia="en-AU"/>
        </w:rPr>
        <w:t xml:space="preserve"> </w:t>
      </w:r>
      <w:r w:rsidR="006C4EA6" w:rsidRPr="00175691">
        <w:t xml:space="preserve">The PBAC </w:t>
      </w:r>
      <w:r w:rsidR="00175691">
        <w:t>noted</w:t>
      </w:r>
      <w:r w:rsidR="006C4EA6" w:rsidRPr="00175691">
        <w:t xml:space="preserve"> that whilst the State-Based programs are in place, they have varied inclusion criteria and coverage</w:t>
      </w:r>
      <w:r w:rsidR="00175691">
        <w:t xml:space="preserve"> (see Table 2)</w:t>
      </w:r>
      <w:r w:rsidR="006C4EA6" w:rsidRPr="00175691">
        <w:t xml:space="preserve">. </w:t>
      </w:r>
      <w:r w:rsidR="005D2B6A" w:rsidRPr="00175691">
        <w:rPr>
          <w:rFonts w:cs="Calibri"/>
          <w:snapToGrid/>
          <w:szCs w:val="24"/>
          <w:lang w:val="en-US" w:eastAsia="en-AU"/>
        </w:rPr>
        <w:t>Th</w:t>
      </w:r>
      <w:r w:rsidR="005D2B6A" w:rsidRPr="003D5C0B">
        <w:rPr>
          <w:rFonts w:cs="Calibri"/>
          <w:snapToGrid/>
          <w:szCs w:val="24"/>
          <w:lang w:val="en-US" w:eastAsia="en-AU"/>
        </w:rPr>
        <w:t xml:space="preserve">e ESC </w:t>
      </w:r>
      <w:r w:rsidR="00591871" w:rsidRPr="00954A37">
        <w:rPr>
          <w:rFonts w:cs="Calibri"/>
          <w:snapToGrid/>
          <w:szCs w:val="24"/>
          <w:lang w:val="en-US" w:eastAsia="en-AU"/>
        </w:rPr>
        <w:t>and PBAC</w:t>
      </w:r>
      <w:r w:rsidR="00591871">
        <w:rPr>
          <w:rFonts w:cs="Calibri"/>
          <w:i/>
          <w:snapToGrid/>
          <w:szCs w:val="24"/>
          <w:lang w:val="en-US" w:eastAsia="en-AU"/>
        </w:rPr>
        <w:t xml:space="preserve"> </w:t>
      </w:r>
      <w:r w:rsidR="007C7C4A">
        <w:rPr>
          <w:rFonts w:cs="Calibri"/>
          <w:snapToGrid/>
          <w:szCs w:val="24"/>
          <w:lang w:val="en-US" w:eastAsia="en-AU"/>
        </w:rPr>
        <w:t>considered</w:t>
      </w:r>
      <w:r w:rsidR="005D2B6A" w:rsidRPr="003D5C0B">
        <w:rPr>
          <w:rFonts w:cs="Calibri"/>
          <w:snapToGrid/>
          <w:szCs w:val="24"/>
          <w:lang w:val="en-US" w:eastAsia="en-AU"/>
        </w:rPr>
        <w:t xml:space="preserve"> that the nominated comparator was appropriate. </w:t>
      </w:r>
    </w:p>
    <w:p w:rsidR="00C4770A" w:rsidRPr="006558DA" w:rsidRDefault="00301AF0" w:rsidP="00C4770A">
      <w:pPr>
        <w:pStyle w:val="ListParagraph"/>
        <w:widowControl/>
        <w:numPr>
          <w:ilvl w:val="1"/>
          <w:numId w:val="1"/>
        </w:numPr>
        <w:rPr>
          <w:rFonts w:asciiTheme="minorHAnsi" w:hAnsiTheme="minorHAnsi"/>
          <w:i/>
        </w:rPr>
      </w:pPr>
      <w:r w:rsidRPr="006558DA">
        <w:rPr>
          <w:rFonts w:cs="Calibri"/>
          <w:snapToGrid/>
          <w:szCs w:val="24"/>
          <w:lang w:val="en-US" w:eastAsia="en-AU"/>
        </w:rPr>
        <w:t xml:space="preserve">The submission noted that there are two other </w:t>
      </w:r>
      <w:proofErr w:type="spellStart"/>
      <w:r w:rsidRPr="006558DA">
        <w:rPr>
          <w:rFonts w:cs="Calibri"/>
          <w:snapToGrid/>
          <w:szCs w:val="24"/>
          <w:lang w:val="en-US" w:eastAsia="en-AU"/>
        </w:rPr>
        <w:t>quadrivalent</w:t>
      </w:r>
      <w:proofErr w:type="spellEnd"/>
      <w:r w:rsidRPr="006558DA">
        <w:rPr>
          <w:rFonts w:cs="Calibri"/>
          <w:snapToGrid/>
          <w:szCs w:val="24"/>
          <w:lang w:val="en-US" w:eastAsia="en-AU"/>
        </w:rPr>
        <w:t xml:space="preserve"> meningococcal conjugate (</w:t>
      </w:r>
      <w:proofErr w:type="spellStart"/>
      <w:r w:rsidRPr="006558DA">
        <w:rPr>
          <w:rFonts w:cs="Calibri"/>
          <w:snapToGrid/>
          <w:szCs w:val="24"/>
          <w:lang w:val="en-US" w:eastAsia="en-AU"/>
        </w:rPr>
        <w:t>MenACWY</w:t>
      </w:r>
      <w:proofErr w:type="spellEnd"/>
      <w:r w:rsidRPr="006558DA">
        <w:rPr>
          <w:rFonts w:cs="Calibri"/>
          <w:snapToGrid/>
          <w:szCs w:val="24"/>
          <w:lang w:val="en-US" w:eastAsia="en-AU"/>
        </w:rPr>
        <w:t xml:space="preserve">) vaccines available in Australia: </w:t>
      </w:r>
      <w:proofErr w:type="spellStart"/>
      <w:r w:rsidRPr="006558DA">
        <w:rPr>
          <w:rFonts w:cs="Calibri"/>
          <w:snapToGrid/>
          <w:szCs w:val="24"/>
          <w:lang w:val="en-US" w:eastAsia="en-AU"/>
        </w:rPr>
        <w:t>Menactra</w:t>
      </w:r>
      <w:proofErr w:type="spellEnd"/>
      <w:r w:rsidRPr="006558DA">
        <w:rPr>
          <w:rFonts w:cs="Calibri"/>
          <w:snapToGrid/>
          <w:szCs w:val="24"/>
          <w:lang w:val="en-US" w:eastAsia="en-AU"/>
        </w:rPr>
        <w:t xml:space="preserve"> and </w:t>
      </w:r>
      <w:proofErr w:type="spellStart"/>
      <w:r w:rsidRPr="006558DA">
        <w:rPr>
          <w:rFonts w:cs="Calibri"/>
          <w:snapToGrid/>
          <w:szCs w:val="24"/>
          <w:lang w:val="en-US" w:eastAsia="en-AU"/>
        </w:rPr>
        <w:t>Menveo</w:t>
      </w:r>
      <w:proofErr w:type="spellEnd"/>
      <w:r w:rsidRPr="006558DA">
        <w:rPr>
          <w:rFonts w:cs="Calibri"/>
          <w:snapToGrid/>
          <w:szCs w:val="24"/>
          <w:lang w:val="en-US" w:eastAsia="en-AU"/>
        </w:rPr>
        <w:t>. The submission argue</w:t>
      </w:r>
      <w:r w:rsidR="00A31277" w:rsidRPr="006558DA">
        <w:rPr>
          <w:rFonts w:cs="Calibri"/>
          <w:snapToGrid/>
          <w:szCs w:val="24"/>
          <w:lang w:val="en-US" w:eastAsia="en-AU"/>
        </w:rPr>
        <w:t>d</w:t>
      </w:r>
      <w:r w:rsidRPr="006558DA">
        <w:rPr>
          <w:rFonts w:cs="Calibri"/>
          <w:snapToGrid/>
          <w:szCs w:val="24"/>
          <w:lang w:val="en-US" w:eastAsia="en-AU"/>
        </w:rPr>
        <w:t xml:space="preserve"> that these are near-market comparators as they are supplied alongside the </w:t>
      </w:r>
      <w:proofErr w:type="spellStart"/>
      <w:r w:rsidRPr="006558DA">
        <w:rPr>
          <w:rFonts w:cs="Calibri"/>
          <w:snapToGrid/>
          <w:szCs w:val="24"/>
          <w:lang w:val="en-US" w:eastAsia="en-AU"/>
        </w:rPr>
        <w:t>MenACWY</w:t>
      </w:r>
      <w:proofErr w:type="spellEnd"/>
      <w:r w:rsidRPr="006558DA">
        <w:rPr>
          <w:rFonts w:cs="Calibri"/>
          <w:snapToGrid/>
          <w:szCs w:val="24"/>
          <w:lang w:val="en-US" w:eastAsia="en-AU"/>
        </w:rPr>
        <w:t xml:space="preserve">-TT vaccine in the </w:t>
      </w:r>
      <w:r w:rsidR="00BC60D5" w:rsidRPr="006558DA">
        <w:rPr>
          <w:rFonts w:cs="Calibri"/>
          <w:snapToGrid/>
          <w:szCs w:val="24"/>
          <w:lang w:val="en-US" w:eastAsia="en-AU"/>
        </w:rPr>
        <w:t>State</w:t>
      </w:r>
      <w:r w:rsidRPr="006558DA">
        <w:rPr>
          <w:rFonts w:cs="Calibri"/>
          <w:snapToGrid/>
          <w:szCs w:val="24"/>
          <w:lang w:val="en-US" w:eastAsia="en-AU"/>
        </w:rPr>
        <w:t>-based programs for adolescents</w:t>
      </w:r>
      <w:r w:rsidR="006468FC" w:rsidRPr="006558DA">
        <w:rPr>
          <w:rFonts w:cs="Calibri"/>
          <w:snapToGrid/>
          <w:szCs w:val="24"/>
          <w:lang w:val="en-US" w:eastAsia="en-AU"/>
        </w:rPr>
        <w:t xml:space="preserve"> (see Table 2)</w:t>
      </w:r>
      <w:r w:rsidRPr="006558DA">
        <w:rPr>
          <w:rFonts w:cs="Calibri"/>
          <w:snapToGrid/>
          <w:szCs w:val="24"/>
          <w:lang w:val="en-US" w:eastAsia="en-AU"/>
        </w:rPr>
        <w:t xml:space="preserve"> and so </w:t>
      </w:r>
      <w:r w:rsidR="00C12D52" w:rsidRPr="006558DA">
        <w:rPr>
          <w:rFonts w:cs="Calibri"/>
          <w:snapToGrid/>
          <w:szCs w:val="24"/>
          <w:lang w:val="en-US" w:eastAsia="en-AU"/>
        </w:rPr>
        <w:t>a</w:t>
      </w:r>
      <w:r w:rsidRPr="006558DA">
        <w:rPr>
          <w:rFonts w:cs="Calibri"/>
          <w:snapToGrid/>
          <w:szCs w:val="24"/>
          <w:lang w:val="en-US" w:eastAsia="en-AU"/>
        </w:rPr>
        <w:t xml:space="preserve"> PBAC submission</w:t>
      </w:r>
      <w:r w:rsidR="00C12D52" w:rsidRPr="006558DA">
        <w:rPr>
          <w:rFonts w:cs="Calibri"/>
          <w:snapToGrid/>
          <w:szCs w:val="24"/>
          <w:lang w:val="en-US" w:eastAsia="en-AU"/>
        </w:rPr>
        <w:t xml:space="preserve"> may be lodged</w:t>
      </w:r>
      <w:r w:rsidRPr="006558DA">
        <w:rPr>
          <w:rFonts w:cs="Calibri"/>
          <w:snapToGrid/>
          <w:szCs w:val="24"/>
          <w:lang w:val="en-US" w:eastAsia="en-AU"/>
        </w:rPr>
        <w:t xml:space="preserve"> for a similar NIP listing</w:t>
      </w:r>
      <w:r w:rsidR="00BD7420" w:rsidRPr="006558DA">
        <w:rPr>
          <w:rFonts w:cs="Calibri"/>
          <w:snapToGrid/>
          <w:szCs w:val="24"/>
          <w:lang w:val="en-US" w:eastAsia="en-AU"/>
        </w:rPr>
        <w:t>.</w:t>
      </w:r>
      <w:r w:rsidRPr="006558DA">
        <w:rPr>
          <w:rFonts w:cs="Calibri"/>
          <w:snapToGrid/>
          <w:szCs w:val="24"/>
          <w:lang w:val="en-US" w:eastAsia="en-AU"/>
        </w:rPr>
        <w:t xml:space="preserve">  The </w:t>
      </w:r>
      <w:r w:rsidR="00C12D52" w:rsidRPr="006558DA">
        <w:rPr>
          <w:rFonts w:cs="Calibri"/>
          <w:snapToGrid/>
          <w:szCs w:val="24"/>
          <w:lang w:val="en-US" w:eastAsia="en-AU"/>
        </w:rPr>
        <w:t xml:space="preserve">NIP </w:t>
      </w:r>
      <w:r w:rsidRPr="006558DA">
        <w:rPr>
          <w:rFonts w:cs="Calibri"/>
          <w:snapToGrid/>
          <w:szCs w:val="24"/>
          <w:lang w:val="en-US" w:eastAsia="en-AU"/>
        </w:rPr>
        <w:t>listing o</w:t>
      </w:r>
      <w:r w:rsidR="00856A45" w:rsidRPr="006558DA">
        <w:rPr>
          <w:rFonts w:cs="Calibri"/>
          <w:snapToGrid/>
          <w:szCs w:val="24"/>
          <w:lang w:val="en-US" w:eastAsia="en-AU"/>
        </w:rPr>
        <w:t>f</w:t>
      </w:r>
      <w:r w:rsidRPr="006558DA">
        <w:rPr>
          <w:rFonts w:cs="Calibri"/>
          <w:snapToGrid/>
          <w:szCs w:val="24"/>
          <w:lang w:val="en-US" w:eastAsia="en-AU"/>
        </w:rPr>
        <w:t xml:space="preserve"> the </w:t>
      </w:r>
      <w:proofErr w:type="spellStart"/>
      <w:r w:rsidRPr="006558DA">
        <w:rPr>
          <w:rFonts w:cs="Calibri"/>
          <w:snapToGrid/>
          <w:szCs w:val="24"/>
          <w:lang w:val="en-US" w:eastAsia="en-AU"/>
        </w:rPr>
        <w:t>MenACWY</w:t>
      </w:r>
      <w:proofErr w:type="spellEnd"/>
      <w:r w:rsidRPr="006558DA">
        <w:rPr>
          <w:rFonts w:cs="Calibri"/>
          <w:snapToGrid/>
          <w:szCs w:val="24"/>
          <w:lang w:val="en-US" w:eastAsia="en-AU"/>
        </w:rPr>
        <w:noBreakHyphen/>
        <w:t xml:space="preserve">TT vaccine </w:t>
      </w:r>
      <w:r w:rsidR="00C12D52" w:rsidRPr="006558DA">
        <w:rPr>
          <w:rFonts w:cs="Calibri"/>
          <w:snapToGrid/>
          <w:szCs w:val="24"/>
          <w:lang w:val="en-US" w:eastAsia="en-AU"/>
        </w:rPr>
        <w:t>may</w:t>
      </w:r>
      <w:r w:rsidRPr="006558DA">
        <w:rPr>
          <w:rFonts w:cs="Calibri"/>
          <w:snapToGrid/>
          <w:szCs w:val="24"/>
          <w:lang w:val="en-US" w:eastAsia="en-AU"/>
        </w:rPr>
        <w:t xml:space="preserve"> mean that the use of </w:t>
      </w:r>
      <w:proofErr w:type="spellStart"/>
      <w:r w:rsidR="005B0788" w:rsidRPr="006558DA">
        <w:rPr>
          <w:rFonts w:cs="Calibri"/>
          <w:snapToGrid/>
          <w:szCs w:val="24"/>
          <w:lang w:val="en-US" w:eastAsia="en-AU"/>
        </w:rPr>
        <w:t>Nimenrix</w:t>
      </w:r>
      <w:proofErr w:type="spellEnd"/>
      <w:r w:rsidR="005B0788" w:rsidRPr="006558DA">
        <w:rPr>
          <w:rFonts w:cs="Calibri"/>
          <w:snapToGrid/>
          <w:szCs w:val="24"/>
          <w:lang w:val="en-US" w:eastAsia="en-AU"/>
        </w:rPr>
        <w:t xml:space="preserve">, </w:t>
      </w:r>
      <w:proofErr w:type="spellStart"/>
      <w:r w:rsidRPr="006558DA">
        <w:rPr>
          <w:rFonts w:cs="Calibri"/>
          <w:snapToGrid/>
          <w:szCs w:val="24"/>
          <w:lang w:val="en-US" w:eastAsia="en-AU"/>
        </w:rPr>
        <w:t>Menactra</w:t>
      </w:r>
      <w:proofErr w:type="spellEnd"/>
      <w:r w:rsidRPr="006558DA">
        <w:rPr>
          <w:rFonts w:cs="Calibri"/>
          <w:snapToGrid/>
          <w:szCs w:val="24"/>
          <w:lang w:val="en-US" w:eastAsia="en-AU"/>
        </w:rPr>
        <w:t xml:space="preserve"> and </w:t>
      </w:r>
      <w:proofErr w:type="spellStart"/>
      <w:r w:rsidRPr="006558DA">
        <w:rPr>
          <w:rFonts w:cs="Calibri"/>
          <w:snapToGrid/>
          <w:szCs w:val="24"/>
          <w:lang w:val="en-US" w:eastAsia="en-AU"/>
        </w:rPr>
        <w:t>Menveo</w:t>
      </w:r>
      <w:proofErr w:type="spellEnd"/>
      <w:r w:rsidRPr="006558DA">
        <w:rPr>
          <w:rFonts w:cs="Calibri"/>
          <w:snapToGrid/>
          <w:szCs w:val="24"/>
          <w:lang w:val="en-US" w:eastAsia="en-AU"/>
        </w:rPr>
        <w:t xml:space="preserve"> in the </w:t>
      </w:r>
      <w:r w:rsidR="00BC60D5" w:rsidRPr="006558DA">
        <w:rPr>
          <w:rFonts w:cs="Calibri"/>
          <w:snapToGrid/>
          <w:szCs w:val="24"/>
          <w:lang w:val="en-US" w:eastAsia="en-AU"/>
        </w:rPr>
        <w:t>State</w:t>
      </w:r>
      <w:r w:rsidRPr="006558DA">
        <w:rPr>
          <w:rFonts w:cs="Calibri"/>
          <w:snapToGrid/>
          <w:szCs w:val="24"/>
          <w:lang w:val="en-US" w:eastAsia="en-AU"/>
        </w:rPr>
        <w:t>-based programs would cease</w:t>
      </w:r>
      <w:r w:rsidR="00E40183" w:rsidRPr="006558DA">
        <w:rPr>
          <w:rFonts w:cs="Calibri"/>
          <w:snapToGrid/>
          <w:szCs w:val="24"/>
          <w:lang w:val="en-US" w:eastAsia="en-AU"/>
        </w:rPr>
        <w:t>. This may impact the supply of non</w:t>
      </w:r>
      <w:r w:rsidR="007C7C4A" w:rsidRPr="006558DA">
        <w:rPr>
          <w:rFonts w:cs="Calibri"/>
          <w:snapToGrid/>
          <w:szCs w:val="24"/>
          <w:lang w:val="en-US" w:eastAsia="en-AU"/>
        </w:rPr>
        <w:t>-</w:t>
      </w:r>
      <w:r w:rsidR="00E40183" w:rsidRPr="006558DA">
        <w:rPr>
          <w:rFonts w:cs="Calibri"/>
          <w:snapToGrid/>
          <w:szCs w:val="24"/>
          <w:lang w:val="en-US" w:eastAsia="en-AU"/>
        </w:rPr>
        <w:t xml:space="preserve">NIP listed </w:t>
      </w:r>
      <w:proofErr w:type="spellStart"/>
      <w:r w:rsidR="00E40183" w:rsidRPr="006558DA">
        <w:rPr>
          <w:rFonts w:cs="Calibri"/>
          <w:snapToGrid/>
          <w:szCs w:val="24"/>
          <w:lang w:val="en-US" w:eastAsia="en-AU"/>
        </w:rPr>
        <w:t>MenACWY</w:t>
      </w:r>
      <w:proofErr w:type="spellEnd"/>
      <w:r w:rsidR="00E40183" w:rsidRPr="006558DA">
        <w:rPr>
          <w:rFonts w:cs="Calibri"/>
          <w:snapToGrid/>
          <w:szCs w:val="24"/>
          <w:lang w:val="en-US" w:eastAsia="en-AU"/>
        </w:rPr>
        <w:t>-TT vaccines in Australia</w:t>
      </w:r>
      <w:r w:rsidRPr="006558DA">
        <w:rPr>
          <w:rFonts w:cs="Calibri"/>
          <w:snapToGrid/>
          <w:szCs w:val="24"/>
          <w:lang w:val="en-US" w:eastAsia="en-AU"/>
        </w:rPr>
        <w:t>.</w:t>
      </w:r>
      <w:r w:rsidR="007267E3" w:rsidRPr="006558DA">
        <w:rPr>
          <w:rFonts w:asciiTheme="minorHAnsi" w:hAnsiTheme="minorHAnsi"/>
          <w:i/>
        </w:rPr>
        <w:t xml:space="preserve"> </w:t>
      </w:r>
    </w:p>
    <w:p w:rsidR="00B50DB8" w:rsidRPr="00C22DB8" w:rsidRDefault="00BD6CF3" w:rsidP="00C22DB8">
      <w:pPr>
        <w:pStyle w:val="Heading1"/>
        <w:numPr>
          <w:ilvl w:val="0"/>
          <w:numId w:val="1"/>
        </w:numPr>
        <w:spacing w:before="240" w:after="120"/>
        <w:jc w:val="both"/>
        <w:rPr>
          <w:rFonts w:asciiTheme="minorHAnsi" w:hAnsiTheme="minorHAnsi"/>
          <w:bCs/>
          <w:sz w:val="32"/>
          <w:szCs w:val="24"/>
          <w:lang w:eastAsia="en-AU"/>
        </w:rPr>
      </w:pPr>
      <w:bookmarkStart w:id="5" w:name="_Toc501621776"/>
      <w:r w:rsidRPr="00C22DB8">
        <w:rPr>
          <w:rFonts w:asciiTheme="minorHAnsi" w:hAnsiTheme="minorHAnsi"/>
          <w:bCs/>
          <w:sz w:val="32"/>
          <w:szCs w:val="24"/>
          <w:lang w:eastAsia="en-AU"/>
        </w:rPr>
        <w:t>C</w:t>
      </w:r>
      <w:r w:rsidR="00B50DB8" w:rsidRPr="00C22DB8">
        <w:rPr>
          <w:rFonts w:asciiTheme="minorHAnsi" w:hAnsiTheme="minorHAnsi"/>
          <w:bCs/>
          <w:sz w:val="32"/>
          <w:szCs w:val="24"/>
          <w:lang w:eastAsia="en-AU"/>
        </w:rPr>
        <w:t>onsideration of the evidence</w:t>
      </w:r>
      <w:bookmarkEnd w:id="5"/>
    </w:p>
    <w:p w:rsidR="007267E3" w:rsidRPr="0087600B" w:rsidRDefault="007267E3" w:rsidP="007267E3">
      <w:pPr>
        <w:spacing w:before="240" w:line="276" w:lineRule="auto"/>
        <w:rPr>
          <w:rFonts w:asciiTheme="minorHAnsi" w:hAnsiTheme="minorHAnsi"/>
          <w:b/>
          <w:bCs/>
          <w:i/>
          <w:sz w:val="28"/>
          <w:szCs w:val="28"/>
        </w:rPr>
      </w:pPr>
      <w:r w:rsidRPr="0087600B">
        <w:rPr>
          <w:rFonts w:asciiTheme="minorHAnsi" w:hAnsiTheme="minorHAnsi"/>
          <w:b/>
          <w:bCs/>
          <w:i/>
          <w:sz w:val="28"/>
          <w:szCs w:val="28"/>
        </w:rPr>
        <w:t>Sponsor hearing</w:t>
      </w:r>
    </w:p>
    <w:p w:rsidR="007267E3" w:rsidRPr="0087600B" w:rsidRDefault="007267E3" w:rsidP="007267E3">
      <w:pPr>
        <w:numPr>
          <w:ilvl w:val="1"/>
          <w:numId w:val="1"/>
        </w:numPr>
        <w:spacing w:after="120"/>
        <w:rPr>
          <w:rFonts w:asciiTheme="minorHAnsi" w:hAnsiTheme="minorHAnsi"/>
          <w:bCs/>
        </w:rPr>
      </w:pPr>
      <w:r w:rsidRPr="0087600B">
        <w:rPr>
          <w:rFonts w:asciiTheme="minorHAnsi" w:hAnsiTheme="minorHAnsi"/>
          <w:bCs/>
        </w:rPr>
        <w:t>There was no hearing for this item.</w:t>
      </w:r>
    </w:p>
    <w:p w:rsidR="007267E3" w:rsidRPr="0087600B" w:rsidRDefault="007267E3" w:rsidP="007267E3">
      <w:pPr>
        <w:spacing w:before="240" w:line="276" w:lineRule="auto"/>
        <w:rPr>
          <w:rFonts w:asciiTheme="minorHAnsi" w:hAnsiTheme="minorHAnsi"/>
          <w:b/>
          <w:bCs/>
          <w:i/>
          <w:sz w:val="28"/>
          <w:szCs w:val="28"/>
        </w:rPr>
      </w:pPr>
      <w:r w:rsidRPr="0087600B">
        <w:rPr>
          <w:rFonts w:asciiTheme="minorHAnsi" w:hAnsiTheme="minorHAnsi"/>
          <w:b/>
          <w:bCs/>
          <w:i/>
          <w:sz w:val="28"/>
          <w:szCs w:val="28"/>
        </w:rPr>
        <w:t>Consumer comments</w:t>
      </w:r>
    </w:p>
    <w:p w:rsidR="008938C7" w:rsidRPr="0087600B" w:rsidRDefault="007267E3" w:rsidP="008938C7">
      <w:pPr>
        <w:numPr>
          <w:ilvl w:val="1"/>
          <w:numId w:val="1"/>
        </w:numPr>
        <w:spacing w:after="120"/>
        <w:rPr>
          <w:rFonts w:asciiTheme="minorHAnsi" w:hAnsiTheme="minorHAnsi"/>
          <w:bCs/>
        </w:rPr>
      </w:pPr>
      <w:r w:rsidRPr="0087600B">
        <w:rPr>
          <w:rFonts w:asciiTheme="minorHAnsi" w:hAnsiTheme="minorHAnsi"/>
          <w:bCs/>
        </w:rPr>
        <w:t xml:space="preserve"> The PBAC noted that no consumer comments were received for this item.</w:t>
      </w:r>
    </w:p>
    <w:p w:rsidR="00B60939" w:rsidRPr="00EF1913" w:rsidRDefault="00B60939" w:rsidP="008938C7">
      <w:pPr>
        <w:pStyle w:val="Heading2"/>
      </w:pPr>
      <w:bookmarkStart w:id="6" w:name="_Toc501621777"/>
      <w:r w:rsidRPr="00EF1913">
        <w:t>Clinical trials</w:t>
      </w:r>
      <w:bookmarkEnd w:id="6"/>
    </w:p>
    <w:p w:rsidR="001C668C" w:rsidRDefault="001C668C" w:rsidP="009E2CAD">
      <w:pPr>
        <w:pStyle w:val="ListParagraph"/>
        <w:widowControl/>
        <w:numPr>
          <w:ilvl w:val="1"/>
          <w:numId w:val="1"/>
        </w:numPr>
      </w:pPr>
      <w:r w:rsidRPr="001C668C">
        <w:t>The submissi</w:t>
      </w:r>
      <w:bookmarkStart w:id="7" w:name="_GoBack"/>
      <w:bookmarkEnd w:id="7"/>
      <w:r w:rsidRPr="001C668C">
        <w:t xml:space="preserve">on was based on single-arm data from ten RCTs and one non-randomised </w:t>
      </w:r>
      <w:r w:rsidR="00A31277">
        <w:t>study</w:t>
      </w:r>
      <w:r w:rsidRPr="001C668C">
        <w:t xml:space="preserve"> of th</w:t>
      </w:r>
      <w:r w:rsidR="00A31277">
        <w:t xml:space="preserve">e </w:t>
      </w:r>
      <w:proofErr w:type="spellStart"/>
      <w:r w:rsidR="00A31277">
        <w:t>MenACWY</w:t>
      </w:r>
      <w:proofErr w:type="spellEnd"/>
      <w:r w:rsidR="00A31277">
        <w:t>-TT vaccine (</w:t>
      </w:r>
      <w:proofErr w:type="spellStart"/>
      <w:r w:rsidR="00A31277">
        <w:t>Nimenrix</w:t>
      </w:r>
      <w:proofErr w:type="spellEnd"/>
      <w:r w:rsidR="00A31277">
        <w:t>):</w:t>
      </w:r>
    </w:p>
    <w:p w:rsidR="001C668C" w:rsidRDefault="001C668C" w:rsidP="009E2CAD">
      <w:pPr>
        <w:pStyle w:val="ListParagraph"/>
        <w:widowControl/>
        <w:numPr>
          <w:ilvl w:val="0"/>
          <w:numId w:val="37"/>
        </w:numPr>
      </w:pPr>
      <w:r>
        <w:t>MenACWY-TT-012</w:t>
      </w:r>
      <w:r w:rsidR="007960B5" w:rsidRPr="007960B5">
        <w:t xml:space="preserve"> </w:t>
      </w:r>
      <w:r w:rsidR="007960B5" w:rsidRPr="00A41387">
        <w:t xml:space="preserve">+ </w:t>
      </w:r>
      <w:r w:rsidR="007960B5">
        <w:t>three</w:t>
      </w:r>
      <w:r w:rsidR="007960B5" w:rsidRPr="00A41387">
        <w:t xml:space="preserve"> extension studies</w:t>
      </w:r>
      <w:r w:rsidR="007960B5">
        <w:t xml:space="preserve"> (MenACWY-TT-024 to 26)</w:t>
      </w:r>
      <w:r w:rsidR="00A31277">
        <w:t>,</w:t>
      </w:r>
    </w:p>
    <w:p w:rsidR="001C668C" w:rsidRDefault="001C668C" w:rsidP="009E2CAD">
      <w:pPr>
        <w:pStyle w:val="ListParagraph"/>
        <w:widowControl/>
        <w:numPr>
          <w:ilvl w:val="0"/>
          <w:numId w:val="37"/>
        </w:numPr>
      </w:pPr>
      <w:r>
        <w:t>MenACWY-TT-015</w:t>
      </w:r>
      <w:r w:rsidR="007960B5">
        <w:t xml:space="preserve"> </w:t>
      </w:r>
      <w:r w:rsidRPr="00A41387">
        <w:t>+ five extension studies</w:t>
      </w:r>
      <w:r w:rsidR="007960B5">
        <w:t xml:space="preserve"> (MenACWY-TT-016 to 20)</w:t>
      </w:r>
      <w:r w:rsidR="00A31277">
        <w:t>,</w:t>
      </w:r>
    </w:p>
    <w:p w:rsidR="001C668C" w:rsidRDefault="001C668C" w:rsidP="009E2CAD">
      <w:pPr>
        <w:pStyle w:val="ListParagraph"/>
        <w:widowControl/>
        <w:numPr>
          <w:ilvl w:val="0"/>
          <w:numId w:val="37"/>
        </w:numPr>
      </w:pPr>
      <w:r>
        <w:t>MenACWY-TT-021</w:t>
      </w:r>
      <w:r w:rsidR="007960B5">
        <w:t xml:space="preserve"> (non-randomised trial)</w:t>
      </w:r>
      <w:r w:rsidR="00A31277">
        <w:t>,</w:t>
      </w:r>
    </w:p>
    <w:p w:rsidR="001C668C" w:rsidRDefault="001C668C" w:rsidP="009E2CAD">
      <w:pPr>
        <w:pStyle w:val="ListParagraph"/>
        <w:widowControl/>
        <w:numPr>
          <w:ilvl w:val="0"/>
          <w:numId w:val="37"/>
        </w:numPr>
      </w:pPr>
      <w:r>
        <w:t>MenACWY-TT-035</w:t>
      </w:r>
      <w:r w:rsidR="00A31277">
        <w:t>,</w:t>
      </w:r>
    </w:p>
    <w:p w:rsidR="001C668C" w:rsidRDefault="001C668C" w:rsidP="009E2CAD">
      <w:pPr>
        <w:pStyle w:val="ListParagraph"/>
        <w:widowControl/>
        <w:numPr>
          <w:ilvl w:val="0"/>
          <w:numId w:val="37"/>
        </w:numPr>
      </w:pPr>
      <w:r>
        <w:t>MenACWY-TT-036</w:t>
      </w:r>
      <w:r w:rsidR="007960B5">
        <w:t xml:space="preserve"> </w:t>
      </w:r>
      <w:r w:rsidR="007960B5" w:rsidRPr="00A41387">
        <w:t xml:space="preserve">+ </w:t>
      </w:r>
      <w:r w:rsidR="007960B5">
        <w:t>one</w:t>
      </w:r>
      <w:r w:rsidR="007960B5" w:rsidRPr="00A41387">
        <w:t xml:space="preserve"> extension studies</w:t>
      </w:r>
      <w:r w:rsidR="007960B5">
        <w:t xml:space="preserve"> (MenACWY-TT-043)</w:t>
      </w:r>
      <w:r w:rsidR="00A31277">
        <w:t>,</w:t>
      </w:r>
    </w:p>
    <w:p w:rsidR="001C668C" w:rsidRDefault="001C668C" w:rsidP="009E2CAD">
      <w:pPr>
        <w:pStyle w:val="ListParagraph"/>
        <w:widowControl/>
        <w:numPr>
          <w:ilvl w:val="0"/>
          <w:numId w:val="37"/>
        </w:numPr>
      </w:pPr>
      <w:r>
        <w:t>MenACWY-TT-037</w:t>
      </w:r>
      <w:r w:rsidR="00A31277">
        <w:t>,</w:t>
      </w:r>
    </w:p>
    <w:p w:rsidR="001C668C" w:rsidRDefault="001C668C" w:rsidP="009E2CAD">
      <w:pPr>
        <w:pStyle w:val="ListParagraph"/>
        <w:widowControl/>
        <w:numPr>
          <w:ilvl w:val="0"/>
          <w:numId w:val="37"/>
        </w:numPr>
      </w:pPr>
      <w:r>
        <w:t>MenACWY-TT-052</w:t>
      </w:r>
      <w:r w:rsidR="00A31277">
        <w:t>,</w:t>
      </w:r>
    </w:p>
    <w:p w:rsidR="001C668C" w:rsidRDefault="001C668C" w:rsidP="009E2CAD">
      <w:pPr>
        <w:pStyle w:val="ListParagraph"/>
        <w:widowControl/>
        <w:numPr>
          <w:ilvl w:val="0"/>
          <w:numId w:val="37"/>
        </w:numPr>
      </w:pPr>
      <w:r>
        <w:t>MenACWY-TT-054</w:t>
      </w:r>
      <w:r w:rsidR="00A31277">
        <w:t>,</w:t>
      </w:r>
    </w:p>
    <w:p w:rsidR="004952C4" w:rsidRDefault="001C668C" w:rsidP="008938C7">
      <w:pPr>
        <w:pStyle w:val="ListParagraph"/>
        <w:widowControl/>
        <w:numPr>
          <w:ilvl w:val="0"/>
          <w:numId w:val="37"/>
        </w:numPr>
      </w:pPr>
      <w:r>
        <w:t>MenACWY-TT-084</w:t>
      </w:r>
      <w:r w:rsidR="00A31277">
        <w:t>,</w:t>
      </w:r>
    </w:p>
    <w:p w:rsidR="001C668C" w:rsidRDefault="001C668C" w:rsidP="009E2CAD">
      <w:pPr>
        <w:pStyle w:val="ListParagraph"/>
        <w:widowControl/>
        <w:numPr>
          <w:ilvl w:val="0"/>
          <w:numId w:val="37"/>
        </w:numPr>
      </w:pPr>
      <w:r>
        <w:t>MenACWY-TT-093</w:t>
      </w:r>
      <w:r w:rsidR="00A31277">
        <w:t>, and</w:t>
      </w:r>
    </w:p>
    <w:p w:rsidR="001C668C" w:rsidRPr="00E009B9" w:rsidRDefault="001C668C" w:rsidP="009E2CAD">
      <w:pPr>
        <w:pStyle w:val="ListParagraph"/>
        <w:widowControl/>
        <w:numPr>
          <w:ilvl w:val="0"/>
          <w:numId w:val="37"/>
        </w:numPr>
      </w:pPr>
      <w:r w:rsidRPr="00E009B9">
        <w:t>MenACWY-TT-098</w:t>
      </w:r>
      <w:r w:rsidR="00A31277" w:rsidRPr="00E009B9">
        <w:t>.</w:t>
      </w:r>
    </w:p>
    <w:p w:rsidR="00D41B0C" w:rsidRPr="00E009B9" w:rsidRDefault="005961D8" w:rsidP="009E2CAD">
      <w:pPr>
        <w:pStyle w:val="ListParagraph"/>
        <w:widowControl/>
        <w:numPr>
          <w:ilvl w:val="1"/>
          <w:numId w:val="1"/>
        </w:numPr>
      </w:pPr>
      <w:r w:rsidRPr="00E009B9">
        <w:t>M</w:t>
      </w:r>
      <w:r w:rsidR="007960B5" w:rsidRPr="00E009B9">
        <w:t>eta-analys</w:t>
      </w:r>
      <w:r w:rsidRPr="00E009B9">
        <w:t>e</w:t>
      </w:r>
      <w:r w:rsidR="007960B5" w:rsidRPr="00E009B9">
        <w:t>s of immunogenicity data from</w:t>
      </w:r>
      <w:r w:rsidR="00B0762F" w:rsidRPr="00E009B9">
        <w:t xml:space="preserve"> </w:t>
      </w:r>
      <w:r w:rsidR="007960B5" w:rsidRPr="00E009B9">
        <w:t>si</w:t>
      </w:r>
      <w:r w:rsidR="00B0762F" w:rsidRPr="00E009B9">
        <w:t>ngle-arms</w:t>
      </w:r>
      <w:r w:rsidR="007960B5" w:rsidRPr="00E009B9">
        <w:t xml:space="preserve"> of the 11 trials </w:t>
      </w:r>
      <w:r w:rsidRPr="00E009B9">
        <w:t xml:space="preserve">were conducted </w:t>
      </w:r>
      <w:r w:rsidR="007960B5" w:rsidRPr="00E009B9">
        <w:t>to estimate the vaccine</w:t>
      </w:r>
      <w:r w:rsidR="00856A45" w:rsidRPr="00E009B9">
        <w:t>’</w:t>
      </w:r>
      <w:r w:rsidR="007960B5" w:rsidRPr="00E009B9">
        <w:t>s response relative to no vaccine</w:t>
      </w:r>
      <w:r w:rsidR="00D41B0C" w:rsidRPr="00E009B9">
        <w:t>.</w:t>
      </w:r>
    </w:p>
    <w:p w:rsidR="009E1D3C" w:rsidRPr="00E009B9" w:rsidRDefault="008F0731" w:rsidP="00D41B0C">
      <w:pPr>
        <w:pStyle w:val="ListParagraph"/>
        <w:widowControl/>
        <w:numPr>
          <w:ilvl w:val="1"/>
          <w:numId w:val="1"/>
        </w:numPr>
      </w:pPr>
      <w:r w:rsidRPr="00E009B9">
        <w:lastRenderedPageBreak/>
        <w:t>The submission did not provide any clinical studies measuring nasopharyngeal meningococcal carriage rates in vaccinated and non-vaccinated recipients, which may indicate the potential herd immunity from the vaccine.</w:t>
      </w:r>
      <w:r w:rsidR="00BD7420" w:rsidRPr="00E009B9">
        <w:t xml:space="preserve"> </w:t>
      </w:r>
      <w:r w:rsidR="00105D9D" w:rsidRPr="00E009B9">
        <w:t>The ESC noted that the unpredictable epidemiology around carriage rates and associated invasive disease means that the efficacy of the vaccine at a population level is difficult to quantify, particularly given the absence of studies assessing post vaccination meningococcal carriage.</w:t>
      </w:r>
      <w:r w:rsidR="009E1D3C" w:rsidRPr="00E009B9">
        <w:t xml:space="preserve">  The ESC also noted that it was unclear whether </w:t>
      </w:r>
      <w:proofErr w:type="spellStart"/>
      <w:r w:rsidR="009E1D3C" w:rsidRPr="00E009B9">
        <w:t>rSBA</w:t>
      </w:r>
      <w:proofErr w:type="spellEnd"/>
      <w:r w:rsidR="009E1D3C" w:rsidRPr="00E009B9">
        <w:t>-Men titres ≥ 1:8 protects against carriage</w:t>
      </w:r>
      <w:r w:rsidR="006468FC">
        <w:t xml:space="preserve"> (see below)</w:t>
      </w:r>
      <w:r w:rsidR="009E1D3C" w:rsidRPr="00E009B9">
        <w:t>.</w:t>
      </w:r>
    </w:p>
    <w:p w:rsidR="008F0731" w:rsidRPr="00294D3E" w:rsidRDefault="00D41B0C" w:rsidP="008F0731">
      <w:pPr>
        <w:pStyle w:val="ListParagraph"/>
        <w:widowControl/>
        <w:numPr>
          <w:ilvl w:val="1"/>
          <w:numId w:val="1"/>
        </w:numPr>
      </w:pPr>
      <w:r w:rsidRPr="00294D3E">
        <w:t xml:space="preserve">The PBAC </w:t>
      </w:r>
      <w:r w:rsidR="007F2DFC">
        <w:t>agree</w:t>
      </w:r>
      <w:r w:rsidR="00EF5C32">
        <w:t>d</w:t>
      </w:r>
      <w:r w:rsidR="007F2DFC">
        <w:t xml:space="preserve"> with</w:t>
      </w:r>
      <w:r w:rsidRPr="00294D3E">
        <w:t xml:space="preserve"> ESC </w:t>
      </w:r>
      <w:r w:rsidR="00E81BBA" w:rsidRPr="00294D3E">
        <w:t xml:space="preserve">that </w:t>
      </w:r>
      <w:r w:rsidR="00294D3E">
        <w:t xml:space="preserve">the </w:t>
      </w:r>
      <w:r w:rsidR="00E81BBA" w:rsidRPr="00294D3E">
        <w:t>carriage rates</w:t>
      </w:r>
      <w:r w:rsidR="00294D3E">
        <w:t>, and hence impact of herd immunity was uncertain</w:t>
      </w:r>
      <w:r w:rsidR="00E81BBA" w:rsidRPr="00294D3E">
        <w:t>.</w:t>
      </w:r>
    </w:p>
    <w:p w:rsidR="007960B5" w:rsidRPr="00B50DB8" w:rsidRDefault="007960B5" w:rsidP="009E2CAD">
      <w:pPr>
        <w:pStyle w:val="ListParagraph"/>
        <w:widowControl/>
        <w:numPr>
          <w:ilvl w:val="1"/>
          <w:numId w:val="1"/>
        </w:numPr>
      </w:pPr>
      <w:r>
        <w:rPr>
          <w:rFonts w:cs="Calibri"/>
          <w:snapToGrid/>
          <w:szCs w:val="24"/>
          <w:lang w:val="en-US" w:eastAsia="en-AU"/>
        </w:rPr>
        <w:t>Details of the trials presented in the submission are provided in the table below.</w:t>
      </w:r>
    </w:p>
    <w:p w:rsidR="007960B5" w:rsidRDefault="007960B5" w:rsidP="008C2E43">
      <w:pPr>
        <w:keepNext/>
        <w:widowControl/>
        <w:rPr>
          <w:rStyle w:val="CommentReference"/>
        </w:rPr>
      </w:pPr>
      <w:r w:rsidRPr="008E0D3C">
        <w:rPr>
          <w:rStyle w:val="CommentReference"/>
        </w:rPr>
        <w:t xml:space="preserve">Table </w:t>
      </w:r>
      <w:r w:rsidR="004A20D6">
        <w:rPr>
          <w:rStyle w:val="CommentReference"/>
        </w:rPr>
        <w:t>3</w:t>
      </w:r>
      <w:r w:rsidRPr="008E0D3C">
        <w:rPr>
          <w:rStyle w:val="CommentReference"/>
        </w:rPr>
        <w:t>:</w:t>
      </w:r>
      <w:r w:rsidR="008C2E43">
        <w:rPr>
          <w:rStyle w:val="CommentReference"/>
        </w:rPr>
        <w:t xml:space="preserve"> </w:t>
      </w:r>
      <w:r w:rsidRPr="008E0D3C">
        <w:rPr>
          <w:rStyle w:val="CommentReference"/>
        </w:rPr>
        <w:t>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5917"/>
        <w:gridCol w:w="2168"/>
      </w:tblGrid>
      <w:tr w:rsidR="007960B5" w:rsidRPr="003B2E00" w:rsidTr="007869D0">
        <w:trPr>
          <w:trHeight w:val="58"/>
          <w:tblHeader/>
        </w:trPr>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Trial ID</w:t>
            </w:r>
          </w:p>
        </w:tc>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Protocol title/ Publication title</w:t>
            </w:r>
          </w:p>
        </w:tc>
        <w:tc>
          <w:tcPr>
            <w:tcW w:w="0" w:type="auto"/>
            <w:shd w:val="clear" w:color="auto" w:fill="auto"/>
            <w:vAlign w:val="center"/>
          </w:tcPr>
          <w:p w:rsidR="007960B5" w:rsidRPr="003B2E00" w:rsidRDefault="007960B5" w:rsidP="00211B27">
            <w:pPr>
              <w:pStyle w:val="TableHeading"/>
              <w:spacing w:before="0" w:after="0"/>
              <w:jc w:val="center"/>
              <w:rPr>
                <w:szCs w:val="20"/>
              </w:rPr>
            </w:pPr>
            <w:r w:rsidRPr="003B2E00">
              <w:rPr>
                <w:szCs w:val="20"/>
              </w:rPr>
              <w:t>Publication citation</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MenACWY-TT-012</w:t>
            </w:r>
          </w:p>
        </w:tc>
        <w:tc>
          <w:tcPr>
            <w:tcW w:w="0" w:type="auto"/>
            <w:tcBorders>
              <w:bottom w:val="nil"/>
            </w:tcBorders>
          </w:tcPr>
          <w:p w:rsidR="005961D8" w:rsidRDefault="005961D8" w:rsidP="005961D8">
            <w:pPr>
              <w:pStyle w:val="TableText0"/>
              <w:keepNext w:val="0"/>
              <w:widowControl w:val="0"/>
              <w:spacing w:before="0" w:after="0"/>
            </w:pPr>
            <w:r w:rsidRPr="00275813">
              <w:t xml:space="preserve">104702 (MenACWY-TT-012). </w:t>
            </w:r>
            <w:r w:rsidRPr="003B2E00">
              <w:t xml:space="preserve">A Phase II open (partially double-blind), randomized, controlled, primary vaccination study to assess the immunogenicity, safety and </w:t>
            </w:r>
            <w:proofErr w:type="spellStart"/>
            <w:r w:rsidRPr="003B2E00">
              <w:t>reactogenicity</w:t>
            </w:r>
            <w:proofErr w:type="spellEnd"/>
            <w:r w:rsidRPr="003B2E00">
              <w:t xml:space="preserve"> of one intramuscular dose of four different formulations of GlaxoSmithKline (GSK) Biologicals’ new generations meningococcal serogroups A, C, W-135, Y-tetanus toxoid conjugate (</w:t>
            </w:r>
            <w:proofErr w:type="spellStart"/>
            <w:r w:rsidRPr="003B2E00">
              <w:t>MenACWY</w:t>
            </w:r>
            <w:proofErr w:type="spellEnd"/>
            <w:r w:rsidRPr="003B2E00">
              <w:t xml:space="preserve">-TT) vaccine versus one subcutaneous dose of </w:t>
            </w:r>
            <w:proofErr w:type="spellStart"/>
            <w:r w:rsidRPr="003B2E00">
              <w:t>MenACWY</w:t>
            </w:r>
            <w:proofErr w:type="spellEnd"/>
            <w:r w:rsidRPr="003B2E00">
              <w:t xml:space="preserve"> (</w:t>
            </w:r>
            <w:proofErr w:type="spellStart"/>
            <w:r w:rsidRPr="003B2E00">
              <w:t>Mencevax</w:t>
            </w:r>
            <w:proofErr w:type="spellEnd"/>
            <w:r w:rsidRPr="003B2E00">
              <w:t>) in healthy adolescents/young adults aged 15-19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September 2006</w:t>
            </w:r>
          </w:p>
        </w:tc>
      </w:tr>
      <w:tr w:rsidR="005961D8" w:rsidRPr="003B2E00" w:rsidTr="001500D2">
        <w:trPr>
          <w:trHeight w:val="652"/>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proofErr w:type="spellStart"/>
            <w:r>
              <w:t>Ostergaard</w:t>
            </w:r>
            <w:proofErr w:type="spellEnd"/>
            <w:r>
              <w:t xml:space="preserve">, L., et al. </w:t>
            </w:r>
            <w:r w:rsidRPr="003B2E00">
              <w:t xml:space="preserve">Immunogenicity, </w:t>
            </w:r>
            <w:proofErr w:type="spellStart"/>
            <w:r w:rsidRPr="003B2E00">
              <w:t>reactogenicity</w:t>
            </w:r>
            <w:proofErr w:type="spellEnd"/>
            <w:r w:rsidRPr="003B2E00">
              <w:t xml:space="preserve"> and persistence of meningococcal A, C, W-135 and Y-tetanus toxoid candidate conjugate (</w:t>
            </w:r>
            <w:proofErr w:type="spellStart"/>
            <w:r w:rsidRPr="003B2E00">
              <w:t>MenACWY</w:t>
            </w:r>
            <w:proofErr w:type="spellEnd"/>
            <w:r w:rsidRPr="003B2E00">
              <w:t xml:space="preserve">-TT) vaccine formulations in adolescents aged 15-25 years.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rPr>
                <w:b/>
              </w:rPr>
            </w:pPr>
            <w:r w:rsidRPr="003B2E00">
              <w:rPr>
                <w:i/>
              </w:rPr>
              <w:t xml:space="preserve">Vaccine </w:t>
            </w:r>
            <w:r w:rsidRPr="003B2E00">
              <w:t>2009; 27(1):161-8.</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MenACWY-TT-015</w:t>
            </w:r>
          </w:p>
        </w:tc>
        <w:tc>
          <w:tcPr>
            <w:tcW w:w="0" w:type="auto"/>
            <w:tcBorders>
              <w:bottom w:val="nil"/>
            </w:tcBorders>
          </w:tcPr>
          <w:p w:rsidR="005961D8" w:rsidRDefault="005961D8" w:rsidP="005961D8">
            <w:pPr>
              <w:pStyle w:val="TableText0"/>
              <w:keepNext w:val="0"/>
              <w:widowControl w:val="0"/>
              <w:spacing w:before="0" w:after="0"/>
            </w:pPr>
            <w:r w:rsidRPr="00E817E7">
              <w:t>107386 (MenACWY-TT-015)</w:t>
            </w:r>
            <w:r>
              <w:t xml:space="preserve">. </w:t>
            </w:r>
            <w:r w:rsidRPr="003B2E00">
              <w:t xml:space="preserve">A phase </w:t>
            </w:r>
            <w:proofErr w:type="spellStart"/>
            <w:r w:rsidRPr="003B2E00">
              <w:t>IIb</w:t>
            </w:r>
            <w:proofErr w:type="spellEnd"/>
            <w:r w:rsidRPr="003B2E00">
              <w:t>, open, randomized, controlled primary vaccination study to evaluate the non-inferiority and the persistence of the immune response of GSK Biologicals</w:t>
            </w:r>
            <w:r w:rsidRPr="003B2E00">
              <w:rPr>
                <w:rFonts w:cs="Arial"/>
              </w:rPr>
              <w:t xml:space="preserve"> </w:t>
            </w:r>
            <w:r w:rsidRPr="003B2E00">
              <w:t xml:space="preserve">meningococcal serogroup ACWY conjugate vaccine given intramuscularly versus </w:t>
            </w:r>
            <w:proofErr w:type="spellStart"/>
            <w:r w:rsidRPr="003B2E00">
              <w:t>Mencevax</w:t>
            </w:r>
            <w:proofErr w:type="spellEnd"/>
            <w:r w:rsidRPr="003B2E00">
              <w:t xml:space="preserve"> ACWY given subcutaneously to healthy subjects aged 11 to 55 years of age.</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April 2009</w:t>
            </w:r>
          </w:p>
        </w:tc>
      </w:tr>
      <w:tr w:rsidR="005961D8" w:rsidRPr="003B2E00" w:rsidTr="00CB7A7F">
        <w:trPr>
          <w:trHeight w:val="889"/>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r>
              <w:t>Borja-</w:t>
            </w:r>
            <w:proofErr w:type="spellStart"/>
            <w:r>
              <w:t>Tabora</w:t>
            </w:r>
            <w:proofErr w:type="spellEnd"/>
            <w:r>
              <w:t xml:space="preserve">, C., et al. 2013. </w:t>
            </w:r>
            <w:r w:rsidRPr="003B2E00">
              <w:t xml:space="preserve">Immune response, antibody persistence, and safety of a single dose of the </w:t>
            </w:r>
            <w:proofErr w:type="spellStart"/>
            <w:r w:rsidRPr="003B2E00">
              <w:t>quadrivalent</w:t>
            </w:r>
            <w:proofErr w:type="spellEnd"/>
            <w:r w:rsidRPr="003B2E00">
              <w:t xml:space="preserve"> meningococcal serogroups A, C, W-135, and Y tetanus toxoid conjugate vaccine in adolescents and adults: results of an open, randomised, controlled study.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BMC Infectious Diseases</w:t>
            </w:r>
            <w:r w:rsidRPr="003B2E00">
              <w:t xml:space="preserve"> 2013; 13:116.</w:t>
            </w:r>
          </w:p>
        </w:tc>
      </w:tr>
      <w:tr w:rsidR="005961D8" w:rsidRPr="003B2E00" w:rsidTr="00CB7A7F">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MenACWY-TT-021</w:t>
            </w:r>
          </w:p>
        </w:tc>
        <w:tc>
          <w:tcPr>
            <w:tcW w:w="0" w:type="auto"/>
            <w:tcBorders>
              <w:bottom w:val="single" w:sz="4" w:space="0" w:color="auto"/>
            </w:tcBorders>
          </w:tcPr>
          <w:p w:rsidR="005961D8" w:rsidRDefault="005961D8" w:rsidP="005961D8">
            <w:pPr>
              <w:pStyle w:val="TableText0"/>
              <w:keepNext w:val="0"/>
              <w:widowControl w:val="0"/>
              <w:spacing w:before="0" w:after="0"/>
            </w:pPr>
            <w:r w:rsidRPr="005961D8">
              <w:t xml:space="preserve">107408 (MenACWY-TT-021 BST: </w:t>
            </w:r>
            <w:proofErr w:type="spellStart"/>
            <w:r w:rsidRPr="005961D8">
              <w:t>Mencevax</w:t>
            </w:r>
            <w:proofErr w:type="spellEnd"/>
            <w:r w:rsidRPr="005961D8">
              <w:t xml:space="preserve"> ACWY-004). </w:t>
            </w:r>
            <w:r w:rsidRPr="003B2E00">
              <w:t xml:space="preserve">A phase II, open study to evaluate immunogenicity of GSK Biologicals’ </w:t>
            </w:r>
            <w:proofErr w:type="spellStart"/>
            <w:r w:rsidRPr="003B2E00">
              <w:t>MenACWY</w:t>
            </w:r>
            <w:proofErr w:type="spellEnd"/>
            <w:r w:rsidRPr="003B2E00">
              <w:t xml:space="preserve">-TT conjugate vaccine administered intramuscularly to healthy subjects aged 4.5 - 34 years old either previously primed with </w:t>
            </w:r>
            <w:proofErr w:type="spellStart"/>
            <w:r w:rsidRPr="003B2E00">
              <w:t>Mencevax</w:t>
            </w:r>
            <w:proofErr w:type="spellEnd"/>
            <w:r w:rsidRPr="003B2E00">
              <w:t xml:space="preserve"> ACWY in GSK Biologicals’ study 102394 (</w:t>
            </w:r>
            <w:proofErr w:type="spellStart"/>
            <w:r w:rsidRPr="003B2E00">
              <w:t>Mencevax</w:t>
            </w:r>
            <w:proofErr w:type="spellEnd"/>
            <w:r w:rsidRPr="003B2E00">
              <w:t xml:space="preserve"> ACWY-004) or not previously vaccinated with a meningococcal serogroup A, C, W-135, and/or Y vaccine.</w:t>
            </w:r>
          </w:p>
          <w:p w:rsidR="005961D8" w:rsidRPr="003B2E00" w:rsidRDefault="005961D8" w:rsidP="005961D8">
            <w:pPr>
              <w:pStyle w:val="TableText0"/>
              <w:keepNext w:val="0"/>
              <w:widowControl w:val="0"/>
              <w:spacing w:before="0" w:after="0"/>
            </w:pPr>
          </w:p>
        </w:tc>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t>September 2009</w:t>
            </w:r>
          </w:p>
        </w:tc>
      </w:tr>
      <w:tr w:rsidR="005961D8" w:rsidRPr="003B2E00" w:rsidTr="00CB7A7F">
        <w:trPr>
          <w:trHeight w:val="889"/>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single" w:sz="4" w:space="0" w:color="auto"/>
              <w:bottom w:val="single" w:sz="4" w:space="0" w:color="auto"/>
            </w:tcBorders>
          </w:tcPr>
          <w:p w:rsidR="005961D8" w:rsidRPr="003B2E00" w:rsidRDefault="005961D8" w:rsidP="005961D8">
            <w:pPr>
              <w:pStyle w:val="TableText0"/>
              <w:keepNext w:val="0"/>
              <w:widowControl w:val="0"/>
              <w:spacing w:before="0" w:after="0"/>
            </w:pPr>
            <w:proofErr w:type="spellStart"/>
            <w:r>
              <w:t>Dbaibo</w:t>
            </w:r>
            <w:proofErr w:type="spellEnd"/>
            <w:r>
              <w:t xml:space="preserve">, G., et al. 2012a. </w:t>
            </w:r>
            <w:r w:rsidRPr="003B2E00">
              <w:t xml:space="preserve">The tetravalent meningococcal serogroups A, C, W-135, and Y tetanus toxoid conjugate vaccine is immunogenic with a clinically acceptable safety profile in subjects previously vaccinated with a tetravalent polysaccharide vaccine. </w:t>
            </w:r>
          </w:p>
        </w:tc>
        <w:tc>
          <w:tcPr>
            <w:tcW w:w="0" w:type="auto"/>
            <w:tcBorders>
              <w:top w:val="single" w:sz="4" w:space="0" w:color="auto"/>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International Journal of Infectious Diseases</w:t>
            </w:r>
            <w:r w:rsidRPr="003B2E00">
              <w:t xml:space="preserve"> 2012; 16(8):e608-15.</w:t>
            </w:r>
          </w:p>
        </w:tc>
      </w:tr>
      <w:tr w:rsidR="005961D8" w:rsidRPr="003B2E00" w:rsidTr="00C02D6A">
        <w:trPr>
          <w:trHeight w:val="889"/>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MenACWY-TT-035</w:t>
            </w:r>
          </w:p>
        </w:tc>
        <w:tc>
          <w:tcPr>
            <w:tcW w:w="0" w:type="auto"/>
            <w:tcBorders>
              <w:bottom w:val="nil"/>
            </w:tcBorders>
          </w:tcPr>
          <w:p w:rsidR="005961D8" w:rsidRDefault="005961D8" w:rsidP="005961D8">
            <w:pPr>
              <w:pStyle w:val="TableText0"/>
              <w:keepNext w:val="0"/>
              <w:widowControl w:val="0"/>
              <w:spacing w:before="0" w:after="0"/>
            </w:pPr>
            <w:r>
              <w:t xml:space="preserve">109067 (MenACWY-TT-035). </w:t>
            </w:r>
            <w:r w:rsidRPr="003B2E00">
              <w:t xml:space="preserve">A phase III, randomized, partially double-blinded, controlled study to demonstrate the lot-to-lot consistency of GSK Biologicals’ meningococcal serogroup ACWY conjugate vaccine (GSK134612, </w:t>
            </w:r>
            <w:proofErr w:type="spellStart"/>
            <w:r w:rsidRPr="003B2E00">
              <w:t>MenACWY</w:t>
            </w:r>
            <w:proofErr w:type="spellEnd"/>
            <w:r w:rsidRPr="003B2E00">
              <w:t xml:space="preserve">-TT) and its non-inferiority compared with </w:t>
            </w:r>
            <w:proofErr w:type="spellStart"/>
            <w:r w:rsidRPr="003B2E00">
              <w:t>Mencevax</w:t>
            </w:r>
            <w:proofErr w:type="spellEnd"/>
            <w:r w:rsidRPr="003B2E00">
              <w:t xml:space="preserve"> ACWY and to evaluate the co-administration of </w:t>
            </w:r>
            <w:proofErr w:type="spellStart"/>
            <w:r w:rsidRPr="003B2E00">
              <w:t>MenACWY</w:t>
            </w:r>
            <w:proofErr w:type="spellEnd"/>
            <w:r w:rsidRPr="003B2E00">
              <w:t xml:space="preserve">-TT with influenza vaccine in </w:t>
            </w:r>
            <w:r w:rsidRPr="003B2E00">
              <w:lastRenderedPageBreak/>
              <w:t>healthy subjects aged 18 through 55 years of age.</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lastRenderedPageBreak/>
              <w:t>January 2011</w:t>
            </w:r>
          </w:p>
        </w:tc>
      </w:tr>
      <w:tr w:rsidR="005961D8" w:rsidRPr="003B2E00" w:rsidTr="001B3B40">
        <w:trPr>
          <w:trHeight w:val="148"/>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nil"/>
            </w:tcBorders>
          </w:tcPr>
          <w:p w:rsidR="005961D8" w:rsidRDefault="005961D8" w:rsidP="005961D8">
            <w:pPr>
              <w:pStyle w:val="TableText0"/>
              <w:keepNext w:val="0"/>
              <w:widowControl w:val="0"/>
              <w:spacing w:before="0" w:after="0"/>
            </w:pPr>
            <w:proofErr w:type="spellStart"/>
            <w:r>
              <w:t>Dbaibo</w:t>
            </w:r>
            <w:proofErr w:type="spellEnd"/>
            <w:r>
              <w:t xml:space="preserve"> G., et al. 2012b. </w:t>
            </w:r>
            <w:r w:rsidRPr="003B2E00">
              <w:t>The immunogenicity and safety of an investigational meningococcal serogroups A, C, W-135, Y tetanus toxoid conjugate vaccine (ACWY-TT) compared with a licensed meningococcal tetravalent polysaccharide vaccine: a randomized, controlled non-inferiority study.</w:t>
            </w:r>
          </w:p>
          <w:p w:rsidR="005961D8" w:rsidRPr="003B2E00" w:rsidRDefault="005961D8" w:rsidP="005961D8">
            <w:pPr>
              <w:pStyle w:val="TableText0"/>
              <w:keepNext w:val="0"/>
              <w:widowControl w:val="0"/>
              <w:spacing w:before="0" w:after="0"/>
            </w:pPr>
          </w:p>
        </w:tc>
        <w:tc>
          <w:tcPr>
            <w:tcW w:w="0" w:type="auto"/>
            <w:tcBorders>
              <w:top w:val="nil"/>
              <w:bottom w:val="nil"/>
            </w:tcBorders>
            <w:vAlign w:val="center"/>
          </w:tcPr>
          <w:p w:rsidR="005961D8" w:rsidRPr="003B2E00" w:rsidRDefault="005961D8" w:rsidP="005961D8">
            <w:pPr>
              <w:pStyle w:val="TableText0"/>
              <w:keepNext w:val="0"/>
              <w:widowControl w:val="0"/>
              <w:spacing w:before="0" w:after="0"/>
            </w:pPr>
            <w:r w:rsidRPr="003B2E00">
              <w:rPr>
                <w:i/>
              </w:rPr>
              <w:t xml:space="preserve">Human vaccines &amp; </w:t>
            </w:r>
            <w:proofErr w:type="spellStart"/>
            <w:r w:rsidRPr="003B2E00">
              <w:rPr>
                <w:i/>
              </w:rPr>
              <w:t>Immunotherapeutics</w:t>
            </w:r>
            <w:proofErr w:type="spellEnd"/>
            <w:r w:rsidRPr="003B2E00">
              <w:t xml:space="preserve"> 2012; 8(7): 873 – 80.</w:t>
            </w:r>
          </w:p>
        </w:tc>
      </w:tr>
      <w:tr w:rsidR="005961D8" w:rsidRPr="003B2E00" w:rsidTr="00C02D6A">
        <w:trPr>
          <w:trHeight w:val="601"/>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proofErr w:type="spellStart"/>
            <w:r>
              <w:t>Aplsaca</w:t>
            </w:r>
            <w:proofErr w:type="spellEnd"/>
            <w:r>
              <w:t xml:space="preserve">-De Los Reyes M.R., et al. </w:t>
            </w:r>
            <w:r w:rsidRPr="003B2E00">
              <w:t>The investigational meningococcal serogroups A, C, W-135, Y tetanus toxoid conjugate vaccine (ACWY-TT) and the seasonal influenza virus vaccine are immunogenic and well-tolerated when</w:t>
            </w:r>
            <w:r>
              <w:t xml:space="preserve"> </w:t>
            </w:r>
            <w:r w:rsidRPr="005961D8">
              <w:t>co-administered in adults</w:t>
            </w:r>
            <w:r>
              <w:t>.</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 xml:space="preserve">Human vaccines &amp; </w:t>
            </w:r>
            <w:proofErr w:type="spellStart"/>
            <w:r w:rsidRPr="003B2E00">
              <w:rPr>
                <w:i/>
              </w:rPr>
              <w:t>Immunotherapeutics</w:t>
            </w:r>
            <w:proofErr w:type="spellEnd"/>
            <w:r w:rsidRPr="003B2E00">
              <w:t xml:space="preserve"> 2012; 8(7):881-7.</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MenACWY-TT-036</w:t>
            </w:r>
          </w:p>
        </w:tc>
        <w:tc>
          <w:tcPr>
            <w:tcW w:w="0" w:type="auto"/>
            <w:tcBorders>
              <w:bottom w:val="nil"/>
            </w:tcBorders>
          </w:tcPr>
          <w:p w:rsidR="005961D8" w:rsidRDefault="005961D8" w:rsidP="005961D8">
            <w:pPr>
              <w:pStyle w:val="TableText0"/>
              <w:keepNext w:val="0"/>
              <w:widowControl w:val="0"/>
              <w:spacing w:before="0" w:after="0"/>
            </w:pPr>
            <w:r w:rsidRPr="00516393">
              <w:t>109069 (MenACWY-TT-036).</w:t>
            </w:r>
            <w:r>
              <w:t xml:space="preserve"> </w:t>
            </w:r>
            <w:r w:rsidRPr="003B2E00">
              <w:t xml:space="preserve">A Phase III, randomised, open, controlled, </w:t>
            </w:r>
            <w:proofErr w:type="spellStart"/>
            <w:r w:rsidRPr="003B2E00">
              <w:t>multicenter</w:t>
            </w:r>
            <w:proofErr w:type="spellEnd"/>
            <w:r w:rsidRPr="003B2E00">
              <w:t xml:space="preserve"> primary vaccination study to demonstrate the non-inferiority of the immunogenicity of GSK Biologicals’ meningococcal serogroup ACWY conjugate vaccine (GSK134612,</w:t>
            </w:r>
            <w:r>
              <w:t xml:space="preserve"> </w:t>
            </w:r>
            <w:proofErr w:type="spellStart"/>
            <w:r w:rsidRPr="003B2E00">
              <w:t>MenACWY</w:t>
            </w:r>
            <w:proofErr w:type="spellEnd"/>
            <w:r w:rsidRPr="003B2E00">
              <w:t xml:space="preserve">-TT) given intramuscularly versus </w:t>
            </w:r>
            <w:proofErr w:type="spellStart"/>
            <w:r w:rsidRPr="003B2E00">
              <w:t>Mencevax</w:t>
            </w:r>
            <w:proofErr w:type="spellEnd"/>
            <w:r w:rsidRPr="003B2E00">
              <w:rPr>
                <w:rFonts w:cs="Arial"/>
              </w:rPr>
              <w:t>™</w:t>
            </w:r>
            <w:r w:rsidRPr="003B2E00">
              <w:t xml:space="preserve"> ACWY given subcutaneously to healthy subjects aged 11 through 17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December 2011</w:t>
            </w:r>
          </w:p>
        </w:tc>
      </w:tr>
      <w:tr w:rsidR="005961D8" w:rsidRPr="003B2E00" w:rsidTr="00C02D6A">
        <w:trPr>
          <w:trHeight w:val="145"/>
        </w:trPr>
        <w:tc>
          <w:tcPr>
            <w:tcW w:w="0" w:type="auto"/>
            <w:vMerge/>
            <w:tcBorders>
              <w:bottom w:val="single" w:sz="4" w:space="0" w:color="auto"/>
            </w:tcBorders>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proofErr w:type="spellStart"/>
            <w:r w:rsidRPr="00516393">
              <w:t>Bermal</w:t>
            </w:r>
            <w:proofErr w:type="spellEnd"/>
            <w:r w:rsidRPr="00516393">
              <w:t xml:space="preserve">, N., et al. 2011. </w:t>
            </w:r>
            <w:r w:rsidRPr="003B2E00">
              <w:t xml:space="preserve">Safety and immunogenicity of a tetravalent meningococcal serogroups A, C, W-135 and Y conjugate vaccine in adolescents and adults. </w:t>
            </w:r>
          </w:p>
        </w:tc>
        <w:tc>
          <w:tcPr>
            <w:tcW w:w="0" w:type="auto"/>
            <w:tcBorders>
              <w:top w:val="nil"/>
              <w:bottom w:val="single" w:sz="4" w:space="0" w:color="auto"/>
            </w:tcBorders>
            <w:vAlign w:val="center"/>
          </w:tcPr>
          <w:p w:rsidR="005961D8" w:rsidRPr="003B2E00" w:rsidRDefault="005961D8" w:rsidP="005961D8">
            <w:pPr>
              <w:pStyle w:val="TableText0"/>
              <w:keepNext w:val="0"/>
              <w:widowControl w:val="0"/>
              <w:spacing w:before="0" w:after="0"/>
            </w:pPr>
            <w:r w:rsidRPr="003B2E00">
              <w:rPr>
                <w:i/>
              </w:rPr>
              <w:t>Human Vaccines</w:t>
            </w:r>
            <w:r w:rsidRPr="003B2E00">
              <w:t xml:space="preserve"> 2011; 7(2):239-47.</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MenACWY-TT-037</w:t>
            </w:r>
          </w:p>
        </w:tc>
        <w:tc>
          <w:tcPr>
            <w:tcW w:w="0" w:type="auto"/>
            <w:tcBorders>
              <w:bottom w:val="nil"/>
            </w:tcBorders>
          </w:tcPr>
          <w:p w:rsidR="005961D8" w:rsidRDefault="005961D8" w:rsidP="005961D8">
            <w:pPr>
              <w:pStyle w:val="TableText0"/>
              <w:keepNext w:val="0"/>
              <w:widowControl w:val="0"/>
              <w:spacing w:before="0" w:after="0"/>
            </w:pPr>
            <w:r w:rsidRPr="00391E6C">
              <w:t>109063 (MenACWY-TT-037</w:t>
            </w:r>
            <w:r>
              <w:t xml:space="preserve">). </w:t>
            </w:r>
            <w:r w:rsidRPr="003B2E00">
              <w:t xml:space="preserve">A phase III, randomised, open, controlled, multicentre primary vaccination study to demonstrate the non-inferiority of the immunogenicity of GSK Biologicals’ meningococcal serogroup ACWY conjugate vaccine when given as one dose with </w:t>
            </w:r>
            <w:proofErr w:type="spellStart"/>
            <w:r w:rsidRPr="003B2E00">
              <w:t>Twinrix</w:t>
            </w:r>
            <w:proofErr w:type="spellEnd"/>
            <w:r w:rsidRPr="003B2E00">
              <w:t xml:space="preserve">™ versus GSK Biologicals’ meningococcal serogroup ACWY conjugate vaccine alone and versus </w:t>
            </w:r>
            <w:proofErr w:type="spellStart"/>
            <w:r w:rsidRPr="003B2E00">
              <w:t>Twinrix</w:t>
            </w:r>
            <w:proofErr w:type="spellEnd"/>
            <w:r w:rsidRPr="003B2E00">
              <w:t>™ alone in healthy subjects aged 11 through 17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March 2009</w:t>
            </w:r>
          </w:p>
        </w:tc>
      </w:tr>
      <w:tr w:rsidR="005961D8" w:rsidRPr="003B2E00" w:rsidTr="002B7FD4">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bottom w:val="single" w:sz="4" w:space="0" w:color="auto"/>
            </w:tcBorders>
          </w:tcPr>
          <w:p w:rsidR="005961D8" w:rsidRPr="003B2E00" w:rsidRDefault="005961D8" w:rsidP="005961D8">
            <w:pPr>
              <w:pStyle w:val="TableText0"/>
              <w:keepNext w:val="0"/>
              <w:widowControl w:val="0"/>
              <w:spacing w:before="0" w:after="0"/>
            </w:pPr>
            <w:proofErr w:type="spellStart"/>
            <w:r w:rsidRPr="00D34638">
              <w:t>Ostergaard</w:t>
            </w:r>
            <w:proofErr w:type="spellEnd"/>
            <w:r w:rsidRPr="00D34638">
              <w:t>, L., et al</w:t>
            </w:r>
            <w:r>
              <w:t>.</w:t>
            </w:r>
            <w:r w:rsidRPr="00D34638">
              <w:t xml:space="preserve"> 2012. </w:t>
            </w:r>
            <w:r w:rsidRPr="003B2E00">
              <w:t xml:space="preserve">A tetravalent meningococcal serogroups A, C, W-135, and Y tetanus toxoid conjugate vaccine is immunogenic and well-tolerated when co-administered with </w:t>
            </w:r>
            <w:proofErr w:type="spellStart"/>
            <w:r w:rsidRPr="003B2E00">
              <w:t>Twinrix</w:t>
            </w:r>
            <w:proofErr w:type="spellEnd"/>
            <w:r w:rsidRPr="003B2E00">
              <w:t xml:space="preserve"> in subjects aged 11-17 years: an open, randomised, controlled trial. </w:t>
            </w:r>
          </w:p>
        </w:tc>
        <w:tc>
          <w:tcPr>
            <w:tcW w:w="0" w:type="auto"/>
            <w:tcBorders>
              <w:top w:val="nil"/>
              <w:bottom w:val="single" w:sz="4" w:space="0" w:color="auto"/>
            </w:tcBorders>
          </w:tcPr>
          <w:p w:rsidR="005961D8" w:rsidRPr="003B2E00" w:rsidRDefault="005961D8" w:rsidP="002B7FD4">
            <w:pPr>
              <w:pStyle w:val="TableText0"/>
              <w:keepNext w:val="0"/>
              <w:widowControl w:val="0"/>
              <w:spacing w:before="0" w:after="0"/>
            </w:pPr>
            <w:r w:rsidRPr="003B2E00">
              <w:rPr>
                <w:i/>
              </w:rPr>
              <w:t xml:space="preserve">Vaccine </w:t>
            </w:r>
            <w:r w:rsidRPr="008C1DE2">
              <w:t>2012</w:t>
            </w:r>
            <w:r w:rsidRPr="003B2E00">
              <w:rPr>
                <w:i/>
              </w:rPr>
              <w:t>;</w:t>
            </w:r>
            <w:r w:rsidRPr="003B2E00">
              <w:t xml:space="preserve"> 30(4):774-83.</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t>MenACWY-TT-052</w:t>
            </w:r>
          </w:p>
        </w:tc>
        <w:tc>
          <w:tcPr>
            <w:tcW w:w="0" w:type="auto"/>
            <w:tcBorders>
              <w:bottom w:val="nil"/>
            </w:tcBorders>
          </w:tcPr>
          <w:p w:rsidR="005961D8" w:rsidRDefault="005961D8" w:rsidP="005961D8">
            <w:pPr>
              <w:pStyle w:val="TableText0"/>
              <w:keepNext w:val="0"/>
              <w:widowControl w:val="0"/>
              <w:spacing w:before="0" w:after="0"/>
            </w:pPr>
            <w:r w:rsidRPr="008A6AA1">
              <w:t>109377 (MenACWY-TT-052).</w:t>
            </w:r>
            <w:r>
              <w:t xml:space="preserve"> </w:t>
            </w:r>
            <w:r w:rsidRPr="003B2E00">
              <w:t xml:space="preserve">A Phase II, single-blinded, randomized, controlled, </w:t>
            </w:r>
            <w:proofErr w:type="spellStart"/>
            <w:r w:rsidRPr="003B2E00">
              <w:t>multicenter</w:t>
            </w:r>
            <w:proofErr w:type="spellEnd"/>
            <w:r w:rsidRPr="003B2E00">
              <w:t xml:space="preserve"> study to assess the immunogenicity, </w:t>
            </w:r>
            <w:proofErr w:type="spellStart"/>
            <w:r w:rsidRPr="003B2E00">
              <w:t>reactogenicity</w:t>
            </w:r>
            <w:proofErr w:type="spellEnd"/>
            <w:r w:rsidRPr="003B2E00">
              <w:t xml:space="preserve"> and safety of one dose of GlaxoSmithKline (GSK) Biologicals’ meningococcal serogroups A, C, W-135, Y-tetanus toxoid conjugate (</w:t>
            </w:r>
            <w:proofErr w:type="spellStart"/>
            <w:r w:rsidRPr="003B2E00">
              <w:t>MenACWY</w:t>
            </w:r>
            <w:proofErr w:type="spellEnd"/>
            <w:r w:rsidRPr="003B2E00">
              <w:t xml:space="preserve">-TT) vaccine versus one dose of </w:t>
            </w:r>
            <w:proofErr w:type="spellStart"/>
            <w:r w:rsidRPr="003B2E00">
              <w:t>sanofi-pasteur’s</w:t>
            </w:r>
            <w:proofErr w:type="spellEnd"/>
            <w:r w:rsidRPr="003B2E00">
              <w:t xml:space="preserve"> meningococcal serogroups A, C, W-135 and </w:t>
            </w:r>
            <w:proofErr w:type="spellStart"/>
            <w:r w:rsidRPr="003B2E00">
              <w:t>Ydiphtheria</w:t>
            </w:r>
            <w:proofErr w:type="spellEnd"/>
            <w:r w:rsidRPr="003B2E00">
              <w:t xml:space="preserve"> toxoid conjugate vaccine (</w:t>
            </w:r>
            <w:proofErr w:type="spellStart"/>
            <w:r w:rsidRPr="003B2E00">
              <w:t>Menactra</w:t>
            </w:r>
            <w:proofErr w:type="spellEnd"/>
            <w:r w:rsidRPr="003B2E00">
              <w:t>®) in healthy adolescents/adults aged 10-25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March 2010</w:t>
            </w:r>
          </w:p>
        </w:tc>
      </w:tr>
      <w:tr w:rsidR="005961D8" w:rsidRPr="003B2E00" w:rsidTr="00C02D6A">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tcBorders>
          </w:tcPr>
          <w:p w:rsidR="005961D8" w:rsidRPr="003B2E00" w:rsidRDefault="005961D8" w:rsidP="005961D8">
            <w:pPr>
              <w:pStyle w:val="TableText0"/>
              <w:keepNext w:val="0"/>
              <w:widowControl w:val="0"/>
              <w:spacing w:before="0" w:after="0"/>
            </w:pPr>
            <w:r>
              <w:t xml:space="preserve">Baxter, R., et al. </w:t>
            </w:r>
            <w:r w:rsidRPr="003B2E00">
              <w:t xml:space="preserve">Immunogenicity and safety of an investigational </w:t>
            </w:r>
            <w:proofErr w:type="spellStart"/>
            <w:r w:rsidRPr="003B2E00">
              <w:t>quadrivalent</w:t>
            </w:r>
            <w:proofErr w:type="spellEnd"/>
            <w:r w:rsidRPr="003B2E00">
              <w:t xml:space="preserve"> meningococcal ACWY tetanus toxoid conjugate vaccine in healthy adolescents and young adults 10 to 25 years of age. </w:t>
            </w:r>
          </w:p>
        </w:tc>
        <w:tc>
          <w:tcPr>
            <w:tcW w:w="0" w:type="auto"/>
            <w:tcBorders>
              <w:top w:val="nil"/>
            </w:tcBorders>
            <w:vAlign w:val="center"/>
          </w:tcPr>
          <w:p w:rsidR="005961D8" w:rsidRPr="003B2E00" w:rsidRDefault="005961D8" w:rsidP="005961D8">
            <w:pPr>
              <w:pStyle w:val="TableText0"/>
              <w:keepNext w:val="0"/>
              <w:widowControl w:val="0"/>
              <w:spacing w:before="0" w:after="0"/>
            </w:pPr>
            <w:proofErr w:type="spellStart"/>
            <w:r w:rsidRPr="003B2E00">
              <w:rPr>
                <w:i/>
              </w:rPr>
              <w:t>Pediatric</w:t>
            </w:r>
            <w:proofErr w:type="spellEnd"/>
            <w:r w:rsidRPr="003B2E00">
              <w:rPr>
                <w:i/>
              </w:rPr>
              <w:t xml:space="preserve"> Infectious Disease Journal </w:t>
            </w:r>
            <w:r w:rsidRPr="003B2E00">
              <w:t>2011; 30(3):e41-8.</w:t>
            </w:r>
          </w:p>
        </w:tc>
      </w:tr>
      <w:tr w:rsidR="005961D8" w:rsidRPr="003B2E00" w:rsidTr="00C02D6A">
        <w:trPr>
          <w:trHeight w:val="145"/>
        </w:trPr>
        <w:tc>
          <w:tcPr>
            <w:tcW w:w="0" w:type="auto"/>
            <w:vAlign w:val="center"/>
          </w:tcPr>
          <w:p w:rsidR="005961D8" w:rsidRPr="003B2E00" w:rsidRDefault="005961D8" w:rsidP="005961D8">
            <w:pPr>
              <w:pStyle w:val="TableText0"/>
              <w:keepNext w:val="0"/>
              <w:widowControl w:val="0"/>
              <w:spacing w:before="0" w:after="0"/>
            </w:pPr>
            <w:r w:rsidRPr="003B2E00">
              <w:t>MenACWY-TT-054</w:t>
            </w:r>
          </w:p>
        </w:tc>
        <w:tc>
          <w:tcPr>
            <w:tcW w:w="0" w:type="auto"/>
          </w:tcPr>
          <w:p w:rsidR="005961D8" w:rsidRPr="003B2E00" w:rsidRDefault="005961D8" w:rsidP="005961D8">
            <w:pPr>
              <w:pStyle w:val="TableText0"/>
              <w:keepNext w:val="0"/>
              <w:widowControl w:val="0"/>
              <w:spacing w:before="0" w:after="0"/>
            </w:pPr>
            <w:r>
              <w:t xml:space="preserve">113823 (MenACWY-TT-054). </w:t>
            </w:r>
            <w:r w:rsidRPr="003B2E00">
              <w:t xml:space="preserve">A Phase III, open, randomised, controlled, multicentre study to assess the immunogenicity and </w:t>
            </w:r>
            <w:proofErr w:type="spellStart"/>
            <w:r w:rsidRPr="003B2E00">
              <w:t>reactogenicity</w:t>
            </w:r>
            <w:proofErr w:type="spellEnd"/>
            <w:r w:rsidRPr="003B2E00">
              <w:t xml:space="preserve"> of GSK Biologicals’ meningococcal serogroups A, C, W-135, Y tetanus toxoid conjugate vaccine (</w:t>
            </w:r>
            <w:proofErr w:type="spellStart"/>
            <w:r w:rsidRPr="003B2E00">
              <w:t>MenACWY</w:t>
            </w:r>
            <w:proofErr w:type="spellEnd"/>
            <w:r w:rsidRPr="003B2E00">
              <w:t xml:space="preserve">-TT) administered alone as compared to </w:t>
            </w:r>
            <w:proofErr w:type="spellStart"/>
            <w:r w:rsidRPr="003B2E00">
              <w:t>MenACWY</w:t>
            </w:r>
            <w:proofErr w:type="spellEnd"/>
            <w:r w:rsidRPr="003B2E00">
              <w:t xml:space="preserve">-TT co-administered with GSK Biologicals’ HPV vaccine </w:t>
            </w:r>
            <w:proofErr w:type="spellStart"/>
            <w:r w:rsidRPr="003B2E00">
              <w:t>Cervarix</w:t>
            </w:r>
            <w:proofErr w:type="spellEnd"/>
            <w:r w:rsidRPr="003B2E00">
              <w:t xml:space="preserve"> or co-administered with </w:t>
            </w:r>
            <w:proofErr w:type="spellStart"/>
            <w:r w:rsidRPr="003B2E00">
              <w:t>Cervarix</w:t>
            </w:r>
            <w:proofErr w:type="spellEnd"/>
            <w:r w:rsidRPr="003B2E00">
              <w:t xml:space="preserve"> and GSK Biologicals' tetanus toxoid, reduced diphtheria toxoid and acellular pertussis vaccine adsorbed (</w:t>
            </w:r>
            <w:proofErr w:type="spellStart"/>
            <w:r w:rsidRPr="003B2E00">
              <w:t>Tdap</w:t>
            </w:r>
            <w:proofErr w:type="spellEnd"/>
            <w:r w:rsidRPr="003B2E00">
              <w:t xml:space="preserve"> [</w:t>
            </w:r>
            <w:proofErr w:type="spellStart"/>
            <w:r w:rsidRPr="003B2E00">
              <w:t>Boostrix</w:t>
            </w:r>
            <w:proofErr w:type="spellEnd"/>
            <w:r w:rsidRPr="003B2E00">
              <w:t>]) in female adolescents and young adults at 9-25 years of age.</w:t>
            </w:r>
          </w:p>
        </w:tc>
        <w:tc>
          <w:tcPr>
            <w:tcW w:w="0" w:type="auto"/>
            <w:vAlign w:val="center"/>
          </w:tcPr>
          <w:p w:rsidR="005961D8" w:rsidRPr="003B2E00" w:rsidRDefault="005961D8" w:rsidP="005961D8">
            <w:pPr>
              <w:pStyle w:val="TableText0"/>
              <w:keepNext w:val="0"/>
              <w:widowControl w:val="0"/>
              <w:spacing w:before="0" w:after="0"/>
            </w:pPr>
            <w:r w:rsidRPr="003B2E00">
              <w:t>May 2017</w:t>
            </w:r>
          </w:p>
          <w:p w:rsidR="005961D8" w:rsidRPr="003B2E00" w:rsidRDefault="005961D8" w:rsidP="005961D8">
            <w:pPr>
              <w:pStyle w:val="TableText0"/>
              <w:keepNext w:val="0"/>
              <w:widowControl w:val="0"/>
              <w:spacing w:before="0" w:after="0"/>
            </w:pPr>
            <w:r w:rsidRPr="003B2E00">
              <w:t>Clinical Study Report</w:t>
            </w:r>
          </w:p>
          <w:p w:rsidR="005961D8" w:rsidRPr="003B2E00" w:rsidRDefault="005961D8" w:rsidP="005961D8">
            <w:pPr>
              <w:pStyle w:val="TableText0"/>
              <w:keepNext w:val="0"/>
              <w:widowControl w:val="0"/>
              <w:spacing w:before="0" w:after="0"/>
            </w:pPr>
            <w:r w:rsidRPr="003B2E00">
              <w:t>Unpublished</w:t>
            </w:r>
          </w:p>
        </w:tc>
      </w:tr>
      <w:tr w:rsidR="005961D8" w:rsidRPr="003B2E00" w:rsidTr="00C02D6A">
        <w:trPr>
          <w:trHeight w:val="145"/>
        </w:trPr>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t>MenACWY-</w:t>
            </w:r>
            <w:r w:rsidRPr="003B2E00">
              <w:lastRenderedPageBreak/>
              <w:t>TT-084</w:t>
            </w:r>
          </w:p>
        </w:tc>
        <w:tc>
          <w:tcPr>
            <w:tcW w:w="0" w:type="auto"/>
            <w:tcBorders>
              <w:bottom w:val="single" w:sz="4" w:space="0" w:color="auto"/>
            </w:tcBorders>
          </w:tcPr>
          <w:p w:rsidR="005961D8" w:rsidRPr="003B2E00" w:rsidRDefault="005961D8" w:rsidP="005961D8">
            <w:pPr>
              <w:pStyle w:val="TableText0"/>
              <w:keepNext w:val="0"/>
              <w:widowControl w:val="0"/>
              <w:spacing w:before="0" w:after="0"/>
            </w:pPr>
            <w:r>
              <w:lastRenderedPageBreak/>
              <w:t>115524 (Men</w:t>
            </w:r>
            <w:r w:rsidRPr="00294E3A">
              <w:t>ACWY-TT-084)</w:t>
            </w:r>
            <w:r>
              <w:t xml:space="preserve">. </w:t>
            </w:r>
            <w:r w:rsidRPr="003B2E00">
              <w:t xml:space="preserve">A phase III, open, controlled study to evaluate </w:t>
            </w:r>
            <w:r w:rsidRPr="003B2E00">
              <w:lastRenderedPageBreak/>
              <w:t xml:space="preserve">immunogenicity of GSK Biologicals' </w:t>
            </w:r>
            <w:proofErr w:type="spellStart"/>
            <w:r w:rsidRPr="003B2E00">
              <w:t>MenACWY</w:t>
            </w:r>
            <w:proofErr w:type="spellEnd"/>
            <w:r w:rsidRPr="003B2E00">
              <w:t>-TT conjugate vaccine administered intramuscularly to at risk subjects from 1 to less than 18 years and to an age-matched control group of healthy subjects.</w:t>
            </w:r>
          </w:p>
        </w:tc>
        <w:tc>
          <w:tcPr>
            <w:tcW w:w="0" w:type="auto"/>
            <w:tcBorders>
              <w:bottom w:val="single" w:sz="4" w:space="0" w:color="auto"/>
            </w:tcBorders>
            <w:vAlign w:val="center"/>
          </w:tcPr>
          <w:p w:rsidR="005961D8" w:rsidRPr="003B2E00" w:rsidRDefault="005961D8" w:rsidP="005961D8">
            <w:pPr>
              <w:pStyle w:val="TableText0"/>
              <w:keepNext w:val="0"/>
              <w:widowControl w:val="0"/>
              <w:spacing w:before="0" w:after="0"/>
            </w:pPr>
            <w:r w:rsidRPr="003B2E00">
              <w:lastRenderedPageBreak/>
              <w:t>April 2016</w:t>
            </w:r>
          </w:p>
          <w:p w:rsidR="005961D8" w:rsidRPr="003B2E00" w:rsidRDefault="005961D8" w:rsidP="005961D8">
            <w:pPr>
              <w:pStyle w:val="TableText0"/>
              <w:keepNext w:val="0"/>
              <w:widowControl w:val="0"/>
              <w:spacing w:before="0" w:after="0"/>
            </w:pPr>
            <w:r w:rsidRPr="003B2E00">
              <w:lastRenderedPageBreak/>
              <w:t>Clinical Study Report</w:t>
            </w:r>
          </w:p>
          <w:p w:rsidR="005961D8" w:rsidRPr="003B2E00" w:rsidRDefault="005961D8" w:rsidP="005961D8">
            <w:pPr>
              <w:pStyle w:val="TableText0"/>
              <w:keepNext w:val="0"/>
              <w:widowControl w:val="0"/>
              <w:spacing w:before="0" w:after="0"/>
            </w:pPr>
            <w:r w:rsidRPr="003B2E00">
              <w:t>Unpublished</w:t>
            </w:r>
            <w:r w:rsidRPr="003B2E00" w:rsidDel="006651F7">
              <w:t xml:space="preserve"> </w:t>
            </w:r>
          </w:p>
        </w:tc>
      </w:tr>
      <w:tr w:rsidR="005961D8" w:rsidRPr="003B2E00" w:rsidTr="00C02D6A">
        <w:trPr>
          <w:trHeight w:val="145"/>
        </w:trPr>
        <w:tc>
          <w:tcPr>
            <w:tcW w:w="0" w:type="auto"/>
            <w:vMerge w:val="restart"/>
            <w:vAlign w:val="center"/>
          </w:tcPr>
          <w:p w:rsidR="005961D8" w:rsidRPr="003B2E00" w:rsidRDefault="005961D8" w:rsidP="005961D8">
            <w:pPr>
              <w:pStyle w:val="TableText0"/>
              <w:keepNext w:val="0"/>
              <w:widowControl w:val="0"/>
              <w:spacing w:before="0" w:after="0"/>
            </w:pPr>
            <w:r w:rsidRPr="003B2E00">
              <w:lastRenderedPageBreak/>
              <w:t>MenACWY-TT-093</w:t>
            </w:r>
          </w:p>
        </w:tc>
        <w:tc>
          <w:tcPr>
            <w:tcW w:w="0" w:type="auto"/>
            <w:tcBorders>
              <w:bottom w:val="nil"/>
            </w:tcBorders>
          </w:tcPr>
          <w:p w:rsidR="005961D8" w:rsidRDefault="005961D8" w:rsidP="005961D8">
            <w:pPr>
              <w:pStyle w:val="TableText0"/>
              <w:keepNext w:val="0"/>
              <w:widowControl w:val="0"/>
              <w:spacing w:before="0" w:after="0"/>
            </w:pPr>
            <w:r w:rsidRPr="009F6652">
              <w:t>114248 (MenACWY-TT-093</w:t>
            </w:r>
            <w:r>
              <w:t xml:space="preserve">). </w:t>
            </w:r>
            <w:r w:rsidRPr="003B2E00">
              <w:t>A phase III, partially-blinded, multi-centre, controlled study to assess the safety and immunogenicity of GlaxoSmithKline (GSK) Biologicals’ meningococcal serogroup ACWY tetanus-toxoid conjugate vaccine (</w:t>
            </w:r>
            <w:proofErr w:type="spellStart"/>
            <w:r w:rsidRPr="003B2E00">
              <w:t>MenACWY</w:t>
            </w:r>
            <w:proofErr w:type="spellEnd"/>
            <w:r w:rsidRPr="003B2E00">
              <w:t xml:space="preserve">-TT) versus one dose of GSK Biologicals’ meningococcal polysaccharides A, C, W-135 and Y vaccine, </w:t>
            </w:r>
            <w:proofErr w:type="spellStart"/>
            <w:r w:rsidRPr="003B2E00">
              <w:t>Mencevax</w:t>
            </w:r>
            <w:proofErr w:type="spellEnd"/>
            <w:r w:rsidRPr="003B2E00">
              <w:t xml:space="preserve">™ ACWY and to assess the clinical comparability of two lots of </w:t>
            </w:r>
            <w:proofErr w:type="spellStart"/>
            <w:r w:rsidRPr="003B2E00">
              <w:t>MenACWY</w:t>
            </w:r>
            <w:proofErr w:type="spellEnd"/>
            <w:r w:rsidRPr="003B2E00">
              <w:t>-TT administered in healthy subjects aged 18 through 25 years.</w:t>
            </w:r>
          </w:p>
          <w:p w:rsidR="005961D8" w:rsidRPr="003B2E00" w:rsidRDefault="005961D8" w:rsidP="005961D8">
            <w:pPr>
              <w:pStyle w:val="TableText0"/>
              <w:keepNext w:val="0"/>
              <w:widowControl w:val="0"/>
              <w:spacing w:before="0" w:after="0"/>
            </w:pPr>
          </w:p>
        </w:tc>
        <w:tc>
          <w:tcPr>
            <w:tcW w:w="0" w:type="auto"/>
            <w:tcBorders>
              <w:bottom w:val="nil"/>
            </w:tcBorders>
            <w:vAlign w:val="center"/>
          </w:tcPr>
          <w:p w:rsidR="005961D8" w:rsidRPr="003B2E00" w:rsidRDefault="005961D8" w:rsidP="005961D8">
            <w:pPr>
              <w:pStyle w:val="TableText0"/>
              <w:keepNext w:val="0"/>
              <w:widowControl w:val="0"/>
              <w:spacing w:before="0" w:after="0"/>
            </w:pPr>
            <w:r w:rsidRPr="003B2E00">
              <w:t>October 2011</w:t>
            </w:r>
          </w:p>
        </w:tc>
      </w:tr>
      <w:tr w:rsidR="005961D8" w:rsidRPr="003B2E00" w:rsidTr="002B7FD4">
        <w:trPr>
          <w:trHeight w:val="145"/>
        </w:trPr>
        <w:tc>
          <w:tcPr>
            <w:tcW w:w="0" w:type="auto"/>
            <w:vMerge/>
            <w:vAlign w:val="center"/>
          </w:tcPr>
          <w:p w:rsidR="005961D8" w:rsidRPr="003B2E00" w:rsidRDefault="005961D8" w:rsidP="005961D8">
            <w:pPr>
              <w:pStyle w:val="TableText0"/>
              <w:keepNext w:val="0"/>
              <w:widowControl w:val="0"/>
              <w:spacing w:before="0" w:after="0"/>
            </w:pPr>
          </w:p>
        </w:tc>
        <w:tc>
          <w:tcPr>
            <w:tcW w:w="0" w:type="auto"/>
            <w:tcBorders>
              <w:top w:val="nil"/>
            </w:tcBorders>
          </w:tcPr>
          <w:p w:rsidR="005961D8" w:rsidRPr="003B2E00" w:rsidRDefault="005961D8" w:rsidP="005961D8">
            <w:pPr>
              <w:pStyle w:val="TableText0"/>
              <w:keepNext w:val="0"/>
              <w:widowControl w:val="0"/>
              <w:spacing w:before="0" w:after="0"/>
            </w:pPr>
            <w:proofErr w:type="spellStart"/>
            <w:r w:rsidRPr="00F25D3C">
              <w:t>Lupisan</w:t>
            </w:r>
            <w:proofErr w:type="spellEnd"/>
            <w:r w:rsidRPr="00F25D3C">
              <w:t xml:space="preserve">, S., et al. 2013. </w:t>
            </w:r>
            <w:r w:rsidRPr="003B2E00">
              <w:t xml:space="preserve">Meningococcal polysaccharide </w:t>
            </w:r>
            <w:proofErr w:type="gramStart"/>
            <w:r w:rsidRPr="003B2E00">
              <w:t>A</w:t>
            </w:r>
            <w:proofErr w:type="gramEnd"/>
            <w:r w:rsidRPr="003B2E00">
              <w:t xml:space="preserve"> O-acetylation levels do not impact the immunogenicity of the </w:t>
            </w:r>
            <w:proofErr w:type="spellStart"/>
            <w:r w:rsidRPr="003B2E00">
              <w:t>quadrivalent</w:t>
            </w:r>
            <w:proofErr w:type="spellEnd"/>
            <w:r w:rsidRPr="003B2E00">
              <w:t xml:space="preserve"> meningococcal tetanus toxoid conjugate vaccine: results from a randomized, controlled phase III study of healthy adults aged 18 to 25 years. </w:t>
            </w:r>
          </w:p>
        </w:tc>
        <w:tc>
          <w:tcPr>
            <w:tcW w:w="0" w:type="auto"/>
            <w:tcBorders>
              <w:top w:val="nil"/>
            </w:tcBorders>
          </w:tcPr>
          <w:p w:rsidR="005961D8" w:rsidRPr="003B2E00" w:rsidRDefault="005961D8" w:rsidP="002B7FD4">
            <w:pPr>
              <w:pStyle w:val="TableText0"/>
              <w:keepNext w:val="0"/>
              <w:widowControl w:val="0"/>
              <w:spacing w:before="0" w:after="0"/>
            </w:pPr>
            <w:r w:rsidRPr="003B2E00">
              <w:rPr>
                <w:i/>
              </w:rPr>
              <w:t>Clinical &amp; Vaccine Immunology</w:t>
            </w:r>
            <w:r w:rsidRPr="003B2E00">
              <w:t xml:space="preserve"> 2013; 20(10):1499-507.</w:t>
            </w:r>
          </w:p>
        </w:tc>
      </w:tr>
      <w:tr w:rsidR="005961D8" w:rsidRPr="003B2E00" w:rsidTr="00C02D6A">
        <w:trPr>
          <w:trHeight w:val="145"/>
        </w:trPr>
        <w:tc>
          <w:tcPr>
            <w:tcW w:w="0" w:type="auto"/>
            <w:vAlign w:val="center"/>
          </w:tcPr>
          <w:p w:rsidR="005961D8" w:rsidRPr="003B2E00" w:rsidRDefault="005961D8" w:rsidP="005961D8">
            <w:pPr>
              <w:pStyle w:val="TableText0"/>
              <w:keepNext w:val="0"/>
              <w:widowControl w:val="0"/>
              <w:spacing w:before="0" w:after="0"/>
            </w:pPr>
            <w:r w:rsidRPr="003B2E00">
              <w:t>MenACWY-TT-098</w:t>
            </w:r>
          </w:p>
        </w:tc>
        <w:tc>
          <w:tcPr>
            <w:tcW w:w="0" w:type="auto"/>
          </w:tcPr>
          <w:p w:rsidR="005961D8" w:rsidRPr="003B2E00" w:rsidRDefault="005961D8" w:rsidP="005961D8">
            <w:pPr>
              <w:pStyle w:val="TableText0"/>
              <w:keepNext w:val="0"/>
              <w:widowControl w:val="0"/>
              <w:spacing w:before="0" w:after="0"/>
            </w:pPr>
            <w:r>
              <w:t xml:space="preserve">116705 (MenACWY-TT-098). </w:t>
            </w:r>
            <w:r w:rsidRPr="003B2E00">
              <w:t xml:space="preserve">A Phase III, randomised, partially-blind, controlled, multi-centre, multi-country study to evaluate the immunogenicity, safety and </w:t>
            </w:r>
            <w:proofErr w:type="spellStart"/>
            <w:r w:rsidRPr="003B2E00">
              <w:t>reactogenicity</w:t>
            </w:r>
            <w:proofErr w:type="spellEnd"/>
            <w:r w:rsidRPr="003B2E00">
              <w:t xml:space="preserve"> of GSK Biologicals’ </w:t>
            </w:r>
            <w:proofErr w:type="spellStart"/>
            <w:r w:rsidRPr="003B2E00">
              <w:t>MenACWY</w:t>
            </w:r>
            <w:proofErr w:type="spellEnd"/>
            <w:r w:rsidRPr="003B2E00">
              <w:t xml:space="preserve">-TT conjugate vaccine co-administered with </w:t>
            </w:r>
            <w:proofErr w:type="spellStart"/>
            <w:r w:rsidRPr="003B2E00">
              <w:t>Boostrix</w:t>
            </w:r>
            <w:proofErr w:type="spellEnd"/>
            <w:r w:rsidRPr="003B2E00">
              <w:t xml:space="preserve">® administered intramuscularly versus </w:t>
            </w:r>
            <w:proofErr w:type="spellStart"/>
            <w:r w:rsidRPr="003B2E00">
              <w:t>MenACWY</w:t>
            </w:r>
            <w:proofErr w:type="spellEnd"/>
            <w:r w:rsidRPr="003B2E00">
              <w:t>-TT alone administered intramuscularly, in healthy adolescents and young adults between 11 and 25 years of age.</w:t>
            </w:r>
          </w:p>
        </w:tc>
        <w:tc>
          <w:tcPr>
            <w:tcW w:w="0" w:type="auto"/>
            <w:vAlign w:val="center"/>
          </w:tcPr>
          <w:p w:rsidR="005961D8" w:rsidRPr="003B2E00" w:rsidRDefault="005961D8" w:rsidP="005961D8">
            <w:pPr>
              <w:pStyle w:val="TableText0"/>
              <w:keepNext w:val="0"/>
              <w:widowControl w:val="0"/>
              <w:spacing w:before="0" w:after="0"/>
            </w:pPr>
            <w:r w:rsidRPr="003B2E00">
              <w:t>May 2017</w:t>
            </w:r>
          </w:p>
          <w:p w:rsidR="005961D8" w:rsidRPr="003B2E00" w:rsidRDefault="005961D8" w:rsidP="005961D8">
            <w:pPr>
              <w:pStyle w:val="TableText0"/>
              <w:keepNext w:val="0"/>
              <w:widowControl w:val="0"/>
              <w:spacing w:before="0" w:after="0"/>
            </w:pPr>
            <w:r w:rsidRPr="003B2E00">
              <w:t>Clinical Study Report</w:t>
            </w:r>
          </w:p>
          <w:p w:rsidR="005961D8" w:rsidRPr="003B2E00" w:rsidRDefault="005961D8" w:rsidP="005961D8">
            <w:pPr>
              <w:pStyle w:val="TableText0"/>
              <w:keepNext w:val="0"/>
              <w:widowControl w:val="0"/>
              <w:spacing w:before="0" w:after="0"/>
            </w:pPr>
            <w:r w:rsidRPr="003B2E00">
              <w:t>Unpublished</w:t>
            </w:r>
            <w:r w:rsidRPr="003B2E00" w:rsidDel="006651F7">
              <w:t xml:space="preserve"> </w:t>
            </w:r>
          </w:p>
        </w:tc>
      </w:tr>
    </w:tbl>
    <w:p w:rsidR="007960B5" w:rsidRDefault="007960B5" w:rsidP="007960B5">
      <w:pPr>
        <w:widowControl/>
        <w:rPr>
          <w:rFonts w:ascii="Arial Narrow" w:hAnsi="Arial Narrow"/>
          <w:sz w:val="18"/>
          <w:szCs w:val="18"/>
        </w:rPr>
      </w:pPr>
      <w:r w:rsidRPr="007960B5">
        <w:rPr>
          <w:rFonts w:ascii="Arial Narrow" w:hAnsi="Arial Narrow"/>
          <w:sz w:val="18"/>
          <w:szCs w:val="18"/>
        </w:rPr>
        <w:t>Source: Table 2.2.1, p32-35 of the submission.</w:t>
      </w:r>
    </w:p>
    <w:p w:rsidR="003C59A2" w:rsidRPr="008F120A" w:rsidRDefault="003C59A2" w:rsidP="003C59A2">
      <w:pPr>
        <w:widowControl/>
      </w:pPr>
    </w:p>
    <w:p w:rsidR="001C668C" w:rsidRPr="003C59A2" w:rsidRDefault="003C59A2" w:rsidP="009E2CAD">
      <w:pPr>
        <w:pStyle w:val="ListParagraph"/>
        <w:widowControl/>
        <w:numPr>
          <w:ilvl w:val="1"/>
          <w:numId w:val="1"/>
        </w:numPr>
      </w:pPr>
      <w:r w:rsidRPr="00B50DB8">
        <w:t xml:space="preserve">The key features of </w:t>
      </w:r>
      <w:r w:rsidR="00B0762F">
        <w:t>the 11</w:t>
      </w:r>
      <w:r w:rsidRPr="00B50DB8">
        <w:t xml:space="preserve"> trials are </w:t>
      </w:r>
      <w:r>
        <w:t>summarised in the table below.</w:t>
      </w:r>
    </w:p>
    <w:p w:rsidR="003C59A2" w:rsidRPr="00C917FD" w:rsidRDefault="003C59A2" w:rsidP="008C2E43">
      <w:pPr>
        <w:pStyle w:val="ListParagraph"/>
        <w:keepNext/>
        <w:widowControl/>
        <w:spacing w:after="0"/>
        <w:ind w:left="0"/>
        <w:rPr>
          <w:rFonts w:ascii="Arial Narrow" w:hAnsi="Arial Narrow"/>
          <w:b/>
          <w:sz w:val="20"/>
          <w:szCs w:val="20"/>
        </w:rPr>
      </w:pPr>
      <w:r w:rsidRPr="00C917FD">
        <w:rPr>
          <w:rFonts w:ascii="Arial Narrow" w:hAnsi="Arial Narrow"/>
          <w:b/>
          <w:sz w:val="20"/>
          <w:szCs w:val="20"/>
        </w:rPr>
        <w:t xml:space="preserve">Table </w:t>
      </w:r>
      <w:r w:rsidR="004A20D6">
        <w:rPr>
          <w:rFonts w:ascii="Arial Narrow" w:hAnsi="Arial Narrow"/>
          <w:b/>
          <w:sz w:val="20"/>
          <w:szCs w:val="20"/>
        </w:rPr>
        <w:t>4</w:t>
      </w:r>
      <w:r w:rsidRPr="00C917FD">
        <w:rPr>
          <w:rFonts w:ascii="Arial Narrow" w:hAnsi="Arial Narrow"/>
          <w:b/>
          <w:sz w:val="20"/>
          <w:szCs w:val="20"/>
        </w:rPr>
        <w:t>: Key feat</w:t>
      </w:r>
      <w:r w:rsidR="00AF1053">
        <w:rPr>
          <w:rFonts w:ascii="Arial Narrow" w:hAnsi="Arial Narrow"/>
          <w:b/>
          <w:sz w:val="20"/>
          <w:szCs w:val="20"/>
        </w:rPr>
        <w:t>ures of the included evidence</w:t>
      </w:r>
    </w:p>
    <w:tbl>
      <w:tblPr>
        <w:tblStyle w:val="TableGrid"/>
        <w:tblW w:w="5000" w:type="pct"/>
        <w:tblLook w:val="04A0" w:firstRow="1" w:lastRow="0" w:firstColumn="1" w:lastColumn="0" w:noHBand="0" w:noVBand="1"/>
      </w:tblPr>
      <w:tblGrid>
        <w:gridCol w:w="1238"/>
        <w:gridCol w:w="1469"/>
        <w:gridCol w:w="1717"/>
        <w:gridCol w:w="996"/>
        <w:gridCol w:w="1198"/>
        <w:gridCol w:w="1497"/>
        <w:gridCol w:w="1128"/>
      </w:tblGrid>
      <w:tr w:rsidR="001B4148" w:rsidRPr="001500D2" w:rsidTr="00F04E2F">
        <w:trPr>
          <w:trHeight w:val="342"/>
          <w:tblHeader/>
        </w:trPr>
        <w:tc>
          <w:tcPr>
            <w:tcW w:w="66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Study name</w:t>
            </w:r>
          </w:p>
        </w:tc>
        <w:tc>
          <w:tcPr>
            <w:tcW w:w="794"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N (in arm of interest)</w:t>
            </w:r>
          </w:p>
        </w:tc>
        <w:tc>
          <w:tcPr>
            <w:tcW w:w="92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Design/</w:t>
            </w:r>
            <w:r w:rsidRPr="001500D2">
              <w:rPr>
                <w:rFonts w:ascii="Arial Narrow" w:hAnsi="Arial Narrow"/>
                <w:b/>
                <w:sz w:val="20"/>
                <w:szCs w:val="20"/>
              </w:rPr>
              <w:br/>
              <w:t>duration</w:t>
            </w:r>
          </w:p>
        </w:tc>
        <w:tc>
          <w:tcPr>
            <w:tcW w:w="539"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Risk of bias</w:t>
            </w:r>
          </w:p>
        </w:tc>
        <w:tc>
          <w:tcPr>
            <w:tcW w:w="648"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Patient population</w:t>
            </w:r>
          </w:p>
        </w:tc>
        <w:tc>
          <w:tcPr>
            <w:tcW w:w="810"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Outcomes</w:t>
            </w:r>
          </w:p>
        </w:tc>
        <w:tc>
          <w:tcPr>
            <w:tcW w:w="610" w:type="pct"/>
          </w:tcPr>
          <w:p w:rsidR="001B4148" w:rsidRPr="001500D2" w:rsidRDefault="001B4148" w:rsidP="00921383">
            <w:pPr>
              <w:jc w:val="left"/>
              <w:rPr>
                <w:rFonts w:ascii="Arial Narrow" w:hAnsi="Arial Narrow"/>
                <w:b/>
                <w:sz w:val="20"/>
                <w:szCs w:val="20"/>
              </w:rPr>
            </w:pPr>
            <w:r w:rsidRPr="001500D2">
              <w:rPr>
                <w:rFonts w:ascii="Arial Narrow" w:hAnsi="Arial Narrow"/>
                <w:b/>
                <w:sz w:val="20"/>
                <w:szCs w:val="20"/>
              </w:rPr>
              <w:t>Use in modelled evaluation</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MenACWY-TT-012</w:t>
            </w:r>
          </w:p>
        </w:tc>
        <w:tc>
          <w:tcPr>
            <w:tcW w:w="794" w:type="pct"/>
          </w:tcPr>
          <w:p w:rsidR="001B4148" w:rsidRDefault="001B4148" w:rsidP="001B4148">
            <w:pPr>
              <w:jc w:val="left"/>
              <w:rPr>
                <w:rFonts w:ascii="Arial Narrow" w:hAnsi="Arial Narrow"/>
                <w:sz w:val="20"/>
              </w:rPr>
            </w:pPr>
            <w:proofErr w:type="spellStart"/>
            <w:r w:rsidRPr="00187C1D">
              <w:rPr>
                <w:rFonts w:ascii="Arial Narrow" w:hAnsi="Arial Narrow"/>
                <w:sz w:val="20"/>
              </w:rPr>
              <w:t>MenACWY</w:t>
            </w:r>
            <w:proofErr w:type="spellEnd"/>
            <w:r w:rsidRPr="00187C1D">
              <w:rPr>
                <w:rFonts w:ascii="Arial Narrow" w:hAnsi="Arial Narrow"/>
                <w:sz w:val="20"/>
              </w:rPr>
              <w:t>-TT</w:t>
            </w:r>
            <w:r>
              <w:rPr>
                <w:rFonts w:ascii="Arial Narrow" w:hAnsi="Arial Narrow"/>
                <w:sz w:val="20"/>
              </w:rPr>
              <w:t>*</w:t>
            </w:r>
            <w:r w:rsidRPr="00187C1D">
              <w:rPr>
                <w:rFonts w:ascii="Arial Narrow" w:hAnsi="Arial Narrow"/>
                <w:sz w:val="20"/>
              </w:rPr>
              <w:t xml:space="preserve"> </w:t>
            </w:r>
          </w:p>
          <w:p w:rsidR="001B4148" w:rsidRPr="001500D2" w:rsidRDefault="001B4148" w:rsidP="001B4148">
            <w:pPr>
              <w:jc w:val="left"/>
              <w:rPr>
                <w:rFonts w:ascii="Arial Narrow" w:hAnsi="Arial Narrow"/>
                <w:sz w:val="20"/>
                <w:szCs w:val="20"/>
              </w:rPr>
            </w:pPr>
            <w:r>
              <w:rPr>
                <w:rFonts w:ascii="Arial Narrow" w:hAnsi="Arial Narrow"/>
                <w:sz w:val="20"/>
              </w:rPr>
              <w:t>(Form 3):</w:t>
            </w:r>
            <w:r w:rsidR="005961D8">
              <w:rPr>
                <w:rFonts w:ascii="Arial Narrow" w:hAnsi="Arial Narrow"/>
                <w:sz w:val="20"/>
              </w:rPr>
              <w:t xml:space="preserve"> </w:t>
            </w:r>
            <w:r>
              <w:rPr>
                <w:rFonts w:ascii="Arial Narrow" w:hAnsi="Arial Narrow"/>
                <w:sz w:val="20"/>
              </w:rPr>
              <w:t>24</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15</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19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Reactogenicity</w:t>
            </w:r>
            <w:proofErr w:type="spellEnd"/>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MenACWY-TT-015</w:t>
            </w:r>
          </w:p>
        </w:tc>
        <w:tc>
          <w:tcPr>
            <w:tcW w:w="794" w:type="pct"/>
          </w:tcPr>
          <w:p w:rsidR="001B4148" w:rsidRPr="001500D2" w:rsidRDefault="001B4148" w:rsidP="001B4148">
            <w:pPr>
              <w:jc w:val="left"/>
              <w:rPr>
                <w:rFonts w:ascii="Arial Narrow" w:hAnsi="Arial Narrow"/>
                <w:sz w:val="20"/>
                <w:szCs w:val="20"/>
              </w:rPr>
            </w:pPr>
            <w:proofErr w:type="spellStart"/>
            <w:r>
              <w:rPr>
                <w:rFonts w:ascii="Arial Narrow" w:hAnsi="Arial Narrow"/>
                <w:sz w:val="20"/>
              </w:rPr>
              <w:t>MenACWY</w:t>
            </w:r>
            <w:proofErr w:type="spellEnd"/>
            <w:r>
              <w:rPr>
                <w:rFonts w:ascii="Arial Narrow" w:hAnsi="Arial Narrow"/>
                <w:sz w:val="20"/>
              </w:rPr>
              <w:t>-TT: 374</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sidRPr="001500D2">
              <w:rPr>
                <w:rFonts w:ascii="Arial Narrow" w:hAnsi="Arial Narrow"/>
                <w:sz w:val="20"/>
                <w:szCs w:val="20"/>
              </w:rPr>
              <w:br/>
              <w:t>5 years</w:t>
            </w:r>
            <w:r w:rsidRPr="001500D2">
              <w:rPr>
                <w:rFonts w:ascii="Arial Narrow" w:hAnsi="Arial Narrow"/>
                <w:sz w:val="20"/>
                <w:szCs w:val="20"/>
                <w:lang w:val="en-US"/>
              </w:rPr>
              <w:t>**</w:t>
            </w:r>
          </w:p>
        </w:tc>
        <w:tc>
          <w:tcPr>
            <w:tcW w:w="539" w:type="pct"/>
          </w:tcPr>
          <w:p w:rsidR="001B4148" w:rsidRPr="001500D2" w:rsidRDefault="000906D5"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55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-TT-021</w:t>
            </w:r>
          </w:p>
        </w:tc>
        <w:tc>
          <w:tcPr>
            <w:tcW w:w="794" w:type="pct"/>
          </w:tcPr>
          <w:p w:rsidR="001B4148" w:rsidRDefault="001B4148" w:rsidP="001B4148">
            <w:pPr>
              <w:jc w:val="left"/>
              <w:rPr>
                <w:rFonts w:ascii="Arial Narrow" w:hAnsi="Arial Narrow"/>
                <w:sz w:val="20"/>
              </w:rPr>
            </w:pPr>
            <w:proofErr w:type="spellStart"/>
            <w:r>
              <w:rPr>
                <w:rFonts w:ascii="Arial Narrow" w:hAnsi="Arial Narrow"/>
                <w:sz w:val="20"/>
              </w:rPr>
              <w:t>MenACWY</w:t>
            </w:r>
            <w:proofErr w:type="spellEnd"/>
            <w:r>
              <w:rPr>
                <w:rFonts w:ascii="Arial Narrow" w:hAnsi="Arial Narrow"/>
                <w:sz w:val="20"/>
              </w:rPr>
              <w:t>-TT</w:t>
            </w:r>
          </w:p>
          <w:p w:rsidR="001B4148" w:rsidRPr="001500D2" w:rsidRDefault="001B4148" w:rsidP="001B4148">
            <w:pPr>
              <w:jc w:val="left"/>
              <w:rPr>
                <w:rFonts w:ascii="Arial Narrow" w:hAnsi="Arial Narrow"/>
                <w:sz w:val="20"/>
                <w:szCs w:val="20"/>
              </w:rPr>
            </w:pPr>
            <w:r w:rsidRPr="00187C1D">
              <w:rPr>
                <w:rFonts w:ascii="Arial Narrow" w:hAnsi="Arial Narrow"/>
                <w:sz w:val="20"/>
              </w:rPr>
              <w:t>(</w:t>
            </w:r>
            <w:r>
              <w:rPr>
                <w:rFonts w:ascii="Arial Narrow" w:hAnsi="Arial Narrow"/>
                <w:sz w:val="20"/>
              </w:rPr>
              <w:t>No MPS):</w:t>
            </w:r>
            <w:r w:rsidR="005961D8">
              <w:rPr>
                <w:rFonts w:ascii="Arial Narrow" w:hAnsi="Arial Narrow"/>
                <w:sz w:val="20"/>
              </w:rPr>
              <w:t xml:space="preserve"> </w:t>
            </w:r>
            <w:r>
              <w:rPr>
                <w:rFonts w:ascii="Arial Narrow" w:hAnsi="Arial Narrow"/>
                <w:sz w:val="20"/>
              </w:rPr>
              <w:t>79</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NR, OL</w:t>
            </w:r>
            <w:r>
              <w:rPr>
                <w:rFonts w:ascii="Arial Narrow" w:hAnsi="Arial Narrow"/>
                <w:sz w:val="20"/>
                <w:szCs w:val="20"/>
              </w:rPr>
              <w:br/>
              <w:t>3.5 years**</w:t>
            </w:r>
          </w:p>
        </w:tc>
        <w:tc>
          <w:tcPr>
            <w:tcW w:w="539" w:type="pct"/>
          </w:tcPr>
          <w:p w:rsidR="001B4148" w:rsidRPr="001500D2" w:rsidRDefault="001B4148" w:rsidP="001B4148">
            <w:pPr>
              <w:jc w:val="left"/>
              <w:rPr>
                <w:rFonts w:ascii="Arial Narrow" w:hAnsi="Arial Narrow"/>
                <w:sz w:val="20"/>
                <w:szCs w:val="20"/>
              </w:rPr>
            </w:pPr>
            <w:r>
              <w:rPr>
                <w:rFonts w:ascii="Arial Narrow" w:hAnsi="Arial Narrow"/>
                <w:sz w:val="20"/>
                <w:szCs w:val="20"/>
              </w:rPr>
              <w:t>High</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4.5 - 34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-TT-035</w:t>
            </w:r>
          </w:p>
        </w:tc>
        <w:tc>
          <w:tcPr>
            <w:tcW w:w="794" w:type="pct"/>
          </w:tcPr>
          <w:p w:rsidR="001B4148" w:rsidRDefault="001B4148" w:rsidP="001B4148">
            <w:pPr>
              <w:jc w:val="left"/>
              <w:rPr>
                <w:rFonts w:ascii="Arial Narrow" w:hAnsi="Arial Narrow"/>
                <w:sz w:val="20"/>
              </w:rPr>
            </w:pPr>
            <w:proofErr w:type="spellStart"/>
            <w:r w:rsidRPr="00187C1D">
              <w:rPr>
                <w:rFonts w:ascii="Arial Narrow" w:hAnsi="Arial Narrow"/>
                <w:sz w:val="20"/>
              </w:rPr>
              <w:t>MenACWY</w:t>
            </w:r>
            <w:proofErr w:type="spellEnd"/>
            <w:r w:rsidRPr="00187C1D">
              <w:rPr>
                <w:rFonts w:ascii="Arial Narrow" w:hAnsi="Arial Narrow"/>
                <w:sz w:val="20"/>
              </w:rPr>
              <w:t>-TT</w:t>
            </w:r>
          </w:p>
          <w:p w:rsidR="001B4148" w:rsidRDefault="001B4148" w:rsidP="001B4148">
            <w:pPr>
              <w:jc w:val="left"/>
              <w:rPr>
                <w:rFonts w:ascii="Arial Narrow" w:hAnsi="Arial Narrow"/>
                <w:sz w:val="20"/>
              </w:rPr>
            </w:pPr>
            <w:r>
              <w:rPr>
                <w:rFonts w:ascii="Arial Narrow" w:hAnsi="Arial Narrow"/>
                <w:sz w:val="20"/>
              </w:rPr>
              <w:t>(ACWY_A:</w:t>
            </w:r>
            <w:r w:rsidR="005961D8">
              <w:rPr>
                <w:rFonts w:ascii="Arial Narrow" w:hAnsi="Arial Narrow"/>
                <w:sz w:val="20"/>
              </w:rPr>
              <w:t xml:space="preserve"> </w:t>
            </w:r>
            <w:r>
              <w:rPr>
                <w:rFonts w:ascii="Arial Narrow" w:hAnsi="Arial Narrow"/>
                <w:sz w:val="20"/>
              </w:rPr>
              <w:t>311 ACWY_B: 311</w:t>
            </w:r>
          </w:p>
          <w:p w:rsidR="001B4148" w:rsidRPr="001500D2" w:rsidRDefault="001B4148" w:rsidP="001B4148">
            <w:pPr>
              <w:jc w:val="left"/>
              <w:rPr>
                <w:rFonts w:ascii="Arial Narrow" w:hAnsi="Arial Narrow"/>
                <w:sz w:val="20"/>
                <w:szCs w:val="20"/>
              </w:rPr>
            </w:pPr>
            <w:r>
              <w:rPr>
                <w:rFonts w:ascii="Arial Narrow" w:hAnsi="Arial Narrow"/>
                <w:sz w:val="20"/>
              </w:rPr>
              <w:t>ACWY_C:</w:t>
            </w:r>
            <w:r w:rsidR="005961D8">
              <w:rPr>
                <w:rFonts w:ascii="Arial Narrow" w:hAnsi="Arial Narrow"/>
                <w:sz w:val="20"/>
              </w:rPr>
              <w:t xml:space="preserve"> </w:t>
            </w:r>
            <w:r>
              <w:rPr>
                <w:rFonts w:ascii="Arial Narrow" w:hAnsi="Arial Narrow"/>
                <w:sz w:val="20"/>
              </w:rPr>
              <w:t>313)*</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Healthy subjects aged 18</w:t>
            </w:r>
            <w:r>
              <w:rPr>
                <w:rFonts w:ascii="Arial Narrow" w:hAnsi="Arial Narrow"/>
                <w:sz w:val="20"/>
                <w:szCs w:val="20"/>
              </w:rPr>
              <w:t xml:space="preserve"> </w:t>
            </w:r>
            <w:r w:rsidRPr="001500D2">
              <w:rPr>
                <w:rFonts w:ascii="Arial Narrow" w:hAnsi="Arial Narrow"/>
                <w:sz w:val="20"/>
                <w:szCs w:val="20"/>
              </w:rPr>
              <w:t>- 55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Lot-to-lot consistency of three consecutively manufactured lots of </w:t>
            </w:r>
            <w:proofErr w:type="spellStart"/>
            <w:r w:rsidRPr="001500D2">
              <w:rPr>
                <w:rFonts w:ascii="Arial Narrow" w:hAnsi="Arial Narrow"/>
                <w:sz w:val="20"/>
                <w:szCs w:val="20"/>
              </w:rPr>
              <w:t>MenACWY</w:t>
            </w:r>
            <w:proofErr w:type="spellEnd"/>
            <w:r w:rsidRPr="001500D2">
              <w:rPr>
                <w:rFonts w:ascii="Arial Narrow" w:hAnsi="Arial Narrow"/>
                <w:sz w:val="20"/>
                <w:szCs w:val="20"/>
              </w:rPr>
              <w:t>-TT</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-TT-036</w:t>
            </w:r>
          </w:p>
        </w:tc>
        <w:tc>
          <w:tcPr>
            <w:tcW w:w="794" w:type="pct"/>
          </w:tcPr>
          <w:p w:rsidR="001B4148" w:rsidRPr="001500D2" w:rsidRDefault="001B4148" w:rsidP="001B4148">
            <w:pPr>
              <w:jc w:val="left"/>
              <w:rPr>
                <w:rFonts w:ascii="Arial Narrow" w:hAnsi="Arial Narrow"/>
                <w:sz w:val="20"/>
                <w:szCs w:val="20"/>
              </w:rPr>
            </w:pPr>
            <w:proofErr w:type="spellStart"/>
            <w:r w:rsidRPr="00187C1D">
              <w:rPr>
                <w:rFonts w:ascii="Arial Narrow" w:hAnsi="Arial Narrow"/>
                <w:sz w:val="20"/>
              </w:rPr>
              <w:t>MenACWY</w:t>
            </w:r>
            <w:proofErr w:type="spellEnd"/>
            <w:r w:rsidRPr="00187C1D">
              <w:rPr>
                <w:rFonts w:ascii="Arial Narrow" w:hAnsi="Arial Narrow"/>
                <w:sz w:val="20"/>
              </w:rPr>
              <w:t>-TT</w:t>
            </w:r>
            <w:r>
              <w:rPr>
                <w:rFonts w:ascii="Arial Narrow" w:hAnsi="Arial Narrow"/>
                <w:sz w:val="20"/>
              </w:rPr>
              <w:t>:</w:t>
            </w:r>
            <w:r w:rsidR="005961D8">
              <w:rPr>
                <w:rFonts w:ascii="Arial Narrow" w:hAnsi="Arial Narrow"/>
                <w:sz w:val="20"/>
              </w:rPr>
              <w:t xml:space="preserve"> </w:t>
            </w:r>
            <w:r>
              <w:rPr>
                <w:rFonts w:ascii="Arial Narrow" w:hAnsi="Arial Narrow"/>
                <w:sz w:val="20"/>
              </w:rPr>
              <w:t>768</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r>
            <w:r w:rsidRPr="001500D2">
              <w:rPr>
                <w:rFonts w:ascii="Arial Narrow" w:hAnsi="Arial Narrow"/>
                <w:sz w:val="20"/>
                <w:szCs w:val="20"/>
              </w:rPr>
              <w:t>5 years</w:t>
            </w:r>
            <w:r w:rsidRPr="001500D2">
              <w:rPr>
                <w:rFonts w:ascii="Arial Narrow" w:hAnsi="Arial Narrow"/>
                <w:sz w:val="20"/>
                <w:szCs w:val="20"/>
                <w:lang w:val="en-US"/>
              </w:rPr>
              <w:t>**</w:t>
            </w:r>
          </w:p>
        </w:tc>
        <w:tc>
          <w:tcPr>
            <w:tcW w:w="539" w:type="pct"/>
          </w:tcPr>
          <w:p w:rsidR="001B4148" w:rsidRPr="001500D2" w:rsidRDefault="000906D5"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17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Persistence</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lastRenderedPageBreak/>
              <w:t>MenACWY</w:t>
            </w:r>
            <w:proofErr w:type="spellEnd"/>
            <w:r w:rsidRPr="001500D2">
              <w:rPr>
                <w:rFonts w:ascii="Arial Narrow" w:hAnsi="Arial Narrow"/>
                <w:sz w:val="20"/>
                <w:szCs w:val="20"/>
              </w:rPr>
              <w:t xml:space="preserve"> -TT-037</w:t>
            </w:r>
          </w:p>
        </w:tc>
        <w:tc>
          <w:tcPr>
            <w:tcW w:w="794" w:type="pct"/>
          </w:tcPr>
          <w:p w:rsidR="001B4148" w:rsidRPr="001500D2" w:rsidRDefault="001B4148" w:rsidP="001B4148">
            <w:pPr>
              <w:jc w:val="left"/>
              <w:rPr>
                <w:rFonts w:ascii="Arial Narrow" w:hAnsi="Arial Narrow"/>
                <w:sz w:val="20"/>
                <w:szCs w:val="20"/>
              </w:rPr>
            </w:pPr>
            <w:proofErr w:type="spellStart"/>
            <w:r>
              <w:rPr>
                <w:rFonts w:ascii="Arial Narrow" w:hAnsi="Arial Narrow"/>
                <w:sz w:val="20"/>
              </w:rPr>
              <w:t>MenACWY</w:t>
            </w:r>
            <w:proofErr w:type="spellEnd"/>
            <w:r>
              <w:rPr>
                <w:rFonts w:ascii="Arial Narrow" w:hAnsi="Arial Narrow"/>
                <w:sz w:val="20"/>
              </w:rPr>
              <w:t>-TT*: 122</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11 </w:t>
            </w:r>
            <w:r>
              <w:rPr>
                <w:rFonts w:ascii="Arial Narrow" w:hAnsi="Arial Narrow"/>
                <w:sz w:val="20"/>
                <w:szCs w:val="20"/>
              </w:rPr>
              <w:t>-</w:t>
            </w:r>
            <w:r w:rsidRPr="001500D2">
              <w:rPr>
                <w:rFonts w:ascii="Arial Narrow" w:hAnsi="Arial Narrow"/>
                <w:sz w:val="20"/>
                <w:szCs w:val="20"/>
              </w:rPr>
              <w:t xml:space="preserve"> 17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-TT-052</w:t>
            </w:r>
          </w:p>
        </w:tc>
        <w:tc>
          <w:tcPr>
            <w:tcW w:w="794" w:type="pct"/>
          </w:tcPr>
          <w:p w:rsidR="001B4148" w:rsidRPr="001500D2" w:rsidRDefault="001B4148" w:rsidP="001B4148">
            <w:pPr>
              <w:jc w:val="left"/>
              <w:rPr>
                <w:rFonts w:ascii="Arial Narrow" w:hAnsi="Arial Narrow"/>
                <w:sz w:val="20"/>
                <w:szCs w:val="20"/>
              </w:rPr>
            </w:pPr>
            <w:proofErr w:type="spellStart"/>
            <w:r w:rsidRPr="00187C1D">
              <w:rPr>
                <w:rFonts w:ascii="Arial Narrow" w:hAnsi="Arial Narrow"/>
                <w:sz w:val="20"/>
              </w:rPr>
              <w:t>MenACWY</w:t>
            </w:r>
            <w:proofErr w:type="spellEnd"/>
            <w:r w:rsidRPr="00187C1D">
              <w:rPr>
                <w:rFonts w:ascii="Arial Narrow" w:hAnsi="Arial Narrow"/>
                <w:sz w:val="20"/>
              </w:rPr>
              <w:t>-TT</w:t>
            </w:r>
            <w:r>
              <w:rPr>
                <w:rFonts w:ascii="Arial Narrow" w:hAnsi="Arial Narrow"/>
                <w:sz w:val="20"/>
              </w:rPr>
              <w:t>:</w:t>
            </w:r>
            <w:r w:rsidR="005961D8">
              <w:rPr>
                <w:rFonts w:ascii="Arial Narrow" w:hAnsi="Arial Narrow"/>
                <w:sz w:val="20"/>
              </w:rPr>
              <w:t xml:space="preserve"> </w:t>
            </w:r>
            <w:r>
              <w:rPr>
                <w:rFonts w:ascii="Arial Narrow" w:hAnsi="Arial Narrow"/>
                <w:sz w:val="20"/>
              </w:rPr>
              <w:t>587</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w:t>
            </w:r>
            <w:r>
              <w:rPr>
                <w:rFonts w:ascii="Arial Narrow" w:hAnsi="Arial Narrow"/>
                <w:sz w:val="20"/>
                <w:szCs w:val="20"/>
              </w:rPr>
              <w:t xml:space="preserve"> </w:t>
            </w:r>
            <w:r w:rsidRPr="001500D2">
              <w:rPr>
                <w:rFonts w:ascii="Arial Narrow" w:hAnsi="Arial Narrow"/>
                <w:sz w:val="20"/>
                <w:szCs w:val="20"/>
              </w:rPr>
              <w:t>SB</w:t>
            </w:r>
            <w:r>
              <w:rPr>
                <w:rFonts w:ascii="Arial Narrow" w:hAnsi="Arial Narrow"/>
                <w:sz w:val="20"/>
                <w:szCs w:val="20"/>
              </w:rPr>
              <w:br/>
              <w:t>1 month</w:t>
            </w:r>
          </w:p>
        </w:tc>
        <w:tc>
          <w:tcPr>
            <w:tcW w:w="539" w:type="pct"/>
          </w:tcPr>
          <w:p w:rsidR="001B4148" w:rsidRPr="001500D2" w:rsidRDefault="00385502" w:rsidP="001B4148">
            <w:pPr>
              <w:jc w:val="left"/>
              <w:rPr>
                <w:rFonts w:ascii="Arial Narrow" w:hAnsi="Arial Narrow"/>
                <w:sz w:val="20"/>
                <w:szCs w:val="20"/>
              </w:rPr>
            </w:pPr>
            <w:r>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10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Reactogenicity</w:t>
            </w:r>
            <w:proofErr w:type="spellEnd"/>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-TT-054</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Pr="001500D2" w:rsidRDefault="001B4148" w:rsidP="001B4148">
            <w:pPr>
              <w:jc w:val="left"/>
              <w:rPr>
                <w:rFonts w:ascii="Arial Narrow" w:hAnsi="Arial Narrow"/>
                <w:sz w:val="20"/>
                <w:szCs w:val="20"/>
              </w:rPr>
            </w:pPr>
            <w:proofErr w:type="spellStart"/>
            <w:r w:rsidRPr="00187C1D">
              <w:rPr>
                <w:rFonts w:ascii="Arial Narrow" w:hAnsi="Arial Narrow"/>
                <w:sz w:val="20"/>
              </w:rPr>
              <w:t>MenACWY</w:t>
            </w:r>
            <w:proofErr w:type="spellEnd"/>
            <w:r w:rsidRPr="00187C1D">
              <w:rPr>
                <w:rFonts w:ascii="Arial Narrow" w:hAnsi="Arial Narrow"/>
                <w:sz w:val="20"/>
              </w:rPr>
              <w:t>-TT</w:t>
            </w:r>
            <w:r>
              <w:rPr>
                <w:rFonts w:ascii="Arial Narrow" w:hAnsi="Arial Narrow"/>
                <w:sz w:val="20"/>
              </w:rPr>
              <w:t>*:</w:t>
            </w:r>
            <w:r w:rsidR="005961D8">
              <w:rPr>
                <w:rFonts w:ascii="Arial Narrow" w:hAnsi="Arial Narrow"/>
                <w:sz w:val="20"/>
              </w:rPr>
              <w:t xml:space="preserve"> </w:t>
            </w:r>
            <w:r>
              <w:rPr>
                <w:rFonts w:ascii="Arial Narrow" w:hAnsi="Arial Narrow"/>
                <w:sz w:val="20"/>
              </w:rPr>
              <w:t>259</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female aged 9 </w:t>
            </w:r>
            <w:r>
              <w:rPr>
                <w:rFonts w:ascii="Arial Narrow" w:hAnsi="Arial Narrow"/>
                <w:sz w:val="20"/>
                <w:szCs w:val="20"/>
              </w:rPr>
              <w:t>-</w:t>
            </w:r>
            <w:r w:rsidRPr="001500D2">
              <w:rPr>
                <w:rFonts w:ascii="Arial Narrow" w:hAnsi="Arial Narrow"/>
                <w:sz w:val="20"/>
                <w:szCs w:val="20"/>
              </w:rPr>
              <w:t xml:space="preserve"> 25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Reactogenicity</w:t>
            </w:r>
            <w:proofErr w:type="spellEnd"/>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shd w:val="clear" w:color="auto" w:fill="auto"/>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-TT-084</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Pr="001500D2" w:rsidRDefault="001B4148" w:rsidP="001B4148">
            <w:pPr>
              <w:jc w:val="left"/>
              <w:rPr>
                <w:rFonts w:ascii="Arial Narrow" w:hAnsi="Arial Narrow"/>
                <w:sz w:val="20"/>
                <w:szCs w:val="20"/>
              </w:rPr>
            </w:pPr>
            <w:proofErr w:type="spellStart"/>
            <w:r w:rsidRPr="00187C1D">
              <w:rPr>
                <w:rFonts w:ascii="Arial Narrow" w:hAnsi="Arial Narrow"/>
                <w:sz w:val="20"/>
              </w:rPr>
              <w:t>MenACWY</w:t>
            </w:r>
            <w:proofErr w:type="spellEnd"/>
            <w:r w:rsidRPr="00187C1D">
              <w:rPr>
                <w:rFonts w:ascii="Arial Narrow" w:hAnsi="Arial Narrow"/>
                <w:sz w:val="20"/>
              </w:rPr>
              <w:t xml:space="preserve">-TT </w:t>
            </w:r>
            <w:r>
              <w:rPr>
                <w:rFonts w:ascii="Arial Narrow" w:hAnsi="Arial Narrow"/>
                <w:sz w:val="20"/>
              </w:rPr>
              <w:t>(</w:t>
            </w:r>
            <w:r w:rsidRPr="00187C1D">
              <w:rPr>
                <w:rFonts w:ascii="Arial Narrow" w:hAnsi="Arial Narrow"/>
                <w:sz w:val="20"/>
              </w:rPr>
              <w:t>administered to healthy subjects</w:t>
            </w:r>
            <w:r>
              <w:rPr>
                <w:rFonts w:ascii="Arial Narrow" w:hAnsi="Arial Narrow"/>
                <w:sz w:val="20"/>
              </w:rPr>
              <w:t>):</w:t>
            </w:r>
            <w:r w:rsidR="005961D8">
              <w:rPr>
                <w:rFonts w:ascii="Arial Narrow" w:hAnsi="Arial Narrow"/>
                <w:sz w:val="20"/>
              </w:rPr>
              <w:t xml:space="preserve"> </w:t>
            </w:r>
            <w:r>
              <w:rPr>
                <w:rFonts w:ascii="Arial Narrow" w:hAnsi="Arial Narrow"/>
                <w:sz w:val="20"/>
              </w:rPr>
              <w:t>43</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At risk and healthy subjects age matched </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1</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5 years</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6</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10 years</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11</w:t>
            </w:r>
            <w:r>
              <w:rPr>
                <w:rFonts w:ascii="Arial Narrow" w:hAnsi="Arial Narrow"/>
                <w:sz w:val="20"/>
                <w:szCs w:val="20"/>
              </w:rPr>
              <w:t xml:space="preserve"> </w:t>
            </w:r>
            <w:r w:rsidRPr="001500D2">
              <w:rPr>
                <w:rFonts w:ascii="Arial Narrow" w:hAnsi="Arial Narrow"/>
                <w:sz w:val="20"/>
                <w:szCs w:val="20"/>
              </w:rPr>
              <w:t>-</w:t>
            </w:r>
            <w:r>
              <w:rPr>
                <w:rFonts w:ascii="Arial Narrow" w:hAnsi="Arial Narrow"/>
                <w:sz w:val="20"/>
                <w:szCs w:val="20"/>
              </w:rPr>
              <w:t xml:space="preserve"> </w:t>
            </w:r>
            <w:r w:rsidRPr="001500D2">
              <w:rPr>
                <w:rFonts w:ascii="Arial Narrow" w:hAnsi="Arial Narrow"/>
                <w:sz w:val="20"/>
                <w:szCs w:val="20"/>
              </w:rPr>
              <w:t>17 years</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-TT-093</w:t>
            </w:r>
          </w:p>
        </w:tc>
        <w:tc>
          <w:tcPr>
            <w:tcW w:w="794" w:type="pct"/>
          </w:tcPr>
          <w:p w:rsidR="001B4148" w:rsidRPr="00187C1D" w:rsidRDefault="001B4148" w:rsidP="001B4148">
            <w:pPr>
              <w:jc w:val="left"/>
              <w:rPr>
                <w:rFonts w:ascii="Arial Narrow" w:hAnsi="Arial Narrow"/>
                <w:sz w:val="20"/>
              </w:rPr>
            </w:pPr>
            <w:proofErr w:type="spellStart"/>
            <w:r w:rsidRPr="00187C1D">
              <w:rPr>
                <w:rFonts w:ascii="Arial Narrow" w:hAnsi="Arial Narrow"/>
                <w:sz w:val="20"/>
              </w:rPr>
              <w:t>MenACWY</w:t>
            </w:r>
            <w:proofErr w:type="spellEnd"/>
            <w:r w:rsidRPr="00187C1D">
              <w:rPr>
                <w:rFonts w:ascii="Arial Narrow" w:hAnsi="Arial Narrow"/>
                <w:sz w:val="20"/>
              </w:rPr>
              <w:t xml:space="preserve">-TT </w:t>
            </w:r>
          </w:p>
          <w:p w:rsidR="001B4148" w:rsidRPr="001500D2" w:rsidRDefault="001B4148" w:rsidP="001B4148">
            <w:pPr>
              <w:jc w:val="left"/>
              <w:rPr>
                <w:rFonts w:ascii="Arial Narrow" w:hAnsi="Arial Narrow"/>
                <w:sz w:val="20"/>
                <w:szCs w:val="20"/>
              </w:rPr>
            </w:pPr>
            <w:r>
              <w:rPr>
                <w:rFonts w:ascii="Arial Narrow" w:hAnsi="Arial Narrow"/>
                <w:sz w:val="20"/>
              </w:rPr>
              <w:t>(ACWY_A:</w:t>
            </w:r>
            <w:r w:rsidR="005961D8">
              <w:rPr>
                <w:rFonts w:ascii="Arial Narrow" w:hAnsi="Arial Narrow"/>
                <w:sz w:val="20"/>
              </w:rPr>
              <w:t xml:space="preserve"> </w:t>
            </w:r>
            <w:r>
              <w:rPr>
                <w:rFonts w:ascii="Arial Narrow" w:hAnsi="Arial Narrow"/>
                <w:sz w:val="20"/>
              </w:rPr>
              <w:t>390, ACWY_B:</w:t>
            </w:r>
            <w:r w:rsidR="005961D8">
              <w:rPr>
                <w:rFonts w:ascii="Arial Narrow" w:hAnsi="Arial Narrow"/>
                <w:sz w:val="20"/>
              </w:rPr>
              <w:t xml:space="preserve"> </w:t>
            </w:r>
            <w:r>
              <w:rPr>
                <w:rFonts w:ascii="Arial Narrow" w:hAnsi="Arial Narrow"/>
                <w:sz w:val="20"/>
              </w:rPr>
              <w:t>390)*</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subjects aged 18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MenACWY</w:t>
            </w:r>
            <w:proofErr w:type="spellEnd"/>
            <w:r w:rsidRPr="001500D2">
              <w:rPr>
                <w:rFonts w:ascii="Arial Narrow" w:hAnsi="Arial Narrow"/>
                <w:sz w:val="20"/>
                <w:szCs w:val="20"/>
              </w:rPr>
              <w:t xml:space="preserve"> -TT-098</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Unpublished</w:t>
            </w:r>
          </w:p>
        </w:tc>
        <w:tc>
          <w:tcPr>
            <w:tcW w:w="794" w:type="pct"/>
          </w:tcPr>
          <w:p w:rsidR="001B4148" w:rsidRDefault="001B4148" w:rsidP="001B4148">
            <w:pPr>
              <w:jc w:val="left"/>
              <w:rPr>
                <w:rFonts w:ascii="Arial Narrow" w:hAnsi="Arial Narrow"/>
                <w:sz w:val="20"/>
              </w:rPr>
            </w:pPr>
            <w:proofErr w:type="spellStart"/>
            <w:r w:rsidRPr="00187C1D">
              <w:rPr>
                <w:rFonts w:ascii="Arial Narrow" w:hAnsi="Arial Narrow"/>
                <w:sz w:val="20"/>
              </w:rPr>
              <w:t>MenACWY</w:t>
            </w:r>
            <w:proofErr w:type="spellEnd"/>
            <w:r w:rsidRPr="00187C1D">
              <w:rPr>
                <w:rFonts w:ascii="Arial Narrow" w:hAnsi="Arial Narrow"/>
                <w:sz w:val="20"/>
              </w:rPr>
              <w:t xml:space="preserve">-TT </w:t>
            </w:r>
          </w:p>
          <w:p w:rsidR="001B4148" w:rsidRDefault="001B4148" w:rsidP="001B4148">
            <w:pPr>
              <w:jc w:val="left"/>
              <w:rPr>
                <w:rFonts w:ascii="Arial Narrow" w:hAnsi="Arial Narrow"/>
                <w:sz w:val="20"/>
                <w:szCs w:val="20"/>
              </w:rPr>
            </w:pPr>
            <w:r>
              <w:rPr>
                <w:rFonts w:ascii="Arial Narrow" w:hAnsi="Arial Narrow"/>
                <w:sz w:val="20"/>
              </w:rPr>
              <w:t>(</w:t>
            </w:r>
            <w:proofErr w:type="spellStart"/>
            <w:r>
              <w:rPr>
                <w:rFonts w:ascii="Arial Narrow" w:hAnsi="Arial Narrow"/>
                <w:sz w:val="20"/>
              </w:rPr>
              <w:t>ACWYTap</w:t>
            </w:r>
            <w:proofErr w:type="spellEnd"/>
            <w:r>
              <w:rPr>
                <w:rFonts w:ascii="Arial Narrow" w:hAnsi="Arial Narrow"/>
                <w:sz w:val="20"/>
              </w:rPr>
              <w:t>)*:</w:t>
            </w:r>
            <w:r w:rsidR="005961D8">
              <w:rPr>
                <w:rFonts w:ascii="Arial Narrow" w:hAnsi="Arial Narrow"/>
                <w:sz w:val="20"/>
              </w:rPr>
              <w:t xml:space="preserve"> </w:t>
            </w:r>
            <w:r>
              <w:rPr>
                <w:rFonts w:ascii="Arial Narrow" w:hAnsi="Arial Narrow"/>
                <w:sz w:val="20"/>
              </w:rPr>
              <w:t>228</w:t>
            </w:r>
          </w:p>
        </w:tc>
        <w:tc>
          <w:tcPr>
            <w:tcW w:w="92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R, OL</w:t>
            </w:r>
            <w:r>
              <w:rPr>
                <w:rFonts w:ascii="Arial Narrow" w:hAnsi="Arial Narrow"/>
                <w:sz w:val="20"/>
                <w:szCs w:val="20"/>
              </w:rPr>
              <w:br/>
              <w:t>1 month</w:t>
            </w:r>
          </w:p>
        </w:tc>
        <w:tc>
          <w:tcPr>
            <w:tcW w:w="53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Moderate</w:t>
            </w:r>
          </w:p>
        </w:tc>
        <w:tc>
          <w:tcPr>
            <w:tcW w:w="648"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 xml:space="preserve">Healthy adolescents and young adults 11 </w:t>
            </w:r>
            <w:r>
              <w:rPr>
                <w:rFonts w:ascii="Arial Narrow" w:hAnsi="Arial Narrow"/>
                <w:sz w:val="20"/>
                <w:szCs w:val="20"/>
              </w:rPr>
              <w:t>-</w:t>
            </w:r>
            <w:r w:rsidRPr="001500D2">
              <w:rPr>
                <w:rFonts w:ascii="Arial Narrow" w:hAnsi="Arial Narrow"/>
                <w:sz w:val="20"/>
                <w:szCs w:val="20"/>
              </w:rPr>
              <w:t xml:space="preserve"> 25 years </w:t>
            </w:r>
          </w:p>
        </w:tc>
        <w:tc>
          <w:tcPr>
            <w:tcW w:w="8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Immunogenicity</w:t>
            </w:r>
          </w:p>
          <w:p w:rsidR="001B4148" w:rsidRPr="001500D2" w:rsidRDefault="001B4148" w:rsidP="001B4148">
            <w:pPr>
              <w:jc w:val="left"/>
              <w:rPr>
                <w:rFonts w:ascii="Arial Narrow" w:hAnsi="Arial Narrow"/>
                <w:sz w:val="20"/>
                <w:szCs w:val="20"/>
              </w:rPr>
            </w:pPr>
            <w:r w:rsidRPr="001500D2">
              <w:rPr>
                <w:rFonts w:ascii="Arial Narrow" w:hAnsi="Arial Narrow"/>
                <w:sz w:val="20"/>
                <w:szCs w:val="20"/>
              </w:rPr>
              <w:t>Safety</w:t>
            </w:r>
          </w:p>
          <w:p w:rsidR="001B4148" w:rsidRPr="001500D2" w:rsidRDefault="001B4148" w:rsidP="001B4148">
            <w:pPr>
              <w:jc w:val="left"/>
              <w:rPr>
                <w:rFonts w:ascii="Arial Narrow" w:hAnsi="Arial Narrow"/>
                <w:sz w:val="20"/>
                <w:szCs w:val="20"/>
              </w:rPr>
            </w:pPr>
            <w:proofErr w:type="spellStart"/>
            <w:r w:rsidRPr="001500D2">
              <w:rPr>
                <w:rFonts w:ascii="Arial Narrow" w:hAnsi="Arial Narrow"/>
                <w:sz w:val="20"/>
                <w:szCs w:val="20"/>
              </w:rPr>
              <w:t>Reactogenicity</w:t>
            </w:r>
            <w:proofErr w:type="spellEnd"/>
          </w:p>
        </w:tc>
        <w:tc>
          <w:tcPr>
            <w:tcW w:w="610"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Not used</w:t>
            </w:r>
          </w:p>
        </w:tc>
      </w:tr>
      <w:tr w:rsidR="001B4148" w:rsidRPr="001500D2" w:rsidTr="00F04E2F">
        <w:trPr>
          <w:cantSplit/>
          <w:trHeight w:val="342"/>
        </w:trPr>
        <w:tc>
          <w:tcPr>
            <w:tcW w:w="669" w:type="pct"/>
          </w:tcPr>
          <w:p w:rsidR="001B4148" w:rsidRPr="001500D2" w:rsidRDefault="001B4148" w:rsidP="001B4148">
            <w:pPr>
              <w:jc w:val="left"/>
              <w:rPr>
                <w:rFonts w:ascii="Arial Narrow" w:hAnsi="Arial Narrow"/>
                <w:sz w:val="20"/>
                <w:szCs w:val="20"/>
              </w:rPr>
            </w:pPr>
            <w:r w:rsidRPr="001500D2">
              <w:rPr>
                <w:rFonts w:ascii="Arial Narrow" w:hAnsi="Arial Narrow"/>
                <w:sz w:val="20"/>
                <w:szCs w:val="20"/>
              </w:rPr>
              <w:t>Meta-analysis</w:t>
            </w:r>
          </w:p>
        </w:tc>
        <w:tc>
          <w:tcPr>
            <w:tcW w:w="3720" w:type="pct"/>
            <w:gridSpan w:val="5"/>
          </w:tcPr>
          <w:p w:rsidR="001B4148" w:rsidRPr="001500D2" w:rsidRDefault="001B4148" w:rsidP="001B4148">
            <w:pPr>
              <w:jc w:val="left"/>
              <w:rPr>
                <w:rFonts w:ascii="Arial Narrow" w:hAnsi="Arial Narrow"/>
                <w:sz w:val="20"/>
                <w:szCs w:val="20"/>
              </w:rPr>
            </w:pPr>
            <w:r>
              <w:rPr>
                <w:rFonts w:ascii="Arial Narrow" w:hAnsi="Arial Narrow"/>
                <w:sz w:val="20"/>
                <w:szCs w:val="20"/>
              </w:rPr>
              <w:t>I</w:t>
            </w:r>
            <w:r w:rsidRPr="001500D2">
              <w:rPr>
                <w:rFonts w:ascii="Arial Narrow" w:hAnsi="Arial Narrow"/>
                <w:sz w:val="20"/>
                <w:szCs w:val="20"/>
              </w:rPr>
              <w:t>ncluded all 11 trials, excluding pre-specified subgroups that had age groups outside 15-19 years.</w:t>
            </w:r>
          </w:p>
        </w:tc>
        <w:tc>
          <w:tcPr>
            <w:tcW w:w="610" w:type="pct"/>
          </w:tcPr>
          <w:p w:rsidR="001B4148" w:rsidRPr="001500D2" w:rsidRDefault="001B4148" w:rsidP="001B4148">
            <w:pPr>
              <w:jc w:val="left"/>
              <w:rPr>
                <w:rFonts w:ascii="Arial Narrow" w:hAnsi="Arial Narrow"/>
                <w:sz w:val="20"/>
                <w:szCs w:val="20"/>
              </w:rPr>
            </w:pPr>
            <w:r>
              <w:rPr>
                <w:rFonts w:ascii="Arial Narrow" w:hAnsi="Arial Narrow"/>
                <w:sz w:val="20"/>
                <w:szCs w:val="20"/>
              </w:rPr>
              <w:t>Used</w:t>
            </w:r>
          </w:p>
        </w:tc>
      </w:tr>
    </w:tbl>
    <w:p w:rsidR="001A1D16" w:rsidRDefault="003A31EB" w:rsidP="0063033A">
      <w:pPr>
        <w:pStyle w:val="TableFooter"/>
      </w:pPr>
      <w:r w:rsidRPr="009A6831">
        <w:t xml:space="preserve">DB=double blind; </w:t>
      </w:r>
      <w:r w:rsidR="00120E04">
        <w:t>SB</w:t>
      </w:r>
      <w:r w:rsidRPr="009A6831">
        <w:t>=</w:t>
      </w:r>
      <w:r w:rsidR="00120E04">
        <w:t>single blind; OL=open label</w:t>
      </w:r>
      <w:r w:rsidRPr="009A6831">
        <w:t xml:space="preserve">; </w:t>
      </w:r>
      <w:r w:rsidRPr="00D13A3E">
        <w:t>R=randomised</w:t>
      </w:r>
      <w:r w:rsidR="00120E04">
        <w:t>; NR=non-randomised</w:t>
      </w:r>
    </w:p>
    <w:p w:rsidR="001A1D16" w:rsidRPr="00E107B2" w:rsidRDefault="001A1D16" w:rsidP="001A1D16">
      <w:pPr>
        <w:rPr>
          <w:rFonts w:ascii="Arial Narrow" w:hAnsi="Arial Narrow"/>
          <w:sz w:val="18"/>
          <w:szCs w:val="18"/>
        </w:rPr>
      </w:pPr>
      <w:proofErr w:type="spellStart"/>
      <w:r>
        <w:rPr>
          <w:rFonts w:ascii="Arial Narrow" w:hAnsi="Arial Narrow"/>
          <w:sz w:val="18"/>
          <w:szCs w:val="18"/>
        </w:rPr>
        <w:t>MenACWY</w:t>
      </w:r>
      <w:proofErr w:type="spellEnd"/>
      <w:r>
        <w:rPr>
          <w:rFonts w:ascii="Arial Narrow" w:hAnsi="Arial Narrow"/>
          <w:sz w:val="18"/>
          <w:szCs w:val="18"/>
        </w:rPr>
        <w:t xml:space="preserve">-TT: </w:t>
      </w:r>
      <w:r w:rsidRPr="008C6176">
        <w:rPr>
          <w:rFonts w:ascii="Arial Narrow" w:hAnsi="Arial Narrow"/>
          <w:sz w:val="18"/>
          <w:szCs w:val="18"/>
        </w:rPr>
        <w:t>Meningococcal serogroups ACWY tetanus toxoid vaccine</w:t>
      </w:r>
      <w:r>
        <w:rPr>
          <w:rFonts w:ascii="Arial Narrow" w:hAnsi="Arial Narrow"/>
          <w:sz w:val="18"/>
          <w:szCs w:val="18"/>
        </w:rPr>
        <w:t xml:space="preserve">; </w:t>
      </w:r>
    </w:p>
    <w:p w:rsidR="005961D8" w:rsidRDefault="001A1D16" w:rsidP="003C59A2">
      <w:pPr>
        <w:rPr>
          <w:rFonts w:ascii="Arial Narrow" w:hAnsi="Arial Narrow"/>
          <w:sz w:val="18"/>
          <w:szCs w:val="20"/>
        </w:rPr>
      </w:pPr>
      <w:r w:rsidRPr="003C59A2">
        <w:rPr>
          <w:rFonts w:ascii="Arial Narrow" w:hAnsi="Arial Narrow"/>
          <w:sz w:val="18"/>
          <w:szCs w:val="20"/>
        </w:rPr>
        <w:t>*</w:t>
      </w:r>
      <w:r>
        <w:rPr>
          <w:rFonts w:ascii="Arial Narrow" w:hAnsi="Arial Narrow"/>
          <w:sz w:val="18"/>
          <w:szCs w:val="20"/>
        </w:rPr>
        <w:t>MenACWY-TT-012:</w:t>
      </w:r>
      <w:r w:rsidRPr="00620B4B">
        <w:rPr>
          <w:rFonts w:ascii="Arial Narrow" w:hAnsi="Arial Narrow"/>
          <w:sz w:val="18"/>
          <w:szCs w:val="20"/>
        </w:rPr>
        <w:t xml:space="preserve"> contained 4 different formulations of the </w:t>
      </w:r>
      <w:proofErr w:type="spellStart"/>
      <w:r w:rsidRPr="00620B4B">
        <w:rPr>
          <w:rFonts w:ascii="Arial Narrow" w:hAnsi="Arial Narrow"/>
          <w:sz w:val="18"/>
          <w:szCs w:val="20"/>
        </w:rPr>
        <w:t>MenACWY</w:t>
      </w:r>
      <w:proofErr w:type="spellEnd"/>
      <w:r w:rsidRPr="00620B4B">
        <w:rPr>
          <w:rFonts w:ascii="Arial Narrow" w:hAnsi="Arial Narrow"/>
          <w:sz w:val="18"/>
          <w:szCs w:val="20"/>
        </w:rPr>
        <w:t xml:space="preserve">-TT vaccine. The </w:t>
      </w:r>
      <w:proofErr w:type="spellStart"/>
      <w:r w:rsidRPr="00620B4B">
        <w:rPr>
          <w:rFonts w:ascii="Arial Narrow" w:hAnsi="Arial Narrow"/>
          <w:sz w:val="18"/>
          <w:szCs w:val="20"/>
        </w:rPr>
        <w:t>MenACWY</w:t>
      </w:r>
      <w:proofErr w:type="spellEnd"/>
      <w:r w:rsidRPr="00620B4B">
        <w:rPr>
          <w:rFonts w:ascii="Arial Narrow" w:hAnsi="Arial Narrow"/>
          <w:sz w:val="18"/>
          <w:szCs w:val="20"/>
        </w:rPr>
        <w:t xml:space="preserve">-TT vaccine used in the submission is Form </w:t>
      </w:r>
      <w:r>
        <w:rPr>
          <w:rFonts w:ascii="Arial Narrow" w:hAnsi="Arial Narrow"/>
          <w:sz w:val="18"/>
          <w:szCs w:val="20"/>
        </w:rPr>
        <w:t>3;</w:t>
      </w:r>
    </w:p>
    <w:p w:rsidR="005961D8" w:rsidRDefault="001A1D16" w:rsidP="003C59A2">
      <w:pPr>
        <w:rPr>
          <w:rFonts w:ascii="Arial Narrow" w:hAnsi="Arial Narrow"/>
          <w:sz w:val="18"/>
          <w:szCs w:val="20"/>
        </w:rPr>
      </w:pPr>
      <w:r>
        <w:rPr>
          <w:rFonts w:ascii="Arial Narrow" w:hAnsi="Arial Narrow"/>
          <w:sz w:val="18"/>
          <w:szCs w:val="20"/>
        </w:rPr>
        <w:t xml:space="preserve">MenACWY-TT-021: </w:t>
      </w:r>
      <w:proofErr w:type="spellStart"/>
      <w:r>
        <w:rPr>
          <w:rFonts w:ascii="Arial Narrow" w:hAnsi="Arial Narrow"/>
          <w:sz w:val="18"/>
          <w:szCs w:val="20"/>
        </w:rPr>
        <w:t>noMPS</w:t>
      </w:r>
      <w:proofErr w:type="spellEnd"/>
      <w:r>
        <w:rPr>
          <w:rFonts w:ascii="Arial Narrow" w:hAnsi="Arial Narrow"/>
          <w:sz w:val="18"/>
          <w:szCs w:val="20"/>
        </w:rPr>
        <w:t xml:space="preserve">: </w:t>
      </w:r>
      <w:r w:rsidRPr="00191F70">
        <w:rPr>
          <w:rFonts w:ascii="Arial Narrow" w:hAnsi="Arial Narrow"/>
          <w:sz w:val="18"/>
          <w:szCs w:val="20"/>
        </w:rPr>
        <w:t>subjects who were not previously vaccinated with a</w:t>
      </w:r>
      <w:r>
        <w:rPr>
          <w:rFonts w:ascii="Arial Narrow" w:hAnsi="Arial Narrow"/>
          <w:sz w:val="18"/>
          <w:szCs w:val="20"/>
        </w:rPr>
        <w:t xml:space="preserve"> meningococcal vaccine received </w:t>
      </w:r>
      <w:r w:rsidRPr="00191F70">
        <w:rPr>
          <w:rFonts w:ascii="Arial Narrow" w:hAnsi="Arial Narrow"/>
          <w:sz w:val="18"/>
          <w:szCs w:val="20"/>
        </w:rPr>
        <w:t xml:space="preserve">one dose of </w:t>
      </w:r>
      <w:proofErr w:type="spellStart"/>
      <w:r w:rsidRPr="00191F70">
        <w:rPr>
          <w:rFonts w:ascii="Arial Narrow" w:hAnsi="Arial Narrow"/>
          <w:sz w:val="18"/>
          <w:szCs w:val="20"/>
        </w:rPr>
        <w:t>MenACWY</w:t>
      </w:r>
      <w:proofErr w:type="spellEnd"/>
      <w:r w:rsidRPr="00191F70">
        <w:rPr>
          <w:rFonts w:ascii="Arial Narrow" w:hAnsi="Arial Narrow"/>
          <w:sz w:val="18"/>
          <w:szCs w:val="20"/>
        </w:rPr>
        <w:t>-TT</w:t>
      </w:r>
      <w:r>
        <w:rPr>
          <w:rFonts w:ascii="Arial Narrow" w:hAnsi="Arial Narrow"/>
          <w:sz w:val="18"/>
          <w:szCs w:val="20"/>
        </w:rPr>
        <w:t>;</w:t>
      </w:r>
    </w:p>
    <w:p w:rsidR="005961D8" w:rsidRDefault="001A1D16" w:rsidP="003C59A2">
      <w:pPr>
        <w:rPr>
          <w:rFonts w:ascii="Arial Narrow" w:hAnsi="Arial Narrow"/>
          <w:sz w:val="18"/>
          <w:szCs w:val="20"/>
        </w:rPr>
      </w:pPr>
      <w:r>
        <w:rPr>
          <w:rFonts w:ascii="Arial Narrow" w:hAnsi="Arial Narrow"/>
          <w:sz w:val="18"/>
          <w:szCs w:val="20"/>
        </w:rPr>
        <w:t>MenACWY-TT-035: contained 3 different lots, but the same for</w:t>
      </w:r>
      <w:r w:rsidR="005961D8">
        <w:rPr>
          <w:rFonts w:ascii="Arial Narrow" w:hAnsi="Arial Narrow"/>
          <w:sz w:val="18"/>
          <w:szCs w:val="20"/>
        </w:rPr>
        <w:t xml:space="preserve">mulation of </w:t>
      </w:r>
      <w:proofErr w:type="spellStart"/>
      <w:r w:rsidR="005961D8">
        <w:rPr>
          <w:rFonts w:ascii="Arial Narrow" w:hAnsi="Arial Narrow"/>
          <w:sz w:val="18"/>
          <w:szCs w:val="20"/>
        </w:rPr>
        <w:t>MenACWY</w:t>
      </w:r>
      <w:proofErr w:type="spellEnd"/>
      <w:r w:rsidR="005961D8">
        <w:rPr>
          <w:rFonts w:ascii="Arial Narrow" w:hAnsi="Arial Narrow"/>
          <w:sz w:val="18"/>
          <w:szCs w:val="20"/>
        </w:rPr>
        <w:t>-TT vaccine;</w:t>
      </w:r>
    </w:p>
    <w:p w:rsidR="005961D8" w:rsidRDefault="001A1D16" w:rsidP="003C59A2">
      <w:pPr>
        <w:rPr>
          <w:rFonts w:ascii="Arial Narrow" w:hAnsi="Arial Narrow"/>
          <w:sz w:val="18"/>
          <w:szCs w:val="20"/>
        </w:rPr>
      </w:pPr>
      <w:r>
        <w:rPr>
          <w:rFonts w:ascii="Arial Narrow" w:hAnsi="Arial Narrow"/>
          <w:sz w:val="18"/>
          <w:szCs w:val="20"/>
        </w:rPr>
        <w:t>MenACWY-TT-037: one</w:t>
      </w:r>
      <w:r w:rsidRPr="00A21504">
        <w:rPr>
          <w:rFonts w:ascii="Arial Narrow" w:hAnsi="Arial Narrow"/>
          <w:sz w:val="18"/>
          <w:szCs w:val="20"/>
        </w:rPr>
        <w:t xml:space="preserve"> dose of </w:t>
      </w:r>
      <w:proofErr w:type="spellStart"/>
      <w:r w:rsidRPr="00A21504">
        <w:rPr>
          <w:rFonts w:ascii="Arial Narrow" w:hAnsi="Arial Narrow"/>
          <w:sz w:val="18"/>
          <w:szCs w:val="20"/>
        </w:rPr>
        <w:t>MenA</w:t>
      </w:r>
      <w:r>
        <w:rPr>
          <w:rFonts w:ascii="Arial Narrow" w:hAnsi="Arial Narrow"/>
          <w:sz w:val="18"/>
          <w:szCs w:val="20"/>
        </w:rPr>
        <w:t>CWY</w:t>
      </w:r>
      <w:proofErr w:type="spellEnd"/>
      <w:r>
        <w:rPr>
          <w:rFonts w:ascii="Arial Narrow" w:hAnsi="Arial Narrow"/>
          <w:sz w:val="18"/>
          <w:szCs w:val="20"/>
        </w:rPr>
        <w:t xml:space="preserve">-TT vaccine at study Month 0; the comparator group </w:t>
      </w:r>
      <w:proofErr w:type="spellStart"/>
      <w:r>
        <w:rPr>
          <w:rFonts w:ascii="Arial Narrow" w:hAnsi="Arial Narrow"/>
          <w:sz w:val="18"/>
          <w:szCs w:val="20"/>
        </w:rPr>
        <w:t>Twinrix</w:t>
      </w:r>
      <w:proofErr w:type="spellEnd"/>
      <w:r>
        <w:rPr>
          <w:rFonts w:ascii="Arial Narrow" w:hAnsi="Arial Narrow"/>
          <w:sz w:val="18"/>
          <w:szCs w:val="20"/>
        </w:rPr>
        <w:t xml:space="preserve"> is: Hepatitis A inactivated</w:t>
      </w:r>
      <w:r w:rsidR="005961D8">
        <w:rPr>
          <w:rFonts w:ascii="Arial Narrow" w:hAnsi="Arial Narrow"/>
          <w:sz w:val="18"/>
          <w:szCs w:val="20"/>
        </w:rPr>
        <w:t xml:space="preserve"> </w:t>
      </w:r>
      <w:r w:rsidRPr="00E107B2">
        <w:rPr>
          <w:rFonts w:ascii="Arial Narrow" w:hAnsi="Arial Narrow"/>
          <w:sz w:val="18"/>
          <w:szCs w:val="20"/>
        </w:rPr>
        <w:t>and Hepatitis B (recombinant) vaccine</w:t>
      </w:r>
      <w:r w:rsidR="005961D8">
        <w:rPr>
          <w:rFonts w:ascii="Arial Narrow" w:hAnsi="Arial Narrow"/>
          <w:sz w:val="18"/>
          <w:szCs w:val="20"/>
        </w:rPr>
        <w:t>;</w:t>
      </w:r>
    </w:p>
    <w:p w:rsidR="005961D8" w:rsidRDefault="001A1D16" w:rsidP="003C59A2">
      <w:pPr>
        <w:rPr>
          <w:rFonts w:ascii="Arial Narrow" w:hAnsi="Arial Narrow"/>
          <w:sz w:val="18"/>
          <w:szCs w:val="20"/>
        </w:rPr>
      </w:pPr>
      <w:r>
        <w:rPr>
          <w:rFonts w:ascii="Arial Narrow" w:hAnsi="Arial Narrow"/>
          <w:sz w:val="18"/>
          <w:szCs w:val="20"/>
        </w:rPr>
        <w:t>MenACWY-TT-054: for the ACWY-TT group, study subjects were vaccinated at M</w:t>
      </w:r>
      <w:r w:rsidRPr="003D607A">
        <w:rPr>
          <w:rFonts w:ascii="Arial Narrow" w:hAnsi="Arial Narrow"/>
          <w:sz w:val="18"/>
          <w:szCs w:val="20"/>
        </w:rPr>
        <w:t xml:space="preserve">onth 0, </w:t>
      </w:r>
      <w:r>
        <w:rPr>
          <w:rFonts w:ascii="Arial Narrow" w:hAnsi="Arial Narrow"/>
          <w:sz w:val="18"/>
          <w:szCs w:val="20"/>
        </w:rPr>
        <w:t xml:space="preserve">with </w:t>
      </w:r>
      <w:proofErr w:type="spellStart"/>
      <w:r>
        <w:rPr>
          <w:rFonts w:ascii="Arial Narrow" w:hAnsi="Arial Narrow"/>
          <w:sz w:val="18"/>
          <w:szCs w:val="20"/>
        </w:rPr>
        <w:t>MenACWY</w:t>
      </w:r>
      <w:proofErr w:type="spellEnd"/>
      <w:r>
        <w:rPr>
          <w:rFonts w:ascii="Arial Narrow" w:hAnsi="Arial Narrow"/>
          <w:sz w:val="18"/>
          <w:szCs w:val="20"/>
        </w:rPr>
        <w:t xml:space="preserve">-TT, </w:t>
      </w:r>
      <w:r w:rsidRPr="003D607A">
        <w:rPr>
          <w:rFonts w:ascii="Arial Narrow" w:hAnsi="Arial Narrow"/>
          <w:sz w:val="18"/>
          <w:szCs w:val="20"/>
        </w:rPr>
        <w:t>at Month 1, 2 and 7</w:t>
      </w:r>
      <w:r w:rsidRPr="003D607A">
        <w:t xml:space="preserve"> </w:t>
      </w:r>
      <w:r w:rsidRPr="003D607A">
        <w:rPr>
          <w:rFonts w:ascii="Arial Narrow" w:hAnsi="Arial Narrow"/>
          <w:sz w:val="18"/>
          <w:szCs w:val="20"/>
        </w:rPr>
        <w:t xml:space="preserve">intramuscular injection of </w:t>
      </w:r>
      <w:r>
        <w:rPr>
          <w:rFonts w:ascii="Arial Narrow" w:hAnsi="Arial Narrow"/>
          <w:sz w:val="18"/>
          <w:szCs w:val="20"/>
        </w:rPr>
        <w:t>HPV (</w:t>
      </w:r>
      <w:r w:rsidRPr="00ED72BE">
        <w:rPr>
          <w:rFonts w:ascii="Arial Narrow" w:hAnsi="Arial Narrow"/>
          <w:sz w:val="18"/>
          <w:szCs w:val="20"/>
        </w:rPr>
        <w:t>Human papilloma virus</w:t>
      </w:r>
      <w:r>
        <w:rPr>
          <w:rFonts w:ascii="Arial Narrow" w:hAnsi="Arial Narrow"/>
          <w:sz w:val="18"/>
          <w:szCs w:val="20"/>
        </w:rPr>
        <w:t xml:space="preserve"> vaccine) (</w:t>
      </w:r>
      <w:proofErr w:type="spellStart"/>
      <w:r>
        <w:rPr>
          <w:rFonts w:ascii="Arial Narrow" w:hAnsi="Arial Narrow"/>
          <w:sz w:val="18"/>
          <w:szCs w:val="20"/>
        </w:rPr>
        <w:t>Cervarix</w:t>
      </w:r>
      <w:proofErr w:type="spellEnd"/>
      <w:r>
        <w:rPr>
          <w:rFonts w:ascii="Arial Narrow" w:hAnsi="Arial Narrow"/>
          <w:sz w:val="18"/>
          <w:szCs w:val="20"/>
        </w:rPr>
        <w:t xml:space="preserve">), information was </w:t>
      </w:r>
      <w:r w:rsidR="005961D8">
        <w:rPr>
          <w:rFonts w:ascii="Arial Narrow" w:hAnsi="Arial Narrow"/>
          <w:sz w:val="18"/>
          <w:szCs w:val="20"/>
        </w:rPr>
        <w:t>analysed at the end of Month 0;</w:t>
      </w:r>
    </w:p>
    <w:p w:rsidR="005961D8" w:rsidRDefault="001A1D16" w:rsidP="003C59A2">
      <w:pPr>
        <w:rPr>
          <w:rFonts w:ascii="Arial Narrow" w:hAnsi="Arial Narrow"/>
          <w:sz w:val="18"/>
          <w:szCs w:val="20"/>
        </w:rPr>
      </w:pPr>
      <w:r>
        <w:rPr>
          <w:rFonts w:ascii="Arial Narrow" w:hAnsi="Arial Narrow"/>
          <w:sz w:val="18"/>
          <w:szCs w:val="20"/>
        </w:rPr>
        <w:t>MenACWY-TT-093: contained 2 different lots, but the same for</w:t>
      </w:r>
      <w:r w:rsidR="005961D8">
        <w:rPr>
          <w:rFonts w:ascii="Arial Narrow" w:hAnsi="Arial Narrow"/>
          <w:sz w:val="18"/>
          <w:szCs w:val="20"/>
        </w:rPr>
        <w:t xml:space="preserve">mulation of </w:t>
      </w:r>
      <w:proofErr w:type="spellStart"/>
      <w:r w:rsidR="005961D8">
        <w:rPr>
          <w:rFonts w:ascii="Arial Narrow" w:hAnsi="Arial Narrow"/>
          <w:sz w:val="18"/>
          <w:szCs w:val="20"/>
        </w:rPr>
        <w:t>MenACWY</w:t>
      </w:r>
      <w:proofErr w:type="spellEnd"/>
      <w:r w:rsidR="005961D8">
        <w:rPr>
          <w:rFonts w:ascii="Arial Narrow" w:hAnsi="Arial Narrow"/>
          <w:sz w:val="18"/>
          <w:szCs w:val="20"/>
        </w:rPr>
        <w:t>-TT vaccine;</w:t>
      </w:r>
    </w:p>
    <w:p w:rsidR="001A1D16" w:rsidRDefault="001A1D16" w:rsidP="003C59A2">
      <w:pPr>
        <w:rPr>
          <w:rFonts w:ascii="Arial Narrow" w:hAnsi="Arial Narrow"/>
          <w:sz w:val="18"/>
          <w:szCs w:val="20"/>
        </w:rPr>
      </w:pPr>
      <w:r>
        <w:rPr>
          <w:rFonts w:ascii="Arial Narrow" w:hAnsi="Arial Narrow"/>
          <w:sz w:val="18"/>
          <w:szCs w:val="20"/>
        </w:rPr>
        <w:t xml:space="preserve">MenACWY-TT-098: for the </w:t>
      </w:r>
      <w:proofErr w:type="spellStart"/>
      <w:r>
        <w:rPr>
          <w:rFonts w:ascii="Arial Narrow" w:hAnsi="Arial Narrow"/>
          <w:sz w:val="18"/>
          <w:szCs w:val="20"/>
        </w:rPr>
        <w:t>ACWYTap</w:t>
      </w:r>
      <w:proofErr w:type="spellEnd"/>
      <w:r>
        <w:rPr>
          <w:rFonts w:ascii="Arial Narrow" w:hAnsi="Arial Narrow"/>
          <w:sz w:val="18"/>
          <w:szCs w:val="20"/>
        </w:rPr>
        <w:t xml:space="preserve"> (</w:t>
      </w:r>
      <w:r w:rsidRPr="00ED72BE">
        <w:rPr>
          <w:rFonts w:ascii="Arial Narrow" w:hAnsi="Arial Narrow"/>
          <w:sz w:val="18"/>
          <w:szCs w:val="20"/>
        </w:rPr>
        <w:t>Diphtheria and tetanus toxoids and acellular pertussis</w:t>
      </w:r>
      <w:r>
        <w:rPr>
          <w:rFonts w:ascii="Arial Narrow" w:hAnsi="Arial Narrow"/>
          <w:sz w:val="18"/>
          <w:szCs w:val="20"/>
        </w:rPr>
        <w:t xml:space="preserve">) group, study subjects were vaccinated with </w:t>
      </w:r>
      <w:r w:rsidRPr="008A2A8E">
        <w:rPr>
          <w:rFonts w:ascii="Arial Narrow" w:hAnsi="Arial Narrow"/>
          <w:sz w:val="18"/>
          <w:szCs w:val="20"/>
        </w:rPr>
        <w:t xml:space="preserve">one dose of </w:t>
      </w:r>
      <w:proofErr w:type="spellStart"/>
      <w:r w:rsidRPr="008A2A8E">
        <w:rPr>
          <w:rFonts w:ascii="Arial Narrow" w:hAnsi="Arial Narrow"/>
          <w:sz w:val="18"/>
          <w:szCs w:val="20"/>
        </w:rPr>
        <w:t>MenACWY</w:t>
      </w:r>
      <w:proofErr w:type="spellEnd"/>
      <w:r w:rsidRPr="008A2A8E">
        <w:rPr>
          <w:rFonts w:ascii="Arial Narrow" w:hAnsi="Arial Narrow"/>
          <w:sz w:val="18"/>
          <w:szCs w:val="20"/>
        </w:rPr>
        <w:t xml:space="preserve">-TT at Visit 1 (Month 0) and one dose of </w:t>
      </w:r>
      <w:proofErr w:type="spellStart"/>
      <w:r w:rsidRPr="008A2A8E">
        <w:rPr>
          <w:rFonts w:ascii="Arial Narrow" w:hAnsi="Arial Narrow"/>
          <w:sz w:val="18"/>
          <w:szCs w:val="20"/>
        </w:rPr>
        <w:t>Boostrix</w:t>
      </w:r>
      <w:proofErr w:type="spellEnd"/>
      <w:r>
        <w:rPr>
          <w:rFonts w:ascii="Arial Narrow" w:hAnsi="Arial Narrow"/>
          <w:sz w:val="18"/>
          <w:szCs w:val="20"/>
        </w:rPr>
        <w:t xml:space="preserve"> (</w:t>
      </w:r>
      <w:r w:rsidRPr="00191F70">
        <w:rPr>
          <w:rFonts w:ascii="Arial Narrow" w:hAnsi="Arial Narrow"/>
          <w:sz w:val="18"/>
          <w:szCs w:val="20"/>
        </w:rPr>
        <w:t>Tetanus to</w:t>
      </w:r>
      <w:r>
        <w:rPr>
          <w:rFonts w:ascii="Arial Narrow" w:hAnsi="Arial Narrow"/>
          <w:sz w:val="18"/>
          <w:szCs w:val="20"/>
        </w:rPr>
        <w:t xml:space="preserve">xoid, reduced diphtheria toxoid </w:t>
      </w:r>
      <w:r w:rsidRPr="00191F70">
        <w:rPr>
          <w:rFonts w:ascii="Arial Narrow" w:hAnsi="Arial Narrow"/>
          <w:sz w:val="18"/>
          <w:szCs w:val="20"/>
        </w:rPr>
        <w:t>and acellu</w:t>
      </w:r>
      <w:r>
        <w:rPr>
          <w:rFonts w:ascii="Arial Narrow" w:hAnsi="Arial Narrow"/>
          <w:sz w:val="18"/>
          <w:szCs w:val="20"/>
        </w:rPr>
        <w:t xml:space="preserve">lar pertussis vaccine) </w:t>
      </w:r>
      <w:r w:rsidRPr="008A2A8E">
        <w:rPr>
          <w:rFonts w:ascii="Arial Narrow" w:hAnsi="Arial Narrow"/>
          <w:sz w:val="18"/>
          <w:szCs w:val="20"/>
        </w:rPr>
        <w:t>at Visit 2 (Mo</w:t>
      </w:r>
      <w:r>
        <w:rPr>
          <w:rFonts w:ascii="Arial Narrow" w:hAnsi="Arial Narrow"/>
          <w:sz w:val="18"/>
          <w:szCs w:val="20"/>
        </w:rPr>
        <w:t>nth 1),</w:t>
      </w:r>
      <w:r w:rsidRPr="00AF1053">
        <w:rPr>
          <w:rFonts w:ascii="Arial Narrow" w:hAnsi="Arial Narrow"/>
          <w:sz w:val="18"/>
          <w:szCs w:val="20"/>
        </w:rPr>
        <w:t xml:space="preserve"> </w:t>
      </w:r>
      <w:r>
        <w:rPr>
          <w:rFonts w:ascii="Arial Narrow" w:hAnsi="Arial Narrow"/>
          <w:sz w:val="18"/>
          <w:szCs w:val="20"/>
        </w:rPr>
        <w:t xml:space="preserve">information was </w:t>
      </w:r>
      <w:r w:rsidR="0063033A">
        <w:rPr>
          <w:rFonts w:ascii="Arial Narrow" w:hAnsi="Arial Narrow"/>
          <w:sz w:val="18"/>
          <w:szCs w:val="20"/>
        </w:rPr>
        <w:t>analysed at the end of Month 0.</w:t>
      </w:r>
    </w:p>
    <w:p w:rsidR="001500D2" w:rsidRDefault="001500D2" w:rsidP="003C59A2">
      <w:pPr>
        <w:rPr>
          <w:rFonts w:ascii="Arial Narrow" w:hAnsi="Arial Narrow"/>
          <w:sz w:val="18"/>
          <w:szCs w:val="20"/>
        </w:rPr>
      </w:pPr>
      <w:r>
        <w:rPr>
          <w:rFonts w:ascii="Arial Narrow" w:hAnsi="Arial Narrow"/>
          <w:sz w:val="18"/>
          <w:szCs w:val="20"/>
        </w:rPr>
        <w:t xml:space="preserve">** including extension studies </w:t>
      </w:r>
    </w:p>
    <w:p w:rsidR="003C59A2" w:rsidRDefault="003C59A2" w:rsidP="003C59A2">
      <w:pPr>
        <w:rPr>
          <w:rFonts w:ascii="Arial Narrow" w:hAnsi="Arial Narrow"/>
          <w:sz w:val="18"/>
          <w:szCs w:val="20"/>
        </w:rPr>
      </w:pPr>
      <w:r>
        <w:rPr>
          <w:rFonts w:ascii="Arial Narrow" w:hAnsi="Arial Narrow"/>
          <w:sz w:val="18"/>
          <w:szCs w:val="20"/>
        </w:rPr>
        <w:t xml:space="preserve">Source: </w:t>
      </w:r>
      <w:r w:rsidRPr="003C59A2">
        <w:rPr>
          <w:rFonts w:ascii="Arial Narrow" w:hAnsi="Arial Narrow"/>
          <w:sz w:val="18"/>
          <w:szCs w:val="20"/>
        </w:rPr>
        <w:t xml:space="preserve">Compiled during the evaluation from </w:t>
      </w:r>
      <w:r>
        <w:rPr>
          <w:rFonts w:ascii="Arial Narrow" w:hAnsi="Arial Narrow"/>
          <w:sz w:val="18"/>
          <w:szCs w:val="20"/>
        </w:rPr>
        <w:t>Table 2.3.1, Table 2.3.2, p40-46 of the submission</w:t>
      </w:r>
    </w:p>
    <w:p w:rsidR="003C59A2" w:rsidRPr="003C59A2" w:rsidRDefault="003C59A2" w:rsidP="003C59A2">
      <w:pPr>
        <w:pStyle w:val="ListParagraph"/>
        <w:widowControl/>
        <w:ind w:left="0"/>
        <w:rPr>
          <w:rFonts w:ascii="Arial Narrow" w:hAnsi="Arial Narrow"/>
          <w:sz w:val="18"/>
          <w:szCs w:val="18"/>
        </w:rPr>
      </w:pPr>
    </w:p>
    <w:p w:rsidR="006F10A5" w:rsidRPr="00590BD8" w:rsidRDefault="00917BDD" w:rsidP="009E2CAD">
      <w:pPr>
        <w:pStyle w:val="ListParagraph"/>
        <w:widowControl/>
        <w:numPr>
          <w:ilvl w:val="1"/>
          <w:numId w:val="1"/>
        </w:numPr>
      </w:pPr>
      <w:r>
        <w:t>During the evaluation the o</w:t>
      </w:r>
      <w:r w:rsidR="006F10A5" w:rsidRPr="00590BD8">
        <w:t xml:space="preserve">verall risk of bias </w:t>
      </w:r>
      <w:r>
        <w:t>for</w:t>
      </w:r>
      <w:r w:rsidRPr="00590BD8">
        <w:t xml:space="preserve"> </w:t>
      </w:r>
      <w:r w:rsidR="006F10A5" w:rsidRPr="00590BD8">
        <w:t xml:space="preserve">the immunogenicity outcomes </w:t>
      </w:r>
      <w:r>
        <w:t>wa</w:t>
      </w:r>
      <w:r w:rsidR="006F10A5" w:rsidRPr="00590BD8">
        <w:t>s consid</w:t>
      </w:r>
      <w:r w:rsidR="005961D8" w:rsidRPr="00590BD8">
        <w:t xml:space="preserve">ered moderate in </w:t>
      </w:r>
      <w:r w:rsidR="006468FC">
        <w:t xml:space="preserve">the following </w:t>
      </w:r>
      <w:r w:rsidR="005961D8" w:rsidRPr="00590BD8">
        <w:t xml:space="preserve">trials </w:t>
      </w:r>
      <w:r w:rsidR="006468FC" w:rsidRPr="00590BD8">
        <w:t>as they were not analysed on an intent-to-treat basis</w:t>
      </w:r>
      <w:r w:rsidR="006468FC">
        <w:t>:</w:t>
      </w:r>
      <w:r w:rsidR="006468FC" w:rsidRPr="00590BD8">
        <w:t xml:space="preserve"> </w:t>
      </w:r>
      <w:r w:rsidR="005961D8" w:rsidRPr="00590BD8">
        <w:t>MenACWY-</w:t>
      </w:r>
      <w:r w:rsidR="006F10A5" w:rsidRPr="00590BD8">
        <w:t xml:space="preserve">TT-012, </w:t>
      </w:r>
      <w:r w:rsidR="00476256" w:rsidRPr="00590BD8">
        <w:t xml:space="preserve">MenACWY-TT-015, </w:t>
      </w:r>
      <w:r w:rsidR="006F10A5" w:rsidRPr="00590BD8">
        <w:t xml:space="preserve">MenACWY-TT-035, </w:t>
      </w:r>
      <w:r w:rsidR="00476256" w:rsidRPr="00590BD8">
        <w:t xml:space="preserve">MenACWY-TT-36, </w:t>
      </w:r>
      <w:r w:rsidR="006F10A5" w:rsidRPr="00590BD8">
        <w:t>MenACWY-TT-037, MenACWY-TT-052, MenACWY</w:t>
      </w:r>
      <w:r w:rsidR="005961D8" w:rsidRPr="00590BD8">
        <w:t>-</w:t>
      </w:r>
      <w:r w:rsidR="006F10A5" w:rsidRPr="00590BD8">
        <w:t>TT</w:t>
      </w:r>
      <w:r w:rsidR="005961D8" w:rsidRPr="00590BD8">
        <w:t>-</w:t>
      </w:r>
      <w:r w:rsidR="006F10A5" w:rsidRPr="00590BD8">
        <w:t xml:space="preserve">054, MenACWY-TT-084, MenACWY-TT-093 and MenACWY-TT-098. </w:t>
      </w:r>
      <w:r w:rsidR="00476256" w:rsidRPr="00590BD8">
        <w:t xml:space="preserve">Furthermore, it was unclear whether </w:t>
      </w:r>
      <w:r w:rsidR="00476256" w:rsidRPr="00590BD8">
        <w:lastRenderedPageBreak/>
        <w:t xml:space="preserve">laboratory personnel were blinded </w:t>
      </w:r>
      <w:r w:rsidR="006F10A5" w:rsidRPr="00590BD8">
        <w:t>in trials MenACWY-TT-015 and Men</w:t>
      </w:r>
      <w:r w:rsidR="00282435" w:rsidRPr="00590BD8">
        <w:t>ACWY-TT-36</w:t>
      </w:r>
      <w:r w:rsidR="006F10A5" w:rsidRPr="00590BD8">
        <w:t xml:space="preserve">. The risk of bias </w:t>
      </w:r>
      <w:r>
        <w:t>wa</w:t>
      </w:r>
      <w:r w:rsidR="006F10A5" w:rsidRPr="00590BD8">
        <w:t xml:space="preserve">s considered high in study MenACWY-TT-021 due to being open-label, non-randomised, </w:t>
      </w:r>
      <w:r w:rsidR="006F10A5" w:rsidRPr="003D5C0B">
        <w:t xml:space="preserve">and the immunogenicity outcomes for some </w:t>
      </w:r>
      <w:r w:rsidR="00B46654">
        <w:t>subjects</w:t>
      </w:r>
      <w:r w:rsidR="00B46654" w:rsidRPr="003D5C0B">
        <w:t xml:space="preserve"> </w:t>
      </w:r>
      <w:r w:rsidR="007F2DFC">
        <w:t>not being</w:t>
      </w:r>
      <w:r w:rsidR="006F10A5" w:rsidRPr="003D5C0B">
        <w:t xml:space="preserve"> available.</w:t>
      </w:r>
      <w:r w:rsidRPr="003D5C0B">
        <w:t xml:space="preserve"> The ESC agreed with this assessment.</w:t>
      </w:r>
    </w:p>
    <w:p w:rsidR="007869D0" w:rsidRPr="00590BD8" w:rsidRDefault="004C153F" w:rsidP="007869D0">
      <w:pPr>
        <w:pStyle w:val="ListParagraph"/>
        <w:widowControl/>
        <w:numPr>
          <w:ilvl w:val="1"/>
          <w:numId w:val="1"/>
        </w:numPr>
      </w:pPr>
      <w:r w:rsidRPr="003D5C0B">
        <w:t xml:space="preserve">Most of </w:t>
      </w:r>
      <w:r w:rsidR="00AF1053" w:rsidRPr="003D5C0B">
        <w:t xml:space="preserve">the </w:t>
      </w:r>
      <w:r w:rsidR="005961D8" w:rsidRPr="003D5C0B">
        <w:t>trials</w:t>
      </w:r>
      <w:r w:rsidR="00AF1053" w:rsidRPr="003D5C0B">
        <w:t xml:space="preserve"> (except MenACWY-TT-0</w:t>
      </w:r>
      <w:r w:rsidRPr="003D5C0B">
        <w:t xml:space="preserve">52) were open-label, </w:t>
      </w:r>
      <w:r w:rsidR="00917BDD" w:rsidRPr="003D5C0B">
        <w:t xml:space="preserve">and the ESC noted this </w:t>
      </w:r>
      <w:r w:rsidRPr="003D5C0B">
        <w:t>increases the risk of bias in the safety results as the subjects were aware of the vaccines received. This could lead to an over-estimation or under-estimation of the self-reported adverse events.</w:t>
      </w:r>
      <w:r w:rsidR="005874F4" w:rsidRPr="003D5C0B">
        <w:t xml:space="preserve"> </w:t>
      </w:r>
    </w:p>
    <w:p w:rsidR="00B60939" w:rsidRPr="00590BD8" w:rsidRDefault="00B60939" w:rsidP="00C9624D">
      <w:pPr>
        <w:pStyle w:val="Heading2"/>
        <w:rPr>
          <w:i w:val="0"/>
        </w:rPr>
      </w:pPr>
      <w:bookmarkStart w:id="8" w:name="_Toc501621778"/>
      <w:r w:rsidRPr="00590BD8">
        <w:rPr>
          <w:i w:val="0"/>
        </w:rPr>
        <w:t>Comparative effectiveness</w:t>
      </w:r>
      <w:bookmarkEnd w:id="8"/>
    </w:p>
    <w:p w:rsidR="00B60939" w:rsidRPr="00590BD8" w:rsidRDefault="00B60939" w:rsidP="00B60939"/>
    <w:p w:rsidR="0029336C" w:rsidRPr="0029336C" w:rsidRDefault="00921383" w:rsidP="009E2CAD">
      <w:pPr>
        <w:pStyle w:val="ListParagraph"/>
        <w:widowControl/>
        <w:numPr>
          <w:ilvl w:val="1"/>
          <w:numId w:val="1"/>
        </w:numPr>
        <w:rPr>
          <w:rFonts w:eastAsiaTheme="minorHAnsi"/>
          <w:i/>
        </w:rPr>
      </w:pPr>
      <w:r w:rsidRPr="00590BD8">
        <w:t xml:space="preserve">No direct evidence was presented regarding vaccine efficacy against </w:t>
      </w:r>
      <w:r w:rsidR="00E15F25">
        <w:t xml:space="preserve">carriage </w:t>
      </w:r>
      <w:r w:rsidRPr="00590BD8">
        <w:t xml:space="preserve">or disease caused by serogroups A, C, W or Y. The submission argued that pre-registration clinical effectiveness studies were not feasible due to the relatively low incidence of meningococcal disease. Consequently, the submission presented immunogenicity results as a surrogate outcome. This increases uncertainty in the results. </w:t>
      </w:r>
    </w:p>
    <w:p w:rsidR="004227C0" w:rsidRPr="00590BD8" w:rsidRDefault="004227C0" w:rsidP="004227C0">
      <w:pPr>
        <w:pStyle w:val="ListParagraph"/>
        <w:widowControl/>
        <w:numPr>
          <w:ilvl w:val="1"/>
          <w:numId w:val="1"/>
        </w:numPr>
      </w:pPr>
      <w:r w:rsidRPr="00590BD8">
        <w:t xml:space="preserve">The submission used ‘vaccine response’ to measure the immunogenicity of the </w:t>
      </w:r>
      <w:proofErr w:type="spellStart"/>
      <w:r w:rsidRPr="00590BD8">
        <w:t>MenACWY</w:t>
      </w:r>
      <w:proofErr w:type="spellEnd"/>
      <w:r w:rsidRPr="00590BD8">
        <w:t>-</w:t>
      </w:r>
      <w:r w:rsidR="00D32B61">
        <w:t>TT vaccine. ‘Vaccine response’ was</w:t>
      </w:r>
      <w:r w:rsidRPr="00590BD8">
        <w:t xml:space="preserve"> defined </w:t>
      </w:r>
      <w:r w:rsidR="00F079FA">
        <w:t xml:space="preserve">for each serogroup </w:t>
      </w:r>
      <w:r w:rsidRPr="00590BD8">
        <w:t>as</w:t>
      </w:r>
      <w:r w:rsidR="00BE30A7">
        <w:t>:</w:t>
      </w:r>
    </w:p>
    <w:p w:rsidR="004227C0" w:rsidRPr="005961D8" w:rsidRDefault="004227C0" w:rsidP="004227C0">
      <w:pPr>
        <w:pStyle w:val="ListParagraph"/>
        <w:widowControl/>
        <w:numPr>
          <w:ilvl w:val="0"/>
          <w:numId w:val="37"/>
        </w:numPr>
      </w:pPr>
      <w:r w:rsidRPr="005961D8">
        <w:t xml:space="preserve">Post-vaccination </w:t>
      </w:r>
      <w:proofErr w:type="spellStart"/>
      <w:r w:rsidRPr="005961D8">
        <w:t>rSBA</w:t>
      </w:r>
      <w:proofErr w:type="spellEnd"/>
      <w:r w:rsidRPr="005961D8">
        <w:t xml:space="preserve"> titre ≥1:32 in initially seronegative subjects </w:t>
      </w:r>
      <w:r w:rsidR="00F079FA">
        <w:t>at one month after vaccination</w:t>
      </w:r>
      <w:r w:rsidR="00D3305B">
        <w:t>,</w:t>
      </w:r>
      <w:r w:rsidR="00F079FA">
        <w:t xml:space="preserve"> </w:t>
      </w:r>
      <w:r w:rsidRPr="005961D8">
        <w:t>or</w:t>
      </w:r>
    </w:p>
    <w:p w:rsidR="004227C0" w:rsidRDefault="004227C0" w:rsidP="004227C0">
      <w:pPr>
        <w:pStyle w:val="ListParagraph"/>
        <w:widowControl/>
        <w:numPr>
          <w:ilvl w:val="0"/>
          <w:numId w:val="37"/>
        </w:numPr>
      </w:pPr>
      <w:r w:rsidRPr="005961D8">
        <w:t xml:space="preserve">A ≥4-fold rise in the pre-vaccination </w:t>
      </w:r>
      <w:proofErr w:type="spellStart"/>
      <w:r w:rsidRPr="005961D8">
        <w:t>rSBA</w:t>
      </w:r>
      <w:proofErr w:type="spellEnd"/>
      <w:r w:rsidRPr="005961D8">
        <w:t xml:space="preserve"> titre in initially seropositive subjects</w:t>
      </w:r>
      <w:r w:rsidR="00692F64">
        <w:t xml:space="preserve"> (</w:t>
      </w:r>
      <w:proofErr w:type="spellStart"/>
      <w:r w:rsidR="004D6F65" w:rsidRPr="00590BD8">
        <w:t>rSBA</w:t>
      </w:r>
      <w:proofErr w:type="spellEnd"/>
      <w:r w:rsidR="004D6F65" w:rsidRPr="00590BD8">
        <w:t>-Men titres ≥ 1:8</w:t>
      </w:r>
      <w:r w:rsidR="00F079FA" w:rsidRPr="004D6F65">
        <w:rPr>
          <w:iCs/>
        </w:rPr>
        <w:t>)</w:t>
      </w:r>
      <w:r w:rsidRPr="005961D8">
        <w:t xml:space="preserve"> at one month after vaccination.</w:t>
      </w:r>
      <w:r w:rsidR="00AB02E9">
        <w:t xml:space="preserve">  </w:t>
      </w:r>
      <w:r w:rsidR="00AB02E9" w:rsidRPr="003D5C0B">
        <w:t xml:space="preserve">The ESC noted that the </w:t>
      </w:r>
      <w:proofErr w:type="spellStart"/>
      <w:r w:rsidR="00AB02E9" w:rsidRPr="003D5C0B">
        <w:t>rSBA</w:t>
      </w:r>
      <w:proofErr w:type="spellEnd"/>
      <w:r w:rsidR="00AB02E9" w:rsidRPr="003D5C0B">
        <w:t xml:space="preserve"> titre required for seropositive subjects was more stringent than for seronegative subjects</w:t>
      </w:r>
      <w:r w:rsidR="00070740" w:rsidRPr="003D5C0B">
        <w:t xml:space="preserve">. </w:t>
      </w:r>
    </w:p>
    <w:p w:rsidR="004227C0" w:rsidRPr="00590BD8" w:rsidRDefault="004227C0" w:rsidP="004227C0">
      <w:pPr>
        <w:pStyle w:val="ListParagraph"/>
        <w:widowControl/>
        <w:numPr>
          <w:ilvl w:val="1"/>
          <w:numId w:val="1"/>
        </w:numPr>
      </w:pPr>
      <w:r w:rsidRPr="00251B47">
        <w:t xml:space="preserve">The submission reported the proportion of subjects with </w:t>
      </w:r>
      <w:proofErr w:type="spellStart"/>
      <w:r w:rsidRPr="00251B47">
        <w:t>rSBA</w:t>
      </w:r>
      <w:proofErr w:type="spellEnd"/>
      <w:r w:rsidRPr="00251B47">
        <w:t>-Men titres ≥ 1:8 as a secondary clinical outcome.</w:t>
      </w:r>
      <w:r>
        <w:t xml:space="preserve"> </w:t>
      </w:r>
      <w:r w:rsidR="00AB02E9" w:rsidRPr="003D5C0B">
        <w:t>The ESC noted this outcome is less stringent than ‘vaccine re</w:t>
      </w:r>
      <w:r w:rsidR="00070740" w:rsidRPr="003D5C0B">
        <w:t>s</w:t>
      </w:r>
      <w:r w:rsidR="00AB02E9" w:rsidRPr="003D5C0B">
        <w:t>ponse’.</w:t>
      </w:r>
    </w:p>
    <w:p w:rsidR="00D3305B" w:rsidRDefault="00544B2E" w:rsidP="00D3305B">
      <w:pPr>
        <w:pStyle w:val="ListParagraph"/>
        <w:widowControl/>
        <w:numPr>
          <w:ilvl w:val="1"/>
          <w:numId w:val="1"/>
        </w:numPr>
      </w:pPr>
      <w:r w:rsidRPr="00590BD8">
        <w:t xml:space="preserve">The PBAC has previously accepted the use of </w:t>
      </w:r>
      <w:proofErr w:type="spellStart"/>
      <w:r w:rsidRPr="009E1D3C">
        <w:t>rSBA</w:t>
      </w:r>
      <w:proofErr w:type="spellEnd"/>
      <w:r w:rsidRPr="009E1D3C">
        <w:t xml:space="preserve"> titres &gt; 1:8</w:t>
      </w:r>
      <w:r w:rsidR="002F7EFA" w:rsidRPr="009E1D3C">
        <w:t xml:space="preserve"> as a surrogate outcome</w:t>
      </w:r>
      <w:r w:rsidRPr="009E1D3C">
        <w:t xml:space="preserve"> to estimate vaccine efficacy</w:t>
      </w:r>
      <w:r w:rsidRPr="009E1D3C">
        <w:rPr>
          <w:rStyle w:val="FootnoteReference"/>
          <w:rFonts w:eastAsiaTheme="minorHAnsi"/>
        </w:rPr>
        <w:footnoteReference w:id="7"/>
      </w:r>
      <w:r w:rsidRPr="009E1D3C">
        <w:t xml:space="preserve"> </w:t>
      </w:r>
      <w:r w:rsidR="002F7EFA" w:rsidRPr="009E1D3C">
        <w:t xml:space="preserve">in its consideration of the combined haemophilus </w:t>
      </w:r>
      <w:proofErr w:type="spellStart"/>
      <w:r w:rsidR="002F7EFA" w:rsidRPr="009E1D3C">
        <w:t>influenzae</w:t>
      </w:r>
      <w:proofErr w:type="spellEnd"/>
      <w:r w:rsidR="002F7EFA" w:rsidRPr="009E1D3C">
        <w:t xml:space="preserve"> type B and Meningococcal C (Hib-</w:t>
      </w:r>
      <w:proofErr w:type="spellStart"/>
      <w:r w:rsidR="002F7EFA" w:rsidRPr="009E1D3C">
        <w:t>MenC</w:t>
      </w:r>
      <w:proofErr w:type="spellEnd"/>
      <w:r w:rsidR="002F7EFA" w:rsidRPr="009E1D3C">
        <w:t>) vaccine (</w:t>
      </w:r>
      <w:proofErr w:type="spellStart"/>
      <w:r w:rsidR="002F7EFA" w:rsidRPr="009E1D3C">
        <w:t>Menitorix</w:t>
      </w:r>
      <w:proofErr w:type="spellEnd"/>
      <w:r w:rsidR="002F7EFA" w:rsidRPr="009E1D3C">
        <w:t>), which used rabbit complement SBA (</w:t>
      </w:r>
      <w:proofErr w:type="spellStart"/>
      <w:r w:rsidR="002F7EFA" w:rsidRPr="009E1D3C">
        <w:t>rSBA</w:t>
      </w:r>
      <w:proofErr w:type="spellEnd"/>
      <w:r w:rsidR="002F7EFA" w:rsidRPr="009E1D3C">
        <w:t>) titres &gt; 1:8 to estimate vaccine efficacy</w:t>
      </w:r>
      <w:r w:rsidR="00175691">
        <w:t>.</w:t>
      </w:r>
      <w:r w:rsidR="002F7EFA" w:rsidRPr="009E1D3C">
        <w:t xml:space="preserve"> </w:t>
      </w:r>
      <w:r w:rsidR="00DA7C60">
        <w:t>However,</w:t>
      </w:r>
      <w:r w:rsidR="002F7EFA" w:rsidRPr="009E1D3C">
        <w:t xml:space="preserve"> there is no established surrogate serological correlate of protection for non-</w:t>
      </w:r>
      <w:proofErr w:type="spellStart"/>
      <w:r w:rsidR="002F7EFA" w:rsidRPr="009E1D3C">
        <w:t>MenC</w:t>
      </w:r>
      <w:proofErr w:type="spellEnd"/>
      <w:r w:rsidR="002F7EFA" w:rsidRPr="009E1D3C">
        <w:t xml:space="preserve"> serogroups.</w:t>
      </w:r>
      <w:r w:rsidR="002F7EFA">
        <w:t xml:space="preserve"> </w:t>
      </w:r>
      <w:r w:rsidR="00A8553D" w:rsidRPr="00590BD8">
        <w:t>This level was based on a study from the 1960s assessing the bactericidal activity of an Army recruit population for susceptibility to meningococcal disease, which found that human complement SBA (</w:t>
      </w:r>
      <w:proofErr w:type="spellStart"/>
      <w:r w:rsidR="00A8553D" w:rsidRPr="00590BD8">
        <w:t>hSBA</w:t>
      </w:r>
      <w:proofErr w:type="spellEnd"/>
      <w:r w:rsidR="00A8553D" w:rsidRPr="00590BD8">
        <w:t xml:space="preserve">) titres &lt; 1:4 </w:t>
      </w:r>
      <w:r w:rsidR="00A8553D" w:rsidRPr="00590BD8">
        <w:lastRenderedPageBreak/>
        <w:t xml:space="preserve">was correlated with the development of </w:t>
      </w:r>
      <w:proofErr w:type="spellStart"/>
      <w:r w:rsidR="00A8553D" w:rsidRPr="00590BD8">
        <w:t>MenC</w:t>
      </w:r>
      <w:proofErr w:type="spellEnd"/>
      <w:r w:rsidR="00A8553D" w:rsidRPr="00590BD8">
        <w:t>.</w:t>
      </w:r>
      <w:r w:rsidR="00A8553D" w:rsidRPr="00590BD8">
        <w:rPr>
          <w:rStyle w:val="FootnoteReference"/>
          <w:rFonts w:eastAsiaTheme="minorHAnsi"/>
        </w:rPr>
        <w:footnoteReference w:id="8"/>
      </w:r>
      <w:r w:rsidR="00A8553D" w:rsidRPr="00590BD8">
        <w:t xml:space="preserve"> In addition, another study found that </w:t>
      </w:r>
      <w:proofErr w:type="spellStart"/>
      <w:r w:rsidR="00A8553D" w:rsidRPr="00590BD8">
        <w:t>hSBA</w:t>
      </w:r>
      <w:proofErr w:type="spellEnd"/>
      <w:r w:rsidR="00A8553D" w:rsidRPr="00590BD8">
        <w:t xml:space="preserve"> ≥1:4 were correlated with clinical protection against </w:t>
      </w:r>
      <w:proofErr w:type="spellStart"/>
      <w:r w:rsidR="00A8553D" w:rsidRPr="00590BD8">
        <w:t>MenA</w:t>
      </w:r>
      <w:proofErr w:type="spellEnd"/>
      <w:r w:rsidR="00A8553D" w:rsidRPr="00590BD8">
        <w:t xml:space="preserve">, </w:t>
      </w:r>
      <w:proofErr w:type="spellStart"/>
      <w:r w:rsidR="00A8553D" w:rsidRPr="00590BD8">
        <w:t>MenB</w:t>
      </w:r>
      <w:proofErr w:type="spellEnd"/>
      <w:r w:rsidR="00A8553D" w:rsidRPr="00590BD8">
        <w:t xml:space="preserve"> and </w:t>
      </w:r>
      <w:proofErr w:type="spellStart"/>
      <w:r w:rsidR="00A8553D" w:rsidRPr="00590BD8">
        <w:t>MenC</w:t>
      </w:r>
      <w:proofErr w:type="spellEnd"/>
      <w:r w:rsidR="00A8553D" w:rsidRPr="00590BD8">
        <w:t>.</w:t>
      </w:r>
      <w:r w:rsidR="00A8553D" w:rsidRPr="00590BD8">
        <w:rPr>
          <w:rStyle w:val="FootnoteReference"/>
          <w:rFonts w:eastAsiaTheme="minorHAnsi"/>
        </w:rPr>
        <w:footnoteReference w:id="9"/>
      </w:r>
      <w:r w:rsidR="00A8553D" w:rsidRPr="00590BD8">
        <w:t xml:space="preserve"> </w:t>
      </w:r>
      <w:r w:rsidR="00D3305B" w:rsidRPr="003D5C0B">
        <w:t xml:space="preserve">ATAGI noted </w:t>
      </w:r>
      <w:r w:rsidR="00CD471F" w:rsidRPr="003D5C0B">
        <w:t xml:space="preserve">(Post-submission advice p6) </w:t>
      </w:r>
      <w:r w:rsidR="00D3305B" w:rsidRPr="003D5C0B">
        <w:t xml:space="preserve">assays which the use </w:t>
      </w:r>
      <w:proofErr w:type="spellStart"/>
      <w:r w:rsidR="00D3305B" w:rsidRPr="003D5C0B">
        <w:t>rSBA</w:t>
      </w:r>
      <w:proofErr w:type="spellEnd"/>
      <w:r w:rsidR="00D3305B" w:rsidRPr="003D5C0B">
        <w:t xml:space="preserve"> are easier to perform than those using </w:t>
      </w:r>
      <w:proofErr w:type="spellStart"/>
      <w:r w:rsidR="00D3305B" w:rsidRPr="003D5C0B">
        <w:t>hSBA</w:t>
      </w:r>
      <w:proofErr w:type="spellEnd"/>
      <w:r w:rsidR="00D3305B" w:rsidRPr="003D5C0B">
        <w:t xml:space="preserve"> due to the easy availability of the complement source and the ability to standardise the assay across different laboratories, making the results more directly comparable </w:t>
      </w:r>
      <w:r w:rsidR="000C4AA8">
        <w:t>a</w:t>
      </w:r>
      <w:r w:rsidR="00D3305B" w:rsidRPr="003D5C0B">
        <w:t>cross studies.</w:t>
      </w:r>
      <w:r w:rsidR="00D3305B" w:rsidRPr="00CD471F">
        <w:rPr>
          <w:i/>
        </w:rPr>
        <w:t xml:space="preserve"> </w:t>
      </w:r>
    </w:p>
    <w:p w:rsidR="00A8553D" w:rsidRDefault="002F7EFA" w:rsidP="00544B2E">
      <w:pPr>
        <w:pStyle w:val="ListParagraph"/>
        <w:widowControl/>
        <w:numPr>
          <w:ilvl w:val="1"/>
          <w:numId w:val="1"/>
        </w:numPr>
      </w:pPr>
      <w:r w:rsidRPr="000B6036">
        <w:t>T</w:t>
      </w:r>
      <w:r w:rsidR="00E81BBA">
        <w:t>he ESC advised</w:t>
      </w:r>
      <w:r w:rsidR="00BE30A7">
        <w:t xml:space="preserve"> that the lack of a surrogate serological correlate of protection</w:t>
      </w:r>
      <w:r w:rsidRPr="000B6036">
        <w:t xml:space="preserve"> increases uncertainty </w:t>
      </w:r>
      <w:r w:rsidR="00BE30A7">
        <w:t>regarding</w:t>
      </w:r>
      <w:r w:rsidRPr="000B6036">
        <w:t xml:space="preserve"> the efficacy of the </w:t>
      </w:r>
      <w:proofErr w:type="spellStart"/>
      <w:r w:rsidRPr="000B6036">
        <w:t>MenACWY</w:t>
      </w:r>
      <w:proofErr w:type="spellEnd"/>
      <w:r w:rsidRPr="000B6036">
        <w:t>-TT vaccine against IMD caused by serogroups A, W and</w:t>
      </w:r>
      <w:r w:rsidR="000B6036">
        <w:t xml:space="preserve"> Y.</w:t>
      </w:r>
    </w:p>
    <w:p w:rsidR="00544B2E" w:rsidRPr="00BE30A7" w:rsidRDefault="00544B2E" w:rsidP="00544B2E">
      <w:pPr>
        <w:pStyle w:val="ListParagraph"/>
        <w:widowControl/>
        <w:numPr>
          <w:ilvl w:val="1"/>
          <w:numId w:val="1"/>
        </w:numPr>
      </w:pPr>
      <w:r w:rsidRPr="00590BD8">
        <w:t xml:space="preserve">ATAGI considered that ‘vaccine response’ is a reasonable </w:t>
      </w:r>
      <w:r w:rsidR="00917BDD">
        <w:t>measure</w:t>
      </w:r>
      <w:r w:rsidR="00917BDD" w:rsidRPr="00590BD8">
        <w:t xml:space="preserve"> </w:t>
      </w:r>
      <w:r w:rsidRPr="00590BD8">
        <w:t xml:space="preserve">to estimate vaccine efficacy in the short term for the economic evaluation. In terms of clinical efficacy, ATAGI accepted that </w:t>
      </w:r>
      <w:proofErr w:type="spellStart"/>
      <w:r w:rsidRPr="00590BD8">
        <w:t>rSBA</w:t>
      </w:r>
      <w:proofErr w:type="spellEnd"/>
      <w:r w:rsidRPr="00590BD8">
        <w:t xml:space="preserve"> titre ≥ 1:8 is an appropriate serological correlation of protection against serogroups A, C, W and Y in the short term (p10 of ATAGI pre-submission advice). </w:t>
      </w:r>
      <w:r w:rsidR="009C0412" w:rsidRPr="00BE30A7">
        <w:t xml:space="preserve">The PBAC </w:t>
      </w:r>
      <w:r w:rsidR="00BE30A7">
        <w:t>noted</w:t>
      </w:r>
      <w:r w:rsidR="009C0412" w:rsidRPr="00BE30A7">
        <w:t xml:space="preserve"> that </w:t>
      </w:r>
      <w:r w:rsidR="00BE30A7" w:rsidRPr="00BE30A7">
        <w:t xml:space="preserve">vaccine response was </w:t>
      </w:r>
      <w:r w:rsidR="00BE30A7">
        <w:t>used as a</w:t>
      </w:r>
      <w:r w:rsidR="00BE30A7" w:rsidRPr="00BE30A7">
        <w:t xml:space="preserve"> surrogate measure to inform </w:t>
      </w:r>
      <w:r w:rsidR="00C840CD">
        <w:t xml:space="preserve">efficacy in </w:t>
      </w:r>
      <w:r w:rsidR="00BE30A7" w:rsidRPr="00BE30A7">
        <w:t>the economic model</w:t>
      </w:r>
      <w:r w:rsidR="00FC2553">
        <w:t xml:space="preserve"> and that a better alternative measure was not available</w:t>
      </w:r>
      <w:r w:rsidR="009C0412" w:rsidRPr="00BE30A7">
        <w:t>.</w:t>
      </w:r>
    </w:p>
    <w:p w:rsidR="00C06F97" w:rsidRPr="00194906" w:rsidRDefault="00C06F97" w:rsidP="009E2CAD">
      <w:pPr>
        <w:pStyle w:val="ListParagraph"/>
        <w:widowControl/>
        <w:numPr>
          <w:ilvl w:val="1"/>
          <w:numId w:val="1"/>
        </w:numPr>
        <w:rPr>
          <w:i/>
        </w:rPr>
      </w:pPr>
      <w:r w:rsidRPr="00590BD8">
        <w:t xml:space="preserve">Table </w:t>
      </w:r>
      <w:r w:rsidR="004A20D6">
        <w:t>5</w:t>
      </w:r>
      <w:r w:rsidRPr="00590BD8">
        <w:t xml:space="preserve"> presents a summary of the </w:t>
      </w:r>
      <w:r w:rsidR="00070740">
        <w:t>vaccine response</w:t>
      </w:r>
      <w:r w:rsidRPr="00590BD8">
        <w:t xml:space="preserve"> results across the trials</w:t>
      </w:r>
      <w:r w:rsidRPr="00194906">
        <w:rPr>
          <w:i/>
        </w:rPr>
        <w:t>.</w:t>
      </w:r>
    </w:p>
    <w:p w:rsidR="00C06F97" w:rsidRPr="00194906" w:rsidRDefault="00C06F97" w:rsidP="009E2CAD">
      <w:pPr>
        <w:pStyle w:val="ListParagraph"/>
        <w:widowControl/>
        <w:numPr>
          <w:ilvl w:val="1"/>
          <w:numId w:val="1"/>
        </w:numPr>
        <w:rPr>
          <w:b/>
          <w:i/>
        </w:rPr>
        <w:sectPr w:rsidR="00C06F97" w:rsidRPr="00194906" w:rsidSect="00DA4EE8">
          <w:headerReference w:type="default" r:id="rId12"/>
          <w:footerReference w:type="default" r:id="rId13"/>
          <w:pgSz w:w="11907" w:h="16840" w:code="9"/>
          <w:pgMar w:top="1440" w:right="1440" w:bottom="1440" w:left="1440" w:header="1440" w:footer="1440" w:gutter="0"/>
          <w:cols w:space="708"/>
          <w:docGrid w:linePitch="360"/>
        </w:sectPr>
      </w:pPr>
    </w:p>
    <w:p w:rsidR="00717203" w:rsidRDefault="00C06F97" w:rsidP="00C06F97">
      <w:pPr>
        <w:rPr>
          <w:rStyle w:val="CommentReference"/>
        </w:rPr>
      </w:pPr>
      <w:r w:rsidRPr="005E12FD">
        <w:rPr>
          <w:rStyle w:val="CommentReference"/>
        </w:rPr>
        <w:lastRenderedPageBreak/>
        <w:t xml:space="preserve">Table </w:t>
      </w:r>
      <w:r w:rsidR="004A20D6">
        <w:rPr>
          <w:rStyle w:val="CommentReference"/>
        </w:rPr>
        <w:t>5</w:t>
      </w:r>
      <w:r w:rsidRPr="005E12FD">
        <w:rPr>
          <w:rStyle w:val="CommentReference"/>
        </w:rPr>
        <w:t xml:space="preserve">: </w:t>
      </w:r>
      <w:r>
        <w:rPr>
          <w:rStyle w:val="CommentReference"/>
        </w:rPr>
        <w:t xml:space="preserve">Total vaccine response rates for </w:t>
      </w:r>
      <w:proofErr w:type="spellStart"/>
      <w:r w:rsidRPr="005E12FD">
        <w:rPr>
          <w:rStyle w:val="CommentReference"/>
        </w:rPr>
        <w:t>rS</w:t>
      </w:r>
      <w:r>
        <w:rPr>
          <w:rStyle w:val="CommentReference"/>
        </w:rPr>
        <w:t>BA-MenA</w:t>
      </w:r>
      <w:proofErr w:type="spellEnd"/>
      <w:r>
        <w:rPr>
          <w:rStyle w:val="CommentReference"/>
        </w:rPr>
        <w:t>,</w:t>
      </w:r>
      <w:r w:rsidRPr="00805AFC">
        <w:rPr>
          <w:rStyle w:val="CommentReference"/>
        </w:rPr>
        <w:t xml:space="preserve"> </w:t>
      </w:r>
      <w:proofErr w:type="spellStart"/>
      <w:r w:rsidRPr="005E12FD">
        <w:rPr>
          <w:rStyle w:val="CommentReference"/>
        </w:rPr>
        <w:t>rS</w:t>
      </w:r>
      <w:r>
        <w:rPr>
          <w:rStyle w:val="CommentReference"/>
        </w:rPr>
        <w:t>BA-MenC</w:t>
      </w:r>
      <w:proofErr w:type="spellEnd"/>
      <w:r>
        <w:rPr>
          <w:rStyle w:val="CommentReference"/>
        </w:rPr>
        <w:t>,</w:t>
      </w:r>
      <w:r w:rsidRPr="00805AFC">
        <w:rPr>
          <w:rStyle w:val="CommentReference"/>
        </w:rPr>
        <w:t xml:space="preserve"> </w:t>
      </w:r>
      <w:proofErr w:type="spellStart"/>
      <w:r w:rsidRPr="005E12FD">
        <w:rPr>
          <w:rStyle w:val="CommentReference"/>
        </w:rPr>
        <w:t>rS</w:t>
      </w:r>
      <w:r>
        <w:rPr>
          <w:rStyle w:val="CommentReference"/>
        </w:rPr>
        <w:t>BA-MenW</w:t>
      </w:r>
      <w:proofErr w:type="spellEnd"/>
      <w:r>
        <w:rPr>
          <w:rStyle w:val="CommentReference"/>
        </w:rPr>
        <w:t xml:space="preserve"> and</w:t>
      </w:r>
      <w:r w:rsidRPr="00805AFC">
        <w:rPr>
          <w:rStyle w:val="CommentReference"/>
        </w:rPr>
        <w:t xml:space="preserve"> </w:t>
      </w:r>
      <w:proofErr w:type="spellStart"/>
      <w:r w:rsidRPr="005E12FD">
        <w:rPr>
          <w:rStyle w:val="CommentReference"/>
        </w:rPr>
        <w:t>rS</w:t>
      </w:r>
      <w:r>
        <w:rPr>
          <w:rStyle w:val="CommentReference"/>
        </w:rPr>
        <w:t>BA-MenY</w:t>
      </w:r>
      <w:proofErr w:type="spellEnd"/>
      <w:r>
        <w:rPr>
          <w:rStyle w:val="CommentReference"/>
        </w:rPr>
        <w:t xml:space="preserve"> across trials (ATP immunogenicity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414"/>
        <w:gridCol w:w="1432"/>
        <w:gridCol w:w="1160"/>
        <w:gridCol w:w="1432"/>
        <w:gridCol w:w="1290"/>
        <w:gridCol w:w="1432"/>
        <w:gridCol w:w="1432"/>
        <w:gridCol w:w="1432"/>
        <w:gridCol w:w="1432"/>
      </w:tblGrid>
      <w:tr w:rsidR="00C06F97" w:rsidRPr="0049340B" w:rsidTr="00211B27">
        <w:trPr>
          <w:trHeight w:val="59"/>
        </w:trPr>
        <w:tc>
          <w:tcPr>
            <w:tcW w:w="607" w:type="pct"/>
            <w:shd w:val="clear" w:color="auto" w:fill="auto"/>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b/>
                <w:bCs/>
                <w:color w:val="000000"/>
                <w:sz w:val="20"/>
                <w:szCs w:val="20"/>
                <w:lang w:val="en-US"/>
              </w:rPr>
              <w:t>Trial</w:t>
            </w:r>
          </w:p>
        </w:tc>
        <w:tc>
          <w:tcPr>
            <w:tcW w:w="499" w:type="pct"/>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Trial Arm</w:t>
            </w:r>
          </w:p>
        </w:tc>
        <w:tc>
          <w:tcPr>
            <w:tcW w:w="914" w:type="pct"/>
            <w:gridSpan w:val="2"/>
            <w:shd w:val="clear" w:color="auto" w:fill="auto"/>
          </w:tcPr>
          <w:p w:rsidR="00C06F97" w:rsidRPr="0049340B" w:rsidRDefault="00C06F97" w:rsidP="00211B27">
            <w:pPr>
              <w:jc w:val="center"/>
              <w:rPr>
                <w:rFonts w:ascii="Arial Narrow" w:hAnsi="Arial Narrow"/>
                <w:color w:val="000000"/>
                <w:sz w:val="20"/>
                <w:szCs w:val="20"/>
                <w:lang w:val="en-US"/>
              </w:rPr>
            </w:pPr>
            <w:proofErr w:type="spellStart"/>
            <w:r w:rsidRPr="0049340B">
              <w:rPr>
                <w:rFonts w:ascii="Arial Narrow" w:hAnsi="Arial Narrow"/>
                <w:b/>
                <w:bCs/>
                <w:color w:val="000000"/>
                <w:sz w:val="20"/>
                <w:szCs w:val="20"/>
                <w:lang w:val="en-US"/>
              </w:rPr>
              <w:t>rSBA-MenA</w:t>
            </w:r>
            <w:proofErr w:type="spellEnd"/>
          </w:p>
        </w:tc>
        <w:tc>
          <w:tcPr>
            <w:tcW w:w="960" w:type="pct"/>
            <w:gridSpan w:val="2"/>
            <w:shd w:val="clear" w:color="auto" w:fill="auto"/>
          </w:tcPr>
          <w:p w:rsidR="00C06F97" w:rsidRPr="0049340B" w:rsidRDefault="00C06F97" w:rsidP="00211B27">
            <w:pPr>
              <w:jc w:val="center"/>
              <w:rPr>
                <w:rFonts w:ascii="Arial Narrow" w:hAnsi="Arial Narrow"/>
                <w:b/>
                <w:bCs/>
                <w:color w:val="000000"/>
                <w:sz w:val="20"/>
                <w:szCs w:val="20"/>
                <w:lang w:val="en-US"/>
              </w:rPr>
            </w:pPr>
            <w:proofErr w:type="spellStart"/>
            <w:r w:rsidRPr="0049340B">
              <w:rPr>
                <w:rFonts w:ascii="Arial Narrow" w:hAnsi="Arial Narrow"/>
                <w:b/>
                <w:bCs/>
                <w:color w:val="000000"/>
                <w:sz w:val="20"/>
                <w:szCs w:val="20"/>
                <w:lang w:val="en-US"/>
              </w:rPr>
              <w:t>rSBA-MenC</w:t>
            </w:r>
            <w:proofErr w:type="spellEnd"/>
          </w:p>
        </w:tc>
        <w:tc>
          <w:tcPr>
            <w:tcW w:w="1010" w:type="pct"/>
            <w:gridSpan w:val="2"/>
            <w:shd w:val="clear" w:color="auto" w:fill="auto"/>
          </w:tcPr>
          <w:p w:rsidR="00C06F97" w:rsidRPr="0049340B" w:rsidRDefault="00C06F97" w:rsidP="00211B27">
            <w:pPr>
              <w:jc w:val="center"/>
              <w:rPr>
                <w:rFonts w:ascii="Arial Narrow" w:hAnsi="Arial Narrow"/>
                <w:color w:val="000000"/>
                <w:sz w:val="20"/>
                <w:szCs w:val="20"/>
                <w:lang w:val="en-US"/>
              </w:rPr>
            </w:pPr>
            <w:proofErr w:type="spellStart"/>
            <w:r w:rsidRPr="0049340B">
              <w:rPr>
                <w:rFonts w:ascii="Arial Narrow" w:hAnsi="Arial Narrow"/>
                <w:b/>
                <w:bCs/>
                <w:color w:val="000000"/>
                <w:sz w:val="20"/>
                <w:szCs w:val="20"/>
                <w:lang w:val="en-US"/>
              </w:rPr>
              <w:t>rSBA-MenW</w:t>
            </w:r>
            <w:proofErr w:type="spellEnd"/>
          </w:p>
        </w:tc>
        <w:tc>
          <w:tcPr>
            <w:tcW w:w="1010" w:type="pct"/>
            <w:gridSpan w:val="2"/>
          </w:tcPr>
          <w:p w:rsidR="00C06F97" w:rsidRPr="0049340B" w:rsidRDefault="00C06F97" w:rsidP="00211B27">
            <w:pPr>
              <w:jc w:val="center"/>
              <w:rPr>
                <w:rFonts w:ascii="Arial Narrow" w:hAnsi="Arial Narrow"/>
                <w:color w:val="000000"/>
                <w:sz w:val="20"/>
                <w:szCs w:val="20"/>
                <w:lang w:val="en-US"/>
              </w:rPr>
            </w:pPr>
            <w:proofErr w:type="spellStart"/>
            <w:r w:rsidRPr="0049340B">
              <w:rPr>
                <w:rFonts w:ascii="Arial Narrow" w:hAnsi="Arial Narrow"/>
                <w:b/>
                <w:bCs/>
                <w:color w:val="000000"/>
                <w:sz w:val="20"/>
                <w:szCs w:val="20"/>
                <w:lang w:val="en-US"/>
              </w:rPr>
              <w:t>rSBA-MenY</w:t>
            </w:r>
            <w:proofErr w:type="spellEnd"/>
          </w:p>
        </w:tc>
      </w:tr>
      <w:tr w:rsidR="00C06F97" w:rsidRPr="0049340B" w:rsidTr="00211B27">
        <w:trPr>
          <w:trHeight w:val="59"/>
        </w:trPr>
        <w:tc>
          <w:tcPr>
            <w:tcW w:w="607" w:type="pct"/>
            <w:shd w:val="clear" w:color="auto" w:fill="auto"/>
          </w:tcPr>
          <w:p w:rsidR="00C06F97" w:rsidRPr="0049340B" w:rsidRDefault="00C06F97" w:rsidP="00211B27">
            <w:pPr>
              <w:rPr>
                <w:rFonts w:ascii="Arial Narrow" w:hAnsi="Arial Narrow"/>
                <w:b/>
                <w:bCs/>
                <w:color w:val="000000"/>
                <w:sz w:val="20"/>
                <w:szCs w:val="20"/>
                <w:lang w:val="en-US"/>
              </w:rPr>
            </w:pPr>
          </w:p>
        </w:tc>
        <w:tc>
          <w:tcPr>
            <w:tcW w:w="499" w:type="pct"/>
            <w:shd w:val="clear" w:color="auto" w:fill="auto"/>
          </w:tcPr>
          <w:p w:rsidR="00C06F97" w:rsidRPr="0049340B" w:rsidRDefault="00C06F97" w:rsidP="00211B27">
            <w:pPr>
              <w:jc w:val="center"/>
              <w:rPr>
                <w:rFonts w:ascii="Arial Narrow" w:hAnsi="Arial Narrow"/>
                <w:b/>
                <w:bCs/>
                <w:color w:val="000000"/>
                <w:sz w:val="20"/>
                <w:szCs w:val="20"/>
                <w:lang w:val="en-US"/>
              </w:rPr>
            </w:pPr>
          </w:p>
        </w:tc>
        <w:tc>
          <w:tcPr>
            <w:tcW w:w="505" w:type="pct"/>
            <w:shd w:val="clear" w:color="auto" w:fill="auto"/>
          </w:tcPr>
          <w:p w:rsidR="00C06F97" w:rsidRPr="0049340B" w:rsidRDefault="00C06F97" w:rsidP="00211B27">
            <w:pPr>
              <w:jc w:val="center"/>
              <w:rPr>
                <w:rFonts w:ascii="Arial Narrow" w:hAnsi="Arial Narrow"/>
                <w:b/>
                <w:bCs/>
                <w:color w:val="000000"/>
                <w:sz w:val="20"/>
                <w:szCs w:val="20"/>
                <w:lang w:val="en-US"/>
              </w:rPr>
            </w:pPr>
            <w:proofErr w:type="gramStart"/>
            <w:r w:rsidRPr="0049340B">
              <w:rPr>
                <w:rFonts w:ascii="Arial Narrow" w:hAnsi="Arial Narrow"/>
                <w:b/>
                <w:bCs/>
                <w:color w:val="000000"/>
                <w:sz w:val="20"/>
                <w:szCs w:val="20"/>
                <w:lang w:val="en-US"/>
              </w:rPr>
              <w:t>n/N</w:t>
            </w:r>
            <w:proofErr w:type="gramEnd"/>
            <w:r w:rsidRPr="0049340B">
              <w:rPr>
                <w:rFonts w:ascii="Arial Narrow" w:hAnsi="Arial Narrow"/>
                <w:b/>
                <w:bCs/>
                <w:color w:val="000000"/>
                <w:sz w:val="20"/>
                <w:szCs w:val="20"/>
                <w:lang w:val="en-US"/>
              </w:rPr>
              <w:t xml:space="preserve"> (%)</w:t>
            </w:r>
          </w:p>
        </w:tc>
        <w:tc>
          <w:tcPr>
            <w:tcW w:w="409"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95%CI</w:t>
            </w:r>
          </w:p>
        </w:tc>
        <w:tc>
          <w:tcPr>
            <w:tcW w:w="505" w:type="pct"/>
            <w:shd w:val="clear" w:color="auto" w:fill="auto"/>
          </w:tcPr>
          <w:p w:rsidR="00C06F97" w:rsidRPr="0049340B" w:rsidRDefault="00C06F97" w:rsidP="00211B27">
            <w:pPr>
              <w:jc w:val="center"/>
              <w:rPr>
                <w:rFonts w:ascii="Arial Narrow" w:hAnsi="Arial Narrow"/>
                <w:b/>
                <w:bCs/>
                <w:color w:val="000000"/>
                <w:sz w:val="20"/>
                <w:szCs w:val="20"/>
                <w:lang w:val="en-US"/>
              </w:rPr>
            </w:pPr>
            <w:proofErr w:type="gramStart"/>
            <w:r w:rsidRPr="0049340B">
              <w:rPr>
                <w:rFonts w:ascii="Arial Narrow" w:hAnsi="Arial Narrow"/>
                <w:b/>
                <w:bCs/>
                <w:color w:val="000000"/>
                <w:sz w:val="20"/>
                <w:szCs w:val="20"/>
                <w:lang w:val="en-US"/>
              </w:rPr>
              <w:t>n/N</w:t>
            </w:r>
            <w:proofErr w:type="gramEnd"/>
            <w:r w:rsidRPr="0049340B">
              <w:rPr>
                <w:rFonts w:ascii="Arial Narrow" w:hAnsi="Arial Narrow"/>
                <w:b/>
                <w:bCs/>
                <w:color w:val="000000"/>
                <w:sz w:val="20"/>
                <w:szCs w:val="20"/>
                <w:lang w:val="en-US"/>
              </w:rPr>
              <w:t xml:space="preserve"> (%)</w:t>
            </w:r>
          </w:p>
        </w:tc>
        <w:tc>
          <w:tcPr>
            <w:tcW w:w="455" w:type="pct"/>
            <w:shd w:val="clear" w:color="auto" w:fill="auto"/>
          </w:tcPr>
          <w:p w:rsidR="00C06F97" w:rsidRPr="0049340B" w:rsidRDefault="00C06F97" w:rsidP="00211B27">
            <w:pPr>
              <w:jc w:val="center"/>
              <w:rPr>
                <w:rFonts w:ascii="Arial Narrow" w:hAnsi="Arial Narrow"/>
                <w:b/>
                <w:bCs/>
                <w:color w:val="000000"/>
                <w:sz w:val="20"/>
                <w:szCs w:val="20"/>
                <w:lang w:val="en-US"/>
              </w:rPr>
            </w:pPr>
            <w:r w:rsidRPr="0049340B">
              <w:rPr>
                <w:rFonts w:ascii="Arial Narrow" w:hAnsi="Arial Narrow"/>
                <w:b/>
                <w:bCs/>
                <w:color w:val="000000"/>
                <w:sz w:val="20"/>
                <w:szCs w:val="20"/>
                <w:lang w:val="en-US"/>
              </w:rPr>
              <w:t>95%CI</w:t>
            </w:r>
          </w:p>
        </w:tc>
        <w:tc>
          <w:tcPr>
            <w:tcW w:w="505" w:type="pct"/>
            <w:shd w:val="clear" w:color="auto" w:fill="auto"/>
          </w:tcPr>
          <w:p w:rsidR="00C06F97" w:rsidRPr="0049340B" w:rsidRDefault="00C06F97" w:rsidP="00211B27">
            <w:pPr>
              <w:jc w:val="center"/>
              <w:rPr>
                <w:rFonts w:ascii="Arial Narrow" w:hAnsi="Arial Narrow"/>
                <w:color w:val="000000"/>
                <w:sz w:val="20"/>
                <w:szCs w:val="20"/>
                <w:lang w:val="en-US"/>
              </w:rPr>
            </w:pPr>
            <w:proofErr w:type="gramStart"/>
            <w:r w:rsidRPr="0049340B">
              <w:rPr>
                <w:rFonts w:ascii="Arial Narrow" w:hAnsi="Arial Narrow"/>
                <w:b/>
                <w:bCs/>
                <w:color w:val="000000"/>
                <w:sz w:val="20"/>
                <w:szCs w:val="20"/>
                <w:lang w:val="en-US"/>
              </w:rPr>
              <w:t>n/N</w:t>
            </w:r>
            <w:proofErr w:type="gramEnd"/>
            <w:r w:rsidRPr="0049340B">
              <w:rPr>
                <w:rFonts w:ascii="Arial Narrow" w:hAnsi="Arial Narrow"/>
                <w:b/>
                <w:bCs/>
                <w:color w:val="000000"/>
                <w:sz w:val="20"/>
                <w:szCs w:val="20"/>
                <w:lang w:val="en-US"/>
              </w:rPr>
              <w:t xml:space="preserve"> (%)</w:t>
            </w:r>
          </w:p>
        </w:tc>
        <w:tc>
          <w:tcPr>
            <w:tcW w:w="505" w:type="pct"/>
            <w:shd w:val="clear" w:color="auto" w:fill="auto"/>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95%CI</w:t>
            </w:r>
          </w:p>
        </w:tc>
        <w:tc>
          <w:tcPr>
            <w:tcW w:w="505" w:type="pct"/>
          </w:tcPr>
          <w:p w:rsidR="00C06F97" w:rsidRPr="0049340B" w:rsidRDefault="00C06F97" w:rsidP="00211B27">
            <w:pPr>
              <w:jc w:val="center"/>
              <w:rPr>
                <w:rFonts w:ascii="Arial Narrow" w:hAnsi="Arial Narrow"/>
                <w:color w:val="000000"/>
                <w:sz w:val="20"/>
                <w:szCs w:val="20"/>
                <w:lang w:val="en-US"/>
              </w:rPr>
            </w:pPr>
            <w:proofErr w:type="gramStart"/>
            <w:r w:rsidRPr="0049340B">
              <w:rPr>
                <w:rFonts w:ascii="Arial Narrow" w:hAnsi="Arial Narrow"/>
                <w:b/>
                <w:bCs/>
                <w:color w:val="000000"/>
                <w:sz w:val="20"/>
                <w:szCs w:val="20"/>
                <w:lang w:val="en-US"/>
              </w:rPr>
              <w:t>n/N</w:t>
            </w:r>
            <w:proofErr w:type="gramEnd"/>
            <w:r w:rsidRPr="0049340B">
              <w:rPr>
                <w:rFonts w:ascii="Arial Narrow" w:hAnsi="Arial Narrow"/>
                <w:b/>
                <w:bCs/>
                <w:color w:val="000000"/>
                <w:sz w:val="20"/>
                <w:szCs w:val="20"/>
                <w:lang w:val="en-US"/>
              </w:rPr>
              <w:t xml:space="preserve"> (%)</w:t>
            </w:r>
          </w:p>
        </w:tc>
        <w:tc>
          <w:tcPr>
            <w:tcW w:w="505" w:type="pct"/>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b/>
                <w:bCs/>
                <w:color w:val="000000"/>
                <w:sz w:val="20"/>
                <w:szCs w:val="20"/>
                <w:lang w:val="en-US"/>
              </w:rPr>
              <w:t>95%CI</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MenACWY-TT-012</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Form 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20/23 (87)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(66.4, 97.2)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23/24 (95.8)</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(78.9, 99.9)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21/23 (91.3)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(72, 98.9)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19/24 (79.2)</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(57.8, 92.9)</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MenACWY-TT-015</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239/289 (82.7)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(77.8, 86.9)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306/324 (94.4)</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(91.4, 96.7)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314/326 (96.3)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(93.7, 98.1)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306/329 (93)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(89.7, 95.5)</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261/319 (81.8)</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(77.1, 85.9)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331/355 (93.2)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(90.1, 95.6)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342/356 (96.1)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(93.5, 97.8)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331/360 (91.9)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(88.6, 94.5)</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MenACWY-TT-021</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proofErr w:type="spellStart"/>
            <w:r w:rsidRPr="0049340B">
              <w:rPr>
                <w:rFonts w:ascii="Arial Narrow" w:hAnsi="Arial Narrow"/>
                <w:color w:val="000000"/>
                <w:sz w:val="20"/>
                <w:szCs w:val="20"/>
                <w:lang w:val="en-US"/>
              </w:rPr>
              <w:t>noMPS</w:t>
            </w:r>
            <w:proofErr w:type="spellEnd"/>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50/65 (76.9)</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(64.8, 86.5)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68/70 (97.1)</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(90.1, 99.7)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72/74 (97.3)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(90.6, 99.7)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71/74 (95.9)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(88.6, 99.2)</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tcPr>
          <w:p w:rsidR="00C06F97" w:rsidRPr="0049340B" w:rsidRDefault="00C06F97" w:rsidP="00211B27">
            <w:pPr>
              <w:jc w:val="left"/>
              <w:rPr>
                <w:rFonts w:ascii="Arial Narrow" w:hAnsi="Arial Narrow"/>
                <w:color w:val="000000"/>
                <w:sz w:val="20"/>
                <w:szCs w:val="20"/>
                <w:lang w:val="en-US"/>
              </w:rPr>
            </w:pPr>
            <w:proofErr w:type="spellStart"/>
            <w:r w:rsidRPr="0049340B">
              <w:rPr>
                <w:rFonts w:ascii="Arial Narrow" w:hAnsi="Arial Narrow"/>
                <w:color w:val="000000"/>
                <w:sz w:val="20"/>
                <w:szCs w:val="20"/>
                <w:lang w:val="en-US"/>
              </w:rPr>
              <w:t>noMPS</w:t>
            </w:r>
            <w:proofErr w:type="spellEnd"/>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54/69 (78.3)</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(66.7, 87.3)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72/74 (97.3)</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(90.6, 99.7)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76/78 (97.4)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(91, 99.7)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75/78 (96.2)</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(89.2, 99.2)</w:t>
            </w:r>
          </w:p>
        </w:tc>
      </w:tr>
      <w:tr w:rsidR="00C06F97" w:rsidRPr="0049340B" w:rsidTr="00211B27">
        <w:trPr>
          <w:trHeight w:val="59"/>
        </w:trPr>
        <w:tc>
          <w:tcPr>
            <w:tcW w:w="607" w:type="pct"/>
            <w:vMerge w:val="restar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MenACWY-TT-035</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595/743 (80.1)</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(77, 82.9)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777/849 (91.5)</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(89.4, 93.3)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776/860 (90.2)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(88.1, 92.1)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750/862 (87)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(84.6, 89.2)</w:t>
            </w:r>
          </w:p>
        </w:tc>
      </w:tr>
      <w:tr w:rsidR="00C06F97" w:rsidRPr="0049340B" w:rsidTr="00211B27">
        <w:trPr>
          <w:trHeight w:val="59"/>
        </w:trPr>
        <w:tc>
          <w:tcPr>
            <w:tcW w:w="607" w:type="pct"/>
            <w:vMerge/>
            <w:shd w:val="clear" w:color="auto" w:fill="auto"/>
            <w:noWrap/>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613/769 (79.7)</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(76.7, 82.5)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807/880 (91.7)</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(89.7, 93.4)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807/892 (90.5)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(88.4, 92.3)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775/894 (86.7)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(84.3, 88.8)</w:t>
            </w:r>
          </w:p>
        </w:tc>
      </w:tr>
      <w:tr w:rsidR="00C06F97" w:rsidRPr="0049340B" w:rsidTr="00211B27">
        <w:trPr>
          <w:trHeight w:val="59"/>
        </w:trPr>
        <w:tc>
          <w:tcPr>
            <w:tcW w:w="607" w:type="pct"/>
            <w:shd w:val="clear" w:color="auto" w:fill="auto"/>
            <w:noWrap/>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MenACWY-TT-036</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525/615 (85.4)</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(82.3, 88.1)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698/719 (97.1)</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(95.6, 98.2)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692/717 (96.5)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(94.9, 97.7)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686/737 (93.1)</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(91, 94.8)</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MenACWY-TT-037</w:t>
            </w:r>
          </w:p>
        </w:tc>
        <w:tc>
          <w:tcPr>
            <w:tcW w:w="499" w:type="pct"/>
            <w:shd w:val="clear" w:color="auto" w:fill="auto"/>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76/84 (90.5)</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(82.1, 95.8)</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101/112 (90.2)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(83.1, 95)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112/114 (98.2)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(93.8, 99.8)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105/113 (92.9)</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(86.5, 96.9)</w:t>
            </w:r>
          </w:p>
        </w:tc>
      </w:tr>
      <w:tr w:rsidR="00C06F97" w:rsidRPr="0049340B" w:rsidTr="00211B27">
        <w:trPr>
          <w:trHeight w:val="59"/>
        </w:trPr>
        <w:tc>
          <w:tcPr>
            <w:tcW w:w="607" w:type="pct"/>
            <w:vMerge w:val="restar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MenACWY-TT-052</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428/458 (93.4)</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(90.8, 95.5)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454/477 (95.2)</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(92.9, 96.9)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491/495 (99.2)</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(97.9, 99.8)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476/493 (96.6)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(94.5, 98)</w:t>
            </w:r>
          </w:p>
        </w:tc>
      </w:tr>
      <w:tr w:rsidR="00C06F97" w:rsidRPr="0049340B" w:rsidTr="00211B27">
        <w:trPr>
          <w:trHeight w:val="59"/>
        </w:trPr>
        <w:tc>
          <w:tcPr>
            <w:tcW w:w="607" w:type="pct"/>
            <w:vMerge/>
            <w:shd w:val="clear" w:color="auto" w:fill="auto"/>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(TVC analysis)</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467/502 (93)</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(90.4, 95.1)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500/530 (94.3)</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(92, 96.1)</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537/543 (98.9)</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(97.6, 99.6)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522/540 (96.7)</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(94.8, 98)</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MenACWY-TT-054</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ACWY-TT</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r w:rsidR="00C06F97" w:rsidRPr="0049340B" w:rsidTr="00211B27">
        <w:trPr>
          <w:trHeight w:val="59"/>
        </w:trPr>
        <w:tc>
          <w:tcPr>
            <w:tcW w:w="607" w:type="pc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MenACWY-TT-084</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Healthy</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r w:rsidR="00C06F97" w:rsidRPr="0049340B" w:rsidTr="00211B27">
        <w:trPr>
          <w:trHeight w:val="59"/>
        </w:trPr>
        <w:tc>
          <w:tcPr>
            <w:tcW w:w="607" w:type="pct"/>
            <w:vMerge w:val="restart"/>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MenACWY-TT-093</w:t>
            </w: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ACWY_A</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239/302 (79.1)</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(74.1, 83.6)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324/346 (93.6)</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(90.5, 96)</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328/338 (97)</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(94.6, 98.6)</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334/358 (93.3)</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(90.2, 95.7)</w:t>
            </w:r>
          </w:p>
        </w:tc>
      </w:tr>
      <w:tr w:rsidR="00C06F97" w:rsidRPr="0049340B" w:rsidTr="00211B27">
        <w:trPr>
          <w:trHeight w:val="59"/>
        </w:trPr>
        <w:tc>
          <w:tcPr>
            <w:tcW w:w="607" w:type="pct"/>
            <w:vMerge/>
            <w:vAlign w:val="center"/>
            <w:hideMark/>
          </w:tcPr>
          <w:p w:rsidR="00C06F97" w:rsidRPr="0049340B" w:rsidRDefault="00C06F97" w:rsidP="00211B27">
            <w:pPr>
              <w:rPr>
                <w:rFonts w:ascii="Arial Narrow" w:hAnsi="Arial Narrow"/>
                <w:color w:val="000000"/>
                <w:sz w:val="20"/>
                <w:szCs w:val="20"/>
                <w:lang w:val="en-US"/>
              </w:rPr>
            </w:pPr>
          </w:p>
        </w:tc>
        <w:tc>
          <w:tcPr>
            <w:tcW w:w="499" w:type="pct"/>
            <w:shd w:val="clear" w:color="auto" w:fill="auto"/>
            <w:noWrap/>
            <w:hideMark/>
          </w:tcPr>
          <w:p w:rsidR="00C06F97" w:rsidRPr="0049340B" w:rsidRDefault="00C06F97" w:rsidP="00211B27">
            <w:pPr>
              <w:jc w:val="left"/>
              <w:rPr>
                <w:rFonts w:ascii="Arial Narrow" w:hAnsi="Arial Narrow"/>
                <w:color w:val="000000"/>
                <w:sz w:val="20"/>
                <w:szCs w:val="20"/>
                <w:lang w:val="en-US"/>
              </w:rPr>
            </w:pPr>
            <w:r w:rsidRPr="0049340B">
              <w:rPr>
                <w:rFonts w:ascii="Arial Narrow" w:hAnsi="Arial Narrow"/>
                <w:color w:val="000000"/>
                <w:sz w:val="20"/>
                <w:szCs w:val="20"/>
                <w:lang w:val="en-US"/>
              </w:rPr>
              <w:t>ACWY_B</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238/298 (79.9)</w:t>
            </w:r>
          </w:p>
        </w:tc>
        <w:tc>
          <w:tcPr>
            <w:tcW w:w="409"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(74.9, 84.3)</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327/342 (95.6)</w:t>
            </w:r>
          </w:p>
        </w:tc>
        <w:tc>
          <w:tcPr>
            <w:tcW w:w="45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(92.9, 97.5)</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312/327 (95.4)</w:t>
            </w:r>
          </w:p>
        </w:tc>
        <w:tc>
          <w:tcPr>
            <w:tcW w:w="505" w:type="pct"/>
            <w:shd w:val="clear" w:color="auto" w:fill="auto"/>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(92.5, 97.4)</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324/353 (91.8)</w:t>
            </w:r>
          </w:p>
        </w:tc>
        <w:tc>
          <w:tcPr>
            <w:tcW w:w="505" w:type="pct"/>
            <w:vAlign w:val="center"/>
          </w:tcPr>
          <w:p w:rsidR="00C06F97" w:rsidRPr="0049340B" w:rsidRDefault="00C06F97" w:rsidP="00211B27">
            <w:pPr>
              <w:jc w:val="center"/>
              <w:rPr>
                <w:rFonts w:ascii="Arial Narrow" w:hAnsi="Arial Narrow"/>
                <w:color w:val="000000"/>
                <w:sz w:val="20"/>
                <w:szCs w:val="20"/>
                <w:lang w:val="en-US"/>
              </w:rPr>
            </w:pPr>
            <w:r w:rsidRPr="0049340B">
              <w:rPr>
                <w:rFonts w:ascii="Arial Narrow" w:hAnsi="Arial Narrow"/>
                <w:color w:val="000000"/>
                <w:sz w:val="20"/>
                <w:szCs w:val="20"/>
                <w:lang w:val="en-US"/>
              </w:rPr>
              <w:t>(88.4, 94.4)</w:t>
            </w:r>
          </w:p>
        </w:tc>
      </w:tr>
      <w:tr w:rsidR="00C06F97" w:rsidRPr="0049340B" w:rsidTr="00211B27">
        <w:trPr>
          <w:trHeight w:val="59"/>
        </w:trPr>
        <w:tc>
          <w:tcPr>
            <w:tcW w:w="607" w:type="pct"/>
            <w:tcBorders>
              <w:bottom w:val="single" w:sz="4" w:space="0" w:color="auto"/>
            </w:tcBorders>
            <w:shd w:val="clear" w:color="auto" w:fill="auto"/>
            <w:hideMark/>
          </w:tcPr>
          <w:p w:rsidR="00C06F97" w:rsidRPr="0049340B" w:rsidRDefault="00C06F97" w:rsidP="00211B27">
            <w:pPr>
              <w:rPr>
                <w:rFonts w:ascii="Arial Narrow" w:hAnsi="Arial Narrow"/>
                <w:color w:val="000000"/>
                <w:sz w:val="20"/>
                <w:szCs w:val="20"/>
                <w:lang w:val="en-US"/>
              </w:rPr>
            </w:pPr>
            <w:r w:rsidRPr="0049340B">
              <w:rPr>
                <w:rFonts w:ascii="Arial Narrow" w:hAnsi="Arial Narrow"/>
                <w:color w:val="000000"/>
                <w:sz w:val="20"/>
                <w:szCs w:val="20"/>
                <w:lang w:val="en-US"/>
              </w:rPr>
              <w:t>MenACWY-TT-098</w:t>
            </w:r>
          </w:p>
        </w:tc>
        <w:tc>
          <w:tcPr>
            <w:tcW w:w="499" w:type="pct"/>
            <w:tcBorders>
              <w:bottom w:val="single" w:sz="4" w:space="0" w:color="auto"/>
            </w:tcBorders>
            <w:shd w:val="clear" w:color="auto" w:fill="auto"/>
            <w:noWrap/>
            <w:hideMark/>
          </w:tcPr>
          <w:p w:rsidR="00C06F97" w:rsidRPr="0049340B" w:rsidRDefault="00C06F97" w:rsidP="00211B27">
            <w:pPr>
              <w:jc w:val="left"/>
              <w:rPr>
                <w:rFonts w:ascii="Arial Narrow" w:hAnsi="Arial Narrow"/>
                <w:color w:val="000000"/>
                <w:sz w:val="20"/>
                <w:szCs w:val="20"/>
                <w:lang w:val="en-US"/>
              </w:rPr>
            </w:pPr>
            <w:proofErr w:type="spellStart"/>
            <w:r w:rsidRPr="0049340B">
              <w:rPr>
                <w:rFonts w:ascii="Arial Narrow" w:hAnsi="Arial Narrow"/>
                <w:color w:val="000000"/>
                <w:sz w:val="20"/>
                <w:szCs w:val="20"/>
                <w:lang w:val="en-US"/>
              </w:rPr>
              <w:t>ACWYTdap</w:t>
            </w:r>
            <w:proofErr w:type="spellEnd"/>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09"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45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shd w:val="clear" w:color="auto" w:fill="auto"/>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c>
          <w:tcPr>
            <w:tcW w:w="505" w:type="pct"/>
            <w:tcBorders>
              <w:bottom w:val="single" w:sz="4" w:space="0" w:color="auto"/>
            </w:tcBorders>
            <w:vAlign w:val="center"/>
          </w:tcPr>
          <w:p w:rsidR="00C06F97" w:rsidRPr="0010557D" w:rsidRDefault="0010557D" w:rsidP="00211B27">
            <w:pPr>
              <w:jc w:val="center"/>
              <w:rPr>
                <w:rFonts w:ascii="Arial Narrow" w:hAnsi="Arial Narrow"/>
                <w:color w:val="000000"/>
                <w:sz w:val="20"/>
                <w:szCs w:val="20"/>
                <w:highlight w:val="black"/>
                <w:lang w:val="en-US"/>
              </w:rPr>
            </w:pPr>
            <w:r>
              <w:rPr>
                <w:rFonts w:ascii="Arial Narrow" w:hAnsi="Arial Narrow"/>
                <w:noProof/>
                <w:color w:val="000000"/>
                <w:sz w:val="20"/>
                <w:szCs w:val="20"/>
                <w:highlight w:val="black"/>
                <w:lang w:val="en-US"/>
              </w:rPr>
              <w:t>'''''''''''''' ''''''''''''''</w:t>
            </w:r>
          </w:p>
        </w:tc>
      </w:tr>
    </w:tbl>
    <w:p w:rsidR="00C06F97" w:rsidRPr="0049340B" w:rsidRDefault="009A6341" w:rsidP="00C06F97">
      <w:pPr>
        <w:pStyle w:val="TextUnderTable"/>
        <w:spacing w:before="20" w:after="20"/>
        <w:rPr>
          <w:rFonts w:ascii="Arial Narrow" w:hAnsi="Arial Narrow"/>
          <w:i w:val="0"/>
          <w:sz w:val="18"/>
          <w:szCs w:val="18"/>
          <w:lang w:val="en-US" w:eastAsia="en-US"/>
        </w:rPr>
      </w:pPr>
      <w:r>
        <w:rPr>
          <w:rFonts w:ascii="Arial Narrow" w:hAnsi="Arial Narrow"/>
          <w:i w:val="0"/>
          <w:sz w:val="18"/>
          <w:szCs w:val="18"/>
          <w:lang w:val="en-US" w:eastAsia="en-US"/>
        </w:rPr>
        <w:t xml:space="preserve">95%CI: </w:t>
      </w:r>
      <w:r w:rsidR="00C06F97" w:rsidRPr="00532084">
        <w:rPr>
          <w:rFonts w:ascii="Arial Narrow" w:hAnsi="Arial Narrow"/>
          <w:i w:val="0"/>
          <w:sz w:val="18"/>
          <w:szCs w:val="18"/>
          <w:lang w:val="en-US" w:eastAsia="en-US"/>
        </w:rPr>
        <w:t>exa</w:t>
      </w:r>
      <w:r>
        <w:rPr>
          <w:rFonts w:ascii="Arial Narrow" w:hAnsi="Arial Narrow"/>
          <w:i w:val="0"/>
          <w:sz w:val="18"/>
          <w:szCs w:val="18"/>
          <w:lang w:val="en-US" w:eastAsia="en-US"/>
        </w:rPr>
        <w:t xml:space="preserve">ct 95% confidence interval, ATP: </w:t>
      </w:r>
      <w:r w:rsidR="00C06F97" w:rsidRPr="00532084">
        <w:rPr>
          <w:rFonts w:ascii="Arial Narrow" w:hAnsi="Arial Narrow"/>
          <w:i w:val="0"/>
          <w:sz w:val="18"/>
          <w:szCs w:val="18"/>
          <w:lang w:val="en-US" w:eastAsia="en-US"/>
        </w:rPr>
        <w:t>According to Protocol Cohort, n</w:t>
      </w:r>
      <w:r>
        <w:rPr>
          <w:rFonts w:ascii="Arial Narrow" w:hAnsi="Arial Narrow"/>
          <w:i w:val="0"/>
          <w:sz w:val="18"/>
          <w:szCs w:val="18"/>
          <w:lang w:val="en-US" w:eastAsia="en-US"/>
        </w:rPr>
        <w:t xml:space="preserve">: </w:t>
      </w:r>
      <w:r w:rsidR="00C06F97" w:rsidRPr="00532084">
        <w:rPr>
          <w:rFonts w:ascii="Arial Narrow" w:hAnsi="Arial Narrow"/>
          <w:i w:val="0"/>
          <w:sz w:val="18"/>
          <w:szCs w:val="18"/>
          <w:lang w:val="en-US" w:eastAsia="en-US"/>
        </w:rPr>
        <w:t>number of subjects with a vaccine response, N</w:t>
      </w:r>
      <w:r>
        <w:rPr>
          <w:rFonts w:ascii="Arial Narrow" w:hAnsi="Arial Narrow"/>
          <w:i w:val="0"/>
          <w:sz w:val="18"/>
          <w:szCs w:val="18"/>
          <w:lang w:val="en-US" w:eastAsia="en-US"/>
        </w:rPr>
        <w:t>:</w:t>
      </w:r>
      <w:r w:rsidR="00C06F97" w:rsidRPr="00532084">
        <w:rPr>
          <w:rFonts w:ascii="Arial Narrow" w:hAnsi="Arial Narrow"/>
          <w:i w:val="0"/>
          <w:sz w:val="18"/>
          <w:szCs w:val="18"/>
          <w:lang w:val="en-US" w:eastAsia="en-US"/>
        </w:rPr>
        <w:t xml:space="preserve"> number of subjects with pre a</w:t>
      </w:r>
      <w:r>
        <w:rPr>
          <w:rFonts w:ascii="Arial Narrow" w:hAnsi="Arial Narrow"/>
          <w:i w:val="0"/>
          <w:sz w:val="18"/>
          <w:szCs w:val="18"/>
          <w:lang w:val="en-US" w:eastAsia="en-US"/>
        </w:rPr>
        <w:t xml:space="preserve">nd post vaccination results, TVC: </w:t>
      </w:r>
      <w:r w:rsidR="00C06F97" w:rsidRPr="00532084">
        <w:rPr>
          <w:rFonts w:ascii="Arial Narrow" w:hAnsi="Arial Narrow"/>
          <w:i w:val="0"/>
          <w:sz w:val="18"/>
          <w:szCs w:val="18"/>
          <w:lang w:val="en-US" w:eastAsia="en-US"/>
        </w:rPr>
        <w:t>Total Vaccinated Cohort</w:t>
      </w:r>
      <w:r w:rsidR="0089366E">
        <w:rPr>
          <w:rFonts w:ascii="Arial Narrow" w:hAnsi="Arial Narrow"/>
          <w:i w:val="0"/>
          <w:sz w:val="18"/>
          <w:szCs w:val="18"/>
          <w:lang w:val="en-US" w:eastAsia="en-US"/>
        </w:rPr>
        <w:t>;</w:t>
      </w:r>
      <w:r w:rsidR="0089366E" w:rsidRPr="0089366E">
        <w:rPr>
          <w:rFonts w:ascii="Arial Narrow" w:hAnsi="Arial Narrow"/>
          <w:i w:val="0"/>
          <w:sz w:val="18"/>
          <w:szCs w:val="18"/>
          <w:lang w:val="en-US" w:eastAsia="en-US"/>
        </w:rPr>
        <w:t xml:space="preserve"> </w:t>
      </w:r>
      <w:proofErr w:type="spellStart"/>
      <w:r w:rsidR="0089366E" w:rsidRPr="008B4901">
        <w:rPr>
          <w:rFonts w:ascii="Arial Narrow" w:hAnsi="Arial Narrow"/>
          <w:i w:val="0"/>
          <w:sz w:val="18"/>
          <w:szCs w:val="18"/>
          <w:lang w:val="en-US" w:eastAsia="en-US"/>
        </w:rPr>
        <w:t>rSBA</w:t>
      </w:r>
      <w:proofErr w:type="spellEnd"/>
      <w:r w:rsidR="0089366E" w:rsidRPr="008B4901">
        <w:rPr>
          <w:rFonts w:ascii="Arial Narrow" w:hAnsi="Arial Narrow"/>
          <w:i w:val="0"/>
          <w:sz w:val="18"/>
          <w:szCs w:val="18"/>
          <w:lang w:val="en-US" w:eastAsia="en-US"/>
        </w:rPr>
        <w:t>: serum bactericidal assay using rabbit complement</w:t>
      </w:r>
      <w:r w:rsidR="0089366E">
        <w:rPr>
          <w:rFonts w:ascii="Arial Narrow" w:hAnsi="Arial Narrow"/>
          <w:i w:val="0"/>
          <w:sz w:val="18"/>
          <w:szCs w:val="18"/>
          <w:lang w:val="en-US" w:eastAsia="en-US"/>
        </w:rPr>
        <w:t xml:space="preserve">; </w:t>
      </w:r>
      <w:r w:rsidR="00C06F97" w:rsidRPr="00532084">
        <w:rPr>
          <w:rFonts w:ascii="Arial Narrow" w:hAnsi="Arial Narrow"/>
          <w:i w:val="0"/>
          <w:sz w:val="18"/>
          <w:szCs w:val="18"/>
          <w:lang w:val="en-US" w:eastAsia="en-US"/>
        </w:rPr>
        <w:t xml:space="preserve">Vaccine response defined as: For initially seronegative subjects: post-vaccination antibody </w:t>
      </w:r>
      <w:proofErr w:type="spellStart"/>
      <w:r w:rsidR="00C06F97" w:rsidRPr="00532084">
        <w:rPr>
          <w:rFonts w:ascii="Arial Narrow" w:hAnsi="Arial Narrow"/>
          <w:i w:val="0"/>
          <w:sz w:val="18"/>
          <w:szCs w:val="18"/>
          <w:lang w:val="en-US" w:eastAsia="en-US"/>
        </w:rPr>
        <w:t>titre</w:t>
      </w:r>
      <w:proofErr w:type="spellEnd"/>
      <w:r w:rsidR="00C06F97" w:rsidRPr="00532084">
        <w:rPr>
          <w:rFonts w:ascii="Arial Narrow" w:hAnsi="Arial Narrow"/>
          <w:i w:val="0"/>
          <w:sz w:val="18"/>
          <w:szCs w:val="18"/>
          <w:lang w:val="en-US" w:eastAsia="en-US"/>
        </w:rPr>
        <w:t xml:space="preserve"> ≥ 1:32 at 30 days post vaccination; for initially seropositive subjects: antibody </w:t>
      </w:r>
      <w:proofErr w:type="spellStart"/>
      <w:r w:rsidR="00C06F97" w:rsidRPr="00532084">
        <w:rPr>
          <w:rFonts w:ascii="Arial Narrow" w:hAnsi="Arial Narrow"/>
          <w:i w:val="0"/>
          <w:sz w:val="18"/>
          <w:szCs w:val="18"/>
          <w:lang w:val="en-US" w:eastAsia="en-US"/>
        </w:rPr>
        <w:t>titre</w:t>
      </w:r>
      <w:proofErr w:type="spellEnd"/>
      <w:r w:rsidR="00C06F97" w:rsidRPr="00532084">
        <w:rPr>
          <w:rFonts w:ascii="Arial Narrow" w:hAnsi="Arial Narrow"/>
          <w:i w:val="0"/>
          <w:sz w:val="18"/>
          <w:szCs w:val="18"/>
          <w:lang w:val="en-US" w:eastAsia="en-US"/>
        </w:rPr>
        <w:t xml:space="preserve"> at 30 days post vaccination ≥ 4 fold </w:t>
      </w:r>
      <w:r w:rsidR="00C06F97" w:rsidRPr="0049340B">
        <w:rPr>
          <w:rFonts w:ascii="Arial Narrow" w:hAnsi="Arial Narrow"/>
          <w:i w:val="0"/>
          <w:sz w:val="18"/>
          <w:szCs w:val="18"/>
          <w:lang w:val="en-US" w:eastAsia="en-US"/>
        </w:rPr>
        <w:t xml:space="preserve">the pre-vaccination antibody </w:t>
      </w:r>
      <w:proofErr w:type="spellStart"/>
      <w:r w:rsidR="00C06F97" w:rsidRPr="0049340B">
        <w:rPr>
          <w:rFonts w:ascii="Arial Narrow" w:hAnsi="Arial Narrow"/>
          <w:i w:val="0"/>
          <w:sz w:val="18"/>
          <w:szCs w:val="18"/>
          <w:lang w:val="en-US" w:eastAsia="en-US"/>
        </w:rPr>
        <w:t>titre</w:t>
      </w:r>
      <w:proofErr w:type="spellEnd"/>
      <w:r w:rsidR="00C06F97" w:rsidRPr="0049340B">
        <w:rPr>
          <w:rFonts w:ascii="Arial Narrow" w:hAnsi="Arial Narrow"/>
          <w:i w:val="0"/>
          <w:sz w:val="18"/>
          <w:szCs w:val="18"/>
          <w:lang w:val="en-US" w:eastAsia="en-US"/>
        </w:rPr>
        <w:t>.</w:t>
      </w:r>
    </w:p>
    <w:p w:rsidR="00120E04" w:rsidRPr="009A6341" w:rsidRDefault="00C06F97" w:rsidP="009A6341">
      <w:pPr>
        <w:pStyle w:val="TextUnderTable"/>
        <w:spacing w:before="20" w:after="20"/>
        <w:rPr>
          <w:rFonts w:ascii="Arial Narrow" w:hAnsi="Arial Narrow"/>
          <w:i w:val="0"/>
          <w:sz w:val="18"/>
          <w:szCs w:val="18"/>
          <w:lang w:val="en-US" w:eastAsia="en-US"/>
        </w:rPr>
      </w:pPr>
      <w:r w:rsidRPr="0049340B">
        <w:rPr>
          <w:rFonts w:ascii="Arial Narrow" w:hAnsi="Arial Narrow"/>
          <w:i w:val="0"/>
          <w:sz w:val="18"/>
          <w:szCs w:val="18"/>
          <w:lang w:val="en-US" w:eastAsia="en-US"/>
        </w:rPr>
        <w:t>Source:</w:t>
      </w:r>
      <w:r>
        <w:rPr>
          <w:rFonts w:ascii="Arial Narrow" w:hAnsi="Arial Narrow"/>
          <w:i w:val="0"/>
          <w:sz w:val="18"/>
          <w:szCs w:val="18"/>
          <w:lang w:val="en-US" w:eastAsia="en-US"/>
        </w:rPr>
        <w:t xml:space="preserve"> Table 2.5.1, Table 2.5.2, Table 2.5.3 and Table 2.5.4, p87-p90 of the submission </w:t>
      </w:r>
    </w:p>
    <w:p w:rsidR="00120E04" w:rsidRPr="00C06F97" w:rsidRDefault="00120E04" w:rsidP="00C06F97">
      <w:pPr>
        <w:pStyle w:val="TextUnderTable"/>
        <w:spacing w:before="20" w:after="20"/>
        <w:rPr>
          <w:rFonts w:ascii="Arial Narrow" w:hAnsi="Arial Narrow"/>
          <w:i w:val="0"/>
          <w:sz w:val="18"/>
          <w:szCs w:val="18"/>
          <w:lang w:val="en-US" w:eastAsia="en-US"/>
        </w:rPr>
        <w:sectPr w:rsidR="00120E04" w:rsidRPr="00C06F97" w:rsidSect="00C06F97">
          <w:headerReference w:type="default" r:id="rId14"/>
          <w:pgSz w:w="16840" w:h="11907" w:orient="landscape" w:code="9"/>
          <w:pgMar w:top="1440" w:right="1440" w:bottom="1440" w:left="1440" w:header="1440" w:footer="1440" w:gutter="0"/>
          <w:cols w:space="708"/>
          <w:docGrid w:linePitch="360"/>
        </w:sectPr>
      </w:pPr>
    </w:p>
    <w:p w:rsidR="00A61624" w:rsidRPr="00A61624" w:rsidRDefault="00A61624" w:rsidP="009E2CAD">
      <w:pPr>
        <w:pStyle w:val="ListParagraph"/>
        <w:widowControl/>
        <w:numPr>
          <w:ilvl w:val="1"/>
          <w:numId w:val="1"/>
        </w:numPr>
        <w:rPr>
          <w:rFonts w:cs="Calibri"/>
          <w:snapToGrid/>
          <w:szCs w:val="24"/>
          <w:lang w:val="en-US" w:eastAsia="en-AU"/>
        </w:rPr>
      </w:pPr>
      <w:r w:rsidRPr="00A61624">
        <w:rPr>
          <w:rFonts w:cs="Calibri"/>
          <w:snapToGrid/>
          <w:szCs w:val="24"/>
          <w:lang w:val="en-US" w:eastAsia="en-AU"/>
        </w:rPr>
        <w:lastRenderedPageBreak/>
        <w:t>V</w:t>
      </w:r>
      <w:r w:rsidR="00330A5A">
        <w:rPr>
          <w:rFonts w:cs="Calibri"/>
          <w:snapToGrid/>
          <w:szCs w:val="24"/>
          <w:lang w:val="en-US" w:eastAsia="en-AU"/>
        </w:rPr>
        <w:t>accine response was lowest for s</w:t>
      </w:r>
      <w:r w:rsidRPr="00A61624">
        <w:rPr>
          <w:rFonts w:cs="Calibri"/>
          <w:snapToGrid/>
          <w:szCs w:val="24"/>
          <w:lang w:val="en-US" w:eastAsia="en-AU"/>
        </w:rPr>
        <w:t>erogroup A across all trials</w:t>
      </w:r>
      <w:r w:rsidR="0032007F">
        <w:rPr>
          <w:rFonts w:cs="Calibri"/>
          <w:snapToGrid/>
          <w:szCs w:val="24"/>
          <w:lang w:val="en-US" w:eastAsia="en-AU"/>
        </w:rPr>
        <w:t>.</w:t>
      </w:r>
      <w:r w:rsidRPr="00A61624">
        <w:rPr>
          <w:rFonts w:cs="Calibri"/>
          <w:snapToGrid/>
          <w:szCs w:val="24"/>
          <w:lang w:val="en-US" w:eastAsia="en-AU"/>
        </w:rPr>
        <w:t xml:space="preserve"> </w:t>
      </w:r>
      <w:r w:rsidR="0032007F">
        <w:rPr>
          <w:rFonts w:cs="Calibri"/>
          <w:snapToGrid/>
          <w:szCs w:val="24"/>
          <w:lang w:val="en-US" w:eastAsia="en-AU"/>
        </w:rPr>
        <w:t>T</w:t>
      </w:r>
      <w:r w:rsidRPr="00A61624">
        <w:rPr>
          <w:rFonts w:cs="Calibri"/>
          <w:snapToGrid/>
          <w:szCs w:val="24"/>
          <w:lang w:val="en-US" w:eastAsia="en-AU"/>
        </w:rPr>
        <w:t xml:space="preserve">here is a low incidence of this </w:t>
      </w:r>
      <w:r w:rsidR="0032007F">
        <w:rPr>
          <w:rFonts w:cs="Calibri"/>
          <w:snapToGrid/>
          <w:szCs w:val="24"/>
          <w:lang w:val="en-US" w:eastAsia="en-AU"/>
        </w:rPr>
        <w:t>serogroup</w:t>
      </w:r>
      <w:r w:rsidR="0032007F" w:rsidRPr="00A61624">
        <w:rPr>
          <w:rFonts w:cs="Calibri"/>
          <w:snapToGrid/>
          <w:szCs w:val="24"/>
          <w:lang w:val="en-US" w:eastAsia="en-AU"/>
        </w:rPr>
        <w:t xml:space="preserve"> </w:t>
      </w:r>
      <w:r w:rsidRPr="00A61624">
        <w:rPr>
          <w:rFonts w:cs="Calibri"/>
          <w:snapToGrid/>
          <w:szCs w:val="24"/>
          <w:lang w:val="en-US" w:eastAsia="en-AU"/>
        </w:rPr>
        <w:t xml:space="preserve">in Australia. </w:t>
      </w:r>
    </w:p>
    <w:p w:rsidR="00E66D0E" w:rsidRPr="003D5C0B" w:rsidRDefault="00E66D0E" w:rsidP="00E66D0E">
      <w:pPr>
        <w:pStyle w:val="ListParagraph"/>
        <w:numPr>
          <w:ilvl w:val="1"/>
          <w:numId w:val="1"/>
        </w:numPr>
        <w:rPr>
          <w:rFonts w:cs="Calibri"/>
          <w:snapToGrid/>
          <w:szCs w:val="24"/>
          <w:lang w:val="en-US" w:eastAsia="en-AU"/>
        </w:rPr>
      </w:pPr>
      <w:r w:rsidRPr="003D5C0B">
        <w:rPr>
          <w:rFonts w:cs="Calibri"/>
          <w:snapToGrid/>
          <w:szCs w:val="24"/>
          <w:lang w:val="en-US" w:eastAsia="en-AU"/>
        </w:rPr>
        <w:t>The ESC noted the proportion of seronegative subjects with a vaccine response was higher than for seropositive subjects</w:t>
      </w:r>
      <w:r w:rsidR="00F34D88" w:rsidRPr="003D5C0B">
        <w:rPr>
          <w:rFonts w:cs="Calibri"/>
          <w:snapToGrid/>
          <w:szCs w:val="24"/>
          <w:lang w:val="en-US" w:eastAsia="en-AU"/>
        </w:rPr>
        <w:t xml:space="preserve">. </w:t>
      </w:r>
    </w:p>
    <w:p w:rsidR="00E66D0E" w:rsidRPr="003D5C0B" w:rsidRDefault="00DD05C3" w:rsidP="00E66D0E">
      <w:pPr>
        <w:pStyle w:val="ListParagraph"/>
        <w:numPr>
          <w:ilvl w:val="1"/>
          <w:numId w:val="1"/>
        </w:numPr>
        <w:rPr>
          <w:rFonts w:cs="Calibri"/>
          <w:snapToGrid/>
          <w:szCs w:val="24"/>
          <w:lang w:val="en-US" w:eastAsia="en-AU"/>
        </w:rPr>
      </w:pPr>
      <w:proofErr w:type="spellStart"/>
      <w:r w:rsidRPr="003D5C0B">
        <w:rPr>
          <w:rFonts w:cs="Calibri"/>
          <w:snapToGrid/>
          <w:szCs w:val="24"/>
          <w:lang w:val="en-US" w:eastAsia="en-AU"/>
        </w:rPr>
        <w:t>S</w:t>
      </w:r>
      <w:r w:rsidR="003B54E5">
        <w:rPr>
          <w:rFonts w:cs="Calibri"/>
          <w:snapToGrid/>
          <w:szCs w:val="24"/>
          <w:lang w:val="en-US" w:eastAsia="en-AU"/>
        </w:rPr>
        <w:t>eropositivity</w:t>
      </w:r>
      <w:proofErr w:type="spellEnd"/>
      <w:r w:rsidR="003B54E5">
        <w:rPr>
          <w:rFonts w:cs="Calibri"/>
          <w:snapToGrid/>
          <w:szCs w:val="24"/>
          <w:lang w:val="en-US" w:eastAsia="en-AU"/>
        </w:rPr>
        <w:t xml:space="preserve"> (</w:t>
      </w:r>
      <w:proofErr w:type="spellStart"/>
      <w:r w:rsidR="003B54E5">
        <w:rPr>
          <w:rFonts w:cs="Calibri"/>
          <w:snapToGrid/>
          <w:szCs w:val="24"/>
          <w:lang w:val="en-US" w:eastAsia="en-AU"/>
        </w:rPr>
        <w:t>rSBA</w:t>
      </w:r>
      <w:proofErr w:type="spellEnd"/>
      <w:r w:rsidR="003B54E5">
        <w:rPr>
          <w:rFonts w:cs="Calibri"/>
          <w:snapToGrid/>
          <w:szCs w:val="24"/>
          <w:lang w:val="en-US" w:eastAsia="en-AU"/>
        </w:rPr>
        <w:t xml:space="preserve"> </w:t>
      </w:r>
      <w:proofErr w:type="spellStart"/>
      <w:r w:rsidR="003B54E5">
        <w:rPr>
          <w:rFonts w:cs="Calibri"/>
          <w:snapToGrid/>
          <w:szCs w:val="24"/>
          <w:lang w:val="en-US" w:eastAsia="en-AU"/>
        </w:rPr>
        <w:t>titres</w:t>
      </w:r>
      <w:proofErr w:type="spellEnd"/>
      <w:r w:rsidR="003B54E5">
        <w:rPr>
          <w:rFonts w:cs="Calibri"/>
          <w:snapToGrid/>
          <w:szCs w:val="24"/>
          <w:lang w:val="en-US" w:eastAsia="en-AU"/>
        </w:rPr>
        <w:t xml:space="preserve"> ≥1:</w:t>
      </w:r>
      <w:r w:rsidR="00E66D0E" w:rsidRPr="003D5C0B">
        <w:rPr>
          <w:rFonts w:cs="Calibri"/>
          <w:snapToGrid/>
          <w:szCs w:val="24"/>
          <w:lang w:val="en-US" w:eastAsia="en-AU"/>
        </w:rPr>
        <w:t xml:space="preserve">8) may be a result of previous vaccination, asymptomatic carriage, infection with </w:t>
      </w:r>
      <w:r w:rsidR="00E66D0E" w:rsidRPr="005E07C6">
        <w:rPr>
          <w:rFonts w:cs="Calibri"/>
          <w:i/>
          <w:snapToGrid/>
          <w:szCs w:val="24"/>
          <w:lang w:val="en-US" w:eastAsia="en-AU"/>
        </w:rPr>
        <w:t xml:space="preserve">Neisseria </w:t>
      </w:r>
      <w:proofErr w:type="spellStart"/>
      <w:r w:rsidR="00E66D0E" w:rsidRPr="005E07C6">
        <w:rPr>
          <w:rFonts w:cs="Calibri"/>
          <w:i/>
          <w:snapToGrid/>
          <w:szCs w:val="24"/>
          <w:lang w:val="en-US" w:eastAsia="en-AU"/>
        </w:rPr>
        <w:t>meningitidis</w:t>
      </w:r>
      <w:proofErr w:type="spellEnd"/>
      <w:r w:rsidR="00E66D0E" w:rsidRPr="003D5C0B">
        <w:rPr>
          <w:rFonts w:cs="Calibri"/>
          <w:snapToGrid/>
          <w:szCs w:val="24"/>
          <w:lang w:val="en-US" w:eastAsia="en-AU"/>
        </w:rPr>
        <w:t xml:space="preserve">, or exposure to other non-pathogenic Neisseria bacteria (e.g. </w:t>
      </w:r>
      <w:r w:rsidR="00E66D0E" w:rsidRPr="005E07C6">
        <w:rPr>
          <w:rFonts w:cs="Calibri"/>
          <w:i/>
          <w:snapToGrid/>
          <w:szCs w:val="24"/>
          <w:lang w:val="en-US" w:eastAsia="en-AU"/>
        </w:rPr>
        <w:t xml:space="preserve">N. </w:t>
      </w:r>
      <w:proofErr w:type="spellStart"/>
      <w:r w:rsidR="00E66D0E" w:rsidRPr="005E07C6">
        <w:rPr>
          <w:rFonts w:cs="Calibri"/>
          <w:i/>
          <w:snapToGrid/>
          <w:szCs w:val="24"/>
          <w:lang w:val="en-US" w:eastAsia="en-AU"/>
        </w:rPr>
        <w:t>lactamica</w:t>
      </w:r>
      <w:proofErr w:type="spellEnd"/>
      <w:r w:rsidR="00E66D0E" w:rsidRPr="003D5C0B">
        <w:rPr>
          <w:rFonts w:cs="Calibri"/>
          <w:snapToGrid/>
          <w:szCs w:val="24"/>
          <w:lang w:val="en-US" w:eastAsia="en-AU"/>
        </w:rPr>
        <w:t xml:space="preserve">) or cross-reacting organisms including </w:t>
      </w:r>
      <w:r w:rsidR="00E66D0E" w:rsidRPr="005E07C6">
        <w:rPr>
          <w:rFonts w:cs="Calibri"/>
          <w:i/>
          <w:snapToGrid/>
          <w:szCs w:val="24"/>
          <w:lang w:val="en-US" w:eastAsia="en-AU"/>
        </w:rPr>
        <w:t xml:space="preserve">E. </w:t>
      </w:r>
      <w:r w:rsidR="005E07C6">
        <w:rPr>
          <w:rFonts w:cs="Calibri"/>
          <w:i/>
          <w:snapToGrid/>
          <w:szCs w:val="24"/>
          <w:lang w:val="en-US" w:eastAsia="en-AU"/>
        </w:rPr>
        <w:t>c</w:t>
      </w:r>
      <w:r w:rsidR="00E66D0E" w:rsidRPr="005E07C6">
        <w:rPr>
          <w:rFonts w:cs="Calibri"/>
          <w:i/>
          <w:snapToGrid/>
          <w:szCs w:val="24"/>
          <w:lang w:val="en-US" w:eastAsia="en-AU"/>
        </w:rPr>
        <w:t>oli</w:t>
      </w:r>
      <w:r w:rsidRPr="003D5C0B">
        <w:rPr>
          <w:rFonts w:cs="Calibri"/>
          <w:snapToGrid/>
          <w:szCs w:val="24"/>
          <w:lang w:val="en-US" w:eastAsia="en-AU"/>
        </w:rPr>
        <w:t xml:space="preserve"> (ATAGI Post-submission advice, p2)</w:t>
      </w:r>
      <w:r w:rsidR="00E66D0E" w:rsidRPr="003D5C0B">
        <w:rPr>
          <w:rFonts w:cs="Calibri"/>
          <w:snapToGrid/>
          <w:szCs w:val="24"/>
          <w:lang w:val="en-US" w:eastAsia="en-AU"/>
        </w:rPr>
        <w:t>.</w:t>
      </w:r>
      <w:r w:rsidRPr="003D5C0B">
        <w:rPr>
          <w:rFonts w:cs="Calibri"/>
          <w:snapToGrid/>
          <w:szCs w:val="24"/>
          <w:lang w:val="en-US" w:eastAsia="en-AU"/>
        </w:rPr>
        <w:t xml:space="preserve"> </w:t>
      </w:r>
      <w:r w:rsidR="00E66D0E" w:rsidRPr="003D5C0B">
        <w:rPr>
          <w:rFonts w:cs="Calibri"/>
          <w:snapToGrid/>
          <w:szCs w:val="24"/>
          <w:lang w:val="en-US" w:eastAsia="en-AU"/>
        </w:rPr>
        <w:t xml:space="preserve">The ESC noted that the rate of </w:t>
      </w:r>
      <w:proofErr w:type="spellStart"/>
      <w:r w:rsidR="00E66D0E" w:rsidRPr="003D5C0B">
        <w:rPr>
          <w:rFonts w:cs="Calibri"/>
          <w:snapToGrid/>
          <w:szCs w:val="24"/>
          <w:lang w:val="en-US" w:eastAsia="en-AU"/>
        </w:rPr>
        <w:t>seroprevalence</w:t>
      </w:r>
      <w:proofErr w:type="spellEnd"/>
      <w:r w:rsidR="00E66D0E" w:rsidRPr="003D5C0B">
        <w:rPr>
          <w:rFonts w:cs="Calibri"/>
          <w:snapToGrid/>
          <w:szCs w:val="24"/>
          <w:lang w:val="en-US" w:eastAsia="en-AU"/>
        </w:rPr>
        <w:t xml:space="preserve"> (proportion of seropositive subjects) in the trials was high in comparison to that expected in Australia. </w:t>
      </w:r>
      <w:r w:rsidRPr="003D5C0B">
        <w:rPr>
          <w:rFonts w:cs="Calibri"/>
          <w:snapToGrid/>
          <w:szCs w:val="24"/>
          <w:lang w:val="en-US" w:eastAsia="en-AU"/>
        </w:rPr>
        <w:t>T</w:t>
      </w:r>
      <w:r w:rsidR="00E66D0E" w:rsidRPr="003D5C0B">
        <w:rPr>
          <w:rFonts w:cs="Calibri"/>
          <w:snapToGrid/>
          <w:szCs w:val="24"/>
          <w:lang w:val="en-US" w:eastAsia="en-AU"/>
        </w:rPr>
        <w:t xml:space="preserve">he advice from ATAGI (Post-submission advice, P2) stated that the rates of </w:t>
      </w:r>
      <w:proofErr w:type="spellStart"/>
      <w:r w:rsidR="00E66D0E" w:rsidRPr="003D5C0B">
        <w:rPr>
          <w:rFonts w:cs="Calibri"/>
          <w:snapToGrid/>
          <w:szCs w:val="24"/>
          <w:lang w:val="en-US" w:eastAsia="en-AU"/>
        </w:rPr>
        <w:t>seroprevalence</w:t>
      </w:r>
      <w:proofErr w:type="spellEnd"/>
      <w:r w:rsidR="00E66D0E" w:rsidRPr="003D5C0B">
        <w:rPr>
          <w:rFonts w:cs="Calibri"/>
          <w:snapToGrid/>
          <w:szCs w:val="24"/>
          <w:lang w:val="en-US" w:eastAsia="en-AU"/>
        </w:rPr>
        <w:t xml:space="preserve"> in the Australian adolescent population are negligible and the levels of pre-existing immunity in the studies were not </w:t>
      </w:r>
      <w:proofErr w:type="spellStart"/>
      <w:r w:rsidR="00E66D0E" w:rsidRPr="003D5C0B">
        <w:rPr>
          <w:rFonts w:cs="Calibri"/>
          <w:snapToGrid/>
          <w:szCs w:val="24"/>
          <w:lang w:val="en-US" w:eastAsia="en-AU"/>
        </w:rPr>
        <w:t>generalisable</w:t>
      </w:r>
      <w:proofErr w:type="spellEnd"/>
      <w:r w:rsidR="00E66D0E" w:rsidRPr="003D5C0B">
        <w:rPr>
          <w:rFonts w:cs="Calibri"/>
          <w:snapToGrid/>
          <w:szCs w:val="24"/>
          <w:lang w:val="en-US" w:eastAsia="en-AU"/>
        </w:rPr>
        <w:t xml:space="preserve"> to the Australian setting.  ATAGI added that estimates derived from seronegative study participants may more closely resemble that expected in the Australian population, however ATAGI</w:t>
      </w:r>
      <w:r w:rsidR="005E07C6">
        <w:rPr>
          <w:rFonts w:cs="Calibri"/>
          <w:snapToGrid/>
          <w:szCs w:val="24"/>
          <w:lang w:val="en-US" w:eastAsia="en-AU"/>
        </w:rPr>
        <w:t xml:space="preserve"> also</w:t>
      </w:r>
      <w:r w:rsidR="00E66D0E" w:rsidRPr="003D5C0B">
        <w:rPr>
          <w:rFonts w:cs="Calibri"/>
          <w:snapToGrid/>
          <w:szCs w:val="24"/>
          <w:lang w:val="en-US" w:eastAsia="en-AU"/>
        </w:rPr>
        <w:t xml:space="preserve"> noted that </w:t>
      </w:r>
      <w:proofErr w:type="spellStart"/>
      <w:r w:rsidR="003832BD" w:rsidRPr="003D5C0B">
        <w:rPr>
          <w:rFonts w:cs="Calibri"/>
          <w:snapToGrid/>
          <w:szCs w:val="24"/>
          <w:lang w:val="en-US" w:eastAsia="en-AU"/>
        </w:rPr>
        <w:t>sero</w:t>
      </w:r>
      <w:r w:rsidR="00E66D0E" w:rsidRPr="003D5C0B">
        <w:rPr>
          <w:rFonts w:cs="Calibri"/>
          <w:snapToGrid/>
          <w:szCs w:val="24"/>
          <w:lang w:val="en-US" w:eastAsia="en-AU"/>
        </w:rPr>
        <w:t>prevalence</w:t>
      </w:r>
      <w:proofErr w:type="spellEnd"/>
      <w:r w:rsidR="00E66D0E" w:rsidRPr="003D5C0B">
        <w:rPr>
          <w:rFonts w:cs="Calibri"/>
          <w:snapToGrid/>
          <w:szCs w:val="24"/>
          <w:lang w:val="en-US" w:eastAsia="en-AU"/>
        </w:rPr>
        <w:t xml:space="preserve"> may have changed given recent vaccination programs and changing disease epidemiology.</w:t>
      </w:r>
      <w:r w:rsidR="00E66D0E" w:rsidRPr="003D5C0B">
        <w:t xml:space="preserve"> </w:t>
      </w:r>
    </w:p>
    <w:p w:rsidR="00E66D0E" w:rsidRPr="009F43DC" w:rsidRDefault="00E66D0E" w:rsidP="00E66D0E">
      <w:pPr>
        <w:pStyle w:val="ListParagraph"/>
        <w:numPr>
          <w:ilvl w:val="1"/>
          <w:numId w:val="1"/>
        </w:numPr>
        <w:rPr>
          <w:rFonts w:cs="Calibri"/>
          <w:snapToGrid/>
          <w:szCs w:val="24"/>
          <w:lang w:val="en-US" w:eastAsia="en-AU"/>
        </w:rPr>
      </w:pPr>
      <w:r w:rsidRPr="003D5C0B">
        <w:t>Overall, the ESC</w:t>
      </w:r>
      <w:r w:rsidR="001B4ED3">
        <w:t xml:space="preserve"> and PBAC</w:t>
      </w:r>
      <w:r w:rsidRPr="003D5C0B">
        <w:t xml:space="preserve"> noted that if the </w:t>
      </w:r>
      <w:proofErr w:type="spellStart"/>
      <w:r w:rsidRPr="003D5C0B">
        <w:t>seroprevalence</w:t>
      </w:r>
      <w:proofErr w:type="spellEnd"/>
      <w:r w:rsidRPr="003D5C0B">
        <w:t xml:space="preserve"> rates were lower in the Australian setting that the vaccine response rates may be higher than reported in the trials</w:t>
      </w:r>
      <w:r>
        <w:rPr>
          <w:i/>
        </w:rPr>
        <w:t xml:space="preserve">. </w:t>
      </w:r>
    </w:p>
    <w:p w:rsidR="00A54C93" w:rsidRPr="0066680D" w:rsidRDefault="00A54C93" w:rsidP="00E66D0E">
      <w:pPr>
        <w:pStyle w:val="ListParagraph"/>
        <w:widowControl/>
        <w:numPr>
          <w:ilvl w:val="1"/>
          <w:numId w:val="1"/>
        </w:numPr>
      </w:pPr>
      <w:r w:rsidRPr="00590BD8">
        <w:t>A meta-analysis based on the “All studies” subgroup was performed and the results were used in the economic model to estimate the vaccine efficacy weighted by serogroup prevalence in Australia. The “All studies” subgroup included all 11 trials, excluding pre-specified subgroups that had age groups outside the proposed listing population (15-19 years). The meta-analysis results for</w:t>
      </w:r>
      <w:r w:rsidR="00DD05C3">
        <w:t xml:space="preserve"> vaccine response for</w:t>
      </w:r>
      <w:r w:rsidRPr="00590BD8">
        <w:t xml:space="preserve"> the “All studies” subgroup are presented in Table </w:t>
      </w:r>
      <w:r w:rsidR="004A20D6">
        <w:t>6</w:t>
      </w:r>
      <w:r>
        <w:t>.</w:t>
      </w:r>
      <w:r>
        <w:rPr>
          <w:i/>
        </w:rPr>
        <w:t xml:space="preserve">  </w:t>
      </w:r>
    </w:p>
    <w:p w:rsidR="00A54C93" w:rsidRPr="00590BD8" w:rsidRDefault="00A54C93" w:rsidP="00A54C93">
      <w:pPr>
        <w:pStyle w:val="ListParagraph"/>
        <w:widowControl/>
        <w:numPr>
          <w:ilvl w:val="1"/>
          <w:numId w:val="1"/>
        </w:numPr>
      </w:pPr>
      <w:r w:rsidRPr="00590BD8">
        <w:t xml:space="preserve">The pooled vaccine response rates from “All studies” for </w:t>
      </w:r>
      <w:proofErr w:type="spellStart"/>
      <w:r w:rsidRPr="00590BD8">
        <w:t>rSBA-MenA</w:t>
      </w:r>
      <w:proofErr w:type="spellEnd"/>
      <w:r w:rsidRPr="00590BD8">
        <w:t xml:space="preserve">, </w:t>
      </w:r>
      <w:proofErr w:type="spellStart"/>
      <w:r w:rsidRPr="00590BD8">
        <w:t>rSBA-MenC</w:t>
      </w:r>
      <w:proofErr w:type="spellEnd"/>
      <w:r w:rsidRPr="00590BD8">
        <w:t xml:space="preserve">, </w:t>
      </w:r>
      <w:proofErr w:type="spellStart"/>
      <w:r w:rsidRPr="00590BD8">
        <w:t>rSBA-MenW</w:t>
      </w:r>
      <w:proofErr w:type="spellEnd"/>
      <w:r w:rsidRPr="00590BD8">
        <w:t xml:space="preserve"> and </w:t>
      </w:r>
      <w:proofErr w:type="spellStart"/>
      <w:r w:rsidRPr="00590BD8">
        <w:t>rSBA-MenY</w:t>
      </w:r>
      <w:proofErr w:type="spellEnd"/>
      <w:r w:rsidRPr="00590BD8">
        <w:t xml:space="preserve"> were 86.8%, 95.1%, 96.5% and 93.5% respectively.</w:t>
      </w:r>
    </w:p>
    <w:p w:rsidR="00A54C93" w:rsidRDefault="00A54C93" w:rsidP="00A54C93">
      <w:pPr>
        <w:pStyle w:val="ListParagraph"/>
        <w:widowControl/>
        <w:numPr>
          <w:ilvl w:val="1"/>
          <w:numId w:val="1"/>
        </w:numPr>
      </w:pPr>
      <w:r>
        <w:t>The</w:t>
      </w:r>
      <w:r w:rsidRPr="00590BD8">
        <w:t xml:space="preserve"> heterogeneity </w:t>
      </w:r>
      <w:r>
        <w:t xml:space="preserve">across the trials </w:t>
      </w:r>
      <w:r w:rsidRPr="00590BD8">
        <w:t xml:space="preserve">for </w:t>
      </w:r>
      <w:proofErr w:type="spellStart"/>
      <w:r w:rsidRPr="00590BD8">
        <w:t>rSBA-MenA</w:t>
      </w:r>
      <w:proofErr w:type="spellEnd"/>
      <w:r w:rsidRPr="00590BD8">
        <w:t xml:space="preserve">, </w:t>
      </w:r>
      <w:proofErr w:type="spellStart"/>
      <w:r w:rsidRPr="00590BD8">
        <w:t>rSBA-MenW</w:t>
      </w:r>
      <w:proofErr w:type="spellEnd"/>
      <w:r w:rsidRPr="00590BD8">
        <w:t xml:space="preserve">, </w:t>
      </w:r>
      <w:proofErr w:type="spellStart"/>
      <w:proofErr w:type="gramStart"/>
      <w:r w:rsidRPr="00590BD8">
        <w:t>rSBA</w:t>
      </w:r>
      <w:proofErr w:type="gramEnd"/>
      <w:r w:rsidRPr="00590BD8">
        <w:t>-MenY</w:t>
      </w:r>
      <w:proofErr w:type="spellEnd"/>
      <w:r w:rsidRPr="00590BD8">
        <w:t xml:space="preserve"> </w:t>
      </w:r>
      <w:r>
        <w:t>was high with</w:t>
      </w:r>
      <w:r w:rsidRPr="00590BD8">
        <w:t xml:space="preserve"> </w:t>
      </w:r>
      <w:r w:rsidRPr="00590BD8">
        <w:rPr>
          <w:szCs w:val="24"/>
        </w:rPr>
        <w:t>I</w:t>
      </w:r>
      <w:r w:rsidRPr="00590BD8">
        <w:rPr>
          <w:szCs w:val="24"/>
          <w:vertAlign w:val="superscript"/>
        </w:rPr>
        <w:t>2</w:t>
      </w:r>
      <w:r w:rsidRPr="00590BD8">
        <w:t xml:space="preserve"> </w:t>
      </w:r>
      <w:r>
        <w:t>values of</w:t>
      </w:r>
      <w:r w:rsidRPr="00590BD8">
        <w:t xml:space="preserve"> 84%, 50% and 50%, respectively. For </w:t>
      </w:r>
      <w:proofErr w:type="spellStart"/>
      <w:r w:rsidRPr="00590BD8">
        <w:t>rSBA-MenC</w:t>
      </w:r>
      <w:proofErr w:type="spellEnd"/>
      <w:r w:rsidRPr="00590BD8">
        <w:t>, the heterogeneity was low</w:t>
      </w:r>
      <w:r w:rsidR="00332302">
        <w:t>er</w:t>
      </w:r>
      <w:r w:rsidRPr="00590BD8">
        <w:t xml:space="preserve"> </w:t>
      </w:r>
      <w:r>
        <w:t>with an</w:t>
      </w:r>
      <w:r w:rsidRPr="00590BD8">
        <w:t xml:space="preserve"> </w:t>
      </w:r>
      <w:r w:rsidRPr="00590BD8">
        <w:rPr>
          <w:szCs w:val="24"/>
        </w:rPr>
        <w:t>I</w:t>
      </w:r>
      <w:r w:rsidRPr="00590BD8">
        <w:rPr>
          <w:szCs w:val="24"/>
          <w:vertAlign w:val="superscript"/>
        </w:rPr>
        <w:t>2</w:t>
      </w:r>
      <w:r w:rsidRPr="00590BD8">
        <w:t xml:space="preserve"> </w:t>
      </w:r>
      <w:r>
        <w:t>value of</w:t>
      </w:r>
      <w:r w:rsidRPr="00590BD8">
        <w:t xml:space="preserve"> 21%.</w:t>
      </w:r>
    </w:p>
    <w:p w:rsidR="00A54C93" w:rsidRDefault="00A54C93" w:rsidP="00A54C93">
      <w:pPr>
        <w:widowControl/>
        <w:rPr>
          <w:i/>
        </w:rPr>
        <w:sectPr w:rsidR="00A54C93" w:rsidSect="00F95253">
          <w:headerReference w:type="default" r:id="rId15"/>
          <w:pgSz w:w="11907" w:h="16840" w:code="9"/>
          <w:pgMar w:top="1440" w:right="1440" w:bottom="1440" w:left="1440" w:header="1440" w:footer="1440" w:gutter="0"/>
          <w:cols w:space="708"/>
          <w:docGrid w:linePitch="360"/>
        </w:sectPr>
      </w:pPr>
    </w:p>
    <w:p w:rsidR="00A54C93" w:rsidRPr="009A5DB8" w:rsidRDefault="00A54C93" w:rsidP="00A54C93">
      <w:pPr>
        <w:rPr>
          <w:b/>
        </w:rPr>
      </w:pPr>
      <w:r>
        <w:rPr>
          <w:rFonts w:ascii="Arial Narrow" w:hAnsi="Arial Narrow"/>
          <w:b/>
          <w:sz w:val="20"/>
          <w:szCs w:val="20"/>
        </w:rPr>
        <w:lastRenderedPageBreak/>
        <w:t xml:space="preserve">Table </w:t>
      </w:r>
      <w:r w:rsidR="004A20D6">
        <w:rPr>
          <w:rFonts w:ascii="Arial Narrow" w:hAnsi="Arial Narrow"/>
          <w:b/>
          <w:sz w:val="20"/>
          <w:szCs w:val="20"/>
        </w:rPr>
        <w:t>6</w:t>
      </w:r>
      <w:r>
        <w:rPr>
          <w:rFonts w:ascii="Arial Narrow" w:hAnsi="Arial Narrow"/>
          <w:b/>
          <w:sz w:val="20"/>
          <w:szCs w:val="20"/>
        </w:rPr>
        <w:t>: Meta-analyse</w:t>
      </w:r>
      <w:r w:rsidRPr="00311B3A">
        <w:rPr>
          <w:rFonts w:ascii="Arial Narrow" w:hAnsi="Arial Narrow"/>
          <w:b/>
          <w:sz w:val="20"/>
          <w:szCs w:val="20"/>
        </w:rPr>
        <w:t xml:space="preserve">s </w:t>
      </w:r>
      <w:r>
        <w:rPr>
          <w:rFonts w:ascii="Arial Narrow" w:hAnsi="Arial Narrow"/>
          <w:b/>
          <w:sz w:val="20"/>
          <w:szCs w:val="20"/>
        </w:rPr>
        <w:t>of vaccine response results</w:t>
      </w:r>
      <w:r w:rsidRPr="00311B3A">
        <w:rPr>
          <w:rFonts w:ascii="Arial Narrow" w:hAnsi="Arial Narrow"/>
          <w:b/>
          <w:sz w:val="20"/>
          <w:szCs w:val="20"/>
        </w:rPr>
        <w:t xml:space="preserve"> </w:t>
      </w:r>
      <w:r>
        <w:rPr>
          <w:rFonts w:ascii="Arial Narrow" w:hAnsi="Arial Narrow"/>
          <w:b/>
          <w:sz w:val="20"/>
          <w:szCs w:val="20"/>
        </w:rPr>
        <w:t>for</w:t>
      </w:r>
      <w:r w:rsidRPr="00311B3A">
        <w:rPr>
          <w:rFonts w:ascii="Arial Narrow" w:hAnsi="Arial Narrow"/>
          <w:b/>
          <w:sz w:val="20"/>
          <w:szCs w:val="20"/>
        </w:rPr>
        <w:t xml:space="preserve"> the “All studies” subgroup </w:t>
      </w:r>
    </w:p>
    <w:tbl>
      <w:tblPr>
        <w:tblStyle w:val="TableGrid"/>
        <w:tblW w:w="4927" w:type="pct"/>
        <w:tblLook w:val="04A0" w:firstRow="1" w:lastRow="0" w:firstColumn="1" w:lastColumn="0" w:noHBand="0" w:noVBand="1"/>
      </w:tblPr>
      <w:tblGrid>
        <w:gridCol w:w="1685"/>
        <w:gridCol w:w="1048"/>
        <w:gridCol w:w="1316"/>
        <w:gridCol w:w="847"/>
        <w:gridCol w:w="1562"/>
        <w:gridCol w:w="902"/>
        <w:gridCol w:w="1718"/>
        <w:gridCol w:w="902"/>
        <w:gridCol w:w="1486"/>
        <w:gridCol w:w="1014"/>
        <w:gridCol w:w="1489"/>
      </w:tblGrid>
      <w:tr w:rsidR="005E07C6" w:rsidRPr="00641EA7" w:rsidTr="00785963">
        <w:trPr>
          <w:tblHeader/>
        </w:trPr>
        <w:tc>
          <w:tcPr>
            <w:tcW w:w="603" w:type="pct"/>
            <w:vMerge w:val="restart"/>
          </w:tcPr>
          <w:p w:rsidR="005E07C6" w:rsidRPr="00641EA7" w:rsidRDefault="005E07C6" w:rsidP="00785963">
            <w:pPr>
              <w:jc w:val="left"/>
              <w:rPr>
                <w:rFonts w:ascii="Arial Narrow" w:hAnsi="Arial Narrow"/>
                <w:sz w:val="20"/>
                <w:szCs w:val="20"/>
              </w:rPr>
            </w:pPr>
            <w:r w:rsidRPr="00641EA7">
              <w:rPr>
                <w:rFonts w:ascii="Arial Narrow" w:hAnsi="Arial Narrow"/>
                <w:b/>
                <w:sz w:val="20"/>
                <w:szCs w:val="20"/>
              </w:rPr>
              <w:t>Trial ID</w:t>
            </w:r>
          </w:p>
        </w:tc>
        <w:tc>
          <w:tcPr>
            <w:tcW w:w="375" w:type="pct"/>
            <w:vMerge w:val="restart"/>
          </w:tcPr>
          <w:p w:rsidR="005E07C6" w:rsidRPr="00641EA7" w:rsidRDefault="005E07C6" w:rsidP="00785963">
            <w:pPr>
              <w:jc w:val="left"/>
              <w:rPr>
                <w:rFonts w:ascii="Arial Narrow" w:hAnsi="Arial Narrow"/>
                <w:b/>
                <w:sz w:val="20"/>
                <w:szCs w:val="20"/>
              </w:rPr>
            </w:pPr>
            <w:r w:rsidRPr="00641EA7">
              <w:rPr>
                <w:rFonts w:ascii="Arial Narrow" w:hAnsi="Arial Narrow"/>
                <w:b/>
                <w:sz w:val="20"/>
                <w:szCs w:val="20"/>
              </w:rPr>
              <w:t xml:space="preserve">Arm of interest </w:t>
            </w:r>
          </w:p>
        </w:tc>
        <w:tc>
          <w:tcPr>
            <w:tcW w:w="471" w:type="pct"/>
            <w:vMerge w:val="restart"/>
          </w:tcPr>
          <w:p w:rsidR="005E07C6" w:rsidRPr="00641EA7" w:rsidRDefault="005E07C6" w:rsidP="00785963">
            <w:pPr>
              <w:rPr>
                <w:rFonts w:ascii="Arial Narrow" w:hAnsi="Arial Narrow"/>
                <w:b/>
                <w:sz w:val="20"/>
                <w:szCs w:val="20"/>
              </w:rPr>
            </w:pPr>
            <w:r>
              <w:rPr>
                <w:rFonts w:ascii="Arial Narrow" w:hAnsi="Arial Narrow"/>
                <w:b/>
                <w:sz w:val="20"/>
                <w:szCs w:val="20"/>
              </w:rPr>
              <w:t>Pre-specified age s</w:t>
            </w:r>
            <w:r w:rsidRPr="00641EA7">
              <w:rPr>
                <w:rFonts w:ascii="Arial Narrow" w:hAnsi="Arial Narrow"/>
                <w:b/>
                <w:sz w:val="20"/>
                <w:szCs w:val="20"/>
              </w:rPr>
              <w:t>ubgroup</w:t>
            </w:r>
          </w:p>
        </w:tc>
        <w:tc>
          <w:tcPr>
            <w:tcW w:w="862" w:type="pct"/>
            <w:gridSpan w:val="2"/>
          </w:tcPr>
          <w:p w:rsidR="005E07C6" w:rsidRPr="00641EA7" w:rsidRDefault="005E07C6" w:rsidP="00785963">
            <w:pPr>
              <w:jc w:val="center"/>
              <w:rPr>
                <w:rFonts w:ascii="Arial Narrow" w:hAnsi="Arial Narrow"/>
                <w:sz w:val="20"/>
                <w:szCs w:val="20"/>
              </w:rPr>
            </w:pPr>
            <w:proofErr w:type="spellStart"/>
            <w:r w:rsidRPr="00641EA7">
              <w:rPr>
                <w:rFonts w:ascii="Arial Narrow" w:hAnsi="Arial Narrow"/>
                <w:b/>
                <w:bCs/>
                <w:color w:val="000000"/>
                <w:sz w:val="20"/>
                <w:szCs w:val="20"/>
              </w:rPr>
              <w:t>rSBA-MenA</w:t>
            </w:r>
            <w:proofErr w:type="spellEnd"/>
          </w:p>
        </w:tc>
        <w:tc>
          <w:tcPr>
            <w:tcW w:w="938" w:type="pct"/>
            <w:gridSpan w:val="2"/>
          </w:tcPr>
          <w:p w:rsidR="005E07C6" w:rsidRPr="00641EA7" w:rsidRDefault="005E07C6" w:rsidP="00785963">
            <w:pPr>
              <w:jc w:val="center"/>
              <w:rPr>
                <w:rFonts w:ascii="Arial Narrow" w:hAnsi="Arial Narrow"/>
                <w:sz w:val="20"/>
                <w:szCs w:val="20"/>
              </w:rPr>
            </w:pPr>
            <w:proofErr w:type="spellStart"/>
            <w:r w:rsidRPr="00641EA7">
              <w:rPr>
                <w:rFonts w:ascii="Arial Narrow" w:hAnsi="Arial Narrow"/>
                <w:b/>
                <w:bCs/>
                <w:color w:val="000000"/>
                <w:sz w:val="20"/>
                <w:szCs w:val="20"/>
              </w:rPr>
              <w:t>rSBA-MenC</w:t>
            </w:r>
            <w:proofErr w:type="spellEnd"/>
          </w:p>
        </w:tc>
        <w:tc>
          <w:tcPr>
            <w:tcW w:w="855" w:type="pct"/>
            <w:gridSpan w:val="2"/>
          </w:tcPr>
          <w:p w:rsidR="005E07C6" w:rsidRPr="00641EA7" w:rsidRDefault="005E07C6" w:rsidP="00785963">
            <w:pPr>
              <w:jc w:val="center"/>
              <w:rPr>
                <w:rFonts w:ascii="Arial Narrow" w:hAnsi="Arial Narrow"/>
                <w:sz w:val="20"/>
                <w:szCs w:val="20"/>
              </w:rPr>
            </w:pPr>
            <w:proofErr w:type="spellStart"/>
            <w:r w:rsidRPr="00641EA7">
              <w:rPr>
                <w:rFonts w:ascii="Arial Narrow" w:hAnsi="Arial Narrow"/>
                <w:b/>
                <w:bCs/>
                <w:color w:val="000000"/>
                <w:sz w:val="20"/>
                <w:szCs w:val="20"/>
              </w:rPr>
              <w:t>rSBA-MenW</w:t>
            </w:r>
            <w:proofErr w:type="spellEnd"/>
          </w:p>
        </w:tc>
        <w:tc>
          <w:tcPr>
            <w:tcW w:w="896" w:type="pct"/>
            <w:gridSpan w:val="2"/>
          </w:tcPr>
          <w:p w:rsidR="005E07C6" w:rsidRPr="00641EA7" w:rsidRDefault="005E07C6" w:rsidP="00785963">
            <w:pPr>
              <w:jc w:val="center"/>
              <w:rPr>
                <w:rFonts w:ascii="Arial Narrow" w:hAnsi="Arial Narrow"/>
                <w:sz w:val="20"/>
                <w:szCs w:val="20"/>
              </w:rPr>
            </w:pPr>
            <w:proofErr w:type="spellStart"/>
            <w:r w:rsidRPr="00641EA7">
              <w:rPr>
                <w:rFonts w:ascii="Arial Narrow" w:hAnsi="Arial Narrow"/>
                <w:b/>
                <w:bCs/>
                <w:color w:val="000000"/>
                <w:sz w:val="20"/>
                <w:szCs w:val="20"/>
              </w:rPr>
              <w:t>rSBA-MenY</w:t>
            </w:r>
            <w:proofErr w:type="spellEnd"/>
          </w:p>
        </w:tc>
      </w:tr>
      <w:tr w:rsidR="005E07C6" w:rsidRPr="00641EA7" w:rsidTr="00785963">
        <w:trPr>
          <w:tblHeader/>
        </w:trPr>
        <w:tc>
          <w:tcPr>
            <w:tcW w:w="603" w:type="pct"/>
            <w:vMerge/>
          </w:tcPr>
          <w:p w:rsidR="005E07C6" w:rsidRPr="00641EA7" w:rsidRDefault="005E07C6" w:rsidP="00785963">
            <w:pPr>
              <w:jc w:val="left"/>
              <w:rPr>
                <w:rFonts w:ascii="Arial Narrow" w:hAnsi="Arial Narrow"/>
                <w:sz w:val="20"/>
                <w:szCs w:val="20"/>
              </w:rPr>
            </w:pPr>
          </w:p>
        </w:tc>
        <w:tc>
          <w:tcPr>
            <w:tcW w:w="375" w:type="pct"/>
            <w:vMerge/>
          </w:tcPr>
          <w:p w:rsidR="005E07C6" w:rsidRPr="00641EA7" w:rsidRDefault="005E07C6" w:rsidP="00785963">
            <w:pPr>
              <w:rPr>
                <w:rFonts w:ascii="Arial Narrow" w:hAnsi="Arial Narrow"/>
                <w:sz w:val="20"/>
                <w:szCs w:val="20"/>
              </w:rPr>
            </w:pPr>
          </w:p>
        </w:tc>
        <w:tc>
          <w:tcPr>
            <w:tcW w:w="471" w:type="pct"/>
            <w:vMerge/>
          </w:tcPr>
          <w:p w:rsidR="005E07C6" w:rsidRPr="00641EA7" w:rsidRDefault="005E07C6" w:rsidP="00785963">
            <w:pPr>
              <w:rPr>
                <w:rFonts w:ascii="Arial Narrow" w:hAnsi="Arial Narrow"/>
                <w:sz w:val="20"/>
                <w:szCs w:val="20"/>
              </w:rPr>
            </w:pPr>
          </w:p>
        </w:tc>
        <w:tc>
          <w:tcPr>
            <w:tcW w:w="30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w:t>
            </w:r>
            <w:proofErr w:type="gramStart"/>
            <w:r w:rsidRPr="00641EA7">
              <w:rPr>
                <w:rFonts w:ascii="Arial Narrow" w:hAnsi="Arial Narrow"/>
                <w:b/>
                <w:bCs/>
                <w:color w:val="000000"/>
                <w:sz w:val="20"/>
                <w:szCs w:val="20"/>
              </w:rPr>
              <w:t>N(</w:t>
            </w:r>
            <w:proofErr w:type="gramEnd"/>
            <w:r w:rsidRPr="00641EA7">
              <w:rPr>
                <w:rFonts w:ascii="Arial Narrow" w:hAnsi="Arial Narrow"/>
                <w:b/>
                <w:bCs/>
                <w:color w:val="000000"/>
                <w:sz w:val="20"/>
                <w:szCs w:val="20"/>
              </w:rPr>
              <w:t>%)</w:t>
            </w:r>
          </w:p>
        </w:tc>
        <w:tc>
          <w:tcPr>
            <w:tcW w:w="559"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effects,95%CI</w:t>
            </w:r>
            <w:r>
              <w:rPr>
                <w:b/>
                <w:bCs/>
                <w:color w:val="000000"/>
                <w:szCs w:val="20"/>
              </w:rPr>
              <w:t>)</w:t>
            </w:r>
          </w:p>
        </w:tc>
        <w:tc>
          <w:tcPr>
            <w:tcW w:w="32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w:t>
            </w:r>
            <w:proofErr w:type="gramStart"/>
            <w:r w:rsidRPr="00641EA7">
              <w:rPr>
                <w:rFonts w:ascii="Arial Narrow" w:hAnsi="Arial Narrow"/>
                <w:b/>
                <w:bCs/>
                <w:color w:val="000000"/>
                <w:sz w:val="20"/>
                <w:szCs w:val="20"/>
              </w:rPr>
              <w:t>N(</w:t>
            </w:r>
            <w:proofErr w:type="gramEnd"/>
            <w:r w:rsidRPr="00641EA7">
              <w:rPr>
                <w:rFonts w:ascii="Arial Narrow" w:hAnsi="Arial Narrow"/>
                <w:b/>
                <w:bCs/>
                <w:color w:val="000000"/>
                <w:sz w:val="20"/>
                <w:szCs w:val="20"/>
              </w:rPr>
              <w:t>%)</w:t>
            </w:r>
          </w:p>
        </w:tc>
        <w:tc>
          <w:tcPr>
            <w:tcW w:w="615"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effects,95%CI</w:t>
            </w:r>
            <w:r>
              <w:rPr>
                <w:b/>
                <w:bCs/>
                <w:color w:val="000000"/>
                <w:szCs w:val="20"/>
              </w:rPr>
              <w:t>)</w:t>
            </w:r>
          </w:p>
        </w:tc>
        <w:tc>
          <w:tcPr>
            <w:tcW w:w="32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w:t>
            </w:r>
            <w:proofErr w:type="gramStart"/>
            <w:r w:rsidRPr="00641EA7">
              <w:rPr>
                <w:rFonts w:ascii="Arial Narrow" w:hAnsi="Arial Narrow"/>
                <w:b/>
                <w:bCs/>
                <w:color w:val="000000"/>
                <w:sz w:val="20"/>
                <w:szCs w:val="20"/>
              </w:rPr>
              <w:t>N(</w:t>
            </w:r>
            <w:proofErr w:type="gramEnd"/>
            <w:r w:rsidRPr="00641EA7">
              <w:rPr>
                <w:rFonts w:ascii="Arial Narrow" w:hAnsi="Arial Narrow"/>
                <w:b/>
                <w:bCs/>
                <w:color w:val="000000"/>
                <w:sz w:val="20"/>
                <w:szCs w:val="20"/>
              </w:rPr>
              <w:t>%)</w:t>
            </w:r>
          </w:p>
        </w:tc>
        <w:tc>
          <w:tcPr>
            <w:tcW w:w="532"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 95%CI</w:t>
            </w:r>
            <w:r>
              <w:rPr>
                <w:b/>
                <w:bCs/>
                <w:color w:val="000000"/>
                <w:szCs w:val="20"/>
              </w:rPr>
              <w:t>)</w:t>
            </w:r>
          </w:p>
        </w:tc>
        <w:tc>
          <w:tcPr>
            <w:tcW w:w="363" w:type="pct"/>
          </w:tcPr>
          <w:p w:rsidR="005E07C6" w:rsidRPr="00641EA7" w:rsidRDefault="005E07C6" w:rsidP="00785963">
            <w:pPr>
              <w:rPr>
                <w:rFonts w:ascii="Arial Narrow" w:hAnsi="Arial Narrow"/>
                <w:sz w:val="20"/>
                <w:szCs w:val="20"/>
              </w:rPr>
            </w:pPr>
            <w:r w:rsidRPr="00641EA7">
              <w:rPr>
                <w:rFonts w:ascii="Arial Narrow" w:hAnsi="Arial Narrow"/>
                <w:b/>
                <w:bCs/>
                <w:color w:val="000000"/>
                <w:sz w:val="20"/>
                <w:szCs w:val="20"/>
              </w:rPr>
              <w:t>n/</w:t>
            </w:r>
            <w:proofErr w:type="gramStart"/>
            <w:r w:rsidRPr="00641EA7">
              <w:rPr>
                <w:rFonts w:ascii="Arial Narrow" w:hAnsi="Arial Narrow"/>
                <w:b/>
                <w:bCs/>
                <w:color w:val="000000"/>
                <w:sz w:val="20"/>
                <w:szCs w:val="20"/>
              </w:rPr>
              <w:t>N(</w:t>
            </w:r>
            <w:proofErr w:type="gramEnd"/>
            <w:r w:rsidRPr="00641EA7">
              <w:rPr>
                <w:rFonts w:ascii="Arial Narrow" w:hAnsi="Arial Narrow"/>
                <w:b/>
                <w:bCs/>
                <w:color w:val="000000"/>
                <w:sz w:val="20"/>
                <w:szCs w:val="20"/>
              </w:rPr>
              <w:t>%)</w:t>
            </w:r>
          </w:p>
        </w:tc>
        <w:tc>
          <w:tcPr>
            <w:tcW w:w="533" w:type="pct"/>
          </w:tcPr>
          <w:p w:rsidR="005E07C6" w:rsidRPr="00790BD2" w:rsidRDefault="005E07C6" w:rsidP="00785963">
            <w:pPr>
              <w:pStyle w:val="Tabletext"/>
              <w:rPr>
                <w:b/>
                <w:bCs/>
                <w:color w:val="000000"/>
                <w:szCs w:val="20"/>
              </w:rPr>
            </w:pPr>
            <w:r>
              <w:rPr>
                <w:b/>
                <w:bCs/>
                <w:color w:val="000000"/>
                <w:szCs w:val="20"/>
              </w:rPr>
              <w:t>Odds (</w:t>
            </w:r>
            <w:r w:rsidRPr="00641EA7">
              <w:rPr>
                <w:b/>
                <w:bCs/>
                <w:color w:val="000000"/>
                <w:szCs w:val="20"/>
              </w:rPr>
              <w:t>Random effects, 95%CI</w:t>
            </w:r>
            <w:r>
              <w:rPr>
                <w:b/>
                <w:bCs/>
                <w:color w:val="000000"/>
                <w:szCs w:val="20"/>
              </w:rPr>
              <w:t>)</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MenACWY-TT-012</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Form 3</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20/23 (87)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6.67 </w:t>
            </w:r>
            <w:r>
              <w:rPr>
                <w:rFonts w:ascii="Arial Narrow" w:hAnsi="Arial Narrow"/>
                <w:sz w:val="20"/>
                <w:szCs w:val="20"/>
                <w:lang w:val="en-US"/>
              </w:rPr>
              <w:br/>
            </w:r>
            <w:r w:rsidRPr="00641EA7">
              <w:rPr>
                <w:rFonts w:ascii="Arial Narrow" w:hAnsi="Arial Narrow"/>
                <w:sz w:val="20"/>
                <w:szCs w:val="20"/>
                <w:lang w:val="en-US"/>
              </w:rPr>
              <w:t>(1.98, 22.43)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23/24 (95.8</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23.00 </w:t>
            </w:r>
            <w:r>
              <w:rPr>
                <w:rFonts w:ascii="Arial Narrow" w:hAnsi="Arial Narrow"/>
                <w:sz w:val="20"/>
                <w:szCs w:val="20"/>
                <w:lang w:val="en-US"/>
              </w:rPr>
              <w:br/>
            </w:r>
            <w:r w:rsidRPr="00641EA7">
              <w:rPr>
                <w:rFonts w:ascii="Arial Narrow" w:hAnsi="Arial Narrow"/>
                <w:sz w:val="20"/>
                <w:szCs w:val="20"/>
                <w:lang w:val="en-US"/>
              </w:rPr>
              <w:t>(3.11, 170.31)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21/23 (91.3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10.50 </w:t>
            </w:r>
            <w:r>
              <w:rPr>
                <w:rFonts w:ascii="Arial Narrow" w:hAnsi="Arial Narrow"/>
                <w:sz w:val="20"/>
                <w:szCs w:val="20"/>
                <w:lang w:val="en-US"/>
              </w:rPr>
              <w:br/>
            </w:r>
            <w:r w:rsidRPr="00641EA7">
              <w:rPr>
                <w:rFonts w:ascii="Arial Narrow" w:hAnsi="Arial Narrow"/>
                <w:sz w:val="20"/>
                <w:szCs w:val="20"/>
                <w:lang w:val="en-US"/>
              </w:rPr>
              <w:t>(2.46, 44.78)</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19/24 (79.2</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3.80 </w:t>
            </w:r>
            <w:r>
              <w:rPr>
                <w:rFonts w:ascii="Arial Narrow" w:hAnsi="Arial Narrow"/>
                <w:color w:val="000000"/>
                <w:sz w:val="20"/>
                <w:szCs w:val="20"/>
                <w:lang w:val="en-US"/>
              </w:rPr>
              <w:br/>
            </w:r>
            <w:r w:rsidRPr="00641EA7">
              <w:rPr>
                <w:rFonts w:ascii="Arial Narrow" w:hAnsi="Arial Narrow"/>
                <w:color w:val="000000"/>
                <w:sz w:val="20"/>
                <w:szCs w:val="20"/>
                <w:lang w:val="en-US"/>
              </w:rPr>
              <w:t>(1.42, 10.18)</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MenACWY-TT-015</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239/289 (82.7)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4.78 </w:t>
            </w:r>
            <w:r>
              <w:rPr>
                <w:rFonts w:ascii="Arial Narrow" w:hAnsi="Arial Narrow"/>
                <w:sz w:val="20"/>
                <w:szCs w:val="20"/>
                <w:lang w:val="en-US"/>
              </w:rPr>
              <w:br/>
            </w:r>
            <w:r w:rsidRPr="00641EA7">
              <w:rPr>
                <w:rFonts w:ascii="Arial Narrow" w:hAnsi="Arial Narrow"/>
                <w:sz w:val="20"/>
                <w:szCs w:val="20"/>
                <w:lang w:val="en-US"/>
              </w:rPr>
              <w:t>(3.52, 6.48)</w:t>
            </w:r>
          </w:p>
        </w:tc>
        <w:tc>
          <w:tcPr>
            <w:tcW w:w="32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306/324 (</w:t>
            </w:r>
            <w:r>
              <w:rPr>
                <w:rFonts w:ascii="Arial Narrow" w:hAnsi="Arial Narrow"/>
                <w:sz w:val="20"/>
                <w:szCs w:val="20"/>
                <w:lang w:val="en-US"/>
              </w:rPr>
              <w:t>94.4</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17.00 </w:t>
            </w:r>
            <w:r>
              <w:rPr>
                <w:rFonts w:ascii="Arial Narrow" w:hAnsi="Arial Narrow"/>
                <w:sz w:val="20"/>
                <w:szCs w:val="20"/>
                <w:lang w:val="en-US"/>
              </w:rPr>
              <w:br/>
            </w:r>
            <w:r w:rsidRPr="00641EA7">
              <w:rPr>
                <w:rFonts w:ascii="Arial Narrow" w:hAnsi="Arial Narrow"/>
                <w:sz w:val="20"/>
                <w:szCs w:val="20"/>
                <w:lang w:val="en-US"/>
              </w:rPr>
              <w:t>(10.57, 27.35)</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314/326 (96.3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26.17 </w:t>
            </w:r>
            <w:r>
              <w:rPr>
                <w:rFonts w:ascii="Arial Narrow" w:hAnsi="Arial Narrow"/>
                <w:sz w:val="20"/>
                <w:szCs w:val="20"/>
                <w:lang w:val="en-US"/>
              </w:rPr>
              <w:br/>
            </w:r>
            <w:r w:rsidRPr="00641EA7">
              <w:rPr>
                <w:rFonts w:ascii="Arial Narrow" w:hAnsi="Arial Narrow"/>
                <w:sz w:val="20"/>
                <w:szCs w:val="20"/>
                <w:lang w:val="en-US"/>
              </w:rPr>
              <w:t>(14.70, 46.57)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306/329 (93</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13.30 </w:t>
            </w:r>
            <w:r>
              <w:rPr>
                <w:rFonts w:ascii="Arial Narrow" w:hAnsi="Arial Narrow"/>
                <w:color w:val="000000"/>
                <w:sz w:val="20"/>
                <w:szCs w:val="20"/>
                <w:lang w:val="en-US"/>
              </w:rPr>
              <w:br/>
            </w:r>
            <w:r w:rsidRPr="00641EA7">
              <w:rPr>
                <w:rFonts w:ascii="Arial Narrow" w:hAnsi="Arial Narrow"/>
                <w:color w:val="000000"/>
                <w:sz w:val="20"/>
                <w:szCs w:val="20"/>
                <w:lang w:val="en-US"/>
              </w:rPr>
              <w:t>(8.71, 20.33)</w:t>
            </w:r>
          </w:p>
        </w:tc>
      </w:tr>
      <w:tr w:rsidR="00A54C93" w:rsidRPr="00641EA7" w:rsidTr="00785963">
        <w:tc>
          <w:tcPr>
            <w:tcW w:w="603" w:type="pct"/>
            <w:vMerge w:val="restar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MenACWY-TT-021</w:t>
            </w:r>
          </w:p>
        </w:tc>
        <w:tc>
          <w:tcPr>
            <w:tcW w:w="375" w:type="pct"/>
            <w:vMerge w:val="restart"/>
          </w:tcPr>
          <w:p w:rsidR="00A54C93" w:rsidRPr="00C43CDC" w:rsidRDefault="00A54C93" w:rsidP="00785963">
            <w:pPr>
              <w:pStyle w:val="TableText1"/>
              <w:spacing w:before="0" w:after="0"/>
              <w:rPr>
                <w:rFonts w:ascii="Arial Narrow" w:hAnsi="Arial Narrow"/>
                <w:sz w:val="20"/>
                <w:szCs w:val="20"/>
                <w:lang w:val="en-US" w:eastAsia="en-US"/>
              </w:rPr>
            </w:pPr>
            <w:proofErr w:type="spellStart"/>
            <w:r>
              <w:rPr>
                <w:rFonts w:ascii="Arial Narrow" w:hAnsi="Arial Narrow"/>
                <w:sz w:val="20"/>
                <w:szCs w:val="20"/>
                <w:lang w:val="en-US" w:eastAsia="en-US"/>
              </w:rPr>
              <w:t>noMPS</w:t>
            </w:r>
            <w:proofErr w:type="spellEnd"/>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11 - 17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11/17 (64.7)</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1.83 </w:t>
            </w:r>
            <w:r>
              <w:rPr>
                <w:rFonts w:ascii="Arial Narrow" w:hAnsi="Arial Narrow"/>
                <w:sz w:val="20"/>
                <w:szCs w:val="20"/>
                <w:lang w:val="en-US"/>
              </w:rPr>
              <w:br/>
            </w:r>
            <w:r w:rsidRPr="00641EA7">
              <w:rPr>
                <w:rFonts w:ascii="Arial Narrow" w:hAnsi="Arial Narrow"/>
                <w:sz w:val="20"/>
                <w:szCs w:val="20"/>
                <w:lang w:val="en-US"/>
              </w:rPr>
              <w:t>(0.68, 4.96)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18/19 (94.7</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18.00 </w:t>
            </w:r>
            <w:r>
              <w:rPr>
                <w:rFonts w:ascii="Arial Narrow" w:hAnsi="Arial Narrow"/>
                <w:sz w:val="20"/>
                <w:szCs w:val="20"/>
                <w:lang w:val="en-US"/>
              </w:rPr>
              <w:br/>
            </w:r>
            <w:r w:rsidRPr="00641EA7">
              <w:rPr>
                <w:rFonts w:ascii="Arial Narrow" w:hAnsi="Arial Narrow"/>
                <w:sz w:val="20"/>
                <w:szCs w:val="20"/>
                <w:lang w:val="en-US"/>
              </w:rPr>
              <w:t>(2.41, 134.83)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20/20 (100</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41.00 </w:t>
            </w:r>
            <w:r>
              <w:rPr>
                <w:rFonts w:ascii="Arial Narrow" w:hAnsi="Arial Narrow"/>
                <w:sz w:val="20"/>
                <w:szCs w:val="20"/>
                <w:lang w:val="en-US"/>
              </w:rPr>
              <w:br/>
            </w:r>
            <w:r w:rsidRPr="00641EA7">
              <w:rPr>
                <w:rFonts w:ascii="Arial Narrow" w:hAnsi="Arial Narrow"/>
                <w:sz w:val="20"/>
                <w:szCs w:val="20"/>
                <w:lang w:val="en-US"/>
              </w:rPr>
              <w:t>(2.48, 677.89)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19/20 (95.0</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19.00 </w:t>
            </w:r>
            <w:r>
              <w:rPr>
                <w:rFonts w:ascii="Arial Narrow" w:hAnsi="Arial Narrow"/>
                <w:color w:val="000000"/>
                <w:sz w:val="20"/>
                <w:szCs w:val="20"/>
                <w:lang w:val="en-US"/>
              </w:rPr>
              <w:br/>
            </w:r>
            <w:r w:rsidRPr="00641EA7">
              <w:rPr>
                <w:rFonts w:ascii="Arial Narrow" w:hAnsi="Arial Narrow"/>
                <w:color w:val="000000"/>
                <w:sz w:val="20"/>
                <w:szCs w:val="20"/>
                <w:lang w:val="en-US"/>
              </w:rPr>
              <w:t>(2.54, 141.93)</w:t>
            </w:r>
          </w:p>
        </w:tc>
      </w:tr>
      <w:tr w:rsidR="00A54C93" w:rsidRPr="00641EA7" w:rsidTr="00785963">
        <w:tc>
          <w:tcPr>
            <w:tcW w:w="603" w:type="pct"/>
            <w:vMerge/>
          </w:tcPr>
          <w:p w:rsidR="00A54C93" w:rsidRPr="00641EA7" w:rsidRDefault="00A54C93" w:rsidP="00785963">
            <w:pPr>
              <w:jc w:val="left"/>
              <w:rPr>
                <w:rFonts w:ascii="Arial Narrow" w:hAnsi="Arial Narrow"/>
                <w:sz w:val="20"/>
                <w:szCs w:val="20"/>
                <w:lang w:val="en-US"/>
              </w:rPr>
            </w:pPr>
          </w:p>
        </w:tc>
        <w:tc>
          <w:tcPr>
            <w:tcW w:w="375" w:type="pct"/>
            <w:vMerge/>
          </w:tcPr>
          <w:p w:rsidR="00A54C93" w:rsidRPr="00641EA7" w:rsidRDefault="00A54C93" w:rsidP="00785963">
            <w:pPr>
              <w:pStyle w:val="TableText1"/>
              <w:spacing w:before="0" w:after="0"/>
              <w:rPr>
                <w:rFonts w:ascii="Arial Narrow" w:hAnsi="Arial Narrow"/>
                <w:sz w:val="20"/>
                <w:szCs w:val="20"/>
                <w:lang w:val="en-US" w:eastAsia="en-US"/>
              </w:rPr>
            </w:pP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18 - 34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17/26 (65.4)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1.89 </w:t>
            </w:r>
            <w:r>
              <w:rPr>
                <w:rFonts w:ascii="Arial Narrow" w:hAnsi="Arial Narrow"/>
                <w:sz w:val="20"/>
                <w:szCs w:val="20"/>
                <w:lang w:val="en-US"/>
              </w:rPr>
              <w:br/>
            </w:r>
            <w:r w:rsidRPr="00641EA7">
              <w:rPr>
                <w:rFonts w:ascii="Arial Narrow" w:hAnsi="Arial Narrow"/>
                <w:sz w:val="20"/>
                <w:szCs w:val="20"/>
                <w:lang w:val="en-US"/>
              </w:rPr>
              <w:t>(0.84, 4.24)</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25/26 (96.2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25.00 </w:t>
            </w:r>
            <w:r>
              <w:rPr>
                <w:rFonts w:ascii="Arial Narrow" w:hAnsi="Arial Narrow"/>
                <w:sz w:val="20"/>
                <w:szCs w:val="20"/>
                <w:lang w:val="en-US"/>
              </w:rPr>
              <w:br/>
            </w:r>
            <w:r w:rsidRPr="00641EA7">
              <w:rPr>
                <w:rFonts w:ascii="Arial Narrow" w:hAnsi="Arial Narrow"/>
                <w:sz w:val="20"/>
                <w:szCs w:val="20"/>
                <w:lang w:val="en-US"/>
              </w:rPr>
              <w:t>(3.39, 184.50)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25/27 (92.6</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12.50 </w:t>
            </w:r>
            <w:r>
              <w:rPr>
                <w:rFonts w:ascii="Arial Narrow" w:hAnsi="Arial Narrow"/>
                <w:sz w:val="20"/>
                <w:szCs w:val="20"/>
                <w:lang w:val="en-US"/>
              </w:rPr>
              <w:br/>
            </w:r>
            <w:r w:rsidRPr="00641EA7">
              <w:rPr>
                <w:rFonts w:ascii="Arial Narrow" w:hAnsi="Arial Narrow"/>
                <w:sz w:val="20"/>
                <w:szCs w:val="20"/>
                <w:lang w:val="en-US"/>
              </w:rPr>
              <w:t>(2.96, 52.77)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27/27 (100</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55.00 </w:t>
            </w:r>
            <w:r>
              <w:rPr>
                <w:rFonts w:ascii="Arial Narrow" w:hAnsi="Arial Narrow"/>
                <w:color w:val="000000"/>
                <w:sz w:val="20"/>
                <w:szCs w:val="20"/>
                <w:lang w:val="en-US"/>
              </w:rPr>
              <w:br/>
            </w:r>
            <w:r w:rsidRPr="00641EA7">
              <w:rPr>
                <w:rFonts w:ascii="Arial Narrow" w:hAnsi="Arial Narrow"/>
                <w:color w:val="000000"/>
                <w:sz w:val="20"/>
                <w:szCs w:val="20"/>
                <w:lang w:val="en-US"/>
              </w:rPr>
              <w:t>(3.35, 901.65)</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MenACWY-TT-035</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18 - 25 years</w:t>
            </w: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147/177 (83.1)</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4.90 </w:t>
            </w:r>
            <w:r>
              <w:rPr>
                <w:rFonts w:ascii="Arial Narrow" w:hAnsi="Arial Narrow"/>
                <w:sz w:val="20"/>
                <w:szCs w:val="20"/>
                <w:lang w:val="en-US"/>
              </w:rPr>
              <w:br/>
            </w:r>
            <w:r w:rsidRPr="00641EA7">
              <w:rPr>
                <w:rFonts w:ascii="Arial Narrow" w:hAnsi="Arial Narrow"/>
                <w:sz w:val="20"/>
                <w:szCs w:val="20"/>
                <w:lang w:val="en-US"/>
              </w:rPr>
              <w:t>(3.31, 7.26)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193/204 (94.6</w:t>
            </w:r>
            <w:r w:rsidRPr="00641EA7">
              <w:rPr>
                <w:rFonts w:ascii="Arial Narrow" w:hAnsi="Arial Narrow"/>
                <w:sz w:val="20"/>
                <w:szCs w:val="20"/>
                <w:lang w:val="en-US"/>
              </w:rPr>
              <w:t>)</w:t>
            </w:r>
          </w:p>
        </w:tc>
        <w:tc>
          <w:tcPr>
            <w:tcW w:w="615" w:type="pct"/>
          </w:tcPr>
          <w:p w:rsidR="00A54C93" w:rsidRPr="0047695C" w:rsidRDefault="00A54C93" w:rsidP="00785963">
            <w:pPr>
              <w:rPr>
                <w:rFonts w:ascii="Arial Narrow" w:hAnsi="Arial Narrow"/>
                <w:sz w:val="20"/>
                <w:szCs w:val="20"/>
                <w:lang w:val="en-US"/>
              </w:rPr>
            </w:pPr>
            <w:r w:rsidRPr="00641EA7">
              <w:rPr>
                <w:rFonts w:ascii="Arial Narrow" w:hAnsi="Arial Narrow"/>
                <w:sz w:val="20"/>
                <w:szCs w:val="20"/>
                <w:lang w:val="en-US"/>
              </w:rPr>
              <w:t xml:space="preserve">17.55 </w:t>
            </w:r>
            <w:r>
              <w:rPr>
                <w:rFonts w:ascii="Arial Narrow" w:hAnsi="Arial Narrow"/>
                <w:sz w:val="20"/>
                <w:szCs w:val="20"/>
                <w:lang w:val="en-US"/>
              </w:rPr>
              <w:br/>
            </w:r>
            <w:r w:rsidRPr="00641EA7">
              <w:rPr>
                <w:rFonts w:ascii="Arial Narrow" w:hAnsi="Arial Narrow"/>
                <w:sz w:val="20"/>
                <w:szCs w:val="20"/>
                <w:lang w:val="en-US"/>
              </w:rPr>
              <w:t>(9.56, 32.21)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193/209 (92.3</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12.06 </w:t>
            </w:r>
            <w:r>
              <w:rPr>
                <w:rFonts w:ascii="Arial Narrow" w:hAnsi="Arial Narrow"/>
                <w:sz w:val="20"/>
                <w:szCs w:val="20"/>
                <w:lang w:val="en-US"/>
              </w:rPr>
              <w:br/>
            </w:r>
            <w:r w:rsidRPr="00641EA7">
              <w:rPr>
                <w:rFonts w:ascii="Arial Narrow" w:hAnsi="Arial Narrow"/>
                <w:sz w:val="20"/>
                <w:szCs w:val="20"/>
                <w:lang w:val="en-US"/>
              </w:rPr>
              <w:t>(7.24, 20.09)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194/213 (91.1</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10.21 </w:t>
            </w:r>
            <w:r>
              <w:rPr>
                <w:rFonts w:ascii="Arial Narrow" w:hAnsi="Arial Narrow"/>
                <w:color w:val="000000"/>
                <w:sz w:val="20"/>
                <w:szCs w:val="20"/>
                <w:lang w:val="en-US"/>
              </w:rPr>
              <w:br/>
            </w:r>
            <w:r w:rsidRPr="00641EA7">
              <w:rPr>
                <w:rFonts w:ascii="Arial Narrow" w:hAnsi="Arial Narrow"/>
                <w:color w:val="000000"/>
                <w:sz w:val="20"/>
                <w:szCs w:val="20"/>
                <w:lang w:val="en-US"/>
              </w:rPr>
              <w:t>(6.37, 16.36)</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MenACWY-TT-036</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525/615 (85.4)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5.83 </w:t>
            </w:r>
            <w:r>
              <w:rPr>
                <w:rFonts w:ascii="Arial Narrow" w:hAnsi="Arial Narrow"/>
                <w:sz w:val="20"/>
                <w:szCs w:val="20"/>
                <w:lang w:val="en-US"/>
              </w:rPr>
              <w:br/>
            </w:r>
            <w:r w:rsidRPr="00641EA7">
              <w:rPr>
                <w:rFonts w:ascii="Arial Narrow" w:hAnsi="Arial Narrow"/>
                <w:sz w:val="20"/>
                <w:szCs w:val="20"/>
                <w:lang w:val="en-US"/>
              </w:rPr>
              <w:t>(4.66, 7.30)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698/719 (97.1</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33.24 </w:t>
            </w:r>
            <w:r>
              <w:rPr>
                <w:rFonts w:ascii="Arial Narrow" w:hAnsi="Arial Narrow"/>
                <w:sz w:val="20"/>
                <w:szCs w:val="20"/>
                <w:lang w:val="en-US"/>
              </w:rPr>
              <w:br/>
            </w:r>
            <w:r w:rsidRPr="00641EA7">
              <w:rPr>
                <w:rFonts w:ascii="Arial Narrow" w:hAnsi="Arial Narrow"/>
                <w:sz w:val="20"/>
                <w:szCs w:val="20"/>
                <w:lang w:val="en-US"/>
              </w:rPr>
              <w:t>(21.53, 51.30)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692/717 (96.5</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27.68 </w:t>
            </w:r>
            <w:r>
              <w:rPr>
                <w:rFonts w:ascii="Arial Narrow" w:hAnsi="Arial Narrow"/>
                <w:sz w:val="20"/>
                <w:szCs w:val="20"/>
                <w:lang w:val="en-US"/>
              </w:rPr>
              <w:br/>
            </w:r>
            <w:r w:rsidRPr="00641EA7">
              <w:rPr>
                <w:rFonts w:ascii="Arial Narrow" w:hAnsi="Arial Narrow"/>
                <w:sz w:val="20"/>
                <w:szCs w:val="20"/>
                <w:lang w:val="en-US"/>
              </w:rPr>
              <w:t>(18.57, 41.25)</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686/737 (93.1</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13.45 </w:t>
            </w:r>
            <w:r>
              <w:rPr>
                <w:rFonts w:ascii="Arial Narrow" w:hAnsi="Arial Narrow"/>
                <w:color w:val="000000"/>
                <w:sz w:val="20"/>
                <w:szCs w:val="20"/>
                <w:lang w:val="en-US"/>
              </w:rPr>
              <w:br/>
            </w:r>
            <w:r w:rsidRPr="00641EA7">
              <w:rPr>
                <w:rFonts w:ascii="Arial Narrow" w:hAnsi="Arial Narrow"/>
                <w:color w:val="000000"/>
                <w:sz w:val="20"/>
                <w:szCs w:val="20"/>
                <w:lang w:val="en-US"/>
              </w:rPr>
              <w:t>(10.12, 17.88)</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MenACWY-TT-037</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76/84 (90.5)</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9.50 </w:t>
            </w:r>
            <w:r>
              <w:rPr>
                <w:rFonts w:ascii="Arial Narrow" w:hAnsi="Arial Narrow"/>
                <w:sz w:val="20"/>
                <w:szCs w:val="20"/>
                <w:lang w:val="en-US"/>
              </w:rPr>
              <w:br/>
            </w:r>
            <w:r w:rsidRPr="00641EA7">
              <w:rPr>
                <w:rFonts w:ascii="Arial Narrow" w:hAnsi="Arial Narrow"/>
                <w:sz w:val="20"/>
                <w:szCs w:val="20"/>
                <w:lang w:val="en-US"/>
              </w:rPr>
              <w:t>(4.58, 19.68)</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101/112 (90.2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9.18 </w:t>
            </w:r>
            <w:r>
              <w:rPr>
                <w:rFonts w:ascii="Arial Narrow" w:hAnsi="Arial Narrow"/>
                <w:sz w:val="20"/>
                <w:szCs w:val="20"/>
                <w:lang w:val="en-US"/>
              </w:rPr>
              <w:br/>
            </w:r>
            <w:r w:rsidRPr="00641EA7">
              <w:rPr>
                <w:rFonts w:ascii="Arial Narrow" w:hAnsi="Arial Narrow"/>
                <w:sz w:val="20"/>
                <w:szCs w:val="20"/>
                <w:lang w:val="en-US"/>
              </w:rPr>
              <w:t>(4.93, 17.11)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112/114 (98.2</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56.00 </w:t>
            </w:r>
            <w:r>
              <w:rPr>
                <w:rFonts w:ascii="Arial Narrow" w:hAnsi="Arial Narrow"/>
                <w:sz w:val="20"/>
                <w:szCs w:val="20"/>
                <w:lang w:val="en-US"/>
              </w:rPr>
              <w:br/>
            </w:r>
            <w:r w:rsidRPr="00641EA7">
              <w:rPr>
                <w:rFonts w:ascii="Arial Narrow" w:hAnsi="Arial Narrow"/>
                <w:sz w:val="20"/>
                <w:szCs w:val="20"/>
                <w:lang w:val="en-US"/>
              </w:rPr>
              <w:t>(13.83, 226.69)</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105/113 (92.9</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13.12 </w:t>
            </w:r>
            <w:r>
              <w:rPr>
                <w:rFonts w:ascii="Arial Narrow" w:hAnsi="Arial Narrow"/>
                <w:color w:val="000000"/>
                <w:sz w:val="20"/>
                <w:szCs w:val="20"/>
                <w:lang w:val="en-US"/>
              </w:rPr>
              <w:br/>
            </w:r>
            <w:r w:rsidRPr="00641EA7">
              <w:rPr>
                <w:rFonts w:ascii="Arial Narrow" w:hAnsi="Arial Narrow"/>
                <w:color w:val="000000"/>
                <w:sz w:val="20"/>
                <w:szCs w:val="20"/>
                <w:lang w:val="en-US"/>
              </w:rPr>
              <w:t>(6.40, 26.93)</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MenACWY-TT-052</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428/458 (93.4)</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14.27 </w:t>
            </w:r>
            <w:r>
              <w:rPr>
                <w:rFonts w:ascii="Arial Narrow" w:hAnsi="Arial Narrow"/>
                <w:sz w:val="20"/>
                <w:szCs w:val="20"/>
                <w:lang w:val="en-US"/>
              </w:rPr>
              <w:br/>
            </w:r>
            <w:r w:rsidRPr="00641EA7">
              <w:rPr>
                <w:rFonts w:ascii="Arial Narrow" w:hAnsi="Arial Narrow"/>
                <w:sz w:val="20"/>
                <w:szCs w:val="20"/>
                <w:lang w:val="en-US"/>
              </w:rPr>
              <w:t>(9.85, 20.66)</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454/477 (95.2</w:t>
            </w:r>
            <w:r w:rsidRPr="00641EA7">
              <w:rPr>
                <w:rFonts w:ascii="Arial Narrow" w:hAnsi="Arial Narrow"/>
                <w:sz w:val="20"/>
                <w:szCs w:val="20"/>
                <w:lang w:val="en-US"/>
              </w:rPr>
              <w:t>)</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19.74 </w:t>
            </w:r>
            <w:r>
              <w:rPr>
                <w:rFonts w:ascii="Arial Narrow" w:hAnsi="Arial Narrow"/>
                <w:sz w:val="20"/>
                <w:szCs w:val="20"/>
                <w:lang w:val="en-US"/>
              </w:rPr>
              <w:br/>
            </w:r>
            <w:r w:rsidRPr="00641EA7">
              <w:rPr>
                <w:rFonts w:ascii="Arial Narrow" w:hAnsi="Arial Narrow"/>
                <w:sz w:val="20"/>
                <w:szCs w:val="20"/>
                <w:lang w:val="en-US"/>
              </w:rPr>
              <w:t>(12.98, 30.01)</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491/495 (99.2</w:t>
            </w:r>
            <w:r w:rsidRPr="00641EA7">
              <w:rPr>
                <w:rFonts w:ascii="Arial Narrow" w:hAnsi="Arial Narrow"/>
                <w:sz w:val="20"/>
                <w:szCs w:val="20"/>
                <w:lang w:val="en-US"/>
              </w:rPr>
              <w:t>)</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122.75 </w:t>
            </w:r>
            <w:r>
              <w:rPr>
                <w:rFonts w:ascii="Arial Narrow" w:hAnsi="Arial Narrow"/>
                <w:sz w:val="20"/>
                <w:szCs w:val="20"/>
                <w:lang w:val="en-US"/>
              </w:rPr>
              <w:br/>
            </w:r>
            <w:r w:rsidRPr="00641EA7">
              <w:rPr>
                <w:rFonts w:ascii="Arial Narrow" w:hAnsi="Arial Narrow"/>
                <w:sz w:val="20"/>
                <w:szCs w:val="20"/>
                <w:lang w:val="en-US"/>
              </w:rPr>
              <w:t>(45.89, 328.36)</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lang w:val="en-US"/>
              </w:rPr>
              <w:t>476/493 (96.6</w:t>
            </w:r>
            <w:r w:rsidRPr="00641EA7">
              <w:rPr>
                <w:rFonts w:ascii="Arial Narrow" w:hAnsi="Arial Narrow"/>
                <w:sz w:val="20"/>
                <w:szCs w:val="20"/>
                <w:lang w:val="en-US"/>
              </w:rPr>
              <w:t>)</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28.00 </w:t>
            </w:r>
            <w:r>
              <w:rPr>
                <w:rFonts w:ascii="Arial Narrow" w:hAnsi="Arial Narrow"/>
                <w:color w:val="000000"/>
                <w:sz w:val="20"/>
                <w:szCs w:val="20"/>
                <w:lang w:val="en-US"/>
              </w:rPr>
              <w:br/>
            </w:r>
            <w:r w:rsidRPr="00641EA7">
              <w:rPr>
                <w:rFonts w:ascii="Arial Narrow" w:hAnsi="Arial Narrow"/>
                <w:color w:val="000000"/>
                <w:sz w:val="20"/>
                <w:szCs w:val="20"/>
                <w:lang w:val="en-US"/>
              </w:rPr>
              <w:t>(17.26, 45.42)</w:t>
            </w:r>
          </w:p>
        </w:tc>
      </w:tr>
      <w:tr w:rsidR="00A54C93" w:rsidRPr="00641EA7" w:rsidTr="00785963">
        <w:tc>
          <w:tcPr>
            <w:tcW w:w="603" w:type="pct"/>
            <w:vMerge w:val="restar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MenACWY-TT-054</w:t>
            </w:r>
          </w:p>
        </w:tc>
        <w:tc>
          <w:tcPr>
            <w:tcW w:w="375" w:type="pct"/>
            <w:vMerge w:val="restar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15-17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vMerge/>
          </w:tcPr>
          <w:p w:rsidR="00A54C93" w:rsidRPr="00641EA7" w:rsidRDefault="00A54C93" w:rsidP="00785963">
            <w:pPr>
              <w:jc w:val="left"/>
              <w:rPr>
                <w:rFonts w:ascii="Arial Narrow" w:hAnsi="Arial Narrow"/>
                <w:sz w:val="20"/>
                <w:szCs w:val="20"/>
                <w:lang w:val="en-US"/>
              </w:rPr>
            </w:pPr>
          </w:p>
        </w:tc>
        <w:tc>
          <w:tcPr>
            <w:tcW w:w="375" w:type="pct"/>
            <w:vMerge/>
          </w:tcPr>
          <w:p w:rsidR="00A54C93" w:rsidRPr="00641EA7" w:rsidRDefault="00A54C93" w:rsidP="00785963">
            <w:pPr>
              <w:rPr>
                <w:rFonts w:ascii="Arial Narrow" w:hAnsi="Arial Narrow"/>
                <w:sz w:val="20"/>
                <w:szCs w:val="20"/>
                <w:lang w:val="en-US"/>
              </w:rPr>
            </w:pP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18 - 25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MenACWY-TT-084</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11 - 17 years</w:t>
            </w: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MenACWY-TT-093</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ACWY-TT</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477/600 (79.5)</w:t>
            </w: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3.88 </w:t>
            </w:r>
            <w:r>
              <w:rPr>
                <w:rFonts w:ascii="Arial Narrow" w:hAnsi="Arial Narrow"/>
                <w:sz w:val="20"/>
                <w:szCs w:val="20"/>
                <w:lang w:val="en-US"/>
              </w:rPr>
              <w:br/>
            </w:r>
            <w:r w:rsidRPr="00641EA7">
              <w:rPr>
                <w:rFonts w:ascii="Arial Narrow" w:hAnsi="Arial Narrow"/>
                <w:sz w:val="20"/>
                <w:szCs w:val="20"/>
                <w:lang w:val="en-US"/>
              </w:rPr>
              <w:t>(3.18, 4.73)</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rPr>
              <w:t>651/688</w:t>
            </w:r>
            <w:r>
              <w:rPr>
                <w:rFonts w:ascii="Arial Narrow" w:hAnsi="Arial Narrow"/>
                <w:sz w:val="20"/>
                <w:szCs w:val="20"/>
              </w:rPr>
              <w:br/>
            </w:r>
            <w:r w:rsidRPr="00641EA7">
              <w:rPr>
                <w:rFonts w:ascii="Arial Narrow" w:hAnsi="Arial Narrow"/>
                <w:sz w:val="20"/>
                <w:szCs w:val="20"/>
              </w:rPr>
              <w:t>(94.6)</w:t>
            </w: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17.59 </w:t>
            </w:r>
            <w:r>
              <w:rPr>
                <w:rFonts w:ascii="Arial Narrow" w:hAnsi="Arial Narrow"/>
                <w:sz w:val="20"/>
                <w:szCs w:val="20"/>
                <w:lang w:val="en-US"/>
              </w:rPr>
              <w:br/>
            </w:r>
            <w:r w:rsidRPr="00641EA7">
              <w:rPr>
                <w:rFonts w:ascii="Arial Narrow" w:hAnsi="Arial Narrow"/>
                <w:sz w:val="20"/>
                <w:szCs w:val="20"/>
                <w:lang w:val="en-US"/>
              </w:rPr>
              <w:t>(12.63, 24.50)</w:t>
            </w:r>
          </w:p>
        </w:tc>
        <w:tc>
          <w:tcPr>
            <w:tcW w:w="323" w:type="pct"/>
          </w:tcPr>
          <w:p w:rsidR="00A54C93" w:rsidRPr="00641EA7" w:rsidRDefault="00A54C93" w:rsidP="00785963">
            <w:pPr>
              <w:rPr>
                <w:rFonts w:ascii="Arial Narrow" w:hAnsi="Arial Narrow"/>
                <w:sz w:val="20"/>
                <w:szCs w:val="20"/>
              </w:rPr>
            </w:pPr>
            <w:r>
              <w:rPr>
                <w:rFonts w:ascii="Arial Narrow" w:hAnsi="Arial Narrow"/>
                <w:sz w:val="20"/>
                <w:szCs w:val="20"/>
              </w:rPr>
              <w:t>640/665</w:t>
            </w:r>
            <w:r>
              <w:rPr>
                <w:rFonts w:ascii="Arial Narrow" w:hAnsi="Arial Narrow"/>
                <w:sz w:val="20"/>
                <w:szCs w:val="20"/>
              </w:rPr>
              <w:br/>
            </w:r>
            <w:r w:rsidRPr="00641EA7">
              <w:rPr>
                <w:rFonts w:ascii="Arial Narrow" w:hAnsi="Arial Narrow"/>
                <w:sz w:val="20"/>
                <w:szCs w:val="20"/>
              </w:rPr>
              <w:t>(96.2)</w:t>
            </w: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 xml:space="preserve">25.60 </w:t>
            </w:r>
            <w:r>
              <w:rPr>
                <w:rFonts w:ascii="Arial Narrow" w:hAnsi="Arial Narrow"/>
                <w:sz w:val="20"/>
                <w:szCs w:val="20"/>
                <w:lang w:val="en-US"/>
              </w:rPr>
              <w:br/>
            </w:r>
            <w:r w:rsidRPr="00641EA7">
              <w:rPr>
                <w:rFonts w:ascii="Arial Narrow" w:hAnsi="Arial Narrow"/>
                <w:sz w:val="20"/>
                <w:szCs w:val="20"/>
                <w:lang w:val="en-US"/>
              </w:rPr>
              <w:t>(17.17, 38.17)</w:t>
            </w:r>
          </w:p>
        </w:tc>
        <w:tc>
          <w:tcPr>
            <w:tcW w:w="363" w:type="pct"/>
          </w:tcPr>
          <w:p w:rsidR="00A54C93" w:rsidRPr="00641EA7" w:rsidRDefault="00A54C93" w:rsidP="00785963">
            <w:pPr>
              <w:rPr>
                <w:rFonts w:ascii="Arial Narrow" w:hAnsi="Arial Narrow"/>
                <w:sz w:val="20"/>
                <w:szCs w:val="20"/>
              </w:rPr>
            </w:pPr>
            <w:r>
              <w:rPr>
                <w:rFonts w:ascii="Arial Narrow" w:hAnsi="Arial Narrow"/>
                <w:sz w:val="20"/>
                <w:szCs w:val="20"/>
              </w:rPr>
              <w:t>658/711</w:t>
            </w:r>
            <w:r>
              <w:rPr>
                <w:rFonts w:ascii="Arial Narrow" w:hAnsi="Arial Narrow"/>
                <w:sz w:val="20"/>
                <w:szCs w:val="20"/>
              </w:rPr>
              <w:br/>
            </w:r>
            <w:r w:rsidRPr="00641EA7">
              <w:rPr>
                <w:rFonts w:ascii="Arial Narrow" w:hAnsi="Arial Narrow"/>
                <w:sz w:val="20"/>
                <w:szCs w:val="20"/>
              </w:rPr>
              <w:t>(92.5)</w:t>
            </w: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12.42 </w:t>
            </w:r>
            <w:r>
              <w:rPr>
                <w:rFonts w:ascii="Arial Narrow" w:hAnsi="Arial Narrow"/>
                <w:color w:val="000000"/>
                <w:sz w:val="20"/>
                <w:szCs w:val="20"/>
                <w:lang w:val="en-US"/>
              </w:rPr>
              <w:br/>
            </w:r>
            <w:r w:rsidRPr="00641EA7">
              <w:rPr>
                <w:rFonts w:ascii="Arial Narrow" w:hAnsi="Arial Narrow"/>
                <w:color w:val="000000"/>
                <w:sz w:val="20"/>
                <w:szCs w:val="20"/>
                <w:lang w:val="en-US"/>
              </w:rPr>
              <w:t>(9.38, 16.42)</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lang w:val="en-US"/>
              </w:rPr>
              <w:t>MenACWY-TT-098</w:t>
            </w:r>
          </w:p>
        </w:tc>
        <w:tc>
          <w:tcPr>
            <w:tcW w:w="37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Healthy </w:t>
            </w:r>
          </w:p>
        </w:tc>
        <w:tc>
          <w:tcPr>
            <w:tcW w:w="471" w:type="pct"/>
          </w:tcPr>
          <w:p w:rsidR="00A54C93" w:rsidRPr="00641EA7" w:rsidRDefault="00A54C93" w:rsidP="00785963">
            <w:pPr>
              <w:rPr>
                <w:rFonts w:ascii="Arial Narrow" w:hAnsi="Arial Narrow"/>
                <w:sz w:val="20"/>
                <w:szCs w:val="20"/>
              </w:rPr>
            </w:pPr>
          </w:p>
        </w:tc>
        <w:tc>
          <w:tcPr>
            <w:tcW w:w="30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59"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615"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c>
          <w:tcPr>
            <w:tcW w:w="32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2" w:type="pct"/>
          </w:tcPr>
          <w:p w:rsidR="00A54C93" w:rsidRPr="0010557D" w:rsidRDefault="0010557D" w:rsidP="00785963">
            <w:pPr>
              <w:jc w:val="left"/>
              <w:rPr>
                <w:rFonts w:ascii="Arial Narrow" w:hAnsi="Arial Narrow"/>
                <w:sz w:val="20"/>
                <w:szCs w:val="20"/>
                <w:highlight w:val="black"/>
              </w:rPr>
            </w:pPr>
            <w:r>
              <w:rPr>
                <w:rFonts w:ascii="Arial Narrow" w:hAnsi="Arial Narrow"/>
                <w:noProof/>
                <w:color w:val="000000"/>
                <w:sz w:val="20"/>
                <w:szCs w:val="20"/>
                <w:highlight w:val="black"/>
              </w:rPr>
              <w:t xml:space="preserve">'''''''''''''' </w:t>
            </w:r>
            <w:r>
              <w:rPr>
                <w:rFonts w:ascii="Arial Narrow" w:hAnsi="Arial Narrow"/>
                <w:noProof/>
                <w:color w:val="000000"/>
                <w:sz w:val="20"/>
                <w:szCs w:val="20"/>
                <w:highlight w:val="black"/>
              </w:rPr>
              <w:br/>
              <w:t>'''''''''''''''''' ''''''''''''''</w:t>
            </w:r>
          </w:p>
        </w:tc>
        <w:tc>
          <w:tcPr>
            <w:tcW w:w="36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533" w:type="pct"/>
          </w:tcPr>
          <w:p w:rsidR="00A54C93" w:rsidRPr="0010557D" w:rsidRDefault="0010557D" w:rsidP="00785963">
            <w:pPr>
              <w:rPr>
                <w:rFonts w:ascii="Arial Narrow" w:hAnsi="Arial Narrow"/>
                <w:sz w:val="20"/>
                <w:szCs w:val="20"/>
                <w:highlight w:val="black"/>
              </w:rPr>
            </w:pPr>
            <w:r>
              <w:rPr>
                <w:rFonts w:ascii="Arial Narrow" w:hAnsi="Arial Narrow"/>
                <w:noProof/>
                <w:color w:val="000000"/>
                <w:sz w:val="20"/>
                <w:szCs w:val="20"/>
                <w:highlight w:val="black"/>
                <w:lang w:val="en-US"/>
              </w:rPr>
              <w:t xml:space="preserve">'''''''''''''' </w:t>
            </w:r>
            <w:r>
              <w:rPr>
                <w:rFonts w:ascii="Arial Narrow" w:hAnsi="Arial Narrow"/>
                <w:noProof/>
                <w:color w:val="000000"/>
                <w:sz w:val="20"/>
                <w:szCs w:val="20"/>
                <w:highlight w:val="black"/>
                <w:lang w:val="en-US"/>
              </w:rPr>
              <w:br/>
              <w:t>'''''''''''''''' ''''''''''''''</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t>Meta-analysis of overall trial results</w:t>
            </w:r>
          </w:p>
        </w:tc>
        <w:tc>
          <w:tcPr>
            <w:tcW w:w="375" w:type="pct"/>
          </w:tcPr>
          <w:p w:rsidR="00A54C93" w:rsidRPr="00641EA7" w:rsidRDefault="00A54C93" w:rsidP="00785963">
            <w:pPr>
              <w:rPr>
                <w:rFonts w:ascii="Arial Narrow" w:hAnsi="Arial Narrow"/>
                <w:sz w:val="20"/>
                <w:szCs w:val="20"/>
              </w:rPr>
            </w:pP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rPr>
              <w:t xml:space="preserve">6.60 </w:t>
            </w:r>
            <w:r>
              <w:rPr>
                <w:rFonts w:ascii="Arial Narrow" w:hAnsi="Arial Narrow"/>
                <w:sz w:val="20"/>
                <w:szCs w:val="20"/>
              </w:rPr>
              <w:br/>
            </w:r>
            <w:r w:rsidRPr="00641EA7">
              <w:rPr>
                <w:rFonts w:ascii="Arial Narrow" w:hAnsi="Arial Narrow"/>
                <w:sz w:val="20"/>
                <w:szCs w:val="20"/>
              </w:rPr>
              <w:t>(4.72, 9.22)</w:t>
            </w:r>
          </w:p>
        </w:tc>
        <w:tc>
          <w:tcPr>
            <w:tcW w:w="323" w:type="pct"/>
          </w:tcPr>
          <w:p w:rsidR="00A54C93" w:rsidRPr="00641EA7" w:rsidRDefault="00A54C93" w:rsidP="00785963">
            <w:pPr>
              <w:rPr>
                <w:rFonts w:ascii="Arial Narrow" w:hAnsi="Arial Narrow"/>
                <w:sz w:val="20"/>
                <w:szCs w:val="20"/>
              </w:rPr>
            </w:pPr>
          </w:p>
        </w:tc>
        <w:tc>
          <w:tcPr>
            <w:tcW w:w="615"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19.35 </w:t>
            </w:r>
            <w:r>
              <w:rPr>
                <w:rFonts w:ascii="Arial Narrow" w:hAnsi="Arial Narrow"/>
                <w:sz w:val="20"/>
                <w:szCs w:val="20"/>
                <w:lang w:val="en-US"/>
              </w:rPr>
              <w:br/>
            </w:r>
            <w:r w:rsidRPr="00641EA7">
              <w:rPr>
                <w:rFonts w:ascii="Arial Narrow" w:hAnsi="Arial Narrow"/>
                <w:sz w:val="20"/>
                <w:szCs w:val="20"/>
                <w:lang w:val="en-US"/>
              </w:rPr>
              <w:t>(15.64, 23.93)</w:t>
            </w:r>
          </w:p>
        </w:tc>
        <w:tc>
          <w:tcPr>
            <w:tcW w:w="323" w:type="pct"/>
          </w:tcPr>
          <w:p w:rsidR="00A54C93" w:rsidRPr="00641EA7" w:rsidRDefault="00A54C93" w:rsidP="00785963">
            <w:pPr>
              <w:rPr>
                <w:rFonts w:ascii="Arial Narrow" w:hAnsi="Arial Narrow"/>
                <w:sz w:val="20"/>
                <w:szCs w:val="20"/>
              </w:rPr>
            </w:pPr>
          </w:p>
        </w:tc>
        <w:tc>
          <w:tcPr>
            <w:tcW w:w="532"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27.69 </w:t>
            </w:r>
            <w:r>
              <w:rPr>
                <w:rFonts w:ascii="Arial Narrow" w:hAnsi="Arial Narrow"/>
                <w:sz w:val="20"/>
                <w:szCs w:val="20"/>
                <w:lang w:val="en-US"/>
              </w:rPr>
              <w:br/>
            </w:r>
            <w:r w:rsidRPr="00641EA7">
              <w:rPr>
                <w:rFonts w:ascii="Arial Narrow" w:hAnsi="Arial Narrow"/>
                <w:sz w:val="20"/>
                <w:szCs w:val="20"/>
                <w:lang w:val="en-US"/>
              </w:rPr>
              <w:t>(19.62, 39.06)</w:t>
            </w:r>
          </w:p>
        </w:tc>
        <w:tc>
          <w:tcPr>
            <w:tcW w:w="363" w:type="pct"/>
          </w:tcPr>
          <w:p w:rsidR="00A54C93" w:rsidRPr="00641EA7" w:rsidRDefault="00A54C93" w:rsidP="00785963">
            <w:pPr>
              <w:rPr>
                <w:rFonts w:ascii="Arial Narrow" w:hAnsi="Arial Narrow"/>
                <w:sz w:val="20"/>
                <w:szCs w:val="20"/>
              </w:rPr>
            </w:pP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14.45 </w:t>
            </w:r>
            <w:r>
              <w:rPr>
                <w:rFonts w:ascii="Arial Narrow" w:hAnsi="Arial Narrow"/>
                <w:color w:val="000000"/>
                <w:sz w:val="20"/>
                <w:szCs w:val="20"/>
                <w:lang w:val="en-US"/>
              </w:rPr>
              <w:br/>
            </w:r>
            <w:r w:rsidRPr="00641EA7">
              <w:rPr>
                <w:rFonts w:ascii="Arial Narrow" w:hAnsi="Arial Narrow"/>
                <w:color w:val="000000"/>
                <w:sz w:val="20"/>
                <w:szCs w:val="20"/>
                <w:lang w:val="en-US"/>
              </w:rPr>
              <w:t>(11.24, 18.57)</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t xml:space="preserve">Pooled results (% </w:t>
            </w:r>
            <w:r w:rsidRPr="00641EA7">
              <w:rPr>
                <w:rFonts w:ascii="Arial Narrow" w:hAnsi="Arial Narrow"/>
                <w:sz w:val="20"/>
                <w:szCs w:val="20"/>
              </w:rPr>
              <w:lastRenderedPageBreak/>
              <w:t>vaccine response)</w:t>
            </w:r>
          </w:p>
        </w:tc>
        <w:tc>
          <w:tcPr>
            <w:tcW w:w="375" w:type="pct"/>
          </w:tcPr>
          <w:p w:rsidR="00A54C93" w:rsidRPr="00641EA7" w:rsidRDefault="00A54C93" w:rsidP="00785963">
            <w:pPr>
              <w:rPr>
                <w:rFonts w:ascii="Arial Narrow" w:hAnsi="Arial Narrow"/>
                <w:sz w:val="20"/>
                <w:szCs w:val="20"/>
              </w:rPr>
            </w:pPr>
          </w:p>
        </w:tc>
        <w:tc>
          <w:tcPr>
            <w:tcW w:w="471" w:type="pct"/>
          </w:tcPr>
          <w:p w:rsidR="00A54C93" w:rsidRPr="00641EA7" w:rsidRDefault="00A54C93" w:rsidP="00785963">
            <w:pPr>
              <w:rPr>
                <w:rFonts w:ascii="Arial Narrow" w:hAnsi="Arial Narrow"/>
                <w:sz w:val="20"/>
                <w:szCs w:val="20"/>
              </w:rPr>
            </w:pPr>
          </w:p>
        </w:tc>
        <w:tc>
          <w:tcPr>
            <w:tcW w:w="303" w:type="pct"/>
          </w:tcPr>
          <w:p w:rsidR="00A54C93" w:rsidRPr="00641EA7" w:rsidRDefault="00A54C93" w:rsidP="00785963">
            <w:pPr>
              <w:rPr>
                <w:rFonts w:ascii="Arial Narrow" w:hAnsi="Arial Narrow"/>
                <w:sz w:val="20"/>
                <w:szCs w:val="20"/>
              </w:rPr>
            </w:pPr>
          </w:p>
        </w:tc>
        <w:tc>
          <w:tcPr>
            <w:tcW w:w="559"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86.8% </w:t>
            </w:r>
            <w:r>
              <w:rPr>
                <w:rFonts w:ascii="Arial Narrow" w:hAnsi="Arial Narrow"/>
                <w:sz w:val="20"/>
                <w:szCs w:val="20"/>
                <w:lang w:val="en-US"/>
              </w:rPr>
              <w:br/>
            </w:r>
            <w:r w:rsidRPr="00641EA7">
              <w:rPr>
                <w:rFonts w:ascii="Arial Narrow" w:hAnsi="Arial Narrow"/>
                <w:sz w:val="20"/>
                <w:szCs w:val="20"/>
                <w:lang w:val="en-US"/>
              </w:rPr>
              <w:lastRenderedPageBreak/>
              <w:t>(82.52%, 90.21%)</w:t>
            </w:r>
          </w:p>
        </w:tc>
        <w:tc>
          <w:tcPr>
            <w:tcW w:w="323" w:type="pct"/>
          </w:tcPr>
          <w:p w:rsidR="00A54C93" w:rsidRPr="00641EA7" w:rsidRDefault="00A54C93" w:rsidP="00785963">
            <w:pPr>
              <w:rPr>
                <w:rFonts w:ascii="Arial Narrow" w:hAnsi="Arial Narrow"/>
                <w:sz w:val="20"/>
                <w:szCs w:val="20"/>
              </w:rPr>
            </w:pPr>
          </w:p>
        </w:tc>
        <w:tc>
          <w:tcPr>
            <w:tcW w:w="615" w:type="pct"/>
          </w:tcPr>
          <w:p w:rsidR="00A54C93" w:rsidRPr="00641EA7" w:rsidRDefault="00A54C93" w:rsidP="00785963">
            <w:pPr>
              <w:rPr>
                <w:rFonts w:ascii="Arial Narrow" w:hAnsi="Arial Narrow"/>
                <w:color w:val="000000"/>
                <w:sz w:val="20"/>
                <w:szCs w:val="20"/>
                <w:lang w:val="en-US"/>
              </w:rPr>
            </w:pPr>
            <w:r w:rsidRPr="00641EA7">
              <w:rPr>
                <w:rFonts w:ascii="Arial Narrow" w:hAnsi="Arial Narrow"/>
                <w:sz w:val="20"/>
                <w:szCs w:val="20"/>
                <w:lang w:val="en-US"/>
              </w:rPr>
              <w:t xml:space="preserve">95.1% </w:t>
            </w:r>
            <w:r>
              <w:rPr>
                <w:rFonts w:ascii="Arial Narrow" w:hAnsi="Arial Narrow"/>
                <w:sz w:val="20"/>
                <w:szCs w:val="20"/>
                <w:lang w:val="en-US"/>
              </w:rPr>
              <w:br/>
            </w:r>
            <w:r w:rsidRPr="00641EA7">
              <w:rPr>
                <w:rFonts w:ascii="Arial Narrow" w:hAnsi="Arial Narrow"/>
                <w:sz w:val="20"/>
                <w:szCs w:val="20"/>
                <w:lang w:val="en-US"/>
              </w:rPr>
              <w:lastRenderedPageBreak/>
              <w:t>(94.0%. 96.0%)</w:t>
            </w:r>
          </w:p>
        </w:tc>
        <w:tc>
          <w:tcPr>
            <w:tcW w:w="323" w:type="pct"/>
          </w:tcPr>
          <w:p w:rsidR="00A54C93" w:rsidRPr="00641EA7" w:rsidRDefault="00A54C93" w:rsidP="00785963">
            <w:pPr>
              <w:rPr>
                <w:rFonts w:ascii="Arial Narrow" w:hAnsi="Arial Narrow"/>
                <w:sz w:val="20"/>
                <w:szCs w:val="20"/>
              </w:rPr>
            </w:pPr>
          </w:p>
        </w:tc>
        <w:tc>
          <w:tcPr>
            <w:tcW w:w="532" w:type="pct"/>
          </w:tcPr>
          <w:p w:rsidR="00A54C93" w:rsidRPr="00641EA7" w:rsidRDefault="00A54C93" w:rsidP="00785963">
            <w:pPr>
              <w:rPr>
                <w:rFonts w:ascii="Arial Narrow" w:hAnsi="Arial Narrow"/>
                <w:sz w:val="20"/>
                <w:szCs w:val="20"/>
              </w:rPr>
            </w:pPr>
            <w:r w:rsidRPr="00641EA7">
              <w:rPr>
                <w:rFonts w:ascii="Arial Narrow" w:hAnsi="Arial Narrow"/>
                <w:sz w:val="20"/>
                <w:szCs w:val="20"/>
                <w:lang w:val="en-US"/>
              </w:rPr>
              <w:t xml:space="preserve">96.5% </w:t>
            </w:r>
            <w:r>
              <w:rPr>
                <w:rFonts w:ascii="Arial Narrow" w:hAnsi="Arial Narrow"/>
                <w:sz w:val="20"/>
                <w:szCs w:val="20"/>
                <w:lang w:val="en-US"/>
              </w:rPr>
              <w:br/>
            </w:r>
            <w:r w:rsidRPr="00641EA7">
              <w:rPr>
                <w:rFonts w:ascii="Arial Narrow" w:hAnsi="Arial Narrow"/>
                <w:sz w:val="20"/>
                <w:szCs w:val="20"/>
                <w:lang w:val="en-US"/>
              </w:rPr>
              <w:lastRenderedPageBreak/>
              <w:t>(95.2%, 97.5%)</w:t>
            </w:r>
          </w:p>
        </w:tc>
        <w:tc>
          <w:tcPr>
            <w:tcW w:w="363" w:type="pct"/>
          </w:tcPr>
          <w:p w:rsidR="00A54C93" w:rsidRPr="00641EA7" w:rsidRDefault="00A54C93" w:rsidP="00785963">
            <w:pPr>
              <w:rPr>
                <w:rFonts w:ascii="Arial Narrow" w:hAnsi="Arial Narrow"/>
                <w:sz w:val="20"/>
                <w:szCs w:val="20"/>
              </w:rPr>
            </w:pPr>
          </w:p>
        </w:tc>
        <w:tc>
          <w:tcPr>
            <w:tcW w:w="533" w:type="pct"/>
          </w:tcPr>
          <w:p w:rsidR="00A54C93" w:rsidRPr="00641EA7" w:rsidRDefault="00A54C93" w:rsidP="00785963">
            <w:pPr>
              <w:rPr>
                <w:rFonts w:ascii="Arial Narrow" w:hAnsi="Arial Narrow"/>
                <w:sz w:val="20"/>
                <w:szCs w:val="20"/>
              </w:rPr>
            </w:pPr>
            <w:r w:rsidRPr="00641EA7">
              <w:rPr>
                <w:rFonts w:ascii="Arial Narrow" w:hAnsi="Arial Narrow"/>
                <w:color w:val="000000"/>
                <w:sz w:val="20"/>
                <w:szCs w:val="20"/>
                <w:lang w:val="en-US"/>
              </w:rPr>
              <w:t xml:space="preserve">93.5% (91.8%, </w:t>
            </w:r>
            <w:r w:rsidRPr="00641EA7">
              <w:rPr>
                <w:rFonts w:ascii="Arial Narrow" w:hAnsi="Arial Narrow"/>
                <w:color w:val="000000"/>
                <w:sz w:val="20"/>
                <w:szCs w:val="20"/>
                <w:lang w:val="en-US"/>
              </w:rPr>
              <w:lastRenderedPageBreak/>
              <w:t>94.9%)</w:t>
            </w:r>
          </w:p>
        </w:tc>
      </w:tr>
      <w:tr w:rsidR="00A54C93" w:rsidRPr="00641EA7" w:rsidTr="00785963">
        <w:tc>
          <w:tcPr>
            <w:tcW w:w="603" w:type="pct"/>
          </w:tcPr>
          <w:p w:rsidR="00A54C93" w:rsidRPr="00641EA7" w:rsidRDefault="00A54C93" w:rsidP="00785963">
            <w:pPr>
              <w:jc w:val="left"/>
              <w:rPr>
                <w:rFonts w:ascii="Arial Narrow" w:hAnsi="Arial Narrow"/>
                <w:sz w:val="20"/>
                <w:szCs w:val="20"/>
              </w:rPr>
            </w:pPr>
            <w:r w:rsidRPr="00641EA7">
              <w:rPr>
                <w:rFonts w:ascii="Arial Narrow" w:hAnsi="Arial Narrow"/>
                <w:sz w:val="20"/>
                <w:szCs w:val="20"/>
              </w:rPr>
              <w:lastRenderedPageBreak/>
              <w:t>I</w:t>
            </w:r>
            <w:r w:rsidRPr="00641EA7">
              <w:rPr>
                <w:rFonts w:ascii="Arial Narrow" w:hAnsi="Arial Narrow"/>
                <w:sz w:val="20"/>
                <w:szCs w:val="20"/>
                <w:vertAlign w:val="superscript"/>
              </w:rPr>
              <w:t>2</w:t>
            </w:r>
            <w:r w:rsidRPr="00641EA7">
              <w:rPr>
                <w:rFonts w:ascii="Arial Narrow" w:hAnsi="Arial Narrow"/>
                <w:sz w:val="20"/>
                <w:szCs w:val="20"/>
              </w:rPr>
              <w:t xml:space="preserve"> with 95% uncertainty interval</w:t>
            </w:r>
          </w:p>
        </w:tc>
        <w:tc>
          <w:tcPr>
            <w:tcW w:w="375" w:type="pct"/>
          </w:tcPr>
          <w:p w:rsidR="00A54C93" w:rsidRPr="00641EA7" w:rsidRDefault="00A54C93" w:rsidP="00785963">
            <w:pPr>
              <w:jc w:val="left"/>
              <w:rPr>
                <w:rFonts w:ascii="Arial Narrow" w:hAnsi="Arial Narrow"/>
                <w:sz w:val="20"/>
                <w:szCs w:val="20"/>
              </w:rPr>
            </w:pPr>
          </w:p>
        </w:tc>
        <w:tc>
          <w:tcPr>
            <w:tcW w:w="471" w:type="pct"/>
          </w:tcPr>
          <w:p w:rsidR="00A54C93" w:rsidRPr="00641EA7" w:rsidRDefault="00A54C93" w:rsidP="00785963">
            <w:pPr>
              <w:jc w:val="left"/>
              <w:rPr>
                <w:rFonts w:ascii="Arial Narrow" w:hAnsi="Arial Narrow"/>
                <w:sz w:val="20"/>
                <w:szCs w:val="20"/>
              </w:rPr>
            </w:pPr>
          </w:p>
        </w:tc>
        <w:tc>
          <w:tcPr>
            <w:tcW w:w="303" w:type="pct"/>
          </w:tcPr>
          <w:p w:rsidR="00A54C93" w:rsidRPr="00641EA7" w:rsidRDefault="00A54C93" w:rsidP="00785963">
            <w:pPr>
              <w:jc w:val="left"/>
              <w:rPr>
                <w:rFonts w:ascii="Arial Narrow" w:hAnsi="Arial Narrow"/>
                <w:sz w:val="20"/>
                <w:szCs w:val="20"/>
              </w:rPr>
            </w:pPr>
          </w:p>
        </w:tc>
        <w:tc>
          <w:tcPr>
            <w:tcW w:w="559"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sidRPr="00641EA7">
              <w:rPr>
                <w:rFonts w:ascii="Arial Narrow" w:hAnsi="Arial Narrow"/>
                <w:color w:val="000000"/>
                <w:sz w:val="20"/>
                <w:szCs w:val="20"/>
                <w:lang w:val="en-US"/>
              </w:rPr>
              <w:t xml:space="preserve"> = 84%</w:t>
            </w:r>
          </w:p>
        </w:tc>
        <w:tc>
          <w:tcPr>
            <w:tcW w:w="323" w:type="pct"/>
          </w:tcPr>
          <w:p w:rsidR="00A54C93" w:rsidRPr="00641EA7" w:rsidRDefault="00A54C93" w:rsidP="00785963">
            <w:pPr>
              <w:jc w:val="left"/>
              <w:rPr>
                <w:rFonts w:ascii="Arial Narrow" w:hAnsi="Arial Narrow"/>
                <w:sz w:val="20"/>
                <w:szCs w:val="20"/>
              </w:rPr>
            </w:pPr>
          </w:p>
        </w:tc>
        <w:tc>
          <w:tcPr>
            <w:tcW w:w="615"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sidRPr="00641EA7">
              <w:rPr>
                <w:rFonts w:ascii="Arial Narrow" w:hAnsi="Arial Narrow"/>
                <w:color w:val="000000"/>
                <w:sz w:val="20"/>
                <w:szCs w:val="20"/>
                <w:lang w:val="en-US"/>
              </w:rPr>
              <w:t xml:space="preserve"> = 21</w:t>
            </w:r>
            <w:r>
              <w:rPr>
                <w:rFonts w:ascii="Arial Narrow" w:hAnsi="Arial Narrow"/>
                <w:color w:val="000000"/>
                <w:sz w:val="20"/>
                <w:szCs w:val="20"/>
                <w:lang w:val="en-US"/>
              </w:rPr>
              <w:t>%</w:t>
            </w:r>
          </w:p>
        </w:tc>
        <w:tc>
          <w:tcPr>
            <w:tcW w:w="323" w:type="pct"/>
          </w:tcPr>
          <w:p w:rsidR="00A54C93" w:rsidRPr="00641EA7" w:rsidRDefault="00A54C93" w:rsidP="00785963">
            <w:pPr>
              <w:jc w:val="left"/>
              <w:rPr>
                <w:rFonts w:ascii="Arial Narrow" w:hAnsi="Arial Narrow"/>
                <w:sz w:val="20"/>
                <w:szCs w:val="20"/>
              </w:rPr>
            </w:pPr>
          </w:p>
        </w:tc>
        <w:tc>
          <w:tcPr>
            <w:tcW w:w="532"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Pr>
                <w:rFonts w:ascii="Arial Narrow" w:hAnsi="Arial Narrow"/>
                <w:color w:val="000000"/>
                <w:sz w:val="20"/>
                <w:szCs w:val="20"/>
                <w:lang w:val="en-US"/>
              </w:rPr>
              <w:t xml:space="preserve"> = 50%</w:t>
            </w:r>
          </w:p>
        </w:tc>
        <w:tc>
          <w:tcPr>
            <w:tcW w:w="363" w:type="pct"/>
          </w:tcPr>
          <w:p w:rsidR="00A54C93" w:rsidRPr="00641EA7" w:rsidRDefault="00A54C93" w:rsidP="00785963">
            <w:pPr>
              <w:jc w:val="left"/>
              <w:rPr>
                <w:rFonts w:ascii="Arial Narrow" w:hAnsi="Arial Narrow"/>
                <w:sz w:val="20"/>
                <w:szCs w:val="20"/>
              </w:rPr>
            </w:pPr>
          </w:p>
        </w:tc>
        <w:tc>
          <w:tcPr>
            <w:tcW w:w="533" w:type="pct"/>
          </w:tcPr>
          <w:p w:rsidR="00A54C93" w:rsidRPr="00641EA7" w:rsidRDefault="00A54C93" w:rsidP="00785963">
            <w:pPr>
              <w:jc w:val="left"/>
              <w:rPr>
                <w:rFonts w:ascii="Arial Narrow" w:hAnsi="Arial Narrow"/>
                <w:sz w:val="20"/>
                <w:szCs w:val="20"/>
              </w:rPr>
            </w:pPr>
            <w:r w:rsidRPr="00641EA7">
              <w:rPr>
                <w:rFonts w:ascii="Arial Narrow" w:hAnsi="Arial Narrow"/>
                <w:color w:val="000000"/>
                <w:sz w:val="20"/>
                <w:szCs w:val="20"/>
                <w:lang w:val="en-US"/>
              </w:rPr>
              <w:t>I</w:t>
            </w:r>
            <w:r w:rsidRPr="00641EA7">
              <w:rPr>
                <w:rFonts w:ascii="Arial Narrow" w:hAnsi="Arial Narrow"/>
                <w:color w:val="000000"/>
                <w:sz w:val="20"/>
                <w:szCs w:val="20"/>
                <w:vertAlign w:val="superscript"/>
                <w:lang w:val="en-US"/>
              </w:rPr>
              <w:t>2</w:t>
            </w:r>
            <w:r>
              <w:rPr>
                <w:rFonts w:ascii="Arial Narrow" w:hAnsi="Arial Narrow"/>
                <w:color w:val="000000"/>
                <w:sz w:val="20"/>
                <w:szCs w:val="20"/>
                <w:lang w:val="en-US"/>
              </w:rPr>
              <w:t xml:space="preserve"> = 50%</w:t>
            </w:r>
          </w:p>
        </w:tc>
      </w:tr>
    </w:tbl>
    <w:p w:rsidR="00A54C93" w:rsidRPr="00FA5034" w:rsidRDefault="00A54C93" w:rsidP="00A54C93">
      <w:pPr>
        <w:pStyle w:val="TextUnderTable"/>
        <w:spacing w:before="20" w:after="20"/>
        <w:rPr>
          <w:rFonts w:ascii="Arial Narrow" w:hAnsi="Arial Narrow"/>
          <w:i w:val="0"/>
          <w:sz w:val="18"/>
          <w:szCs w:val="18"/>
          <w:lang w:val="en-US" w:eastAsia="en-US"/>
        </w:rPr>
      </w:pPr>
      <w:r w:rsidRPr="00FA5034">
        <w:rPr>
          <w:rFonts w:ascii="Arial Narrow" w:hAnsi="Arial Narrow"/>
          <w:i w:val="0"/>
          <w:sz w:val="18"/>
          <w:szCs w:val="18"/>
          <w:lang w:val="en-US" w:eastAsia="en-US"/>
        </w:rPr>
        <w:t>95%CI</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exact 95% confidence interval, n</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number of subjects with a vaccine response, N</w:t>
      </w:r>
      <w:r>
        <w:rPr>
          <w:rFonts w:ascii="Arial Narrow" w:hAnsi="Arial Narrow"/>
          <w:i w:val="0"/>
          <w:sz w:val="18"/>
          <w:szCs w:val="18"/>
          <w:lang w:val="en-US" w:eastAsia="en-US"/>
        </w:rPr>
        <w:t xml:space="preserve">: </w:t>
      </w:r>
      <w:r w:rsidRPr="00FA5034">
        <w:rPr>
          <w:rFonts w:ascii="Arial Narrow" w:hAnsi="Arial Narrow"/>
          <w:i w:val="0"/>
          <w:sz w:val="18"/>
          <w:szCs w:val="18"/>
          <w:lang w:val="en-US" w:eastAsia="en-US"/>
        </w:rPr>
        <w:t>number of subjects with pre and post vaccination results</w:t>
      </w:r>
      <w:r>
        <w:rPr>
          <w:rFonts w:ascii="Arial Narrow" w:hAnsi="Arial Narrow"/>
          <w:i w:val="0"/>
          <w:sz w:val="18"/>
          <w:szCs w:val="18"/>
          <w:lang w:val="en-US" w:eastAsia="en-US"/>
        </w:rPr>
        <w:t>;</w:t>
      </w:r>
      <w:r w:rsidRPr="003D15D7">
        <w:rPr>
          <w:rFonts w:ascii="Arial Narrow" w:hAnsi="Arial Narrow"/>
          <w:i w:val="0"/>
          <w:sz w:val="18"/>
          <w:szCs w:val="18"/>
          <w:lang w:val="en-US" w:eastAsia="en-US"/>
        </w:rPr>
        <w:t xml:space="preserve"> </w:t>
      </w:r>
      <w:proofErr w:type="spellStart"/>
      <w:r w:rsidRPr="008B4901">
        <w:rPr>
          <w:rFonts w:ascii="Arial Narrow" w:hAnsi="Arial Narrow"/>
          <w:i w:val="0"/>
          <w:sz w:val="18"/>
          <w:szCs w:val="18"/>
          <w:lang w:val="en-US" w:eastAsia="en-US"/>
        </w:rPr>
        <w:t>rSBA</w:t>
      </w:r>
      <w:proofErr w:type="spellEnd"/>
      <w:r w:rsidRPr="008B4901">
        <w:rPr>
          <w:rFonts w:ascii="Arial Narrow" w:hAnsi="Arial Narrow"/>
          <w:i w:val="0"/>
          <w:sz w:val="18"/>
          <w:szCs w:val="18"/>
          <w:lang w:val="en-US" w:eastAsia="en-US"/>
        </w:rPr>
        <w:t>: serum bactericidal assay using rabbit complement</w:t>
      </w:r>
    </w:p>
    <w:p w:rsidR="00A54C93" w:rsidRPr="00FA5034" w:rsidRDefault="00A54C93" w:rsidP="00123137">
      <w:pPr>
        <w:pStyle w:val="TextUnderTable"/>
        <w:spacing w:before="20" w:after="20"/>
        <w:rPr>
          <w:rFonts w:ascii="Arial Narrow" w:hAnsi="Arial Narrow"/>
          <w:i w:val="0"/>
          <w:sz w:val="18"/>
          <w:szCs w:val="18"/>
          <w:lang w:val="en-US" w:eastAsia="en-US"/>
        </w:rPr>
      </w:pPr>
      <w:r w:rsidRPr="00FA5034">
        <w:rPr>
          <w:rFonts w:ascii="Arial Narrow" w:hAnsi="Arial Narrow"/>
          <w:i w:val="0"/>
          <w:sz w:val="18"/>
          <w:szCs w:val="18"/>
          <w:lang w:val="en-US" w:eastAsia="en-US"/>
        </w:rPr>
        <w:t xml:space="preserve">Vaccine response defined as: For initially seronegative subjects: post-vaccination antibody </w:t>
      </w:r>
      <w:proofErr w:type="spellStart"/>
      <w:r w:rsidRPr="00FA5034">
        <w:rPr>
          <w:rFonts w:ascii="Arial Narrow" w:hAnsi="Arial Narrow"/>
          <w:i w:val="0"/>
          <w:sz w:val="18"/>
          <w:szCs w:val="18"/>
          <w:lang w:val="en-US" w:eastAsia="en-US"/>
        </w:rPr>
        <w:t>titre</w:t>
      </w:r>
      <w:proofErr w:type="spellEnd"/>
      <w:r w:rsidRPr="00FA5034">
        <w:rPr>
          <w:rFonts w:ascii="Arial Narrow" w:hAnsi="Arial Narrow"/>
          <w:i w:val="0"/>
          <w:sz w:val="18"/>
          <w:szCs w:val="18"/>
          <w:lang w:val="en-US" w:eastAsia="en-US"/>
        </w:rPr>
        <w:t xml:space="preserve"> ≥ 1:32 at 30 days post vaccination; </w:t>
      </w:r>
      <w:proofErr w:type="gramStart"/>
      <w:r w:rsidRPr="00FA5034">
        <w:rPr>
          <w:rFonts w:ascii="Arial Narrow" w:hAnsi="Arial Narrow"/>
          <w:i w:val="0"/>
          <w:sz w:val="18"/>
          <w:szCs w:val="18"/>
          <w:lang w:val="en-US" w:eastAsia="en-US"/>
        </w:rPr>
        <w:t>For</w:t>
      </w:r>
      <w:proofErr w:type="gramEnd"/>
      <w:r w:rsidRPr="00FA5034">
        <w:rPr>
          <w:rFonts w:ascii="Arial Narrow" w:hAnsi="Arial Narrow"/>
          <w:i w:val="0"/>
          <w:sz w:val="18"/>
          <w:szCs w:val="18"/>
          <w:lang w:val="en-US" w:eastAsia="en-US"/>
        </w:rPr>
        <w:t xml:space="preserve"> initially seropositive subjects: antibody </w:t>
      </w:r>
      <w:proofErr w:type="spellStart"/>
      <w:r w:rsidRPr="00FA5034">
        <w:rPr>
          <w:rFonts w:ascii="Arial Narrow" w:hAnsi="Arial Narrow"/>
          <w:i w:val="0"/>
          <w:sz w:val="18"/>
          <w:szCs w:val="18"/>
          <w:lang w:val="en-US" w:eastAsia="en-US"/>
        </w:rPr>
        <w:t>titre</w:t>
      </w:r>
      <w:proofErr w:type="spellEnd"/>
      <w:r w:rsidRPr="00FA5034">
        <w:rPr>
          <w:rFonts w:ascii="Arial Narrow" w:hAnsi="Arial Narrow"/>
          <w:i w:val="0"/>
          <w:sz w:val="18"/>
          <w:szCs w:val="18"/>
          <w:lang w:val="en-US" w:eastAsia="en-US"/>
        </w:rPr>
        <w:t xml:space="preserve"> at 30 days post vaccination ≥ 4 fold the pre-vaccination antibody </w:t>
      </w:r>
      <w:proofErr w:type="spellStart"/>
      <w:r w:rsidRPr="00FA5034">
        <w:rPr>
          <w:rFonts w:ascii="Arial Narrow" w:hAnsi="Arial Narrow"/>
          <w:i w:val="0"/>
          <w:sz w:val="18"/>
          <w:szCs w:val="18"/>
          <w:lang w:val="en-US" w:eastAsia="en-US"/>
        </w:rPr>
        <w:t>titre</w:t>
      </w:r>
      <w:proofErr w:type="spellEnd"/>
      <w:r w:rsidRPr="00FA5034">
        <w:rPr>
          <w:rFonts w:ascii="Arial Narrow" w:hAnsi="Arial Narrow"/>
          <w:i w:val="0"/>
          <w:sz w:val="18"/>
          <w:szCs w:val="18"/>
          <w:lang w:val="en-US" w:eastAsia="en-US"/>
        </w:rPr>
        <w:t>.</w:t>
      </w:r>
    </w:p>
    <w:p w:rsidR="00123137" w:rsidRDefault="00A54C93" w:rsidP="00123137">
      <w:pPr>
        <w:jc w:val="left"/>
        <w:rPr>
          <w:rFonts w:ascii="Arial Narrow" w:hAnsi="Arial Narrow"/>
          <w:sz w:val="18"/>
          <w:szCs w:val="18"/>
        </w:rPr>
        <w:sectPr w:rsidR="00123137" w:rsidSect="00123137">
          <w:headerReference w:type="default" r:id="rId16"/>
          <w:pgSz w:w="16840" w:h="11907" w:orient="landscape" w:code="9"/>
          <w:pgMar w:top="1440" w:right="1440" w:bottom="1440" w:left="1440" w:header="1440" w:footer="1440" w:gutter="0"/>
          <w:cols w:space="708"/>
          <w:docGrid w:linePitch="360"/>
        </w:sectPr>
      </w:pPr>
      <w:r w:rsidRPr="00A54C93">
        <w:rPr>
          <w:rFonts w:ascii="Arial Narrow" w:hAnsi="Arial Narrow"/>
          <w:sz w:val="18"/>
          <w:szCs w:val="18"/>
        </w:rPr>
        <w:t xml:space="preserve">Source: Table 2.6.1, Table 2.6.2, Table 2.6.3 and Table 2.6.4, p145- 148 of the submission. </w:t>
      </w:r>
      <w:r w:rsidR="00123137">
        <w:rPr>
          <w:rFonts w:ascii="Arial Narrow" w:hAnsi="Arial Narrow"/>
          <w:sz w:val="18"/>
          <w:szCs w:val="18"/>
        </w:rPr>
        <w:t xml:space="preserve">  </w:t>
      </w:r>
    </w:p>
    <w:p w:rsidR="00A54C93" w:rsidRPr="00A54C93" w:rsidRDefault="00A54C93" w:rsidP="00A54C93">
      <w:pPr>
        <w:rPr>
          <w:rFonts w:cs="Calibri"/>
          <w:snapToGrid/>
          <w:szCs w:val="24"/>
          <w:lang w:val="en-US" w:eastAsia="en-AU"/>
        </w:rPr>
      </w:pPr>
    </w:p>
    <w:p w:rsidR="00332302" w:rsidRPr="00953B60" w:rsidRDefault="00AB02E9" w:rsidP="00332302">
      <w:pPr>
        <w:pStyle w:val="ListParagraph"/>
        <w:widowControl/>
        <w:numPr>
          <w:ilvl w:val="1"/>
          <w:numId w:val="1"/>
        </w:numPr>
        <w:rPr>
          <w:rFonts w:cs="Calibri"/>
          <w:snapToGrid/>
          <w:szCs w:val="24"/>
          <w:lang w:val="en-US" w:eastAsia="en-AU"/>
        </w:rPr>
      </w:pPr>
      <w:r w:rsidRPr="009A6341">
        <w:t xml:space="preserve"> </w:t>
      </w:r>
      <w:r w:rsidR="00332302">
        <w:t xml:space="preserve">The results for the proportion of subjects with </w:t>
      </w:r>
      <w:proofErr w:type="spellStart"/>
      <w:r w:rsidR="00332302" w:rsidRPr="001D20E1">
        <w:t>rSBA</w:t>
      </w:r>
      <w:proofErr w:type="spellEnd"/>
      <w:r w:rsidR="00332302" w:rsidRPr="001D20E1">
        <w:t>-Men titres ≥ 1:8</w:t>
      </w:r>
      <w:r w:rsidR="00332302">
        <w:t xml:space="preserve"> </w:t>
      </w:r>
      <w:r w:rsidR="00B117A8">
        <w:t>we</w:t>
      </w:r>
      <w:r w:rsidR="00332302">
        <w:t>re as follows:</w:t>
      </w:r>
    </w:p>
    <w:p w:rsidR="00332302" w:rsidRPr="009A6341" w:rsidRDefault="00332302" w:rsidP="00332302">
      <w:pPr>
        <w:pStyle w:val="ListParagraph"/>
        <w:widowControl/>
        <w:numPr>
          <w:ilvl w:val="0"/>
          <w:numId w:val="37"/>
        </w:numPr>
      </w:pPr>
      <w:r w:rsidRPr="009A6341">
        <w:t>Serogroup A ranged from 5.0% to 100% pre-vaccination and 99.5% to 100% at one month post-vaccination.</w:t>
      </w:r>
    </w:p>
    <w:p w:rsidR="00332302" w:rsidRPr="009A6341" w:rsidRDefault="00332302" w:rsidP="00332302">
      <w:pPr>
        <w:pStyle w:val="ListParagraph"/>
        <w:widowControl/>
        <w:numPr>
          <w:ilvl w:val="0"/>
          <w:numId w:val="37"/>
        </w:numPr>
      </w:pPr>
      <w:r w:rsidRPr="009A6341">
        <w:t xml:space="preserve">Serogroup C ranged from 13.3% to 79.2% pre-vaccination and 97.5% to 100% at one month post-vaccination. </w:t>
      </w:r>
    </w:p>
    <w:p w:rsidR="00332302" w:rsidRDefault="00332302" w:rsidP="00332302">
      <w:pPr>
        <w:pStyle w:val="ListParagraph"/>
        <w:widowControl/>
        <w:numPr>
          <w:ilvl w:val="0"/>
          <w:numId w:val="37"/>
        </w:numPr>
      </w:pPr>
      <w:r w:rsidRPr="009A6341">
        <w:t xml:space="preserve">Serogroup W ranged from 7.5% to 86.3% pre-vaccination and 97.5% to 100% at one month post-vaccination. </w:t>
      </w:r>
    </w:p>
    <w:p w:rsidR="00332302" w:rsidRDefault="00332302" w:rsidP="00332302">
      <w:pPr>
        <w:pStyle w:val="ListParagraph"/>
        <w:widowControl/>
        <w:numPr>
          <w:ilvl w:val="0"/>
          <w:numId w:val="37"/>
        </w:numPr>
      </w:pPr>
      <w:r w:rsidRPr="009A6341">
        <w:t xml:space="preserve">Serogroup Y ranged from 20.0% to 94.2% pre-vaccination and 99.1% to 100% at one month post-vaccination. </w:t>
      </w:r>
    </w:p>
    <w:p w:rsidR="00CD5994" w:rsidRDefault="00633A5D" w:rsidP="009E2CAD">
      <w:pPr>
        <w:pStyle w:val="ListParagraph"/>
        <w:numPr>
          <w:ilvl w:val="1"/>
          <w:numId w:val="1"/>
        </w:numPr>
        <w:rPr>
          <w:rFonts w:cs="Calibri"/>
          <w:snapToGrid/>
          <w:szCs w:val="24"/>
          <w:lang w:val="en-US" w:eastAsia="en-AU"/>
        </w:rPr>
      </w:pPr>
      <w:r w:rsidRPr="001F46E0">
        <w:rPr>
          <w:rFonts w:cs="Calibri"/>
          <w:snapToGrid/>
          <w:szCs w:val="24"/>
          <w:lang w:val="en-US" w:eastAsia="en-AU"/>
        </w:rPr>
        <w:t>The submission reported the</w:t>
      </w:r>
      <w:r w:rsidR="001B4ED3">
        <w:rPr>
          <w:rFonts w:cs="Calibri"/>
          <w:snapToGrid/>
          <w:szCs w:val="24"/>
          <w:lang w:val="en-US" w:eastAsia="en-AU"/>
        </w:rPr>
        <w:t xml:space="preserve"> results from the</w:t>
      </w:r>
      <w:r w:rsidRPr="001F46E0">
        <w:rPr>
          <w:rFonts w:cs="Calibri"/>
          <w:snapToGrid/>
          <w:szCs w:val="24"/>
          <w:lang w:val="en-US" w:eastAsia="en-AU"/>
        </w:rPr>
        <w:t xml:space="preserve"> persistence </w:t>
      </w:r>
      <w:r w:rsidR="001B4ED3">
        <w:rPr>
          <w:rFonts w:cs="Calibri"/>
          <w:snapToGrid/>
          <w:szCs w:val="24"/>
          <w:lang w:val="en-US" w:eastAsia="en-AU"/>
        </w:rPr>
        <w:t>studies</w:t>
      </w:r>
      <w:r w:rsidRPr="001F46E0">
        <w:rPr>
          <w:rFonts w:cs="Calibri"/>
          <w:snapToGrid/>
          <w:szCs w:val="24"/>
          <w:lang w:val="en-US" w:eastAsia="en-AU"/>
        </w:rPr>
        <w:t xml:space="preserve"> </w:t>
      </w:r>
      <w:r w:rsidR="001F46E0" w:rsidRPr="001F46E0">
        <w:rPr>
          <w:rFonts w:cs="Calibri"/>
          <w:snapToGrid/>
          <w:szCs w:val="24"/>
          <w:lang w:val="en-US" w:eastAsia="en-AU"/>
        </w:rPr>
        <w:t>using the</w:t>
      </w:r>
      <w:r w:rsidR="001B4ED3">
        <w:rPr>
          <w:rFonts w:cs="Calibri"/>
          <w:snapToGrid/>
          <w:szCs w:val="24"/>
          <w:lang w:val="en-US" w:eastAsia="en-AU"/>
        </w:rPr>
        <w:t xml:space="preserve"> primary</w:t>
      </w:r>
      <w:r w:rsidR="001F46E0" w:rsidRPr="001F46E0">
        <w:rPr>
          <w:rFonts w:cs="Calibri"/>
          <w:snapToGrid/>
          <w:szCs w:val="24"/>
          <w:lang w:val="en-US" w:eastAsia="en-AU"/>
        </w:rPr>
        <w:t xml:space="preserve"> </w:t>
      </w:r>
      <w:r w:rsidR="001B4ED3">
        <w:rPr>
          <w:rFonts w:cs="Calibri"/>
          <w:snapToGrid/>
          <w:szCs w:val="24"/>
          <w:lang w:val="en-US" w:eastAsia="en-AU"/>
        </w:rPr>
        <w:t xml:space="preserve">outcome of the </w:t>
      </w:r>
      <w:r w:rsidR="001F46E0" w:rsidRPr="001F46E0">
        <w:rPr>
          <w:rFonts w:cs="Calibri"/>
          <w:snapToGrid/>
          <w:szCs w:val="24"/>
          <w:lang w:val="en-US" w:eastAsia="en-AU"/>
        </w:rPr>
        <w:t xml:space="preserve">proportion of </w:t>
      </w:r>
      <w:r w:rsidR="00E75908">
        <w:rPr>
          <w:rFonts w:cs="Calibri"/>
          <w:snapToGrid/>
          <w:szCs w:val="24"/>
          <w:lang w:val="en-US" w:eastAsia="en-AU"/>
        </w:rPr>
        <w:t xml:space="preserve">subjects </w:t>
      </w:r>
      <w:r w:rsidR="001F46E0">
        <w:rPr>
          <w:rFonts w:cs="Calibri"/>
          <w:snapToGrid/>
          <w:szCs w:val="24"/>
          <w:lang w:val="en-US" w:eastAsia="en-AU"/>
        </w:rPr>
        <w:t xml:space="preserve">with </w:t>
      </w:r>
      <w:proofErr w:type="spellStart"/>
      <w:r w:rsidR="001F46E0">
        <w:rPr>
          <w:rFonts w:cs="Calibri"/>
          <w:snapToGrid/>
          <w:szCs w:val="24"/>
          <w:lang w:val="en-US" w:eastAsia="en-AU"/>
        </w:rPr>
        <w:t>rSBA</w:t>
      </w:r>
      <w:proofErr w:type="spellEnd"/>
      <w:r w:rsidR="001F46E0">
        <w:rPr>
          <w:rFonts w:cs="Calibri"/>
          <w:snapToGrid/>
          <w:szCs w:val="24"/>
          <w:lang w:val="en-US" w:eastAsia="en-AU"/>
        </w:rPr>
        <w:t xml:space="preserve"> </w:t>
      </w:r>
      <w:proofErr w:type="spellStart"/>
      <w:r w:rsidR="001F46E0">
        <w:rPr>
          <w:rFonts w:cs="Calibri"/>
          <w:snapToGrid/>
          <w:szCs w:val="24"/>
          <w:lang w:val="en-US" w:eastAsia="en-AU"/>
        </w:rPr>
        <w:t>titres</w:t>
      </w:r>
      <w:proofErr w:type="spellEnd"/>
      <w:r w:rsidR="001F46E0">
        <w:rPr>
          <w:rFonts w:cs="Calibri"/>
          <w:snapToGrid/>
          <w:szCs w:val="24"/>
          <w:lang w:val="en-US" w:eastAsia="en-AU"/>
        </w:rPr>
        <w:t xml:space="preserve"> ≥ 1:8</w:t>
      </w:r>
      <w:r w:rsidR="008A1314">
        <w:rPr>
          <w:rFonts w:cs="Calibri"/>
          <w:snapToGrid/>
          <w:szCs w:val="24"/>
          <w:lang w:val="en-US" w:eastAsia="en-AU"/>
        </w:rPr>
        <w:t>.</w:t>
      </w:r>
      <w:r w:rsidR="003E4343">
        <w:rPr>
          <w:rFonts w:cs="Calibri"/>
          <w:snapToGrid/>
          <w:szCs w:val="24"/>
          <w:lang w:val="en-US" w:eastAsia="en-AU"/>
        </w:rPr>
        <w:t xml:space="preserve"> </w:t>
      </w:r>
      <w:r w:rsidR="008A1314">
        <w:rPr>
          <w:rFonts w:cs="Calibri"/>
          <w:snapToGrid/>
          <w:szCs w:val="24"/>
          <w:lang w:val="en-US" w:eastAsia="en-AU"/>
        </w:rPr>
        <w:t xml:space="preserve">The results are presented in </w:t>
      </w:r>
      <w:r w:rsidR="0020719C" w:rsidRPr="006D5571">
        <w:rPr>
          <w:rFonts w:cs="Calibri"/>
          <w:snapToGrid/>
          <w:szCs w:val="24"/>
          <w:lang w:val="en-US" w:eastAsia="en-AU"/>
        </w:rPr>
        <w:t xml:space="preserve">Table </w:t>
      </w:r>
      <w:r w:rsidR="004A20D6">
        <w:rPr>
          <w:rFonts w:cs="Calibri"/>
          <w:snapToGrid/>
          <w:szCs w:val="24"/>
          <w:lang w:val="en-US" w:eastAsia="en-AU"/>
        </w:rPr>
        <w:t>7</w:t>
      </w:r>
      <w:r w:rsidR="00F348DE">
        <w:rPr>
          <w:rFonts w:cs="Calibri"/>
          <w:snapToGrid/>
          <w:szCs w:val="24"/>
          <w:lang w:val="en-US" w:eastAsia="en-AU"/>
        </w:rPr>
        <w:t xml:space="preserve">. </w:t>
      </w:r>
    </w:p>
    <w:p w:rsidR="00123137" w:rsidRPr="0078108C" w:rsidRDefault="00123137" w:rsidP="00123137">
      <w:pPr>
        <w:pStyle w:val="ListParagraph"/>
        <w:widowControl/>
        <w:numPr>
          <w:ilvl w:val="1"/>
          <w:numId w:val="1"/>
        </w:numPr>
      </w:pPr>
      <w:r w:rsidRPr="00944AAD">
        <w:t xml:space="preserve">The persistence studies showed that at least 71.6% </w:t>
      </w:r>
      <w:r w:rsidR="00E75908">
        <w:t xml:space="preserve">of subjects </w:t>
      </w:r>
      <w:r w:rsidRPr="00944AAD">
        <w:t xml:space="preserve">who received the </w:t>
      </w:r>
      <w:proofErr w:type="spellStart"/>
      <w:r w:rsidRPr="00944AAD">
        <w:t>MenACWY</w:t>
      </w:r>
      <w:proofErr w:type="spellEnd"/>
      <w:r w:rsidRPr="00944AAD">
        <w:t xml:space="preserve">-TT vaccine had </w:t>
      </w:r>
      <w:proofErr w:type="spellStart"/>
      <w:r w:rsidRPr="00944AAD">
        <w:t>rSBA</w:t>
      </w:r>
      <w:proofErr w:type="spellEnd"/>
      <w:r w:rsidRPr="00944AAD">
        <w:t xml:space="preserve"> ≥1:8 at five years post-vaccination.</w:t>
      </w:r>
    </w:p>
    <w:p w:rsidR="00123137" w:rsidRDefault="00123137" w:rsidP="00F34C13">
      <w:pPr>
        <w:pStyle w:val="ListParagraph"/>
        <w:widowControl/>
        <w:numPr>
          <w:ilvl w:val="1"/>
          <w:numId w:val="1"/>
        </w:numPr>
      </w:pPr>
      <w:r w:rsidRPr="00944AAD">
        <w:t>A significant proportion of subjects were lost to follow-up (subjects used in analysis: 58</w:t>
      </w:r>
      <w:r w:rsidR="001B4ED3">
        <w:t>-90</w:t>
      </w:r>
      <w:r w:rsidRPr="00944AAD">
        <w:t xml:space="preserve">% in Year 3, 51-84% in Year 4 and 14-31% of the original cohort) and so the persistence results should be interpreted with </w:t>
      </w:r>
      <w:r w:rsidRPr="003D5C0B">
        <w:t xml:space="preserve">caution. The ESC noted </w:t>
      </w:r>
      <w:r w:rsidR="00DD05C3" w:rsidRPr="003D5C0B">
        <w:t>persistence</w:t>
      </w:r>
      <w:r w:rsidRPr="003D5C0B">
        <w:t xml:space="preserve"> </w:t>
      </w:r>
      <w:r w:rsidR="001B4ED3">
        <w:t xml:space="preserve">of effect </w:t>
      </w:r>
      <w:r w:rsidRPr="003D5C0B">
        <w:t>out to 5 years although</w:t>
      </w:r>
      <w:r w:rsidR="00C13EE6">
        <w:t xml:space="preserve"> considered</w:t>
      </w:r>
      <w:r w:rsidRPr="003D5C0B">
        <w:t xml:space="preserve"> the </w:t>
      </w:r>
      <w:r w:rsidR="00DD05C3" w:rsidRPr="003D5C0B">
        <w:t>persistence</w:t>
      </w:r>
      <w:r w:rsidRPr="003D5C0B">
        <w:t xml:space="preserve"> uncertain given the loss to follow-up.</w:t>
      </w:r>
      <w:r w:rsidR="00332302" w:rsidRPr="003D5C0B">
        <w:t xml:space="preserve"> Use of</w:t>
      </w:r>
      <w:r w:rsidRPr="003D5C0B">
        <w:t xml:space="preserve"> single-arm</w:t>
      </w:r>
      <w:r w:rsidR="00332302" w:rsidRPr="003D5C0B">
        <w:t>s</w:t>
      </w:r>
      <w:r w:rsidRPr="003D5C0B">
        <w:t xml:space="preserve"> of RCT</w:t>
      </w:r>
      <w:r w:rsidR="00332302" w:rsidRPr="003D5C0B">
        <w:t>s</w:t>
      </w:r>
      <w:r w:rsidRPr="003D5C0B">
        <w:t xml:space="preserve"> does not take into account rates of natural immunity. The ESC noted that the natural history of meningococcal disease remains unpredictable</w:t>
      </w:r>
      <w:r w:rsidR="00721A48" w:rsidRPr="003D5C0B">
        <w:t>,</w:t>
      </w:r>
      <w:r w:rsidR="00F34D88" w:rsidRPr="003D5C0B">
        <w:t xml:space="preserve"> </w:t>
      </w:r>
      <w:r w:rsidR="00721A48" w:rsidRPr="003D5C0B">
        <w:t xml:space="preserve">but it appears that introduction of </w:t>
      </w:r>
      <w:r w:rsidR="001B4ED3">
        <w:t xml:space="preserve">the </w:t>
      </w:r>
      <w:proofErr w:type="spellStart"/>
      <w:r w:rsidR="00721A48" w:rsidRPr="003D5C0B">
        <w:t>MenC</w:t>
      </w:r>
      <w:proofErr w:type="spellEnd"/>
      <w:r w:rsidR="00721A48" w:rsidRPr="003D5C0B">
        <w:t xml:space="preserve"> vaccine to infants and via an initial catch</w:t>
      </w:r>
      <w:r w:rsidR="00E14B14">
        <w:t>-</w:t>
      </w:r>
      <w:r w:rsidR="00721A48" w:rsidRPr="003D5C0B">
        <w:t xml:space="preserve">up program had a very significant and ongoing impact on the incidence of </w:t>
      </w:r>
      <w:proofErr w:type="spellStart"/>
      <w:r w:rsidR="00721A48" w:rsidRPr="003D5C0B">
        <w:t>MenC</w:t>
      </w:r>
      <w:proofErr w:type="spellEnd"/>
      <w:r w:rsidRPr="003D5C0B">
        <w:t>.</w:t>
      </w:r>
      <w:r w:rsidR="005E07C6">
        <w:t xml:space="preserve"> </w:t>
      </w:r>
    </w:p>
    <w:p w:rsidR="00A55D94" w:rsidRDefault="00A55D94" w:rsidP="00F34C13">
      <w:pPr>
        <w:pStyle w:val="ListParagraph"/>
        <w:widowControl/>
        <w:numPr>
          <w:ilvl w:val="1"/>
          <w:numId w:val="1"/>
        </w:numPr>
      </w:pPr>
      <w:r w:rsidRPr="00F34C13">
        <w:t xml:space="preserve">The PBAC noted the </w:t>
      </w:r>
      <w:r w:rsidR="00F34C13">
        <w:t xml:space="preserve">results of the </w:t>
      </w:r>
      <w:r w:rsidR="0052432B" w:rsidRPr="00F34C13">
        <w:t>meta-analysis</w:t>
      </w:r>
      <w:r w:rsidR="00F34C13">
        <w:t xml:space="preserve">, </w:t>
      </w:r>
      <w:r w:rsidR="006562AD">
        <w:t xml:space="preserve">the </w:t>
      </w:r>
      <w:r w:rsidR="00F34C13">
        <w:t>persistence</w:t>
      </w:r>
      <w:r w:rsidR="0052432B" w:rsidRPr="00F34C13">
        <w:t xml:space="preserve"> </w:t>
      </w:r>
      <w:r w:rsidRPr="00F34C13">
        <w:t>data</w:t>
      </w:r>
      <w:r w:rsidR="0052432B" w:rsidRPr="00F34C13">
        <w:t xml:space="preserve"> and ATAGI’s advice (Pre-Submission Advice, p</w:t>
      </w:r>
      <w:r w:rsidR="00F060C9" w:rsidRPr="00F34C13">
        <w:t>15</w:t>
      </w:r>
      <w:r w:rsidR="0052432B" w:rsidRPr="00F34C13">
        <w:t>)</w:t>
      </w:r>
      <w:r w:rsidR="00F060C9" w:rsidRPr="00F34C13">
        <w:t xml:space="preserve"> that it is likely that waning occurs in the 5 years post-vaccination and that duration of protection post-vaccination should be assumed to be no longer than 5 years</w:t>
      </w:r>
      <w:r w:rsidR="0052432B" w:rsidRPr="00F34C13">
        <w:t>.</w:t>
      </w:r>
    </w:p>
    <w:p w:rsidR="00F34C13" w:rsidRPr="00F34C13" w:rsidRDefault="00F34C13" w:rsidP="00F34C13">
      <w:pPr>
        <w:pStyle w:val="ListParagraph"/>
        <w:widowControl/>
        <w:numPr>
          <w:ilvl w:val="1"/>
          <w:numId w:val="1"/>
        </w:numPr>
        <w:sectPr w:rsidR="00F34C13" w:rsidRPr="00F34C13" w:rsidSect="00F348DE">
          <w:headerReference w:type="default" r:id="rId17"/>
          <w:pgSz w:w="11907" w:h="16840" w:code="9"/>
          <w:pgMar w:top="1440" w:right="1440" w:bottom="1440" w:left="1440" w:header="1440" w:footer="1440" w:gutter="0"/>
          <w:cols w:space="708"/>
          <w:docGrid w:linePitch="360"/>
        </w:sectPr>
      </w:pPr>
    </w:p>
    <w:p w:rsidR="0020719C" w:rsidRPr="00CD5994" w:rsidRDefault="0020719C" w:rsidP="00CD5994">
      <w:pPr>
        <w:rPr>
          <w:rFonts w:ascii="Arial Narrow" w:hAnsi="Arial Narrow"/>
          <w:b/>
          <w:sz w:val="20"/>
          <w:szCs w:val="20"/>
        </w:rPr>
      </w:pPr>
      <w:r w:rsidRPr="00CD5994">
        <w:rPr>
          <w:rFonts w:ascii="Arial Narrow" w:hAnsi="Arial Narrow"/>
          <w:b/>
          <w:sz w:val="20"/>
          <w:szCs w:val="20"/>
        </w:rPr>
        <w:lastRenderedPageBreak/>
        <w:t xml:space="preserve">Table </w:t>
      </w:r>
      <w:r w:rsidR="004A20D6">
        <w:rPr>
          <w:rFonts w:ascii="Arial Narrow" w:hAnsi="Arial Narrow"/>
          <w:b/>
          <w:sz w:val="20"/>
          <w:szCs w:val="20"/>
        </w:rPr>
        <w:t>7</w:t>
      </w:r>
      <w:r w:rsidRPr="00CD5994">
        <w:rPr>
          <w:rFonts w:ascii="Arial Narrow" w:hAnsi="Arial Narrow"/>
          <w:b/>
          <w:sz w:val="20"/>
          <w:szCs w:val="20"/>
        </w:rPr>
        <w:t xml:space="preserve">: Persistence of </w:t>
      </w:r>
      <w:proofErr w:type="spellStart"/>
      <w:r w:rsidRPr="00CD5994">
        <w:rPr>
          <w:rFonts w:ascii="Arial Narrow" w:hAnsi="Arial Narrow"/>
          <w:b/>
          <w:sz w:val="20"/>
          <w:szCs w:val="20"/>
        </w:rPr>
        <w:t>rSBA</w:t>
      </w:r>
      <w:proofErr w:type="spellEnd"/>
      <w:r w:rsidRPr="00CD5994">
        <w:rPr>
          <w:rFonts w:ascii="Arial Narrow" w:hAnsi="Arial Narrow"/>
          <w:b/>
          <w:sz w:val="20"/>
          <w:szCs w:val="20"/>
        </w:rPr>
        <w:t xml:space="preserve"> ≥1:8 reported at each year post-vaccination (ATP &amp; TVC cohort for persistence)</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49"/>
        <w:gridCol w:w="1152"/>
        <w:gridCol w:w="1584"/>
        <w:gridCol w:w="1152"/>
        <w:gridCol w:w="1584"/>
        <w:gridCol w:w="1152"/>
        <w:gridCol w:w="1584"/>
        <w:gridCol w:w="1155"/>
        <w:gridCol w:w="1463"/>
        <w:gridCol w:w="1279"/>
      </w:tblGrid>
      <w:tr w:rsidR="0020719C" w:rsidRPr="00F348DE" w:rsidTr="009A6341">
        <w:trPr>
          <w:trHeight w:val="21"/>
          <w:tblHeader/>
        </w:trPr>
        <w:tc>
          <w:tcPr>
            <w:tcW w:w="398" w:type="pct"/>
            <w:vMerge w:val="restart"/>
            <w:shd w:val="clear" w:color="auto" w:fill="auto"/>
            <w:noWrap/>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Extension studies</w:t>
            </w:r>
          </w:p>
        </w:tc>
        <w:tc>
          <w:tcPr>
            <w:tcW w:w="399" w:type="pct"/>
            <w:vMerge w:val="restart"/>
            <w:shd w:val="clear" w:color="auto" w:fill="auto"/>
            <w:noWrap/>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Endpoints reported</w:t>
            </w:r>
          </w:p>
        </w:tc>
        <w:tc>
          <w:tcPr>
            <w:tcW w:w="400" w:type="pct"/>
            <w:vMerge w:val="restart"/>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 xml:space="preserve">Analysis </w:t>
            </w:r>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proofErr w:type="spellStart"/>
            <w:r w:rsidRPr="00CD5994">
              <w:rPr>
                <w:rFonts w:ascii="Arial Narrow" w:hAnsi="Arial Narrow" w:cs="Calibri"/>
                <w:b/>
                <w:snapToGrid/>
                <w:sz w:val="20"/>
                <w:szCs w:val="20"/>
                <w:lang w:val="en-US" w:eastAsia="en-AU"/>
              </w:rPr>
              <w:t>rSBA-MenA</w:t>
            </w:r>
            <w:proofErr w:type="spellEnd"/>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proofErr w:type="spellStart"/>
            <w:r w:rsidRPr="00CD5994">
              <w:rPr>
                <w:rFonts w:ascii="Arial Narrow" w:hAnsi="Arial Narrow" w:cs="Calibri"/>
                <w:b/>
                <w:snapToGrid/>
                <w:sz w:val="20"/>
                <w:szCs w:val="20"/>
                <w:lang w:val="en-US" w:eastAsia="en-AU"/>
              </w:rPr>
              <w:t>rSBA-MenC</w:t>
            </w:r>
            <w:proofErr w:type="spellEnd"/>
          </w:p>
        </w:tc>
        <w:tc>
          <w:tcPr>
            <w:tcW w:w="951"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r w:rsidRPr="00CD5994">
              <w:rPr>
                <w:rFonts w:ascii="Arial Narrow" w:hAnsi="Arial Narrow" w:cs="Calibri"/>
                <w:b/>
                <w:snapToGrid/>
                <w:sz w:val="20"/>
                <w:szCs w:val="20"/>
                <w:lang w:val="en-US" w:eastAsia="en-AU"/>
              </w:rPr>
              <w:t>rSBA-MenW-135</w:t>
            </w:r>
          </w:p>
        </w:tc>
        <w:tc>
          <w:tcPr>
            <w:tcW w:w="950" w:type="pct"/>
            <w:gridSpan w:val="2"/>
            <w:shd w:val="clear" w:color="auto" w:fill="auto"/>
            <w:hideMark/>
          </w:tcPr>
          <w:p w:rsidR="0020719C" w:rsidRPr="00CD5994" w:rsidRDefault="0020719C" w:rsidP="009A6341">
            <w:pPr>
              <w:jc w:val="left"/>
              <w:rPr>
                <w:rFonts w:ascii="Arial Narrow" w:hAnsi="Arial Narrow" w:cs="Calibri"/>
                <w:b/>
                <w:snapToGrid/>
                <w:sz w:val="20"/>
                <w:szCs w:val="20"/>
                <w:lang w:val="en-US" w:eastAsia="en-AU"/>
              </w:rPr>
            </w:pPr>
            <w:proofErr w:type="spellStart"/>
            <w:r w:rsidRPr="00CD5994">
              <w:rPr>
                <w:rFonts w:ascii="Arial Narrow" w:hAnsi="Arial Narrow" w:cs="Calibri"/>
                <w:b/>
                <w:snapToGrid/>
                <w:sz w:val="20"/>
                <w:szCs w:val="20"/>
                <w:lang w:val="en-US" w:eastAsia="en-AU"/>
              </w:rPr>
              <w:t>rSBA-MenY</w:t>
            </w:r>
            <w:proofErr w:type="spellEnd"/>
          </w:p>
        </w:tc>
      </w:tr>
      <w:tr w:rsidR="0020719C" w:rsidRPr="009A6341" w:rsidTr="009A6341">
        <w:trPr>
          <w:trHeight w:val="62"/>
          <w:tblHeader/>
        </w:trPr>
        <w:tc>
          <w:tcPr>
            <w:tcW w:w="398"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399"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400" w:type="pct"/>
            <w:vMerge/>
            <w:shd w:val="clear" w:color="auto" w:fill="auto"/>
            <w:vAlign w:val="center"/>
            <w:hideMark/>
          </w:tcPr>
          <w:p w:rsidR="0020719C" w:rsidRPr="00CD5994" w:rsidRDefault="0020719C" w:rsidP="009A6341">
            <w:pPr>
              <w:jc w:val="left"/>
              <w:rPr>
                <w:rFonts w:ascii="Arial Narrow" w:hAnsi="Arial Narrow"/>
                <w:b/>
                <w:bCs/>
                <w:color w:val="000000"/>
                <w:sz w:val="20"/>
                <w:szCs w:val="20"/>
                <w:lang w:val="en-US"/>
              </w:rPr>
            </w:pP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proofErr w:type="gramStart"/>
            <w:r w:rsidRPr="00CD5994">
              <w:rPr>
                <w:rFonts w:ascii="Arial Narrow" w:hAnsi="Arial Narrow"/>
                <w:b/>
                <w:bCs/>
                <w:color w:val="000000"/>
                <w:sz w:val="20"/>
                <w:szCs w:val="20"/>
                <w:lang w:val="en-US"/>
              </w:rPr>
              <w:t>n/N</w:t>
            </w:r>
            <w:proofErr w:type="gramEnd"/>
            <w:r w:rsidRPr="00CD5994">
              <w:rPr>
                <w:rFonts w:ascii="Arial Narrow" w:hAnsi="Arial Narrow"/>
                <w:b/>
                <w:bCs/>
                <w:color w:val="000000"/>
                <w:sz w:val="20"/>
                <w:szCs w:val="20"/>
                <w:lang w:val="en-US"/>
              </w:rPr>
              <w:t xml:space="preserve"> (%)</w:t>
            </w:r>
          </w:p>
        </w:tc>
        <w:tc>
          <w:tcPr>
            <w:tcW w:w="40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proofErr w:type="gramStart"/>
            <w:r w:rsidRPr="00CD5994">
              <w:rPr>
                <w:rFonts w:ascii="Arial Narrow" w:hAnsi="Arial Narrow"/>
                <w:b/>
                <w:bCs/>
                <w:color w:val="000000"/>
                <w:sz w:val="20"/>
                <w:szCs w:val="20"/>
                <w:lang w:val="en-US"/>
              </w:rPr>
              <w:t>n/N</w:t>
            </w:r>
            <w:proofErr w:type="gramEnd"/>
            <w:r w:rsidRPr="00CD5994">
              <w:rPr>
                <w:rFonts w:ascii="Arial Narrow" w:hAnsi="Arial Narrow"/>
                <w:b/>
                <w:bCs/>
                <w:color w:val="000000"/>
                <w:sz w:val="20"/>
                <w:szCs w:val="20"/>
                <w:lang w:val="en-US"/>
              </w:rPr>
              <w:t xml:space="preserve"> (%)</w:t>
            </w:r>
          </w:p>
        </w:tc>
        <w:tc>
          <w:tcPr>
            <w:tcW w:w="40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50"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proofErr w:type="gramStart"/>
            <w:r w:rsidRPr="00CD5994">
              <w:rPr>
                <w:rFonts w:ascii="Arial Narrow" w:hAnsi="Arial Narrow"/>
                <w:b/>
                <w:bCs/>
                <w:color w:val="000000"/>
                <w:sz w:val="20"/>
                <w:szCs w:val="20"/>
                <w:lang w:val="en-US"/>
              </w:rPr>
              <w:t>n/N</w:t>
            </w:r>
            <w:proofErr w:type="gramEnd"/>
            <w:r w:rsidRPr="00CD5994">
              <w:rPr>
                <w:rFonts w:ascii="Arial Narrow" w:hAnsi="Arial Narrow"/>
                <w:b/>
                <w:bCs/>
                <w:color w:val="000000"/>
                <w:sz w:val="20"/>
                <w:szCs w:val="20"/>
                <w:lang w:val="en-US"/>
              </w:rPr>
              <w:t xml:space="preserve"> (%)</w:t>
            </w:r>
          </w:p>
        </w:tc>
        <w:tc>
          <w:tcPr>
            <w:tcW w:w="401"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c>
          <w:tcPr>
            <w:tcW w:w="508"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proofErr w:type="gramStart"/>
            <w:r w:rsidRPr="00CD5994">
              <w:rPr>
                <w:rFonts w:ascii="Arial Narrow" w:hAnsi="Arial Narrow"/>
                <w:b/>
                <w:bCs/>
                <w:color w:val="000000"/>
                <w:sz w:val="20"/>
                <w:szCs w:val="20"/>
                <w:lang w:val="en-US"/>
              </w:rPr>
              <w:t>n/N</w:t>
            </w:r>
            <w:proofErr w:type="gramEnd"/>
            <w:r w:rsidRPr="00CD5994">
              <w:rPr>
                <w:rFonts w:ascii="Arial Narrow" w:hAnsi="Arial Narrow"/>
                <w:b/>
                <w:bCs/>
                <w:color w:val="000000"/>
                <w:sz w:val="20"/>
                <w:szCs w:val="20"/>
                <w:lang w:val="en-US"/>
              </w:rPr>
              <w:t xml:space="preserve"> (%)</w:t>
            </w:r>
          </w:p>
        </w:tc>
        <w:tc>
          <w:tcPr>
            <w:tcW w:w="442" w:type="pct"/>
            <w:shd w:val="clear" w:color="auto" w:fill="auto"/>
            <w:noWrap/>
            <w:hideMark/>
          </w:tcPr>
          <w:p w:rsidR="0020719C" w:rsidRPr="00CD5994" w:rsidRDefault="0020719C" w:rsidP="009A6341">
            <w:pPr>
              <w:jc w:val="left"/>
              <w:rPr>
                <w:rFonts w:ascii="Arial Narrow" w:hAnsi="Arial Narrow"/>
                <w:b/>
                <w:bCs/>
                <w:color w:val="000000"/>
                <w:sz w:val="20"/>
                <w:szCs w:val="20"/>
                <w:lang w:val="en-US"/>
              </w:rPr>
            </w:pPr>
            <w:r w:rsidRPr="00CD5994">
              <w:rPr>
                <w:rFonts w:ascii="Arial Narrow" w:hAnsi="Arial Narrow"/>
                <w:b/>
                <w:bCs/>
                <w:color w:val="000000"/>
                <w:sz w:val="20"/>
                <w:szCs w:val="20"/>
                <w:lang w:val="en-US"/>
              </w:rPr>
              <w:t>95% CI</w:t>
            </w:r>
          </w:p>
        </w:tc>
      </w:tr>
      <w:tr w:rsidR="0020719C" w:rsidRPr="009A6341" w:rsidTr="009A6341">
        <w:trPr>
          <w:trHeight w:val="21"/>
        </w:trPr>
        <w:tc>
          <w:tcPr>
            <w:tcW w:w="5000" w:type="pct"/>
            <w:gridSpan w:val="11"/>
            <w:shd w:val="clear" w:color="auto" w:fill="auto"/>
          </w:tcPr>
          <w:p w:rsidR="0020719C" w:rsidRPr="009A6341" w:rsidRDefault="0020719C" w:rsidP="002E7614">
            <w:pPr>
              <w:jc w:val="left"/>
              <w:rPr>
                <w:rFonts w:ascii="Arial Narrow" w:hAnsi="Arial Narrow"/>
                <w:b/>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(MenACWY-TT-015)</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MenACWY-TT-016</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1</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353/3</w:t>
            </w:r>
            <w:r w:rsidR="009A6341">
              <w:rPr>
                <w:rFonts w:ascii="Arial Narrow" w:hAnsi="Arial Narrow"/>
                <w:color w:val="000000"/>
                <w:sz w:val="20"/>
                <w:szCs w:val="20"/>
                <w:lang w:val="en-US"/>
              </w:rPr>
              <w:t>54 (99.7</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352/353 (99.7</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355/356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355/355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(99.0, 100)</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MenACWY-TT-017</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337/338 (99.7</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(99.7, 98.4)</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343/345 (99.4</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(97.9, 99.9)</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344/346 (99.4)</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344/345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MenACWY-TT-018</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322/322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334/337 (99.1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(97.4, 99.8)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335/336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337/338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328/328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340/343 (99.1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(97.5, 99.8)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341/342 (99.7</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343/344 (99.7</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(98.4, 100)</w:t>
            </w:r>
          </w:p>
        </w:tc>
      </w:tr>
      <w:tr w:rsidR="0020719C" w:rsidRPr="009A6341" w:rsidTr="009A6341">
        <w:trPr>
          <w:trHeight w:val="21"/>
        </w:trPr>
        <w:tc>
          <w:tcPr>
            <w:tcW w:w="398"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MenACWY-TT-019</w:t>
            </w: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4</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270/312 (86.5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(82.2, 90.1)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276/312 (88.5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(84.4, 91.8)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231/312 (74</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(68.8, 78.8)</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256/309 (82.8</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(78.2, 86.9)</w:t>
            </w:r>
          </w:p>
        </w:tc>
      </w:tr>
      <w:tr w:rsidR="0020719C" w:rsidRPr="009A6341" w:rsidTr="009A6341">
        <w:trPr>
          <w:trHeight w:val="21"/>
        </w:trPr>
        <w:tc>
          <w:tcPr>
            <w:tcW w:w="398" w:type="pct"/>
            <w:vAlign w:val="center"/>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MenACWY-TT-020</w:t>
            </w:r>
          </w:p>
        </w:tc>
        <w:tc>
          <w:tcPr>
            <w:tcW w:w="399" w:type="pct"/>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Year 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269/299 (90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(86, 93.1)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237/299 (79.3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(74.2, 83.7)</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214/299 (71.6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(66.1, 76.6)</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252/299 (84.3</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(79.7, 88.2)</w:t>
            </w:r>
          </w:p>
        </w:tc>
      </w:tr>
      <w:tr w:rsidR="0020719C" w:rsidRPr="009A6341" w:rsidTr="009A6341">
        <w:trPr>
          <w:trHeight w:val="21"/>
        </w:trPr>
        <w:tc>
          <w:tcPr>
            <w:tcW w:w="5000" w:type="pct"/>
            <w:gridSpan w:val="11"/>
            <w:shd w:val="clear" w:color="auto" w:fill="auto"/>
          </w:tcPr>
          <w:p w:rsidR="0020719C" w:rsidRPr="009A6341" w:rsidRDefault="0020719C" w:rsidP="002E7614">
            <w:pPr>
              <w:jc w:val="left"/>
              <w:rPr>
                <w:rFonts w:ascii="Arial Narrow" w:hAnsi="Arial Narrow"/>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(MenACWY-TT-012)</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MenACWY-TT-024</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1.5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L11 strain</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3193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23/23 (10</w:t>
            </w:r>
            <w:r w:rsidR="009A6341">
              <w:rPr>
                <w:rFonts w:ascii="Arial Narrow" w:hAnsi="Arial Narrow"/>
                <w:color w:val="000000"/>
                <w:sz w:val="20"/>
                <w:szCs w:val="20"/>
                <w:lang w:val="en-US"/>
              </w:rPr>
              <w:t>0</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23/23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(85.2, 100)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MenACWY-TT-025</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L10 strain</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21/21 (10</w:t>
            </w:r>
            <w:r w:rsidR="009A6341">
              <w:rPr>
                <w:rFonts w:ascii="Arial Narrow" w:hAnsi="Arial Narrow"/>
                <w:color w:val="000000"/>
                <w:sz w:val="20"/>
                <w:szCs w:val="20"/>
                <w:lang w:val="en-US"/>
              </w:rPr>
              <w:t>0</w:t>
            </w:r>
            <w:r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MenACWY-TT-026</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18/18 (100</w:t>
            </w:r>
            <w:r w:rsidR="0020719C" w:rsidRPr="009A6341">
              <w:rPr>
                <w:rFonts w:ascii="Arial Narrow" w:hAnsi="Arial Narrow"/>
                <w:color w:val="000000"/>
                <w:sz w:val="20"/>
                <w:szCs w:val="20"/>
                <w:lang w:val="en-US"/>
              </w:rPr>
              <w:t>)</w:t>
            </w:r>
            <w:r w:rsidR="0020719C" w:rsidRPr="009A6341">
              <w:rPr>
                <w:rFonts w:ascii="Arial Narrow" w:hAnsi="Arial Narrow"/>
                <w:color w:val="000000"/>
                <w:sz w:val="20"/>
                <w:szCs w:val="20"/>
                <w:lang w:val="en-US"/>
              </w:rPr>
              <w:br/>
              <w:t>L11 strain</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(81.5, 100)</w:t>
            </w:r>
            <w:r w:rsidRPr="009A6341">
              <w:rPr>
                <w:rFonts w:ascii="Arial Narrow" w:hAnsi="Arial Narrow"/>
                <w:color w:val="000000"/>
                <w:sz w:val="20"/>
                <w:szCs w:val="20"/>
                <w:lang w:val="en-US"/>
              </w:rPr>
              <w:br/>
              <w:t>L11 strain</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19/19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(82.4, 100)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21/21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(83.9, 100)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MP strain</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22/22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(84.6, 100)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w:t>
            </w:r>
          </w:p>
        </w:tc>
        <w:tc>
          <w:tcPr>
            <w:tcW w:w="550" w:type="pct"/>
            <w:shd w:val="clear" w:color="auto" w:fill="auto"/>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17/17 (100</w:t>
            </w:r>
            <w:r w:rsidR="0020719C" w:rsidRPr="009A6341">
              <w:rPr>
                <w:rFonts w:ascii="Arial Narrow" w:hAnsi="Arial Narrow"/>
                <w:color w:val="000000"/>
                <w:sz w:val="20"/>
                <w:szCs w:val="20"/>
                <w:lang w:val="en-US"/>
              </w:rPr>
              <w:t>)</w:t>
            </w:r>
            <w:r w:rsidR="0020719C" w:rsidRPr="009A6341">
              <w:rPr>
                <w:rFonts w:ascii="Arial Narrow" w:hAnsi="Arial Narrow"/>
                <w:color w:val="000000"/>
                <w:sz w:val="20"/>
                <w:szCs w:val="20"/>
                <w:lang w:val="en-US"/>
              </w:rPr>
              <w:br/>
              <w:t>L10 strain</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(80.5, 100)</w:t>
            </w:r>
            <w:r w:rsidRPr="009A6341">
              <w:rPr>
                <w:rFonts w:ascii="Arial Narrow" w:hAnsi="Arial Narrow"/>
                <w:color w:val="000000"/>
                <w:sz w:val="20"/>
                <w:szCs w:val="20"/>
                <w:lang w:val="en-US"/>
              </w:rPr>
              <w:br/>
              <w:t>L10 strain</w:t>
            </w:r>
          </w:p>
        </w:tc>
        <w:tc>
          <w:tcPr>
            <w:tcW w:w="2851" w:type="pct"/>
            <w:gridSpan w:val="6"/>
            <w:vMerge w:val="restar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 </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20/20 (100</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(83.2, 100)</w:t>
            </w:r>
          </w:p>
        </w:tc>
        <w:tc>
          <w:tcPr>
            <w:tcW w:w="2851" w:type="pct"/>
            <w:gridSpan w:val="6"/>
            <w:vMerge/>
            <w:vAlign w:val="center"/>
            <w:hideMark/>
          </w:tcPr>
          <w:p w:rsidR="0020719C" w:rsidRPr="009A6341" w:rsidRDefault="0020719C" w:rsidP="009A6341">
            <w:pPr>
              <w:jc w:val="left"/>
              <w:rPr>
                <w:rFonts w:ascii="Arial Narrow" w:hAnsi="Arial Narrow"/>
                <w:color w:val="000000"/>
                <w:sz w:val="20"/>
                <w:szCs w:val="20"/>
                <w:lang w:val="en-US"/>
              </w:rPr>
            </w:pPr>
          </w:p>
        </w:tc>
      </w:tr>
      <w:tr w:rsidR="0020719C" w:rsidRPr="009A6341" w:rsidTr="009A6341">
        <w:trPr>
          <w:trHeight w:val="21"/>
        </w:trPr>
        <w:tc>
          <w:tcPr>
            <w:tcW w:w="5000" w:type="pct"/>
            <w:gridSpan w:val="11"/>
            <w:tcBorders>
              <w:bottom w:val="single" w:sz="4" w:space="0" w:color="auto"/>
            </w:tcBorders>
            <w:shd w:val="clear" w:color="auto" w:fill="auto"/>
          </w:tcPr>
          <w:p w:rsidR="0020719C" w:rsidRPr="009A6341" w:rsidRDefault="0020719C" w:rsidP="002E7614">
            <w:pPr>
              <w:jc w:val="left"/>
              <w:rPr>
                <w:rFonts w:ascii="Arial Narrow" w:hAnsi="Arial Narrow"/>
                <w:color w:val="000000"/>
                <w:sz w:val="20"/>
                <w:szCs w:val="20"/>
                <w:lang w:val="en-US"/>
              </w:rPr>
            </w:pPr>
            <w:r w:rsidRPr="009A6341">
              <w:rPr>
                <w:rFonts w:ascii="Arial Narrow" w:hAnsi="Arial Narrow"/>
                <w:b/>
                <w:color w:val="000000"/>
                <w:sz w:val="20"/>
                <w:szCs w:val="20"/>
              </w:rPr>
              <w:t xml:space="preserve">Extension of original </w:t>
            </w:r>
            <w:r w:rsidR="002E7614">
              <w:rPr>
                <w:rFonts w:ascii="Arial Narrow" w:hAnsi="Arial Narrow"/>
                <w:b/>
                <w:color w:val="000000"/>
                <w:sz w:val="20"/>
                <w:szCs w:val="20"/>
              </w:rPr>
              <w:t>trial</w:t>
            </w:r>
            <w:r w:rsidRPr="009A6341">
              <w:rPr>
                <w:rFonts w:ascii="Arial Narrow" w:hAnsi="Arial Narrow"/>
                <w:b/>
                <w:color w:val="000000"/>
                <w:sz w:val="20"/>
                <w:szCs w:val="20"/>
              </w:rPr>
              <w:t xml:space="preserve"> (MenACWY-TT-036)</w:t>
            </w:r>
          </w:p>
        </w:tc>
      </w:tr>
      <w:tr w:rsidR="0020719C" w:rsidRPr="009A6341" w:rsidTr="009A6341">
        <w:trPr>
          <w:trHeight w:val="21"/>
        </w:trPr>
        <w:tc>
          <w:tcPr>
            <w:tcW w:w="398"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MenACWY-TT-043</w:t>
            </w:r>
          </w:p>
        </w:tc>
        <w:tc>
          <w:tcPr>
            <w:tcW w:w="399" w:type="pct"/>
            <w:vMerge w:val="restar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2</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(GSK)</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404/405 (99.8</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(98.6, 100)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404/407 (99.3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405/407 (99.5</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(98.2, 99.9)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407/407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(99.1, 100)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476/477 (99.8</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(98.8, 100)</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476/480 (99.2</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(97.9, 99.8)</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478/480 (99.6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(98.5, 99.9)</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480/480 (100</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(99.2, 100)</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3</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417/449 (92.9</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(90.1, 95.1)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409/449 (91.1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(88.1, 93.6)</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368/449 (82.0</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(78.1, 85.4)</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418/449 (93.1</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(90.3, 95.3)</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Year 4</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353/391 (90.3</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(86.9, 93)</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367/390 (94.1</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(91.3, 96.2)</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301/390 (77.2</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(72.7, 81.3)</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348/389 (89.5</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(86, 92.3)</w:t>
            </w:r>
          </w:p>
        </w:tc>
      </w:tr>
      <w:tr w:rsidR="0020719C" w:rsidRPr="009A6341" w:rsidTr="009A6341">
        <w:trPr>
          <w:trHeight w:val="21"/>
        </w:trPr>
        <w:tc>
          <w:tcPr>
            <w:tcW w:w="398" w:type="pct"/>
            <w:vMerge/>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val="restart"/>
            <w:shd w:val="clear" w:color="auto" w:fill="auto"/>
            <w:hideMark/>
          </w:tcPr>
          <w:p w:rsidR="0020719C" w:rsidRPr="009A6341" w:rsidRDefault="0020719C" w:rsidP="009A6341">
            <w:pPr>
              <w:jc w:val="left"/>
              <w:rPr>
                <w:rFonts w:ascii="Arial Narrow" w:hAnsi="Arial Narrow"/>
                <w:sz w:val="20"/>
                <w:szCs w:val="20"/>
                <w:lang w:val="en-US"/>
              </w:rPr>
            </w:pPr>
            <w:r w:rsidRPr="009A6341">
              <w:rPr>
                <w:rFonts w:ascii="Arial Narrow" w:hAnsi="Arial Narrow"/>
                <w:color w:val="000000"/>
                <w:sz w:val="20"/>
                <w:szCs w:val="20"/>
              </w:rPr>
              <w:t>Year 5</w:t>
            </w:r>
          </w:p>
        </w:tc>
        <w:tc>
          <w:tcPr>
            <w:tcW w:w="400" w:type="pct"/>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ATP (PHE)</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230/236 (97.5</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(94.5, 99.1)</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209/236 (88.6</w:t>
            </w:r>
            <w:r w:rsidR="0020719C" w:rsidRPr="009A6341">
              <w:rPr>
                <w:rFonts w:ascii="Arial Narrow" w:hAnsi="Arial Narrow"/>
                <w:color w:val="000000"/>
                <w:sz w:val="20"/>
                <w:szCs w:val="20"/>
                <w:lang w:val="en-US"/>
              </w:rPr>
              <w:t>)</w:t>
            </w:r>
          </w:p>
        </w:tc>
        <w:tc>
          <w:tcPr>
            <w:tcW w:w="400"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(83.8, 92.3)</w:t>
            </w:r>
          </w:p>
        </w:tc>
        <w:tc>
          <w:tcPr>
            <w:tcW w:w="550"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203/236 (86</w:t>
            </w:r>
            <w:r w:rsidR="0020719C" w:rsidRPr="009A6341">
              <w:rPr>
                <w:rFonts w:ascii="Arial Narrow" w:hAnsi="Arial Narrow"/>
                <w:color w:val="000000"/>
                <w:sz w:val="20"/>
                <w:szCs w:val="20"/>
                <w:lang w:val="en-US"/>
              </w:rPr>
              <w:t>)</w:t>
            </w:r>
          </w:p>
        </w:tc>
        <w:tc>
          <w:tcPr>
            <w:tcW w:w="401"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(80.9, 90.2)</w:t>
            </w:r>
          </w:p>
        </w:tc>
        <w:tc>
          <w:tcPr>
            <w:tcW w:w="508" w:type="pct"/>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228/236 (96.6</w:t>
            </w:r>
            <w:r w:rsidR="0020719C" w:rsidRPr="009A6341">
              <w:rPr>
                <w:rFonts w:ascii="Arial Narrow" w:hAnsi="Arial Narrow"/>
                <w:color w:val="000000"/>
                <w:sz w:val="20"/>
                <w:szCs w:val="20"/>
                <w:lang w:val="en-US"/>
              </w:rPr>
              <w:t>)</w:t>
            </w:r>
          </w:p>
        </w:tc>
        <w:tc>
          <w:tcPr>
            <w:tcW w:w="442" w:type="pct"/>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(93.4, 98.5)</w:t>
            </w:r>
          </w:p>
        </w:tc>
      </w:tr>
      <w:tr w:rsidR="0020719C" w:rsidRPr="009A6341" w:rsidTr="009A6341">
        <w:trPr>
          <w:trHeight w:val="21"/>
        </w:trPr>
        <w:tc>
          <w:tcPr>
            <w:tcW w:w="398" w:type="pct"/>
            <w:vMerge/>
            <w:tcBorders>
              <w:bottom w:val="single" w:sz="4" w:space="0" w:color="auto"/>
            </w:tcBorders>
            <w:vAlign w:val="center"/>
            <w:hideMark/>
          </w:tcPr>
          <w:p w:rsidR="0020719C" w:rsidRPr="009A6341" w:rsidRDefault="0020719C" w:rsidP="009A6341">
            <w:pPr>
              <w:jc w:val="left"/>
              <w:rPr>
                <w:rFonts w:ascii="Arial Narrow" w:hAnsi="Arial Narrow"/>
                <w:color w:val="000000"/>
                <w:sz w:val="20"/>
                <w:szCs w:val="20"/>
                <w:lang w:val="en-US"/>
              </w:rPr>
            </w:pPr>
          </w:p>
        </w:tc>
        <w:tc>
          <w:tcPr>
            <w:tcW w:w="399" w:type="pct"/>
            <w:vMerge/>
            <w:tcBorders>
              <w:bottom w:val="single" w:sz="4" w:space="0" w:color="auto"/>
            </w:tcBorders>
            <w:vAlign w:val="center"/>
            <w:hideMark/>
          </w:tcPr>
          <w:p w:rsidR="0020719C" w:rsidRPr="009A6341" w:rsidRDefault="0020719C" w:rsidP="009A6341">
            <w:pPr>
              <w:jc w:val="left"/>
              <w:rPr>
                <w:rFonts w:ascii="Arial Narrow" w:hAnsi="Arial Narrow"/>
                <w:color w:val="000000"/>
                <w:sz w:val="20"/>
                <w:szCs w:val="20"/>
                <w:lang w:val="en-US"/>
              </w:rPr>
            </w:pPr>
          </w:p>
        </w:tc>
        <w:tc>
          <w:tcPr>
            <w:tcW w:w="400" w:type="pct"/>
            <w:tcBorders>
              <w:bottom w:val="single" w:sz="4" w:space="0" w:color="auto"/>
            </w:tcBorders>
            <w:shd w:val="clear" w:color="auto" w:fill="auto"/>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rPr>
              <w:t>TVC</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347/355 (97.7</w:t>
            </w:r>
            <w:r w:rsidR="0020719C" w:rsidRPr="009A6341">
              <w:rPr>
                <w:rFonts w:ascii="Arial Narrow" w:hAnsi="Arial Narrow"/>
                <w:color w:val="000000"/>
                <w:sz w:val="20"/>
                <w:szCs w:val="20"/>
                <w:lang w:val="en-US"/>
              </w:rPr>
              <w:t>)</w:t>
            </w:r>
          </w:p>
        </w:tc>
        <w:tc>
          <w:tcPr>
            <w:tcW w:w="400"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(95.6, 99)</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324/355 (91.3</w:t>
            </w:r>
            <w:r w:rsidR="0020719C" w:rsidRPr="009A6341">
              <w:rPr>
                <w:rFonts w:ascii="Arial Narrow" w:hAnsi="Arial Narrow"/>
                <w:color w:val="000000"/>
                <w:sz w:val="20"/>
                <w:szCs w:val="20"/>
                <w:lang w:val="en-US"/>
              </w:rPr>
              <w:t>)</w:t>
            </w:r>
          </w:p>
        </w:tc>
        <w:tc>
          <w:tcPr>
            <w:tcW w:w="400"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(87.8, 94)</w:t>
            </w:r>
          </w:p>
        </w:tc>
        <w:tc>
          <w:tcPr>
            <w:tcW w:w="550"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302/355 (85.1</w:t>
            </w:r>
            <w:r w:rsidR="0020719C" w:rsidRPr="009A6341">
              <w:rPr>
                <w:rFonts w:ascii="Arial Narrow" w:hAnsi="Arial Narrow"/>
                <w:color w:val="000000"/>
                <w:sz w:val="20"/>
                <w:szCs w:val="20"/>
                <w:lang w:val="en-US"/>
              </w:rPr>
              <w:t>)</w:t>
            </w:r>
          </w:p>
        </w:tc>
        <w:tc>
          <w:tcPr>
            <w:tcW w:w="401"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(80.9, 88.6)</w:t>
            </w:r>
          </w:p>
        </w:tc>
        <w:tc>
          <w:tcPr>
            <w:tcW w:w="508" w:type="pct"/>
            <w:tcBorders>
              <w:bottom w:val="single" w:sz="4" w:space="0" w:color="auto"/>
            </w:tcBorders>
            <w:shd w:val="clear" w:color="auto" w:fill="auto"/>
            <w:noWrap/>
            <w:hideMark/>
          </w:tcPr>
          <w:p w:rsidR="0020719C" w:rsidRPr="009A6341" w:rsidRDefault="009A6341" w:rsidP="009A6341">
            <w:pPr>
              <w:jc w:val="left"/>
              <w:rPr>
                <w:rFonts w:ascii="Arial Narrow" w:hAnsi="Arial Narrow"/>
                <w:color w:val="000000"/>
                <w:sz w:val="20"/>
                <w:szCs w:val="20"/>
                <w:lang w:val="en-US"/>
              </w:rPr>
            </w:pPr>
            <w:r>
              <w:rPr>
                <w:rFonts w:ascii="Arial Narrow" w:hAnsi="Arial Narrow"/>
                <w:color w:val="000000"/>
                <w:sz w:val="20"/>
                <w:szCs w:val="20"/>
                <w:lang w:val="en-US"/>
              </w:rPr>
              <w:t>341/355 (96.1</w:t>
            </w:r>
            <w:r w:rsidR="0020719C" w:rsidRPr="009A6341">
              <w:rPr>
                <w:rFonts w:ascii="Arial Narrow" w:hAnsi="Arial Narrow"/>
                <w:color w:val="000000"/>
                <w:sz w:val="20"/>
                <w:szCs w:val="20"/>
                <w:lang w:val="en-US"/>
              </w:rPr>
              <w:t>)</w:t>
            </w:r>
          </w:p>
        </w:tc>
        <w:tc>
          <w:tcPr>
            <w:tcW w:w="442" w:type="pct"/>
            <w:tcBorders>
              <w:bottom w:val="single" w:sz="4" w:space="0" w:color="auto"/>
            </w:tcBorders>
            <w:shd w:val="clear" w:color="auto" w:fill="auto"/>
            <w:noWrap/>
            <w:hideMark/>
          </w:tcPr>
          <w:p w:rsidR="0020719C" w:rsidRPr="009A6341" w:rsidRDefault="0020719C" w:rsidP="009A6341">
            <w:pPr>
              <w:jc w:val="left"/>
              <w:rPr>
                <w:rFonts w:ascii="Arial Narrow" w:hAnsi="Arial Narrow"/>
                <w:color w:val="000000"/>
                <w:sz w:val="20"/>
                <w:szCs w:val="20"/>
                <w:lang w:val="en-US"/>
              </w:rPr>
            </w:pPr>
            <w:r w:rsidRPr="009A6341">
              <w:rPr>
                <w:rFonts w:ascii="Arial Narrow" w:hAnsi="Arial Narrow"/>
                <w:color w:val="000000"/>
                <w:sz w:val="20"/>
                <w:szCs w:val="20"/>
                <w:lang w:val="en-US"/>
              </w:rPr>
              <w:t>(93.5, 97.8)</w:t>
            </w:r>
          </w:p>
        </w:tc>
      </w:tr>
    </w:tbl>
    <w:p w:rsidR="0020719C" w:rsidRDefault="009A6341"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Abbreviations: 95%CI:</w:t>
      </w:r>
      <w:r w:rsidR="0020719C" w:rsidRPr="007D654B">
        <w:rPr>
          <w:rFonts w:ascii="Arial Narrow" w:hAnsi="Arial Narrow"/>
          <w:i w:val="0"/>
          <w:sz w:val="18"/>
          <w:szCs w:val="18"/>
          <w:lang w:val="en-US" w:eastAsia="en-US"/>
        </w:rPr>
        <w:t xml:space="preserve"> exact 95% confidence interval, ATP (GSK)</w:t>
      </w:r>
      <w:r>
        <w:rPr>
          <w:rFonts w:ascii="Arial Narrow" w:hAnsi="Arial Narrow"/>
          <w:i w:val="0"/>
          <w:sz w:val="18"/>
          <w:szCs w:val="18"/>
          <w:lang w:val="en-US" w:eastAsia="en-US"/>
        </w:rPr>
        <w:t>:</w:t>
      </w:r>
      <w:r w:rsidR="0020719C" w:rsidRPr="007D654B">
        <w:rPr>
          <w:rFonts w:ascii="Arial Narrow" w:hAnsi="Arial Narrow"/>
          <w:i w:val="0"/>
          <w:sz w:val="18"/>
          <w:szCs w:val="18"/>
          <w:lang w:val="en-US" w:eastAsia="en-US"/>
        </w:rPr>
        <w:t xml:space="preserve"> According to Protocol Cohort performed at the GSK laboratory, ATP (PHE)</w:t>
      </w:r>
      <w:r w:rsidR="0007749D">
        <w:rPr>
          <w:rFonts w:ascii="Arial Narrow" w:hAnsi="Arial Narrow"/>
          <w:i w:val="0"/>
          <w:sz w:val="18"/>
          <w:szCs w:val="18"/>
          <w:lang w:val="en-US" w:eastAsia="en-US"/>
        </w:rPr>
        <w:t>:</w:t>
      </w:r>
      <w:r w:rsidR="0020719C" w:rsidRPr="007D654B">
        <w:rPr>
          <w:rFonts w:ascii="Arial Narrow" w:hAnsi="Arial Narrow"/>
          <w:i w:val="0"/>
          <w:sz w:val="18"/>
          <w:szCs w:val="18"/>
          <w:lang w:val="en-US" w:eastAsia="en-US"/>
        </w:rPr>
        <w:t xml:space="preserve"> According to Protocol Cohort performed at the Public Health of England laboratory, n</w:t>
      </w:r>
      <w:r>
        <w:rPr>
          <w:rFonts w:ascii="Arial Narrow" w:hAnsi="Arial Narrow"/>
          <w:i w:val="0"/>
          <w:sz w:val="18"/>
          <w:szCs w:val="18"/>
          <w:lang w:val="en-US" w:eastAsia="en-US"/>
        </w:rPr>
        <w:t>:</w:t>
      </w:r>
      <w:r w:rsidR="0007749D">
        <w:rPr>
          <w:rFonts w:ascii="Arial Narrow" w:hAnsi="Arial Narrow"/>
          <w:i w:val="0"/>
          <w:sz w:val="18"/>
          <w:szCs w:val="18"/>
          <w:lang w:val="en-US" w:eastAsia="en-US"/>
        </w:rPr>
        <w:t xml:space="preserve"> </w:t>
      </w:r>
      <w:r w:rsidR="0020719C" w:rsidRPr="007D654B">
        <w:rPr>
          <w:rFonts w:ascii="Arial Narrow" w:hAnsi="Arial Narrow"/>
          <w:i w:val="0"/>
          <w:sz w:val="18"/>
          <w:szCs w:val="18"/>
          <w:lang w:val="en-US" w:eastAsia="en-US"/>
        </w:rPr>
        <w:t xml:space="preserve">number of subjects with </w:t>
      </w:r>
      <w:proofErr w:type="spellStart"/>
      <w:r w:rsidR="0020719C" w:rsidRPr="007D654B">
        <w:rPr>
          <w:rFonts w:ascii="Arial Narrow" w:hAnsi="Arial Narrow"/>
          <w:i w:val="0"/>
          <w:sz w:val="18"/>
          <w:szCs w:val="18"/>
          <w:lang w:val="en-US" w:eastAsia="en-US"/>
        </w:rPr>
        <w:t>titr</w:t>
      </w:r>
      <w:r>
        <w:rPr>
          <w:rFonts w:ascii="Arial Narrow" w:hAnsi="Arial Narrow"/>
          <w:i w:val="0"/>
          <w:sz w:val="18"/>
          <w:szCs w:val="18"/>
          <w:lang w:val="en-US" w:eastAsia="en-US"/>
        </w:rPr>
        <w:t>e</w:t>
      </w:r>
      <w:proofErr w:type="spellEnd"/>
      <w:r>
        <w:rPr>
          <w:rFonts w:ascii="Arial Narrow" w:hAnsi="Arial Narrow"/>
          <w:i w:val="0"/>
          <w:sz w:val="18"/>
          <w:szCs w:val="18"/>
          <w:lang w:val="en-US" w:eastAsia="en-US"/>
        </w:rPr>
        <w:t xml:space="preserve"> within the specified range, N:</w:t>
      </w:r>
      <w:r w:rsidR="0020719C" w:rsidRPr="007D654B">
        <w:rPr>
          <w:rFonts w:ascii="Arial Narrow" w:hAnsi="Arial Narrow"/>
          <w:i w:val="0"/>
          <w:sz w:val="18"/>
          <w:szCs w:val="18"/>
          <w:lang w:val="en-US" w:eastAsia="en-US"/>
        </w:rPr>
        <w:t xml:space="preserve"> number of subje</w:t>
      </w:r>
      <w:r>
        <w:rPr>
          <w:rFonts w:ascii="Arial Narrow" w:hAnsi="Arial Narrow"/>
          <w:i w:val="0"/>
          <w:sz w:val="18"/>
          <w:szCs w:val="18"/>
          <w:lang w:val="en-US" w:eastAsia="en-US"/>
        </w:rPr>
        <w:t xml:space="preserve">cts with available results, TVC: </w:t>
      </w:r>
      <w:r w:rsidR="0020719C" w:rsidRPr="007D654B">
        <w:rPr>
          <w:rFonts w:ascii="Arial Narrow" w:hAnsi="Arial Narrow"/>
          <w:i w:val="0"/>
          <w:sz w:val="18"/>
          <w:szCs w:val="18"/>
          <w:lang w:val="en-US" w:eastAsia="en-US"/>
        </w:rPr>
        <w:t>Tota</w:t>
      </w:r>
      <w:r>
        <w:rPr>
          <w:rFonts w:ascii="Arial Narrow" w:hAnsi="Arial Narrow"/>
          <w:i w:val="0"/>
          <w:sz w:val="18"/>
          <w:szCs w:val="18"/>
          <w:lang w:val="en-US" w:eastAsia="en-US"/>
        </w:rPr>
        <w:t xml:space="preserve">l Vaccinated Cohort, TVC(PHE): </w:t>
      </w:r>
      <w:r w:rsidR="0020719C" w:rsidRPr="007D654B">
        <w:rPr>
          <w:rFonts w:ascii="Arial Narrow" w:hAnsi="Arial Narrow"/>
          <w:i w:val="0"/>
          <w:sz w:val="18"/>
          <w:szCs w:val="18"/>
          <w:lang w:val="en-US" w:eastAsia="en-US"/>
        </w:rPr>
        <w:t>Total Vaccinated Cohort performed at the Public Health of England laboratory</w:t>
      </w:r>
      <w:r w:rsidR="002E088B">
        <w:rPr>
          <w:rFonts w:ascii="Arial Narrow" w:hAnsi="Arial Narrow"/>
          <w:i w:val="0"/>
          <w:sz w:val="18"/>
          <w:szCs w:val="18"/>
          <w:lang w:val="en-US" w:eastAsia="en-US"/>
        </w:rPr>
        <w:t>;</w:t>
      </w:r>
      <w:r w:rsidR="002E088B" w:rsidRPr="002E088B">
        <w:rPr>
          <w:rFonts w:ascii="Arial Narrow" w:hAnsi="Arial Narrow"/>
          <w:i w:val="0"/>
          <w:sz w:val="18"/>
          <w:szCs w:val="18"/>
          <w:lang w:val="en-US" w:eastAsia="en-US"/>
        </w:rPr>
        <w:t xml:space="preserve"> </w:t>
      </w:r>
      <w:proofErr w:type="spellStart"/>
      <w:r w:rsidR="002E088B" w:rsidRPr="008B4901">
        <w:rPr>
          <w:rFonts w:ascii="Arial Narrow" w:hAnsi="Arial Narrow"/>
          <w:i w:val="0"/>
          <w:sz w:val="18"/>
          <w:szCs w:val="18"/>
          <w:lang w:val="en-US" w:eastAsia="en-US"/>
        </w:rPr>
        <w:t>rSBA</w:t>
      </w:r>
      <w:proofErr w:type="spellEnd"/>
      <w:r w:rsidR="002E088B" w:rsidRPr="008B4901">
        <w:rPr>
          <w:rFonts w:ascii="Arial Narrow" w:hAnsi="Arial Narrow"/>
          <w:i w:val="0"/>
          <w:sz w:val="18"/>
          <w:szCs w:val="18"/>
          <w:lang w:val="en-US" w:eastAsia="en-US"/>
        </w:rPr>
        <w:t>: serum bactericidal assay using rabbit complement</w:t>
      </w:r>
    </w:p>
    <w:p w:rsidR="0020719C" w:rsidRDefault="0020719C"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Source: Table 2.5.14, p105 of the submission</w:t>
      </w:r>
      <w:r w:rsidR="009A6341">
        <w:rPr>
          <w:rFonts w:ascii="Arial Narrow" w:hAnsi="Arial Narrow"/>
          <w:i w:val="0"/>
          <w:sz w:val="18"/>
          <w:szCs w:val="18"/>
          <w:lang w:val="en-US" w:eastAsia="en-US"/>
        </w:rPr>
        <w:t>.</w:t>
      </w:r>
    </w:p>
    <w:p w:rsidR="000434BC" w:rsidRDefault="000434BC" w:rsidP="00B00ACD">
      <w:pPr>
        <w:pStyle w:val="TextUnderTable"/>
        <w:spacing w:before="0" w:after="0"/>
        <w:rPr>
          <w:rFonts w:ascii="Arial Narrow" w:hAnsi="Arial Narrow"/>
          <w:i w:val="0"/>
          <w:sz w:val="18"/>
          <w:szCs w:val="18"/>
          <w:lang w:val="en-US" w:eastAsia="en-US"/>
        </w:rPr>
      </w:pPr>
    </w:p>
    <w:p w:rsidR="000434BC" w:rsidRDefault="000434BC" w:rsidP="00B00ACD">
      <w:pPr>
        <w:pStyle w:val="TextUnderTable"/>
        <w:spacing w:before="0" w:after="0"/>
        <w:rPr>
          <w:rFonts w:ascii="Arial Narrow" w:hAnsi="Arial Narrow"/>
          <w:i w:val="0"/>
          <w:sz w:val="18"/>
          <w:szCs w:val="18"/>
          <w:lang w:val="en-US" w:eastAsia="en-US"/>
        </w:rPr>
      </w:pPr>
    </w:p>
    <w:p w:rsidR="0020719C" w:rsidRDefault="0020719C" w:rsidP="0020719C">
      <w:pPr>
        <w:widowControl/>
        <w:sectPr w:rsidR="0020719C" w:rsidSect="00CD5994">
          <w:headerReference w:type="default" r:id="rId18"/>
          <w:pgSz w:w="16840" w:h="11907" w:orient="landscape" w:code="9"/>
          <w:pgMar w:top="1440" w:right="1440" w:bottom="1440" w:left="1440" w:header="1440" w:footer="1440" w:gutter="0"/>
          <w:cols w:space="708"/>
          <w:docGrid w:linePitch="360"/>
        </w:sectPr>
      </w:pPr>
    </w:p>
    <w:p w:rsidR="00FE70C3" w:rsidRPr="00FE70C3" w:rsidRDefault="00FE70C3" w:rsidP="00123137">
      <w:pPr>
        <w:jc w:val="left"/>
        <w:rPr>
          <w:rStyle w:val="CommentReference"/>
          <w:b w:val="0"/>
        </w:rPr>
      </w:pPr>
    </w:p>
    <w:p w:rsidR="00B60939" w:rsidRPr="007267E3" w:rsidRDefault="00B60939" w:rsidP="00C9624D">
      <w:pPr>
        <w:pStyle w:val="Heading2"/>
        <w:rPr>
          <w:i w:val="0"/>
        </w:rPr>
      </w:pPr>
      <w:bookmarkStart w:id="9" w:name="_Toc501621779"/>
      <w:r w:rsidRPr="007267E3">
        <w:rPr>
          <w:i w:val="0"/>
        </w:rPr>
        <w:t>Comparative harms</w:t>
      </w:r>
      <w:bookmarkEnd w:id="9"/>
    </w:p>
    <w:p w:rsidR="00B60939" w:rsidRPr="00882085" w:rsidRDefault="00B60939" w:rsidP="00B60939">
      <w:pPr>
        <w:ind w:left="720" w:hanging="720"/>
      </w:pPr>
    </w:p>
    <w:p w:rsidR="005672C9" w:rsidRDefault="001B4148" w:rsidP="009E2CAD">
      <w:pPr>
        <w:pStyle w:val="ListParagraph"/>
        <w:widowControl/>
        <w:numPr>
          <w:ilvl w:val="1"/>
          <w:numId w:val="1"/>
        </w:numPr>
      </w:pPr>
      <w:r>
        <w:t xml:space="preserve">Table </w:t>
      </w:r>
      <w:r w:rsidR="004A20D6">
        <w:t xml:space="preserve">8 </w:t>
      </w:r>
      <w:r>
        <w:t>present</w:t>
      </w:r>
      <w:r w:rsidR="00025404">
        <w:t>s</w:t>
      </w:r>
      <w:r>
        <w:t xml:space="preserve"> a summary of the safety results across the trials.</w:t>
      </w:r>
    </w:p>
    <w:p w:rsidR="007869D0" w:rsidRDefault="007869D0" w:rsidP="009E2CAD">
      <w:pPr>
        <w:pStyle w:val="ListParagraph"/>
        <w:widowControl/>
        <w:numPr>
          <w:ilvl w:val="1"/>
          <w:numId w:val="1"/>
        </w:numPr>
      </w:pPr>
      <w:r>
        <w:t>Overall, vaccine related adverse events ranged from 40 - 70.7%. Grade 3 adverse events ranged from 0-11.6%. Vaccine related local symptoms (23.3-62.8%) were reported more frequently than general symptoms (15.2-51.4%) (</w:t>
      </w:r>
      <w:proofErr w:type="gramStart"/>
      <w:r>
        <w:t>any</w:t>
      </w:r>
      <w:proofErr w:type="gramEnd"/>
      <w:r>
        <w:t xml:space="preserve"> grade). </w:t>
      </w:r>
    </w:p>
    <w:p w:rsidR="007869D0" w:rsidRDefault="007869D0" w:rsidP="009E2CAD">
      <w:pPr>
        <w:pStyle w:val="ListParagraph"/>
        <w:widowControl/>
        <w:numPr>
          <w:ilvl w:val="1"/>
          <w:numId w:val="1"/>
        </w:numPr>
      </w:pPr>
      <w:r>
        <w:t xml:space="preserve">Across all trials, the most common solicited local adverse events were pain (19.4-59%, Grade 3 &lt;3.5%), redness (12.3-33.3%) and swelling (7.9-26%). </w:t>
      </w:r>
    </w:p>
    <w:p w:rsidR="00F865D8" w:rsidRPr="002C07D2" w:rsidRDefault="007869D0" w:rsidP="00175691">
      <w:pPr>
        <w:pStyle w:val="ListParagraph"/>
        <w:widowControl/>
        <w:numPr>
          <w:ilvl w:val="1"/>
          <w:numId w:val="1"/>
        </w:numPr>
      </w:pPr>
      <w:r>
        <w:t xml:space="preserve">Six trials reported serious adverse events (SAE), of which </w:t>
      </w:r>
      <w:r w:rsidR="00E40183">
        <w:t xml:space="preserve">adverse events from </w:t>
      </w:r>
      <w:r>
        <w:t xml:space="preserve">two trials were considered potentially related to the </w:t>
      </w:r>
      <w:proofErr w:type="spellStart"/>
      <w:r>
        <w:t>MenACWY</w:t>
      </w:r>
      <w:proofErr w:type="spellEnd"/>
      <w:r>
        <w:noBreakHyphen/>
        <w:t>TT vaccine. In trial MenACWY</w:t>
      </w:r>
      <w:r>
        <w:noBreakHyphen/>
        <w:t>TT</w:t>
      </w:r>
      <w:r>
        <w:noBreakHyphen/>
        <w:t xml:space="preserve">036, one subject reported </w:t>
      </w:r>
      <w:r w:rsidRPr="00F44A4A">
        <w:t>experiencing abdominal pain and gastritis.</w:t>
      </w:r>
      <w:r>
        <w:t xml:space="preserve"> In trial MenACWY-TT-093, one subject became pregnant post-vaccination and it was an </w:t>
      </w:r>
      <w:proofErr w:type="spellStart"/>
      <w:r>
        <w:t>anembryonic</w:t>
      </w:r>
      <w:proofErr w:type="spellEnd"/>
      <w:r>
        <w:t xml:space="preserve"> pregnancy which was considered to be related to the vaccination.</w:t>
      </w:r>
    </w:p>
    <w:p w:rsidR="005672C9" w:rsidRDefault="005672C9" w:rsidP="002479ED">
      <w:pPr>
        <w:widowControl/>
      </w:pPr>
    </w:p>
    <w:p w:rsidR="003C12DC" w:rsidRDefault="003C12DC" w:rsidP="002479ED">
      <w:pPr>
        <w:widowControl/>
        <w:sectPr w:rsidR="003C12DC" w:rsidSect="00F95253">
          <w:headerReference w:type="default" r:id="rId19"/>
          <w:pgSz w:w="11907" w:h="16840" w:code="9"/>
          <w:pgMar w:top="1440" w:right="1440" w:bottom="1440" w:left="1440" w:header="1440" w:footer="1440" w:gutter="0"/>
          <w:cols w:space="708"/>
          <w:docGrid w:linePitch="360"/>
        </w:sectPr>
      </w:pPr>
    </w:p>
    <w:p w:rsidR="005672C9" w:rsidRPr="00E37529" w:rsidRDefault="005672C9" w:rsidP="005672C9">
      <w:pPr>
        <w:rPr>
          <w:rFonts w:ascii="Arial Narrow" w:hAnsi="Arial Narrow"/>
          <w:b/>
          <w:sz w:val="20"/>
          <w:szCs w:val="20"/>
        </w:rPr>
      </w:pPr>
      <w:r>
        <w:rPr>
          <w:rFonts w:ascii="Arial Narrow" w:hAnsi="Arial Narrow"/>
          <w:b/>
          <w:sz w:val="20"/>
          <w:szCs w:val="20"/>
        </w:rPr>
        <w:lastRenderedPageBreak/>
        <w:t xml:space="preserve">Table </w:t>
      </w:r>
      <w:r w:rsidR="004A20D6">
        <w:rPr>
          <w:rFonts w:ascii="Arial Narrow" w:hAnsi="Arial Narrow"/>
          <w:b/>
          <w:sz w:val="20"/>
          <w:szCs w:val="20"/>
        </w:rPr>
        <w:t>8</w:t>
      </w:r>
      <w:r w:rsidRPr="00E37529">
        <w:rPr>
          <w:rFonts w:ascii="Arial Narrow" w:hAnsi="Arial Narrow"/>
          <w:b/>
          <w:sz w:val="20"/>
          <w:szCs w:val="20"/>
        </w:rPr>
        <w:t>: Percentage of subjects reporting</w:t>
      </w:r>
      <w:r>
        <w:rPr>
          <w:rFonts w:ascii="Arial Narrow" w:hAnsi="Arial Narrow"/>
          <w:b/>
          <w:sz w:val="20"/>
          <w:szCs w:val="20"/>
        </w:rPr>
        <w:t xml:space="preserve"> vaccine related</w:t>
      </w:r>
      <w:r w:rsidRPr="00E37529">
        <w:rPr>
          <w:rFonts w:ascii="Arial Narrow" w:hAnsi="Arial Narrow"/>
          <w:b/>
          <w:sz w:val="20"/>
          <w:szCs w:val="20"/>
        </w:rPr>
        <w:t xml:space="preserve"> solicited and unsolicited symptoms (regardless of intensity) and grad</w:t>
      </w:r>
      <w:r>
        <w:rPr>
          <w:rFonts w:ascii="Arial Narrow" w:hAnsi="Arial Narrow"/>
          <w:b/>
          <w:sz w:val="20"/>
          <w:szCs w:val="20"/>
        </w:rPr>
        <w:t>e</w:t>
      </w:r>
      <w:r w:rsidRPr="00E37529">
        <w:rPr>
          <w:rFonts w:ascii="Arial Narrow" w:hAnsi="Arial Narrow"/>
          <w:b/>
          <w:sz w:val="20"/>
          <w:szCs w:val="20"/>
        </w:rPr>
        <w:t xml:space="preserve"> 3 solicited and unsolicited symptoms reported during the post-vaccination period# (Total Vaccinated cohort)</w:t>
      </w:r>
    </w:p>
    <w:tbl>
      <w:tblPr>
        <w:tblStyle w:val="TableGrid"/>
        <w:tblW w:w="14170" w:type="dxa"/>
        <w:tblLayout w:type="fixed"/>
        <w:tblLook w:val="04A0" w:firstRow="1" w:lastRow="0" w:firstColumn="1" w:lastColumn="0" w:noHBand="0" w:noVBand="1"/>
      </w:tblPr>
      <w:tblGrid>
        <w:gridCol w:w="1224"/>
        <w:gridCol w:w="1167"/>
        <w:gridCol w:w="1017"/>
        <w:gridCol w:w="1147"/>
        <w:gridCol w:w="822"/>
        <w:gridCol w:w="1147"/>
        <w:gridCol w:w="984"/>
        <w:gridCol w:w="1147"/>
        <w:gridCol w:w="861"/>
        <w:gridCol w:w="993"/>
        <w:gridCol w:w="850"/>
        <w:gridCol w:w="992"/>
        <w:gridCol w:w="827"/>
        <w:gridCol w:w="992"/>
      </w:tblGrid>
      <w:tr w:rsidR="005672C9" w:rsidRPr="00E37529" w:rsidTr="00D079DD">
        <w:tc>
          <w:tcPr>
            <w:tcW w:w="1224" w:type="dxa"/>
          </w:tcPr>
          <w:p w:rsidR="005672C9" w:rsidRPr="00E37529" w:rsidRDefault="005672C9" w:rsidP="00D079DD">
            <w:pPr>
              <w:rPr>
                <w:rFonts w:ascii="Arial Narrow" w:hAnsi="Arial Narrow"/>
                <w:sz w:val="20"/>
                <w:szCs w:val="20"/>
                <w:lang w:val="en-US"/>
              </w:rPr>
            </w:pPr>
          </w:p>
        </w:tc>
        <w:tc>
          <w:tcPr>
            <w:tcW w:w="1167" w:type="dxa"/>
          </w:tcPr>
          <w:p w:rsidR="005672C9" w:rsidRPr="00E37529" w:rsidRDefault="005672C9" w:rsidP="00D079DD">
            <w:pPr>
              <w:rPr>
                <w:rFonts w:ascii="Arial Narrow" w:hAnsi="Arial Narrow"/>
                <w:sz w:val="20"/>
                <w:szCs w:val="20"/>
                <w:lang w:val="en-US"/>
              </w:rPr>
            </w:pPr>
          </w:p>
        </w:tc>
        <w:tc>
          <w:tcPr>
            <w:tcW w:w="6264" w:type="dxa"/>
            <w:gridSpan w:val="6"/>
          </w:tcPr>
          <w:p w:rsidR="005672C9" w:rsidRPr="00E37529" w:rsidRDefault="005672C9" w:rsidP="00D079DD">
            <w:pPr>
              <w:jc w:val="center"/>
              <w:rPr>
                <w:rFonts w:ascii="Arial Narrow" w:hAnsi="Arial Narrow"/>
                <w:b/>
                <w:sz w:val="20"/>
                <w:szCs w:val="20"/>
              </w:rPr>
            </w:pPr>
            <w:r>
              <w:rPr>
                <w:rFonts w:ascii="Arial Narrow" w:hAnsi="Arial Narrow"/>
                <w:b/>
                <w:sz w:val="20"/>
                <w:szCs w:val="20"/>
              </w:rPr>
              <w:t>Vaccine related</w:t>
            </w:r>
            <w:r w:rsidRPr="00E37529">
              <w:rPr>
                <w:rFonts w:ascii="Arial Narrow" w:hAnsi="Arial Narrow"/>
                <w:b/>
                <w:sz w:val="20"/>
                <w:szCs w:val="20"/>
              </w:rPr>
              <w:t xml:space="preserve"> solicited and unsolicited symptoms</w:t>
            </w:r>
          </w:p>
        </w:tc>
        <w:tc>
          <w:tcPr>
            <w:tcW w:w="5515" w:type="dxa"/>
            <w:gridSpan w:val="6"/>
          </w:tcPr>
          <w:p w:rsidR="005672C9" w:rsidRPr="00E37529" w:rsidRDefault="005672C9" w:rsidP="00D079DD">
            <w:pPr>
              <w:jc w:val="center"/>
              <w:rPr>
                <w:rFonts w:ascii="Arial Narrow" w:hAnsi="Arial Narrow"/>
                <w:sz w:val="20"/>
                <w:szCs w:val="20"/>
              </w:rPr>
            </w:pPr>
            <w:r w:rsidRPr="00E37529">
              <w:rPr>
                <w:rFonts w:ascii="Arial Narrow" w:hAnsi="Arial Narrow"/>
                <w:b/>
                <w:sz w:val="20"/>
                <w:szCs w:val="20"/>
              </w:rPr>
              <w:t>Grade 3 solicited and unsolicited symptoms</w:t>
            </w:r>
          </w:p>
        </w:tc>
      </w:tr>
      <w:tr w:rsidR="005672C9" w:rsidRPr="00E37529" w:rsidTr="00D079DD">
        <w:tc>
          <w:tcPr>
            <w:tcW w:w="1224"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 xml:space="preserve">Trial </w:t>
            </w:r>
          </w:p>
        </w:tc>
        <w:tc>
          <w:tcPr>
            <w:tcW w:w="116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Arm</w:t>
            </w:r>
          </w:p>
        </w:tc>
        <w:tc>
          <w:tcPr>
            <w:tcW w:w="2164"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Any symptom*</w:t>
            </w:r>
          </w:p>
        </w:tc>
        <w:tc>
          <w:tcPr>
            <w:tcW w:w="1969"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General symptoms</w:t>
            </w:r>
          </w:p>
        </w:tc>
        <w:tc>
          <w:tcPr>
            <w:tcW w:w="2131"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Local symptoms</w:t>
            </w:r>
          </w:p>
        </w:tc>
        <w:tc>
          <w:tcPr>
            <w:tcW w:w="1854"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Any symptom</w:t>
            </w:r>
          </w:p>
        </w:tc>
        <w:tc>
          <w:tcPr>
            <w:tcW w:w="1842"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General symptoms</w:t>
            </w:r>
          </w:p>
        </w:tc>
        <w:tc>
          <w:tcPr>
            <w:tcW w:w="1819" w:type="dxa"/>
            <w:gridSpan w:val="2"/>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Local symptoms</w:t>
            </w:r>
          </w:p>
        </w:tc>
      </w:tr>
      <w:tr w:rsidR="005672C9" w:rsidRPr="00E37529" w:rsidTr="00D079DD">
        <w:tc>
          <w:tcPr>
            <w:tcW w:w="1224" w:type="dxa"/>
          </w:tcPr>
          <w:p w:rsidR="005672C9" w:rsidRPr="00E37529" w:rsidRDefault="005672C9" w:rsidP="00D079DD">
            <w:pPr>
              <w:rPr>
                <w:rFonts w:ascii="Arial Narrow" w:hAnsi="Arial Narrow"/>
                <w:b/>
                <w:sz w:val="20"/>
                <w:szCs w:val="20"/>
              </w:rPr>
            </w:pPr>
          </w:p>
        </w:tc>
        <w:tc>
          <w:tcPr>
            <w:tcW w:w="1167" w:type="dxa"/>
          </w:tcPr>
          <w:p w:rsidR="005672C9" w:rsidRPr="00E37529" w:rsidRDefault="005672C9" w:rsidP="00D079DD">
            <w:pPr>
              <w:rPr>
                <w:rFonts w:ascii="Arial Narrow" w:hAnsi="Arial Narrow"/>
                <w:b/>
                <w:sz w:val="20"/>
                <w:szCs w:val="20"/>
              </w:rPr>
            </w:pPr>
          </w:p>
        </w:tc>
        <w:tc>
          <w:tcPr>
            <w:tcW w:w="1017"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22"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984"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1147"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61"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993"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50"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992" w:type="dxa"/>
          </w:tcPr>
          <w:p w:rsidR="005672C9" w:rsidRPr="00E37529" w:rsidRDefault="005672C9" w:rsidP="00D079DD">
            <w:pPr>
              <w:rPr>
                <w:rFonts w:ascii="Arial Narrow" w:hAnsi="Arial Narrow"/>
                <w:b/>
                <w:sz w:val="20"/>
                <w:szCs w:val="20"/>
              </w:rPr>
            </w:pPr>
            <w:r w:rsidRPr="00E37529">
              <w:rPr>
                <w:rFonts w:ascii="Arial Narrow" w:hAnsi="Arial Narrow"/>
                <w:b/>
                <w:sz w:val="20"/>
                <w:szCs w:val="20"/>
                <w:lang w:val="en-US"/>
              </w:rPr>
              <w:t>95%CI</w:t>
            </w:r>
          </w:p>
        </w:tc>
        <w:tc>
          <w:tcPr>
            <w:tcW w:w="827"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c>
          <w:tcPr>
            <w:tcW w:w="992" w:type="dxa"/>
          </w:tcPr>
          <w:p w:rsidR="005672C9" w:rsidRPr="00E37529" w:rsidRDefault="005672C9" w:rsidP="00D079DD">
            <w:pPr>
              <w:rPr>
                <w:rFonts w:ascii="Arial Narrow" w:hAnsi="Arial Narrow"/>
                <w:b/>
                <w:sz w:val="20"/>
                <w:szCs w:val="20"/>
              </w:rPr>
            </w:pPr>
            <w:proofErr w:type="gramStart"/>
            <w:r w:rsidRPr="00E37529">
              <w:rPr>
                <w:rFonts w:ascii="Arial Narrow" w:hAnsi="Arial Narrow"/>
                <w:b/>
                <w:sz w:val="20"/>
                <w:szCs w:val="20"/>
                <w:lang w:val="en-US"/>
              </w:rPr>
              <w:t>n/N</w:t>
            </w:r>
            <w:proofErr w:type="gramEnd"/>
            <w:r w:rsidRPr="00E37529">
              <w:rPr>
                <w:rFonts w:ascii="Arial Narrow" w:hAnsi="Arial Narrow"/>
                <w:b/>
                <w:sz w:val="20"/>
                <w:szCs w:val="20"/>
                <w:lang w:val="en-US"/>
              </w:rPr>
              <w:t xml:space="preserve"> (%)</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MenACWY-TT-012#</w:t>
            </w:r>
            <w:r>
              <w:rPr>
                <w:rFonts w:ascii="Arial Narrow" w:hAnsi="Arial Narrow"/>
                <w:sz w:val="20"/>
                <w:szCs w:val="20"/>
                <w:lang w:val="en-US"/>
              </w:rPr>
              <w:t>*</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Form 3</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16/24 (66.7)</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(44.7, 84.4)</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12/24 (50)</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(29.1, 70.9)</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13/24 (54.2)</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(32.8, 74.4)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0/24 </w:t>
            </w:r>
            <w:r w:rsidRPr="00E37529">
              <w:rPr>
                <w:rFonts w:ascii="Arial Narrow" w:hAnsi="Arial Narrow"/>
                <w:color w:val="000000"/>
                <w:sz w:val="20"/>
                <w:szCs w:val="20"/>
              </w:rPr>
              <w:br/>
              <w:t>(0)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(0, 14.2)</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MenACWY-TT-015</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174/374 (46.5)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(41.4, 51.7)</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57/374 (15.2)</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(11.8, 19.3)</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162/374 (43.3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(38.2, 48.5)</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12/374 (3.2)</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(1.7, 5.5)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5/374 (1.3)</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(0.4, 3.1)</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9/374 (2.4)</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(1.1, 4.5)</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MenACWY-TT-21</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no MPS</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37/79 (46.8)</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(35.5, 58.4)</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17/79 (21.5)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(13.1, 32.2)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33/79 (41.8</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(30.8, 53.4)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3/79 (3.8)</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(0.8, 10.7)</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2/79 (2.5)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(0.3, 8.8)</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 xml:space="preserve">2/79 </w:t>
            </w:r>
            <w:r w:rsidRPr="00E37529">
              <w:rPr>
                <w:rFonts w:ascii="Arial Narrow" w:hAnsi="Arial Narrow"/>
                <w:color w:val="000000"/>
                <w:sz w:val="20"/>
                <w:szCs w:val="20"/>
              </w:rPr>
              <w:br/>
              <w:t>(2.5)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(0.3, 8.8)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MenACWY-TT-035</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300/935 (32.1)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(29.1, 35.2)</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169/935 (18.1)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(15.7, 20.7)</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218/935 (23.3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(20.6, 26.2)</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37/935 (4)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(2.8, 5.4)</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22/935 (2.4)</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(1.5, 3.5)</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18/935 (1.9)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(1.1, 3)</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MenACWY-TT-036</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307/768 (40.0)</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(36.5, 43.5)</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151/768 (19.7)</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(16.9, 22.7)</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241</w:t>
            </w:r>
            <w:r>
              <w:rPr>
                <w:rFonts w:ascii="Arial Narrow" w:hAnsi="Arial Narrow"/>
                <w:sz w:val="20"/>
                <w:szCs w:val="20"/>
                <w:lang w:val="en-US"/>
              </w:rPr>
              <w:t>/768 (31.4</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(28.1, 34.8)</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26/768 (3.4)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(2.2, 4.9)</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12/768 (1.6)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(0.8, 2.7)</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14/768 (1.8)</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(1, 3)</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MenACWY-TT-037</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76/122 (62.3)</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(53.1, 70.9)</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30/122 (24.6)</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(17.2, 33.2)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65/122 (53.3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(44.0, 62.4)</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7/122 (5.7)</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(2.3, 11.5)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2/122 (1.6)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(0.2, 5.8)</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6/122 (4.9)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(1.8, 10.4)</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MenACWY-TT-052#</w:t>
            </w:r>
          </w:p>
        </w:tc>
        <w:tc>
          <w:tcPr>
            <w:tcW w:w="1167"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eastAsia="en-US"/>
              </w:rPr>
              <w:t>ACWY-TT</w:t>
            </w:r>
          </w:p>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(Day 0-3)</w:t>
            </w:r>
          </w:p>
        </w:tc>
        <w:tc>
          <w:tcPr>
            <w:tcW w:w="1017" w:type="dxa"/>
          </w:tcPr>
          <w:p w:rsidR="005672C9" w:rsidRPr="00E37529" w:rsidRDefault="005672C9" w:rsidP="00D079DD">
            <w:pPr>
              <w:rPr>
                <w:rFonts w:ascii="Arial Narrow" w:hAnsi="Arial Narrow"/>
                <w:sz w:val="20"/>
                <w:szCs w:val="20"/>
              </w:rPr>
            </w:pPr>
            <w:r>
              <w:rPr>
                <w:rFonts w:ascii="Arial Narrow" w:hAnsi="Arial Narrow"/>
                <w:sz w:val="20"/>
                <w:szCs w:val="20"/>
                <w:lang w:val="en-US"/>
              </w:rPr>
              <w:t>390/587 (66.4</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(62.5, 70.3)</w:t>
            </w:r>
          </w:p>
        </w:tc>
        <w:tc>
          <w:tcPr>
            <w:tcW w:w="822" w:type="dxa"/>
          </w:tcPr>
          <w:p w:rsidR="005672C9" w:rsidRPr="00E37529" w:rsidRDefault="005672C9" w:rsidP="00D079DD">
            <w:pPr>
              <w:rPr>
                <w:rFonts w:ascii="Arial Narrow" w:hAnsi="Arial Narrow"/>
                <w:sz w:val="20"/>
                <w:szCs w:val="20"/>
              </w:rPr>
            </w:pPr>
            <w:r>
              <w:rPr>
                <w:rFonts w:ascii="Arial Narrow" w:hAnsi="Arial Narrow"/>
                <w:sz w:val="20"/>
                <w:szCs w:val="20"/>
                <w:lang w:val="en-US"/>
              </w:rPr>
              <w:t>227/587 (38.7</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(34.7, 42.7)</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339/587 (57.8</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(53.6, 61.8)</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42/587 (7.2)</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(5.2, 9.5)</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21/587 (3.6)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(2.2, 5.4)</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23/587 (3.9)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(2.5, 5.8)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MenACWY-TT-052#</w:t>
            </w:r>
          </w:p>
        </w:tc>
        <w:tc>
          <w:tcPr>
            <w:tcW w:w="1167"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eastAsia="en-US"/>
              </w:rPr>
              <w:t>ACWY-TT</w:t>
            </w:r>
          </w:p>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(Day 0-7)</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402/587 (68.5)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(64.6, 72.2)</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243/587 (41.4)</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(37.4, 45.5)</w:t>
            </w:r>
          </w:p>
        </w:tc>
        <w:tc>
          <w:tcPr>
            <w:tcW w:w="98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341/587 (58.1)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(54.0, 62.1)</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55/587 (9.4)</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(7.1, 12.0)</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35/587 (6.0)</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(4.2, 8.2)</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23/587 (3.9)</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(2.5, 5.8)</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MenACWY-TT-054#</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ACWY-TT</w:t>
            </w:r>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MenACWY-TT-084</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 xml:space="preserve">Healthy </w:t>
            </w:r>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xml:space="preserve">'''''''''' </w:t>
            </w:r>
            <w:r>
              <w:rPr>
                <w:rFonts w:ascii="Arial Narrow" w:hAnsi="Arial Narrow"/>
                <w:noProof/>
                <w:color w:val="000000"/>
                <w:sz w:val="20"/>
                <w:szCs w:val="20"/>
                <w:highlight w:val="black"/>
              </w:rPr>
              <w:br/>
              <w:t>''''''''''</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r>
      <w:tr w:rsidR="005672C9" w:rsidRPr="00E37529" w:rsidTr="00D079DD">
        <w:trPr>
          <w:trHeight w:val="456"/>
        </w:trPr>
        <w:tc>
          <w:tcPr>
            <w:tcW w:w="1224" w:type="dxa"/>
          </w:tcPr>
          <w:p w:rsidR="005672C9" w:rsidRPr="00E37529" w:rsidRDefault="005672C9" w:rsidP="00D079DD">
            <w:pPr>
              <w:pStyle w:val="TableText1"/>
              <w:spacing w:before="0" w:after="0"/>
              <w:rPr>
                <w:rFonts w:ascii="Arial Narrow" w:hAnsi="Arial Narrow"/>
                <w:sz w:val="20"/>
                <w:szCs w:val="20"/>
                <w:lang w:val="en-US" w:eastAsia="en-US"/>
              </w:rPr>
            </w:pPr>
            <w:r w:rsidRPr="00E37529">
              <w:rPr>
                <w:rFonts w:ascii="Arial Narrow" w:hAnsi="Arial Narrow"/>
                <w:sz w:val="20"/>
                <w:szCs w:val="20"/>
                <w:lang w:val="en-US"/>
              </w:rPr>
              <w:t>Men</w:t>
            </w:r>
            <w:r w:rsidRPr="00E37529">
              <w:rPr>
                <w:rFonts w:ascii="Arial Narrow" w:hAnsi="Arial Narrow"/>
                <w:sz w:val="20"/>
                <w:szCs w:val="20"/>
                <w:lang w:val="en-US" w:eastAsia="en-US"/>
              </w:rPr>
              <w:t>ACWY-TT-093</w:t>
            </w: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ACWY-A</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271/390 (69.5)</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(64.7, 74.0)</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176/390 (45.1)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(40.1, 50.2)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231/390 (59.2</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(54.2, 64.1)</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15/390 (3.8)</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(2.2, 6.3)</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6/390 (1.5)</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(0.6, 3.3)</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10/390 (2.6)</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(1.2, 4.7)</w:t>
            </w:r>
          </w:p>
        </w:tc>
      </w:tr>
      <w:tr w:rsidR="005672C9" w:rsidRPr="00E37529" w:rsidTr="00D079DD">
        <w:tc>
          <w:tcPr>
            <w:tcW w:w="1224" w:type="dxa"/>
          </w:tcPr>
          <w:p w:rsidR="005672C9" w:rsidRPr="00E37529" w:rsidRDefault="005672C9" w:rsidP="00D079DD">
            <w:pPr>
              <w:rPr>
                <w:rFonts w:ascii="Arial Narrow" w:hAnsi="Arial Narrow"/>
                <w:sz w:val="20"/>
                <w:szCs w:val="20"/>
              </w:rPr>
            </w:pPr>
          </w:p>
        </w:tc>
        <w:tc>
          <w:tcPr>
            <w:tcW w:w="116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ACWY-B</w:t>
            </w:r>
          </w:p>
        </w:tc>
        <w:tc>
          <w:tcPr>
            <w:tcW w:w="101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268</w:t>
            </w:r>
            <w:r>
              <w:rPr>
                <w:rFonts w:ascii="Arial Narrow" w:hAnsi="Arial Narrow"/>
                <w:sz w:val="20"/>
                <w:szCs w:val="20"/>
                <w:lang w:val="en-US"/>
              </w:rPr>
              <w:t>/390 (70.3</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(63.9, 73.3)</w:t>
            </w:r>
          </w:p>
        </w:tc>
        <w:tc>
          <w:tcPr>
            <w:tcW w:w="822"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168/390 (43.1)</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(38.1, 48.2)</w:t>
            </w:r>
          </w:p>
        </w:tc>
        <w:tc>
          <w:tcPr>
            <w:tcW w:w="984" w:type="dxa"/>
          </w:tcPr>
          <w:p w:rsidR="005672C9" w:rsidRPr="00E37529" w:rsidRDefault="005672C9" w:rsidP="00D079DD">
            <w:pPr>
              <w:rPr>
                <w:rFonts w:ascii="Arial Narrow" w:hAnsi="Arial Narrow"/>
                <w:sz w:val="20"/>
                <w:szCs w:val="20"/>
              </w:rPr>
            </w:pPr>
            <w:r>
              <w:rPr>
                <w:rFonts w:ascii="Arial Narrow" w:hAnsi="Arial Narrow"/>
                <w:sz w:val="20"/>
                <w:szCs w:val="20"/>
                <w:lang w:val="en-US"/>
              </w:rPr>
              <w:t>226/390 (57.9</w:t>
            </w:r>
            <w:r w:rsidRPr="00E37529">
              <w:rPr>
                <w:rFonts w:ascii="Arial Narrow" w:hAnsi="Arial Narrow"/>
                <w:sz w:val="20"/>
                <w:szCs w:val="20"/>
                <w:lang w:val="en-US"/>
              </w:rPr>
              <w:t>)</w:t>
            </w:r>
          </w:p>
        </w:tc>
        <w:tc>
          <w:tcPr>
            <w:tcW w:w="1147"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(52.9, 62.9)</w:t>
            </w:r>
          </w:p>
        </w:tc>
        <w:tc>
          <w:tcPr>
            <w:tcW w:w="861"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16/390 (4.1)</w:t>
            </w:r>
          </w:p>
        </w:tc>
        <w:tc>
          <w:tcPr>
            <w:tcW w:w="993"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(2.4, 6.6)</w:t>
            </w:r>
          </w:p>
        </w:tc>
        <w:tc>
          <w:tcPr>
            <w:tcW w:w="850"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8/390 (2.1)</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(0.9, 4)</w:t>
            </w:r>
          </w:p>
        </w:tc>
        <w:tc>
          <w:tcPr>
            <w:tcW w:w="827"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8/390 (2.1)</w:t>
            </w:r>
          </w:p>
        </w:tc>
        <w:tc>
          <w:tcPr>
            <w:tcW w:w="992" w:type="dxa"/>
          </w:tcPr>
          <w:p w:rsidR="005672C9" w:rsidRPr="00E37529" w:rsidRDefault="005672C9" w:rsidP="00D079DD">
            <w:pPr>
              <w:rPr>
                <w:rFonts w:ascii="Arial Narrow" w:hAnsi="Arial Narrow"/>
                <w:sz w:val="20"/>
                <w:szCs w:val="20"/>
              </w:rPr>
            </w:pPr>
            <w:r w:rsidRPr="00E37529">
              <w:rPr>
                <w:rFonts w:ascii="Arial Narrow" w:hAnsi="Arial Narrow"/>
                <w:color w:val="000000"/>
                <w:sz w:val="20"/>
                <w:szCs w:val="20"/>
              </w:rPr>
              <w:t>(0.9, 4)</w:t>
            </w:r>
          </w:p>
        </w:tc>
      </w:tr>
      <w:tr w:rsidR="005672C9" w:rsidRPr="00E37529" w:rsidTr="00D079DD">
        <w:tc>
          <w:tcPr>
            <w:tcW w:w="1224" w:type="dxa"/>
          </w:tcPr>
          <w:p w:rsidR="005672C9" w:rsidRPr="00E37529" w:rsidRDefault="005672C9" w:rsidP="00D079DD">
            <w:pPr>
              <w:rPr>
                <w:rFonts w:ascii="Arial Narrow" w:hAnsi="Arial Narrow"/>
                <w:sz w:val="20"/>
                <w:szCs w:val="20"/>
              </w:rPr>
            </w:pPr>
            <w:r w:rsidRPr="00E37529">
              <w:rPr>
                <w:rFonts w:ascii="Arial Narrow" w:hAnsi="Arial Narrow"/>
                <w:sz w:val="20"/>
                <w:szCs w:val="20"/>
                <w:lang w:val="en-US"/>
              </w:rPr>
              <w:t>MenACWY-TT-098</w:t>
            </w:r>
          </w:p>
        </w:tc>
        <w:tc>
          <w:tcPr>
            <w:tcW w:w="1167" w:type="dxa"/>
          </w:tcPr>
          <w:p w:rsidR="005672C9" w:rsidRPr="00E37529" w:rsidRDefault="005672C9" w:rsidP="00D079DD">
            <w:pPr>
              <w:rPr>
                <w:rFonts w:ascii="Arial Narrow" w:hAnsi="Arial Narrow"/>
                <w:sz w:val="20"/>
                <w:szCs w:val="20"/>
              </w:rPr>
            </w:pPr>
            <w:proofErr w:type="spellStart"/>
            <w:r w:rsidRPr="00E37529">
              <w:rPr>
                <w:rFonts w:ascii="Arial Narrow" w:hAnsi="Arial Narrow"/>
                <w:sz w:val="20"/>
                <w:szCs w:val="20"/>
                <w:lang w:val="en-US"/>
              </w:rPr>
              <w:t>ACWYTdap</w:t>
            </w:r>
            <w:proofErr w:type="spellEnd"/>
          </w:p>
        </w:tc>
        <w:tc>
          <w:tcPr>
            <w:tcW w:w="101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2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984"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114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lang w:val="en-US"/>
              </w:rPr>
              <w:t>''''''''''''''' ''''''''''''</w:t>
            </w:r>
          </w:p>
        </w:tc>
        <w:tc>
          <w:tcPr>
            <w:tcW w:w="861"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3"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c>
          <w:tcPr>
            <w:tcW w:w="850"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c>
          <w:tcPr>
            <w:tcW w:w="827"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w:t>
            </w:r>
          </w:p>
        </w:tc>
        <w:tc>
          <w:tcPr>
            <w:tcW w:w="992" w:type="dxa"/>
          </w:tcPr>
          <w:p w:rsidR="005672C9" w:rsidRPr="0010557D" w:rsidRDefault="0010557D" w:rsidP="00D079DD">
            <w:pPr>
              <w:rPr>
                <w:rFonts w:ascii="Arial Narrow" w:hAnsi="Arial Narrow"/>
                <w:sz w:val="20"/>
                <w:szCs w:val="20"/>
                <w:highlight w:val="black"/>
              </w:rPr>
            </w:pPr>
            <w:r>
              <w:rPr>
                <w:rFonts w:ascii="Arial Narrow" w:hAnsi="Arial Narrow"/>
                <w:noProof/>
                <w:color w:val="000000"/>
                <w:sz w:val="20"/>
                <w:szCs w:val="20"/>
                <w:highlight w:val="black"/>
              </w:rPr>
              <w:t>'''''''''' '''''''''' ''</w:t>
            </w:r>
          </w:p>
        </w:tc>
      </w:tr>
    </w:tbl>
    <w:p w:rsidR="00761C0C" w:rsidRDefault="005672C9" w:rsidP="005672C9">
      <w:pPr>
        <w:pStyle w:val="TextUnderTable"/>
        <w:spacing w:before="0" w:after="0"/>
        <w:rPr>
          <w:rFonts w:ascii="Arial Narrow" w:hAnsi="Arial Narrow"/>
          <w:i w:val="0"/>
          <w:sz w:val="18"/>
          <w:szCs w:val="18"/>
          <w:lang w:val="en-US" w:eastAsia="en-US"/>
        </w:rPr>
      </w:pPr>
      <w:r w:rsidRPr="00F32A52">
        <w:rPr>
          <w:rFonts w:ascii="Arial Narrow" w:hAnsi="Arial Narrow"/>
          <w:i w:val="0"/>
          <w:sz w:val="18"/>
          <w:szCs w:val="18"/>
          <w:lang w:val="en-US" w:eastAsia="en-US"/>
        </w:rPr>
        <w:t>95%CI – exact 95% confidence interval, n- number of subjects presenting with symptom, N- number of subjects with at least one documented dose.</w:t>
      </w:r>
    </w:p>
    <w:p w:rsidR="005672C9" w:rsidRDefault="005672C9" w:rsidP="005672C9">
      <w:pPr>
        <w:pStyle w:val="TextUnderTable"/>
        <w:spacing w:before="0" w:after="0"/>
        <w:rPr>
          <w:rFonts w:ascii="Arial Narrow" w:hAnsi="Arial Narrow"/>
          <w:i w:val="0"/>
          <w:sz w:val="18"/>
          <w:szCs w:val="18"/>
          <w:lang w:val="en-US" w:eastAsia="en-US"/>
        </w:rPr>
      </w:pPr>
      <w:r w:rsidRPr="00F32A52">
        <w:rPr>
          <w:rFonts w:ascii="Arial Narrow" w:hAnsi="Arial Narrow"/>
          <w:i w:val="0"/>
          <w:sz w:val="18"/>
          <w:szCs w:val="18"/>
          <w:lang w:val="en-US" w:eastAsia="en-US"/>
        </w:rPr>
        <w:lastRenderedPageBreak/>
        <w:t># Post-vaccination period was 4 days (Day 0-</w:t>
      </w:r>
      <w:r>
        <w:rPr>
          <w:rFonts w:ascii="Arial Narrow" w:hAnsi="Arial Narrow"/>
          <w:i w:val="0"/>
          <w:sz w:val="18"/>
          <w:szCs w:val="18"/>
          <w:lang w:val="en-US" w:eastAsia="en-US"/>
        </w:rPr>
        <w:t>3) in all studies except for Men</w:t>
      </w:r>
      <w:r w:rsidRPr="00F32A52">
        <w:rPr>
          <w:rFonts w:ascii="Arial Narrow" w:hAnsi="Arial Narrow"/>
          <w:i w:val="0"/>
          <w:sz w:val="18"/>
          <w:szCs w:val="18"/>
          <w:lang w:val="en-US" w:eastAsia="en-US"/>
        </w:rPr>
        <w:t xml:space="preserve">ACWY-TT-012, it was 8 days (Day 0 – 7); for </w:t>
      </w:r>
      <w:r>
        <w:rPr>
          <w:rFonts w:ascii="Arial Narrow" w:hAnsi="Arial Narrow"/>
          <w:i w:val="0"/>
          <w:sz w:val="18"/>
          <w:szCs w:val="18"/>
          <w:lang w:val="en-US" w:eastAsia="en-US"/>
        </w:rPr>
        <w:t>Men</w:t>
      </w:r>
      <w:r w:rsidRPr="00F32A52">
        <w:rPr>
          <w:rFonts w:ascii="Arial Narrow" w:hAnsi="Arial Narrow"/>
          <w:i w:val="0"/>
          <w:sz w:val="18"/>
          <w:szCs w:val="18"/>
          <w:lang w:val="en-US" w:eastAsia="en-US"/>
        </w:rPr>
        <w:t xml:space="preserve">ACWY-TT-052, 4 days was reported in addition to 8 days (Day 0-7) and for </w:t>
      </w:r>
      <w:r>
        <w:rPr>
          <w:rFonts w:ascii="Arial Narrow" w:hAnsi="Arial Narrow"/>
          <w:i w:val="0"/>
          <w:sz w:val="18"/>
          <w:szCs w:val="18"/>
          <w:lang w:val="en-US" w:eastAsia="en-US"/>
        </w:rPr>
        <w:t>Men</w:t>
      </w:r>
      <w:r w:rsidRPr="00F32A52">
        <w:rPr>
          <w:rFonts w:ascii="Arial Narrow" w:hAnsi="Arial Narrow"/>
          <w:i w:val="0"/>
          <w:sz w:val="18"/>
          <w:szCs w:val="18"/>
          <w:lang w:val="en-US" w:eastAsia="en-US"/>
        </w:rPr>
        <w:t>CWY</w:t>
      </w:r>
      <w:r>
        <w:rPr>
          <w:rFonts w:ascii="Arial Narrow" w:hAnsi="Arial Narrow"/>
          <w:i w:val="0"/>
          <w:sz w:val="18"/>
          <w:szCs w:val="18"/>
          <w:vertAlign w:val="superscript"/>
          <w:lang w:val="en-US" w:eastAsia="en-US"/>
        </w:rPr>
        <w:noBreakHyphen/>
      </w:r>
      <w:r w:rsidRPr="00F32A52">
        <w:rPr>
          <w:rFonts w:ascii="Arial Narrow" w:hAnsi="Arial Narrow"/>
          <w:i w:val="0"/>
          <w:sz w:val="18"/>
          <w:szCs w:val="18"/>
          <w:lang w:val="en-US" w:eastAsia="en-US"/>
        </w:rPr>
        <w:t>TT-054, it was 7 days (Day 0 – 6).</w:t>
      </w:r>
    </w:p>
    <w:p w:rsidR="005672C9" w:rsidRDefault="005672C9" w:rsidP="005672C9">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w:t>
      </w:r>
      <w:r w:rsidRPr="00E37529">
        <w:rPr>
          <w:rFonts w:ascii="Arial Narrow" w:hAnsi="Arial Narrow"/>
          <w:i w:val="0"/>
          <w:sz w:val="18"/>
          <w:szCs w:val="18"/>
          <w:lang w:val="en-US" w:eastAsia="en-US"/>
        </w:rPr>
        <w:t xml:space="preserve"> </w:t>
      </w:r>
      <w:r>
        <w:rPr>
          <w:rFonts w:ascii="Arial Narrow" w:hAnsi="Arial Narrow"/>
          <w:i w:val="0"/>
          <w:sz w:val="18"/>
          <w:szCs w:val="18"/>
          <w:lang w:val="en-US" w:eastAsia="en-US"/>
        </w:rPr>
        <w:t>Men</w:t>
      </w:r>
      <w:r w:rsidRPr="00F32A52">
        <w:rPr>
          <w:rFonts w:ascii="Arial Narrow" w:hAnsi="Arial Narrow"/>
          <w:i w:val="0"/>
          <w:sz w:val="18"/>
          <w:szCs w:val="18"/>
          <w:lang w:val="en-US" w:eastAsia="en-US"/>
        </w:rPr>
        <w:t>ACWY-TT-012</w:t>
      </w:r>
      <w:r>
        <w:rPr>
          <w:rFonts w:ascii="Arial Narrow" w:hAnsi="Arial Narrow"/>
          <w:i w:val="0"/>
          <w:sz w:val="18"/>
          <w:szCs w:val="18"/>
          <w:lang w:val="en-US" w:eastAsia="en-US"/>
        </w:rPr>
        <w:t xml:space="preserve">: did not report on </w:t>
      </w:r>
      <w:r w:rsidRPr="00E37529">
        <w:rPr>
          <w:rFonts w:ascii="Arial Narrow" w:hAnsi="Arial Narrow"/>
          <w:i w:val="0"/>
          <w:sz w:val="18"/>
          <w:szCs w:val="18"/>
          <w:lang w:val="en-US" w:eastAsia="en-US"/>
        </w:rPr>
        <w:t>vaccine related solicited and unsolicited symptoms</w:t>
      </w:r>
      <w:r>
        <w:rPr>
          <w:rFonts w:ascii="Arial Narrow" w:hAnsi="Arial Narrow"/>
          <w:i w:val="0"/>
          <w:sz w:val="18"/>
          <w:szCs w:val="18"/>
          <w:lang w:val="en-US" w:eastAsia="en-US"/>
        </w:rPr>
        <w:t xml:space="preserve">, only reported all </w:t>
      </w:r>
      <w:r w:rsidRPr="00E37529">
        <w:rPr>
          <w:rFonts w:ascii="Arial Narrow" w:hAnsi="Arial Narrow"/>
          <w:i w:val="0"/>
          <w:sz w:val="18"/>
          <w:szCs w:val="18"/>
          <w:lang w:val="en-US" w:eastAsia="en-US"/>
        </w:rPr>
        <w:t>solicited and unsolicited symptoms</w:t>
      </w:r>
      <w:r>
        <w:rPr>
          <w:rFonts w:ascii="Arial Narrow" w:hAnsi="Arial Narrow"/>
          <w:i w:val="0"/>
          <w:sz w:val="18"/>
          <w:szCs w:val="18"/>
          <w:lang w:val="en-US" w:eastAsia="en-US"/>
        </w:rPr>
        <w:t xml:space="preserve"> during the post-vaccination period </w:t>
      </w:r>
    </w:p>
    <w:p w:rsidR="005672C9" w:rsidRPr="00F32A52" w:rsidRDefault="005672C9" w:rsidP="005672C9">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 xml:space="preserve">Source: Table 2.5.19, Table 2.5.20 and Table 2.5.21, p116 -118 of the submission. </w:t>
      </w:r>
    </w:p>
    <w:p w:rsidR="005672C9" w:rsidRPr="001A1D16" w:rsidRDefault="005672C9" w:rsidP="005672C9">
      <w:pPr>
        <w:widowControl/>
        <w:jc w:val="left"/>
        <w:rPr>
          <w:rFonts w:ascii="Arial Narrow" w:hAnsi="Arial Narrow"/>
          <w:sz w:val="18"/>
          <w:szCs w:val="18"/>
          <w:lang w:val="en-US"/>
        </w:rPr>
        <w:sectPr w:rsidR="005672C9" w:rsidRPr="001A1D16" w:rsidSect="00D079DD">
          <w:headerReference w:type="default" r:id="rId20"/>
          <w:pgSz w:w="16840" w:h="11907" w:orient="landscape" w:code="9"/>
          <w:pgMar w:top="1440" w:right="1440" w:bottom="1440" w:left="1440" w:header="1440" w:footer="1440" w:gutter="0"/>
          <w:cols w:space="708"/>
          <w:docGrid w:linePitch="360"/>
        </w:sectPr>
      </w:pPr>
    </w:p>
    <w:p w:rsidR="007F1017" w:rsidRPr="007267E3" w:rsidRDefault="007F1017" w:rsidP="00C9624D">
      <w:pPr>
        <w:pStyle w:val="Heading2"/>
        <w:rPr>
          <w:i w:val="0"/>
        </w:rPr>
      </w:pPr>
      <w:bookmarkStart w:id="10" w:name="_Toc501621780"/>
      <w:r w:rsidRPr="007267E3">
        <w:rPr>
          <w:i w:val="0"/>
        </w:rPr>
        <w:lastRenderedPageBreak/>
        <w:t>Benefits/harms</w:t>
      </w:r>
      <w:bookmarkEnd w:id="10"/>
    </w:p>
    <w:p w:rsidR="004151CF" w:rsidRPr="004151CF" w:rsidRDefault="004151CF" w:rsidP="004151CF"/>
    <w:p w:rsidR="00025404" w:rsidRPr="00590BD8" w:rsidRDefault="00B634B5" w:rsidP="009E2CAD">
      <w:pPr>
        <w:pStyle w:val="ListParagraph"/>
        <w:widowControl/>
        <w:numPr>
          <w:ilvl w:val="1"/>
          <w:numId w:val="1"/>
        </w:numPr>
      </w:pPr>
      <w:r w:rsidRPr="00590BD8">
        <w:t xml:space="preserve">A summary of the comparative benefits and harms for </w:t>
      </w:r>
      <w:r w:rsidR="0001699D" w:rsidRPr="00590BD8">
        <w:t xml:space="preserve">the </w:t>
      </w:r>
      <w:proofErr w:type="spellStart"/>
      <w:r w:rsidRPr="00590BD8">
        <w:t>MenACWY</w:t>
      </w:r>
      <w:proofErr w:type="spellEnd"/>
      <w:r w:rsidRPr="00590BD8">
        <w:t xml:space="preserve">-TT vaccine versus no vaccine is presented in </w:t>
      </w:r>
      <w:r w:rsidR="00025404" w:rsidRPr="00590BD8">
        <w:t>T</w:t>
      </w:r>
      <w:r w:rsidRPr="00590BD8">
        <w:t xml:space="preserve">able </w:t>
      </w:r>
      <w:r w:rsidR="004A20D6">
        <w:t>9</w:t>
      </w:r>
      <w:r w:rsidR="004A20D6" w:rsidRPr="00590BD8">
        <w:t xml:space="preserve"> </w:t>
      </w:r>
      <w:r w:rsidRPr="00590BD8">
        <w:t xml:space="preserve">below. </w:t>
      </w:r>
      <w:r w:rsidR="008F0731" w:rsidRPr="00590BD8">
        <w:t xml:space="preserve">The comparative harms were based on the clinical trials. </w:t>
      </w:r>
      <w:r w:rsidRPr="00590BD8">
        <w:t xml:space="preserve">The </w:t>
      </w:r>
      <w:r w:rsidR="008F0731" w:rsidRPr="00590BD8">
        <w:t xml:space="preserve">comparative benefits </w:t>
      </w:r>
      <w:r w:rsidR="00330A5A" w:rsidRPr="00590BD8">
        <w:t>were</w:t>
      </w:r>
      <w:r w:rsidRPr="00590BD8">
        <w:t xml:space="preserve"> derived from </w:t>
      </w:r>
      <w:r w:rsidR="00330A5A" w:rsidRPr="00590BD8">
        <w:t xml:space="preserve">the economic model, which </w:t>
      </w:r>
      <w:r w:rsidRPr="00590BD8">
        <w:t>convert</w:t>
      </w:r>
      <w:r w:rsidR="00330A5A" w:rsidRPr="00590BD8">
        <w:t>ed</w:t>
      </w:r>
      <w:r w:rsidRPr="00590BD8">
        <w:t xml:space="preserve"> the estimated immunogenicity results from the clinical trials into the number of IMD cases a</w:t>
      </w:r>
      <w:r w:rsidR="001B4ED3">
        <w:t>nd</w:t>
      </w:r>
      <w:r w:rsidR="00330A5A" w:rsidRPr="00590BD8">
        <w:t xml:space="preserve"> death</w:t>
      </w:r>
      <w:r w:rsidR="00346AD1">
        <w:t>s</w:t>
      </w:r>
      <w:r w:rsidR="00330A5A" w:rsidRPr="00590BD8">
        <w:t xml:space="preserve"> avoided.</w:t>
      </w:r>
      <w:r w:rsidR="00847054">
        <w:t xml:space="preserve"> Concerns regarding </w:t>
      </w:r>
      <w:r w:rsidR="001B4ED3">
        <w:t xml:space="preserve">quantification of the number of </w:t>
      </w:r>
      <w:r w:rsidR="00847054">
        <w:t xml:space="preserve">IMD </w:t>
      </w:r>
      <w:r w:rsidR="001B4ED3">
        <w:t xml:space="preserve">cases </w:t>
      </w:r>
      <w:r w:rsidR="00847054">
        <w:t>and deaths avoid</w:t>
      </w:r>
      <w:r w:rsidR="0057619E">
        <w:t>ed</w:t>
      </w:r>
      <w:r w:rsidR="00847054">
        <w:t xml:space="preserve"> </w:t>
      </w:r>
      <w:r w:rsidR="001B4ED3">
        <w:t xml:space="preserve">based on the immunogenicity results </w:t>
      </w:r>
      <w:r w:rsidR="00847054">
        <w:t xml:space="preserve">are </w:t>
      </w:r>
      <w:r w:rsidR="001B4ED3">
        <w:t>discussed</w:t>
      </w:r>
      <w:r w:rsidR="00847054">
        <w:t xml:space="preserve"> in the Economic section below.</w:t>
      </w:r>
      <w:r w:rsidR="006771A0" w:rsidRPr="00590BD8">
        <w:t xml:space="preserve"> </w:t>
      </w:r>
    </w:p>
    <w:p w:rsidR="00B62715" w:rsidRPr="00A578DC" w:rsidRDefault="002479ED" w:rsidP="007F4A61">
      <w:pPr>
        <w:rPr>
          <w:rStyle w:val="CommentReference"/>
        </w:rPr>
      </w:pPr>
      <w:r>
        <w:rPr>
          <w:rStyle w:val="CommentReference"/>
        </w:rPr>
        <w:t xml:space="preserve">Table </w:t>
      </w:r>
      <w:r w:rsidR="004A20D6">
        <w:rPr>
          <w:rStyle w:val="CommentReference"/>
        </w:rPr>
        <w:t>9</w:t>
      </w:r>
      <w:r w:rsidR="00B62715" w:rsidRPr="00A578DC">
        <w:rPr>
          <w:rStyle w:val="CommentReference"/>
        </w:rPr>
        <w:t xml:space="preserve">: Summary of comparative benefits and harms for </w:t>
      </w:r>
      <w:r w:rsidR="0001699D">
        <w:rPr>
          <w:rStyle w:val="CommentReference"/>
        </w:rPr>
        <w:t xml:space="preserve">the </w:t>
      </w:r>
      <w:proofErr w:type="spellStart"/>
      <w:r w:rsidR="004A28D2">
        <w:rPr>
          <w:rStyle w:val="CommentReference"/>
        </w:rPr>
        <w:t>MenACWY</w:t>
      </w:r>
      <w:proofErr w:type="spellEnd"/>
      <w:r w:rsidR="004A28D2">
        <w:rPr>
          <w:rStyle w:val="CommentReference"/>
        </w:rPr>
        <w:t>-TT versus no vaccination</w:t>
      </w:r>
    </w:p>
    <w:tbl>
      <w:tblPr>
        <w:tblW w:w="5000" w:type="pct"/>
        <w:tblCellMar>
          <w:left w:w="28" w:type="dxa"/>
          <w:right w:w="28" w:type="dxa"/>
        </w:tblCellMar>
        <w:tblLook w:val="04A0" w:firstRow="1" w:lastRow="0" w:firstColumn="1" w:lastColumn="0" w:noHBand="0" w:noVBand="1"/>
      </w:tblPr>
      <w:tblGrid>
        <w:gridCol w:w="1455"/>
        <w:gridCol w:w="1021"/>
        <w:gridCol w:w="1112"/>
        <w:gridCol w:w="865"/>
        <w:gridCol w:w="946"/>
        <w:gridCol w:w="1035"/>
        <w:gridCol w:w="1501"/>
        <w:gridCol w:w="1148"/>
      </w:tblGrid>
      <w:tr w:rsidR="00B8028A" w:rsidRPr="00B00ACD" w:rsidTr="00BF5BA2">
        <w:trPr>
          <w:trHeight w:val="150"/>
        </w:trPr>
        <w:tc>
          <w:tcPr>
            <w:tcW w:w="8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r w:rsidRPr="00B00ACD">
              <w:rPr>
                <w:rFonts w:ascii="Arial Narrow" w:hAnsi="Arial Narrow"/>
                <w:b/>
                <w:color w:val="000000"/>
                <w:sz w:val="20"/>
                <w:szCs w:val="20"/>
              </w:rPr>
              <w:t>Trial</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roofErr w:type="spellStart"/>
            <w:r w:rsidRPr="00B00ACD">
              <w:rPr>
                <w:rFonts w:ascii="Arial Narrow" w:hAnsi="Arial Narrow"/>
                <w:b/>
                <w:color w:val="000000"/>
                <w:sz w:val="20"/>
                <w:szCs w:val="20"/>
              </w:rPr>
              <w:t>MenACWY</w:t>
            </w:r>
            <w:proofErr w:type="spellEnd"/>
            <w:r w:rsidRPr="00B00ACD">
              <w:rPr>
                <w:rFonts w:ascii="Arial Narrow" w:hAnsi="Arial Narrow"/>
                <w:b/>
                <w:color w:val="000000"/>
                <w:sz w:val="20"/>
                <w:szCs w:val="20"/>
              </w:rPr>
              <w:t>-TT</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Difference</w:t>
            </w:r>
          </w:p>
        </w:tc>
        <w:tc>
          <w:tcPr>
            <w:tcW w:w="1091" w:type="pct"/>
            <w:gridSpan w:val="2"/>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Event rate/100 vaccinations</w:t>
            </w:r>
          </w:p>
        </w:tc>
        <w:tc>
          <w:tcPr>
            <w:tcW w:w="825"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RD</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632" w:type="pct"/>
            <w:vMerge w:val="restart"/>
            <w:tcBorders>
              <w:top w:val="single" w:sz="4" w:space="0" w:color="auto"/>
              <w:left w:val="single" w:sz="4" w:space="0" w:color="auto"/>
              <w:right w:val="single" w:sz="4" w:space="0" w:color="auto"/>
            </w:tcBorders>
            <w:vAlign w:val="center"/>
          </w:tcPr>
          <w:p w:rsidR="00330A5A" w:rsidRPr="00B00ACD" w:rsidRDefault="00330A5A" w:rsidP="00330A5A">
            <w:pPr>
              <w:jc w:val="center"/>
              <w:rPr>
                <w:rFonts w:ascii="Arial Narrow" w:hAnsi="Arial Narrow"/>
                <w:b/>
                <w:color w:val="000000"/>
                <w:sz w:val="20"/>
                <w:szCs w:val="20"/>
              </w:rPr>
            </w:pPr>
            <w:r>
              <w:rPr>
                <w:rFonts w:ascii="Arial Narrow" w:hAnsi="Arial Narrow"/>
                <w:b/>
                <w:color w:val="000000"/>
                <w:sz w:val="20"/>
                <w:szCs w:val="20"/>
              </w:rPr>
              <w:t>NNT</w:t>
            </w:r>
            <w:r w:rsidR="00B8028A">
              <w:rPr>
                <w:rFonts w:ascii="Arial Narrow" w:hAnsi="Arial Narrow"/>
                <w:b/>
                <w:color w:val="000000"/>
                <w:sz w:val="20"/>
                <w:szCs w:val="20"/>
              </w:rPr>
              <w:t>**</w:t>
            </w:r>
          </w:p>
        </w:tc>
      </w:tr>
      <w:tr w:rsidR="00B8028A" w:rsidRPr="00B00ACD" w:rsidTr="00BF5BA2">
        <w:trPr>
          <w:trHeight w:val="315"/>
        </w:trPr>
        <w:tc>
          <w:tcPr>
            <w:tcW w:w="8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roofErr w:type="spellStart"/>
            <w:r w:rsidRPr="00B00ACD">
              <w:rPr>
                <w:rFonts w:ascii="Arial Narrow" w:hAnsi="Arial Narrow"/>
                <w:b/>
                <w:color w:val="000000"/>
                <w:sz w:val="20"/>
                <w:szCs w:val="20"/>
              </w:rPr>
              <w:t>MenACWY</w:t>
            </w:r>
            <w:proofErr w:type="spellEnd"/>
            <w:r w:rsidRPr="00B00ACD">
              <w:rPr>
                <w:rFonts w:ascii="Arial Narrow" w:hAnsi="Arial Narrow"/>
                <w:b/>
                <w:color w:val="000000"/>
                <w:sz w:val="20"/>
                <w:szCs w:val="20"/>
              </w:rPr>
              <w:t>-TT</w:t>
            </w:r>
          </w:p>
        </w:tc>
        <w:tc>
          <w:tcPr>
            <w:tcW w:w="570"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825"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32" w:type="pct"/>
            <w:vMerge/>
            <w:tcBorders>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b/>
                <w:color w:val="000000"/>
                <w:sz w:val="20"/>
                <w:szCs w:val="20"/>
              </w:rPr>
            </w:pPr>
          </w:p>
        </w:tc>
      </w:tr>
      <w:tr w:rsidR="0056330B" w:rsidRPr="00B00ACD" w:rsidTr="0056330B">
        <w:tc>
          <w:tcPr>
            <w:tcW w:w="4368"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56330B" w:rsidRPr="00B00ACD" w:rsidRDefault="0056330B" w:rsidP="00330A5A">
            <w:pPr>
              <w:rPr>
                <w:rFonts w:ascii="Arial Narrow" w:hAnsi="Arial Narrow"/>
                <w:b/>
                <w:color w:val="000000"/>
                <w:sz w:val="20"/>
                <w:szCs w:val="20"/>
              </w:rPr>
            </w:pPr>
            <w:r>
              <w:rPr>
                <w:rFonts w:ascii="Arial Narrow" w:hAnsi="Arial Narrow"/>
                <w:b/>
                <w:color w:val="000000"/>
                <w:sz w:val="20"/>
                <w:szCs w:val="20"/>
              </w:rPr>
              <w:t>Benefits</w:t>
            </w:r>
          </w:p>
        </w:tc>
        <w:tc>
          <w:tcPr>
            <w:tcW w:w="632" w:type="pct"/>
            <w:tcBorders>
              <w:top w:val="single" w:sz="4" w:space="0" w:color="auto"/>
              <w:left w:val="single" w:sz="4" w:space="0" w:color="auto"/>
              <w:bottom w:val="double" w:sz="4" w:space="0" w:color="auto"/>
              <w:right w:val="single" w:sz="4" w:space="0" w:color="auto"/>
            </w:tcBorders>
          </w:tcPr>
          <w:p w:rsidR="0056330B" w:rsidRPr="00B00ACD" w:rsidRDefault="0056330B" w:rsidP="00330A5A">
            <w:pPr>
              <w:rPr>
                <w:rFonts w:ascii="Arial Narrow" w:hAnsi="Arial Narrow"/>
                <w:b/>
                <w:color w:val="000000"/>
                <w:sz w:val="20"/>
                <w:szCs w:val="20"/>
              </w:rPr>
            </w:pPr>
          </w:p>
        </w:tc>
      </w:tr>
      <w:tr w:rsidR="00330A5A" w:rsidRPr="00B00ACD" w:rsidTr="0056330B">
        <w:tc>
          <w:tcPr>
            <w:tcW w:w="4368"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330A5A">
            <w:pPr>
              <w:rPr>
                <w:rFonts w:ascii="Arial Narrow" w:hAnsi="Arial Narrow"/>
                <w:b/>
                <w:color w:val="000000"/>
                <w:sz w:val="20"/>
                <w:szCs w:val="20"/>
              </w:rPr>
            </w:pPr>
            <w:r w:rsidRPr="00B00ACD">
              <w:rPr>
                <w:rFonts w:ascii="Arial Narrow" w:hAnsi="Arial Narrow"/>
                <w:b/>
                <w:color w:val="000000"/>
                <w:sz w:val="20"/>
                <w:szCs w:val="20"/>
              </w:rPr>
              <w:t xml:space="preserve">IMD cases (based on </w:t>
            </w:r>
            <w:r>
              <w:rPr>
                <w:rFonts w:ascii="Arial Narrow" w:hAnsi="Arial Narrow"/>
                <w:b/>
                <w:color w:val="000000"/>
                <w:sz w:val="20"/>
                <w:szCs w:val="20"/>
              </w:rPr>
              <w:t>economic</w:t>
            </w:r>
            <w:r w:rsidRPr="00B00ACD">
              <w:rPr>
                <w:rFonts w:ascii="Arial Narrow" w:hAnsi="Arial Narrow"/>
                <w:b/>
                <w:color w:val="000000"/>
                <w:sz w:val="20"/>
                <w:szCs w:val="20"/>
              </w:rPr>
              <w:t xml:space="preserve"> model)*</w:t>
            </w:r>
          </w:p>
        </w:tc>
        <w:tc>
          <w:tcPr>
            <w:tcW w:w="632" w:type="pct"/>
            <w:tcBorders>
              <w:top w:val="double" w:sz="4" w:space="0" w:color="auto"/>
              <w:left w:val="single" w:sz="4" w:space="0" w:color="auto"/>
              <w:bottom w:val="single" w:sz="4" w:space="0" w:color="auto"/>
              <w:right w:val="single" w:sz="4" w:space="0" w:color="auto"/>
            </w:tcBorders>
          </w:tcPr>
          <w:p w:rsidR="00330A5A" w:rsidRPr="00B00ACD" w:rsidRDefault="00330A5A" w:rsidP="00330A5A">
            <w:pPr>
              <w:rPr>
                <w:rFonts w:ascii="Arial Narrow" w:hAnsi="Arial Narrow"/>
                <w:b/>
                <w:color w:val="000000"/>
                <w:sz w:val="20"/>
                <w:szCs w:val="20"/>
              </w:rPr>
            </w:pPr>
          </w:p>
        </w:tc>
      </w:tr>
      <w:tr w:rsidR="00B8028A"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color w:val="000000"/>
                <w:sz w:val="20"/>
                <w:szCs w:val="20"/>
              </w:rPr>
            </w:pPr>
            <w:r w:rsidRPr="00B00ACD">
              <w:rPr>
                <w:rFonts w:ascii="Arial Narrow" w:hAnsi="Arial Narrow"/>
                <w:color w:val="000000"/>
                <w:sz w:val="20"/>
                <w:szCs w:val="20"/>
              </w:rPr>
              <w:t>Over 85 years</w:t>
            </w:r>
          </w:p>
        </w:tc>
        <w:tc>
          <w:tcPr>
            <w:tcW w:w="56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sidRPr="00B00ACD">
              <w:rPr>
                <w:rFonts w:ascii="Arial Narrow" w:hAnsi="Arial Narrow"/>
                <w:color w:val="000000"/>
                <w:sz w:val="20"/>
                <w:szCs w:val="20"/>
              </w:rPr>
              <w:t>6,316</w:t>
            </w:r>
          </w:p>
        </w:tc>
        <w:tc>
          <w:tcPr>
            <w:tcW w:w="61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B8028A">
            <w:pPr>
              <w:jc w:val="center"/>
              <w:rPr>
                <w:rFonts w:ascii="Arial Narrow" w:hAnsi="Arial Narrow"/>
                <w:color w:val="000000"/>
                <w:sz w:val="20"/>
                <w:szCs w:val="20"/>
              </w:rPr>
            </w:pPr>
            <w:r w:rsidRPr="00B00ACD">
              <w:rPr>
                <w:rFonts w:ascii="Arial Narrow" w:hAnsi="Arial Narrow"/>
                <w:color w:val="000000"/>
                <w:sz w:val="20"/>
                <w:szCs w:val="20"/>
              </w:rPr>
              <w:t>7,980</w:t>
            </w:r>
          </w:p>
        </w:tc>
        <w:tc>
          <w:tcPr>
            <w:tcW w:w="476" w:type="pct"/>
            <w:tcBorders>
              <w:top w:val="single" w:sz="4" w:space="0" w:color="auto"/>
              <w:left w:val="single" w:sz="4" w:space="0" w:color="auto"/>
              <w:bottom w:val="single" w:sz="4" w:space="0" w:color="auto"/>
              <w:right w:val="single" w:sz="4" w:space="0" w:color="auto"/>
            </w:tcBorders>
            <w:vAlign w:val="center"/>
          </w:tcPr>
          <w:p w:rsidR="00330A5A" w:rsidRPr="00B00ACD" w:rsidRDefault="00D7044F" w:rsidP="00D34C92">
            <w:pPr>
              <w:jc w:val="center"/>
              <w:rPr>
                <w:rFonts w:ascii="Arial Narrow" w:hAnsi="Arial Narrow"/>
                <w:color w:val="000000"/>
                <w:sz w:val="20"/>
                <w:szCs w:val="20"/>
              </w:rPr>
            </w:pPr>
            <w:r>
              <w:rPr>
                <w:rFonts w:ascii="Arial Narrow" w:hAnsi="Arial Narrow"/>
                <w:color w:val="000000"/>
                <w:sz w:val="20"/>
                <w:szCs w:val="20"/>
                <w:lang w:eastAsia="zh-CN"/>
              </w:rPr>
              <w:t>-</w:t>
            </w:r>
            <w:r w:rsidR="00330A5A" w:rsidRPr="00B00ACD">
              <w:rPr>
                <w:rFonts w:ascii="Arial Narrow" w:hAnsi="Arial Narrow"/>
                <w:color w:val="000000"/>
                <w:sz w:val="20"/>
                <w:szCs w:val="20"/>
                <w:lang w:eastAsia="zh-CN"/>
              </w:rPr>
              <w:t>1,664</w:t>
            </w:r>
          </w:p>
        </w:tc>
        <w:tc>
          <w:tcPr>
            <w:tcW w:w="521"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570"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2,838</w:t>
            </w:r>
          </w:p>
        </w:tc>
      </w:tr>
      <w:tr w:rsidR="00330A5A" w:rsidRPr="00B00ACD" w:rsidTr="00B8028A">
        <w:tc>
          <w:tcPr>
            <w:tcW w:w="436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916FCC" w:rsidP="00330A5A">
            <w:pPr>
              <w:jc w:val="left"/>
              <w:rPr>
                <w:rFonts w:ascii="Arial Narrow" w:hAnsi="Arial Narrow"/>
                <w:b/>
                <w:color w:val="000000"/>
                <w:sz w:val="20"/>
                <w:szCs w:val="20"/>
              </w:rPr>
            </w:pPr>
            <w:r>
              <w:rPr>
                <w:rFonts w:ascii="Arial Narrow" w:hAnsi="Arial Narrow"/>
                <w:b/>
                <w:color w:val="000000"/>
                <w:sz w:val="20"/>
                <w:szCs w:val="20"/>
              </w:rPr>
              <w:t xml:space="preserve">IMD </w:t>
            </w:r>
            <w:r w:rsidR="00330A5A" w:rsidRPr="00B00ACD">
              <w:rPr>
                <w:rFonts w:ascii="Arial Narrow" w:hAnsi="Arial Narrow"/>
                <w:b/>
                <w:color w:val="000000"/>
                <w:sz w:val="20"/>
                <w:szCs w:val="20"/>
              </w:rPr>
              <w:t xml:space="preserve">Deaths (based on </w:t>
            </w:r>
            <w:r w:rsidR="00330A5A">
              <w:rPr>
                <w:rFonts w:ascii="Arial Narrow" w:hAnsi="Arial Narrow"/>
                <w:b/>
                <w:color w:val="000000"/>
                <w:sz w:val="20"/>
                <w:szCs w:val="20"/>
              </w:rPr>
              <w:t>economic</w:t>
            </w:r>
            <w:r w:rsidR="00330A5A" w:rsidRPr="00B00ACD">
              <w:rPr>
                <w:rFonts w:ascii="Arial Narrow" w:hAnsi="Arial Narrow"/>
                <w:b/>
                <w:color w:val="000000"/>
                <w:sz w:val="20"/>
                <w:szCs w:val="20"/>
              </w:rPr>
              <w:t xml:space="preserve"> model)*</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330A5A" w:rsidP="00330A5A">
            <w:pPr>
              <w:jc w:val="left"/>
              <w:rPr>
                <w:rFonts w:ascii="Arial Narrow" w:hAnsi="Arial Narrow"/>
                <w:b/>
                <w:color w:val="000000"/>
                <w:sz w:val="20"/>
                <w:szCs w:val="20"/>
              </w:rPr>
            </w:pPr>
          </w:p>
        </w:tc>
      </w:tr>
      <w:tr w:rsidR="00B8028A"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color w:val="000000"/>
                <w:sz w:val="20"/>
                <w:szCs w:val="20"/>
              </w:rPr>
            </w:pPr>
            <w:r w:rsidRPr="00B00ACD">
              <w:rPr>
                <w:rFonts w:ascii="Arial Narrow" w:hAnsi="Arial Narrow"/>
                <w:color w:val="000000"/>
                <w:sz w:val="20"/>
                <w:szCs w:val="20"/>
              </w:rPr>
              <w:t>Over 85 years</w:t>
            </w:r>
          </w:p>
        </w:tc>
        <w:tc>
          <w:tcPr>
            <w:tcW w:w="56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lang w:eastAsia="zh-CN"/>
              </w:rPr>
              <w:t>508</w:t>
            </w:r>
          </w:p>
        </w:tc>
        <w:tc>
          <w:tcPr>
            <w:tcW w:w="612" w:type="pct"/>
            <w:tcBorders>
              <w:top w:val="single" w:sz="4" w:space="0" w:color="auto"/>
              <w:left w:val="single" w:sz="4" w:space="0" w:color="auto"/>
              <w:bottom w:val="single" w:sz="4" w:space="0" w:color="auto"/>
              <w:right w:val="single" w:sz="4" w:space="0" w:color="auto"/>
            </w:tcBorders>
            <w:vAlign w:val="center"/>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646</w:t>
            </w:r>
          </w:p>
        </w:tc>
        <w:tc>
          <w:tcPr>
            <w:tcW w:w="476" w:type="pct"/>
            <w:tcBorders>
              <w:top w:val="single" w:sz="4" w:space="0" w:color="auto"/>
              <w:left w:val="single" w:sz="4" w:space="0" w:color="auto"/>
              <w:bottom w:val="single" w:sz="4" w:space="0" w:color="auto"/>
              <w:right w:val="single" w:sz="4" w:space="0" w:color="auto"/>
            </w:tcBorders>
            <w:vAlign w:val="center"/>
          </w:tcPr>
          <w:p w:rsidR="00330A5A" w:rsidRPr="00B00ACD" w:rsidRDefault="00D7044F" w:rsidP="00D34C92">
            <w:pPr>
              <w:jc w:val="center"/>
              <w:rPr>
                <w:rFonts w:ascii="Arial Narrow" w:hAnsi="Arial Narrow"/>
                <w:color w:val="000000"/>
                <w:sz w:val="20"/>
                <w:szCs w:val="20"/>
              </w:rPr>
            </w:pPr>
            <w:r>
              <w:rPr>
                <w:rFonts w:ascii="Arial Narrow" w:hAnsi="Arial Narrow"/>
                <w:color w:val="000000"/>
                <w:sz w:val="20"/>
                <w:szCs w:val="20"/>
                <w:lang w:eastAsia="zh-CN"/>
              </w:rPr>
              <w:t>-</w:t>
            </w:r>
            <w:r w:rsidR="00330A5A" w:rsidRPr="00B00ACD">
              <w:rPr>
                <w:rFonts w:ascii="Arial Narrow" w:hAnsi="Arial Narrow"/>
                <w:color w:val="000000"/>
                <w:sz w:val="20"/>
                <w:szCs w:val="20"/>
                <w:lang w:eastAsia="zh-CN"/>
              </w:rPr>
              <w:t>139</w:t>
            </w:r>
          </w:p>
        </w:tc>
        <w:tc>
          <w:tcPr>
            <w:tcW w:w="521"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570"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B8028A" w:rsidP="00D34C92">
            <w:pPr>
              <w:jc w:val="center"/>
              <w:rPr>
                <w:rFonts w:ascii="Arial Narrow" w:hAnsi="Arial Narrow"/>
                <w:color w:val="000000"/>
                <w:sz w:val="20"/>
                <w:szCs w:val="20"/>
              </w:rPr>
            </w:pPr>
            <w:r>
              <w:rPr>
                <w:rFonts w:ascii="Arial Narrow" w:hAnsi="Arial Narrow"/>
                <w:color w:val="000000"/>
                <w:sz w:val="20"/>
                <w:szCs w:val="20"/>
              </w:rPr>
              <w:t>34,092</w:t>
            </w:r>
          </w:p>
        </w:tc>
      </w:tr>
      <w:tr w:rsidR="00330A5A" w:rsidRPr="00B00ACD" w:rsidTr="00B8028A">
        <w:tc>
          <w:tcPr>
            <w:tcW w:w="4368"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EC00C9">
            <w:pPr>
              <w:rPr>
                <w:rFonts w:ascii="Arial Narrow" w:hAnsi="Arial Narrow"/>
                <w:b/>
                <w:color w:val="000000"/>
                <w:sz w:val="20"/>
                <w:szCs w:val="20"/>
              </w:rPr>
            </w:pPr>
            <w:r w:rsidRPr="00B00ACD">
              <w:rPr>
                <w:rFonts w:ascii="Arial Narrow" w:hAnsi="Arial Narrow"/>
                <w:b/>
                <w:color w:val="000000"/>
                <w:sz w:val="20"/>
                <w:szCs w:val="20"/>
              </w:rPr>
              <w:t xml:space="preserve">Harms </w:t>
            </w:r>
          </w:p>
        </w:tc>
        <w:tc>
          <w:tcPr>
            <w:tcW w:w="632" w:type="pct"/>
            <w:tcBorders>
              <w:top w:val="double" w:sz="4" w:space="0" w:color="auto"/>
              <w:left w:val="single" w:sz="4" w:space="0" w:color="auto"/>
              <w:bottom w:val="single" w:sz="4" w:space="0" w:color="auto"/>
              <w:right w:val="single" w:sz="4" w:space="0" w:color="auto"/>
            </w:tcBorders>
          </w:tcPr>
          <w:p w:rsidR="00330A5A" w:rsidRPr="00B00ACD" w:rsidRDefault="00330A5A" w:rsidP="00EC00C9">
            <w:pPr>
              <w:rPr>
                <w:rFonts w:ascii="Arial Narrow" w:hAnsi="Arial Narrow"/>
                <w:b/>
                <w:color w:val="000000"/>
                <w:sz w:val="20"/>
                <w:szCs w:val="20"/>
              </w:rPr>
            </w:pPr>
          </w:p>
        </w:tc>
      </w:tr>
      <w:tr w:rsidR="00330A5A" w:rsidRPr="00B00ACD" w:rsidTr="00BF5BA2">
        <w:trPr>
          <w:trHeight w:val="70"/>
        </w:trPr>
        <w:tc>
          <w:tcPr>
            <w:tcW w:w="8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330A5A" w:rsidRDefault="00330A5A" w:rsidP="00D34C92">
            <w:pPr>
              <w:jc w:val="center"/>
              <w:rPr>
                <w:rFonts w:ascii="Arial Narrow" w:hAnsi="Arial Narrow"/>
                <w:b/>
                <w:color w:val="000000"/>
                <w:sz w:val="20"/>
                <w:szCs w:val="20"/>
              </w:rPr>
            </w:pPr>
            <w:proofErr w:type="spellStart"/>
            <w:r w:rsidRPr="00B00ACD">
              <w:rPr>
                <w:rFonts w:ascii="Arial Narrow" w:hAnsi="Arial Narrow"/>
                <w:b/>
                <w:color w:val="000000"/>
                <w:sz w:val="20"/>
                <w:szCs w:val="20"/>
              </w:rPr>
              <w:t>MenACWY</w:t>
            </w:r>
            <w:proofErr w:type="spellEnd"/>
            <w:r w:rsidRPr="00B00ACD">
              <w:rPr>
                <w:rFonts w:ascii="Arial Narrow" w:hAnsi="Arial Narrow"/>
                <w:b/>
                <w:color w:val="000000"/>
                <w:sz w:val="20"/>
                <w:szCs w:val="20"/>
              </w:rPr>
              <w:t>-TT</w:t>
            </w:r>
          </w:p>
          <w:p w:rsidR="00B04B0B" w:rsidRPr="00B00ACD" w:rsidRDefault="00B04B0B" w:rsidP="00D34C92">
            <w:pPr>
              <w:jc w:val="center"/>
              <w:rPr>
                <w:rFonts w:ascii="Arial Narrow" w:hAnsi="Arial Narrow"/>
                <w:b/>
                <w:color w:val="000000"/>
                <w:sz w:val="20"/>
                <w:szCs w:val="20"/>
              </w:rPr>
            </w:pPr>
            <w:r>
              <w:rPr>
                <w:rFonts w:ascii="Arial Narrow" w:hAnsi="Arial Narrow"/>
                <w:b/>
                <w:color w:val="000000"/>
                <w:sz w:val="20"/>
                <w:szCs w:val="20"/>
              </w:rPr>
              <w:t>n/N</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330A5A"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p w:rsidR="00B04B0B" w:rsidRPr="00B00ACD" w:rsidRDefault="00B04B0B" w:rsidP="00D34C92">
            <w:pPr>
              <w:jc w:val="center"/>
              <w:rPr>
                <w:rFonts w:ascii="Arial Narrow" w:hAnsi="Arial Narrow"/>
                <w:b/>
                <w:color w:val="000000"/>
                <w:sz w:val="20"/>
                <w:szCs w:val="20"/>
              </w:rPr>
            </w:pPr>
            <w:r>
              <w:rPr>
                <w:rFonts w:ascii="Arial Narrow" w:hAnsi="Arial Narrow"/>
                <w:b/>
                <w:color w:val="000000"/>
                <w:sz w:val="20"/>
                <w:szCs w:val="20"/>
              </w:rPr>
              <w:t>n/N</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RR</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1091" w:type="pct"/>
            <w:gridSpan w:val="2"/>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Pr>
                <w:rFonts w:ascii="Arial Narrow" w:hAnsi="Arial Narrow"/>
                <w:b/>
                <w:color w:val="000000"/>
                <w:sz w:val="20"/>
                <w:szCs w:val="20"/>
              </w:rPr>
              <w:t>Event rate/100 vaccinations</w:t>
            </w:r>
          </w:p>
        </w:tc>
        <w:tc>
          <w:tcPr>
            <w:tcW w:w="825" w:type="pct"/>
            <w:vMerge w:val="restar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RD</w:t>
            </w:r>
          </w:p>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(95% CI)</w:t>
            </w:r>
          </w:p>
        </w:tc>
        <w:tc>
          <w:tcPr>
            <w:tcW w:w="632" w:type="pct"/>
            <w:vMerge w:val="restart"/>
            <w:tcBorders>
              <w:top w:val="single" w:sz="4" w:space="0" w:color="auto"/>
              <w:left w:val="single" w:sz="4" w:space="0" w:color="auto"/>
              <w:right w:val="single" w:sz="4" w:space="0" w:color="auto"/>
            </w:tcBorders>
            <w:vAlign w:val="center"/>
          </w:tcPr>
          <w:p w:rsidR="00330A5A" w:rsidRPr="00B00ACD" w:rsidRDefault="00330A5A" w:rsidP="00330A5A">
            <w:pPr>
              <w:jc w:val="center"/>
              <w:rPr>
                <w:rFonts w:ascii="Arial Narrow" w:hAnsi="Arial Narrow"/>
                <w:b/>
                <w:color w:val="000000"/>
                <w:sz w:val="20"/>
                <w:szCs w:val="20"/>
              </w:rPr>
            </w:pPr>
            <w:r>
              <w:rPr>
                <w:rFonts w:ascii="Arial Narrow" w:hAnsi="Arial Narrow"/>
                <w:b/>
                <w:color w:val="000000"/>
                <w:sz w:val="20"/>
                <w:szCs w:val="20"/>
              </w:rPr>
              <w:t>NNH</w:t>
            </w:r>
            <w:r w:rsidR="00B8028A">
              <w:rPr>
                <w:rFonts w:ascii="Arial Narrow" w:hAnsi="Arial Narrow"/>
                <w:b/>
                <w:color w:val="000000"/>
                <w:sz w:val="20"/>
                <w:szCs w:val="20"/>
              </w:rPr>
              <w:t>##</w:t>
            </w:r>
          </w:p>
        </w:tc>
      </w:tr>
      <w:tr w:rsidR="00330A5A" w:rsidRPr="00B00ACD" w:rsidTr="00BF5BA2">
        <w:trPr>
          <w:trHeight w:val="390"/>
        </w:trPr>
        <w:tc>
          <w:tcPr>
            <w:tcW w:w="8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D34C92">
            <w:pPr>
              <w:rPr>
                <w:rFonts w:ascii="Arial Narrow" w:hAnsi="Arial Narrow"/>
                <w:b/>
                <w:color w:val="000000"/>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roofErr w:type="spellStart"/>
            <w:r w:rsidRPr="00B00ACD">
              <w:rPr>
                <w:rFonts w:ascii="Arial Narrow" w:hAnsi="Arial Narrow"/>
                <w:b/>
                <w:color w:val="000000"/>
                <w:sz w:val="20"/>
                <w:szCs w:val="20"/>
              </w:rPr>
              <w:t>MenACWY</w:t>
            </w:r>
            <w:proofErr w:type="spellEnd"/>
            <w:r w:rsidRPr="00B00ACD">
              <w:rPr>
                <w:rFonts w:ascii="Arial Narrow" w:hAnsi="Arial Narrow"/>
                <w:b/>
                <w:color w:val="000000"/>
                <w:sz w:val="20"/>
                <w:szCs w:val="20"/>
              </w:rPr>
              <w:t>-TT</w:t>
            </w:r>
          </w:p>
        </w:tc>
        <w:tc>
          <w:tcPr>
            <w:tcW w:w="570" w:type="pct"/>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r w:rsidRPr="00B00ACD">
              <w:rPr>
                <w:rFonts w:ascii="Arial Narrow" w:hAnsi="Arial Narrow"/>
                <w:b/>
                <w:color w:val="000000"/>
                <w:sz w:val="20"/>
                <w:szCs w:val="20"/>
              </w:rPr>
              <w:t>No vaccination</w:t>
            </w:r>
          </w:p>
        </w:tc>
        <w:tc>
          <w:tcPr>
            <w:tcW w:w="825" w:type="pct"/>
            <w:vMerge/>
            <w:tcBorders>
              <w:top w:val="single" w:sz="4" w:space="0" w:color="auto"/>
              <w:left w:val="single" w:sz="4" w:space="0" w:color="auto"/>
              <w:bottom w:val="single" w:sz="4" w:space="0" w:color="auto"/>
              <w:right w:val="single" w:sz="4" w:space="0" w:color="auto"/>
            </w:tcBorders>
            <w:vAlign w:val="center"/>
          </w:tcPr>
          <w:p w:rsidR="00330A5A" w:rsidRPr="00B00ACD" w:rsidRDefault="00330A5A" w:rsidP="00D34C92">
            <w:pPr>
              <w:jc w:val="center"/>
              <w:rPr>
                <w:rFonts w:ascii="Arial Narrow" w:hAnsi="Arial Narrow"/>
                <w:b/>
                <w:color w:val="000000"/>
                <w:sz w:val="20"/>
                <w:szCs w:val="20"/>
              </w:rPr>
            </w:pPr>
          </w:p>
        </w:tc>
        <w:tc>
          <w:tcPr>
            <w:tcW w:w="632" w:type="pct"/>
            <w:vMerge/>
            <w:tcBorders>
              <w:left w:val="single" w:sz="4" w:space="0" w:color="auto"/>
              <w:bottom w:val="single" w:sz="4" w:space="0" w:color="auto"/>
              <w:right w:val="single" w:sz="4" w:space="0" w:color="auto"/>
            </w:tcBorders>
          </w:tcPr>
          <w:p w:rsidR="00330A5A" w:rsidRPr="00B00ACD" w:rsidRDefault="00330A5A" w:rsidP="00D34C92">
            <w:pPr>
              <w:jc w:val="center"/>
              <w:rPr>
                <w:rFonts w:ascii="Arial Narrow" w:hAnsi="Arial Narrow"/>
                <w:b/>
                <w:color w:val="000000"/>
                <w:sz w:val="20"/>
                <w:szCs w:val="20"/>
              </w:rPr>
            </w:pPr>
          </w:p>
        </w:tc>
      </w:tr>
      <w:tr w:rsidR="00330A5A" w:rsidRPr="00B00ACD" w:rsidTr="00B8028A">
        <w:tc>
          <w:tcPr>
            <w:tcW w:w="436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30A5A" w:rsidRPr="00B00ACD" w:rsidRDefault="00330A5A" w:rsidP="00EC00C9">
            <w:pPr>
              <w:rPr>
                <w:rFonts w:ascii="Arial Narrow" w:hAnsi="Arial Narrow"/>
                <w:b/>
                <w:color w:val="000000"/>
                <w:sz w:val="20"/>
                <w:szCs w:val="20"/>
              </w:rPr>
            </w:pPr>
            <w:r w:rsidRPr="00B00ACD">
              <w:rPr>
                <w:rFonts w:ascii="Arial Narrow" w:hAnsi="Arial Narrow"/>
                <w:b/>
                <w:sz w:val="20"/>
                <w:szCs w:val="20"/>
              </w:rPr>
              <w:t>Grade 3 solicited and unsolicited symptoms</w:t>
            </w:r>
          </w:p>
        </w:tc>
        <w:tc>
          <w:tcPr>
            <w:tcW w:w="632" w:type="pct"/>
            <w:tcBorders>
              <w:top w:val="single" w:sz="4" w:space="0" w:color="auto"/>
              <w:left w:val="single" w:sz="4" w:space="0" w:color="auto"/>
              <w:bottom w:val="single" w:sz="4" w:space="0" w:color="auto"/>
              <w:right w:val="single" w:sz="4" w:space="0" w:color="auto"/>
            </w:tcBorders>
          </w:tcPr>
          <w:p w:rsidR="00330A5A" w:rsidRPr="00B00ACD" w:rsidRDefault="00330A5A" w:rsidP="00EC00C9">
            <w:pPr>
              <w:rPr>
                <w:rFonts w:ascii="Arial Narrow" w:hAnsi="Arial Narrow"/>
                <w:b/>
                <w:sz w:val="20"/>
                <w:szCs w:val="20"/>
              </w:rPr>
            </w:pPr>
          </w:p>
        </w:tc>
      </w:tr>
      <w:tr w:rsidR="005672C9" w:rsidRPr="00B00ACD" w:rsidTr="00BF5BA2">
        <w:tc>
          <w:tcPr>
            <w:tcW w:w="801" w:type="pct"/>
            <w:tcBorders>
              <w:top w:val="single" w:sz="4" w:space="0" w:color="auto"/>
              <w:left w:val="single" w:sz="4" w:space="0" w:color="auto"/>
              <w:bottom w:val="single" w:sz="4" w:space="0" w:color="auto"/>
              <w:right w:val="single" w:sz="4" w:space="0" w:color="auto"/>
            </w:tcBorders>
            <w:shd w:val="clear" w:color="auto" w:fill="auto"/>
          </w:tcPr>
          <w:p w:rsidR="005672C9" w:rsidRPr="00B00ACD" w:rsidRDefault="005672C9" w:rsidP="005672C9">
            <w:pPr>
              <w:rPr>
                <w:rFonts w:ascii="Arial Narrow" w:hAnsi="Arial Narrow"/>
                <w:color w:val="000000"/>
                <w:sz w:val="20"/>
                <w:szCs w:val="20"/>
              </w:rPr>
            </w:pPr>
            <w:r w:rsidRPr="00B00ACD">
              <w:rPr>
                <w:rFonts w:ascii="Arial Narrow" w:hAnsi="Arial Narrow"/>
                <w:sz w:val="20"/>
                <w:szCs w:val="20"/>
                <w:lang w:val="en-US"/>
              </w:rPr>
              <w:t>MenACWY-TT-012#</w:t>
            </w:r>
          </w:p>
        </w:tc>
        <w:tc>
          <w:tcPr>
            <w:tcW w:w="562"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 xml:space="preserve">0/24 </w:t>
            </w:r>
          </w:p>
        </w:tc>
        <w:tc>
          <w:tcPr>
            <w:tcW w:w="612"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5672C9" w:rsidRPr="005672C9" w:rsidRDefault="005672C9" w:rsidP="005672C9">
            <w:pPr>
              <w:jc w:val="center"/>
              <w:rPr>
                <w:rFonts w:ascii="Arial Narrow" w:hAnsi="Arial Narrow"/>
                <w:color w:val="000000"/>
                <w:sz w:val="20"/>
                <w:szCs w:val="20"/>
              </w:rPr>
            </w:pPr>
            <w:r w:rsidRPr="005672C9">
              <w:rPr>
                <w:rFonts w:ascii="Arial Narrow" w:hAnsi="Arial Narrow" w:cs="Calibri"/>
                <w:color w:val="000000"/>
                <w:sz w:val="20"/>
                <w:szCs w:val="20"/>
              </w:rPr>
              <w:t>0.0%</w:t>
            </w:r>
          </w:p>
        </w:tc>
        <w:tc>
          <w:tcPr>
            <w:tcW w:w="570"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5672C9" w:rsidRPr="00B00ACD" w:rsidRDefault="005672C9" w:rsidP="005672C9">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5672C9" w:rsidRPr="00B00ACD" w:rsidRDefault="00D32DA9" w:rsidP="005672C9">
            <w:pPr>
              <w:jc w:val="center"/>
              <w:rPr>
                <w:rFonts w:ascii="Arial Narrow" w:hAnsi="Arial Narrow"/>
                <w:color w:val="000000"/>
                <w:sz w:val="20"/>
                <w:szCs w:val="20"/>
              </w:rPr>
            </w:pPr>
            <w:r>
              <w:rPr>
                <w:rFonts w:ascii="Arial Narrow" w:hAnsi="Arial Narrow"/>
                <w:color w:val="000000"/>
                <w:sz w:val="20"/>
                <w:szCs w:val="20"/>
              </w:rPr>
              <w:t>NA</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MenACWY-TT-015</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12/374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3.2%</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31.25</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MenACWY-TT-21</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3/79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3.8%</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26.32</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MenACWY-TT-035</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37/935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4.0%</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25.00</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MenACWY-TT-036</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26/768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3.4%</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29.41</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MenACWY-TT-037</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7/122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5.7%</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17.54</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MenACWY-TT-052#</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42/587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7.2%</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13.89</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MenACWY-TT-052#</w:t>
            </w:r>
          </w:p>
        </w:tc>
        <w:tc>
          <w:tcPr>
            <w:tcW w:w="56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 xml:space="preserve">55/587 </w:t>
            </w:r>
          </w:p>
        </w:tc>
        <w:tc>
          <w:tcPr>
            <w:tcW w:w="612"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476"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521" w:type="pct"/>
            <w:tcBorders>
              <w:top w:val="single" w:sz="4" w:space="0" w:color="auto"/>
              <w:left w:val="single" w:sz="4" w:space="0" w:color="auto"/>
              <w:bottom w:val="single" w:sz="4" w:space="0" w:color="auto"/>
              <w:right w:val="single" w:sz="4" w:space="0" w:color="auto"/>
            </w:tcBorders>
          </w:tcPr>
          <w:p w:rsidR="00BF5BA2" w:rsidRPr="005672C9" w:rsidRDefault="00BF5BA2" w:rsidP="00BF5BA2">
            <w:pPr>
              <w:jc w:val="center"/>
              <w:rPr>
                <w:rFonts w:ascii="Arial Narrow" w:hAnsi="Arial Narrow"/>
                <w:color w:val="000000"/>
                <w:sz w:val="20"/>
                <w:szCs w:val="20"/>
              </w:rPr>
            </w:pPr>
            <w:r w:rsidRPr="005672C9">
              <w:rPr>
                <w:rFonts w:ascii="Arial Narrow" w:hAnsi="Arial Narrow" w:cs="Calibri"/>
                <w:color w:val="000000"/>
                <w:sz w:val="20"/>
                <w:szCs w:val="20"/>
              </w:rPr>
              <w:t>9.4%</w:t>
            </w:r>
          </w:p>
        </w:tc>
        <w:tc>
          <w:tcPr>
            <w:tcW w:w="570"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825" w:type="pct"/>
            <w:tcBorders>
              <w:top w:val="single" w:sz="4" w:space="0" w:color="auto"/>
              <w:left w:val="single" w:sz="4" w:space="0" w:color="auto"/>
              <w:bottom w:val="single" w:sz="4" w:space="0" w:color="auto"/>
              <w:right w:val="single" w:sz="4" w:space="0" w:color="auto"/>
            </w:tcBorders>
          </w:tcPr>
          <w:p w:rsidR="00BF5BA2" w:rsidRPr="00B00ACD" w:rsidRDefault="00BF5BA2" w:rsidP="00BF5BA2">
            <w:pPr>
              <w:jc w:val="center"/>
              <w:rPr>
                <w:rFonts w:ascii="Arial Narrow" w:hAnsi="Arial Narrow"/>
                <w:color w:val="000000"/>
                <w:sz w:val="20"/>
                <w:szCs w:val="20"/>
              </w:rPr>
            </w:pPr>
            <w:r w:rsidRPr="00B00ACD">
              <w:rPr>
                <w:rFonts w:ascii="Arial Narrow" w:hAnsi="Arial Narrow"/>
                <w:color w:val="000000"/>
                <w:sz w:val="20"/>
                <w:szCs w:val="20"/>
              </w:rPr>
              <w:t>NA</w:t>
            </w:r>
          </w:p>
        </w:tc>
        <w:tc>
          <w:tcPr>
            <w:tcW w:w="632" w:type="pct"/>
            <w:tcBorders>
              <w:top w:val="single" w:sz="4" w:space="0" w:color="auto"/>
              <w:left w:val="single" w:sz="4" w:space="0" w:color="auto"/>
              <w:bottom w:val="single" w:sz="4" w:space="0" w:color="auto"/>
              <w:right w:val="single" w:sz="4" w:space="0" w:color="auto"/>
            </w:tcBorders>
          </w:tcPr>
          <w:p w:rsidR="00BF5BA2" w:rsidRPr="00BF5BA2" w:rsidRDefault="00BF5BA2" w:rsidP="00BF5BA2">
            <w:pPr>
              <w:jc w:val="center"/>
              <w:rPr>
                <w:rFonts w:ascii="Arial Narrow" w:hAnsi="Arial Narrow"/>
                <w:color w:val="000000"/>
                <w:sz w:val="20"/>
                <w:szCs w:val="20"/>
              </w:rPr>
            </w:pPr>
            <w:r w:rsidRPr="00BF5BA2">
              <w:rPr>
                <w:rFonts w:ascii="Arial Narrow" w:hAnsi="Arial Narrow" w:cs="Calibri"/>
                <w:color w:val="000000"/>
                <w:sz w:val="20"/>
                <w:szCs w:val="20"/>
              </w:rPr>
              <w:t>10.64</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MenACWY-TT-054#</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MenACWY-TT-084</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727FE" w:rsidRPr="0010557D" w:rsidRDefault="0010557D" w:rsidP="003C12DC">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MenACWY-TT-093</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r w:rsidR="00BF5BA2" w:rsidRPr="00B00ACD" w:rsidTr="003C12DC">
        <w:tc>
          <w:tcPr>
            <w:tcW w:w="801" w:type="pct"/>
            <w:tcBorders>
              <w:top w:val="single" w:sz="4" w:space="0" w:color="auto"/>
              <w:left w:val="single" w:sz="4" w:space="0" w:color="auto"/>
              <w:bottom w:val="single" w:sz="4" w:space="0" w:color="auto"/>
              <w:right w:val="single" w:sz="4" w:space="0" w:color="auto"/>
            </w:tcBorders>
            <w:shd w:val="clear" w:color="auto" w:fill="auto"/>
          </w:tcPr>
          <w:p w:rsidR="00BF5BA2" w:rsidRPr="00B00ACD" w:rsidRDefault="00BF5BA2" w:rsidP="00BF5BA2">
            <w:pPr>
              <w:rPr>
                <w:rFonts w:ascii="Arial Narrow" w:hAnsi="Arial Narrow"/>
                <w:color w:val="000000"/>
                <w:sz w:val="20"/>
                <w:szCs w:val="20"/>
              </w:rPr>
            </w:pPr>
            <w:r w:rsidRPr="00B00ACD">
              <w:rPr>
                <w:rFonts w:ascii="Arial Narrow" w:hAnsi="Arial Narrow"/>
                <w:sz w:val="20"/>
                <w:szCs w:val="20"/>
                <w:lang w:val="en-US"/>
              </w:rPr>
              <w:t>MenACWY-TT-098</w:t>
            </w:r>
          </w:p>
        </w:tc>
        <w:tc>
          <w:tcPr>
            <w:tcW w:w="56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 xml:space="preserve">''''''''''''''''' </w:t>
            </w:r>
          </w:p>
        </w:tc>
        <w:tc>
          <w:tcPr>
            <w:tcW w:w="61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476"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21"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c>
          <w:tcPr>
            <w:tcW w:w="570"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25"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tcPr>
          <w:p w:rsidR="00BF5BA2" w:rsidRPr="0010557D" w:rsidRDefault="0010557D" w:rsidP="00BF5BA2">
            <w:pPr>
              <w:jc w:val="center"/>
              <w:rPr>
                <w:rFonts w:ascii="Arial Narrow" w:hAnsi="Arial Narrow"/>
                <w:color w:val="000000"/>
                <w:sz w:val="20"/>
                <w:szCs w:val="20"/>
                <w:highlight w:val="black"/>
              </w:rPr>
            </w:pPr>
            <w:r>
              <w:rPr>
                <w:rFonts w:ascii="Arial Narrow" w:hAnsi="Arial Narrow" w:cs="Calibri"/>
                <w:noProof/>
                <w:color w:val="000000"/>
                <w:sz w:val="20"/>
                <w:szCs w:val="20"/>
                <w:highlight w:val="black"/>
              </w:rPr>
              <w:t>''''''''''''</w:t>
            </w:r>
          </w:p>
        </w:tc>
      </w:tr>
    </w:tbl>
    <w:p w:rsidR="00B00ACD" w:rsidRPr="003D3F7B" w:rsidRDefault="002479ED" w:rsidP="00B00ACD">
      <w:pPr>
        <w:pStyle w:val="TableFooter"/>
      </w:pPr>
      <w:r>
        <w:t xml:space="preserve">NA: not </w:t>
      </w:r>
      <w:r w:rsidR="00330A5A">
        <w:t>available</w:t>
      </w:r>
      <w:r>
        <w:t xml:space="preserve">; RD: risk difference; RR: </w:t>
      </w:r>
      <w:r w:rsidR="00B00ACD" w:rsidRPr="003D3F7B">
        <w:t>relative risk</w:t>
      </w:r>
    </w:p>
    <w:p w:rsidR="00B00ACD" w:rsidRDefault="00B00ACD" w:rsidP="00B00ACD">
      <w:pPr>
        <w:pStyle w:val="TableFooter"/>
      </w:pPr>
      <w:r w:rsidRPr="00B00ACD">
        <w:t>*</w:t>
      </w:r>
      <w:r w:rsidR="00B8028A">
        <w:t xml:space="preserve"> </w:t>
      </w:r>
      <w:r w:rsidRPr="00B00ACD">
        <w:t>The result</w:t>
      </w:r>
      <w:r>
        <w:t xml:space="preserve">s from the </w:t>
      </w:r>
      <w:r w:rsidR="00B8028A">
        <w:t>economic</w:t>
      </w:r>
      <w:r>
        <w:t xml:space="preserve"> </w:t>
      </w:r>
      <w:r w:rsidRPr="00B00ACD">
        <w:t>model were presented as they are more clinically relevant than the immunogenicity results reported by the clinical trials</w:t>
      </w:r>
      <w:r w:rsidRPr="00F57832">
        <w:t>. See Comparative effectiveness</w:t>
      </w:r>
      <w:r w:rsidRPr="00B00ACD">
        <w:t xml:space="preserve"> for a summary of the immunogenicity results.</w:t>
      </w:r>
    </w:p>
    <w:p w:rsidR="00B8028A" w:rsidRPr="00B00ACD" w:rsidRDefault="00B8028A" w:rsidP="00B00ACD">
      <w:pPr>
        <w:pStyle w:val="TableFooter"/>
      </w:pPr>
      <w:r>
        <w:t xml:space="preserve">** Number needed to vaccinate to avoid one case = 4,722,130 vaccinated / cases or deaths avoided (calculated from </w:t>
      </w:r>
      <w:proofErr w:type="spellStart"/>
      <w:r w:rsidRPr="00B8028A">
        <w:t>Nimenrix</w:t>
      </w:r>
      <w:proofErr w:type="spellEnd"/>
      <w:r w:rsidRPr="00B8028A">
        <w:t xml:space="preserve"> Economic </w:t>
      </w:r>
      <w:proofErr w:type="spellStart"/>
      <w:r w:rsidRPr="00B8028A">
        <w:t>Model_Section</w:t>
      </w:r>
      <w:proofErr w:type="spellEnd"/>
      <w:r w:rsidRPr="00B8028A">
        <w:t xml:space="preserve"> 3</w:t>
      </w:r>
      <w:r>
        <w:t>)</w:t>
      </w:r>
    </w:p>
    <w:p w:rsidR="00B00ACD" w:rsidRDefault="00B00ACD" w:rsidP="00B00ACD">
      <w:pPr>
        <w:pStyle w:val="TextUnderTable"/>
        <w:spacing w:before="0" w:after="0"/>
        <w:rPr>
          <w:rFonts w:ascii="Arial Narrow" w:hAnsi="Arial Narrow"/>
          <w:i w:val="0"/>
          <w:sz w:val="18"/>
          <w:szCs w:val="18"/>
          <w:lang w:val="en-US" w:eastAsia="en-US"/>
        </w:rPr>
      </w:pPr>
      <w:r w:rsidRPr="00211B27">
        <w:rPr>
          <w:rFonts w:ascii="Arial Narrow" w:hAnsi="Arial Narrow"/>
          <w:i w:val="0"/>
          <w:sz w:val="18"/>
          <w:szCs w:val="18"/>
          <w:lang w:val="en-US" w:eastAsia="en-US"/>
        </w:rPr>
        <w:t># Post-vaccination period was 4 days (Day 0-3) in all studies except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ACWY-TT-012, it was 8 days (Day 0 – 7);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ACWY-TT-052, 4 days was reported in addition to 8 days (Day 0-7) and for M</w:t>
      </w:r>
      <w:r>
        <w:rPr>
          <w:rFonts w:ascii="Arial Narrow" w:hAnsi="Arial Narrow"/>
          <w:i w:val="0"/>
          <w:sz w:val="18"/>
          <w:szCs w:val="18"/>
          <w:lang w:val="en-US" w:eastAsia="en-US"/>
        </w:rPr>
        <w:t>en</w:t>
      </w:r>
      <w:r w:rsidRPr="00211B27">
        <w:rPr>
          <w:rFonts w:ascii="Arial Narrow" w:hAnsi="Arial Narrow"/>
          <w:i w:val="0"/>
          <w:sz w:val="18"/>
          <w:szCs w:val="18"/>
          <w:lang w:val="en-US" w:eastAsia="en-US"/>
        </w:rPr>
        <w:t>ACWY-TT-054, it was 7 days (Day 0 – 6).</w:t>
      </w:r>
    </w:p>
    <w:p w:rsidR="00B8028A" w:rsidRDefault="00B8028A" w:rsidP="00B00ACD">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 Number needed to harm = 1/event rate</w:t>
      </w:r>
    </w:p>
    <w:p w:rsidR="004A28D2" w:rsidRPr="00F32A52" w:rsidRDefault="004A28D2" w:rsidP="004A28D2">
      <w:pPr>
        <w:pStyle w:val="TextUnderTable"/>
        <w:spacing w:before="0" w:after="0"/>
        <w:rPr>
          <w:rFonts w:ascii="Arial Narrow" w:hAnsi="Arial Narrow"/>
          <w:i w:val="0"/>
          <w:sz w:val="18"/>
          <w:szCs w:val="18"/>
          <w:lang w:val="en-US" w:eastAsia="en-US"/>
        </w:rPr>
      </w:pPr>
      <w:r>
        <w:rPr>
          <w:rFonts w:ascii="Arial Narrow" w:hAnsi="Arial Narrow"/>
          <w:i w:val="0"/>
          <w:sz w:val="18"/>
          <w:szCs w:val="18"/>
          <w:lang w:val="en-US" w:eastAsia="en-US"/>
        </w:rPr>
        <w:t>Source: Table 2.5.21</w:t>
      </w:r>
      <w:r w:rsidR="00C32CA2">
        <w:rPr>
          <w:rFonts w:ascii="Arial Narrow" w:hAnsi="Arial Narrow"/>
          <w:i w:val="0"/>
          <w:sz w:val="18"/>
          <w:szCs w:val="18"/>
          <w:lang w:val="en-US" w:eastAsia="en-US"/>
        </w:rPr>
        <w:t xml:space="preserve">, </w:t>
      </w:r>
      <w:r>
        <w:rPr>
          <w:rFonts w:ascii="Arial Narrow" w:hAnsi="Arial Narrow"/>
          <w:i w:val="0"/>
          <w:sz w:val="18"/>
          <w:szCs w:val="18"/>
          <w:lang w:val="en-US" w:eastAsia="en-US"/>
        </w:rPr>
        <w:t>p11</w:t>
      </w:r>
      <w:r w:rsidR="00C32CA2">
        <w:rPr>
          <w:rFonts w:ascii="Arial Narrow" w:hAnsi="Arial Narrow"/>
          <w:i w:val="0"/>
          <w:sz w:val="18"/>
          <w:szCs w:val="18"/>
          <w:lang w:val="en-US" w:eastAsia="en-US"/>
        </w:rPr>
        <w:t>8</w:t>
      </w:r>
      <w:r>
        <w:rPr>
          <w:rFonts w:ascii="Arial Narrow" w:hAnsi="Arial Narrow"/>
          <w:i w:val="0"/>
          <w:sz w:val="18"/>
          <w:szCs w:val="18"/>
          <w:lang w:val="en-US" w:eastAsia="en-US"/>
        </w:rPr>
        <w:t xml:space="preserve"> of the submission. </w:t>
      </w:r>
    </w:p>
    <w:p w:rsidR="00B60939" w:rsidRPr="00882085" w:rsidRDefault="00B60939" w:rsidP="004B1CB4"/>
    <w:p w:rsidR="004A28D2" w:rsidRDefault="004A28D2" w:rsidP="009E2CAD">
      <w:pPr>
        <w:pStyle w:val="ListParagraph"/>
        <w:widowControl/>
        <w:numPr>
          <w:ilvl w:val="1"/>
          <w:numId w:val="1"/>
        </w:numPr>
      </w:pPr>
      <w:r>
        <w:lastRenderedPageBreak/>
        <w:t xml:space="preserve">On the basis of the results of the </w:t>
      </w:r>
      <w:r w:rsidR="00B8028A">
        <w:t xml:space="preserve">economic </w:t>
      </w:r>
      <w:r>
        <w:t>model presented by the submission:</w:t>
      </w:r>
    </w:p>
    <w:p w:rsidR="004A28D2" w:rsidRDefault="004A28D2" w:rsidP="009E2CAD">
      <w:pPr>
        <w:pStyle w:val="ListParagraph"/>
        <w:widowControl/>
        <w:numPr>
          <w:ilvl w:val="0"/>
          <w:numId w:val="37"/>
        </w:numPr>
      </w:pPr>
      <w:r>
        <w:t xml:space="preserve">Approximately 1,664 </w:t>
      </w:r>
      <w:r w:rsidR="007033AF">
        <w:t xml:space="preserve">IMD </w:t>
      </w:r>
      <w:r>
        <w:t>cases would be avoided over 85 years</w:t>
      </w:r>
      <w:r w:rsidR="008F0731">
        <w:t xml:space="preserve"> if 80% of adolescents in the school-based program and 22% of adolescents in the out-of-school program are vaccinated</w:t>
      </w:r>
      <w:r>
        <w:t>.</w:t>
      </w:r>
      <w:r w:rsidR="00B8028A">
        <w:t xml:space="preserve"> Approximately 2,838 individuals would need to be vaccinated </w:t>
      </w:r>
      <w:r w:rsidR="0056330B">
        <w:t xml:space="preserve">with the </w:t>
      </w:r>
      <w:proofErr w:type="spellStart"/>
      <w:r w:rsidR="0056330B">
        <w:t>MenACWY</w:t>
      </w:r>
      <w:proofErr w:type="spellEnd"/>
      <w:r w:rsidR="0056330B">
        <w:t xml:space="preserve">-TT vaccine </w:t>
      </w:r>
      <w:r w:rsidR="00B8028A">
        <w:t>to avoid one IMD case.</w:t>
      </w:r>
    </w:p>
    <w:p w:rsidR="004A28D2" w:rsidRDefault="004A28D2" w:rsidP="009E2CAD">
      <w:pPr>
        <w:pStyle w:val="ListParagraph"/>
        <w:widowControl/>
        <w:numPr>
          <w:ilvl w:val="0"/>
          <w:numId w:val="37"/>
        </w:numPr>
      </w:pPr>
      <w:r>
        <w:t>Approximately 139 deaths would be avoided over 85 years</w:t>
      </w:r>
      <w:r w:rsidR="008F0731">
        <w:t xml:space="preserve"> if 80% of adolescents in the school-based program and 22% of adolescents in the out-of-school program are vaccinated</w:t>
      </w:r>
      <w:r>
        <w:t>.</w:t>
      </w:r>
      <w:r w:rsidR="00B8028A">
        <w:t xml:space="preserve"> Approximately, 34,092 individuals would need to be vaccinated </w:t>
      </w:r>
      <w:r w:rsidR="0056330B">
        <w:t xml:space="preserve">with the </w:t>
      </w:r>
      <w:proofErr w:type="spellStart"/>
      <w:r w:rsidR="0056330B">
        <w:t>MenACWY</w:t>
      </w:r>
      <w:proofErr w:type="spellEnd"/>
      <w:r w:rsidR="0056330B">
        <w:t xml:space="preserve">-TT vaccine </w:t>
      </w:r>
      <w:r w:rsidR="00B8028A">
        <w:t>to avoid one death.</w:t>
      </w:r>
    </w:p>
    <w:p w:rsidR="00F34D88" w:rsidRPr="003D5C0B" w:rsidRDefault="00F34D88" w:rsidP="00F34D88">
      <w:pPr>
        <w:pStyle w:val="ListParagraph"/>
        <w:widowControl/>
        <w:numPr>
          <w:ilvl w:val="1"/>
          <w:numId w:val="1"/>
        </w:numPr>
      </w:pPr>
      <w:r w:rsidRPr="003D5C0B">
        <w:t>The ESC noted these estimates are based on modelling and not actual observed patterns as direct data are not available. The number of cases of meningococcal disease and deaths prevented by adolescent immunisation could be higher or lower that these estimates.</w:t>
      </w:r>
    </w:p>
    <w:p w:rsidR="00FC20C7" w:rsidRDefault="00FC20C7" w:rsidP="004A28D2">
      <w:pPr>
        <w:pStyle w:val="ListParagraph"/>
        <w:widowControl/>
        <w:numPr>
          <w:ilvl w:val="1"/>
          <w:numId w:val="1"/>
        </w:numPr>
      </w:pPr>
      <w:r>
        <w:t xml:space="preserve">On the basis of </w:t>
      </w:r>
      <w:r w:rsidR="0056330B">
        <w:t xml:space="preserve">single arm </w:t>
      </w:r>
      <w:r w:rsidR="001B4ED3">
        <w:t>studies</w:t>
      </w:r>
      <w:r w:rsidR="0056330B">
        <w:t xml:space="preserve"> presented by the submission, for every 100 </w:t>
      </w:r>
      <w:r w:rsidR="00B46654">
        <w:t xml:space="preserve">subjects </w:t>
      </w:r>
      <w:r w:rsidR="001B4ED3">
        <w:t>vaccinated</w:t>
      </w:r>
      <w:r w:rsidR="0056330B">
        <w:t xml:space="preserve"> with the </w:t>
      </w:r>
      <w:proofErr w:type="spellStart"/>
      <w:r w:rsidR="0056330B">
        <w:t>MenACWY</w:t>
      </w:r>
      <w:proofErr w:type="spellEnd"/>
      <w:r w:rsidR="0056330B">
        <w:t xml:space="preserve">-TT vaccine, approximately </w:t>
      </w:r>
      <w:r w:rsidR="0001699D">
        <w:t>six</w:t>
      </w:r>
      <w:r w:rsidR="0056330B">
        <w:t xml:space="preserve"> additional </w:t>
      </w:r>
      <w:r w:rsidR="00B46654">
        <w:t xml:space="preserve">subjects </w:t>
      </w:r>
      <w:r w:rsidR="0056330B">
        <w:t xml:space="preserve">would experience </w:t>
      </w:r>
      <w:r w:rsidRPr="00FC20C7">
        <w:t>Grade</w:t>
      </w:r>
      <w:r w:rsidR="0001699D">
        <w:t> </w:t>
      </w:r>
      <w:r w:rsidRPr="00FC20C7">
        <w:t>3 solicited</w:t>
      </w:r>
      <w:r w:rsidR="00BC1EF0">
        <w:t xml:space="preserve"> (pain, redness and swelling)</w:t>
      </w:r>
      <w:r w:rsidRPr="00FC20C7">
        <w:t xml:space="preserve"> </w:t>
      </w:r>
      <w:r w:rsidR="008F0731">
        <w:t>or</w:t>
      </w:r>
      <w:r w:rsidR="008F0731" w:rsidRPr="00FC20C7">
        <w:t xml:space="preserve"> </w:t>
      </w:r>
      <w:r w:rsidRPr="00FC20C7">
        <w:t>unsolicited symptoms</w:t>
      </w:r>
      <w:r w:rsidR="00BC1EF0">
        <w:t xml:space="preserve"> (infections, infestation, otitis externa and scarlet fever</w:t>
      </w:r>
      <w:r w:rsidR="00DF2485">
        <w:t xml:space="preserve">). </w:t>
      </w:r>
      <w:r w:rsidR="0001699D">
        <w:t>Approximately one Grade </w:t>
      </w:r>
      <w:r w:rsidR="0056330B">
        <w:t xml:space="preserve">3 </w:t>
      </w:r>
      <w:r w:rsidR="0056330B" w:rsidRPr="00FC20C7">
        <w:t xml:space="preserve">solicited </w:t>
      </w:r>
      <w:r w:rsidR="008F0731">
        <w:t>or</w:t>
      </w:r>
      <w:r w:rsidR="008F0731" w:rsidRPr="00FC20C7">
        <w:t xml:space="preserve"> </w:t>
      </w:r>
      <w:r w:rsidR="0056330B" w:rsidRPr="00FC20C7">
        <w:t>unsolicited symptoms</w:t>
      </w:r>
      <w:r w:rsidR="0056330B">
        <w:t xml:space="preserve"> would occur in every 17 vaccinations.</w:t>
      </w:r>
    </w:p>
    <w:p w:rsidR="00B60939" w:rsidRPr="007267E3" w:rsidRDefault="00B60939" w:rsidP="00C9624D">
      <w:pPr>
        <w:pStyle w:val="Heading2"/>
        <w:rPr>
          <w:i w:val="0"/>
        </w:rPr>
      </w:pPr>
      <w:bookmarkStart w:id="11" w:name="_Toc501621781"/>
      <w:r w:rsidRPr="007267E3">
        <w:rPr>
          <w:i w:val="0"/>
        </w:rPr>
        <w:t>Clinical claim</w:t>
      </w:r>
      <w:bookmarkEnd w:id="11"/>
    </w:p>
    <w:p w:rsidR="006C5CB6" w:rsidRDefault="006C5CB6" w:rsidP="006C5CB6">
      <w:pPr>
        <w:widowControl/>
      </w:pPr>
    </w:p>
    <w:p w:rsidR="006C5CB6" w:rsidRPr="00590BD8" w:rsidRDefault="006C5CB6" w:rsidP="009E2CAD">
      <w:pPr>
        <w:pStyle w:val="ListParagraph"/>
        <w:widowControl/>
        <w:numPr>
          <w:ilvl w:val="1"/>
          <w:numId w:val="1"/>
        </w:numPr>
      </w:pPr>
      <w:r w:rsidRPr="00590BD8">
        <w:t xml:space="preserve">The submission described </w:t>
      </w:r>
      <w:r w:rsidR="00D71FC7" w:rsidRPr="00590BD8">
        <w:t xml:space="preserve">the </w:t>
      </w:r>
      <w:proofErr w:type="spellStart"/>
      <w:r w:rsidRPr="00590BD8">
        <w:t>MenACWY</w:t>
      </w:r>
      <w:proofErr w:type="spellEnd"/>
      <w:r w:rsidRPr="00590BD8">
        <w:t xml:space="preserve">-TT vaccine as superior in terms of </w:t>
      </w:r>
      <w:r w:rsidR="00916FCC" w:rsidRPr="00590BD8">
        <w:t>efficacy</w:t>
      </w:r>
      <w:r w:rsidRPr="00590BD8">
        <w:t xml:space="preserve"> and inferior in terms of safety compared to no vaccine.</w:t>
      </w:r>
    </w:p>
    <w:p w:rsidR="006C5CB6" w:rsidRPr="00590BD8" w:rsidRDefault="00175691" w:rsidP="009E2CAD">
      <w:pPr>
        <w:pStyle w:val="ListParagraph"/>
        <w:widowControl/>
        <w:numPr>
          <w:ilvl w:val="1"/>
          <w:numId w:val="1"/>
        </w:numPr>
      </w:pPr>
      <w:r>
        <w:t>Regarding the</w:t>
      </w:r>
      <w:r w:rsidR="00847054">
        <w:t xml:space="preserve"> efficacy</w:t>
      </w:r>
      <w:r>
        <w:t xml:space="preserve"> claim</w:t>
      </w:r>
      <w:r w:rsidR="00847054">
        <w:t xml:space="preserve"> it should be noted that:</w:t>
      </w:r>
    </w:p>
    <w:p w:rsidR="006C5CB6" w:rsidRPr="00590BD8" w:rsidRDefault="006C5CB6" w:rsidP="009E2CAD">
      <w:pPr>
        <w:pStyle w:val="ListParagraph"/>
        <w:widowControl/>
        <w:numPr>
          <w:ilvl w:val="0"/>
          <w:numId w:val="37"/>
        </w:numPr>
      </w:pPr>
      <w:r w:rsidRPr="00590BD8">
        <w:t xml:space="preserve">There </w:t>
      </w:r>
      <w:r w:rsidR="007033AF" w:rsidRPr="00590BD8">
        <w:t xml:space="preserve">were </w:t>
      </w:r>
      <w:r w:rsidRPr="00590BD8">
        <w:t xml:space="preserve">no placebo controlled RCTs of </w:t>
      </w:r>
      <w:r w:rsidR="00D71FC7" w:rsidRPr="00590BD8">
        <w:t xml:space="preserve">the </w:t>
      </w:r>
      <w:proofErr w:type="spellStart"/>
      <w:r w:rsidRPr="00590BD8">
        <w:t>MenACWY</w:t>
      </w:r>
      <w:proofErr w:type="spellEnd"/>
      <w:r w:rsidRPr="00590BD8">
        <w:t xml:space="preserve">-TT </w:t>
      </w:r>
      <w:r w:rsidR="00D71FC7" w:rsidRPr="00590BD8">
        <w:t xml:space="preserve">vaccine </w:t>
      </w:r>
      <w:r w:rsidR="003541B0">
        <w:t>and hence</w:t>
      </w:r>
      <w:r w:rsidRPr="00590BD8">
        <w:t xml:space="preserve"> </w:t>
      </w:r>
      <w:r w:rsidR="003541B0">
        <w:t>t</w:t>
      </w:r>
      <w:r w:rsidRPr="00590BD8">
        <w:t>he submission was based on single-arm data from ten RCT</w:t>
      </w:r>
      <w:r w:rsidR="00D71FC7" w:rsidRPr="00590BD8">
        <w:t>s</w:t>
      </w:r>
      <w:r w:rsidRPr="00590BD8">
        <w:t xml:space="preserve"> and one non-randomised trial of </w:t>
      </w:r>
      <w:r w:rsidR="00D71FC7" w:rsidRPr="00590BD8">
        <w:t xml:space="preserve">the </w:t>
      </w:r>
      <w:proofErr w:type="spellStart"/>
      <w:r w:rsidRPr="00590BD8">
        <w:t>MenACWY</w:t>
      </w:r>
      <w:proofErr w:type="spellEnd"/>
      <w:r w:rsidRPr="00590BD8">
        <w:t>-TT vaccine</w:t>
      </w:r>
      <w:r w:rsidR="00916FCC" w:rsidRPr="00590BD8">
        <w:t>.</w:t>
      </w:r>
      <w:r w:rsidRPr="00590BD8">
        <w:t xml:space="preserve"> </w:t>
      </w:r>
    </w:p>
    <w:p w:rsidR="00916FCC" w:rsidRPr="00590BD8" w:rsidRDefault="00916FCC" w:rsidP="009E2CAD">
      <w:pPr>
        <w:pStyle w:val="ListParagraph"/>
        <w:widowControl/>
        <w:numPr>
          <w:ilvl w:val="0"/>
          <w:numId w:val="37"/>
        </w:numPr>
      </w:pPr>
      <w:r w:rsidRPr="00590BD8">
        <w:t>There is no established surrogate serological correlate of protection for non-</w:t>
      </w:r>
      <w:proofErr w:type="spellStart"/>
      <w:r w:rsidRPr="00590BD8">
        <w:t>MenC</w:t>
      </w:r>
      <w:proofErr w:type="spellEnd"/>
      <w:r w:rsidRPr="00590BD8">
        <w:t xml:space="preserve"> serogroups.</w:t>
      </w:r>
    </w:p>
    <w:p w:rsidR="00C14A46" w:rsidRPr="00590BD8" w:rsidRDefault="006C5CB6" w:rsidP="009E2CAD">
      <w:pPr>
        <w:pStyle w:val="ListParagraph"/>
        <w:widowControl/>
        <w:numPr>
          <w:ilvl w:val="0"/>
          <w:numId w:val="37"/>
        </w:numPr>
      </w:pPr>
      <w:r w:rsidRPr="00590BD8">
        <w:t xml:space="preserve">The PBAC has not previously </w:t>
      </w:r>
      <w:r w:rsidR="008A1314" w:rsidRPr="00590BD8">
        <w:t xml:space="preserve">considered </w:t>
      </w:r>
      <w:r w:rsidRPr="00590BD8">
        <w:t>the measure of vaccine response.</w:t>
      </w:r>
      <w:r w:rsidR="009C0412">
        <w:t xml:space="preserve">  </w:t>
      </w:r>
    </w:p>
    <w:p w:rsidR="00C14A46" w:rsidRPr="00590BD8" w:rsidRDefault="006C5CB6" w:rsidP="009E2CAD">
      <w:pPr>
        <w:pStyle w:val="ListParagraph"/>
        <w:numPr>
          <w:ilvl w:val="0"/>
          <w:numId w:val="37"/>
        </w:numPr>
      </w:pPr>
      <w:r w:rsidRPr="00590BD8">
        <w:t xml:space="preserve">For all trials, most </w:t>
      </w:r>
      <w:r w:rsidRPr="003D5C0B">
        <w:t xml:space="preserve">of the subjects were seropositive prior to vaccination, which </w:t>
      </w:r>
      <w:r w:rsidR="00CB6218" w:rsidRPr="003D5C0B">
        <w:t xml:space="preserve">may </w:t>
      </w:r>
      <w:r w:rsidRPr="003D5C0B">
        <w:t>lead to</w:t>
      </w:r>
      <w:r w:rsidR="00CB6218" w:rsidRPr="003D5C0B">
        <w:t xml:space="preserve"> </w:t>
      </w:r>
      <w:r w:rsidRPr="003D5C0B">
        <w:t>the</w:t>
      </w:r>
      <w:r w:rsidR="00916FCC" w:rsidRPr="003D5C0B">
        <w:t xml:space="preserve"> </w:t>
      </w:r>
      <w:r w:rsidR="007F20FC" w:rsidRPr="003D5C0B">
        <w:t>vaccine response</w:t>
      </w:r>
      <w:r w:rsidR="00CB6218" w:rsidRPr="003D5C0B">
        <w:t xml:space="preserve"> </w:t>
      </w:r>
      <w:r w:rsidR="009E2822">
        <w:t>being non-</w:t>
      </w:r>
      <w:proofErr w:type="spellStart"/>
      <w:r w:rsidR="009E2822">
        <w:t>generalisable</w:t>
      </w:r>
      <w:proofErr w:type="spellEnd"/>
      <w:r w:rsidR="009E2822">
        <w:t xml:space="preserve"> to</w:t>
      </w:r>
      <w:r w:rsidR="00CB6218" w:rsidRPr="003D5C0B">
        <w:t xml:space="preserve"> the Australian setting</w:t>
      </w:r>
      <w:r w:rsidRPr="003D5C0B">
        <w:t>.</w:t>
      </w:r>
      <w:r w:rsidRPr="00590BD8">
        <w:t xml:space="preserve"> </w:t>
      </w:r>
    </w:p>
    <w:p w:rsidR="006C5CB6" w:rsidRPr="00590BD8" w:rsidRDefault="00965BC6" w:rsidP="009E2CAD">
      <w:pPr>
        <w:pStyle w:val="ListParagraph"/>
        <w:widowControl/>
        <w:numPr>
          <w:ilvl w:val="0"/>
          <w:numId w:val="37"/>
        </w:numPr>
      </w:pPr>
      <w:r w:rsidRPr="00590BD8">
        <w:t>M</w:t>
      </w:r>
      <w:r w:rsidR="0056330B" w:rsidRPr="00590BD8">
        <w:t xml:space="preserve">ost of the trials were open-label, which increases the risk of bias </w:t>
      </w:r>
      <w:r w:rsidR="00847054">
        <w:t>for</w:t>
      </w:r>
      <w:r w:rsidR="00847054" w:rsidRPr="00590BD8">
        <w:t xml:space="preserve"> </w:t>
      </w:r>
      <w:r w:rsidR="0056330B" w:rsidRPr="00590BD8">
        <w:t xml:space="preserve">the safety </w:t>
      </w:r>
      <w:r w:rsidR="003541B0">
        <w:t>outcomes</w:t>
      </w:r>
      <w:r w:rsidR="0056330B" w:rsidRPr="00590BD8">
        <w:t xml:space="preserve"> as the subjects were aware of the vaccines received.</w:t>
      </w:r>
    </w:p>
    <w:p w:rsidR="00916FCC" w:rsidRPr="00590BD8" w:rsidRDefault="00916FCC" w:rsidP="009E2CAD">
      <w:pPr>
        <w:pStyle w:val="ListParagraph"/>
        <w:widowControl/>
        <w:numPr>
          <w:ilvl w:val="0"/>
          <w:numId w:val="37"/>
        </w:numPr>
      </w:pPr>
      <w:r w:rsidRPr="00590BD8">
        <w:lastRenderedPageBreak/>
        <w:t>The submission did not provide any clinical studies measuring nasopharyngeal meningococcal carriage rates in vaccinated and non-vaccinated recipients</w:t>
      </w:r>
      <w:r w:rsidR="008F0731" w:rsidRPr="00590BD8">
        <w:t>, which may indicate the potential herd immunity from the vaccine</w:t>
      </w:r>
      <w:r w:rsidRPr="00590BD8">
        <w:t>.</w:t>
      </w:r>
    </w:p>
    <w:p w:rsidR="00006B44" w:rsidRDefault="00006B44" w:rsidP="007267E3">
      <w:pPr>
        <w:pStyle w:val="ListParagraph"/>
        <w:keepNext/>
        <w:widowControl/>
        <w:numPr>
          <w:ilvl w:val="1"/>
          <w:numId w:val="1"/>
        </w:numPr>
      </w:pPr>
      <w:r w:rsidRPr="003D5C0B">
        <w:t xml:space="preserve">The ESC </w:t>
      </w:r>
      <w:r w:rsidR="00847054">
        <w:t xml:space="preserve">and PBAC </w:t>
      </w:r>
      <w:r w:rsidRPr="003D5C0B">
        <w:t>noted ATAGI’s advice that the harms were relatively minor and manageable.</w:t>
      </w:r>
    </w:p>
    <w:p w:rsidR="009E705A" w:rsidRPr="009B2B93" w:rsidRDefault="009E705A" w:rsidP="009E705A">
      <w:pPr>
        <w:pStyle w:val="ListParagraph"/>
        <w:widowControl/>
        <w:numPr>
          <w:ilvl w:val="1"/>
          <w:numId w:val="1"/>
        </w:numPr>
        <w:spacing w:after="120"/>
        <w:ind w:left="810" w:hanging="810"/>
        <w:rPr>
          <w:rFonts w:asciiTheme="minorHAnsi" w:hAnsiTheme="minorHAnsi"/>
          <w:szCs w:val="20"/>
        </w:rPr>
      </w:pPr>
      <w:r w:rsidRPr="009B2B93">
        <w:rPr>
          <w:rFonts w:asciiTheme="minorHAnsi" w:hAnsiTheme="minorHAnsi"/>
          <w:szCs w:val="20"/>
        </w:rPr>
        <w:t xml:space="preserve">The PBAC considered that the claim of superior comparative effectiveness </w:t>
      </w:r>
      <w:r w:rsidR="009B2B93" w:rsidRPr="009B2B93">
        <w:rPr>
          <w:rFonts w:asciiTheme="minorHAnsi" w:hAnsiTheme="minorHAnsi"/>
          <w:szCs w:val="20"/>
        </w:rPr>
        <w:t>compared with</w:t>
      </w:r>
      <w:r w:rsidR="007C6736" w:rsidRPr="009B2B93">
        <w:rPr>
          <w:rFonts w:asciiTheme="minorHAnsi" w:hAnsiTheme="minorHAnsi"/>
          <w:szCs w:val="20"/>
        </w:rPr>
        <w:t xml:space="preserve"> no vaccine </w:t>
      </w:r>
      <w:r w:rsidRPr="009B2B93">
        <w:rPr>
          <w:rFonts w:asciiTheme="minorHAnsi" w:hAnsiTheme="minorHAnsi"/>
          <w:szCs w:val="20"/>
        </w:rPr>
        <w:t>was reasonable</w:t>
      </w:r>
      <w:r w:rsidR="009B2B93" w:rsidRPr="009B2B93">
        <w:rPr>
          <w:rFonts w:asciiTheme="minorHAnsi" w:hAnsiTheme="minorHAnsi"/>
          <w:szCs w:val="20"/>
        </w:rPr>
        <w:t xml:space="preserve"> based on the immunogenicity results</w:t>
      </w:r>
      <w:r w:rsidR="007C6736" w:rsidRPr="009B2B93">
        <w:rPr>
          <w:rFonts w:asciiTheme="minorHAnsi" w:hAnsiTheme="minorHAnsi"/>
          <w:szCs w:val="20"/>
        </w:rPr>
        <w:t>.</w:t>
      </w:r>
    </w:p>
    <w:p w:rsidR="009B2B93" w:rsidRPr="009B2B93" w:rsidRDefault="009E705A" w:rsidP="009B2B93">
      <w:pPr>
        <w:pStyle w:val="ListParagraph"/>
        <w:keepNext/>
        <w:widowControl/>
        <w:numPr>
          <w:ilvl w:val="1"/>
          <w:numId w:val="1"/>
        </w:numPr>
      </w:pPr>
      <w:r w:rsidRPr="009B2B93">
        <w:t xml:space="preserve">The PBAC considered that the claim of inferior comparative safety was </w:t>
      </w:r>
      <w:r w:rsidR="007C6736" w:rsidRPr="009B2B93">
        <w:t xml:space="preserve">reasonable; </w:t>
      </w:r>
      <w:r w:rsidR="009B2B93">
        <w:t>although noted</w:t>
      </w:r>
      <w:r w:rsidR="007C6736" w:rsidRPr="009B2B93">
        <w:t xml:space="preserve"> </w:t>
      </w:r>
      <w:proofErr w:type="spellStart"/>
      <w:r w:rsidR="007C6736" w:rsidRPr="009B2B93">
        <w:t>MenACWY</w:t>
      </w:r>
      <w:proofErr w:type="spellEnd"/>
      <w:r w:rsidR="007C6736" w:rsidRPr="009B2B93">
        <w:t>-TT appears to have a</w:t>
      </w:r>
      <w:r w:rsidR="009B2B93" w:rsidRPr="009B2B93">
        <w:t>n acceptable</w:t>
      </w:r>
      <w:r w:rsidR="007C6736" w:rsidRPr="009B2B93">
        <w:t xml:space="preserve"> safety profile in adolescents</w:t>
      </w:r>
      <w:r w:rsidR="009B2B93">
        <w:t>.</w:t>
      </w:r>
      <w:r w:rsidR="007C6736" w:rsidRPr="009B2B93">
        <w:t xml:space="preserve"> </w:t>
      </w:r>
    </w:p>
    <w:p w:rsidR="00B60939" w:rsidRPr="007267E3" w:rsidRDefault="00B60939" w:rsidP="007869D0">
      <w:pPr>
        <w:pStyle w:val="Heading2"/>
        <w:keepNext/>
        <w:rPr>
          <w:i w:val="0"/>
        </w:rPr>
      </w:pPr>
      <w:bookmarkStart w:id="12" w:name="_Toc501621782"/>
      <w:r w:rsidRPr="007267E3">
        <w:rPr>
          <w:i w:val="0"/>
        </w:rPr>
        <w:t>Economic analysis</w:t>
      </w:r>
      <w:bookmarkEnd w:id="12"/>
      <w:r w:rsidR="00491B3A" w:rsidRPr="007267E3">
        <w:rPr>
          <w:i w:val="0"/>
        </w:rPr>
        <w:t xml:space="preserve"> </w:t>
      </w:r>
    </w:p>
    <w:p w:rsidR="00B60939" w:rsidRPr="00882085" w:rsidRDefault="00B60939" w:rsidP="007869D0">
      <w:pPr>
        <w:keepNext/>
        <w:ind w:left="720" w:hanging="720"/>
      </w:pPr>
    </w:p>
    <w:p w:rsidR="004952C4" w:rsidRDefault="001E3153" w:rsidP="009E2CAD">
      <w:pPr>
        <w:pStyle w:val="ListParagraph"/>
        <w:keepNext/>
        <w:widowControl/>
        <w:numPr>
          <w:ilvl w:val="1"/>
          <w:numId w:val="1"/>
        </w:numPr>
      </w:pPr>
      <w:r w:rsidRPr="001E3153">
        <w:t xml:space="preserve">The submission </w:t>
      </w:r>
      <w:r w:rsidR="00062E91">
        <w:t>presented</w:t>
      </w:r>
      <w:r w:rsidR="00062E91" w:rsidRPr="001E3153">
        <w:t xml:space="preserve"> </w:t>
      </w:r>
      <w:r w:rsidRPr="001E3153">
        <w:t xml:space="preserve">a cost-effectiveness (cost per life year saved) and cost-utility (cost per </w:t>
      </w:r>
      <w:r w:rsidR="00391D1C">
        <w:t>quality adjusted life year (</w:t>
      </w:r>
      <w:r w:rsidRPr="001E3153">
        <w:t>QALY</w:t>
      </w:r>
      <w:r w:rsidR="00391D1C">
        <w:t>)</w:t>
      </w:r>
      <w:r w:rsidRPr="001E3153">
        <w:t xml:space="preserve"> saved) analysis of vaccinating adolescents as part of a </w:t>
      </w:r>
      <w:r w:rsidR="001248AD">
        <w:t xml:space="preserve">combined </w:t>
      </w:r>
      <w:r w:rsidRPr="001E3153">
        <w:t>school based program</w:t>
      </w:r>
      <w:r w:rsidR="001248AD">
        <w:t xml:space="preserve"> and</w:t>
      </w:r>
      <w:r w:rsidRPr="001E3153">
        <w:t xml:space="preserve"> an on-going catch-up program. </w:t>
      </w:r>
      <w:r w:rsidR="00044E4B" w:rsidRPr="00520F36">
        <w:t xml:space="preserve">Health benefits were estimated directly for vaccinated cohorts until 84 years, and indirectly for all 0-84-year-old Australians through herd immunity, compared to a scenario of no immunisation. </w:t>
      </w:r>
      <w:r w:rsidR="00C0211B" w:rsidRPr="00520F36">
        <w:t>A summary of the model structure is presented in the table below.</w:t>
      </w:r>
      <w:r w:rsidR="004952C4">
        <w:br w:type="page"/>
      </w:r>
    </w:p>
    <w:p w:rsidR="00C0211B" w:rsidRPr="005C7F65" w:rsidRDefault="00C0211B" w:rsidP="008C2E43">
      <w:pPr>
        <w:pStyle w:val="TableHeading0"/>
      </w:pPr>
      <w:r w:rsidRPr="008A46C6">
        <w:lastRenderedPageBreak/>
        <w:t xml:space="preserve">Table </w:t>
      </w:r>
      <w:r w:rsidR="004A20D6">
        <w:t>10</w:t>
      </w:r>
      <w:r w:rsidRPr="008A46C6">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3"/>
        <w:gridCol w:w="7780"/>
      </w:tblGrid>
      <w:tr w:rsidR="00C0211B" w:rsidRPr="001E10C0" w:rsidTr="00161F0D">
        <w:trPr>
          <w:tblHeader/>
        </w:trPr>
        <w:tc>
          <w:tcPr>
            <w:tcW w:w="717" w:type="pct"/>
            <w:shd w:val="clear" w:color="auto" w:fill="auto"/>
            <w:vAlign w:val="center"/>
          </w:tcPr>
          <w:p w:rsidR="00C0211B" w:rsidRPr="00D1078F" w:rsidRDefault="00C0211B" w:rsidP="00D951BB">
            <w:pPr>
              <w:pStyle w:val="TableText0"/>
              <w:spacing w:before="0" w:after="0"/>
              <w:rPr>
                <w:b/>
              </w:rPr>
            </w:pPr>
            <w:r w:rsidRPr="00D1078F">
              <w:rPr>
                <w:b/>
              </w:rPr>
              <w:t>Component</w:t>
            </w:r>
          </w:p>
        </w:tc>
        <w:tc>
          <w:tcPr>
            <w:tcW w:w="4283" w:type="pct"/>
            <w:shd w:val="clear" w:color="auto" w:fill="auto"/>
            <w:vAlign w:val="center"/>
          </w:tcPr>
          <w:p w:rsidR="00C0211B" w:rsidRPr="00D1078F" w:rsidRDefault="00C0211B" w:rsidP="00D951BB">
            <w:pPr>
              <w:pStyle w:val="TableText0"/>
              <w:spacing w:before="0" w:after="0"/>
              <w:rPr>
                <w:b/>
              </w:rPr>
            </w:pPr>
            <w:r w:rsidRPr="00D1078F">
              <w:rPr>
                <w:b/>
              </w:rPr>
              <w:t>Summary</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pPr>
            <w:r w:rsidRPr="00E2771E">
              <w:t>Time horizon</w:t>
            </w:r>
          </w:p>
        </w:tc>
        <w:tc>
          <w:tcPr>
            <w:tcW w:w="4283" w:type="pct"/>
            <w:shd w:val="clear" w:color="auto" w:fill="auto"/>
            <w:vAlign w:val="center"/>
          </w:tcPr>
          <w:p w:rsidR="00C0211B" w:rsidRPr="00E2771E" w:rsidRDefault="00044E4B" w:rsidP="00D951BB">
            <w:pPr>
              <w:pStyle w:val="TableText0"/>
              <w:keepNext w:val="0"/>
              <w:widowControl w:val="0"/>
              <w:spacing w:before="0" w:after="0"/>
              <w:rPr>
                <w:rFonts w:ascii="Times" w:eastAsia="Times New Roman" w:hAnsi="Times" w:cs="Times New Roman"/>
              </w:rPr>
            </w:pPr>
            <w:r w:rsidRPr="00044E4B">
              <w:t>Follow-up of Australians currently aged 0-84 years until age 85 years. Hence a maximum time horizon of 85 years and minimum time horizon of 1 year</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Outcomes</w:t>
            </w:r>
          </w:p>
        </w:tc>
        <w:tc>
          <w:tcPr>
            <w:tcW w:w="4283" w:type="pct"/>
            <w:shd w:val="clear" w:color="auto" w:fill="auto"/>
          </w:tcPr>
          <w:p w:rsidR="00C0211B" w:rsidRPr="00E2771E" w:rsidRDefault="00044E4B" w:rsidP="00D951BB">
            <w:pPr>
              <w:pStyle w:val="TableText0"/>
              <w:keepNext w:val="0"/>
              <w:widowControl w:val="0"/>
              <w:spacing w:before="0" w:after="0"/>
              <w:rPr>
                <w:rFonts w:ascii="Times" w:eastAsia="Times New Roman" w:hAnsi="Times" w:cs="Times New Roman"/>
              </w:rPr>
            </w:pPr>
            <w:r w:rsidRPr="00044E4B">
              <w:t>Non-fatal and fatal IMD events prevented, years of life saved and QALYs saved.</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Methods used to generate results</w:t>
            </w:r>
          </w:p>
        </w:tc>
        <w:tc>
          <w:tcPr>
            <w:tcW w:w="4283" w:type="pct"/>
            <w:shd w:val="clear" w:color="auto" w:fill="auto"/>
          </w:tcPr>
          <w:p w:rsidR="00D951BB" w:rsidRDefault="00D951BB" w:rsidP="00D951BB">
            <w:pPr>
              <w:pStyle w:val="Tabletext"/>
            </w:pPr>
            <w:r>
              <w:t>Decision analysis.</w:t>
            </w:r>
          </w:p>
          <w:p w:rsidR="00D951BB" w:rsidRDefault="00D951BB" w:rsidP="00D951BB">
            <w:pPr>
              <w:pStyle w:val="Tabletext"/>
            </w:pPr>
            <w:r>
              <w:t>Markov state-transition modelling.</w:t>
            </w:r>
          </w:p>
          <w:p w:rsidR="00C0211B" w:rsidRPr="00E2771E" w:rsidRDefault="00D951BB" w:rsidP="00D951BB">
            <w:pPr>
              <w:pStyle w:val="TableText0"/>
              <w:keepNext w:val="0"/>
              <w:widowControl w:val="0"/>
              <w:spacing w:before="0" w:after="0"/>
              <w:rPr>
                <w:rFonts w:ascii="Times" w:eastAsia="Times New Roman" w:hAnsi="Times" w:cs="Times New Roman"/>
              </w:rPr>
            </w:pPr>
            <w:r>
              <w:t>Cohort expected value analysis.</w:t>
            </w:r>
          </w:p>
        </w:tc>
      </w:tr>
      <w:tr w:rsidR="00C0211B" w:rsidRPr="00E2771E" w:rsidTr="00161F0D">
        <w:tc>
          <w:tcPr>
            <w:tcW w:w="717" w:type="pct"/>
            <w:shd w:val="clear" w:color="auto" w:fill="auto"/>
            <w:vAlign w:val="center"/>
          </w:tcPr>
          <w:p w:rsidR="00C0211B" w:rsidRPr="00E2771E" w:rsidRDefault="00C0211B" w:rsidP="00477FAF">
            <w:pPr>
              <w:pStyle w:val="TableText0"/>
              <w:keepNext w:val="0"/>
              <w:widowControl w:val="0"/>
              <w:spacing w:before="0" w:after="0"/>
              <w:rPr>
                <w:rFonts w:ascii="Times" w:eastAsia="Times New Roman" w:hAnsi="Times" w:cs="Times New Roman"/>
              </w:rPr>
            </w:pPr>
            <w:r w:rsidRPr="00E2771E">
              <w:t>Health states</w:t>
            </w:r>
          </w:p>
        </w:tc>
        <w:tc>
          <w:tcPr>
            <w:tcW w:w="4283" w:type="pct"/>
            <w:shd w:val="clear" w:color="auto" w:fill="auto"/>
            <w:vAlign w:val="center"/>
          </w:tcPr>
          <w:p w:rsidR="00D951BB" w:rsidRDefault="00D951BB" w:rsidP="00477FAF">
            <w:pPr>
              <w:pStyle w:val="TableText0"/>
              <w:spacing w:before="0" w:after="0"/>
            </w:pPr>
            <w:r>
              <w:t>1. ‘Alive without prior IMD’</w:t>
            </w:r>
          </w:p>
          <w:p w:rsidR="00D951BB" w:rsidRDefault="00D951BB" w:rsidP="00477FAF">
            <w:pPr>
              <w:pStyle w:val="TableText0"/>
              <w:spacing w:before="0" w:after="0"/>
            </w:pPr>
            <w:r>
              <w:t>2. ‘Alive post IMD and without long-term complications’</w:t>
            </w:r>
          </w:p>
          <w:p w:rsidR="00D951BB" w:rsidRDefault="00D951BB" w:rsidP="00477FAF">
            <w:pPr>
              <w:pStyle w:val="TableText0"/>
              <w:spacing w:before="0" w:after="0"/>
            </w:pPr>
            <w:r>
              <w:t>3. ‘Alive post IMD and with long-term complications’</w:t>
            </w:r>
          </w:p>
          <w:p w:rsidR="00C0211B" w:rsidRPr="00E2771E" w:rsidRDefault="00D951BB" w:rsidP="00477FAF">
            <w:pPr>
              <w:pStyle w:val="TableText0"/>
              <w:keepNext w:val="0"/>
              <w:widowControl w:val="0"/>
              <w:spacing w:before="0" w:after="0"/>
              <w:rPr>
                <w:rFonts w:ascii="Times" w:eastAsia="Times New Roman" w:hAnsi="Times" w:cs="Times New Roman"/>
              </w:rPr>
            </w:pPr>
            <w:r>
              <w:t>4. ‘Dead’</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t>Utilities</w:t>
            </w:r>
          </w:p>
        </w:tc>
        <w:tc>
          <w:tcPr>
            <w:tcW w:w="4283" w:type="pct"/>
            <w:shd w:val="clear" w:color="auto" w:fill="auto"/>
            <w:vAlign w:val="center"/>
          </w:tcPr>
          <w:p w:rsidR="00477FAF" w:rsidRPr="002224B2" w:rsidRDefault="00477FAF" w:rsidP="00477FAF">
            <w:pPr>
              <w:jc w:val="left"/>
              <w:rPr>
                <w:rFonts w:ascii="Arial Narrow" w:hAnsi="Arial Narrow" w:cs="Times New Roman"/>
                <w:sz w:val="20"/>
              </w:rPr>
            </w:pPr>
            <w:r w:rsidRPr="002224B2">
              <w:rPr>
                <w:rFonts w:ascii="Arial Narrow" w:hAnsi="Arial Narrow" w:cs="Times New Roman"/>
                <w:sz w:val="20"/>
              </w:rPr>
              <w:t>Alive and no previous IMD, and Alive post IMD without long term complications: Australian population norms (</w:t>
            </w:r>
            <w:proofErr w:type="spellStart"/>
            <w:r w:rsidRPr="002224B2">
              <w:rPr>
                <w:rFonts w:ascii="Arial Narrow" w:hAnsi="Arial Narrow" w:cs="Times New Roman"/>
                <w:sz w:val="20"/>
              </w:rPr>
              <w:t>AQoL</w:t>
            </w:r>
            <w:proofErr w:type="spellEnd"/>
            <w:r w:rsidRPr="002224B2">
              <w:rPr>
                <w:rFonts w:ascii="Arial Narrow" w:hAnsi="Arial Narrow" w:cs="Times New Roman"/>
                <w:sz w:val="20"/>
              </w:rPr>
              <w:t>) from Hawthorne 2013.</w:t>
            </w:r>
          </w:p>
          <w:p w:rsidR="00C0211B" w:rsidRPr="002224B2" w:rsidRDefault="00477FAF" w:rsidP="00477FAF">
            <w:pPr>
              <w:pStyle w:val="TableText0"/>
              <w:keepNext w:val="0"/>
              <w:widowControl w:val="0"/>
              <w:spacing w:before="0" w:after="0"/>
              <w:rPr>
                <w:rFonts w:cs="Times New Roman"/>
              </w:rPr>
            </w:pPr>
            <w:r w:rsidRPr="002224B2">
              <w:rPr>
                <w:rFonts w:cs="Times New Roman"/>
              </w:rPr>
              <w:t xml:space="preserve">Alive post IMD with long-term complications: </w:t>
            </w:r>
            <w:proofErr w:type="spellStart"/>
            <w:r w:rsidRPr="002224B2">
              <w:rPr>
                <w:rFonts w:cs="Times New Roman"/>
              </w:rPr>
              <w:t>Tu</w:t>
            </w:r>
            <w:proofErr w:type="spellEnd"/>
            <w:r w:rsidRPr="002224B2">
              <w:rPr>
                <w:rFonts w:cs="Times New Roman"/>
              </w:rPr>
              <w:t xml:space="preserve"> (2014) and Wang et al (2014).</w:t>
            </w:r>
          </w:p>
          <w:p w:rsidR="00477FAF" w:rsidRPr="002224B2" w:rsidRDefault="00477FAF" w:rsidP="00C52424">
            <w:pPr>
              <w:pStyle w:val="TableText0"/>
              <w:keepNext w:val="0"/>
              <w:widowControl w:val="0"/>
              <w:spacing w:before="0" w:after="0"/>
            </w:pPr>
            <w:r w:rsidRPr="002224B2">
              <w:t xml:space="preserve">A weighting of 80.5% </w:t>
            </w:r>
            <w:r w:rsidR="00C52424">
              <w:t>for</w:t>
            </w:r>
            <w:r w:rsidRPr="002224B2">
              <w:t xml:space="preserve"> major complications </w:t>
            </w:r>
            <w:r w:rsidR="00C52424">
              <w:t>(</w:t>
            </w:r>
            <w:r w:rsidRPr="002224B2">
              <w:t xml:space="preserve">and 19.5% </w:t>
            </w:r>
            <w:r w:rsidR="00C52424">
              <w:t>for</w:t>
            </w:r>
            <w:r w:rsidRPr="002224B2">
              <w:t xml:space="preserve"> minor complications</w:t>
            </w:r>
            <w:r w:rsidR="00C52424">
              <w:t>)</w:t>
            </w:r>
            <w:r w:rsidRPr="002224B2">
              <w:t xml:space="preserve"> </w:t>
            </w:r>
            <w:r w:rsidR="00C52424">
              <w:t>was</w:t>
            </w:r>
            <w:r w:rsidRPr="002224B2">
              <w:t xml:space="preserve"> relatively high compared to previous published economic evaluations.</w:t>
            </w:r>
          </w:p>
        </w:tc>
      </w:tr>
      <w:tr w:rsidR="00C0211B" w:rsidRPr="00E2771E" w:rsidTr="00161F0D">
        <w:tc>
          <w:tcPr>
            <w:tcW w:w="717" w:type="pct"/>
            <w:shd w:val="clear" w:color="auto" w:fill="auto"/>
            <w:vAlign w:val="center"/>
          </w:tcPr>
          <w:p w:rsidR="00C0211B" w:rsidRPr="00E2771E" w:rsidRDefault="00C0211B" w:rsidP="00D951BB">
            <w:pPr>
              <w:pStyle w:val="TableText0"/>
              <w:keepNext w:val="0"/>
              <w:widowControl w:val="0"/>
              <w:spacing w:before="0" w:after="0"/>
              <w:rPr>
                <w:rFonts w:ascii="Times" w:eastAsia="Times New Roman" w:hAnsi="Times" w:cs="Times New Roman"/>
              </w:rPr>
            </w:pPr>
            <w:r w:rsidRPr="00E2771E">
              <w:t>Cycle length</w:t>
            </w:r>
          </w:p>
        </w:tc>
        <w:tc>
          <w:tcPr>
            <w:tcW w:w="4283" w:type="pct"/>
            <w:shd w:val="clear" w:color="auto" w:fill="auto"/>
            <w:vAlign w:val="center"/>
          </w:tcPr>
          <w:p w:rsidR="00C0211B" w:rsidRPr="002224B2" w:rsidRDefault="00044E4B" w:rsidP="00D951BB">
            <w:pPr>
              <w:pStyle w:val="TableText0"/>
              <w:keepNext w:val="0"/>
              <w:widowControl w:val="0"/>
              <w:spacing w:before="0" w:after="0"/>
              <w:rPr>
                <w:rFonts w:ascii="Times" w:eastAsia="Times New Roman" w:hAnsi="Times" w:cs="Times New Roman"/>
              </w:rPr>
            </w:pPr>
            <w:r w:rsidRPr="002224B2">
              <w:t>1 year</w:t>
            </w:r>
          </w:p>
        </w:tc>
      </w:tr>
      <w:tr w:rsidR="00C0211B" w:rsidRPr="00E2771E" w:rsidTr="00161F0D">
        <w:tc>
          <w:tcPr>
            <w:tcW w:w="717" w:type="pct"/>
            <w:shd w:val="clear" w:color="auto" w:fill="auto"/>
          </w:tcPr>
          <w:p w:rsidR="00C0211B" w:rsidRPr="00044E4B" w:rsidRDefault="00044E4B" w:rsidP="00D951BB">
            <w:pPr>
              <w:pStyle w:val="TableText0"/>
              <w:keepNext w:val="0"/>
              <w:widowControl w:val="0"/>
              <w:spacing w:before="0" w:after="0"/>
              <w:rPr>
                <w:rFonts w:eastAsia="Times New Roman" w:cs="Times New Roman"/>
              </w:rPr>
            </w:pPr>
            <w:r w:rsidRPr="00044E4B">
              <w:rPr>
                <w:rFonts w:eastAsia="Times New Roman" w:cs="Times New Roman"/>
              </w:rPr>
              <w:t>Transition probabilities</w:t>
            </w:r>
          </w:p>
        </w:tc>
        <w:tc>
          <w:tcPr>
            <w:tcW w:w="4283" w:type="pct"/>
            <w:shd w:val="clear" w:color="auto" w:fill="auto"/>
          </w:tcPr>
          <w:p w:rsidR="00C0211B" w:rsidRPr="002224B2" w:rsidRDefault="00044E4B" w:rsidP="00D951BB">
            <w:pPr>
              <w:pStyle w:val="TableText0"/>
              <w:keepNext w:val="0"/>
              <w:widowControl w:val="0"/>
              <w:spacing w:before="0" w:after="0"/>
            </w:pPr>
            <w:r w:rsidRPr="002224B2">
              <w:t xml:space="preserve">Background incident IMD. </w:t>
            </w:r>
            <w:r w:rsidR="00477FAF" w:rsidRPr="002224B2">
              <w:t xml:space="preserve">Background incident rates of IMD were based on </w:t>
            </w:r>
            <w:r w:rsidR="00E701AD" w:rsidRPr="002224B2">
              <w:t xml:space="preserve">a single </w:t>
            </w:r>
            <w:r w:rsidR="00477FAF" w:rsidRPr="002224B2">
              <w:t xml:space="preserve">year of incidence data (2016-2017) and were assumed to be constant over the 85-year projection in the model. </w:t>
            </w:r>
          </w:p>
          <w:p w:rsidR="00044E4B" w:rsidRPr="002224B2" w:rsidRDefault="00044E4B" w:rsidP="00D951BB">
            <w:pPr>
              <w:pStyle w:val="TableText0"/>
              <w:keepNext w:val="0"/>
              <w:widowControl w:val="0"/>
              <w:spacing w:before="0" w:after="0"/>
            </w:pPr>
          </w:p>
          <w:p w:rsidR="00477FAF" w:rsidRPr="002224B2" w:rsidRDefault="00477FAF" w:rsidP="00477FAF">
            <w:pPr>
              <w:pStyle w:val="TableText0"/>
              <w:keepNext w:val="0"/>
              <w:widowControl w:val="0"/>
              <w:spacing w:before="0" w:after="0"/>
              <w:rPr>
                <w:szCs w:val="20"/>
              </w:rPr>
            </w:pPr>
            <w:r w:rsidRPr="002224B2">
              <w:t xml:space="preserve">Case-fatality ratios were taken from ATAGI pre submission advice. </w:t>
            </w:r>
            <w:r w:rsidRPr="002224B2">
              <w:rPr>
                <w:szCs w:val="20"/>
              </w:rPr>
              <w:t xml:space="preserve">This is reasonable, however uncertain as the future dynamics of the incidence of IMD caused by </w:t>
            </w:r>
            <w:proofErr w:type="spellStart"/>
            <w:r w:rsidRPr="002224B2">
              <w:rPr>
                <w:szCs w:val="20"/>
              </w:rPr>
              <w:t>MenY</w:t>
            </w:r>
            <w:proofErr w:type="spellEnd"/>
            <w:r w:rsidRPr="002224B2">
              <w:rPr>
                <w:szCs w:val="20"/>
              </w:rPr>
              <w:t xml:space="preserve"> and </w:t>
            </w:r>
            <w:proofErr w:type="spellStart"/>
            <w:r w:rsidRPr="002224B2">
              <w:rPr>
                <w:szCs w:val="20"/>
              </w:rPr>
              <w:t>MenW</w:t>
            </w:r>
            <w:proofErr w:type="spellEnd"/>
            <w:r w:rsidRPr="002224B2">
              <w:rPr>
                <w:szCs w:val="20"/>
              </w:rPr>
              <w:t xml:space="preserve"> is unknown.</w:t>
            </w:r>
          </w:p>
          <w:p w:rsidR="00477FAF" w:rsidRPr="002224B2" w:rsidRDefault="00477FAF" w:rsidP="00477FAF">
            <w:pPr>
              <w:jc w:val="left"/>
              <w:rPr>
                <w:rFonts w:ascii="Arial Narrow" w:hAnsi="Arial Narrow"/>
                <w:sz w:val="20"/>
                <w:szCs w:val="20"/>
              </w:rPr>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Likelihood of long-term complications among survivors of IMD: ATAGI advice (October 2017) (Wang et al 2014). The evidence base is limited, although ATAGI supported the use of this dataset (p20 of the ATAGI pre-submission advice).</w:t>
            </w:r>
          </w:p>
          <w:p w:rsidR="00477FAF" w:rsidRPr="002224B2" w:rsidRDefault="00477FAF" w:rsidP="00477FAF">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Background mortality: Australian Bureau of Statistics, 2016 data. This is appropriate.</w:t>
            </w:r>
          </w:p>
          <w:p w:rsidR="00477FAF" w:rsidRPr="002224B2" w:rsidRDefault="00477FAF" w:rsidP="00D951BB">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Relative increase in risk of mortality among survivors of IMD with long-term complications: published sources (</w:t>
            </w:r>
            <w:proofErr w:type="spellStart"/>
            <w:r w:rsidRPr="002224B2">
              <w:rPr>
                <w:rFonts w:ascii="Arial Narrow" w:hAnsi="Arial Narrow"/>
                <w:sz w:val="20"/>
                <w:szCs w:val="20"/>
              </w:rPr>
              <w:t>Roed</w:t>
            </w:r>
            <w:proofErr w:type="spellEnd"/>
            <w:r w:rsidRPr="002224B2">
              <w:rPr>
                <w:rFonts w:ascii="Arial Narrow" w:hAnsi="Arial Narrow"/>
                <w:sz w:val="20"/>
                <w:szCs w:val="20"/>
              </w:rPr>
              <w:t xml:space="preserve"> et al 2015). This is reasonable.</w:t>
            </w:r>
          </w:p>
          <w:p w:rsidR="00477FAF" w:rsidRPr="002224B2" w:rsidRDefault="00477FAF" w:rsidP="00D951BB">
            <w:pPr>
              <w:pStyle w:val="TableText0"/>
              <w:keepNext w:val="0"/>
              <w:widowControl w:val="0"/>
              <w:spacing w:before="0" w:after="0"/>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 xml:space="preserve">Vaccine efficacy: Pooled </w:t>
            </w:r>
            <w:r w:rsidRPr="002224B2">
              <w:rPr>
                <w:rFonts w:ascii="Arial Narrow" w:hAnsi="Arial Narrow"/>
                <w:sz w:val="20"/>
                <w:szCs w:val="20"/>
                <w:u w:val="single"/>
              </w:rPr>
              <w:t>vaccine response</w:t>
            </w:r>
            <w:r w:rsidRPr="002224B2">
              <w:rPr>
                <w:rFonts w:ascii="Arial Narrow" w:hAnsi="Arial Narrow"/>
                <w:sz w:val="20"/>
                <w:szCs w:val="20"/>
              </w:rPr>
              <w:t xml:space="preserve"> from clinical trials presented in Section 2, weighted by serogroup prevalence in Australia. </w:t>
            </w:r>
          </w:p>
          <w:p w:rsidR="009C3F32" w:rsidRPr="002224B2" w:rsidRDefault="009C3F32" w:rsidP="00D951BB">
            <w:pPr>
              <w:jc w:val="left"/>
              <w:rPr>
                <w:rFonts w:ascii="Arial Narrow" w:hAnsi="Arial Narrow"/>
                <w:sz w:val="20"/>
                <w:szCs w:val="20"/>
              </w:rPr>
            </w:pPr>
          </w:p>
          <w:p w:rsidR="00477FAF" w:rsidRPr="002224B2" w:rsidRDefault="00477FAF" w:rsidP="00477FAF">
            <w:pPr>
              <w:jc w:val="left"/>
              <w:rPr>
                <w:rFonts w:ascii="Arial Narrow" w:hAnsi="Arial Narrow"/>
                <w:sz w:val="20"/>
                <w:szCs w:val="20"/>
              </w:rPr>
            </w:pPr>
            <w:r w:rsidRPr="002224B2">
              <w:rPr>
                <w:rFonts w:ascii="Arial Narrow" w:hAnsi="Arial Narrow"/>
                <w:sz w:val="20"/>
                <w:szCs w:val="20"/>
              </w:rPr>
              <w:t xml:space="preserve">Vaccine waning: assumed to wane by 5% per year until Year 5, and 50% per year thereafter. </w:t>
            </w:r>
          </w:p>
          <w:p w:rsidR="009C3F32" w:rsidRPr="002224B2" w:rsidRDefault="009C3F32" w:rsidP="00D951BB">
            <w:pPr>
              <w:jc w:val="left"/>
              <w:rPr>
                <w:rFonts w:ascii="Arial Narrow" w:hAnsi="Arial Narrow"/>
                <w:sz w:val="20"/>
                <w:szCs w:val="20"/>
              </w:rPr>
            </w:pPr>
          </w:p>
          <w:p w:rsidR="00044E4B" w:rsidRPr="002224B2" w:rsidRDefault="00477FAF" w:rsidP="002C10D6">
            <w:pPr>
              <w:jc w:val="left"/>
              <w:rPr>
                <w:rFonts w:ascii="Arial Narrow" w:hAnsi="Arial Narrow"/>
                <w:sz w:val="20"/>
                <w:szCs w:val="20"/>
              </w:rPr>
            </w:pPr>
            <w:r w:rsidRPr="002224B2">
              <w:rPr>
                <w:rFonts w:ascii="Arial Narrow" w:hAnsi="Arial Narrow"/>
                <w:sz w:val="20"/>
                <w:szCs w:val="20"/>
              </w:rPr>
              <w:t xml:space="preserve">Herd immunity: a linear reduction was assumed from Year 2 to Year 10, so baseline IMD incidence reduced by 67% in Year 10 (based on data from the </w:t>
            </w:r>
            <w:proofErr w:type="spellStart"/>
            <w:r w:rsidRPr="002224B2">
              <w:rPr>
                <w:rFonts w:ascii="Arial Narrow" w:hAnsi="Arial Narrow"/>
                <w:sz w:val="20"/>
                <w:szCs w:val="20"/>
              </w:rPr>
              <w:t>MenC</w:t>
            </w:r>
            <w:proofErr w:type="spellEnd"/>
            <w:r w:rsidRPr="002224B2">
              <w:rPr>
                <w:rFonts w:ascii="Arial Narrow" w:hAnsi="Arial Narrow"/>
                <w:sz w:val="20"/>
                <w:szCs w:val="20"/>
              </w:rPr>
              <w:t xml:space="preserve"> program in the UK). The reduction was sustained until Year 17, </w:t>
            </w:r>
            <w:proofErr w:type="gramStart"/>
            <w:r w:rsidRPr="002224B2">
              <w:rPr>
                <w:rFonts w:ascii="Arial Narrow" w:hAnsi="Arial Narrow"/>
                <w:sz w:val="20"/>
                <w:szCs w:val="20"/>
              </w:rPr>
              <w:t>then</w:t>
            </w:r>
            <w:proofErr w:type="gramEnd"/>
            <w:r w:rsidRPr="002224B2">
              <w:rPr>
                <w:rFonts w:ascii="Arial Narrow" w:hAnsi="Arial Narrow"/>
                <w:sz w:val="20"/>
                <w:szCs w:val="20"/>
              </w:rPr>
              <w:t xml:space="preserve"> diminished, so by Year 27 no relative risk reduction was apparent. </w:t>
            </w:r>
          </w:p>
        </w:tc>
      </w:tr>
    </w:tbl>
    <w:p w:rsidR="00477FAF" w:rsidRDefault="00477FAF" w:rsidP="00477FAF">
      <w:pPr>
        <w:pStyle w:val="TableFooter"/>
      </w:pPr>
      <w:r>
        <w:t xml:space="preserve">ATAGI: Australian Technical Advisory Group on Immunisation, IMD: invasive meningococcal disease, </w:t>
      </w:r>
      <w:proofErr w:type="spellStart"/>
      <w:r>
        <w:t>MenY</w:t>
      </w:r>
      <w:proofErr w:type="spellEnd"/>
      <w:r>
        <w:t xml:space="preserve">: Neisseria </w:t>
      </w:r>
      <w:proofErr w:type="spellStart"/>
      <w:r>
        <w:t>meningitidis</w:t>
      </w:r>
      <w:proofErr w:type="spellEnd"/>
      <w:r>
        <w:t xml:space="preserve"> serogroup Y, </w:t>
      </w:r>
      <w:proofErr w:type="spellStart"/>
      <w:r>
        <w:t>MenW</w:t>
      </w:r>
      <w:proofErr w:type="spellEnd"/>
      <w:r>
        <w:t xml:space="preserve">: Neisseria </w:t>
      </w:r>
      <w:proofErr w:type="spellStart"/>
      <w:r>
        <w:t>meningitidis</w:t>
      </w:r>
      <w:proofErr w:type="spellEnd"/>
      <w:r>
        <w:t xml:space="preserve"> serogroup W, </w:t>
      </w:r>
      <w:proofErr w:type="spellStart"/>
      <w:r>
        <w:t>rSBA</w:t>
      </w:r>
      <w:proofErr w:type="spellEnd"/>
      <w:r>
        <w:t>: rabbit serum bactericidal assay; QALY: Quality Adjusted Life Year</w:t>
      </w:r>
      <w:r w:rsidR="0052313F">
        <w:t>.</w:t>
      </w:r>
    </w:p>
    <w:p w:rsidR="00044E4B" w:rsidRPr="00D13A3E" w:rsidRDefault="00477FAF" w:rsidP="00477FAF">
      <w:pPr>
        <w:pStyle w:val="TableFooter"/>
      </w:pPr>
      <w:r>
        <w:t>Source: Table 67, p139 of the submission and compiled during the evaluation.</w:t>
      </w:r>
    </w:p>
    <w:p w:rsidR="00DB4CAA" w:rsidRDefault="00DB4CAA" w:rsidP="00044E4B">
      <w:pPr>
        <w:widowControl/>
        <w:spacing w:after="120"/>
      </w:pPr>
    </w:p>
    <w:p w:rsidR="00C0211B" w:rsidRPr="0056330B" w:rsidRDefault="00C0211B" w:rsidP="009E2CAD">
      <w:pPr>
        <w:pStyle w:val="ListParagraph"/>
        <w:widowControl/>
        <w:numPr>
          <w:ilvl w:val="1"/>
          <w:numId w:val="1"/>
        </w:numPr>
      </w:pPr>
      <w:r w:rsidRPr="0056330B">
        <w:t>A summary of the key drivers of the model is presented in the table below.</w:t>
      </w:r>
    </w:p>
    <w:p w:rsidR="00C0211B" w:rsidRPr="0056330B" w:rsidRDefault="00C0211B" w:rsidP="00C0211B">
      <w:pPr>
        <w:pStyle w:val="TableHeading0"/>
      </w:pPr>
      <w:r w:rsidRPr="0056330B">
        <w:lastRenderedPageBreak/>
        <w:t xml:space="preserve">Table </w:t>
      </w:r>
      <w:r w:rsidR="006308D0">
        <w:t>11</w:t>
      </w:r>
      <w:r w:rsidRPr="0056330B">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6"/>
        <w:gridCol w:w="5691"/>
        <w:gridCol w:w="1826"/>
      </w:tblGrid>
      <w:tr w:rsidR="00C0211B" w:rsidRPr="003C11A3" w:rsidTr="007869D0">
        <w:trPr>
          <w:trHeight w:val="58"/>
          <w:tblHeader/>
        </w:trPr>
        <w:tc>
          <w:tcPr>
            <w:tcW w:w="862" w:type="pct"/>
            <w:shd w:val="clear" w:color="auto" w:fill="auto"/>
            <w:vAlign w:val="center"/>
          </w:tcPr>
          <w:p w:rsidR="00C0211B" w:rsidRPr="0056330B" w:rsidRDefault="00C0211B" w:rsidP="008C2E43">
            <w:pPr>
              <w:pStyle w:val="TableText0"/>
              <w:spacing w:before="0" w:after="0"/>
              <w:rPr>
                <w:b/>
              </w:rPr>
            </w:pPr>
            <w:r w:rsidRPr="0056330B">
              <w:rPr>
                <w:b/>
              </w:rPr>
              <w:t>Description</w:t>
            </w:r>
          </w:p>
        </w:tc>
        <w:tc>
          <w:tcPr>
            <w:tcW w:w="3133" w:type="pct"/>
            <w:shd w:val="clear" w:color="auto" w:fill="auto"/>
            <w:vAlign w:val="center"/>
          </w:tcPr>
          <w:p w:rsidR="00C0211B" w:rsidRPr="0056330B" w:rsidRDefault="00C0211B" w:rsidP="008C2E43">
            <w:pPr>
              <w:pStyle w:val="TableText0"/>
              <w:spacing w:before="0" w:after="0"/>
              <w:rPr>
                <w:b/>
              </w:rPr>
            </w:pPr>
            <w:r w:rsidRPr="0056330B">
              <w:rPr>
                <w:b/>
              </w:rPr>
              <w:t>Method/Value</w:t>
            </w:r>
          </w:p>
        </w:tc>
        <w:tc>
          <w:tcPr>
            <w:tcW w:w="1005" w:type="pct"/>
            <w:shd w:val="clear" w:color="auto" w:fill="auto"/>
            <w:vAlign w:val="center"/>
          </w:tcPr>
          <w:p w:rsidR="00C0211B" w:rsidRPr="0056330B" w:rsidRDefault="00C0211B" w:rsidP="008C2E43">
            <w:pPr>
              <w:pStyle w:val="TableText0"/>
              <w:spacing w:before="0" w:after="0"/>
              <w:rPr>
                <w:b/>
              </w:rPr>
            </w:pPr>
            <w:r w:rsidRPr="0056330B">
              <w:rPr>
                <w:b/>
              </w:rPr>
              <w:t>Impact</w:t>
            </w:r>
          </w:p>
        </w:tc>
      </w:tr>
      <w:tr w:rsidR="006E1B95" w:rsidRPr="00421B44" w:rsidTr="007869D0">
        <w:tc>
          <w:tcPr>
            <w:tcW w:w="862" w:type="pct"/>
            <w:shd w:val="clear" w:color="auto" w:fill="auto"/>
            <w:vAlign w:val="center"/>
          </w:tcPr>
          <w:p w:rsidR="006E1B95" w:rsidRPr="00421B44" w:rsidRDefault="006E1B95" w:rsidP="008C2E43">
            <w:pPr>
              <w:pStyle w:val="TableText0"/>
              <w:spacing w:before="0" w:after="0"/>
              <w:rPr>
                <w:rFonts w:cstheme="minorHAnsi"/>
              </w:rPr>
            </w:pPr>
            <w:r w:rsidRPr="00421B44">
              <w:rPr>
                <w:rFonts w:cstheme="minorHAnsi"/>
              </w:rPr>
              <w:t xml:space="preserve">Model structure </w:t>
            </w:r>
          </w:p>
        </w:tc>
        <w:tc>
          <w:tcPr>
            <w:tcW w:w="3133" w:type="pct"/>
            <w:shd w:val="clear" w:color="auto" w:fill="auto"/>
            <w:vAlign w:val="center"/>
          </w:tcPr>
          <w:p w:rsidR="006E1B95" w:rsidRPr="00421B44" w:rsidRDefault="006E1B95" w:rsidP="00FC7BD3">
            <w:pPr>
              <w:pStyle w:val="TableText0"/>
              <w:spacing w:before="0" w:after="0"/>
            </w:pPr>
            <w:r w:rsidRPr="00421B44">
              <w:t xml:space="preserve">The economic model represents the costs and effects of vaccination on the current Australian population, i.e. not allowing for </w:t>
            </w:r>
            <w:r w:rsidR="002C10D6" w:rsidRPr="00421B44">
              <w:t xml:space="preserve">vaccination of </w:t>
            </w:r>
            <w:r w:rsidRPr="00421B44">
              <w:t>newborns</w:t>
            </w:r>
            <w:r w:rsidR="00EF4EFC" w:rsidRPr="00421B44">
              <w:t xml:space="preserve"> at birth nor in adolescence</w:t>
            </w:r>
            <w:r w:rsidRPr="00421B44">
              <w:t>. A more realistic model may have defined a set time horizon (e.g. 50 years, at the end of which period, discounting negates any cost and outcome differences) and allowed for newborns to reflect the vaccination of newborns over the time horizon.</w:t>
            </w:r>
          </w:p>
        </w:tc>
        <w:tc>
          <w:tcPr>
            <w:tcW w:w="1005" w:type="pct"/>
            <w:shd w:val="clear" w:color="auto" w:fill="auto"/>
            <w:vAlign w:val="center"/>
          </w:tcPr>
          <w:p w:rsidR="006E1B95" w:rsidRPr="00421B44" w:rsidRDefault="006E1B95" w:rsidP="001E3153">
            <w:pPr>
              <w:pStyle w:val="TableText0"/>
              <w:spacing w:before="0" w:after="0"/>
              <w:rPr>
                <w:rFonts w:cstheme="minorHAnsi"/>
              </w:rPr>
            </w:pPr>
            <w:r w:rsidRPr="00421B44">
              <w:rPr>
                <w:rFonts w:cstheme="minorHAnsi"/>
              </w:rPr>
              <w:t xml:space="preserve">Moderate. Favours the </w:t>
            </w:r>
            <w:proofErr w:type="spellStart"/>
            <w:r w:rsidRPr="00421B44">
              <w:rPr>
                <w:rFonts w:cstheme="minorHAnsi"/>
              </w:rPr>
              <w:t>MenACWY</w:t>
            </w:r>
            <w:proofErr w:type="spellEnd"/>
            <w:r w:rsidRPr="00421B44">
              <w:rPr>
                <w:rFonts w:cstheme="minorHAnsi"/>
              </w:rPr>
              <w:noBreakHyphen/>
              <w:t xml:space="preserve">TT vaccine </w:t>
            </w:r>
          </w:p>
        </w:tc>
      </w:tr>
      <w:tr w:rsidR="006E1B95" w:rsidRPr="00421B44" w:rsidTr="007869D0">
        <w:tc>
          <w:tcPr>
            <w:tcW w:w="862" w:type="pct"/>
            <w:shd w:val="clear" w:color="auto" w:fill="auto"/>
            <w:vAlign w:val="center"/>
          </w:tcPr>
          <w:p w:rsidR="006E1B95" w:rsidRPr="00421B44" w:rsidRDefault="006E1B95" w:rsidP="008C2E43">
            <w:pPr>
              <w:pStyle w:val="TableText0"/>
              <w:spacing w:before="0" w:after="0"/>
            </w:pPr>
            <w:r w:rsidRPr="00421B44">
              <w:rPr>
                <w:rFonts w:cstheme="minorHAnsi"/>
              </w:rPr>
              <w:t xml:space="preserve">Background incidence of IMD in absence of vaccination. </w:t>
            </w:r>
          </w:p>
        </w:tc>
        <w:tc>
          <w:tcPr>
            <w:tcW w:w="3133" w:type="pct"/>
            <w:shd w:val="clear" w:color="auto" w:fill="auto"/>
            <w:vAlign w:val="center"/>
          </w:tcPr>
          <w:p w:rsidR="006E1B95" w:rsidRPr="00421B44" w:rsidRDefault="006E1B95" w:rsidP="006E1B95">
            <w:pPr>
              <w:pStyle w:val="TableText0"/>
              <w:spacing w:before="0" w:after="0"/>
            </w:pPr>
            <w:r w:rsidRPr="00421B44">
              <w:t xml:space="preserve">Background incident rates of IMD were based on a single year of incidence data (2016-2017) and were assumed to be constant over the 85-year projection in the model. Over the previous 5-years (2012-2017) the average incidence of IMD was lower (less than half) than in 2016-2017. </w:t>
            </w:r>
          </w:p>
          <w:p w:rsidR="006E1B95" w:rsidRPr="00421B44" w:rsidRDefault="006E1B95" w:rsidP="006E1B95">
            <w:pPr>
              <w:pStyle w:val="TableText0"/>
              <w:spacing w:before="0" w:after="0"/>
              <w:rPr>
                <w:szCs w:val="20"/>
              </w:rPr>
            </w:pPr>
            <w:r w:rsidRPr="00421B44">
              <w:t>T</w:t>
            </w:r>
            <w:r w:rsidRPr="00421B44">
              <w:rPr>
                <w:szCs w:val="20"/>
              </w:rPr>
              <w:t xml:space="preserve">he future dynamics of the incidence of IMD caused by </w:t>
            </w:r>
            <w:proofErr w:type="spellStart"/>
            <w:r w:rsidRPr="00421B44">
              <w:rPr>
                <w:szCs w:val="20"/>
              </w:rPr>
              <w:t>MenY</w:t>
            </w:r>
            <w:proofErr w:type="spellEnd"/>
            <w:r w:rsidRPr="00421B44">
              <w:rPr>
                <w:szCs w:val="20"/>
              </w:rPr>
              <w:t xml:space="preserve"> and </w:t>
            </w:r>
            <w:proofErr w:type="spellStart"/>
            <w:r w:rsidRPr="00421B44">
              <w:rPr>
                <w:szCs w:val="20"/>
              </w:rPr>
              <w:t>MenW</w:t>
            </w:r>
            <w:proofErr w:type="spellEnd"/>
            <w:r w:rsidRPr="00421B44">
              <w:rPr>
                <w:szCs w:val="20"/>
              </w:rPr>
              <w:t xml:space="preserve"> without vaccination is unknown. </w:t>
            </w:r>
          </w:p>
          <w:p w:rsidR="006E1B95" w:rsidRPr="00421B44" w:rsidRDefault="006E1B95" w:rsidP="00945C7F">
            <w:pPr>
              <w:pStyle w:val="TableText0"/>
              <w:spacing w:before="0" w:after="0"/>
            </w:pPr>
            <w:r w:rsidRPr="00421B44">
              <w:rPr>
                <w:szCs w:val="20"/>
              </w:rPr>
              <w:t xml:space="preserve">ATAGI </w:t>
            </w:r>
            <w:r w:rsidR="0064777A" w:rsidRPr="00421B44">
              <w:rPr>
                <w:szCs w:val="20"/>
              </w:rPr>
              <w:t>advised</w:t>
            </w:r>
            <w:r w:rsidRPr="00421B44">
              <w:rPr>
                <w:szCs w:val="20"/>
              </w:rPr>
              <w:t xml:space="preserve"> that IMD incidence is increasing in younger age groups,</w:t>
            </w:r>
            <w:r w:rsidR="00421B44">
              <w:rPr>
                <w:szCs w:val="20"/>
              </w:rPr>
              <w:t xml:space="preserve"> and </w:t>
            </w:r>
            <w:r w:rsidR="00B8276D">
              <w:rPr>
                <w:szCs w:val="20"/>
              </w:rPr>
              <w:t>is higher in the older age groups (≥65 years) compared with adolescents (15-19 years).</w:t>
            </w:r>
            <w:r w:rsidR="00C544AF" w:rsidRPr="00421B44">
              <w:rPr>
                <w:iCs/>
                <w:snapToGrid w:val="0"/>
              </w:rPr>
              <w:t xml:space="preserve"> The ESC also noted the background incident rates of IMD may not adequately capture the impact of the infant vaccination program.</w:t>
            </w:r>
          </w:p>
        </w:tc>
        <w:tc>
          <w:tcPr>
            <w:tcW w:w="1005" w:type="pct"/>
            <w:shd w:val="clear" w:color="auto" w:fill="auto"/>
            <w:vAlign w:val="center"/>
          </w:tcPr>
          <w:p w:rsidR="006E1B95" w:rsidRPr="00421B44" w:rsidRDefault="006E1B95" w:rsidP="001E3153">
            <w:pPr>
              <w:pStyle w:val="TableText0"/>
              <w:spacing w:before="0" w:after="0"/>
            </w:pPr>
            <w:r w:rsidRPr="00421B44">
              <w:rPr>
                <w:rFonts w:cstheme="minorHAnsi"/>
              </w:rPr>
              <w:t>Uncertain</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pPr>
            <w:r w:rsidRPr="00B8276D">
              <w:rPr>
                <w:rFonts w:cstheme="minorHAnsi"/>
              </w:rPr>
              <w:t>Herd immunity assumption</w:t>
            </w:r>
          </w:p>
        </w:tc>
        <w:tc>
          <w:tcPr>
            <w:tcW w:w="3133" w:type="pct"/>
            <w:shd w:val="clear" w:color="auto" w:fill="auto"/>
            <w:vAlign w:val="center"/>
          </w:tcPr>
          <w:p w:rsidR="006E1B95" w:rsidRPr="00B8276D" w:rsidRDefault="006E1B95" w:rsidP="001E3153">
            <w:pPr>
              <w:pStyle w:val="TableText0"/>
              <w:spacing w:before="0" w:after="0"/>
              <w:rPr>
                <w:rFonts w:cstheme="minorHAnsi"/>
                <w:szCs w:val="24"/>
              </w:rPr>
            </w:pPr>
            <w:r w:rsidRPr="00B8276D">
              <w:rPr>
                <w:rFonts w:cstheme="minorHAnsi"/>
                <w:szCs w:val="24"/>
              </w:rPr>
              <w:t xml:space="preserve">Herd immunity was assumed, based on data from the </w:t>
            </w:r>
            <w:proofErr w:type="spellStart"/>
            <w:r w:rsidRPr="00B8276D">
              <w:rPr>
                <w:rFonts w:cstheme="minorHAnsi"/>
                <w:szCs w:val="24"/>
              </w:rPr>
              <w:t>MenC</w:t>
            </w:r>
            <w:proofErr w:type="spellEnd"/>
            <w:r w:rsidRPr="00B8276D">
              <w:rPr>
                <w:rFonts w:cstheme="minorHAnsi"/>
                <w:szCs w:val="24"/>
              </w:rPr>
              <w:t xml:space="preserve"> program in the UK. </w:t>
            </w:r>
          </w:p>
          <w:p w:rsidR="006E1B95" w:rsidRPr="00B8276D" w:rsidRDefault="006E1B95" w:rsidP="006E1B95">
            <w:pPr>
              <w:pStyle w:val="Bulletpoints"/>
              <w:numPr>
                <w:ilvl w:val="0"/>
                <w:numId w:val="0"/>
              </w:numPr>
              <w:rPr>
                <w:rFonts w:ascii="Arial Narrow" w:hAnsi="Arial Narrow"/>
                <w:sz w:val="20"/>
                <w:szCs w:val="20"/>
              </w:rPr>
            </w:pPr>
            <w:r w:rsidRPr="00B8276D">
              <w:rPr>
                <w:rFonts w:ascii="Arial Narrow" w:hAnsi="Arial Narrow"/>
                <w:sz w:val="20"/>
                <w:szCs w:val="20"/>
              </w:rPr>
              <w:t xml:space="preserve">In the model, 0 to 18 year olds are vaccinated over an 18-year time horizon. Due to waning, the full population of 0 to 18 year olds are not all protected at the same time.  </w:t>
            </w:r>
          </w:p>
          <w:p w:rsidR="006E1B95" w:rsidRPr="00B8276D" w:rsidRDefault="006E1B95" w:rsidP="006E1B95">
            <w:pPr>
              <w:pStyle w:val="TableText0"/>
              <w:spacing w:before="0" w:after="0"/>
              <w:rPr>
                <w:rFonts w:eastAsia="Times New Roman"/>
                <w:szCs w:val="24"/>
              </w:rPr>
            </w:pPr>
            <w:r w:rsidRPr="00B8276D">
              <w:t>The model a</w:t>
            </w:r>
            <w:r w:rsidRPr="00B8276D">
              <w:rPr>
                <w:rFonts w:eastAsia="Times New Roman"/>
                <w:szCs w:val="24"/>
              </w:rPr>
              <w:t>ccounts for delayed vaccination by assuming a linear increase in herd immunity to reach 67% by 10 years</w:t>
            </w:r>
            <w:r w:rsidRPr="00B8276D">
              <w:t xml:space="preserve">, which </w:t>
            </w:r>
            <w:r w:rsidRPr="00B8276D">
              <w:rPr>
                <w:rFonts w:eastAsia="Times New Roman"/>
                <w:szCs w:val="24"/>
              </w:rPr>
              <w:t>is maintained for 8 years and then decreases linearly to zero after 27 years</w:t>
            </w:r>
            <w:r w:rsidRPr="00B8276D">
              <w:t xml:space="preserve">, </w:t>
            </w:r>
            <w:r w:rsidRPr="00B8276D">
              <w:rPr>
                <w:rFonts w:eastAsia="Times New Roman"/>
                <w:szCs w:val="24"/>
              </w:rPr>
              <w:t>i.e. herd immunity effects are assumed for 27 years, 11 years after school-based vaccination ceases (in the model).</w:t>
            </w:r>
          </w:p>
          <w:p w:rsidR="006E1B95" w:rsidRPr="00B8276D" w:rsidRDefault="006E1B95" w:rsidP="006E1B95">
            <w:pPr>
              <w:pStyle w:val="TableText0"/>
              <w:spacing w:before="0" w:after="0"/>
              <w:rPr>
                <w:rFonts w:cstheme="minorHAnsi"/>
                <w:szCs w:val="24"/>
              </w:rPr>
            </w:pPr>
            <w:r w:rsidRPr="00B8276D">
              <w:t xml:space="preserve">In contrast to the UK data, the economic </w:t>
            </w:r>
            <w:r w:rsidRPr="00B8276D">
              <w:rPr>
                <w:rFonts w:eastAsia="Times New Roman"/>
                <w:szCs w:val="24"/>
              </w:rPr>
              <w:t>model</w:t>
            </w:r>
            <w:r w:rsidRPr="00B8276D">
              <w:t xml:space="preserve"> applies the same</w:t>
            </w:r>
            <w:r w:rsidRPr="00B8276D">
              <w:rPr>
                <w:rFonts w:eastAsia="Times New Roman"/>
                <w:szCs w:val="24"/>
              </w:rPr>
              <w:t xml:space="preserve"> herd immunity effect to all ages, and on top of a direct vaccination effect</w:t>
            </w:r>
            <w:r w:rsidR="00344380">
              <w:rPr>
                <w:rFonts w:eastAsia="Times New Roman"/>
                <w:szCs w:val="24"/>
              </w:rPr>
              <w:t xml:space="preserve"> but</w:t>
            </w:r>
            <w:r w:rsidRPr="00B8276D">
              <w:t xml:space="preserve"> the</w:t>
            </w:r>
            <w:r w:rsidR="0057619E">
              <w:t xml:space="preserve"> estimate from the UK data</w:t>
            </w:r>
            <w:r w:rsidR="0057619E">
              <w:rPr>
                <w:rFonts w:eastAsia="Times New Roman"/>
                <w:lang w:val="en-US"/>
              </w:rPr>
              <w:t xml:space="preserve"> (67%) incorporates both a direct vaccination effect as well as the herd immunity effect.</w:t>
            </w:r>
          </w:p>
          <w:p w:rsidR="002C10D6" w:rsidRPr="00B8276D" w:rsidRDefault="006E1B95" w:rsidP="00AD3416">
            <w:pPr>
              <w:pStyle w:val="TableText0"/>
              <w:spacing w:before="0" w:after="0"/>
            </w:pPr>
            <w:r w:rsidRPr="00B8276D">
              <w:rPr>
                <w:rFonts w:cstheme="minorHAnsi"/>
                <w:szCs w:val="24"/>
              </w:rPr>
              <w:t>Herd immunity was responsible for 70% of the included health benefits underpinning ICER results.</w:t>
            </w:r>
          </w:p>
        </w:tc>
        <w:tc>
          <w:tcPr>
            <w:tcW w:w="1005" w:type="pct"/>
            <w:shd w:val="clear" w:color="auto" w:fill="auto"/>
            <w:vAlign w:val="center"/>
          </w:tcPr>
          <w:p w:rsidR="006E1B95" w:rsidRPr="00B8276D" w:rsidRDefault="006E1B95" w:rsidP="001E3153">
            <w:pPr>
              <w:pStyle w:val="TableText0"/>
              <w:spacing w:before="0" w:after="0"/>
            </w:pPr>
            <w:r w:rsidRPr="00B8276D">
              <w:rPr>
                <w:rFonts w:cstheme="minorHAnsi"/>
              </w:rPr>
              <w:t xml:space="preserve">High. Favours the </w:t>
            </w:r>
            <w:proofErr w:type="spellStart"/>
            <w:r w:rsidRPr="00B8276D">
              <w:rPr>
                <w:rFonts w:cstheme="minorHAnsi"/>
              </w:rPr>
              <w:t>MenACWY</w:t>
            </w:r>
            <w:proofErr w:type="spellEnd"/>
            <w:r w:rsidRPr="00B8276D">
              <w:rPr>
                <w:rFonts w:cstheme="minorHAnsi"/>
              </w:rPr>
              <w:noBreakHyphen/>
              <w:t>TT vaccine</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rPr>
                <w:rFonts w:cstheme="minorHAnsi"/>
              </w:rPr>
            </w:pPr>
            <w:r w:rsidRPr="00B8276D">
              <w:rPr>
                <w:rFonts w:cstheme="minorHAnsi"/>
              </w:rPr>
              <w:t>Waning</w:t>
            </w:r>
          </w:p>
        </w:tc>
        <w:tc>
          <w:tcPr>
            <w:tcW w:w="3133" w:type="pct"/>
            <w:shd w:val="clear" w:color="auto" w:fill="auto"/>
            <w:vAlign w:val="center"/>
          </w:tcPr>
          <w:p w:rsidR="006E1B95" w:rsidRPr="00B8276D" w:rsidRDefault="006E1B95" w:rsidP="001E3153">
            <w:pPr>
              <w:pStyle w:val="TableText0"/>
              <w:spacing w:before="0" w:after="0"/>
              <w:rPr>
                <w:rFonts w:cstheme="minorHAnsi"/>
                <w:szCs w:val="24"/>
              </w:rPr>
            </w:pPr>
            <w:r w:rsidRPr="00B8276D">
              <w:t>The submission assumed vaccine efficacy will wane by 5% per year until Year 5, and 50% per year thereafter. The approach is generally consistent with the advice from ATAGI, though ATAGI recommend a sensitivity analysis in which a 5-year vaccination effect is assumed. The ICER is not overly sensitive to these parameters due to the benefits of vaccination being largely driven by herd immunity.</w:t>
            </w:r>
          </w:p>
        </w:tc>
        <w:tc>
          <w:tcPr>
            <w:tcW w:w="1005" w:type="pct"/>
            <w:shd w:val="clear" w:color="auto" w:fill="auto"/>
            <w:vAlign w:val="center"/>
          </w:tcPr>
          <w:p w:rsidR="006E1B95" w:rsidRPr="00B8276D" w:rsidRDefault="006E1B95" w:rsidP="001E3153">
            <w:pPr>
              <w:pStyle w:val="TableText0"/>
              <w:spacing w:before="0" w:after="0"/>
              <w:rPr>
                <w:rFonts w:cstheme="minorHAnsi"/>
              </w:rPr>
            </w:pPr>
            <w:r w:rsidRPr="00B8276D">
              <w:rPr>
                <w:rFonts w:cstheme="minorHAnsi"/>
              </w:rPr>
              <w:t xml:space="preserve">Minor. Favour the </w:t>
            </w:r>
            <w:proofErr w:type="spellStart"/>
            <w:r w:rsidRPr="00B8276D">
              <w:rPr>
                <w:rFonts w:cstheme="minorHAnsi"/>
              </w:rPr>
              <w:t>MenACWY</w:t>
            </w:r>
            <w:proofErr w:type="spellEnd"/>
            <w:r w:rsidRPr="00B8276D">
              <w:rPr>
                <w:rFonts w:cstheme="minorHAnsi"/>
              </w:rPr>
              <w:noBreakHyphen/>
              <w:t>TT vaccine</w:t>
            </w:r>
          </w:p>
        </w:tc>
      </w:tr>
      <w:tr w:rsidR="006E1B95" w:rsidRPr="00B8276D" w:rsidTr="007869D0">
        <w:tc>
          <w:tcPr>
            <w:tcW w:w="862" w:type="pct"/>
            <w:shd w:val="clear" w:color="auto" w:fill="auto"/>
            <w:vAlign w:val="center"/>
          </w:tcPr>
          <w:p w:rsidR="006E1B95" w:rsidRPr="00B8276D" w:rsidRDefault="006E1B95" w:rsidP="008C2E43">
            <w:pPr>
              <w:pStyle w:val="TableText0"/>
              <w:spacing w:before="0" w:after="0"/>
              <w:rPr>
                <w:rFonts w:cstheme="minorHAnsi"/>
              </w:rPr>
            </w:pPr>
            <w:r w:rsidRPr="00B8276D">
              <w:rPr>
                <w:rFonts w:cstheme="minorHAnsi"/>
              </w:rPr>
              <w:t>Costs for long term management of IMD complications.</w:t>
            </w:r>
          </w:p>
        </w:tc>
        <w:tc>
          <w:tcPr>
            <w:tcW w:w="3133" w:type="pct"/>
            <w:shd w:val="clear" w:color="auto" w:fill="auto"/>
            <w:vAlign w:val="center"/>
          </w:tcPr>
          <w:p w:rsidR="006E1B95" w:rsidRPr="00B8276D" w:rsidRDefault="006E1B95" w:rsidP="000F7C51">
            <w:pPr>
              <w:pStyle w:val="TableText0"/>
              <w:spacing w:before="0" w:after="0"/>
            </w:pPr>
            <w:r w:rsidRPr="00B8276D">
              <w:t xml:space="preserve">Constant annual costs of IMD were based on a Canadian study of costs for children with medical complexity, the relevance of which to the costs of IMD is uncertain, especially as patients move into adulthood. </w:t>
            </w:r>
          </w:p>
        </w:tc>
        <w:tc>
          <w:tcPr>
            <w:tcW w:w="1005" w:type="pct"/>
            <w:shd w:val="clear" w:color="auto" w:fill="auto"/>
            <w:vAlign w:val="center"/>
          </w:tcPr>
          <w:p w:rsidR="006E1B95" w:rsidRPr="00B8276D" w:rsidRDefault="006E1B95" w:rsidP="001E3153">
            <w:pPr>
              <w:pStyle w:val="TableText0"/>
              <w:spacing w:before="0" w:after="0"/>
              <w:rPr>
                <w:rFonts w:cstheme="minorHAnsi"/>
              </w:rPr>
            </w:pPr>
            <w:r w:rsidRPr="00B8276D">
              <w:rPr>
                <w:rFonts w:cstheme="minorHAnsi"/>
              </w:rPr>
              <w:t xml:space="preserve">Moderate. Favours the </w:t>
            </w:r>
            <w:proofErr w:type="spellStart"/>
            <w:r w:rsidRPr="00B8276D">
              <w:rPr>
                <w:rFonts w:cstheme="minorHAnsi"/>
              </w:rPr>
              <w:t>MenACWY</w:t>
            </w:r>
            <w:proofErr w:type="spellEnd"/>
            <w:r w:rsidRPr="00B8276D">
              <w:rPr>
                <w:rFonts w:cstheme="minorHAnsi"/>
              </w:rPr>
              <w:noBreakHyphen/>
              <w:t>TT vaccine</w:t>
            </w:r>
          </w:p>
        </w:tc>
      </w:tr>
    </w:tbl>
    <w:p w:rsidR="00952C36" w:rsidRPr="00952C36" w:rsidRDefault="00952C36" w:rsidP="00952C36">
      <w:pPr>
        <w:pStyle w:val="TableFooter"/>
      </w:pPr>
      <w:r w:rsidRPr="00952C36">
        <w:t xml:space="preserve">ICER: incremental cost effectiveness ratio, IMD: invasive meningococcal disease, </w:t>
      </w:r>
      <w:proofErr w:type="spellStart"/>
      <w:r w:rsidRPr="00952C36">
        <w:t>MenY</w:t>
      </w:r>
      <w:proofErr w:type="spellEnd"/>
      <w:r w:rsidRPr="00952C36">
        <w:t xml:space="preserve">: Neisseria </w:t>
      </w:r>
      <w:proofErr w:type="spellStart"/>
      <w:r w:rsidRPr="00952C36">
        <w:t>meningitidis</w:t>
      </w:r>
      <w:proofErr w:type="spellEnd"/>
      <w:r w:rsidRPr="00952C36">
        <w:t xml:space="preserve"> serogroup Y, </w:t>
      </w:r>
      <w:proofErr w:type="spellStart"/>
      <w:r w:rsidRPr="00952C36">
        <w:t>MenW</w:t>
      </w:r>
      <w:proofErr w:type="spellEnd"/>
      <w:r w:rsidRPr="00952C36">
        <w:t xml:space="preserve">: Neisseria </w:t>
      </w:r>
      <w:proofErr w:type="spellStart"/>
      <w:r w:rsidRPr="00952C36">
        <w:t>meningitidis</w:t>
      </w:r>
      <w:proofErr w:type="spellEnd"/>
      <w:r w:rsidRPr="00952C36">
        <w:t xml:space="preserve"> serogroup W, QALY: Quality Adjusted Life Year</w:t>
      </w:r>
    </w:p>
    <w:p w:rsidR="006F2EBA" w:rsidRPr="00B8276D" w:rsidRDefault="00C0211B" w:rsidP="006F2EBA">
      <w:pPr>
        <w:pStyle w:val="TableFooter"/>
      </w:pPr>
      <w:r w:rsidRPr="00B8276D">
        <w:t xml:space="preserve">Source: </w:t>
      </w:r>
      <w:r w:rsidR="00952C36" w:rsidRPr="00B8276D">
        <w:t>C</w:t>
      </w:r>
      <w:r w:rsidRPr="00B8276D">
        <w:t>ompiled during the evaluation</w:t>
      </w:r>
      <w:r w:rsidR="00952C36" w:rsidRPr="00B8276D">
        <w:t>.</w:t>
      </w:r>
    </w:p>
    <w:p w:rsidR="00C0211B" w:rsidRPr="003C11A3" w:rsidRDefault="00C0211B" w:rsidP="00C0211B">
      <w:pPr>
        <w:pStyle w:val="TableFooter"/>
        <w:rPr>
          <w:highlight w:val="yellow"/>
        </w:rPr>
      </w:pPr>
    </w:p>
    <w:p w:rsidR="00C0211B" w:rsidRDefault="00C0211B" w:rsidP="009E2CAD">
      <w:pPr>
        <w:pStyle w:val="ListParagraph"/>
        <w:widowControl/>
        <w:numPr>
          <w:ilvl w:val="1"/>
          <w:numId w:val="1"/>
        </w:numPr>
      </w:pPr>
      <w:r w:rsidRPr="00952C36">
        <w:t>The results of the economic evaluation are presented in the table below.</w:t>
      </w:r>
    </w:p>
    <w:p w:rsidR="004952C4" w:rsidRPr="00952C36" w:rsidRDefault="004952C4" w:rsidP="004952C4">
      <w:pPr>
        <w:pStyle w:val="PBACHeading1"/>
        <w:ind w:left="720" w:hanging="720"/>
      </w:pPr>
    </w:p>
    <w:p w:rsidR="006F2EBA" w:rsidRPr="00952C36" w:rsidRDefault="008224CD" w:rsidP="006F2EBA">
      <w:pPr>
        <w:pStyle w:val="TableHeading0"/>
      </w:pPr>
      <w:r w:rsidRPr="00952C36">
        <w:lastRenderedPageBreak/>
        <w:t xml:space="preserve">Table </w:t>
      </w:r>
      <w:r w:rsidR="006308D0">
        <w:t>12</w:t>
      </w:r>
      <w:r w:rsidRPr="00952C36">
        <w:t xml:space="preserve">: </w:t>
      </w:r>
      <w:r w:rsidR="006F2EBA" w:rsidRPr="00952C36">
        <w:t>Results of the economic evaluation</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1242"/>
        <w:gridCol w:w="1084"/>
        <w:gridCol w:w="1057"/>
        <w:gridCol w:w="926"/>
        <w:gridCol w:w="1340"/>
        <w:gridCol w:w="1068"/>
        <w:gridCol w:w="1137"/>
        <w:gridCol w:w="1274"/>
      </w:tblGrid>
      <w:tr w:rsidR="00B8276D" w:rsidRPr="00952C36" w:rsidTr="00B8276D">
        <w:trPr>
          <w:cantSplit/>
          <w:tblHeader/>
        </w:trPr>
        <w:tc>
          <w:tcPr>
            <w:tcW w:w="1853" w:type="pct"/>
            <w:gridSpan w:val="3"/>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Costs</w:t>
            </w:r>
          </w:p>
        </w:tc>
        <w:tc>
          <w:tcPr>
            <w:tcW w:w="2449" w:type="pct"/>
            <w:gridSpan w:val="4"/>
            <w:shd w:val="clear" w:color="auto" w:fill="FFFFFF" w:themeFill="background1"/>
          </w:tcPr>
          <w:p w:rsidR="00B8276D" w:rsidRPr="00952C36" w:rsidRDefault="00B8276D" w:rsidP="003870F9">
            <w:pPr>
              <w:pStyle w:val="TableText0"/>
              <w:spacing w:before="0" w:after="0"/>
              <w:jc w:val="center"/>
              <w:rPr>
                <w:b/>
                <w:szCs w:val="20"/>
              </w:rPr>
            </w:pPr>
            <w:r w:rsidRPr="00952C36">
              <w:rPr>
                <w:b/>
                <w:szCs w:val="20"/>
              </w:rPr>
              <w:t>Health outcomes</w:t>
            </w:r>
          </w:p>
        </w:tc>
        <w:tc>
          <w:tcPr>
            <w:tcW w:w="698" w:type="pct"/>
            <w:vMerge w:val="restar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ICER</w:t>
            </w:r>
          </w:p>
        </w:tc>
      </w:tr>
      <w:tr w:rsidR="00B8276D" w:rsidRPr="00952C36" w:rsidTr="00B8276D">
        <w:trPr>
          <w:cantSplit/>
          <w:tblHeader/>
        </w:trPr>
        <w:tc>
          <w:tcPr>
            <w:tcW w:w="680"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proofErr w:type="spellStart"/>
            <w:r w:rsidRPr="00952C36">
              <w:rPr>
                <w:rFonts w:cs="Arial"/>
                <w:b/>
                <w:color w:val="000000"/>
                <w:szCs w:val="20"/>
                <w:lang w:eastAsia="zh-CN"/>
              </w:rPr>
              <w:t>MenACWY</w:t>
            </w:r>
            <w:proofErr w:type="spellEnd"/>
            <w:r w:rsidRPr="00952C36">
              <w:rPr>
                <w:rFonts w:cs="Arial"/>
                <w:b/>
                <w:color w:val="000000"/>
                <w:szCs w:val="20"/>
                <w:lang w:eastAsia="zh-CN"/>
              </w:rPr>
              <w:t>-TT vaccine</w:t>
            </w:r>
          </w:p>
        </w:tc>
        <w:tc>
          <w:tcPr>
            <w:tcW w:w="594"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r w:rsidRPr="00952C36">
              <w:rPr>
                <w:b/>
                <w:szCs w:val="20"/>
              </w:rPr>
              <w:t>No vaccine</w:t>
            </w:r>
          </w:p>
        </w:tc>
        <w:tc>
          <w:tcPr>
            <w:tcW w:w="579" w:type="pct"/>
            <w:shd w:val="clear" w:color="auto" w:fill="FFFFFF" w:themeFill="background1"/>
            <w:vAlign w:val="center"/>
          </w:tcPr>
          <w:p w:rsidR="00B8276D" w:rsidRPr="00952C36" w:rsidRDefault="00B8276D" w:rsidP="003870F9">
            <w:pPr>
              <w:pStyle w:val="TableText0"/>
              <w:spacing w:before="0" w:after="0"/>
              <w:jc w:val="center"/>
              <w:rPr>
                <w:rFonts w:eastAsia="Times New Roman" w:cs="Times New Roman"/>
                <w:b/>
                <w:szCs w:val="20"/>
              </w:rPr>
            </w:pPr>
            <w:r w:rsidRPr="00952C36">
              <w:rPr>
                <w:b/>
                <w:szCs w:val="20"/>
              </w:rPr>
              <w:t>Incremental</w:t>
            </w:r>
          </w:p>
        </w:tc>
        <w:tc>
          <w:tcPr>
            <w:tcW w:w="507" w:type="pct"/>
            <w:shd w:val="clear" w:color="auto" w:fill="FFFFFF" w:themeFill="background1"/>
          </w:tcPr>
          <w:p w:rsidR="00B8276D" w:rsidRPr="00952C36" w:rsidRDefault="00B8276D" w:rsidP="008224CD">
            <w:pPr>
              <w:pStyle w:val="TableText0"/>
              <w:spacing w:before="0" w:after="0"/>
              <w:jc w:val="center"/>
              <w:rPr>
                <w:rFonts w:cs="Arial"/>
                <w:b/>
                <w:color w:val="000000"/>
                <w:szCs w:val="20"/>
                <w:lang w:eastAsia="zh-CN"/>
              </w:rPr>
            </w:pPr>
            <w:r>
              <w:rPr>
                <w:rFonts w:cs="Arial"/>
                <w:b/>
                <w:color w:val="000000"/>
                <w:szCs w:val="20"/>
                <w:lang w:eastAsia="zh-CN"/>
              </w:rPr>
              <w:t>Outcome</w:t>
            </w:r>
          </w:p>
        </w:tc>
        <w:tc>
          <w:tcPr>
            <w:tcW w:w="734" w:type="pct"/>
            <w:shd w:val="clear" w:color="auto" w:fill="FFFFFF" w:themeFill="background1"/>
            <w:vAlign w:val="center"/>
          </w:tcPr>
          <w:p w:rsidR="00B8276D" w:rsidRPr="00952C36" w:rsidRDefault="00B8276D" w:rsidP="008224CD">
            <w:pPr>
              <w:pStyle w:val="TableText0"/>
              <w:spacing w:before="0" w:after="0"/>
              <w:jc w:val="center"/>
              <w:rPr>
                <w:rFonts w:eastAsia="Times New Roman" w:cs="Times New Roman"/>
                <w:b/>
                <w:szCs w:val="20"/>
              </w:rPr>
            </w:pPr>
            <w:proofErr w:type="spellStart"/>
            <w:r w:rsidRPr="00952C36">
              <w:rPr>
                <w:rFonts w:cs="Arial"/>
                <w:b/>
                <w:color w:val="000000"/>
                <w:szCs w:val="20"/>
                <w:lang w:eastAsia="zh-CN"/>
              </w:rPr>
              <w:t>MenACWY</w:t>
            </w:r>
            <w:proofErr w:type="spellEnd"/>
            <w:r w:rsidRPr="00952C36">
              <w:rPr>
                <w:rFonts w:cs="Arial"/>
                <w:b/>
                <w:color w:val="000000"/>
                <w:szCs w:val="20"/>
                <w:lang w:eastAsia="zh-CN"/>
              </w:rPr>
              <w:noBreakHyphen/>
              <w:t>TT vaccine</w:t>
            </w:r>
          </w:p>
        </w:tc>
        <w:tc>
          <w:tcPr>
            <w:tcW w:w="585" w:type="pc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No vaccine</w:t>
            </w:r>
          </w:p>
        </w:tc>
        <w:tc>
          <w:tcPr>
            <w:tcW w:w="622" w:type="pct"/>
            <w:shd w:val="clear" w:color="auto" w:fill="FFFFFF" w:themeFill="background1"/>
            <w:vAlign w:val="center"/>
          </w:tcPr>
          <w:p w:rsidR="00B8276D" w:rsidRPr="00952C36" w:rsidRDefault="00B8276D" w:rsidP="003870F9">
            <w:pPr>
              <w:pStyle w:val="TableText0"/>
              <w:spacing w:before="0" w:after="0"/>
              <w:jc w:val="center"/>
              <w:rPr>
                <w:b/>
                <w:szCs w:val="20"/>
              </w:rPr>
            </w:pPr>
            <w:r w:rsidRPr="00952C36">
              <w:rPr>
                <w:b/>
                <w:szCs w:val="20"/>
              </w:rPr>
              <w:t>Incremental</w:t>
            </w:r>
          </w:p>
        </w:tc>
        <w:tc>
          <w:tcPr>
            <w:tcW w:w="698" w:type="pct"/>
            <w:vMerge/>
            <w:shd w:val="clear" w:color="auto" w:fill="FFFFFF" w:themeFill="background1"/>
            <w:vAlign w:val="center"/>
          </w:tcPr>
          <w:p w:rsidR="00B8276D" w:rsidRPr="00952C36" w:rsidRDefault="00B8276D" w:rsidP="003870F9">
            <w:pPr>
              <w:pStyle w:val="TableText0"/>
              <w:spacing w:before="0" w:after="0"/>
              <w:rPr>
                <w:szCs w:val="20"/>
              </w:rPr>
            </w:pPr>
          </w:p>
        </w:tc>
      </w:tr>
      <w:tr w:rsidR="00B8276D" w:rsidRPr="00952C36" w:rsidTr="00B8276D">
        <w:trPr>
          <w:cantSplit/>
        </w:trPr>
        <w:tc>
          <w:tcPr>
            <w:tcW w:w="680"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94"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79" w:type="pct"/>
            <w:vMerge w:val="restar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p w:rsidR="00B8276D" w:rsidRPr="00952C36" w:rsidRDefault="00B8276D" w:rsidP="003870F9">
            <w:pPr>
              <w:pStyle w:val="TableText0"/>
              <w:spacing w:before="0" w:after="0"/>
              <w:jc w:val="center"/>
              <w:rPr>
                <w:rFonts w:eastAsia="Times New Roman" w:cs="Times New Roman"/>
                <w:sz w:val="18"/>
                <w:szCs w:val="18"/>
              </w:rPr>
            </w:pPr>
          </w:p>
        </w:tc>
        <w:tc>
          <w:tcPr>
            <w:tcW w:w="507" w:type="pct"/>
            <w:shd w:val="clear" w:color="auto" w:fill="FFFFFF" w:themeFill="background1"/>
            <w:vAlign w:val="center"/>
          </w:tcPr>
          <w:p w:rsidR="00B8276D" w:rsidRPr="00952C36" w:rsidRDefault="00B8276D" w:rsidP="00B8276D">
            <w:pPr>
              <w:pStyle w:val="TableText0"/>
              <w:keepNext w:val="0"/>
              <w:spacing w:before="0" w:after="0"/>
              <w:jc w:val="center"/>
              <w:rPr>
                <w:rFonts w:cs="Calibri"/>
                <w:color w:val="000000"/>
                <w:sz w:val="18"/>
                <w:szCs w:val="18"/>
              </w:rPr>
            </w:pPr>
            <w:r>
              <w:rPr>
                <w:rFonts w:cs="Calibri"/>
                <w:color w:val="000000"/>
                <w:sz w:val="18"/>
                <w:szCs w:val="18"/>
              </w:rPr>
              <w:t>LYs</w:t>
            </w:r>
          </w:p>
        </w:tc>
        <w:tc>
          <w:tcPr>
            <w:tcW w:w="734" w:type="pct"/>
            <w:shd w:val="clear" w:color="auto" w:fill="FFFFFF" w:themeFill="background1"/>
            <w:vAlign w:val="center"/>
          </w:tcPr>
          <w:p w:rsidR="00B8276D" w:rsidRPr="00952C36" w:rsidRDefault="00B8276D" w:rsidP="003870F9">
            <w:pPr>
              <w:pStyle w:val="TableText0"/>
              <w:keepNext w:val="0"/>
              <w:spacing w:before="0" w:after="0"/>
              <w:jc w:val="center"/>
              <w:rPr>
                <w:sz w:val="18"/>
                <w:szCs w:val="18"/>
              </w:rPr>
            </w:pPr>
            <w:r w:rsidRPr="00952C36">
              <w:rPr>
                <w:rFonts w:cs="Calibri"/>
                <w:color w:val="000000"/>
                <w:sz w:val="18"/>
                <w:szCs w:val="18"/>
              </w:rPr>
              <w:t>393,738,769</w:t>
            </w:r>
          </w:p>
        </w:tc>
        <w:tc>
          <w:tcPr>
            <w:tcW w:w="585" w:type="pct"/>
            <w:shd w:val="clear" w:color="auto" w:fill="FFFFFF" w:themeFill="background1"/>
            <w:vAlign w:val="center"/>
          </w:tcPr>
          <w:p w:rsidR="00B8276D" w:rsidRPr="00952C36" w:rsidRDefault="00B8276D" w:rsidP="003870F9">
            <w:pPr>
              <w:pStyle w:val="TableText0"/>
              <w:keepNext w:val="0"/>
              <w:spacing w:before="0" w:after="0"/>
              <w:jc w:val="center"/>
              <w:rPr>
                <w:sz w:val="18"/>
                <w:szCs w:val="18"/>
              </w:rPr>
            </w:pPr>
            <w:r w:rsidRPr="00952C36">
              <w:rPr>
                <w:rFonts w:cs="Calibri"/>
                <w:color w:val="000000"/>
                <w:sz w:val="18"/>
                <w:szCs w:val="18"/>
              </w:rPr>
              <w:t>393,737,638</w:t>
            </w:r>
          </w:p>
        </w:tc>
        <w:tc>
          <w:tcPr>
            <w:tcW w:w="622"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1,131</w:t>
            </w:r>
          </w:p>
        </w:tc>
        <w:tc>
          <w:tcPr>
            <w:tcW w:w="698"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tc>
      </w:tr>
      <w:tr w:rsidR="00B8276D" w:rsidRPr="00952C36" w:rsidTr="00B8276D">
        <w:trPr>
          <w:cantSplit/>
        </w:trPr>
        <w:tc>
          <w:tcPr>
            <w:tcW w:w="680"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94"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79" w:type="pct"/>
            <w:vMerge/>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p>
        </w:tc>
        <w:tc>
          <w:tcPr>
            <w:tcW w:w="507" w:type="pct"/>
            <w:shd w:val="clear" w:color="auto" w:fill="FFFFFF" w:themeFill="background1"/>
            <w:vAlign w:val="center"/>
          </w:tcPr>
          <w:p w:rsidR="00B8276D" w:rsidRPr="00952C36" w:rsidRDefault="00B8276D" w:rsidP="00B8276D">
            <w:pPr>
              <w:pStyle w:val="TableText0"/>
              <w:keepNext w:val="0"/>
              <w:spacing w:before="0" w:after="0"/>
              <w:jc w:val="center"/>
              <w:rPr>
                <w:rFonts w:cs="Calibri"/>
                <w:color w:val="000000"/>
                <w:sz w:val="18"/>
                <w:szCs w:val="18"/>
              </w:rPr>
            </w:pPr>
            <w:r>
              <w:rPr>
                <w:rFonts w:cs="Calibri"/>
                <w:color w:val="000000"/>
                <w:sz w:val="18"/>
                <w:szCs w:val="18"/>
              </w:rPr>
              <w:t>QALYs</w:t>
            </w:r>
          </w:p>
        </w:tc>
        <w:tc>
          <w:tcPr>
            <w:tcW w:w="734"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351,696,621</w:t>
            </w:r>
          </w:p>
        </w:tc>
        <w:tc>
          <w:tcPr>
            <w:tcW w:w="585"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351,694,474</w:t>
            </w:r>
          </w:p>
        </w:tc>
        <w:tc>
          <w:tcPr>
            <w:tcW w:w="622"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2,147</w:t>
            </w:r>
          </w:p>
        </w:tc>
        <w:tc>
          <w:tcPr>
            <w:tcW w:w="698" w:type="pct"/>
            <w:shd w:val="clear" w:color="auto" w:fill="FFFFFF" w:themeFill="background1"/>
            <w:vAlign w:val="center"/>
          </w:tcPr>
          <w:p w:rsidR="00B8276D" w:rsidRPr="00952C36" w:rsidRDefault="00B8276D" w:rsidP="003870F9">
            <w:pPr>
              <w:pStyle w:val="TableText0"/>
              <w:keepNext w:val="0"/>
              <w:spacing w:before="0" w:after="0"/>
              <w:jc w:val="center"/>
              <w:rPr>
                <w:rFonts w:eastAsia="Times New Roman" w:cs="Times New Roman"/>
                <w:sz w:val="18"/>
                <w:szCs w:val="18"/>
              </w:rPr>
            </w:pPr>
            <w:r w:rsidRPr="00952C36">
              <w:rPr>
                <w:rFonts w:cs="Calibri"/>
                <w:color w:val="000000"/>
                <w:sz w:val="18"/>
                <w:szCs w:val="18"/>
              </w:rPr>
              <w:t>$</w:t>
            </w:r>
            <w:r w:rsidR="0010557D">
              <w:rPr>
                <w:rFonts w:cs="Calibri"/>
                <w:noProof/>
                <w:color w:val="000000"/>
                <w:sz w:val="18"/>
                <w:szCs w:val="18"/>
                <w:highlight w:val="black"/>
              </w:rPr>
              <w:t>''''''''''''''''''</w:t>
            </w:r>
          </w:p>
        </w:tc>
      </w:tr>
    </w:tbl>
    <w:p w:rsidR="008224CD" w:rsidRPr="00952C36" w:rsidRDefault="006F2EBA" w:rsidP="006F2EBA">
      <w:pPr>
        <w:pStyle w:val="TableFooter"/>
        <w:rPr>
          <w:szCs w:val="18"/>
        </w:rPr>
      </w:pPr>
      <w:r w:rsidRPr="00952C36">
        <w:rPr>
          <w:szCs w:val="18"/>
        </w:rPr>
        <w:t>LY</w:t>
      </w:r>
      <w:r w:rsidR="00B8276D">
        <w:rPr>
          <w:szCs w:val="18"/>
        </w:rPr>
        <w:t>s</w:t>
      </w:r>
      <w:r w:rsidRPr="00952C36">
        <w:rPr>
          <w:szCs w:val="18"/>
        </w:rPr>
        <w:t>: Life years; QALYs: quality adjusted life years. ICER: incremental cost-effectiveness</w:t>
      </w:r>
      <w:r w:rsidR="008224CD" w:rsidRPr="00952C36">
        <w:rPr>
          <w:szCs w:val="18"/>
        </w:rPr>
        <w:t xml:space="preserve"> ratio.</w:t>
      </w:r>
    </w:p>
    <w:p w:rsidR="006F2EBA" w:rsidRPr="00952C36" w:rsidRDefault="006F2EBA" w:rsidP="006F2EBA">
      <w:pPr>
        <w:pStyle w:val="TableFooter"/>
        <w:rPr>
          <w:szCs w:val="18"/>
        </w:rPr>
      </w:pPr>
      <w:r w:rsidRPr="00952C36">
        <w:rPr>
          <w:szCs w:val="18"/>
        </w:rPr>
        <w:t>Source: p139 of the submission</w:t>
      </w:r>
    </w:p>
    <w:p w:rsidR="006F2EBA" w:rsidRPr="003C11A3" w:rsidRDefault="006F2EBA" w:rsidP="00C0211B">
      <w:pPr>
        <w:pStyle w:val="TableFooter"/>
        <w:rPr>
          <w:highlight w:val="yellow"/>
        </w:rPr>
      </w:pPr>
    </w:p>
    <w:p w:rsidR="001A53DF" w:rsidRDefault="00FE3F52" w:rsidP="00FE3F52">
      <w:pPr>
        <w:pStyle w:val="ListParagraph"/>
        <w:widowControl/>
        <w:numPr>
          <w:ilvl w:val="1"/>
          <w:numId w:val="1"/>
        </w:numPr>
      </w:pPr>
      <w:r w:rsidRPr="003D5C0B">
        <w:t>Regarding the model structure</w:t>
      </w:r>
      <w:r w:rsidR="007F0920" w:rsidRPr="003D5C0B">
        <w:t>,</w:t>
      </w:r>
      <w:r w:rsidRPr="003D5C0B">
        <w:t xml:space="preserve"> the ESC noted ATAGI </w:t>
      </w:r>
      <w:r w:rsidR="00F57832" w:rsidRPr="003D5C0B">
        <w:t xml:space="preserve">(Pre-submission advice, p16) </w:t>
      </w:r>
      <w:r w:rsidRPr="003D5C0B">
        <w:t xml:space="preserve">considered the dynamic model validated in the UK for the </w:t>
      </w:r>
      <w:proofErr w:type="spellStart"/>
      <w:r w:rsidRPr="003D5C0B">
        <w:t>MenC</w:t>
      </w:r>
      <w:proofErr w:type="spellEnd"/>
      <w:r w:rsidRPr="003D5C0B">
        <w:t xml:space="preserve"> program could be adapted to the proposed Men ACWY program in the Australian context.</w:t>
      </w:r>
      <w:r w:rsidR="00FA6301" w:rsidRPr="003D5C0B">
        <w:t xml:space="preserve"> </w:t>
      </w:r>
      <w:r w:rsidRPr="003D5C0B">
        <w:t>The submission</w:t>
      </w:r>
      <w:r w:rsidR="007F0920" w:rsidRPr="003D5C0B">
        <w:t>’</w:t>
      </w:r>
      <w:r w:rsidRPr="003D5C0B">
        <w:t xml:space="preserve">s justification for presenting a static model was </w:t>
      </w:r>
      <w:r w:rsidR="00123A6C" w:rsidRPr="003D5C0B">
        <w:t>“In the interests of the current public health concerns with respect to the emerging nationwide outbreak of IMD driven by serogroup W, it was considered more appropriate to lodge the PBAC submission with a ‘static’ Markov model than delay the submission to develop a dynamic model de novo</w:t>
      </w:r>
      <w:r w:rsidR="00B8276D">
        <w:t>”</w:t>
      </w:r>
      <w:r w:rsidR="00F57832" w:rsidRPr="003D5C0B">
        <w:t>.</w:t>
      </w:r>
      <w:r w:rsidRPr="003D5C0B">
        <w:t xml:space="preserve"> The ESC considered a dynamic model would be more appropriate for assessing the cost-effectiveness of the </w:t>
      </w:r>
      <w:proofErr w:type="spellStart"/>
      <w:r w:rsidR="00416FC2">
        <w:t>MenAC</w:t>
      </w:r>
      <w:r w:rsidR="007F0920" w:rsidRPr="003D5C0B">
        <w:t>W</w:t>
      </w:r>
      <w:r w:rsidR="00416FC2">
        <w:t>Y</w:t>
      </w:r>
      <w:proofErr w:type="spellEnd"/>
      <w:r w:rsidR="007F0920" w:rsidRPr="003D5C0B">
        <w:t xml:space="preserve"> vaccine. </w:t>
      </w:r>
      <w:r w:rsidRPr="003D5C0B">
        <w:t xml:space="preserve">In the absence of </w:t>
      </w:r>
      <w:r w:rsidR="007F0920" w:rsidRPr="003D5C0B">
        <w:t>such a</w:t>
      </w:r>
      <w:r w:rsidRPr="003D5C0B">
        <w:t xml:space="preserve"> model, the ESC considered that conservative assumptions regarding the background</w:t>
      </w:r>
      <w:r w:rsidR="00123A6C" w:rsidRPr="003D5C0B">
        <w:t xml:space="preserve"> incidence</w:t>
      </w:r>
      <w:r w:rsidRPr="003D5C0B">
        <w:t xml:space="preserve"> of IMD</w:t>
      </w:r>
      <w:r w:rsidR="00123A6C" w:rsidRPr="003D5C0B">
        <w:t xml:space="preserve"> and herd immunity</w:t>
      </w:r>
      <w:r w:rsidRPr="003D5C0B">
        <w:t xml:space="preserve"> are appropriate.</w:t>
      </w:r>
      <w:r w:rsidR="00A44304">
        <w:t xml:space="preserve"> </w:t>
      </w:r>
      <w:r w:rsidR="00633BB5">
        <w:t xml:space="preserve"> </w:t>
      </w:r>
    </w:p>
    <w:p w:rsidR="00123A6C" w:rsidRPr="00163F10" w:rsidRDefault="00633BB5" w:rsidP="00FE3F52">
      <w:pPr>
        <w:pStyle w:val="ListParagraph"/>
        <w:widowControl/>
        <w:numPr>
          <w:ilvl w:val="1"/>
          <w:numId w:val="1"/>
        </w:numPr>
      </w:pPr>
      <w:r w:rsidRPr="00163F10">
        <w:t>The</w:t>
      </w:r>
      <w:r w:rsidR="00163F10">
        <w:t xml:space="preserve"> sponsor’s</w:t>
      </w:r>
      <w:r w:rsidRPr="00163F10">
        <w:t xml:space="preserve"> Pre</w:t>
      </w:r>
      <w:r w:rsidR="002213F3" w:rsidRPr="00163F10">
        <w:t xml:space="preserve">-PBAC Response </w:t>
      </w:r>
      <w:r w:rsidR="00BD01E2" w:rsidRPr="00163F10">
        <w:t>stated that</w:t>
      </w:r>
      <w:r w:rsidRPr="00163F10">
        <w:t xml:space="preserve"> a dynamic model would not resolve the uncertainty around unknown </w:t>
      </w:r>
      <w:r w:rsidR="00163F10">
        <w:t xml:space="preserve">future </w:t>
      </w:r>
      <w:r w:rsidRPr="00163F10">
        <w:t>incidence of IMD</w:t>
      </w:r>
      <w:r w:rsidR="00163F10">
        <w:t>,</w:t>
      </w:r>
      <w:r w:rsidRPr="00163F10">
        <w:t xml:space="preserve"> and reiterated that the incidence data used in the modelling was based on latest available data a</w:t>
      </w:r>
      <w:r w:rsidR="002213F3" w:rsidRPr="00163F10">
        <w:t>nd</w:t>
      </w:r>
      <w:r w:rsidRPr="00163F10">
        <w:t xml:space="preserve"> a</w:t>
      </w:r>
      <w:r w:rsidR="002213F3" w:rsidRPr="00163F10">
        <w:t xml:space="preserve"> highly conservative </w:t>
      </w:r>
      <w:r w:rsidRPr="00163F10">
        <w:t xml:space="preserve">assumption that background incidence remained the same over the time horizon when in reality it is likely to increase. </w:t>
      </w:r>
      <w:r w:rsidR="002213F3" w:rsidRPr="00163F10">
        <w:t xml:space="preserve">The Pre-PBAC Response </w:t>
      </w:r>
      <w:r w:rsidR="00163F10">
        <w:t>noted</w:t>
      </w:r>
      <w:r w:rsidR="002213F3" w:rsidRPr="00163F10">
        <w:t xml:space="preserve"> that a dynamic model requires robust data inputs that are not available for IMD in Australia. </w:t>
      </w:r>
      <w:r w:rsidRPr="00163F10">
        <w:t xml:space="preserve">The PBAC </w:t>
      </w:r>
      <w:r w:rsidR="00966B8F">
        <w:t>considered that a</w:t>
      </w:r>
      <w:r w:rsidR="00C01C3E">
        <w:t xml:space="preserve"> dynamic </w:t>
      </w:r>
      <w:r w:rsidR="00945C7F">
        <w:t xml:space="preserve">model </w:t>
      </w:r>
      <w:r w:rsidR="00C01C3E">
        <w:t>would be able to address, at least in part, some of the structural concerns regarding the model presented, however acknowledged the limited data available to inform such a model</w:t>
      </w:r>
      <w:r w:rsidR="005C39D9" w:rsidRPr="00163F10">
        <w:t>.</w:t>
      </w:r>
    </w:p>
    <w:p w:rsidR="00235AEF" w:rsidRPr="00235AEF" w:rsidRDefault="00703534" w:rsidP="00683FC8">
      <w:pPr>
        <w:pStyle w:val="ListParagraph"/>
        <w:widowControl/>
        <w:numPr>
          <w:ilvl w:val="1"/>
          <w:numId w:val="1"/>
        </w:numPr>
        <w:rPr>
          <w:i/>
        </w:rPr>
      </w:pPr>
      <w:r w:rsidRPr="00163F10">
        <w:t>Backgro</w:t>
      </w:r>
      <w:r w:rsidRPr="00590BD8">
        <w:t xml:space="preserve">und incident rates of IMD were based on a single year of incidence data (2016-2017) and were assumed to be constant over the 85-year projection in the model. </w:t>
      </w:r>
      <w:r w:rsidR="00895E60" w:rsidRPr="003D5C0B">
        <w:t>ESC</w:t>
      </w:r>
      <w:r w:rsidR="00C01C3E">
        <w:t xml:space="preserve"> noted</w:t>
      </w:r>
      <w:r w:rsidR="00895E60" w:rsidRPr="003D5C0B">
        <w:t xml:space="preserve"> that IMD incidence is increasing in younger age grou</w:t>
      </w:r>
      <w:r w:rsidR="00945C7F">
        <w:t>ps</w:t>
      </w:r>
      <w:r w:rsidR="00895E60" w:rsidRPr="003D5C0B">
        <w:t xml:space="preserve">, </w:t>
      </w:r>
      <w:r w:rsidR="00C01C3E">
        <w:rPr>
          <w:szCs w:val="20"/>
        </w:rPr>
        <w:t>and is higher in the older age groups (≥65 years) compared</w:t>
      </w:r>
      <w:r w:rsidR="00945C7F">
        <w:rPr>
          <w:szCs w:val="20"/>
        </w:rPr>
        <w:t xml:space="preserve"> with adolescents (15-19 years)</w:t>
      </w:r>
      <w:r w:rsidR="00C01C3E" w:rsidRPr="00C01C3E" w:rsidDel="00C01C3E">
        <w:t xml:space="preserve"> </w:t>
      </w:r>
      <w:r w:rsidR="00895E60" w:rsidRPr="00C01C3E">
        <w:rPr>
          <w:szCs w:val="20"/>
        </w:rPr>
        <w:t>(ATAGI Pre-submission advice, p</w:t>
      </w:r>
      <w:r w:rsidR="006A60DE" w:rsidRPr="00C01C3E">
        <w:rPr>
          <w:szCs w:val="20"/>
        </w:rPr>
        <w:t>5</w:t>
      </w:r>
      <w:r w:rsidR="00895E60" w:rsidRPr="00C01C3E">
        <w:rPr>
          <w:szCs w:val="20"/>
        </w:rPr>
        <w:t>)</w:t>
      </w:r>
      <w:r w:rsidR="00895E60" w:rsidRPr="00C01C3E">
        <w:t xml:space="preserve">. </w:t>
      </w:r>
      <w:r w:rsidRPr="00C01C3E">
        <w:rPr>
          <w:szCs w:val="20"/>
        </w:rPr>
        <w:t xml:space="preserve">The PSCR </w:t>
      </w:r>
      <w:r w:rsidR="00C01C3E">
        <w:rPr>
          <w:szCs w:val="20"/>
        </w:rPr>
        <w:t xml:space="preserve">and Pre-PBAC response </w:t>
      </w:r>
      <w:r w:rsidR="00895E60" w:rsidRPr="003D5C0B">
        <w:rPr>
          <w:szCs w:val="20"/>
        </w:rPr>
        <w:t>noted</w:t>
      </w:r>
      <w:r w:rsidRPr="003D5C0B">
        <w:rPr>
          <w:szCs w:val="20"/>
        </w:rPr>
        <w:t xml:space="preserve"> that incidence i</w:t>
      </w:r>
      <w:r w:rsidR="00C01C3E">
        <w:rPr>
          <w:szCs w:val="20"/>
        </w:rPr>
        <w:t>s</w:t>
      </w:r>
      <w:r w:rsidRPr="003D5C0B">
        <w:rPr>
          <w:szCs w:val="20"/>
        </w:rPr>
        <w:t xml:space="preserve"> increasing in younger groups, and stated that the assumed rates were conservative as IMD incidence is likely to increase.</w:t>
      </w:r>
      <w:r w:rsidR="00683FC8" w:rsidRPr="00683FC8">
        <w:t xml:space="preserve"> </w:t>
      </w:r>
      <w:r w:rsidR="00683FC8">
        <w:t xml:space="preserve">The Pre-PBAC response noted </w:t>
      </w:r>
      <w:r w:rsidR="00BA6ADB">
        <w:rPr>
          <w:szCs w:val="20"/>
        </w:rPr>
        <w:t>more recent</w:t>
      </w:r>
      <w:r w:rsidR="00683FC8" w:rsidRPr="00683FC8">
        <w:rPr>
          <w:szCs w:val="20"/>
        </w:rPr>
        <w:t xml:space="preserve"> </w:t>
      </w:r>
      <w:r w:rsidR="00683FC8">
        <w:rPr>
          <w:szCs w:val="20"/>
        </w:rPr>
        <w:t xml:space="preserve">data </w:t>
      </w:r>
      <w:r w:rsidR="00683FC8" w:rsidRPr="00683FC8">
        <w:rPr>
          <w:szCs w:val="20"/>
        </w:rPr>
        <w:t xml:space="preserve">showed a further increase in </w:t>
      </w:r>
      <w:proofErr w:type="spellStart"/>
      <w:r w:rsidR="00683FC8" w:rsidRPr="00683FC8">
        <w:rPr>
          <w:szCs w:val="20"/>
        </w:rPr>
        <w:t>MenW</w:t>
      </w:r>
      <w:proofErr w:type="spellEnd"/>
      <w:r w:rsidR="00683FC8" w:rsidRPr="00683FC8">
        <w:rPr>
          <w:szCs w:val="20"/>
        </w:rPr>
        <w:t xml:space="preserve"> and </w:t>
      </w:r>
      <w:proofErr w:type="spellStart"/>
      <w:r w:rsidR="00683FC8" w:rsidRPr="00683FC8">
        <w:rPr>
          <w:szCs w:val="20"/>
        </w:rPr>
        <w:t>MenY</w:t>
      </w:r>
      <w:proofErr w:type="spellEnd"/>
      <w:r w:rsidR="00683FC8" w:rsidRPr="00683FC8">
        <w:rPr>
          <w:szCs w:val="20"/>
        </w:rPr>
        <w:t xml:space="preserve"> cases from September 2017 (as included in the submission) to December 2017</w:t>
      </w:r>
      <w:r w:rsidR="00683FC8">
        <w:rPr>
          <w:szCs w:val="20"/>
        </w:rPr>
        <w:t xml:space="preserve"> (</w:t>
      </w:r>
      <w:r w:rsidR="00683FC8" w:rsidRPr="00683FC8">
        <w:rPr>
          <w:szCs w:val="20"/>
        </w:rPr>
        <w:t>National Surveillance Reports</w:t>
      </w:r>
      <w:r w:rsidR="00683FC8">
        <w:rPr>
          <w:szCs w:val="20"/>
        </w:rPr>
        <w:t>)</w:t>
      </w:r>
      <w:r w:rsidR="00683FC8" w:rsidRPr="00683FC8">
        <w:rPr>
          <w:szCs w:val="20"/>
        </w:rPr>
        <w:t xml:space="preserve">. Overall, the incidence of IMD was 1.6 per 100,000 in 2017 compared to 1.1 per 100,000 in 2016 and notifications of </w:t>
      </w:r>
      <w:proofErr w:type="spellStart"/>
      <w:r w:rsidR="00683FC8" w:rsidRPr="00683FC8">
        <w:rPr>
          <w:szCs w:val="20"/>
        </w:rPr>
        <w:t>MenW</w:t>
      </w:r>
      <w:proofErr w:type="spellEnd"/>
      <w:r w:rsidR="00683FC8" w:rsidRPr="00683FC8">
        <w:rPr>
          <w:szCs w:val="20"/>
        </w:rPr>
        <w:t xml:space="preserve"> continued to increase year on year, from 17 in 2014 to 140 in 2017. Similarly notifications of </w:t>
      </w:r>
      <w:proofErr w:type="spellStart"/>
      <w:r w:rsidR="00683FC8" w:rsidRPr="00683FC8">
        <w:rPr>
          <w:szCs w:val="20"/>
        </w:rPr>
        <w:t>MenY</w:t>
      </w:r>
      <w:proofErr w:type="spellEnd"/>
      <w:r w:rsidR="00683FC8" w:rsidRPr="00683FC8">
        <w:rPr>
          <w:szCs w:val="20"/>
        </w:rPr>
        <w:t xml:space="preserve"> increased from 12 in 2014 to 75 in 2017.</w:t>
      </w:r>
      <w:r w:rsidRPr="00C01C3E">
        <w:rPr>
          <w:rFonts w:cs="Calibri"/>
          <w:snapToGrid/>
          <w:szCs w:val="24"/>
          <w:lang w:val="en-US" w:eastAsia="en-AU"/>
        </w:rPr>
        <w:t xml:space="preserve"> </w:t>
      </w:r>
    </w:p>
    <w:p w:rsidR="00703534" w:rsidRPr="0010274F" w:rsidRDefault="00703534" w:rsidP="005E61DE">
      <w:pPr>
        <w:pStyle w:val="ListParagraph"/>
        <w:widowControl/>
        <w:numPr>
          <w:ilvl w:val="1"/>
          <w:numId w:val="1"/>
        </w:numPr>
        <w:rPr>
          <w:i/>
        </w:rPr>
      </w:pPr>
      <w:r w:rsidRPr="003D5C0B">
        <w:rPr>
          <w:rFonts w:cs="Calibri"/>
          <w:snapToGrid/>
          <w:szCs w:val="24"/>
          <w:lang w:val="en-US" w:eastAsia="en-AU"/>
        </w:rPr>
        <w:t>The ESC considered that the future incidence of IMD was hard to predict.</w:t>
      </w:r>
      <w:r w:rsidR="00C544AF" w:rsidRPr="003D5C0B">
        <w:rPr>
          <w:rFonts w:cs="Calibri"/>
          <w:snapToGrid/>
          <w:szCs w:val="24"/>
          <w:lang w:val="en-US" w:eastAsia="en-AU"/>
        </w:rPr>
        <w:t xml:space="preserve"> </w:t>
      </w:r>
      <w:r w:rsidR="00C544AF" w:rsidRPr="003D5C0B">
        <w:rPr>
          <w:iCs/>
        </w:rPr>
        <w:t>The ESC also noted the background</w:t>
      </w:r>
      <w:r w:rsidR="006606A8">
        <w:rPr>
          <w:iCs/>
        </w:rPr>
        <w:t xml:space="preserve"> incidence</w:t>
      </w:r>
      <w:r w:rsidR="00C544AF" w:rsidRPr="003D5C0B">
        <w:rPr>
          <w:iCs/>
        </w:rPr>
        <w:t xml:space="preserve"> rates of IMD may not adequately capture the </w:t>
      </w:r>
      <w:r w:rsidR="00C544AF" w:rsidRPr="003D5C0B">
        <w:rPr>
          <w:iCs/>
        </w:rPr>
        <w:lastRenderedPageBreak/>
        <w:t>impact of the infant vaccination program.</w:t>
      </w:r>
      <w:r w:rsidR="00633BB5" w:rsidRPr="005E61DE">
        <w:rPr>
          <w:iCs/>
        </w:rPr>
        <w:t xml:space="preserve"> The Pre-PBAC Response </w:t>
      </w:r>
      <w:r w:rsidR="005E61DE" w:rsidRPr="005E61DE">
        <w:rPr>
          <w:iCs/>
        </w:rPr>
        <w:t xml:space="preserve">confirmed that the modelled economic evaluation focused on the proposed adolescent </w:t>
      </w:r>
      <w:proofErr w:type="spellStart"/>
      <w:r w:rsidR="005E61DE" w:rsidRPr="005E61DE">
        <w:rPr>
          <w:iCs/>
        </w:rPr>
        <w:t>MenACWY</w:t>
      </w:r>
      <w:proofErr w:type="spellEnd"/>
      <w:r w:rsidR="005E61DE" w:rsidRPr="005E61DE">
        <w:rPr>
          <w:iCs/>
        </w:rPr>
        <w:t xml:space="preserve"> vaccination program, and it did not directly or indirectly assess the impact of an infant </w:t>
      </w:r>
      <w:proofErr w:type="spellStart"/>
      <w:r w:rsidR="005E61DE" w:rsidRPr="005E61DE">
        <w:rPr>
          <w:iCs/>
        </w:rPr>
        <w:t>MenACWY</w:t>
      </w:r>
      <w:proofErr w:type="spellEnd"/>
      <w:r w:rsidR="005E61DE" w:rsidRPr="005E61DE">
        <w:rPr>
          <w:iCs/>
        </w:rPr>
        <w:t xml:space="preserve"> vaccination program. The sponsor considered the impact of the infant </w:t>
      </w:r>
      <w:proofErr w:type="spellStart"/>
      <w:r w:rsidR="005E61DE" w:rsidRPr="005E61DE">
        <w:rPr>
          <w:iCs/>
        </w:rPr>
        <w:t>MenC</w:t>
      </w:r>
      <w:proofErr w:type="spellEnd"/>
      <w:r w:rsidR="005E61DE" w:rsidRPr="005E61DE">
        <w:rPr>
          <w:iCs/>
        </w:rPr>
        <w:t xml:space="preserve"> vaccination program was captured by the background incidence of IMD applied in the model which used the latest Australian age-specific notification rates </w:t>
      </w:r>
      <w:r w:rsidR="005E61DE">
        <w:rPr>
          <w:iCs/>
        </w:rPr>
        <w:t>b</w:t>
      </w:r>
      <w:r w:rsidR="005E61DE" w:rsidRPr="005E61DE">
        <w:rPr>
          <w:iCs/>
        </w:rPr>
        <w:t>y serogroup categories. The PBAC considered that as the national infant vaccination program has not yet commenced that its impact may not be adequately captured in the background IMD rates applied in model. However, overall, the PBAC considered that the future incidence of IMD is hard to predict.</w:t>
      </w:r>
    </w:p>
    <w:p w:rsidR="005A3DDE" w:rsidRDefault="00AD3416" w:rsidP="00F47756">
      <w:pPr>
        <w:pStyle w:val="ListParagraph"/>
        <w:widowControl/>
        <w:numPr>
          <w:ilvl w:val="1"/>
          <w:numId w:val="1"/>
        </w:numPr>
      </w:pPr>
      <w:r w:rsidRPr="0010274F">
        <w:t xml:space="preserve">The PBAC has not previously considered the </w:t>
      </w:r>
      <w:r w:rsidR="00AD1B1F">
        <w:t>outcome</w:t>
      </w:r>
      <w:r w:rsidRPr="0010274F">
        <w:t xml:space="preserve"> of 'vaccine response'. ATAGI </w:t>
      </w:r>
      <w:r w:rsidRPr="00AD3416">
        <w:t>considered it reasonable to assume that immunogenicity r</w:t>
      </w:r>
      <w:r w:rsidR="007F0507">
        <w:t xml:space="preserve">esults (measured as </w:t>
      </w:r>
      <w:r w:rsidRPr="00AD3416">
        <w:t xml:space="preserve">'vaccine response' in adolescents) directly correlate with expected vaccine efficacy in the short term for the purpose of </w:t>
      </w:r>
      <w:r w:rsidRPr="001A53DF">
        <w:t xml:space="preserve">economic assessment (p23 of the ATAGI pre-submission advice 2017). </w:t>
      </w:r>
      <w:r w:rsidR="007F0507" w:rsidRPr="001A53DF">
        <w:t xml:space="preserve">The ESC noted </w:t>
      </w:r>
      <w:r w:rsidRPr="001A53DF">
        <w:t>'</w:t>
      </w:r>
      <w:r w:rsidR="007F0507" w:rsidRPr="001A53DF">
        <w:t>v</w:t>
      </w:r>
      <w:r w:rsidRPr="001A53DF">
        <w:t>accine response' is a more conservative estimate of vaccine efficacy than</w:t>
      </w:r>
      <w:r w:rsidR="007F0507" w:rsidRPr="001A53DF">
        <w:t xml:space="preserve"> </w:t>
      </w:r>
      <w:r w:rsidRPr="001A53DF">
        <w:t>the proporti</w:t>
      </w:r>
      <w:r w:rsidR="007F0507" w:rsidRPr="001A53DF">
        <w:t xml:space="preserve">on of </w:t>
      </w:r>
      <w:r w:rsidR="00B46654">
        <w:t>subjects</w:t>
      </w:r>
      <w:r w:rsidR="00B46654" w:rsidRPr="001A53DF">
        <w:t xml:space="preserve"> </w:t>
      </w:r>
      <w:r w:rsidR="007F0507" w:rsidRPr="001A53DF">
        <w:t xml:space="preserve">with </w:t>
      </w:r>
      <w:proofErr w:type="spellStart"/>
      <w:r w:rsidR="007F0507" w:rsidRPr="001A53DF">
        <w:t>rSBA</w:t>
      </w:r>
      <w:proofErr w:type="spellEnd"/>
      <w:r w:rsidR="007F0507" w:rsidRPr="001A53DF">
        <w:t xml:space="preserve"> titres ≥</w:t>
      </w:r>
      <w:r w:rsidRPr="001A53DF">
        <w:t>1:8.</w:t>
      </w:r>
    </w:p>
    <w:p w:rsidR="00E949AA" w:rsidRPr="001A53DF" w:rsidRDefault="006170D6" w:rsidP="00F47756">
      <w:pPr>
        <w:pStyle w:val="ListParagraph"/>
        <w:widowControl/>
        <w:numPr>
          <w:ilvl w:val="1"/>
          <w:numId w:val="1"/>
        </w:numPr>
      </w:pPr>
      <w:r w:rsidRPr="001A53DF">
        <w:t xml:space="preserve">The submission assumed vaccine efficacy in vaccinated individuals will wane by 5% per year until Year 5, and 50% per year thereafter. The ESC noted this approach </w:t>
      </w:r>
      <w:r w:rsidR="001A53DF">
        <w:t>wa</w:t>
      </w:r>
      <w:r w:rsidR="001A53DF" w:rsidRPr="001A53DF">
        <w:t xml:space="preserve">s </w:t>
      </w:r>
      <w:r w:rsidRPr="001A53DF">
        <w:t>generally consistent with the advice from ATAGI, though ATAGI recommend</w:t>
      </w:r>
      <w:r w:rsidR="00E949AA" w:rsidRPr="001A53DF">
        <w:t>ed</w:t>
      </w:r>
      <w:r w:rsidRPr="001A53DF">
        <w:t xml:space="preserve"> a sensitivity analysis in which a 5-year vaccination effect is assumed.</w:t>
      </w:r>
      <w:r w:rsidRPr="001A53DF">
        <w:rPr>
          <w:i/>
        </w:rPr>
        <w:t xml:space="preserve"> </w:t>
      </w:r>
      <w:r w:rsidR="00E949AA" w:rsidRPr="001A53DF">
        <w:t>The ESC noted that the base case results were not sensitive to this change because waning ha</w:t>
      </w:r>
      <w:r w:rsidR="001A53DF">
        <w:t>d</w:t>
      </w:r>
      <w:r w:rsidR="00E949AA" w:rsidRPr="001A53DF">
        <w:t xml:space="preserve"> no relation to the assumed herd immunity effect, which is the key driver of cost-effectiveness.</w:t>
      </w:r>
      <w:r w:rsidR="001A53DF">
        <w:t xml:space="preserve"> </w:t>
      </w:r>
    </w:p>
    <w:p w:rsidR="00E17CC9" w:rsidRPr="001A53DF" w:rsidRDefault="00E17CC9" w:rsidP="00E17CC9">
      <w:pPr>
        <w:pStyle w:val="ListParagraph"/>
        <w:widowControl/>
        <w:numPr>
          <w:ilvl w:val="1"/>
          <w:numId w:val="1"/>
        </w:numPr>
      </w:pPr>
      <w:r w:rsidRPr="001A53DF">
        <w:t xml:space="preserve">Herd immunity was based on data from the </w:t>
      </w:r>
      <w:proofErr w:type="spellStart"/>
      <w:r w:rsidRPr="001A53DF">
        <w:t>MenC</w:t>
      </w:r>
      <w:proofErr w:type="spellEnd"/>
      <w:r w:rsidRPr="001A53DF">
        <w:t xml:space="preserve"> program in the UK. ATAGI considered that estimates of the indirect herd protection benefit from existing </w:t>
      </w:r>
      <w:proofErr w:type="spellStart"/>
      <w:r w:rsidRPr="001A53DF">
        <w:t>MenC</w:t>
      </w:r>
      <w:proofErr w:type="spellEnd"/>
      <w:r w:rsidRPr="001A53DF">
        <w:t xml:space="preserve"> vaccination programs, both in Australia and overseas, </w:t>
      </w:r>
      <w:r w:rsidR="009E1D3C" w:rsidRPr="001A53DF">
        <w:t xml:space="preserve">could not </w:t>
      </w:r>
      <w:r w:rsidRPr="001A53DF">
        <w:t xml:space="preserve">be directly extrapolated to the proposed </w:t>
      </w:r>
      <w:proofErr w:type="spellStart"/>
      <w:r w:rsidRPr="001A53DF">
        <w:t>MenACWY</w:t>
      </w:r>
      <w:proofErr w:type="spellEnd"/>
      <w:r w:rsidRPr="001A53DF">
        <w:t xml:space="preserve">-TT program (p15 of the ATAGI pre-submission advice). </w:t>
      </w:r>
      <w:r w:rsidR="00A552EA" w:rsidRPr="001A53DF">
        <w:t>The ESC noted a number of issues, as outline</w:t>
      </w:r>
      <w:r w:rsidR="009E1D3C" w:rsidRPr="001A53DF">
        <w:t>d</w:t>
      </w:r>
      <w:r w:rsidR="00A552EA" w:rsidRPr="001A53DF">
        <w:t xml:space="preserve"> below, with the translation of UK data to the Australian setting and application of herd immunity in the model.</w:t>
      </w:r>
    </w:p>
    <w:p w:rsidR="002E0E9E" w:rsidRDefault="00A552EA" w:rsidP="009E1D3C">
      <w:pPr>
        <w:pStyle w:val="Bulletpoints"/>
        <w:numPr>
          <w:ilvl w:val="1"/>
          <w:numId w:val="1"/>
        </w:numPr>
        <w:rPr>
          <w:iCs/>
        </w:rPr>
      </w:pPr>
      <w:r w:rsidRPr="001A53DF">
        <w:t>The vaccination program in the UK differed from that</w:t>
      </w:r>
      <w:r w:rsidR="00C51741" w:rsidRPr="001A53DF">
        <w:t xml:space="preserve"> represented in the economic model</w:t>
      </w:r>
      <w:r w:rsidRPr="001A53DF">
        <w:t xml:space="preserve">. </w:t>
      </w:r>
      <w:r w:rsidR="00694502" w:rsidRPr="001A53DF">
        <w:t xml:space="preserve">In the UK program over 80% of those aged 0-18 were vaccinated in 1 year. </w:t>
      </w:r>
      <w:r w:rsidRPr="001A53DF">
        <w:t>Figure</w:t>
      </w:r>
      <w:r w:rsidR="007C10F0" w:rsidRPr="001A53DF">
        <w:t xml:space="preserve"> </w:t>
      </w:r>
      <w:r w:rsidR="00B77A5C">
        <w:t>4</w:t>
      </w:r>
      <w:r w:rsidR="007C10F0" w:rsidRPr="001A53DF">
        <w:t xml:space="preserve"> </w:t>
      </w:r>
      <w:r w:rsidRPr="001A53DF">
        <w:t xml:space="preserve">represents the vaccination and </w:t>
      </w:r>
      <w:r w:rsidR="00C51741" w:rsidRPr="001A53DF">
        <w:t xml:space="preserve">direct </w:t>
      </w:r>
      <w:r w:rsidRPr="001A53DF">
        <w:t xml:space="preserve">vaccine effect profile </w:t>
      </w:r>
      <w:r w:rsidR="00C51741" w:rsidRPr="001A53DF">
        <w:t xml:space="preserve">that is represented </w:t>
      </w:r>
      <w:r w:rsidRPr="001A53DF">
        <w:t>in the economic model</w:t>
      </w:r>
      <w:r w:rsidR="00C544AF" w:rsidRPr="001A53DF">
        <w:t xml:space="preserve"> </w:t>
      </w:r>
      <w:r w:rsidR="00C544AF" w:rsidRPr="001A53DF">
        <w:rPr>
          <w:iCs/>
        </w:rPr>
        <w:t>for adolescents</w:t>
      </w:r>
      <w:r w:rsidRPr="001A53DF">
        <w:t>, assuming five-year protection post-vaccination</w:t>
      </w:r>
      <w:r w:rsidR="00176781" w:rsidRPr="001A53DF">
        <w:t xml:space="preserve">. With the proposed vaccination </w:t>
      </w:r>
      <w:r w:rsidR="001A53DF" w:rsidRPr="001A53DF">
        <w:t>program it</w:t>
      </w:r>
      <w:r w:rsidR="00176781" w:rsidRPr="001A53DF">
        <w:t xml:space="preserve"> will take 16 years before 80% of 0-17 year olds are vaccinated and due to waning there is</w:t>
      </w:r>
      <w:r w:rsidRPr="001A53DF">
        <w:t xml:space="preserve"> limited overlap in protection. </w:t>
      </w:r>
      <w:r w:rsidR="00C544AF" w:rsidRPr="001A53DF">
        <w:rPr>
          <w:iCs/>
        </w:rPr>
        <w:t>The figure also includes the vaccination of infants</w:t>
      </w:r>
      <w:r w:rsidR="008832F9">
        <w:rPr>
          <w:iCs/>
        </w:rPr>
        <w:t xml:space="preserve"> (</w:t>
      </w:r>
      <w:r w:rsidR="00683FC8">
        <w:rPr>
          <w:iCs/>
        </w:rPr>
        <w:t>which</w:t>
      </w:r>
      <w:r w:rsidR="008832F9">
        <w:rPr>
          <w:iCs/>
        </w:rPr>
        <w:t xml:space="preserve"> was not included in the model)</w:t>
      </w:r>
      <w:r w:rsidR="00C544AF" w:rsidRPr="001A53DF">
        <w:rPr>
          <w:iCs/>
        </w:rPr>
        <w:t xml:space="preserve"> assuming five-year protection post-vaccination, although the duration of protection for infants is uncertain.</w:t>
      </w:r>
    </w:p>
    <w:p w:rsidR="002E0E9E" w:rsidRDefault="002E0E9E">
      <w:pPr>
        <w:widowControl/>
        <w:jc w:val="left"/>
        <w:rPr>
          <w:iCs/>
          <w:szCs w:val="24"/>
        </w:rPr>
      </w:pPr>
      <w:r>
        <w:rPr>
          <w:iCs/>
        </w:rPr>
        <w:br w:type="page"/>
      </w:r>
    </w:p>
    <w:p w:rsidR="007C10F0" w:rsidRPr="001A53DF" w:rsidRDefault="00F6641E" w:rsidP="00F6641E">
      <w:pPr>
        <w:keepNext/>
        <w:rPr>
          <w:rStyle w:val="CommentReference"/>
        </w:rPr>
      </w:pPr>
      <w:r w:rsidRPr="001A53DF">
        <w:rPr>
          <w:rStyle w:val="CommentReference"/>
        </w:rPr>
        <w:lastRenderedPageBreak/>
        <w:t xml:space="preserve">Figure </w:t>
      </w:r>
      <w:r w:rsidR="00B77A5C">
        <w:rPr>
          <w:rStyle w:val="CommentReference"/>
        </w:rPr>
        <w:t>4</w:t>
      </w:r>
      <w:r w:rsidRPr="001A53DF">
        <w:rPr>
          <w:rStyle w:val="CommentReference"/>
        </w:rPr>
        <w:t>: Assumed vaccine coverage in the economic model</w:t>
      </w:r>
      <w:r w:rsidR="00C544AF" w:rsidRPr="00683FC8">
        <w:rPr>
          <w:rStyle w:val="CommentReference"/>
        </w:rPr>
        <w:t xml:space="preserve"> </w:t>
      </w:r>
      <w:r w:rsidR="00C544AF" w:rsidRPr="00683FC8">
        <w:rPr>
          <w:rStyle w:val="m5207394339240417699msocommentreference"/>
          <w:rFonts w:ascii="Arial Narrow" w:hAnsi="Arial Narrow"/>
          <w:b/>
          <w:sz w:val="20"/>
          <w:szCs w:val="20"/>
        </w:rPr>
        <w:t>for adolescents</w:t>
      </w:r>
      <w:r w:rsidR="00683FC8">
        <w:rPr>
          <w:rStyle w:val="m5207394339240417699msocommentreference"/>
          <w:rFonts w:ascii="Arial Narrow" w:hAnsi="Arial Narrow"/>
          <w:b/>
          <w:sz w:val="20"/>
          <w:szCs w:val="20"/>
        </w:rPr>
        <w:t>.</w:t>
      </w:r>
      <w:r w:rsidR="005A3DDE">
        <w:rPr>
          <w:rStyle w:val="m5207394339240417699msocommentreference"/>
          <w:rFonts w:ascii="Arial Narrow" w:hAnsi="Arial Narrow"/>
          <w:b/>
          <w:sz w:val="20"/>
          <w:szCs w:val="20"/>
        </w:rPr>
        <w:t xml:space="preserve"> </w:t>
      </w:r>
      <w:r w:rsidR="00683FC8">
        <w:rPr>
          <w:rStyle w:val="m5207394339240417699msocommentreference"/>
          <w:rFonts w:ascii="Arial Narrow" w:hAnsi="Arial Narrow"/>
          <w:b/>
          <w:sz w:val="20"/>
          <w:szCs w:val="20"/>
        </w:rPr>
        <w:t>A</w:t>
      </w:r>
      <w:r w:rsidR="00C544AF" w:rsidRPr="00683FC8">
        <w:rPr>
          <w:rStyle w:val="m5207394339240417699msocommentreference"/>
          <w:rFonts w:ascii="Arial Narrow" w:hAnsi="Arial Narrow"/>
          <w:b/>
          <w:sz w:val="20"/>
          <w:szCs w:val="20"/>
        </w:rPr>
        <w:t>ssumed vaccine coverage for infants</w:t>
      </w:r>
      <w:r w:rsidR="00683FC8">
        <w:rPr>
          <w:rStyle w:val="m5207394339240417699msocommentreference"/>
          <w:rFonts w:ascii="Arial Narrow" w:hAnsi="Arial Narrow"/>
          <w:b/>
          <w:sz w:val="20"/>
          <w:szCs w:val="20"/>
        </w:rPr>
        <w:t xml:space="preserve"> is also presented but not included in the economic model</w:t>
      </w:r>
      <w:r w:rsidR="00C544AF" w:rsidRPr="00683FC8">
        <w:rPr>
          <w:rStyle w:val="m5207394339240417699msocommentreference"/>
          <w:rFonts w:ascii="Arial Narrow" w:hAnsi="Arial Narrow"/>
          <w:sz w:val="20"/>
          <w:szCs w:val="20"/>
        </w:rPr>
        <w:t> </w:t>
      </w:r>
    </w:p>
    <w:p w:rsidR="007C10F0" w:rsidRPr="001A53DF" w:rsidRDefault="007C10F0" w:rsidP="007C10F0">
      <w:pPr>
        <w:widowControl/>
        <w:rPr>
          <w:i/>
        </w:rPr>
      </w:pPr>
      <w:r w:rsidRPr="001A53DF">
        <w:rPr>
          <w:noProof/>
          <w:lang w:eastAsia="en-AU"/>
        </w:rPr>
        <w:drawing>
          <wp:inline distT="0" distB="0" distL="0" distR="0" wp14:anchorId="2E067A54" wp14:editId="498FBB76">
            <wp:extent cx="5732145" cy="26883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2145" cy="2688351"/>
                    </a:xfrm>
                    <a:prstGeom prst="rect">
                      <a:avLst/>
                    </a:prstGeom>
                    <a:noFill/>
                    <a:ln>
                      <a:noFill/>
                    </a:ln>
                  </pic:spPr>
                </pic:pic>
              </a:graphicData>
            </a:graphic>
          </wp:inline>
        </w:drawing>
      </w:r>
    </w:p>
    <w:p w:rsidR="00A552EA" w:rsidRPr="001A53DF" w:rsidRDefault="006A4AA7" w:rsidP="006A4AA7">
      <w:pPr>
        <w:pStyle w:val="TableFooter"/>
        <w:rPr>
          <w:szCs w:val="18"/>
        </w:rPr>
      </w:pPr>
      <w:r w:rsidRPr="001A53DF">
        <w:rPr>
          <w:szCs w:val="18"/>
        </w:rPr>
        <w:t>Source: Prepared for ESC advice</w:t>
      </w:r>
    </w:p>
    <w:p w:rsidR="006A4AA7" w:rsidRPr="001A53DF" w:rsidRDefault="006A4AA7" w:rsidP="006A4AA7">
      <w:pPr>
        <w:pStyle w:val="TableFooter"/>
        <w:rPr>
          <w:szCs w:val="18"/>
        </w:rPr>
      </w:pPr>
    </w:p>
    <w:p w:rsidR="00825206" w:rsidRPr="001344C4" w:rsidRDefault="00B7709A" w:rsidP="00825206">
      <w:pPr>
        <w:pStyle w:val="ListParagraph"/>
        <w:numPr>
          <w:ilvl w:val="1"/>
          <w:numId w:val="1"/>
        </w:numPr>
      </w:pPr>
      <w:r w:rsidRPr="001A53DF">
        <w:t>Based on the UK program</w:t>
      </w:r>
      <w:r w:rsidR="00482C99" w:rsidRPr="001A53DF">
        <w:t xml:space="preserve"> </w:t>
      </w:r>
      <w:r w:rsidRPr="001A53DF">
        <w:t xml:space="preserve">a 67% reduction in IMD was </w:t>
      </w:r>
      <w:r w:rsidR="00697A8B" w:rsidRPr="001A53DF">
        <w:t xml:space="preserve">applied </w:t>
      </w:r>
      <w:r w:rsidR="009E1D3C" w:rsidRPr="001A53DF">
        <w:t xml:space="preserve">in the model </w:t>
      </w:r>
      <w:r w:rsidR="00697A8B" w:rsidRPr="001A53DF">
        <w:t>to</w:t>
      </w:r>
      <w:r w:rsidRPr="001A53DF">
        <w:t xml:space="preserve"> all age groups </w:t>
      </w:r>
      <w:r w:rsidR="00697A8B" w:rsidRPr="001A53DF">
        <w:t>to reflect the impact of</w:t>
      </w:r>
      <w:r w:rsidRPr="001A53DF">
        <w:t xml:space="preserve"> herd immunity. </w:t>
      </w:r>
      <w:r w:rsidR="00482C99" w:rsidRPr="001A53DF">
        <w:t xml:space="preserve">The ESC noted </w:t>
      </w:r>
      <w:r w:rsidRPr="001A53DF">
        <w:t>the 67% reduction was observed in the age groups targeted for catch-up vaccination</w:t>
      </w:r>
      <w:r w:rsidR="009E1D3C" w:rsidRPr="001A53DF">
        <w:t xml:space="preserve"> in the UK</w:t>
      </w:r>
      <w:r w:rsidRPr="001A53DF">
        <w:t xml:space="preserve"> (everyone under 18 years) but that a smaller reduction </w:t>
      </w:r>
      <w:r w:rsidR="00697A8B" w:rsidRPr="001A53DF">
        <w:t xml:space="preserve">(35%) </w:t>
      </w:r>
      <w:r w:rsidRPr="001A53DF">
        <w:t>was observed in</w:t>
      </w:r>
      <w:r w:rsidR="00697A8B" w:rsidRPr="001A53DF">
        <w:t xml:space="preserve"> adults not eligible for vaccinatio</w:t>
      </w:r>
      <w:r w:rsidR="006E7FC4" w:rsidRPr="001A53DF">
        <w:t>n</w:t>
      </w:r>
      <w:r w:rsidR="009A37F4" w:rsidRPr="001A53DF">
        <w:rPr>
          <w:rStyle w:val="FootnoteReference"/>
        </w:rPr>
        <w:footnoteReference w:id="10"/>
      </w:r>
      <w:r w:rsidR="00697A8B" w:rsidRPr="001A53DF">
        <w:t xml:space="preserve">. </w:t>
      </w:r>
      <w:r w:rsidR="005F3BDD" w:rsidRPr="001A53DF">
        <w:t>The PSCR stated that herd immunity was not varied according</w:t>
      </w:r>
      <w:r w:rsidR="005F3BDD" w:rsidRPr="003D5C0B">
        <w:t xml:space="preserve"> to age because it was not known what the age-differential was, if any. The ESC considered a lower herd immunity effect should be applied to adults</w:t>
      </w:r>
      <w:r w:rsidR="00407805">
        <w:t>.</w:t>
      </w:r>
    </w:p>
    <w:p w:rsidR="000B2141" w:rsidRPr="000B2141" w:rsidRDefault="00697A8B" w:rsidP="000D7AE1">
      <w:pPr>
        <w:pStyle w:val="ListParagraph"/>
        <w:numPr>
          <w:ilvl w:val="1"/>
          <w:numId w:val="1"/>
        </w:numPr>
      </w:pPr>
      <w:r w:rsidRPr="003D5C0B">
        <w:t>The ESC noted i</w:t>
      </w:r>
      <w:r w:rsidR="00E17CC9" w:rsidRPr="003D5C0B">
        <w:t>n the model the herd immunity benefit was applied on top of the direct vaccination effect in those covered</w:t>
      </w:r>
      <w:r w:rsidR="001A4A9A" w:rsidRPr="003D5C0B">
        <w:t xml:space="preserve">. </w:t>
      </w:r>
      <w:r w:rsidR="00856ED0">
        <w:t xml:space="preserve">However, the 67% reduction </w:t>
      </w:r>
      <w:r w:rsidR="0070175A">
        <w:t xml:space="preserve">in IMD </w:t>
      </w:r>
      <w:r w:rsidR="00856ED0">
        <w:t xml:space="preserve">applied for the herd immunity effect </w:t>
      </w:r>
      <w:r w:rsidR="0070175A">
        <w:t>(see above)</w:t>
      </w:r>
      <w:r w:rsidR="00856ED0" w:rsidRPr="00856ED0">
        <w:t xml:space="preserve"> incorporates both a direct vaccination effect as well as the herd immunity effect. </w:t>
      </w:r>
      <w:r w:rsidR="001A4A9A" w:rsidRPr="003D5C0B">
        <w:t>The ESC considered t</w:t>
      </w:r>
      <w:r w:rsidR="006170D6" w:rsidRPr="003D5C0B">
        <w:t>he model should exclude vaccine effects in vaccinated individuals to avoid double counting with the assumed herd immunity effect.</w:t>
      </w:r>
      <w:r w:rsidR="0052392D">
        <w:t xml:space="preserve"> </w:t>
      </w:r>
      <w:r w:rsidR="0052392D" w:rsidRPr="000B2141">
        <w:t>The Pre-PBAC Response disagreed with this statement, stating that it implied that no direct benefit of vaccination is conferred</w:t>
      </w:r>
      <w:r w:rsidR="000B2141" w:rsidRPr="000B2141">
        <w:t xml:space="preserve">, however, </w:t>
      </w:r>
      <w:r w:rsidR="00BD0A4C">
        <w:t xml:space="preserve">it also </w:t>
      </w:r>
      <w:r w:rsidR="000B2141" w:rsidRPr="000B2141">
        <w:t xml:space="preserve">noted </w:t>
      </w:r>
      <w:r w:rsidR="00BD0A4C">
        <w:t xml:space="preserve">that </w:t>
      </w:r>
      <w:r w:rsidR="000B2141" w:rsidRPr="000B2141">
        <w:t xml:space="preserve">if the direct vaccine effectiveness was excluded altogether that the cost per LY gained increased from </w:t>
      </w:r>
      <w:r w:rsidR="000B2141" w:rsidRPr="000D7AE1">
        <w:t>$</w:t>
      </w:r>
      <w:r w:rsidR="000D7AE1">
        <w:t xml:space="preserve">75,000 - </w:t>
      </w:r>
      <w:r w:rsidR="000D7AE1" w:rsidRPr="000D7AE1">
        <w:t>$</w:t>
      </w:r>
      <w:r w:rsidR="000D7AE1">
        <w:t xml:space="preserve">105,000 </w:t>
      </w:r>
      <w:r w:rsidR="000B2141" w:rsidRPr="000B2141">
        <w:t xml:space="preserve">to </w:t>
      </w:r>
      <w:r w:rsidR="000B2141" w:rsidRPr="000D7AE1">
        <w:t>$</w:t>
      </w:r>
      <w:r w:rsidR="000D7AE1">
        <w:t xml:space="preserve">105,000 - </w:t>
      </w:r>
      <w:r w:rsidR="000D7AE1" w:rsidRPr="000D7AE1">
        <w:t>$200,000</w:t>
      </w:r>
      <w:r w:rsidR="000D7AE1">
        <w:t xml:space="preserve"> </w:t>
      </w:r>
      <w:r w:rsidR="000B2141" w:rsidRPr="000B2141">
        <w:t xml:space="preserve">and the cost per QALY gained increased from </w:t>
      </w:r>
      <w:r w:rsidR="000D7AE1" w:rsidRPr="000D7AE1">
        <w:t>$45,000 – $75,000</w:t>
      </w:r>
      <w:r w:rsidR="000D7AE1">
        <w:t>/</w:t>
      </w:r>
      <w:r w:rsidR="000B2141" w:rsidRPr="000B2141">
        <w:t xml:space="preserve">QALY to </w:t>
      </w:r>
      <w:r w:rsidR="000D7AE1" w:rsidRPr="000D7AE1">
        <w:t>$45,000 – $75,000</w:t>
      </w:r>
      <w:r w:rsidR="000D7AE1">
        <w:t>/ QALY</w:t>
      </w:r>
      <w:r w:rsidR="000B2141" w:rsidRPr="000B2141">
        <w:t xml:space="preserve">. </w:t>
      </w:r>
      <w:r w:rsidR="006606A8">
        <w:t xml:space="preserve">The PBAC noted that the assumed herd immunity effect (67% reduction in IMD) </w:t>
      </w:r>
      <w:r w:rsidR="00BD0A4C">
        <w:t xml:space="preserve">also </w:t>
      </w:r>
      <w:r w:rsidR="006606A8">
        <w:t xml:space="preserve">incorporated the direct </w:t>
      </w:r>
      <w:r w:rsidR="0070175A">
        <w:t>effect</w:t>
      </w:r>
      <w:r w:rsidR="006606A8">
        <w:t xml:space="preserve"> of the vaccine</w:t>
      </w:r>
      <w:r w:rsidR="00BD0A4C">
        <w:t xml:space="preserve">; </w:t>
      </w:r>
      <w:r w:rsidR="006606A8">
        <w:t xml:space="preserve">however </w:t>
      </w:r>
      <w:r w:rsidR="00BD0A4C">
        <w:t xml:space="preserve">it also </w:t>
      </w:r>
      <w:r w:rsidR="006606A8">
        <w:t xml:space="preserve">considered </w:t>
      </w:r>
      <w:r w:rsidR="00BD0A4C">
        <w:t xml:space="preserve">the approach in the Pre-PBAC Response of </w:t>
      </w:r>
      <w:r w:rsidR="006606A8">
        <w:t>removing the direct vaccine effect</w:t>
      </w:r>
      <w:r w:rsidR="0070175A">
        <w:t xml:space="preserve"> from the model</w:t>
      </w:r>
      <w:r w:rsidR="006606A8">
        <w:t xml:space="preserve"> was inconsistent with the </w:t>
      </w:r>
      <w:r w:rsidR="00BD0A4C">
        <w:t xml:space="preserve">data and </w:t>
      </w:r>
      <w:proofErr w:type="gramStart"/>
      <w:r w:rsidR="00BD0A4C">
        <w:t xml:space="preserve">structure </w:t>
      </w:r>
      <w:r w:rsidR="0070175A">
        <w:t xml:space="preserve"> used</w:t>
      </w:r>
      <w:proofErr w:type="gramEnd"/>
      <w:r w:rsidR="0070175A">
        <w:t xml:space="preserve"> in the model in which the direct effect and herd immunity effect </w:t>
      </w:r>
      <w:r w:rsidR="0070175A">
        <w:lastRenderedPageBreak/>
        <w:t xml:space="preserve">were separately calculated. </w:t>
      </w:r>
    </w:p>
    <w:p w:rsidR="00E6216E" w:rsidRPr="003D5C0B" w:rsidRDefault="001A53DF" w:rsidP="00E6216E">
      <w:pPr>
        <w:pStyle w:val="ListParagraph"/>
        <w:widowControl/>
        <w:numPr>
          <w:ilvl w:val="1"/>
          <w:numId w:val="1"/>
        </w:numPr>
      </w:pPr>
      <w:r w:rsidRPr="001344C4">
        <w:rPr>
          <w:i/>
        </w:rPr>
        <w:t xml:space="preserve"> </w:t>
      </w:r>
      <w:r w:rsidR="008779E7" w:rsidRPr="003D5C0B">
        <w:t>The model accounts for delayed vaccination coverage by assuming a</w:t>
      </w:r>
      <w:r w:rsidR="001A4A9A" w:rsidRPr="003D5C0B">
        <w:t xml:space="preserve"> linear increase in herd immunity to reach 67% by 10 years</w:t>
      </w:r>
      <w:r w:rsidR="00E6216E" w:rsidRPr="003D5C0B">
        <w:t>. The ESC noted this is over a shorter period than the</w:t>
      </w:r>
      <w:r w:rsidR="008779E7" w:rsidRPr="003D5C0B">
        <w:t xml:space="preserve"> </w:t>
      </w:r>
      <w:r w:rsidR="001A4A9A" w:rsidRPr="003D5C0B">
        <w:t>16 years</w:t>
      </w:r>
      <w:r w:rsidR="008779E7" w:rsidRPr="003D5C0B">
        <w:t xml:space="preserve"> for which </w:t>
      </w:r>
      <w:r w:rsidR="00E6216E" w:rsidRPr="003D5C0B">
        <w:t>it will take for 80% of 0-17 year olds to be vaccinated. This level of coverage</w:t>
      </w:r>
      <w:r w:rsidR="001A4A9A" w:rsidRPr="003D5C0B">
        <w:t xml:space="preserve"> is</w:t>
      </w:r>
      <w:r w:rsidR="00E6216E" w:rsidRPr="003D5C0B">
        <w:t xml:space="preserve"> assumed to be </w:t>
      </w:r>
      <w:r w:rsidR="001A4A9A" w:rsidRPr="003D5C0B">
        <w:t>maintained for 8 years and then decreases li</w:t>
      </w:r>
      <w:r w:rsidR="00E6216E" w:rsidRPr="003D5C0B">
        <w:t>nearly to zero after 27 years. The ESC noted the</w:t>
      </w:r>
      <w:r w:rsidR="001A4A9A" w:rsidRPr="003D5C0B">
        <w:t xml:space="preserve"> herd immunity effects are assumed for 27 years, 11 years after school-based vaccination ceases (in the model). </w:t>
      </w:r>
    </w:p>
    <w:p w:rsidR="005F3BDD" w:rsidRDefault="005F3BDD" w:rsidP="00E6216E">
      <w:pPr>
        <w:pStyle w:val="ListParagraph"/>
        <w:widowControl/>
        <w:numPr>
          <w:ilvl w:val="1"/>
          <w:numId w:val="1"/>
        </w:numPr>
      </w:pPr>
      <w:r w:rsidRPr="003D5C0B">
        <w:t xml:space="preserve">The PSCR (p2) stated that the assumptions made regarding herd immunity </w:t>
      </w:r>
      <w:r w:rsidR="006D53B5" w:rsidRPr="003D5C0B">
        <w:t xml:space="preserve">were conservative when compared with the </w:t>
      </w:r>
      <w:proofErr w:type="spellStart"/>
      <w:r w:rsidR="006D53B5" w:rsidRPr="003D5C0B">
        <w:t>MenC</w:t>
      </w:r>
      <w:proofErr w:type="spellEnd"/>
      <w:r w:rsidR="006D53B5" w:rsidRPr="003D5C0B">
        <w:t xml:space="preserve"> experience in Australia, noting that notification rates for IMD due to serogroup C declined by over 10-fold from 2002 to 2007.</w:t>
      </w:r>
    </w:p>
    <w:p w:rsidR="00C01C3E" w:rsidRPr="003D5C0B" w:rsidRDefault="00C01C3E" w:rsidP="00E6216E">
      <w:pPr>
        <w:pStyle w:val="ListParagraph"/>
        <w:widowControl/>
        <w:numPr>
          <w:ilvl w:val="1"/>
          <w:numId w:val="1"/>
        </w:numPr>
      </w:pPr>
      <w:r w:rsidRPr="00C01C3E">
        <w:rPr>
          <w:rFonts w:cs="Calibri"/>
          <w:snapToGrid/>
          <w:szCs w:val="24"/>
          <w:lang w:val="en-US" w:eastAsia="en-AU"/>
        </w:rPr>
        <w:t xml:space="preserve">The Pre-PBAC </w:t>
      </w:r>
      <w:proofErr w:type="gramStart"/>
      <w:r w:rsidRPr="00C01C3E">
        <w:rPr>
          <w:rFonts w:cs="Calibri"/>
          <w:snapToGrid/>
          <w:szCs w:val="24"/>
          <w:lang w:val="en-US" w:eastAsia="en-AU"/>
        </w:rPr>
        <w:t>Response  noted</w:t>
      </w:r>
      <w:proofErr w:type="gramEnd"/>
      <w:r w:rsidRPr="00C01C3E">
        <w:rPr>
          <w:rFonts w:cs="Calibri"/>
          <w:snapToGrid/>
          <w:szCs w:val="24"/>
          <w:lang w:val="en-US" w:eastAsia="en-AU"/>
        </w:rPr>
        <w:t xml:space="preserve"> that ATAGI considered the introduction of a </w:t>
      </w:r>
      <w:proofErr w:type="spellStart"/>
      <w:r w:rsidRPr="00C01C3E">
        <w:rPr>
          <w:rFonts w:cs="Calibri"/>
          <w:snapToGrid/>
          <w:szCs w:val="24"/>
          <w:lang w:val="en-US" w:eastAsia="en-AU"/>
        </w:rPr>
        <w:t>MenACWY</w:t>
      </w:r>
      <w:proofErr w:type="spellEnd"/>
      <w:r w:rsidRPr="00C01C3E">
        <w:rPr>
          <w:rFonts w:cs="Calibri"/>
          <w:snapToGrid/>
          <w:szCs w:val="24"/>
          <w:lang w:val="en-US" w:eastAsia="en-AU"/>
        </w:rPr>
        <w:t xml:space="preserve">-TT program for adolescents </w:t>
      </w:r>
      <w:r>
        <w:rPr>
          <w:rFonts w:cs="Calibri"/>
          <w:snapToGrid/>
          <w:szCs w:val="24"/>
          <w:lang w:val="en-US" w:eastAsia="en-AU"/>
        </w:rPr>
        <w:t xml:space="preserve">is </w:t>
      </w:r>
      <w:r w:rsidRPr="00C01C3E">
        <w:rPr>
          <w:rFonts w:cs="Calibri"/>
          <w:snapToGrid/>
          <w:szCs w:val="24"/>
          <w:lang w:val="en-US" w:eastAsia="en-AU"/>
        </w:rPr>
        <w:t xml:space="preserve">warranted due to anticipated direct benefits to the vaccinated group and herd protection for other age groups.  The sponsor also noted ATAGI’s advice that vaccinating adolescents would be most likely to interrupt transmission of </w:t>
      </w:r>
      <w:proofErr w:type="spellStart"/>
      <w:r w:rsidRPr="00C01C3E">
        <w:rPr>
          <w:rFonts w:cs="Calibri"/>
          <w:snapToGrid/>
          <w:szCs w:val="24"/>
          <w:lang w:val="en-US" w:eastAsia="en-AU"/>
        </w:rPr>
        <w:t>MenW</w:t>
      </w:r>
      <w:proofErr w:type="spellEnd"/>
      <w:r w:rsidRPr="00C01C3E">
        <w:rPr>
          <w:rFonts w:cs="Calibri"/>
          <w:snapToGrid/>
          <w:szCs w:val="24"/>
          <w:lang w:val="en-US" w:eastAsia="en-AU"/>
        </w:rPr>
        <w:t xml:space="preserve"> and </w:t>
      </w:r>
      <w:proofErr w:type="spellStart"/>
      <w:r w:rsidRPr="00C01C3E">
        <w:rPr>
          <w:rFonts w:cs="Calibri"/>
          <w:snapToGrid/>
          <w:szCs w:val="24"/>
          <w:lang w:val="en-US" w:eastAsia="en-AU"/>
        </w:rPr>
        <w:t>MenY</w:t>
      </w:r>
      <w:proofErr w:type="spellEnd"/>
      <w:r w:rsidRPr="00C01C3E">
        <w:rPr>
          <w:rFonts w:cs="Calibri"/>
          <w:snapToGrid/>
          <w:szCs w:val="24"/>
          <w:lang w:val="en-US" w:eastAsia="en-AU"/>
        </w:rPr>
        <w:t xml:space="preserve"> given that adolescents have the highest rates of acquiring nasopharyngeal carriage. </w:t>
      </w:r>
    </w:p>
    <w:p w:rsidR="001159E0" w:rsidRDefault="001159E0" w:rsidP="00FA2A59">
      <w:pPr>
        <w:pStyle w:val="ListParagraph"/>
        <w:widowControl/>
        <w:numPr>
          <w:ilvl w:val="1"/>
          <w:numId w:val="1"/>
        </w:numPr>
      </w:pPr>
      <w:r w:rsidRPr="003D5C0B">
        <w:t xml:space="preserve">The likelihood of long-term complications among survivors of IMD was based on a South Australian study in which </w:t>
      </w:r>
      <w:r w:rsidR="005F53E4" w:rsidRPr="003D5C0B">
        <w:t>41 of 109 patients experienced long-term complications</w:t>
      </w:r>
      <w:r w:rsidR="00F57832" w:rsidRPr="003D5C0B">
        <w:rPr>
          <w:rStyle w:val="FootnoteReference"/>
        </w:rPr>
        <w:footnoteReference w:id="11"/>
      </w:r>
      <w:r w:rsidR="00C748E8" w:rsidRPr="00C748E8">
        <w:rPr>
          <w:vertAlign w:val="superscript"/>
        </w:rPr>
        <w:t xml:space="preserve"> </w:t>
      </w:r>
      <w:r w:rsidR="009A37F4" w:rsidRPr="003D5C0B">
        <w:rPr>
          <w:rStyle w:val="FootnoteReference"/>
        </w:rPr>
        <w:footnoteReference w:id="12"/>
      </w:r>
      <w:r w:rsidR="005F53E4" w:rsidRPr="003D5C0B">
        <w:t>.  In this study</w:t>
      </w:r>
      <w:r w:rsidR="00C748E8">
        <w:t>,</w:t>
      </w:r>
      <w:r w:rsidR="005F53E4" w:rsidRPr="003D5C0B">
        <w:t xml:space="preserve"> 6 participants (14.6%) had a single minor complication, 2 (4.9%) had multiple minor complications, 11 (26.8%) had a single major complication, and 22 (53.7%) had multiple major complications.</w:t>
      </w:r>
      <w:r w:rsidRPr="003D5C0B">
        <w:t xml:space="preserve"> The most commonly reported major complications were classified as ‘neurology’ or ‘skin necrosis/scarring/grafts’. A weighted annual cost of $15,069 was applied for</w:t>
      </w:r>
      <w:r w:rsidR="00FA2A59" w:rsidRPr="003D5C0B">
        <w:t xml:space="preserve"> the</w:t>
      </w:r>
      <w:r w:rsidRPr="003D5C0B">
        <w:t xml:space="preserve"> management of chronic IMD complications based on </w:t>
      </w:r>
      <w:r w:rsidR="000C2CD6" w:rsidRPr="003D5C0B">
        <w:t>a</w:t>
      </w:r>
      <w:r w:rsidR="00FA2A59" w:rsidRPr="003D5C0B">
        <w:t>n</w:t>
      </w:r>
      <w:r w:rsidR="000C2CD6" w:rsidRPr="003D5C0B">
        <w:t xml:space="preserve"> </w:t>
      </w:r>
      <w:r w:rsidR="00FA2A59" w:rsidRPr="003D5C0B">
        <w:t xml:space="preserve">economic evaluation of </w:t>
      </w:r>
      <w:proofErr w:type="spellStart"/>
      <w:r w:rsidR="00FA2A59" w:rsidRPr="003D5C0B">
        <w:t>MenB</w:t>
      </w:r>
      <w:proofErr w:type="spellEnd"/>
      <w:r w:rsidR="00FA2A59" w:rsidRPr="003D5C0B">
        <w:t xml:space="preserve"> vaccination in Canada</w:t>
      </w:r>
      <w:r w:rsidR="000C2CD6" w:rsidRPr="003D5C0B">
        <w:t xml:space="preserve"> </w:t>
      </w:r>
      <w:r w:rsidR="00057F4A" w:rsidRPr="003D5C0B">
        <w:t>(</w:t>
      </w:r>
      <w:proofErr w:type="spellStart"/>
      <w:r w:rsidR="000C2CD6" w:rsidRPr="003D5C0B">
        <w:t>Tu</w:t>
      </w:r>
      <w:proofErr w:type="spellEnd"/>
      <w:r w:rsidR="000C2CD6" w:rsidRPr="003D5C0B">
        <w:t xml:space="preserve"> et al 2014</w:t>
      </w:r>
      <w:r w:rsidR="00057F4A" w:rsidRPr="003D5C0B">
        <w:t>)</w:t>
      </w:r>
      <w:r w:rsidR="00FA2A59" w:rsidRPr="003D5C0B">
        <w:t xml:space="preserve">. Because of an absence of long-term costs for permanent sequelae of invasive </w:t>
      </w:r>
      <w:proofErr w:type="spellStart"/>
      <w:r w:rsidR="00FA2A59" w:rsidRPr="003D5C0B">
        <w:t>MenB</w:t>
      </w:r>
      <w:proofErr w:type="spellEnd"/>
      <w:r w:rsidR="00FA2A59" w:rsidRPr="003D5C0B">
        <w:t xml:space="preserve"> disease, </w:t>
      </w:r>
      <w:proofErr w:type="spellStart"/>
      <w:r w:rsidR="00FA2A59" w:rsidRPr="003D5C0B">
        <w:t>Tu</w:t>
      </w:r>
      <w:proofErr w:type="spellEnd"/>
      <w:r w:rsidR="00FA2A59" w:rsidRPr="003D5C0B">
        <w:t xml:space="preserve"> et al 2014 sourced healthcare costs for children with medical complexity from Cohen et al. 2012.</w:t>
      </w:r>
      <w:r w:rsidRPr="003D5C0B">
        <w:t xml:space="preserve"> The reported costs could not be identified in the Cohen paper.</w:t>
      </w:r>
      <w:r w:rsidR="00FA2A59" w:rsidRPr="003D5C0B">
        <w:t xml:space="preserve"> The ESC considered the relevance of these costs to be uncertain, especially as patients move into adulthood.</w:t>
      </w:r>
      <w:r w:rsidR="002668FD">
        <w:t xml:space="preserve"> </w:t>
      </w:r>
    </w:p>
    <w:p w:rsidR="00E949AA" w:rsidRPr="00C748E8" w:rsidRDefault="00C748E8" w:rsidP="00FA2A59">
      <w:pPr>
        <w:pStyle w:val="ListParagraph"/>
        <w:widowControl/>
        <w:numPr>
          <w:ilvl w:val="1"/>
          <w:numId w:val="1"/>
        </w:numPr>
      </w:pPr>
      <w:r>
        <w:t>C</w:t>
      </w:r>
      <w:r w:rsidR="00E949AA" w:rsidRPr="00C748E8">
        <w:t>ost</w:t>
      </w:r>
      <w:r w:rsidR="001A53DF" w:rsidRPr="00C748E8">
        <w:t xml:space="preserve"> information from the Cohen study</w:t>
      </w:r>
      <w:r>
        <w:t xml:space="preserve"> was provided with the Pre-PBAC response</w:t>
      </w:r>
      <w:r w:rsidR="002668FD" w:rsidRPr="00C748E8">
        <w:t xml:space="preserve">.  The sponsor acknowledged the uncertainty regarding long-term costs of managing </w:t>
      </w:r>
      <w:r w:rsidR="00B46654" w:rsidRPr="00C748E8">
        <w:t>subjects</w:t>
      </w:r>
      <w:r w:rsidR="002668FD" w:rsidRPr="00C748E8">
        <w:t xml:space="preserve"> with permanent complications of IMD </w:t>
      </w:r>
      <w:r>
        <w:t>however considered</w:t>
      </w:r>
      <w:r w:rsidR="002668FD" w:rsidRPr="00C748E8">
        <w:t xml:space="preserve"> that best estimates were used.  The sponsor </w:t>
      </w:r>
      <w:r w:rsidR="001344C4">
        <w:t xml:space="preserve">also </w:t>
      </w:r>
      <w:r w:rsidR="002668FD" w:rsidRPr="00C748E8">
        <w:t xml:space="preserve">noted that as </w:t>
      </w:r>
      <w:r w:rsidR="00B46654" w:rsidRPr="00C748E8">
        <w:t>subjects</w:t>
      </w:r>
      <w:r w:rsidR="002668FD" w:rsidRPr="00C748E8">
        <w:t xml:space="preserve"> affected by permanent IMD complications move into adulthood, their healthcare costs would </w:t>
      </w:r>
      <w:r w:rsidR="002668FD" w:rsidRPr="00C748E8">
        <w:lastRenderedPageBreak/>
        <w:t>likely increase, however the model had conservatively assumed costs remained the same.</w:t>
      </w:r>
    </w:p>
    <w:p w:rsidR="00C0211B" w:rsidRPr="00261F0D" w:rsidRDefault="00C0211B" w:rsidP="009E2CAD">
      <w:pPr>
        <w:pStyle w:val="ListParagraph"/>
        <w:widowControl/>
        <w:numPr>
          <w:ilvl w:val="1"/>
          <w:numId w:val="1"/>
        </w:numPr>
      </w:pPr>
      <w:r w:rsidRPr="00261F0D">
        <w:t xml:space="preserve">Table </w:t>
      </w:r>
      <w:r w:rsidR="006308D0">
        <w:t>13</w:t>
      </w:r>
      <w:r w:rsidR="006308D0" w:rsidRPr="00261F0D">
        <w:t xml:space="preserve"> </w:t>
      </w:r>
      <w:r w:rsidRPr="00261F0D">
        <w:t>presents the results of the key univariate sensitivity analyses conducted by the submission and during the evaluation.</w:t>
      </w:r>
    </w:p>
    <w:p w:rsidR="006E2A8F" w:rsidRDefault="00520F36" w:rsidP="006E2A8F">
      <w:pPr>
        <w:pStyle w:val="TableHeading0"/>
      </w:pPr>
      <w:r w:rsidRPr="00261F0D">
        <w:t xml:space="preserve">Table </w:t>
      </w:r>
      <w:r w:rsidR="006308D0" w:rsidRPr="00261F0D">
        <w:t>1</w:t>
      </w:r>
      <w:r w:rsidR="006308D0">
        <w:t>3</w:t>
      </w:r>
      <w:r w:rsidRPr="00261F0D">
        <w:t xml:space="preserve">: </w:t>
      </w:r>
      <w:r w:rsidR="006E2A8F" w:rsidRPr="00261F0D">
        <w:t>Results of univariate and scenario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1"/>
        <w:gridCol w:w="1019"/>
        <w:gridCol w:w="963"/>
      </w:tblGrid>
      <w:tr w:rsidR="00CE0ABF" w:rsidRPr="00A0501F" w:rsidTr="00CE0ABF">
        <w:trPr>
          <w:trHeight w:val="255"/>
          <w:tblHeader/>
        </w:trPr>
        <w:tc>
          <w:tcPr>
            <w:tcW w:w="3928" w:type="pct"/>
            <w:shd w:val="clear" w:color="auto" w:fill="auto"/>
            <w:noWrap/>
            <w:hideMark/>
          </w:tcPr>
          <w:p w:rsidR="006E2A8F" w:rsidRPr="00A0501F" w:rsidRDefault="006E2A8F" w:rsidP="003870F9">
            <w:pPr>
              <w:keepNext/>
              <w:rPr>
                <w:rFonts w:ascii="Arial Narrow" w:hAnsi="Arial Narrow"/>
                <w:b/>
                <w:bCs/>
                <w:color w:val="000000"/>
                <w:sz w:val="20"/>
                <w:szCs w:val="20"/>
                <w:lang w:eastAsia="zh-CN"/>
              </w:rPr>
            </w:pPr>
            <w:r w:rsidRPr="00A0501F">
              <w:rPr>
                <w:rFonts w:ascii="Arial Narrow" w:hAnsi="Arial Narrow"/>
                <w:b/>
                <w:bCs/>
                <w:color w:val="000000"/>
                <w:sz w:val="20"/>
                <w:szCs w:val="20"/>
                <w:lang w:eastAsia="zh-CN"/>
              </w:rPr>
              <w:t>Scenario</w:t>
            </w:r>
          </w:p>
        </w:tc>
        <w:tc>
          <w:tcPr>
            <w:tcW w:w="551" w:type="pct"/>
            <w:shd w:val="clear" w:color="auto" w:fill="auto"/>
            <w:noWrap/>
            <w:hideMark/>
          </w:tcPr>
          <w:p w:rsidR="006E2A8F" w:rsidRPr="00A0501F" w:rsidRDefault="006E2A8F" w:rsidP="00952C36">
            <w:pPr>
              <w:keepNext/>
              <w:jc w:val="center"/>
              <w:rPr>
                <w:rFonts w:ascii="Arial Narrow" w:hAnsi="Arial Narrow"/>
                <w:b/>
                <w:bCs/>
                <w:sz w:val="20"/>
                <w:szCs w:val="20"/>
                <w:lang w:eastAsia="zh-CN"/>
              </w:rPr>
            </w:pPr>
            <w:r w:rsidRPr="00A0501F">
              <w:rPr>
                <w:rFonts w:ascii="Arial Narrow" w:hAnsi="Arial Narrow"/>
                <w:b/>
                <w:bCs/>
                <w:sz w:val="20"/>
                <w:szCs w:val="20"/>
                <w:lang w:eastAsia="zh-CN"/>
              </w:rPr>
              <w:t>$/</w:t>
            </w:r>
            <w:r w:rsidR="00952C36">
              <w:rPr>
                <w:rFonts w:ascii="Arial Narrow" w:hAnsi="Arial Narrow"/>
                <w:b/>
                <w:bCs/>
                <w:sz w:val="20"/>
                <w:szCs w:val="20"/>
                <w:lang w:eastAsia="zh-CN"/>
              </w:rPr>
              <w:t>LY saved</w:t>
            </w:r>
          </w:p>
        </w:tc>
        <w:tc>
          <w:tcPr>
            <w:tcW w:w="522" w:type="pct"/>
            <w:shd w:val="clear" w:color="auto" w:fill="auto"/>
            <w:noWrap/>
            <w:hideMark/>
          </w:tcPr>
          <w:p w:rsidR="006E2A8F" w:rsidRPr="00A0501F" w:rsidRDefault="006E2A8F" w:rsidP="003870F9">
            <w:pPr>
              <w:keepNext/>
              <w:jc w:val="center"/>
              <w:rPr>
                <w:rFonts w:ascii="Arial Narrow" w:hAnsi="Arial Narrow"/>
                <w:b/>
                <w:bCs/>
                <w:sz w:val="20"/>
                <w:szCs w:val="20"/>
                <w:lang w:eastAsia="zh-CN"/>
              </w:rPr>
            </w:pPr>
            <w:r w:rsidRPr="00A0501F">
              <w:rPr>
                <w:rFonts w:ascii="Arial Narrow" w:hAnsi="Arial Narrow"/>
                <w:b/>
                <w:bCs/>
                <w:sz w:val="20"/>
                <w:szCs w:val="20"/>
                <w:lang w:eastAsia="zh-CN"/>
              </w:rPr>
              <w:t>$/QALY</w:t>
            </w:r>
          </w:p>
        </w:tc>
      </w:tr>
      <w:tr w:rsidR="00CE0ABF" w:rsidRPr="00A0501F" w:rsidTr="00CE0ABF">
        <w:trPr>
          <w:trHeight w:val="255"/>
        </w:trPr>
        <w:tc>
          <w:tcPr>
            <w:tcW w:w="3928" w:type="pct"/>
            <w:shd w:val="clear" w:color="auto" w:fill="auto"/>
            <w:noWrap/>
            <w:hideMark/>
          </w:tcPr>
          <w:p w:rsidR="006E2A8F" w:rsidRPr="00825206" w:rsidRDefault="006E2A8F" w:rsidP="001E3153">
            <w:pPr>
              <w:keepNext/>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Base-case</w:t>
            </w:r>
          </w:p>
        </w:tc>
        <w:tc>
          <w:tcPr>
            <w:tcW w:w="551" w:type="pct"/>
            <w:shd w:val="clear" w:color="auto" w:fill="auto"/>
            <w:noWrap/>
            <w:hideMark/>
          </w:tcPr>
          <w:p w:rsidR="006E2A8F" w:rsidRPr="00825206" w:rsidRDefault="006E2A8F" w:rsidP="001E3153">
            <w:pPr>
              <w:keepNext/>
              <w:jc w:val="center"/>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w:t>
            </w:r>
            <w:r w:rsidR="0010557D">
              <w:rPr>
                <w:rFonts w:ascii="Arial Narrow" w:hAnsi="Arial Narrow"/>
                <w:b/>
                <w:bCs/>
                <w:noProof/>
                <w:color w:val="000000"/>
                <w:sz w:val="20"/>
                <w:szCs w:val="20"/>
                <w:highlight w:val="black"/>
                <w:lang w:eastAsia="zh-CN"/>
              </w:rPr>
              <w:t>''''''''''''''</w:t>
            </w:r>
          </w:p>
        </w:tc>
        <w:tc>
          <w:tcPr>
            <w:tcW w:w="522" w:type="pct"/>
            <w:shd w:val="clear" w:color="auto" w:fill="auto"/>
            <w:noWrap/>
            <w:hideMark/>
          </w:tcPr>
          <w:p w:rsidR="006E2A8F" w:rsidRPr="00825206" w:rsidRDefault="006E2A8F" w:rsidP="001E3153">
            <w:pPr>
              <w:keepNext/>
              <w:jc w:val="center"/>
              <w:rPr>
                <w:rFonts w:ascii="Arial Narrow" w:hAnsi="Arial Narrow"/>
                <w:b/>
                <w:bCs/>
                <w:color w:val="000000"/>
                <w:sz w:val="20"/>
                <w:szCs w:val="20"/>
                <w:lang w:eastAsia="zh-CN"/>
              </w:rPr>
            </w:pPr>
            <w:r w:rsidRPr="00825206">
              <w:rPr>
                <w:rFonts w:ascii="Arial Narrow" w:hAnsi="Arial Narrow"/>
                <w:b/>
                <w:bCs/>
                <w:color w:val="000000"/>
                <w:sz w:val="20"/>
                <w:szCs w:val="20"/>
                <w:lang w:eastAsia="zh-CN"/>
              </w:rPr>
              <w:t>$</w:t>
            </w:r>
            <w:r w:rsidR="0010557D">
              <w:rPr>
                <w:rFonts w:ascii="Arial Narrow" w:hAnsi="Arial Narrow"/>
                <w:b/>
                <w:bCs/>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discount rate = 3.5%</w:t>
            </w:r>
            <w:r w:rsidR="00A42DB1" w:rsidRPr="00825206">
              <w:rPr>
                <w:rFonts w:ascii="Arial Narrow" w:hAnsi="Arial Narrow"/>
                <w:color w:val="000000"/>
                <w:sz w:val="20"/>
                <w:szCs w:val="20"/>
                <w:lang w:eastAsia="zh-CN"/>
              </w:rPr>
              <w:t xml:space="preserve"> (base case=5%)</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discount rate = 7%</w:t>
            </w:r>
            <w:r w:rsidR="00CE0ABF" w:rsidRPr="00825206">
              <w:rPr>
                <w:rFonts w:ascii="Arial Narrow" w:hAnsi="Arial Narrow"/>
                <w:color w:val="000000"/>
                <w:sz w:val="20"/>
                <w:szCs w:val="20"/>
                <w:lang w:eastAsia="zh-CN"/>
              </w:rPr>
              <w:t xml:space="preserve"> (base case=5%)</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Vaccine coverage (15-17</w:t>
            </w:r>
            <w:r w:rsidR="004522CD" w:rsidRPr="00825206">
              <w:rPr>
                <w:rFonts w:ascii="Arial Narrow" w:hAnsi="Arial Narrow"/>
                <w:sz w:val="20"/>
                <w:szCs w:val="20"/>
                <w:lang w:eastAsia="zh-CN"/>
              </w:rPr>
              <w:t xml:space="preserve"> year olds</w:t>
            </w:r>
            <w:r w:rsidRPr="00825206">
              <w:rPr>
                <w:rFonts w:ascii="Arial Narrow" w:hAnsi="Arial Narrow"/>
                <w:sz w:val="20"/>
                <w:szCs w:val="20"/>
                <w:lang w:eastAsia="zh-CN"/>
              </w:rPr>
              <w:t>) = 86%</w:t>
            </w:r>
            <w:r w:rsidR="00CE0ABF" w:rsidRPr="00825206">
              <w:rPr>
                <w:rFonts w:ascii="Arial Narrow" w:hAnsi="Arial Narrow"/>
                <w:sz w:val="20"/>
                <w:szCs w:val="20"/>
                <w:lang w:eastAsia="zh-CN"/>
              </w:rPr>
              <w:t xml:space="preserve"> (base case 80%)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Vaccine coverage rate (18</w:t>
            </w:r>
            <w:r w:rsidR="004522CD" w:rsidRPr="00825206">
              <w:rPr>
                <w:rFonts w:ascii="Arial Narrow" w:hAnsi="Arial Narrow"/>
                <w:sz w:val="20"/>
                <w:szCs w:val="20"/>
                <w:lang w:eastAsia="zh-CN"/>
              </w:rPr>
              <w:t xml:space="preserve"> year olds</w:t>
            </w:r>
            <w:r w:rsidRPr="00825206">
              <w:rPr>
                <w:rFonts w:ascii="Arial Narrow" w:hAnsi="Arial Narrow"/>
                <w:sz w:val="20"/>
                <w:szCs w:val="20"/>
                <w:lang w:eastAsia="zh-CN"/>
              </w:rPr>
              <w:t>) = 36.6%</w:t>
            </w:r>
            <w:r w:rsidR="00CE0ABF" w:rsidRPr="00825206">
              <w:rPr>
                <w:rFonts w:ascii="Arial Narrow" w:hAnsi="Arial Narrow"/>
                <w:sz w:val="20"/>
                <w:szCs w:val="20"/>
                <w:lang w:eastAsia="zh-CN"/>
              </w:rPr>
              <w:t xml:space="preserve"> (base case 22%)</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952C36">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Base </w:t>
            </w:r>
            <w:proofErr w:type="spellStart"/>
            <w:r w:rsidRPr="00825206">
              <w:rPr>
                <w:rFonts w:ascii="Arial Narrow" w:hAnsi="Arial Narrow"/>
                <w:color w:val="000000"/>
                <w:sz w:val="20"/>
                <w:szCs w:val="20"/>
                <w:lang w:eastAsia="zh-CN"/>
              </w:rPr>
              <w:t>MenY</w:t>
            </w:r>
            <w:proofErr w:type="spellEnd"/>
            <w:r w:rsidRPr="00825206">
              <w:rPr>
                <w:rFonts w:ascii="Arial Narrow" w:hAnsi="Arial Narrow"/>
                <w:color w:val="000000"/>
                <w:sz w:val="20"/>
                <w:szCs w:val="20"/>
                <w:lang w:eastAsia="zh-CN"/>
              </w:rPr>
              <w:t xml:space="preserve"> and </w:t>
            </w:r>
            <w:proofErr w:type="spellStart"/>
            <w:r w:rsidR="00952C36" w:rsidRPr="00825206">
              <w:rPr>
                <w:rFonts w:ascii="Arial Narrow" w:hAnsi="Arial Narrow"/>
                <w:color w:val="000000"/>
                <w:sz w:val="20"/>
                <w:szCs w:val="20"/>
                <w:lang w:eastAsia="zh-CN"/>
              </w:rPr>
              <w:t>Men</w:t>
            </w:r>
            <w:r w:rsidRPr="00825206">
              <w:rPr>
                <w:rFonts w:ascii="Arial Narrow" w:hAnsi="Arial Narrow"/>
                <w:color w:val="000000"/>
                <w:sz w:val="20"/>
                <w:szCs w:val="20"/>
                <w:lang w:eastAsia="zh-CN"/>
              </w:rPr>
              <w:t>W</w:t>
            </w:r>
            <w:proofErr w:type="spellEnd"/>
            <w:r w:rsidRPr="00825206">
              <w:rPr>
                <w:rFonts w:ascii="Arial Narrow" w:hAnsi="Arial Narrow"/>
                <w:color w:val="000000"/>
                <w:sz w:val="20"/>
                <w:szCs w:val="20"/>
                <w:lang w:eastAsia="zh-CN"/>
              </w:rPr>
              <w:t xml:space="preserve"> IMD per 100,000 assumed to be 41% of 2016-2017 notifications</w:t>
            </w:r>
            <w:r w:rsidR="00CE0ABF" w:rsidRPr="00825206">
              <w:rPr>
                <w:rFonts w:ascii="Arial Narrow" w:hAnsi="Arial Narrow"/>
                <w:color w:val="000000"/>
                <w:sz w:val="20"/>
                <w:szCs w:val="20"/>
                <w:lang w:eastAsia="zh-CN"/>
              </w:rPr>
              <w:t xml:space="preserve"> (base case 100%)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10% increase in IMD incident rate in </w:t>
            </w:r>
            <w:r w:rsidR="004522CD" w:rsidRPr="00825206">
              <w:rPr>
                <w:rFonts w:ascii="Arial Narrow" w:hAnsi="Arial Narrow"/>
                <w:color w:val="000000"/>
                <w:sz w:val="20"/>
                <w:szCs w:val="20"/>
                <w:lang w:eastAsia="zh-CN"/>
              </w:rPr>
              <w:t>Yea</w:t>
            </w:r>
            <w:r w:rsidRPr="00825206">
              <w:rPr>
                <w:rFonts w:ascii="Arial Narrow" w:hAnsi="Arial Narrow"/>
                <w:color w:val="000000"/>
                <w:sz w:val="20"/>
                <w:szCs w:val="20"/>
                <w:lang w:eastAsia="zh-CN"/>
              </w:rPr>
              <w:t>r</w:t>
            </w:r>
            <w:r w:rsidR="004522CD" w:rsidRPr="00825206">
              <w:rPr>
                <w:rFonts w:ascii="Arial Narrow" w:hAnsi="Arial Narrow"/>
                <w:color w:val="000000"/>
                <w:sz w:val="20"/>
                <w:szCs w:val="20"/>
                <w:lang w:eastAsia="zh-CN"/>
              </w:rPr>
              <w:t xml:space="preserve">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25% increase in IMD incident rate in </w:t>
            </w:r>
            <w:r w:rsidR="004522CD" w:rsidRPr="00825206">
              <w:rPr>
                <w:rFonts w:ascii="Arial Narrow" w:hAnsi="Arial Narrow"/>
                <w:color w:val="000000"/>
                <w:sz w:val="20"/>
                <w:szCs w:val="20"/>
                <w:lang w:eastAsia="zh-CN"/>
              </w:rPr>
              <w:t xml:space="preserve">Year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50% increase in IMD incident rate in </w:t>
            </w:r>
            <w:r w:rsidR="004522CD" w:rsidRPr="00825206">
              <w:rPr>
                <w:rFonts w:ascii="Arial Narrow" w:hAnsi="Arial Narrow"/>
                <w:color w:val="000000"/>
                <w:sz w:val="20"/>
                <w:szCs w:val="20"/>
                <w:lang w:eastAsia="zh-CN"/>
              </w:rPr>
              <w:t xml:space="preserve">Year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Year </w:t>
            </w:r>
            <w:r w:rsidRPr="00825206">
              <w:rPr>
                <w:rFonts w:ascii="Arial Narrow" w:hAnsi="Arial Narrow"/>
                <w:color w:val="000000"/>
                <w:sz w:val="20"/>
                <w:szCs w:val="20"/>
                <w:lang w:eastAsia="zh-CN"/>
              </w:rPr>
              <w:t>5, then plateau</w:t>
            </w:r>
            <w:r w:rsidR="00CE0ABF" w:rsidRPr="00825206">
              <w:rPr>
                <w:rFonts w:ascii="Arial Narrow" w:hAnsi="Arial Narrow"/>
                <w:color w:val="000000"/>
                <w:sz w:val="20"/>
                <w:szCs w:val="20"/>
                <w:lang w:eastAsia="zh-CN"/>
              </w:rPr>
              <w:t xml:space="preserve"> (base case 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 xml:space="preserve">10% decrease in IMD incident rate in </w:t>
            </w:r>
            <w:r w:rsidR="004522CD" w:rsidRPr="00825206">
              <w:rPr>
                <w:rFonts w:ascii="Arial Narrow" w:hAnsi="Arial Narrow"/>
                <w:sz w:val="20"/>
                <w:szCs w:val="20"/>
              </w:rPr>
              <w:t xml:space="preserve">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25% decrease in IMD incident rate in</w:t>
            </w:r>
            <w:r w:rsidR="004522CD" w:rsidRPr="00825206">
              <w:rPr>
                <w:rFonts w:ascii="Arial Narrow" w:hAnsi="Arial Narrow"/>
                <w:sz w:val="20"/>
                <w:szCs w:val="20"/>
              </w:rPr>
              <w:t xml:space="preserve"> 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4522CD">
            <w:pPr>
              <w:rPr>
                <w:rFonts w:ascii="Arial Narrow" w:hAnsi="Arial Narrow"/>
                <w:color w:val="000000"/>
                <w:sz w:val="20"/>
                <w:szCs w:val="20"/>
                <w:lang w:eastAsia="zh-CN"/>
              </w:rPr>
            </w:pPr>
            <w:r w:rsidRPr="00825206">
              <w:rPr>
                <w:rFonts w:ascii="Arial Narrow" w:hAnsi="Arial Narrow"/>
                <w:sz w:val="20"/>
                <w:szCs w:val="20"/>
              </w:rPr>
              <w:t>50% decrease in IMD incident rate in</w:t>
            </w:r>
            <w:r w:rsidR="004522CD" w:rsidRPr="00825206">
              <w:rPr>
                <w:rFonts w:ascii="Arial Narrow" w:hAnsi="Arial Narrow"/>
                <w:sz w:val="20"/>
                <w:szCs w:val="20"/>
              </w:rPr>
              <w:t xml:space="preserve"> Year </w:t>
            </w:r>
            <w:r w:rsidRPr="00825206">
              <w:rPr>
                <w:rFonts w:ascii="Arial Narrow" w:hAnsi="Arial Narrow"/>
                <w:sz w:val="20"/>
                <w:szCs w:val="20"/>
              </w:rPr>
              <w:t>2-</w:t>
            </w:r>
            <w:r w:rsidR="004522CD" w:rsidRPr="00825206">
              <w:rPr>
                <w:rFonts w:ascii="Arial Narrow" w:hAnsi="Arial Narrow"/>
                <w:sz w:val="20"/>
                <w:szCs w:val="20"/>
              </w:rPr>
              <w:t xml:space="preserve"> Year </w:t>
            </w:r>
            <w:r w:rsidRPr="00825206">
              <w:rPr>
                <w:rFonts w:ascii="Arial Narrow" w:hAnsi="Arial Narrow"/>
                <w:sz w:val="20"/>
                <w:szCs w:val="20"/>
              </w:rPr>
              <w:t>5, then plateau</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0%)</w:t>
            </w:r>
          </w:p>
        </w:tc>
        <w:tc>
          <w:tcPr>
            <w:tcW w:w="551"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 '''''''''</w:t>
            </w:r>
          </w:p>
        </w:tc>
        <w:tc>
          <w:tcPr>
            <w:tcW w:w="522" w:type="pct"/>
            <w:shd w:val="clear" w:color="auto" w:fill="auto"/>
            <w:noWrap/>
          </w:tcPr>
          <w:p w:rsidR="006E2A8F" w:rsidRPr="00825206" w:rsidRDefault="006E2A8F" w:rsidP="003870F9">
            <w:pPr>
              <w:jc w:val="center"/>
              <w:rPr>
                <w:rFonts w:ascii="Arial Narrow" w:hAnsi="Arial Narrow"/>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Vaccine response at baseline = 94.14%</w:t>
            </w:r>
            <w:r w:rsidR="00CE0ABF" w:rsidRPr="00825206">
              <w:rPr>
                <w:rFonts w:ascii="Arial Narrow" w:hAnsi="Arial Narrow"/>
                <w:color w:val="000000"/>
                <w:sz w:val="20"/>
                <w:szCs w:val="20"/>
                <w:lang w:eastAsia="zh-CN"/>
              </w:rPr>
              <w:t xml:space="preserve"> (base case 95.59%)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Vaccine response at baseline = 96.69%</w:t>
            </w:r>
            <w:r w:rsidR="00CE0ABF" w:rsidRPr="00825206">
              <w:rPr>
                <w:rFonts w:ascii="Arial Narrow" w:hAnsi="Arial Narrow"/>
                <w:color w:val="000000"/>
                <w:sz w:val="20"/>
                <w:szCs w:val="20"/>
                <w:lang w:eastAsia="zh-CN"/>
              </w:rPr>
              <w:t xml:space="preserve"> (base case 95.59%)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sz w:val="20"/>
                <w:szCs w:val="20"/>
              </w:rPr>
              <w:t>Vaccine response at baseline = 60%</w:t>
            </w:r>
            <w:r w:rsidR="00CE0ABF" w:rsidRPr="00825206">
              <w:rPr>
                <w:rFonts w:ascii="Arial Narrow" w:hAnsi="Arial Narrow"/>
                <w:sz w:val="20"/>
                <w:szCs w:val="20"/>
              </w:rPr>
              <w:t xml:space="preserve"> </w:t>
            </w:r>
            <w:r w:rsidR="00CE0ABF" w:rsidRPr="00825206">
              <w:rPr>
                <w:rFonts w:ascii="Arial Narrow" w:hAnsi="Arial Narrow"/>
                <w:color w:val="000000"/>
                <w:sz w:val="20"/>
                <w:szCs w:val="20"/>
                <w:lang w:eastAsia="zh-CN"/>
              </w:rPr>
              <w:t>(base case 95.59%)</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Waning vaccine effectiveness: 50% per year in 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2</w:t>
            </w:r>
            <w:r w:rsidR="004522CD" w:rsidRPr="00825206">
              <w:rPr>
                <w:rFonts w:ascii="Arial Narrow" w:hAnsi="Arial Narrow"/>
                <w:color w:val="000000"/>
                <w:sz w:val="20"/>
                <w:szCs w:val="20"/>
                <w:lang w:eastAsia="zh-CN"/>
              </w:rPr>
              <w:t xml:space="preserve"> – </w:t>
            </w:r>
            <w:r w:rsidRPr="00825206">
              <w:rPr>
                <w:rFonts w:ascii="Arial Narrow" w:hAnsi="Arial Narrow"/>
                <w:color w:val="000000"/>
                <w:sz w:val="20"/>
                <w:szCs w:val="20"/>
                <w:lang w:eastAsia="zh-CN"/>
              </w:rPr>
              <w:t>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5; zero from Y</w:t>
            </w:r>
            <w:r w:rsidR="004522CD" w:rsidRPr="00825206">
              <w:rPr>
                <w:rFonts w:ascii="Arial Narrow" w:hAnsi="Arial Narrow"/>
                <w:color w:val="000000"/>
                <w:sz w:val="20"/>
                <w:szCs w:val="20"/>
                <w:lang w:eastAsia="zh-CN"/>
              </w:rPr>
              <w:t>ea</w:t>
            </w:r>
            <w:r w:rsidRPr="00825206">
              <w:rPr>
                <w:rFonts w:ascii="Arial Narrow" w:hAnsi="Arial Narrow"/>
                <w:color w:val="000000"/>
                <w:sz w:val="20"/>
                <w:szCs w:val="20"/>
                <w:lang w:eastAsia="zh-CN"/>
              </w:rPr>
              <w:t>r</w:t>
            </w:r>
            <w:r w:rsidR="004522CD" w:rsidRPr="00825206">
              <w:rPr>
                <w:rFonts w:ascii="Arial Narrow" w:hAnsi="Arial Narrow"/>
                <w:color w:val="000000"/>
                <w:sz w:val="20"/>
                <w:szCs w:val="20"/>
                <w:lang w:eastAsia="zh-CN"/>
              </w:rPr>
              <w:t xml:space="preserve"> </w:t>
            </w:r>
            <w:r w:rsidRPr="00825206">
              <w:rPr>
                <w:rFonts w:ascii="Arial Narrow" w:hAnsi="Arial Narrow"/>
                <w:color w:val="000000"/>
                <w:sz w:val="20"/>
                <w:szCs w:val="20"/>
                <w:lang w:eastAsia="zh-CN"/>
              </w:rPr>
              <w:t>6</w:t>
            </w:r>
            <w:r w:rsidR="00CE0ABF" w:rsidRPr="00825206">
              <w:rPr>
                <w:rFonts w:ascii="Arial Narrow" w:hAnsi="Arial Narrow"/>
                <w:color w:val="000000"/>
                <w:sz w:val="20"/>
                <w:szCs w:val="20"/>
                <w:lang w:eastAsia="zh-CN"/>
              </w:rPr>
              <w:t xml:space="preserve"> (base case 5% per year until year 5 and 50% per year thereafter)</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C342F4">
            <w:pPr>
              <w:rPr>
                <w:rFonts w:ascii="Arial Narrow" w:hAnsi="Arial Narrow"/>
                <w:color w:val="000000"/>
                <w:sz w:val="20"/>
                <w:szCs w:val="20"/>
                <w:lang w:eastAsia="zh-CN"/>
              </w:rPr>
            </w:pPr>
            <w:r w:rsidRPr="00825206">
              <w:rPr>
                <w:rFonts w:ascii="Arial Narrow" w:hAnsi="Arial Narrow"/>
                <w:sz w:val="20"/>
                <w:szCs w:val="20"/>
              </w:rPr>
              <w:t>No herd immunity from adolescent program</w:t>
            </w:r>
            <w:r w:rsidR="00CE0ABF" w:rsidRPr="00825206">
              <w:rPr>
                <w:rFonts w:ascii="Arial Narrow" w:hAnsi="Arial Narrow"/>
                <w:sz w:val="20"/>
                <w:szCs w:val="20"/>
              </w:rPr>
              <w:t xml:space="preserve"> (base case 67% </w:t>
            </w:r>
            <w:r w:rsidR="00C342F4" w:rsidRPr="00825206">
              <w:rPr>
                <w:rFonts w:ascii="Arial Narrow" w:hAnsi="Arial Narrow"/>
                <w:sz w:val="20"/>
                <w:szCs w:val="20"/>
              </w:rPr>
              <w:t>reduction in IMD by Year 10)</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sz w:val="20"/>
                <w:szCs w:val="20"/>
              </w:rPr>
            </w:pPr>
            <w:r w:rsidRPr="00825206">
              <w:rPr>
                <w:rFonts w:ascii="Arial Narrow" w:hAnsi="Arial Narrow"/>
                <w:color w:val="000000"/>
                <w:sz w:val="20"/>
                <w:szCs w:val="20"/>
                <w:lang w:eastAsia="zh-CN"/>
              </w:rPr>
              <w:t>Herd immuni</w:t>
            </w:r>
            <w:r w:rsidR="004522CD" w:rsidRPr="00825206">
              <w:rPr>
                <w:rFonts w:ascii="Arial Narrow" w:hAnsi="Arial Narrow"/>
                <w:color w:val="000000"/>
                <w:sz w:val="20"/>
                <w:szCs w:val="20"/>
                <w:lang w:eastAsia="zh-CN"/>
              </w:rPr>
              <w:t xml:space="preserve">ty: 12.6% reduction in IMD by Year </w:t>
            </w:r>
            <w:r w:rsidRPr="00825206">
              <w:rPr>
                <w:rFonts w:ascii="Arial Narrow" w:hAnsi="Arial Narrow"/>
                <w:color w:val="000000"/>
                <w:sz w:val="20"/>
                <w:szCs w:val="20"/>
                <w:lang w:eastAsia="zh-CN"/>
              </w:rPr>
              <w:t>10</w:t>
            </w:r>
            <w:r w:rsidR="00C342F4" w:rsidRPr="00825206">
              <w:rPr>
                <w:rFonts w:ascii="Arial Narrow" w:hAnsi="Arial Narrow"/>
                <w:color w:val="000000"/>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sz w:val="20"/>
                <w:szCs w:val="20"/>
              </w:rPr>
              <w:t>$</w:t>
            </w:r>
            <w:r w:rsidR="0010557D">
              <w:rPr>
                <w:rFonts w:ascii="Arial Narrow" w:hAnsi="Arial Narrow"/>
                <w:noProof/>
                <w:color w:val="000000"/>
                <w:sz w:val="20"/>
                <w:szCs w:val="20"/>
                <w:highlight w:val="black"/>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color w:val="000000"/>
                <w:sz w:val="20"/>
                <w:szCs w:val="20"/>
                <w:lang w:eastAsia="zh-CN"/>
              </w:rPr>
            </w:pPr>
            <w:r w:rsidRPr="00825206">
              <w:rPr>
                <w:rFonts w:ascii="Arial Narrow" w:hAnsi="Arial Narrow"/>
                <w:color w:val="000000"/>
                <w:sz w:val="20"/>
                <w:szCs w:val="20"/>
                <w:lang w:eastAsia="zh-CN"/>
              </w:rPr>
              <w:t>Herd immunity: 50% reduction in IMD by Y</w:t>
            </w:r>
            <w:r w:rsidR="004522CD" w:rsidRPr="00825206">
              <w:rPr>
                <w:rFonts w:ascii="Arial Narrow" w:hAnsi="Arial Narrow"/>
                <w:color w:val="000000"/>
                <w:sz w:val="20"/>
                <w:szCs w:val="20"/>
                <w:lang w:eastAsia="zh-CN"/>
              </w:rPr>
              <w:t xml:space="preserve">ear </w:t>
            </w:r>
            <w:r w:rsidRPr="00825206">
              <w:rPr>
                <w:rFonts w:ascii="Arial Narrow" w:hAnsi="Arial Narrow"/>
                <w:color w:val="000000"/>
                <w:sz w:val="20"/>
                <w:szCs w:val="20"/>
                <w:lang w:eastAsia="zh-CN"/>
              </w:rPr>
              <w:t>10</w:t>
            </w:r>
            <w:r w:rsidR="00C342F4" w:rsidRPr="00825206">
              <w:rPr>
                <w:rFonts w:ascii="Arial Narrow" w:hAnsi="Arial Narrow"/>
                <w:color w:val="000000"/>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4522CD">
            <w:pPr>
              <w:rPr>
                <w:rFonts w:ascii="Arial Narrow" w:hAnsi="Arial Narrow"/>
                <w:sz w:val="20"/>
                <w:szCs w:val="20"/>
                <w:lang w:eastAsia="zh-CN"/>
              </w:rPr>
            </w:pPr>
            <w:r w:rsidRPr="00825206">
              <w:rPr>
                <w:rFonts w:ascii="Arial Narrow" w:hAnsi="Arial Narrow"/>
                <w:sz w:val="20"/>
                <w:szCs w:val="20"/>
                <w:lang w:eastAsia="zh-CN"/>
              </w:rPr>
              <w:t>Herd immunity: 67% reduction in IMD by Y</w:t>
            </w:r>
            <w:r w:rsidR="004522CD" w:rsidRPr="00825206">
              <w:rPr>
                <w:rFonts w:ascii="Arial Narrow" w:hAnsi="Arial Narrow"/>
                <w:sz w:val="20"/>
                <w:szCs w:val="20"/>
                <w:lang w:eastAsia="zh-CN"/>
              </w:rPr>
              <w:t xml:space="preserve">ear </w:t>
            </w:r>
            <w:r w:rsidRPr="00825206">
              <w:rPr>
                <w:rFonts w:ascii="Arial Narrow" w:hAnsi="Arial Narrow"/>
                <w:sz w:val="20"/>
                <w:szCs w:val="20"/>
                <w:lang w:eastAsia="zh-CN"/>
              </w:rPr>
              <w:t>5 (and 5-y</w:t>
            </w:r>
            <w:r w:rsidR="004522CD" w:rsidRPr="00825206">
              <w:rPr>
                <w:rFonts w:ascii="Arial Narrow" w:hAnsi="Arial Narrow"/>
                <w:sz w:val="20"/>
                <w:szCs w:val="20"/>
                <w:lang w:eastAsia="zh-CN"/>
              </w:rPr>
              <w:t>ea</w:t>
            </w:r>
            <w:r w:rsidRPr="00825206">
              <w:rPr>
                <w:rFonts w:ascii="Arial Narrow" w:hAnsi="Arial Narrow"/>
                <w:sz w:val="20"/>
                <w:szCs w:val="20"/>
                <w:lang w:eastAsia="zh-CN"/>
              </w:rPr>
              <w:t>r wane)</w:t>
            </w:r>
            <w:r w:rsidR="00C342F4" w:rsidRPr="00825206">
              <w:rPr>
                <w:rFonts w:ascii="Arial Narrow" w:hAnsi="Arial Narrow"/>
                <w:sz w:val="20"/>
                <w:szCs w:val="20"/>
                <w:lang w:eastAsia="zh-CN"/>
              </w:rPr>
              <w:t xml:space="preserve"> </w:t>
            </w:r>
            <w:r w:rsidR="00C342F4" w:rsidRPr="00825206">
              <w:rPr>
                <w:rFonts w:ascii="Arial Narrow" w:hAnsi="Arial Narrow"/>
                <w:sz w:val="20"/>
                <w:szCs w:val="20"/>
              </w:rPr>
              <w:t>(base case 67% reduction in IMD by Year 10)</w:t>
            </w:r>
          </w:p>
        </w:tc>
        <w:tc>
          <w:tcPr>
            <w:tcW w:w="551"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sz w:val="20"/>
                <w:szCs w:val="20"/>
                <w:lang w:eastAsia="zh-CN"/>
              </w:rPr>
            </w:pPr>
            <w:r w:rsidRPr="00825206">
              <w:rPr>
                <w:rFonts w:ascii="Arial Narrow" w:hAnsi="Arial Narrow"/>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Annual costs of long-term complications = $23,454 (De </w:t>
            </w:r>
            <w:proofErr w:type="spellStart"/>
            <w:r w:rsidRPr="00825206">
              <w:rPr>
                <w:rFonts w:ascii="Arial Narrow" w:hAnsi="Arial Narrow"/>
                <w:color w:val="000000"/>
                <w:sz w:val="20"/>
                <w:szCs w:val="20"/>
                <w:lang w:eastAsia="zh-CN"/>
              </w:rPr>
              <w:t>Wals</w:t>
            </w:r>
            <w:proofErr w:type="spellEnd"/>
            <w:r w:rsidRPr="00825206">
              <w:rPr>
                <w:rFonts w:ascii="Arial Narrow" w:hAnsi="Arial Narrow"/>
                <w:color w:val="000000"/>
                <w:sz w:val="20"/>
                <w:szCs w:val="20"/>
                <w:lang w:eastAsia="zh-CN"/>
              </w:rPr>
              <w:t xml:space="preserve"> 2007)</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hideMark/>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 xml:space="preserve">Annual costs of long-term complications = $5,026 (De </w:t>
            </w:r>
            <w:proofErr w:type="spellStart"/>
            <w:r w:rsidRPr="00825206">
              <w:rPr>
                <w:rFonts w:ascii="Arial Narrow" w:hAnsi="Arial Narrow"/>
                <w:color w:val="000000"/>
                <w:sz w:val="20"/>
                <w:szCs w:val="20"/>
                <w:lang w:eastAsia="zh-CN"/>
              </w:rPr>
              <w:t>Wals</w:t>
            </w:r>
            <w:proofErr w:type="spellEnd"/>
            <w:r w:rsidRPr="00825206">
              <w:rPr>
                <w:rFonts w:ascii="Arial Narrow" w:hAnsi="Arial Narrow"/>
                <w:color w:val="000000"/>
                <w:sz w:val="20"/>
                <w:szCs w:val="20"/>
                <w:lang w:eastAsia="zh-CN"/>
              </w:rPr>
              <w:t xml:space="preserve"> 2007)</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hideMark/>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r w:rsidR="00CE0ABF" w:rsidRPr="00A0501F" w:rsidTr="00CE0ABF">
        <w:trPr>
          <w:trHeight w:val="255"/>
        </w:trPr>
        <w:tc>
          <w:tcPr>
            <w:tcW w:w="3928" w:type="pct"/>
            <w:shd w:val="clear" w:color="auto" w:fill="auto"/>
            <w:noWrap/>
          </w:tcPr>
          <w:p w:rsidR="006E2A8F" w:rsidRPr="00825206" w:rsidRDefault="006E2A8F" w:rsidP="003870F9">
            <w:pPr>
              <w:rPr>
                <w:rFonts w:ascii="Arial Narrow" w:hAnsi="Arial Narrow"/>
                <w:color w:val="000000"/>
                <w:sz w:val="20"/>
                <w:szCs w:val="20"/>
                <w:lang w:eastAsia="zh-CN"/>
              </w:rPr>
            </w:pPr>
            <w:r w:rsidRPr="00825206">
              <w:rPr>
                <w:rFonts w:ascii="Arial Narrow" w:hAnsi="Arial Narrow"/>
                <w:color w:val="000000"/>
                <w:sz w:val="20"/>
                <w:szCs w:val="20"/>
                <w:lang w:eastAsia="zh-CN"/>
              </w:rPr>
              <w:t>Annual costs of long-term complications = 0 (Included to gauge model results)</w:t>
            </w:r>
            <w:r w:rsidR="00C342F4" w:rsidRPr="00825206">
              <w:rPr>
                <w:rFonts w:ascii="Arial Narrow" w:hAnsi="Arial Narrow"/>
                <w:color w:val="000000"/>
                <w:sz w:val="20"/>
                <w:szCs w:val="20"/>
                <w:lang w:eastAsia="zh-CN"/>
              </w:rPr>
              <w:t xml:space="preserve"> (base case $15,069)</w:t>
            </w:r>
          </w:p>
        </w:tc>
        <w:tc>
          <w:tcPr>
            <w:tcW w:w="551"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c>
          <w:tcPr>
            <w:tcW w:w="522" w:type="pct"/>
            <w:shd w:val="clear" w:color="auto" w:fill="auto"/>
            <w:noWrap/>
          </w:tcPr>
          <w:p w:rsidR="006E2A8F" w:rsidRPr="00825206" w:rsidRDefault="006E2A8F" w:rsidP="003870F9">
            <w:pPr>
              <w:jc w:val="center"/>
              <w:rPr>
                <w:rFonts w:ascii="Arial Narrow" w:hAnsi="Arial Narrow"/>
                <w:color w:val="000000"/>
                <w:sz w:val="20"/>
                <w:szCs w:val="20"/>
                <w:lang w:eastAsia="zh-CN"/>
              </w:rPr>
            </w:pPr>
            <w:r w:rsidRPr="00825206">
              <w:rPr>
                <w:rFonts w:ascii="Arial Narrow" w:hAnsi="Arial Narrow"/>
                <w:color w:val="000000"/>
                <w:sz w:val="20"/>
                <w:szCs w:val="20"/>
                <w:lang w:eastAsia="zh-CN"/>
              </w:rPr>
              <w:t>$</w:t>
            </w:r>
            <w:r w:rsidR="0010557D">
              <w:rPr>
                <w:rFonts w:ascii="Arial Narrow" w:hAnsi="Arial Narrow"/>
                <w:noProof/>
                <w:color w:val="000000"/>
                <w:sz w:val="20"/>
                <w:szCs w:val="20"/>
                <w:highlight w:val="black"/>
                <w:lang w:eastAsia="zh-CN"/>
              </w:rPr>
              <w:t>''''''''''''''''</w:t>
            </w:r>
          </w:p>
        </w:tc>
      </w:tr>
    </w:tbl>
    <w:p w:rsidR="00952C36" w:rsidRDefault="00952C36" w:rsidP="00952C36">
      <w:pPr>
        <w:pStyle w:val="TableFooter"/>
        <w:widowControl/>
      </w:pPr>
      <w:r>
        <w:t>GP: General practitioner; IMD: invasive meningococcal disease; LY: life years; QALYs: quality adjusted life years; RR: Relative risk.</w:t>
      </w:r>
    </w:p>
    <w:p w:rsidR="006E2A8F" w:rsidRDefault="006E2A8F" w:rsidP="006E2A8F">
      <w:pPr>
        <w:pStyle w:val="TableFooter"/>
        <w:widowControl/>
      </w:pPr>
      <w:r w:rsidRPr="00D13A3E">
        <w:t xml:space="preserve">Source: </w:t>
      </w:r>
      <w:r>
        <w:t xml:space="preserve">Table 3.9.2, p. 197 </w:t>
      </w:r>
      <w:r w:rsidRPr="00D13A3E">
        <w:t>of the submission</w:t>
      </w:r>
      <w:r>
        <w:t xml:space="preserve"> and </w:t>
      </w:r>
      <w:r w:rsidRPr="00825206">
        <w:t>calculated during evaluation</w:t>
      </w:r>
      <w:r w:rsidRPr="00952C36">
        <w:rPr>
          <w:i/>
        </w:rPr>
        <w:t>)</w:t>
      </w:r>
    </w:p>
    <w:p w:rsidR="006E2A8F" w:rsidRDefault="006E2A8F" w:rsidP="006E2A8F"/>
    <w:p w:rsidR="0052392D" w:rsidRPr="00590BD8" w:rsidRDefault="00952C36" w:rsidP="009E2CAD">
      <w:pPr>
        <w:pStyle w:val="ListParagraph"/>
        <w:numPr>
          <w:ilvl w:val="1"/>
          <w:numId w:val="1"/>
        </w:numPr>
      </w:pPr>
      <w:r w:rsidRPr="00590BD8">
        <w:t>Overall, the ICER was most sensitive to herd immunity assumptions, discount rate, assumed background IMD incidence attributable to vaccine preventable serogroups and annual costs of long term complications</w:t>
      </w:r>
      <w:r w:rsidR="00A867BE">
        <w:t>.</w:t>
      </w:r>
    </w:p>
    <w:p w:rsidR="00B65D5C" w:rsidRPr="00B65D5C" w:rsidRDefault="00952C36" w:rsidP="00CE0ABF">
      <w:pPr>
        <w:pStyle w:val="ListParagraph"/>
        <w:numPr>
          <w:ilvl w:val="1"/>
          <w:numId w:val="1"/>
        </w:numPr>
      </w:pPr>
      <w:r w:rsidRPr="00590BD8">
        <w:t>Herd immunity had a substantial impact on the estimated ICER</w:t>
      </w:r>
      <w:r w:rsidR="00CE0ABF" w:rsidRPr="00590BD8">
        <w:t xml:space="preserve">. A reduction of 12.6% on carriage acquisition (herd immunity) (as per the 2015 submission for the 4CMenB program, which was based on nasopharyngeal carriage prevalence of </w:t>
      </w:r>
      <w:proofErr w:type="spellStart"/>
      <w:r w:rsidR="00CE0ABF" w:rsidRPr="00590BD8">
        <w:t>MenB</w:t>
      </w:r>
      <w:proofErr w:type="spellEnd"/>
      <w:r w:rsidR="00CE0ABF" w:rsidRPr="00590BD8">
        <w:t xml:space="preserve"> in a RCT </w:t>
      </w:r>
      <w:r w:rsidR="00CE0ABF" w:rsidRPr="00590BD8">
        <w:lastRenderedPageBreak/>
        <w:t>of the 4CMenB vaccine in young adults (Study V72_29, 1,958 university students)</w:t>
      </w:r>
      <w:r w:rsidR="00CE0ABF" w:rsidRPr="00590BD8">
        <w:rPr>
          <w:rStyle w:val="FootnoteReference"/>
        </w:rPr>
        <w:t xml:space="preserve"> </w:t>
      </w:r>
      <w:r w:rsidR="00CE0ABF" w:rsidRPr="00590BD8">
        <w:rPr>
          <w:rStyle w:val="FootnoteReference"/>
        </w:rPr>
        <w:footnoteReference w:id="13"/>
      </w:r>
      <w:r w:rsidR="00825206">
        <w:t xml:space="preserve">) </w:t>
      </w:r>
      <w:r w:rsidR="00CE0ABF" w:rsidRPr="00590BD8">
        <w:t xml:space="preserve">increased the ICER to </w:t>
      </w:r>
      <w:r w:rsidR="005901CE">
        <w:t>$</w:t>
      </w:r>
      <w:r w:rsidR="00416FC2">
        <w:t>105,000/QALY - $200,000</w:t>
      </w:r>
      <w:r w:rsidR="00CE0ABF" w:rsidRPr="00590BD8">
        <w:t>/QALY gained. This is because</w:t>
      </w:r>
      <w:r w:rsidRPr="00590BD8">
        <w:t xml:space="preserve"> all non-vaccinated individuals received the same herd immunity benefit (67% reduction in IMD). This assumption does not account for differential mixing and contract rates between age-classes. These indirect benefits were far more substantial than those estimated for the vaccinated proportion of the population. Consequently, the estimated ICER was not overly sensitiv</w:t>
      </w:r>
      <w:r w:rsidR="001E3153" w:rsidRPr="00590BD8">
        <w:t>e</w:t>
      </w:r>
      <w:r w:rsidRPr="00590BD8">
        <w:t xml:space="preserve"> to changes in vaccine efficacy, coverage, vaccine persistence and cost of delivery.</w:t>
      </w:r>
      <w:r w:rsidR="00A516D1">
        <w:rPr>
          <w:i/>
        </w:rPr>
        <w:t xml:space="preserve"> </w:t>
      </w:r>
    </w:p>
    <w:p w:rsidR="004C6306" w:rsidRPr="004C6306" w:rsidRDefault="004C6306" w:rsidP="00A867BE"/>
    <w:p w:rsidR="00C25D9C" w:rsidRPr="007267E3" w:rsidRDefault="00C25D9C" w:rsidP="00767B91">
      <w:pPr>
        <w:pStyle w:val="Heading2"/>
        <w:keepNext/>
        <w:rPr>
          <w:i w:val="0"/>
        </w:rPr>
      </w:pPr>
      <w:bookmarkStart w:id="13" w:name="_Toc501621783"/>
      <w:r w:rsidRPr="007267E3">
        <w:rPr>
          <w:i w:val="0"/>
        </w:rPr>
        <w:t>Drug cost/patient/course</w:t>
      </w:r>
      <w:bookmarkEnd w:id="13"/>
    </w:p>
    <w:p w:rsidR="00C25D9C" w:rsidRPr="00C25D9C" w:rsidRDefault="00C25D9C" w:rsidP="00E05630">
      <w:pPr>
        <w:keepNext/>
        <w:widowControl/>
      </w:pPr>
    </w:p>
    <w:p w:rsidR="009F419D" w:rsidRDefault="009F419D" w:rsidP="009E2CAD">
      <w:pPr>
        <w:pStyle w:val="ListParagraph"/>
        <w:numPr>
          <w:ilvl w:val="1"/>
          <w:numId w:val="1"/>
        </w:numPr>
      </w:pPr>
      <w:r w:rsidRPr="007F0507">
        <w:t>$</w:t>
      </w:r>
      <w:r w:rsidR="0010557D">
        <w:rPr>
          <w:noProof/>
          <w:color w:val="000000"/>
          <w:highlight w:val="black"/>
        </w:rPr>
        <w:t>'''''''''''</w:t>
      </w:r>
      <w:r w:rsidRPr="007F0507">
        <w:t xml:space="preserve">, assuming a single dose per patient. </w:t>
      </w:r>
    </w:p>
    <w:p w:rsidR="00B60939" w:rsidRPr="007267E3" w:rsidRDefault="00B60939" w:rsidP="007869D0">
      <w:pPr>
        <w:pStyle w:val="Heading2"/>
        <w:keepNext/>
        <w:rPr>
          <w:i w:val="0"/>
        </w:rPr>
      </w:pPr>
      <w:bookmarkStart w:id="14" w:name="_Toc501621784"/>
      <w:r w:rsidRPr="007267E3">
        <w:rPr>
          <w:i w:val="0"/>
        </w:rPr>
        <w:t>Estimated PBS usage &amp; financial implications</w:t>
      </w:r>
      <w:bookmarkEnd w:id="14"/>
    </w:p>
    <w:p w:rsidR="00B60939" w:rsidRPr="003C11A3" w:rsidRDefault="00B60939" w:rsidP="007869D0">
      <w:pPr>
        <w:keepNext/>
        <w:ind w:left="720" w:hanging="720"/>
        <w:rPr>
          <w:b/>
          <w:i/>
          <w:highlight w:val="yellow"/>
        </w:rPr>
      </w:pPr>
    </w:p>
    <w:p w:rsidR="009F419D" w:rsidRPr="00EF0362" w:rsidRDefault="009F419D" w:rsidP="009E2CAD">
      <w:pPr>
        <w:pStyle w:val="ListParagraph"/>
        <w:widowControl/>
        <w:numPr>
          <w:ilvl w:val="1"/>
          <w:numId w:val="1"/>
        </w:numPr>
      </w:pPr>
      <w:r w:rsidRPr="00952C36">
        <w:t xml:space="preserve">This submission was not considered by DUSC. The submission </w:t>
      </w:r>
      <w:r w:rsidR="00952C36" w:rsidRPr="00952C36">
        <w:t>used</w:t>
      </w:r>
      <w:r w:rsidRPr="00952C36">
        <w:t xml:space="preserve"> a population</w:t>
      </w:r>
      <w:r w:rsidRPr="00952C36">
        <w:noBreakHyphen/>
        <w:t xml:space="preserve">based approach to estimate the </w:t>
      </w:r>
      <w:proofErr w:type="spellStart"/>
      <w:r w:rsidRPr="00952C36">
        <w:t>MenACWY</w:t>
      </w:r>
      <w:proofErr w:type="spellEnd"/>
      <w:r w:rsidRPr="00952C36">
        <w:t xml:space="preserve">-TT vaccine usage and financial </w:t>
      </w:r>
      <w:r w:rsidRPr="00EF0362">
        <w:t>implication for th</w:t>
      </w:r>
      <w:r w:rsidR="00952C36" w:rsidRPr="00EF0362">
        <w:t>e primary and catch-up program.</w:t>
      </w:r>
    </w:p>
    <w:p w:rsidR="009F419D" w:rsidRPr="00EF0362" w:rsidRDefault="009F419D" w:rsidP="009E2CAD">
      <w:pPr>
        <w:pStyle w:val="ListParagraph"/>
        <w:widowControl/>
        <w:numPr>
          <w:ilvl w:val="1"/>
          <w:numId w:val="1"/>
        </w:numPr>
      </w:pPr>
      <w:r w:rsidRPr="00EF0362">
        <w:t xml:space="preserve">Key </w:t>
      </w:r>
      <w:r w:rsidR="006C4EA6">
        <w:t xml:space="preserve">data </w:t>
      </w:r>
      <w:r w:rsidRPr="00EF0362">
        <w:t xml:space="preserve">sources were ABS population projections, ABS summary table of full-time equivalent students (by level and year of education, 2016), ABS audit of proportion of school leavers aged 17-19 years, average uptake rate of HPV vaccine and </w:t>
      </w:r>
      <w:proofErr w:type="spellStart"/>
      <w:r w:rsidRPr="00EF0362">
        <w:t>MenC</w:t>
      </w:r>
      <w:proofErr w:type="spellEnd"/>
      <w:r w:rsidRPr="00EF0362">
        <w:t xml:space="preserve"> vaccine in NSW, </w:t>
      </w:r>
      <w:r w:rsidR="00EF0362" w:rsidRPr="00EF0362">
        <w:t xml:space="preserve">and </w:t>
      </w:r>
      <w:r w:rsidRPr="00EF0362">
        <w:t xml:space="preserve">Lawrence et al.’s (2016) </w:t>
      </w:r>
      <w:r w:rsidRPr="00EF0362">
        <w:rPr>
          <w:rStyle w:val="FootnoteReference"/>
        </w:rPr>
        <w:footnoteReference w:id="14"/>
      </w:r>
      <w:r w:rsidRPr="00EF0362">
        <w:t xml:space="preserve"> publication on the uptake rate of catc</w:t>
      </w:r>
      <w:r w:rsidR="00EF0362" w:rsidRPr="00EF0362">
        <w:t>h-up program</w:t>
      </w:r>
      <w:r w:rsidR="006C4EA6">
        <w:t>s</w:t>
      </w:r>
      <w:r w:rsidR="00EF0362" w:rsidRPr="00EF0362">
        <w:t xml:space="preserve"> via school</w:t>
      </w:r>
      <w:r w:rsidR="006C4EA6">
        <w:t>s</w:t>
      </w:r>
      <w:r w:rsidR="00EF0362" w:rsidRPr="00EF0362">
        <w:t xml:space="preserve"> and GP</w:t>
      </w:r>
      <w:r w:rsidR="006C4EA6">
        <w:t>s</w:t>
      </w:r>
      <w:r w:rsidR="00EF0362" w:rsidRPr="00EF0362">
        <w:t>.</w:t>
      </w:r>
    </w:p>
    <w:p w:rsidR="009F419D" w:rsidRPr="00EF0362" w:rsidRDefault="009F419D" w:rsidP="009E2CAD">
      <w:pPr>
        <w:pStyle w:val="ListParagraph"/>
        <w:widowControl/>
        <w:numPr>
          <w:ilvl w:val="1"/>
          <w:numId w:val="1"/>
        </w:numPr>
      </w:pPr>
      <w:r w:rsidRPr="00EF0362">
        <w:t xml:space="preserve">Estimated use and financial implications of the primary and catch-up vaccination programs are presented in </w:t>
      </w:r>
      <w:r w:rsidRPr="00EF6096">
        <w:t xml:space="preserve">Table </w:t>
      </w:r>
      <w:r w:rsidR="006308D0" w:rsidRPr="00EF6096">
        <w:t>1</w:t>
      </w:r>
      <w:r w:rsidR="006308D0">
        <w:t>4</w:t>
      </w:r>
      <w:r w:rsidRPr="00EF6096">
        <w:t>.</w:t>
      </w:r>
    </w:p>
    <w:p w:rsidR="00C25D9C" w:rsidRPr="00EF0362" w:rsidRDefault="002A2F50" w:rsidP="009F419D">
      <w:pPr>
        <w:keepNext/>
      </w:pPr>
      <w:r w:rsidRPr="00EF0362">
        <w:rPr>
          <w:rStyle w:val="CommentReference"/>
        </w:rPr>
        <w:t xml:space="preserve">Table </w:t>
      </w:r>
      <w:r w:rsidR="006308D0">
        <w:rPr>
          <w:rStyle w:val="CommentReference"/>
        </w:rPr>
        <w:t>14</w:t>
      </w:r>
      <w:r w:rsidRPr="00EF0362">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2"/>
        <w:gridCol w:w="988"/>
        <w:gridCol w:w="1274"/>
        <w:gridCol w:w="988"/>
        <w:gridCol w:w="1130"/>
        <w:gridCol w:w="1060"/>
        <w:gridCol w:w="1153"/>
      </w:tblGrid>
      <w:tr w:rsidR="009F419D" w:rsidRPr="00EF0362" w:rsidTr="00EF0362">
        <w:trPr>
          <w:tblHeader/>
        </w:trPr>
        <w:tc>
          <w:tcPr>
            <w:tcW w:w="1346" w:type="pct"/>
            <w:shd w:val="clear" w:color="auto" w:fill="auto"/>
            <w:vAlign w:val="center"/>
          </w:tcPr>
          <w:p w:rsidR="009F419D" w:rsidRPr="00EF0362" w:rsidRDefault="009F419D" w:rsidP="009F419D">
            <w:pPr>
              <w:pStyle w:val="Tabletext"/>
            </w:pPr>
          </w:p>
        </w:tc>
        <w:tc>
          <w:tcPr>
            <w:tcW w:w="555" w:type="pct"/>
            <w:shd w:val="clear" w:color="auto" w:fill="auto"/>
            <w:vAlign w:val="center"/>
          </w:tcPr>
          <w:p w:rsidR="009F419D" w:rsidRPr="00EF0362" w:rsidRDefault="009F419D" w:rsidP="009F419D">
            <w:pPr>
              <w:pStyle w:val="Tabletext"/>
              <w:jc w:val="center"/>
              <w:rPr>
                <w:b/>
              </w:rPr>
            </w:pPr>
            <w:r w:rsidRPr="00EF0362">
              <w:rPr>
                <w:b/>
              </w:rPr>
              <w:t>Year 1</w:t>
            </w:r>
          </w:p>
        </w:tc>
        <w:tc>
          <w:tcPr>
            <w:tcW w:w="714" w:type="pct"/>
            <w:shd w:val="clear" w:color="auto" w:fill="auto"/>
            <w:vAlign w:val="center"/>
          </w:tcPr>
          <w:p w:rsidR="009F419D" w:rsidRPr="00EF0362" w:rsidRDefault="009F419D" w:rsidP="009F419D">
            <w:pPr>
              <w:pStyle w:val="Tabletext"/>
              <w:jc w:val="center"/>
              <w:rPr>
                <w:b/>
              </w:rPr>
            </w:pPr>
            <w:r w:rsidRPr="00EF0362">
              <w:rPr>
                <w:b/>
              </w:rPr>
              <w:t>Year 2</w:t>
            </w:r>
          </w:p>
        </w:tc>
        <w:tc>
          <w:tcPr>
            <w:tcW w:w="555" w:type="pct"/>
            <w:shd w:val="clear" w:color="auto" w:fill="auto"/>
            <w:vAlign w:val="center"/>
          </w:tcPr>
          <w:p w:rsidR="009F419D" w:rsidRPr="00EF0362" w:rsidRDefault="009F419D" w:rsidP="009F419D">
            <w:pPr>
              <w:pStyle w:val="Tabletext"/>
              <w:jc w:val="center"/>
              <w:rPr>
                <w:b/>
              </w:rPr>
            </w:pPr>
            <w:r w:rsidRPr="00EF0362">
              <w:rPr>
                <w:b/>
              </w:rPr>
              <w:t>Year 3</w:t>
            </w:r>
          </w:p>
        </w:tc>
        <w:tc>
          <w:tcPr>
            <w:tcW w:w="634" w:type="pct"/>
            <w:shd w:val="clear" w:color="auto" w:fill="auto"/>
            <w:vAlign w:val="center"/>
          </w:tcPr>
          <w:p w:rsidR="009F419D" w:rsidRPr="00EF0362" w:rsidRDefault="009F419D" w:rsidP="009F419D">
            <w:pPr>
              <w:pStyle w:val="Tabletext"/>
              <w:jc w:val="center"/>
              <w:rPr>
                <w:b/>
              </w:rPr>
            </w:pPr>
            <w:r w:rsidRPr="00EF0362">
              <w:rPr>
                <w:b/>
              </w:rPr>
              <w:t>Year 4</w:t>
            </w:r>
          </w:p>
        </w:tc>
        <w:tc>
          <w:tcPr>
            <w:tcW w:w="549" w:type="pct"/>
            <w:shd w:val="clear" w:color="auto" w:fill="auto"/>
            <w:vAlign w:val="center"/>
          </w:tcPr>
          <w:p w:rsidR="009F419D" w:rsidRPr="00EF0362" w:rsidRDefault="009F419D" w:rsidP="009F419D">
            <w:pPr>
              <w:pStyle w:val="Tabletext"/>
              <w:jc w:val="center"/>
              <w:rPr>
                <w:b/>
              </w:rPr>
            </w:pPr>
            <w:r w:rsidRPr="00EF0362">
              <w:rPr>
                <w:b/>
              </w:rPr>
              <w:t>Year 5</w:t>
            </w:r>
          </w:p>
        </w:tc>
        <w:tc>
          <w:tcPr>
            <w:tcW w:w="647" w:type="pct"/>
            <w:shd w:val="clear" w:color="auto" w:fill="auto"/>
          </w:tcPr>
          <w:p w:rsidR="009F419D" w:rsidRPr="00EF0362" w:rsidRDefault="009F419D" w:rsidP="009F419D">
            <w:pPr>
              <w:pStyle w:val="Tabletext"/>
              <w:jc w:val="center"/>
              <w:rPr>
                <w:b/>
              </w:rPr>
            </w:pPr>
            <w:r w:rsidRPr="00EF0362">
              <w:rPr>
                <w:b/>
              </w:rPr>
              <w:t>Year 6</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rPr>
            </w:pPr>
            <w:r w:rsidRPr="00EF0362">
              <w:rPr>
                <w:b/>
                <w:bCs/>
                <w:color w:val="000000"/>
              </w:rPr>
              <w:t>Estimated extent of use</w:t>
            </w:r>
          </w:p>
        </w:tc>
      </w:tr>
      <w:tr w:rsidR="009F419D" w:rsidRPr="003C11A3" w:rsidTr="00EF0362">
        <w:tc>
          <w:tcPr>
            <w:tcW w:w="1346" w:type="pct"/>
            <w:shd w:val="clear" w:color="auto" w:fill="auto"/>
            <w:vAlign w:val="center"/>
          </w:tcPr>
          <w:p w:rsidR="009F419D" w:rsidRPr="00EF0362" w:rsidRDefault="009F419D" w:rsidP="006C4EA6">
            <w:pPr>
              <w:pStyle w:val="Tabletext"/>
              <w:rPr>
                <w:szCs w:val="20"/>
              </w:rPr>
            </w:pPr>
            <w:r w:rsidRPr="00EF0362">
              <w:rPr>
                <w:szCs w:val="20"/>
              </w:rPr>
              <w:t xml:space="preserve">Number of the </w:t>
            </w:r>
            <w:proofErr w:type="spellStart"/>
            <w:r w:rsidRPr="00EF0362">
              <w:rPr>
                <w:szCs w:val="20"/>
              </w:rPr>
              <w:t>MenACWY</w:t>
            </w:r>
            <w:proofErr w:type="spellEnd"/>
            <w:r w:rsidRPr="00EF0362">
              <w:rPr>
                <w:szCs w:val="20"/>
              </w:rPr>
              <w:t xml:space="preserve">-TT vaccines used in the primary </w:t>
            </w:r>
            <w:proofErr w:type="spellStart"/>
            <w:r w:rsidRPr="00EF0362">
              <w:rPr>
                <w:szCs w:val="20"/>
              </w:rPr>
              <w:t>program</w:t>
            </w:r>
            <w:r w:rsidR="006C4EA6" w:rsidRPr="006C4EA6">
              <w:rPr>
                <w:szCs w:val="20"/>
                <w:vertAlign w:val="superscript"/>
              </w:rPr>
              <w:t>a</w:t>
            </w:r>
            <w:proofErr w:type="spellEnd"/>
            <w:r w:rsidR="00DF66E1">
              <w:rPr>
                <w:szCs w:val="20"/>
                <w:vertAlign w:val="superscript"/>
              </w:rPr>
              <w:t xml:space="preserve"> </w:t>
            </w:r>
            <w:r w:rsidR="00DF66E1" w:rsidRPr="00DF66E1">
              <w:rPr>
                <w:szCs w:val="20"/>
              </w:rPr>
              <w:t>(</w:t>
            </w:r>
            <w:r w:rsidR="00DF66E1">
              <w:rPr>
                <w:szCs w:val="20"/>
              </w:rPr>
              <w:t>80% uptake)</w:t>
            </w:r>
          </w:p>
        </w:tc>
        <w:tc>
          <w:tcPr>
            <w:tcW w:w="555"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714"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555"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634"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549"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c>
          <w:tcPr>
            <w:tcW w:w="647" w:type="pct"/>
            <w:shd w:val="clear" w:color="auto" w:fill="auto"/>
            <w:vAlign w:val="center"/>
          </w:tcPr>
          <w:p w:rsidR="009F419D" w:rsidRPr="0010557D" w:rsidRDefault="0010557D" w:rsidP="009F419D">
            <w:pPr>
              <w:pStyle w:val="Tabletext"/>
              <w:jc w:val="center"/>
              <w:rPr>
                <w:bCs/>
                <w:color w:val="000000"/>
                <w:szCs w:val="20"/>
                <w:highlight w:val="black"/>
              </w:rPr>
            </w:pPr>
            <w:r>
              <w:rPr>
                <w:rFonts w:cs="Arial"/>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6C4EA6">
            <w:pPr>
              <w:pStyle w:val="Tabletext"/>
              <w:rPr>
                <w:szCs w:val="20"/>
              </w:rPr>
            </w:pPr>
            <w:r w:rsidRPr="00EF0362">
              <w:rPr>
                <w:szCs w:val="20"/>
              </w:rPr>
              <w:t xml:space="preserve">Number of the </w:t>
            </w:r>
            <w:proofErr w:type="spellStart"/>
            <w:r w:rsidRPr="00EF0362">
              <w:rPr>
                <w:szCs w:val="20"/>
              </w:rPr>
              <w:t>MenACWY</w:t>
            </w:r>
            <w:proofErr w:type="spellEnd"/>
            <w:r w:rsidRPr="00EF0362">
              <w:rPr>
                <w:szCs w:val="20"/>
              </w:rPr>
              <w:t xml:space="preserve">-TT vaccines used in the catch-up </w:t>
            </w:r>
            <w:proofErr w:type="spellStart"/>
            <w:r w:rsidRPr="00EF0362">
              <w:rPr>
                <w:szCs w:val="20"/>
              </w:rPr>
              <w:t>program</w:t>
            </w:r>
            <w:r w:rsidR="006C4EA6" w:rsidRPr="006C4EA6">
              <w:rPr>
                <w:szCs w:val="20"/>
                <w:vertAlign w:val="superscript"/>
              </w:rPr>
              <w:t>a</w:t>
            </w:r>
            <w:proofErr w:type="spellEnd"/>
            <w:r w:rsidR="00DF66E1">
              <w:rPr>
                <w:szCs w:val="20"/>
              </w:rPr>
              <w:t xml:space="preserve"> (22% uptake)</w:t>
            </w:r>
          </w:p>
        </w:tc>
        <w:tc>
          <w:tcPr>
            <w:tcW w:w="555"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714"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555"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634"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549" w:type="pct"/>
            <w:shd w:val="clear" w:color="auto" w:fill="auto"/>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c>
          <w:tcPr>
            <w:tcW w:w="647" w:type="pct"/>
            <w:vAlign w:val="center"/>
          </w:tcPr>
          <w:p w:rsidR="009F419D" w:rsidRPr="0010557D" w:rsidRDefault="0010557D" w:rsidP="009F419D">
            <w:pPr>
              <w:pStyle w:val="Tabletext"/>
              <w:jc w:val="center"/>
              <w:rPr>
                <w:rFonts w:cs="Arial"/>
                <w:color w:val="000000"/>
                <w:szCs w:val="20"/>
                <w:highlight w:val="black"/>
              </w:rPr>
            </w:pPr>
            <w:r>
              <w:rPr>
                <w:rFonts w:cs="Arial"/>
                <w:noProof/>
                <w:color w:val="000000"/>
                <w:szCs w:val="20"/>
                <w:highlight w:val="black"/>
              </w:rPr>
              <w:t>'''''''''''''''</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szCs w:val="20"/>
              </w:rPr>
            </w:pPr>
            <w:r w:rsidRPr="00EF0362">
              <w:rPr>
                <w:b/>
                <w:bCs/>
                <w:color w:val="000000"/>
                <w:szCs w:val="20"/>
              </w:rPr>
              <w:t>Estimated financial implications of the primary program (Year 10 adolescents vaccination program)</w:t>
            </w:r>
          </w:p>
        </w:tc>
      </w:tr>
      <w:tr w:rsidR="009F419D" w:rsidRPr="00EF0362"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Cost to NIP</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color w:val="000000"/>
                <w:szCs w:val="20"/>
              </w:rPr>
              <w:t>$</w:t>
            </w:r>
            <w:r w:rsidR="0010557D">
              <w:rPr>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proofErr w:type="spellStart"/>
            <w:r w:rsidRPr="00EF0362">
              <w:rPr>
                <w:szCs w:val="20"/>
              </w:rPr>
              <w:t>Copayments</w:t>
            </w:r>
            <w:proofErr w:type="spellEnd"/>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47" w:type="pct"/>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Cs/>
                <w:color w:val="000000"/>
                <w:szCs w:val="20"/>
              </w:rPr>
            </w:pPr>
            <w:r w:rsidRPr="00EF0362">
              <w:rPr>
                <w:b/>
                <w:bCs/>
                <w:color w:val="000000"/>
                <w:szCs w:val="20"/>
              </w:rPr>
              <w:lastRenderedPageBreak/>
              <w:t>Estimated financial implications of the catch-up program</w:t>
            </w:r>
          </w:p>
        </w:tc>
      </w:tr>
      <w:tr w:rsidR="009F419D" w:rsidRPr="003C11A3" w:rsidTr="00EF0362">
        <w:tc>
          <w:tcPr>
            <w:tcW w:w="1346" w:type="pct"/>
            <w:shd w:val="clear" w:color="auto" w:fill="auto"/>
            <w:vAlign w:val="center"/>
          </w:tcPr>
          <w:p w:rsidR="009F419D" w:rsidRPr="00EF0362" w:rsidRDefault="009F419D" w:rsidP="009F419D">
            <w:pPr>
              <w:pStyle w:val="Tabletext"/>
              <w:rPr>
                <w:szCs w:val="20"/>
              </w:rPr>
            </w:pPr>
            <w:r w:rsidRPr="00EF0362">
              <w:rPr>
                <w:szCs w:val="20"/>
              </w:rPr>
              <w:t>Cost to NIP</w:t>
            </w:r>
          </w:p>
        </w:tc>
        <w:tc>
          <w:tcPr>
            <w:tcW w:w="555"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714"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55"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34"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49"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47" w:type="pct"/>
            <w:shd w:val="clear" w:color="auto" w:fill="auto"/>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r>
      <w:tr w:rsidR="009F419D" w:rsidRPr="00EF0362"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 xml:space="preserve">Cost to MBS </w:t>
            </w:r>
            <w:r w:rsidRPr="00EF0362">
              <w:rPr>
                <w:szCs w:val="20"/>
                <w:vertAlign w:val="superscript"/>
              </w:rPr>
              <w:t>b</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rFonts w:eastAsia="SimSun"/>
                <w:szCs w:val="20"/>
              </w:rPr>
              <w:t>$</w:t>
            </w:r>
            <w:r w:rsidR="0010557D">
              <w:rPr>
                <w:rFonts w:eastAsia="SimSun"/>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proofErr w:type="spellStart"/>
            <w:r w:rsidRPr="00EF0362">
              <w:rPr>
                <w:szCs w:val="20"/>
              </w:rPr>
              <w:t>Copayments</w:t>
            </w:r>
            <w:proofErr w:type="spellEnd"/>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c>
          <w:tcPr>
            <w:tcW w:w="647" w:type="pct"/>
            <w:vAlign w:val="center"/>
          </w:tcPr>
          <w:p w:rsidR="009F419D" w:rsidRPr="00EF0362" w:rsidRDefault="009F419D" w:rsidP="009F419D">
            <w:pPr>
              <w:pStyle w:val="Tabletext"/>
              <w:jc w:val="center"/>
              <w:rPr>
                <w:bCs/>
                <w:color w:val="000000"/>
                <w:szCs w:val="20"/>
              </w:rPr>
            </w:pPr>
            <w:r w:rsidRPr="00EF0362">
              <w:rPr>
                <w:rFonts w:cs="Arial"/>
                <w:bCs/>
                <w:color w:val="000000"/>
                <w:szCs w:val="20"/>
                <w:lang w:val="en-US"/>
              </w:rPr>
              <w:t>$0</w:t>
            </w:r>
          </w:p>
        </w:tc>
      </w:tr>
      <w:tr w:rsidR="009F419D" w:rsidRPr="00EF0362" w:rsidTr="009F419D">
        <w:tc>
          <w:tcPr>
            <w:tcW w:w="5000" w:type="pct"/>
            <w:gridSpan w:val="7"/>
            <w:shd w:val="clear" w:color="auto" w:fill="auto"/>
            <w:vAlign w:val="center"/>
          </w:tcPr>
          <w:p w:rsidR="009F419D" w:rsidRPr="00EF0362" w:rsidRDefault="009F419D" w:rsidP="009F419D">
            <w:pPr>
              <w:pStyle w:val="Tabletext"/>
              <w:rPr>
                <w:b/>
                <w:bCs/>
                <w:color w:val="000000"/>
                <w:szCs w:val="20"/>
              </w:rPr>
            </w:pPr>
            <w:r w:rsidRPr="00EF0362">
              <w:rPr>
                <w:b/>
                <w:bCs/>
                <w:color w:val="000000"/>
                <w:szCs w:val="20"/>
              </w:rPr>
              <w:t>Net financial implications</w:t>
            </w:r>
            <w:r w:rsidRPr="00EF0362">
              <w:rPr>
                <w:b/>
                <w:bCs/>
                <w:color w:val="4BACC6" w:themeColor="accent5"/>
                <w:szCs w:val="20"/>
              </w:rPr>
              <w:t xml:space="preserve"> </w:t>
            </w:r>
          </w:p>
        </w:tc>
      </w:tr>
      <w:tr w:rsidR="00EF0362" w:rsidRPr="003C11A3" w:rsidTr="009F419D">
        <w:tc>
          <w:tcPr>
            <w:tcW w:w="1346" w:type="pct"/>
            <w:shd w:val="clear" w:color="auto" w:fill="auto"/>
            <w:vAlign w:val="center"/>
          </w:tcPr>
          <w:p w:rsidR="00EF0362" w:rsidRPr="00EF0362" w:rsidRDefault="00EF0362" w:rsidP="00EF0362">
            <w:pPr>
              <w:pStyle w:val="Tabletext"/>
              <w:rPr>
                <w:szCs w:val="20"/>
              </w:rPr>
            </w:pPr>
            <w:r w:rsidRPr="00EF0362">
              <w:rPr>
                <w:szCs w:val="20"/>
              </w:rPr>
              <w:t>Net cost to NIP</w:t>
            </w:r>
          </w:p>
        </w:tc>
        <w:tc>
          <w:tcPr>
            <w:tcW w:w="555"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714"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555"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634"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549" w:type="pct"/>
            <w:shd w:val="clear" w:color="auto" w:fill="auto"/>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c>
          <w:tcPr>
            <w:tcW w:w="647" w:type="pct"/>
            <w:vAlign w:val="center"/>
          </w:tcPr>
          <w:p w:rsidR="00EF0362" w:rsidRPr="00EF0362" w:rsidRDefault="00EF0362" w:rsidP="00EF0362">
            <w:pPr>
              <w:pStyle w:val="Tabletext"/>
              <w:jc w:val="center"/>
              <w:rPr>
                <w:szCs w:val="20"/>
              </w:rPr>
            </w:pPr>
            <w:r w:rsidRPr="00EF0362">
              <w:rPr>
                <w:szCs w:val="20"/>
              </w:rPr>
              <w:t>$</w:t>
            </w:r>
            <w:r w:rsidR="0010557D">
              <w:rPr>
                <w:noProof/>
                <w:color w:val="000000"/>
                <w:szCs w:val="20"/>
                <w:highlight w:val="black"/>
              </w:rPr>
              <w:t>''''''''''''''''''''''''''''</w:t>
            </w:r>
          </w:p>
        </w:tc>
      </w:tr>
      <w:tr w:rsidR="009F419D" w:rsidRPr="003C11A3" w:rsidTr="009F419D">
        <w:tc>
          <w:tcPr>
            <w:tcW w:w="1346" w:type="pct"/>
            <w:shd w:val="clear" w:color="auto" w:fill="auto"/>
            <w:vAlign w:val="center"/>
          </w:tcPr>
          <w:p w:rsidR="009F419D" w:rsidRPr="00EF0362" w:rsidRDefault="009F419D" w:rsidP="009F419D">
            <w:pPr>
              <w:pStyle w:val="Tabletext"/>
              <w:rPr>
                <w:szCs w:val="20"/>
              </w:rPr>
            </w:pPr>
            <w:r w:rsidRPr="00EF0362">
              <w:rPr>
                <w:szCs w:val="20"/>
              </w:rPr>
              <w:t>Net cost to the Australian Government health budget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714"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55"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34"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549" w:type="pct"/>
            <w:shd w:val="clear" w:color="auto" w:fill="auto"/>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c>
          <w:tcPr>
            <w:tcW w:w="647" w:type="pct"/>
            <w:vAlign w:val="center"/>
          </w:tcPr>
          <w:p w:rsidR="009F419D" w:rsidRPr="00EF0362" w:rsidRDefault="009F419D" w:rsidP="009F419D">
            <w:pPr>
              <w:pStyle w:val="Tabletext"/>
              <w:jc w:val="center"/>
              <w:rPr>
                <w:bCs/>
                <w:color w:val="000000"/>
                <w:szCs w:val="20"/>
              </w:rPr>
            </w:pPr>
            <w:r w:rsidRPr="00EF0362">
              <w:rPr>
                <w:szCs w:val="20"/>
              </w:rPr>
              <w:t>$</w:t>
            </w:r>
            <w:r w:rsidR="0010557D">
              <w:rPr>
                <w:noProof/>
                <w:color w:val="000000"/>
                <w:szCs w:val="20"/>
                <w:highlight w:val="black"/>
              </w:rPr>
              <w:t>'''''''''''''''''''''''''''</w:t>
            </w:r>
          </w:p>
        </w:tc>
      </w:tr>
    </w:tbl>
    <w:p w:rsidR="00EF0362" w:rsidRPr="00EF0362" w:rsidRDefault="00EF0362" w:rsidP="00EF0362">
      <w:pPr>
        <w:pStyle w:val="TableFooter"/>
        <w:rPr>
          <w:rStyle w:val="CommentReference"/>
        </w:rPr>
      </w:pPr>
      <w:r w:rsidRPr="00EF0362">
        <w:t>NIP: National Immunisation Program, GP: general practitioner</w:t>
      </w:r>
    </w:p>
    <w:p w:rsidR="006C4EA6" w:rsidRDefault="006C4EA6" w:rsidP="009F419D">
      <w:pPr>
        <w:pStyle w:val="TableFooter"/>
        <w:tabs>
          <w:tab w:val="left" w:pos="142"/>
        </w:tabs>
      </w:pPr>
      <w:proofErr w:type="spellStart"/>
      <w:proofErr w:type="gramStart"/>
      <w:r w:rsidRPr="006C4EA6">
        <w:rPr>
          <w:vertAlign w:val="superscript"/>
        </w:rPr>
        <w:t>a</w:t>
      </w:r>
      <w:proofErr w:type="spellEnd"/>
      <w:proofErr w:type="gramEnd"/>
      <w:r>
        <w:t xml:space="preserve"> </w:t>
      </w:r>
      <w:r w:rsidR="009F419D" w:rsidRPr="00EF0362">
        <w:t xml:space="preserve">Assuming a single dose per patient. </w:t>
      </w:r>
    </w:p>
    <w:p w:rsidR="009F419D" w:rsidRPr="00EF0362" w:rsidRDefault="009F419D" w:rsidP="009F419D">
      <w:pPr>
        <w:pStyle w:val="TableFooter"/>
        <w:tabs>
          <w:tab w:val="left" w:pos="142"/>
        </w:tabs>
      </w:pPr>
      <w:proofErr w:type="gramStart"/>
      <w:r w:rsidRPr="00EF0362">
        <w:rPr>
          <w:szCs w:val="20"/>
          <w:vertAlign w:val="superscript"/>
        </w:rPr>
        <w:t>b</w:t>
      </w:r>
      <w:proofErr w:type="gramEnd"/>
      <w:r w:rsidRPr="00EF0362">
        <w:rPr>
          <w:szCs w:val="20"/>
          <w:vertAlign w:val="superscript"/>
        </w:rPr>
        <w:t xml:space="preserve"> </w:t>
      </w:r>
      <w:r w:rsidRPr="00EF0362">
        <w:rPr>
          <w:szCs w:val="20"/>
        </w:rPr>
        <w:t xml:space="preserve">In the catch-up program, adolescents might receive the vaccination through their GP. </w:t>
      </w:r>
    </w:p>
    <w:p w:rsidR="009F419D" w:rsidRDefault="009F419D" w:rsidP="009F419D">
      <w:pPr>
        <w:pStyle w:val="TableFooter"/>
      </w:pPr>
      <w:r w:rsidRPr="00EF0362">
        <w:t>Source: Table 4.2.1, p208 in the submission, Table 4.2.2, p210 in the submission, Table 4.2.3, p211 in the submission, Table 4.2.4, p212 in the submission.</w:t>
      </w:r>
    </w:p>
    <w:p w:rsidR="004C3F39" w:rsidRPr="00EF0362" w:rsidRDefault="004C3F39" w:rsidP="009F419D">
      <w:pPr>
        <w:pStyle w:val="TableFooter"/>
      </w:pPr>
    </w:p>
    <w:p w:rsidR="00C25D9C" w:rsidRDefault="004C3F39" w:rsidP="00C25D9C">
      <w:pPr>
        <w:widowControl/>
      </w:pPr>
      <w:r w:rsidRPr="004C3F39">
        <w:t>The red</w:t>
      </w:r>
      <w:r>
        <w:t>acted table shows that at year 6</w:t>
      </w:r>
      <w:r w:rsidRPr="004C3F39">
        <w:t xml:space="preserve">, the estimated number of patients was over 200,000 per year and the net cost to the </w:t>
      </w:r>
      <w:r>
        <w:t>Government</w:t>
      </w:r>
      <w:r w:rsidRPr="004C3F39">
        <w:t xml:space="preserve"> would be </w:t>
      </w:r>
      <w:r>
        <w:t>$10 – $20 million in</w:t>
      </w:r>
      <w:r w:rsidRPr="004C3F39">
        <w:t xml:space="preserve"> year</w:t>
      </w:r>
      <w:r>
        <w:t xml:space="preserve"> 6.</w:t>
      </w:r>
    </w:p>
    <w:p w:rsidR="004C3F39" w:rsidRPr="003C11A3" w:rsidRDefault="004C3F39" w:rsidP="00C25D9C">
      <w:pPr>
        <w:widowControl/>
        <w:rPr>
          <w:highlight w:val="yellow"/>
        </w:rPr>
      </w:pPr>
    </w:p>
    <w:p w:rsidR="009F419D" w:rsidRPr="00EF0362" w:rsidRDefault="009F419D" w:rsidP="009E2CAD">
      <w:pPr>
        <w:pStyle w:val="ListParagraph"/>
        <w:widowControl/>
        <w:numPr>
          <w:ilvl w:val="1"/>
          <w:numId w:val="1"/>
        </w:numPr>
      </w:pPr>
      <w:r w:rsidRPr="00EF0362">
        <w:t xml:space="preserve">The submission estimated a total use of </w:t>
      </w:r>
      <w:r w:rsidR="0010557D">
        <w:rPr>
          <w:noProof/>
          <w:color w:val="000000"/>
          <w:highlight w:val="black"/>
        </w:rPr>
        <w:t>''''''''''''''''''</w:t>
      </w:r>
      <w:r w:rsidRPr="00EF0362">
        <w:t xml:space="preserve"> </w:t>
      </w:r>
      <w:proofErr w:type="spellStart"/>
      <w:r w:rsidRPr="00EF0362">
        <w:t>MenACWY</w:t>
      </w:r>
      <w:proofErr w:type="spellEnd"/>
      <w:r w:rsidRPr="00EF0362">
        <w:t>-TT vaccines (</w:t>
      </w:r>
      <w:r w:rsidR="0010557D">
        <w:rPr>
          <w:noProof/>
          <w:color w:val="000000"/>
          <w:highlight w:val="black"/>
        </w:rPr>
        <w:t>'''''''''''''''''</w:t>
      </w:r>
      <w:r w:rsidRPr="00EF0362">
        <w:t xml:space="preserve"> in the primary program and </w:t>
      </w:r>
      <w:r w:rsidR="0010557D">
        <w:rPr>
          <w:noProof/>
          <w:color w:val="000000"/>
          <w:highlight w:val="black"/>
        </w:rPr>
        <w:t>'''''''''''''''''</w:t>
      </w:r>
      <w:r w:rsidRPr="00EF0362">
        <w:t xml:space="preserve"> in the catch-up program) over six years. </w:t>
      </w:r>
    </w:p>
    <w:p w:rsidR="009F419D" w:rsidRPr="00EF0362" w:rsidRDefault="009F419D" w:rsidP="004C3F39">
      <w:pPr>
        <w:pStyle w:val="ListParagraph"/>
        <w:widowControl/>
        <w:numPr>
          <w:ilvl w:val="1"/>
          <w:numId w:val="1"/>
        </w:numPr>
      </w:pPr>
      <w:r w:rsidRPr="00EF0362">
        <w:t>The submission estimated that the cost of the primary and catch-up program to the Australian Government health budget is $</w:t>
      </w:r>
      <w:r w:rsidR="004C3F39">
        <w:t xml:space="preserve">10 – $20 </w:t>
      </w:r>
      <w:r w:rsidR="00783046">
        <w:t>million</w:t>
      </w:r>
      <w:r w:rsidRPr="00EF0362">
        <w:t xml:space="preserve"> over six years.</w:t>
      </w:r>
    </w:p>
    <w:p w:rsidR="009F419D" w:rsidRPr="00590BD8" w:rsidRDefault="009F419D" w:rsidP="009E2CAD">
      <w:pPr>
        <w:pStyle w:val="ListParagraph"/>
        <w:widowControl/>
        <w:numPr>
          <w:ilvl w:val="1"/>
          <w:numId w:val="1"/>
        </w:numPr>
      </w:pPr>
      <w:r w:rsidRPr="00590BD8">
        <w:t>There are some uncertainties in the estimates of vaccine usage and financial implication</w:t>
      </w:r>
      <w:r w:rsidR="004E5226" w:rsidRPr="00590BD8">
        <w:t>s</w:t>
      </w:r>
      <w:r w:rsidRPr="00590BD8">
        <w:t>:</w:t>
      </w:r>
    </w:p>
    <w:p w:rsidR="009F419D" w:rsidRPr="007267E3" w:rsidRDefault="009F419D" w:rsidP="009E2CAD">
      <w:pPr>
        <w:pStyle w:val="ListParagraph"/>
        <w:widowControl/>
        <w:numPr>
          <w:ilvl w:val="1"/>
          <w:numId w:val="8"/>
        </w:numPr>
        <w:ind w:left="1417"/>
      </w:pPr>
      <w:r w:rsidRPr="007267E3">
        <w:t>The uptake rate</w:t>
      </w:r>
      <w:r w:rsidR="00EF0362" w:rsidRPr="007267E3">
        <w:t>s are uncertain</w:t>
      </w:r>
      <w:r w:rsidR="008E18A3" w:rsidRPr="007267E3">
        <w:t xml:space="preserve">, and the </w:t>
      </w:r>
      <w:r w:rsidRPr="007267E3">
        <w:t xml:space="preserve">submission did not exclude students who </w:t>
      </w:r>
      <w:r w:rsidR="00EF0362" w:rsidRPr="007267E3">
        <w:t>have</w:t>
      </w:r>
      <w:r w:rsidRPr="007267E3">
        <w:t xml:space="preserve"> </w:t>
      </w:r>
      <w:r w:rsidR="00EF0362" w:rsidRPr="007267E3">
        <w:t xml:space="preserve">received a </w:t>
      </w:r>
      <w:proofErr w:type="spellStart"/>
      <w:r w:rsidR="00EF0362" w:rsidRPr="007267E3">
        <w:t>MenACWY</w:t>
      </w:r>
      <w:proofErr w:type="spellEnd"/>
      <w:r w:rsidR="00EF0362" w:rsidRPr="007267E3">
        <w:t xml:space="preserve"> vaccine through the State-based programs. Therefore the </w:t>
      </w:r>
      <w:r w:rsidRPr="007267E3">
        <w:t>financial implication</w:t>
      </w:r>
      <w:r w:rsidR="004E5226" w:rsidRPr="007267E3">
        <w:t>s</w:t>
      </w:r>
      <w:r w:rsidRPr="007267E3">
        <w:t xml:space="preserve"> for the catch-up program </w:t>
      </w:r>
      <w:r w:rsidR="00EF0362" w:rsidRPr="007267E3">
        <w:t>may be over-estimated</w:t>
      </w:r>
      <w:r w:rsidRPr="007267E3">
        <w:t>.</w:t>
      </w:r>
      <w:r w:rsidR="008052AE" w:rsidRPr="007267E3">
        <w:t xml:space="preserve"> The PSCR </w:t>
      </w:r>
      <w:r w:rsidR="00472659" w:rsidRPr="007267E3">
        <w:t>stated that the uptake rates</w:t>
      </w:r>
      <w:r w:rsidR="00C42F1D" w:rsidRPr="007267E3">
        <w:t xml:space="preserve"> were informed by previous similar school-based vaccination programs, were considered reasonable by the</w:t>
      </w:r>
      <w:r w:rsidR="00472659" w:rsidRPr="007267E3">
        <w:t xml:space="preserve"> state immunisation coordinators and </w:t>
      </w:r>
      <w:r w:rsidR="00C42F1D" w:rsidRPr="007267E3">
        <w:t xml:space="preserve">were within the uptake limits recommended by ATAGI. It was also </w:t>
      </w:r>
      <w:r w:rsidR="00472659" w:rsidRPr="007267E3">
        <w:t xml:space="preserve">noted that uptake numbers </w:t>
      </w:r>
      <w:r w:rsidR="00C42F1D" w:rsidRPr="007267E3">
        <w:t>for the</w:t>
      </w:r>
      <w:r w:rsidR="00472659" w:rsidRPr="007267E3">
        <w:t xml:space="preserve"> </w:t>
      </w:r>
      <w:r w:rsidR="00BD01E2">
        <w:t>S</w:t>
      </w:r>
      <w:r w:rsidR="00472659" w:rsidRPr="007267E3">
        <w:t>tate</w:t>
      </w:r>
      <w:r w:rsidR="00BD01E2">
        <w:t>-</w:t>
      </w:r>
      <w:r w:rsidR="00472659" w:rsidRPr="007267E3">
        <w:t xml:space="preserve">based programs </w:t>
      </w:r>
      <w:r w:rsidR="001344C4">
        <w:t>were</w:t>
      </w:r>
      <w:r w:rsidR="00472659" w:rsidRPr="007267E3">
        <w:t xml:space="preserve"> not available.</w:t>
      </w:r>
    </w:p>
    <w:p w:rsidR="007869D0" w:rsidRDefault="001618B2" w:rsidP="007869D0">
      <w:pPr>
        <w:pStyle w:val="ListParagraph"/>
        <w:widowControl/>
        <w:numPr>
          <w:ilvl w:val="1"/>
          <w:numId w:val="8"/>
        </w:numPr>
        <w:ind w:left="1417"/>
      </w:pPr>
      <w:r w:rsidRPr="007267E3">
        <w:t xml:space="preserve">The submission applied MBS item number 23 for GP visits. </w:t>
      </w:r>
      <w:r w:rsidR="00C42F1D" w:rsidRPr="007267E3">
        <w:t>The evaluators considered this</w:t>
      </w:r>
      <w:r w:rsidRPr="007267E3">
        <w:t xml:space="preserve"> to be too high and </w:t>
      </w:r>
      <w:r w:rsidR="00C42F1D" w:rsidRPr="007267E3">
        <w:t xml:space="preserve">that </w:t>
      </w:r>
      <w:r w:rsidRPr="007267E3">
        <w:t>a lower value (Level A consultation price of $16.95) should be applied.</w:t>
      </w:r>
      <w:r w:rsidR="00510DCA" w:rsidRPr="007267E3">
        <w:t xml:space="preserve"> The ESC acknowledged that </w:t>
      </w:r>
      <w:r w:rsidR="008D169C" w:rsidRPr="007267E3">
        <w:t xml:space="preserve">a </w:t>
      </w:r>
      <w:r w:rsidR="00510DCA" w:rsidRPr="007267E3">
        <w:t>nurse may administer the vaccine but advised that</w:t>
      </w:r>
      <w:r w:rsidR="008D169C" w:rsidRPr="007267E3">
        <w:t>, unless administered as part of a vaccine clinic,</w:t>
      </w:r>
      <w:r w:rsidR="00510DCA" w:rsidRPr="007267E3">
        <w:t xml:space="preserve"> a level B consultation item was </w:t>
      </w:r>
      <w:r w:rsidR="00721A48" w:rsidRPr="007267E3">
        <w:t>mor</w:t>
      </w:r>
      <w:r w:rsidR="00F34D88" w:rsidRPr="007267E3">
        <w:t>e likely to be used in practice.</w:t>
      </w:r>
    </w:p>
    <w:p w:rsidR="00113B21" w:rsidRPr="00A867BE" w:rsidRDefault="00113B21" w:rsidP="00A867BE">
      <w:pPr>
        <w:widowControl/>
        <w:rPr>
          <w:i/>
        </w:rPr>
      </w:pPr>
    </w:p>
    <w:p w:rsidR="00576972" w:rsidRPr="007267E3" w:rsidRDefault="00576972" w:rsidP="007869D0">
      <w:pPr>
        <w:pStyle w:val="Heading2"/>
        <w:keepNext/>
        <w:rPr>
          <w:i w:val="0"/>
        </w:rPr>
      </w:pPr>
      <w:bookmarkStart w:id="15" w:name="_Toc501621785"/>
      <w:r w:rsidRPr="007267E3">
        <w:rPr>
          <w:i w:val="0"/>
        </w:rPr>
        <w:t>Quality Use of Medicines</w:t>
      </w:r>
      <w:bookmarkEnd w:id="15"/>
    </w:p>
    <w:p w:rsidR="00576972" w:rsidRPr="003C11A3" w:rsidRDefault="00576972" w:rsidP="007869D0">
      <w:pPr>
        <w:keepNext/>
        <w:widowControl/>
        <w:rPr>
          <w:highlight w:val="yellow"/>
        </w:rPr>
      </w:pPr>
    </w:p>
    <w:p w:rsidR="009F419D" w:rsidRPr="00590BD8" w:rsidRDefault="009F419D" w:rsidP="009E2CAD">
      <w:pPr>
        <w:pStyle w:val="ListParagraph"/>
        <w:widowControl/>
        <w:numPr>
          <w:ilvl w:val="1"/>
          <w:numId w:val="1"/>
        </w:numPr>
      </w:pPr>
      <w:r w:rsidRPr="00590BD8">
        <w:t xml:space="preserve">The submission assumed that appropriate activities would be undertaken as part of the implementation of a new vaccine program if the </w:t>
      </w:r>
      <w:proofErr w:type="spellStart"/>
      <w:r w:rsidRPr="00590BD8">
        <w:t>MenACWY</w:t>
      </w:r>
      <w:proofErr w:type="spellEnd"/>
      <w:r w:rsidRPr="00590BD8">
        <w:t>-TT vaccine is listed on the NIP.</w:t>
      </w:r>
    </w:p>
    <w:p w:rsidR="004D36A1" w:rsidRPr="00590BD8" w:rsidRDefault="00F1249B" w:rsidP="009E2CAD">
      <w:pPr>
        <w:pStyle w:val="ListParagraph"/>
        <w:widowControl/>
        <w:numPr>
          <w:ilvl w:val="1"/>
          <w:numId w:val="1"/>
        </w:numPr>
      </w:pPr>
      <w:r w:rsidRPr="00590BD8">
        <w:lastRenderedPageBreak/>
        <w:t>ATAGI noted that c</w:t>
      </w:r>
      <w:r w:rsidR="001618B2" w:rsidRPr="00590BD8">
        <w:t>onsiderable health professional and consumer education is required given that this is a new vaccine to be listed on the NIP. Additionally, significant public communication strategies would be required to make adolescents who have left school or otherwise missed the school dose aware of the need for and availability of vaccination in order to achieve good coverage (p19 of the ATAGI pre-PBAC Advice 2017).</w:t>
      </w:r>
    </w:p>
    <w:p w:rsidR="001618B2" w:rsidRPr="00590BD8" w:rsidRDefault="001618B2" w:rsidP="009E2CAD">
      <w:pPr>
        <w:pStyle w:val="ListParagraph"/>
        <w:widowControl/>
        <w:numPr>
          <w:ilvl w:val="1"/>
          <w:numId w:val="1"/>
        </w:numPr>
      </w:pPr>
      <w:r w:rsidRPr="00590BD8">
        <w:t xml:space="preserve">Concerns </w:t>
      </w:r>
      <w:r w:rsidR="006C4EA6">
        <w:t>which should be addressed</w:t>
      </w:r>
      <w:r w:rsidRPr="00590BD8">
        <w:t xml:space="preserve"> via health professional and parent education include:</w:t>
      </w:r>
    </w:p>
    <w:p w:rsidR="001618B2" w:rsidRPr="00590BD8" w:rsidRDefault="001618B2" w:rsidP="009E2CAD">
      <w:pPr>
        <w:pStyle w:val="ListParagraph"/>
        <w:widowControl/>
        <w:numPr>
          <w:ilvl w:val="1"/>
          <w:numId w:val="8"/>
        </w:numPr>
        <w:ind w:left="1417"/>
      </w:pPr>
      <w:r w:rsidRPr="00590BD8">
        <w:t xml:space="preserve">Difference between the current </w:t>
      </w:r>
      <w:proofErr w:type="spellStart"/>
      <w:r w:rsidR="001E3153" w:rsidRPr="00590BD8">
        <w:t>MenC</w:t>
      </w:r>
      <w:proofErr w:type="spellEnd"/>
      <w:r w:rsidRPr="00590BD8">
        <w:t xml:space="preserve"> vaccine and the </w:t>
      </w:r>
      <w:proofErr w:type="spellStart"/>
      <w:r w:rsidRPr="00590BD8">
        <w:t>MenACWY</w:t>
      </w:r>
      <w:proofErr w:type="spellEnd"/>
      <w:r w:rsidRPr="00590BD8">
        <w:noBreakHyphen/>
        <w:t>TT vaccine;</w:t>
      </w:r>
    </w:p>
    <w:p w:rsidR="001618B2" w:rsidRPr="00590BD8" w:rsidRDefault="001618B2" w:rsidP="009E2CAD">
      <w:pPr>
        <w:pStyle w:val="ListParagraph"/>
        <w:widowControl/>
        <w:numPr>
          <w:ilvl w:val="1"/>
          <w:numId w:val="8"/>
        </w:numPr>
        <w:ind w:left="1417"/>
      </w:pPr>
      <w:r w:rsidRPr="00590BD8">
        <w:t xml:space="preserve">Lack of need to vaccinate adolescents already vaccinated with a </w:t>
      </w:r>
      <w:proofErr w:type="spellStart"/>
      <w:r w:rsidRPr="00590BD8">
        <w:t>MenACWY</w:t>
      </w:r>
      <w:proofErr w:type="spellEnd"/>
      <w:r w:rsidRPr="00590BD8">
        <w:t xml:space="preserve"> vaccine (i.e. received through State-based programs</w:t>
      </w:r>
      <w:r w:rsidR="003635EB" w:rsidRPr="00590BD8">
        <w:t xml:space="preserve"> or via the catch</w:t>
      </w:r>
      <w:r w:rsidR="004D36A1" w:rsidRPr="00590BD8">
        <w:t>-</w:t>
      </w:r>
      <w:r w:rsidR="003635EB" w:rsidRPr="00590BD8">
        <w:t xml:space="preserve">up program to those </w:t>
      </w:r>
      <w:r w:rsidR="008D169C">
        <w:t>who</w:t>
      </w:r>
      <w:r w:rsidR="003635EB" w:rsidRPr="00590BD8">
        <w:t xml:space="preserve"> received the vaccine in year 10</w:t>
      </w:r>
      <w:r w:rsidRPr="00590BD8">
        <w:t>); and</w:t>
      </w:r>
    </w:p>
    <w:p w:rsidR="001618B2" w:rsidRPr="00590BD8" w:rsidRDefault="001618B2" w:rsidP="009E2CAD">
      <w:pPr>
        <w:pStyle w:val="ListParagraph"/>
        <w:widowControl/>
        <w:numPr>
          <w:ilvl w:val="1"/>
          <w:numId w:val="8"/>
        </w:numPr>
        <w:ind w:left="1417"/>
      </w:pPr>
      <w:r w:rsidRPr="00590BD8">
        <w:t>Targeted education programs for Aboriginal and Torres Strait Islander populations - including health workers, health professionals, community elders and community members.</w:t>
      </w:r>
    </w:p>
    <w:p w:rsidR="003409D3" w:rsidRDefault="00307381" w:rsidP="003409D3">
      <w:pPr>
        <w:pStyle w:val="ListParagraph"/>
        <w:widowControl/>
        <w:numPr>
          <w:ilvl w:val="1"/>
          <w:numId w:val="1"/>
        </w:numPr>
      </w:pPr>
      <w:r w:rsidRPr="007267E3">
        <w:t>The PSCR noted that meningococcal infections are notifiable and as a consequence</w:t>
      </w:r>
      <w:r w:rsidR="00C52424" w:rsidRPr="007267E3">
        <w:t xml:space="preserve"> there will be ongoing surveillance of the efficacy of the </w:t>
      </w:r>
      <w:proofErr w:type="spellStart"/>
      <w:r w:rsidR="00C52424" w:rsidRPr="007267E3">
        <w:t>MenACWY</w:t>
      </w:r>
      <w:proofErr w:type="spellEnd"/>
      <w:r w:rsidR="00C52424" w:rsidRPr="007267E3">
        <w:t>-TT vaccine.</w:t>
      </w:r>
    </w:p>
    <w:p w:rsidR="00AA1305" w:rsidRPr="00A5784D" w:rsidRDefault="00AA1305" w:rsidP="003409D3">
      <w:pPr>
        <w:pStyle w:val="ListParagraph"/>
        <w:widowControl/>
        <w:numPr>
          <w:ilvl w:val="1"/>
          <w:numId w:val="1"/>
        </w:numPr>
      </w:pPr>
      <w:r w:rsidRPr="00A5784D">
        <w:t xml:space="preserve">The PBAC agreed with the need for </w:t>
      </w:r>
      <w:r w:rsidR="00E73EC8" w:rsidRPr="00A5784D">
        <w:t>quality use of medicine</w:t>
      </w:r>
      <w:r w:rsidRPr="00A5784D">
        <w:t xml:space="preserve"> activities and a review of </w:t>
      </w:r>
      <w:r w:rsidR="0028705C">
        <w:t xml:space="preserve">the </w:t>
      </w:r>
      <w:proofErr w:type="spellStart"/>
      <w:r w:rsidRPr="00A5784D">
        <w:t>MenACWY</w:t>
      </w:r>
      <w:proofErr w:type="spellEnd"/>
      <w:r w:rsidR="0028705C">
        <w:t xml:space="preserve"> vaccination program</w:t>
      </w:r>
      <w:r w:rsidRPr="00A5784D">
        <w:t xml:space="preserve"> after five years.</w:t>
      </w:r>
    </w:p>
    <w:p w:rsidR="00576972" w:rsidRPr="007267E3" w:rsidRDefault="00576972" w:rsidP="007869D0">
      <w:pPr>
        <w:pStyle w:val="Heading2"/>
        <w:keepNext/>
        <w:rPr>
          <w:i w:val="0"/>
        </w:rPr>
      </w:pPr>
      <w:bookmarkStart w:id="16" w:name="_Toc501621786"/>
      <w:r w:rsidRPr="00A5784D">
        <w:rPr>
          <w:i w:val="0"/>
        </w:rPr>
        <w:t>F</w:t>
      </w:r>
      <w:r w:rsidRPr="007267E3">
        <w:rPr>
          <w:i w:val="0"/>
        </w:rPr>
        <w:t>inancial Management – Risk Sharing Arrangements</w:t>
      </w:r>
      <w:bookmarkEnd w:id="16"/>
    </w:p>
    <w:p w:rsidR="00C25D9C" w:rsidRPr="00576972" w:rsidRDefault="00C25D9C" w:rsidP="007869D0">
      <w:pPr>
        <w:keepNext/>
        <w:widowControl/>
      </w:pPr>
    </w:p>
    <w:p w:rsidR="008938C7" w:rsidRPr="00A867BE" w:rsidRDefault="009F419D" w:rsidP="00A867BE">
      <w:pPr>
        <w:pStyle w:val="ListParagraph"/>
        <w:widowControl/>
        <w:numPr>
          <w:ilvl w:val="1"/>
          <w:numId w:val="1"/>
        </w:numPr>
      </w:pPr>
      <w:r w:rsidRPr="00590BD8">
        <w:t>None proposed</w:t>
      </w:r>
      <w:r w:rsidR="00C43A4B" w:rsidRPr="00590BD8">
        <w:t>.</w:t>
      </w:r>
    </w:p>
    <w:p w:rsidR="00E45BF0" w:rsidRPr="00E45BF0" w:rsidRDefault="00E45BF0" w:rsidP="00E45BF0">
      <w:pPr>
        <w:pStyle w:val="PBACHeading1"/>
        <w:rPr>
          <w:b w:val="0"/>
          <w:i/>
          <w:sz w:val="24"/>
          <w:szCs w:val="24"/>
        </w:rPr>
      </w:pPr>
      <w:r w:rsidRPr="00E45BF0">
        <w:rPr>
          <w:b w:val="0"/>
          <w:i/>
          <w:sz w:val="24"/>
          <w:szCs w:val="24"/>
        </w:rPr>
        <w:t>For more detail on PBAC’s view, see section 7 PBAC outcome.</w:t>
      </w:r>
    </w:p>
    <w:p w:rsidR="00E45BF0" w:rsidRPr="00113B21" w:rsidRDefault="00E45BF0" w:rsidP="00E45BF0">
      <w:pPr>
        <w:spacing w:after="120"/>
        <w:rPr>
          <w:rFonts w:asciiTheme="minorHAnsi" w:hAnsiTheme="minorHAnsi"/>
          <w:bCs/>
          <w:lang w:val="en-GB"/>
        </w:rPr>
      </w:pPr>
    </w:p>
    <w:p w:rsidR="008938C7" w:rsidRPr="00E10081" w:rsidRDefault="008938C7" w:rsidP="00C22DB8">
      <w:pPr>
        <w:pStyle w:val="PBACHeading1"/>
        <w:widowControl w:val="0"/>
        <w:numPr>
          <w:ilvl w:val="0"/>
          <w:numId w:val="1"/>
        </w:numPr>
        <w:jc w:val="both"/>
        <w:outlineLvl w:val="0"/>
        <w:rPr>
          <w:szCs w:val="32"/>
        </w:rPr>
      </w:pPr>
      <w:r w:rsidRPr="00E10081">
        <w:rPr>
          <w:szCs w:val="32"/>
        </w:rPr>
        <w:t>PBAC Outcome</w:t>
      </w:r>
    </w:p>
    <w:p w:rsidR="00113B21" w:rsidRPr="00A5784D" w:rsidRDefault="00113B21" w:rsidP="00113B21">
      <w:pPr>
        <w:pStyle w:val="ListParagraph"/>
        <w:widowControl/>
        <w:numPr>
          <w:ilvl w:val="1"/>
          <w:numId w:val="1"/>
        </w:numPr>
      </w:pPr>
      <w:r w:rsidRPr="00A5784D">
        <w:rPr>
          <w:rFonts w:asciiTheme="minorHAnsi" w:hAnsiTheme="minorHAnsi" w:cstheme="minorHAnsi"/>
          <w:bCs/>
          <w:lang w:val="en-GB"/>
        </w:rPr>
        <w:t>The PBAC recommended that meningococcal polysaccharide serogroups A, C, W</w:t>
      </w:r>
      <w:r w:rsidRPr="00A5784D">
        <w:rPr>
          <w:rFonts w:asciiTheme="minorHAnsi" w:hAnsiTheme="minorHAnsi" w:cstheme="minorHAnsi"/>
          <w:bCs/>
          <w:vertAlign w:val="subscript"/>
          <w:lang w:val="en-GB"/>
        </w:rPr>
        <w:t>135</w:t>
      </w:r>
      <w:r w:rsidRPr="00A5784D">
        <w:rPr>
          <w:rFonts w:asciiTheme="minorHAnsi" w:hAnsiTheme="minorHAnsi" w:cstheme="minorHAnsi"/>
          <w:bCs/>
          <w:lang w:val="en-GB"/>
        </w:rPr>
        <w:t xml:space="preserve"> </w:t>
      </w:r>
      <w:r w:rsidRPr="00A5784D">
        <w:t>and Y conjugate vaccine (</w:t>
      </w:r>
      <w:proofErr w:type="spellStart"/>
      <w:r w:rsidRPr="00A5784D">
        <w:t>MenACWY</w:t>
      </w:r>
      <w:proofErr w:type="spellEnd"/>
      <w:r w:rsidRPr="00A5784D">
        <w:t xml:space="preserve">-TT) be a designated vaccine for the purposes of the National Health Act 1953 for the prevention of invasive meningococcal disease (IMD) caused by </w:t>
      </w:r>
      <w:r w:rsidRPr="00A5784D">
        <w:rPr>
          <w:i/>
        </w:rPr>
        <w:t xml:space="preserve">Neisseria </w:t>
      </w:r>
      <w:proofErr w:type="spellStart"/>
      <w:r w:rsidRPr="00A5784D">
        <w:rPr>
          <w:i/>
        </w:rPr>
        <w:t>meningitidis</w:t>
      </w:r>
      <w:proofErr w:type="spellEnd"/>
      <w:r w:rsidRPr="00A5784D">
        <w:t xml:space="preserve"> serogroups A, C, W</w:t>
      </w:r>
      <w:r w:rsidRPr="00A5784D">
        <w:rPr>
          <w:vertAlign w:val="subscript"/>
        </w:rPr>
        <w:t>135</w:t>
      </w:r>
      <w:r w:rsidRPr="00A5784D">
        <w:t>, and Y (</w:t>
      </w:r>
      <w:proofErr w:type="spellStart"/>
      <w:r w:rsidRPr="00A5784D">
        <w:t>MenA</w:t>
      </w:r>
      <w:proofErr w:type="spellEnd"/>
      <w:r w:rsidRPr="00A5784D">
        <w:t xml:space="preserve">, </w:t>
      </w:r>
      <w:proofErr w:type="spellStart"/>
      <w:r w:rsidRPr="00A5784D">
        <w:t>MenC</w:t>
      </w:r>
      <w:proofErr w:type="spellEnd"/>
      <w:r w:rsidRPr="00A5784D">
        <w:t>, MenW</w:t>
      </w:r>
      <w:r w:rsidRPr="00A5784D">
        <w:rPr>
          <w:vertAlign w:val="subscript"/>
        </w:rPr>
        <w:t>135</w:t>
      </w:r>
      <w:r w:rsidRPr="00A5784D">
        <w:t xml:space="preserve"> and </w:t>
      </w:r>
      <w:proofErr w:type="spellStart"/>
      <w:r w:rsidRPr="00A5784D">
        <w:t>MenY</w:t>
      </w:r>
      <w:proofErr w:type="spellEnd"/>
      <w:r w:rsidRPr="00A5784D">
        <w:t>, respectively) in adolescents</w:t>
      </w:r>
      <w:r w:rsidR="00C606AF" w:rsidRPr="00A5784D">
        <w:t xml:space="preserve"> as part of a school based immunisation program for year 10 studen</w:t>
      </w:r>
      <w:r w:rsidR="00E14B14" w:rsidRPr="00A5784D">
        <w:t>ts (aged 14-16) and via a catch-</w:t>
      </w:r>
      <w:r w:rsidR="00C606AF" w:rsidRPr="00A5784D">
        <w:t xml:space="preserve">up program for adolescents </w:t>
      </w:r>
      <w:r w:rsidR="00E14B14" w:rsidRPr="00A5784D">
        <w:t>aged up to 19 years old</w:t>
      </w:r>
      <w:r w:rsidRPr="00A5784D">
        <w:t>.</w:t>
      </w:r>
      <w:r w:rsidR="00A5784D">
        <w:t xml:space="preserve"> </w:t>
      </w:r>
      <w:r w:rsidR="00A5784D" w:rsidRPr="00BF58F1">
        <w:rPr>
          <w:bCs/>
        </w:rPr>
        <w:t>The PBAC’s recommendation was based on, among other matters, its assessment that the cost effectiveness of</w:t>
      </w:r>
      <w:r w:rsidR="005D5686">
        <w:rPr>
          <w:bCs/>
        </w:rPr>
        <w:t xml:space="preserve"> the</w:t>
      </w:r>
      <w:r w:rsidR="00A5784D" w:rsidRPr="00BF58F1">
        <w:rPr>
          <w:bCs/>
        </w:rPr>
        <w:t xml:space="preserve"> </w:t>
      </w:r>
      <w:proofErr w:type="spellStart"/>
      <w:r w:rsidR="003E1BC4" w:rsidRPr="00A5784D">
        <w:t>MenACWY</w:t>
      </w:r>
      <w:proofErr w:type="spellEnd"/>
      <w:r w:rsidR="003E1BC4" w:rsidRPr="00A5784D">
        <w:t>-TT</w:t>
      </w:r>
      <w:r w:rsidR="003E1BC4" w:rsidRPr="00BF58F1">
        <w:rPr>
          <w:bCs/>
        </w:rPr>
        <w:t xml:space="preserve"> </w:t>
      </w:r>
      <w:r w:rsidR="005D5686">
        <w:rPr>
          <w:bCs/>
        </w:rPr>
        <w:t xml:space="preserve">vaccine </w:t>
      </w:r>
      <w:r w:rsidR="00A5784D" w:rsidRPr="00BF58F1">
        <w:rPr>
          <w:bCs/>
        </w:rPr>
        <w:t xml:space="preserve">could be brought into an acceptable range </w:t>
      </w:r>
      <w:r w:rsidR="00D52398">
        <w:rPr>
          <w:bCs/>
        </w:rPr>
        <w:t>contingent upon</w:t>
      </w:r>
      <w:r w:rsidR="00A5784D" w:rsidRPr="00BF58F1">
        <w:rPr>
          <w:bCs/>
        </w:rPr>
        <w:t xml:space="preserve"> a reduced price.</w:t>
      </w:r>
    </w:p>
    <w:p w:rsidR="008938C7" w:rsidRPr="00A5784D" w:rsidRDefault="001900E8" w:rsidP="001900E8">
      <w:pPr>
        <w:numPr>
          <w:ilvl w:val="1"/>
          <w:numId w:val="1"/>
        </w:numPr>
        <w:spacing w:after="120"/>
        <w:rPr>
          <w:rFonts w:asciiTheme="minorHAnsi" w:hAnsiTheme="minorHAnsi"/>
          <w:bCs/>
          <w:lang w:val="en-GB"/>
        </w:rPr>
      </w:pPr>
      <w:r w:rsidRPr="00A5784D">
        <w:rPr>
          <w:rFonts w:asciiTheme="minorHAnsi" w:hAnsiTheme="minorHAnsi"/>
          <w:bCs/>
          <w:lang w:val="en-GB"/>
        </w:rPr>
        <w:t xml:space="preserve">The PBAC </w:t>
      </w:r>
      <w:r w:rsidR="00A50085">
        <w:rPr>
          <w:rFonts w:asciiTheme="minorHAnsi" w:hAnsiTheme="minorHAnsi"/>
          <w:bCs/>
          <w:lang w:val="en-GB"/>
        </w:rPr>
        <w:t>considered</w:t>
      </w:r>
      <w:r w:rsidR="00A50085" w:rsidRPr="00A5784D">
        <w:rPr>
          <w:rFonts w:asciiTheme="minorHAnsi" w:hAnsiTheme="minorHAnsi"/>
          <w:bCs/>
          <w:lang w:val="en-GB"/>
        </w:rPr>
        <w:t xml:space="preserve"> </w:t>
      </w:r>
      <w:r w:rsidRPr="00A5784D">
        <w:rPr>
          <w:rFonts w:asciiTheme="minorHAnsi" w:hAnsiTheme="minorHAnsi"/>
          <w:bCs/>
          <w:lang w:val="en-GB"/>
        </w:rPr>
        <w:t xml:space="preserve">that there was a clinical need for </w:t>
      </w:r>
      <w:r w:rsidR="00A50085">
        <w:rPr>
          <w:rFonts w:asciiTheme="minorHAnsi" w:hAnsiTheme="minorHAnsi"/>
          <w:bCs/>
          <w:lang w:val="en-GB"/>
        </w:rPr>
        <w:t xml:space="preserve">the vaccination of </w:t>
      </w:r>
      <w:r w:rsidR="008B0DDC">
        <w:rPr>
          <w:rFonts w:asciiTheme="minorHAnsi" w:hAnsiTheme="minorHAnsi"/>
          <w:bCs/>
          <w:lang w:val="en-GB"/>
        </w:rPr>
        <w:t xml:space="preserve">the </w:t>
      </w:r>
      <w:r w:rsidRPr="00A5784D">
        <w:rPr>
          <w:rFonts w:asciiTheme="minorHAnsi" w:hAnsiTheme="minorHAnsi"/>
          <w:bCs/>
          <w:lang w:val="en-GB"/>
        </w:rPr>
        <w:t>adolescent</w:t>
      </w:r>
      <w:r w:rsidR="00A50085">
        <w:rPr>
          <w:rFonts w:asciiTheme="minorHAnsi" w:hAnsiTheme="minorHAnsi"/>
          <w:bCs/>
          <w:lang w:val="en-GB"/>
        </w:rPr>
        <w:t xml:space="preserve"> age group to both provide direct protection and to provide indirect protection to other age groups through herd </w:t>
      </w:r>
      <w:r w:rsidR="00A867BE">
        <w:rPr>
          <w:rFonts w:asciiTheme="minorHAnsi" w:hAnsiTheme="minorHAnsi"/>
          <w:bCs/>
          <w:lang w:val="en-GB"/>
        </w:rPr>
        <w:t>immunity</w:t>
      </w:r>
      <w:r w:rsidRPr="00A5784D">
        <w:rPr>
          <w:rFonts w:asciiTheme="minorHAnsi" w:hAnsiTheme="minorHAnsi"/>
          <w:bCs/>
          <w:lang w:val="en-GB"/>
        </w:rPr>
        <w:t>.</w:t>
      </w:r>
      <w:r w:rsidR="00F21CB6" w:rsidRPr="00A5784D">
        <w:rPr>
          <w:rFonts w:asciiTheme="minorHAnsi" w:hAnsiTheme="minorHAnsi"/>
          <w:bCs/>
          <w:lang w:val="en-GB"/>
        </w:rPr>
        <w:t xml:space="preserve">  </w:t>
      </w:r>
    </w:p>
    <w:p w:rsidR="008938C7" w:rsidRPr="00A5784D" w:rsidRDefault="001900E8" w:rsidP="008938C7">
      <w:pPr>
        <w:numPr>
          <w:ilvl w:val="1"/>
          <w:numId w:val="1"/>
        </w:numPr>
        <w:spacing w:after="120"/>
        <w:rPr>
          <w:rFonts w:asciiTheme="minorHAnsi" w:hAnsiTheme="minorHAnsi"/>
          <w:bCs/>
          <w:lang w:val="en-GB"/>
        </w:rPr>
      </w:pPr>
      <w:r w:rsidRPr="00A5784D">
        <w:rPr>
          <w:rFonts w:asciiTheme="minorHAnsi" w:hAnsiTheme="minorHAnsi"/>
          <w:bCs/>
          <w:lang w:val="en-GB"/>
        </w:rPr>
        <w:lastRenderedPageBreak/>
        <w:t xml:space="preserve">The PBAC </w:t>
      </w:r>
      <w:r w:rsidR="008B0DDC">
        <w:rPr>
          <w:rFonts w:asciiTheme="minorHAnsi" w:hAnsiTheme="minorHAnsi"/>
          <w:bCs/>
          <w:lang w:val="en-GB"/>
        </w:rPr>
        <w:t>considered</w:t>
      </w:r>
      <w:r w:rsidRPr="00A5784D">
        <w:rPr>
          <w:rFonts w:asciiTheme="minorHAnsi" w:hAnsiTheme="minorHAnsi"/>
          <w:bCs/>
          <w:lang w:val="en-GB"/>
        </w:rPr>
        <w:t xml:space="preserve"> the proposed comparator of no vaccine</w:t>
      </w:r>
      <w:r w:rsidR="008B0DDC">
        <w:rPr>
          <w:rFonts w:asciiTheme="minorHAnsi" w:hAnsiTheme="minorHAnsi"/>
          <w:bCs/>
          <w:lang w:val="en-GB"/>
        </w:rPr>
        <w:t xml:space="preserve"> to be </w:t>
      </w:r>
      <w:r w:rsidR="00D52398">
        <w:rPr>
          <w:rFonts w:asciiTheme="minorHAnsi" w:hAnsiTheme="minorHAnsi"/>
          <w:bCs/>
          <w:lang w:val="en-GB"/>
        </w:rPr>
        <w:t>appropriate</w:t>
      </w:r>
      <w:r w:rsidR="0043210B" w:rsidRPr="00A5784D">
        <w:rPr>
          <w:rFonts w:asciiTheme="minorHAnsi" w:hAnsiTheme="minorHAnsi"/>
          <w:bCs/>
          <w:lang w:val="en-GB"/>
        </w:rPr>
        <w:t xml:space="preserve">, noting that there are other </w:t>
      </w:r>
      <w:proofErr w:type="spellStart"/>
      <w:r w:rsidR="0043210B" w:rsidRPr="00A5784D">
        <w:rPr>
          <w:rFonts w:asciiTheme="minorHAnsi" w:hAnsiTheme="minorHAnsi"/>
          <w:bCs/>
          <w:lang w:val="en-GB"/>
        </w:rPr>
        <w:t>MenACWY</w:t>
      </w:r>
      <w:proofErr w:type="spellEnd"/>
      <w:r w:rsidR="0043210B" w:rsidRPr="00A5784D">
        <w:rPr>
          <w:rFonts w:asciiTheme="minorHAnsi" w:hAnsiTheme="minorHAnsi"/>
          <w:bCs/>
          <w:lang w:val="en-GB"/>
        </w:rPr>
        <w:t xml:space="preserve">-TT vaccines available, distributed through </w:t>
      </w:r>
      <w:r w:rsidR="00DB405C" w:rsidRPr="00A5784D">
        <w:rPr>
          <w:rFonts w:asciiTheme="minorHAnsi" w:hAnsiTheme="minorHAnsi"/>
          <w:bCs/>
          <w:lang w:val="en-GB"/>
        </w:rPr>
        <w:t>State-based programs</w:t>
      </w:r>
      <w:r w:rsidR="00E814B8">
        <w:rPr>
          <w:rFonts w:asciiTheme="minorHAnsi" w:hAnsiTheme="minorHAnsi"/>
          <w:bCs/>
          <w:lang w:val="en-GB"/>
        </w:rPr>
        <w:t>,</w:t>
      </w:r>
      <w:r w:rsidR="00DB405C" w:rsidRPr="00A5784D">
        <w:rPr>
          <w:rFonts w:asciiTheme="minorHAnsi" w:hAnsiTheme="minorHAnsi"/>
          <w:bCs/>
          <w:lang w:val="en-GB"/>
        </w:rPr>
        <w:t xml:space="preserve"> </w:t>
      </w:r>
      <w:r w:rsidR="0043210B" w:rsidRPr="00A5784D">
        <w:rPr>
          <w:rFonts w:asciiTheme="minorHAnsi" w:hAnsiTheme="minorHAnsi"/>
          <w:bCs/>
          <w:lang w:val="en-GB"/>
        </w:rPr>
        <w:t xml:space="preserve">which </w:t>
      </w:r>
      <w:r w:rsidR="00E814B8">
        <w:rPr>
          <w:rFonts w:asciiTheme="minorHAnsi" w:hAnsiTheme="minorHAnsi"/>
          <w:bCs/>
          <w:lang w:val="en-GB"/>
        </w:rPr>
        <w:t>are relevant</w:t>
      </w:r>
      <w:r w:rsidR="0043210B" w:rsidRPr="00A5784D">
        <w:rPr>
          <w:rFonts w:asciiTheme="minorHAnsi" w:hAnsiTheme="minorHAnsi"/>
          <w:bCs/>
          <w:lang w:val="en-GB"/>
        </w:rPr>
        <w:t xml:space="preserve"> near market comparators</w:t>
      </w:r>
      <w:r w:rsidRPr="00A5784D">
        <w:rPr>
          <w:rFonts w:asciiTheme="minorHAnsi" w:hAnsiTheme="minorHAnsi"/>
          <w:bCs/>
          <w:lang w:val="en-GB"/>
        </w:rPr>
        <w:t>.</w:t>
      </w:r>
    </w:p>
    <w:p w:rsidR="0070175A" w:rsidRPr="0070175A" w:rsidRDefault="00381DBB" w:rsidP="00674552">
      <w:pPr>
        <w:widowControl/>
        <w:numPr>
          <w:ilvl w:val="1"/>
          <w:numId w:val="1"/>
        </w:numPr>
        <w:spacing w:after="120"/>
      </w:pPr>
      <w:r w:rsidRPr="0070175A">
        <w:rPr>
          <w:rFonts w:asciiTheme="minorHAnsi" w:hAnsiTheme="minorHAnsi"/>
          <w:bCs/>
          <w:lang w:val="en-GB"/>
        </w:rPr>
        <w:t>The PBAC noted t</w:t>
      </w:r>
      <w:r w:rsidR="00DB405C" w:rsidRPr="0070175A">
        <w:rPr>
          <w:rFonts w:asciiTheme="minorHAnsi" w:hAnsiTheme="minorHAnsi"/>
          <w:bCs/>
          <w:lang w:val="en-GB"/>
        </w:rPr>
        <w:t>he limitations of the</w:t>
      </w:r>
      <w:r w:rsidR="008B0DDC" w:rsidRPr="0070175A">
        <w:rPr>
          <w:rFonts w:asciiTheme="minorHAnsi" w:hAnsiTheme="minorHAnsi"/>
          <w:bCs/>
          <w:lang w:val="en-GB"/>
        </w:rPr>
        <w:t xml:space="preserve"> available</w:t>
      </w:r>
      <w:r w:rsidR="00DB405C" w:rsidRPr="0070175A">
        <w:rPr>
          <w:rFonts w:asciiTheme="minorHAnsi" w:hAnsiTheme="minorHAnsi"/>
          <w:bCs/>
          <w:lang w:val="en-GB"/>
        </w:rPr>
        <w:t xml:space="preserve"> clinical evidence including the </w:t>
      </w:r>
      <w:r w:rsidR="00E56D20" w:rsidRPr="0070175A">
        <w:rPr>
          <w:rFonts w:asciiTheme="minorHAnsi" w:hAnsiTheme="minorHAnsi"/>
          <w:bCs/>
          <w:lang w:val="en-GB"/>
        </w:rPr>
        <w:t>use of single-arm</w:t>
      </w:r>
      <w:r w:rsidR="00E8163D" w:rsidRPr="0070175A">
        <w:rPr>
          <w:rFonts w:asciiTheme="minorHAnsi" w:hAnsiTheme="minorHAnsi"/>
          <w:bCs/>
          <w:lang w:val="en-GB"/>
        </w:rPr>
        <w:t>s of randomised</w:t>
      </w:r>
      <w:r w:rsidR="00E56D20" w:rsidRPr="0070175A">
        <w:rPr>
          <w:rFonts w:asciiTheme="minorHAnsi" w:hAnsiTheme="minorHAnsi"/>
          <w:bCs/>
          <w:lang w:val="en-GB"/>
        </w:rPr>
        <w:t xml:space="preserve"> </w:t>
      </w:r>
      <w:r w:rsidR="00E8163D" w:rsidRPr="0070175A">
        <w:rPr>
          <w:rFonts w:asciiTheme="minorHAnsi" w:hAnsiTheme="minorHAnsi"/>
          <w:bCs/>
          <w:lang w:val="en-GB"/>
        </w:rPr>
        <w:t xml:space="preserve">trials </w:t>
      </w:r>
      <w:r w:rsidR="00E56D20" w:rsidRPr="0070175A">
        <w:rPr>
          <w:rFonts w:asciiTheme="minorHAnsi" w:hAnsiTheme="minorHAnsi"/>
          <w:bCs/>
          <w:lang w:val="en-GB"/>
        </w:rPr>
        <w:t>which do not take into account rates of natural immunity</w:t>
      </w:r>
      <w:r w:rsidR="00E814B8" w:rsidRPr="0070175A">
        <w:rPr>
          <w:rFonts w:asciiTheme="minorHAnsi" w:hAnsiTheme="minorHAnsi"/>
          <w:bCs/>
          <w:lang w:val="en-GB"/>
        </w:rPr>
        <w:t>,</w:t>
      </w:r>
      <w:r w:rsidR="00E56D20" w:rsidRPr="0070175A">
        <w:rPr>
          <w:rFonts w:asciiTheme="minorHAnsi" w:hAnsiTheme="minorHAnsi"/>
          <w:bCs/>
          <w:lang w:val="en-GB"/>
        </w:rPr>
        <w:t xml:space="preserve"> </w:t>
      </w:r>
      <w:r w:rsidR="00E814B8" w:rsidRPr="0070175A">
        <w:rPr>
          <w:rFonts w:asciiTheme="minorHAnsi" w:hAnsiTheme="minorHAnsi"/>
          <w:bCs/>
          <w:lang w:val="en-GB"/>
        </w:rPr>
        <w:t xml:space="preserve">as well as </w:t>
      </w:r>
      <w:r w:rsidR="00E56D20" w:rsidRPr="0070175A">
        <w:rPr>
          <w:rFonts w:asciiTheme="minorHAnsi" w:hAnsiTheme="minorHAnsi"/>
          <w:bCs/>
          <w:lang w:val="en-GB"/>
        </w:rPr>
        <w:t xml:space="preserve">the </w:t>
      </w:r>
      <w:r w:rsidR="00DB405C" w:rsidRPr="0070175A">
        <w:rPr>
          <w:rFonts w:asciiTheme="minorHAnsi" w:hAnsiTheme="minorHAnsi"/>
          <w:bCs/>
          <w:lang w:val="en-GB"/>
        </w:rPr>
        <w:t xml:space="preserve">lack </w:t>
      </w:r>
      <w:r w:rsidR="00E56D20" w:rsidRPr="0070175A">
        <w:rPr>
          <w:rFonts w:asciiTheme="minorHAnsi" w:hAnsiTheme="minorHAnsi"/>
          <w:bCs/>
          <w:lang w:val="en-GB"/>
        </w:rPr>
        <w:t xml:space="preserve">of studies measuring nasopharyngeal meningococcal carriage rates </w:t>
      </w:r>
      <w:r w:rsidR="00E814B8" w:rsidRPr="0070175A">
        <w:rPr>
          <w:rFonts w:asciiTheme="minorHAnsi" w:hAnsiTheme="minorHAnsi"/>
          <w:bCs/>
          <w:lang w:val="en-GB"/>
        </w:rPr>
        <w:t xml:space="preserve">to assess the </w:t>
      </w:r>
      <w:r w:rsidR="00E56D20" w:rsidRPr="0070175A">
        <w:rPr>
          <w:rFonts w:asciiTheme="minorHAnsi" w:hAnsiTheme="minorHAnsi"/>
          <w:bCs/>
          <w:lang w:val="en-GB"/>
        </w:rPr>
        <w:t>potential</w:t>
      </w:r>
      <w:r w:rsidR="00E8163D" w:rsidRPr="0070175A">
        <w:rPr>
          <w:rFonts w:asciiTheme="minorHAnsi" w:hAnsiTheme="minorHAnsi"/>
          <w:bCs/>
          <w:lang w:val="en-GB"/>
        </w:rPr>
        <w:t xml:space="preserve"> for</w:t>
      </w:r>
      <w:r w:rsidR="00E56D20" w:rsidRPr="0070175A">
        <w:rPr>
          <w:rFonts w:asciiTheme="minorHAnsi" w:hAnsiTheme="minorHAnsi"/>
          <w:bCs/>
          <w:lang w:val="en-GB"/>
        </w:rPr>
        <w:t xml:space="preserve"> herd immunity.</w:t>
      </w:r>
      <w:r w:rsidR="0070175A">
        <w:rPr>
          <w:rFonts w:asciiTheme="minorHAnsi" w:hAnsiTheme="minorHAnsi"/>
          <w:bCs/>
          <w:lang w:val="en-GB"/>
        </w:rPr>
        <w:t xml:space="preserve"> </w:t>
      </w:r>
    </w:p>
    <w:p w:rsidR="00674552" w:rsidRPr="00A5784D" w:rsidRDefault="00674552" w:rsidP="00674552">
      <w:pPr>
        <w:widowControl/>
        <w:numPr>
          <w:ilvl w:val="1"/>
          <w:numId w:val="1"/>
        </w:numPr>
        <w:spacing w:after="120"/>
      </w:pPr>
      <w:r w:rsidRPr="00A5784D">
        <w:t xml:space="preserve">The PBAC considered </w:t>
      </w:r>
      <w:r w:rsidR="00E8163D">
        <w:t xml:space="preserve">that </w:t>
      </w:r>
      <w:r w:rsidRPr="00A5784D">
        <w:t xml:space="preserve">the clinical claim </w:t>
      </w:r>
      <w:r w:rsidR="00D52398">
        <w:t xml:space="preserve">of </w:t>
      </w:r>
      <w:r w:rsidRPr="00A5784D">
        <w:t>superior</w:t>
      </w:r>
      <w:r w:rsidR="00E8163D">
        <w:t xml:space="preserve"> efficacy compared with</w:t>
      </w:r>
      <w:r w:rsidRPr="00A5784D">
        <w:t xml:space="preserve"> no vacci</w:t>
      </w:r>
      <w:r w:rsidR="008B0DDC">
        <w:t xml:space="preserve">ne </w:t>
      </w:r>
      <w:r w:rsidRPr="00A5784D">
        <w:t>was reasonable.</w:t>
      </w:r>
      <w:r w:rsidR="008B0DDC">
        <w:t xml:space="preserve"> However, the PBAC noted the impact of vaccination on the </w:t>
      </w:r>
      <w:r w:rsidR="0070175A">
        <w:t xml:space="preserve">population </w:t>
      </w:r>
      <w:r w:rsidR="008B0DDC">
        <w:t>incidence of IMD was highly uncertain.</w:t>
      </w:r>
      <w:r w:rsidR="007B2142" w:rsidRPr="00A5784D">
        <w:t xml:space="preserve"> </w:t>
      </w:r>
    </w:p>
    <w:p w:rsidR="00674552" w:rsidRPr="00A5784D" w:rsidRDefault="00674552" w:rsidP="00674552">
      <w:pPr>
        <w:pStyle w:val="ListParagraph"/>
        <w:widowControl/>
        <w:numPr>
          <w:ilvl w:val="1"/>
          <w:numId w:val="1"/>
        </w:numPr>
      </w:pPr>
      <w:r w:rsidRPr="00A5784D">
        <w:t>The PBAC considered that overall,</w:t>
      </w:r>
      <w:r w:rsidR="005D5686">
        <w:t xml:space="preserve"> the</w:t>
      </w:r>
      <w:r w:rsidRPr="00A5784D">
        <w:t xml:space="preserve"> </w:t>
      </w:r>
      <w:proofErr w:type="spellStart"/>
      <w:r w:rsidRPr="00A5784D">
        <w:t>MenACWY</w:t>
      </w:r>
      <w:proofErr w:type="spellEnd"/>
      <w:r w:rsidRPr="00A5784D">
        <w:t xml:space="preserve">-TT </w:t>
      </w:r>
      <w:r w:rsidR="005D5686">
        <w:t xml:space="preserve">vaccine </w:t>
      </w:r>
      <w:r w:rsidRPr="00A5784D">
        <w:t xml:space="preserve">had a </w:t>
      </w:r>
      <w:r w:rsidR="00E56D20" w:rsidRPr="00A5784D">
        <w:t xml:space="preserve">reasonable </w:t>
      </w:r>
      <w:r w:rsidRPr="00A5784D">
        <w:t>safety profile</w:t>
      </w:r>
      <w:r w:rsidR="007B2142" w:rsidRPr="00A5784D">
        <w:t xml:space="preserve"> and whilst</w:t>
      </w:r>
      <w:r w:rsidR="00E56D20" w:rsidRPr="00A5784D">
        <w:t xml:space="preserve"> inferior to the comparator of no vaccine</w:t>
      </w:r>
      <w:r w:rsidR="007B2142" w:rsidRPr="00A5784D">
        <w:t>, the adverse events were generally mild or moderate.</w:t>
      </w:r>
    </w:p>
    <w:p w:rsidR="00991B55" w:rsidRPr="00991B55" w:rsidRDefault="003464EF" w:rsidP="007B2142">
      <w:pPr>
        <w:numPr>
          <w:ilvl w:val="1"/>
          <w:numId w:val="1"/>
        </w:numPr>
        <w:spacing w:after="120"/>
        <w:rPr>
          <w:rFonts w:asciiTheme="minorHAnsi" w:hAnsiTheme="minorHAnsi"/>
          <w:bCs/>
          <w:lang w:val="en-GB"/>
        </w:rPr>
      </w:pPr>
      <w:r w:rsidRPr="003D5C0B">
        <w:t xml:space="preserve">The </w:t>
      </w:r>
      <w:r>
        <w:t xml:space="preserve">PBAC noted ESC’s advice that </w:t>
      </w:r>
      <w:r w:rsidRPr="003D5C0B">
        <w:t xml:space="preserve">a dynamic model would be more appropriate for assessing the cost-effectiveness of the </w:t>
      </w:r>
      <w:proofErr w:type="spellStart"/>
      <w:r w:rsidRPr="003D5C0B">
        <w:t>MenACW</w:t>
      </w:r>
      <w:r w:rsidR="003E3375">
        <w:t>Y</w:t>
      </w:r>
      <w:proofErr w:type="spellEnd"/>
      <w:r w:rsidRPr="003D5C0B">
        <w:t xml:space="preserve"> vaccine. </w:t>
      </w:r>
      <w:r w:rsidRPr="00A5784D">
        <w:t xml:space="preserve">The PBAC considered that </w:t>
      </w:r>
      <w:r w:rsidR="008B0DDC">
        <w:t xml:space="preserve">although </w:t>
      </w:r>
      <w:r w:rsidRPr="00A5784D">
        <w:t xml:space="preserve">a dynamic model may be useful, </w:t>
      </w:r>
      <w:r>
        <w:t>it may</w:t>
      </w:r>
      <w:r w:rsidRPr="00A5784D">
        <w:t xml:space="preserve"> not provide further certainty </w:t>
      </w:r>
      <w:r>
        <w:t xml:space="preserve">regarding the cost-effectiveness of </w:t>
      </w:r>
      <w:r w:rsidR="003E3375">
        <w:t xml:space="preserve">the </w:t>
      </w:r>
      <w:proofErr w:type="spellStart"/>
      <w:r w:rsidR="003E3375">
        <w:t>MenAC</w:t>
      </w:r>
      <w:r w:rsidRPr="003D5C0B">
        <w:t>W</w:t>
      </w:r>
      <w:r w:rsidR="003E3375">
        <w:t>Y</w:t>
      </w:r>
      <w:proofErr w:type="spellEnd"/>
      <w:r w:rsidRPr="003D5C0B">
        <w:t xml:space="preserve"> vaccine</w:t>
      </w:r>
      <w:r>
        <w:t xml:space="preserve"> </w:t>
      </w:r>
      <w:r w:rsidRPr="00A5784D">
        <w:t xml:space="preserve">given that it would not be possible to resolve the key uncertainties </w:t>
      </w:r>
      <w:r>
        <w:t>regarding</w:t>
      </w:r>
      <w:r w:rsidRPr="00A5784D">
        <w:t xml:space="preserve"> the impact of the vaccine on carriage rates </w:t>
      </w:r>
      <w:r>
        <w:t>and hence likely extent of</w:t>
      </w:r>
      <w:r w:rsidRPr="00A5784D">
        <w:t xml:space="preserve"> herd immunity. </w:t>
      </w:r>
    </w:p>
    <w:p w:rsidR="003464EF" w:rsidRPr="00991B55" w:rsidRDefault="00991B55" w:rsidP="007B2142">
      <w:pPr>
        <w:numPr>
          <w:ilvl w:val="1"/>
          <w:numId w:val="1"/>
        </w:numPr>
        <w:spacing w:after="120"/>
        <w:rPr>
          <w:rFonts w:asciiTheme="minorHAnsi" w:hAnsiTheme="minorHAnsi"/>
          <w:bCs/>
          <w:lang w:val="en-GB"/>
        </w:rPr>
      </w:pPr>
      <w:r>
        <w:t>The PBAC noted the b</w:t>
      </w:r>
      <w:r w:rsidRPr="00163F10">
        <w:t>ackgro</w:t>
      </w:r>
      <w:r w:rsidR="008B0DDC">
        <w:t xml:space="preserve">und </w:t>
      </w:r>
      <w:r w:rsidRPr="00590BD8">
        <w:t>rates of IMD were based on a single year of incidence data (2016-2017) and were assumed to be constant over the 85-year projection in the model.</w:t>
      </w:r>
      <w:r>
        <w:t xml:space="preserve"> The PBAC noted the sponsor’s arguments regarding the possibility of the incidence increasing over time. Overall, the PBAC considered the future incidence was hard to predict but that the rates used in the model were potentially conservative.</w:t>
      </w:r>
    </w:p>
    <w:p w:rsidR="00026C69" w:rsidRPr="00BE30A7" w:rsidRDefault="00026C69" w:rsidP="00026C69">
      <w:pPr>
        <w:pStyle w:val="ListParagraph"/>
        <w:widowControl/>
        <w:numPr>
          <w:ilvl w:val="1"/>
          <w:numId w:val="1"/>
        </w:numPr>
      </w:pPr>
      <w:r w:rsidRPr="000B6036">
        <w:t>T</w:t>
      </w:r>
      <w:r>
        <w:t>he PBAC noted the lack of a surrogate serological correlate of protection</w:t>
      </w:r>
      <w:r w:rsidRPr="000B6036">
        <w:t xml:space="preserve"> </w:t>
      </w:r>
      <w:r>
        <w:t>for</w:t>
      </w:r>
      <w:r w:rsidRPr="000B6036">
        <w:t xml:space="preserve"> the efficacy of the </w:t>
      </w:r>
      <w:proofErr w:type="spellStart"/>
      <w:r w:rsidRPr="000B6036">
        <w:t>MenACWY</w:t>
      </w:r>
      <w:proofErr w:type="spellEnd"/>
      <w:r w:rsidRPr="000B6036">
        <w:t>-TT vaccine against IMD caused by serogroups A, W and</w:t>
      </w:r>
      <w:r>
        <w:t xml:space="preserve"> Y. The PBAC noted </w:t>
      </w:r>
      <w:r w:rsidRPr="00590BD8">
        <w:t>ATAGI</w:t>
      </w:r>
      <w:r>
        <w:t>’s advice</w:t>
      </w:r>
      <w:r w:rsidRPr="00590BD8">
        <w:t xml:space="preserve"> that ‘vaccine response’ is a reasonable </w:t>
      </w:r>
      <w:r>
        <w:t>measure</w:t>
      </w:r>
      <w:r w:rsidRPr="00590BD8">
        <w:t xml:space="preserve"> </w:t>
      </w:r>
      <w:r>
        <w:t>of</w:t>
      </w:r>
      <w:r w:rsidRPr="00590BD8">
        <w:t xml:space="preserve"> vaccine efficacy in the short term. </w:t>
      </w:r>
      <w:r w:rsidRPr="00BE30A7">
        <w:t xml:space="preserve">The PBAC </w:t>
      </w:r>
      <w:r>
        <w:t>noted</w:t>
      </w:r>
      <w:r w:rsidRPr="00BE30A7">
        <w:t xml:space="preserve"> that vaccine response was </w:t>
      </w:r>
      <w:r>
        <w:t>used as a</w:t>
      </w:r>
      <w:r w:rsidRPr="00BE30A7">
        <w:t xml:space="preserve"> surrogate measure to inform </w:t>
      </w:r>
      <w:r>
        <w:t xml:space="preserve">efficacy in </w:t>
      </w:r>
      <w:r w:rsidRPr="00BE30A7">
        <w:t>the economic model</w:t>
      </w:r>
      <w:r>
        <w:t xml:space="preserve"> and that a better alternative measure was not available</w:t>
      </w:r>
      <w:r w:rsidRPr="00BE30A7">
        <w:t>.</w:t>
      </w:r>
    </w:p>
    <w:p w:rsidR="00991B55" w:rsidRDefault="00026C69" w:rsidP="007B2142">
      <w:pPr>
        <w:numPr>
          <w:ilvl w:val="1"/>
          <w:numId w:val="1"/>
        </w:numPr>
        <w:spacing w:after="120"/>
        <w:rPr>
          <w:rFonts w:asciiTheme="minorHAnsi" w:hAnsiTheme="minorHAnsi"/>
          <w:bCs/>
          <w:lang w:val="en-GB"/>
        </w:rPr>
      </w:pPr>
      <w:r>
        <w:rPr>
          <w:rFonts w:asciiTheme="minorHAnsi" w:hAnsiTheme="minorHAnsi"/>
          <w:bCs/>
          <w:lang w:val="en-GB"/>
        </w:rPr>
        <w:t>The PBAC noted that in the economic model herd immunity was based on data</w:t>
      </w:r>
      <w:r w:rsidR="005B1105">
        <w:rPr>
          <w:rFonts w:asciiTheme="minorHAnsi" w:hAnsiTheme="minorHAnsi"/>
          <w:bCs/>
          <w:lang w:val="en-GB"/>
        </w:rPr>
        <w:t xml:space="preserve"> from the </w:t>
      </w:r>
      <w:proofErr w:type="spellStart"/>
      <w:r w:rsidR="005B1105">
        <w:rPr>
          <w:rFonts w:asciiTheme="minorHAnsi" w:hAnsiTheme="minorHAnsi"/>
          <w:bCs/>
          <w:lang w:val="en-GB"/>
        </w:rPr>
        <w:t>MenC</w:t>
      </w:r>
      <w:proofErr w:type="spellEnd"/>
      <w:r w:rsidR="005B1105">
        <w:rPr>
          <w:rFonts w:asciiTheme="minorHAnsi" w:hAnsiTheme="minorHAnsi"/>
          <w:bCs/>
          <w:lang w:val="en-GB"/>
        </w:rPr>
        <w:t xml:space="preserve"> program in the United Kingdom</w:t>
      </w:r>
      <w:r w:rsidR="008B0DDC">
        <w:rPr>
          <w:rFonts w:asciiTheme="minorHAnsi" w:hAnsiTheme="minorHAnsi"/>
          <w:bCs/>
          <w:lang w:val="en-GB"/>
        </w:rPr>
        <w:t xml:space="preserve"> (UK)</w:t>
      </w:r>
      <w:r>
        <w:rPr>
          <w:rFonts w:asciiTheme="minorHAnsi" w:hAnsiTheme="minorHAnsi"/>
          <w:bCs/>
          <w:lang w:val="en-GB"/>
        </w:rPr>
        <w:t xml:space="preserve">. </w:t>
      </w:r>
      <w:r w:rsidR="005B1105">
        <w:rPr>
          <w:rFonts w:asciiTheme="minorHAnsi" w:hAnsiTheme="minorHAnsi"/>
          <w:bCs/>
          <w:lang w:val="en-GB"/>
        </w:rPr>
        <w:t>The PBAC noted the issues regarding translation of the UK data to the Australian setting, as outlined by ESC, including that the proposed vaccination schedule differs to that implemented in the UK.</w:t>
      </w:r>
    </w:p>
    <w:p w:rsidR="005B1105" w:rsidRDefault="005B1105" w:rsidP="007B2142">
      <w:pPr>
        <w:numPr>
          <w:ilvl w:val="1"/>
          <w:numId w:val="1"/>
        </w:numPr>
        <w:spacing w:after="120"/>
        <w:rPr>
          <w:rFonts w:asciiTheme="minorHAnsi" w:hAnsiTheme="minorHAnsi"/>
          <w:bCs/>
          <w:lang w:val="en-GB"/>
        </w:rPr>
      </w:pPr>
      <w:r>
        <w:rPr>
          <w:rFonts w:asciiTheme="minorHAnsi" w:hAnsiTheme="minorHAnsi"/>
          <w:bCs/>
          <w:lang w:val="en-GB"/>
        </w:rPr>
        <w:t xml:space="preserve">The PBAC noted based on the UK program a 67% reduction in IMD was applied in the model to all age groups to reflect the impact of herd immunity.  The PBAC noted ESC’s advice that in the UK a smaller reduction was observed in adults not eligible for vaccination and considered that the herd immunity effect </w:t>
      </w:r>
      <w:r w:rsidR="00706318">
        <w:rPr>
          <w:rFonts w:asciiTheme="minorHAnsi" w:hAnsiTheme="minorHAnsi"/>
          <w:bCs/>
          <w:lang w:val="en-GB"/>
        </w:rPr>
        <w:t>among older individuals may have been overestimated</w:t>
      </w:r>
      <w:r>
        <w:rPr>
          <w:rFonts w:asciiTheme="minorHAnsi" w:hAnsiTheme="minorHAnsi"/>
          <w:bCs/>
          <w:lang w:val="en-GB"/>
        </w:rPr>
        <w:t xml:space="preserve">. </w:t>
      </w:r>
    </w:p>
    <w:p w:rsidR="00692344" w:rsidRPr="00692344" w:rsidRDefault="00CD31D0" w:rsidP="007B2142">
      <w:pPr>
        <w:numPr>
          <w:ilvl w:val="1"/>
          <w:numId w:val="1"/>
        </w:numPr>
        <w:spacing w:after="120"/>
        <w:rPr>
          <w:rFonts w:asciiTheme="minorHAnsi" w:hAnsiTheme="minorHAnsi"/>
          <w:bCs/>
          <w:lang w:val="en-GB"/>
        </w:rPr>
      </w:pPr>
      <w:r>
        <w:lastRenderedPageBreak/>
        <w:t>The PBAC noted the costs applied in the economic model for the long-term management of IMD were uncertain and had a moderate impact on the cost-effectiveness of the vaccine. The PBAC considered the costs associated with treating</w:t>
      </w:r>
      <w:r w:rsidR="006709C9">
        <w:t xml:space="preserve"> the permanent sequelae of IMD were largely </w:t>
      </w:r>
      <w:r w:rsidR="00692344">
        <w:t>unknown.</w:t>
      </w:r>
    </w:p>
    <w:p w:rsidR="00821843" w:rsidRPr="00A5784D" w:rsidRDefault="00CD31D0" w:rsidP="00821843">
      <w:pPr>
        <w:numPr>
          <w:ilvl w:val="1"/>
          <w:numId w:val="1"/>
        </w:numPr>
        <w:spacing w:after="120"/>
        <w:rPr>
          <w:rFonts w:asciiTheme="minorHAnsi" w:hAnsiTheme="minorHAnsi"/>
          <w:bCs/>
          <w:lang w:val="en-GB"/>
        </w:rPr>
      </w:pPr>
      <w:r>
        <w:t xml:space="preserve"> </w:t>
      </w:r>
      <w:r w:rsidR="00821843" w:rsidRPr="00A5784D">
        <w:t xml:space="preserve">The PBAC </w:t>
      </w:r>
      <w:r w:rsidR="00821843">
        <w:t>recalled</w:t>
      </w:r>
      <w:r w:rsidR="00821843" w:rsidRPr="00A5784D">
        <w:t xml:space="preserve"> that </w:t>
      </w:r>
      <w:r w:rsidR="00821843">
        <w:t>for vaccination programs a cost per quality adjusted life year (QALY) of</w:t>
      </w:r>
      <w:r w:rsidR="00821843" w:rsidRPr="00A5784D">
        <w:t xml:space="preserve"> $15,000</w:t>
      </w:r>
      <w:r w:rsidR="00821843">
        <w:t xml:space="preserve"> or less is generally considered acceptable</w:t>
      </w:r>
      <w:r w:rsidR="00821843" w:rsidRPr="00A5784D">
        <w:t>.</w:t>
      </w:r>
      <w:r w:rsidR="00072B7E">
        <w:t xml:space="preserve"> The PBAC considered the cost of the </w:t>
      </w:r>
      <w:proofErr w:type="spellStart"/>
      <w:r w:rsidR="00072B7E" w:rsidRPr="00A5784D">
        <w:t>MenACWY</w:t>
      </w:r>
      <w:proofErr w:type="spellEnd"/>
      <w:r w:rsidR="00072B7E" w:rsidRPr="00A5784D">
        <w:t>-TT</w:t>
      </w:r>
      <w:r w:rsidR="00072B7E">
        <w:t xml:space="preserve"> vaccine should be reduced such that the cost per QA</w:t>
      </w:r>
      <w:r w:rsidR="0069371F">
        <w:t xml:space="preserve">LY gained was less than $15,000. </w:t>
      </w:r>
    </w:p>
    <w:p w:rsidR="00CD31D0" w:rsidRPr="000241AF" w:rsidRDefault="000241AF" w:rsidP="000241AF">
      <w:pPr>
        <w:pStyle w:val="ListParagraph"/>
        <w:numPr>
          <w:ilvl w:val="1"/>
          <w:numId w:val="1"/>
        </w:numPr>
        <w:rPr>
          <w:rFonts w:asciiTheme="minorHAnsi" w:hAnsiTheme="minorHAnsi"/>
          <w:bCs/>
          <w:lang w:val="en-GB"/>
        </w:rPr>
      </w:pPr>
      <w:r w:rsidRPr="000241AF">
        <w:rPr>
          <w:rFonts w:asciiTheme="minorHAnsi" w:hAnsiTheme="minorHAnsi"/>
          <w:bCs/>
          <w:lang w:val="en-GB"/>
        </w:rPr>
        <w:t xml:space="preserve">The PBAC noted the financial impact associated with the listing of </w:t>
      </w:r>
      <w:r>
        <w:t xml:space="preserve">the </w:t>
      </w:r>
      <w:proofErr w:type="spellStart"/>
      <w:r w:rsidRPr="00A5784D">
        <w:t>MenACWY</w:t>
      </w:r>
      <w:proofErr w:type="spellEnd"/>
      <w:r w:rsidRPr="00A5784D">
        <w:t>-TT</w:t>
      </w:r>
      <w:r>
        <w:t xml:space="preserve"> vaccine </w:t>
      </w:r>
      <w:r w:rsidRPr="000241AF">
        <w:rPr>
          <w:rFonts w:asciiTheme="minorHAnsi" w:hAnsiTheme="minorHAnsi"/>
          <w:bCs/>
          <w:lang w:val="en-GB"/>
        </w:rPr>
        <w:t xml:space="preserve">would be reduced compared with the estimates presented in the submission as a result of the price reduction required for </w:t>
      </w:r>
      <w:proofErr w:type="spellStart"/>
      <w:r w:rsidRPr="00A5784D">
        <w:t>MenACWY</w:t>
      </w:r>
      <w:proofErr w:type="spellEnd"/>
      <w:r w:rsidRPr="00A5784D">
        <w:t>-TT</w:t>
      </w:r>
      <w:r>
        <w:t xml:space="preserve"> </w:t>
      </w:r>
      <w:r w:rsidRPr="000241AF">
        <w:rPr>
          <w:rFonts w:asciiTheme="minorHAnsi" w:hAnsiTheme="minorHAnsi"/>
          <w:bCs/>
          <w:lang w:val="en-GB"/>
        </w:rPr>
        <w:t xml:space="preserve">to be considered cost-effective.  </w:t>
      </w:r>
      <w:r>
        <w:rPr>
          <w:rFonts w:asciiTheme="minorHAnsi" w:hAnsiTheme="minorHAnsi"/>
          <w:bCs/>
          <w:lang w:val="en-GB"/>
        </w:rPr>
        <w:t xml:space="preserve">The PBAC also noted the financial impact of the catch-up program may be overstated in the submission as students who have been vaccinated through the State-based programs were not excluded. </w:t>
      </w:r>
    </w:p>
    <w:p w:rsidR="00926E55" w:rsidRPr="00A5784D" w:rsidRDefault="00926E55" w:rsidP="00926E55">
      <w:pPr>
        <w:pStyle w:val="ListParagraph"/>
        <w:widowControl/>
        <w:numPr>
          <w:ilvl w:val="1"/>
          <w:numId w:val="1"/>
        </w:numPr>
        <w:rPr>
          <w:rFonts w:asciiTheme="minorHAnsi" w:hAnsiTheme="minorHAnsi" w:cstheme="minorHAnsi"/>
          <w:bCs/>
          <w:lang w:val="en-GB"/>
        </w:rPr>
      </w:pPr>
      <w:r w:rsidRPr="00A5784D">
        <w:rPr>
          <w:rFonts w:asciiTheme="minorHAnsi" w:hAnsiTheme="minorHAnsi" w:cstheme="minorHAnsi"/>
          <w:bCs/>
          <w:lang w:val="en-GB"/>
        </w:rPr>
        <w:t>The PBAC noted that ATAGI recommended a review of this drug five</w:t>
      </w:r>
      <w:r w:rsidR="00F21CB6" w:rsidRPr="00A5784D">
        <w:rPr>
          <w:rFonts w:asciiTheme="minorHAnsi" w:hAnsiTheme="minorHAnsi" w:cstheme="minorHAnsi"/>
          <w:bCs/>
          <w:lang w:val="en-GB"/>
        </w:rPr>
        <w:t xml:space="preserve"> years after implementation and that activities to support quality use of this medicine were suggested.</w:t>
      </w:r>
    </w:p>
    <w:p w:rsidR="00CE36BE" w:rsidRPr="00E56D20" w:rsidRDefault="00CE36BE" w:rsidP="00CE36BE">
      <w:pPr>
        <w:pStyle w:val="ListParagraph"/>
        <w:widowControl/>
        <w:numPr>
          <w:ilvl w:val="1"/>
          <w:numId w:val="1"/>
        </w:numPr>
        <w:rPr>
          <w:i/>
        </w:rPr>
      </w:pPr>
      <w:r w:rsidRPr="00A5784D">
        <w:t>The PBAC noted that this submission is not eligible for independent review as independent review is only relevant to PBS listing.</w:t>
      </w:r>
    </w:p>
    <w:p w:rsidR="008938C7" w:rsidRPr="00381DBB" w:rsidRDefault="008938C7" w:rsidP="008938C7">
      <w:pPr>
        <w:spacing w:before="240"/>
        <w:rPr>
          <w:rFonts w:asciiTheme="minorHAnsi" w:hAnsiTheme="minorHAnsi"/>
          <w:b/>
          <w:bCs/>
          <w:lang w:val="en-GB"/>
        </w:rPr>
      </w:pPr>
      <w:r w:rsidRPr="00381DBB">
        <w:rPr>
          <w:rFonts w:asciiTheme="minorHAnsi" w:hAnsiTheme="minorHAnsi"/>
          <w:b/>
          <w:bCs/>
          <w:lang w:val="en-GB"/>
        </w:rPr>
        <w:t>Outcome:</w:t>
      </w:r>
    </w:p>
    <w:p w:rsidR="008938C7" w:rsidRDefault="008938C7" w:rsidP="008938C7">
      <w:pPr>
        <w:rPr>
          <w:rFonts w:asciiTheme="minorHAnsi" w:hAnsiTheme="minorHAnsi"/>
          <w:bCs/>
          <w:lang w:val="en-GB"/>
        </w:rPr>
      </w:pPr>
      <w:r w:rsidRPr="001473AE">
        <w:rPr>
          <w:rFonts w:asciiTheme="minorHAnsi" w:hAnsiTheme="minorHAnsi"/>
          <w:bCs/>
          <w:lang w:val="en-GB"/>
        </w:rPr>
        <w:t xml:space="preserve">Recommended </w:t>
      </w:r>
    </w:p>
    <w:p w:rsidR="00E10081" w:rsidRPr="001473AE" w:rsidRDefault="00E10081" w:rsidP="008938C7">
      <w:pPr>
        <w:rPr>
          <w:rFonts w:asciiTheme="minorHAnsi" w:hAnsiTheme="minorHAnsi"/>
          <w:bCs/>
          <w:lang w:val="en-GB"/>
        </w:rPr>
      </w:pPr>
    </w:p>
    <w:p w:rsidR="00D93C51" w:rsidRPr="00E10081" w:rsidRDefault="00D93C51" w:rsidP="00E10081">
      <w:pPr>
        <w:pStyle w:val="PBACHeading1"/>
        <w:widowControl w:val="0"/>
        <w:numPr>
          <w:ilvl w:val="0"/>
          <w:numId w:val="1"/>
        </w:numPr>
        <w:jc w:val="both"/>
        <w:outlineLvl w:val="0"/>
        <w:rPr>
          <w:szCs w:val="32"/>
        </w:rPr>
      </w:pPr>
      <w:r w:rsidRPr="00E10081">
        <w:rPr>
          <w:szCs w:val="32"/>
        </w:rPr>
        <w:t>Context for Decision</w:t>
      </w:r>
    </w:p>
    <w:p w:rsidR="00D93C51" w:rsidRDefault="00D93C51" w:rsidP="00D93C51">
      <w:pPr>
        <w:rPr>
          <w:rFonts w:asciiTheme="minorHAnsi" w:hAnsiTheme="minorHAnsi"/>
          <w:bCs/>
        </w:rPr>
      </w:pPr>
      <w:r w:rsidRPr="00D93C51">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10081" w:rsidRPr="00D93C51" w:rsidRDefault="00E10081" w:rsidP="00D93C51">
      <w:pPr>
        <w:rPr>
          <w:rFonts w:asciiTheme="minorHAnsi" w:hAnsiTheme="minorHAnsi"/>
          <w:bCs/>
        </w:rPr>
      </w:pPr>
    </w:p>
    <w:p w:rsidR="00D93C51" w:rsidRPr="00E10081" w:rsidRDefault="00D93C51" w:rsidP="00E10081">
      <w:pPr>
        <w:pStyle w:val="PBACHeading1"/>
        <w:widowControl w:val="0"/>
        <w:numPr>
          <w:ilvl w:val="0"/>
          <w:numId w:val="1"/>
        </w:numPr>
        <w:jc w:val="both"/>
        <w:outlineLvl w:val="0"/>
        <w:rPr>
          <w:szCs w:val="32"/>
        </w:rPr>
      </w:pPr>
      <w:r w:rsidRPr="00E10081">
        <w:rPr>
          <w:szCs w:val="32"/>
        </w:rPr>
        <w:t>Sponsor’s Comment</w:t>
      </w:r>
    </w:p>
    <w:p w:rsidR="00D93C51" w:rsidRPr="00D93C51" w:rsidRDefault="00D93C51" w:rsidP="00D93C51">
      <w:pPr>
        <w:rPr>
          <w:rFonts w:asciiTheme="minorHAnsi" w:hAnsiTheme="minorHAnsi"/>
          <w:bCs/>
        </w:rPr>
      </w:pPr>
      <w:r w:rsidRPr="003B54E5">
        <w:rPr>
          <w:rFonts w:asciiTheme="minorHAnsi" w:hAnsiTheme="minorHAnsi"/>
          <w:bCs/>
        </w:rPr>
        <w:t>The sponsor had no comment.</w:t>
      </w:r>
    </w:p>
    <w:p w:rsidR="008938C7" w:rsidRPr="008938C7" w:rsidRDefault="008938C7" w:rsidP="008938C7">
      <w:pPr>
        <w:rPr>
          <w:rFonts w:asciiTheme="minorHAnsi" w:hAnsiTheme="minorHAnsi"/>
          <w:bCs/>
        </w:rPr>
      </w:pPr>
    </w:p>
    <w:sectPr w:rsidR="008938C7" w:rsidRPr="008938C7" w:rsidSect="00685021">
      <w:headerReference w:type="default" r:id="rId22"/>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B9A02E" w15:done="0"/>
  <w15:commentEx w15:paraId="4A80C83E" w15:done="0"/>
  <w15:commentEx w15:paraId="197492AF" w15:done="0"/>
  <w15:commentEx w15:paraId="24F1F9BF" w15:done="0"/>
  <w15:commentEx w15:paraId="3F6DBB95" w15:done="0"/>
  <w15:commentEx w15:paraId="1A48D23F" w15:done="0"/>
  <w15:commentEx w15:paraId="61CEFE2B" w15:done="0"/>
  <w15:commentEx w15:paraId="14CC68DF" w15:done="0"/>
  <w15:commentEx w15:paraId="23E427AA" w15:paraIdParent="14CC68DF" w15:done="0"/>
  <w15:commentEx w15:paraId="53F26C12" w15:done="0"/>
  <w15:commentEx w15:paraId="39B0F9A8" w15:paraIdParent="53F26C12" w15:done="0"/>
  <w15:commentEx w15:paraId="4E0AE5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AA753" w16cid:durableId="1E37D101"/>
  <w16cid:commentId w16cid:paraId="37CBA0F5" w16cid:durableId="1E37D102"/>
  <w16cid:commentId w16cid:paraId="7D4FBD18" w16cid:durableId="1E37D333"/>
  <w16cid:commentId w16cid:paraId="738D86B2" w16cid:durableId="1E37D103"/>
  <w16cid:commentId w16cid:paraId="7555B74F" w16cid:durableId="1E37D476"/>
  <w16cid:commentId w16cid:paraId="7D129C99" w16cid:durableId="1E37D104"/>
  <w16cid:commentId w16cid:paraId="57B3F229" w16cid:durableId="1E37D53F"/>
  <w16cid:commentId w16cid:paraId="2455D8B6" w16cid:durableId="1E37D105"/>
  <w16cid:commentId w16cid:paraId="0C63EC3B" w16cid:durableId="1E37D106"/>
  <w16cid:commentId w16cid:paraId="7ED5CD71" w16cid:durableId="1E37D693"/>
  <w16cid:commentId w16cid:paraId="0D192E6D" w16cid:durableId="1E37D107"/>
  <w16cid:commentId w16cid:paraId="280BE0EF" w16cid:durableId="1E37D108"/>
  <w16cid:commentId w16cid:paraId="393951EB" w16cid:durableId="1E37D109"/>
  <w16cid:commentId w16cid:paraId="667EDC8B" w16cid:durableId="1E37D10A"/>
  <w16cid:commentId w16cid:paraId="44E62CEE" w16cid:durableId="1E37D7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B8" w:rsidRDefault="00C22DB8" w:rsidP="00124A51">
      <w:r>
        <w:separator/>
      </w:r>
    </w:p>
    <w:p w:rsidR="00C22DB8" w:rsidRDefault="00C22DB8"/>
  </w:endnote>
  <w:endnote w:type="continuationSeparator" w:id="0">
    <w:p w:rsidR="00C22DB8" w:rsidRDefault="00C22DB8" w:rsidP="00124A51">
      <w:r>
        <w:continuationSeparator/>
      </w:r>
    </w:p>
    <w:p w:rsidR="00C22DB8" w:rsidRDefault="00C22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swiss"/>
    <w:pitch w:val="variable"/>
    <w:sig w:usb0="E0002AFF" w:usb1="C0007843" w:usb2="00000009" w:usb3="00000000" w:csb0="000001FF" w:csb1="00000000"/>
  </w:font>
  <w:font w:name="Sabon">
    <w:altName w:val="Constantia"/>
    <w:charset w:val="00"/>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ew-Baskerville-SemiBold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858548989"/>
      <w:docPartObj>
        <w:docPartGallery w:val="Page Numbers (Bottom of Page)"/>
        <w:docPartUnique/>
      </w:docPartObj>
    </w:sdtPr>
    <w:sdtEndPr>
      <w:rPr>
        <w:noProof/>
      </w:rPr>
    </w:sdtEndPr>
    <w:sdtContent>
      <w:p w:rsidR="00C22DB8" w:rsidRPr="007267E3" w:rsidRDefault="00C22DB8">
        <w:pPr>
          <w:pStyle w:val="Footer"/>
          <w:jc w:val="center"/>
          <w:rPr>
            <w:b/>
          </w:rPr>
        </w:pPr>
        <w:r w:rsidRPr="007267E3">
          <w:rPr>
            <w:b/>
          </w:rPr>
          <w:fldChar w:fldCharType="begin"/>
        </w:r>
        <w:r w:rsidRPr="007267E3">
          <w:rPr>
            <w:b/>
          </w:rPr>
          <w:instrText xml:space="preserve"> PAGE   \* MERGEFORMAT </w:instrText>
        </w:r>
        <w:r w:rsidRPr="007267E3">
          <w:rPr>
            <w:b/>
          </w:rPr>
          <w:fldChar w:fldCharType="separate"/>
        </w:r>
        <w:r w:rsidR="00EF1913">
          <w:rPr>
            <w:b/>
            <w:noProof/>
          </w:rPr>
          <w:t>7</w:t>
        </w:r>
        <w:r w:rsidRPr="007267E3">
          <w:rPr>
            <w:b/>
            <w:noProof/>
          </w:rPr>
          <w:fldChar w:fldCharType="end"/>
        </w:r>
      </w:p>
    </w:sdtContent>
  </w:sdt>
  <w:p w:rsidR="00C22DB8" w:rsidRPr="00C30D0C" w:rsidRDefault="00C22DB8" w:rsidP="00C30D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B8" w:rsidRDefault="00C22DB8" w:rsidP="00124A51">
      <w:r>
        <w:separator/>
      </w:r>
    </w:p>
    <w:p w:rsidR="00C22DB8" w:rsidRDefault="00C22DB8"/>
  </w:footnote>
  <w:footnote w:type="continuationSeparator" w:id="0">
    <w:p w:rsidR="00C22DB8" w:rsidRDefault="00C22DB8" w:rsidP="00124A51">
      <w:r>
        <w:continuationSeparator/>
      </w:r>
    </w:p>
    <w:p w:rsidR="00C22DB8" w:rsidRDefault="00C22DB8"/>
  </w:footnote>
  <w:footnote w:id="1">
    <w:p w:rsidR="00C22DB8" w:rsidRPr="002D3EC2" w:rsidRDefault="00C22DB8" w:rsidP="001B3B40">
      <w:pPr>
        <w:pStyle w:val="FootnoteText"/>
        <w:rPr>
          <w:szCs w:val="18"/>
        </w:rPr>
      </w:pPr>
      <w:r w:rsidRPr="002D3EC2">
        <w:rPr>
          <w:rStyle w:val="FootnoteReference"/>
          <w:szCs w:val="18"/>
        </w:rPr>
        <w:footnoteRef/>
      </w:r>
      <w:r w:rsidRPr="002D3EC2">
        <w:rPr>
          <w:szCs w:val="18"/>
        </w:rPr>
        <w:t xml:space="preserve"> Viner et al (2012). Outcomes of invasive meningococcal serogroup B disease in children and adolescents (MOSAIC): a case-control study.</w:t>
      </w:r>
    </w:p>
  </w:footnote>
  <w:footnote w:id="2">
    <w:p w:rsidR="00C22DB8" w:rsidRPr="002D3EC2" w:rsidRDefault="00C22DB8" w:rsidP="001B3B40">
      <w:pPr>
        <w:pStyle w:val="FootnoteText"/>
        <w:rPr>
          <w:szCs w:val="18"/>
        </w:rPr>
      </w:pPr>
      <w:r w:rsidRPr="002D3EC2">
        <w:rPr>
          <w:rStyle w:val="FootnoteReference"/>
          <w:szCs w:val="18"/>
        </w:rPr>
        <w:footnoteRef/>
      </w:r>
      <w:r w:rsidRPr="002D3EC2">
        <w:rPr>
          <w:szCs w:val="18"/>
        </w:rPr>
        <w:t xml:space="preserve"> </w:t>
      </w:r>
      <w:proofErr w:type="spellStart"/>
      <w:r w:rsidRPr="002D3EC2">
        <w:rPr>
          <w:szCs w:val="18"/>
        </w:rPr>
        <w:t>Granoff</w:t>
      </w:r>
      <w:proofErr w:type="spellEnd"/>
      <w:r w:rsidRPr="002D3EC2">
        <w:rPr>
          <w:szCs w:val="18"/>
        </w:rPr>
        <w:t xml:space="preserve"> et al (2013). </w:t>
      </w:r>
      <w:proofErr w:type="spellStart"/>
      <w:r w:rsidRPr="002D3EC2">
        <w:rPr>
          <w:szCs w:val="18"/>
        </w:rPr>
        <w:t>Ch</w:t>
      </w:r>
      <w:proofErr w:type="spellEnd"/>
      <w:r w:rsidRPr="002D3EC2">
        <w:rPr>
          <w:szCs w:val="18"/>
        </w:rPr>
        <w:t xml:space="preserve"> 21 – Meningococcal vaccines. In: Vaccines (6</w:t>
      </w:r>
      <w:r w:rsidRPr="002D3EC2">
        <w:rPr>
          <w:szCs w:val="18"/>
          <w:vertAlign w:val="superscript"/>
        </w:rPr>
        <w:t>th</w:t>
      </w:r>
      <w:r w:rsidRPr="002D3EC2">
        <w:rPr>
          <w:szCs w:val="18"/>
        </w:rPr>
        <w:t xml:space="preserve"> Edition).</w:t>
      </w:r>
    </w:p>
    <w:p w:rsidR="00C22DB8" w:rsidRPr="002D3EC2" w:rsidRDefault="00C22DB8" w:rsidP="001B3B40">
      <w:pPr>
        <w:pStyle w:val="FootnoteText"/>
        <w:rPr>
          <w:szCs w:val="18"/>
        </w:rPr>
      </w:pPr>
      <w:proofErr w:type="spellStart"/>
      <w:r w:rsidRPr="002D3EC2">
        <w:rPr>
          <w:szCs w:val="18"/>
        </w:rPr>
        <w:t>Stoof</w:t>
      </w:r>
      <w:proofErr w:type="spellEnd"/>
      <w:r w:rsidRPr="002D3EC2">
        <w:rPr>
          <w:szCs w:val="18"/>
        </w:rPr>
        <w:t xml:space="preserve"> et al (2015). Disease burden of invasive meningococcal disease in the Netherlands between June 1999 and June 2011: A subjective role for serogroup and clonal complex.</w:t>
      </w:r>
    </w:p>
    <w:p w:rsidR="00C22DB8" w:rsidRDefault="00C22DB8" w:rsidP="001B3B40">
      <w:pPr>
        <w:pStyle w:val="FootnoteText"/>
      </w:pPr>
      <w:proofErr w:type="spellStart"/>
      <w:r w:rsidRPr="002D3EC2">
        <w:rPr>
          <w:szCs w:val="18"/>
        </w:rPr>
        <w:t>Vyse</w:t>
      </w:r>
      <w:proofErr w:type="spellEnd"/>
      <w:r w:rsidRPr="002D3EC2">
        <w:rPr>
          <w:szCs w:val="18"/>
        </w:rPr>
        <w:t xml:space="preserve"> et al (2013). </w:t>
      </w:r>
      <w:proofErr w:type="gramStart"/>
      <w:r w:rsidRPr="002D3EC2">
        <w:rPr>
          <w:szCs w:val="18"/>
        </w:rPr>
        <w:t>The burden and impact of severe and long-term sequelae of meningococcal disease.</w:t>
      </w:r>
      <w:proofErr w:type="gramEnd"/>
    </w:p>
  </w:footnote>
  <w:footnote w:id="3">
    <w:p w:rsidR="00C22DB8" w:rsidRPr="007763E6" w:rsidRDefault="00C22DB8" w:rsidP="001B3B40">
      <w:pPr>
        <w:pStyle w:val="FootnoteText"/>
        <w:rPr>
          <w:szCs w:val="18"/>
        </w:rPr>
      </w:pPr>
      <w:r w:rsidRPr="007763E6">
        <w:rPr>
          <w:rStyle w:val="FootnoteReference"/>
          <w:szCs w:val="18"/>
        </w:rPr>
        <w:footnoteRef/>
      </w:r>
      <w:r w:rsidRPr="007763E6">
        <w:rPr>
          <w:szCs w:val="18"/>
        </w:rPr>
        <w:t xml:space="preserve"> Australian Government Department of Health (2016) Summary of National Surveillance Data on Vaccine Preventable Diseases in Australia, 2008–2011, Communicable Diseases Intelligence, Volume 40</w:t>
      </w:r>
    </w:p>
  </w:footnote>
  <w:footnote w:id="4">
    <w:p w:rsidR="00C22DB8" w:rsidRDefault="00C22DB8" w:rsidP="006C55F0">
      <w:pPr>
        <w:pStyle w:val="FootnoteText"/>
      </w:pPr>
      <w:r>
        <w:rPr>
          <w:rStyle w:val="FootnoteReference"/>
        </w:rPr>
        <w:footnoteRef/>
      </w:r>
      <w:r>
        <w:t xml:space="preserve"> Australian Government Department of Health (2016) Summary of National Surveillance Data on Vaccine Preventable Diseases in Australia, 2008–2011, Communicable Diseases Intelligence, Volume 40</w:t>
      </w:r>
    </w:p>
  </w:footnote>
  <w:footnote w:id="5">
    <w:p w:rsidR="00C22DB8" w:rsidRPr="007763E6" w:rsidRDefault="00C22DB8" w:rsidP="003870F9">
      <w:pPr>
        <w:pStyle w:val="FootnoteText"/>
        <w:rPr>
          <w:szCs w:val="18"/>
        </w:rPr>
      </w:pPr>
      <w:r w:rsidRPr="007763E6">
        <w:rPr>
          <w:rStyle w:val="FootnoteReference"/>
          <w:szCs w:val="18"/>
        </w:rPr>
        <w:footnoteRef/>
      </w:r>
      <w:r w:rsidRPr="007763E6">
        <w:rPr>
          <w:szCs w:val="18"/>
        </w:rPr>
        <w:t xml:space="preserve"> Assuming around 38% were </w:t>
      </w:r>
      <w:proofErr w:type="spellStart"/>
      <w:r w:rsidRPr="007763E6">
        <w:rPr>
          <w:szCs w:val="18"/>
        </w:rPr>
        <w:t>MenB</w:t>
      </w:r>
      <w:proofErr w:type="spellEnd"/>
      <w:r w:rsidRPr="007763E6">
        <w:rPr>
          <w:szCs w:val="18"/>
        </w:rPr>
        <w:t xml:space="preserve">, 4% were </w:t>
      </w:r>
      <w:proofErr w:type="spellStart"/>
      <w:r w:rsidRPr="007763E6">
        <w:rPr>
          <w:szCs w:val="18"/>
        </w:rPr>
        <w:t>MenC</w:t>
      </w:r>
      <w:proofErr w:type="spellEnd"/>
      <w:r w:rsidRPr="007763E6">
        <w:rPr>
          <w:szCs w:val="18"/>
        </w:rPr>
        <w:t xml:space="preserve">, 30% were </w:t>
      </w:r>
      <w:proofErr w:type="spellStart"/>
      <w:r w:rsidRPr="007763E6">
        <w:rPr>
          <w:szCs w:val="18"/>
        </w:rPr>
        <w:t>MenW</w:t>
      </w:r>
      <w:proofErr w:type="spellEnd"/>
      <w:r w:rsidRPr="007763E6">
        <w:rPr>
          <w:szCs w:val="18"/>
        </w:rPr>
        <w:t xml:space="preserve">, 19% were </w:t>
      </w:r>
      <w:proofErr w:type="spellStart"/>
      <w:r w:rsidRPr="007763E6">
        <w:rPr>
          <w:szCs w:val="18"/>
        </w:rPr>
        <w:t>MenY</w:t>
      </w:r>
      <w:proofErr w:type="spellEnd"/>
      <w:r w:rsidRPr="007763E6">
        <w:rPr>
          <w:szCs w:val="18"/>
        </w:rPr>
        <w:t>, and 8% were othe</w:t>
      </w:r>
      <w:r>
        <w:rPr>
          <w:szCs w:val="18"/>
        </w:rPr>
        <w:t>r or unknown strains, and 20</w:t>
      </w:r>
      <w:r w:rsidRPr="007763E6">
        <w:rPr>
          <w:szCs w:val="18"/>
        </w:rPr>
        <w:t xml:space="preserve">% of cases were aged </w:t>
      </w:r>
      <w:r>
        <w:rPr>
          <w:szCs w:val="18"/>
        </w:rPr>
        <w:t xml:space="preserve">15-24 </w:t>
      </w:r>
      <w:r w:rsidRPr="007763E6">
        <w:rPr>
          <w:szCs w:val="18"/>
        </w:rPr>
        <w:t xml:space="preserve">years old in 2017. Sources: Australian Government Department of Health (2017) Notifications of a selected disease by age group, sex and year, Available: </w:t>
      </w:r>
      <w:hyperlink r:id="rId1" w:history="1">
        <w:r w:rsidRPr="007763E6">
          <w:rPr>
            <w:rStyle w:val="Hyperlink"/>
            <w:szCs w:val="18"/>
          </w:rPr>
          <w:t xml:space="preserve">http://www9.health.gov.au/cda/source/rpt_5_sel.cfm. </w:t>
        </w:r>
        <w:proofErr w:type="gramStart"/>
        <w:r w:rsidRPr="007763E6">
          <w:rPr>
            <w:rStyle w:val="Hyperlink"/>
            <w:szCs w:val="18"/>
          </w:rPr>
          <w:t>Accessed 16 November 2017</w:t>
        </w:r>
      </w:hyperlink>
      <w:r w:rsidRPr="007763E6">
        <w:rPr>
          <w:szCs w:val="18"/>
        </w:rPr>
        <w:t>.</w:t>
      </w:r>
      <w:proofErr w:type="gramEnd"/>
    </w:p>
    <w:p w:rsidR="00C22DB8" w:rsidRPr="00C00A4F" w:rsidRDefault="00C22DB8" w:rsidP="003870F9">
      <w:pPr>
        <w:pStyle w:val="FootnoteText"/>
        <w:rPr>
          <w:szCs w:val="18"/>
        </w:rPr>
      </w:pPr>
      <w:proofErr w:type="gramStart"/>
      <w:r w:rsidRPr="007763E6">
        <w:rPr>
          <w:szCs w:val="18"/>
        </w:rPr>
        <w:t>Australian Government Department of Health (14 August 2017) Invasive Meningococcal disease national surveillance report.</w:t>
      </w:r>
      <w:proofErr w:type="gramEnd"/>
    </w:p>
  </w:footnote>
  <w:footnote w:id="6">
    <w:p w:rsidR="00C22DB8" w:rsidRDefault="00C22DB8">
      <w:pPr>
        <w:pStyle w:val="FootnoteText"/>
      </w:pPr>
      <w:r>
        <w:rPr>
          <w:rStyle w:val="FootnoteReference"/>
        </w:rPr>
        <w:footnoteRef/>
      </w:r>
      <w:r>
        <w:t xml:space="preserve"> Communicable Diseases Network Australia, </w:t>
      </w:r>
      <w:r>
        <w:rPr>
          <w:i/>
        </w:rPr>
        <w:t>Communicable Diseases Intelligence Supplement: Vaccine Preventable Diseases in Australia, 2005 to 2007, December  2010, Volume 34</w:t>
      </w:r>
    </w:p>
  </w:footnote>
  <w:footnote w:id="7">
    <w:p w:rsidR="00C22DB8" w:rsidRPr="007763E6" w:rsidRDefault="00C22DB8" w:rsidP="00544B2E">
      <w:pPr>
        <w:pStyle w:val="FootnoteText"/>
        <w:rPr>
          <w:szCs w:val="18"/>
        </w:rPr>
      </w:pPr>
      <w:r w:rsidRPr="007763E6">
        <w:rPr>
          <w:rStyle w:val="FootnoteReference"/>
          <w:szCs w:val="18"/>
        </w:rPr>
        <w:footnoteRef/>
      </w:r>
      <w:r w:rsidRPr="007763E6">
        <w:rPr>
          <w:szCs w:val="18"/>
        </w:rPr>
        <w:t xml:space="preserve"> PBAC (</w:t>
      </w:r>
      <w:r w:rsidRPr="007763E6">
        <w:rPr>
          <w:i/>
          <w:szCs w:val="18"/>
        </w:rPr>
        <w:t xml:space="preserve">November 2010) Public summary document: Haemophilus </w:t>
      </w:r>
      <w:proofErr w:type="spellStart"/>
      <w:r w:rsidRPr="007763E6">
        <w:rPr>
          <w:i/>
          <w:szCs w:val="18"/>
        </w:rPr>
        <w:t>influenzae</w:t>
      </w:r>
      <w:proofErr w:type="spellEnd"/>
      <w:r w:rsidRPr="007763E6">
        <w:rPr>
          <w:i/>
          <w:szCs w:val="18"/>
        </w:rPr>
        <w:t xml:space="preserve"> type b and group c meningococcal polysaccharide conjugate vaccine, lyophilised powder for injection, 1 vial with 0.5 mL pre-filled syringe diluent, 10 vials with 10 0.5 mL pre-filled syringe diluent, </w:t>
      </w:r>
      <w:proofErr w:type="spellStart"/>
      <w:r w:rsidRPr="007763E6">
        <w:rPr>
          <w:i/>
          <w:szCs w:val="18"/>
        </w:rPr>
        <w:t>Menitorix</w:t>
      </w:r>
      <w:proofErr w:type="spellEnd"/>
      <w:r w:rsidRPr="007763E6">
        <w:rPr>
          <w:i/>
          <w:szCs w:val="18"/>
        </w:rPr>
        <w:t>.</w:t>
      </w:r>
    </w:p>
  </w:footnote>
  <w:footnote w:id="8">
    <w:p w:rsidR="00C22DB8" w:rsidRPr="007763E6" w:rsidRDefault="00C22DB8" w:rsidP="00A8553D">
      <w:pPr>
        <w:pStyle w:val="FootnoteText"/>
        <w:rPr>
          <w:i/>
          <w:szCs w:val="18"/>
        </w:rPr>
      </w:pPr>
      <w:r w:rsidRPr="007763E6">
        <w:rPr>
          <w:rStyle w:val="FootnoteReference"/>
          <w:i/>
          <w:szCs w:val="18"/>
        </w:rPr>
        <w:footnoteRef/>
      </w:r>
      <w:r w:rsidRPr="007763E6">
        <w:rPr>
          <w:i/>
          <w:szCs w:val="18"/>
        </w:rPr>
        <w:t xml:space="preserve"> </w:t>
      </w:r>
      <w:proofErr w:type="spellStart"/>
      <w:r w:rsidRPr="007763E6">
        <w:rPr>
          <w:i/>
          <w:szCs w:val="18"/>
        </w:rPr>
        <w:t>Goldschneider</w:t>
      </w:r>
      <w:proofErr w:type="spellEnd"/>
      <w:r w:rsidRPr="007763E6">
        <w:rPr>
          <w:i/>
          <w:szCs w:val="18"/>
        </w:rPr>
        <w:t xml:space="preserve"> I, </w:t>
      </w:r>
      <w:proofErr w:type="spellStart"/>
      <w:r w:rsidRPr="007763E6">
        <w:rPr>
          <w:i/>
          <w:szCs w:val="18"/>
        </w:rPr>
        <w:t>Gotschlich</w:t>
      </w:r>
      <w:proofErr w:type="spellEnd"/>
      <w:r w:rsidRPr="007763E6">
        <w:rPr>
          <w:i/>
          <w:szCs w:val="18"/>
        </w:rPr>
        <w:t xml:space="preserve"> EC, </w:t>
      </w:r>
      <w:proofErr w:type="spellStart"/>
      <w:r w:rsidRPr="007763E6">
        <w:rPr>
          <w:i/>
          <w:szCs w:val="18"/>
        </w:rPr>
        <w:t>Artenstein</w:t>
      </w:r>
      <w:proofErr w:type="spellEnd"/>
      <w:r w:rsidRPr="007763E6">
        <w:rPr>
          <w:i/>
          <w:szCs w:val="18"/>
        </w:rPr>
        <w:t xml:space="preserve"> MS. Human immunity to the meningococcus. I. The role of humoral antibodies. Journal of Experimental Medicine, 1969, 129:1307–1326.</w:t>
      </w:r>
    </w:p>
  </w:footnote>
  <w:footnote w:id="9">
    <w:p w:rsidR="00C22DB8" w:rsidRPr="007763E6" w:rsidRDefault="00C22DB8" w:rsidP="00A8553D">
      <w:pPr>
        <w:pStyle w:val="FootnoteText"/>
        <w:rPr>
          <w:szCs w:val="18"/>
        </w:rPr>
      </w:pPr>
      <w:r w:rsidRPr="007763E6">
        <w:rPr>
          <w:rStyle w:val="FootnoteReference"/>
          <w:i/>
          <w:szCs w:val="18"/>
        </w:rPr>
        <w:footnoteRef/>
      </w:r>
      <w:r w:rsidRPr="007763E6">
        <w:rPr>
          <w:i/>
          <w:szCs w:val="18"/>
        </w:rPr>
        <w:t xml:space="preserve"> </w:t>
      </w:r>
      <w:proofErr w:type="spellStart"/>
      <w:r w:rsidRPr="007763E6">
        <w:rPr>
          <w:i/>
          <w:szCs w:val="18"/>
        </w:rPr>
        <w:t>Goldschneider</w:t>
      </w:r>
      <w:proofErr w:type="spellEnd"/>
      <w:r w:rsidRPr="007763E6">
        <w:rPr>
          <w:i/>
          <w:szCs w:val="18"/>
        </w:rPr>
        <w:t xml:space="preserve"> I, </w:t>
      </w:r>
      <w:proofErr w:type="spellStart"/>
      <w:r w:rsidRPr="007763E6">
        <w:rPr>
          <w:i/>
          <w:szCs w:val="18"/>
        </w:rPr>
        <w:t>Gotschlich</w:t>
      </w:r>
      <w:proofErr w:type="spellEnd"/>
      <w:r w:rsidRPr="007763E6">
        <w:rPr>
          <w:i/>
          <w:szCs w:val="18"/>
        </w:rPr>
        <w:t xml:space="preserve"> EC, </w:t>
      </w:r>
      <w:proofErr w:type="spellStart"/>
      <w:r w:rsidRPr="007763E6">
        <w:rPr>
          <w:i/>
          <w:szCs w:val="18"/>
        </w:rPr>
        <w:t>Artenstein</w:t>
      </w:r>
      <w:proofErr w:type="spellEnd"/>
      <w:r w:rsidRPr="007763E6">
        <w:rPr>
          <w:i/>
          <w:szCs w:val="18"/>
        </w:rPr>
        <w:t xml:space="preserve"> MS. Human immunity to the meningococcus. II. Development of natural immunity. Journal of Experimental Medicine, 1969, 129:1327–1348.</w:t>
      </w:r>
    </w:p>
  </w:footnote>
  <w:footnote w:id="10">
    <w:p w:rsidR="00C22DB8" w:rsidRPr="00497F16" w:rsidRDefault="00C22DB8" w:rsidP="00497F16">
      <w:pPr>
        <w:widowControl/>
        <w:autoSpaceDE w:val="0"/>
        <w:autoSpaceDN w:val="0"/>
        <w:adjustRightInd w:val="0"/>
        <w:jc w:val="left"/>
        <w:rPr>
          <w:rFonts w:ascii="New-Baskerville-SemiBoldA" w:hAnsi="New-Baskerville-SemiBoldA" w:cs="New-Baskerville-SemiBoldA"/>
          <w:b/>
          <w:bCs/>
          <w:snapToGrid/>
          <w:sz w:val="30"/>
          <w:szCs w:val="30"/>
          <w:lang w:eastAsia="en-AU"/>
        </w:rPr>
      </w:pPr>
      <w:r>
        <w:rPr>
          <w:rStyle w:val="FootnoteReference"/>
        </w:rPr>
        <w:footnoteRef/>
      </w:r>
      <w:r>
        <w:t xml:space="preserve"> </w:t>
      </w:r>
      <w:r w:rsidRPr="0010182E">
        <w:rPr>
          <w:rFonts w:asciiTheme="minorHAnsi" w:hAnsiTheme="minorHAnsi" w:cstheme="minorHAnsi"/>
          <w:snapToGrid/>
          <w:color w:val="000000"/>
          <w:sz w:val="18"/>
          <w:szCs w:val="18"/>
          <w:lang w:eastAsia="en-AU"/>
        </w:rPr>
        <w:t>Ramsay</w:t>
      </w:r>
      <w:r>
        <w:rPr>
          <w:rFonts w:asciiTheme="minorHAnsi" w:hAnsiTheme="minorHAnsi" w:cstheme="minorHAnsi"/>
          <w:snapToGrid/>
          <w:color w:val="000000"/>
          <w:sz w:val="18"/>
          <w:szCs w:val="18"/>
          <w:lang w:eastAsia="en-AU"/>
        </w:rPr>
        <w:t xml:space="preserve"> M, </w:t>
      </w:r>
      <w:r w:rsidRPr="0010182E">
        <w:rPr>
          <w:rFonts w:asciiTheme="minorHAnsi" w:hAnsiTheme="minorHAnsi" w:cstheme="minorHAnsi"/>
          <w:snapToGrid/>
          <w:color w:val="000000"/>
          <w:sz w:val="18"/>
          <w:szCs w:val="18"/>
          <w:lang w:eastAsia="en-AU"/>
        </w:rPr>
        <w:t>Andrews</w:t>
      </w:r>
      <w:r>
        <w:rPr>
          <w:rFonts w:asciiTheme="minorHAnsi" w:hAnsiTheme="minorHAnsi" w:cstheme="minorHAnsi"/>
          <w:snapToGrid/>
          <w:color w:val="000000"/>
          <w:sz w:val="18"/>
          <w:szCs w:val="18"/>
          <w:lang w:eastAsia="en-AU"/>
        </w:rPr>
        <w:t xml:space="preserve"> N, </w:t>
      </w:r>
      <w:r w:rsidRPr="0010182E">
        <w:rPr>
          <w:rFonts w:asciiTheme="minorHAnsi" w:hAnsiTheme="minorHAnsi" w:cstheme="minorHAnsi"/>
          <w:snapToGrid/>
          <w:color w:val="000000"/>
          <w:sz w:val="18"/>
          <w:szCs w:val="18"/>
          <w:lang w:eastAsia="en-AU"/>
        </w:rPr>
        <w:t>Trotter</w:t>
      </w:r>
      <w:r>
        <w:rPr>
          <w:rFonts w:asciiTheme="minorHAnsi" w:hAnsiTheme="minorHAnsi" w:cstheme="minorHAnsi"/>
          <w:snapToGrid/>
          <w:color w:val="000000"/>
          <w:sz w:val="18"/>
          <w:szCs w:val="18"/>
          <w:lang w:eastAsia="en-AU"/>
        </w:rPr>
        <w:t xml:space="preserve"> C</w:t>
      </w:r>
      <w:r w:rsidRPr="0010182E">
        <w:rPr>
          <w:rFonts w:asciiTheme="minorHAnsi" w:hAnsiTheme="minorHAnsi" w:cstheme="minorHAnsi"/>
          <w:snapToGrid/>
          <w:color w:val="000000"/>
          <w:sz w:val="18"/>
          <w:szCs w:val="18"/>
          <w:lang w:eastAsia="en-AU"/>
        </w:rPr>
        <w:t>, Kaczmarski</w:t>
      </w:r>
      <w:r>
        <w:rPr>
          <w:rFonts w:asciiTheme="minorHAnsi" w:hAnsiTheme="minorHAnsi" w:cstheme="minorHAnsi"/>
          <w:snapToGrid/>
          <w:color w:val="000000"/>
          <w:sz w:val="18"/>
          <w:szCs w:val="18"/>
          <w:lang w:eastAsia="en-AU"/>
        </w:rPr>
        <w:t xml:space="preserve"> E</w:t>
      </w:r>
      <w:r w:rsidRPr="0010182E">
        <w:rPr>
          <w:rFonts w:asciiTheme="minorHAnsi" w:hAnsiTheme="minorHAnsi" w:cstheme="minorHAnsi"/>
          <w:snapToGrid/>
          <w:color w:val="000000"/>
          <w:sz w:val="18"/>
          <w:szCs w:val="18"/>
          <w:lang w:eastAsia="en-AU"/>
        </w:rPr>
        <w:t>, Miller</w:t>
      </w:r>
      <w:r>
        <w:rPr>
          <w:rFonts w:asciiTheme="minorHAnsi" w:hAnsiTheme="minorHAnsi" w:cstheme="minorHAnsi"/>
          <w:snapToGrid/>
          <w:color w:val="000000"/>
          <w:sz w:val="18"/>
          <w:szCs w:val="18"/>
          <w:lang w:eastAsia="en-AU"/>
        </w:rPr>
        <w:t xml:space="preserve"> E</w:t>
      </w:r>
      <w:r w:rsidRPr="0010182E">
        <w:rPr>
          <w:rFonts w:asciiTheme="minorHAnsi" w:hAnsiTheme="minorHAnsi" w:cstheme="minorHAnsi"/>
          <w:snapToGrid/>
          <w:color w:val="000000"/>
          <w:sz w:val="18"/>
          <w:szCs w:val="18"/>
          <w:lang w:eastAsia="en-AU"/>
        </w:rPr>
        <w:t xml:space="preserve">. Herd immunity from meningococcal serogroup C conjugate vaccination in England: database analysis. </w:t>
      </w:r>
      <w:r w:rsidRPr="0010182E">
        <w:rPr>
          <w:rFonts w:asciiTheme="minorHAnsi" w:hAnsiTheme="minorHAnsi" w:cstheme="minorHAnsi"/>
          <w:i/>
          <w:snapToGrid/>
          <w:color w:val="000000"/>
          <w:sz w:val="18"/>
          <w:szCs w:val="18"/>
          <w:lang w:eastAsia="en-AU"/>
        </w:rPr>
        <w:t>BMJ</w:t>
      </w:r>
      <w:r>
        <w:rPr>
          <w:rFonts w:asciiTheme="minorHAnsi" w:hAnsiTheme="minorHAnsi" w:cstheme="minorHAnsi"/>
          <w:i/>
          <w:snapToGrid/>
          <w:color w:val="000000"/>
          <w:sz w:val="18"/>
          <w:szCs w:val="18"/>
          <w:lang w:eastAsia="en-AU"/>
        </w:rPr>
        <w:t xml:space="preserve"> 2003;</w:t>
      </w:r>
      <w:r w:rsidRPr="0010182E">
        <w:rPr>
          <w:rFonts w:asciiTheme="minorHAnsi" w:hAnsiTheme="minorHAnsi" w:cstheme="minorHAnsi"/>
          <w:snapToGrid/>
          <w:color w:val="000000"/>
          <w:sz w:val="18"/>
          <w:szCs w:val="18"/>
          <w:lang w:eastAsia="en-AU"/>
        </w:rPr>
        <w:t xml:space="preserve"> 326</w:t>
      </w:r>
      <w:r>
        <w:rPr>
          <w:rFonts w:asciiTheme="minorHAnsi" w:hAnsiTheme="minorHAnsi" w:cstheme="minorHAnsi"/>
          <w:snapToGrid/>
          <w:color w:val="000000"/>
          <w:sz w:val="18"/>
          <w:szCs w:val="18"/>
          <w:lang w:eastAsia="en-AU"/>
        </w:rPr>
        <w:t>:365</w:t>
      </w:r>
    </w:p>
  </w:footnote>
  <w:footnote w:id="11">
    <w:p w:rsidR="00C22DB8" w:rsidRPr="009A37F4" w:rsidRDefault="00C22DB8" w:rsidP="009A37F4">
      <w:pPr>
        <w:pStyle w:val="Default"/>
        <w:rPr>
          <w:rFonts w:asciiTheme="minorHAnsi" w:eastAsia="Times New Roman" w:hAnsiTheme="minorHAnsi" w:cstheme="minorHAnsi"/>
          <w:sz w:val="18"/>
          <w:szCs w:val="18"/>
        </w:rPr>
      </w:pPr>
      <w:r w:rsidRPr="009A37F4">
        <w:rPr>
          <w:rStyle w:val="FootnoteReference"/>
          <w:rFonts w:asciiTheme="minorHAnsi" w:hAnsiTheme="minorHAnsi" w:cstheme="minorHAnsi"/>
          <w:sz w:val="18"/>
          <w:szCs w:val="18"/>
        </w:rPr>
        <w:footnoteRef/>
      </w:r>
      <w:r w:rsidRPr="009A37F4">
        <w:rPr>
          <w:rFonts w:asciiTheme="minorHAnsi" w:hAnsiTheme="minorHAnsi" w:cstheme="minorHAnsi"/>
          <w:sz w:val="18"/>
          <w:szCs w:val="18"/>
        </w:rPr>
        <w:t xml:space="preserve"> </w:t>
      </w:r>
      <w:r w:rsidRPr="009A37F4">
        <w:rPr>
          <w:rFonts w:asciiTheme="minorHAnsi" w:eastAsia="Times New Roman" w:hAnsiTheme="minorHAnsi" w:cstheme="minorHAnsi"/>
          <w:sz w:val="18"/>
          <w:szCs w:val="18"/>
        </w:rPr>
        <w:t xml:space="preserve">Wang B, Haji Ali </w:t>
      </w:r>
      <w:proofErr w:type="spellStart"/>
      <w:r w:rsidRPr="009A37F4">
        <w:rPr>
          <w:rFonts w:asciiTheme="minorHAnsi" w:eastAsia="Times New Roman" w:hAnsiTheme="minorHAnsi" w:cstheme="minorHAnsi"/>
          <w:sz w:val="18"/>
          <w:szCs w:val="18"/>
        </w:rPr>
        <w:t>Afzali</w:t>
      </w:r>
      <w:proofErr w:type="spellEnd"/>
      <w:r w:rsidRPr="009A37F4">
        <w:rPr>
          <w:rFonts w:asciiTheme="minorHAnsi" w:eastAsia="Times New Roman" w:hAnsiTheme="minorHAnsi" w:cstheme="minorHAnsi"/>
          <w:sz w:val="18"/>
          <w:szCs w:val="18"/>
        </w:rPr>
        <w:t xml:space="preserve"> H, Marshall H. The inpatient costs and hospital service use associated with invasive meningococcal disease in South Australian children. </w:t>
      </w:r>
      <w:r w:rsidRPr="009A37F4">
        <w:rPr>
          <w:rFonts w:asciiTheme="minorHAnsi" w:eastAsia="Times New Roman" w:hAnsiTheme="minorHAnsi" w:cstheme="minorHAnsi"/>
          <w:i/>
          <w:iCs/>
          <w:sz w:val="18"/>
          <w:szCs w:val="18"/>
        </w:rPr>
        <w:t xml:space="preserve">Vaccine </w:t>
      </w:r>
      <w:r w:rsidRPr="009A37F4">
        <w:rPr>
          <w:rFonts w:asciiTheme="minorHAnsi" w:eastAsia="Times New Roman" w:hAnsiTheme="minorHAnsi" w:cstheme="minorHAnsi"/>
          <w:sz w:val="18"/>
          <w:szCs w:val="18"/>
        </w:rPr>
        <w:t>2014</w:t>
      </w:r>
      <w:proofErr w:type="gramStart"/>
      <w:r w:rsidRPr="009A37F4">
        <w:rPr>
          <w:rFonts w:asciiTheme="minorHAnsi" w:eastAsia="Times New Roman" w:hAnsiTheme="minorHAnsi" w:cstheme="minorHAnsi"/>
          <w:sz w:val="18"/>
          <w:szCs w:val="18"/>
        </w:rPr>
        <w:t>;32:4791</w:t>
      </w:r>
      <w:proofErr w:type="gramEnd"/>
      <w:r w:rsidRPr="009A37F4">
        <w:rPr>
          <w:rFonts w:asciiTheme="minorHAnsi" w:eastAsia="Times New Roman" w:hAnsiTheme="minorHAnsi" w:cstheme="minorHAnsi"/>
          <w:sz w:val="18"/>
          <w:szCs w:val="18"/>
        </w:rPr>
        <w:t xml:space="preserve">-8. </w:t>
      </w:r>
    </w:p>
  </w:footnote>
  <w:footnote w:id="12">
    <w:p w:rsidR="00C22DB8" w:rsidRDefault="00C22DB8">
      <w:pPr>
        <w:pStyle w:val="FootnoteText"/>
      </w:pPr>
      <w:r w:rsidRPr="009A37F4">
        <w:rPr>
          <w:rStyle w:val="FootnoteReference"/>
          <w:rFonts w:cstheme="minorHAnsi"/>
          <w:szCs w:val="18"/>
        </w:rPr>
        <w:footnoteRef/>
      </w:r>
      <w:r w:rsidRPr="009A37F4">
        <w:rPr>
          <w:rFonts w:cstheme="minorHAnsi"/>
          <w:szCs w:val="18"/>
        </w:rPr>
        <w:t xml:space="preserve"> </w:t>
      </w:r>
      <w:r w:rsidRPr="009A37F4">
        <w:rPr>
          <w:rFonts w:eastAsia="Times New Roman" w:cstheme="minorHAnsi"/>
          <w:color w:val="000000"/>
          <w:szCs w:val="18"/>
          <w:lang w:eastAsia="en-AU"/>
        </w:rPr>
        <w:t xml:space="preserve">Wang B, Clarke M, Thomas N, et al. </w:t>
      </w:r>
      <w:proofErr w:type="gramStart"/>
      <w:r w:rsidRPr="009A37F4">
        <w:rPr>
          <w:rFonts w:eastAsia="Times New Roman" w:cstheme="minorHAnsi"/>
          <w:color w:val="000000"/>
          <w:szCs w:val="18"/>
          <w:lang w:eastAsia="en-AU"/>
        </w:rPr>
        <w:t>The clinical burden and predictors of sequelae following invasive meningococcal disease in Australian children.</w:t>
      </w:r>
      <w:proofErr w:type="gramEnd"/>
      <w:r w:rsidRPr="009A37F4">
        <w:rPr>
          <w:rFonts w:eastAsia="Times New Roman" w:cstheme="minorHAnsi"/>
          <w:color w:val="000000"/>
          <w:szCs w:val="18"/>
          <w:lang w:eastAsia="en-AU"/>
        </w:rPr>
        <w:t xml:space="preserve"> </w:t>
      </w:r>
      <w:proofErr w:type="spellStart"/>
      <w:r w:rsidRPr="009A37F4">
        <w:rPr>
          <w:rFonts w:eastAsia="Times New Roman" w:cstheme="minorHAnsi"/>
          <w:i/>
          <w:iCs/>
          <w:color w:val="000000"/>
          <w:szCs w:val="18"/>
          <w:lang w:eastAsia="en-AU"/>
        </w:rPr>
        <w:t>Pediatr</w:t>
      </w:r>
      <w:proofErr w:type="spellEnd"/>
      <w:r w:rsidRPr="009A37F4">
        <w:rPr>
          <w:rFonts w:eastAsia="Times New Roman" w:cstheme="minorHAnsi"/>
          <w:i/>
          <w:iCs/>
          <w:color w:val="000000"/>
          <w:szCs w:val="18"/>
          <w:lang w:eastAsia="en-AU"/>
        </w:rPr>
        <w:t xml:space="preserve"> Infect Dis J </w:t>
      </w:r>
      <w:r w:rsidRPr="009A37F4">
        <w:rPr>
          <w:rFonts w:eastAsia="Times New Roman" w:cstheme="minorHAnsi"/>
          <w:color w:val="000000"/>
          <w:szCs w:val="18"/>
          <w:lang w:eastAsia="en-AU"/>
        </w:rPr>
        <w:t>2014</w:t>
      </w:r>
      <w:proofErr w:type="gramStart"/>
      <w:r w:rsidRPr="009A37F4">
        <w:rPr>
          <w:rFonts w:eastAsia="Times New Roman" w:cstheme="minorHAnsi"/>
          <w:color w:val="000000"/>
          <w:szCs w:val="18"/>
          <w:lang w:eastAsia="en-AU"/>
        </w:rPr>
        <w:t>;33:316</w:t>
      </w:r>
      <w:proofErr w:type="gramEnd"/>
      <w:r w:rsidRPr="009A37F4">
        <w:rPr>
          <w:rFonts w:eastAsia="Times New Roman" w:cstheme="minorHAnsi"/>
          <w:color w:val="000000"/>
          <w:szCs w:val="18"/>
          <w:lang w:eastAsia="en-AU"/>
        </w:rPr>
        <w:t>-8.</w:t>
      </w:r>
    </w:p>
  </w:footnote>
  <w:footnote w:id="13">
    <w:p w:rsidR="00C22DB8" w:rsidRDefault="00C22DB8" w:rsidP="00CE0ABF">
      <w:pPr>
        <w:pStyle w:val="FootnoteText"/>
      </w:pPr>
      <w:r>
        <w:rPr>
          <w:rStyle w:val="FootnoteReference"/>
        </w:rPr>
        <w:footnoteRef/>
      </w:r>
      <w:r>
        <w:t xml:space="preserve"> PBAC (November 2013) Public summary document: multicomponent meningococcal group B vaccine, 0.5mL, injection, prefilled syringe, </w:t>
      </w:r>
      <w:proofErr w:type="spellStart"/>
      <w:r>
        <w:t>Bexsero</w:t>
      </w:r>
      <w:proofErr w:type="spellEnd"/>
      <w:r>
        <w:t xml:space="preserve"> and </w:t>
      </w:r>
      <w:r w:rsidRPr="00AD5463">
        <w:t>PBAC (</w:t>
      </w:r>
      <w:r>
        <w:t xml:space="preserve">July </w:t>
      </w:r>
      <w:r w:rsidRPr="00AD5463">
        <w:t xml:space="preserve">2015) </w:t>
      </w:r>
      <w:r>
        <w:t xml:space="preserve">Public summary document: multicomponent meningococcal group B vaccine, injection, 0.5mL, </w:t>
      </w:r>
      <w:proofErr w:type="spellStart"/>
      <w:r>
        <w:t>Bexsero</w:t>
      </w:r>
      <w:proofErr w:type="spellEnd"/>
      <w:r>
        <w:t>.</w:t>
      </w:r>
    </w:p>
  </w:footnote>
  <w:footnote w:id="14">
    <w:p w:rsidR="00C22DB8" w:rsidRPr="00AF6D6D" w:rsidRDefault="00C22DB8" w:rsidP="009F419D">
      <w:pPr>
        <w:pStyle w:val="FootnoteText"/>
        <w:rPr>
          <w:rFonts w:eastAsia="SimSun"/>
          <w:lang w:eastAsia="zh-CN"/>
        </w:rPr>
      </w:pPr>
      <w:r>
        <w:rPr>
          <w:rStyle w:val="FootnoteReference"/>
        </w:rPr>
        <w:footnoteRef/>
      </w:r>
      <w:r>
        <w:t xml:space="preserve"> </w:t>
      </w:r>
      <w:r w:rsidRPr="0075070C">
        <w:t xml:space="preserve">Lawrence GL, Wang H, </w:t>
      </w:r>
      <w:proofErr w:type="spellStart"/>
      <w:r w:rsidRPr="0075070C">
        <w:t>Lahra</w:t>
      </w:r>
      <w:proofErr w:type="spellEnd"/>
      <w:r w:rsidRPr="0075070C">
        <w:t xml:space="preserve"> M, </w:t>
      </w:r>
      <w:proofErr w:type="spellStart"/>
      <w:r w:rsidRPr="0075070C">
        <w:t>Booy</w:t>
      </w:r>
      <w:proofErr w:type="spellEnd"/>
      <w:r w:rsidRPr="0075070C">
        <w:t xml:space="preserve"> R and McIntyre P. Meningococcal disease epidemiology in Australia 10 years after implementation of a national conjugate meningococcal C immunization programme. </w:t>
      </w:r>
      <w:proofErr w:type="spellStart"/>
      <w:r w:rsidRPr="0075070C">
        <w:t>Epidemiol</w:t>
      </w:r>
      <w:proofErr w:type="spellEnd"/>
      <w:r w:rsidRPr="0075070C">
        <w:t xml:space="preserve"> Infect</w:t>
      </w:r>
      <w:r>
        <w:t>.</w:t>
      </w:r>
      <w:r w:rsidRPr="0075070C">
        <w:t xml:space="preserve"> 2016; 1-10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AE6437" w:rsidRDefault="00C22DB8" w:rsidP="008352F2">
    <w:pPr>
      <w:pStyle w:val="Header"/>
      <w:ind w:left="360"/>
      <w:jc w:val="center"/>
      <w:rPr>
        <w:rFonts w:asciiTheme="minorHAnsi" w:hAnsiTheme="minorHAnsi"/>
        <w:i/>
        <w:color w:val="808080"/>
        <w:szCs w:val="24"/>
      </w:rPr>
    </w:pPr>
    <w:r>
      <w:rPr>
        <w:rFonts w:asciiTheme="minorHAnsi" w:hAnsiTheme="minorHAnsi"/>
        <w:i/>
        <w:color w:val="808080"/>
        <w:szCs w:val="24"/>
      </w:rPr>
      <w:t xml:space="preserve">Public Summary Document </w:t>
    </w:r>
    <w:r w:rsidRPr="00AE6437">
      <w:rPr>
        <w:rFonts w:asciiTheme="minorHAnsi" w:hAnsiTheme="minorHAnsi"/>
        <w:i/>
        <w:color w:val="808080"/>
        <w:szCs w:val="24"/>
      </w:rPr>
      <w:t>– March 2018 PBAC Meeting</w:t>
    </w:r>
  </w:p>
  <w:p w:rsidR="00C22DB8" w:rsidRPr="007267E3" w:rsidRDefault="00C22DB8" w:rsidP="00726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Pr="00F90A91" w:rsidRDefault="00C22DB8" w:rsidP="00991384">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Pr="00C314D0" w:rsidRDefault="00C22DB8" w:rsidP="00C314D0">
    <w:pPr>
      <w:tabs>
        <w:tab w:val="left" w:pos="142"/>
        <w:tab w:val="right" w:pos="13892"/>
      </w:tabs>
      <w:rPr>
        <w:noProof/>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March 2018</w:t>
    </w:r>
    <w:r w:rsidRPr="00F90A91">
      <w:rPr>
        <w:rFonts w:asciiTheme="minorHAnsi" w:hAnsiTheme="minorHAnsi"/>
        <w:i/>
        <w:color w:val="808080"/>
        <w:sz w:val="22"/>
      </w:rPr>
      <w:t xml:space="preserve"> PBAC Meeting</w:t>
    </w:r>
  </w:p>
  <w:p w:rsidR="00C22DB8" w:rsidRPr="00C314D0" w:rsidRDefault="00C22DB8" w:rsidP="00C314D0">
    <w:pPr>
      <w:tabs>
        <w:tab w:val="left" w:pos="142"/>
        <w:tab w:val="right" w:pos="13892"/>
      </w:tabs>
      <w:rPr>
        <w:noProof/>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March 2018</w:t>
    </w:r>
    <w:r w:rsidRPr="00F90A91">
      <w:rPr>
        <w:rFonts w:asciiTheme="minorHAnsi" w:hAnsiTheme="minorHAnsi"/>
        <w:i/>
        <w:color w:val="808080"/>
        <w:sz w:val="22"/>
      </w:rPr>
      <w:t xml:space="preserve"> PBAC Meeting</w:t>
    </w:r>
  </w:p>
  <w:p w:rsidR="00C22DB8" w:rsidRPr="00C314D0" w:rsidRDefault="00C22DB8" w:rsidP="00C314D0">
    <w:pPr>
      <w:tabs>
        <w:tab w:val="left" w:pos="142"/>
        <w:tab w:val="right" w:pos="13892"/>
      </w:tabs>
      <w:jc w:val="left"/>
      <w:rPr>
        <w:noProof/>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Pr="00C314D0" w:rsidRDefault="00C22DB8" w:rsidP="00C314D0">
    <w:pPr>
      <w:tabs>
        <w:tab w:val="left" w:pos="142"/>
        <w:tab w:val="right" w:pos="13892"/>
      </w:tabs>
      <w:rPr>
        <w:noProof/>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Pr="00C314D0" w:rsidRDefault="00C22DB8" w:rsidP="00C314D0">
    <w:pPr>
      <w:tabs>
        <w:tab w:val="left" w:pos="142"/>
        <w:tab w:val="right" w:pos="13892"/>
      </w:tabs>
      <w:rPr>
        <w:noProof/>
        <w:szCs w:val="24"/>
      </w:rPr>
    </w:pPr>
    <w:r>
      <w:rPr>
        <w:szCs w:val="24"/>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Default="00C22DB8" w:rsidP="00F04E2F">
    <w:pPr>
      <w:tabs>
        <w:tab w:val="left" w:pos="142"/>
        <w:tab w:val="right" w:pos="13892"/>
      </w:tabs>
      <w:rPr>
        <w:noProof/>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B8" w:rsidRPr="00F90A91" w:rsidRDefault="00C22DB8" w:rsidP="00991384">
    <w:pPr>
      <w:pStyle w:val="Header"/>
      <w:ind w:left="360"/>
      <w:jc w:val="center"/>
      <w:rPr>
        <w:rFonts w:asciiTheme="minorHAnsi" w:hAnsiTheme="minorHAnsi"/>
        <w:i/>
        <w:color w:val="808080"/>
        <w:sz w:val="22"/>
      </w:rPr>
    </w:pPr>
    <w:r>
      <w:rPr>
        <w:rFonts w:asciiTheme="minorHAnsi" w:hAnsiTheme="minorHAnsi"/>
        <w:i/>
        <w:color w:val="808080"/>
        <w:sz w:val="22"/>
      </w:rPr>
      <w:t>Public Summary Document – March 2018</w:t>
    </w:r>
    <w:r w:rsidRPr="00F90A91">
      <w:rPr>
        <w:rFonts w:asciiTheme="minorHAnsi" w:hAnsiTheme="minorHAnsi"/>
        <w:i/>
        <w:color w:val="808080"/>
        <w:sz w:val="22"/>
      </w:rPr>
      <w:t xml:space="preserve"> PBAC Meeting</w:t>
    </w:r>
  </w:p>
  <w:p w:rsidR="00C22DB8" w:rsidRPr="006562AD" w:rsidRDefault="00C22DB8" w:rsidP="006562AD">
    <w:pPr>
      <w:pStyle w:val="Header"/>
      <w:ind w:left="360"/>
      <w:jc w:val="center"/>
      <w:rPr>
        <w:rFonts w:asciiTheme="minorHAnsi" w:hAnsiTheme="minorHAnsi"/>
        <w:i/>
        <w:color w:val="808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92676B"/>
    <w:multiLevelType w:val="hybridMultilevel"/>
    <w:tmpl w:val="935EF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FB0450"/>
    <w:multiLevelType w:val="hybridMultilevel"/>
    <w:tmpl w:val="1E76F8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131CF3"/>
    <w:multiLevelType w:val="hybridMultilevel"/>
    <w:tmpl w:val="B28AD3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FF7B23"/>
    <w:multiLevelType w:val="hybridMultilevel"/>
    <w:tmpl w:val="9E4C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CBC3FDB"/>
    <w:multiLevelType w:val="hybridMultilevel"/>
    <w:tmpl w:val="E15AD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D565299"/>
    <w:multiLevelType w:val="hybridMultilevel"/>
    <w:tmpl w:val="DA42B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D31870"/>
    <w:multiLevelType w:val="hybridMultilevel"/>
    <w:tmpl w:val="75FCC9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65741FA"/>
    <w:multiLevelType w:val="hybridMultilevel"/>
    <w:tmpl w:val="C7A47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6BB46B3"/>
    <w:multiLevelType w:val="hybridMultilevel"/>
    <w:tmpl w:val="FDF677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82903FE"/>
    <w:multiLevelType w:val="hybridMultilevel"/>
    <w:tmpl w:val="2588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A365DD"/>
    <w:multiLevelType w:val="hybridMultilevel"/>
    <w:tmpl w:val="4956C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6A5B54"/>
    <w:multiLevelType w:val="hybridMultilevel"/>
    <w:tmpl w:val="CD386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FB33FC8"/>
    <w:multiLevelType w:val="hybridMultilevel"/>
    <w:tmpl w:val="24C4CD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A45533E"/>
    <w:multiLevelType w:val="hybridMultilevel"/>
    <w:tmpl w:val="59B6F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F106DE"/>
    <w:multiLevelType w:val="hybridMultilevel"/>
    <w:tmpl w:val="55E21BD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nsid w:val="2F796C89"/>
    <w:multiLevelType w:val="hybridMultilevel"/>
    <w:tmpl w:val="47EE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FB85C23"/>
    <w:multiLevelType w:val="hybridMultilevel"/>
    <w:tmpl w:val="E0DAB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3CA0E8E"/>
    <w:multiLevelType w:val="hybridMultilevel"/>
    <w:tmpl w:val="10D4D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6B3353F"/>
    <w:multiLevelType w:val="hybridMultilevel"/>
    <w:tmpl w:val="BB960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C9B4F88"/>
    <w:multiLevelType w:val="hybridMultilevel"/>
    <w:tmpl w:val="9A52A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3D6C25E7"/>
    <w:multiLevelType w:val="hybridMultilevel"/>
    <w:tmpl w:val="E688A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3EAD41C1"/>
    <w:multiLevelType w:val="hybridMultilevel"/>
    <w:tmpl w:val="B720C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20B6ECC"/>
    <w:multiLevelType w:val="hybridMultilevel"/>
    <w:tmpl w:val="560095D8"/>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28">
    <w:nsid w:val="44361422"/>
    <w:multiLevelType w:val="hybridMultilevel"/>
    <w:tmpl w:val="8732FB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4442297"/>
    <w:multiLevelType w:val="hybridMultilevel"/>
    <w:tmpl w:val="2056C87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DA28E4"/>
    <w:multiLevelType w:val="hybridMultilevel"/>
    <w:tmpl w:val="79B2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87B694E"/>
    <w:multiLevelType w:val="hybridMultilevel"/>
    <w:tmpl w:val="31365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34">
    <w:nsid w:val="5DBC366A"/>
    <w:multiLevelType w:val="hybridMultilevel"/>
    <w:tmpl w:val="8CF887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3131005"/>
    <w:multiLevelType w:val="hybridMultilevel"/>
    <w:tmpl w:val="2F6E1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75504A7"/>
    <w:multiLevelType w:val="hybridMultilevel"/>
    <w:tmpl w:val="D2D26C5C"/>
    <w:lvl w:ilvl="0" w:tplc="88FA55C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7BD15A8"/>
    <w:multiLevelType w:val="multilevel"/>
    <w:tmpl w:val="B1F46092"/>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A992B6B"/>
    <w:multiLevelType w:val="hybridMultilevel"/>
    <w:tmpl w:val="CD688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6AA3397F"/>
    <w:multiLevelType w:val="hybridMultilevel"/>
    <w:tmpl w:val="D40684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nsid w:val="766B2883"/>
    <w:multiLevelType w:val="multilevel"/>
    <w:tmpl w:val="B46E789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6881CD4"/>
    <w:multiLevelType w:val="hybridMultilevel"/>
    <w:tmpl w:val="30242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76F26E8E"/>
    <w:multiLevelType w:val="hybridMultilevel"/>
    <w:tmpl w:val="FF88A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84D033C"/>
    <w:multiLevelType w:val="multilevel"/>
    <w:tmpl w:val="CED0833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8C14DFC"/>
    <w:multiLevelType w:val="hybridMultilevel"/>
    <w:tmpl w:val="FD321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80D96"/>
    <w:multiLevelType w:val="hybridMultilevel"/>
    <w:tmpl w:val="F0EA04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DD4066E"/>
    <w:multiLevelType w:val="multilevel"/>
    <w:tmpl w:val="AA089CB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29"/>
  </w:num>
  <w:num w:numId="3">
    <w:abstractNumId w:val="37"/>
  </w:num>
  <w:num w:numId="4">
    <w:abstractNumId w:val="15"/>
  </w:num>
  <w:num w:numId="5">
    <w:abstractNumId w:val="7"/>
  </w:num>
  <w:num w:numId="6">
    <w:abstractNumId w:val="41"/>
  </w:num>
  <w:num w:numId="7">
    <w:abstractNumId w:val="39"/>
  </w:num>
  <w:num w:numId="8">
    <w:abstractNumId w:val="40"/>
  </w:num>
  <w:num w:numId="9">
    <w:abstractNumId w:val="10"/>
  </w:num>
  <w:num w:numId="10">
    <w:abstractNumId w:val="14"/>
  </w:num>
  <w:num w:numId="11">
    <w:abstractNumId w:val="21"/>
  </w:num>
  <w:num w:numId="12">
    <w:abstractNumId w:val="13"/>
  </w:num>
  <w:num w:numId="13">
    <w:abstractNumId w:val="30"/>
  </w:num>
  <w:num w:numId="14">
    <w:abstractNumId w:val="17"/>
  </w:num>
  <w:num w:numId="15">
    <w:abstractNumId w:val="8"/>
  </w:num>
  <w:num w:numId="16">
    <w:abstractNumId w:val="12"/>
  </w:num>
  <w:num w:numId="17">
    <w:abstractNumId w:val="25"/>
  </w:num>
  <w:num w:numId="18">
    <w:abstractNumId w:val="34"/>
  </w:num>
  <w:num w:numId="19">
    <w:abstractNumId w:val="20"/>
  </w:num>
  <w:num w:numId="20">
    <w:abstractNumId w:val="27"/>
  </w:num>
  <w:num w:numId="21">
    <w:abstractNumId w:val="33"/>
  </w:num>
  <w:num w:numId="22">
    <w:abstractNumId w:val="28"/>
  </w:num>
  <w:num w:numId="23">
    <w:abstractNumId w:val="1"/>
  </w:num>
  <w:num w:numId="24">
    <w:abstractNumId w:val="2"/>
  </w:num>
  <w:num w:numId="25">
    <w:abstractNumId w:val="45"/>
  </w:num>
  <w:num w:numId="26">
    <w:abstractNumId w:val="11"/>
  </w:num>
  <w:num w:numId="27">
    <w:abstractNumId w:val="23"/>
  </w:num>
  <w:num w:numId="28">
    <w:abstractNumId w:val="3"/>
  </w:num>
  <w:num w:numId="29">
    <w:abstractNumId w:val="42"/>
  </w:num>
  <w:num w:numId="30">
    <w:abstractNumId w:val="38"/>
  </w:num>
  <w:num w:numId="31">
    <w:abstractNumId w:val="24"/>
  </w:num>
  <w:num w:numId="32">
    <w:abstractNumId w:val="35"/>
  </w:num>
  <w:num w:numId="33">
    <w:abstractNumId w:val="31"/>
  </w:num>
  <w:num w:numId="34">
    <w:abstractNumId w:val="6"/>
  </w:num>
  <w:num w:numId="35">
    <w:abstractNumId w:val="26"/>
  </w:num>
  <w:num w:numId="36">
    <w:abstractNumId w:val="44"/>
  </w:num>
  <w:num w:numId="37">
    <w:abstractNumId w:val="22"/>
  </w:num>
  <w:num w:numId="38">
    <w:abstractNumId w:val="5"/>
  </w:num>
  <w:num w:numId="39">
    <w:abstractNumId w:val="36"/>
  </w:num>
  <w:num w:numId="40">
    <w:abstractNumId w:val="29"/>
  </w:num>
  <w:num w:numId="41">
    <w:abstractNumId w:val="9"/>
  </w:num>
  <w:num w:numId="42">
    <w:abstractNumId w:val="19"/>
  </w:num>
  <w:num w:numId="43">
    <w:abstractNumId w:val="29"/>
  </w:num>
  <w:num w:numId="44">
    <w:abstractNumId w:val="18"/>
  </w:num>
  <w:num w:numId="45">
    <w:abstractNumId w:val="32"/>
  </w:num>
  <w:num w:numId="46">
    <w:abstractNumId w:val="4"/>
  </w:num>
  <w:num w:numId="47">
    <w:abstractNumId w:val="0"/>
  </w:num>
  <w:num w:numId="48">
    <w:abstractNumId w:val="16"/>
  </w:num>
  <w:num w:numId="49">
    <w:abstractNumId w:val="46"/>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9B7"/>
    <w:rsid w:val="00006B44"/>
    <w:rsid w:val="00011443"/>
    <w:rsid w:val="00012531"/>
    <w:rsid w:val="00013247"/>
    <w:rsid w:val="00013E82"/>
    <w:rsid w:val="00015886"/>
    <w:rsid w:val="000162EF"/>
    <w:rsid w:val="0001699D"/>
    <w:rsid w:val="00016CD0"/>
    <w:rsid w:val="000214F3"/>
    <w:rsid w:val="0002225F"/>
    <w:rsid w:val="000229C9"/>
    <w:rsid w:val="00022EF5"/>
    <w:rsid w:val="00023763"/>
    <w:rsid w:val="000241AF"/>
    <w:rsid w:val="00025106"/>
    <w:rsid w:val="00025404"/>
    <w:rsid w:val="00025D27"/>
    <w:rsid w:val="00026C69"/>
    <w:rsid w:val="00030A4B"/>
    <w:rsid w:val="00033863"/>
    <w:rsid w:val="00034D96"/>
    <w:rsid w:val="0003534B"/>
    <w:rsid w:val="00035DC0"/>
    <w:rsid w:val="00036829"/>
    <w:rsid w:val="00037638"/>
    <w:rsid w:val="00040895"/>
    <w:rsid w:val="000434BC"/>
    <w:rsid w:val="00043C37"/>
    <w:rsid w:val="00044E4B"/>
    <w:rsid w:val="00045017"/>
    <w:rsid w:val="00045A2B"/>
    <w:rsid w:val="0004698F"/>
    <w:rsid w:val="00047588"/>
    <w:rsid w:val="0004780B"/>
    <w:rsid w:val="00051AAE"/>
    <w:rsid w:val="000539D0"/>
    <w:rsid w:val="00054027"/>
    <w:rsid w:val="00054621"/>
    <w:rsid w:val="000546D7"/>
    <w:rsid w:val="000575A2"/>
    <w:rsid w:val="00057F4A"/>
    <w:rsid w:val="00057F5E"/>
    <w:rsid w:val="00060003"/>
    <w:rsid w:val="00062E91"/>
    <w:rsid w:val="0006403A"/>
    <w:rsid w:val="0006457F"/>
    <w:rsid w:val="00066148"/>
    <w:rsid w:val="00066360"/>
    <w:rsid w:val="00070740"/>
    <w:rsid w:val="00071248"/>
    <w:rsid w:val="000720B9"/>
    <w:rsid w:val="00072B7E"/>
    <w:rsid w:val="00072B89"/>
    <w:rsid w:val="000737F7"/>
    <w:rsid w:val="0007672F"/>
    <w:rsid w:val="0007749D"/>
    <w:rsid w:val="000774F0"/>
    <w:rsid w:val="00080909"/>
    <w:rsid w:val="000812CA"/>
    <w:rsid w:val="00081DEC"/>
    <w:rsid w:val="00081E7F"/>
    <w:rsid w:val="0008258D"/>
    <w:rsid w:val="00082D8C"/>
    <w:rsid w:val="00083E99"/>
    <w:rsid w:val="000856C5"/>
    <w:rsid w:val="000906D5"/>
    <w:rsid w:val="00090C7E"/>
    <w:rsid w:val="00092600"/>
    <w:rsid w:val="0009262B"/>
    <w:rsid w:val="00093310"/>
    <w:rsid w:val="000939FA"/>
    <w:rsid w:val="0009445C"/>
    <w:rsid w:val="0009506A"/>
    <w:rsid w:val="00095FE5"/>
    <w:rsid w:val="00096284"/>
    <w:rsid w:val="000979C7"/>
    <w:rsid w:val="000A09EB"/>
    <w:rsid w:val="000A7D08"/>
    <w:rsid w:val="000B0670"/>
    <w:rsid w:val="000B0E75"/>
    <w:rsid w:val="000B1D5D"/>
    <w:rsid w:val="000B2141"/>
    <w:rsid w:val="000B2969"/>
    <w:rsid w:val="000B4E75"/>
    <w:rsid w:val="000B6036"/>
    <w:rsid w:val="000B6CAC"/>
    <w:rsid w:val="000B7612"/>
    <w:rsid w:val="000C23E5"/>
    <w:rsid w:val="000C2CD6"/>
    <w:rsid w:val="000C3DF9"/>
    <w:rsid w:val="000C4AA8"/>
    <w:rsid w:val="000C6713"/>
    <w:rsid w:val="000D108A"/>
    <w:rsid w:val="000D1BFC"/>
    <w:rsid w:val="000D27D9"/>
    <w:rsid w:val="000D281A"/>
    <w:rsid w:val="000D326A"/>
    <w:rsid w:val="000D379B"/>
    <w:rsid w:val="000D4F8C"/>
    <w:rsid w:val="000D51FB"/>
    <w:rsid w:val="000D789E"/>
    <w:rsid w:val="000D7AE1"/>
    <w:rsid w:val="000E135D"/>
    <w:rsid w:val="000E1B5A"/>
    <w:rsid w:val="000E224C"/>
    <w:rsid w:val="000E2E5C"/>
    <w:rsid w:val="000E5479"/>
    <w:rsid w:val="000E56BD"/>
    <w:rsid w:val="000E6313"/>
    <w:rsid w:val="000F00BA"/>
    <w:rsid w:val="000F0A25"/>
    <w:rsid w:val="000F2A5C"/>
    <w:rsid w:val="000F3154"/>
    <w:rsid w:val="000F316A"/>
    <w:rsid w:val="000F3C74"/>
    <w:rsid w:val="000F4BB8"/>
    <w:rsid w:val="000F65A5"/>
    <w:rsid w:val="000F6E22"/>
    <w:rsid w:val="000F7127"/>
    <w:rsid w:val="000F7C51"/>
    <w:rsid w:val="000F7E72"/>
    <w:rsid w:val="00100E6C"/>
    <w:rsid w:val="00100F8A"/>
    <w:rsid w:val="0010182E"/>
    <w:rsid w:val="00101F27"/>
    <w:rsid w:val="00102690"/>
    <w:rsid w:val="0010274F"/>
    <w:rsid w:val="0010557D"/>
    <w:rsid w:val="00105AE2"/>
    <w:rsid w:val="00105D9D"/>
    <w:rsid w:val="00106B80"/>
    <w:rsid w:val="0011032E"/>
    <w:rsid w:val="0011348B"/>
    <w:rsid w:val="00113B21"/>
    <w:rsid w:val="00115982"/>
    <w:rsid w:val="001159E0"/>
    <w:rsid w:val="00116C53"/>
    <w:rsid w:val="00120E04"/>
    <w:rsid w:val="00121799"/>
    <w:rsid w:val="001222FC"/>
    <w:rsid w:val="00123137"/>
    <w:rsid w:val="00123A6C"/>
    <w:rsid w:val="00124669"/>
    <w:rsid w:val="00124843"/>
    <w:rsid w:val="001248AD"/>
    <w:rsid w:val="00124A51"/>
    <w:rsid w:val="00124C3F"/>
    <w:rsid w:val="00126621"/>
    <w:rsid w:val="001301E9"/>
    <w:rsid w:val="00131D82"/>
    <w:rsid w:val="00133D36"/>
    <w:rsid w:val="001344C4"/>
    <w:rsid w:val="00137645"/>
    <w:rsid w:val="0014015A"/>
    <w:rsid w:val="00140E99"/>
    <w:rsid w:val="00145540"/>
    <w:rsid w:val="001456B0"/>
    <w:rsid w:val="001473AE"/>
    <w:rsid w:val="001500D2"/>
    <w:rsid w:val="0015493B"/>
    <w:rsid w:val="001560D4"/>
    <w:rsid w:val="00157130"/>
    <w:rsid w:val="001576B1"/>
    <w:rsid w:val="00157FD8"/>
    <w:rsid w:val="00160A4C"/>
    <w:rsid w:val="00161873"/>
    <w:rsid w:val="001618B2"/>
    <w:rsid w:val="00161F0D"/>
    <w:rsid w:val="00162913"/>
    <w:rsid w:val="0016356B"/>
    <w:rsid w:val="00163659"/>
    <w:rsid w:val="00163CD7"/>
    <w:rsid w:val="00163EFF"/>
    <w:rsid w:val="00163F10"/>
    <w:rsid w:val="001661FB"/>
    <w:rsid w:val="00166DEE"/>
    <w:rsid w:val="00173565"/>
    <w:rsid w:val="00173B07"/>
    <w:rsid w:val="00175691"/>
    <w:rsid w:val="00176781"/>
    <w:rsid w:val="00176F95"/>
    <w:rsid w:val="001804E4"/>
    <w:rsid w:val="00181D9C"/>
    <w:rsid w:val="0018752F"/>
    <w:rsid w:val="001900E8"/>
    <w:rsid w:val="00191F70"/>
    <w:rsid w:val="001927CE"/>
    <w:rsid w:val="00192B7C"/>
    <w:rsid w:val="00193390"/>
    <w:rsid w:val="00194906"/>
    <w:rsid w:val="00195222"/>
    <w:rsid w:val="0019659E"/>
    <w:rsid w:val="001975D8"/>
    <w:rsid w:val="001A1D16"/>
    <w:rsid w:val="001A2B05"/>
    <w:rsid w:val="001A43FA"/>
    <w:rsid w:val="001A450F"/>
    <w:rsid w:val="001A4A9A"/>
    <w:rsid w:val="001A53DF"/>
    <w:rsid w:val="001A59FB"/>
    <w:rsid w:val="001A5C82"/>
    <w:rsid w:val="001A6354"/>
    <w:rsid w:val="001A7AE8"/>
    <w:rsid w:val="001B204E"/>
    <w:rsid w:val="001B3443"/>
    <w:rsid w:val="001B3B32"/>
    <w:rsid w:val="001B3B40"/>
    <w:rsid w:val="001B4148"/>
    <w:rsid w:val="001B4D20"/>
    <w:rsid w:val="001B4ED3"/>
    <w:rsid w:val="001B6860"/>
    <w:rsid w:val="001C109E"/>
    <w:rsid w:val="001C2A9B"/>
    <w:rsid w:val="001C4299"/>
    <w:rsid w:val="001C5F94"/>
    <w:rsid w:val="001C668C"/>
    <w:rsid w:val="001C6E66"/>
    <w:rsid w:val="001C7ABD"/>
    <w:rsid w:val="001D229B"/>
    <w:rsid w:val="001D2C59"/>
    <w:rsid w:val="001D2C91"/>
    <w:rsid w:val="001D445E"/>
    <w:rsid w:val="001E238E"/>
    <w:rsid w:val="001E2483"/>
    <w:rsid w:val="001E2B1E"/>
    <w:rsid w:val="001E30D4"/>
    <w:rsid w:val="001E3153"/>
    <w:rsid w:val="001E3290"/>
    <w:rsid w:val="001E52EB"/>
    <w:rsid w:val="001E61D2"/>
    <w:rsid w:val="001E740C"/>
    <w:rsid w:val="001F1235"/>
    <w:rsid w:val="001F1CB3"/>
    <w:rsid w:val="001F38B5"/>
    <w:rsid w:val="001F46E0"/>
    <w:rsid w:val="001F4B9E"/>
    <w:rsid w:val="001F5C04"/>
    <w:rsid w:val="001F7361"/>
    <w:rsid w:val="002011B0"/>
    <w:rsid w:val="00203181"/>
    <w:rsid w:val="00203783"/>
    <w:rsid w:val="0020385F"/>
    <w:rsid w:val="00205DC8"/>
    <w:rsid w:val="00206EB9"/>
    <w:rsid w:val="00207021"/>
    <w:rsid w:val="0020719C"/>
    <w:rsid w:val="0020732F"/>
    <w:rsid w:val="00207B42"/>
    <w:rsid w:val="00207D00"/>
    <w:rsid w:val="002105C1"/>
    <w:rsid w:val="002115C9"/>
    <w:rsid w:val="00211B27"/>
    <w:rsid w:val="00211C5B"/>
    <w:rsid w:val="002213F3"/>
    <w:rsid w:val="002224B2"/>
    <w:rsid w:val="00223B49"/>
    <w:rsid w:val="00224523"/>
    <w:rsid w:val="00224DD4"/>
    <w:rsid w:val="002257C9"/>
    <w:rsid w:val="00226F17"/>
    <w:rsid w:val="002276A8"/>
    <w:rsid w:val="002309CC"/>
    <w:rsid w:val="0023209F"/>
    <w:rsid w:val="00233CAA"/>
    <w:rsid w:val="00233FCB"/>
    <w:rsid w:val="00235AEF"/>
    <w:rsid w:val="0023629D"/>
    <w:rsid w:val="00237255"/>
    <w:rsid w:val="00242144"/>
    <w:rsid w:val="00242220"/>
    <w:rsid w:val="002424AF"/>
    <w:rsid w:val="002439DC"/>
    <w:rsid w:val="00244DC8"/>
    <w:rsid w:val="002458BA"/>
    <w:rsid w:val="00246223"/>
    <w:rsid w:val="002462FD"/>
    <w:rsid w:val="0024636C"/>
    <w:rsid w:val="00247925"/>
    <w:rsid w:val="002479ED"/>
    <w:rsid w:val="00251B47"/>
    <w:rsid w:val="00253BC4"/>
    <w:rsid w:val="00254DCF"/>
    <w:rsid w:val="0025534B"/>
    <w:rsid w:val="002556A6"/>
    <w:rsid w:val="00255BB7"/>
    <w:rsid w:val="00257541"/>
    <w:rsid w:val="00261F0D"/>
    <w:rsid w:val="0026257E"/>
    <w:rsid w:val="00262A1A"/>
    <w:rsid w:val="00262A87"/>
    <w:rsid w:val="00264D26"/>
    <w:rsid w:val="002668FD"/>
    <w:rsid w:val="00267642"/>
    <w:rsid w:val="00267AEA"/>
    <w:rsid w:val="002700E6"/>
    <w:rsid w:val="0027206B"/>
    <w:rsid w:val="0027294B"/>
    <w:rsid w:val="00274768"/>
    <w:rsid w:val="00275C5A"/>
    <w:rsid w:val="002761A4"/>
    <w:rsid w:val="00276D17"/>
    <w:rsid w:val="00280595"/>
    <w:rsid w:val="00280D23"/>
    <w:rsid w:val="00281014"/>
    <w:rsid w:val="0028140F"/>
    <w:rsid w:val="00282435"/>
    <w:rsid w:val="00282D33"/>
    <w:rsid w:val="0028336D"/>
    <w:rsid w:val="0028705C"/>
    <w:rsid w:val="00291512"/>
    <w:rsid w:val="0029336C"/>
    <w:rsid w:val="00294D3E"/>
    <w:rsid w:val="00295BD4"/>
    <w:rsid w:val="0029636F"/>
    <w:rsid w:val="002A14AB"/>
    <w:rsid w:val="002A2F50"/>
    <w:rsid w:val="002A5B2A"/>
    <w:rsid w:val="002A69C4"/>
    <w:rsid w:val="002B09A4"/>
    <w:rsid w:val="002B1C1F"/>
    <w:rsid w:val="002B432F"/>
    <w:rsid w:val="002B62B3"/>
    <w:rsid w:val="002B6754"/>
    <w:rsid w:val="002B6CCE"/>
    <w:rsid w:val="002B7FD4"/>
    <w:rsid w:val="002C07D2"/>
    <w:rsid w:val="002C10D6"/>
    <w:rsid w:val="002C1550"/>
    <w:rsid w:val="002C1A95"/>
    <w:rsid w:val="002C2510"/>
    <w:rsid w:val="002C2775"/>
    <w:rsid w:val="002C27C1"/>
    <w:rsid w:val="002C336B"/>
    <w:rsid w:val="002C5099"/>
    <w:rsid w:val="002C5889"/>
    <w:rsid w:val="002C5A8C"/>
    <w:rsid w:val="002C5D61"/>
    <w:rsid w:val="002C71CE"/>
    <w:rsid w:val="002C7B69"/>
    <w:rsid w:val="002D577C"/>
    <w:rsid w:val="002D6074"/>
    <w:rsid w:val="002E088B"/>
    <w:rsid w:val="002E0E9E"/>
    <w:rsid w:val="002E15B9"/>
    <w:rsid w:val="002E2158"/>
    <w:rsid w:val="002E3840"/>
    <w:rsid w:val="002E7614"/>
    <w:rsid w:val="002E7722"/>
    <w:rsid w:val="002F07BA"/>
    <w:rsid w:val="002F0DA9"/>
    <w:rsid w:val="002F41EC"/>
    <w:rsid w:val="002F4661"/>
    <w:rsid w:val="002F5466"/>
    <w:rsid w:val="002F5E9C"/>
    <w:rsid w:val="002F643C"/>
    <w:rsid w:val="002F71C0"/>
    <w:rsid w:val="002F7EFA"/>
    <w:rsid w:val="00300445"/>
    <w:rsid w:val="00301017"/>
    <w:rsid w:val="0030155F"/>
    <w:rsid w:val="00301AF0"/>
    <w:rsid w:val="00301BE0"/>
    <w:rsid w:val="0030587B"/>
    <w:rsid w:val="00306D98"/>
    <w:rsid w:val="00307368"/>
    <w:rsid w:val="00307381"/>
    <w:rsid w:val="0030786C"/>
    <w:rsid w:val="003100CB"/>
    <w:rsid w:val="0031031A"/>
    <w:rsid w:val="00310981"/>
    <w:rsid w:val="00313F1C"/>
    <w:rsid w:val="003146D1"/>
    <w:rsid w:val="00315498"/>
    <w:rsid w:val="0032007F"/>
    <w:rsid w:val="00320991"/>
    <w:rsid w:val="003219E4"/>
    <w:rsid w:val="00322107"/>
    <w:rsid w:val="00322846"/>
    <w:rsid w:val="0032357A"/>
    <w:rsid w:val="00326DA7"/>
    <w:rsid w:val="003270E4"/>
    <w:rsid w:val="0032759E"/>
    <w:rsid w:val="0033041B"/>
    <w:rsid w:val="00330A5A"/>
    <w:rsid w:val="00330F5C"/>
    <w:rsid w:val="00331A2E"/>
    <w:rsid w:val="00332302"/>
    <w:rsid w:val="00332F50"/>
    <w:rsid w:val="003335ED"/>
    <w:rsid w:val="00333B4E"/>
    <w:rsid w:val="003366C9"/>
    <w:rsid w:val="003371B0"/>
    <w:rsid w:val="00337C67"/>
    <w:rsid w:val="003409D3"/>
    <w:rsid w:val="00340DF1"/>
    <w:rsid w:val="00340E6D"/>
    <w:rsid w:val="0034373D"/>
    <w:rsid w:val="0034379B"/>
    <w:rsid w:val="00344380"/>
    <w:rsid w:val="00345AF1"/>
    <w:rsid w:val="003464EF"/>
    <w:rsid w:val="00346AD1"/>
    <w:rsid w:val="00350F62"/>
    <w:rsid w:val="003517F9"/>
    <w:rsid w:val="003541B0"/>
    <w:rsid w:val="0035620E"/>
    <w:rsid w:val="003569D0"/>
    <w:rsid w:val="00360589"/>
    <w:rsid w:val="00360A6E"/>
    <w:rsid w:val="00360B83"/>
    <w:rsid w:val="00360BB2"/>
    <w:rsid w:val="003624C4"/>
    <w:rsid w:val="00362FCE"/>
    <w:rsid w:val="003635B9"/>
    <w:rsid w:val="003635EB"/>
    <w:rsid w:val="003654AC"/>
    <w:rsid w:val="003710CF"/>
    <w:rsid w:val="003717F6"/>
    <w:rsid w:val="00371E9F"/>
    <w:rsid w:val="003734FA"/>
    <w:rsid w:val="0037358A"/>
    <w:rsid w:val="003738F9"/>
    <w:rsid w:val="003750F6"/>
    <w:rsid w:val="00375137"/>
    <w:rsid w:val="00375D50"/>
    <w:rsid w:val="003760FC"/>
    <w:rsid w:val="00376B2C"/>
    <w:rsid w:val="003810D6"/>
    <w:rsid w:val="00381DBB"/>
    <w:rsid w:val="003832BD"/>
    <w:rsid w:val="0038365C"/>
    <w:rsid w:val="0038369B"/>
    <w:rsid w:val="00383B78"/>
    <w:rsid w:val="00385150"/>
    <w:rsid w:val="00385502"/>
    <w:rsid w:val="00385A9D"/>
    <w:rsid w:val="003870F9"/>
    <w:rsid w:val="00390099"/>
    <w:rsid w:val="003902B1"/>
    <w:rsid w:val="00391D1C"/>
    <w:rsid w:val="0039375A"/>
    <w:rsid w:val="00396896"/>
    <w:rsid w:val="00396FD0"/>
    <w:rsid w:val="003A06E4"/>
    <w:rsid w:val="003A1A7A"/>
    <w:rsid w:val="003A2392"/>
    <w:rsid w:val="003A25D2"/>
    <w:rsid w:val="003A2831"/>
    <w:rsid w:val="003A31EB"/>
    <w:rsid w:val="003A3ED1"/>
    <w:rsid w:val="003B0817"/>
    <w:rsid w:val="003B163F"/>
    <w:rsid w:val="003B435A"/>
    <w:rsid w:val="003B54E5"/>
    <w:rsid w:val="003B5B61"/>
    <w:rsid w:val="003C11A3"/>
    <w:rsid w:val="003C12DC"/>
    <w:rsid w:val="003C1407"/>
    <w:rsid w:val="003C1654"/>
    <w:rsid w:val="003C59A2"/>
    <w:rsid w:val="003C63FB"/>
    <w:rsid w:val="003C7D19"/>
    <w:rsid w:val="003D15D7"/>
    <w:rsid w:val="003D1828"/>
    <w:rsid w:val="003D1DE4"/>
    <w:rsid w:val="003D2422"/>
    <w:rsid w:val="003D39A1"/>
    <w:rsid w:val="003D3A0C"/>
    <w:rsid w:val="003D3FBF"/>
    <w:rsid w:val="003D4A30"/>
    <w:rsid w:val="003D5C0B"/>
    <w:rsid w:val="003D6404"/>
    <w:rsid w:val="003D79BB"/>
    <w:rsid w:val="003D7C98"/>
    <w:rsid w:val="003E0543"/>
    <w:rsid w:val="003E1BC4"/>
    <w:rsid w:val="003E2348"/>
    <w:rsid w:val="003E293B"/>
    <w:rsid w:val="003E2CA5"/>
    <w:rsid w:val="003E3375"/>
    <w:rsid w:val="003E36FB"/>
    <w:rsid w:val="003E4343"/>
    <w:rsid w:val="003E5B26"/>
    <w:rsid w:val="003F025C"/>
    <w:rsid w:val="003F2143"/>
    <w:rsid w:val="003F37F2"/>
    <w:rsid w:val="003F4156"/>
    <w:rsid w:val="003F5BE5"/>
    <w:rsid w:val="003F7CBF"/>
    <w:rsid w:val="003F7D30"/>
    <w:rsid w:val="00400B29"/>
    <w:rsid w:val="0040192F"/>
    <w:rsid w:val="00402FD5"/>
    <w:rsid w:val="0040504B"/>
    <w:rsid w:val="004057DB"/>
    <w:rsid w:val="00407805"/>
    <w:rsid w:val="00410315"/>
    <w:rsid w:val="004103FE"/>
    <w:rsid w:val="00410708"/>
    <w:rsid w:val="00410EC7"/>
    <w:rsid w:val="00411A01"/>
    <w:rsid w:val="00411B39"/>
    <w:rsid w:val="00413A1E"/>
    <w:rsid w:val="00414476"/>
    <w:rsid w:val="00414C2E"/>
    <w:rsid w:val="004151CF"/>
    <w:rsid w:val="00415DF7"/>
    <w:rsid w:val="00416364"/>
    <w:rsid w:val="00416FC2"/>
    <w:rsid w:val="00417625"/>
    <w:rsid w:val="00417F4E"/>
    <w:rsid w:val="00420AA6"/>
    <w:rsid w:val="00420B9F"/>
    <w:rsid w:val="00421B44"/>
    <w:rsid w:val="00421D38"/>
    <w:rsid w:val="00422260"/>
    <w:rsid w:val="004227C0"/>
    <w:rsid w:val="0042413F"/>
    <w:rsid w:val="00424728"/>
    <w:rsid w:val="00425030"/>
    <w:rsid w:val="00426F4C"/>
    <w:rsid w:val="004319F8"/>
    <w:rsid w:val="00431E55"/>
    <w:rsid w:val="0043210B"/>
    <w:rsid w:val="004321F6"/>
    <w:rsid w:val="00432AB7"/>
    <w:rsid w:val="00433044"/>
    <w:rsid w:val="00434176"/>
    <w:rsid w:val="0043657D"/>
    <w:rsid w:val="00436DB5"/>
    <w:rsid w:val="004375B9"/>
    <w:rsid w:val="00440E92"/>
    <w:rsid w:val="004428D0"/>
    <w:rsid w:val="004443A7"/>
    <w:rsid w:val="0044442C"/>
    <w:rsid w:val="00444893"/>
    <w:rsid w:val="00444D02"/>
    <w:rsid w:val="00445941"/>
    <w:rsid w:val="004464EB"/>
    <w:rsid w:val="00447D26"/>
    <w:rsid w:val="004522CD"/>
    <w:rsid w:val="00455D45"/>
    <w:rsid w:val="004630DA"/>
    <w:rsid w:val="00464595"/>
    <w:rsid w:val="00471504"/>
    <w:rsid w:val="00472659"/>
    <w:rsid w:val="00472A79"/>
    <w:rsid w:val="00472D1E"/>
    <w:rsid w:val="00473F19"/>
    <w:rsid w:val="00474527"/>
    <w:rsid w:val="00474FF3"/>
    <w:rsid w:val="004755F0"/>
    <w:rsid w:val="00475E22"/>
    <w:rsid w:val="00476256"/>
    <w:rsid w:val="0047695C"/>
    <w:rsid w:val="00476BAA"/>
    <w:rsid w:val="00477FAF"/>
    <w:rsid w:val="0048088E"/>
    <w:rsid w:val="004815FD"/>
    <w:rsid w:val="00482720"/>
    <w:rsid w:val="00482C99"/>
    <w:rsid w:val="004835E7"/>
    <w:rsid w:val="00484780"/>
    <w:rsid w:val="00484F5A"/>
    <w:rsid w:val="004867E2"/>
    <w:rsid w:val="00491B3A"/>
    <w:rsid w:val="004924AD"/>
    <w:rsid w:val="004925A2"/>
    <w:rsid w:val="00492B4E"/>
    <w:rsid w:val="00492CFD"/>
    <w:rsid w:val="00493012"/>
    <w:rsid w:val="00493710"/>
    <w:rsid w:val="00494DD5"/>
    <w:rsid w:val="004952C4"/>
    <w:rsid w:val="004962D2"/>
    <w:rsid w:val="00497F16"/>
    <w:rsid w:val="004A07C9"/>
    <w:rsid w:val="004A0860"/>
    <w:rsid w:val="004A0DA1"/>
    <w:rsid w:val="004A0E43"/>
    <w:rsid w:val="004A20D6"/>
    <w:rsid w:val="004A28D2"/>
    <w:rsid w:val="004A52E9"/>
    <w:rsid w:val="004A5842"/>
    <w:rsid w:val="004A6597"/>
    <w:rsid w:val="004A7848"/>
    <w:rsid w:val="004A7EF8"/>
    <w:rsid w:val="004B0C86"/>
    <w:rsid w:val="004B1CB4"/>
    <w:rsid w:val="004B2BD5"/>
    <w:rsid w:val="004B2F18"/>
    <w:rsid w:val="004B342A"/>
    <w:rsid w:val="004B36FD"/>
    <w:rsid w:val="004B3DDB"/>
    <w:rsid w:val="004B4197"/>
    <w:rsid w:val="004B44FD"/>
    <w:rsid w:val="004B5690"/>
    <w:rsid w:val="004B5CFC"/>
    <w:rsid w:val="004B774D"/>
    <w:rsid w:val="004C0F08"/>
    <w:rsid w:val="004C153F"/>
    <w:rsid w:val="004C3AA2"/>
    <w:rsid w:val="004C3F39"/>
    <w:rsid w:val="004C4AED"/>
    <w:rsid w:val="004C6306"/>
    <w:rsid w:val="004D2C2D"/>
    <w:rsid w:val="004D31AD"/>
    <w:rsid w:val="004D36A1"/>
    <w:rsid w:val="004D6F65"/>
    <w:rsid w:val="004D7227"/>
    <w:rsid w:val="004E0E7F"/>
    <w:rsid w:val="004E0EB8"/>
    <w:rsid w:val="004E13B5"/>
    <w:rsid w:val="004E2ADC"/>
    <w:rsid w:val="004E4190"/>
    <w:rsid w:val="004E43B2"/>
    <w:rsid w:val="004E4EFD"/>
    <w:rsid w:val="004E5226"/>
    <w:rsid w:val="004F181C"/>
    <w:rsid w:val="004F1B85"/>
    <w:rsid w:val="004F1D02"/>
    <w:rsid w:val="004F2679"/>
    <w:rsid w:val="004F2F21"/>
    <w:rsid w:val="004F5644"/>
    <w:rsid w:val="004F60DC"/>
    <w:rsid w:val="004F6794"/>
    <w:rsid w:val="004F6913"/>
    <w:rsid w:val="004F75D7"/>
    <w:rsid w:val="004F7865"/>
    <w:rsid w:val="0050219B"/>
    <w:rsid w:val="00503F17"/>
    <w:rsid w:val="005047A3"/>
    <w:rsid w:val="00505A43"/>
    <w:rsid w:val="00506928"/>
    <w:rsid w:val="00510A14"/>
    <w:rsid w:val="00510DCA"/>
    <w:rsid w:val="00512322"/>
    <w:rsid w:val="005138B1"/>
    <w:rsid w:val="0051434B"/>
    <w:rsid w:val="00514E03"/>
    <w:rsid w:val="005152B5"/>
    <w:rsid w:val="00520F36"/>
    <w:rsid w:val="00520F73"/>
    <w:rsid w:val="00521319"/>
    <w:rsid w:val="005222F0"/>
    <w:rsid w:val="00522BC8"/>
    <w:rsid w:val="0052313F"/>
    <w:rsid w:val="00523569"/>
    <w:rsid w:val="0052392D"/>
    <w:rsid w:val="00523C28"/>
    <w:rsid w:val="0052432B"/>
    <w:rsid w:val="0052432C"/>
    <w:rsid w:val="00526BA4"/>
    <w:rsid w:val="00531656"/>
    <w:rsid w:val="0053363A"/>
    <w:rsid w:val="00533DD8"/>
    <w:rsid w:val="0053645E"/>
    <w:rsid w:val="00536F42"/>
    <w:rsid w:val="00537182"/>
    <w:rsid w:val="005412A9"/>
    <w:rsid w:val="00542743"/>
    <w:rsid w:val="00542C2D"/>
    <w:rsid w:val="005434ED"/>
    <w:rsid w:val="00544B2E"/>
    <w:rsid w:val="00545171"/>
    <w:rsid w:val="00545B8C"/>
    <w:rsid w:val="00545C4B"/>
    <w:rsid w:val="005462A9"/>
    <w:rsid w:val="0054687F"/>
    <w:rsid w:val="00550221"/>
    <w:rsid w:val="00551985"/>
    <w:rsid w:val="00552BD3"/>
    <w:rsid w:val="00553D33"/>
    <w:rsid w:val="00555109"/>
    <w:rsid w:val="005552A8"/>
    <w:rsid w:val="005555EA"/>
    <w:rsid w:val="00562396"/>
    <w:rsid w:val="00562914"/>
    <w:rsid w:val="0056330B"/>
    <w:rsid w:val="005666FF"/>
    <w:rsid w:val="0056696F"/>
    <w:rsid w:val="005672C9"/>
    <w:rsid w:val="00571409"/>
    <w:rsid w:val="005718E4"/>
    <w:rsid w:val="00572269"/>
    <w:rsid w:val="0057244A"/>
    <w:rsid w:val="00575D8D"/>
    <w:rsid w:val="0057619E"/>
    <w:rsid w:val="00576972"/>
    <w:rsid w:val="005771DF"/>
    <w:rsid w:val="00577C4B"/>
    <w:rsid w:val="00581DE7"/>
    <w:rsid w:val="00583699"/>
    <w:rsid w:val="00585CDD"/>
    <w:rsid w:val="00587058"/>
    <w:rsid w:val="00587397"/>
    <w:rsid w:val="005874F4"/>
    <w:rsid w:val="00587C31"/>
    <w:rsid w:val="005901CE"/>
    <w:rsid w:val="00590BD8"/>
    <w:rsid w:val="00591871"/>
    <w:rsid w:val="00591957"/>
    <w:rsid w:val="0059510D"/>
    <w:rsid w:val="005961D8"/>
    <w:rsid w:val="00597BF9"/>
    <w:rsid w:val="00597F9F"/>
    <w:rsid w:val="005A373D"/>
    <w:rsid w:val="005A3DDE"/>
    <w:rsid w:val="005A6950"/>
    <w:rsid w:val="005A6C51"/>
    <w:rsid w:val="005B0788"/>
    <w:rsid w:val="005B1105"/>
    <w:rsid w:val="005B5857"/>
    <w:rsid w:val="005B7A71"/>
    <w:rsid w:val="005C070B"/>
    <w:rsid w:val="005C1B83"/>
    <w:rsid w:val="005C2D55"/>
    <w:rsid w:val="005C346B"/>
    <w:rsid w:val="005C39D9"/>
    <w:rsid w:val="005C5E4B"/>
    <w:rsid w:val="005D044D"/>
    <w:rsid w:val="005D0ABD"/>
    <w:rsid w:val="005D18AD"/>
    <w:rsid w:val="005D26B4"/>
    <w:rsid w:val="005D2B6A"/>
    <w:rsid w:val="005D54D4"/>
    <w:rsid w:val="005D5686"/>
    <w:rsid w:val="005D7C21"/>
    <w:rsid w:val="005E07C6"/>
    <w:rsid w:val="005E0E5E"/>
    <w:rsid w:val="005E138E"/>
    <w:rsid w:val="005E29E4"/>
    <w:rsid w:val="005E61DE"/>
    <w:rsid w:val="005E6CBC"/>
    <w:rsid w:val="005E73C0"/>
    <w:rsid w:val="005F0791"/>
    <w:rsid w:val="005F1AFF"/>
    <w:rsid w:val="005F2706"/>
    <w:rsid w:val="005F3BDD"/>
    <w:rsid w:val="005F53E4"/>
    <w:rsid w:val="005F5930"/>
    <w:rsid w:val="005F5E8F"/>
    <w:rsid w:val="005F6A8F"/>
    <w:rsid w:val="00601A43"/>
    <w:rsid w:val="00602AF6"/>
    <w:rsid w:val="00603DB9"/>
    <w:rsid w:val="006049BF"/>
    <w:rsid w:val="006065A9"/>
    <w:rsid w:val="00607669"/>
    <w:rsid w:val="00607AFD"/>
    <w:rsid w:val="00610A2A"/>
    <w:rsid w:val="00610CFA"/>
    <w:rsid w:val="00612C16"/>
    <w:rsid w:val="00612F97"/>
    <w:rsid w:val="0061345D"/>
    <w:rsid w:val="006147B5"/>
    <w:rsid w:val="00616802"/>
    <w:rsid w:val="006170D6"/>
    <w:rsid w:val="00617E12"/>
    <w:rsid w:val="00617E5C"/>
    <w:rsid w:val="00620798"/>
    <w:rsid w:val="0062082D"/>
    <w:rsid w:val="00621477"/>
    <w:rsid w:val="00621BA5"/>
    <w:rsid w:val="0062281C"/>
    <w:rsid w:val="00624E2E"/>
    <w:rsid w:val="00625200"/>
    <w:rsid w:val="0063033A"/>
    <w:rsid w:val="006308D0"/>
    <w:rsid w:val="0063158F"/>
    <w:rsid w:val="00631D6B"/>
    <w:rsid w:val="006330A1"/>
    <w:rsid w:val="0063382A"/>
    <w:rsid w:val="00633A5D"/>
    <w:rsid w:val="00633BB5"/>
    <w:rsid w:val="00634444"/>
    <w:rsid w:val="0063479F"/>
    <w:rsid w:val="00634DCE"/>
    <w:rsid w:val="006353F0"/>
    <w:rsid w:val="006364A1"/>
    <w:rsid w:val="006366BA"/>
    <w:rsid w:val="00637BFD"/>
    <w:rsid w:val="00640506"/>
    <w:rsid w:val="006412DC"/>
    <w:rsid w:val="00641C4E"/>
    <w:rsid w:val="00642B41"/>
    <w:rsid w:val="006468FC"/>
    <w:rsid w:val="006471CC"/>
    <w:rsid w:val="0064777A"/>
    <w:rsid w:val="0065079F"/>
    <w:rsid w:val="00651713"/>
    <w:rsid w:val="0065379F"/>
    <w:rsid w:val="00654CA6"/>
    <w:rsid w:val="006558DA"/>
    <w:rsid w:val="006562AD"/>
    <w:rsid w:val="00660262"/>
    <w:rsid w:val="006606A8"/>
    <w:rsid w:val="00661C6B"/>
    <w:rsid w:val="006644EE"/>
    <w:rsid w:val="0066680D"/>
    <w:rsid w:val="0067085E"/>
    <w:rsid w:val="006709C9"/>
    <w:rsid w:val="00672ED0"/>
    <w:rsid w:val="00674552"/>
    <w:rsid w:val="00674E42"/>
    <w:rsid w:val="006750C4"/>
    <w:rsid w:val="006771A0"/>
    <w:rsid w:val="00680742"/>
    <w:rsid w:val="00682112"/>
    <w:rsid w:val="00683FC8"/>
    <w:rsid w:val="00685021"/>
    <w:rsid w:val="00686957"/>
    <w:rsid w:val="006872BA"/>
    <w:rsid w:val="0069100C"/>
    <w:rsid w:val="00691648"/>
    <w:rsid w:val="0069176C"/>
    <w:rsid w:val="006917D7"/>
    <w:rsid w:val="00691E14"/>
    <w:rsid w:val="006922D9"/>
    <w:rsid w:val="00692344"/>
    <w:rsid w:val="00692F64"/>
    <w:rsid w:val="0069371F"/>
    <w:rsid w:val="00694502"/>
    <w:rsid w:val="00694F44"/>
    <w:rsid w:val="00697442"/>
    <w:rsid w:val="00697A8B"/>
    <w:rsid w:val="006A3853"/>
    <w:rsid w:val="006A4AA7"/>
    <w:rsid w:val="006A60DE"/>
    <w:rsid w:val="006A72EB"/>
    <w:rsid w:val="006A7E5F"/>
    <w:rsid w:val="006B261B"/>
    <w:rsid w:val="006B2C90"/>
    <w:rsid w:val="006B6DD0"/>
    <w:rsid w:val="006C2770"/>
    <w:rsid w:val="006C2A8E"/>
    <w:rsid w:val="006C3A69"/>
    <w:rsid w:val="006C4EA6"/>
    <w:rsid w:val="006C55F0"/>
    <w:rsid w:val="006C5CB6"/>
    <w:rsid w:val="006C71C1"/>
    <w:rsid w:val="006D3C7D"/>
    <w:rsid w:val="006D3F78"/>
    <w:rsid w:val="006D53B5"/>
    <w:rsid w:val="006D5571"/>
    <w:rsid w:val="006D5D5F"/>
    <w:rsid w:val="006D698E"/>
    <w:rsid w:val="006D6FC3"/>
    <w:rsid w:val="006E1B95"/>
    <w:rsid w:val="006E2A8F"/>
    <w:rsid w:val="006E2ACF"/>
    <w:rsid w:val="006E41A7"/>
    <w:rsid w:val="006E7FC4"/>
    <w:rsid w:val="006F10A5"/>
    <w:rsid w:val="006F2EBA"/>
    <w:rsid w:val="006F306C"/>
    <w:rsid w:val="006F61B3"/>
    <w:rsid w:val="006F63A5"/>
    <w:rsid w:val="0070142B"/>
    <w:rsid w:val="0070175A"/>
    <w:rsid w:val="0070276E"/>
    <w:rsid w:val="00702F8F"/>
    <w:rsid w:val="007033AF"/>
    <w:rsid w:val="00703534"/>
    <w:rsid w:val="00703643"/>
    <w:rsid w:val="00706318"/>
    <w:rsid w:val="00706B8A"/>
    <w:rsid w:val="00711A36"/>
    <w:rsid w:val="0071346C"/>
    <w:rsid w:val="0071529C"/>
    <w:rsid w:val="00717203"/>
    <w:rsid w:val="007172AD"/>
    <w:rsid w:val="00717907"/>
    <w:rsid w:val="00720FD6"/>
    <w:rsid w:val="00721A48"/>
    <w:rsid w:val="00722B1B"/>
    <w:rsid w:val="007236B6"/>
    <w:rsid w:val="0072416F"/>
    <w:rsid w:val="00724258"/>
    <w:rsid w:val="00724C19"/>
    <w:rsid w:val="007266DF"/>
    <w:rsid w:val="007267E3"/>
    <w:rsid w:val="00726C30"/>
    <w:rsid w:val="00727C94"/>
    <w:rsid w:val="007314B7"/>
    <w:rsid w:val="00731EAE"/>
    <w:rsid w:val="00732951"/>
    <w:rsid w:val="007339A7"/>
    <w:rsid w:val="00733F6C"/>
    <w:rsid w:val="00734F84"/>
    <w:rsid w:val="00735033"/>
    <w:rsid w:val="00735328"/>
    <w:rsid w:val="00735861"/>
    <w:rsid w:val="0073610E"/>
    <w:rsid w:val="0073685B"/>
    <w:rsid w:val="00736CDE"/>
    <w:rsid w:val="0074707B"/>
    <w:rsid w:val="00747529"/>
    <w:rsid w:val="007505AE"/>
    <w:rsid w:val="00752142"/>
    <w:rsid w:val="007523F9"/>
    <w:rsid w:val="00753A39"/>
    <w:rsid w:val="0075445D"/>
    <w:rsid w:val="0075487E"/>
    <w:rsid w:val="00754BDE"/>
    <w:rsid w:val="007573E8"/>
    <w:rsid w:val="00760C4E"/>
    <w:rsid w:val="007618DD"/>
    <w:rsid w:val="00761C0C"/>
    <w:rsid w:val="00761F2F"/>
    <w:rsid w:val="0076321C"/>
    <w:rsid w:val="00763CB8"/>
    <w:rsid w:val="00765687"/>
    <w:rsid w:val="00765B1A"/>
    <w:rsid w:val="00766DE4"/>
    <w:rsid w:val="007674BA"/>
    <w:rsid w:val="00767B91"/>
    <w:rsid w:val="00770981"/>
    <w:rsid w:val="00771362"/>
    <w:rsid w:val="00774CA8"/>
    <w:rsid w:val="00777A2A"/>
    <w:rsid w:val="0078108C"/>
    <w:rsid w:val="00781A1A"/>
    <w:rsid w:val="00783046"/>
    <w:rsid w:val="007843F2"/>
    <w:rsid w:val="00785963"/>
    <w:rsid w:val="007869D0"/>
    <w:rsid w:val="00787E7D"/>
    <w:rsid w:val="00790BD2"/>
    <w:rsid w:val="00791513"/>
    <w:rsid w:val="007960B5"/>
    <w:rsid w:val="0079639C"/>
    <w:rsid w:val="007970A2"/>
    <w:rsid w:val="007A0A12"/>
    <w:rsid w:val="007A132D"/>
    <w:rsid w:val="007A2A4E"/>
    <w:rsid w:val="007A35A0"/>
    <w:rsid w:val="007A6C68"/>
    <w:rsid w:val="007A7E5E"/>
    <w:rsid w:val="007B0492"/>
    <w:rsid w:val="007B0D68"/>
    <w:rsid w:val="007B2142"/>
    <w:rsid w:val="007B251D"/>
    <w:rsid w:val="007B4F58"/>
    <w:rsid w:val="007B528D"/>
    <w:rsid w:val="007B6C88"/>
    <w:rsid w:val="007B77D1"/>
    <w:rsid w:val="007C10F0"/>
    <w:rsid w:val="007C193E"/>
    <w:rsid w:val="007C1CD9"/>
    <w:rsid w:val="007C279A"/>
    <w:rsid w:val="007C361D"/>
    <w:rsid w:val="007C4B84"/>
    <w:rsid w:val="007C5D47"/>
    <w:rsid w:val="007C663D"/>
    <w:rsid w:val="007C6736"/>
    <w:rsid w:val="007C7683"/>
    <w:rsid w:val="007C7C4A"/>
    <w:rsid w:val="007D004F"/>
    <w:rsid w:val="007D040C"/>
    <w:rsid w:val="007D0B38"/>
    <w:rsid w:val="007D402C"/>
    <w:rsid w:val="007D43CC"/>
    <w:rsid w:val="007D511B"/>
    <w:rsid w:val="007D5440"/>
    <w:rsid w:val="007D5F18"/>
    <w:rsid w:val="007E0A3D"/>
    <w:rsid w:val="007E3DBC"/>
    <w:rsid w:val="007E537B"/>
    <w:rsid w:val="007E6CCE"/>
    <w:rsid w:val="007E7A3A"/>
    <w:rsid w:val="007F0507"/>
    <w:rsid w:val="007F0742"/>
    <w:rsid w:val="007F0920"/>
    <w:rsid w:val="007F0DE4"/>
    <w:rsid w:val="007F1017"/>
    <w:rsid w:val="007F20FC"/>
    <w:rsid w:val="007F2DFC"/>
    <w:rsid w:val="007F3602"/>
    <w:rsid w:val="007F4A3F"/>
    <w:rsid w:val="007F4A61"/>
    <w:rsid w:val="007F61C2"/>
    <w:rsid w:val="00803D2E"/>
    <w:rsid w:val="00804555"/>
    <w:rsid w:val="00805142"/>
    <w:rsid w:val="008052AE"/>
    <w:rsid w:val="00806A25"/>
    <w:rsid w:val="00807A8B"/>
    <w:rsid w:val="00807D2F"/>
    <w:rsid w:val="00807DA9"/>
    <w:rsid w:val="008102F1"/>
    <w:rsid w:val="00810455"/>
    <w:rsid w:val="00811383"/>
    <w:rsid w:val="00812149"/>
    <w:rsid w:val="00812AEE"/>
    <w:rsid w:val="00812CAC"/>
    <w:rsid w:val="00814D9A"/>
    <w:rsid w:val="008166EF"/>
    <w:rsid w:val="00820B75"/>
    <w:rsid w:val="00821843"/>
    <w:rsid w:val="008219C7"/>
    <w:rsid w:val="008224CD"/>
    <w:rsid w:val="0082275A"/>
    <w:rsid w:val="00825206"/>
    <w:rsid w:val="00825751"/>
    <w:rsid w:val="008264EB"/>
    <w:rsid w:val="008267B0"/>
    <w:rsid w:val="00833A8C"/>
    <w:rsid w:val="00833B05"/>
    <w:rsid w:val="00833BE9"/>
    <w:rsid w:val="00834D41"/>
    <w:rsid w:val="008352F2"/>
    <w:rsid w:val="008362B4"/>
    <w:rsid w:val="00836F18"/>
    <w:rsid w:val="008405D9"/>
    <w:rsid w:val="00840CA2"/>
    <w:rsid w:val="0084374F"/>
    <w:rsid w:val="0084460A"/>
    <w:rsid w:val="008455A4"/>
    <w:rsid w:val="00847054"/>
    <w:rsid w:val="00847935"/>
    <w:rsid w:val="00847A87"/>
    <w:rsid w:val="00847DF5"/>
    <w:rsid w:val="0085074A"/>
    <w:rsid w:val="0085309D"/>
    <w:rsid w:val="00854BD9"/>
    <w:rsid w:val="008550CC"/>
    <w:rsid w:val="00855F33"/>
    <w:rsid w:val="00856897"/>
    <w:rsid w:val="00856A45"/>
    <w:rsid w:val="00856E9A"/>
    <w:rsid w:val="00856ED0"/>
    <w:rsid w:val="00857E3D"/>
    <w:rsid w:val="008601D0"/>
    <w:rsid w:val="0086075D"/>
    <w:rsid w:val="00860FBA"/>
    <w:rsid w:val="00861DF9"/>
    <w:rsid w:val="00862299"/>
    <w:rsid w:val="00862502"/>
    <w:rsid w:val="00865815"/>
    <w:rsid w:val="008660D4"/>
    <w:rsid w:val="0087010D"/>
    <w:rsid w:val="008704E9"/>
    <w:rsid w:val="008713B5"/>
    <w:rsid w:val="00871FA9"/>
    <w:rsid w:val="008728E9"/>
    <w:rsid w:val="00873CBD"/>
    <w:rsid w:val="008741BB"/>
    <w:rsid w:val="008747BB"/>
    <w:rsid w:val="0087600B"/>
    <w:rsid w:val="0087754A"/>
    <w:rsid w:val="008779E7"/>
    <w:rsid w:val="00881244"/>
    <w:rsid w:val="00882874"/>
    <w:rsid w:val="00882D5D"/>
    <w:rsid w:val="008832F9"/>
    <w:rsid w:val="00883787"/>
    <w:rsid w:val="00884534"/>
    <w:rsid w:val="00886CD2"/>
    <w:rsid w:val="00892779"/>
    <w:rsid w:val="00892A36"/>
    <w:rsid w:val="00893239"/>
    <w:rsid w:val="0089366E"/>
    <w:rsid w:val="008938C7"/>
    <w:rsid w:val="00894489"/>
    <w:rsid w:val="00895832"/>
    <w:rsid w:val="00895E60"/>
    <w:rsid w:val="008963A5"/>
    <w:rsid w:val="008A05EF"/>
    <w:rsid w:val="008A1314"/>
    <w:rsid w:val="008A2A41"/>
    <w:rsid w:val="008A3363"/>
    <w:rsid w:val="008A3371"/>
    <w:rsid w:val="008A3C3E"/>
    <w:rsid w:val="008A3FEF"/>
    <w:rsid w:val="008A46C6"/>
    <w:rsid w:val="008A79DE"/>
    <w:rsid w:val="008B0DDC"/>
    <w:rsid w:val="008B0DF7"/>
    <w:rsid w:val="008B101B"/>
    <w:rsid w:val="008B1757"/>
    <w:rsid w:val="008B4901"/>
    <w:rsid w:val="008B55B3"/>
    <w:rsid w:val="008B55B5"/>
    <w:rsid w:val="008B6C96"/>
    <w:rsid w:val="008B7D7E"/>
    <w:rsid w:val="008C2E43"/>
    <w:rsid w:val="008C3314"/>
    <w:rsid w:val="008C3998"/>
    <w:rsid w:val="008C6176"/>
    <w:rsid w:val="008C7ECB"/>
    <w:rsid w:val="008D169C"/>
    <w:rsid w:val="008D345E"/>
    <w:rsid w:val="008D4755"/>
    <w:rsid w:val="008D4C3D"/>
    <w:rsid w:val="008D66DA"/>
    <w:rsid w:val="008E0D3C"/>
    <w:rsid w:val="008E18A3"/>
    <w:rsid w:val="008E1B9E"/>
    <w:rsid w:val="008E2261"/>
    <w:rsid w:val="008E4B1A"/>
    <w:rsid w:val="008E52EF"/>
    <w:rsid w:val="008E559E"/>
    <w:rsid w:val="008E55AB"/>
    <w:rsid w:val="008E5C46"/>
    <w:rsid w:val="008F0669"/>
    <w:rsid w:val="008F0731"/>
    <w:rsid w:val="008F120A"/>
    <w:rsid w:val="008F27E0"/>
    <w:rsid w:val="008F48EB"/>
    <w:rsid w:val="008F4F0B"/>
    <w:rsid w:val="008F64D8"/>
    <w:rsid w:val="009002AE"/>
    <w:rsid w:val="009046C4"/>
    <w:rsid w:val="00904B1B"/>
    <w:rsid w:val="009062A5"/>
    <w:rsid w:val="00906E5C"/>
    <w:rsid w:val="00911272"/>
    <w:rsid w:val="009135D6"/>
    <w:rsid w:val="00914C77"/>
    <w:rsid w:val="00916FCC"/>
    <w:rsid w:val="00917BDD"/>
    <w:rsid w:val="00921383"/>
    <w:rsid w:val="0092369B"/>
    <w:rsid w:val="00924221"/>
    <w:rsid w:val="009260B6"/>
    <w:rsid w:val="00926E55"/>
    <w:rsid w:val="00932A46"/>
    <w:rsid w:val="009333BD"/>
    <w:rsid w:val="00933FF2"/>
    <w:rsid w:val="009401F0"/>
    <w:rsid w:val="009410DB"/>
    <w:rsid w:val="0094162B"/>
    <w:rsid w:val="00943D6F"/>
    <w:rsid w:val="00944AAD"/>
    <w:rsid w:val="00945869"/>
    <w:rsid w:val="00945C7F"/>
    <w:rsid w:val="00947E49"/>
    <w:rsid w:val="00950156"/>
    <w:rsid w:val="009510A2"/>
    <w:rsid w:val="00952387"/>
    <w:rsid w:val="00952C36"/>
    <w:rsid w:val="00953257"/>
    <w:rsid w:val="00953B60"/>
    <w:rsid w:val="00953DE5"/>
    <w:rsid w:val="00954A37"/>
    <w:rsid w:val="00955A20"/>
    <w:rsid w:val="009563A5"/>
    <w:rsid w:val="009623DC"/>
    <w:rsid w:val="00962CB9"/>
    <w:rsid w:val="009633D4"/>
    <w:rsid w:val="00964312"/>
    <w:rsid w:val="00964D16"/>
    <w:rsid w:val="00965080"/>
    <w:rsid w:val="00965938"/>
    <w:rsid w:val="00965B8A"/>
    <w:rsid w:val="00965BC6"/>
    <w:rsid w:val="009665AF"/>
    <w:rsid w:val="00966B8F"/>
    <w:rsid w:val="00966F81"/>
    <w:rsid w:val="009717AC"/>
    <w:rsid w:val="009776A1"/>
    <w:rsid w:val="00983766"/>
    <w:rsid w:val="00983E57"/>
    <w:rsid w:val="0098675D"/>
    <w:rsid w:val="00991384"/>
    <w:rsid w:val="00991B55"/>
    <w:rsid w:val="00992417"/>
    <w:rsid w:val="00994CFE"/>
    <w:rsid w:val="009957C4"/>
    <w:rsid w:val="00996B1A"/>
    <w:rsid w:val="00996C3A"/>
    <w:rsid w:val="009A0BAA"/>
    <w:rsid w:val="009A37F4"/>
    <w:rsid w:val="009A6341"/>
    <w:rsid w:val="009A665F"/>
    <w:rsid w:val="009A73E3"/>
    <w:rsid w:val="009A7F10"/>
    <w:rsid w:val="009B2488"/>
    <w:rsid w:val="009B2B93"/>
    <w:rsid w:val="009B3E26"/>
    <w:rsid w:val="009B4841"/>
    <w:rsid w:val="009B59E1"/>
    <w:rsid w:val="009B7602"/>
    <w:rsid w:val="009C0412"/>
    <w:rsid w:val="009C3F32"/>
    <w:rsid w:val="009C5900"/>
    <w:rsid w:val="009C6CEA"/>
    <w:rsid w:val="009C7B85"/>
    <w:rsid w:val="009D22A2"/>
    <w:rsid w:val="009D2EF3"/>
    <w:rsid w:val="009D5B91"/>
    <w:rsid w:val="009D6B33"/>
    <w:rsid w:val="009D7066"/>
    <w:rsid w:val="009D7088"/>
    <w:rsid w:val="009D792E"/>
    <w:rsid w:val="009E0DFE"/>
    <w:rsid w:val="009E1D3C"/>
    <w:rsid w:val="009E2822"/>
    <w:rsid w:val="009E2CAD"/>
    <w:rsid w:val="009E4C07"/>
    <w:rsid w:val="009E705A"/>
    <w:rsid w:val="009F1006"/>
    <w:rsid w:val="009F1FDD"/>
    <w:rsid w:val="009F2B49"/>
    <w:rsid w:val="009F419D"/>
    <w:rsid w:val="009F43DC"/>
    <w:rsid w:val="009F6208"/>
    <w:rsid w:val="009F628B"/>
    <w:rsid w:val="009F65D0"/>
    <w:rsid w:val="00A01184"/>
    <w:rsid w:val="00A01CA2"/>
    <w:rsid w:val="00A01E88"/>
    <w:rsid w:val="00A023AC"/>
    <w:rsid w:val="00A03D43"/>
    <w:rsid w:val="00A03D92"/>
    <w:rsid w:val="00A04380"/>
    <w:rsid w:val="00A04465"/>
    <w:rsid w:val="00A064EE"/>
    <w:rsid w:val="00A111B1"/>
    <w:rsid w:val="00A11CD0"/>
    <w:rsid w:val="00A1347F"/>
    <w:rsid w:val="00A13948"/>
    <w:rsid w:val="00A1555B"/>
    <w:rsid w:val="00A155C5"/>
    <w:rsid w:val="00A157A6"/>
    <w:rsid w:val="00A15D24"/>
    <w:rsid w:val="00A16AD8"/>
    <w:rsid w:val="00A21CF3"/>
    <w:rsid w:val="00A22490"/>
    <w:rsid w:val="00A23092"/>
    <w:rsid w:val="00A2429B"/>
    <w:rsid w:val="00A26741"/>
    <w:rsid w:val="00A27AEC"/>
    <w:rsid w:val="00A27D82"/>
    <w:rsid w:val="00A31277"/>
    <w:rsid w:val="00A320DB"/>
    <w:rsid w:val="00A35B7B"/>
    <w:rsid w:val="00A35D16"/>
    <w:rsid w:val="00A37BCD"/>
    <w:rsid w:val="00A42B0A"/>
    <w:rsid w:val="00A42DB1"/>
    <w:rsid w:val="00A43C59"/>
    <w:rsid w:val="00A44304"/>
    <w:rsid w:val="00A50085"/>
    <w:rsid w:val="00A500B5"/>
    <w:rsid w:val="00A50ECD"/>
    <w:rsid w:val="00A516D1"/>
    <w:rsid w:val="00A518F3"/>
    <w:rsid w:val="00A52729"/>
    <w:rsid w:val="00A53675"/>
    <w:rsid w:val="00A53A16"/>
    <w:rsid w:val="00A546CF"/>
    <w:rsid w:val="00A54C93"/>
    <w:rsid w:val="00A552EA"/>
    <w:rsid w:val="00A55D94"/>
    <w:rsid w:val="00A564D7"/>
    <w:rsid w:val="00A56B6A"/>
    <w:rsid w:val="00A5784D"/>
    <w:rsid w:val="00A578DC"/>
    <w:rsid w:val="00A61624"/>
    <w:rsid w:val="00A6655C"/>
    <w:rsid w:val="00A6725B"/>
    <w:rsid w:val="00A70605"/>
    <w:rsid w:val="00A7060B"/>
    <w:rsid w:val="00A73134"/>
    <w:rsid w:val="00A74A25"/>
    <w:rsid w:val="00A777B2"/>
    <w:rsid w:val="00A842D3"/>
    <w:rsid w:val="00A84AE8"/>
    <w:rsid w:val="00A8553D"/>
    <w:rsid w:val="00A867BE"/>
    <w:rsid w:val="00A86E8B"/>
    <w:rsid w:val="00A87164"/>
    <w:rsid w:val="00A93072"/>
    <w:rsid w:val="00A93953"/>
    <w:rsid w:val="00A959D8"/>
    <w:rsid w:val="00A95F38"/>
    <w:rsid w:val="00A967D8"/>
    <w:rsid w:val="00A969A6"/>
    <w:rsid w:val="00A974FD"/>
    <w:rsid w:val="00AA113D"/>
    <w:rsid w:val="00AA1305"/>
    <w:rsid w:val="00AA14F5"/>
    <w:rsid w:val="00AA180C"/>
    <w:rsid w:val="00AA68DC"/>
    <w:rsid w:val="00AA6C7D"/>
    <w:rsid w:val="00AA7FD6"/>
    <w:rsid w:val="00AB02E9"/>
    <w:rsid w:val="00AB042A"/>
    <w:rsid w:val="00AB05B4"/>
    <w:rsid w:val="00AB08AC"/>
    <w:rsid w:val="00AB2D34"/>
    <w:rsid w:val="00AB312C"/>
    <w:rsid w:val="00AB3430"/>
    <w:rsid w:val="00AB4A75"/>
    <w:rsid w:val="00AB4AD1"/>
    <w:rsid w:val="00AB655E"/>
    <w:rsid w:val="00AB7CFA"/>
    <w:rsid w:val="00AC5B48"/>
    <w:rsid w:val="00AC6F16"/>
    <w:rsid w:val="00AD13E4"/>
    <w:rsid w:val="00AD1B1F"/>
    <w:rsid w:val="00AD2628"/>
    <w:rsid w:val="00AD3416"/>
    <w:rsid w:val="00AD6502"/>
    <w:rsid w:val="00AD77E6"/>
    <w:rsid w:val="00AE19AF"/>
    <w:rsid w:val="00AE3571"/>
    <w:rsid w:val="00AE6437"/>
    <w:rsid w:val="00AF1053"/>
    <w:rsid w:val="00AF1315"/>
    <w:rsid w:val="00AF19BF"/>
    <w:rsid w:val="00AF2606"/>
    <w:rsid w:val="00AF2DC3"/>
    <w:rsid w:val="00AF3EDA"/>
    <w:rsid w:val="00B00ACD"/>
    <w:rsid w:val="00B02877"/>
    <w:rsid w:val="00B033E5"/>
    <w:rsid w:val="00B03A63"/>
    <w:rsid w:val="00B04A17"/>
    <w:rsid w:val="00B04B0B"/>
    <w:rsid w:val="00B05BD8"/>
    <w:rsid w:val="00B065A0"/>
    <w:rsid w:val="00B0700B"/>
    <w:rsid w:val="00B0762F"/>
    <w:rsid w:val="00B07FAC"/>
    <w:rsid w:val="00B117A8"/>
    <w:rsid w:val="00B12A79"/>
    <w:rsid w:val="00B17102"/>
    <w:rsid w:val="00B201A4"/>
    <w:rsid w:val="00B213A6"/>
    <w:rsid w:val="00B24DF6"/>
    <w:rsid w:val="00B33CD3"/>
    <w:rsid w:val="00B34DA3"/>
    <w:rsid w:val="00B34FE2"/>
    <w:rsid w:val="00B357D8"/>
    <w:rsid w:val="00B35EC3"/>
    <w:rsid w:val="00B37BFC"/>
    <w:rsid w:val="00B40358"/>
    <w:rsid w:val="00B41614"/>
    <w:rsid w:val="00B42851"/>
    <w:rsid w:val="00B42F80"/>
    <w:rsid w:val="00B435CB"/>
    <w:rsid w:val="00B43CD3"/>
    <w:rsid w:val="00B43E9E"/>
    <w:rsid w:val="00B46654"/>
    <w:rsid w:val="00B4706C"/>
    <w:rsid w:val="00B50DB8"/>
    <w:rsid w:val="00B53654"/>
    <w:rsid w:val="00B53905"/>
    <w:rsid w:val="00B53A28"/>
    <w:rsid w:val="00B54B5B"/>
    <w:rsid w:val="00B5562E"/>
    <w:rsid w:val="00B56936"/>
    <w:rsid w:val="00B57000"/>
    <w:rsid w:val="00B60939"/>
    <w:rsid w:val="00B60AFD"/>
    <w:rsid w:val="00B62715"/>
    <w:rsid w:val="00B634B5"/>
    <w:rsid w:val="00B65D5C"/>
    <w:rsid w:val="00B664DD"/>
    <w:rsid w:val="00B67FAE"/>
    <w:rsid w:val="00B71997"/>
    <w:rsid w:val="00B727FE"/>
    <w:rsid w:val="00B74770"/>
    <w:rsid w:val="00B750C6"/>
    <w:rsid w:val="00B7709A"/>
    <w:rsid w:val="00B77A5C"/>
    <w:rsid w:val="00B8028A"/>
    <w:rsid w:val="00B818A4"/>
    <w:rsid w:val="00B8276D"/>
    <w:rsid w:val="00B84117"/>
    <w:rsid w:val="00B85AA2"/>
    <w:rsid w:val="00B8649C"/>
    <w:rsid w:val="00B875BB"/>
    <w:rsid w:val="00B87F0A"/>
    <w:rsid w:val="00B87FD3"/>
    <w:rsid w:val="00B91E68"/>
    <w:rsid w:val="00B92D0B"/>
    <w:rsid w:val="00B93385"/>
    <w:rsid w:val="00B94945"/>
    <w:rsid w:val="00BA322D"/>
    <w:rsid w:val="00BA6ADB"/>
    <w:rsid w:val="00BA75FB"/>
    <w:rsid w:val="00BB0BDD"/>
    <w:rsid w:val="00BB2A73"/>
    <w:rsid w:val="00BB37FB"/>
    <w:rsid w:val="00BB4ACC"/>
    <w:rsid w:val="00BB5067"/>
    <w:rsid w:val="00BB703E"/>
    <w:rsid w:val="00BB7405"/>
    <w:rsid w:val="00BC00D9"/>
    <w:rsid w:val="00BC1EF0"/>
    <w:rsid w:val="00BC2A26"/>
    <w:rsid w:val="00BC2C93"/>
    <w:rsid w:val="00BC3631"/>
    <w:rsid w:val="00BC60D5"/>
    <w:rsid w:val="00BD01E2"/>
    <w:rsid w:val="00BD0A4C"/>
    <w:rsid w:val="00BD1DB0"/>
    <w:rsid w:val="00BD68A3"/>
    <w:rsid w:val="00BD6938"/>
    <w:rsid w:val="00BD6CF3"/>
    <w:rsid w:val="00BD6EDE"/>
    <w:rsid w:val="00BD7420"/>
    <w:rsid w:val="00BD7C10"/>
    <w:rsid w:val="00BE095B"/>
    <w:rsid w:val="00BE2180"/>
    <w:rsid w:val="00BE21F2"/>
    <w:rsid w:val="00BE30A7"/>
    <w:rsid w:val="00BE4275"/>
    <w:rsid w:val="00BF0F95"/>
    <w:rsid w:val="00BF2433"/>
    <w:rsid w:val="00BF28D7"/>
    <w:rsid w:val="00BF5BA2"/>
    <w:rsid w:val="00BF61C9"/>
    <w:rsid w:val="00BF6C94"/>
    <w:rsid w:val="00C00424"/>
    <w:rsid w:val="00C00632"/>
    <w:rsid w:val="00C01C3E"/>
    <w:rsid w:val="00C0211B"/>
    <w:rsid w:val="00C02D6A"/>
    <w:rsid w:val="00C03140"/>
    <w:rsid w:val="00C0327B"/>
    <w:rsid w:val="00C0437E"/>
    <w:rsid w:val="00C05323"/>
    <w:rsid w:val="00C06F97"/>
    <w:rsid w:val="00C1024D"/>
    <w:rsid w:val="00C10A13"/>
    <w:rsid w:val="00C11019"/>
    <w:rsid w:val="00C11ACA"/>
    <w:rsid w:val="00C12C14"/>
    <w:rsid w:val="00C12D52"/>
    <w:rsid w:val="00C1339B"/>
    <w:rsid w:val="00C13EE6"/>
    <w:rsid w:val="00C14A46"/>
    <w:rsid w:val="00C200AA"/>
    <w:rsid w:val="00C22DB8"/>
    <w:rsid w:val="00C237ED"/>
    <w:rsid w:val="00C24632"/>
    <w:rsid w:val="00C25418"/>
    <w:rsid w:val="00C25D9C"/>
    <w:rsid w:val="00C2778B"/>
    <w:rsid w:val="00C30D0C"/>
    <w:rsid w:val="00C314D0"/>
    <w:rsid w:val="00C31649"/>
    <w:rsid w:val="00C3231A"/>
    <w:rsid w:val="00C32CA2"/>
    <w:rsid w:val="00C342F4"/>
    <w:rsid w:val="00C35857"/>
    <w:rsid w:val="00C40385"/>
    <w:rsid w:val="00C41958"/>
    <w:rsid w:val="00C42F1D"/>
    <w:rsid w:val="00C43A4B"/>
    <w:rsid w:val="00C43CDC"/>
    <w:rsid w:val="00C43DDB"/>
    <w:rsid w:val="00C44F74"/>
    <w:rsid w:val="00C457DB"/>
    <w:rsid w:val="00C46737"/>
    <w:rsid w:val="00C475AA"/>
    <w:rsid w:val="00C4770A"/>
    <w:rsid w:val="00C47EA8"/>
    <w:rsid w:val="00C51741"/>
    <w:rsid w:val="00C52424"/>
    <w:rsid w:val="00C544AF"/>
    <w:rsid w:val="00C54F73"/>
    <w:rsid w:val="00C55287"/>
    <w:rsid w:val="00C606AF"/>
    <w:rsid w:val="00C65576"/>
    <w:rsid w:val="00C66165"/>
    <w:rsid w:val="00C66EAA"/>
    <w:rsid w:val="00C708D1"/>
    <w:rsid w:val="00C7151A"/>
    <w:rsid w:val="00C71F60"/>
    <w:rsid w:val="00C72241"/>
    <w:rsid w:val="00C72930"/>
    <w:rsid w:val="00C72DBD"/>
    <w:rsid w:val="00C748E8"/>
    <w:rsid w:val="00C74F2D"/>
    <w:rsid w:val="00C750C8"/>
    <w:rsid w:val="00C7560F"/>
    <w:rsid w:val="00C767CB"/>
    <w:rsid w:val="00C80929"/>
    <w:rsid w:val="00C80A0E"/>
    <w:rsid w:val="00C8213F"/>
    <w:rsid w:val="00C82BD1"/>
    <w:rsid w:val="00C837D9"/>
    <w:rsid w:val="00C840CD"/>
    <w:rsid w:val="00C8797A"/>
    <w:rsid w:val="00C900B8"/>
    <w:rsid w:val="00C90C71"/>
    <w:rsid w:val="00C917FD"/>
    <w:rsid w:val="00C931CF"/>
    <w:rsid w:val="00C938CF"/>
    <w:rsid w:val="00C9624D"/>
    <w:rsid w:val="00C969DA"/>
    <w:rsid w:val="00CA1763"/>
    <w:rsid w:val="00CA1DD8"/>
    <w:rsid w:val="00CA2C77"/>
    <w:rsid w:val="00CA2E46"/>
    <w:rsid w:val="00CA4243"/>
    <w:rsid w:val="00CA444F"/>
    <w:rsid w:val="00CA5245"/>
    <w:rsid w:val="00CA5683"/>
    <w:rsid w:val="00CA71F4"/>
    <w:rsid w:val="00CA7B09"/>
    <w:rsid w:val="00CB2928"/>
    <w:rsid w:val="00CB2F2A"/>
    <w:rsid w:val="00CB3A21"/>
    <w:rsid w:val="00CB4CE2"/>
    <w:rsid w:val="00CB5B1A"/>
    <w:rsid w:val="00CB6218"/>
    <w:rsid w:val="00CB6B22"/>
    <w:rsid w:val="00CB7A7F"/>
    <w:rsid w:val="00CB7F5F"/>
    <w:rsid w:val="00CC0EFF"/>
    <w:rsid w:val="00CC1AEC"/>
    <w:rsid w:val="00CC1B39"/>
    <w:rsid w:val="00CC5869"/>
    <w:rsid w:val="00CD086E"/>
    <w:rsid w:val="00CD3050"/>
    <w:rsid w:val="00CD31D0"/>
    <w:rsid w:val="00CD471F"/>
    <w:rsid w:val="00CD5994"/>
    <w:rsid w:val="00CD6ADC"/>
    <w:rsid w:val="00CE0ABF"/>
    <w:rsid w:val="00CE12EE"/>
    <w:rsid w:val="00CE2484"/>
    <w:rsid w:val="00CE36BE"/>
    <w:rsid w:val="00CE6274"/>
    <w:rsid w:val="00CF2808"/>
    <w:rsid w:val="00CF2B8D"/>
    <w:rsid w:val="00CF3539"/>
    <w:rsid w:val="00CF456B"/>
    <w:rsid w:val="00CF5A22"/>
    <w:rsid w:val="00CF7F09"/>
    <w:rsid w:val="00D0262E"/>
    <w:rsid w:val="00D028DA"/>
    <w:rsid w:val="00D05BE6"/>
    <w:rsid w:val="00D06390"/>
    <w:rsid w:val="00D0698F"/>
    <w:rsid w:val="00D06A72"/>
    <w:rsid w:val="00D079DD"/>
    <w:rsid w:val="00D07E13"/>
    <w:rsid w:val="00D110BD"/>
    <w:rsid w:val="00D1199D"/>
    <w:rsid w:val="00D11F3C"/>
    <w:rsid w:val="00D13675"/>
    <w:rsid w:val="00D141E1"/>
    <w:rsid w:val="00D16CD2"/>
    <w:rsid w:val="00D17D6C"/>
    <w:rsid w:val="00D21302"/>
    <w:rsid w:val="00D23F02"/>
    <w:rsid w:val="00D25E9F"/>
    <w:rsid w:val="00D26022"/>
    <w:rsid w:val="00D2754D"/>
    <w:rsid w:val="00D27B27"/>
    <w:rsid w:val="00D30A34"/>
    <w:rsid w:val="00D32B61"/>
    <w:rsid w:val="00D32DA9"/>
    <w:rsid w:val="00D3305B"/>
    <w:rsid w:val="00D33254"/>
    <w:rsid w:val="00D33BE9"/>
    <w:rsid w:val="00D341F3"/>
    <w:rsid w:val="00D34C92"/>
    <w:rsid w:val="00D357FF"/>
    <w:rsid w:val="00D36BC8"/>
    <w:rsid w:val="00D4049A"/>
    <w:rsid w:val="00D415E5"/>
    <w:rsid w:val="00D41B0C"/>
    <w:rsid w:val="00D424C7"/>
    <w:rsid w:val="00D43B2A"/>
    <w:rsid w:val="00D47575"/>
    <w:rsid w:val="00D47F1D"/>
    <w:rsid w:val="00D517E0"/>
    <w:rsid w:val="00D5190B"/>
    <w:rsid w:val="00D52398"/>
    <w:rsid w:val="00D66E60"/>
    <w:rsid w:val="00D7044F"/>
    <w:rsid w:val="00D70F16"/>
    <w:rsid w:val="00D71FC7"/>
    <w:rsid w:val="00D72E85"/>
    <w:rsid w:val="00D76A44"/>
    <w:rsid w:val="00D809D0"/>
    <w:rsid w:val="00D815EF"/>
    <w:rsid w:val="00D81DE8"/>
    <w:rsid w:val="00D8682F"/>
    <w:rsid w:val="00D91923"/>
    <w:rsid w:val="00D93443"/>
    <w:rsid w:val="00D93753"/>
    <w:rsid w:val="00D93C51"/>
    <w:rsid w:val="00D946AA"/>
    <w:rsid w:val="00D951BB"/>
    <w:rsid w:val="00DA011A"/>
    <w:rsid w:val="00DA0CC5"/>
    <w:rsid w:val="00DA1540"/>
    <w:rsid w:val="00DA182D"/>
    <w:rsid w:val="00DA3167"/>
    <w:rsid w:val="00DA38FB"/>
    <w:rsid w:val="00DA4DC3"/>
    <w:rsid w:val="00DA4EE8"/>
    <w:rsid w:val="00DA54F8"/>
    <w:rsid w:val="00DA72B9"/>
    <w:rsid w:val="00DA77A5"/>
    <w:rsid w:val="00DA77E0"/>
    <w:rsid w:val="00DA7C60"/>
    <w:rsid w:val="00DA7E33"/>
    <w:rsid w:val="00DB1E95"/>
    <w:rsid w:val="00DB405C"/>
    <w:rsid w:val="00DB484F"/>
    <w:rsid w:val="00DB4CAA"/>
    <w:rsid w:val="00DB5D58"/>
    <w:rsid w:val="00DB6C69"/>
    <w:rsid w:val="00DB7A4C"/>
    <w:rsid w:val="00DC04F6"/>
    <w:rsid w:val="00DC19C2"/>
    <w:rsid w:val="00DC1EA6"/>
    <w:rsid w:val="00DC21C0"/>
    <w:rsid w:val="00DC29FE"/>
    <w:rsid w:val="00DC3C57"/>
    <w:rsid w:val="00DC5501"/>
    <w:rsid w:val="00DD05C3"/>
    <w:rsid w:val="00DD2065"/>
    <w:rsid w:val="00DD22A3"/>
    <w:rsid w:val="00DD273C"/>
    <w:rsid w:val="00DD3F28"/>
    <w:rsid w:val="00DD4537"/>
    <w:rsid w:val="00DD4E15"/>
    <w:rsid w:val="00DD7203"/>
    <w:rsid w:val="00DE2DAE"/>
    <w:rsid w:val="00DE3138"/>
    <w:rsid w:val="00DE37F8"/>
    <w:rsid w:val="00DE4FCB"/>
    <w:rsid w:val="00DE7832"/>
    <w:rsid w:val="00DF18FC"/>
    <w:rsid w:val="00DF2485"/>
    <w:rsid w:val="00DF5D2B"/>
    <w:rsid w:val="00DF66E1"/>
    <w:rsid w:val="00E00759"/>
    <w:rsid w:val="00E009B9"/>
    <w:rsid w:val="00E00A30"/>
    <w:rsid w:val="00E00E8E"/>
    <w:rsid w:val="00E01BBF"/>
    <w:rsid w:val="00E0559B"/>
    <w:rsid w:val="00E05630"/>
    <w:rsid w:val="00E066AD"/>
    <w:rsid w:val="00E06DBB"/>
    <w:rsid w:val="00E10081"/>
    <w:rsid w:val="00E10149"/>
    <w:rsid w:val="00E107B2"/>
    <w:rsid w:val="00E125C8"/>
    <w:rsid w:val="00E13374"/>
    <w:rsid w:val="00E14574"/>
    <w:rsid w:val="00E14B14"/>
    <w:rsid w:val="00E15F25"/>
    <w:rsid w:val="00E160DD"/>
    <w:rsid w:val="00E16127"/>
    <w:rsid w:val="00E16372"/>
    <w:rsid w:val="00E17CC9"/>
    <w:rsid w:val="00E20E4D"/>
    <w:rsid w:val="00E20ED6"/>
    <w:rsid w:val="00E21358"/>
    <w:rsid w:val="00E2249B"/>
    <w:rsid w:val="00E22A0D"/>
    <w:rsid w:val="00E23106"/>
    <w:rsid w:val="00E2771E"/>
    <w:rsid w:val="00E30DF8"/>
    <w:rsid w:val="00E330A6"/>
    <w:rsid w:val="00E34948"/>
    <w:rsid w:val="00E34C3D"/>
    <w:rsid w:val="00E37529"/>
    <w:rsid w:val="00E37569"/>
    <w:rsid w:val="00E37590"/>
    <w:rsid w:val="00E40183"/>
    <w:rsid w:val="00E40B86"/>
    <w:rsid w:val="00E41E30"/>
    <w:rsid w:val="00E43D70"/>
    <w:rsid w:val="00E45278"/>
    <w:rsid w:val="00E45BF0"/>
    <w:rsid w:val="00E466F3"/>
    <w:rsid w:val="00E4749A"/>
    <w:rsid w:val="00E47AE6"/>
    <w:rsid w:val="00E47B2C"/>
    <w:rsid w:val="00E51560"/>
    <w:rsid w:val="00E530F3"/>
    <w:rsid w:val="00E54347"/>
    <w:rsid w:val="00E55424"/>
    <w:rsid w:val="00E55BB5"/>
    <w:rsid w:val="00E5608A"/>
    <w:rsid w:val="00E56D20"/>
    <w:rsid w:val="00E60830"/>
    <w:rsid w:val="00E60E92"/>
    <w:rsid w:val="00E611E9"/>
    <w:rsid w:val="00E613BC"/>
    <w:rsid w:val="00E619D0"/>
    <w:rsid w:val="00E6216E"/>
    <w:rsid w:val="00E64917"/>
    <w:rsid w:val="00E65E79"/>
    <w:rsid w:val="00E66307"/>
    <w:rsid w:val="00E66615"/>
    <w:rsid w:val="00E66BA2"/>
    <w:rsid w:val="00E66D0E"/>
    <w:rsid w:val="00E671B8"/>
    <w:rsid w:val="00E67416"/>
    <w:rsid w:val="00E701AD"/>
    <w:rsid w:val="00E718B6"/>
    <w:rsid w:val="00E71A78"/>
    <w:rsid w:val="00E7239A"/>
    <w:rsid w:val="00E723BA"/>
    <w:rsid w:val="00E72EF9"/>
    <w:rsid w:val="00E73581"/>
    <w:rsid w:val="00E73EC8"/>
    <w:rsid w:val="00E749E0"/>
    <w:rsid w:val="00E75908"/>
    <w:rsid w:val="00E75FCD"/>
    <w:rsid w:val="00E76CEB"/>
    <w:rsid w:val="00E8058D"/>
    <w:rsid w:val="00E814B8"/>
    <w:rsid w:val="00E8163D"/>
    <w:rsid w:val="00E81BBA"/>
    <w:rsid w:val="00E832B8"/>
    <w:rsid w:val="00E83339"/>
    <w:rsid w:val="00E833F7"/>
    <w:rsid w:val="00E83BDF"/>
    <w:rsid w:val="00E854A3"/>
    <w:rsid w:val="00E87A1D"/>
    <w:rsid w:val="00E926A5"/>
    <w:rsid w:val="00E949AA"/>
    <w:rsid w:val="00E95703"/>
    <w:rsid w:val="00E9654D"/>
    <w:rsid w:val="00EA17C3"/>
    <w:rsid w:val="00EA2CAA"/>
    <w:rsid w:val="00EA3864"/>
    <w:rsid w:val="00EA4CF2"/>
    <w:rsid w:val="00EB15B6"/>
    <w:rsid w:val="00EB3A03"/>
    <w:rsid w:val="00EB3ABC"/>
    <w:rsid w:val="00EB3D3E"/>
    <w:rsid w:val="00EB4916"/>
    <w:rsid w:val="00EB49BD"/>
    <w:rsid w:val="00EB6D9B"/>
    <w:rsid w:val="00EC00C9"/>
    <w:rsid w:val="00EC1742"/>
    <w:rsid w:val="00EC1E48"/>
    <w:rsid w:val="00EC240C"/>
    <w:rsid w:val="00EC2649"/>
    <w:rsid w:val="00EC2683"/>
    <w:rsid w:val="00ED3A8D"/>
    <w:rsid w:val="00ED52D6"/>
    <w:rsid w:val="00ED57EA"/>
    <w:rsid w:val="00ED72BE"/>
    <w:rsid w:val="00ED7536"/>
    <w:rsid w:val="00EE07D3"/>
    <w:rsid w:val="00EE083C"/>
    <w:rsid w:val="00EE22AF"/>
    <w:rsid w:val="00EE69B3"/>
    <w:rsid w:val="00EE74B8"/>
    <w:rsid w:val="00EF0171"/>
    <w:rsid w:val="00EF0362"/>
    <w:rsid w:val="00EF1913"/>
    <w:rsid w:val="00EF1B25"/>
    <w:rsid w:val="00EF27E0"/>
    <w:rsid w:val="00EF2872"/>
    <w:rsid w:val="00EF3185"/>
    <w:rsid w:val="00EF4747"/>
    <w:rsid w:val="00EF4BF8"/>
    <w:rsid w:val="00EF4EFC"/>
    <w:rsid w:val="00EF5C32"/>
    <w:rsid w:val="00EF6096"/>
    <w:rsid w:val="00EF6D15"/>
    <w:rsid w:val="00F00B81"/>
    <w:rsid w:val="00F00FF4"/>
    <w:rsid w:val="00F02253"/>
    <w:rsid w:val="00F032B0"/>
    <w:rsid w:val="00F03C2E"/>
    <w:rsid w:val="00F04A66"/>
    <w:rsid w:val="00F04E2F"/>
    <w:rsid w:val="00F0516C"/>
    <w:rsid w:val="00F0561D"/>
    <w:rsid w:val="00F060C9"/>
    <w:rsid w:val="00F067A2"/>
    <w:rsid w:val="00F075E4"/>
    <w:rsid w:val="00F079FA"/>
    <w:rsid w:val="00F1249B"/>
    <w:rsid w:val="00F1263A"/>
    <w:rsid w:val="00F14577"/>
    <w:rsid w:val="00F14AA6"/>
    <w:rsid w:val="00F15026"/>
    <w:rsid w:val="00F176AD"/>
    <w:rsid w:val="00F176EE"/>
    <w:rsid w:val="00F21404"/>
    <w:rsid w:val="00F21CB6"/>
    <w:rsid w:val="00F24740"/>
    <w:rsid w:val="00F24837"/>
    <w:rsid w:val="00F24E4F"/>
    <w:rsid w:val="00F25368"/>
    <w:rsid w:val="00F2575F"/>
    <w:rsid w:val="00F27565"/>
    <w:rsid w:val="00F310D4"/>
    <w:rsid w:val="00F31D5A"/>
    <w:rsid w:val="00F32A52"/>
    <w:rsid w:val="00F33313"/>
    <w:rsid w:val="00F33DE9"/>
    <w:rsid w:val="00F348DE"/>
    <w:rsid w:val="00F34C13"/>
    <w:rsid w:val="00F34D88"/>
    <w:rsid w:val="00F3619A"/>
    <w:rsid w:val="00F36220"/>
    <w:rsid w:val="00F36730"/>
    <w:rsid w:val="00F40AAA"/>
    <w:rsid w:val="00F40BA7"/>
    <w:rsid w:val="00F415CF"/>
    <w:rsid w:val="00F41BF5"/>
    <w:rsid w:val="00F42813"/>
    <w:rsid w:val="00F42FD1"/>
    <w:rsid w:val="00F43B35"/>
    <w:rsid w:val="00F46CB6"/>
    <w:rsid w:val="00F4757B"/>
    <w:rsid w:val="00F47756"/>
    <w:rsid w:val="00F47DE8"/>
    <w:rsid w:val="00F50C85"/>
    <w:rsid w:val="00F526A6"/>
    <w:rsid w:val="00F542C1"/>
    <w:rsid w:val="00F55E73"/>
    <w:rsid w:val="00F55EDA"/>
    <w:rsid w:val="00F565B5"/>
    <w:rsid w:val="00F57832"/>
    <w:rsid w:val="00F60092"/>
    <w:rsid w:val="00F63553"/>
    <w:rsid w:val="00F65F4B"/>
    <w:rsid w:val="00F663EC"/>
    <w:rsid w:val="00F6641E"/>
    <w:rsid w:val="00F70C9D"/>
    <w:rsid w:val="00F72CAD"/>
    <w:rsid w:val="00F7401E"/>
    <w:rsid w:val="00F74CD9"/>
    <w:rsid w:val="00F766D0"/>
    <w:rsid w:val="00F80A7B"/>
    <w:rsid w:val="00F80E5D"/>
    <w:rsid w:val="00F83BA1"/>
    <w:rsid w:val="00F851CE"/>
    <w:rsid w:val="00F865D8"/>
    <w:rsid w:val="00F86DE9"/>
    <w:rsid w:val="00F87C3C"/>
    <w:rsid w:val="00F900A9"/>
    <w:rsid w:val="00F91219"/>
    <w:rsid w:val="00F93E32"/>
    <w:rsid w:val="00F9427E"/>
    <w:rsid w:val="00F95253"/>
    <w:rsid w:val="00F95B4C"/>
    <w:rsid w:val="00F97A78"/>
    <w:rsid w:val="00FA08C2"/>
    <w:rsid w:val="00FA0B20"/>
    <w:rsid w:val="00FA24E7"/>
    <w:rsid w:val="00FA2A59"/>
    <w:rsid w:val="00FA460A"/>
    <w:rsid w:val="00FA5034"/>
    <w:rsid w:val="00FA54A7"/>
    <w:rsid w:val="00FA5FF0"/>
    <w:rsid w:val="00FA6301"/>
    <w:rsid w:val="00FB2346"/>
    <w:rsid w:val="00FB2FCB"/>
    <w:rsid w:val="00FB5F91"/>
    <w:rsid w:val="00FC1074"/>
    <w:rsid w:val="00FC109D"/>
    <w:rsid w:val="00FC1768"/>
    <w:rsid w:val="00FC1884"/>
    <w:rsid w:val="00FC20C7"/>
    <w:rsid w:val="00FC2553"/>
    <w:rsid w:val="00FC371D"/>
    <w:rsid w:val="00FC5F0B"/>
    <w:rsid w:val="00FC6B96"/>
    <w:rsid w:val="00FC7BD3"/>
    <w:rsid w:val="00FD1B8D"/>
    <w:rsid w:val="00FD1E3B"/>
    <w:rsid w:val="00FD2100"/>
    <w:rsid w:val="00FD436C"/>
    <w:rsid w:val="00FD446D"/>
    <w:rsid w:val="00FD6344"/>
    <w:rsid w:val="00FD6394"/>
    <w:rsid w:val="00FD6824"/>
    <w:rsid w:val="00FE0E6C"/>
    <w:rsid w:val="00FE3F52"/>
    <w:rsid w:val="00FE5DDE"/>
    <w:rsid w:val="00FE70C3"/>
    <w:rsid w:val="00FF18FC"/>
    <w:rsid w:val="00FF3DCF"/>
    <w:rsid w:val="00FF492C"/>
    <w:rsid w:val="00FF4A21"/>
    <w:rsid w:val="00FF5392"/>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8502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434176"/>
    <w:pPr>
      <w:jc w:val="left"/>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B74770"/>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C0211B"/>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C0211B"/>
    <w:rPr>
      <w:rFonts w:ascii="Arial Narrow" w:eastAsiaTheme="minorHAnsi" w:hAnsi="Arial Narrow" w:cstheme="minorBidi"/>
      <w:szCs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iPriority w:val="99"/>
    <w:unhideWhenUsed/>
    <w:rsid w:val="00C0211B"/>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uiPriority w:val="99"/>
    <w:rsid w:val="00C0211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C0211B"/>
    <w:rPr>
      <w:vertAlign w:val="superscript"/>
    </w:rPr>
  </w:style>
  <w:style w:type="paragraph" w:customStyle="1" w:styleId="MainBodyText">
    <w:name w:val="Main Body Text"/>
    <w:basedOn w:val="Normal"/>
    <w:link w:val="MainBodyTextChar"/>
    <w:rsid w:val="009F419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9F419D"/>
    <w:rPr>
      <w:rFonts w:ascii="Arial" w:hAnsi="Arial"/>
      <w:sz w:val="22"/>
      <w:szCs w:val="22"/>
    </w:rPr>
  </w:style>
  <w:style w:type="paragraph" w:customStyle="1" w:styleId="Default">
    <w:name w:val="Default"/>
    <w:rsid w:val="009F419D"/>
    <w:pPr>
      <w:autoSpaceDE w:val="0"/>
      <w:autoSpaceDN w:val="0"/>
      <w:adjustRightInd w:val="0"/>
    </w:pPr>
    <w:rPr>
      <w:rFonts w:ascii="Arial" w:eastAsia="SimSun" w:hAnsi="Arial" w:cs="Arial"/>
      <w:color w:val="000000"/>
      <w:sz w:val="24"/>
      <w:szCs w:val="24"/>
    </w:rPr>
  </w:style>
  <w:style w:type="paragraph" w:customStyle="1" w:styleId="TableText1">
    <w:name w:val="TableText"/>
    <w:basedOn w:val="Normal"/>
    <w:qFormat/>
    <w:rsid w:val="009F419D"/>
    <w:pPr>
      <w:widowControl/>
      <w:spacing w:before="60" w:after="60"/>
      <w:jc w:val="left"/>
    </w:pPr>
    <w:rPr>
      <w:rFonts w:ascii="Arial" w:hAnsi="Arial" w:cs="Times New Roman"/>
      <w:snapToGrid/>
      <w:sz w:val="18"/>
      <w:lang w:eastAsia="en-AU"/>
    </w:rPr>
  </w:style>
  <w:style w:type="paragraph" w:customStyle="1" w:styleId="TextUnderTable">
    <w:name w:val="Text Under Table"/>
    <w:basedOn w:val="Normal"/>
    <w:qFormat/>
    <w:rsid w:val="009F419D"/>
    <w:pPr>
      <w:widowControl/>
      <w:spacing w:before="120" w:after="120" w:line="276" w:lineRule="auto"/>
      <w:contextualSpacing/>
      <w:jc w:val="left"/>
    </w:pPr>
    <w:rPr>
      <w:rFonts w:ascii="Arial" w:hAnsi="Arial" w:cs="Times New Roman"/>
      <w:i/>
      <w:snapToGrid/>
      <w:sz w:val="16"/>
      <w:lang w:eastAsia="en-AU"/>
    </w:rPr>
  </w:style>
  <w:style w:type="paragraph" w:customStyle="1" w:styleId="xmsonormal">
    <w:name w:val="x_msonormal"/>
    <w:basedOn w:val="Normal"/>
    <w:rsid w:val="00337C67"/>
    <w:pPr>
      <w:widowControl/>
      <w:jc w:val="left"/>
    </w:pPr>
    <w:rPr>
      <w:rFonts w:ascii="Times New Roman" w:eastAsiaTheme="minorEastAsia" w:hAnsi="Times New Roman" w:cs="Times New Roman"/>
      <w:snapToGrid/>
      <w:szCs w:val="24"/>
      <w:lang w:eastAsia="zh-CN"/>
    </w:rPr>
  </w:style>
  <w:style w:type="paragraph" w:customStyle="1" w:styleId="LOFHeading">
    <w:name w:val="L.O.F Heading"/>
    <w:basedOn w:val="Normal"/>
    <w:next w:val="Normal"/>
    <w:rsid w:val="000E2E5C"/>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Heading">
    <w:name w:val="Table Text Heading"/>
    <w:basedOn w:val="Normal"/>
    <w:rsid w:val="000E2E5C"/>
    <w:pPr>
      <w:widowControl/>
      <w:spacing w:before="60" w:after="60"/>
      <w:jc w:val="center"/>
    </w:pPr>
    <w:rPr>
      <w:rFonts w:ascii="Arial Bold" w:hAnsi="Arial Bold" w:cs="Times New Roman"/>
      <w:b/>
      <w:snapToGrid/>
      <w:sz w:val="18"/>
      <w:szCs w:val="20"/>
      <w:lang w:eastAsia="en-AU"/>
    </w:rPr>
  </w:style>
  <w:style w:type="paragraph" w:customStyle="1" w:styleId="TableBullet">
    <w:name w:val="Table Bullet"/>
    <w:basedOn w:val="TableText0"/>
    <w:qFormat/>
    <w:rsid w:val="000E2E5C"/>
    <w:pPr>
      <w:keepNext w:val="0"/>
      <w:numPr>
        <w:numId w:val="12"/>
      </w:numPr>
      <w:spacing w:before="60" w:after="60"/>
    </w:pPr>
    <w:rPr>
      <w:rFonts w:ascii="Arial" w:hAnsi="Arial"/>
      <w:sz w:val="18"/>
    </w:rPr>
  </w:style>
  <w:style w:type="paragraph" w:customStyle="1" w:styleId="NormalBullets">
    <w:name w:val="Normal Bullets"/>
    <w:basedOn w:val="Normal"/>
    <w:uiPriority w:val="3"/>
    <w:qFormat/>
    <w:rsid w:val="00E66307"/>
    <w:pPr>
      <w:widowControl/>
      <w:numPr>
        <w:numId w:val="20"/>
      </w:numPr>
      <w:spacing w:after="240" w:line="276" w:lineRule="auto"/>
      <w:contextualSpacing/>
      <w:jc w:val="left"/>
    </w:pPr>
    <w:rPr>
      <w:rFonts w:ascii="Sabon" w:eastAsiaTheme="majorEastAsia" w:hAnsi="Sabon" w:cstheme="majorBidi"/>
      <w:snapToGrid/>
      <w:sz w:val="22"/>
      <w:lang w:bidi="en-US"/>
    </w:rPr>
  </w:style>
  <w:style w:type="paragraph" w:customStyle="1" w:styleId="V50Instructions">
    <w:name w:val="V5.0 Instructions"/>
    <w:basedOn w:val="Normal"/>
    <w:link w:val="V50InstructionsChar"/>
    <w:qFormat/>
    <w:rsid w:val="00E66307"/>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66307"/>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E66307"/>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E66307"/>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E66307"/>
    <w:rPr>
      <w:rFonts w:ascii="Arial Narrow" w:hAnsi="Arial Narrow"/>
      <w:sz w:val="20"/>
    </w:rPr>
  </w:style>
  <w:style w:type="paragraph" w:customStyle="1" w:styleId="V50Tablenote">
    <w:name w:val="V5.0 Tablenote"/>
    <w:basedOn w:val="Normal"/>
    <w:link w:val="V50TablenoteChar"/>
    <w:qFormat/>
    <w:rsid w:val="00E66307"/>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E66307"/>
    <w:rPr>
      <w:rFonts w:asciiTheme="minorHAnsi" w:eastAsiaTheme="minorHAnsi" w:hAnsiTheme="minorHAnsi" w:cstheme="minorBidi"/>
      <w:sz w:val="18"/>
      <w:szCs w:val="18"/>
      <w:lang w:val="en-US" w:eastAsia="en-US"/>
    </w:rPr>
  </w:style>
  <w:style w:type="table" w:customStyle="1" w:styleId="TableGrid1">
    <w:name w:val="Table Grid1"/>
    <w:basedOn w:val="TableNormal"/>
    <w:next w:val="TableGrid"/>
    <w:uiPriority w:val="59"/>
    <w:rsid w:val="00E6630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E66307"/>
    <w:pPr>
      <w:widowControl/>
      <w:numPr>
        <w:numId w:val="21"/>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E66307"/>
    <w:pPr>
      <w:numPr>
        <w:ilvl w:val="2"/>
      </w:numPr>
    </w:pPr>
  </w:style>
  <w:style w:type="paragraph" w:customStyle="1" w:styleId="ListBulletlvl4">
    <w:name w:val="List Bullet lvl 4"/>
    <w:basedOn w:val="ListBullet"/>
    <w:qFormat/>
    <w:rsid w:val="00E66307"/>
    <w:pPr>
      <w:numPr>
        <w:ilvl w:val="3"/>
      </w:numPr>
    </w:pPr>
  </w:style>
  <w:style w:type="paragraph" w:customStyle="1" w:styleId="ListBulletlvl5">
    <w:name w:val="List Bullet lvl 5"/>
    <w:basedOn w:val="ListBullet"/>
    <w:qFormat/>
    <w:rsid w:val="00E66307"/>
    <w:pPr>
      <w:numPr>
        <w:ilvl w:val="4"/>
      </w:numPr>
    </w:pPr>
  </w:style>
  <w:style w:type="paragraph" w:customStyle="1" w:styleId="ListBulletlvl6">
    <w:name w:val="List Bullet lvl 6"/>
    <w:basedOn w:val="ListBullet"/>
    <w:qFormat/>
    <w:rsid w:val="00E66307"/>
    <w:pPr>
      <w:numPr>
        <w:ilvl w:val="5"/>
      </w:numPr>
    </w:pPr>
  </w:style>
  <w:style w:type="paragraph" w:customStyle="1" w:styleId="ListBulletlvl7">
    <w:name w:val="List Bullet lvl 7"/>
    <w:basedOn w:val="ListBullet"/>
    <w:qFormat/>
    <w:rsid w:val="00E66307"/>
    <w:pPr>
      <w:numPr>
        <w:ilvl w:val="6"/>
      </w:numPr>
    </w:pPr>
  </w:style>
  <w:style w:type="paragraph" w:customStyle="1" w:styleId="ListBulletlvl8">
    <w:name w:val="List Bullet lvl 8"/>
    <w:basedOn w:val="ListBullet"/>
    <w:qFormat/>
    <w:rsid w:val="00E66307"/>
    <w:pPr>
      <w:numPr>
        <w:ilvl w:val="7"/>
      </w:numPr>
    </w:pPr>
  </w:style>
  <w:style w:type="paragraph" w:customStyle="1" w:styleId="ListBulletlvl9">
    <w:name w:val="List Bullet lvl 9"/>
    <w:basedOn w:val="ListBullet"/>
    <w:qFormat/>
    <w:rsid w:val="00E66307"/>
    <w:pPr>
      <w:numPr>
        <w:ilvl w:val="8"/>
      </w:numPr>
    </w:pPr>
  </w:style>
  <w:style w:type="character" w:customStyle="1" w:styleId="m5207394339240417699msocommentreference">
    <w:name w:val="m_5207394339240417699msocommentreference"/>
    <w:basedOn w:val="DefaultParagraphFont"/>
    <w:rsid w:val="00C544AF"/>
  </w:style>
  <w:style w:type="paragraph" w:styleId="PlainText">
    <w:name w:val="Plain Text"/>
    <w:basedOn w:val="Normal"/>
    <w:link w:val="PlainTextChar"/>
    <w:uiPriority w:val="99"/>
    <w:rsid w:val="008938C7"/>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938C7"/>
    <w:rPr>
      <w:rFonts w:ascii="Courier New" w:hAnsi="Courier New"/>
    </w:rPr>
  </w:style>
  <w:style w:type="paragraph" w:styleId="EndnoteText">
    <w:name w:val="endnote text"/>
    <w:basedOn w:val="Normal"/>
    <w:link w:val="EndnoteTextChar"/>
    <w:semiHidden/>
    <w:unhideWhenUsed/>
    <w:rsid w:val="00C4770A"/>
    <w:rPr>
      <w:sz w:val="20"/>
      <w:szCs w:val="20"/>
    </w:rPr>
  </w:style>
  <w:style w:type="character" w:customStyle="1" w:styleId="EndnoteTextChar">
    <w:name w:val="Endnote Text Char"/>
    <w:basedOn w:val="DefaultParagraphFont"/>
    <w:link w:val="EndnoteText"/>
    <w:semiHidden/>
    <w:rsid w:val="00C4770A"/>
    <w:rPr>
      <w:rFonts w:ascii="Calibri" w:hAnsi="Calibri" w:cs="Arial"/>
      <w:snapToGrid w:val="0"/>
      <w:lang w:eastAsia="en-US"/>
    </w:rPr>
  </w:style>
  <w:style w:type="character" w:styleId="EndnoteReference">
    <w:name w:val="endnote reference"/>
    <w:basedOn w:val="DefaultParagraphFont"/>
    <w:semiHidden/>
    <w:unhideWhenUsed/>
    <w:rsid w:val="00C4770A"/>
    <w:rPr>
      <w:vertAlign w:val="superscript"/>
    </w:rPr>
  </w:style>
  <w:style w:type="paragraph" w:customStyle="1" w:styleId="Style1">
    <w:name w:val="Style1"/>
    <w:basedOn w:val="PBACHeading1"/>
    <w:link w:val="Style1Char"/>
    <w:qFormat/>
    <w:rsid w:val="00434176"/>
    <w:pPr>
      <w:keepNext/>
    </w:pPr>
  </w:style>
  <w:style w:type="character" w:customStyle="1" w:styleId="PBACHeading1Char">
    <w:name w:val="PBAC Heading 1 Char"/>
    <w:basedOn w:val="DefaultParagraphFont"/>
    <w:link w:val="PBACHeading1"/>
    <w:rsid w:val="00434176"/>
    <w:rPr>
      <w:rFonts w:ascii="Calibri" w:hAnsi="Calibri" w:cs="Arial"/>
      <w:b/>
      <w:snapToGrid w:val="0"/>
      <w:sz w:val="32"/>
      <w:szCs w:val="22"/>
      <w:lang w:eastAsia="en-US"/>
    </w:rPr>
  </w:style>
  <w:style w:type="character" w:customStyle="1" w:styleId="Style1Char">
    <w:name w:val="Style1 Char"/>
    <w:basedOn w:val="PBACHeading1Char"/>
    <w:link w:val="Style1"/>
    <w:rsid w:val="00434176"/>
    <w:rPr>
      <w:rFonts w:ascii="Calibri" w:hAnsi="Calibri" w:cs="Arial"/>
      <w:b/>
      <w:snapToGrid w:val="0"/>
      <w:sz w:val="32"/>
      <w:szCs w:val="22"/>
      <w:lang w:eastAsia="en-US"/>
    </w:rPr>
  </w:style>
  <w:style w:type="character" w:customStyle="1" w:styleId="Heading1Char">
    <w:name w:val="Heading 1 Char"/>
    <w:basedOn w:val="DefaultParagraphFont"/>
    <w:link w:val="Heading1"/>
    <w:uiPriority w:val="1"/>
    <w:rsid w:val="00C22DB8"/>
    <w:rPr>
      <w:rFonts w:ascii="Calibri" w:hAnsi="Calibri" w:cs="Arial"/>
      <w:b/>
      <w:snapToGrid w:val="0"/>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8502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434176"/>
    <w:pPr>
      <w:jc w:val="left"/>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B74770"/>
    <w:pPr>
      <w:keepNext/>
      <w:widowControl/>
      <w:spacing w:after="60"/>
      <w:jc w:val="left"/>
    </w:pPr>
    <w:rPr>
      <w:rFonts w:ascii="Arial Narrow" w:eastAsiaTheme="minorHAnsi" w:hAnsi="Arial Narrow" w:cstheme="minorBidi"/>
      <w:b/>
      <w:snapToGrid/>
      <w:sz w:val="20"/>
    </w:rPr>
  </w:style>
  <w:style w:type="paragraph" w:customStyle="1" w:styleId="TableText0">
    <w:name w:val="Table Text"/>
    <w:basedOn w:val="Normal"/>
    <w:link w:val="TableTextChar0"/>
    <w:qFormat/>
    <w:rsid w:val="00C0211B"/>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rsid w:val="00C0211B"/>
    <w:rPr>
      <w:rFonts w:ascii="Arial Narrow" w:eastAsiaTheme="minorHAnsi" w:hAnsi="Arial Narrow" w:cstheme="minorBidi"/>
      <w:szCs w:val="22"/>
      <w:lang w:eastAsia="en-US"/>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
    <w:basedOn w:val="Normal"/>
    <w:link w:val="FootnoteTextChar"/>
    <w:uiPriority w:val="99"/>
    <w:unhideWhenUsed/>
    <w:rsid w:val="00C0211B"/>
    <w:pPr>
      <w:widowControl/>
      <w:jc w:val="left"/>
    </w:pPr>
    <w:rPr>
      <w:rFonts w:asciiTheme="minorHAnsi" w:eastAsiaTheme="minorHAnsi" w:hAnsiTheme="minorHAnsi" w:cstheme="minorBidi"/>
      <w:snapToGrid/>
      <w:sz w:val="18"/>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uiPriority w:val="99"/>
    <w:rsid w:val="00C0211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C0211B"/>
    <w:rPr>
      <w:vertAlign w:val="superscript"/>
    </w:rPr>
  </w:style>
  <w:style w:type="paragraph" w:customStyle="1" w:styleId="MainBodyText">
    <w:name w:val="Main Body Text"/>
    <w:basedOn w:val="Normal"/>
    <w:link w:val="MainBodyTextChar"/>
    <w:rsid w:val="009F419D"/>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9F419D"/>
    <w:rPr>
      <w:rFonts w:ascii="Arial" w:hAnsi="Arial"/>
      <w:sz w:val="22"/>
      <w:szCs w:val="22"/>
    </w:rPr>
  </w:style>
  <w:style w:type="paragraph" w:customStyle="1" w:styleId="Default">
    <w:name w:val="Default"/>
    <w:rsid w:val="009F419D"/>
    <w:pPr>
      <w:autoSpaceDE w:val="0"/>
      <w:autoSpaceDN w:val="0"/>
      <w:adjustRightInd w:val="0"/>
    </w:pPr>
    <w:rPr>
      <w:rFonts w:ascii="Arial" w:eastAsia="SimSun" w:hAnsi="Arial" w:cs="Arial"/>
      <w:color w:val="000000"/>
      <w:sz w:val="24"/>
      <w:szCs w:val="24"/>
    </w:rPr>
  </w:style>
  <w:style w:type="paragraph" w:customStyle="1" w:styleId="TableText1">
    <w:name w:val="TableText"/>
    <w:basedOn w:val="Normal"/>
    <w:qFormat/>
    <w:rsid w:val="009F419D"/>
    <w:pPr>
      <w:widowControl/>
      <w:spacing w:before="60" w:after="60"/>
      <w:jc w:val="left"/>
    </w:pPr>
    <w:rPr>
      <w:rFonts w:ascii="Arial" w:hAnsi="Arial" w:cs="Times New Roman"/>
      <w:snapToGrid/>
      <w:sz w:val="18"/>
      <w:lang w:eastAsia="en-AU"/>
    </w:rPr>
  </w:style>
  <w:style w:type="paragraph" w:customStyle="1" w:styleId="TextUnderTable">
    <w:name w:val="Text Under Table"/>
    <w:basedOn w:val="Normal"/>
    <w:qFormat/>
    <w:rsid w:val="009F419D"/>
    <w:pPr>
      <w:widowControl/>
      <w:spacing w:before="120" w:after="120" w:line="276" w:lineRule="auto"/>
      <w:contextualSpacing/>
      <w:jc w:val="left"/>
    </w:pPr>
    <w:rPr>
      <w:rFonts w:ascii="Arial" w:hAnsi="Arial" w:cs="Times New Roman"/>
      <w:i/>
      <w:snapToGrid/>
      <w:sz w:val="16"/>
      <w:lang w:eastAsia="en-AU"/>
    </w:rPr>
  </w:style>
  <w:style w:type="paragraph" w:customStyle="1" w:styleId="xmsonormal">
    <w:name w:val="x_msonormal"/>
    <w:basedOn w:val="Normal"/>
    <w:rsid w:val="00337C67"/>
    <w:pPr>
      <w:widowControl/>
      <w:jc w:val="left"/>
    </w:pPr>
    <w:rPr>
      <w:rFonts w:ascii="Times New Roman" w:eastAsiaTheme="minorEastAsia" w:hAnsi="Times New Roman" w:cs="Times New Roman"/>
      <w:snapToGrid/>
      <w:szCs w:val="24"/>
      <w:lang w:eastAsia="zh-CN"/>
    </w:rPr>
  </w:style>
  <w:style w:type="paragraph" w:customStyle="1" w:styleId="LOFHeading">
    <w:name w:val="L.O.F Heading"/>
    <w:basedOn w:val="Normal"/>
    <w:next w:val="Normal"/>
    <w:rsid w:val="000E2E5C"/>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Heading">
    <w:name w:val="Table Text Heading"/>
    <w:basedOn w:val="Normal"/>
    <w:rsid w:val="000E2E5C"/>
    <w:pPr>
      <w:widowControl/>
      <w:spacing w:before="60" w:after="60"/>
      <w:jc w:val="center"/>
    </w:pPr>
    <w:rPr>
      <w:rFonts w:ascii="Arial Bold" w:hAnsi="Arial Bold" w:cs="Times New Roman"/>
      <w:b/>
      <w:snapToGrid/>
      <w:sz w:val="18"/>
      <w:szCs w:val="20"/>
      <w:lang w:eastAsia="en-AU"/>
    </w:rPr>
  </w:style>
  <w:style w:type="paragraph" w:customStyle="1" w:styleId="TableBullet">
    <w:name w:val="Table Bullet"/>
    <w:basedOn w:val="TableText0"/>
    <w:qFormat/>
    <w:rsid w:val="000E2E5C"/>
    <w:pPr>
      <w:keepNext w:val="0"/>
      <w:numPr>
        <w:numId w:val="12"/>
      </w:numPr>
      <w:spacing w:before="60" w:after="60"/>
    </w:pPr>
    <w:rPr>
      <w:rFonts w:ascii="Arial" w:hAnsi="Arial"/>
      <w:sz w:val="18"/>
    </w:rPr>
  </w:style>
  <w:style w:type="paragraph" w:customStyle="1" w:styleId="NormalBullets">
    <w:name w:val="Normal Bullets"/>
    <w:basedOn w:val="Normal"/>
    <w:uiPriority w:val="3"/>
    <w:qFormat/>
    <w:rsid w:val="00E66307"/>
    <w:pPr>
      <w:widowControl/>
      <w:numPr>
        <w:numId w:val="20"/>
      </w:numPr>
      <w:spacing w:after="240" w:line="276" w:lineRule="auto"/>
      <w:contextualSpacing/>
      <w:jc w:val="left"/>
    </w:pPr>
    <w:rPr>
      <w:rFonts w:ascii="Sabon" w:eastAsiaTheme="majorEastAsia" w:hAnsi="Sabon" w:cstheme="majorBidi"/>
      <w:snapToGrid/>
      <w:sz w:val="22"/>
      <w:lang w:bidi="en-US"/>
    </w:rPr>
  </w:style>
  <w:style w:type="paragraph" w:customStyle="1" w:styleId="V50Instructions">
    <w:name w:val="V5.0 Instructions"/>
    <w:basedOn w:val="Normal"/>
    <w:link w:val="V50InstructionsChar"/>
    <w:qFormat/>
    <w:rsid w:val="00E66307"/>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66307"/>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E66307"/>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E66307"/>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E66307"/>
    <w:rPr>
      <w:rFonts w:ascii="Arial Narrow" w:hAnsi="Arial Narrow"/>
      <w:sz w:val="20"/>
    </w:rPr>
  </w:style>
  <w:style w:type="paragraph" w:customStyle="1" w:styleId="V50Tablenote">
    <w:name w:val="V5.0 Tablenote"/>
    <w:basedOn w:val="Normal"/>
    <w:link w:val="V50TablenoteChar"/>
    <w:qFormat/>
    <w:rsid w:val="00E66307"/>
    <w:pPr>
      <w:widowControl/>
      <w:spacing w:after="120"/>
      <w:contextualSpacing/>
    </w:pPr>
    <w:rPr>
      <w:rFonts w:asciiTheme="minorHAnsi" w:eastAsiaTheme="minorHAnsi" w:hAnsiTheme="minorHAnsi" w:cstheme="minorBidi"/>
      <w:snapToGrid/>
      <w:sz w:val="18"/>
      <w:szCs w:val="18"/>
      <w:lang w:val="en-US"/>
    </w:rPr>
  </w:style>
  <w:style w:type="character" w:customStyle="1" w:styleId="V50TablenoteChar">
    <w:name w:val="V5.0 Tablenote Char"/>
    <w:basedOn w:val="DefaultParagraphFont"/>
    <w:link w:val="V50Tablenote"/>
    <w:rsid w:val="00E66307"/>
    <w:rPr>
      <w:rFonts w:asciiTheme="minorHAnsi" w:eastAsiaTheme="minorHAnsi" w:hAnsiTheme="minorHAnsi" w:cstheme="minorBidi"/>
      <w:sz w:val="18"/>
      <w:szCs w:val="18"/>
      <w:lang w:val="en-US" w:eastAsia="en-US"/>
    </w:rPr>
  </w:style>
  <w:style w:type="table" w:customStyle="1" w:styleId="TableGrid1">
    <w:name w:val="Table Grid1"/>
    <w:basedOn w:val="TableNormal"/>
    <w:next w:val="TableGrid"/>
    <w:uiPriority w:val="59"/>
    <w:rsid w:val="00E6630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E66307"/>
    <w:pPr>
      <w:widowControl/>
      <w:numPr>
        <w:numId w:val="21"/>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E66307"/>
    <w:pPr>
      <w:numPr>
        <w:ilvl w:val="2"/>
      </w:numPr>
    </w:pPr>
  </w:style>
  <w:style w:type="paragraph" w:customStyle="1" w:styleId="ListBulletlvl4">
    <w:name w:val="List Bullet lvl 4"/>
    <w:basedOn w:val="ListBullet"/>
    <w:qFormat/>
    <w:rsid w:val="00E66307"/>
    <w:pPr>
      <w:numPr>
        <w:ilvl w:val="3"/>
      </w:numPr>
    </w:pPr>
  </w:style>
  <w:style w:type="paragraph" w:customStyle="1" w:styleId="ListBulletlvl5">
    <w:name w:val="List Bullet lvl 5"/>
    <w:basedOn w:val="ListBullet"/>
    <w:qFormat/>
    <w:rsid w:val="00E66307"/>
    <w:pPr>
      <w:numPr>
        <w:ilvl w:val="4"/>
      </w:numPr>
    </w:pPr>
  </w:style>
  <w:style w:type="paragraph" w:customStyle="1" w:styleId="ListBulletlvl6">
    <w:name w:val="List Bullet lvl 6"/>
    <w:basedOn w:val="ListBullet"/>
    <w:qFormat/>
    <w:rsid w:val="00E66307"/>
    <w:pPr>
      <w:numPr>
        <w:ilvl w:val="5"/>
      </w:numPr>
    </w:pPr>
  </w:style>
  <w:style w:type="paragraph" w:customStyle="1" w:styleId="ListBulletlvl7">
    <w:name w:val="List Bullet lvl 7"/>
    <w:basedOn w:val="ListBullet"/>
    <w:qFormat/>
    <w:rsid w:val="00E66307"/>
    <w:pPr>
      <w:numPr>
        <w:ilvl w:val="6"/>
      </w:numPr>
    </w:pPr>
  </w:style>
  <w:style w:type="paragraph" w:customStyle="1" w:styleId="ListBulletlvl8">
    <w:name w:val="List Bullet lvl 8"/>
    <w:basedOn w:val="ListBullet"/>
    <w:qFormat/>
    <w:rsid w:val="00E66307"/>
    <w:pPr>
      <w:numPr>
        <w:ilvl w:val="7"/>
      </w:numPr>
    </w:pPr>
  </w:style>
  <w:style w:type="paragraph" w:customStyle="1" w:styleId="ListBulletlvl9">
    <w:name w:val="List Bullet lvl 9"/>
    <w:basedOn w:val="ListBullet"/>
    <w:qFormat/>
    <w:rsid w:val="00E66307"/>
    <w:pPr>
      <w:numPr>
        <w:ilvl w:val="8"/>
      </w:numPr>
    </w:pPr>
  </w:style>
  <w:style w:type="character" w:customStyle="1" w:styleId="m5207394339240417699msocommentreference">
    <w:name w:val="m_5207394339240417699msocommentreference"/>
    <w:basedOn w:val="DefaultParagraphFont"/>
    <w:rsid w:val="00C544AF"/>
  </w:style>
  <w:style w:type="paragraph" w:styleId="PlainText">
    <w:name w:val="Plain Text"/>
    <w:basedOn w:val="Normal"/>
    <w:link w:val="PlainTextChar"/>
    <w:uiPriority w:val="99"/>
    <w:rsid w:val="008938C7"/>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8938C7"/>
    <w:rPr>
      <w:rFonts w:ascii="Courier New" w:hAnsi="Courier New"/>
    </w:rPr>
  </w:style>
  <w:style w:type="paragraph" w:styleId="EndnoteText">
    <w:name w:val="endnote text"/>
    <w:basedOn w:val="Normal"/>
    <w:link w:val="EndnoteTextChar"/>
    <w:semiHidden/>
    <w:unhideWhenUsed/>
    <w:rsid w:val="00C4770A"/>
    <w:rPr>
      <w:sz w:val="20"/>
      <w:szCs w:val="20"/>
    </w:rPr>
  </w:style>
  <w:style w:type="character" w:customStyle="1" w:styleId="EndnoteTextChar">
    <w:name w:val="Endnote Text Char"/>
    <w:basedOn w:val="DefaultParagraphFont"/>
    <w:link w:val="EndnoteText"/>
    <w:semiHidden/>
    <w:rsid w:val="00C4770A"/>
    <w:rPr>
      <w:rFonts w:ascii="Calibri" w:hAnsi="Calibri" w:cs="Arial"/>
      <w:snapToGrid w:val="0"/>
      <w:lang w:eastAsia="en-US"/>
    </w:rPr>
  </w:style>
  <w:style w:type="character" w:styleId="EndnoteReference">
    <w:name w:val="endnote reference"/>
    <w:basedOn w:val="DefaultParagraphFont"/>
    <w:semiHidden/>
    <w:unhideWhenUsed/>
    <w:rsid w:val="00C4770A"/>
    <w:rPr>
      <w:vertAlign w:val="superscript"/>
    </w:rPr>
  </w:style>
  <w:style w:type="paragraph" w:customStyle="1" w:styleId="Style1">
    <w:name w:val="Style1"/>
    <w:basedOn w:val="PBACHeading1"/>
    <w:link w:val="Style1Char"/>
    <w:qFormat/>
    <w:rsid w:val="00434176"/>
    <w:pPr>
      <w:keepNext/>
    </w:pPr>
  </w:style>
  <w:style w:type="character" w:customStyle="1" w:styleId="PBACHeading1Char">
    <w:name w:val="PBAC Heading 1 Char"/>
    <w:basedOn w:val="DefaultParagraphFont"/>
    <w:link w:val="PBACHeading1"/>
    <w:rsid w:val="00434176"/>
    <w:rPr>
      <w:rFonts w:ascii="Calibri" w:hAnsi="Calibri" w:cs="Arial"/>
      <w:b/>
      <w:snapToGrid w:val="0"/>
      <w:sz w:val="32"/>
      <w:szCs w:val="22"/>
      <w:lang w:eastAsia="en-US"/>
    </w:rPr>
  </w:style>
  <w:style w:type="character" w:customStyle="1" w:styleId="Style1Char">
    <w:name w:val="Style1 Char"/>
    <w:basedOn w:val="PBACHeading1Char"/>
    <w:link w:val="Style1"/>
    <w:rsid w:val="00434176"/>
    <w:rPr>
      <w:rFonts w:ascii="Calibri" w:hAnsi="Calibri" w:cs="Arial"/>
      <w:b/>
      <w:snapToGrid w:val="0"/>
      <w:sz w:val="32"/>
      <w:szCs w:val="22"/>
      <w:lang w:eastAsia="en-US"/>
    </w:rPr>
  </w:style>
  <w:style w:type="character" w:customStyle="1" w:styleId="Heading1Char">
    <w:name w:val="Heading 1 Char"/>
    <w:basedOn w:val="DefaultParagraphFont"/>
    <w:link w:val="Heading1"/>
    <w:uiPriority w:val="1"/>
    <w:rsid w:val="00C22DB8"/>
    <w:rPr>
      <w:rFonts w:ascii="Calibri" w:hAnsi="Calibri" w:cs="Arial"/>
      <w:b/>
      <w:snapToGrid w:val="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259095">
      <w:bodyDiv w:val="1"/>
      <w:marLeft w:val="0"/>
      <w:marRight w:val="0"/>
      <w:marTop w:val="0"/>
      <w:marBottom w:val="0"/>
      <w:divBdr>
        <w:top w:val="none" w:sz="0" w:space="0" w:color="auto"/>
        <w:left w:val="none" w:sz="0" w:space="0" w:color="auto"/>
        <w:bottom w:val="none" w:sz="0" w:space="0" w:color="auto"/>
        <w:right w:val="none" w:sz="0" w:space="0" w:color="auto"/>
      </w:divBdr>
    </w:div>
    <w:div w:id="1336029735">
      <w:bodyDiv w:val="1"/>
      <w:marLeft w:val="0"/>
      <w:marRight w:val="0"/>
      <w:marTop w:val="0"/>
      <w:marBottom w:val="0"/>
      <w:divBdr>
        <w:top w:val="none" w:sz="0" w:space="0" w:color="auto"/>
        <w:left w:val="none" w:sz="0" w:space="0" w:color="auto"/>
        <w:bottom w:val="none" w:sz="0" w:space="0" w:color="auto"/>
        <w:right w:val="none" w:sz="0" w:space="0" w:color="auto"/>
      </w:divBdr>
    </w:div>
    <w:div w:id="1393967679">
      <w:bodyDiv w:val="1"/>
      <w:marLeft w:val="0"/>
      <w:marRight w:val="0"/>
      <w:marTop w:val="0"/>
      <w:marBottom w:val="0"/>
      <w:divBdr>
        <w:top w:val="none" w:sz="0" w:space="0" w:color="auto"/>
        <w:left w:val="none" w:sz="0" w:space="0" w:color="auto"/>
        <w:bottom w:val="none" w:sz="0" w:space="0" w:color="auto"/>
        <w:right w:val="none" w:sz="0" w:space="0" w:color="auto"/>
      </w:divBdr>
    </w:div>
    <w:div w:id="1412771669">
      <w:bodyDiv w:val="1"/>
      <w:marLeft w:val="0"/>
      <w:marRight w:val="0"/>
      <w:marTop w:val="0"/>
      <w:marBottom w:val="0"/>
      <w:divBdr>
        <w:top w:val="none" w:sz="0" w:space="0" w:color="auto"/>
        <w:left w:val="none" w:sz="0" w:space="0" w:color="auto"/>
        <w:bottom w:val="none" w:sz="0" w:space="0" w:color="auto"/>
        <w:right w:val="none" w:sz="0" w:space="0" w:color="auto"/>
      </w:divBdr>
    </w:div>
    <w:div w:id="20157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7.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9.xm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9.health.gov.au/cda/source/rpt_5_sel.cfm.%20Accessed%2016%20November%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ECFB4-BE43-48F6-97AC-19741EFD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12476</Words>
  <Characters>72764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2018-06-20T03:20:00Z</dcterms:created>
  <dcterms:modified xsi:type="dcterms:W3CDTF">2018-06-22T01:24:00Z</dcterms:modified>
</cp:coreProperties>
</file>