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15" w:rsidRDefault="00B1506C"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7.12</w:t>
      </w:r>
      <w:r>
        <w:rPr>
          <w:rFonts w:asciiTheme="minorHAnsi" w:hAnsiTheme="minorHAnsi"/>
          <w:sz w:val="36"/>
          <w:szCs w:val="36"/>
        </w:rPr>
        <w:tab/>
        <w:t xml:space="preserve">LENVATINIB </w:t>
      </w:r>
      <w:r>
        <w:rPr>
          <w:rFonts w:asciiTheme="minorHAnsi" w:hAnsiTheme="minorHAnsi"/>
          <w:sz w:val="36"/>
          <w:szCs w:val="36"/>
        </w:rPr>
        <w:br/>
        <w:t xml:space="preserve">Capsule 4 mg (as </w:t>
      </w:r>
      <w:proofErr w:type="spellStart"/>
      <w:r>
        <w:rPr>
          <w:rFonts w:asciiTheme="minorHAnsi" w:hAnsiTheme="minorHAnsi"/>
          <w:sz w:val="36"/>
          <w:szCs w:val="36"/>
        </w:rPr>
        <w:t>mesilate</w:t>
      </w:r>
      <w:proofErr w:type="spellEnd"/>
      <w:r>
        <w:rPr>
          <w:rFonts w:asciiTheme="minorHAnsi" w:hAnsiTheme="minorHAnsi"/>
          <w:sz w:val="36"/>
          <w:szCs w:val="36"/>
        </w:rPr>
        <w:t xml:space="preserve">), Capsule 10 mg </w:t>
      </w:r>
    </w:p>
    <w:p w:rsidR="006D6493" w:rsidRPr="00577C4D" w:rsidRDefault="00B1506C" w:rsidP="004109F4">
      <w:pPr>
        <w:pStyle w:val="Title"/>
        <w:spacing w:before="120" w:after="160"/>
        <w:ind w:left="720" w:hanging="11"/>
        <w:outlineLvl w:val="9"/>
        <w:rPr>
          <w:rFonts w:asciiTheme="minorHAnsi" w:hAnsiTheme="minorHAnsi"/>
          <w:sz w:val="36"/>
          <w:szCs w:val="36"/>
        </w:rPr>
      </w:pPr>
      <w:r>
        <w:rPr>
          <w:rFonts w:asciiTheme="minorHAnsi" w:hAnsiTheme="minorHAnsi"/>
          <w:sz w:val="36"/>
          <w:szCs w:val="36"/>
        </w:rPr>
        <w:t>(</w:t>
      </w:r>
      <w:proofErr w:type="gramStart"/>
      <w:r>
        <w:rPr>
          <w:rFonts w:asciiTheme="minorHAnsi" w:hAnsiTheme="minorHAnsi"/>
          <w:sz w:val="36"/>
          <w:szCs w:val="36"/>
        </w:rPr>
        <w:t>as</w:t>
      </w:r>
      <w:proofErr w:type="gramEnd"/>
      <w:r>
        <w:rPr>
          <w:rFonts w:asciiTheme="minorHAnsi" w:hAnsiTheme="minorHAnsi"/>
          <w:sz w:val="36"/>
          <w:szCs w:val="36"/>
        </w:rPr>
        <w:t xml:space="preserve"> </w:t>
      </w:r>
      <w:proofErr w:type="spellStart"/>
      <w:r>
        <w:rPr>
          <w:rFonts w:asciiTheme="minorHAnsi" w:hAnsiTheme="minorHAnsi"/>
          <w:sz w:val="36"/>
          <w:szCs w:val="36"/>
        </w:rPr>
        <w:t>mesilate</w:t>
      </w:r>
      <w:proofErr w:type="spellEnd"/>
      <w:r>
        <w:rPr>
          <w:rFonts w:asciiTheme="minorHAnsi" w:hAnsiTheme="minorHAnsi"/>
          <w:sz w:val="36"/>
          <w:szCs w:val="36"/>
        </w:rPr>
        <w:t xml:space="preserve">) </w:t>
      </w:r>
      <w:r>
        <w:rPr>
          <w:rFonts w:asciiTheme="minorHAnsi" w:hAnsiTheme="minorHAnsi"/>
          <w:sz w:val="36"/>
          <w:szCs w:val="36"/>
        </w:rPr>
        <w:br/>
      </w:r>
      <w:proofErr w:type="spellStart"/>
      <w:proofErr w:type="gramStart"/>
      <w:r>
        <w:rPr>
          <w:rFonts w:asciiTheme="minorHAnsi" w:hAnsiTheme="minorHAnsi"/>
          <w:sz w:val="36"/>
          <w:szCs w:val="36"/>
        </w:rPr>
        <w:t>Lenvima</w:t>
      </w:r>
      <w:proofErr w:type="spellEnd"/>
      <w:r w:rsidR="006D6493" w:rsidRPr="002B5596">
        <w:rPr>
          <w:rFonts w:asciiTheme="minorHAnsi" w:hAnsiTheme="minorHAnsi"/>
          <w:sz w:val="36"/>
          <w:szCs w:val="36"/>
          <w:vertAlign w:val="superscript"/>
        </w:rPr>
        <w:t>®</w:t>
      </w:r>
      <w:r>
        <w:rPr>
          <w:rFonts w:asciiTheme="minorHAnsi" w:hAnsiTheme="minorHAnsi"/>
          <w:sz w:val="36"/>
          <w:szCs w:val="36"/>
        </w:rPr>
        <w:t>, Eisai Australia Pty Ltd.</w:t>
      </w:r>
      <w:proofErr w:type="gramEnd"/>
    </w:p>
    <w:p w:rsidR="008A50F1" w:rsidRPr="005055DA" w:rsidRDefault="00CE10C4" w:rsidP="005055DA">
      <w:pPr>
        <w:pStyle w:val="Heading1"/>
      </w:pPr>
      <w:r w:rsidRPr="005055DA">
        <w:t xml:space="preserve">Purpose of </w:t>
      </w:r>
      <w:r w:rsidR="0004240E" w:rsidRPr="005055DA">
        <w:t>Application</w:t>
      </w:r>
    </w:p>
    <w:p w:rsidR="00EF44A0" w:rsidRPr="006C63ED" w:rsidRDefault="00EF44A0" w:rsidP="006C63E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6341D3">
        <w:rPr>
          <w:rFonts w:asciiTheme="minorHAnsi" w:eastAsiaTheme="minorHAnsi" w:hAnsiTheme="minorHAnsi" w:cstheme="minorBidi"/>
          <w:snapToGrid/>
          <w:sz w:val="24"/>
          <w:szCs w:val="22"/>
        </w:rPr>
        <w:t>re</w:t>
      </w:r>
      <w:r w:rsidR="00FF2801" w:rsidRPr="001B2BBC">
        <w:rPr>
          <w:rFonts w:asciiTheme="minorHAnsi" w:eastAsiaTheme="minorHAnsi" w:hAnsiTheme="minorHAnsi" w:cstheme="minorBidi"/>
          <w:snapToGrid/>
          <w:sz w:val="24"/>
          <w:szCs w:val="22"/>
        </w:rPr>
        <w:t xml:space="preserve">submission </w:t>
      </w:r>
      <w:r w:rsidR="00CD45B9">
        <w:rPr>
          <w:rFonts w:asciiTheme="minorHAnsi" w:eastAsiaTheme="minorHAnsi" w:hAnsiTheme="minorHAnsi" w:cstheme="minorBidi"/>
          <w:snapToGrid/>
          <w:sz w:val="24"/>
          <w:szCs w:val="22"/>
        </w:rPr>
        <w:t xml:space="preserve">requested a </w:t>
      </w:r>
      <w:r w:rsidR="00185FA0">
        <w:rPr>
          <w:rFonts w:asciiTheme="minorHAnsi" w:eastAsiaTheme="minorHAnsi" w:hAnsiTheme="minorHAnsi" w:cstheme="minorBidi"/>
          <w:snapToGrid/>
          <w:sz w:val="24"/>
          <w:szCs w:val="22"/>
        </w:rPr>
        <w:t>General Schedule</w:t>
      </w:r>
      <w:r w:rsidR="00CD45B9">
        <w:rPr>
          <w:rFonts w:asciiTheme="minorHAnsi" w:eastAsiaTheme="minorHAnsi" w:hAnsiTheme="minorHAnsi" w:cstheme="minorBidi"/>
          <w:snapToGrid/>
          <w:sz w:val="24"/>
          <w:szCs w:val="22"/>
        </w:rPr>
        <w:t xml:space="preserve">, Authority Required (Streamlined), listing of </w:t>
      </w:r>
      <w:proofErr w:type="spellStart"/>
      <w:r w:rsidR="00CD45B9">
        <w:rPr>
          <w:rFonts w:asciiTheme="minorHAnsi" w:eastAsiaTheme="minorHAnsi" w:hAnsiTheme="minorHAnsi" w:cstheme="minorBidi"/>
          <w:snapToGrid/>
          <w:sz w:val="24"/>
          <w:szCs w:val="22"/>
        </w:rPr>
        <w:t>lenvatinib</w:t>
      </w:r>
      <w:proofErr w:type="spellEnd"/>
      <w:r w:rsidR="00CD45B9">
        <w:rPr>
          <w:rFonts w:asciiTheme="minorHAnsi" w:eastAsiaTheme="minorHAnsi" w:hAnsiTheme="minorHAnsi" w:cstheme="minorBidi"/>
          <w:snapToGrid/>
          <w:sz w:val="24"/>
          <w:szCs w:val="22"/>
        </w:rPr>
        <w:t xml:space="preserve"> for use in combination with </w:t>
      </w:r>
      <w:proofErr w:type="spellStart"/>
      <w:r w:rsidR="00CD45B9">
        <w:rPr>
          <w:rFonts w:asciiTheme="minorHAnsi" w:eastAsiaTheme="minorHAnsi" w:hAnsiTheme="minorHAnsi" w:cstheme="minorBidi"/>
          <w:snapToGrid/>
          <w:sz w:val="24"/>
          <w:szCs w:val="22"/>
        </w:rPr>
        <w:t>everolimus</w:t>
      </w:r>
      <w:proofErr w:type="spellEnd"/>
      <w:r w:rsidR="00CD45B9">
        <w:rPr>
          <w:rFonts w:asciiTheme="minorHAnsi" w:eastAsiaTheme="minorHAnsi" w:hAnsiTheme="minorHAnsi" w:cstheme="minorBidi"/>
          <w:snapToGrid/>
          <w:sz w:val="24"/>
          <w:szCs w:val="22"/>
        </w:rPr>
        <w:t xml:space="preserve"> for the treatment of patients with stage IV clear cell variant renal cell carcinoma (RCC)</w:t>
      </w:r>
      <w:r w:rsidR="00AD2B33">
        <w:rPr>
          <w:rFonts w:asciiTheme="minorHAnsi" w:eastAsiaTheme="minorHAnsi" w:hAnsiTheme="minorHAnsi" w:cstheme="minorBidi"/>
          <w:snapToGrid/>
          <w:sz w:val="24"/>
          <w:szCs w:val="22"/>
        </w:rPr>
        <w:t xml:space="preserve"> </w:t>
      </w:r>
      <w:r w:rsidR="00DE31B5">
        <w:rPr>
          <w:rFonts w:asciiTheme="minorHAnsi" w:eastAsiaTheme="minorHAnsi" w:hAnsiTheme="minorHAnsi" w:cstheme="minorBidi"/>
          <w:snapToGrid/>
          <w:sz w:val="24"/>
          <w:szCs w:val="22"/>
        </w:rPr>
        <w:t xml:space="preserve">who have progressed after first </w:t>
      </w:r>
      <w:r w:rsidR="00EB6DD4">
        <w:rPr>
          <w:rFonts w:asciiTheme="minorHAnsi" w:eastAsiaTheme="minorHAnsi" w:hAnsiTheme="minorHAnsi" w:cstheme="minorBidi"/>
          <w:snapToGrid/>
          <w:sz w:val="24"/>
          <w:szCs w:val="22"/>
        </w:rPr>
        <w:t>line treatment with a tyrosine kinase inhibitor (TKI)</w:t>
      </w:r>
      <w:r w:rsidR="00BD258A">
        <w:rPr>
          <w:rFonts w:asciiTheme="minorHAnsi" w:eastAsiaTheme="minorHAnsi" w:hAnsiTheme="minorHAnsi" w:cstheme="minorBidi"/>
          <w:snapToGrid/>
          <w:sz w:val="24"/>
          <w:szCs w:val="22"/>
        </w:rPr>
        <w:t xml:space="preserve">. </w:t>
      </w:r>
      <w:r w:rsidR="006C63ED" w:rsidRPr="006C63ED">
        <w:rPr>
          <w:rFonts w:asciiTheme="minorHAnsi" w:eastAsiaTheme="minorHAnsi" w:hAnsiTheme="minorHAnsi" w:cstheme="minorBidi"/>
          <w:snapToGrid/>
          <w:sz w:val="24"/>
          <w:szCs w:val="22"/>
        </w:rPr>
        <w:t xml:space="preserve">In November 2017 the PBAC did not recommend the listing of </w:t>
      </w:r>
      <w:proofErr w:type="spellStart"/>
      <w:r w:rsidR="006C63ED" w:rsidRPr="006C63ED">
        <w:rPr>
          <w:rFonts w:asciiTheme="minorHAnsi" w:eastAsiaTheme="minorHAnsi" w:hAnsiTheme="minorHAnsi" w:cstheme="minorBidi"/>
          <w:snapToGrid/>
          <w:sz w:val="24"/>
          <w:szCs w:val="22"/>
        </w:rPr>
        <w:t>lenvatinib</w:t>
      </w:r>
      <w:proofErr w:type="spellEnd"/>
      <w:r w:rsidR="006C63ED" w:rsidRPr="006C63ED">
        <w:rPr>
          <w:rFonts w:asciiTheme="minorHAnsi" w:eastAsiaTheme="minorHAnsi" w:hAnsiTheme="minorHAnsi" w:cstheme="minorBidi"/>
          <w:snapToGrid/>
          <w:sz w:val="24"/>
          <w:szCs w:val="22"/>
        </w:rPr>
        <w:t xml:space="preserve"> for </w:t>
      </w:r>
      <w:r w:rsidR="006C63ED">
        <w:rPr>
          <w:rFonts w:asciiTheme="minorHAnsi" w:eastAsiaTheme="minorHAnsi" w:hAnsiTheme="minorHAnsi" w:cstheme="minorBidi"/>
          <w:snapToGrid/>
          <w:sz w:val="24"/>
          <w:szCs w:val="22"/>
        </w:rPr>
        <w:t>this indication on</w:t>
      </w:r>
      <w:r w:rsidR="006C63ED" w:rsidRPr="006C63ED">
        <w:rPr>
          <w:rFonts w:asciiTheme="minorHAnsi" w:eastAsiaTheme="minorHAnsi" w:hAnsiTheme="minorHAnsi" w:cstheme="minorBidi"/>
          <w:snapToGrid/>
          <w:sz w:val="24"/>
          <w:szCs w:val="22"/>
        </w:rPr>
        <w:t xml:space="preserve"> the basis that the clinical need and the clinical place in therapy were not adequately established</w:t>
      </w:r>
      <w:r w:rsidR="003A5076">
        <w:rPr>
          <w:rFonts w:asciiTheme="minorHAnsi" w:eastAsiaTheme="minorHAnsi" w:hAnsiTheme="minorHAnsi" w:cstheme="minorBidi"/>
          <w:snapToGrid/>
          <w:sz w:val="24"/>
          <w:szCs w:val="22"/>
        </w:rPr>
        <w:t>, and the magnitude of clinical benefit was uncertain</w:t>
      </w:r>
      <w:r w:rsidR="006C63ED" w:rsidRPr="006C63ED">
        <w:rPr>
          <w:rFonts w:asciiTheme="minorHAnsi" w:eastAsiaTheme="minorHAnsi" w:hAnsiTheme="minorHAnsi" w:cstheme="minorBidi"/>
          <w:snapToGrid/>
          <w:sz w:val="24"/>
          <w:szCs w:val="22"/>
        </w:rPr>
        <w:t xml:space="preserve"> (Paragraph 7.1, </w:t>
      </w:r>
      <w:proofErr w:type="spellStart"/>
      <w:r w:rsidR="006C63ED" w:rsidRPr="006C63ED">
        <w:rPr>
          <w:rFonts w:asciiTheme="minorHAnsi" w:eastAsiaTheme="minorHAnsi" w:hAnsiTheme="minorHAnsi" w:cstheme="minorBidi"/>
          <w:snapToGrid/>
          <w:sz w:val="24"/>
          <w:szCs w:val="22"/>
        </w:rPr>
        <w:t>lenvatinib</w:t>
      </w:r>
      <w:proofErr w:type="spellEnd"/>
      <w:r w:rsidR="006C63ED" w:rsidRPr="006C63ED">
        <w:rPr>
          <w:rFonts w:asciiTheme="minorHAnsi" w:eastAsiaTheme="minorHAnsi" w:hAnsiTheme="minorHAnsi" w:cstheme="minorBidi"/>
          <w:snapToGrid/>
          <w:sz w:val="24"/>
          <w:szCs w:val="22"/>
        </w:rPr>
        <w:t xml:space="preserve"> PBAC </w:t>
      </w:r>
      <w:r w:rsidR="0022758C">
        <w:rPr>
          <w:rFonts w:asciiTheme="minorHAnsi" w:eastAsiaTheme="minorHAnsi" w:hAnsiTheme="minorHAnsi" w:cstheme="minorBidi"/>
          <w:snapToGrid/>
          <w:sz w:val="24"/>
          <w:szCs w:val="22"/>
        </w:rPr>
        <w:t>Public Summary Document</w:t>
      </w:r>
      <w:r w:rsidR="006C63ED" w:rsidRPr="006C63ED">
        <w:rPr>
          <w:rFonts w:asciiTheme="minorHAnsi" w:eastAsiaTheme="minorHAnsi" w:hAnsiTheme="minorHAnsi" w:cstheme="minorBidi"/>
          <w:snapToGrid/>
          <w:sz w:val="24"/>
          <w:szCs w:val="22"/>
        </w:rPr>
        <w:t xml:space="preserve">, November 2017). </w:t>
      </w:r>
      <w:r w:rsidR="00BD258A" w:rsidRPr="006C63ED">
        <w:rPr>
          <w:rFonts w:asciiTheme="minorHAnsi" w:eastAsiaTheme="minorHAnsi" w:hAnsiTheme="minorHAnsi" w:cstheme="minorBidi"/>
          <w:snapToGrid/>
          <w:sz w:val="24"/>
          <w:szCs w:val="22"/>
        </w:rPr>
        <w:t>The minor resubmission provided further information on the anticipated clinical place in therapy</w:t>
      </w:r>
      <w:r w:rsidR="005A4053">
        <w:rPr>
          <w:rFonts w:asciiTheme="minorHAnsi" w:eastAsiaTheme="minorHAnsi" w:hAnsiTheme="minorHAnsi" w:cstheme="minorBidi"/>
          <w:snapToGrid/>
          <w:sz w:val="24"/>
          <w:szCs w:val="22"/>
        </w:rPr>
        <w:t>,</w:t>
      </w:r>
      <w:r w:rsidR="00BD258A" w:rsidRPr="006C63ED">
        <w:rPr>
          <w:rFonts w:asciiTheme="minorHAnsi" w:eastAsiaTheme="minorHAnsi" w:hAnsiTheme="minorHAnsi" w:cstheme="minorBidi"/>
          <w:snapToGrid/>
          <w:sz w:val="24"/>
          <w:szCs w:val="22"/>
        </w:rPr>
        <w:t xml:space="preserve"> proposing that </w:t>
      </w:r>
      <w:proofErr w:type="spellStart"/>
      <w:r w:rsidR="00BD258A" w:rsidRPr="006C63ED">
        <w:rPr>
          <w:rFonts w:asciiTheme="minorHAnsi" w:eastAsiaTheme="minorHAnsi" w:hAnsiTheme="minorHAnsi" w:cstheme="minorBidi"/>
          <w:snapToGrid/>
          <w:sz w:val="24"/>
          <w:szCs w:val="22"/>
        </w:rPr>
        <w:t>lenvatinib</w:t>
      </w:r>
      <w:proofErr w:type="spellEnd"/>
      <w:r w:rsidR="00BD258A" w:rsidRPr="006C63ED">
        <w:rPr>
          <w:rFonts w:asciiTheme="minorHAnsi" w:eastAsiaTheme="minorHAnsi" w:hAnsiTheme="minorHAnsi" w:cstheme="minorBidi"/>
          <w:snapToGrid/>
          <w:sz w:val="24"/>
          <w:szCs w:val="22"/>
        </w:rPr>
        <w:t>/</w:t>
      </w:r>
      <w:proofErr w:type="spellStart"/>
      <w:r w:rsidR="00BD258A" w:rsidRPr="006C63ED">
        <w:rPr>
          <w:rFonts w:asciiTheme="minorHAnsi" w:eastAsiaTheme="minorHAnsi" w:hAnsiTheme="minorHAnsi" w:cstheme="minorBidi"/>
          <w:snapToGrid/>
          <w:sz w:val="24"/>
          <w:szCs w:val="22"/>
        </w:rPr>
        <w:t>everolimus</w:t>
      </w:r>
      <w:proofErr w:type="spellEnd"/>
      <w:r w:rsidR="00BD258A" w:rsidRPr="006C63ED">
        <w:rPr>
          <w:rFonts w:asciiTheme="minorHAnsi" w:eastAsiaTheme="minorHAnsi" w:hAnsiTheme="minorHAnsi" w:cstheme="minorBidi"/>
          <w:snapToGrid/>
          <w:sz w:val="24"/>
          <w:szCs w:val="22"/>
        </w:rPr>
        <w:t xml:space="preserve"> would</w:t>
      </w:r>
      <w:r w:rsidR="006C63ED" w:rsidRPr="006C63ED">
        <w:rPr>
          <w:rFonts w:asciiTheme="minorHAnsi" w:eastAsiaTheme="minorHAnsi" w:hAnsiTheme="minorHAnsi" w:cstheme="minorBidi"/>
          <w:snapToGrid/>
          <w:sz w:val="24"/>
          <w:szCs w:val="22"/>
        </w:rPr>
        <w:t xml:space="preserve"> primarily be</w:t>
      </w:r>
      <w:r w:rsidR="006C63ED">
        <w:rPr>
          <w:rFonts w:asciiTheme="minorHAnsi" w:eastAsiaTheme="minorHAnsi" w:hAnsiTheme="minorHAnsi" w:cstheme="minorBidi"/>
          <w:snapToGrid/>
          <w:sz w:val="24"/>
          <w:szCs w:val="22"/>
        </w:rPr>
        <w:t xml:space="preserve"> </w:t>
      </w:r>
      <w:r w:rsidR="00997499">
        <w:rPr>
          <w:rFonts w:asciiTheme="minorHAnsi" w:eastAsiaTheme="minorHAnsi" w:hAnsiTheme="minorHAnsi" w:cstheme="minorBidi"/>
          <w:snapToGrid/>
          <w:sz w:val="24"/>
          <w:szCs w:val="22"/>
        </w:rPr>
        <w:t xml:space="preserve">a second </w:t>
      </w:r>
      <w:r w:rsidR="006C63ED" w:rsidRPr="006C63ED">
        <w:rPr>
          <w:rFonts w:asciiTheme="minorHAnsi" w:eastAsiaTheme="minorHAnsi" w:hAnsiTheme="minorHAnsi" w:cstheme="minorBidi"/>
          <w:snapToGrid/>
          <w:sz w:val="24"/>
          <w:szCs w:val="22"/>
        </w:rPr>
        <w:t xml:space="preserve">line treatment in patients where </w:t>
      </w:r>
      <w:r w:rsidR="00EB6DD4" w:rsidRPr="006C63ED">
        <w:rPr>
          <w:rFonts w:asciiTheme="minorHAnsi" w:eastAsiaTheme="minorHAnsi" w:hAnsiTheme="minorHAnsi" w:cstheme="minorBidi"/>
          <w:snapToGrid/>
          <w:sz w:val="24"/>
          <w:szCs w:val="22"/>
        </w:rPr>
        <w:t xml:space="preserve">treatment with </w:t>
      </w:r>
      <w:proofErr w:type="spellStart"/>
      <w:r w:rsidR="00EB6DD4" w:rsidRPr="006C63ED">
        <w:rPr>
          <w:rFonts w:asciiTheme="minorHAnsi" w:eastAsiaTheme="minorHAnsi" w:hAnsiTheme="minorHAnsi" w:cstheme="minorBidi"/>
          <w:snapToGrid/>
          <w:sz w:val="24"/>
          <w:szCs w:val="22"/>
        </w:rPr>
        <w:t>nivolumab</w:t>
      </w:r>
      <w:proofErr w:type="spellEnd"/>
      <w:r w:rsidR="00EB6DD4" w:rsidRPr="006C63ED">
        <w:rPr>
          <w:rFonts w:asciiTheme="minorHAnsi" w:eastAsiaTheme="minorHAnsi" w:hAnsiTheme="minorHAnsi" w:cstheme="minorBidi"/>
          <w:snapToGrid/>
          <w:sz w:val="24"/>
          <w:szCs w:val="22"/>
        </w:rPr>
        <w:t xml:space="preserve"> is not pursued or is discontinued due to the development of adverse effects or lack of response.</w:t>
      </w:r>
    </w:p>
    <w:p w:rsidR="006A12A5" w:rsidRPr="00577C4D" w:rsidRDefault="006A12A5" w:rsidP="005055DA">
      <w:pPr>
        <w:pStyle w:val="Heading1"/>
      </w:pPr>
      <w:r w:rsidRPr="002B5596">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w:t>
      </w:r>
      <w:r w:rsidR="006341D3">
        <w:rPr>
          <w:rFonts w:asciiTheme="minorHAnsi" w:eastAsiaTheme="minorHAnsi" w:hAnsiTheme="minorHAnsi" w:cstheme="minorBidi"/>
          <w:snapToGrid/>
          <w:sz w:val="24"/>
          <w:szCs w:val="22"/>
        </w:rPr>
        <w:t>re</w:t>
      </w:r>
      <w:r w:rsidRPr="001B2BBC">
        <w:rPr>
          <w:rFonts w:asciiTheme="minorHAnsi" w:eastAsiaTheme="minorHAnsi" w:hAnsiTheme="minorHAnsi" w:cstheme="minorBidi"/>
          <w:snapToGrid/>
          <w:sz w:val="24"/>
          <w:szCs w:val="22"/>
        </w:rPr>
        <w:t xml:space="preserve">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76420C" w:rsidRPr="001B2BBC">
        <w:rPr>
          <w:rFonts w:asciiTheme="minorHAnsi" w:eastAsiaTheme="minorHAnsi" w:hAnsiTheme="minorHAnsi" w:cstheme="minorBidi"/>
          <w:snapToGrid/>
          <w:sz w:val="24"/>
          <w:szCs w:val="22"/>
        </w:rPr>
        <w:t xml:space="preserve">new </w:t>
      </w:r>
      <w:r w:rsidRPr="001B2BBC">
        <w:rPr>
          <w:rFonts w:asciiTheme="minorHAnsi" w:eastAsiaTheme="minorHAnsi" w:hAnsiTheme="minorHAnsi" w:cstheme="minorBidi"/>
          <w:snapToGrid/>
          <w:sz w:val="24"/>
          <w:szCs w:val="22"/>
        </w:rPr>
        <w:t>listing</w:t>
      </w:r>
      <w:r w:rsidR="006341D3">
        <w:rPr>
          <w:rFonts w:asciiTheme="minorHAnsi" w:eastAsiaTheme="minorHAnsi" w:hAnsiTheme="minorHAnsi" w:cstheme="minorBidi"/>
          <w:snapToGrid/>
          <w:sz w:val="24"/>
          <w:szCs w:val="22"/>
        </w:rPr>
        <w:t xml:space="preserve"> for</w:t>
      </w:r>
      <w:r w:rsidR="00694F4B">
        <w:rPr>
          <w:rFonts w:asciiTheme="minorHAnsi" w:eastAsiaTheme="minorHAnsi" w:hAnsiTheme="minorHAnsi" w:cstheme="minorBidi"/>
          <w:snapToGrid/>
          <w:sz w:val="24"/>
          <w:szCs w:val="22"/>
        </w:rPr>
        <w:t xml:space="preserve"> the treatment of patients with stage IV clear cell variant RCC.</w:t>
      </w:r>
      <w:r w:rsidR="000C1A05">
        <w:rPr>
          <w:rFonts w:asciiTheme="minorHAnsi" w:eastAsiaTheme="minorHAnsi" w:hAnsiTheme="minorHAnsi" w:cstheme="minorBidi"/>
          <w:snapToGrid/>
          <w:sz w:val="24"/>
          <w:szCs w:val="22"/>
        </w:rPr>
        <w:t xml:space="preserve"> </w:t>
      </w:r>
      <w:r w:rsidR="008C57E5" w:rsidRPr="00DB6A79">
        <w:rPr>
          <w:rFonts w:asciiTheme="minorHAnsi" w:eastAsiaTheme="minorHAnsi" w:hAnsiTheme="minorHAnsi" w:cstheme="minorBidi"/>
          <w:snapToGrid/>
          <w:sz w:val="24"/>
          <w:szCs w:val="24"/>
        </w:rPr>
        <w:t>S</w:t>
      </w:r>
      <w:r w:rsidR="008C57E5" w:rsidRPr="008C57E5">
        <w:rPr>
          <w:rFonts w:asciiTheme="minorHAnsi" w:eastAsiaTheme="minorHAnsi" w:hAnsiTheme="minorHAnsi" w:cstheme="minorBidi"/>
          <w:snapToGrid/>
          <w:sz w:val="24"/>
          <w:szCs w:val="22"/>
        </w:rPr>
        <w:t>eparate listings were proposed</w:t>
      </w:r>
      <w:r w:rsidR="008C57E5">
        <w:rPr>
          <w:rFonts w:asciiTheme="minorHAnsi" w:eastAsiaTheme="minorHAnsi" w:hAnsiTheme="minorHAnsi" w:cstheme="minorBidi"/>
          <w:snapToGrid/>
          <w:sz w:val="24"/>
          <w:szCs w:val="22"/>
        </w:rPr>
        <w:t xml:space="preserve"> for initial and continuing treatment.</w:t>
      </w:r>
      <w:r w:rsidR="006341D3">
        <w:rPr>
          <w:rFonts w:asciiTheme="minorHAnsi" w:eastAsiaTheme="minorHAnsi" w:hAnsiTheme="minorHAnsi" w:cstheme="minorBidi"/>
          <w:snapToGrid/>
          <w:sz w:val="24"/>
          <w:szCs w:val="22"/>
        </w:rPr>
        <w:t xml:space="preserve"> </w:t>
      </w:r>
    </w:p>
    <w:p w:rsidR="0067747D" w:rsidRPr="008E280F" w:rsidRDefault="0067747D"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E280F">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p w:rsidR="00F15090" w:rsidRDefault="00F15090">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tbl>
      <w:tblPr>
        <w:tblW w:w="4915" w:type="pct"/>
        <w:tblLook w:val="0000" w:firstRow="0" w:lastRow="0" w:firstColumn="0" w:lastColumn="0" w:noHBand="0" w:noVBand="0"/>
      </w:tblPr>
      <w:tblGrid>
        <w:gridCol w:w="1967"/>
        <w:gridCol w:w="1381"/>
        <w:gridCol w:w="752"/>
        <w:gridCol w:w="700"/>
        <w:gridCol w:w="1852"/>
        <w:gridCol w:w="838"/>
        <w:gridCol w:w="710"/>
        <w:gridCol w:w="879"/>
        <w:gridCol w:w="6"/>
      </w:tblGrid>
      <w:tr w:rsidR="00016F6C" w:rsidRPr="0039782C" w:rsidTr="00016F6C">
        <w:trPr>
          <w:cantSplit/>
          <w:trHeight w:val="465"/>
        </w:trPr>
        <w:tc>
          <w:tcPr>
            <w:tcW w:w="1843"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4"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0C1A05"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sidR="000C1A05">
              <w:rPr>
                <w:rFonts w:ascii="Arial Narrow" w:hAnsi="Arial Narrow" w:cs="Arial"/>
                <w:b/>
                <w:sz w:val="20"/>
                <w:szCs w:val="20"/>
              </w:rPr>
              <w:t xml:space="preserve"> </w:t>
            </w:r>
          </w:p>
        </w:tc>
        <w:tc>
          <w:tcPr>
            <w:tcW w:w="385"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019"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39"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16F6C" w:rsidRPr="00260CE3" w:rsidTr="00016F6C">
        <w:trPr>
          <w:cantSplit/>
          <w:trHeight w:val="567"/>
        </w:trPr>
        <w:tc>
          <w:tcPr>
            <w:tcW w:w="1843" w:type="pct"/>
            <w:gridSpan w:val="2"/>
          </w:tcPr>
          <w:p w:rsidR="00016F6C" w:rsidRPr="00260CE3" w:rsidRDefault="00016F6C" w:rsidP="00EB0B63">
            <w:pPr>
              <w:keepNext/>
              <w:spacing w:before="40" w:after="40"/>
              <w:jc w:val="both"/>
              <w:rPr>
                <w:rFonts w:ascii="Arial Narrow" w:hAnsi="Arial Narrow" w:cs="Arial"/>
                <w:sz w:val="20"/>
                <w:szCs w:val="20"/>
              </w:rPr>
            </w:pPr>
            <w:r>
              <w:rPr>
                <w:rFonts w:ascii="Arial Narrow" w:hAnsi="Arial Narrow" w:cs="Arial"/>
                <w:smallCaps/>
                <w:sz w:val="20"/>
                <w:szCs w:val="20"/>
              </w:rPr>
              <w:t xml:space="preserve">LENVATINIB, </w:t>
            </w:r>
          </w:p>
          <w:p w:rsidR="00016F6C" w:rsidRPr="00260CE3" w:rsidRDefault="00016F6C" w:rsidP="00EB0B63">
            <w:pPr>
              <w:keepNext/>
              <w:spacing w:before="40" w:after="40"/>
              <w:jc w:val="both"/>
              <w:rPr>
                <w:rFonts w:ascii="Arial Narrow" w:hAnsi="Arial Narrow" w:cs="Arial"/>
                <w:sz w:val="20"/>
                <w:szCs w:val="20"/>
              </w:rPr>
            </w:pPr>
            <w:r>
              <w:rPr>
                <w:rFonts w:ascii="Arial Narrow" w:hAnsi="Arial Narrow" w:cs="Arial"/>
                <w:sz w:val="20"/>
                <w:szCs w:val="20"/>
              </w:rPr>
              <w:t>10 mg capsule, 30</w:t>
            </w:r>
          </w:p>
        </w:tc>
        <w:tc>
          <w:tcPr>
            <w:tcW w:w="414" w:type="pct"/>
          </w:tcPr>
          <w:p w:rsidR="00016F6C" w:rsidRPr="00260CE3" w:rsidRDefault="00016F6C" w:rsidP="00EB0B63">
            <w:pPr>
              <w:keepNext/>
              <w:spacing w:before="40" w:after="40"/>
              <w:jc w:val="both"/>
              <w:rPr>
                <w:rFonts w:ascii="Arial Narrow" w:hAnsi="Arial Narrow" w:cs="Arial"/>
                <w:sz w:val="20"/>
                <w:szCs w:val="20"/>
              </w:rPr>
            </w:pPr>
          </w:p>
          <w:p w:rsidR="00016F6C" w:rsidRPr="00260CE3" w:rsidRDefault="00016F6C"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385" w:type="pct"/>
          </w:tcPr>
          <w:p w:rsidR="00016F6C" w:rsidRPr="00260CE3" w:rsidRDefault="00016F6C" w:rsidP="00EB0B63">
            <w:pPr>
              <w:keepNext/>
              <w:spacing w:before="40" w:after="40"/>
              <w:jc w:val="both"/>
              <w:rPr>
                <w:rFonts w:ascii="Arial Narrow" w:hAnsi="Arial Narrow" w:cs="Arial"/>
                <w:sz w:val="20"/>
                <w:szCs w:val="20"/>
              </w:rPr>
            </w:pPr>
          </w:p>
          <w:p w:rsidR="00016F6C" w:rsidRPr="00260CE3" w:rsidRDefault="00016F6C" w:rsidP="00EB0B63">
            <w:pPr>
              <w:keepNext/>
              <w:spacing w:before="40" w:after="40"/>
              <w:jc w:val="both"/>
              <w:rPr>
                <w:rFonts w:ascii="Arial Narrow" w:hAnsi="Arial Narrow" w:cs="Arial"/>
                <w:sz w:val="20"/>
                <w:szCs w:val="20"/>
              </w:rPr>
            </w:pPr>
            <w:r>
              <w:rPr>
                <w:rFonts w:ascii="Arial Narrow" w:hAnsi="Arial Narrow" w:cs="Arial"/>
                <w:sz w:val="20"/>
                <w:szCs w:val="20"/>
              </w:rPr>
              <w:t>2</w:t>
            </w:r>
          </w:p>
        </w:tc>
        <w:tc>
          <w:tcPr>
            <w:tcW w:w="1019" w:type="pct"/>
          </w:tcPr>
          <w:p w:rsidR="00016F6C" w:rsidRPr="00FD0B2D" w:rsidRDefault="00016F6C" w:rsidP="00C74035">
            <w:pPr>
              <w:keepNext/>
              <w:spacing w:before="40" w:after="40"/>
              <w:jc w:val="both"/>
              <w:rPr>
                <w:rFonts w:ascii="Arial Narrow" w:hAnsi="Arial Narrow" w:cs="Arial"/>
                <w:sz w:val="20"/>
                <w:szCs w:val="20"/>
                <w:highlight w:val="yellow"/>
              </w:rPr>
            </w:pPr>
          </w:p>
          <w:p w:rsidR="00016F6C" w:rsidRDefault="006E2F56" w:rsidP="00C74035">
            <w:pPr>
              <w:keepNext/>
              <w:spacing w:before="40" w:after="40"/>
              <w:jc w:val="both"/>
              <w:rPr>
                <w:rFonts w:ascii="Arial Narrow" w:hAnsi="Arial Narrow" w:cs="Arial"/>
                <w:sz w:val="20"/>
                <w:szCs w:val="20"/>
              </w:rPr>
            </w:pPr>
            <w:r>
              <w:rPr>
                <w:rFonts w:ascii="Arial Narrow" w:hAnsi="Arial Narrow" w:cs="Arial"/>
                <w:sz w:val="20"/>
                <w:szCs w:val="20"/>
              </w:rPr>
              <w:t>$3,302</w:t>
            </w:r>
            <w:r w:rsidR="00016F6C">
              <w:rPr>
                <w:rFonts w:ascii="Arial Narrow" w:hAnsi="Arial Narrow" w:cs="Arial"/>
                <w:sz w:val="20"/>
                <w:szCs w:val="20"/>
              </w:rPr>
              <w:t>.88 (published)</w:t>
            </w:r>
          </w:p>
          <w:p w:rsidR="00016F6C" w:rsidRPr="00FD0B2D" w:rsidRDefault="00016F6C" w:rsidP="00EB0B63">
            <w:pPr>
              <w:keepNext/>
              <w:spacing w:before="40" w:after="40"/>
              <w:jc w:val="both"/>
              <w:rPr>
                <w:rFonts w:ascii="Arial Narrow" w:hAnsi="Arial Narrow" w:cs="Arial"/>
                <w:sz w:val="20"/>
                <w:szCs w:val="20"/>
                <w:highlight w:val="yellow"/>
              </w:rPr>
            </w:pPr>
            <w:r>
              <w:rPr>
                <w:rFonts w:ascii="Arial Narrow" w:hAnsi="Arial Narrow" w:cs="Arial"/>
                <w:sz w:val="20"/>
                <w:szCs w:val="20"/>
              </w:rPr>
              <w:t>$</w:t>
            </w:r>
            <w:r w:rsidR="00DE7568">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461" w:type="pct"/>
          </w:tcPr>
          <w:p w:rsidR="00016F6C" w:rsidRDefault="00016F6C" w:rsidP="00EB0B63">
            <w:pPr>
              <w:keepNext/>
              <w:spacing w:before="40" w:after="40"/>
              <w:jc w:val="both"/>
              <w:rPr>
                <w:rFonts w:ascii="Arial Narrow" w:hAnsi="Arial Narrow" w:cs="Arial"/>
                <w:sz w:val="20"/>
                <w:szCs w:val="20"/>
              </w:rPr>
            </w:pPr>
          </w:p>
          <w:p w:rsidR="00016F6C" w:rsidRPr="00260CE3" w:rsidRDefault="00016F6C" w:rsidP="00EB0B63">
            <w:pPr>
              <w:keepNext/>
              <w:spacing w:before="40" w:after="40"/>
              <w:jc w:val="both"/>
              <w:rPr>
                <w:rFonts w:ascii="Arial Narrow" w:hAnsi="Arial Narrow" w:cs="Arial"/>
                <w:sz w:val="20"/>
                <w:szCs w:val="20"/>
              </w:rPr>
            </w:pPr>
            <w:proofErr w:type="spellStart"/>
            <w:r>
              <w:rPr>
                <w:rFonts w:ascii="Arial Narrow" w:hAnsi="Arial Narrow" w:cs="Arial"/>
                <w:sz w:val="20"/>
                <w:szCs w:val="20"/>
              </w:rPr>
              <w:t>Lenvima</w:t>
            </w:r>
            <w:proofErr w:type="spellEnd"/>
          </w:p>
        </w:tc>
        <w:tc>
          <w:tcPr>
            <w:tcW w:w="878" w:type="pct"/>
            <w:gridSpan w:val="3"/>
          </w:tcPr>
          <w:p w:rsidR="00016F6C" w:rsidRDefault="00016F6C" w:rsidP="00EB0B63">
            <w:pPr>
              <w:keepNext/>
              <w:spacing w:before="40" w:after="40"/>
              <w:jc w:val="both"/>
              <w:rPr>
                <w:rFonts w:ascii="Arial Narrow" w:hAnsi="Arial Narrow" w:cs="Arial"/>
                <w:sz w:val="20"/>
                <w:szCs w:val="20"/>
              </w:rPr>
            </w:pPr>
          </w:p>
          <w:p w:rsidR="00016F6C" w:rsidRPr="00260CE3" w:rsidRDefault="00016F6C" w:rsidP="00EB0B63">
            <w:pPr>
              <w:keepNext/>
              <w:spacing w:before="40" w:after="40"/>
              <w:jc w:val="both"/>
              <w:rPr>
                <w:rFonts w:ascii="Arial Narrow" w:hAnsi="Arial Narrow" w:cs="Arial"/>
                <w:sz w:val="20"/>
                <w:szCs w:val="20"/>
              </w:rPr>
            </w:pPr>
            <w:r>
              <w:rPr>
                <w:rFonts w:ascii="Arial Narrow" w:hAnsi="Arial Narrow" w:cs="Arial"/>
                <w:sz w:val="20"/>
                <w:szCs w:val="20"/>
              </w:rPr>
              <w:t>Eisai Australia</w:t>
            </w:r>
            <w:r w:rsidR="006C63ED">
              <w:rPr>
                <w:rFonts w:ascii="Arial Narrow" w:hAnsi="Arial Narrow" w:cs="Arial"/>
                <w:sz w:val="20"/>
                <w:szCs w:val="20"/>
              </w:rPr>
              <w:t xml:space="preserve"> Pty Ltd</w:t>
            </w:r>
          </w:p>
        </w:tc>
      </w:tr>
      <w:tr w:rsidR="00016F6C" w:rsidRPr="00260CE3" w:rsidTr="00016F6C">
        <w:trPr>
          <w:cantSplit/>
          <w:trHeight w:val="628"/>
        </w:trPr>
        <w:tc>
          <w:tcPr>
            <w:tcW w:w="1843" w:type="pct"/>
            <w:gridSpan w:val="2"/>
          </w:tcPr>
          <w:p w:rsidR="00016F6C" w:rsidRDefault="00016F6C" w:rsidP="00EB0B63">
            <w:pPr>
              <w:keepNext/>
              <w:spacing w:before="40" w:after="40"/>
              <w:jc w:val="both"/>
              <w:rPr>
                <w:rFonts w:ascii="Arial Narrow" w:hAnsi="Arial Narrow" w:cs="Arial"/>
                <w:sz w:val="20"/>
                <w:szCs w:val="20"/>
              </w:rPr>
            </w:pPr>
            <w:r>
              <w:rPr>
                <w:rFonts w:ascii="Arial Narrow" w:hAnsi="Arial Narrow" w:cs="Arial"/>
                <w:smallCaps/>
                <w:sz w:val="20"/>
                <w:szCs w:val="20"/>
              </w:rPr>
              <w:t xml:space="preserve">LENVATINIB, </w:t>
            </w:r>
          </w:p>
          <w:p w:rsidR="00016F6C" w:rsidRDefault="00016F6C" w:rsidP="00EB0B63">
            <w:pPr>
              <w:keepNext/>
              <w:spacing w:before="40" w:after="40"/>
              <w:jc w:val="both"/>
              <w:rPr>
                <w:rFonts w:ascii="Arial Narrow" w:hAnsi="Arial Narrow" w:cs="Arial"/>
                <w:smallCaps/>
                <w:sz w:val="20"/>
                <w:szCs w:val="20"/>
              </w:rPr>
            </w:pPr>
            <w:r>
              <w:rPr>
                <w:rFonts w:ascii="Arial Narrow" w:hAnsi="Arial Narrow" w:cs="Arial"/>
                <w:sz w:val="20"/>
                <w:szCs w:val="20"/>
              </w:rPr>
              <w:t>4 mg capsule, 30</w:t>
            </w:r>
          </w:p>
        </w:tc>
        <w:tc>
          <w:tcPr>
            <w:tcW w:w="414" w:type="pct"/>
          </w:tcPr>
          <w:p w:rsidR="00016F6C" w:rsidRPr="00260CE3" w:rsidRDefault="00016F6C" w:rsidP="00C74035">
            <w:pPr>
              <w:keepNext/>
              <w:spacing w:before="40" w:after="40"/>
              <w:jc w:val="both"/>
              <w:rPr>
                <w:rFonts w:ascii="Arial Narrow" w:hAnsi="Arial Narrow" w:cs="Arial"/>
                <w:sz w:val="20"/>
                <w:szCs w:val="20"/>
              </w:rPr>
            </w:pPr>
          </w:p>
          <w:p w:rsidR="00016F6C" w:rsidRPr="00260CE3" w:rsidRDefault="00016F6C" w:rsidP="00EB0B63">
            <w:pPr>
              <w:keepNext/>
              <w:spacing w:before="40" w:after="40"/>
              <w:jc w:val="both"/>
              <w:rPr>
                <w:rFonts w:ascii="Arial Narrow" w:hAnsi="Arial Narrow" w:cs="Arial"/>
                <w:sz w:val="20"/>
                <w:szCs w:val="20"/>
              </w:rPr>
            </w:pPr>
            <w:r>
              <w:rPr>
                <w:rFonts w:ascii="Arial Narrow" w:hAnsi="Arial Narrow" w:cs="Arial"/>
                <w:sz w:val="20"/>
                <w:szCs w:val="20"/>
              </w:rPr>
              <w:t>2</w:t>
            </w:r>
          </w:p>
        </w:tc>
        <w:tc>
          <w:tcPr>
            <w:tcW w:w="385" w:type="pct"/>
          </w:tcPr>
          <w:p w:rsidR="00016F6C" w:rsidRPr="00260CE3" w:rsidRDefault="00016F6C" w:rsidP="00C74035">
            <w:pPr>
              <w:keepNext/>
              <w:spacing w:before="40" w:after="40"/>
              <w:jc w:val="both"/>
              <w:rPr>
                <w:rFonts w:ascii="Arial Narrow" w:hAnsi="Arial Narrow" w:cs="Arial"/>
                <w:sz w:val="20"/>
                <w:szCs w:val="20"/>
              </w:rPr>
            </w:pPr>
          </w:p>
          <w:p w:rsidR="00016F6C" w:rsidRPr="00AF1915" w:rsidRDefault="00016F6C" w:rsidP="00EB0B63">
            <w:pPr>
              <w:keepNext/>
              <w:spacing w:before="40" w:after="40"/>
              <w:jc w:val="both"/>
              <w:rPr>
                <w:rFonts w:ascii="Arial Narrow" w:hAnsi="Arial Narrow" w:cs="Arial"/>
                <w:i/>
                <w:sz w:val="20"/>
                <w:szCs w:val="20"/>
              </w:rPr>
            </w:pPr>
            <w:r w:rsidRPr="00AF1915">
              <w:rPr>
                <w:rFonts w:ascii="Arial Narrow" w:hAnsi="Arial Narrow" w:cs="Arial"/>
                <w:strike/>
                <w:sz w:val="20"/>
                <w:szCs w:val="20"/>
              </w:rPr>
              <w:t>4</w:t>
            </w:r>
            <w:r w:rsidR="00AF1915">
              <w:rPr>
                <w:rFonts w:ascii="Arial Narrow" w:hAnsi="Arial Narrow" w:cs="Arial"/>
                <w:i/>
                <w:sz w:val="20"/>
                <w:szCs w:val="20"/>
              </w:rPr>
              <w:t>2</w:t>
            </w:r>
          </w:p>
        </w:tc>
        <w:tc>
          <w:tcPr>
            <w:tcW w:w="1019" w:type="pct"/>
          </w:tcPr>
          <w:p w:rsidR="00016F6C" w:rsidRPr="00260CE3" w:rsidRDefault="00016F6C" w:rsidP="00C74035">
            <w:pPr>
              <w:keepNext/>
              <w:spacing w:before="40" w:after="40"/>
              <w:jc w:val="both"/>
              <w:rPr>
                <w:rFonts w:ascii="Arial Narrow" w:hAnsi="Arial Narrow" w:cs="Arial"/>
                <w:sz w:val="20"/>
                <w:szCs w:val="20"/>
              </w:rPr>
            </w:pPr>
          </w:p>
          <w:p w:rsidR="00016F6C" w:rsidRDefault="006E2F56" w:rsidP="00016F6C">
            <w:pPr>
              <w:keepNext/>
              <w:spacing w:before="40" w:after="40"/>
              <w:jc w:val="both"/>
              <w:rPr>
                <w:rFonts w:ascii="Arial Narrow" w:hAnsi="Arial Narrow" w:cs="Arial"/>
                <w:sz w:val="20"/>
                <w:szCs w:val="20"/>
              </w:rPr>
            </w:pPr>
            <w:r>
              <w:rPr>
                <w:rFonts w:ascii="Arial Narrow" w:hAnsi="Arial Narrow" w:cs="Arial"/>
                <w:sz w:val="20"/>
                <w:szCs w:val="20"/>
              </w:rPr>
              <w:t>$6,605</w:t>
            </w:r>
            <w:r w:rsidR="00016F6C">
              <w:rPr>
                <w:rFonts w:ascii="Arial Narrow" w:hAnsi="Arial Narrow" w:cs="Arial"/>
                <w:sz w:val="20"/>
                <w:szCs w:val="20"/>
              </w:rPr>
              <w:t>.76 (published)</w:t>
            </w:r>
          </w:p>
          <w:p w:rsidR="00016F6C" w:rsidRPr="00260CE3" w:rsidRDefault="00016F6C" w:rsidP="00016F6C">
            <w:pPr>
              <w:keepNext/>
              <w:spacing w:before="40" w:after="40"/>
              <w:jc w:val="both"/>
              <w:rPr>
                <w:rFonts w:ascii="Arial Narrow" w:hAnsi="Arial Narrow" w:cs="Arial"/>
                <w:sz w:val="20"/>
                <w:szCs w:val="20"/>
              </w:rPr>
            </w:pPr>
            <w:r>
              <w:rPr>
                <w:rFonts w:ascii="Arial Narrow" w:hAnsi="Arial Narrow" w:cs="Arial"/>
                <w:sz w:val="20"/>
                <w:szCs w:val="20"/>
              </w:rPr>
              <w:t>$</w:t>
            </w:r>
            <w:r w:rsidR="00DE7568">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461" w:type="pct"/>
          </w:tcPr>
          <w:p w:rsidR="00016F6C" w:rsidRDefault="00016F6C" w:rsidP="00C74035">
            <w:pPr>
              <w:keepNext/>
              <w:spacing w:before="40" w:after="40"/>
              <w:jc w:val="both"/>
              <w:rPr>
                <w:rFonts w:ascii="Arial Narrow" w:hAnsi="Arial Narrow" w:cs="Arial"/>
                <w:sz w:val="20"/>
                <w:szCs w:val="20"/>
              </w:rPr>
            </w:pPr>
          </w:p>
          <w:p w:rsidR="00016F6C" w:rsidRDefault="00016F6C" w:rsidP="00EB0B63">
            <w:pPr>
              <w:keepNext/>
              <w:spacing w:before="40" w:after="40"/>
              <w:jc w:val="both"/>
              <w:rPr>
                <w:rFonts w:ascii="Arial Narrow" w:hAnsi="Arial Narrow" w:cs="Arial"/>
                <w:sz w:val="20"/>
                <w:szCs w:val="20"/>
              </w:rPr>
            </w:pPr>
          </w:p>
        </w:tc>
        <w:tc>
          <w:tcPr>
            <w:tcW w:w="878" w:type="pct"/>
            <w:gridSpan w:val="3"/>
          </w:tcPr>
          <w:p w:rsidR="00016F6C" w:rsidRDefault="00016F6C" w:rsidP="00EB0B63">
            <w:pPr>
              <w:keepNext/>
              <w:spacing w:before="40" w:after="40"/>
              <w:jc w:val="both"/>
              <w:rPr>
                <w:rFonts w:ascii="Arial Narrow" w:hAnsi="Arial Narrow" w:cs="Arial"/>
                <w:sz w:val="20"/>
                <w:szCs w:val="20"/>
              </w:rPr>
            </w:pPr>
          </w:p>
        </w:tc>
      </w:tr>
      <w:tr w:rsidR="00016F6C" w:rsidRPr="00260CE3" w:rsidTr="00C7391A">
        <w:trPr>
          <w:gridAfter w:val="2"/>
          <w:wAfter w:w="487" w:type="pct"/>
          <w:cantSplit/>
          <w:trHeight w:val="360"/>
        </w:trPr>
        <w:tc>
          <w:tcPr>
            <w:tcW w:w="4513" w:type="pct"/>
            <w:gridSpan w:val="7"/>
            <w:tcBorders>
              <w:bottom w:val="single" w:sz="4" w:space="0" w:color="auto"/>
            </w:tcBorders>
          </w:tcPr>
          <w:p w:rsidR="00016F6C" w:rsidRPr="00260CE3" w:rsidRDefault="00016F6C" w:rsidP="00EB0B63">
            <w:pPr>
              <w:spacing w:before="40" w:after="40"/>
              <w:jc w:val="both"/>
              <w:rPr>
                <w:rFonts w:ascii="Arial Narrow" w:hAnsi="Arial Narrow" w:cs="Arial"/>
                <w:sz w:val="20"/>
                <w:szCs w:val="20"/>
              </w:rPr>
            </w:pP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5A633B" w:rsidRDefault="00016F6C" w:rsidP="00EB0B63">
            <w:pPr>
              <w:spacing w:before="40" w:after="40"/>
              <w:jc w:val="both"/>
              <w:rPr>
                <w:rFonts w:ascii="Arial Narrow" w:hAnsi="Arial Narrow" w:cs="Arial"/>
                <w:b/>
                <w:sz w:val="20"/>
                <w:szCs w:val="20"/>
              </w:rPr>
            </w:pPr>
            <w:r w:rsidRPr="005A633B">
              <w:rPr>
                <w:rFonts w:ascii="Arial Narrow" w:hAnsi="Arial Narrow" w:cs="Arial"/>
                <w:b/>
                <w:sz w:val="20"/>
                <w:szCs w:val="20"/>
              </w:rPr>
              <w:t xml:space="preserve">Category / </w:t>
            </w:r>
          </w:p>
          <w:p w:rsidR="00016F6C" w:rsidRPr="00260CE3" w:rsidRDefault="00016F6C" w:rsidP="00EB0B63">
            <w:pPr>
              <w:spacing w:before="40" w:after="40"/>
              <w:jc w:val="both"/>
              <w:rPr>
                <w:rFonts w:ascii="Arial Narrow" w:hAnsi="Arial Narrow" w:cs="Arial"/>
                <w:b/>
                <w:sz w:val="20"/>
                <w:szCs w:val="20"/>
              </w:rPr>
            </w:pPr>
            <w:r w:rsidRPr="005A633B">
              <w:rPr>
                <w:rFonts w:ascii="Arial Narrow" w:hAnsi="Arial Narrow" w:cs="Arial"/>
                <w:b/>
                <w:sz w:val="20"/>
                <w:szCs w:val="20"/>
              </w:rPr>
              <w:t>Program</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8C57E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1E061B">
              <w:rPr>
                <w:rFonts w:ascii="Arial Narrow" w:hAnsi="Arial Narrow" w:cs="Arial"/>
                <w:sz w:val="20"/>
                <w:szCs w:val="20"/>
              </w:rPr>
            </w:r>
            <w:r w:rsidR="001E061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rPr>
                <w:rFonts w:ascii="Arial Narrow" w:hAnsi="Arial Narrow" w:cs="Arial"/>
                <w:sz w:val="20"/>
                <w:szCs w:val="20"/>
              </w:rPr>
            </w:pPr>
            <w:r w:rsidRPr="000C1A05">
              <w:rPr>
                <w:rFonts w:ascii="Arial Narrow" w:hAnsi="Arial Narrow" w:cs="Arial"/>
                <w:sz w:val="20"/>
                <w:szCs w:val="20"/>
              </w:rPr>
              <w:t>Stage IV</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rPr>
                <w:rFonts w:ascii="Arial Narrow" w:hAnsi="Arial Narrow" w:cs="Arial"/>
                <w:sz w:val="20"/>
                <w:szCs w:val="20"/>
              </w:rPr>
            </w:pPr>
            <w:r w:rsidRPr="000C1A05">
              <w:rPr>
                <w:rFonts w:ascii="Arial Narrow" w:hAnsi="Arial Narrow" w:cs="Arial"/>
                <w:sz w:val="20"/>
                <w:szCs w:val="20"/>
              </w:rPr>
              <w:t>Clear cell variant renal cell carcinoma (RCC)</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rPr>
                <w:rFonts w:ascii="Arial Narrow" w:hAnsi="Arial Narrow" w:cs="Arial"/>
                <w:sz w:val="20"/>
                <w:szCs w:val="20"/>
              </w:rPr>
            </w:pPr>
            <w:r w:rsidRPr="000C1A05">
              <w:rPr>
                <w:rFonts w:ascii="Arial Narrow" w:hAnsi="Arial Narrow" w:cs="Arial"/>
                <w:sz w:val="20"/>
                <w:szCs w:val="20"/>
              </w:rPr>
              <w:t>Stage IV</w:t>
            </w:r>
            <w:r>
              <w:rPr>
                <w:rFonts w:ascii="Arial Narrow" w:hAnsi="Arial Narrow" w:cs="Arial"/>
                <w:sz w:val="20"/>
                <w:szCs w:val="20"/>
              </w:rPr>
              <w:t xml:space="preserve"> c</w:t>
            </w:r>
            <w:r w:rsidRPr="000C1A05">
              <w:rPr>
                <w:rFonts w:ascii="Arial Narrow" w:hAnsi="Arial Narrow" w:cs="Arial"/>
                <w:sz w:val="20"/>
                <w:szCs w:val="20"/>
              </w:rPr>
              <w:t>lear cell variant renal cell carcinoma (RCC)</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0C1A05"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0C1A05">
            <w:pPr>
              <w:spacing w:before="40" w:after="40"/>
              <w:rPr>
                <w:rFonts w:ascii="Arial Narrow" w:hAnsi="Arial Narrow" w:cs="Arial"/>
                <w:sz w:val="20"/>
                <w:szCs w:val="20"/>
              </w:rPr>
            </w:pPr>
            <w:r w:rsidRPr="000C1A05">
              <w:rPr>
                <w:rFonts w:ascii="Arial Narrow" w:hAnsi="Arial Narrow" w:cs="Arial"/>
                <w:sz w:val="20"/>
                <w:szCs w:val="20"/>
              </w:rPr>
              <w:t>Initial treatment</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8C57E5" w:rsidRDefault="00016F6C" w:rsidP="008C57E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 w:val="20"/>
                    <w:default w:val="1"/>
                  </w:checkBox>
                </w:ffData>
              </w:fldChar>
            </w:r>
            <w:bookmarkStart w:id="1" w:name="Check5"/>
            <w:r>
              <w:rPr>
                <w:rFonts w:ascii="Arial Narrow" w:hAnsi="Arial Narrow" w:cs="Arial"/>
                <w:sz w:val="20"/>
                <w:szCs w:val="20"/>
              </w:rPr>
              <w:instrText xml:space="preserve"> FORMCHECKBOX </w:instrText>
            </w:r>
            <w:r w:rsidR="001E061B">
              <w:rPr>
                <w:rFonts w:ascii="Arial Narrow" w:hAnsi="Arial Narrow" w:cs="Arial"/>
                <w:sz w:val="20"/>
                <w:szCs w:val="20"/>
              </w:rPr>
            </w:r>
            <w:r w:rsidR="001E061B">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Streamlined</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016F6C" w:rsidRPr="00260CE3" w:rsidRDefault="00016F6C" w:rsidP="00EB0B63">
            <w:pPr>
              <w:spacing w:before="40" w:after="40"/>
              <w:jc w:val="both"/>
              <w:rPr>
                <w:rFonts w:ascii="Arial Narrow" w:hAnsi="Arial Narrow" w:cs="Arial"/>
                <w:i/>
                <w:sz w:val="20"/>
                <w:szCs w:val="20"/>
              </w:rPr>
            </w:pPr>
          </w:p>
          <w:p w:rsidR="00016F6C" w:rsidRPr="00260CE3" w:rsidRDefault="00016F6C" w:rsidP="000C1A05">
            <w:pPr>
              <w:spacing w:before="40" w:after="40"/>
              <w:jc w:val="both"/>
              <w:rPr>
                <w:rFonts w:ascii="Arial Narrow" w:hAnsi="Arial Narrow" w:cs="Arial"/>
                <w:sz w:val="20"/>
                <w:szCs w:val="20"/>
              </w:rPr>
            </w:pPr>
          </w:p>
        </w:tc>
        <w:tc>
          <w:tcPr>
            <w:tcW w:w="3914" w:type="pct"/>
            <w:gridSpan w:val="7"/>
            <w:tcBorders>
              <w:top w:val="single" w:sz="4" w:space="0" w:color="auto"/>
              <w:left w:val="single" w:sz="4" w:space="0" w:color="auto"/>
              <w:bottom w:val="single" w:sz="4" w:space="0" w:color="auto"/>
              <w:right w:val="single" w:sz="4" w:space="0" w:color="auto"/>
            </w:tcBorders>
          </w:tcPr>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 xml:space="preserve">The treatment must be used in combination with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at a maximum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dose of 5 mg daily.</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AND</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Patient must have progressive disease according to the Response Evaluation Criteria in Solid Tumours (RECIST) following first-line treatment with a tyrosine kinase inhibitor</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OR</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Patient must have developed intolerance to a tyrosine kinase inhibitor of a severity necessitating permanent treatment withdrawal.</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AND</w:t>
            </w:r>
          </w:p>
          <w:p w:rsidR="00016F6C" w:rsidRPr="00260CE3" w:rsidRDefault="00016F6C" w:rsidP="000C1A05">
            <w:pPr>
              <w:spacing w:before="40" w:after="40"/>
              <w:rPr>
                <w:rFonts w:ascii="Arial Narrow" w:hAnsi="Arial Narrow" w:cs="Arial"/>
                <w:sz w:val="20"/>
                <w:szCs w:val="20"/>
              </w:rPr>
            </w:pPr>
            <w:r w:rsidRPr="000C1A05">
              <w:rPr>
                <w:rFonts w:ascii="Arial Narrow" w:hAnsi="Arial Narrow" w:cs="Arial"/>
                <w:sz w:val="20"/>
                <w:szCs w:val="20"/>
              </w:rPr>
              <w:t>Patient must have a WHO performance status of 2 or less</w:t>
            </w:r>
            <w:r>
              <w:rPr>
                <w:rFonts w:ascii="Arial Narrow" w:hAnsi="Arial Narrow" w:cs="Arial"/>
                <w:sz w:val="20"/>
                <w:szCs w:val="20"/>
              </w:rPr>
              <w:t>.</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0C1A05" w:rsidRDefault="00016F6C" w:rsidP="000C1A05">
            <w:pPr>
              <w:spacing w:before="40" w:after="40"/>
              <w:jc w:val="both"/>
              <w:rPr>
                <w:rFonts w:ascii="Arial Narrow" w:hAnsi="Arial Narrow" w:cs="Arial"/>
                <w:b/>
                <w:sz w:val="20"/>
                <w:szCs w:val="20"/>
              </w:rPr>
            </w:pPr>
            <w:r w:rsidRPr="00260CE3">
              <w:rPr>
                <w:rFonts w:ascii="Arial Narrow" w:hAnsi="Arial Narrow" w:cs="Arial"/>
                <w:b/>
                <w:sz w:val="20"/>
                <w:szCs w:val="20"/>
              </w:rPr>
              <w:t>Population criteria:</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jc w:val="both"/>
              <w:rPr>
                <w:rFonts w:ascii="Arial Narrow" w:hAnsi="Arial Narrow" w:cs="Arial"/>
                <w:sz w:val="20"/>
                <w:szCs w:val="20"/>
              </w:rPr>
            </w:pPr>
            <w:r>
              <w:rPr>
                <w:rFonts w:ascii="Arial Narrow" w:hAnsi="Arial Narrow" w:cs="Arial"/>
                <w:sz w:val="20"/>
                <w:szCs w:val="20"/>
              </w:rPr>
              <w:t>Patient must be aged 18 years or older</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0C1A05"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Definition</w:t>
            </w:r>
            <w:r>
              <w:rPr>
                <w:rFonts w:ascii="Arial Narrow" w:hAnsi="Arial Narrow" w:cs="Arial"/>
                <w:b/>
                <w:sz w:val="20"/>
                <w:szCs w:val="20"/>
              </w:rPr>
              <w:t>s</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 xml:space="preserve">Response Evaluation Criteria In Solid Tumours (RECIST) is defined as follows: </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Complete response (CR) is disappearance of all target lesions.</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Partial response (PR) is a 30% decrease in the sum of the longest diameter of target lesions.</w:t>
            </w:r>
          </w:p>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Progressive disease (PD) is a 20% increase in the sum of the longest diameter of target lesions.</w:t>
            </w:r>
          </w:p>
          <w:p w:rsidR="00016F6C" w:rsidRPr="00260CE3" w:rsidRDefault="00016F6C" w:rsidP="000C1A05">
            <w:pPr>
              <w:spacing w:before="40" w:after="40"/>
              <w:rPr>
                <w:rFonts w:ascii="Arial Narrow" w:hAnsi="Arial Narrow" w:cs="Arial"/>
                <w:sz w:val="20"/>
                <w:szCs w:val="20"/>
              </w:rPr>
            </w:pPr>
            <w:r w:rsidRPr="000C1A05">
              <w:rPr>
                <w:rFonts w:ascii="Arial Narrow" w:hAnsi="Arial Narrow" w:cs="Arial"/>
                <w:sz w:val="20"/>
                <w:szCs w:val="20"/>
              </w:rPr>
              <w:t>Stable disease (SD) is small changes that do not meet above criteria</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0C1A05" w:rsidRDefault="00016F6C" w:rsidP="00EB0B63">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260CE3" w:rsidRDefault="00016F6C" w:rsidP="00EB0B63">
            <w:pPr>
              <w:spacing w:before="40" w:after="40"/>
              <w:rPr>
                <w:rFonts w:ascii="Arial Narrow" w:hAnsi="Arial Narrow" w:cs="Arial"/>
                <w:sz w:val="20"/>
                <w:szCs w:val="20"/>
              </w:rPr>
            </w:pPr>
            <w:r w:rsidRPr="000C1A05">
              <w:rPr>
                <w:rFonts w:ascii="Arial Narrow" w:hAnsi="Arial Narrow" w:cs="Arial"/>
                <w:sz w:val="20"/>
                <w:szCs w:val="20"/>
              </w:rPr>
              <w:t>No increase in the maximum number of repeats may be authorised.</w:t>
            </w:r>
          </w:p>
        </w:tc>
      </w:tr>
      <w:tr w:rsidR="00016F6C"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016F6C" w:rsidRPr="000C1A05" w:rsidRDefault="00016F6C" w:rsidP="000C1A05">
            <w:pPr>
              <w:spacing w:before="40" w:after="40"/>
              <w:jc w:val="both"/>
              <w:rPr>
                <w:rFonts w:ascii="Arial Narrow" w:hAnsi="Arial Narrow" w:cs="Arial"/>
                <w:b/>
                <w:sz w:val="20"/>
                <w:szCs w:val="20"/>
              </w:rPr>
            </w:pPr>
            <w:r w:rsidRPr="00260CE3">
              <w:rPr>
                <w:rFonts w:ascii="Arial Narrow" w:hAnsi="Arial Narrow" w:cs="Arial"/>
                <w:b/>
                <w:sz w:val="20"/>
                <w:szCs w:val="20"/>
              </w:rPr>
              <w:t>Cautions</w:t>
            </w:r>
          </w:p>
        </w:tc>
        <w:tc>
          <w:tcPr>
            <w:tcW w:w="3914" w:type="pct"/>
            <w:gridSpan w:val="7"/>
            <w:tcBorders>
              <w:top w:val="single" w:sz="4" w:space="0" w:color="auto"/>
              <w:left w:val="single" w:sz="4" w:space="0" w:color="auto"/>
              <w:bottom w:val="single" w:sz="4" w:space="0" w:color="auto"/>
              <w:right w:val="single" w:sz="4" w:space="0" w:color="auto"/>
            </w:tcBorders>
          </w:tcPr>
          <w:p w:rsidR="00016F6C" w:rsidRPr="000C1A05" w:rsidRDefault="00016F6C" w:rsidP="000C1A05">
            <w:pPr>
              <w:spacing w:before="40" w:after="40"/>
              <w:rPr>
                <w:rFonts w:ascii="Arial Narrow" w:hAnsi="Arial Narrow" w:cs="Arial"/>
                <w:sz w:val="20"/>
                <w:szCs w:val="20"/>
              </w:rPr>
            </w:pPr>
            <w:r w:rsidRPr="000C1A05">
              <w:rPr>
                <w:rFonts w:ascii="Arial Narrow" w:hAnsi="Arial Narrow" w:cs="Arial"/>
                <w:sz w:val="20"/>
                <w:szCs w:val="20"/>
              </w:rPr>
              <w:t xml:space="preserve">In the clinical trial supporting regulatory approval of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with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for </w:t>
            </w:r>
            <w:proofErr w:type="spellStart"/>
            <w:r w:rsidRPr="000C1A05">
              <w:rPr>
                <w:rFonts w:ascii="Arial Narrow" w:hAnsi="Arial Narrow" w:cs="Arial"/>
                <w:sz w:val="20"/>
                <w:szCs w:val="20"/>
              </w:rPr>
              <w:t>mRCC</w:t>
            </w:r>
            <w:proofErr w:type="spellEnd"/>
            <w:r w:rsidRPr="000C1A05">
              <w:rPr>
                <w:rFonts w:ascii="Arial Narrow" w:hAnsi="Arial Narrow" w:cs="Arial"/>
                <w:sz w:val="20"/>
                <w:szCs w:val="20"/>
              </w:rPr>
              <w:t xml:space="preserve">, adverse reactions leading to a dose reduction or interruption were reported in 89% of patients receiving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and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The most common adverse reactions (≥ 5%) resulting in dose reductions in the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and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-treated group were diarrhoea (21%), fatigue (8%), </w:t>
            </w:r>
            <w:proofErr w:type="spellStart"/>
            <w:r w:rsidRPr="000C1A05">
              <w:rPr>
                <w:rFonts w:ascii="Arial Narrow" w:hAnsi="Arial Narrow" w:cs="Arial"/>
                <w:sz w:val="20"/>
                <w:szCs w:val="20"/>
              </w:rPr>
              <w:t>thrombocytop</w:t>
            </w:r>
            <w:r w:rsidRPr="005F3CEA">
              <w:rPr>
                <w:rFonts w:ascii="Arial Narrow" w:hAnsi="Arial Narrow" w:cs="Arial"/>
                <w:strike/>
                <w:sz w:val="20"/>
                <w:szCs w:val="20"/>
              </w:rPr>
              <w:t>a</w:t>
            </w:r>
            <w:r w:rsidRPr="000C1A05">
              <w:rPr>
                <w:rFonts w:ascii="Arial Narrow" w:hAnsi="Arial Narrow" w:cs="Arial"/>
                <w:sz w:val="20"/>
                <w:szCs w:val="20"/>
              </w:rPr>
              <w:t>enia</w:t>
            </w:r>
            <w:proofErr w:type="spellEnd"/>
            <w:r w:rsidRPr="000C1A05">
              <w:rPr>
                <w:rFonts w:ascii="Arial Narrow" w:hAnsi="Arial Narrow" w:cs="Arial"/>
                <w:sz w:val="20"/>
                <w:szCs w:val="20"/>
              </w:rPr>
              <w:t xml:space="preserve"> (6%), vomiting (6%), nausea (5%), and proteinuria (5%).</w:t>
            </w:r>
          </w:p>
          <w:p w:rsidR="00016F6C" w:rsidRPr="000C1A05" w:rsidRDefault="00016F6C" w:rsidP="000C1A05">
            <w:pPr>
              <w:spacing w:before="40" w:after="40"/>
              <w:rPr>
                <w:rFonts w:ascii="Arial Narrow" w:hAnsi="Arial Narrow" w:cs="Arial"/>
                <w:sz w:val="20"/>
                <w:szCs w:val="20"/>
              </w:rPr>
            </w:pPr>
          </w:p>
          <w:p w:rsidR="00016F6C" w:rsidRPr="00260CE3" w:rsidRDefault="00016F6C" w:rsidP="000C1A05">
            <w:pPr>
              <w:spacing w:before="40" w:after="40"/>
              <w:rPr>
                <w:rFonts w:ascii="Arial Narrow" w:hAnsi="Arial Narrow" w:cs="Arial"/>
                <w:sz w:val="20"/>
                <w:szCs w:val="20"/>
              </w:rPr>
            </w:pPr>
            <w:r w:rsidRPr="000C1A05">
              <w:rPr>
                <w:rFonts w:ascii="Arial Narrow" w:hAnsi="Arial Narrow" w:cs="Arial"/>
                <w:sz w:val="20"/>
                <w:szCs w:val="20"/>
              </w:rPr>
              <w:t xml:space="preserve">Management of adverse reactions may require dose interruption, adjustment, or discontinuation of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or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and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Guidance for dose adjustment during therapy is provided under the Dosage and Administration section of the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Product Information.</w:t>
            </w:r>
          </w:p>
        </w:tc>
      </w:tr>
    </w:tbl>
    <w:p w:rsidR="00826F6D" w:rsidRDefault="00826F6D" w:rsidP="002D4543">
      <w:pPr>
        <w:rPr>
          <w:szCs w:val="22"/>
        </w:rPr>
      </w:pPr>
    </w:p>
    <w:tbl>
      <w:tblPr>
        <w:tblW w:w="4915" w:type="pct"/>
        <w:tblLook w:val="0000" w:firstRow="0" w:lastRow="0" w:firstColumn="0" w:lastColumn="0" w:noHBand="0" w:noVBand="0"/>
      </w:tblPr>
      <w:tblGrid>
        <w:gridCol w:w="1967"/>
        <w:gridCol w:w="1380"/>
        <w:gridCol w:w="752"/>
        <w:gridCol w:w="700"/>
        <w:gridCol w:w="1852"/>
        <w:gridCol w:w="838"/>
        <w:gridCol w:w="1590"/>
        <w:gridCol w:w="6"/>
      </w:tblGrid>
      <w:tr w:rsidR="00016F6C" w:rsidRPr="0039782C" w:rsidTr="00F15090">
        <w:trPr>
          <w:cantSplit/>
          <w:trHeight w:val="465"/>
        </w:trPr>
        <w:tc>
          <w:tcPr>
            <w:tcW w:w="1843" w:type="pct"/>
            <w:gridSpan w:val="2"/>
            <w:tcBorders>
              <w:bottom w:val="single" w:sz="4" w:space="0" w:color="auto"/>
            </w:tcBorders>
          </w:tcPr>
          <w:p w:rsidR="008C57E5" w:rsidRPr="0039782C" w:rsidRDefault="008C57E5" w:rsidP="00C74035">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C57E5" w:rsidRPr="0039782C" w:rsidRDefault="008C57E5" w:rsidP="00C74035">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4" w:type="pct"/>
            <w:tcBorders>
              <w:bottom w:val="single" w:sz="4" w:space="0" w:color="auto"/>
            </w:tcBorders>
          </w:tcPr>
          <w:p w:rsidR="008C57E5" w:rsidRPr="0039782C" w:rsidRDefault="008C57E5" w:rsidP="00C74035">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C57E5" w:rsidRPr="0039782C" w:rsidRDefault="008C57E5" w:rsidP="00C74035">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Pr>
                <w:rFonts w:ascii="Arial Narrow" w:hAnsi="Arial Narrow" w:cs="Arial"/>
                <w:b/>
                <w:sz w:val="20"/>
                <w:szCs w:val="20"/>
              </w:rPr>
              <w:t xml:space="preserve"> </w:t>
            </w:r>
          </w:p>
        </w:tc>
        <w:tc>
          <w:tcPr>
            <w:tcW w:w="385" w:type="pct"/>
            <w:tcBorders>
              <w:bottom w:val="single" w:sz="4" w:space="0" w:color="auto"/>
            </w:tcBorders>
          </w:tcPr>
          <w:p w:rsidR="008C57E5" w:rsidRPr="0039782C" w:rsidRDefault="008C57E5" w:rsidP="00C74035">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C57E5" w:rsidRPr="0039782C" w:rsidRDefault="008C57E5" w:rsidP="00C74035">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019" w:type="pct"/>
            <w:tcBorders>
              <w:bottom w:val="single" w:sz="4" w:space="0" w:color="auto"/>
            </w:tcBorders>
          </w:tcPr>
          <w:p w:rsidR="008C57E5" w:rsidRPr="0039782C" w:rsidRDefault="008C57E5" w:rsidP="00C74035">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39" w:type="pct"/>
            <w:gridSpan w:val="3"/>
            <w:tcBorders>
              <w:bottom w:val="single" w:sz="4" w:space="0" w:color="auto"/>
            </w:tcBorders>
          </w:tcPr>
          <w:p w:rsidR="008C57E5" w:rsidRPr="0039782C" w:rsidRDefault="008C57E5" w:rsidP="00C74035">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16F6C" w:rsidRPr="00260CE3" w:rsidTr="00F15090">
        <w:trPr>
          <w:cantSplit/>
          <w:trHeight w:val="567"/>
        </w:trPr>
        <w:tc>
          <w:tcPr>
            <w:tcW w:w="1843" w:type="pct"/>
            <w:gridSpan w:val="2"/>
          </w:tcPr>
          <w:p w:rsidR="008C57E5" w:rsidRPr="00260CE3" w:rsidRDefault="008C57E5" w:rsidP="00C74035">
            <w:pPr>
              <w:keepNext/>
              <w:spacing w:before="40" w:after="40"/>
              <w:jc w:val="both"/>
              <w:rPr>
                <w:rFonts w:ascii="Arial Narrow" w:hAnsi="Arial Narrow" w:cs="Arial"/>
                <w:sz w:val="20"/>
                <w:szCs w:val="20"/>
              </w:rPr>
            </w:pPr>
            <w:r>
              <w:rPr>
                <w:rFonts w:ascii="Arial Narrow" w:hAnsi="Arial Narrow" w:cs="Arial"/>
                <w:smallCaps/>
                <w:sz w:val="20"/>
                <w:szCs w:val="20"/>
              </w:rPr>
              <w:t xml:space="preserve">LENVATINIB, </w:t>
            </w:r>
          </w:p>
          <w:p w:rsidR="008C57E5" w:rsidRPr="00260CE3" w:rsidRDefault="008C57E5" w:rsidP="00C74035">
            <w:pPr>
              <w:keepNext/>
              <w:spacing w:before="40" w:after="40"/>
              <w:jc w:val="both"/>
              <w:rPr>
                <w:rFonts w:ascii="Arial Narrow" w:hAnsi="Arial Narrow" w:cs="Arial"/>
                <w:sz w:val="20"/>
                <w:szCs w:val="20"/>
              </w:rPr>
            </w:pPr>
            <w:r>
              <w:rPr>
                <w:rFonts w:ascii="Arial Narrow" w:hAnsi="Arial Narrow" w:cs="Arial"/>
                <w:sz w:val="20"/>
                <w:szCs w:val="20"/>
              </w:rPr>
              <w:t>10 mg capsule, 30</w:t>
            </w:r>
          </w:p>
        </w:tc>
        <w:tc>
          <w:tcPr>
            <w:tcW w:w="414" w:type="pct"/>
          </w:tcPr>
          <w:p w:rsidR="008C57E5" w:rsidRPr="00260CE3" w:rsidRDefault="008C57E5" w:rsidP="00C74035">
            <w:pPr>
              <w:keepNext/>
              <w:spacing w:before="40" w:after="40"/>
              <w:jc w:val="both"/>
              <w:rPr>
                <w:rFonts w:ascii="Arial Narrow" w:hAnsi="Arial Narrow" w:cs="Arial"/>
                <w:sz w:val="20"/>
                <w:szCs w:val="20"/>
              </w:rPr>
            </w:pPr>
          </w:p>
          <w:p w:rsidR="008C57E5" w:rsidRPr="00260CE3" w:rsidRDefault="008C57E5" w:rsidP="00C74035">
            <w:pPr>
              <w:keepNext/>
              <w:spacing w:before="40" w:after="40"/>
              <w:jc w:val="both"/>
              <w:rPr>
                <w:rFonts w:ascii="Arial Narrow" w:hAnsi="Arial Narrow" w:cs="Arial"/>
                <w:sz w:val="20"/>
                <w:szCs w:val="20"/>
              </w:rPr>
            </w:pPr>
            <w:r>
              <w:rPr>
                <w:rFonts w:ascii="Arial Narrow" w:hAnsi="Arial Narrow" w:cs="Arial"/>
                <w:sz w:val="20"/>
                <w:szCs w:val="20"/>
              </w:rPr>
              <w:t>1</w:t>
            </w:r>
          </w:p>
        </w:tc>
        <w:tc>
          <w:tcPr>
            <w:tcW w:w="385" w:type="pct"/>
          </w:tcPr>
          <w:p w:rsidR="008C57E5" w:rsidRPr="00260CE3" w:rsidRDefault="008C57E5" w:rsidP="00C74035">
            <w:pPr>
              <w:keepNext/>
              <w:spacing w:before="40" w:after="40"/>
              <w:jc w:val="both"/>
              <w:rPr>
                <w:rFonts w:ascii="Arial Narrow" w:hAnsi="Arial Narrow" w:cs="Arial"/>
                <w:sz w:val="20"/>
                <w:szCs w:val="20"/>
              </w:rPr>
            </w:pPr>
          </w:p>
          <w:p w:rsidR="008C57E5" w:rsidRPr="00260CE3" w:rsidRDefault="0043292A" w:rsidP="00C74035">
            <w:pPr>
              <w:keepNext/>
              <w:spacing w:before="40" w:after="40"/>
              <w:jc w:val="both"/>
              <w:rPr>
                <w:rFonts w:ascii="Arial Narrow" w:hAnsi="Arial Narrow" w:cs="Arial"/>
                <w:sz w:val="20"/>
                <w:szCs w:val="20"/>
              </w:rPr>
            </w:pPr>
            <w:r>
              <w:rPr>
                <w:rFonts w:ascii="Arial Narrow" w:hAnsi="Arial Narrow" w:cs="Arial"/>
                <w:sz w:val="20"/>
                <w:szCs w:val="20"/>
              </w:rPr>
              <w:t>5</w:t>
            </w:r>
          </w:p>
        </w:tc>
        <w:tc>
          <w:tcPr>
            <w:tcW w:w="1019" w:type="pct"/>
          </w:tcPr>
          <w:p w:rsidR="008C57E5" w:rsidRPr="00FD0B2D" w:rsidRDefault="008C57E5" w:rsidP="00C74035">
            <w:pPr>
              <w:keepNext/>
              <w:spacing w:before="40" w:after="40"/>
              <w:jc w:val="both"/>
              <w:rPr>
                <w:rFonts w:ascii="Arial Narrow" w:hAnsi="Arial Narrow" w:cs="Arial"/>
                <w:sz w:val="20"/>
                <w:szCs w:val="20"/>
                <w:highlight w:val="yellow"/>
              </w:rPr>
            </w:pPr>
          </w:p>
          <w:p w:rsidR="008C57E5" w:rsidRDefault="00DB766D" w:rsidP="00C74035">
            <w:pPr>
              <w:keepNext/>
              <w:spacing w:before="40" w:after="40"/>
              <w:jc w:val="both"/>
              <w:rPr>
                <w:rFonts w:ascii="Arial Narrow" w:hAnsi="Arial Narrow" w:cs="Arial"/>
                <w:sz w:val="20"/>
                <w:szCs w:val="20"/>
              </w:rPr>
            </w:pPr>
            <w:r>
              <w:rPr>
                <w:rFonts w:ascii="Arial Narrow" w:hAnsi="Arial Narrow" w:cs="Arial"/>
                <w:sz w:val="20"/>
                <w:szCs w:val="20"/>
              </w:rPr>
              <w:t>$</w:t>
            </w:r>
            <w:r w:rsidR="006E2F56">
              <w:rPr>
                <w:rFonts w:ascii="Arial Narrow" w:hAnsi="Arial Narrow" w:cs="Arial"/>
                <w:sz w:val="20"/>
                <w:szCs w:val="20"/>
              </w:rPr>
              <w:t>3,302</w:t>
            </w:r>
            <w:r w:rsidR="00016F6C">
              <w:rPr>
                <w:rFonts w:ascii="Arial Narrow" w:hAnsi="Arial Narrow" w:cs="Arial"/>
                <w:sz w:val="20"/>
                <w:szCs w:val="20"/>
              </w:rPr>
              <w:t>.88 (published)</w:t>
            </w:r>
          </w:p>
          <w:p w:rsidR="00016F6C" w:rsidRPr="00FD0B2D" w:rsidRDefault="00016F6C" w:rsidP="00C74035">
            <w:pPr>
              <w:keepNext/>
              <w:spacing w:before="40" w:after="40"/>
              <w:jc w:val="both"/>
              <w:rPr>
                <w:rFonts w:ascii="Arial Narrow" w:hAnsi="Arial Narrow" w:cs="Arial"/>
                <w:sz w:val="20"/>
                <w:szCs w:val="20"/>
                <w:highlight w:val="yellow"/>
              </w:rPr>
            </w:pPr>
            <w:r>
              <w:rPr>
                <w:rFonts w:ascii="Arial Narrow" w:hAnsi="Arial Narrow" w:cs="Arial"/>
                <w:sz w:val="20"/>
                <w:szCs w:val="20"/>
              </w:rPr>
              <w:t>$</w:t>
            </w:r>
            <w:r w:rsidR="00DE7568">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461" w:type="pct"/>
          </w:tcPr>
          <w:p w:rsidR="008C57E5" w:rsidRDefault="008C57E5" w:rsidP="00C74035">
            <w:pPr>
              <w:keepNext/>
              <w:spacing w:before="40" w:after="40"/>
              <w:jc w:val="both"/>
              <w:rPr>
                <w:rFonts w:ascii="Arial Narrow" w:hAnsi="Arial Narrow" w:cs="Arial"/>
                <w:sz w:val="20"/>
                <w:szCs w:val="20"/>
              </w:rPr>
            </w:pPr>
          </w:p>
          <w:p w:rsidR="008C57E5" w:rsidRPr="00260CE3" w:rsidRDefault="008C57E5" w:rsidP="00C74035">
            <w:pPr>
              <w:keepNext/>
              <w:spacing w:before="40" w:after="40"/>
              <w:jc w:val="both"/>
              <w:rPr>
                <w:rFonts w:ascii="Arial Narrow" w:hAnsi="Arial Narrow" w:cs="Arial"/>
                <w:sz w:val="20"/>
                <w:szCs w:val="20"/>
              </w:rPr>
            </w:pPr>
            <w:proofErr w:type="spellStart"/>
            <w:r>
              <w:rPr>
                <w:rFonts w:ascii="Arial Narrow" w:hAnsi="Arial Narrow" w:cs="Arial"/>
                <w:sz w:val="20"/>
                <w:szCs w:val="20"/>
              </w:rPr>
              <w:t>Lenvima</w:t>
            </w:r>
            <w:proofErr w:type="spellEnd"/>
          </w:p>
        </w:tc>
        <w:tc>
          <w:tcPr>
            <w:tcW w:w="878" w:type="pct"/>
            <w:gridSpan w:val="2"/>
          </w:tcPr>
          <w:p w:rsidR="008C57E5" w:rsidRDefault="008C57E5" w:rsidP="00C74035">
            <w:pPr>
              <w:keepNext/>
              <w:spacing w:before="40" w:after="40"/>
              <w:jc w:val="both"/>
              <w:rPr>
                <w:rFonts w:ascii="Arial Narrow" w:hAnsi="Arial Narrow" w:cs="Arial"/>
                <w:sz w:val="20"/>
                <w:szCs w:val="20"/>
              </w:rPr>
            </w:pPr>
          </w:p>
          <w:p w:rsidR="008C57E5" w:rsidRPr="00260CE3" w:rsidRDefault="008C57E5" w:rsidP="00C74035">
            <w:pPr>
              <w:keepNext/>
              <w:spacing w:before="40" w:after="40"/>
              <w:jc w:val="both"/>
              <w:rPr>
                <w:rFonts w:ascii="Arial Narrow" w:hAnsi="Arial Narrow" w:cs="Arial"/>
                <w:sz w:val="20"/>
                <w:szCs w:val="20"/>
              </w:rPr>
            </w:pPr>
            <w:r>
              <w:rPr>
                <w:rFonts w:ascii="Arial Narrow" w:hAnsi="Arial Narrow" w:cs="Arial"/>
                <w:sz w:val="20"/>
                <w:szCs w:val="20"/>
              </w:rPr>
              <w:t>Eisai Australia</w:t>
            </w:r>
            <w:r w:rsidR="00DE31B5">
              <w:rPr>
                <w:rFonts w:ascii="Arial Narrow" w:hAnsi="Arial Narrow" w:cs="Arial"/>
                <w:sz w:val="20"/>
                <w:szCs w:val="20"/>
              </w:rPr>
              <w:t xml:space="preserve"> Pty Ltd</w:t>
            </w:r>
          </w:p>
        </w:tc>
      </w:tr>
      <w:tr w:rsidR="00016F6C" w:rsidTr="00F15090">
        <w:trPr>
          <w:cantSplit/>
          <w:trHeight w:val="628"/>
        </w:trPr>
        <w:tc>
          <w:tcPr>
            <w:tcW w:w="1843" w:type="pct"/>
            <w:gridSpan w:val="2"/>
          </w:tcPr>
          <w:p w:rsidR="008C57E5" w:rsidRDefault="008C57E5" w:rsidP="00C74035">
            <w:pPr>
              <w:keepNext/>
              <w:spacing w:before="40" w:after="40"/>
              <w:jc w:val="both"/>
              <w:rPr>
                <w:rFonts w:ascii="Arial Narrow" w:hAnsi="Arial Narrow" w:cs="Arial"/>
                <w:sz w:val="20"/>
                <w:szCs w:val="20"/>
              </w:rPr>
            </w:pPr>
            <w:r>
              <w:rPr>
                <w:rFonts w:ascii="Arial Narrow" w:hAnsi="Arial Narrow" w:cs="Arial"/>
                <w:smallCaps/>
                <w:sz w:val="20"/>
                <w:szCs w:val="20"/>
              </w:rPr>
              <w:t xml:space="preserve">LENVATINIB, </w:t>
            </w:r>
          </w:p>
          <w:p w:rsidR="008C57E5" w:rsidRDefault="008C57E5" w:rsidP="00C74035">
            <w:pPr>
              <w:keepNext/>
              <w:spacing w:before="40" w:after="40"/>
              <w:jc w:val="both"/>
              <w:rPr>
                <w:rFonts w:ascii="Arial Narrow" w:hAnsi="Arial Narrow" w:cs="Arial"/>
                <w:smallCaps/>
                <w:sz w:val="20"/>
                <w:szCs w:val="20"/>
              </w:rPr>
            </w:pPr>
            <w:r>
              <w:rPr>
                <w:rFonts w:ascii="Arial Narrow" w:hAnsi="Arial Narrow" w:cs="Arial"/>
                <w:sz w:val="20"/>
                <w:szCs w:val="20"/>
              </w:rPr>
              <w:t>4 mg capsule, 30</w:t>
            </w:r>
          </w:p>
        </w:tc>
        <w:tc>
          <w:tcPr>
            <w:tcW w:w="414" w:type="pct"/>
          </w:tcPr>
          <w:p w:rsidR="008C57E5" w:rsidRPr="00260CE3" w:rsidRDefault="008C57E5" w:rsidP="00C74035">
            <w:pPr>
              <w:keepNext/>
              <w:spacing w:before="40" w:after="40"/>
              <w:jc w:val="both"/>
              <w:rPr>
                <w:rFonts w:ascii="Arial Narrow" w:hAnsi="Arial Narrow" w:cs="Arial"/>
                <w:sz w:val="20"/>
                <w:szCs w:val="20"/>
              </w:rPr>
            </w:pPr>
          </w:p>
          <w:p w:rsidR="008C57E5" w:rsidRPr="00260CE3" w:rsidRDefault="008C57E5" w:rsidP="00C74035">
            <w:pPr>
              <w:keepNext/>
              <w:spacing w:before="40" w:after="40"/>
              <w:jc w:val="both"/>
              <w:rPr>
                <w:rFonts w:ascii="Arial Narrow" w:hAnsi="Arial Narrow" w:cs="Arial"/>
                <w:sz w:val="20"/>
                <w:szCs w:val="20"/>
              </w:rPr>
            </w:pPr>
            <w:r>
              <w:rPr>
                <w:rFonts w:ascii="Arial Narrow" w:hAnsi="Arial Narrow" w:cs="Arial"/>
                <w:sz w:val="20"/>
                <w:szCs w:val="20"/>
              </w:rPr>
              <w:t>2</w:t>
            </w:r>
          </w:p>
        </w:tc>
        <w:tc>
          <w:tcPr>
            <w:tcW w:w="385" w:type="pct"/>
          </w:tcPr>
          <w:p w:rsidR="008C57E5" w:rsidRPr="00260CE3" w:rsidRDefault="008C57E5" w:rsidP="00C74035">
            <w:pPr>
              <w:keepNext/>
              <w:spacing w:before="40" w:after="40"/>
              <w:jc w:val="both"/>
              <w:rPr>
                <w:rFonts w:ascii="Arial Narrow" w:hAnsi="Arial Narrow" w:cs="Arial"/>
                <w:sz w:val="20"/>
                <w:szCs w:val="20"/>
              </w:rPr>
            </w:pPr>
          </w:p>
          <w:p w:rsidR="008C57E5" w:rsidRPr="00AF1915" w:rsidRDefault="0043292A" w:rsidP="00C74035">
            <w:pPr>
              <w:keepNext/>
              <w:spacing w:before="40" w:after="40"/>
              <w:jc w:val="both"/>
              <w:rPr>
                <w:rFonts w:ascii="Arial Narrow" w:hAnsi="Arial Narrow" w:cs="Arial"/>
                <w:i/>
                <w:sz w:val="20"/>
                <w:szCs w:val="20"/>
              </w:rPr>
            </w:pPr>
            <w:r w:rsidRPr="00AF1915">
              <w:rPr>
                <w:rFonts w:ascii="Arial Narrow" w:hAnsi="Arial Narrow" w:cs="Arial"/>
                <w:strike/>
                <w:sz w:val="20"/>
                <w:szCs w:val="20"/>
              </w:rPr>
              <w:t>10</w:t>
            </w:r>
            <w:r w:rsidR="00AF1915">
              <w:rPr>
                <w:rFonts w:ascii="Arial Narrow" w:hAnsi="Arial Narrow" w:cs="Arial"/>
                <w:i/>
                <w:sz w:val="20"/>
                <w:szCs w:val="20"/>
              </w:rPr>
              <w:t>5</w:t>
            </w:r>
          </w:p>
        </w:tc>
        <w:tc>
          <w:tcPr>
            <w:tcW w:w="1019" w:type="pct"/>
          </w:tcPr>
          <w:p w:rsidR="008C57E5" w:rsidRPr="00260CE3" w:rsidRDefault="008C57E5" w:rsidP="00C74035">
            <w:pPr>
              <w:keepNext/>
              <w:spacing w:before="40" w:after="40"/>
              <w:jc w:val="both"/>
              <w:rPr>
                <w:rFonts w:ascii="Arial Narrow" w:hAnsi="Arial Narrow" w:cs="Arial"/>
                <w:sz w:val="20"/>
                <w:szCs w:val="20"/>
              </w:rPr>
            </w:pPr>
          </w:p>
          <w:p w:rsidR="008C57E5" w:rsidRDefault="006E2F56" w:rsidP="00C74035">
            <w:pPr>
              <w:keepNext/>
              <w:spacing w:before="40" w:after="40"/>
              <w:jc w:val="both"/>
              <w:rPr>
                <w:rFonts w:ascii="Arial Narrow" w:hAnsi="Arial Narrow" w:cs="Arial"/>
                <w:sz w:val="20"/>
                <w:szCs w:val="20"/>
              </w:rPr>
            </w:pPr>
            <w:r>
              <w:rPr>
                <w:rFonts w:ascii="Arial Narrow" w:hAnsi="Arial Narrow" w:cs="Arial"/>
                <w:sz w:val="20"/>
                <w:szCs w:val="20"/>
              </w:rPr>
              <w:t>$6,605</w:t>
            </w:r>
            <w:r w:rsidR="00016F6C">
              <w:rPr>
                <w:rFonts w:ascii="Arial Narrow" w:hAnsi="Arial Narrow" w:cs="Arial"/>
                <w:sz w:val="20"/>
                <w:szCs w:val="20"/>
              </w:rPr>
              <w:t>.76 (published)</w:t>
            </w:r>
          </w:p>
          <w:p w:rsidR="00016F6C" w:rsidRPr="00260CE3" w:rsidRDefault="00016F6C" w:rsidP="00C74035">
            <w:pPr>
              <w:keepNext/>
              <w:spacing w:before="40" w:after="40"/>
              <w:jc w:val="both"/>
              <w:rPr>
                <w:rFonts w:ascii="Arial Narrow" w:hAnsi="Arial Narrow" w:cs="Arial"/>
                <w:sz w:val="20"/>
                <w:szCs w:val="20"/>
              </w:rPr>
            </w:pPr>
            <w:r>
              <w:rPr>
                <w:rFonts w:ascii="Arial Narrow" w:hAnsi="Arial Narrow" w:cs="Arial"/>
                <w:sz w:val="20"/>
                <w:szCs w:val="20"/>
              </w:rPr>
              <w:t>$</w:t>
            </w:r>
            <w:r w:rsidR="00DE7568">
              <w:rPr>
                <w:rFonts w:ascii="Arial Narrow" w:hAnsi="Arial Narrow" w:cs="Arial"/>
                <w:noProof/>
                <w:color w:val="000000"/>
                <w:sz w:val="20"/>
                <w:szCs w:val="20"/>
                <w:highlight w:val="black"/>
              </w:rPr>
              <w:t>'''''''''''''''''''</w:t>
            </w:r>
            <w:r>
              <w:rPr>
                <w:rFonts w:ascii="Arial Narrow" w:hAnsi="Arial Narrow" w:cs="Arial"/>
                <w:sz w:val="20"/>
                <w:szCs w:val="20"/>
              </w:rPr>
              <w:t xml:space="preserve"> (effective)</w:t>
            </w:r>
          </w:p>
        </w:tc>
        <w:tc>
          <w:tcPr>
            <w:tcW w:w="461" w:type="pct"/>
          </w:tcPr>
          <w:p w:rsidR="008C57E5" w:rsidRDefault="008C57E5" w:rsidP="00C74035">
            <w:pPr>
              <w:keepNext/>
              <w:spacing w:before="40" w:after="40"/>
              <w:jc w:val="both"/>
              <w:rPr>
                <w:rFonts w:ascii="Arial Narrow" w:hAnsi="Arial Narrow" w:cs="Arial"/>
                <w:sz w:val="20"/>
                <w:szCs w:val="20"/>
              </w:rPr>
            </w:pPr>
          </w:p>
          <w:p w:rsidR="008C57E5" w:rsidRDefault="008C57E5" w:rsidP="00C74035">
            <w:pPr>
              <w:keepNext/>
              <w:spacing w:before="40" w:after="40"/>
              <w:jc w:val="both"/>
              <w:rPr>
                <w:rFonts w:ascii="Arial Narrow" w:hAnsi="Arial Narrow" w:cs="Arial"/>
                <w:sz w:val="20"/>
                <w:szCs w:val="20"/>
              </w:rPr>
            </w:pPr>
          </w:p>
        </w:tc>
        <w:tc>
          <w:tcPr>
            <w:tcW w:w="878" w:type="pct"/>
            <w:gridSpan w:val="2"/>
          </w:tcPr>
          <w:p w:rsidR="008C57E5" w:rsidRDefault="008C57E5" w:rsidP="00C74035">
            <w:pPr>
              <w:keepNext/>
              <w:spacing w:before="40" w:after="40"/>
              <w:jc w:val="both"/>
              <w:rPr>
                <w:rFonts w:ascii="Arial Narrow" w:hAnsi="Arial Narrow" w:cs="Arial"/>
                <w:sz w:val="20"/>
                <w:szCs w:val="20"/>
              </w:rPr>
            </w:pP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5A633B" w:rsidRDefault="008C57E5" w:rsidP="00C74035">
            <w:pPr>
              <w:spacing w:before="40" w:after="40"/>
              <w:jc w:val="both"/>
              <w:rPr>
                <w:rFonts w:ascii="Arial Narrow" w:hAnsi="Arial Narrow" w:cs="Arial"/>
                <w:b/>
                <w:sz w:val="20"/>
                <w:szCs w:val="20"/>
              </w:rPr>
            </w:pPr>
            <w:r w:rsidRPr="005A633B">
              <w:rPr>
                <w:rFonts w:ascii="Arial Narrow" w:hAnsi="Arial Narrow" w:cs="Arial"/>
                <w:b/>
                <w:sz w:val="20"/>
                <w:szCs w:val="20"/>
              </w:rPr>
              <w:t xml:space="preserve">Category / </w:t>
            </w:r>
          </w:p>
          <w:p w:rsidR="008C57E5" w:rsidRPr="00260CE3" w:rsidRDefault="008C57E5" w:rsidP="00C74035">
            <w:pPr>
              <w:spacing w:before="40" w:after="40"/>
              <w:jc w:val="both"/>
              <w:rPr>
                <w:rFonts w:ascii="Arial Narrow" w:hAnsi="Arial Narrow" w:cs="Arial"/>
                <w:b/>
                <w:sz w:val="20"/>
                <w:szCs w:val="20"/>
              </w:rPr>
            </w:pPr>
            <w:r w:rsidRPr="005A633B">
              <w:rPr>
                <w:rFonts w:ascii="Arial Narrow" w:hAnsi="Arial Narrow" w:cs="Arial"/>
                <w:b/>
                <w:sz w:val="20"/>
                <w:szCs w:val="20"/>
              </w:rPr>
              <w:t>Program</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8C57E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1E061B">
              <w:rPr>
                <w:rFonts w:ascii="Arial Narrow" w:hAnsi="Arial Narrow" w:cs="Arial"/>
                <w:sz w:val="20"/>
                <w:szCs w:val="20"/>
              </w:rPr>
            </w:r>
            <w:r w:rsidR="001E061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sidRPr="000C1A05">
              <w:rPr>
                <w:rFonts w:ascii="Arial Narrow" w:hAnsi="Arial Narrow" w:cs="Arial"/>
                <w:sz w:val="20"/>
                <w:szCs w:val="20"/>
              </w:rPr>
              <w:t>Stage IV</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sidRPr="000C1A05">
              <w:rPr>
                <w:rFonts w:ascii="Arial Narrow" w:hAnsi="Arial Narrow" w:cs="Arial"/>
                <w:sz w:val="20"/>
                <w:szCs w:val="20"/>
              </w:rPr>
              <w:t>Clear cell variant renal cell carcinoma (RCC)</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sidRPr="000C1A05">
              <w:rPr>
                <w:rFonts w:ascii="Arial Narrow" w:hAnsi="Arial Narrow" w:cs="Arial"/>
                <w:sz w:val="20"/>
                <w:szCs w:val="20"/>
              </w:rPr>
              <w:t>Stage IV</w:t>
            </w:r>
            <w:r>
              <w:rPr>
                <w:rFonts w:ascii="Arial Narrow" w:hAnsi="Arial Narrow" w:cs="Arial"/>
                <w:sz w:val="20"/>
                <w:szCs w:val="20"/>
              </w:rPr>
              <w:t xml:space="preserve"> </w:t>
            </w:r>
            <w:r w:rsidR="005A633B">
              <w:rPr>
                <w:rFonts w:ascii="Arial Narrow" w:hAnsi="Arial Narrow" w:cs="Arial"/>
                <w:sz w:val="20"/>
                <w:szCs w:val="20"/>
              </w:rPr>
              <w:t>c</w:t>
            </w:r>
            <w:r w:rsidRPr="000C1A05">
              <w:rPr>
                <w:rFonts w:ascii="Arial Narrow" w:hAnsi="Arial Narrow" w:cs="Arial"/>
                <w:sz w:val="20"/>
                <w:szCs w:val="20"/>
              </w:rPr>
              <w:t>lear cell variant renal cell carcinoma (RCC)</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Pr>
                <w:rFonts w:ascii="Arial Narrow" w:hAnsi="Arial Narrow" w:cs="Arial"/>
                <w:sz w:val="20"/>
                <w:szCs w:val="20"/>
              </w:rPr>
              <w:t>Continuing</w:t>
            </w:r>
            <w:r w:rsidRPr="000C1A05">
              <w:rPr>
                <w:rFonts w:ascii="Arial Narrow" w:hAnsi="Arial Narrow" w:cs="Arial"/>
                <w:sz w:val="20"/>
                <w:szCs w:val="20"/>
              </w:rPr>
              <w:t xml:space="preserve"> treatment</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8C57E5" w:rsidRDefault="008C57E5" w:rsidP="008C57E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 w:val="20"/>
                    <w:default w:val="1"/>
                  </w:checkBox>
                </w:ffData>
              </w:fldChar>
            </w:r>
            <w:r>
              <w:rPr>
                <w:rFonts w:ascii="Arial Narrow" w:hAnsi="Arial Narrow" w:cs="Arial"/>
                <w:sz w:val="20"/>
                <w:szCs w:val="20"/>
              </w:rPr>
              <w:instrText xml:space="preserve"> FORMCHECKBOX </w:instrText>
            </w:r>
            <w:r w:rsidR="001E061B">
              <w:rPr>
                <w:rFonts w:ascii="Arial Narrow" w:hAnsi="Arial Narrow" w:cs="Arial"/>
                <w:sz w:val="20"/>
                <w:szCs w:val="20"/>
              </w:rPr>
            </w:r>
            <w:r w:rsidR="001E061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C57E5" w:rsidRPr="00260CE3" w:rsidRDefault="008C57E5" w:rsidP="00C74035">
            <w:pPr>
              <w:spacing w:before="40" w:after="40"/>
              <w:jc w:val="both"/>
              <w:rPr>
                <w:rFonts w:ascii="Arial Narrow" w:hAnsi="Arial Narrow" w:cs="Arial"/>
                <w:i/>
                <w:sz w:val="20"/>
                <w:szCs w:val="20"/>
              </w:rPr>
            </w:pPr>
          </w:p>
          <w:p w:rsidR="008C57E5" w:rsidRPr="00260CE3" w:rsidRDefault="008C57E5" w:rsidP="00C74035">
            <w:pPr>
              <w:spacing w:before="40" w:after="40"/>
              <w:jc w:val="both"/>
              <w:rPr>
                <w:rFonts w:ascii="Arial Narrow" w:hAnsi="Arial Narrow" w:cs="Arial"/>
                <w:sz w:val="20"/>
                <w:szCs w:val="20"/>
              </w:rPr>
            </w:pPr>
          </w:p>
        </w:tc>
        <w:tc>
          <w:tcPr>
            <w:tcW w:w="3914" w:type="pct"/>
            <w:gridSpan w:val="6"/>
            <w:tcBorders>
              <w:top w:val="single" w:sz="4" w:space="0" w:color="auto"/>
              <w:left w:val="single" w:sz="4" w:space="0" w:color="auto"/>
              <w:bottom w:val="single" w:sz="4" w:space="0" w:color="auto"/>
              <w:right w:val="single" w:sz="4" w:space="0" w:color="auto"/>
            </w:tcBorders>
          </w:tcPr>
          <w:p w:rsidR="008C57E5" w:rsidRPr="008C57E5" w:rsidRDefault="008C57E5" w:rsidP="008C57E5">
            <w:pPr>
              <w:spacing w:before="40" w:after="40"/>
              <w:rPr>
                <w:rFonts w:ascii="Arial Narrow" w:hAnsi="Arial Narrow" w:cs="Arial"/>
                <w:sz w:val="20"/>
                <w:szCs w:val="20"/>
              </w:rPr>
            </w:pPr>
            <w:r w:rsidRPr="008C57E5">
              <w:rPr>
                <w:rFonts w:ascii="Arial Narrow" w:hAnsi="Arial Narrow" w:cs="Arial"/>
                <w:sz w:val="20"/>
                <w:szCs w:val="20"/>
              </w:rPr>
              <w:t>Patient must have previously been issued with an authority prescription for this drug for this condition</w:t>
            </w:r>
          </w:p>
          <w:p w:rsidR="008C57E5" w:rsidRPr="008C57E5" w:rsidRDefault="008C57E5" w:rsidP="008C57E5">
            <w:pPr>
              <w:spacing w:before="40" w:after="40"/>
              <w:rPr>
                <w:rFonts w:ascii="Arial Narrow" w:hAnsi="Arial Narrow" w:cs="Arial"/>
                <w:sz w:val="20"/>
                <w:szCs w:val="20"/>
              </w:rPr>
            </w:pPr>
            <w:r w:rsidRPr="008C57E5">
              <w:rPr>
                <w:rFonts w:ascii="Arial Narrow" w:hAnsi="Arial Narrow" w:cs="Arial"/>
                <w:sz w:val="20"/>
                <w:szCs w:val="20"/>
              </w:rPr>
              <w:t>AND</w:t>
            </w:r>
          </w:p>
          <w:p w:rsidR="008C57E5" w:rsidRPr="008C57E5" w:rsidRDefault="008C57E5" w:rsidP="008C57E5">
            <w:pPr>
              <w:spacing w:before="40" w:after="40"/>
              <w:rPr>
                <w:rFonts w:ascii="Arial Narrow" w:hAnsi="Arial Narrow" w:cs="Arial"/>
                <w:sz w:val="20"/>
                <w:szCs w:val="20"/>
              </w:rPr>
            </w:pPr>
            <w:r w:rsidRPr="00874A1B">
              <w:rPr>
                <w:rFonts w:ascii="Arial Narrow" w:hAnsi="Arial Narrow" w:cs="Arial"/>
                <w:strike/>
                <w:sz w:val="20"/>
                <w:szCs w:val="20"/>
              </w:rPr>
              <w:t xml:space="preserve">The </w:t>
            </w:r>
            <w:proofErr w:type="spellStart"/>
            <w:r w:rsidRPr="006C63ED">
              <w:rPr>
                <w:rFonts w:ascii="Arial Narrow" w:hAnsi="Arial Narrow" w:cs="Arial"/>
                <w:i/>
                <w:strike/>
                <w:sz w:val="20"/>
                <w:szCs w:val="20"/>
              </w:rPr>
              <w:t>t</w:t>
            </w:r>
            <w:r w:rsidR="00874A1B">
              <w:rPr>
                <w:rFonts w:ascii="Arial Narrow" w:hAnsi="Arial Narrow" w:cs="Arial"/>
                <w:i/>
                <w:sz w:val="20"/>
                <w:szCs w:val="20"/>
              </w:rPr>
              <w:t>T</w:t>
            </w:r>
            <w:r w:rsidRPr="00874A1B">
              <w:rPr>
                <w:rFonts w:ascii="Arial Narrow" w:hAnsi="Arial Narrow" w:cs="Arial"/>
                <w:i/>
                <w:sz w:val="20"/>
                <w:szCs w:val="20"/>
              </w:rPr>
              <w:t>reatment</w:t>
            </w:r>
            <w:proofErr w:type="spellEnd"/>
            <w:r w:rsidRPr="008C57E5">
              <w:rPr>
                <w:rFonts w:ascii="Arial Narrow" w:hAnsi="Arial Narrow" w:cs="Arial"/>
                <w:sz w:val="20"/>
                <w:szCs w:val="20"/>
              </w:rPr>
              <w:t xml:space="preserve"> must be used in combination with </w:t>
            </w:r>
            <w:proofErr w:type="spellStart"/>
            <w:r w:rsidRPr="008C57E5">
              <w:rPr>
                <w:rFonts w:ascii="Arial Narrow" w:hAnsi="Arial Narrow" w:cs="Arial"/>
                <w:sz w:val="20"/>
                <w:szCs w:val="20"/>
              </w:rPr>
              <w:t>everolimus</w:t>
            </w:r>
            <w:proofErr w:type="spellEnd"/>
            <w:r w:rsidRPr="008C57E5">
              <w:rPr>
                <w:rFonts w:ascii="Arial Narrow" w:hAnsi="Arial Narrow" w:cs="Arial"/>
                <w:sz w:val="20"/>
                <w:szCs w:val="20"/>
              </w:rPr>
              <w:t xml:space="preserve"> at a maximum </w:t>
            </w:r>
            <w:proofErr w:type="spellStart"/>
            <w:r w:rsidRPr="008C57E5">
              <w:rPr>
                <w:rFonts w:ascii="Arial Narrow" w:hAnsi="Arial Narrow" w:cs="Arial"/>
                <w:sz w:val="20"/>
                <w:szCs w:val="20"/>
              </w:rPr>
              <w:t>everolimus</w:t>
            </w:r>
            <w:proofErr w:type="spellEnd"/>
            <w:r w:rsidRPr="008C57E5">
              <w:rPr>
                <w:rFonts w:ascii="Arial Narrow" w:hAnsi="Arial Narrow" w:cs="Arial"/>
                <w:sz w:val="20"/>
                <w:szCs w:val="20"/>
              </w:rPr>
              <w:t xml:space="preserve"> dose of 5 mg daily.</w:t>
            </w:r>
          </w:p>
          <w:p w:rsidR="008C57E5" w:rsidRPr="008C57E5" w:rsidRDefault="008C57E5" w:rsidP="008C57E5">
            <w:pPr>
              <w:spacing w:before="40" w:after="40"/>
              <w:rPr>
                <w:rFonts w:ascii="Arial Narrow" w:hAnsi="Arial Narrow" w:cs="Arial"/>
                <w:sz w:val="20"/>
                <w:szCs w:val="20"/>
              </w:rPr>
            </w:pPr>
            <w:r w:rsidRPr="008C57E5">
              <w:rPr>
                <w:rFonts w:ascii="Arial Narrow" w:hAnsi="Arial Narrow" w:cs="Arial"/>
                <w:sz w:val="20"/>
                <w:szCs w:val="20"/>
              </w:rPr>
              <w:t>AND</w:t>
            </w:r>
          </w:p>
          <w:p w:rsidR="008C57E5" w:rsidRPr="008C57E5" w:rsidRDefault="008C57E5" w:rsidP="008C57E5">
            <w:pPr>
              <w:spacing w:before="40" w:after="40"/>
              <w:rPr>
                <w:rFonts w:ascii="Arial Narrow" w:hAnsi="Arial Narrow" w:cs="Arial"/>
                <w:sz w:val="20"/>
                <w:szCs w:val="20"/>
              </w:rPr>
            </w:pPr>
            <w:r w:rsidRPr="008C57E5">
              <w:rPr>
                <w:rFonts w:ascii="Arial Narrow" w:hAnsi="Arial Narrow" w:cs="Arial"/>
                <w:sz w:val="20"/>
                <w:szCs w:val="20"/>
              </w:rPr>
              <w:t>Patient must have stable or responding disease according to the Response Evaluation Criteria In Solid Tumours (RECIST)</w:t>
            </w:r>
          </w:p>
          <w:p w:rsidR="008C57E5" w:rsidRPr="008C57E5" w:rsidRDefault="008C57E5" w:rsidP="008C57E5">
            <w:pPr>
              <w:spacing w:before="40" w:after="40"/>
              <w:rPr>
                <w:rFonts w:ascii="Arial Narrow" w:hAnsi="Arial Narrow" w:cs="Arial"/>
                <w:sz w:val="20"/>
                <w:szCs w:val="20"/>
              </w:rPr>
            </w:pPr>
            <w:r w:rsidRPr="008C57E5">
              <w:rPr>
                <w:rFonts w:ascii="Arial Narrow" w:hAnsi="Arial Narrow" w:cs="Arial"/>
                <w:sz w:val="20"/>
                <w:szCs w:val="20"/>
              </w:rPr>
              <w:t>AND</w:t>
            </w:r>
          </w:p>
          <w:p w:rsidR="008C57E5" w:rsidRPr="00260CE3" w:rsidRDefault="003916AF" w:rsidP="008C57E5">
            <w:pPr>
              <w:spacing w:before="40" w:after="40"/>
              <w:rPr>
                <w:rFonts w:ascii="Arial Narrow" w:hAnsi="Arial Narrow" w:cs="Arial"/>
                <w:sz w:val="20"/>
                <w:szCs w:val="20"/>
              </w:rPr>
            </w:pPr>
            <w:r>
              <w:rPr>
                <w:rFonts w:ascii="Arial Narrow" w:hAnsi="Arial Narrow" w:cs="Arial"/>
                <w:sz w:val="20"/>
                <w:szCs w:val="20"/>
              </w:rPr>
              <w:t xml:space="preserve">Patients must not have </w:t>
            </w:r>
            <w:r w:rsidRPr="00874A1B">
              <w:rPr>
                <w:rFonts w:ascii="Arial Narrow" w:hAnsi="Arial Narrow" w:cs="Arial"/>
                <w:strike/>
                <w:sz w:val="20"/>
                <w:szCs w:val="20"/>
              </w:rPr>
              <w:t xml:space="preserve">developed </w:t>
            </w:r>
            <w:r>
              <w:rPr>
                <w:rFonts w:ascii="Arial Narrow" w:hAnsi="Arial Narrow" w:cs="Arial"/>
                <w:sz w:val="20"/>
                <w:szCs w:val="20"/>
              </w:rPr>
              <w:t>progressive disease.</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Population criteria:</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jc w:val="both"/>
              <w:rPr>
                <w:rFonts w:ascii="Arial Narrow" w:hAnsi="Arial Narrow" w:cs="Arial"/>
                <w:sz w:val="20"/>
                <w:szCs w:val="20"/>
              </w:rPr>
            </w:pPr>
            <w:r>
              <w:rPr>
                <w:rFonts w:ascii="Arial Narrow" w:hAnsi="Arial Narrow" w:cs="Arial"/>
                <w:sz w:val="20"/>
                <w:szCs w:val="20"/>
              </w:rPr>
              <w:t>Patient must be aged 18 years or older</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Definition</w:t>
            </w:r>
            <w:r>
              <w:rPr>
                <w:rFonts w:ascii="Arial Narrow" w:hAnsi="Arial Narrow" w:cs="Arial"/>
                <w:b/>
                <w:sz w:val="20"/>
                <w:szCs w:val="20"/>
              </w:rPr>
              <w:t>s</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rPr>
                <w:rFonts w:ascii="Arial Narrow" w:hAnsi="Arial Narrow" w:cs="Arial"/>
                <w:sz w:val="20"/>
                <w:szCs w:val="20"/>
              </w:rPr>
            </w:pPr>
            <w:r w:rsidRPr="000C1A05">
              <w:rPr>
                <w:rFonts w:ascii="Arial Narrow" w:hAnsi="Arial Narrow" w:cs="Arial"/>
                <w:sz w:val="20"/>
                <w:szCs w:val="20"/>
              </w:rPr>
              <w:t xml:space="preserve">Response Evaluation Criteria In Solid Tumours (RECIST) is defined as follows: </w:t>
            </w:r>
          </w:p>
          <w:p w:rsidR="008C57E5" w:rsidRPr="000C1A05" w:rsidRDefault="008C57E5" w:rsidP="00C74035">
            <w:pPr>
              <w:spacing w:before="40" w:after="40"/>
              <w:rPr>
                <w:rFonts w:ascii="Arial Narrow" w:hAnsi="Arial Narrow" w:cs="Arial"/>
                <w:sz w:val="20"/>
                <w:szCs w:val="20"/>
              </w:rPr>
            </w:pPr>
            <w:r w:rsidRPr="000C1A05">
              <w:rPr>
                <w:rFonts w:ascii="Arial Narrow" w:hAnsi="Arial Narrow" w:cs="Arial"/>
                <w:sz w:val="20"/>
                <w:szCs w:val="20"/>
              </w:rPr>
              <w:t>Complete response (CR) is disappearance of all target lesions.</w:t>
            </w:r>
          </w:p>
          <w:p w:rsidR="008C57E5" w:rsidRPr="000C1A05" w:rsidRDefault="008C57E5" w:rsidP="00C74035">
            <w:pPr>
              <w:spacing w:before="40" w:after="40"/>
              <w:rPr>
                <w:rFonts w:ascii="Arial Narrow" w:hAnsi="Arial Narrow" w:cs="Arial"/>
                <w:sz w:val="20"/>
                <w:szCs w:val="20"/>
              </w:rPr>
            </w:pPr>
            <w:r w:rsidRPr="000C1A05">
              <w:rPr>
                <w:rFonts w:ascii="Arial Narrow" w:hAnsi="Arial Narrow" w:cs="Arial"/>
                <w:sz w:val="20"/>
                <w:szCs w:val="20"/>
              </w:rPr>
              <w:t>Partial response (PR) is a 30% decrease in the sum of the longest diameter of target lesions.</w:t>
            </w:r>
          </w:p>
          <w:p w:rsidR="008C57E5" w:rsidRPr="000C1A05" w:rsidRDefault="008C57E5" w:rsidP="00C74035">
            <w:pPr>
              <w:spacing w:before="40" w:after="40"/>
              <w:rPr>
                <w:rFonts w:ascii="Arial Narrow" w:hAnsi="Arial Narrow" w:cs="Arial"/>
                <w:sz w:val="20"/>
                <w:szCs w:val="20"/>
              </w:rPr>
            </w:pPr>
            <w:r w:rsidRPr="000C1A05">
              <w:rPr>
                <w:rFonts w:ascii="Arial Narrow" w:hAnsi="Arial Narrow" w:cs="Arial"/>
                <w:sz w:val="20"/>
                <w:szCs w:val="20"/>
              </w:rPr>
              <w:t>Progressive disease (PD) is a 20% increase in the sum of the longest diameter of target lesions.</w:t>
            </w:r>
          </w:p>
          <w:p w:rsidR="008C57E5" w:rsidRPr="00260CE3" w:rsidRDefault="008C57E5" w:rsidP="00C74035">
            <w:pPr>
              <w:spacing w:before="40" w:after="40"/>
              <w:rPr>
                <w:rFonts w:ascii="Arial Narrow" w:hAnsi="Arial Narrow" w:cs="Arial"/>
                <w:sz w:val="20"/>
                <w:szCs w:val="20"/>
              </w:rPr>
            </w:pPr>
            <w:r w:rsidRPr="000C1A05">
              <w:rPr>
                <w:rFonts w:ascii="Arial Narrow" w:hAnsi="Arial Narrow" w:cs="Arial"/>
                <w:sz w:val="20"/>
                <w:szCs w:val="20"/>
              </w:rPr>
              <w:t>Stable disease (SD) is small changes that do not meet above criteria</w:t>
            </w:r>
          </w:p>
        </w:tc>
      </w:tr>
      <w:tr w:rsidR="008C57E5" w:rsidRPr="00260CE3" w:rsidTr="00016F6C">
        <w:trPr>
          <w:gridAfter w:val="1"/>
          <w:wAfter w:w="3" w:type="pct"/>
          <w:cantSplit/>
          <w:trHeight w:val="360"/>
        </w:trPr>
        <w:tc>
          <w:tcPr>
            <w:tcW w:w="1083" w:type="pct"/>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260CE3" w:rsidRDefault="008C57E5" w:rsidP="00C74035">
            <w:pPr>
              <w:spacing w:before="40" w:after="40"/>
              <w:rPr>
                <w:rFonts w:ascii="Arial Narrow" w:hAnsi="Arial Narrow" w:cs="Arial"/>
                <w:sz w:val="20"/>
                <w:szCs w:val="20"/>
              </w:rPr>
            </w:pPr>
            <w:r w:rsidRPr="000C1A05">
              <w:rPr>
                <w:rFonts w:ascii="Arial Narrow" w:hAnsi="Arial Narrow" w:cs="Arial"/>
                <w:sz w:val="20"/>
                <w:szCs w:val="20"/>
              </w:rPr>
              <w:t>No increase in the maximum number of repeats may be authorised.</w:t>
            </w:r>
          </w:p>
        </w:tc>
      </w:tr>
      <w:tr w:rsidR="008C57E5" w:rsidRPr="00260CE3" w:rsidTr="00016F6C">
        <w:trPr>
          <w:gridAfter w:val="1"/>
          <w:wAfter w:w="3" w:type="pct"/>
          <w:cantSplit/>
          <w:trHeight w:val="2407"/>
        </w:trPr>
        <w:tc>
          <w:tcPr>
            <w:tcW w:w="1083" w:type="pct"/>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jc w:val="both"/>
              <w:rPr>
                <w:rFonts w:ascii="Arial Narrow" w:hAnsi="Arial Narrow" w:cs="Arial"/>
                <w:b/>
                <w:sz w:val="20"/>
                <w:szCs w:val="20"/>
              </w:rPr>
            </w:pPr>
            <w:r w:rsidRPr="00260CE3">
              <w:rPr>
                <w:rFonts w:ascii="Arial Narrow" w:hAnsi="Arial Narrow" w:cs="Arial"/>
                <w:b/>
                <w:sz w:val="20"/>
                <w:szCs w:val="20"/>
              </w:rPr>
              <w:t>Cautions</w:t>
            </w:r>
          </w:p>
        </w:tc>
        <w:tc>
          <w:tcPr>
            <w:tcW w:w="3914" w:type="pct"/>
            <w:gridSpan w:val="6"/>
            <w:tcBorders>
              <w:top w:val="single" w:sz="4" w:space="0" w:color="auto"/>
              <w:left w:val="single" w:sz="4" w:space="0" w:color="auto"/>
              <w:bottom w:val="single" w:sz="4" w:space="0" w:color="auto"/>
              <w:right w:val="single" w:sz="4" w:space="0" w:color="auto"/>
            </w:tcBorders>
          </w:tcPr>
          <w:p w:rsidR="008C57E5" w:rsidRPr="000C1A05" w:rsidRDefault="008C57E5" w:rsidP="00C74035">
            <w:pPr>
              <w:spacing w:before="40" w:after="40"/>
              <w:rPr>
                <w:rFonts w:ascii="Arial Narrow" w:hAnsi="Arial Narrow" w:cs="Arial"/>
                <w:sz w:val="20"/>
                <w:szCs w:val="20"/>
              </w:rPr>
            </w:pPr>
            <w:r w:rsidRPr="000C1A05">
              <w:rPr>
                <w:rFonts w:ascii="Arial Narrow" w:hAnsi="Arial Narrow" w:cs="Arial"/>
                <w:sz w:val="20"/>
                <w:szCs w:val="20"/>
              </w:rPr>
              <w:t xml:space="preserve">In the clinical trial supporting regulatory approval of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with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for </w:t>
            </w:r>
            <w:proofErr w:type="spellStart"/>
            <w:r w:rsidRPr="000C1A05">
              <w:rPr>
                <w:rFonts w:ascii="Arial Narrow" w:hAnsi="Arial Narrow" w:cs="Arial"/>
                <w:sz w:val="20"/>
                <w:szCs w:val="20"/>
              </w:rPr>
              <w:t>mRCC</w:t>
            </w:r>
            <w:proofErr w:type="spellEnd"/>
            <w:r w:rsidRPr="000C1A05">
              <w:rPr>
                <w:rFonts w:ascii="Arial Narrow" w:hAnsi="Arial Narrow" w:cs="Arial"/>
                <w:sz w:val="20"/>
                <w:szCs w:val="20"/>
              </w:rPr>
              <w:t xml:space="preserve">, adverse reactions leading to a dose reduction or interruption were reported in 89% of patients receiving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and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The most common adverse reactions (≥ 5%) resulting in dose reductions in the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and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-treated group were diarrhoea (21%), fatigue (8%), </w:t>
            </w:r>
            <w:proofErr w:type="spellStart"/>
            <w:r w:rsidRPr="000C1A05">
              <w:rPr>
                <w:rFonts w:ascii="Arial Narrow" w:hAnsi="Arial Narrow" w:cs="Arial"/>
                <w:sz w:val="20"/>
                <w:szCs w:val="20"/>
              </w:rPr>
              <w:t>thrombocytop</w:t>
            </w:r>
            <w:r w:rsidRPr="005F3CEA">
              <w:rPr>
                <w:rFonts w:ascii="Arial Narrow" w:hAnsi="Arial Narrow" w:cs="Arial"/>
                <w:strike/>
                <w:sz w:val="20"/>
                <w:szCs w:val="20"/>
              </w:rPr>
              <w:t>a</w:t>
            </w:r>
            <w:r w:rsidRPr="000C1A05">
              <w:rPr>
                <w:rFonts w:ascii="Arial Narrow" w:hAnsi="Arial Narrow" w:cs="Arial"/>
                <w:sz w:val="20"/>
                <w:szCs w:val="20"/>
              </w:rPr>
              <w:t>enia</w:t>
            </w:r>
            <w:proofErr w:type="spellEnd"/>
            <w:r w:rsidRPr="000C1A05">
              <w:rPr>
                <w:rFonts w:ascii="Arial Narrow" w:hAnsi="Arial Narrow" w:cs="Arial"/>
                <w:sz w:val="20"/>
                <w:szCs w:val="20"/>
              </w:rPr>
              <w:t xml:space="preserve"> (6%), vomiting (6%), nausea (5%), and proteinuria (5%).</w:t>
            </w:r>
          </w:p>
          <w:p w:rsidR="008C57E5" w:rsidRPr="000C1A05" w:rsidRDefault="008C57E5" w:rsidP="00C74035">
            <w:pPr>
              <w:spacing w:before="40" w:after="40"/>
              <w:rPr>
                <w:rFonts w:ascii="Arial Narrow" w:hAnsi="Arial Narrow" w:cs="Arial"/>
                <w:sz w:val="20"/>
                <w:szCs w:val="20"/>
              </w:rPr>
            </w:pPr>
          </w:p>
          <w:p w:rsidR="008C57E5" w:rsidRPr="00260CE3" w:rsidRDefault="008C57E5" w:rsidP="00C74035">
            <w:pPr>
              <w:spacing w:before="40" w:after="40"/>
              <w:rPr>
                <w:rFonts w:ascii="Arial Narrow" w:hAnsi="Arial Narrow" w:cs="Arial"/>
                <w:sz w:val="20"/>
                <w:szCs w:val="20"/>
              </w:rPr>
            </w:pPr>
            <w:r w:rsidRPr="000C1A05">
              <w:rPr>
                <w:rFonts w:ascii="Arial Narrow" w:hAnsi="Arial Narrow" w:cs="Arial"/>
                <w:sz w:val="20"/>
                <w:szCs w:val="20"/>
              </w:rPr>
              <w:t xml:space="preserve">Management of adverse reactions may require dose interruption, adjustment, or discontinuation of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or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and </w:t>
            </w:r>
            <w:proofErr w:type="spellStart"/>
            <w:r w:rsidRPr="000C1A05">
              <w:rPr>
                <w:rFonts w:ascii="Arial Narrow" w:hAnsi="Arial Narrow" w:cs="Arial"/>
                <w:sz w:val="20"/>
                <w:szCs w:val="20"/>
              </w:rPr>
              <w:t>everolimus</w:t>
            </w:r>
            <w:proofErr w:type="spellEnd"/>
            <w:r w:rsidRPr="000C1A05">
              <w:rPr>
                <w:rFonts w:ascii="Arial Narrow" w:hAnsi="Arial Narrow" w:cs="Arial"/>
                <w:sz w:val="20"/>
                <w:szCs w:val="20"/>
              </w:rPr>
              <w:t xml:space="preserve">. Guidance for dose adjustment during therapy is provided under the Dosage and Administration section of the </w:t>
            </w:r>
            <w:proofErr w:type="spellStart"/>
            <w:r w:rsidRPr="000C1A05">
              <w:rPr>
                <w:rFonts w:ascii="Arial Narrow" w:hAnsi="Arial Narrow" w:cs="Arial"/>
                <w:sz w:val="20"/>
                <w:szCs w:val="20"/>
              </w:rPr>
              <w:t>lenvatinib</w:t>
            </w:r>
            <w:proofErr w:type="spellEnd"/>
            <w:r w:rsidRPr="000C1A05">
              <w:rPr>
                <w:rFonts w:ascii="Arial Narrow" w:hAnsi="Arial Narrow" w:cs="Arial"/>
                <w:sz w:val="20"/>
                <w:szCs w:val="20"/>
              </w:rPr>
              <w:t xml:space="preserve"> Product Information.</w:t>
            </w:r>
          </w:p>
        </w:tc>
      </w:tr>
    </w:tbl>
    <w:p w:rsidR="008C57E5" w:rsidRDefault="008C57E5" w:rsidP="002D4543">
      <w:pPr>
        <w:rPr>
          <w:szCs w:val="22"/>
        </w:rPr>
      </w:pPr>
    </w:p>
    <w:p w:rsidR="00970D61" w:rsidRPr="001E061B" w:rsidRDefault="0045456D" w:rsidP="00970D6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proofErr w:type="spellStart"/>
      <w:r w:rsidRPr="001E061B">
        <w:rPr>
          <w:rFonts w:asciiTheme="minorHAnsi" w:eastAsiaTheme="minorHAnsi" w:hAnsiTheme="minorHAnsi" w:cstheme="minorBidi"/>
          <w:snapToGrid/>
          <w:sz w:val="24"/>
          <w:szCs w:val="22"/>
        </w:rPr>
        <w:t>Lenvatinib</w:t>
      </w:r>
      <w:proofErr w:type="spellEnd"/>
      <w:r w:rsidRPr="001E061B">
        <w:rPr>
          <w:rFonts w:asciiTheme="minorHAnsi" w:eastAsiaTheme="minorHAnsi" w:hAnsiTheme="minorHAnsi" w:cstheme="minorBidi"/>
          <w:snapToGrid/>
          <w:sz w:val="24"/>
          <w:szCs w:val="22"/>
        </w:rPr>
        <w:t xml:space="preserve"> is currently listed on the PBS as a treatment for locally advanced or metastatic radioactive iodine refractory differentiated thyroid cancer. The current PBS listing for </w:t>
      </w:r>
      <w:proofErr w:type="spellStart"/>
      <w:r w:rsidRPr="001E061B">
        <w:rPr>
          <w:rFonts w:asciiTheme="minorHAnsi" w:eastAsiaTheme="minorHAnsi" w:hAnsiTheme="minorHAnsi" w:cstheme="minorBidi"/>
          <w:snapToGrid/>
          <w:sz w:val="24"/>
          <w:szCs w:val="22"/>
        </w:rPr>
        <w:t>lenvatinib</w:t>
      </w:r>
      <w:proofErr w:type="spellEnd"/>
      <w:r w:rsidRPr="001E061B">
        <w:rPr>
          <w:rFonts w:asciiTheme="minorHAnsi" w:eastAsiaTheme="minorHAnsi" w:hAnsiTheme="minorHAnsi" w:cstheme="minorBidi"/>
          <w:snapToGrid/>
          <w:sz w:val="24"/>
          <w:szCs w:val="22"/>
        </w:rPr>
        <w:t xml:space="preserve"> is based on a special pricing arrangement (SPA).</w:t>
      </w:r>
      <w:r w:rsidR="00182FB7" w:rsidRPr="001E061B">
        <w:rPr>
          <w:rFonts w:asciiTheme="minorHAnsi" w:eastAsiaTheme="minorHAnsi" w:hAnsiTheme="minorHAnsi" w:cstheme="minorBidi"/>
          <w:snapToGrid/>
          <w:sz w:val="24"/>
          <w:szCs w:val="22"/>
        </w:rPr>
        <w:t xml:space="preserve"> Under this SPA, the published price (AEMP) is $3,155.00 (4mg, 30 capsules and 10 mg, 30 capsules) and the effective AEMP price is $</w:t>
      </w:r>
      <w:r w:rsidR="00DE7568" w:rsidRPr="001E061B">
        <w:rPr>
          <w:rFonts w:asciiTheme="minorHAnsi" w:eastAsiaTheme="minorHAnsi" w:hAnsiTheme="minorHAnsi" w:cstheme="minorBidi"/>
          <w:noProof/>
          <w:snapToGrid/>
          <w:color w:val="000000"/>
          <w:sz w:val="24"/>
          <w:szCs w:val="22"/>
          <w:highlight w:val="black"/>
        </w:rPr>
        <w:t>''''''''''''''''''</w:t>
      </w:r>
      <w:r w:rsidR="00182FB7" w:rsidRPr="001E061B">
        <w:rPr>
          <w:rFonts w:asciiTheme="minorHAnsi" w:eastAsiaTheme="minorHAnsi" w:hAnsiTheme="minorHAnsi" w:cstheme="minorBidi"/>
          <w:snapToGrid/>
          <w:sz w:val="24"/>
          <w:szCs w:val="22"/>
        </w:rPr>
        <w:t xml:space="preserve"> (4 mg, 30 capsules and 10 mg, 30 capsules). </w:t>
      </w:r>
      <w:r w:rsidRPr="001E061B">
        <w:rPr>
          <w:rFonts w:asciiTheme="minorHAnsi" w:eastAsiaTheme="minorHAnsi" w:hAnsiTheme="minorHAnsi" w:cstheme="minorBidi"/>
          <w:snapToGrid/>
          <w:sz w:val="24"/>
          <w:szCs w:val="22"/>
        </w:rPr>
        <w:t xml:space="preserve"> The resubmission proposed that the same SPA would also apply to its listing for RCC. </w:t>
      </w:r>
      <w:r w:rsidR="008E3A3A" w:rsidRPr="001E061B">
        <w:rPr>
          <w:rFonts w:asciiTheme="minorHAnsi" w:eastAsiaTheme="minorHAnsi" w:hAnsiTheme="minorHAnsi" w:cstheme="minorBidi"/>
          <w:snapToGrid/>
          <w:sz w:val="24"/>
          <w:szCs w:val="22"/>
        </w:rPr>
        <w:t>This approach is unchanged fro</w:t>
      </w:r>
      <w:r w:rsidR="000D2DB3" w:rsidRPr="001E061B">
        <w:rPr>
          <w:rFonts w:asciiTheme="minorHAnsi" w:eastAsiaTheme="minorHAnsi" w:hAnsiTheme="minorHAnsi" w:cstheme="minorBidi"/>
          <w:snapToGrid/>
          <w:sz w:val="24"/>
          <w:szCs w:val="22"/>
        </w:rPr>
        <w:t>m the November 2017 submission</w:t>
      </w:r>
      <w:r w:rsidR="00BE7D8F" w:rsidRPr="001E061B">
        <w:rPr>
          <w:rFonts w:asciiTheme="minorHAnsi" w:eastAsiaTheme="minorHAnsi" w:hAnsiTheme="minorHAnsi" w:cstheme="minorBidi"/>
          <w:snapToGrid/>
          <w:sz w:val="24"/>
          <w:szCs w:val="22"/>
        </w:rPr>
        <w:t>.</w:t>
      </w:r>
    </w:p>
    <w:p w:rsidR="00C603D4" w:rsidRPr="00FD6D8E" w:rsidRDefault="00CE10C4" w:rsidP="005055DA">
      <w:pPr>
        <w:pStyle w:val="Heading1"/>
      </w:pPr>
      <w:r w:rsidRPr="002B5596">
        <w:t>Background</w:t>
      </w:r>
    </w:p>
    <w:p w:rsidR="00FD4402" w:rsidRPr="00375136" w:rsidRDefault="005A4053" w:rsidP="00FD440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Currently listed PBS </w:t>
      </w:r>
      <w:r w:rsidR="00FD4402" w:rsidRPr="00375136">
        <w:rPr>
          <w:rFonts w:asciiTheme="minorHAnsi" w:eastAsiaTheme="minorHAnsi" w:hAnsiTheme="minorHAnsi" w:cstheme="minorBidi"/>
          <w:snapToGrid/>
          <w:sz w:val="24"/>
          <w:szCs w:val="22"/>
        </w:rPr>
        <w:t xml:space="preserve">treatment options for </w:t>
      </w:r>
      <w:r w:rsidR="00112F8A">
        <w:rPr>
          <w:rFonts w:asciiTheme="minorHAnsi" w:eastAsiaTheme="minorHAnsi" w:hAnsiTheme="minorHAnsi" w:cstheme="minorBidi"/>
          <w:snapToGrid/>
          <w:sz w:val="24"/>
          <w:szCs w:val="22"/>
        </w:rPr>
        <w:t xml:space="preserve">first line therapy of </w:t>
      </w:r>
      <w:r w:rsidR="00FD4402" w:rsidRPr="00375136">
        <w:rPr>
          <w:rFonts w:asciiTheme="minorHAnsi" w:eastAsiaTheme="minorHAnsi" w:hAnsiTheme="minorHAnsi" w:cstheme="minorBidi"/>
          <w:snapToGrid/>
          <w:sz w:val="24"/>
          <w:szCs w:val="22"/>
        </w:rPr>
        <w:t xml:space="preserve">advanced RCC </w:t>
      </w:r>
      <w:r>
        <w:rPr>
          <w:rFonts w:asciiTheme="minorHAnsi" w:eastAsiaTheme="minorHAnsi" w:hAnsiTheme="minorHAnsi" w:cstheme="minorBidi"/>
          <w:snapToGrid/>
          <w:sz w:val="24"/>
          <w:szCs w:val="22"/>
        </w:rPr>
        <w:t xml:space="preserve">are </w:t>
      </w:r>
      <w:r w:rsidR="00FD4402" w:rsidRPr="00375136">
        <w:rPr>
          <w:rFonts w:asciiTheme="minorHAnsi" w:eastAsiaTheme="minorHAnsi" w:hAnsiTheme="minorHAnsi" w:cstheme="minorBidi"/>
          <w:snapToGrid/>
          <w:sz w:val="24"/>
          <w:szCs w:val="22"/>
        </w:rPr>
        <w:t xml:space="preserve">the TKIs, </w:t>
      </w:r>
      <w:proofErr w:type="spellStart"/>
      <w:r w:rsidR="00FD4402" w:rsidRPr="00375136">
        <w:rPr>
          <w:rFonts w:asciiTheme="minorHAnsi" w:eastAsiaTheme="minorHAnsi" w:hAnsiTheme="minorHAnsi" w:cstheme="minorBidi"/>
          <w:snapToGrid/>
          <w:sz w:val="24"/>
          <w:szCs w:val="22"/>
        </w:rPr>
        <w:t>sunitinib</w:t>
      </w:r>
      <w:proofErr w:type="spellEnd"/>
      <w:r w:rsidR="00FD4402" w:rsidRPr="00375136">
        <w:rPr>
          <w:rFonts w:asciiTheme="minorHAnsi" w:eastAsiaTheme="minorHAnsi" w:hAnsiTheme="minorHAnsi" w:cstheme="minorBidi"/>
          <w:snapToGrid/>
          <w:sz w:val="24"/>
          <w:szCs w:val="22"/>
        </w:rPr>
        <w:t xml:space="preserve"> and </w:t>
      </w:r>
      <w:proofErr w:type="spellStart"/>
      <w:r w:rsidR="00FD4402" w:rsidRPr="00375136">
        <w:rPr>
          <w:rFonts w:asciiTheme="minorHAnsi" w:eastAsiaTheme="minorHAnsi" w:hAnsiTheme="minorHAnsi" w:cstheme="minorBidi"/>
          <w:snapToGrid/>
          <w:sz w:val="24"/>
          <w:szCs w:val="22"/>
        </w:rPr>
        <w:t>pazopanib</w:t>
      </w:r>
      <w:proofErr w:type="spellEnd"/>
      <w:r w:rsidR="00FD4402" w:rsidRPr="00375136">
        <w:rPr>
          <w:rFonts w:asciiTheme="minorHAnsi" w:eastAsiaTheme="minorHAnsi" w:hAnsiTheme="minorHAnsi" w:cstheme="minorBidi"/>
          <w:snapToGrid/>
          <w:sz w:val="24"/>
          <w:szCs w:val="22"/>
        </w:rPr>
        <w:t xml:space="preserve">. Following disease progression with these agents, currently listed PBS </w:t>
      </w:r>
      <w:r>
        <w:rPr>
          <w:rFonts w:asciiTheme="minorHAnsi" w:eastAsiaTheme="minorHAnsi" w:hAnsiTheme="minorHAnsi" w:cstheme="minorBidi"/>
          <w:snapToGrid/>
          <w:sz w:val="24"/>
          <w:szCs w:val="22"/>
        </w:rPr>
        <w:t xml:space="preserve">treatment options </w:t>
      </w:r>
      <w:r w:rsidR="00FD4402" w:rsidRPr="00375136">
        <w:rPr>
          <w:rFonts w:asciiTheme="minorHAnsi" w:eastAsiaTheme="minorHAnsi" w:hAnsiTheme="minorHAnsi" w:cstheme="minorBidi"/>
          <w:snapToGrid/>
          <w:sz w:val="24"/>
          <w:szCs w:val="22"/>
        </w:rPr>
        <w:t xml:space="preserve">for second line therapy include </w:t>
      </w:r>
      <w:proofErr w:type="spellStart"/>
      <w:r w:rsidR="00FD4402" w:rsidRPr="00375136">
        <w:rPr>
          <w:rFonts w:asciiTheme="minorHAnsi" w:eastAsiaTheme="minorHAnsi" w:hAnsiTheme="minorHAnsi" w:cstheme="minorBidi"/>
          <w:snapToGrid/>
          <w:sz w:val="24"/>
          <w:szCs w:val="22"/>
        </w:rPr>
        <w:t>nivolumab</w:t>
      </w:r>
      <w:proofErr w:type="spellEnd"/>
      <w:r w:rsidR="00FD4402" w:rsidRPr="00375136">
        <w:rPr>
          <w:rFonts w:asciiTheme="minorHAnsi" w:eastAsiaTheme="minorHAnsi" w:hAnsiTheme="minorHAnsi" w:cstheme="minorBidi"/>
          <w:snapToGrid/>
          <w:sz w:val="24"/>
          <w:szCs w:val="22"/>
        </w:rPr>
        <w:t xml:space="preserve">, </w:t>
      </w:r>
      <w:proofErr w:type="spellStart"/>
      <w:r w:rsidR="00FD4402" w:rsidRPr="00375136">
        <w:rPr>
          <w:rFonts w:asciiTheme="minorHAnsi" w:eastAsiaTheme="minorHAnsi" w:hAnsiTheme="minorHAnsi" w:cstheme="minorBidi"/>
          <w:snapToGrid/>
          <w:sz w:val="24"/>
          <w:szCs w:val="22"/>
        </w:rPr>
        <w:t>everolimus</w:t>
      </w:r>
      <w:proofErr w:type="spellEnd"/>
      <w:r w:rsidR="00FD4402" w:rsidRPr="00375136">
        <w:rPr>
          <w:rFonts w:asciiTheme="minorHAnsi" w:eastAsiaTheme="minorHAnsi" w:hAnsiTheme="minorHAnsi" w:cstheme="minorBidi"/>
          <w:snapToGrid/>
          <w:sz w:val="24"/>
          <w:szCs w:val="22"/>
        </w:rPr>
        <w:t xml:space="preserve">, </w:t>
      </w:r>
      <w:proofErr w:type="spellStart"/>
      <w:r w:rsidR="00FD4402" w:rsidRPr="00375136">
        <w:rPr>
          <w:rFonts w:asciiTheme="minorHAnsi" w:eastAsiaTheme="minorHAnsi" w:hAnsiTheme="minorHAnsi" w:cstheme="minorBidi"/>
          <w:snapToGrid/>
          <w:sz w:val="24"/>
          <w:szCs w:val="22"/>
        </w:rPr>
        <w:t>axitinib</w:t>
      </w:r>
      <w:proofErr w:type="spellEnd"/>
      <w:r w:rsidR="00FD4402" w:rsidRPr="00375136">
        <w:rPr>
          <w:rFonts w:asciiTheme="minorHAnsi" w:eastAsiaTheme="minorHAnsi" w:hAnsiTheme="minorHAnsi" w:cstheme="minorBidi"/>
          <w:snapToGrid/>
          <w:sz w:val="24"/>
          <w:szCs w:val="22"/>
        </w:rPr>
        <w:t xml:space="preserve"> and </w:t>
      </w:r>
      <w:proofErr w:type="spellStart"/>
      <w:r w:rsidR="00FD4402" w:rsidRPr="00375136">
        <w:rPr>
          <w:rFonts w:asciiTheme="minorHAnsi" w:eastAsiaTheme="minorHAnsi" w:hAnsiTheme="minorHAnsi" w:cstheme="minorBidi"/>
          <w:snapToGrid/>
          <w:sz w:val="24"/>
          <w:szCs w:val="22"/>
        </w:rPr>
        <w:t>sorafenib</w:t>
      </w:r>
      <w:proofErr w:type="spellEnd"/>
      <w:r w:rsidR="00FD4402" w:rsidRPr="00375136">
        <w:rPr>
          <w:rFonts w:asciiTheme="minorHAnsi" w:eastAsiaTheme="minorHAnsi" w:hAnsiTheme="minorHAnsi" w:cstheme="minorBidi"/>
          <w:snapToGrid/>
          <w:sz w:val="24"/>
          <w:szCs w:val="22"/>
        </w:rPr>
        <w:t xml:space="preserve">. </w:t>
      </w:r>
    </w:p>
    <w:p w:rsidR="00BC53E1" w:rsidRPr="00F628ED" w:rsidRDefault="004B0EB0" w:rsidP="00F628E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March 2017, t</w:t>
      </w:r>
      <w:r w:rsidR="00FD4402" w:rsidRPr="00F628ED">
        <w:rPr>
          <w:rFonts w:asciiTheme="minorHAnsi" w:eastAsiaTheme="minorHAnsi" w:hAnsiTheme="minorHAnsi" w:cstheme="minorBidi"/>
          <w:snapToGrid/>
          <w:sz w:val="24"/>
          <w:szCs w:val="22"/>
        </w:rPr>
        <w:t xml:space="preserve">he PBAC recommended the listing of </w:t>
      </w:r>
      <w:proofErr w:type="spellStart"/>
      <w:r w:rsidR="00FD4402" w:rsidRPr="00F628ED">
        <w:rPr>
          <w:rFonts w:asciiTheme="minorHAnsi" w:eastAsiaTheme="minorHAnsi" w:hAnsiTheme="minorHAnsi" w:cstheme="minorBidi"/>
          <w:snapToGrid/>
          <w:sz w:val="24"/>
          <w:szCs w:val="22"/>
        </w:rPr>
        <w:t>nivolumab</w:t>
      </w:r>
      <w:proofErr w:type="spellEnd"/>
      <w:r w:rsidR="00FD4402" w:rsidRPr="00F628ED">
        <w:rPr>
          <w:rFonts w:asciiTheme="minorHAnsi" w:eastAsiaTheme="minorHAnsi" w:hAnsiTheme="minorHAnsi" w:cstheme="minorBidi"/>
          <w:snapToGrid/>
          <w:sz w:val="24"/>
          <w:szCs w:val="22"/>
        </w:rPr>
        <w:t xml:space="preserve"> as a treatment option for patients with advanced RCC in a second line setting, as a potential alternative to the currently available drugs. The PBAC considered that, for some patients, </w:t>
      </w:r>
      <w:proofErr w:type="spellStart"/>
      <w:r w:rsidR="00FD4402" w:rsidRPr="00F628ED">
        <w:rPr>
          <w:rFonts w:asciiTheme="minorHAnsi" w:eastAsiaTheme="minorHAnsi" w:hAnsiTheme="minorHAnsi" w:cstheme="minorBidi"/>
          <w:snapToGrid/>
          <w:sz w:val="24"/>
          <w:szCs w:val="22"/>
        </w:rPr>
        <w:t>nivolumab</w:t>
      </w:r>
      <w:proofErr w:type="spellEnd"/>
      <w:r w:rsidR="00FD4402" w:rsidRPr="00F628ED">
        <w:rPr>
          <w:rFonts w:asciiTheme="minorHAnsi" w:eastAsiaTheme="minorHAnsi" w:hAnsiTheme="minorHAnsi" w:cstheme="minorBidi"/>
          <w:snapToGrid/>
          <w:sz w:val="24"/>
          <w:szCs w:val="22"/>
        </w:rPr>
        <w:t xml:space="preserve"> provided a significant improvement in efficacy and a reduction in toxicity over </w:t>
      </w:r>
      <w:proofErr w:type="spellStart"/>
      <w:r w:rsidR="00FD4402" w:rsidRPr="00F628ED">
        <w:rPr>
          <w:rFonts w:asciiTheme="minorHAnsi" w:eastAsiaTheme="minorHAnsi" w:hAnsiTheme="minorHAnsi" w:cstheme="minorBidi"/>
          <w:snapToGrid/>
          <w:sz w:val="24"/>
          <w:szCs w:val="22"/>
        </w:rPr>
        <w:t>everolimus</w:t>
      </w:r>
      <w:proofErr w:type="spellEnd"/>
      <w:r w:rsidR="00FD4402" w:rsidRPr="00F628ED">
        <w:rPr>
          <w:rFonts w:asciiTheme="minorHAnsi" w:eastAsiaTheme="minorHAnsi" w:hAnsiTheme="minorHAnsi" w:cstheme="minorBidi"/>
          <w:snapToGrid/>
          <w:sz w:val="24"/>
          <w:szCs w:val="22"/>
        </w:rPr>
        <w:t xml:space="preserve">, which was the nominated comparator (paragraph </w:t>
      </w:r>
      <w:r w:rsidR="00F628ED">
        <w:rPr>
          <w:rFonts w:asciiTheme="minorHAnsi" w:eastAsiaTheme="minorHAnsi" w:hAnsiTheme="minorHAnsi" w:cstheme="minorBidi"/>
          <w:snapToGrid/>
          <w:sz w:val="24"/>
          <w:szCs w:val="22"/>
        </w:rPr>
        <w:t xml:space="preserve">7.1, </w:t>
      </w:r>
      <w:proofErr w:type="spellStart"/>
      <w:r w:rsidR="00F628ED">
        <w:rPr>
          <w:rFonts w:asciiTheme="minorHAnsi" w:eastAsiaTheme="minorHAnsi" w:hAnsiTheme="minorHAnsi" w:cstheme="minorBidi"/>
          <w:snapToGrid/>
          <w:sz w:val="24"/>
          <w:szCs w:val="22"/>
        </w:rPr>
        <w:t>nivolumab</w:t>
      </w:r>
      <w:proofErr w:type="spellEnd"/>
      <w:r w:rsidR="00F628ED">
        <w:rPr>
          <w:rFonts w:asciiTheme="minorHAnsi" w:eastAsiaTheme="minorHAnsi" w:hAnsiTheme="minorHAnsi" w:cstheme="minorBidi"/>
          <w:snapToGrid/>
          <w:sz w:val="24"/>
          <w:szCs w:val="22"/>
        </w:rPr>
        <w:t xml:space="preserve"> Public Summary Document [PSD]</w:t>
      </w:r>
      <w:r w:rsidR="00FD4402" w:rsidRPr="00F628ED">
        <w:rPr>
          <w:rFonts w:asciiTheme="minorHAnsi" w:eastAsiaTheme="minorHAnsi" w:hAnsiTheme="minorHAnsi" w:cstheme="minorBidi"/>
          <w:snapToGrid/>
          <w:sz w:val="24"/>
          <w:szCs w:val="22"/>
        </w:rPr>
        <w:t xml:space="preserve">, March 2017). In November 2014, the PBAC recommended listing </w:t>
      </w:r>
      <w:proofErr w:type="spellStart"/>
      <w:r w:rsidR="00FD4402" w:rsidRPr="00F628ED">
        <w:rPr>
          <w:rFonts w:asciiTheme="minorHAnsi" w:eastAsiaTheme="minorHAnsi" w:hAnsiTheme="minorHAnsi" w:cstheme="minorBidi"/>
          <w:snapToGrid/>
          <w:sz w:val="24"/>
          <w:szCs w:val="22"/>
        </w:rPr>
        <w:t>axitinib</w:t>
      </w:r>
      <w:proofErr w:type="spellEnd"/>
      <w:r w:rsidR="00FD4402" w:rsidRPr="00F628ED">
        <w:rPr>
          <w:rFonts w:asciiTheme="minorHAnsi" w:eastAsiaTheme="minorHAnsi" w:hAnsiTheme="minorHAnsi" w:cstheme="minorBidi"/>
          <w:snapToGrid/>
          <w:sz w:val="24"/>
          <w:szCs w:val="22"/>
        </w:rPr>
        <w:t xml:space="preserve"> in a second line setting for the treatment of patients with stage IV clear cell variant RCC, on a cost-minimisation basis with </w:t>
      </w:r>
      <w:proofErr w:type="spellStart"/>
      <w:r w:rsidR="00FD4402" w:rsidRPr="00F628ED">
        <w:rPr>
          <w:rFonts w:asciiTheme="minorHAnsi" w:eastAsiaTheme="minorHAnsi" w:hAnsiTheme="minorHAnsi" w:cstheme="minorBidi"/>
          <w:snapToGrid/>
          <w:sz w:val="24"/>
          <w:szCs w:val="22"/>
        </w:rPr>
        <w:t>everolimus</w:t>
      </w:r>
      <w:proofErr w:type="spellEnd"/>
      <w:r w:rsidR="00FD4402" w:rsidRPr="00F628ED">
        <w:rPr>
          <w:rFonts w:asciiTheme="minorHAnsi" w:eastAsiaTheme="minorHAnsi" w:hAnsiTheme="minorHAnsi" w:cstheme="minorBidi"/>
          <w:snapToGrid/>
          <w:sz w:val="24"/>
          <w:szCs w:val="22"/>
        </w:rPr>
        <w:t xml:space="preserve"> (paragraph 7.1, </w:t>
      </w:r>
      <w:proofErr w:type="spellStart"/>
      <w:r w:rsidR="00FD4402" w:rsidRPr="00F628ED">
        <w:rPr>
          <w:rFonts w:asciiTheme="minorHAnsi" w:eastAsiaTheme="minorHAnsi" w:hAnsiTheme="minorHAnsi" w:cstheme="minorBidi"/>
          <w:snapToGrid/>
          <w:sz w:val="24"/>
          <w:szCs w:val="22"/>
        </w:rPr>
        <w:t>axitinib</w:t>
      </w:r>
      <w:proofErr w:type="spellEnd"/>
      <w:r w:rsidR="00FD4402" w:rsidRPr="00F628ED">
        <w:rPr>
          <w:rFonts w:asciiTheme="minorHAnsi" w:eastAsiaTheme="minorHAnsi" w:hAnsiTheme="minorHAnsi" w:cstheme="minorBidi"/>
          <w:snapToGrid/>
          <w:sz w:val="24"/>
          <w:szCs w:val="22"/>
        </w:rPr>
        <w:t xml:space="preserve"> PSD, November 2014).</w:t>
      </w:r>
      <w:r>
        <w:rPr>
          <w:rFonts w:asciiTheme="minorHAnsi" w:eastAsiaTheme="minorHAnsi" w:hAnsiTheme="minorHAnsi" w:cstheme="minorBidi"/>
          <w:snapToGrid/>
          <w:sz w:val="24"/>
          <w:szCs w:val="22"/>
        </w:rPr>
        <w:t xml:space="preserve"> Most recently, in December 2017, the PBAC recommended the listing of </w:t>
      </w:r>
      <w:proofErr w:type="spellStart"/>
      <w:r w:rsidR="00BC53E1" w:rsidRPr="00F628ED">
        <w:rPr>
          <w:rFonts w:asciiTheme="minorHAnsi" w:eastAsiaTheme="minorHAnsi" w:hAnsiTheme="minorHAnsi" w:cstheme="minorBidi"/>
          <w:snapToGrid/>
          <w:sz w:val="24"/>
          <w:szCs w:val="22"/>
        </w:rPr>
        <w:t>cabozantinib</w:t>
      </w:r>
      <w:proofErr w:type="spellEnd"/>
      <w:r w:rsidR="00BC53E1" w:rsidRPr="00F628ED">
        <w:rPr>
          <w:rFonts w:asciiTheme="minorHAnsi" w:eastAsiaTheme="minorHAnsi" w:hAnsiTheme="minorHAnsi" w:cstheme="minorBidi"/>
          <w:snapToGrid/>
          <w:sz w:val="24"/>
          <w:szCs w:val="22"/>
        </w:rPr>
        <w:t xml:space="preserve"> for the treatment of Stage </w:t>
      </w:r>
      <w:r w:rsidR="00F623D6">
        <w:rPr>
          <w:rFonts w:asciiTheme="minorHAnsi" w:eastAsiaTheme="minorHAnsi" w:hAnsiTheme="minorHAnsi" w:cstheme="minorBidi"/>
          <w:snapToGrid/>
          <w:sz w:val="24"/>
          <w:szCs w:val="22"/>
        </w:rPr>
        <w:t>IV clear cell variant RCC</w:t>
      </w:r>
      <w:r w:rsidR="00BC53E1" w:rsidRPr="00F628ED">
        <w:rPr>
          <w:rFonts w:asciiTheme="minorHAnsi" w:eastAsiaTheme="minorHAnsi" w:hAnsiTheme="minorHAnsi" w:cstheme="minorBidi"/>
          <w:snapToGrid/>
          <w:sz w:val="24"/>
          <w:szCs w:val="22"/>
        </w:rPr>
        <w:t xml:space="preserve">, on a cost-minimisation basis against </w:t>
      </w:r>
      <w:proofErr w:type="spellStart"/>
      <w:r w:rsidR="00BC53E1" w:rsidRPr="00F628ED">
        <w:rPr>
          <w:rFonts w:asciiTheme="minorHAnsi" w:eastAsiaTheme="minorHAnsi" w:hAnsiTheme="minorHAnsi" w:cstheme="minorBidi"/>
          <w:snapToGrid/>
          <w:sz w:val="24"/>
          <w:szCs w:val="22"/>
        </w:rPr>
        <w:t>nivolumab</w:t>
      </w:r>
      <w:proofErr w:type="spellEnd"/>
      <w:r w:rsidR="00BC53E1" w:rsidRPr="00F628ED">
        <w:rPr>
          <w:rFonts w:asciiTheme="minorHAnsi" w:eastAsiaTheme="minorHAnsi" w:hAnsiTheme="minorHAnsi" w:cstheme="minorBidi"/>
          <w:snapToGrid/>
          <w:sz w:val="24"/>
          <w:szCs w:val="22"/>
        </w:rPr>
        <w:t xml:space="preserve">. The PBAC considered that </w:t>
      </w:r>
      <w:proofErr w:type="spellStart"/>
      <w:r w:rsidR="00BC53E1" w:rsidRPr="00F628ED">
        <w:rPr>
          <w:rFonts w:asciiTheme="minorHAnsi" w:eastAsiaTheme="minorHAnsi" w:hAnsiTheme="minorHAnsi" w:cstheme="minorBidi"/>
          <w:snapToGrid/>
          <w:sz w:val="24"/>
          <w:szCs w:val="22"/>
        </w:rPr>
        <w:t>cabozantinib</w:t>
      </w:r>
      <w:proofErr w:type="spellEnd"/>
      <w:r w:rsidR="00BC53E1" w:rsidRPr="00F628ED">
        <w:rPr>
          <w:rFonts w:asciiTheme="minorHAnsi" w:eastAsiaTheme="minorHAnsi" w:hAnsiTheme="minorHAnsi" w:cstheme="minorBidi"/>
          <w:snapToGrid/>
          <w:sz w:val="24"/>
          <w:szCs w:val="22"/>
        </w:rPr>
        <w:t xml:space="preserve"> had non-inferior efficacy compared to </w:t>
      </w:r>
      <w:proofErr w:type="spellStart"/>
      <w:r w:rsidR="00BC53E1" w:rsidRPr="00F628ED">
        <w:rPr>
          <w:rFonts w:asciiTheme="minorHAnsi" w:eastAsiaTheme="minorHAnsi" w:hAnsiTheme="minorHAnsi" w:cstheme="minorBidi"/>
          <w:snapToGrid/>
          <w:sz w:val="24"/>
          <w:szCs w:val="22"/>
        </w:rPr>
        <w:t>nivolumab</w:t>
      </w:r>
      <w:proofErr w:type="spellEnd"/>
      <w:r w:rsidR="00A36AB4">
        <w:rPr>
          <w:rFonts w:asciiTheme="minorHAnsi" w:eastAsiaTheme="minorHAnsi" w:hAnsiTheme="minorHAnsi" w:cstheme="minorBidi"/>
          <w:snapToGrid/>
          <w:sz w:val="24"/>
          <w:szCs w:val="22"/>
        </w:rPr>
        <w:t>,</w:t>
      </w:r>
      <w:r w:rsidR="00BC53E1" w:rsidRPr="00F628ED">
        <w:rPr>
          <w:rFonts w:asciiTheme="minorHAnsi" w:eastAsiaTheme="minorHAnsi" w:hAnsiTheme="minorHAnsi" w:cstheme="minorBidi"/>
          <w:snapToGrid/>
          <w:sz w:val="24"/>
          <w:szCs w:val="22"/>
        </w:rPr>
        <w:t xml:space="preserve"> and whilst there was possibly increased toxicity associated, this was manageable and balanced against a clinical need for an alternative to immunotherapy in this patient population</w:t>
      </w:r>
      <w:r w:rsidR="00F628ED">
        <w:rPr>
          <w:rFonts w:asciiTheme="minorHAnsi" w:eastAsiaTheme="minorHAnsi" w:hAnsiTheme="minorHAnsi" w:cstheme="minorBidi"/>
          <w:snapToGrid/>
          <w:sz w:val="24"/>
          <w:szCs w:val="22"/>
        </w:rPr>
        <w:t xml:space="preserve"> (December 2017 PBAC meeting – Positive Recommendations)</w:t>
      </w:r>
      <w:r w:rsidR="00BC53E1" w:rsidRPr="00F628ED">
        <w:rPr>
          <w:rFonts w:asciiTheme="minorHAnsi" w:eastAsiaTheme="minorHAnsi" w:hAnsiTheme="minorHAnsi" w:cstheme="minorBidi"/>
          <w:snapToGrid/>
          <w:sz w:val="24"/>
          <w:szCs w:val="22"/>
        </w:rPr>
        <w:t>.</w:t>
      </w:r>
    </w:p>
    <w:p w:rsidR="006B0D94" w:rsidRPr="00F628ED" w:rsidRDefault="00E22F21" w:rsidP="00F628E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F628ED">
        <w:rPr>
          <w:rFonts w:asciiTheme="minorHAnsi" w:eastAsiaTheme="minorHAnsi" w:hAnsiTheme="minorHAnsi" w:cstheme="minorBidi"/>
          <w:snapToGrid/>
          <w:sz w:val="24"/>
          <w:szCs w:val="22"/>
        </w:rPr>
        <w:t>Lenvatinib</w:t>
      </w:r>
      <w:proofErr w:type="spellEnd"/>
      <w:r w:rsidRPr="00F628ED">
        <w:rPr>
          <w:rFonts w:asciiTheme="minorHAnsi" w:eastAsiaTheme="minorHAnsi" w:hAnsiTheme="minorHAnsi" w:cstheme="minorBidi"/>
          <w:snapToGrid/>
          <w:sz w:val="24"/>
          <w:szCs w:val="22"/>
        </w:rPr>
        <w:t xml:space="preserve"> is</w:t>
      </w:r>
      <w:r w:rsidR="00476245" w:rsidRPr="00F628ED">
        <w:rPr>
          <w:rFonts w:asciiTheme="minorHAnsi" w:eastAsiaTheme="minorHAnsi" w:hAnsiTheme="minorHAnsi" w:cstheme="minorBidi"/>
          <w:snapToGrid/>
          <w:sz w:val="24"/>
          <w:szCs w:val="22"/>
        </w:rPr>
        <w:t xml:space="preserve"> TGA registered for</w:t>
      </w:r>
      <w:r w:rsidRPr="00F628ED">
        <w:rPr>
          <w:rFonts w:asciiTheme="minorHAnsi" w:eastAsiaTheme="minorHAnsi" w:hAnsiTheme="minorHAnsi" w:cstheme="minorBidi"/>
          <w:snapToGrid/>
          <w:sz w:val="24"/>
          <w:szCs w:val="22"/>
        </w:rPr>
        <w:t xml:space="preserve"> </w:t>
      </w:r>
      <w:r w:rsidR="00141B39" w:rsidRPr="00F628ED">
        <w:rPr>
          <w:rFonts w:asciiTheme="minorHAnsi" w:eastAsiaTheme="minorHAnsi" w:hAnsiTheme="minorHAnsi" w:cstheme="minorBidi"/>
          <w:snapToGrid/>
          <w:sz w:val="24"/>
          <w:szCs w:val="22"/>
        </w:rPr>
        <w:t xml:space="preserve">use in combination with </w:t>
      </w:r>
      <w:proofErr w:type="spellStart"/>
      <w:r w:rsidR="00141B39" w:rsidRPr="00F628ED">
        <w:rPr>
          <w:rFonts w:asciiTheme="minorHAnsi" w:eastAsiaTheme="minorHAnsi" w:hAnsiTheme="minorHAnsi" w:cstheme="minorBidi"/>
          <w:snapToGrid/>
          <w:sz w:val="24"/>
          <w:szCs w:val="22"/>
        </w:rPr>
        <w:t>everolimus</w:t>
      </w:r>
      <w:proofErr w:type="spellEnd"/>
      <w:r w:rsidR="00141B39" w:rsidRPr="00F628ED">
        <w:rPr>
          <w:rFonts w:asciiTheme="minorHAnsi" w:eastAsiaTheme="minorHAnsi" w:hAnsiTheme="minorHAnsi" w:cstheme="minorBidi"/>
          <w:snapToGrid/>
          <w:sz w:val="24"/>
          <w:szCs w:val="22"/>
        </w:rPr>
        <w:t xml:space="preserve"> for the treatment of adult patients with advanced RCC whose disease has progressed following one prior vascular endothelial growth factor targeted therapy. </w:t>
      </w:r>
      <w:r w:rsidR="002B1AE6" w:rsidRPr="00F628ED">
        <w:rPr>
          <w:rFonts w:asciiTheme="minorHAnsi" w:eastAsiaTheme="minorHAnsi" w:hAnsiTheme="minorHAnsi" w:cstheme="minorBidi"/>
          <w:snapToGrid/>
          <w:sz w:val="24"/>
          <w:szCs w:val="22"/>
        </w:rPr>
        <w:t xml:space="preserve"> </w:t>
      </w:r>
    </w:p>
    <w:p w:rsidR="008A1956" w:rsidRDefault="00F628ED" w:rsidP="00271E0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Le</w:t>
      </w:r>
      <w:r w:rsidR="00271E05">
        <w:rPr>
          <w:rFonts w:asciiTheme="minorHAnsi" w:eastAsiaTheme="minorHAnsi" w:hAnsiTheme="minorHAnsi" w:cstheme="minorBidi"/>
          <w:snapToGrid/>
          <w:sz w:val="24"/>
          <w:szCs w:val="22"/>
        </w:rPr>
        <w:t>nvatinib</w:t>
      </w:r>
      <w:proofErr w:type="spellEnd"/>
      <w:r w:rsidR="00271E05">
        <w:rPr>
          <w:rFonts w:asciiTheme="minorHAnsi" w:eastAsiaTheme="minorHAnsi" w:hAnsiTheme="minorHAnsi" w:cstheme="minorBidi"/>
          <w:snapToGrid/>
          <w:sz w:val="24"/>
          <w:szCs w:val="22"/>
        </w:rPr>
        <w:t xml:space="preserve"> was previously considered by the PBAC in November 2017 for use in combination with </w:t>
      </w:r>
      <w:proofErr w:type="spellStart"/>
      <w:r w:rsidR="00271E05">
        <w:rPr>
          <w:rFonts w:asciiTheme="minorHAnsi" w:eastAsiaTheme="minorHAnsi" w:hAnsiTheme="minorHAnsi" w:cstheme="minorBidi"/>
          <w:snapToGrid/>
          <w:sz w:val="24"/>
          <w:szCs w:val="22"/>
        </w:rPr>
        <w:t>everolimus</w:t>
      </w:r>
      <w:proofErr w:type="spellEnd"/>
      <w:r w:rsidR="00271E05">
        <w:rPr>
          <w:rFonts w:asciiTheme="minorHAnsi" w:eastAsiaTheme="minorHAnsi" w:hAnsiTheme="minorHAnsi" w:cstheme="minorBidi"/>
          <w:snapToGrid/>
          <w:sz w:val="24"/>
          <w:szCs w:val="22"/>
        </w:rPr>
        <w:t xml:space="preserve"> for the treatment of patients with stage IV clear cell variant RCC who have progressed after first-line treatment with a TKI. The intervention in this setting was </w:t>
      </w:r>
      <w:proofErr w:type="spellStart"/>
      <w:r w:rsidR="00271E05">
        <w:rPr>
          <w:rFonts w:asciiTheme="minorHAnsi" w:eastAsiaTheme="minorHAnsi" w:hAnsiTheme="minorHAnsi" w:cstheme="minorBidi"/>
          <w:snapToGrid/>
          <w:sz w:val="24"/>
          <w:szCs w:val="22"/>
        </w:rPr>
        <w:t>lenvatinib</w:t>
      </w:r>
      <w:proofErr w:type="spellEnd"/>
      <w:r w:rsidR="00271E05">
        <w:rPr>
          <w:rFonts w:asciiTheme="minorHAnsi" w:eastAsiaTheme="minorHAnsi" w:hAnsiTheme="minorHAnsi" w:cstheme="minorBidi"/>
          <w:snapToGrid/>
          <w:sz w:val="24"/>
          <w:szCs w:val="22"/>
        </w:rPr>
        <w:t xml:space="preserve"> 18 mg and </w:t>
      </w:r>
      <w:proofErr w:type="spellStart"/>
      <w:r w:rsidR="00271E05">
        <w:rPr>
          <w:rFonts w:asciiTheme="minorHAnsi" w:eastAsiaTheme="minorHAnsi" w:hAnsiTheme="minorHAnsi" w:cstheme="minorBidi"/>
          <w:snapToGrid/>
          <w:sz w:val="24"/>
          <w:szCs w:val="22"/>
        </w:rPr>
        <w:t>everolimus</w:t>
      </w:r>
      <w:proofErr w:type="spellEnd"/>
      <w:r w:rsidR="00271E05">
        <w:rPr>
          <w:rFonts w:asciiTheme="minorHAnsi" w:eastAsiaTheme="minorHAnsi" w:hAnsiTheme="minorHAnsi" w:cstheme="minorBidi"/>
          <w:snapToGrid/>
          <w:sz w:val="24"/>
          <w:szCs w:val="22"/>
        </w:rPr>
        <w:t xml:space="preserve"> 5 mg orally, once daily. </w:t>
      </w:r>
      <w:proofErr w:type="spellStart"/>
      <w:r w:rsidR="00271E05">
        <w:rPr>
          <w:rFonts w:asciiTheme="minorHAnsi" w:eastAsiaTheme="minorHAnsi" w:hAnsiTheme="minorHAnsi" w:cstheme="minorBidi"/>
          <w:snapToGrid/>
          <w:sz w:val="24"/>
          <w:szCs w:val="22"/>
        </w:rPr>
        <w:t>Everolimus</w:t>
      </w:r>
      <w:proofErr w:type="spellEnd"/>
      <w:r w:rsidR="00271E05">
        <w:rPr>
          <w:rFonts w:asciiTheme="minorHAnsi" w:eastAsiaTheme="minorHAnsi" w:hAnsiTheme="minorHAnsi" w:cstheme="minorBidi"/>
          <w:snapToGrid/>
          <w:sz w:val="24"/>
          <w:szCs w:val="22"/>
        </w:rPr>
        <w:t xml:space="preserve"> 10 mg orally, once daily, was nominated as the primary comparator upon which the clinical and cost-effectiveness data presented were based. A secondary indirect comparison with </w:t>
      </w:r>
      <w:proofErr w:type="spellStart"/>
      <w:proofErr w:type="gramStart"/>
      <w:r w:rsidR="00271E05">
        <w:rPr>
          <w:rFonts w:asciiTheme="minorHAnsi" w:eastAsiaTheme="minorHAnsi" w:hAnsiTheme="minorHAnsi" w:cstheme="minorBidi"/>
          <w:snapToGrid/>
          <w:sz w:val="24"/>
          <w:szCs w:val="22"/>
        </w:rPr>
        <w:t>nivolumab</w:t>
      </w:r>
      <w:proofErr w:type="spellEnd"/>
      <w:r w:rsidR="00271E05">
        <w:rPr>
          <w:rFonts w:asciiTheme="minorHAnsi" w:eastAsiaTheme="minorHAnsi" w:hAnsiTheme="minorHAnsi" w:cstheme="minorBidi"/>
          <w:snapToGrid/>
          <w:sz w:val="24"/>
          <w:szCs w:val="22"/>
        </w:rPr>
        <w:t>,</w:t>
      </w:r>
      <w:proofErr w:type="gramEnd"/>
      <w:r w:rsidR="00271E05">
        <w:rPr>
          <w:rFonts w:asciiTheme="minorHAnsi" w:eastAsiaTheme="minorHAnsi" w:hAnsiTheme="minorHAnsi" w:cstheme="minorBidi"/>
          <w:snapToGrid/>
          <w:sz w:val="24"/>
          <w:szCs w:val="22"/>
        </w:rPr>
        <w:t xml:space="preserve"> and supplementary comparisons with </w:t>
      </w:r>
      <w:proofErr w:type="spellStart"/>
      <w:r w:rsidR="00271E05">
        <w:rPr>
          <w:rFonts w:asciiTheme="minorHAnsi" w:eastAsiaTheme="minorHAnsi" w:hAnsiTheme="minorHAnsi" w:cstheme="minorBidi"/>
          <w:snapToGrid/>
          <w:sz w:val="24"/>
          <w:szCs w:val="22"/>
        </w:rPr>
        <w:t>axitinib</w:t>
      </w:r>
      <w:proofErr w:type="spellEnd"/>
      <w:r w:rsidR="00271E05">
        <w:rPr>
          <w:rFonts w:asciiTheme="minorHAnsi" w:eastAsiaTheme="minorHAnsi" w:hAnsiTheme="minorHAnsi" w:cstheme="minorBidi"/>
          <w:snapToGrid/>
          <w:sz w:val="24"/>
          <w:szCs w:val="22"/>
        </w:rPr>
        <w:t xml:space="preserve"> and </w:t>
      </w:r>
      <w:proofErr w:type="spellStart"/>
      <w:r w:rsidR="00271E05">
        <w:rPr>
          <w:rFonts w:asciiTheme="minorHAnsi" w:eastAsiaTheme="minorHAnsi" w:hAnsiTheme="minorHAnsi" w:cstheme="minorBidi"/>
          <w:snapToGrid/>
          <w:sz w:val="24"/>
          <w:szCs w:val="22"/>
        </w:rPr>
        <w:t>cabozantinib</w:t>
      </w:r>
      <w:proofErr w:type="spellEnd"/>
      <w:r w:rsidR="00271E05">
        <w:rPr>
          <w:rFonts w:asciiTheme="minorHAnsi" w:eastAsiaTheme="minorHAnsi" w:hAnsiTheme="minorHAnsi" w:cstheme="minorBidi"/>
          <w:snapToGrid/>
          <w:sz w:val="24"/>
          <w:szCs w:val="22"/>
        </w:rPr>
        <w:t xml:space="preserve">, for clinical effectiveness were also presented. </w:t>
      </w:r>
    </w:p>
    <w:p w:rsidR="00581792" w:rsidRPr="00581792" w:rsidRDefault="00581792" w:rsidP="00BC5AB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81792">
        <w:rPr>
          <w:rFonts w:asciiTheme="minorHAnsi" w:eastAsiaTheme="minorHAnsi" w:hAnsiTheme="minorHAnsi" w:cstheme="minorBidi"/>
          <w:snapToGrid/>
          <w:sz w:val="24"/>
          <w:szCs w:val="22"/>
        </w:rPr>
        <w:lastRenderedPageBreak/>
        <w:t xml:space="preserve">The PBAC did not recommend the listing of </w:t>
      </w:r>
      <w:proofErr w:type="spellStart"/>
      <w:r w:rsidRPr="00581792">
        <w:rPr>
          <w:rFonts w:asciiTheme="minorHAnsi" w:eastAsiaTheme="minorHAnsi" w:hAnsiTheme="minorHAnsi" w:cstheme="minorBidi"/>
          <w:snapToGrid/>
          <w:sz w:val="24"/>
          <w:szCs w:val="22"/>
        </w:rPr>
        <w:t>lenvatinib</w:t>
      </w:r>
      <w:proofErr w:type="spellEnd"/>
      <w:r w:rsidRPr="00581792">
        <w:rPr>
          <w:rFonts w:asciiTheme="minorHAnsi" w:eastAsiaTheme="minorHAnsi" w:hAnsiTheme="minorHAnsi" w:cstheme="minorBidi"/>
          <w:snapToGrid/>
          <w:sz w:val="24"/>
          <w:szCs w:val="22"/>
        </w:rPr>
        <w:t xml:space="preserve"> for advanced RCC on the basis that the clinical need and the clinical place in therapy were not adequately established. In addition, the PBAC considered that the magnitude of the clinical benefit </w:t>
      </w:r>
      <w:r w:rsidR="007B2DEB">
        <w:rPr>
          <w:rFonts w:asciiTheme="minorHAnsi" w:eastAsiaTheme="minorHAnsi" w:hAnsiTheme="minorHAnsi" w:cstheme="minorBidi"/>
          <w:snapToGrid/>
          <w:sz w:val="24"/>
          <w:szCs w:val="22"/>
        </w:rPr>
        <w:t xml:space="preserve">for overall survival </w:t>
      </w:r>
      <w:r w:rsidRPr="00581792">
        <w:rPr>
          <w:rFonts w:asciiTheme="minorHAnsi" w:eastAsiaTheme="minorHAnsi" w:hAnsiTheme="minorHAnsi" w:cstheme="minorBidi"/>
          <w:snapToGrid/>
          <w:sz w:val="24"/>
          <w:szCs w:val="22"/>
        </w:rPr>
        <w:t xml:space="preserve">was uncertain </w:t>
      </w:r>
      <w:r w:rsidR="007B2DEB">
        <w:rPr>
          <w:rFonts w:asciiTheme="minorHAnsi" w:eastAsiaTheme="minorHAnsi" w:hAnsiTheme="minorHAnsi" w:cstheme="minorBidi"/>
          <w:snapToGrid/>
          <w:sz w:val="24"/>
          <w:szCs w:val="22"/>
        </w:rPr>
        <w:t xml:space="preserve">and possibly due to chance, </w:t>
      </w:r>
      <w:r w:rsidRPr="00581792">
        <w:rPr>
          <w:rFonts w:asciiTheme="minorHAnsi" w:eastAsiaTheme="minorHAnsi" w:hAnsiTheme="minorHAnsi" w:cstheme="minorBidi"/>
          <w:snapToGrid/>
          <w:sz w:val="24"/>
          <w:szCs w:val="22"/>
        </w:rPr>
        <w:t xml:space="preserve">due to the small sample size of the key clinical trial (Study 205). The PBAC considered the cost-effectiveness of </w:t>
      </w:r>
      <w:proofErr w:type="spellStart"/>
      <w:r w:rsidRPr="00581792">
        <w:rPr>
          <w:rFonts w:asciiTheme="minorHAnsi" w:eastAsiaTheme="minorHAnsi" w:hAnsiTheme="minorHAnsi" w:cstheme="minorBidi"/>
          <w:snapToGrid/>
          <w:sz w:val="24"/>
          <w:szCs w:val="22"/>
        </w:rPr>
        <w:t>lenvatinib</w:t>
      </w:r>
      <w:proofErr w:type="spellEnd"/>
      <w:r w:rsidRPr="00581792">
        <w:rPr>
          <w:rFonts w:asciiTheme="minorHAnsi" w:eastAsiaTheme="minorHAnsi" w:hAnsiTheme="minorHAnsi" w:cstheme="minorBidi"/>
          <w:snapToGrid/>
          <w:sz w:val="24"/>
          <w:szCs w:val="22"/>
        </w:rPr>
        <w:t xml:space="preserve"> was unable to be established, as the clinical place in therapy and hence the appropriate comparator for the evaluation, were uncertain</w:t>
      </w:r>
      <w:r>
        <w:rPr>
          <w:rFonts w:asciiTheme="minorHAnsi" w:eastAsiaTheme="minorHAnsi" w:hAnsiTheme="minorHAnsi" w:cstheme="minorBidi"/>
          <w:snapToGrid/>
          <w:sz w:val="24"/>
          <w:szCs w:val="22"/>
        </w:rPr>
        <w:t xml:space="preserve"> (Paragraph</w:t>
      </w:r>
      <w:r w:rsidR="002C25C7">
        <w:rPr>
          <w:rFonts w:asciiTheme="minorHAnsi" w:eastAsiaTheme="minorHAnsi" w:hAnsiTheme="minorHAnsi" w:cstheme="minorBidi"/>
          <w:snapToGrid/>
          <w:sz w:val="24"/>
          <w:szCs w:val="22"/>
        </w:rPr>
        <w:t>s 6.2 and</w:t>
      </w:r>
      <w:r>
        <w:rPr>
          <w:rFonts w:asciiTheme="minorHAnsi" w:eastAsiaTheme="minorHAnsi" w:hAnsiTheme="minorHAnsi" w:cstheme="minorBidi"/>
          <w:snapToGrid/>
          <w:sz w:val="24"/>
          <w:szCs w:val="22"/>
        </w:rPr>
        <w:t xml:space="preserve"> 7.1, </w:t>
      </w:r>
      <w:proofErr w:type="spellStart"/>
      <w:r>
        <w:rPr>
          <w:rFonts w:asciiTheme="minorHAnsi" w:eastAsiaTheme="minorHAnsi" w:hAnsiTheme="minorHAnsi" w:cstheme="minorBidi"/>
          <w:snapToGrid/>
          <w:sz w:val="24"/>
          <w:szCs w:val="22"/>
        </w:rPr>
        <w:t>lenvatinib</w:t>
      </w:r>
      <w:proofErr w:type="spellEnd"/>
      <w:r>
        <w:rPr>
          <w:rFonts w:asciiTheme="minorHAnsi" w:eastAsiaTheme="minorHAnsi" w:hAnsiTheme="minorHAnsi" w:cstheme="minorBidi"/>
          <w:snapToGrid/>
          <w:sz w:val="24"/>
          <w:szCs w:val="22"/>
        </w:rPr>
        <w:t xml:space="preserve"> PBAC </w:t>
      </w:r>
      <w:r w:rsidR="004D717E">
        <w:rPr>
          <w:rFonts w:asciiTheme="minorHAnsi" w:eastAsiaTheme="minorHAnsi" w:hAnsiTheme="minorHAnsi" w:cstheme="minorBidi"/>
          <w:snapToGrid/>
          <w:sz w:val="24"/>
          <w:szCs w:val="22"/>
        </w:rPr>
        <w:t>Public Summary Document</w:t>
      </w:r>
      <w:r>
        <w:rPr>
          <w:rFonts w:asciiTheme="minorHAnsi" w:eastAsiaTheme="minorHAnsi" w:hAnsiTheme="minorHAnsi" w:cstheme="minorBidi"/>
          <w:snapToGrid/>
          <w:sz w:val="24"/>
          <w:szCs w:val="22"/>
        </w:rPr>
        <w:t>, November 2017)</w:t>
      </w:r>
      <w:r w:rsidRPr="00581792">
        <w:rPr>
          <w:rFonts w:asciiTheme="minorHAnsi" w:eastAsiaTheme="minorHAnsi" w:hAnsiTheme="minorHAnsi" w:cstheme="minorBidi"/>
          <w:snapToGrid/>
          <w:sz w:val="24"/>
          <w:szCs w:val="22"/>
        </w:rPr>
        <w:t xml:space="preserve">. </w:t>
      </w:r>
    </w:p>
    <w:p w:rsidR="00782716" w:rsidRPr="00782716" w:rsidRDefault="001E5643" w:rsidP="007827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November 2017, t</w:t>
      </w:r>
      <w:r w:rsidR="007747CC" w:rsidRPr="007747CC">
        <w:rPr>
          <w:rFonts w:asciiTheme="minorHAnsi" w:eastAsiaTheme="minorHAnsi" w:hAnsiTheme="minorHAnsi" w:cstheme="minorBidi"/>
          <w:snapToGrid/>
          <w:sz w:val="24"/>
          <w:szCs w:val="22"/>
        </w:rPr>
        <w:t xml:space="preserve">he PBAC noted that there are many established therapies for advanced RCC with two first </w:t>
      </w:r>
      <w:proofErr w:type="gramStart"/>
      <w:r w:rsidR="007747CC" w:rsidRPr="007747CC">
        <w:rPr>
          <w:rFonts w:asciiTheme="minorHAnsi" w:eastAsiaTheme="minorHAnsi" w:hAnsiTheme="minorHAnsi" w:cstheme="minorBidi"/>
          <w:snapToGrid/>
          <w:sz w:val="24"/>
          <w:szCs w:val="22"/>
        </w:rPr>
        <w:t>line</w:t>
      </w:r>
      <w:proofErr w:type="gramEnd"/>
      <w:r w:rsidR="007747CC" w:rsidRPr="007747CC">
        <w:rPr>
          <w:rFonts w:asciiTheme="minorHAnsi" w:eastAsiaTheme="minorHAnsi" w:hAnsiTheme="minorHAnsi" w:cstheme="minorBidi"/>
          <w:snapToGrid/>
          <w:sz w:val="24"/>
          <w:szCs w:val="22"/>
        </w:rPr>
        <w:t xml:space="preserve"> and four second line therapy options currently PBS listed. The PBAC considered that concerns regarding the magnitude of clinical benefit and the toxicity profile of </w:t>
      </w:r>
      <w:proofErr w:type="spellStart"/>
      <w:r w:rsidR="007747CC" w:rsidRPr="007747CC">
        <w:rPr>
          <w:rFonts w:asciiTheme="minorHAnsi" w:eastAsiaTheme="minorHAnsi" w:hAnsiTheme="minorHAnsi" w:cstheme="minorBidi"/>
          <w:snapToGrid/>
          <w:sz w:val="24"/>
          <w:szCs w:val="22"/>
        </w:rPr>
        <w:t>lenvatinib</w:t>
      </w:r>
      <w:proofErr w:type="spellEnd"/>
      <w:r w:rsidR="007747CC" w:rsidRPr="007747CC">
        <w:rPr>
          <w:rFonts w:asciiTheme="minorHAnsi" w:eastAsiaTheme="minorHAnsi" w:hAnsiTheme="minorHAnsi" w:cstheme="minorBidi"/>
          <w:snapToGrid/>
          <w:sz w:val="24"/>
          <w:szCs w:val="22"/>
        </w:rPr>
        <w:t>/</w:t>
      </w:r>
      <w:proofErr w:type="spellStart"/>
      <w:r w:rsidR="007747CC" w:rsidRPr="007747CC">
        <w:rPr>
          <w:rFonts w:asciiTheme="minorHAnsi" w:eastAsiaTheme="minorHAnsi" w:hAnsiTheme="minorHAnsi" w:cstheme="minorBidi"/>
          <w:snapToGrid/>
          <w:sz w:val="24"/>
          <w:szCs w:val="22"/>
        </w:rPr>
        <w:t>everolimus</w:t>
      </w:r>
      <w:proofErr w:type="spellEnd"/>
      <w:r w:rsidR="007747CC" w:rsidRPr="007747CC">
        <w:rPr>
          <w:rFonts w:asciiTheme="minorHAnsi" w:eastAsiaTheme="minorHAnsi" w:hAnsiTheme="minorHAnsi" w:cstheme="minorBidi"/>
          <w:snapToGrid/>
          <w:sz w:val="24"/>
          <w:szCs w:val="22"/>
        </w:rPr>
        <w:t xml:space="preserve"> when compared with two existing treatments (</w:t>
      </w:r>
      <w:proofErr w:type="spellStart"/>
      <w:r w:rsidR="007747CC" w:rsidRPr="007747CC">
        <w:rPr>
          <w:rFonts w:asciiTheme="minorHAnsi" w:eastAsiaTheme="minorHAnsi" w:hAnsiTheme="minorHAnsi" w:cstheme="minorBidi"/>
          <w:snapToGrid/>
          <w:sz w:val="24"/>
          <w:szCs w:val="22"/>
        </w:rPr>
        <w:t>everolimus</w:t>
      </w:r>
      <w:proofErr w:type="spellEnd"/>
      <w:r w:rsidR="007747CC" w:rsidRPr="007747CC">
        <w:rPr>
          <w:rFonts w:asciiTheme="minorHAnsi" w:eastAsiaTheme="minorHAnsi" w:hAnsiTheme="minorHAnsi" w:cstheme="minorBidi"/>
          <w:snapToGrid/>
          <w:sz w:val="24"/>
          <w:szCs w:val="22"/>
        </w:rPr>
        <w:t xml:space="preserve"> and </w:t>
      </w:r>
      <w:proofErr w:type="spellStart"/>
      <w:r w:rsidR="007747CC" w:rsidRPr="007747CC">
        <w:rPr>
          <w:rFonts w:asciiTheme="minorHAnsi" w:eastAsiaTheme="minorHAnsi" w:hAnsiTheme="minorHAnsi" w:cstheme="minorBidi"/>
          <w:snapToGrid/>
          <w:sz w:val="24"/>
          <w:szCs w:val="22"/>
        </w:rPr>
        <w:t>nivolumab</w:t>
      </w:r>
      <w:proofErr w:type="spellEnd"/>
      <w:r w:rsidR="007747CC" w:rsidRPr="007747CC">
        <w:rPr>
          <w:rFonts w:asciiTheme="minorHAnsi" w:eastAsiaTheme="minorHAnsi" w:hAnsiTheme="minorHAnsi" w:cstheme="minorBidi"/>
          <w:snapToGrid/>
          <w:sz w:val="24"/>
          <w:szCs w:val="22"/>
        </w:rPr>
        <w:t>) meant that its clinical place in therapy was unclear</w:t>
      </w:r>
      <w:r w:rsidR="007747CC">
        <w:rPr>
          <w:rFonts w:asciiTheme="minorHAnsi" w:eastAsiaTheme="minorHAnsi" w:hAnsiTheme="minorHAnsi" w:cstheme="minorBidi"/>
          <w:snapToGrid/>
          <w:sz w:val="24"/>
          <w:szCs w:val="22"/>
        </w:rPr>
        <w:t xml:space="preserve"> (Paragraph 7.2, </w:t>
      </w:r>
      <w:proofErr w:type="spellStart"/>
      <w:r w:rsidR="007747CC">
        <w:rPr>
          <w:rFonts w:asciiTheme="minorHAnsi" w:eastAsiaTheme="minorHAnsi" w:hAnsiTheme="minorHAnsi" w:cstheme="minorBidi"/>
          <w:snapToGrid/>
          <w:sz w:val="24"/>
          <w:szCs w:val="22"/>
        </w:rPr>
        <w:t>lenvatinib</w:t>
      </w:r>
      <w:proofErr w:type="spellEnd"/>
      <w:r w:rsidR="007747CC">
        <w:rPr>
          <w:rFonts w:asciiTheme="minorHAnsi" w:eastAsiaTheme="minorHAnsi" w:hAnsiTheme="minorHAnsi" w:cstheme="minorBidi"/>
          <w:snapToGrid/>
          <w:sz w:val="24"/>
          <w:szCs w:val="22"/>
        </w:rPr>
        <w:t xml:space="preserve"> PBAC </w:t>
      </w:r>
      <w:r w:rsidR="004D717E">
        <w:rPr>
          <w:rFonts w:asciiTheme="minorHAnsi" w:eastAsiaTheme="minorHAnsi" w:hAnsiTheme="minorHAnsi" w:cstheme="minorBidi"/>
          <w:snapToGrid/>
          <w:sz w:val="24"/>
          <w:szCs w:val="22"/>
        </w:rPr>
        <w:t>Public Summary Document</w:t>
      </w:r>
      <w:r w:rsidR="007747CC">
        <w:rPr>
          <w:rFonts w:asciiTheme="minorHAnsi" w:eastAsiaTheme="minorHAnsi" w:hAnsiTheme="minorHAnsi" w:cstheme="minorBidi"/>
          <w:snapToGrid/>
          <w:sz w:val="24"/>
          <w:szCs w:val="22"/>
        </w:rPr>
        <w:t xml:space="preserve"> November 2017)</w:t>
      </w:r>
      <w:r w:rsidR="007747CC" w:rsidRPr="007747CC">
        <w:rPr>
          <w:rFonts w:asciiTheme="minorHAnsi" w:eastAsiaTheme="minorHAnsi" w:hAnsiTheme="minorHAnsi" w:cstheme="minorBidi"/>
          <w:snapToGrid/>
          <w:sz w:val="24"/>
          <w:szCs w:val="22"/>
        </w:rPr>
        <w:t xml:space="preserve">. </w:t>
      </w:r>
      <w:r w:rsidR="00D267B3">
        <w:rPr>
          <w:rFonts w:asciiTheme="minorHAnsi" w:eastAsiaTheme="minorHAnsi" w:hAnsiTheme="minorHAnsi" w:cstheme="minorBidi"/>
          <w:snapToGrid/>
          <w:sz w:val="24"/>
          <w:szCs w:val="22"/>
        </w:rPr>
        <w:t>The PBAC considered that until the clinical place in therapy is established</w:t>
      </w:r>
      <w:r w:rsidR="00BC5ABF">
        <w:rPr>
          <w:rFonts w:asciiTheme="minorHAnsi" w:eastAsiaTheme="minorHAnsi" w:hAnsiTheme="minorHAnsi" w:cstheme="minorBidi"/>
          <w:snapToGrid/>
          <w:sz w:val="24"/>
          <w:szCs w:val="22"/>
        </w:rPr>
        <w:t>,</w:t>
      </w:r>
      <w:r w:rsidR="00D267B3">
        <w:rPr>
          <w:rFonts w:asciiTheme="minorHAnsi" w:eastAsiaTheme="minorHAnsi" w:hAnsiTheme="minorHAnsi" w:cstheme="minorBidi"/>
          <w:snapToGrid/>
          <w:sz w:val="24"/>
          <w:szCs w:val="22"/>
        </w:rPr>
        <w:t xml:space="preserve"> an appropriate comparator for </w:t>
      </w:r>
      <w:proofErr w:type="spellStart"/>
      <w:r w:rsidR="00D267B3">
        <w:rPr>
          <w:rFonts w:asciiTheme="minorHAnsi" w:eastAsiaTheme="minorHAnsi" w:hAnsiTheme="minorHAnsi" w:cstheme="minorBidi"/>
          <w:snapToGrid/>
          <w:sz w:val="24"/>
          <w:szCs w:val="22"/>
        </w:rPr>
        <w:t>lenvatinib</w:t>
      </w:r>
      <w:proofErr w:type="spellEnd"/>
      <w:r w:rsidR="00D267B3">
        <w:rPr>
          <w:rFonts w:asciiTheme="minorHAnsi" w:eastAsiaTheme="minorHAnsi" w:hAnsiTheme="minorHAnsi" w:cstheme="minorBidi"/>
          <w:snapToGrid/>
          <w:sz w:val="24"/>
          <w:szCs w:val="22"/>
        </w:rPr>
        <w:t>/</w:t>
      </w:r>
      <w:proofErr w:type="spellStart"/>
      <w:r w:rsidR="00D267B3">
        <w:rPr>
          <w:rFonts w:asciiTheme="minorHAnsi" w:eastAsiaTheme="minorHAnsi" w:hAnsiTheme="minorHAnsi" w:cstheme="minorBidi"/>
          <w:snapToGrid/>
          <w:sz w:val="24"/>
          <w:szCs w:val="22"/>
        </w:rPr>
        <w:t>everolimus</w:t>
      </w:r>
      <w:proofErr w:type="spellEnd"/>
      <w:r w:rsidR="00D267B3">
        <w:rPr>
          <w:rFonts w:asciiTheme="minorHAnsi" w:eastAsiaTheme="minorHAnsi" w:hAnsiTheme="minorHAnsi" w:cstheme="minorBidi"/>
          <w:snapToGrid/>
          <w:sz w:val="24"/>
          <w:szCs w:val="22"/>
        </w:rPr>
        <w:t xml:space="preserve"> cannot be determined (Paragraph 7.4, </w:t>
      </w:r>
      <w:proofErr w:type="spellStart"/>
      <w:r w:rsidR="00D267B3">
        <w:rPr>
          <w:rFonts w:asciiTheme="minorHAnsi" w:eastAsiaTheme="minorHAnsi" w:hAnsiTheme="minorHAnsi" w:cstheme="minorBidi"/>
          <w:snapToGrid/>
          <w:sz w:val="24"/>
          <w:szCs w:val="22"/>
        </w:rPr>
        <w:t>lenvatinib</w:t>
      </w:r>
      <w:proofErr w:type="spellEnd"/>
      <w:r w:rsidR="00D267B3">
        <w:rPr>
          <w:rFonts w:asciiTheme="minorHAnsi" w:eastAsiaTheme="minorHAnsi" w:hAnsiTheme="minorHAnsi" w:cstheme="minorBidi"/>
          <w:snapToGrid/>
          <w:sz w:val="24"/>
          <w:szCs w:val="22"/>
        </w:rPr>
        <w:t xml:space="preserve"> PBAC </w:t>
      </w:r>
      <w:r w:rsidR="004D717E">
        <w:rPr>
          <w:rFonts w:asciiTheme="minorHAnsi" w:eastAsiaTheme="minorHAnsi" w:hAnsiTheme="minorHAnsi" w:cstheme="minorBidi"/>
          <w:snapToGrid/>
          <w:sz w:val="24"/>
          <w:szCs w:val="22"/>
        </w:rPr>
        <w:t xml:space="preserve">Public Summary </w:t>
      </w:r>
      <w:proofErr w:type="gramStart"/>
      <w:r w:rsidR="004D717E">
        <w:rPr>
          <w:rFonts w:asciiTheme="minorHAnsi" w:eastAsiaTheme="minorHAnsi" w:hAnsiTheme="minorHAnsi" w:cstheme="minorBidi"/>
          <w:snapToGrid/>
          <w:sz w:val="24"/>
          <w:szCs w:val="22"/>
        </w:rPr>
        <w:t>Document</w:t>
      </w:r>
      <w:r w:rsidR="004D717E" w:rsidDel="004D717E">
        <w:rPr>
          <w:rFonts w:asciiTheme="minorHAnsi" w:eastAsiaTheme="minorHAnsi" w:hAnsiTheme="minorHAnsi" w:cstheme="minorBidi"/>
          <w:snapToGrid/>
          <w:sz w:val="24"/>
          <w:szCs w:val="22"/>
        </w:rPr>
        <w:t xml:space="preserve"> </w:t>
      </w:r>
      <w:r w:rsidR="00D267B3">
        <w:rPr>
          <w:rFonts w:asciiTheme="minorHAnsi" w:eastAsiaTheme="minorHAnsi" w:hAnsiTheme="minorHAnsi" w:cstheme="minorBidi"/>
          <w:snapToGrid/>
          <w:sz w:val="24"/>
          <w:szCs w:val="22"/>
        </w:rPr>
        <w:t>,</w:t>
      </w:r>
      <w:proofErr w:type="gramEnd"/>
      <w:r w:rsidR="00D267B3">
        <w:rPr>
          <w:rFonts w:asciiTheme="minorHAnsi" w:eastAsiaTheme="minorHAnsi" w:hAnsiTheme="minorHAnsi" w:cstheme="minorBidi"/>
          <w:snapToGrid/>
          <w:sz w:val="24"/>
          <w:szCs w:val="22"/>
        </w:rPr>
        <w:t xml:space="preserve"> November 2017). </w:t>
      </w:r>
    </w:p>
    <w:p w:rsidR="00271E05" w:rsidRDefault="00297133" w:rsidP="00297133">
      <w:pPr>
        <w:spacing w:before="120" w:after="160"/>
        <w:rPr>
          <w:rFonts w:asciiTheme="minorHAnsi" w:eastAsiaTheme="minorHAnsi" w:hAnsiTheme="minorHAnsi" w:cstheme="minorBidi"/>
          <w:szCs w:val="22"/>
          <w:u w:val="single"/>
        </w:rPr>
      </w:pPr>
      <w:r w:rsidRPr="00782716">
        <w:rPr>
          <w:rFonts w:asciiTheme="minorHAnsi" w:eastAsiaTheme="minorHAnsi" w:hAnsiTheme="minorHAnsi" w:cstheme="minorBidi"/>
          <w:szCs w:val="22"/>
          <w:u w:val="single"/>
        </w:rPr>
        <w:t>Key changes versus the previous submission</w:t>
      </w:r>
    </w:p>
    <w:p w:rsidR="00782716" w:rsidRDefault="00782716" w:rsidP="007827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resubmission </w:t>
      </w:r>
      <w:r w:rsidR="00F623D6">
        <w:rPr>
          <w:rFonts w:asciiTheme="minorHAnsi" w:eastAsiaTheme="minorHAnsi" w:hAnsiTheme="minorHAnsi" w:cstheme="minorBidi"/>
          <w:snapToGrid/>
          <w:sz w:val="24"/>
          <w:szCs w:val="22"/>
        </w:rPr>
        <w:t>noted</w:t>
      </w:r>
      <w:r w:rsidR="00C11113">
        <w:rPr>
          <w:rFonts w:asciiTheme="minorHAnsi" w:eastAsiaTheme="minorHAnsi" w:hAnsiTheme="minorHAnsi" w:cstheme="minorBidi"/>
          <w:snapToGrid/>
          <w:sz w:val="24"/>
          <w:szCs w:val="22"/>
        </w:rPr>
        <w:t xml:space="preserve"> that clinical comparisons to four clinical comparators were included in the major submission considered by the </w:t>
      </w:r>
      <w:r w:rsidR="00F623D6">
        <w:rPr>
          <w:rFonts w:asciiTheme="minorHAnsi" w:eastAsiaTheme="minorHAnsi" w:hAnsiTheme="minorHAnsi" w:cstheme="minorBidi"/>
          <w:snapToGrid/>
          <w:sz w:val="24"/>
          <w:szCs w:val="22"/>
        </w:rPr>
        <w:t>PBAC in November 2017</w:t>
      </w:r>
      <w:r w:rsidR="00BC5ABF">
        <w:rPr>
          <w:rFonts w:asciiTheme="minorHAnsi" w:eastAsiaTheme="minorHAnsi" w:hAnsiTheme="minorHAnsi" w:cstheme="minorBidi"/>
          <w:snapToGrid/>
          <w:sz w:val="24"/>
          <w:szCs w:val="22"/>
        </w:rPr>
        <w:t>,</w:t>
      </w:r>
      <w:r w:rsidR="00F623D6">
        <w:rPr>
          <w:rFonts w:asciiTheme="minorHAnsi" w:eastAsiaTheme="minorHAnsi" w:hAnsiTheme="minorHAnsi" w:cstheme="minorBidi"/>
          <w:snapToGrid/>
          <w:sz w:val="24"/>
          <w:szCs w:val="22"/>
        </w:rPr>
        <w:t xml:space="preserve"> and stated</w:t>
      </w:r>
      <w:r w:rsidR="00C11113">
        <w:rPr>
          <w:rFonts w:asciiTheme="minorHAnsi" w:eastAsiaTheme="minorHAnsi" w:hAnsiTheme="minorHAnsi" w:cstheme="minorBidi"/>
          <w:snapToGrid/>
          <w:sz w:val="24"/>
          <w:szCs w:val="22"/>
        </w:rPr>
        <w:t xml:space="preserve"> that no additional clinical data reporting on the efficacy of </w:t>
      </w:r>
      <w:proofErr w:type="spellStart"/>
      <w:r w:rsidR="00C11113">
        <w:rPr>
          <w:rFonts w:asciiTheme="minorHAnsi" w:eastAsiaTheme="minorHAnsi" w:hAnsiTheme="minorHAnsi" w:cstheme="minorBidi"/>
          <w:snapToGrid/>
          <w:sz w:val="24"/>
          <w:szCs w:val="22"/>
        </w:rPr>
        <w:t>lenvatinib</w:t>
      </w:r>
      <w:proofErr w:type="spellEnd"/>
      <w:r w:rsidR="00C11113">
        <w:rPr>
          <w:rFonts w:asciiTheme="minorHAnsi" w:eastAsiaTheme="minorHAnsi" w:hAnsiTheme="minorHAnsi" w:cstheme="minorBidi"/>
          <w:snapToGrid/>
          <w:sz w:val="24"/>
          <w:szCs w:val="22"/>
        </w:rPr>
        <w:t>/</w:t>
      </w:r>
      <w:proofErr w:type="spellStart"/>
      <w:r w:rsidR="00C11113">
        <w:rPr>
          <w:rFonts w:asciiTheme="minorHAnsi" w:eastAsiaTheme="minorHAnsi" w:hAnsiTheme="minorHAnsi" w:cstheme="minorBidi"/>
          <w:snapToGrid/>
          <w:sz w:val="24"/>
          <w:szCs w:val="22"/>
        </w:rPr>
        <w:t>everolimus</w:t>
      </w:r>
      <w:proofErr w:type="spellEnd"/>
      <w:r w:rsidR="00C11113">
        <w:rPr>
          <w:rFonts w:asciiTheme="minorHAnsi" w:eastAsiaTheme="minorHAnsi" w:hAnsiTheme="minorHAnsi" w:cstheme="minorBidi"/>
          <w:snapToGrid/>
          <w:sz w:val="24"/>
          <w:szCs w:val="22"/>
        </w:rPr>
        <w:t xml:space="preserve"> as a treatment for patients with RCC following one prior therapy is forthcoming. </w:t>
      </w:r>
      <w:r w:rsidR="00460ECF">
        <w:rPr>
          <w:rFonts w:asciiTheme="minorHAnsi" w:eastAsiaTheme="minorHAnsi" w:hAnsiTheme="minorHAnsi" w:cstheme="minorBidi"/>
          <w:snapToGrid/>
          <w:sz w:val="24"/>
          <w:szCs w:val="22"/>
        </w:rPr>
        <w:t>Instead, t</w:t>
      </w:r>
      <w:r w:rsidR="00B456E9">
        <w:rPr>
          <w:rFonts w:asciiTheme="minorHAnsi" w:eastAsiaTheme="minorHAnsi" w:hAnsiTheme="minorHAnsi" w:cstheme="minorBidi"/>
          <w:snapToGrid/>
          <w:sz w:val="24"/>
          <w:szCs w:val="22"/>
        </w:rPr>
        <w:t>he resubmission proposed</w:t>
      </w:r>
      <w:r w:rsidR="00C11113">
        <w:rPr>
          <w:rFonts w:asciiTheme="minorHAnsi" w:eastAsiaTheme="minorHAnsi" w:hAnsiTheme="minorHAnsi" w:cstheme="minorBidi"/>
          <w:snapToGrid/>
          <w:sz w:val="24"/>
          <w:szCs w:val="22"/>
        </w:rPr>
        <w:t xml:space="preserve"> </w:t>
      </w:r>
      <w:r w:rsidR="00647BA1">
        <w:rPr>
          <w:rFonts w:asciiTheme="minorHAnsi" w:eastAsiaTheme="minorHAnsi" w:hAnsiTheme="minorHAnsi" w:cstheme="minorBidi"/>
          <w:snapToGrid/>
          <w:sz w:val="24"/>
          <w:szCs w:val="22"/>
        </w:rPr>
        <w:t>a revised clinical place in therapy</w:t>
      </w:r>
      <w:r w:rsidR="00D030C7">
        <w:rPr>
          <w:rFonts w:asciiTheme="minorHAnsi" w:eastAsiaTheme="minorHAnsi" w:hAnsiTheme="minorHAnsi" w:cstheme="minorBidi"/>
          <w:snapToGrid/>
          <w:sz w:val="24"/>
          <w:szCs w:val="22"/>
        </w:rPr>
        <w:t xml:space="preserve"> and the establishment of a Risk Sharing Arr</w:t>
      </w:r>
      <w:r w:rsidR="00DE31B5">
        <w:rPr>
          <w:rFonts w:asciiTheme="minorHAnsi" w:eastAsiaTheme="minorHAnsi" w:hAnsiTheme="minorHAnsi" w:cstheme="minorBidi"/>
          <w:snapToGrid/>
          <w:sz w:val="24"/>
          <w:szCs w:val="22"/>
        </w:rPr>
        <w:t>angement to mitigate the risk to</w:t>
      </w:r>
      <w:r w:rsidR="00D030C7">
        <w:rPr>
          <w:rFonts w:asciiTheme="minorHAnsi" w:eastAsiaTheme="minorHAnsi" w:hAnsiTheme="minorHAnsi" w:cstheme="minorBidi"/>
          <w:snapToGrid/>
          <w:sz w:val="24"/>
          <w:szCs w:val="22"/>
        </w:rPr>
        <w:t xml:space="preserve"> Government arising from the uncertainties identified by the PBAC at its November 2017 meeting. </w:t>
      </w:r>
    </w:p>
    <w:p w:rsidR="005F7120" w:rsidRDefault="00B456E9" w:rsidP="00642B1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resubmission</w:t>
      </w:r>
      <w:r w:rsidR="00CD1F20">
        <w:rPr>
          <w:rFonts w:asciiTheme="minorHAnsi" w:eastAsiaTheme="minorHAnsi" w:hAnsiTheme="minorHAnsi" w:cstheme="minorBidi"/>
          <w:snapToGrid/>
          <w:sz w:val="24"/>
          <w:szCs w:val="22"/>
        </w:rPr>
        <w:t xml:space="preserve"> acknowledged that, based on the National Comprehensive Cancer Network Guidelines, the overall toxicity profile of </w:t>
      </w:r>
      <w:proofErr w:type="spellStart"/>
      <w:r w:rsidR="00CD1F20">
        <w:rPr>
          <w:rFonts w:asciiTheme="minorHAnsi" w:eastAsiaTheme="minorHAnsi" w:hAnsiTheme="minorHAnsi" w:cstheme="minorBidi"/>
          <w:snapToGrid/>
          <w:sz w:val="24"/>
          <w:szCs w:val="22"/>
        </w:rPr>
        <w:t>l</w:t>
      </w:r>
      <w:r w:rsidR="00CD1F20" w:rsidRPr="00CD1F20">
        <w:rPr>
          <w:rFonts w:asciiTheme="minorHAnsi" w:eastAsiaTheme="minorHAnsi" w:hAnsiTheme="minorHAnsi" w:cstheme="minorBidi"/>
          <w:snapToGrid/>
          <w:sz w:val="24"/>
          <w:szCs w:val="22"/>
        </w:rPr>
        <w:t>envatinib</w:t>
      </w:r>
      <w:proofErr w:type="spellEnd"/>
      <w:r w:rsidR="00CD1F20" w:rsidRPr="00CD1F20">
        <w:rPr>
          <w:rFonts w:asciiTheme="minorHAnsi" w:eastAsiaTheme="minorHAnsi" w:hAnsiTheme="minorHAnsi" w:cstheme="minorBidi"/>
          <w:snapToGrid/>
          <w:sz w:val="24"/>
          <w:szCs w:val="22"/>
        </w:rPr>
        <w:t>/</w:t>
      </w:r>
      <w:proofErr w:type="spellStart"/>
      <w:r w:rsidR="00CD1F20" w:rsidRPr="00CD1F20">
        <w:rPr>
          <w:rFonts w:asciiTheme="minorHAnsi" w:eastAsiaTheme="minorHAnsi" w:hAnsiTheme="minorHAnsi" w:cstheme="minorBidi"/>
          <w:snapToGrid/>
          <w:sz w:val="24"/>
          <w:szCs w:val="22"/>
        </w:rPr>
        <w:t>everolimus</w:t>
      </w:r>
      <w:proofErr w:type="spellEnd"/>
      <w:r w:rsidR="00CD1F20">
        <w:rPr>
          <w:rFonts w:asciiTheme="minorHAnsi" w:eastAsiaTheme="minorHAnsi" w:hAnsiTheme="minorHAnsi" w:cstheme="minorBidi"/>
          <w:snapToGrid/>
          <w:sz w:val="24"/>
          <w:szCs w:val="22"/>
        </w:rPr>
        <w:t xml:space="preserve"> reported in Study 205, and input received by Eisai at a clinical advisory board, </w:t>
      </w:r>
      <w:proofErr w:type="spellStart"/>
      <w:r w:rsidR="00CD1F20">
        <w:rPr>
          <w:rFonts w:asciiTheme="minorHAnsi" w:eastAsiaTheme="minorHAnsi" w:hAnsiTheme="minorHAnsi" w:cstheme="minorBidi"/>
          <w:snapToGrid/>
          <w:sz w:val="24"/>
          <w:szCs w:val="22"/>
        </w:rPr>
        <w:t>nivolumab</w:t>
      </w:r>
      <w:proofErr w:type="spellEnd"/>
      <w:r w:rsidR="00CD1F20">
        <w:rPr>
          <w:rFonts w:asciiTheme="minorHAnsi" w:eastAsiaTheme="minorHAnsi" w:hAnsiTheme="minorHAnsi" w:cstheme="minorBidi"/>
          <w:snapToGrid/>
          <w:sz w:val="24"/>
          <w:szCs w:val="22"/>
        </w:rPr>
        <w:t xml:space="preserve"> is likely to</w:t>
      </w:r>
      <w:r w:rsidR="00997499">
        <w:rPr>
          <w:rFonts w:asciiTheme="minorHAnsi" w:eastAsiaTheme="minorHAnsi" w:hAnsiTheme="minorHAnsi" w:cstheme="minorBidi"/>
          <w:snapToGrid/>
          <w:sz w:val="24"/>
          <w:szCs w:val="22"/>
        </w:rPr>
        <w:t xml:space="preserve"> represent the preferred second </w:t>
      </w:r>
      <w:r w:rsidR="00CD1F20">
        <w:rPr>
          <w:rFonts w:asciiTheme="minorHAnsi" w:eastAsiaTheme="minorHAnsi" w:hAnsiTheme="minorHAnsi" w:cstheme="minorBidi"/>
          <w:snapToGrid/>
          <w:sz w:val="24"/>
          <w:szCs w:val="22"/>
        </w:rPr>
        <w:t>line treatment option for patients with RCC.</w:t>
      </w:r>
      <w:r w:rsidR="00C318ED">
        <w:rPr>
          <w:rFonts w:asciiTheme="minorHAnsi" w:eastAsiaTheme="minorHAnsi" w:hAnsiTheme="minorHAnsi" w:cstheme="minorBidi"/>
          <w:snapToGrid/>
          <w:sz w:val="24"/>
          <w:szCs w:val="22"/>
        </w:rPr>
        <w:t xml:space="preserve"> </w:t>
      </w:r>
      <w:r w:rsidR="005F7120">
        <w:rPr>
          <w:rFonts w:asciiTheme="minorHAnsi" w:eastAsiaTheme="minorHAnsi" w:hAnsiTheme="minorHAnsi" w:cstheme="minorBidi"/>
          <w:snapToGrid/>
          <w:sz w:val="24"/>
          <w:szCs w:val="22"/>
        </w:rPr>
        <w:t xml:space="preserve">The resubmission stated that </w:t>
      </w:r>
      <w:proofErr w:type="spellStart"/>
      <w:r w:rsidR="005F7120" w:rsidRPr="00CD1F20">
        <w:rPr>
          <w:rFonts w:asciiTheme="minorHAnsi" w:eastAsiaTheme="minorHAnsi" w:hAnsiTheme="minorHAnsi" w:cstheme="minorBidi"/>
          <w:snapToGrid/>
          <w:sz w:val="24"/>
          <w:szCs w:val="22"/>
        </w:rPr>
        <w:t>lenvatinib</w:t>
      </w:r>
      <w:proofErr w:type="spellEnd"/>
      <w:r w:rsidR="005F7120" w:rsidRPr="00CD1F20">
        <w:rPr>
          <w:rFonts w:asciiTheme="minorHAnsi" w:eastAsiaTheme="minorHAnsi" w:hAnsiTheme="minorHAnsi" w:cstheme="minorBidi"/>
          <w:snapToGrid/>
          <w:sz w:val="24"/>
          <w:szCs w:val="22"/>
        </w:rPr>
        <w:t>/</w:t>
      </w:r>
      <w:proofErr w:type="spellStart"/>
      <w:r w:rsidR="005F7120" w:rsidRPr="00CD1F20">
        <w:rPr>
          <w:rFonts w:asciiTheme="minorHAnsi" w:eastAsiaTheme="minorHAnsi" w:hAnsiTheme="minorHAnsi" w:cstheme="minorBidi"/>
          <w:snapToGrid/>
          <w:sz w:val="24"/>
          <w:szCs w:val="22"/>
        </w:rPr>
        <w:t>everolimus</w:t>
      </w:r>
      <w:proofErr w:type="spellEnd"/>
      <w:r w:rsidR="005F7120">
        <w:rPr>
          <w:rFonts w:asciiTheme="minorHAnsi" w:eastAsiaTheme="minorHAnsi" w:hAnsiTheme="minorHAnsi" w:cstheme="minorBidi"/>
          <w:snapToGrid/>
          <w:sz w:val="24"/>
          <w:szCs w:val="22"/>
        </w:rPr>
        <w:t xml:space="preserve"> would therefore have a more limited place in therapy than </w:t>
      </w:r>
      <w:proofErr w:type="spellStart"/>
      <w:r w:rsidR="005F7120">
        <w:rPr>
          <w:rFonts w:asciiTheme="minorHAnsi" w:eastAsiaTheme="minorHAnsi" w:hAnsiTheme="minorHAnsi" w:cstheme="minorBidi"/>
          <w:snapToGrid/>
          <w:sz w:val="24"/>
          <w:szCs w:val="22"/>
        </w:rPr>
        <w:t>nivolumab</w:t>
      </w:r>
      <w:proofErr w:type="spellEnd"/>
      <w:r w:rsidR="005F7120">
        <w:rPr>
          <w:rFonts w:asciiTheme="minorHAnsi" w:eastAsiaTheme="minorHAnsi" w:hAnsiTheme="minorHAnsi" w:cstheme="minorBidi"/>
          <w:snapToGrid/>
          <w:sz w:val="24"/>
          <w:szCs w:val="22"/>
        </w:rPr>
        <w:t xml:space="preserve">. </w:t>
      </w:r>
    </w:p>
    <w:p w:rsidR="000666E7" w:rsidRDefault="000666E7" w:rsidP="00642B1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642B10" w:rsidRPr="00642B10">
        <w:rPr>
          <w:rFonts w:asciiTheme="minorHAnsi" w:eastAsiaTheme="minorHAnsi" w:hAnsiTheme="minorHAnsi" w:cstheme="minorBidi"/>
          <w:snapToGrid/>
          <w:sz w:val="24"/>
          <w:szCs w:val="22"/>
        </w:rPr>
        <w:t>he resubmissio</w:t>
      </w:r>
      <w:r w:rsidR="000777F7">
        <w:rPr>
          <w:rFonts w:asciiTheme="minorHAnsi" w:eastAsiaTheme="minorHAnsi" w:hAnsiTheme="minorHAnsi" w:cstheme="minorBidi"/>
          <w:snapToGrid/>
          <w:sz w:val="24"/>
          <w:szCs w:val="22"/>
        </w:rPr>
        <w:t>n stated</w:t>
      </w:r>
      <w:r w:rsidR="00642B10">
        <w:rPr>
          <w:rFonts w:asciiTheme="minorHAnsi" w:eastAsiaTheme="minorHAnsi" w:hAnsiTheme="minorHAnsi" w:cstheme="minorBidi"/>
          <w:snapToGrid/>
          <w:sz w:val="24"/>
          <w:szCs w:val="22"/>
        </w:rPr>
        <w:t xml:space="preserve"> that </w:t>
      </w:r>
      <w:proofErr w:type="spellStart"/>
      <w:r w:rsidR="00642B10">
        <w:rPr>
          <w:rFonts w:asciiTheme="minorHAnsi" w:eastAsiaTheme="minorHAnsi" w:hAnsiTheme="minorHAnsi" w:cstheme="minorBidi"/>
          <w:snapToGrid/>
          <w:sz w:val="24"/>
          <w:szCs w:val="22"/>
        </w:rPr>
        <w:t>lenvatinib</w:t>
      </w:r>
      <w:proofErr w:type="spellEnd"/>
      <w:r w:rsidR="00642B10">
        <w:rPr>
          <w:rFonts w:asciiTheme="minorHAnsi" w:eastAsiaTheme="minorHAnsi" w:hAnsiTheme="minorHAnsi" w:cstheme="minorBidi"/>
          <w:snapToGrid/>
          <w:sz w:val="24"/>
          <w:szCs w:val="22"/>
        </w:rPr>
        <w:t>/</w:t>
      </w:r>
      <w:proofErr w:type="spellStart"/>
      <w:r w:rsidR="00997499">
        <w:rPr>
          <w:rFonts w:asciiTheme="minorHAnsi" w:eastAsiaTheme="minorHAnsi" w:hAnsiTheme="minorHAnsi" w:cstheme="minorBidi"/>
          <w:snapToGrid/>
          <w:sz w:val="24"/>
          <w:szCs w:val="22"/>
        </w:rPr>
        <w:t>everolimus</w:t>
      </w:r>
      <w:proofErr w:type="spellEnd"/>
      <w:r w:rsidR="00997499">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would likely</w:t>
      </w:r>
      <w:r w:rsidR="00642B10" w:rsidRPr="00642B10">
        <w:rPr>
          <w:rFonts w:asciiTheme="minorHAnsi" w:eastAsiaTheme="minorHAnsi" w:hAnsiTheme="minorHAnsi" w:cstheme="minorBidi"/>
          <w:snapToGrid/>
          <w:sz w:val="24"/>
          <w:szCs w:val="22"/>
        </w:rPr>
        <w:t xml:space="preserve"> be administered to a smaller subset of RCC pat</w:t>
      </w:r>
      <w:r w:rsidR="00642B10">
        <w:rPr>
          <w:rFonts w:asciiTheme="minorHAnsi" w:eastAsiaTheme="minorHAnsi" w:hAnsiTheme="minorHAnsi" w:cstheme="minorBidi"/>
          <w:snapToGrid/>
          <w:sz w:val="24"/>
          <w:szCs w:val="22"/>
        </w:rPr>
        <w:t>ients</w:t>
      </w:r>
      <w:r>
        <w:rPr>
          <w:rFonts w:asciiTheme="minorHAnsi" w:eastAsiaTheme="minorHAnsi" w:hAnsiTheme="minorHAnsi" w:cstheme="minorBidi"/>
          <w:snapToGrid/>
          <w:sz w:val="24"/>
          <w:szCs w:val="22"/>
        </w:rPr>
        <w:t xml:space="preserve"> than </w:t>
      </w:r>
      <w:proofErr w:type="spellStart"/>
      <w:r>
        <w:rPr>
          <w:rFonts w:asciiTheme="minorHAnsi" w:eastAsiaTheme="minorHAnsi" w:hAnsiTheme="minorHAnsi" w:cstheme="minorBidi"/>
          <w:snapToGrid/>
          <w:sz w:val="24"/>
          <w:szCs w:val="22"/>
        </w:rPr>
        <w:t>nivolumab</w:t>
      </w:r>
      <w:proofErr w:type="spellEnd"/>
      <w:r>
        <w:rPr>
          <w:rFonts w:asciiTheme="minorHAnsi" w:eastAsiaTheme="minorHAnsi" w:hAnsiTheme="minorHAnsi" w:cstheme="minorBidi"/>
          <w:snapToGrid/>
          <w:sz w:val="24"/>
          <w:szCs w:val="22"/>
        </w:rPr>
        <w:t xml:space="preserve"> comprising</w:t>
      </w:r>
      <w:r w:rsidR="00642B10" w:rsidRPr="00642B10">
        <w:rPr>
          <w:rFonts w:asciiTheme="minorHAnsi" w:eastAsiaTheme="minorHAnsi" w:hAnsiTheme="minorHAnsi" w:cstheme="minorBidi"/>
          <w:snapToGrid/>
          <w:sz w:val="24"/>
          <w:szCs w:val="22"/>
        </w:rPr>
        <w:t>:</w:t>
      </w:r>
      <w:r w:rsidR="00642B10">
        <w:rPr>
          <w:rFonts w:asciiTheme="minorHAnsi" w:eastAsiaTheme="minorHAnsi" w:hAnsiTheme="minorHAnsi" w:cstheme="minorBidi"/>
          <w:snapToGrid/>
          <w:sz w:val="24"/>
          <w:szCs w:val="22"/>
        </w:rPr>
        <w:t xml:space="preserve"> </w:t>
      </w:r>
      <w:r w:rsidR="00642B10" w:rsidRPr="00642B10">
        <w:rPr>
          <w:rFonts w:asciiTheme="minorHAnsi" w:eastAsiaTheme="minorHAnsi" w:hAnsiTheme="minorHAnsi" w:cstheme="minorBidi"/>
          <w:snapToGrid/>
          <w:sz w:val="24"/>
          <w:szCs w:val="22"/>
        </w:rPr>
        <w:t>those with rapidly progressing disease</w:t>
      </w:r>
      <w:r w:rsidR="00997499">
        <w:rPr>
          <w:rFonts w:asciiTheme="minorHAnsi" w:eastAsiaTheme="minorHAnsi" w:hAnsiTheme="minorHAnsi" w:cstheme="minorBidi"/>
          <w:snapToGrid/>
          <w:sz w:val="24"/>
          <w:szCs w:val="22"/>
        </w:rPr>
        <w:t xml:space="preserve"> that responded poorly to first </w:t>
      </w:r>
      <w:r w:rsidR="00642B10" w:rsidRPr="00642B10">
        <w:rPr>
          <w:rFonts w:asciiTheme="minorHAnsi" w:eastAsiaTheme="minorHAnsi" w:hAnsiTheme="minorHAnsi" w:cstheme="minorBidi"/>
          <w:snapToGrid/>
          <w:sz w:val="24"/>
          <w:szCs w:val="22"/>
        </w:rPr>
        <w:t xml:space="preserve">line treatment </w:t>
      </w:r>
      <w:r w:rsidR="00642B10">
        <w:rPr>
          <w:rFonts w:asciiTheme="minorHAnsi" w:eastAsiaTheme="minorHAnsi" w:hAnsiTheme="minorHAnsi" w:cstheme="minorBidi"/>
          <w:snapToGrid/>
          <w:sz w:val="24"/>
          <w:szCs w:val="22"/>
        </w:rPr>
        <w:t xml:space="preserve">with a TKI; </w:t>
      </w:r>
      <w:r w:rsidR="00642B10" w:rsidRPr="00642B10">
        <w:rPr>
          <w:rFonts w:asciiTheme="minorHAnsi" w:eastAsiaTheme="minorHAnsi" w:hAnsiTheme="minorHAnsi" w:cstheme="minorBidi"/>
          <w:snapToGrid/>
          <w:sz w:val="24"/>
          <w:szCs w:val="22"/>
        </w:rPr>
        <w:t xml:space="preserve"> younger patients more likely to tolerate the potential additional toxicity associated with the use of </w:t>
      </w:r>
      <w:proofErr w:type="spellStart"/>
      <w:r w:rsidR="00642B10" w:rsidRPr="00642B10">
        <w:rPr>
          <w:rFonts w:asciiTheme="minorHAnsi" w:eastAsiaTheme="minorHAnsi" w:hAnsiTheme="minorHAnsi" w:cstheme="minorBidi"/>
          <w:snapToGrid/>
          <w:sz w:val="24"/>
          <w:szCs w:val="22"/>
        </w:rPr>
        <w:t>lenvatinib</w:t>
      </w:r>
      <w:proofErr w:type="spellEnd"/>
      <w:r w:rsidR="00642B10">
        <w:rPr>
          <w:rFonts w:asciiTheme="minorHAnsi" w:eastAsiaTheme="minorHAnsi" w:hAnsiTheme="minorHAnsi" w:cstheme="minorBidi"/>
          <w:snapToGrid/>
          <w:sz w:val="24"/>
          <w:szCs w:val="22"/>
        </w:rPr>
        <w:t>/</w:t>
      </w:r>
      <w:proofErr w:type="spellStart"/>
      <w:r w:rsidR="002737C5">
        <w:rPr>
          <w:rFonts w:asciiTheme="minorHAnsi" w:eastAsiaTheme="minorHAnsi" w:hAnsiTheme="minorHAnsi" w:cstheme="minorBidi"/>
          <w:snapToGrid/>
          <w:sz w:val="24"/>
          <w:szCs w:val="22"/>
        </w:rPr>
        <w:t>everolimus</w:t>
      </w:r>
      <w:proofErr w:type="spellEnd"/>
      <w:r w:rsidR="002737C5">
        <w:rPr>
          <w:rFonts w:asciiTheme="minorHAnsi" w:eastAsiaTheme="minorHAnsi" w:hAnsiTheme="minorHAnsi" w:cstheme="minorBidi"/>
          <w:snapToGrid/>
          <w:sz w:val="24"/>
          <w:szCs w:val="22"/>
        </w:rPr>
        <w:t xml:space="preserve">; </w:t>
      </w:r>
      <w:r w:rsidR="00642B10" w:rsidRPr="00642B10">
        <w:rPr>
          <w:rFonts w:asciiTheme="minorHAnsi" w:eastAsiaTheme="minorHAnsi" w:hAnsiTheme="minorHAnsi" w:cstheme="minorBidi"/>
          <w:snapToGrid/>
          <w:sz w:val="24"/>
          <w:szCs w:val="22"/>
        </w:rPr>
        <w:t xml:space="preserve">those who developed an intolerance to </w:t>
      </w:r>
      <w:proofErr w:type="spellStart"/>
      <w:r w:rsidR="00642B10" w:rsidRPr="00642B10">
        <w:rPr>
          <w:rFonts w:asciiTheme="minorHAnsi" w:eastAsiaTheme="minorHAnsi" w:hAnsiTheme="minorHAnsi" w:cstheme="minorBidi"/>
          <w:snapToGrid/>
          <w:sz w:val="24"/>
          <w:szCs w:val="22"/>
        </w:rPr>
        <w:t>nivolumab</w:t>
      </w:r>
      <w:proofErr w:type="spellEnd"/>
      <w:r w:rsidR="00642B10" w:rsidRPr="00642B10">
        <w:rPr>
          <w:rFonts w:asciiTheme="minorHAnsi" w:eastAsiaTheme="minorHAnsi" w:hAnsiTheme="minorHAnsi" w:cstheme="minorBidi"/>
          <w:snapToGrid/>
          <w:sz w:val="24"/>
          <w:szCs w:val="22"/>
        </w:rPr>
        <w:t xml:space="preserve"> necessi</w:t>
      </w:r>
      <w:r w:rsidR="002737C5">
        <w:rPr>
          <w:rFonts w:asciiTheme="minorHAnsi" w:eastAsiaTheme="minorHAnsi" w:hAnsiTheme="minorHAnsi" w:cstheme="minorBidi"/>
          <w:snapToGrid/>
          <w:sz w:val="24"/>
          <w:szCs w:val="22"/>
        </w:rPr>
        <w:t>tating permanent withdrawal;</w:t>
      </w:r>
      <w:r w:rsidR="00642B10">
        <w:rPr>
          <w:rFonts w:asciiTheme="minorHAnsi" w:eastAsiaTheme="minorHAnsi" w:hAnsiTheme="minorHAnsi" w:cstheme="minorBidi"/>
          <w:snapToGrid/>
          <w:sz w:val="24"/>
          <w:szCs w:val="22"/>
        </w:rPr>
        <w:t xml:space="preserve"> </w:t>
      </w:r>
      <w:r w:rsidR="00642B10" w:rsidRPr="00642B10">
        <w:rPr>
          <w:rFonts w:asciiTheme="minorHAnsi" w:eastAsiaTheme="minorHAnsi" w:hAnsiTheme="minorHAnsi" w:cstheme="minorBidi"/>
          <w:snapToGrid/>
          <w:sz w:val="24"/>
          <w:szCs w:val="22"/>
        </w:rPr>
        <w:t xml:space="preserve">those with a good performance status where </w:t>
      </w:r>
      <w:proofErr w:type="spellStart"/>
      <w:r w:rsidR="00642B10" w:rsidRPr="00642B10">
        <w:rPr>
          <w:rFonts w:asciiTheme="minorHAnsi" w:eastAsiaTheme="minorHAnsi" w:hAnsiTheme="minorHAnsi" w:cstheme="minorBidi"/>
          <w:snapToGrid/>
          <w:sz w:val="24"/>
          <w:szCs w:val="22"/>
        </w:rPr>
        <w:t>nivolumab</w:t>
      </w:r>
      <w:proofErr w:type="spellEnd"/>
      <w:r w:rsidR="00642B10" w:rsidRPr="00642B10">
        <w:rPr>
          <w:rFonts w:asciiTheme="minorHAnsi" w:eastAsiaTheme="minorHAnsi" w:hAnsiTheme="minorHAnsi" w:cstheme="minorBidi"/>
          <w:snapToGrid/>
          <w:sz w:val="24"/>
          <w:szCs w:val="22"/>
        </w:rPr>
        <w:t xml:space="preserve"> has not been successful in arresting rapidly progressing disease</w:t>
      </w:r>
      <w:r w:rsidR="002737C5">
        <w:rPr>
          <w:rFonts w:asciiTheme="minorHAnsi" w:eastAsiaTheme="minorHAnsi" w:hAnsiTheme="minorHAnsi" w:cstheme="minorBidi"/>
          <w:snapToGrid/>
          <w:sz w:val="24"/>
          <w:szCs w:val="22"/>
        </w:rPr>
        <w:t xml:space="preserve">; and patients with a personal preference for an oral treatment that can be taken at home </w:t>
      </w:r>
      <w:r w:rsidR="002737C5">
        <w:rPr>
          <w:rFonts w:asciiTheme="minorHAnsi" w:eastAsiaTheme="minorHAnsi" w:hAnsiTheme="minorHAnsi" w:cstheme="minorBidi"/>
          <w:snapToGrid/>
          <w:sz w:val="24"/>
          <w:szCs w:val="22"/>
        </w:rPr>
        <w:lastRenderedPageBreak/>
        <w:t xml:space="preserve">compared with </w:t>
      </w:r>
      <w:proofErr w:type="spellStart"/>
      <w:r w:rsidR="002737C5">
        <w:rPr>
          <w:rFonts w:asciiTheme="minorHAnsi" w:eastAsiaTheme="minorHAnsi" w:hAnsiTheme="minorHAnsi" w:cstheme="minorBidi"/>
          <w:snapToGrid/>
          <w:sz w:val="24"/>
          <w:szCs w:val="22"/>
        </w:rPr>
        <w:t>nivolumab</w:t>
      </w:r>
      <w:proofErr w:type="spellEnd"/>
      <w:r w:rsidR="002737C5">
        <w:rPr>
          <w:rFonts w:asciiTheme="minorHAnsi" w:eastAsiaTheme="minorHAnsi" w:hAnsiTheme="minorHAnsi" w:cstheme="minorBidi"/>
          <w:snapToGrid/>
          <w:sz w:val="24"/>
          <w:szCs w:val="22"/>
        </w:rPr>
        <w:t xml:space="preserve"> that requires intravenous infusion at a chemotherapy centre</w:t>
      </w:r>
      <w:r w:rsidR="00642B10">
        <w:rPr>
          <w:rFonts w:asciiTheme="minorHAnsi" w:eastAsiaTheme="minorHAnsi" w:hAnsiTheme="minorHAnsi" w:cstheme="minorBidi"/>
          <w:snapToGrid/>
          <w:sz w:val="24"/>
          <w:szCs w:val="22"/>
        </w:rPr>
        <w:t xml:space="preserve">. </w:t>
      </w:r>
    </w:p>
    <w:p w:rsidR="00B456E9" w:rsidRDefault="000666E7" w:rsidP="00642B1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resubmission proposed the clinical place in therapy for </w:t>
      </w:r>
      <w:proofErr w:type="spellStart"/>
      <w:r w:rsidRPr="00CD1F20">
        <w:rPr>
          <w:rFonts w:asciiTheme="minorHAnsi" w:eastAsiaTheme="minorHAnsi" w:hAnsiTheme="minorHAnsi" w:cstheme="minorBidi"/>
          <w:snapToGrid/>
          <w:sz w:val="24"/>
          <w:szCs w:val="22"/>
        </w:rPr>
        <w:t>lenvatinib</w:t>
      </w:r>
      <w:proofErr w:type="spellEnd"/>
      <w:r w:rsidRPr="00CD1F20">
        <w:rPr>
          <w:rFonts w:asciiTheme="minorHAnsi" w:eastAsiaTheme="minorHAnsi" w:hAnsiTheme="minorHAnsi" w:cstheme="minorBidi"/>
          <w:snapToGrid/>
          <w:sz w:val="24"/>
          <w:szCs w:val="22"/>
        </w:rPr>
        <w:t>/</w:t>
      </w:r>
      <w:proofErr w:type="spellStart"/>
      <w:r w:rsidRPr="00CD1F20">
        <w:rPr>
          <w:rFonts w:asciiTheme="minorHAnsi" w:eastAsiaTheme="minorHAnsi" w:hAnsiTheme="minorHAnsi" w:cstheme="minorBidi"/>
          <w:snapToGrid/>
          <w:sz w:val="24"/>
          <w:szCs w:val="22"/>
        </w:rPr>
        <w:t>everolimus</w:t>
      </w:r>
      <w:proofErr w:type="spellEnd"/>
      <w:r>
        <w:rPr>
          <w:rFonts w:asciiTheme="minorHAnsi" w:eastAsiaTheme="minorHAnsi" w:hAnsiTheme="minorHAnsi" w:cstheme="minorBidi"/>
          <w:snapToGrid/>
          <w:sz w:val="24"/>
          <w:szCs w:val="22"/>
        </w:rPr>
        <w:t xml:space="preserve"> would primarily be as a second line treatment in patients where treatment with </w:t>
      </w:r>
      <w:proofErr w:type="spellStart"/>
      <w:r>
        <w:rPr>
          <w:rFonts w:asciiTheme="minorHAnsi" w:eastAsiaTheme="minorHAnsi" w:hAnsiTheme="minorHAnsi" w:cstheme="minorBidi"/>
          <w:snapToGrid/>
          <w:sz w:val="24"/>
          <w:szCs w:val="22"/>
        </w:rPr>
        <w:t>nivolumab</w:t>
      </w:r>
      <w:proofErr w:type="spellEnd"/>
      <w:r>
        <w:rPr>
          <w:rFonts w:asciiTheme="minorHAnsi" w:eastAsiaTheme="minorHAnsi" w:hAnsiTheme="minorHAnsi" w:cstheme="minorBidi"/>
          <w:snapToGrid/>
          <w:sz w:val="24"/>
          <w:szCs w:val="22"/>
        </w:rPr>
        <w:t xml:space="preserve"> is not pursued or is discontinued due to the development of adverse effects or lack of response.</w:t>
      </w:r>
    </w:p>
    <w:p w:rsidR="004D717E" w:rsidRPr="001E061B" w:rsidRDefault="00C95496" w:rsidP="001F4B62">
      <w:pPr>
        <w:pStyle w:val="ListParagraph"/>
        <w:widowControl/>
        <w:numPr>
          <w:ilvl w:val="1"/>
          <w:numId w:val="14"/>
        </w:numPr>
        <w:spacing w:before="120" w:after="160"/>
        <w:contextualSpacing w:val="0"/>
        <w:rPr>
          <w:rFonts w:ascii="Arial Narrow" w:hAnsi="Arial Narrow"/>
          <w:b/>
          <w:sz w:val="20"/>
          <w:szCs w:val="22"/>
        </w:rPr>
      </w:pPr>
      <w:r w:rsidRPr="001E061B">
        <w:rPr>
          <w:rFonts w:asciiTheme="minorHAnsi" w:eastAsiaTheme="minorHAnsi" w:hAnsiTheme="minorHAnsi" w:cstheme="minorBidi"/>
          <w:snapToGrid/>
          <w:sz w:val="24"/>
          <w:szCs w:val="22"/>
        </w:rPr>
        <w:t xml:space="preserve">The key changes are outlined </w:t>
      </w:r>
      <w:r w:rsidR="001F4B62" w:rsidRPr="001E061B">
        <w:rPr>
          <w:rFonts w:asciiTheme="minorHAnsi" w:eastAsiaTheme="minorHAnsi" w:hAnsiTheme="minorHAnsi" w:cstheme="minorBidi"/>
          <w:snapToGrid/>
          <w:sz w:val="24"/>
          <w:szCs w:val="22"/>
        </w:rPr>
        <w:t>in the table below.</w:t>
      </w:r>
    </w:p>
    <w:p w:rsidR="001F4B62" w:rsidRPr="001F4B62" w:rsidRDefault="001F4B62" w:rsidP="001F4B62">
      <w:pPr>
        <w:spacing w:before="120" w:after="160"/>
        <w:rPr>
          <w:rFonts w:ascii="Arial Narrow" w:hAnsi="Arial Narrow"/>
          <w:b/>
          <w:sz w:val="20"/>
          <w:szCs w:val="22"/>
        </w:rPr>
      </w:pPr>
      <w:r w:rsidRPr="001F4B62">
        <w:rPr>
          <w:rFonts w:ascii="Arial Narrow" w:hAnsi="Arial Narrow"/>
          <w:b/>
          <w:sz w:val="20"/>
          <w:szCs w:val="22"/>
        </w:rPr>
        <w:t>Table 1: Changes made versus the previous submission</w:t>
      </w:r>
    </w:p>
    <w:tbl>
      <w:tblPr>
        <w:tblStyle w:val="TableGrid"/>
        <w:tblW w:w="0" w:type="auto"/>
        <w:tblLook w:val="04A0" w:firstRow="1" w:lastRow="0" w:firstColumn="1" w:lastColumn="0" w:noHBand="0" w:noVBand="1"/>
        <w:tblCaption w:val="Table 1: Changes made versus the previous submission"/>
      </w:tblPr>
      <w:tblGrid>
        <w:gridCol w:w="1146"/>
        <w:gridCol w:w="4548"/>
        <w:gridCol w:w="3548"/>
      </w:tblGrid>
      <w:tr w:rsidR="00295C1F" w:rsidTr="005055DA">
        <w:trPr>
          <w:trHeight w:val="339"/>
          <w:tblHeader/>
        </w:trPr>
        <w:tc>
          <w:tcPr>
            <w:tcW w:w="1044" w:type="dxa"/>
          </w:tcPr>
          <w:p w:rsidR="001F4B62" w:rsidRPr="001F4B62" w:rsidRDefault="001F4B62" w:rsidP="001F4B62">
            <w:pPr>
              <w:pStyle w:val="NoSpacing"/>
              <w:spacing w:before="40" w:after="40"/>
              <w:jc w:val="left"/>
              <w:rPr>
                <w:rFonts w:ascii="Arial Narrow" w:hAnsi="Arial Narrow"/>
                <w:b/>
                <w:sz w:val="20"/>
              </w:rPr>
            </w:pPr>
          </w:p>
        </w:tc>
        <w:tc>
          <w:tcPr>
            <w:tcW w:w="4607" w:type="dxa"/>
          </w:tcPr>
          <w:p w:rsidR="001F4B62" w:rsidRPr="001F4B62" w:rsidRDefault="001F4B62" w:rsidP="001F4B62">
            <w:pPr>
              <w:pStyle w:val="NoSpacing"/>
              <w:spacing w:before="40" w:after="40"/>
              <w:jc w:val="left"/>
              <w:rPr>
                <w:rFonts w:ascii="Arial Narrow" w:hAnsi="Arial Narrow"/>
                <w:b/>
                <w:sz w:val="20"/>
              </w:rPr>
            </w:pPr>
            <w:r w:rsidRPr="001F4B62">
              <w:rPr>
                <w:rFonts w:ascii="Arial Narrow" w:hAnsi="Arial Narrow"/>
                <w:b/>
                <w:sz w:val="20"/>
              </w:rPr>
              <w:t>November 2017 submission</w:t>
            </w:r>
          </w:p>
        </w:tc>
        <w:tc>
          <w:tcPr>
            <w:tcW w:w="3591" w:type="dxa"/>
          </w:tcPr>
          <w:p w:rsidR="001F4B62" w:rsidRPr="001F4B62" w:rsidRDefault="000540CA" w:rsidP="001F4B62">
            <w:pPr>
              <w:pStyle w:val="NoSpacing"/>
              <w:spacing w:before="40" w:after="40"/>
              <w:jc w:val="left"/>
              <w:rPr>
                <w:rFonts w:ascii="Arial Narrow" w:hAnsi="Arial Narrow"/>
                <w:b/>
                <w:sz w:val="20"/>
              </w:rPr>
            </w:pPr>
            <w:r>
              <w:rPr>
                <w:rFonts w:ascii="Arial Narrow" w:hAnsi="Arial Narrow"/>
                <w:b/>
                <w:sz w:val="20"/>
              </w:rPr>
              <w:t>Current resubmission</w:t>
            </w:r>
          </w:p>
        </w:tc>
      </w:tr>
      <w:tr w:rsidR="001F4B62" w:rsidTr="00C74035">
        <w:tc>
          <w:tcPr>
            <w:tcW w:w="9242" w:type="dxa"/>
            <w:gridSpan w:val="3"/>
          </w:tcPr>
          <w:p w:rsidR="001F4B62" w:rsidRPr="001F4B62" w:rsidRDefault="000540CA" w:rsidP="001F4B62">
            <w:pPr>
              <w:pStyle w:val="NoSpacing"/>
              <w:rPr>
                <w:rFonts w:ascii="Arial Narrow" w:hAnsi="Arial Narrow"/>
                <w:b/>
                <w:sz w:val="20"/>
              </w:rPr>
            </w:pPr>
            <w:r>
              <w:rPr>
                <w:rFonts w:ascii="Arial Narrow" w:hAnsi="Arial Narrow"/>
                <w:b/>
                <w:sz w:val="20"/>
              </w:rPr>
              <w:t>Context</w:t>
            </w:r>
          </w:p>
        </w:tc>
      </w:tr>
      <w:tr w:rsidR="00295C1F" w:rsidTr="00295C1F">
        <w:tc>
          <w:tcPr>
            <w:tcW w:w="1044" w:type="dxa"/>
          </w:tcPr>
          <w:p w:rsidR="001F4B62" w:rsidRPr="000540CA" w:rsidRDefault="000540CA" w:rsidP="001F4B62">
            <w:pPr>
              <w:pStyle w:val="NoSpacing"/>
              <w:rPr>
                <w:rFonts w:ascii="Arial Narrow" w:hAnsi="Arial Narrow"/>
                <w:sz w:val="20"/>
              </w:rPr>
            </w:pPr>
            <w:r w:rsidRPr="000540CA">
              <w:rPr>
                <w:rFonts w:ascii="Arial Narrow" w:hAnsi="Arial Narrow"/>
                <w:sz w:val="20"/>
              </w:rPr>
              <w:t>Requested price</w:t>
            </w:r>
          </w:p>
        </w:tc>
        <w:tc>
          <w:tcPr>
            <w:tcW w:w="4607" w:type="dxa"/>
          </w:tcPr>
          <w:p w:rsidR="001F4B62" w:rsidRDefault="000540CA" w:rsidP="001F4B62">
            <w:pPr>
              <w:pStyle w:val="NoSpacing"/>
              <w:rPr>
                <w:rFonts w:ascii="Arial Narrow" w:hAnsi="Arial Narrow"/>
                <w:sz w:val="20"/>
              </w:rPr>
            </w:pPr>
            <w:r>
              <w:rPr>
                <w:rFonts w:ascii="Arial Narrow" w:hAnsi="Arial Narrow"/>
                <w:sz w:val="20"/>
              </w:rPr>
              <w:t>DPMA (effective price)</w:t>
            </w:r>
          </w:p>
          <w:p w:rsidR="000540CA" w:rsidRDefault="000540CA" w:rsidP="001F4B62">
            <w:pPr>
              <w:pStyle w:val="NoSpacing"/>
              <w:rPr>
                <w:rFonts w:ascii="Arial Narrow" w:hAnsi="Arial Narrow"/>
                <w:sz w:val="20"/>
              </w:rPr>
            </w:pPr>
            <w:proofErr w:type="spellStart"/>
            <w:r>
              <w:rPr>
                <w:rFonts w:ascii="Arial Narrow" w:hAnsi="Arial Narrow"/>
                <w:sz w:val="20"/>
              </w:rPr>
              <w:t>Lenvatinib</w:t>
            </w:r>
            <w:proofErr w:type="spellEnd"/>
            <w:r>
              <w:rPr>
                <w:rFonts w:ascii="Arial Narrow" w:hAnsi="Arial Narrow"/>
                <w:sz w:val="20"/>
              </w:rPr>
              <w:t>, 10 mg capsule, 30: $</w:t>
            </w:r>
            <w:r w:rsidR="00DE7568">
              <w:rPr>
                <w:rFonts w:ascii="Arial Narrow" w:hAnsi="Arial Narrow"/>
                <w:noProof/>
                <w:color w:val="000000"/>
                <w:sz w:val="20"/>
                <w:highlight w:val="black"/>
              </w:rPr>
              <w:t>''''''''''''''''''''</w:t>
            </w:r>
          </w:p>
          <w:p w:rsidR="000540CA" w:rsidRPr="000540CA" w:rsidRDefault="000540CA" w:rsidP="001F4B62">
            <w:pPr>
              <w:pStyle w:val="NoSpacing"/>
              <w:rPr>
                <w:rFonts w:ascii="Arial Narrow" w:hAnsi="Arial Narrow"/>
                <w:sz w:val="20"/>
              </w:rPr>
            </w:pPr>
            <w:proofErr w:type="spellStart"/>
            <w:r>
              <w:rPr>
                <w:rFonts w:ascii="Arial Narrow" w:hAnsi="Arial Narrow"/>
                <w:sz w:val="20"/>
              </w:rPr>
              <w:t>Lenvatinib</w:t>
            </w:r>
            <w:proofErr w:type="spellEnd"/>
            <w:r>
              <w:rPr>
                <w:rFonts w:ascii="Arial Narrow" w:hAnsi="Arial Narrow"/>
                <w:sz w:val="20"/>
              </w:rPr>
              <w:t>,   4 mg capsule, 60: $</w:t>
            </w:r>
            <w:r w:rsidR="00DE7568">
              <w:rPr>
                <w:rFonts w:ascii="Arial Narrow" w:hAnsi="Arial Narrow"/>
                <w:noProof/>
                <w:color w:val="000000"/>
                <w:sz w:val="20"/>
                <w:highlight w:val="black"/>
              </w:rPr>
              <w:t>'''''''''''''''''''''</w:t>
            </w:r>
          </w:p>
        </w:tc>
        <w:tc>
          <w:tcPr>
            <w:tcW w:w="3591" w:type="dxa"/>
          </w:tcPr>
          <w:p w:rsidR="001F4B62" w:rsidRPr="000540CA" w:rsidRDefault="000540CA" w:rsidP="001F4B62">
            <w:pPr>
              <w:pStyle w:val="NoSpacing"/>
              <w:rPr>
                <w:rFonts w:ascii="Arial Narrow" w:hAnsi="Arial Narrow"/>
                <w:sz w:val="20"/>
              </w:rPr>
            </w:pPr>
            <w:r>
              <w:rPr>
                <w:rFonts w:ascii="Arial Narrow" w:hAnsi="Arial Narrow"/>
                <w:sz w:val="20"/>
              </w:rPr>
              <w:t>Unchanged</w:t>
            </w:r>
          </w:p>
        </w:tc>
      </w:tr>
      <w:tr w:rsidR="00295C1F" w:rsidTr="00295C1F">
        <w:tc>
          <w:tcPr>
            <w:tcW w:w="1044" w:type="dxa"/>
          </w:tcPr>
          <w:p w:rsidR="001F4B62" w:rsidRPr="000540CA" w:rsidRDefault="000540CA" w:rsidP="001F4B62">
            <w:pPr>
              <w:pStyle w:val="NoSpacing"/>
              <w:rPr>
                <w:rFonts w:ascii="Arial Narrow" w:hAnsi="Arial Narrow"/>
                <w:sz w:val="20"/>
              </w:rPr>
            </w:pPr>
            <w:r>
              <w:rPr>
                <w:rFonts w:ascii="Arial Narrow" w:hAnsi="Arial Narrow"/>
                <w:sz w:val="20"/>
              </w:rPr>
              <w:t>Comparator</w:t>
            </w:r>
          </w:p>
        </w:tc>
        <w:tc>
          <w:tcPr>
            <w:tcW w:w="4607" w:type="dxa"/>
          </w:tcPr>
          <w:p w:rsidR="001F4B62" w:rsidRDefault="00792681" w:rsidP="001F4B62">
            <w:pPr>
              <w:pStyle w:val="NoSpacing"/>
              <w:rPr>
                <w:rFonts w:ascii="Arial Narrow" w:hAnsi="Arial Narrow"/>
                <w:sz w:val="20"/>
              </w:rPr>
            </w:pPr>
            <w:r>
              <w:rPr>
                <w:rFonts w:ascii="Arial Narrow" w:hAnsi="Arial Narrow"/>
                <w:sz w:val="20"/>
              </w:rPr>
              <w:t xml:space="preserve">Primary: </w:t>
            </w:r>
            <w:proofErr w:type="spellStart"/>
            <w:r>
              <w:rPr>
                <w:rFonts w:ascii="Arial Narrow" w:hAnsi="Arial Narrow"/>
                <w:sz w:val="20"/>
              </w:rPr>
              <w:t>Everolimus</w:t>
            </w:r>
            <w:proofErr w:type="spellEnd"/>
            <w:r>
              <w:rPr>
                <w:rFonts w:ascii="Arial Narrow" w:hAnsi="Arial Narrow"/>
                <w:sz w:val="20"/>
              </w:rPr>
              <w:t xml:space="preserve"> (monotherapy)</w:t>
            </w:r>
          </w:p>
          <w:p w:rsidR="00792681" w:rsidRDefault="00792681" w:rsidP="001F4B62">
            <w:pPr>
              <w:pStyle w:val="NoSpacing"/>
              <w:rPr>
                <w:rFonts w:ascii="Arial Narrow" w:hAnsi="Arial Narrow"/>
                <w:sz w:val="20"/>
              </w:rPr>
            </w:pPr>
            <w:r>
              <w:rPr>
                <w:rFonts w:ascii="Arial Narrow" w:hAnsi="Arial Narrow"/>
                <w:sz w:val="20"/>
              </w:rPr>
              <w:t xml:space="preserve">Secondary: </w:t>
            </w:r>
            <w:proofErr w:type="spellStart"/>
            <w:r>
              <w:rPr>
                <w:rFonts w:ascii="Arial Narrow" w:hAnsi="Arial Narrow"/>
                <w:sz w:val="20"/>
              </w:rPr>
              <w:t>Nivolumab</w:t>
            </w:r>
            <w:proofErr w:type="spellEnd"/>
          </w:p>
          <w:p w:rsidR="00792681" w:rsidRDefault="00792681" w:rsidP="001F4B62">
            <w:pPr>
              <w:pStyle w:val="NoSpacing"/>
              <w:rPr>
                <w:rFonts w:ascii="Arial Narrow" w:hAnsi="Arial Narrow"/>
                <w:sz w:val="20"/>
              </w:rPr>
            </w:pPr>
            <w:r>
              <w:rPr>
                <w:rFonts w:ascii="Arial Narrow" w:hAnsi="Arial Narrow"/>
                <w:sz w:val="20"/>
              </w:rPr>
              <w:t xml:space="preserve">Supplementary: </w:t>
            </w:r>
            <w:proofErr w:type="spellStart"/>
            <w:r>
              <w:rPr>
                <w:rFonts w:ascii="Arial Narrow" w:hAnsi="Arial Narrow"/>
                <w:sz w:val="20"/>
              </w:rPr>
              <w:t>Axitinib</w:t>
            </w:r>
            <w:proofErr w:type="spellEnd"/>
            <w:r>
              <w:rPr>
                <w:rFonts w:ascii="Arial Narrow" w:hAnsi="Arial Narrow"/>
                <w:sz w:val="20"/>
              </w:rPr>
              <w:t xml:space="preserve"> and </w:t>
            </w:r>
            <w:proofErr w:type="spellStart"/>
            <w:r>
              <w:rPr>
                <w:rFonts w:ascii="Arial Narrow" w:hAnsi="Arial Narrow"/>
                <w:sz w:val="20"/>
              </w:rPr>
              <w:t>cabozantinib</w:t>
            </w:r>
            <w:proofErr w:type="spellEnd"/>
          </w:p>
          <w:p w:rsidR="00295C1F" w:rsidRPr="000540CA" w:rsidRDefault="00295C1F" w:rsidP="001F4B62">
            <w:pPr>
              <w:pStyle w:val="NoSpacing"/>
              <w:rPr>
                <w:rFonts w:ascii="Arial Narrow" w:hAnsi="Arial Narrow"/>
                <w:sz w:val="20"/>
              </w:rPr>
            </w:pPr>
            <w:r>
              <w:rPr>
                <w:rFonts w:ascii="Arial Narrow" w:hAnsi="Arial Narrow"/>
                <w:sz w:val="20"/>
              </w:rPr>
              <w:t xml:space="preserve">The PBAC considered “that until the clinical place in therapy is established an appropriate comparator for </w:t>
            </w:r>
            <w:proofErr w:type="spellStart"/>
            <w:r>
              <w:rPr>
                <w:rFonts w:ascii="Arial Narrow" w:hAnsi="Arial Narrow"/>
                <w:sz w:val="20"/>
              </w:rPr>
              <w:t>lenvatinib</w:t>
            </w:r>
            <w:proofErr w:type="spellEnd"/>
            <w:r>
              <w:rPr>
                <w:rFonts w:ascii="Arial Narrow" w:hAnsi="Arial Narrow"/>
                <w:sz w:val="20"/>
              </w:rPr>
              <w:t>/</w:t>
            </w:r>
            <w:proofErr w:type="spellStart"/>
            <w:r>
              <w:rPr>
                <w:rFonts w:ascii="Arial Narrow" w:hAnsi="Arial Narrow"/>
                <w:sz w:val="20"/>
              </w:rPr>
              <w:t>everolimus</w:t>
            </w:r>
            <w:proofErr w:type="spellEnd"/>
            <w:r>
              <w:rPr>
                <w:rFonts w:ascii="Arial Narrow" w:hAnsi="Arial Narrow"/>
                <w:sz w:val="20"/>
              </w:rPr>
              <w:t xml:space="preserve"> cannot be determined” (Para 7.4).</w:t>
            </w:r>
          </w:p>
        </w:tc>
        <w:tc>
          <w:tcPr>
            <w:tcW w:w="3591" w:type="dxa"/>
          </w:tcPr>
          <w:p w:rsidR="001F4B62" w:rsidRPr="000540CA" w:rsidRDefault="00F559A0" w:rsidP="001F4B62">
            <w:pPr>
              <w:pStyle w:val="NoSpacing"/>
              <w:rPr>
                <w:rFonts w:ascii="Arial Narrow" w:hAnsi="Arial Narrow"/>
                <w:sz w:val="20"/>
              </w:rPr>
            </w:pPr>
            <w:r>
              <w:rPr>
                <w:rFonts w:ascii="Arial Narrow" w:hAnsi="Arial Narrow"/>
                <w:sz w:val="20"/>
              </w:rPr>
              <w:t>Unchanged</w:t>
            </w:r>
          </w:p>
        </w:tc>
      </w:tr>
      <w:tr w:rsidR="00295C1F" w:rsidTr="00295C1F">
        <w:tc>
          <w:tcPr>
            <w:tcW w:w="1044" w:type="dxa"/>
          </w:tcPr>
          <w:p w:rsidR="001F4B62" w:rsidRPr="000540CA" w:rsidRDefault="000540CA" w:rsidP="00295C1F">
            <w:pPr>
              <w:pStyle w:val="NoSpacing"/>
              <w:jc w:val="left"/>
              <w:rPr>
                <w:rFonts w:ascii="Arial Narrow" w:hAnsi="Arial Narrow"/>
                <w:sz w:val="20"/>
              </w:rPr>
            </w:pPr>
            <w:r>
              <w:rPr>
                <w:rFonts w:ascii="Arial Narrow" w:hAnsi="Arial Narrow"/>
                <w:sz w:val="20"/>
              </w:rPr>
              <w:t>Place in therapy</w:t>
            </w:r>
          </w:p>
        </w:tc>
        <w:tc>
          <w:tcPr>
            <w:tcW w:w="4607" w:type="dxa"/>
          </w:tcPr>
          <w:p w:rsidR="001F4B62" w:rsidRDefault="00D6304B" w:rsidP="001F4B62">
            <w:pPr>
              <w:pStyle w:val="NoSpacing"/>
              <w:rPr>
                <w:rFonts w:ascii="Arial Narrow" w:hAnsi="Arial Narrow"/>
                <w:sz w:val="20"/>
              </w:rPr>
            </w:pPr>
            <w:proofErr w:type="spellStart"/>
            <w:r>
              <w:rPr>
                <w:rFonts w:ascii="Arial Narrow" w:hAnsi="Arial Narrow"/>
                <w:sz w:val="20"/>
              </w:rPr>
              <w:t>Lenvatinib</w:t>
            </w:r>
            <w:proofErr w:type="spellEnd"/>
            <w:r>
              <w:rPr>
                <w:rFonts w:ascii="Arial Narrow" w:hAnsi="Arial Narrow"/>
                <w:sz w:val="20"/>
              </w:rPr>
              <w:t>/</w:t>
            </w:r>
            <w:proofErr w:type="spellStart"/>
            <w:r>
              <w:rPr>
                <w:rFonts w:ascii="Arial Narrow" w:hAnsi="Arial Narrow"/>
                <w:sz w:val="20"/>
              </w:rPr>
              <w:t>everolimus</w:t>
            </w:r>
            <w:proofErr w:type="spellEnd"/>
            <w:r>
              <w:rPr>
                <w:rFonts w:ascii="Arial Narrow" w:hAnsi="Arial Narrow"/>
                <w:sz w:val="20"/>
              </w:rPr>
              <w:t xml:space="preserve"> combination would be used as second line therapy following treatment with a first line TKI</w:t>
            </w:r>
            <w:r w:rsidR="00DE31B5">
              <w:rPr>
                <w:rFonts w:ascii="Arial Narrow" w:hAnsi="Arial Narrow"/>
                <w:sz w:val="20"/>
              </w:rPr>
              <w:t>.</w:t>
            </w:r>
          </w:p>
          <w:p w:rsidR="0091324A" w:rsidRPr="000540CA" w:rsidRDefault="0091324A" w:rsidP="001F4B62">
            <w:pPr>
              <w:pStyle w:val="NoSpacing"/>
              <w:rPr>
                <w:rFonts w:ascii="Arial Narrow" w:hAnsi="Arial Narrow"/>
                <w:sz w:val="20"/>
              </w:rPr>
            </w:pPr>
            <w:r>
              <w:rPr>
                <w:rFonts w:ascii="Arial Narrow" w:hAnsi="Arial Narrow"/>
                <w:sz w:val="20"/>
              </w:rPr>
              <w:t>The PBAC considered “that the clinical need and clinical place in therapy were not adequately established” (Para 7.1).</w:t>
            </w:r>
          </w:p>
        </w:tc>
        <w:tc>
          <w:tcPr>
            <w:tcW w:w="3591" w:type="dxa"/>
          </w:tcPr>
          <w:p w:rsidR="00CA3F8C" w:rsidRPr="000540CA" w:rsidRDefault="00D6304B" w:rsidP="001F4B62">
            <w:pPr>
              <w:pStyle w:val="NoSpacing"/>
              <w:rPr>
                <w:rFonts w:ascii="Arial Narrow" w:hAnsi="Arial Narrow"/>
                <w:sz w:val="20"/>
              </w:rPr>
            </w:pPr>
            <w:proofErr w:type="spellStart"/>
            <w:r>
              <w:rPr>
                <w:rFonts w:ascii="Arial Narrow" w:hAnsi="Arial Narrow"/>
                <w:sz w:val="20"/>
              </w:rPr>
              <w:t>Lenvatinib</w:t>
            </w:r>
            <w:proofErr w:type="spellEnd"/>
            <w:r>
              <w:rPr>
                <w:rFonts w:ascii="Arial Narrow" w:hAnsi="Arial Narrow"/>
                <w:sz w:val="20"/>
              </w:rPr>
              <w:t>/</w:t>
            </w:r>
            <w:proofErr w:type="spellStart"/>
            <w:r>
              <w:rPr>
                <w:rFonts w:ascii="Arial Narrow" w:hAnsi="Arial Narrow"/>
                <w:sz w:val="20"/>
              </w:rPr>
              <w:t>everolimus</w:t>
            </w:r>
            <w:proofErr w:type="spellEnd"/>
            <w:r>
              <w:rPr>
                <w:rFonts w:ascii="Arial Narrow" w:hAnsi="Arial Narrow"/>
                <w:sz w:val="20"/>
              </w:rPr>
              <w:t xml:space="preserve"> combination would be used as second line therapy following treatment with a first line TKI in patients where treatment with </w:t>
            </w:r>
            <w:proofErr w:type="spellStart"/>
            <w:r>
              <w:rPr>
                <w:rFonts w:ascii="Arial Narrow" w:hAnsi="Arial Narrow"/>
                <w:sz w:val="20"/>
              </w:rPr>
              <w:t>nivolumab</w:t>
            </w:r>
            <w:proofErr w:type="spellEnd"/>
            <w:r>
              <w:rPr>
                <w:rFonts w:ascii="Arial Narrow" w:hAnsi="Arial Narrow"/>
                <w:sz w:val="20"/>
              </w:rPr>
              <w:t xml:space="preserve"> is not pursed or is discontinued due to the development of adverse events or lack of response</w:t>
            </w:r>
            <w:r w:rsidR="00CA3F8C">
              <w:rPr>
                <w:rFonts w:ascii="Arial Narrow" w:hAnsi="Arial Narrow"/>
                <w:sz w:val="20"/>
              </w:rPr>
              <w:t xml:space="preserve">. </w:t>
            </w:r>
          </w:p>
        </w:tc>
      </w:tr>
      <w:tr w:rsidR="00965776" w:rsidTr="00C74035">
        <w:tc>
          <w:tcPr>
            <w:tcW w:w="9242" w:type="dxa"/>
            <w:gridSpan w:val="3"/>
          </w:tcPr>
          <w:p w:rsidR="00965776" w:rsidRPr="00965776" w:rsidRDefault="00965776" w:rsidP="001F4B62">
            <w:pPr>
              <w:pStyle w:val="NoSpacing"/>
              <w:rPr>
                <w:rFonts w:ascii="Arial Narrow" w:hAnsi="Arial Narrow"/>
                <w:b/>
                <w:sz w:val="20"/>
              </w:rPr>
            </w:pPr>
            <w:r w:rsidRPr="00965776">
              <w:rPr>
                <w:rFonts w:ascii="Arial Narrow" w:hAnsi="Arial Narrow"/>
                <w:b/>
                <w:sz w:val="20"/>
              </w:rPr>
              <w:t>Consideration of the evidence</w:t>
            </w:r>
          </w:p>
        </w:tc>
      </w:tr>
      <w:tr w:rsidR="00295C1F" w:rsidTr="00295C1F">
        <w:tc>
          <w:tcPr>
            <w:tcW w:w="1044" w:type="dxa"/>
          </w:tcPr>
          <w:p w:rsidR="00965776" w:rsidRPr="000540CA" w:rsidRDefault="00965776" w:rsidP="001F4B62">
            <w:pPr>
              <w:pStyle w:val="NoSpacing"/>
              <w:rPr>
                <w:rFonts w:ascii="Arial Narrow" w:hAnsi="Arial Narrow"/>
                <w:sz w:val="20"/>
              </w:rPr>
            </w:pPr>
            <w:r>
              <w:rPr>
                <w:rFonts w:ascii="Arial Narrow" w:hAnsi="Arial Narrow"/>
                <w:sz w:val="20"/>
              </w:rPr>
              <w:t xml:space="preserve">Clinical </w:t>
            </w:r>
            <w:r w:rsidR="00A03471">
              <w:rPr>
                <w:rFonts w:ascii="Arial Narrow" w:hAnsi="Arial Narrow"/>
                <w:sz w:val="20"/>
              </w:rPr>
              <w:t>trials</w:t>
            </w:r>
          </w:p>
        </w:tc>
        <w:tc>
          <w:tcPr>
            <w:tcW w:w="4607" w:type="dxa"/>
          </w:tcPr>
          <w:p w:rsidR="006B2FE0" w:rsidRDefault="00AA629F" w:rsidP="00AA629F">
            <w:pPr>
              <w:rPr>
                <w:rFonts w:ascii="Arial Narrow" w:hAnsi="Arial Narrow"/>
                <w:sz w:val="20"/>
                <w:szCs w:val="20"/>
              </w:rPr>
            </w:pPr>
            <w:r>
              <w:rPr>
                <w:rFonts w:ascii="Arial Narrow" w:hAnsi="Arial Narrow"/>
                <w:sz w:val="20"/>
                <w:szCs w:val="20"/>
              </w:rPr>
              <w:t>A</w:t>
            </w:r>
            <w:r w:rsidRPr="00F63BAA">
              <w:rPr>
                <w:rFonts w:ascii="Arial Narrow" w:hAnsi="Arial Narrow"/>
                <w:sz w:val="20"/>
                <w:szCs w:val="20"/>
              </w:rPr>
              <w:t xml:space="preserve"> single Phase II open-label trial that compared the combination of </w:t>
            </w:r>
            <w:proofErr w:type="spellStart"/>
            <w:r w:rsidRPr="00F63BAA">
              <w:rPr>
                <w:rFonts w:ascii="Arial Narrow" w:hAnsi="Arial Narrow"/>
                <w:sz w:val="20"/>
                <w:szCs w:val="20"/>
              </w:rPr>
              <w:t>lenvatinib</w:t>
            </w:r>
            <w:proofErr w:type="spellEnd"/>
            <w:r w:rsidRPr="00F63BAA">
              <w:rPr>
                <w:rFonts w:ascii="Arial Narrow" w:hAnsi="Arial Narrow"/>
                <w:sz w:val="20"/>
                <w:szCs w:val="20"/>
              </w:rPr>
              <w:t xml:space="preserve"> plus </w:t>
            </w:r>
            <w:proofErr w:type="spellStart"/>
            <w:r w:rsidRPr="00F63BAA">
              <w:rPr>
                <w:rFonts w:ascii="Arial Narrow" w:hAnsi="Arial Narrow"/>
                <w:sz w:val="20"/>
                <w:szCs w:val="20"/>
              </w:rPr>
              <w:t>everolimus</w:t>
            </w:r>
            <w:proofErr w:type="spellEnd"/>
            <w:r w:rsidRPr="00F63BAA">
              <w:rPr>
                <w:rFonts w:ascii="Arial Narrow" w:hAnsi="Arial Narrow"/>
                <w:sz w:val="20"/>
                <w:szCs w:val="20"/>
              </w:rPr>
              <w:t xml:space="preserve"> with </w:t>
            </w:r>
            <w:proofErr w:type="spellStart"/>
            <w:r w:rsidRPr="00F63BAA">
              <w:rPr>
                <w:rFonts w:ascii="Arial Narrow" w:hAnsi="Arial Narrow"/>
                <w:sz w:val="20"/>
                <w:szCs w:val="20"/>
              </w:rPr>
              <w:t>everolimus</w:t>
            </w:r>
            <w:proofErr w:type="spellEnd"/>
            <w:r w:rsidRPr="00F63BAA">
              <w:rPr>
                <w:rFonts w:ascii="Arial Narrow" w:hAnsi="Arial Narrow"/>
                <w:sz w:val="20"/>
                <w:szCs w:val="20"/>
              </w:rPr>
              <w:t xml:space="preserve"> monotherapy in patients with metastatic RCC whose disease had progressed after first line therapy</w:t>
            </w:r>
            <w:r>
              <w:rPr>
                <w:rFonts w:ascii="Arial Narrow" w:hAnsi="Arial Narrow"/>
                <w:sz w:val="20"/>
                <w:szCs w:val="20"/>
              </w:rPr>
              <w:t xml:space="preserve"> (Study 205, n=101)</w:t>
            </w:r>
            <w:r w:rsidRPr="00F63BAA">
              <w:rPr>
                <w:rFonts w:ascii="Arial Narrow" w:hAnsi="Arial Narrow"/>
                <w:sz w:val="20"/>
                <w:szCs w:val="20"/>
              </w:rPr>
              <w:t xml:space="preserve">. </w:t>
            </w:r>
          </w:p>
          <w:p w:rsidR="00AA629F" w:rsidRDefault="00AA629F" w:rsidP="00AA629F">
            <w:pPr>
              <w:rPr>
                <w:rFonts w:ascii="Arial Narrow" w:hAnsi="Arial Narrow"/>
                <w:sz w:val="20"/>
                <w:szCs w:val="20"/>
              </w:rPr>
            </w:pPr>
          </w:p>
          <w:p w:rsidR="00965776" w:rsidRPr="000540CA" w:rsidRDefault="00AA629F" w:rsidP="00AA629F">
            <w:pPr>
              <w:pStyle w:val="NoSpacing"/>
              <w:rPr>
                <w:rFonts w:ascii="Arial Narrow" w:hAnsi="Arial Narrow"/>
                <w:sz w:val="20"/>
              </w:rPr>
            </w:pPr>
            <w:r>
              <w:rPr>
                <w:rFonts w:ascii="Arial Narrow" w:hAnsi="Arial Narrow"/>
                <w:sz w:val="20"/>
                <w:szCs w:val="20"/>
              </w:rPr>
              <w:t xml:space="preserve">An indirect comparison of </w:t>
            </w:r>
            <w:proofErr w:type="spellStart"/>
            <w:r>
              <w:rPr>
                <w:rFonts w:ascii="Arial Narrow" w:hAnsi="Arial Narrow"/>
                <w:sz w:val="20"/>
                <w:szCs w:val="20"/>
              </w:rPr>
              <w:t>lenvatinib</w:t>
            </w:r>
            <w:proofErr w:type="spellEnd"/>
            <w:r>
              <w:rPr>
                <w:rFonts w:ascii="Arial Narrow" w:hAnsi="Arial Narrow"/>
                <w:sz w:val="20"/>
                <w:szCs w:val="20"/>
              </w:rPr>
              <w:t>/</w:t>
            </w:r>
            <w:proofErr w:type="spellStart"/>
            <w:r>
              <w:rPr>
                <w:rFonts w:ascii="Arial Narrow" w:hAnsi="Arial Narrow"/>
                <w:sz w:val="20"/>
                <w:szCs w:val="20"/>
              </w:rPr>
              <w:t>everolimus</w:t>
            </w:r>
            <w:proofErr w:type="spellEnd"/>
            <w:r>
              <w:rPr>
                <w:rFonts w:ascii="Arial Narrow" w:hAnsi="Arial Narrow"/>
                <w:sz w:val="20"/>
                <w:szCs w:val="20"/>
              </w:rPr>
              <w:t xml:space="preserve"> and </w:t>
            </w:r>
            <w:proofErr w:type="spellStart"/>
            <w:r>
              <w:rPr>
                <w:rFonts w:ascii="Arial Narrow" w:hAnsi="Arial Narrow"/>
                <w:sz w:val="20"/>
                <w:szCs w:val="20"/>
              </w:rPr>
              <w:t>nivolumab</w:t>
            </w:r>
            <w:proofErr w:type="spellEnd"/>
            <w:r>
              <w:rPr>
                <w:rFonts w:ascii="Arial Narrow" w:hAnsi="Arial Narrow"/>
                <w:sz w:val="20"/>
                <w:szCs w:val="20"/>
              </w:rPr>
              <w:t xml:space="preserve"> was presented using the </w:t>
            </w:r>
            <w:r w:rsidR="00E7532E">
              <w:rPr>
                <w:rFonts w:ascii="Arial Narrow" w:hAnsi="Arial Narrow"/>
                <w:sz w:val="20"/>
                <w:szCs w:val="20"/>
              </w:rPr>
              <w:t xml:space="preserve">clinical evidence from </w:t>
            </w:r>
            <w:r>
              <w:rPr>
                <w:rFonts w:ascii="Arial Narrow" w:hAnsi="Arial Narrow"/>
                <w:sz w:val="20"/>
                <w:szCs w:val="20"/>
              </w:rPr>
              <w:t xml:space="preserve">Study 205 and </w:t>
            </w:r>
            <w:proofErr w:type="spellStart"/>
            <w:r>
              <w:rPr>
                <w:rFonts w:ascii="Arial Narrow" w:hAnsi="Arial Narrow"/>
                <w:sz w:val="20"/>
                <w:szCs w:val="20"/>
              </w:rPr>
              <w:t>CheckMate</w:t>
            </w:r>
            <w:proofErr w:type="spellEnd"/>
            <w:r>
              <w:rPr>
                <w:rFonts w:ascii="Arial Narrow" w:hAnsi="Arial Narrow"/>
                <w:sz w:val="20"/>
                <w:szCs w:val="20"/>
              </w:rPr>
              <w:t xml:space="preserve"> 025</w:t>
            </w:r>
            <w:r w:rsidR="00E7532E">
              <w:rPr>
                <w:rFonts w:ascii="Arial Narrow" w:hAnsi="Arial Narrow"/>
                <w:sz w:val="20"/>
                <w:szCs w:val="20"/>
              </w:rPr>
              <w:t xml:space="preserve"> (n = 821)</w:t>
            </w:r>
            <w:r>
              <w:rPr>
                <w:rFonts w:ascii="Arial Narrow" w:hAnsi="Arial Narrow"/>
                <w:sz w:val="20"/>
                <w:szCs w:val="20"/>
              </w:rPr>
              <w:t>.</w:t>
            </w:r>
            <w:r w:rsidR="00E7532E">
              <w:rPr>
                <w:rFonts w:ascii="Arial Narrow" w:hAnsi="Arial Narrow"/>
                <w:sz w:val="20"/>
                <w:szCs w:val="20"/>
              </w:rPr>
              <w:t xml:space="preserve"> Both trials had </w:t>
            </w:r>
            <w:proofErr w:type="spellStart"/>
            <w:r w:rsidR="00E7532E">
              <w:rPr>
                <w:rFonts w:ascii="Arial Narrow" w:hAnsi="Arial Narrow"/>
                <w:sz w:val="20"/>
                <w:szCs w:val="20"/>
              </w:rPr>
              <w:t>everolimus</w:t>
            </w:r>
            <w:proofErr w:type="spellEnd"/>
            <w:r w:rsidR="00E7532E">
              <w:rPr>
                <w:rFonts w:ascii="Arial Narrow" w:hAnsi="Arial Narrow"/>
                <w:sz w:val="20"/>
                <w:szCs w:val="20"/>
              </w:rPr>
              <w:t xml:space="preserve"> 10 mg per day as the common comparator.</w:t>
            </w:r>
          </w:p>
        </w:tc>
        <w:tc>
          <w:tcPr>
            <w:tcW w:w="3591" w:type="dxa"/>
          </w:tcPr>
          <w:p w:rsidR="00965776" w:rsidRPr="000540CA" w:rsidRDefault="00965776" w:rsidP="001F4B62">
            <w:pPr>
              <w:pStyle w:val="NoSpacing"/>
              <w:rPr>
                <w:rFonts w:ascii="Arial Narrow" w:hAnsi="Arial Narrow"/>
                <w:sz w:val="20"/>
              </w:rPr>
            </w:pPr>
            <w:r>
              <w:rPr>
                <w:rFonts w:ascii="Arial Narrow" w:hAnsi="Arial Narrow"/>
                <w:sz w:val="20"/>
              </w:rPr>
              <w:t>Unchanged</w:t>
            </w:r>
          </w:p>
        </w:tc>
      </w:tr>
      <w:tr w:rsidR="00295C1F" w:rsidTr="00295C1F">
        <w:tc>
          <w:tcPr>
            <w:tcW w:w="1044" w:type="dxa"/>
          </w:tcPr>
          <w:p w:rsidR="00965776" w:rsidRPr="000540CA" w:rsidRDefault="00DB6E28" w:rsidP="001F4B62">
            <w:pPr>
              <w:pStyle w:val="NoSpacing"/>
              <w:rPr>
                <w:rFonts w:ascii="Arial Narrow" w:hAnsi="Arial Narrow"/>
                <w:sz w:val="20"/>
              </w:rPr>
            </w:pPr>
            <w:r>
              <w:rPr>
                <w:rFonts w:ascii="Arial Narrow" w:hAnsi="Arial Narrow"/>
                <w:sz w:val="20"/>
              </w:rPr>
              <w:t>Clinical claim</w:t>
            </w:r>
          </w:p>
        </w:tc>
        <w:tc>
          <w:tcPr>
            <w:tcW w:w="4607" w:type="dxa"/>
          </w:tcPr>
          <w:p w:rsidR="00965776" w:rsidRDefault="00B3755F" w:rsidP="001F4B62">
            <w:pPr>
              <w:pStyle w:val="NoSpacing"/>
              <w:rPr>
                <w:rFonts w:ascii="Arial Narrow" w:hAnsi="Arial Narrow"/>
                <w:sz w:val="20"/>
              </w:rPr>
            </w:pPr>
            <w:proofErr w:type="spellStart"/>
            <w:r>
              <w:rPr>
                <w:rFonts w:ascii="Arial Narrow" w:hAnsi="Arial Narrow"/>
                <w:sz w:val="20"/>
              </w:rPr>
              <w:t>Lenvatinib</w:t>
            </w:r>
            <w:proofErr w:type="spellEnd"/>
            <w:r>
              <w:rPr>
                <w:rFonts w:ascii="Arial Narrow" w:hAnsi="Arial Narrow"/>
                <w:sz w:val="20"/>
              </w:rPr>
              <w:t>/</w:t>
            </w:r>
            <w:proofErr w:type="spellStart"/>
            <w:r>
              <w:rPr>
                <w:rFonts w:ascii="Arial Narrow" w:hAnsi="Arial Narrow"/>
                <w:sz w:val="20"/>
              </w:rPr>
              <w:t>everolimus</w:t>
            </w:r>
            <w:proofErr w:type="spellEnd"/>
            <w:r>
              <w:rPr>
                <w:rFonts w:ascii="Arial Narrow" w:hAnsi="Arial Narrow"/>
                <w:sz w:val="20"/>
              </w:rPr>
              <w:t xml:space="preserve"> </w:t>
            </w:r>
            <w:r w:rsidR="00AC55B5">
              <w:rPr>
                <w:rFonts w:ascii="Arial Narrow" w:hAnsi="Arial Narrow"/>
                <w:sz w:val="20"/>
              </w:rPr>
              <w:t xml:space="preserve">when compared with </w:t>
            </w:r>
            <w:proofErr w:type="spellStart"/>
            <w:r w:rsidR="00AC55B5">
              <w:rPr>
                <w:rFonts w:ascii="Arial Narrow" w:hAnsi="Arial Narrow"/>
                <w:sz w:val="20"/>
              </w:rPr>
              <w:t>everolimus</w:t>
            </w:r>
            <w:proofErr w:type="spellEnd"/>
            <w:r w:rsidR="00AC55B5">
              <w:rPr>
                <w:rFonts w:ascii="Arial Narrow" w:hAnsi="Arial Narrow"/>
                <w:sz w:val="20"/>
              </w:rPr>
              <w:t xml:space="preserve"> monotherapy was superior in terms of effectiveness for both the outcomes of OS and PFS, although inferior in terms of safety</w:t>
            </w:r>
            <w:r w:rsidR="000454ED">
              <w:rPr>
                <w:rFonts w:ascii="Arial Narrow" w:hAnsi="Arial Narrow"/>
                <w:sz w:val="20"/>
              </w:rPr>
              <w:t>.</w:t>
            </w:r>
          </w:p>
          <w:p w:rsidR="00194E31" w:rsidRDefault="00194E31" w:rsidP="001F4B62">
            <w:pPr>
              <w:pStyle w:val="NoSpacing"/>
              <w:rPr>
                <w:rFonts w:ascii="Arial Narrow" w:hAnsi="Arial Narrow"/>
                <w:sz w:val="20"/>
              </w:rPr>
            </w:pPr>
            <w:r>
              <w:rPr>
                <w:rFonts w:ascii="Arial Narrow" w:hAnsi="Arial Narrow"/>
                <w:sz w:val="20"/>
              </w:rPr>
              <w:t>PBAC considered “that the magnitude of the clinical benefit was uncertain due to the small sample size of the key clinical trial”</w:t>
            </w:r>
            <w:r w:rsidR="0091324A">
              <w:rPr>
                <w:rFonts w:ascii="Arial Narrow" w:hAnsi="Arial Narrow"/>
                <w:sz w:val="20"/>
              </w:rPr>
              <w:t xml:space="preserve"> </w:t>
            </w:r>
            <w:r>
              <w:rPr>
                <w:rFonts w:ascii="Arial Narrow" w:hAnsi="Arial Narrow"/>
                <w:sz w:val="20"/>
              </w:rPr>
              <w:t>(Para 7.1)</w:t>
            </w:r>
            <w:r w:rsidR="0091324A">
              <w:rPr>
                <w:rFonts w:ascii="Arial Narrow" w:hAnsi="Arial Narrow"/>
                <w:sz w:val="20"/>
              </w:rPr>
              <w:t>.</w:t>
            </w:r>
          </w:p>
          <w:p w:rsidR="000454ED" w:rsidRDefault="000454ED" w:rsidP="001F4B62">
            <w:pPr>
              <w:pStyle w:val="NoSpacing"/>
              <w:rPr>
                <w:rFonts w:ascii="Arial Narrow" w:hAnsi="Arial Narrow"/>
                <w:sz w:val="20"/>
              </w:rPr>
            </w:pPr>
          </w:p>
          <w:p w:rsidR="000454ED" w:rsidRDefault="000454ED" w:rsidP="001F4B62">
            <w:pPr>
              <w:pStyle w:val="NoSpacing"/>
              <w:rPr>
                <w:rFonts w:ascii="Arial Narrow" w:hAnsi="Arial Narrow"/>
                <w:sz w:val="20"/>
              </w:rPr>
            </w:pPr>
            <w:r>
              <w:rPr>
                <w:rFonts w:ascii="Arial Narrow" w:hAnsi="Arial Narrow"/>
                <w:sz w:val="20"/>
              </w:rPr>
              <w:t xml:space="preserve">For the comparison of </w:t>
            </w:r>
            <w:proofErr w:type="spellStart"/>
            <w:r>
              <w:rPr>
                <w:rFonts w:ascii="Arial Narrow" w:hAnsi="Arial Narrow"/>
                <w:sz w:val="20"/>
              </w:rPr>
              <w:t>lenvatinib</w:t>
            </w:r>
            <w:proofErr w:type="spellEnd"/>
            <w:r>
              <w:rPr>
                <w:rFonts w:ascii="Arial Narrow" w:hAnsi="Arial Narrow"/>
                <w:sz w:val="20"/>
              </w:rPr>
              <w:t>/</w:t>
            </w:r>
            <w:proofErr w:type="spellStart"/>
            <w:r>
              <w:rPr>
                <w:rFonts w:ascii="Arial Narrow" w:hAnsi="Arial Narrow"/>
                <w:sz w:val="20"/>
              </w:rPr>
              <w:t>everolimus</w:t>
            </w:r>
            <w:proofErr w:type="spellEnd"/>
            <w:r>
              <w:rPr>
                <w:rFonts w:ascii="Arial Narrow" w:hAnsi="Arial Narrow"/>
                <w:sz w:val="20"/>
              </w:rPr>
              <w:t xml:space="preserve"> with </w:t>
            </w:r>
            <w:proofErr w:type="spellStart"/>
            <w:r>
              <w:rPr>
                <w:rFonts w:ascii="Arial Narrow" w:hAnsi="Arial Narrow"/>
                <w:sz w:val="20"/>
              </w:rPr>
              <w:t>nivolumab</w:t>
            </w:r>
            <w:proofErr w:type="spellEnd"/>
            <w:r>
              <w:rPr>
                <w:rFonts w:ascii="Arial Narrow" w:hAnsi="Arial Narrow"/>
                <w:sz w:val="20"/>
              </w:rPr>
              <w:t>, it was claimed that:</w:t>
            </w:r>
          </w:p>
          <w:p w:rsidR="000454ED" w:rsidRPr="000454ED" w:rsidRDefault="000454ED" w:rsidP="000454ED">
            <w:pPr>
              <w:pStyle w:val="NoSpacing"/>
              <w:numPr>
                <w:ilvl w:val="0"/>
                <w:numId w:val="24"/>
              </w:numPr>
              <w:rPr>
                <w:rFonts w:ascii="Arial Narrow" w:hAnsi="Arial Narrow"/>
                <w:sz w:val="20"/>
              </w:rPr>
            </w:pPr>
            <w:proofErr w:type="spellStart"/>
            <w:r w:rsidRPr="000454ED">
              <w:rPr>
                <w:rFonts w:ascii="Arial Narrow" w:hAnsi="Arial Narrow"/>
                <w:sz w:val="20"/>
              </w:rPr>
              <w:t>Lenvatinib</w:t>
            </w:r>
            <w:proofErr w:type="spellEnd"/>
            <w:r w:rsidRPr="000454ED">
              <w:rPr>
                <w:rFonts w:ascii="Arial Narrow" w:hAnsi="Arial Narrow"/>
                <w:sz w:val="20"/>
              </w:rPr>
              <w:t>/</w:t>
            </w:r>
            <w:proofErr w:type="spellStart"/>
            <w:r w:rsidRPr="000454ED">
              <w:rPr>
                <w:rFonts w:ascii="Arial Narrow" w:hAnsi="Arial Narrow"/>
                <w:sz w:val="20"/>
              </w:rPr>
              <w:t>everolimus</w:t>
            </w:r>
            <w:proofErr w:type="spellEnd"/>
            <w:r w:rsidRPr="000454ED">
              <w:rPr>
                <w:rFonts w:ascii="Arial Narrow" w:hAnsi="Arial Narrow"/>
                <w:sz w:val="20"/>
              </w:rPr>
              <w:t xml:space="preserve"> was superior in terms of effectiveness for the outcome of PFS compared with </w:t>
            </w:r>
            <w:proofErr w:type="spellStart"/>
            <w:r w:rsidRPr="000454ED">
              <w:rPr>
                <w:rFonts w:ascii="Arial Narrow" w:hAnsi="Arial Narrow"/>
                <w:sz w:val="20"/>
              </w:rPr>
              <w:t>nivolumab</w:t>
            </w:r>
            <w:proofErr w:type="spellEnd"/>
            <w:r w:rsidRPr="000454ED">
              <w:rPr>
                <w:rFonts w:ascii="Arial Narrow" w:hAnsi="Arial Narrow"/>
                <w:sz w:val="20"/>
              </w:rPr>
              <w:t>.</w:t>
            </w:r>
          </w:p>
          <w:p w:rsidR="000454ED" w:rsidRPr="000454ED" w:rsidRDefault="000454ED" w:rsidP="000454ED">
            <w:pPr>
              <w:pStyle w:val="NoSpacing"/>
              <w:numPr>
                <w:ilvl w:val="0"/>
                <w:numId w:val="24"/>
              </w:numPr>
              <w:rPr>
                <w:rFonts w:ascii="Arial Narrow" w:hAnsi="Arial Narrow"/>
                <w:sz w:val="20"/>
              </w:rPr>
            </w:pPr>
            <w:proofErr w:type="spellStart"/>
            <w:r w:rsidRPr="000454ED">
              <w:rPr>
                <w:rFonts w:ascii="Arial Narrow" w:hAnsi="Arial Narrow"/>
                <w:sz w:val="20"/>
              </w:rPr>
              <w:t>Lenvatinib</w:t>
            </w:r>
            <w:proofErr w:type="spellEnd"/>
            <w:r w:rsidRPr="000454ED">
              <w:rPr>
                <w:rFonts w:ascii="Arial Narrow" w:hAnsi="Arial Narrow"/>
                <w:sz w:val="20"/>
              </w:rPr>
              <w:t>/</w:t>
            </w:r>
            <w:proofErr w:type="spellStart"/>
            <w:r w:rsidRPr="000454ED">
              <w:rPr>
                <w:rFonts w:ascii="Arial Narrow" w:hAnsi="Arial Narrow"/>
                <w:sz w:val="20"/>
              </w:rPr>
              <w:t>everolimus</w:t>
            </w:r>
            <w:proofErr w:type="spellEnd"/>
            <w:r w:rsidRPr="000454ED">
              <w:rPr>
                <w:rFonts w:ascii="Arial Narrow" w:hAnsi="Arial Narrow"/>
                <w:sz w:val="20"/>
              </w:rPr>
              <w:t xml:space="preserve"> was non-inferior in terms of effectiveness for the outcome of OS compared with </w:t>
            </w:r>
            <w:proofErr w:type="spellStart"/>
            <w:r w:rsidRPr="000454ED">
              <w:rPr>
                <w:rFonts w:ascii="Arial Narrow" w:hAnsi="Arial Narrow"/>
                <w:sz w:val="20"/>
              </w:rPr>
              <w:lastRenderedPageBreak/>
              <w:t>nivolumab</w:t>
            </w:r>
            <w:proofErr w:type="spellEnd"/>
            <w:r w:rsidRPr="000454ED">
              <w:rPr>
                <w:rFonts w:ascii="Arial Narrow" w:hAnsi="Arial Narrow"/>
                <w:sz w:val="20"/>
              </w:rPr>
              <w:t>.</w:t>
            </w:r>
          </w:p>
          <w:p w:rsidR="006B2FE0" w:rsidRDefault="000454ED" w:rsidP="006B2FE0">
            <w:pPr>
              <w:pStyle w:val="NoSpacing"/>
              <w:numPr>
                <w:ilvl w:val="0"/>
                <w:numId w:val="24"/>
              </w:numPr>
              <w:rPr>
                <w:rFonts w:ascii="Arial Narrow" w:hAnsi="Arial Narrow"/>
                <w:sz w:val="20"/>
              </w:rPr>
            </w:pPr>
            <w:proofErr w:type="spellStart"/>
            <w:r w:rsidRPr="000454ED">
              <w:rPr>
                <w:rFonts w:ascii="Arial Narrow" w:hAnsi="Arial Narrow"/>
                <w:sz w:val="20"/>
              </w:rPr>
              <w:t>Lenvatinib</w:t>
            </w:r>
            <w:proofErr w:type="spellEnd"/>
            <w:r w:rsidRPr="000454ED">
              <w:rPr>
                <w:rFonts w:ascii="Arial Narrow" w:hAnsi="Arial Narrow"/>
                <w:sz w:val="20"/>
              </w:rPr>
              <w:t>/</w:t>
            </w:r>
            <w:proofErr w:type="spellStart"/>
            <w:r w:rsidRPr="000454ED">
              <w:rPr>
                <w:rFonts w:ascii="Arial Narrow" w:hAnsi="Arial Narrow"/>
                <w:sz w:val="20"/>
              </w:rPr>
              <w:t>everolimus</w:t>
            </w:r>
            <w:proofErr w:type="spellEnd"/>
            <w:r w:rsidRPr="000454ED">
              <w:rPr>
                <w:rFonts w:ascii="Arial Narrow" w:hAnsi="Arial Narrow"/>
                <w:sz w:val="20"/>
              </w:rPr>
              <w:t xml:space="preserve"> was inferior in terms of safety compared with </w:t>
            </w:r>
            <w:proofErr w:type="spellStart"/>
            <w:r w:rsidRPr="000454ED">
              <w:rPr>
                <w:rFonts w:ascii="Arial Narrow" w:hAnsi="Arial Narrow"/>
                <w:sz w:val="20"/>
              </w:rPr>
              <w:t>nivolumab</w:t>
            </w:r>
            <w:proofErr w:type="spellEnd"/>
            <w:r w:rsidRPr="000454ED">
              <w:rPr>
                <w:rFonts w:ascii="Arial Narrow" w:hAnsi="Arial Narrow"/>
                <w:sz w:val="20"/>
              </w:rPr>
              <w:t>.</w:t>
            </w:r>
          </w:p>
          <w:p w:rsidR="00AB354F" w:rsidRPr="006B2FE0" w:rsidRDefault="00AB354F" w:rsidP="00AB354F">
            <w:pPr>
              <w:pStyle w:val="NoSpacing"/>
              <w:rPr>
                <w:rFonts w:ascii="Arial Narrow" w:hAnsi="Arial Narrow"/>
                <w:sz w:val="20"/>
              </w:rPr>
            </w:pPr>
            <w:r>
              <w:rPr>
                <w:rFonts w:ascii="Arial Narrow" w:hAnsi="Arial Narrow"/>
                <w:sz w:val="20"/>
              </w:rPr>
              <w:t xml:space="preserve">The PBAC disagreed with the submissions claim of significantly reduced risk of progression, “noting that such a comparison was biased against </w:t>
            </w:r>
            <w:proofErr w:type="spellStart"/>
            <w:r>
              <w:rPr>
                <w:rFonts w:ascii="Arial Narrow" w:hAnsi="Arial Narrow"/>
                <w:sz w:val="20"/>
              </w:rPr>
              <w:t>nivolumab</w:t>
            </w:r>
            <w:proofErr w:type="spellEnd"/>
            <w:r>
              <w:rPr>
                <w:rFonts w:ascii="Arial Narrow" w:hAnsi="Arial Narrow"/>
                <w:sz w:val="20"/>
              </w:rPr>
              <w:t xml:space="preserve"> given that the use of the RECIST based assessment of progression are considered to underestimate the impact of immunotherapies on disease progression. The PBAC noted the OS difference for this comparison </w:t>
            </w:r>
            <w:r w:rsidR="0091324A">
              <w:rPr>
                <w:rFonts w:ascii="Arial Narrow" w:hAnsi="Arial Narrow"/>
                <w:sz w:val="20"/>
              </w:rPr>
              <w:t>was not sta</w:t>
            </w:r>
            <w:r w:rsidR="00295C1F">
              <w:rPr>
                <w:rFonts w:ascii="Arial Narrow" w:hAnsi="Arial Narrow"/>
                <w:sz w:val="20"/>
              </w:rPr>
              <w:t>ti</w:t>
            </w:r>
            <w:r w:rsidR="0091324A">
              <w:rPr>
                <w:rFonts w:ascii="Arial Narrow" w:hAnsi="Arial Narrow"/>
                <w:sz w:val="20"/>
              </w:rPr>
              <w:t>stically significant</w:t>
            </w:r>
            <w:r>
              <w:rPr>
                <w:rFonts w:ascii="Arial Narrow" w:hAnsi="Arial Narrow"/>
                <w:sz w:val="20"/>
              </w:rPr>
              <w:t>” (Para 7.7)</w:t>
            </w:r>
            <w:r w:rsidR="0091324A">
              <w:rPr>
                <w:rFonts w:ascii="Arial Narrow" w:hAnsi="Arial Narrow"/>
                <w:sz w:val="20"/>
              </w:rPr>
              <w:t>.</w:t>
            </w:r>
            <w:r>
              <w:rPr>
                <w:rFonts w:ascii="Arial Narrow" w:hAnsi="Arial Narrow"/>
                <w:sz w:val="20"/>
              </w:rPr>
              <w:t xml:space="preserve"> </w:t>
            </w:r>
          </w:p>
        </w:tc>
        <w:tc>
          <w:tcPr>
            <w:tcW w:w="3591" w:type="dxa"/>
          </w:tcPr>
          <w:p w:rsidR="00965776" w:rsidRPr="000540CA" w:rsidRDefault="000454ED" w:rsidP="001F4B62">
            <w:pPr>
              <w:pStyle w:val="NoSpacing"/>
              <w:rPr>
                <w:rFonts w:ascii="Arial Narrow" w:hAnsi="Arial Narrow"/>
                <w:sz w:val="20"/>
              </w:rPr>
            </w:pPr>
            <w:r>
              <w:rPr>
                <w:rFonts w:ascii="Arial Narrow" w:hAnsi="Arial Narrow"/>
                <w:sz w:val="20"/>
              </w:rPr>
              <w:lastRenderedPageBreak/>
              <w:t>Unchanged</w:t>
            </w:r>
          </w:p>
        </w:tc>
      </w:tr>
      <w:tr w:rsidR="005A6D31" w:rsidTr="00C74035">
        <w:tc>
          <w:tcPr>
            <w:tcW w:w="9242" w:type="dxa"/>
            <w:gridSpan w:val="3"/>
          </w:tcPr>
          <w:p w:rsidR="005A6D31" w:rsidRPr="005A6D31" w:rsidRDefault="005A6D31" w:rsidP="001F4B62">
            <w:pPr>
              <w:pStyle w:val="NoSpacing"/>
              <w:rPr>
                <w:rFonts w:ascii="Arial Narrow" w:hAnsi="Arial Narrow"/>
                <w:b/>
                <w:sz w:val="20"/>
              </w:rPr>
            </w:pPr>
            <w:r w:rsidRPr="005A6D31">
              <w:rPr>
                <w:rFonts w:ascii="Arial Narrow" w:hAnsi="Arial Narrow"/>
                <w:b/>
                <w:sz w:val="20"/>
              </w:rPr>
              <w:lastRenderedPageBreak/>
              <w:t>Economic evaluation</w:t>
            </w:r>
          </w:p>
        </w:tc>
      </w:tr>
      <w:tr w:rsidR="00295C1F" w:rsidTr="00295C1F">
        <w:tc>
          <w:tcPr>
            <w:tcW w:w="1044" w:type="dxa"/>
          </w:tcPr>
          <w:p w:rsidR="005A6D31" w:rsidRDefault="00980E0E" w:rsidP="001F4B62">
            <w:pPr>
              <w:pStyle w:val="NoSpacing"/>
              <w:rPr>
                <w:rFonts w:ascii="Arial Narrow" w:hAnsi="Arial Narrow"/>
                <w:sz w:val="20"/>
              </w:rPr>
            </w:pPr>
            <w:r>
              <w:rPr>
                <w:rFonts w:ascii="Arial Narrow" w:hAnsi="Arial Narrow"/>
                <w:sz w:val="20"/>
              </w:rPr>
              <w:t>ICER</w:t>
            </w:r>
          </w:p>
        </w:tc>
        <w:tc>
          <w:tcPr>
            <w:tcW w:w="4607" w:type="dxa"/>
          </w:tcPr>
          <w:p w:rsidR="00554B35" w:rsidRDefault="00554B35" w:rsidP="00554B35">
            <w:pPr>
              <w:rPr>
                <w:rFonts w:ascii="Arial Narrow" w:hAnsi="Arial Narrow"/>
                <w:sz w:val="20"/>
                <w:szCs w:val="20"/>
              </w:rPr>
            </w:pPr>
            <w:r w:rsidRPr="008C2AAC">
              <w:rPr>
                <w:rFonts w:ascii="Arial Narrow" w:hAnsi="Arial Narrow"/>
                <w:sz w:val="20"/>
                <w:szCs w:val="20"/>
              </w:rPr>
              <w:t xml:space="preserve">The submission presented a cost-utility analysis to demonstrate the cost-effectiveness of the </w:t>
            </w:r>
            <w:proofErr w:type="spellStart"/>
            <w:r w:rsidRPr="008C2AAC">
              <w:rPr>
                <w:rFonts w:ascii="Arial Narrow" w:hAnsi="Arial Narrow"/>
                <w:sz w:val="20"/>
                <w:szCs w:val="20"/>
              </w:rPr>
              <w:t>lenvatinib</w:t>
            </w:r>
            <w:proofErr w:type="spellEnd"/>
            <w:r w:rsidRPr="008C2AAC">
              <w:rPr>
                <w:rFonts w:ascii="Arial Narrow" w:hAnsi="Arial Narrow"/>
                <w:sz w:val="20"/>
                <w:szCs w:val="20"/>
              </w:rPr>
              <w:t>/</w:t>
            </w:r>
            <w:proofErr w:type="spellStart"/>
            <w:r w:rsidRPr="008C2AAC">
              <w:rPr>
                <w:rFonts w:ascii="Arial Narrow" w:hAnsi="Arial Narrow"/>
                <w:sz w:val="20"/>
                <w:szCs w:val="20"/>
              </w:rPr>
              <w:t>everolimus</w:t>
            </w:r>
            <w:proofErr w:type="spellEnd"/>
            <w:r w:rsidRPr="008C2AAC">
              <w:rPr>
                <w:rFonts w:ascii="Arial Narrow" w:hAnsi="Arial Narrow"/>
                <w:sz w:val="20"/>
                <w:szCs w:val="20"/>
              </w:rPr>
              <w:t xml:space="preserve"> combination compa</w:t>
            </w:r>
            <w:r>
              <w:rPr>
                <w:rFonts w:ascii="Arial Narrow" w:hAnsi="Arial Narrow"/>
                <w:sz w:val="20"/>
                <w:szCs w:val="20"/>
              </w:rPr>
              <w:t xml:space="preserve">red with </w:t>
            </w:r>
            <w:proofErr w:type="spellStart"/>
            <w:r>
              <w:rPr>
                <w:rFonts w:ascii="Arial Narrow" w:hAnsi="Arial Narrow"/>
                <w:sz w:val="20"/>
                <w:szCs w:val="20"/>
              </w:rPr>
              <w:t>everolimus</w:t>
            </w:r>
            <w:proofErr w:type="spellEnd"/>
            <w:r>
              <w:rPr>
                <w:rFonts w:ascii="Arial Narrow" w:hAnsi="Arial Narrow"/>
                <w:sz w:val="20"/>
                <w:szCs w:val="20"/>
              </w:rPr>
              <w:t xml:space="preserve"> monotherapy with a life-time</w:t>
            </w:r>
            <w:r w:rsidRPr="008C2AAC">
              <w:rPr>
                <w:rFonts w:ascii="Arial Narrow" w:hAnsi="Arial Narrow"/>
                <w:sz w:val="20"/>
                <w:szCs w:val="20"/>
              </w:rPr>
              <w:t xml:space="preserve"> </w:t>
            </w:r>
            <w:r w:rsidRPr="00BB315E">
              <w:rPr>
                <w:rFonts w:ascii="Arial Narrow" w:hAnsi="Arial Narrow"/>
                <w:sz w:val="20"/>
                <w:szCs w:val="20"/>
              </w:rPr>
              <w:t>time horizon</w:t>
            </w:r>
            <w:r>
              <w:rPr>
                <w:rFonts w:ascii="Arial Narrow" w:hAnsi="Arial Narrow"/>
                <w:sz w:val="20"/>
                <w:szCs w:val="20"/>
              </w:rPr>
              <w:t xml:space="preserve">, and a base case ICER of </w:t>
            </w:r>
            <w:r w:rsidRPr="008C2AAC">
              <w:rPr>
                <w:rFonts w:ascii="Arial Narrow" w:hAnsi="Arial Narrow"/>
                <w:sz w:val="20"/>
                <w:szCs w:val="20"/>
              </w:rPr>
              <w:t>$</w:t>
            </w:r>
            <w:r w:rsidR="004D717E">
              <w:rPr>
                <w:rFonts w:ascii="Arial Narrow" w:hAnsi="Arial Narrow"/>
                <w:sz w:val="20"/>
                <w:szCs w:val="20"/>
              </w:rPr>
              <w:t>45,000</w:t>
            </w:r>
            <w:r w:rsidR="009856C1">
              <w:rPr>
                <w:rFonts w:ascii="Arial Narrow" w:hAnsi="Arial Narrow"/>
                <w:sz w:val="20"/>
                <w:szCs w:val="20"/>
              </w:rPr>
              <w:t>/QALY</w:t>
            </w:r>
            <w:r w:rsidR="004D717E">
              <w:rPr>
                <w:rFonts w:ascii="Arial Narrow" w:hAnsi="Arial Narrow"/>
                <w:sz w:val="20"/>
                <w:szCs w:val="20"/>
              </w:rPr>
              <w:t xml:space="preserve"> - $75,000</w:t>
            </w:r>
            <w:r>
              <w:rPr>
                <w:rFonts w:ascii="Arial Narrow" w:hAnsi="Arial Narrow"/>
                <w:sz w:val="20"/>
                <w:szCs w:val="20"/>
              </w:rPr>
              <w:t>/QALY.</w:t>
            </w:r>
          </w:p>
          <w:p w:rsidR="0091324A" w:rsidRDefault="0091324A" w:rsidP="00554B35">
            <w:pPr>
              <w:rPr>
                <w:rFonts w:ascii="Arial Narrow" w:hAnsi="Arial Narrow"/>
                <w:sz w:val="20"/>
                <w:szCs w:val="20"/>
              </w:rPr>
            </w:pPr>
            <w:r w:rsidRPr="008C2AAC">
              <w:rPr>
                <w:rFonts w:ascii="Arial Narrow" w:hAnsi="Arial Narrow"/>
                <w:sz w:val="20"/>
                <w:szCs w:val="20"/>
              </w:rPr>
              <w:t xml:space="preserve">The PBAC considered </w:t>
            </w:r>
            <w:r>
              <w:rPr>
                <w:rFonts w:ascii="Arial Narrow" w:hAnsi="Arial Narrow"/>
                <w:sz w:val="20"/>
                <w:szCs w:val="20"/>
              </w:rPr>
              <w:t>“</w:t>
            </w:r>
            <w:r w:rsidRPr="008C2AAC">
              <w:rPr>
                <w:rFonts w:ascii="Arial Narrow" w:hAnsi="Arial Narrow"/>
                <w:sz w:val="20"/>
                <w:szCs w:val="20"/>
              </w:rPr>
              <w:t xml:space="preserve">that it was unclear as to whether the clinical positioning for </w:t>
            </w:r>
            <w:proofErr w:type="spellStart"/>
            <w:r w:rsidRPr="008C2AAC">
              <w:rPr>
                <w:rFonts w:ascii="Arial Narrow" w:hAnsi="Arial Narrow"/>
                <w:sz w:val="20"/>
                <w:szCs w:val="20"/>
              </w:rPr>
              <w:t>lenvatinib</w:t>
            </w:r>
            <w:proofErr w:type="spellEnd"/>
            <w:r w:rsidRPr="008C2AAC">
              <w:rPr>
                <w:rFonts w:ascii="Arial Narrow" w:hAnsi="Arial Narrow"/>
                <w:sz w:val="20"/>
                <w:szCs w:val="20"/>
              </w:rPr>
              <w:t>/</w:t>
            </w:r>
            <w:proofErr w:type="spellStart"/>
            <w:r w:rsidRPr="008C2AAC">
              <w:rPr>
                <w:rFonts w:ascii="Arial Narrow" w:hAnsi="Arial Narrow"/>
                <w:sz w:val="20"/>
                <w:szCs w:val="20"/>
              </w:rPr>
              <w:t>everolimus</w:t>
            </w:r>
            <w:proofErr w:type="spellEnd"/>
            <w:r w:rsidRPr="008C2AAC">
              <w:rPr>
                <w:rFonts w:ascii="Arial Narrow" w:hAnsi="Arial Narrow"/>
                <w:sz w:val="20"/>
                <w:szCs w:val="20"/>
              </w:rPr>
              <w:t xml:space="preserve"> would be the same as that of </w:t>
            </w:r>
            <w:proofErr w:type="spellStart"/>
            <w:r w:rsidRPr="008C2AAC">
              <w:rPr>
                <w:rFonts w:ascii="Arial Narrow" w:hAnsi="Arial Narrow"/>
                <w:sz w:val="20"/>
                <w:szCs w:val="20"/>
              </w:rPr>
              <w:t>everolimus</w:t>
            </w:r>
            <w:proofErr w:type="spellEnd"/>
            <w:r w:rsidRPr="008C2AAC">
              <w:rPr>
                <w:rFonts w:ascii="Arial Narrow" w:hAnsi="Arial Narrow"/>
                <w:sz w:val="20"/>
                <w:szCs w:val="20"/>
              </w:rPr>
              <w:t xml:space="preserve">. As a result, the PBAC considered the cost-utility analysis presented against </w:t>
            </w:r>
            <w:proofErr w:type="spellStart"/>
            <w:r w:rsidRPr="008C2AAC">
              <w:rPr>
                <w:rFonts w:ascii="Arial Narrow" w:hAnsi="Arial Narrow"/>
                <w:sz w:val="20"/>
                <w:szCs w:val="20"/>
              </w:rPr>
              <w:t>everolimus</w:t>
            </w:r>
            <w:proofErr w:type="spellEnd"/>
            <w:r w:rsidRPr="008C2AAC">
              <w:rPr>
                <w:rFonts w:ascii="Arial Narrow" w:hAnsi="Arial Narrow"/>
                <w:sz w:val="20"/>
                <w:szCs w:val="20"/>
              </w:rPr>
              <w:t xml:space="preserve"> may not be informative</w:t>
            </w:r>
            <w:r>
              <w:rPr>
                <w:rFonts w:ascii="Arial Narrow" w:hAnsi="Arial Narrow"/>
                <w:sz w:val="20"/>
                <w:szCs w:val="20"/>
              </w:rPr>
              <w:t>” (Para 7.10).</w:t>
            </w:r>
          </w:p>
          <w:p w:rsidR="005A6D31" w:rsidRDefault="005A6D31" w:rsidP="001F4B62">
            <w:pPr>
              <w:pStyle w:val="NoSpacing"/>
              <w:rPr>
                <w:rFonts w:ascii="Arial Narrow" w:hAnsi="Arial Narrow"/>
                <w:sz w:val="20"/>
              </w:rPr>
            </w:pPr>
          </w:p>
          <w:p w:rsidR="00980E0E" w:rsidRDefault="00980E0E" w:rsidP="003A7B98">
            <w:pPr>
              <w:pStyle w:val="NoSpacing"/>
              <w:jc w:val="left"/>
              <w:rPr>
                <w:rFonts w:ascii="Arial Narrow" w:hAnsi="Arial Narrow"/>
                <w:sz w:val="20"/>
              </w:rPr>
            </w:pPr>
            <w:r>
              <w:rPr>
                <w:rFonts w:ascii="Arial Narrow" w:hAnsi="Arial Narrow"/>
                <w:sz w:val="20"/>
              </w:rPr>
              <w:t xml:space="preserve">The submission did not contain an economic evaluation comparing </w:t>
            </w:r>
            <w:r w:rsidRPr="008C2AAC">
              <w:rPr>
                <w:rFonts w:ascii="Arial Narrow" w:hAnsi="Arial Narrow"/>
                <w:sz w:val="20"/>
                <w:szCs w:val="20"/>
              </w:rPr>
              <w:t xml:space="preserve">the </w:t>
            </w:r>
            <w:proofErr w:type="spellStart"/>
            <w:r w:rsidRPr="008C2AAC">
              <w:rPr>
                <w:rFonts w:ascii="Arial Narrow" w:hAnsi="Arial Narrow"/>
                <w:sz w:val="20"/>
                <w:szCs w:val="20"/>
              </w:rPr>
              <w:t>lenvatinib</w:t>
            </w:r>
            <w:proofErr w:type="spellEnd"/>
            <w:r w:rsidRPr="008C2AAC">
              <w:rPr>
                <w:rFonts w:ascii="Arial Narrow" w:hAnsi="Arial Narrow"/>
                <w:sz w:val="20"/>
                <w:szCs w:val="20"/>
              </w:rPr>
              <w:t>/</w:t>
            </w:r>
            <w:proofErr w:type="spellStart"/>
            <w:r w:rsidRPr="008C2AAC">
              <w:rPr>
                <w:rFonts w:ascii="Arial Narrow" w:hAnsi="Arial Narrow"/>
                <w:sz w:val="20"/>
                <w:szCs w:val="20"/>
              </w:rPr>
              <w:t>everolimus</w:t>
            </w:r>
            <w:proofErr w:type="spellEnd"/>
            <w:r w:rsidRPr="008C2AAC">
              <w:rPr>
                <w:rFonts w:ascii="Arial Narrow" w:hAnsi="Arial Narrow"/>
                <w:sz w:val="20"/>
                <w:szCs w:val="20"/>
              </w:rPr>
              <w:t xml:space="preserve"> combination</w:t>
            </w:r>
            <w:r>
              <w:rPr>
                <w:rFonts w:ascii="Arial Narrow" w:hAnsi="Arial Narrow"/>
                <w:sz w:val="20"/>
                <w:szCs w:val="20"/>
              </w:rPr>
              <w:t xml:space="preserve"> with </w:t>
            </w:r>
            <w:proofErr w:type="spellStart"/>
            <w:r>
              <w:rPr>
                <w:rFonts w:ascii="Arial Narrow" w:hAnsi="Arial Narrow"/>
                <w:sz w:val="20"/>
                <w:szCs w:val="20"/>
              </w:rPr>
              <w:t>nivolumab</w:t>
            </w:r>
            <w:proofErr w:type="spellEnd"/>
            <w:r>
              <w:rPr>
                <w:rFonts w:ascii="Arial Narrow" w:hAnsi="Arial Narrow"/>
                <w:sz w:val="20"/>
                <w:szCs w:val="20"/>
              </w:rPr>
              <w:t xml:space="preserve">. However, the </w:t>
            </w:r>
            <w:r w:rsidR="008E4382">
              <w:rPr>
                <w:rFonts w:ascii="Arial Narrow" w:hAnsi="Arial Narrow"/>
                <w:sz w:val="20"/>
                <w:szCs w:val="20"/>
              </w:rPr>
              <w:t>PSCR</w:t>
            </w:r>
            <w:r w:rsidR="003A7B98">
              <w:rPr>
                <w:rFonts w:ascii="Arial Narrow" w:hAnsi="Arial Narrow"/>
                <w:sz w:val="20"/>
                <w:szCs w:val="20"/>
              </w:rPr>
              <w:t xml:space="preserve"> and pre-PBAC response included a brief analysis which suggested that </w:t>
            </w:r>
            <w:proofErr w:type="spellStart"/>
            <w:r w:rsidR="003A7B98" w:rsidRPr="008C2AAC">
              <w:rPr>
                <w:rFonts w:ascii="Arial Narrow" w:hAnsi="Arial Narrow"/>
                <w:sz w:val="20"/>
                <w:szCs w:val="20"/>
              </w:rPr>
              <w:t>lenvatinib</w:t>
            </w:r>
            <w:proofErr w:type="spellEnd"/>
            <w:r w:rsidR="003A7B98" w:rsidRPr="008C2AAC">
              <w:rPr>
                <w:rFonts w:ascii="Arial Narrow" w:hAnsi="Arial Narrow"/>
                <w:sz w:val="20"/>
                <w:szCs w:val="20"/>
              </w:rPr>
              <w:t>/</w:t>
            </w:r>
            <w:proofErr w:type="spellStart"/>
            <w:r w:rsidR="003A7B98" w:rsidRPr="008C2AAC">
              <w:rPr>
                <w:rFonts w:ascii="Arial Narrow" w:hAnsi="Arial Narrow"/>
                <w:sz w:val="20"/>
                <w:szCs w:val="20"/>
              </w:rPr>
              <w:t>everolimus</w:t>
            </w:r>
            <w:proofErr w:type="spellEnd"/>
            <w:r w:rsidR="003A7B98">
              <w:rPr>
                <w:rFonts w:ascii="Arial Narrow" w:hAnsi="Arial Narrow"/>
                <w:sz w:val="20"/>
                <w:szCs w:val="20"/>
              </w:rPr>
              <w:t xml:space="preserve"> dominated </w:t>
            </w:r>
            <w:proofErr w:type="spellStart"/>
            <w:r w:rsidR="00814CDB">
              <w:rPr>
                <w:rFonts w:ascii="Arial Narrow" w:hAnsi="Arial Narrow"/>
                <w:sz w:val="20"/>
                <w:szCs w:val="20"/>
              </w:rPr>
              <w:t>nivolumab</w:t>
            </w:r>
            <w:proofErr w:type="spellEnd"/>
            <w:r w:rsidR="00814CDB">
              <w:rPr>
                <w:rFonts w:ascii="Arial Narrow" w:hAnsi="Arial Narrow"/>
                <w:sz w:val="20"/>
                <w:szCs w:val="20"/>
              </w:rPr>
              <w:t xml:space="preserve"> in terms of the costs and outcomes of therapy (when restricted to OS). </w:t>
            </w:r>
            <w:r w:rsidR="00B4052C">
              <w:rPr>
                <w:rFonts w:ascii="Arial Narrow" w:hAnsi="Arial Narrow"/>
                <w:sz w:val="20"/>
                <w:szCs w:val="20"/>
              </w:rPr>
              <w:br/>
              <w:t>The PBAC considered “the data presented were insufficient to draw conclusions”</w:t>
            </w:r>
            <w:r w:rsidR="0091324A">
              <w:rPr>
                <w:rFonts w:ascii="Arial Narrow" w:hAnsi="Arial Narrow"/>
                <w:sz w:val="20"/>
                <w:szCs w:val="20"/>
              </w:rPr>
              <w:t xml:space="preserve"> </w:t>
            </w:r>
            <w:r w:rsidR="00B4052C">
              <w:rPr>
                <w:rFonts w:ascii="Arial Narrow" w:hAnsi="Arial Narrow"/>
                <w:sz w:val="20"/>
                <w:szCs w:val="20"/>
              </w:rPr>
              <w:t>(Para 7.11)</w:t>
            </w:r>
            <w:r w:rsidR="0091324A">
              <w:rPr>
                <w:rFonts w:ascii="Arial Narrow" w:hAnsi="Arial Narrow"/>
                <w:sz w:val="20"/>
                <w:szCs w:val="20"/>
              </w:rPr>
              <w:t>.</w:t>
            </w:r>
          </w:p>
        </w:tc>
        <w:tc>
          <w:tcPr>
            <w:tcW w:w="3591" w:type="dxa"/>
          </w:tcPr>
          <w:p w:rsidR="005A6D31" w:rsidRDefault="00814CDB" w:rsidP="001F4B62">
            <w:pPr>
              <w:pStyle w:val="NoSpacing"/>
              <w:rPr>
                <w:rFonts w:ascii="Arial Narrow" w:hAnsi="Arial Narrow"/>
                <w:sz w:val="20"/>
              </w:rPr>
            </w:pPr>
            <w:r>
              <w:rPr>
                <w:rFonts w:ascii="Arial Narrow" w:hAnsi="Arial Narrow"/>
                <w:sz w:val="20"/>
              </w:rPr>
              <w:t>Unchanged</w:t>
            </w:r>
          </w:p>
        </w:tc>
      </w:tr>
      <w:tr w:rsidR="005A6D31" w:rsidTr="00C74035">
        <w:tc>
          <w:tcPr>
            <w:tcW w:w="9242" w:type="dxa"/>
            <w:gridSpan w:val="3"/>
          </w:tcPr>
          <w:p w:rsidR="005A6D31" w:rsidRPr="005A6D31" w:rsidRDefault="005A6D31" w:rsidP="001F4B62">
            <w:pPr>
              <w:pStyle w:val="NoSpacing"/>
              <w:rPr>
                <w:rFonts w:ascii="Arial Narrow" w:hAnsi="Arial Narrow"/>
                <w:b/>
                <w:sz w:val="20"/>
              </w:rPr>
            </w:pPr>
            <w:r w:rsidRPr="005A6D31">
              <w:rPr>
                <w:rFonts w:ascii="Arial Narrow" w:hAnsi="Arial Narrow"/>
                <w:b/>
                <w:sz w:val="20"/>
              </w:rPr>
              <w:t>Utilisation and costs</w:t>
            </w:r>
          </w:p>
        </w:tc>
      </w:tr>
      <w:tr w:rsidR="00295C1F" w:rsidTr="00295C1F">
        <w:tc>
          <w:tcPr>
            <w:tcW w:w="1044" w:type="dxa"/>
          </w:tcPr>
          <w:p w:rsidR="005A6D31" w:rsidRPr="00503FE0" w:rsidRDefault="005A6D31" w:rsidP="00295C1F">
            <w:pPr>
              <w:pStyle w:val="NoSpacing"/>
              <w:jc w:val="left"/>
              <w:rPr>
                <w:rFonts w:ascii="Arial Narrow" w:hAnsi="Arial Narrow"/>
                <w:sz w:val="20"/>
                <w:vertAlign w:val="superscript"/>
              </w:rPr>
            </w:pPr>
            <w:r>
              <w:rPr>
                <w:rFonts w:ascii="Arial Narrow" w:hAnsi="Arial Narrow"/>
                <w:sz w:val="20"/>
              </w:rPr>
              <w:t>Cost to PBS/</w:t>
            </w:r>
            <w:proofErr w:type="spellStart"/>
            <w:r>
              <w:rPr>
                <w:rFonts w:ascii="Arial Narrow" w:hAnsi="Arial Narrow"/>
                <w:sz w:val="20"/>
              </w:rPr>
              <w:t>RPBS</w:t>
            </w:r>
            <w:r w:rsidR="00503FE0">
              <w:rPr>
                <w:rFonts w:ascii="Arial Narrow" w:hAnsi="Arial Narrow"/>
                <w:sz w:val="20"/>
                <w:vertAlign w:val="superscript"/>
              </w:rPr>
              <w:t>a</w:t>
            </w:r>
            <w:proofErr w:type="spellEnd"/>
          </w:p>
        </w:tc>
        <w:tc>
          <w:tcPr>
            <w:tcW w:w="4607" w:type="dxa"/>
          </w:tcPr>
          <w:p w:rsidR="005A6D31" w:rsidRDefault="003C095E" w:rsidP="001F4B62">
            <w:pPr>
              <w:pStyle w:val="NoSpacing"/>
              <w:rPr>
                <w:rFonts w:ascii="Arial Narrow" w:hAnsi="Arial Narrow"/>
                <w:sz w:val="20"/>
              </w:rPr>
            </w:pPr>
            <w:r>
              <w:rPr>
                <w:rFonts w:ascii="Arial Narrow" w:hAnsi="Arial Narrow"/>
                <w:sz w:val="20"/>
              </w:rPr>
              <w:t>$</w:t>
            </w:r>
            <w:r w:rsidR="004D717E">
              <w:rPr>
                <w:rFonts w:ascii="Arial Narrow" w:hAnsi="Arial Narrow"/>
                <w:sz w:val="20"/>
              </w:rPr>
              <w:t>10 - $ 20</w:t>
            </w:r>
            <w:r>
              <w:rPr>
                <w:rFonts w:ascii="Arial Narrow" w:hAnsi="Arial Narrow"/>
                <w:sz w:val="20"/>
              </w:rPr>
              <w:t xml:space="preserve"> million over 6 years</w:t>
            </w:r>
          </w:p>
          <w:p w:rsidR="0091324A" w:rsidRDefault="0091324A" w:rsidP="001F4B62">
            <w:pPr>
              <w:pStyle w:val="NoSpacing"/>
              <w:rPr>
                <w:rFonts w:ascii="Arial Narrow" w:hAnsi="Arial Narrow"/>
                <w:sz w:val="20"/>
              </w:rPr>
            </w:pPr>
            <w:r>
              <w:rPr>
                <w:rFonts w:ascii="Arial Narrow" w:hAnsi="Arial Narrow"/>
                <w:sz w:val="20"/>
              </w:rPr>
              <w:t>The PBAC considered “the financial estimates uncertain, although noted that partial protection would be provided by the proposal of a risk-share agreement’ (Para 7.12).</w:t>
            </w:r>
          </w:p>
        </w:tc>
        <w:tc>
          <w:tcPr>
            <w:tcW w:w="3591" w:type="dxa"/>
          </w:tcPr>
          <w:p w:rsidR="005A6D31" w:rsidRDefault="004D717E" w:rsidP="001F4B62">
            <w:pPr>
              <w:pStyle w:val="NoSpacing"/>
              <w:rPr>
                <w:rFonts w:ascii="Arial Narrow" w:hAnsi="Arial Narrow"/>
                <w:sz w:val="20"/>
              </w:rPr>
            </w:pPr>
            <w:r>
              <w:rPr>
                <w:rFonts w:ascii="Arial Narrow" w:hAnsi="Arial Narrow"/>
                <w:sz w:val="20"/>
              </w:rPr>
              <w:t xml:space="preserve">Less than </w:t>
            </w:r>
            <w:r w:rsidR="002823EF">
              <w:rPr>
                <w:rFonts w:ascii="Arial Narrow" w:hAnsi="Arial Narrow"/>
                <w:sz w:val="20"/>
              </w:rPr>
              <w:t>$</w:t>
            </w:r>
            <w:r>
              <w:rPr>
                <w:rFonts w:ascii="Arial Narrow" w:hAnsi="Arial Narrow"/>
                <w:sz w:val="20"/>
              </w:rPr>
              <w:t>10</w:t>
            </w:r>
            <w:r w:rsidR="002823EF">
              <w:rPr>
                <w:rFonts w:ascii="Arial Narrow" w:hAnsi="Arial Narrow"/>
                <w:sz w:val="20"/>
              </w:rPr>
              <w:t xml:space="preserve"> </w:t>
            </w:r>
            <w:r w:rsidR="00503FE0">
              <w:rPr>
                <w:rFonts w:ascii="Arial Narrow" w:hAnsi="Arial Narrow"/>
                <w:sz w:val="20"/>
              </w:rPr>
              <w:t>million over 6 years</w:t>
            </w:r>
          </w:p>
          <w:p w:rsidR="00503FE0" w:rsidRDefault="00503FE0" w:rsidP="00503FE0">
            <w:pPr>
              <w:rPr>
                <w:rFonts w:ascii="Arial Narrow" w:hAnsi="Arial Narrow"/>
                <w:sz w:val="20"/>
                <w:szCs w:val="20"/>
              </w:rPr>
            </w:pPr>
            <w:r>
              <w:rPr>
                <w:rFonts w:ascii="Arial Narrow" w:hAnsi="Arial Narrow"/>
                <w:sz w:val="20"/>
                <w:szCs w:val="20"/>
              </w:rPr>
              <w:t xml:space="preserve">The resubmission </w:t>
            </w:r>
            <w:r w:rsidR="002823EF">
              <w:rPr>
                <w:rFonts w:ascii="Arial Narrow" w:hAnsi="Arial Narrow"/>
                <w:sz w:val="20"/>
                <w:szCs w:val="20"/>
              </w:rPr>
              <w:t xml:space="preserve">financial estimates reduced: </w:t>
            </w:r>
          </w:p>
          <w:p w:rsidR="002823EF" w:rsidRPr="00C40B25" w:rsidRDefault="002823EF" w:rsidP="002823EF">
            <w:pPr>
              <w:pStyle w:val="ListParagraph"/>
              <w:widowControl/>
              <w:numPr>
                <w:ilvl w:val="0"/>
                <w:numId w:val="25"/>
              </w:numPr>
              <w:jc w:val="left"/>
              <w:rPr>
                <w:rFonts w:ascii="Arial Narrow" w:hAnsi="Arial Narrow"/>
                <w:sz w:val="20"/>
              </w:rPr>
            </w:pPr>
            <w:r>
              <w:rPr>
                <w:rFonts w:ascii="Arial Narrow" w:hAnsi="Arial Narrow"/>
                <w:sz w:val="20"/>
              </w:rPr>
              <w:t xml:space="preserve">the </w:t>
            </w:r>
            <w:r w:rsidRPr="00C40B25">
              <w:rPr>
                <w:rFonts w:ascii="Arial Narrow" w:hAnsi="Arial Narrow"/>
                <w:sz w:val="20"/>
              </w:rPr>
              <w:t>number of RCC patie</w:t>
            </w:r>
            <w:r w:rsidR="00DE31B5">
              <w:rPr>
                <w:rFonts w:ascii="Arial Narrow" w:hAnsi="Arial Narrow"/>
                <w:sz w:val="20"/>
              </w:rPr>
              <w:t xml:space="preserve">nts eligible to commence second </w:t>
            </w:r>
            <w:r w:rsidRPr="00C40B25">
              <w:rPr>
                <w:rFonts w:ascii="Arial Narrow" w:hAnsi="Arial Narrow"/>
                <w:sz w:val="20"/>
              </w:rPr>
              <w:t>line therapy per</w:t>
            </w:r>
            <w:r>
              <w:rPr>
                <w:rFonts w:ascii="Arial Narrow" w:hAnsi="Arial Narrow"/>
                <w:sz w:val="20"/>
              </w:rPr>
              <w:t xml:space="preserve"> year in the submission by 25%</w:t>
            </w:r>
          </w:p>
          <w:p w:rsidR="00503FE0" w:rsidRPr="002823EF" w:rsidRDefault="002823EF" w:rsidP="002823EF">
            <w:pPr>
              <w:pStyle w:val="ListParagraph"/>
              <w:widowControl/>
              <w:numPr>
                <w:ilvl w:val="0"/>
                <w:numId w:val="25"/>
              </w:numPr>
              <w:jc w:val="left"/>
              <w:rPr>
                <w:rFonts w:ascii="Arial Narrow" w:hAnsi="Arial Narrow"/>
                <w:sz w:val="20"/>
              </w:rPr>
            </w:pPr>
            <w:proofErr w:type="gramStart"/>
            <w:r>
              <w:rPr>
                <w:rFonts w:ascii="Arial Narrow" w:hAnsi="Arial Narrow"/>
                <w:sz w:val="20"/>
              </w:rPr>
              <w:t>the</w:t>
            </w:r>
            <w:proofErr w:type="gramEnd"/>
            <w:r>
              <w:rPr>
                <w:rFonts w:ascii="Arial Narrow" w:hAnsi="Arial Narrow"/>
                <w:sz w:val="20"/>
              </w:rPr>
              <w:t xml:space="preserve"> </w:t>
            </w:r>
            <w:r w:rsidR="00503FE0" w:rsidRPr="00C40B25">
              <w:rPr>
                <w:rFonts w:ascii="Arial Narrow" w:hAnsi="Arial Narrow"/>
                <w:sz w:val="20"/>
              </w:rPr>
              <w:t>du</w:t>
            </w:r>
            <w:r w:rsidR="00DE31B5">
              <w:rPr>
                <w:rFonts w:ascii="Arial Narrow" w:hAnsi="Arial Narrow"/>
                <w:sz w:val="20"/>
              </w:rPr>
              <w:t xml:space="preserve">ration of therapy from 231 </w:t>
            </w:r>
            <w:r w:rsidR="007D6D3C">
              <w:rPr>
                <w:rFonts w:ascii="Arial Narrow" w:hAnsi="Arial Narrow"/>
                <w:sz w:val="20"/>
              </w:rPr>
              <w:t>days to</w:t>
            </w:r>
            <w:r w:rsidR="00DE31B5">
              <w:rPr>
                <w:rFonts w:ascii="Arial Narrow" w:hAnsi="Arial Narrow"/>
                <w:sz w:val="20"/>
              </w:rPr>
              <w:t xml:space="preserve"> 222 days</w:t>
            </w:r>
            <w:r>
              <w:rPr>
                <w:rFonts w:ascii="Arial Narrow" w:hAnsi="Arial Narrow"/>
                <w:sz w:val="20"/>
              </w:rPr>
              <w:t>.</w:t>
            </w:r>
          </w:p>
        </w:tc>
      </w:tr>
      <w:tr w:rsidR="00295C1F" w:rsidTr="00295C1F">
        <w:tc>
          <w:tcPr>
            <w:tcW w:w="1044" w:type="dxa"/>
          </w:tcPr>
          <w:p w:rsidR="005A6D31" w:rsidRDefault="00070F1C" w:rsidP="00070F1C">
            <w:pPr>
              <w:pStyle w:val="NoSpacing"/>
              <w:jc w:val="left"/>
              <w:rPr>
                <w:rFonts w:ascii="Arial Narrow" w:hAnsi="Arial Narrow"/>
                <w:sz w:val="20"/>
              </w:rPr>
            </w:pPr>
            <w:r>
              <w:rPr>
                <w:rFonts w:ascii="Arial Narrow" w:hAnsi="Arial Narrow"/>
                <w:sz w:val="20"/>
              </w:rPr>
              <w:t>Risk sharing arrangement</w:t>
            </w:r>
            <w:r w:rsidR="00173598">
              <w:rPr>
                <w:rFonts w:ascii="Arial Narrow" w:hAnsi="Arial Narrow"/>
                <w:sz w:val="20"/>
              </w:rPr>
              <w:t xml:space="preserve"> (RSA)</w:t>
            </w:r>
          </w:p>
        </w:tc>
        <w:tc>
          <w:tcPr>
            <w:tcW w:w="4607" w:type="dxa"/>
          </w:tcPr>
          <w:p w:rsidR="005A6D31" w:rsidRDefault="00656933" w:rsidP="00656933">
            <w:pPr>
              <w:pStyle w:val="NoSpacing"/>
              <w:jc w:val="left"/>
              <w:rPr>
                <w:rFonts w:ascii="Arial Narrow" w:hAnsi="Arial Narrow"/>
                <w:sz w:val="20"/>
              </w:rPr>
            </w:pPr>
            <w:r>
              <w:rPr>
                <w:rFonts w:ascii="Arial Narrow" w:hAnsi="Arial Narrow"/>
                <w:sz w:val="20"/>
              </w:rPr>
              <w:t xml:space="preserve">The proposed RSA contained caps on expenditure beyond which an agreed percentage of expenditure on </w:t>
            </w:r>
            <w:proofErr w:type="spellStart"/>
            <w:r>
              <w:rPr>
                <w:rFonts w:ascii="Arial Narrow" w:hAnsi="Arial Narrow"/>
                <w:sz w:val="20"/>
              </w:rPr>
              <w:t>lenvatinib</w:t>
            </w:r>
            <w:proofErr w:type="spellEnd"/>
            <w:r>
              <w:rPr>
                <w:rFonts w:ascii="Arial Narrow" w:hAnsi="Arial Narrow"/>
                <w:sz w:val="20"/>
              </w:rPr>
              <w:t xml:space="preserve"> would be rebated.</w:t>
            </w:r>
          </w:p>
        </w:tc>
        <w:tc>
          <w:tcPr>
            <w:tcW w:w="3591" w:type="dxa"/>
          </w:tcPr>
          <w:p w:rsidR="005A6D31" w:rsidRPr="00DE31B5" w:rsidRDefault="00656933" w:rsidP="00DE31B5">
            <w:pPr>
              <w:pStyle w:val="NoSpacing"/>
              <w:jc w:val="left"/>
              <w:rPr>
                <w:rFonts w:ascii="Arial Narrow" w:hAnsi="Arial Narrow"/>
                <w:sz w:val="20"/>
                <w:szCs w:val="20"/>
              </w:rPr>
            </w:pPr>
            <w:r>
              <w:rPr>
                <w:rFonts w:ascii="Arial Narrow" w:hAnsi="Arial Narrow"/>
                <w:sz w:val="20"/>
                <w:szCs w:val="20"/>
              </w:rPr>
              <w:t>Resubmission a</w:t>
            </w:r>
            <w:r w:rsidRPr="00BE5E7C">
              <w:rPr>
                <w:rFonts w:ascii="Arial Narrow" w:hAnsi="Arial Narrow"/>
                <w:sz w:val="20"/>
                <w:szCs w:val="20"/>
              </w:rPr>
              <w:t>gree</w:t>
            </w:r>
            <w:r>
              <w:rPr>
                <w:rFonts w:ascii="Arial Narrow" w:hAnsi="Arial Narrow"/>
                <w:sz w:val="20"/>
                <w:szCs w:val="20"/>
              </w:rPr>
              <w:t>d</w:t>
            </w:r>
            <w:r w:rsidR="00173598">
              <w:rPr>
                <w:rFonts w:ascii="Arial Narrow" w:hAnsi="Arial Narrow"/>
                <w:sz w:val="20"/>
                <w:szCs w:val="20"/>
              </w:rPr>
              <w:t xml:space="preserve"> to enter a RSA</w:t>
            </w:r>
            <w:r w:rsidR="002823EF">
              <w:rPr>
                <w:rFonts w:ascii="Arial Narrow" w:hAnsi="Arial Narrow"/>
                <w:sz w:val="20"/>
                <w:szCs w:val="20"/>
              </w:rPr>
              <w:t xml:space="preserve"> with</w:t>
            </w:r>
            <w:r w:rsidR="00DE31B5">
              <w:rPr>
                <w:rFonts w:ascii="Arial Narrow" w:hAnsi="Arial Narrow"/>
                <w:sz w:val="20"/>
                <w:szCs w:val="20"/>
              </w:rPr>
              <w:t xml:space="preserve"> </w:t>
            </w:r>
            <w:r w:rsidR="00173598" w:rsidRPr="00DE31B5">
              <w:rPr>
                <w:rFonts w:ascii="Arial Narrow" w:hAnsi="Arial Narrow" w:cs="Arial"/>
                <w:snapToGrid w:val="0"/>
                <w:sz w:val="20"/>
                <w:szCs w:val="20"/>
                <w:lang w:eastAsia="en-US"/>
              </w:rPr>
              <w:t xml:space="preserve">a </w:t>
            </w:r>
            <w:r w:rsidR="00DE7568">
              <w:rPr>
                <w:rFonts w:ascii="Arial Narrow" w:hAnsi="Arial Narrow" w:cs="Arial"/>
                <w:noProof/>
                <w:snapToGrid w:val="0"/>
                <w:color w:val="000000"/>
                <w:sz w:val="20"/>
                <w:szCs w:val="20"/>
                <w:highlight w:val="black"/>
                <w:lang w:eastAsia="en-US"/>
              </w:rPr>
              <w:t>'''''''''</w:t>
            </w:r>
            <w:r w:rsidR="002823EF" w:rsidRPr="00DE31B5">
              <w:rPr>
                <w:rFonts w:ascii="Arial Narrow" w:hAnsi="Arial Narrow" w:cs="Arial"/>
                <w:snapToGrid w:val="0"/>
                <w:sz w:val="20"/>
                <w:szCs w:val="20"/>
                <w:lang w:eastAsia="en-US"/>
              </w:rPr>
              <w:t>% rebate beyond</w:t>
            </w:r>
            <w:r w:rsidRPr="00DE31B5">
              <w:rPr>
                <w:rFonts w:ascii="Arial Narrow" w:hAnsi="Arial Narrow" w:cs="Arial"/>
                <w:snapToGrid w:val="0"/>
                <w:sz w:val="20"/>
                <w:szCs w:val="20"/>
                <w:lang w:eastAsia="en-US"/>
              </w:rPr>
              <w:t xml:space="preserve"> </w:t>
            </w:r>
            <w:r w:rsidR="00173598" w:rsidRPr="00DE31B5">
              <w:rPr>
                <w:rFonts w:ascii="Arial Narrow" w:hAnsi="Arial Narrow" w:cs="Arial"/>
                <w:snapToGrid w:val="0"/>
                <w:sz w:val="20"/>
                <w:szCs w:val="20"/>
                <w:lang w:eastAsia="en-US"/>
              </w:rPr>
              <w:t>proposed</w:t>
            </w:r>
            <w:r w:rsidRPr="00DE31B5">
              <w:rPr>
                <w:rFonts w:ascii="Arial Narrow" w:hAnsi="Arial Narrow" w:cs="Arial"/>
                <w:snapToGrid w:val="0"/>
                <w:sz w:val="20"/>
                <w:szCs w:val="20"/>
                <w:lang w:eastAsia="en-US"/>
              </w:rPr>
              <w:t xml:space="preserve"> subsidisation caps</w:t>
            </w:r>
            <w:r w:rsidRPr="00DE31B5">
              <w:rPr>
                <w:rFonts w:ascii="Arial Narrow" w:hAnsi="Arial Narrow"/>
                <w:sz w:val="20"/>
                <w:szCs w:val="20"/>
              </w:rPr>
              <w:t>.</w:t>
            </w:r>
          </w:p>
        </w:tc>
      </w:tr>
    </w:tbl>
    <w:p w:rsidR="009741A3" w:rsidRDefault="009741A3" w:rsidP="002823EF">
      <w:pPr>
        <w:pStyle w:val="TableFooter"/>
        <w:rPr>
          <w:rFonts w:eastAsiaTheme="minorHAnsi"/>
        </w:rPr>
      </w:pPr>
      <w:r>
        <w:rPr>
          <w:rFonts w:eastAsiaTheme="minorHAnsi"/>
        </w:rPr>
        <w:t xml:space="preserve">Source: </w:t>
      </w:r>
      <w:proofErr w:type="spellStart"/>
      <w:r>
        <w:rPr>
          <w:rFonts w:eastAsiaTheme="minorHAnsi"/>
        </w:rPr>
        <w:t>Lenvatinib</w:t>
      </w:r>
      <w:proofErr w:type="spellEnd"/>
      <w:r>
        <w:rPr>
          <w:rFonts w:eastAsiaTheme="minorHAnsi"/>
        </w:rPr>
        <w:t xml:space="preserve"> PBAC Minutes, November 2017; </w:t>
      </w:r>
      <w:proofErr w:type="spellStart"/>
      <w:r>
        <w:rPr>
          <w:rFonts w:eastAsiaTheme="minorHAnsi"/>
        </w:rPr>
        <w:t>Lenvatinib</w:t>
      </w:r>
      <w:proofErr w:type="spellEnd"/>
      <w:r>
        <w:rPr>
          <w:rFonts w:eastAsiaTheme="minorHAnsi"/>
        </w:rPr>
        <w:t xml:space="preserve"> Minor Resubmission to the PBAC.</w:t>
      </w:r>
      <w:r w:rsidR="00AF20A0">
        <w:rPr>
          <w:rFonts w:eastAsiaTheme="minorHAnsi"/>
        </w:rPr>
        <w:t xml:space="preserve"> </w:t>
      </w:r>
      <w:proofErr w:type="gramStart"/>
      <w:r w:rsidR="00173598">
        <w:rPr>
          <w:rFonts w:eastAsiaTheme="minorHAnsi"/>
        </w:rPr>
        <w:t>Appendix 3_Lenvatanib RCC Section 4 Workbook Minor Submission</w:t>
      </w:r>
      <w:r w:rsidR="001F19E9">
        <w:rPr>
          <w:rFonts w:eastAsiaTheme="minorHAnsi"/>
        </w:rPr>
        <w:t>.xlsx</w:t>
      </w:r>
      <w:r w:rsidR="00173598">
        <w:rPr>
          <w:rFonts w:eastAsiaTheme="minorHAnsi"/>
        </w:rPr>
        <w:t xml:space="preserve"> ‘Impact –EFF’ worksheet, ‘Displaced – PUB’ worksheet, ‘Net Cost’ worksheet.</w:t>
      </w:r>
      <w:proofErr w:type="gramEnd"/>
    </w:p>
    <w:p w:rsidR="00C11113" w:rsidRDefault="00503FE0" w:rsidP="002823EF">
      <w:pPr>
        <w:pStyle w:val="TableFooter"/>
        <w:rPr>
          <w:rFonts w:eastAsiaTheme="minorHAnsi"/>
        </w:rPr>
      </w:pPr>
      <w:proofErr w:type="gramStart"/>
      <w:r w:rsidRPr="002823EF">
        <w:rPr>
          <w:rFonts w:eastAsiaTheme="minorHAnsi"/>
          <w:vertAlign w:val="superscript"/>
        </w:rPr>
        <w:t>a</w:t>
      </w:r>
      <w:proofErr w:type="gramEnd"/>
      <w:r w:rsidRPr="002823EF">
        <w:rPr>
          <w:rFonts w:eastAsiaTheme="minorHAnsi"/>
          <w:vertAlign w:val="superscript"/>
        </w:rPr>
        <w:t xml:space="preserve"> </w:t>
      </w:r>
      <w:r w:rsidR="009741A3">
        <w:rPr>
          <w:rFonts w:eastAsiaTheme="minorHAnsi"/>
        </w:rPr>
        <w:t xml:space="preserve">Based on </w:t>
      </w:r>
      <w:r w:rsidR="00AF20A0">
        <w:rPr>
          <w:rFonts w:eastAsiaTheme="minorHAnsi"/>
        </w:rPr>
        <w:t xml:space="preserve">the effective DPMQ price for </w:t>
      </w:r>
      <w:proofErr w:type="spellStart"/>
      <w:r w:rsidR="009741A3">
        <w:rPr>
          <w:rFonts w:eastAsiaTheme="minorHAnsi"/>
        </w:rPr>
        <w:t>lenvatinib</w:t>
      </w:r>
      <w:proofErr w:type="spellEnd"/>
      <w:r w:rsidR="009741A3">
        <w:rPr>
          <w:rFonts w:eastAsiaTheme="minorHAnsi"/>
        </w:rPr>
        <w:t xml:space="preserve"> </w:t>
      </w:r>
      <w:r w:rsidR="00AF20A0">
        <w:rPr>
          <w:rFonts w:eastAsiaTheme="minorHAnsi"/>
        </w:rPr>
        <w:t xml:space="preserve">and the published DPMQ for </w:t>
      </w:r>
      <w:proofErr w:type="spellStart"/>
      <w:r w:rsidR="00AF20A0">
        <w:rPr>
          <w:rFonts w:eastAsiaTheme="minorHAnsi"/>
        </w:rPr>
        <w:t>everolimus</w:t>
      </w:r>
      <w:proofErr w:type="spellEnd"/>
      <w:r w:rsidR="00AF20A0">
        <w:rPr>
          <w:rFonts w:eastAsiaTheme="minorHAnsi"/>
        </w:rPr>
        <w:t xml:space="preserve"> 5 mg tablet ($2,712.88) and the published DPMQ for </w:t>
      </w:r>
      <w:proofErr w:type="spellStart"/>
      <w:r w:rsidR="00AF20A0">
        <w:rPr>
          <w:rFonts w:eastAsiaTheme="minorHAnsi"/>
        </w:rPr>
        <w:t>everolimus</w:t>
      </w:r>
      <w:proofErr w:type="spellEnd"/>
      <w:r w:rsidR="00AF20A0">
        <w:rPr>
          <w:rFonts w:eastAsiaTheme="minorHAnsi"/>
        </w:rPr>
        <w:t xml:space="preserve"> 10 mg tablet ($5,277.88)</w:t>
      </w:r>
    </w:p>
    <w:p w:rsidR="00535DAF" w:rsidRPr="006B2FE0" w:rsidRDefault="00535DAF" w:rsidP="002823EF">
      <w:pPr>
        <w:pStyle w:val="TableFooter"/>
        <w:rPr>
          <w:rFonts w:eastAsiaTheme="minorHAnsi"/>
          <w:vertAlign w:val="superscript"/>
        </w:rPr>
      </w:pPr>
      <w:r>
        <w:rPr>
          <w:rFonts w:eastAsiaTheme="minorHAnsi"/>
        </w:rPr>
        <w:t xml:space="preserve">DPMQ = dispensed price for maximum quantity, ICER = incremental cost-effectiveness ratio; </w:t>
      </w:r>
      <w:r w:rsidR="00DE31B5">
        <w:rPr>
          <w:rFonts w:eastAsiaTheme="minorHAnsi"/>
        </w:rPr>
        <w:t xml:space="preserve">OS = overall survival, PFS = progression-free survival, PSCR = Pre-Sub-Committee response, </w:t>
      </w:r>
      <w:r>
        <w:rPr>
          <w:rFonts w:eastAsiaTheme="minorHAnsi"/>
        </w:rPr>
        <w:t>QALY = quality adjusted life-year</w:t>
      </w:r>
    </w:p>
    <w:p w:rsidR="001E0AF0" w:rsidRPr="001238F7" w:rsidRDefault="001E0AF0" w:rsidP="001238F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w:t>
      </w:r>
      <w:r w:rsidRPr="008E280F">
        <w:rPr>
          <w:rFonts w:asciiTheme="minorHAnsi" w:eastAsiaTheme="minorHAnsi" w:hAnsiTheme="minorHAnsi" w:cstheme="minorBidi"/>
          <w:snapToGrid/>
          <w:sz w:val="24"/>
          <w:szCs w:val="22"/>
        </w:rPr>
        <w:t xml:space="preserve">n December 2017, the PBAC recommended the listing of </w:t>
      </w:r>
      <w:proofErr w:type="spellStart"/>
      <w:r w:rsidRPr="008E280F">
        <w:rPr>
          <w:rFonts w:asciiTheme="minorHAnsi" w:eastAsiaTheme="minorHAnsi" w:hAnsiTheme="minorHAnsi" w:cstheme="minorBidi"/>
          <w:snapToGrid/>
          <w:sz w:val="24"/>
          <w:szCs w:val="22"/>
        </w:rPr>
        <w:t>cabozantinib</w:t>
      </w:r>
      <w:proofErr w:type="spellEnd"/>
      <w:r w:rsidRPr="008E280F">
        <w:rPr>
          <w:rFonts w:asciiTheme="minorHAnsi" w:eastAsiaTheme="minorHAnsi" w:hAnsiTheme="minorHAnsi" w:cstheme="minorBidi"/>
          <w:snapToGrid/>
          <w:sz w:val="24"/>
          <w:szCs w:val="22"/>
        </w:rPr>
        <w:t xml:space="preserve">, an oral preparation, for the treatment of Stage IV clear cell variant RCC. Both </w:t>
      </w:r>
      <w:proofErr w:type="spellStart"/>
      <w:r w:rsidRPr="008E280F">
        <w:rPr>
          <w:rFonts w:asciiTheme="minorHAnsi" w:eastAsiaTheme="minorHAnsi" w:hAnsiTheme="minorHAnsi" w:cstheme="minorBidi"/>
          <w:snapToGrid/>
          <w:sz w:val="24"/>
          <w:szCs w:val="22"/>
        </w:rPr>
        <w:t>nivolumab</w:t>
      </w:r>
      <w:proofErr w:type="spellEnd"/>
      <w:r w:rsidRPr="008E280F">
        <w:rPr>
          <w:rFonts w:asciiTheme="minorHAnsi" w:eastAsiaTheme="minorHAnsi" w:hAnsiTheme="minorHAnsi" w:cstheme="minorBidi"/>
          <w:snapToGrid/>
          <w:sz w:val="24"/>
          <w:szCs w:val="22"/>
        </w:rPr>
        <w:t xml:space="preserve"> and </w:t>
      </w:r>
      <w:proofErr w:type="spellStart"/>
      <w:r w:rsidRPr="008E280F">
        <w:rPr>
          <w:rFonts w:asciiTheme="minorHAnsi" w:eastAsiaTheme="minorHAnsi" w:hAnsiTheme="minorHAnsi" w:cstheme="minorBidi"/>
          <w:snapToGrid/>
          <w:sz w:val="24"/>
          <w:szCs w:val="22"/>
        </w:rPr>
        <w:t>cabozantinib</w:t>
      </w:r>
      <w:proofErr w:type="spellEnd"/>
      <w:r w:rsidRPr="008E280F">
        <w:rPr>
          <w:rFonts w:asciiTheme="minorHAnsi" w:eastAsiaTheme="minorHAnsi" w:hAnsiTheme="minorHAnsi" w:cstheme="minorBidi"/>
          <w:snapToGrid/>
          <w:sz w:val="24"/>
          <w:szCs w:val="22"/>
        </w:rPr>
        <w:t xml:space="preserve"> are category 1, preferred treatments according to the National Comprehensive Cancer Network Guidelines. </w:t>
      </w:r>
      <w:r w:rsidR="001238F7">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 xml:space="preserve">pre-PBAC response </w:t>
      </w:r>
      <w:r w:rsidR="00574953">
        <w:rPr>
          <w:rFonts w:asciiTheme="minorHAnsi" w:eastAsiaTheme="minorHAnsi" w:hAnsiTheme="minorHAnsi" w:cstheme="minorBidi"/>
          <w:snapToGrid/>
          <w:sz w:val="24"/>
          <w:szCs w:val="22"/>
        </w:rPr>
        <w:t>acknowledged</w:t>
      </w:r>
      <w:r w:rsidR="001238F7">
        <w:rPr>
          <w:rFonts w:asciiTheme="minorHAnsi" w:eastAsiaTheme="minorHAnsi" w:hAnsiTheme="minorHAnsi" w:cstheme="minorBidi"/>
          <w:snapToGrid/>
          <w:sz w:val="24"/>
          <w:szCs w:val="22"/>
        </w:rPr>
        <w:t xml:space="preserve"> </w:t>
      </w:r>
      <w:r w:rsidR="001238F7">
        <w:rPr>
          <w:rFonts w:asciiTheme="minorHAnsi" w:eastAsiaTheme="minorHAnsi" w:hAnsiTheme="minorHAnsi" w:cstheme="minorBidi"/>
          <w:snapToGrid/>
          <w:sz w:val="24"/>
          <w:szCs w:val="22"/>
        </w:rPr>
        <w:lastRenderedPageBreak/>
        <w:t xml:space="preserve">the recommendation and </w:t>
      </w:r>
      <w:r w:rsidR="00574953">
        <w:rPr>
          <w:rFonts w:asciiTheme="minorHAnsi" w:eastAsiaTheme="minorHAnsi" w:hAnsiTheme="minorHAnsi" w:cstheme="minorBidi"/>
          <w:snapToGrid/>
          <w:sz w:val="24"/>
          <w:szCs w:val="22"/>
        </w:rPr>
        <w:t>stated</w:t>
      </w:r>
      <w:r w:rsidR="001238F7">
        <w:rPr>
          <w:rFonts w:asciiTheme="minorHAnsi" w:eastAsiaTheme="minorHAnsi" w:hAnsiTheme="minorHAnsi" w:cstheme="minorBidi"/>
          <w:snapToGrid/>
          <w:sz w:val="24"/>
          <w:szCs w:val="22"/>
        </w:rPr>
        <w:t xml:space="preserve"> that </w:t>
      </w:r>
      <w:proofErr w:type="spellStart"/>
      <w:r w:rsidR="001238F7">
        <w:rPr>
          <w:rFonts w:asciiTheme="minorHAnsi" w:eastAsiaTheme="minorHAnsi" w:hAnsiTheme="minorHAnsi" w:cstheme="minorBidi"/>
          <w:snapToGrid/>
          <w:sz w:val="24"/>
          <w:szCs w:val="22"/>
        </w:rPr>
        <w:t>cabozantinib</w:t>
      </w:r>
      <w:proofErr w:type="spellEnd"/>
      <w:r w:rsidR="001238F7">
        <w:rPr>
          <w:rFonts w:asciiTheme="minorHAnsi" w:eastAsiaTheme="minorHAnsi" w:hAnsiTheme="minorHAnsi" w:cstheme="minorBidi"/>
          <w:snapToGrid/>
          <w:sz w:val="24"/>
          <w:szCs w:val="22"/>
        </w:rPr>
        <w:t xml:space="preserve"> now represents the most relevant comparator as the clinical profile and circumstances of use of </w:t>
      </w:r>
      <w:proofErr w:type="spellStart"/>
      <w:r w:rsidR="001238F7">
        <w:rPr>
          <w:rFonts w:asciiTheme="minorHAnsi" w:eastAsiaTheme="minorHAnsi" w:hAnsiTheme="minorHAnsi" w:cstheme="minorBidi"/>
          <w:snapToGrid/>
          <w:sz w:val="24"/>
          <w:szCs w:val="22"/>
        </w:rPr>
        <w:t>lenvatinib</w:t>
      </w:r>
      <w:proofErr w:type="spellEnd"/>
      <w:r w:rsidR="001238F7">
        <w:rPr>
          <w:rFonts w:asciiTheme="minorHAnsi" w:eastAsiaTheme="minorHAnsi" w:hAnsiTheme="minorHAnsi" w:cstheme="minorBidi"/>
          <w:snapToGrid/>
          <w:sz w:val="24"/>
          <w:szCs w:val="22"/>
        </w:rPr>
        <w:t>/</w:t>
      </w:r>
      <w:proofErr w:type="spellStart"/>
      <w:r w:rsidR="001238F7">
        <w:rPr>
          <w:rFonts w:asciiTheme="minorHAnsi" w:eastAsiaTheme="minorHAnsi" w:hAnsiTheme="minorHAnsi" w:cstheme="minorBidi"/>
          <w:snapToGrid/>
          <w:sz w:val="24"/>
          <w:szCs w:val="22"/>
        </w:rPr>
        <w:t>everolimus</w:t>
      </w:r>
      <w:proofErr w:type="spellEnd"/>
      <w:r w:rsidR="001238F7">
        <w:rPr>
          <w:rFonts w:asciiTheme="minorHAnsi" w:eastAsiaTheme="minorHAnsi" w:hAnsiTheme="minorHAnsi" w:cstheme="minorBidi"/>
          <w:snapToGrid/>
          <w:sz w:val="24"/>
          <w:szCs w:val="22"/>
        </w:rPr>
        <w:t xml:space="preserve"> outlined in the minor resubmission aligns with that of </w:t>
      </w:r>
      <w:proofErr w:type="spellStart"/>
      <w:r w:rsidR="001238F7">
        <w:rPr>
          <w:rFonts w:asciiTheme="minorHAnsi" w:eastAsiaTheme="minorHAnsi" w:hAnsiTheme="minorHAnsi" w:cstheme="minorBidi"/>
          <w:snapToGrid/>
          <w:sz w:val="24"/>
          <w:szCs w:val="22"/>
        </w:rPr>
        <w:t>cabozantinib</w:t>
      </w:r>
      <w:proofErr w:type="spellEnd"/>
      <w:r w:rsidR="001238F7">
        <w:rPr>
          <w:rFonts w:asciiTheme="minorHAnsi" w:eastAsiaTheme="minorHAnsi" w:hAnsiTheme="minorHAnsi" w:cstheme="minorBidi"/>
          <w:snapToGrid/>
          <w:sz w:val="24"/>
          <w:szCs w:val="22"/>
        </w:rPr>
        <w:t xml:space="preserve"> (i.e. possibly increased but manageable toxicity compared to </w:t>
      </w:r>
      <w:proofErr w:type="spellStart"/>
      <w:r w:rsidR="001238F7">
        <w:rPr>
          <w:rFonts w:asciiTheme="minorHAnsi" w:eastAsiaTheme="minorHAnsi" w:hAnsiTheme="minorHAnsi" w:cstheme="minorBidi"/>
          <w:snapToGrid/>
          <w:sz w:val="24"/>
          <w:szCs w:val="22"/>
        </w:rPr>
        <w:t>nivolumab</w:t>
      </w:r>
      <w:proofErr w:type="spellEnd"/>
      <w:r w:rsidR="001238F7">
        <w:rPr>
          <w:rFonts w:asciiTheme="minorHAnsi" w:eastAsiaTheme="minorHAnsi" w:hAnsiTheme="minorHAnsi" w:cstheme="minorBidi"/>
          <w:snapToGrid/>
          <w:sz w:val="24"/>
          <w:szCs w:val="22"/>
        </w:rPr>
        <w:t xml:space="preserve"> but an important alternative to immunotherapy for patients</w:t>
      </w:r>
      <w:r w:rsidR="000565D9">
        <w:rPr>
          <w:rFonts w:asciiTheme="minorHAnsi" w:eastAsiaTheme="minorHAnsi" w:hAnsiTheme="minorHAnsi" w:cstheme="minorBidi"/>
          <w:snapToGrid/>
          <w:sz w:val="24"/>
          <w:szCs w:val="22"/>
        </w:rPr>
        <w:t>)</w:t>
      </w:r>
      <w:r w:rsidR="001238F7">
        <w:rPr>
          <w:rFonts w:asciiTheme="minorHAnsi" w:eastAsiaTheme="minorHAnsi" w:hAnsiTheme="minorHAnsi" w:cstheme="minorBidi"/>
          <w:snapToGrid/>
          <w:sz w:val="24"/>
          <w:szCs w:val="22"/>
        </w:rPr>
        <w:t>.</w:t>
      </w:r>
      <w:r w:rsidR="000565D9">
        <w:rPr>
          <w:rFonts w:asciiTheme="minorHAnsi" w:eastAsiaTheme="minorHAnsi" w:hAnsiTheme="minorHAnsi" w:cstheme="minorBidi"/>
          <w:snapToGrid/>
          <w:sz w:val="24"/>
          <w:szCs w:val="22"/>
        </w:rPr>
        <w:t xml:space="preserve"> The pre-PBAC response maintained that with the recommendation to list </w:t>
      </w:r>
      <w:proofErr w:type="spellStart"/>
      <w:r w:rsidR="000565D9">
        <w:rPr>
          <w:rFonts w:asciiTheme="minorHAnsi" w:eastAsiaTheme="minorHAnsi" w:hAnsiTheme="minorHAnsi" w:cstheme="minorBidi"/>
          <w:snapToGrid/>
          <w:sz w:val="24"/>
          <w:szCs w:val="22"/>
        </w:rPr>
        <w:t>cabozantinib</w:t>
      </w:r>
      <w:proofErr w:type="spellEnd"/>
      <w:r w:rsidR="000565D9">
        <w:rPr>
          <w:rFonts w:asciiTheme="minorHAnsi" w:eastAsiaTheme="minorHAnsi" w:hAnsiTheme="minorHAnsi" w:cstheme="minorBidi"/>
          <w:snapToGrid/>
          <w:sz w:val="24"/>
          <w:szCs w:val="22"/>
        </w:rPr>
        <w:t xml:space="preserve"> there remains a clinical need for </w:t>
      </w:r>
      <w:proofErr w:type="spellStart"/>
      <w:r w:rsidR="000565D9">
        <w:rPr>
          <w:rFonts w:asciiTheme="minorHAnsi" w:eastAsiaTheme="minorHAnsi" w:hAnsiTheme="minorHAnsi" w:cstheme="minorBidi"/>
          <w:snapToGrid/>
          <w:sz w:val="24"/>
          <w:szCs w:val="22"/>
        </w:rPr>
        <w:t>lenvatinib</w:t>
      </w:r>
      <w:proofErr w:type="spellEnd"/>
      <w:r w:rsidR="000565D9">
        <w:rPr>
          <w:rFonts w:asciiTheme="minorHAnsi" w:eastAsiaTheme="minorHAnsi" w:hAnsiTheme="minorHAnsi" w:cstheme="minorBidi"/>
          <w:snapToGrid/>
          <w:sz w:val="24"/>
          <w:szCs w:val="22"/>
        </w:rPr>
        <w:t>/</w:t>
      </w:r>
      <w:proofErr w:type="spellStart"/>
      <w:r w:rsidR="000565D9">
        <w:rPr>
          <w:rFonts w:asciiTheme="minorHAnsi" w:eastAsiaTheme="minorHAnsi" w:hAnsiTheme="minorHAnsi" w:cstheme="minorBidi"/>
          <w:snapToGrid/>
          <w:sz w:val="24"/>
          <w:szCs w:val="22"/>
        </w:rPr>
        <w:t>everolimus</w:t>
      </w:r>
      <w:proofErr w:type="spellEnd"/>
      <w:r w:rsidR="000565D9">
        <w:rPr>
          <w:rFonts w:asciiTheme="minorHAnsi" w:eastAsiaTheme="minorHAnsi" w:hAnsiTheme="minorHAnsi" w:cstheme="minorBidi"/>
          <w:snapToGrid/>
          <w:sz w:val="24"/>
          <w:szCs w:val="22"/>
        </w:rPr>
        <w:t>. The pre-PBAC</w:t>
      </w:r>
      <w:r w:rsidR="00574953">
        <w:rPr>
          <w:rFonts w:asciiTheme="minorHAnsi" w:eastAsiaTheme="minorHAnsi" w:hAnsiTheme="minorHAnsi" w:cstheme="minorBidi"/>
          <w:snapToGrid/>
          <w:sz w:val="24"/>
          <w:szCs w:val="22"/>
        </w:rPr>
        <w:t xml:space="preserve"> response stated</w:t>
      </w:r>
      <w:r w:rsidR="00C145AA">
        <w:rPr>
          <w:rFonts w:asciiTheme="minorHAnsi" w:eastAsiaTheme="minorHAnsi" w:hAnsiTheme="minorHAnsi" w:cstheme="minorBidi"/>
          <w:snapToGrid/>
          <w:sz w:val="24"/>
          <w:szCs w:val="22"/>
        </w:rPr>
        <w:t xml:space="preserve"> that </w:t>
      </w:r>
      <w:proofErr w:type="spellStart"/>
      <w:r w:rsidR="00C145AA">
        <w:rPr>
          <w:rFonts w:asciiTheme="minorHAnsi" w:eastAsiaTheme="minorHAnsi" w:hAnsiTheme="minorHAnsi" w:cstheme="minorBidi"/>
          <w:snapToGrid/>
          <w:sz w:val="24"/>
          <w:szCs w:val="22"/>
        </w:rPr>
        <w:t>lenvatinib</w:t>
      </w:r>
      <w:proofErr w:type="spellEnd"/>
      <w:r w:rsidR="00C145AA">
        <w:rPr>
          <w:rFonts w:asciiTheme="minorHAnsi" w:eastAsiaTheme="minorHAnsi" w:hAnsiTheme="minorHAnsi" w:cstheme="minorBidi"/>
          <w:snapToGrid/>
          <w:sz w:val="24"/>
          <w:szCs w:val="22"/>
        </w:rPr>
        <w:t>/</w:t>
      </w:r>
      <w:proofErr w:type="spellStart"/>
      <w:r w:rsidR="00C145AA">
        <w:rPr>
          <w:rFonts w:asciiTheme="minorHAnsi" w:eastAsiaTheme="minorHAnsi" w:hAnsiTheme="minorHAnsi" w:cstheme="minorBidi"/>
          <w:snapToGrid/>
          <w:sz w:val="24"/>
          <w:szCs w:val="22"/>
        </w:rPr>
        <w:t>everolimus</w:t>
      </w:r>
      <w:proofErr w:type="spellEnd"/>
      <w:r w:rsidR="00C145AA">
        <w:rPr>
          <w:rFonts w:asciiTheme="minorHAnsi" w:eastAsiaTheme="minorHAnsi" w:hAnsiTheme="minorHAnsi" w:cstheme="minorBidi"/>
          <w:snapToGrid/>
          <w:sz w:val="24"/>
          <w:szCs w:val="22"/>
        </w:rPr>
        <w:t xml:space="preserve"> represents an alternative treatment option to </w:t>
      </w:r>
      <w:proofErr w:type="spellStart"/>
      <w:r w:rsidR="00C145AA">
        <w:rPr>
          <w:rFonts w:asciiTheme="minorHAnsi" w:eastAsiaTheme="minorHAnsi" w:hAnsiTheme="minorHAnsi" w:cstheme="minorBidi"/>
          <w:snapToGrid/>
          <w:sz w:val="24"/>
          <w:szCs w:val="22"/>
        </w:rPr>
        <w:t>cabozantinib</w:t>
      </w:r>
      <w:proofErr w:type="spellEnd"/>
      <w:r w:rsidR="00C145AA">
        <w:rPr>
          <w:rFonts w:asciiTheme="minorHAnsi" w:eastAsiaTheme="minorHAnsi" w:hAnsiTheme="minorHAnsi" w:cstheme="minorBidi"/>
          <w:snapToGrid/>
          <w:sz w:val="24"/>
          <w:szCs w:val="22"/>
        </w:rPr>
        <w:t xml:space="preserve"> that may be chosen where a patient has rapidly progressing disease and achieving sustained control of </w:t>
      </w:r>
      <w:r w:rsidR="005055DA">
        <w:rPr>
          <w:rFonts w:asciiTheme="minorHAnsi" w:eastAsiaTheme="minorHAnsi" w:hAnsiTheme="minorHAnsi" w:cstheme="minorBidi"/>
          <w:snapToGrid/>
          <w:sz w:val="24"/>
          <w:szCs w:val="22"/>
        </w:rPr>
        <w:t>disease progression is optimal.</w:t>
      </w:r>
    </w:p>
    <w:p w:rsidR="008E280F" w:rsidRPr="004109F4" w:rsidRDefault="008E280F" w:rsidP="004109F4">
      <w:pPr>
        <w:rPr>
          <w:rFonts w:asciiTheme="minorHAnsi" w:hAnsiTheme="minorHAnsi"/>
          <w:b/>
          <w:i/>
        </w:rPr>
      </w:pPr>
      <w:r w:rsidRPr="004109F4">
        <w:rPr>
          <w:rFonts w:asciiTheme="minorHAnsi" w:eastAsiaTheme="minorHAnsi" w:hAnsiTheme="minorHAnsi"/>
          <w:i/>
        </w:rPr>
        <w:t xml:space="preserve">For more detail on the PBAC’s view, see section </w:t>
      </w:r>
      <w:r w:rsidR="00130D65" w:rsidRPr="004109F4">
        <w:rPr>
          <w:rFonts w:asciiTheme="minorHAnsi" w:eastAsiaTheme="minorHAnsi" w:hAnsiTheme="minorHAnsi"/>
          <w:i/>
        </w:rPr>
        <w:t>5</w:t>
      </w:r>
      <w:r w:rsidRPr="004109F4">
        <w:rPr>
          <w:rFonts w:asciiTheme="minorHAnsi" w:eastAsiaTheme="minorHAnsi" w:hAnsiTheme="minorHAnsi"/>
          <w:i/>
        </w:rPr>
        <w:t xml:space="preserve"> PBAC outcome.</w:t>
      </w:r>
    </w:p>
    <w:p w:rsidR="000B558D" w:rsidRPr="003C2FB5" w:rsidRDefault="008D7A41" w:rsidP="004109F4">
      <w:pPr>
        <w:pStyle w:val="Heading1"/>
      </w:pPr>
      <w:r w:rsidRPr="003C2FB5">
        <w:t>C</w:t>
      </w:r>
      <w:r w:rsidR="00D84934" w:rsidRPr="003C2FB5">
        <w:t>onsideration of the evidence</w:t>
      </w:r>
    </w:p>
    <w:p w:rsidR="008E280F" w:rsidRDefault="008E280F" w:rsidP="004109F4">
      <w:pPr>
        <w:pStyle w:val="Heading2"/>
      </w:pPr>
      <w:r>
        <w:t>Sponsor hearing</w:t>
      </w:r>
    </w:p>
    <w:p w:rsidR="008E280F" w:rsidRPr="008E280F" w:rsidRDefault="008E280F" w:rsidP="008E280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E280F">
        <w:rPr>
          <w:rFonts w:asciiTheme="minorHAnsi" w:eastAsiaTheme="minorHAnsi" w:hAnsiTheme="minorHAnsi" w:cstheme="minorBidi"/>
          <w:snapToGrid/>
          <w:sz w:val="24"/>
          <w:szCs w:val="22"/>
        </w:rPr>
        <w:t>There was no hearing for this item as it was a minor submission.</w:t>
      </w:r>
    </w:p>
    <w:p w:rsidR="008E280F" w:rsidRDefault="008E280F" w:rsidP="004109F4">
      <w:pPr>
        <w:pStyle w:val="Heading2"/>
      </w:pPr>
      <w:r>
        <w:t>Consumer comments</w:t>
      </w:r>
    </w:p>
    <w:p w:rsidR="008E280F" w:rsidRPr="001238F7" w:rsidRDefault="008E280F" w:rsidP="008E280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238F7">
        <w:rPr>
          <w:rFonts w:asciiTheme="minorHAnsi" w:eastAsiaTheme="minorHAnsi" w:hAnsiTheme="minorHAnsi" w:cstheme="minorBidi"/>
          <w:snapToGrid/>
          <w:sz w:val="24"/>
          <w:szCs w:val="22"/>
        </w:rPr>
        <w:t>The PBAC noted that no consumer comments were received for this item.</w:t>
      </w:r>
    </w:p>
    <w:p w:rsidR="00D84934" w:rsidRPr="00937958" w:rsidRDefault="00D84934" w:rsidP="004109F4">
      <w:pPr>
        <w:pStyle w:val="Heading2"/>
      </w:pPr>
      <w:r w:rsidRPr="003C2FB5">
        <w:t>Clinical trials</w:t>
      </w:r>
    </w:p>
    <w:p w:rsidR="0076420C" w:rsidRDefault="009F4E46" w:rsidP="00B076C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74035">
        <w:rPr>
          <w:rFonts w:asciiTheme="minorHAnsi" w:eastAsiaTheme="minorHAnsi" w:hAnsiTheme="minorHAnsi" w:cstheme="minorBidi"/>
          <w:snapToGrid/>
          <w:sz w:val="24"/>
          <w:szCs w:val="22"/>
        </w:rPr>
        <w:t xml:space="preserve">The minor </w:t>
      </w:r>
      <w:r w:rsidR="007D7214">
        <w:rPr>
          <w:rFonts w:asciiTheme="minorHAnsi" w:eastAsiaTheme="minorHAnsi" w:hAnsiTheme="minorHAnsi" w:cstheme="minorBidi"/>
          <w:snapToGrid/>
          <w:sz w:val="24"/>
          <w:szCs w:val="22"/>
        </w:rPr>
        <w:t>re</w:t>
      </w:r>
      <w:r w:rsidRPr="00C74035">
        <w:rPr>
          <w:rFonts w:asciiTheme="minorHAnsi" w:eastAsiaTheme="minorHAnsi" w:hAnsiTheme="minorHAnsi" w:cstheme="minorBidi"/>
          <w:snapToGrid/>
          <w:sz w:val="24"/>
          <w:szCs w:val="22"/>
        </w:rPr>
        <w:t xml:space="preserve">submission </w:t>
      </w:r>
      <w:r w:rsidR="00BA3921">
        <w:rPr>
          <w:rFonts w:asciiTheme="minorHAnsi" w:eastAsiaTheme="minorHAnsi" w:hAnsiTheme="minorHAnsi" w:cstheme="minorBidi"/>
          <w:snapToGrid/>
          <w:sz w:val="24"/>
          <w:szCs w:val="22"/>
        </w:rPr>
        <w:t xml:space="preserve">was based on a single </w:t>
      </w:r>
      <w:r w:rsidR="00B544EF">
        <w:rPr>
          <w:rFonts w:asciiTheme="minorHAnsi" w:eastAsiaTheme="minorHAnsi" w:hAnsiTheme="minorHAnsi" w:cstheme="minorBidi"/>
          <w:snapToGrid/>
          <w:sz w:val="24"/>
          <w:szCs w:val="22"/>
        </w:rPr>
        <w:t xml:space="preserve">small-scale </w:t>
      </w:r>
      <w:r w:rsidR="00BA3921">
        <w:rPr>
          <w:rFonts w:asciiTheme="minorHAnsi" w:eastAsiaTheme="minorHAnsi" w:hAnsiTheme="minorHAnsi" w:cstheme="minorBidi"/>
          <w:snapToGrid/>
          <w:sz w:val="24"/>
          <w:szCs w:val="22"/>
        </w:rPr>
        <w:t xml:space="preserve">Phase II open-label trial that compared the combination of </w:t>
      </w:r>
      <w:proofErr w:type="spellStart"/>
      <w:r w:rsidR="00BA3921">
        <w:rPr>
          <w:rFonts w:asciiTheme="minorHAnsi" w:eastAsiaTheme="minorHAnsi" w:hAnsiTheme="minorHAnsi" w:cstheme="minorBidi"/>
          <w:snapToGrid/>
          <w:sz w:val="24"/>
          <w:szCs w:val="22"/>
        </w:rPr>
        <w:t>lenvatinib</w:t>
      </w:r>
      <w:proofErr w:type="spellEnd"/>
      <w:r w:rsidR="00BA3921">
        <w:rPr>
          <w:rFonts w:asciiTheme="minorHAnsi" w:eastAsiaTheme="minorHAnsi" w:hAnsiTheme="minorHAnsi" w:cstheme="minorBidi"/>
          <w:snapToGrid/>
          <w:sz w:val="24"/>
          <w:szCs w:val="22"/>
        </w:rPr>
        <w:t xml:space="preserve"> plus </w:t>
      </w:r>
      <w:proofErr w:type="spellStart"/>
      <w:r w:rsidR="00BA3921">
        <w:rPr>
          <w:rFonts w:asciiTheme="minorHAnsi" w:eastAsiaTheme="minorHAnsi" w:hAnsiTheme="minorHAnsi" w:cstheme="minorBidi"/>
          <w:snapToGrid/>
          <w:sz w:val="24"/>
          <w:szCs w:val="22"/>
        </w:rPr>
        <w:t>everolimus</w:t>
      </w:r>
      <w:proofErr w:type="spellEnd"/>
      <w:r w:rsidR="00BA3921">
        <w:rPr>
          <w:rFonts w:asciiTheme="minorHAnsi" w:eastAsiaTheme="minorHAnsi" w:hAnsiTheme="minorHAnsi" w:cstheme="minorBidi"/>
          <w:snapToGrid/>
          <w:sz w:val="24"/>
          <w:szCs w:val="22"/>
        </w:rPr>
        <w:t xml:space="preserve"> with </w:t>
      </w:r>
      <w:proofErr w:type="spellStart"/>
      <w:r w:rsidR="00BA3921">
        <w:rPr>
          <w:rFonts w:asciiTheme="minorHAnsi" w:eastAsiaTheme="minorHAnsi" w:hAnsiTheme="minorHAnsi" w:cstheme="minorBidi"/>
          <w:snapToGrid/>
          <w:sz w:val="24"/>
          <w:szCs w:val="22"/>
        </w:rPr>
        <w:t>everolimus</w:t>
      </w:r>
      <w:proofErr w:type="spellEnd"/>
      <w:r w:rsidR="00BA3921">
        <w:rPr>
          <w:rFonts w:asciiTheme="minorHAnsi" w:eastAsiaTheme="minorHAnsi" w:hAnsiTheme="minorHAnsi" w:cstheme="minorBidi"/>
          <w:snapToGrid/>
          <w:sz w:val="24"/>
          <w:szCs w:val="22"/>
        </w:rPr>
        <w:t xml:space="preserve"> monotherapy in patients with metastatic RCC whose disease had progressed after first line therapy. This was referred to as Study 205. The resubmission also </w:t>
      </w:r>
      <w:r w:rsidRPr="00C74035">
        <w:rPr>
          <w:rFonts w:asciiTheme="minorHAnsi" w:eastAsiaTheme="minorHAnsi" w:hAnsiTheme="minorHAnsi" w:cstheme="minorBidi"/>
          <w:snapToGrid/>
          <w:sz w:val="24"/>
          <w:szCs w:val="22"/>
        </w:rPr>
        <w:t>presente</w:t>
      </w:r>
      <w:r w:rsidR="007D7214">
        <w:rPr>
          <w:rFonts w:asciiTheme="minorHAnsi" w:eastAsiaTheme="minorHAnsi" w:hAnsiTheme="minorHAnsi" w:cstheme="minorBidi"/>
          <w:snapToGrid/>
          <w:sz w:val="24"/>
          <w:szCs w:val="22"/>
        </w:rPr>
        <w:t xml:space="preserve">d </w:t>
      </w:r>
      <w:r w:rsidR="00BA3921">
        <w:rPr>
          <w:rFonts w:asciiTheme="minorHAnsi" w:eastAsiaTheme="minorHAnsi" w:hAnsiTheme="minorHAnsi" w:cstheme="minorBidi"/>
          <w:snapToGrid/>
          <w:sz w:val="24"/>
          <w:szCs w:val="22"/>
        </w:rPr>
        <w:t xml:space="preserve">data from the </w:t>
      </w:r>
      <w:proofErr w:type="spellStart"/>
      <w:r w:rsidR="00F559A0">
        <w:rPr>
          <w:rFonts w:asciiTheme="minorHAnsi" w:eastAsiaTheme="minorHAnsi" w:hAnsiTheme="minorHAnsi" w:cstheme="minorBidi"/>
          <w:snapToGrid/>
          <w:sz w:val="24"/>
          <w:szCs w:val="22"/>
        </w:rPr>
        <w:t>CheckM</w:t>
      </w:r>
      <w:r w:rsidR="00BA3921">
        <w:rPr>
          <w:rFonts w:asciiTheme="minorHAnsi" w:eastAsiaTheme="minorHAnsi" w:hAnsiTheme="minorHAnsi" w:cstheme="minorBidi"/>
          <w:snapToGrid/>
          <w:sz w:val="24"/>
          <w:szCs w:val="22"/>
        </w:rPr>
        <w:t>ate</w:t>
      </w:r>
      <w:proofErr w:type="spellEnd"/>
      <w:r w:rsidR="00BA3921">
        <w:rPr>
          <w:rFonts w:asciiTheme="minorHAnsi" w:eastAsiaTheme="minorHAnsi" w:hAnsiTheme="minorHAnsi" w:cstheme="minorBidi"/>
          <w:snapToGrid/>
          <w:sz w:val="24"/>
          <w:szCs w:val="22"/>
        </w:rPr>
        <w:t xml:space="preserve"> 025 (</w:t>
      </w:r>
      <w:proofErr w:type="spellStart"/>
      <w:r w:rsidR="00BA3921">
        <w:rPr>
          <w:rFonts w:asciiTheme="minorHAnsi" w:eastAsiaTheme="minorHAnsi" w:hAnsiTheme="minorHAnsi" w:cstheme="minorBidi"/>
          <w:snapToGrid/>
          <w:sz w:val="24"/>
          <w:szCs w:val="22"/>
        </w:rPr>
        <w:t>nivolumab</w:t>
      </w:r>
      <w:proofErr w:type="spellEnd"/>
      <w:r w:rsidR="00BA3921">
        <w:rPr>
          <w:rFonts w:asciiTheme="minorHAnsi" w:eastAsiaTheme="minorHAnsi" w:hAnsiTheme="minorHAnsi" w:cstheme="minorBidi"/>
          <w:snapToGrid/>
          <w:sz w:val="24"/>
          <w:szCs w:val="22"/>
        </w:rPr>
        <w:t xml:space="preserve"> versus </w:t>
      </w:r>
      <w:proofErr w:type="spellStart"/>
      <w:r w:rsidR="00BA3921">
        <w:rPr>
          <w:rFonts w:asciiTheme="minorHAnsi" w:eastAsiaTheme="minorHAnsi" w:hAnsiTheme="minorHAnsi" w:cstheme="minorBidi"/>
          <w:snapToGrid/>
          <w:sz w:val="24"/>
          <w:szCs w:val="22"/>
        </w:rPr>
        <w:t>everolimus</w:t>
      </w:r>
      <w:proofErr w:type="spellEnd"/>
      <w:r w:rsidR="00BA3921">
        <w:rPr>
          <w:rFonts w:asciiTheme="minorHAnsi" w:eastAsiaTheme="minorHAnsi" w:hAnsiTheme="minorHAnsi" w:cstheme="minorBidi"/>
          <w:snapToGrid/>
          <w:sz w:val="24"/>
          <w:szCs w:val="22"/>
        </w:rPr>
        <w:t>), AXIS (</w:t>
      </w:r>
      <w:proofErr w:type="spellStart"/>
      <w:r w:rsidR="00BA3921">
        <w:rPr>
          <w:rFonts w:asciiTheme="minorHAnsi" w:eastAsiaTheme="minorHAnsi" w:hAnsiTheme="minorHAnsi" w:cstheme="minorBidi"/>
          <w:snapToGrid/>
          <w:sz w:val="24"/>
          <w:szCs w:val="22"/>
        </w:rPr>
        <w:t>axitinib</w:t>
      </w:r>
      <w:proofErr w:type="spellEnd"/>
      <w:r w:rsidR="00BA3921">
        <w:rPr>
          <w:rFonts w:asciiTheme="minorHAnsi" w:eastAsiaTheme="minorHAnsi" w:hAnsiTheme="minorHAnsi" w:cstheme="minorBidi"/>
          <w:snapToGrid/>
          <w:sz w:val="24"/>
          <w:szCs w:val="22"/>
        </w:rPr>
        <w:t xml:space="preserve"> versus </w:t>
      </w:r>
      <w:proofErr w:type="spellStart"/>
      <w:r w:rsidR="00BA3921">
        <w:rPr>
          <w:rFonts w:asciiTheme="minorHAnsi" w:eastAsiaTheme="minorHAnsi" w:hAnsiTheme="minorHAnsi" w:cstheme="minorBidi"/>
          <w:snapToGrid/>
          <w:sz w:val="24"/>
          <w:szCs w:val="22"/>
        </w:rPr>
        <w:t>sorafenib</w:t>
      </w:r>
      <w:proofErr w:type="spellEnd"/>
      <w:r w:rsidR="00BA3921">
        <w:rPr>
          <w:rFonts w:asciiTheme="minorHAnsi" w:eastAsiaTheme="minorHAnsi" w:hAnsiTheme="minorHAnsi" w:cstheme="minorBidi"/>
          <w:snapToGrid/>
          <w:sz w:val="24"/>
          <w:szCs w:val="22"/>
        </w:rPr>
        <w:t>) and METEOR (</w:t>
      </w:r>
      <w:proofErr w:type="spellStart"/>
      <w:r w:rsidR="00BA3921">
        <w:rPr>
          <w:rFonts w:asciiTheme="minorHAnsi" w:eastAsiaTheme="minorHAnsi" w:hAnsiTheme="minorHAnsi" w:cstheme="minorBidi"/>
          <w:snapToGrid/>
          <w:sz w:val="24"/>
          <w:szCs w:val="22"/>
        </w:rPr>
        <w:t>cabozantinib</w:t>
      </w:r>
      <w:proofErr w:type="spellEnd"/>
      <w:r w:rsidR="00BA3921">
        <w:rPr>
          <w:rFonts w:asciiTheme="minorHAnsi" w:eastAsiaTheme="minorHAnsi" w:hAnsiTheme="minorHAnsi" w:cstheme="minorBidi"/>
          <w:snapToGrid/>
          <w:sz w:val="24"/>
          <w:szCs w:val="22"/>
        </w:rPr>
        <w:t xml:space="preserve"> versus </w:t>
      </w:r>
      <w:proofErr w:type="spellStart"/>
      <w:r w:rsidR="00BA3921">
        <w:rPr>
          <w:rFonts w:asciiTheme="minorHAnsi" w:eastAsiaTheme="minorHAnsi" w:hAnsiTheme="minorHAnsi" w:cstheme="minorBidi"/>
          <w:snapToGrid/>
          <w:sz w:val="24"/>
          <w:szCs w:val="22"/>
        </w:rPr>
        <w:t>everolimus</w:t>
      </w:r>
      <w:proofErr w:type="spellEnd"/>
      <w:r w:rsidR="00BA3921">
        <w:rPr>
          <w:rFonts w:asciiTheme="minorHAnsi" w:eastAsiaTheme="minorHAnsi" w:hAnsiTheme="minorHAnsi" w:cstheme="minorBidi"/>
          <w:snapToGrid/>
          <w:sz w:val="24"/>
          <w:szCs w:val="22"/>
        </w:rPr>
        <w:t>) trials</w:t>
      </w:r>
      <w:r w:rsidR="007D7214">
        <w:rPr>
          <w:rFonts w:asciiTheme="minorHAnsi" w:eastAsiaTheme="minorHAnsi" w:hAnsiTheme="minorHAnsi" w:cstheme="minorBidi"/>
          <w:snapToGrid/>
          <w:sz w:val="24"/>
          <w:szCs w:val="22"/>
        </w:rPr>
        <w:t xml:space="preserve">. These trials were presented to the November 2017 PBAC meeting as part of the </w:t>
      </w:r>
      <w:proofErr w:type="spellStart"/>
      <w:r w:rsidR="007D7214">
        <w:rPr>
          <w:rFonts w:asciiTheme="minorHAnsi" w:eastAsiaTheme="minorHAnsi" w:hAnsiTheme="minorHAnsi" w:cstheme="minorBidi"/>
          <w:snapToGrid/>
          <w:sz w:val="24"/>
          <w:szCs w:val="22"/>
        </w:rPr>
        <w:t>lenvatinib</w:t>
      </w:r>
      <w:proofErr w:type="spellEnd"/>
      <w:r w:rsidR="007D7214">
        <w:rPr>
          <w:rFonts w:asciiTheme="minorHAnsi" w:eastAsiaTheme="minorHAnsi" w:hAnsiTheme="minorHAnsi" w:cstheme="minorBidi"/>
          <w:snapToGrid/>
          <w:sz w:val="24"/>
          <w:szCs w:val="22"/>
        </w:rPr>
        <w:t xml:space="preserve"> major submission. </w:t>
      </w:r>
      <w:r w:rsidR="0016615A">
        <w:rPr>
          <w:rFonts w:asciiTheme="minorHAnsi" w:eastAsiaTheme="minorHAnsi" w:hAnsiTheme="minorHAnsi" w:cstheme="minorBidi"/>
          <w:snapToGrid/>
          <w:sz w:val="24"/>
          <w:szCs w:val="22"/>
        </w:rPr>
        <w:t xml:space="preserve">No additional clinical evidence for </w:t>
      </w:r>
      <w:proofErr w:type="spellStart"/>
      <w:r w:rsidR="0016615A">
        <w:rPr>
          <w:rFonts w:asciiTheme="minorHAnsi" w:eastAsiaTheme="minorHAnsi" w:hAnsiTheme="minorHAnsi" w:cstheme="minorBidi"/>
          <w:snapToGrid/>
          <w:sz w:val="24"/>
          <w:szCs w:val="22"/>
        </w:rPr>
        <w:t>lenvatinib</w:t>
      </w:r>
      <w:proofErr w:type="spellEnd"/>
      <w:r w:rsidR="0016615A">
        <w:rPr>
          <w:rFonts w:asciiTheme="minorHAnsi" w:eastAsiaTheme="minorHAnsi" w:hAnsiTheme="minorHAnsi" w:cstheme="minorBidi"/>
          <w:snapToGrid/>
          <w:sz w:val="24"/>
          <w:szCs w:val="22"/>
        </w:rPr>
        <w:t>/</w:t>
      </w:r>
      <w:proofErr w:type="spellStart"/>
      <w:r w:rsidR="0016615A" w:rsidRPr="00642B10">
        <w:rPr>
          <w:rFonts w:asciiTheme="minorHAnsi" w:eastAsiaTheme="minorHAnsi" w:hAnsiTheme="minorHAnsi" w:cstheme="minorBidi"/>
          <w:snapToGrid/>
          <w:sz w:val="24"/>
          <w:szCs w:val="22"/>
        </w:rPr>
        <w:t>everolimus</w:t>
      </w:r>
      <w:proofErr w:type="spellEnd"/>
      <w:r w:rsidR="0016615A">
        <w:rPr>
          <w:rFonts w:asciiTheme="minorHAnsi" w:eastAsiaTheme="minorHAnsi" w:hAnsiTheme="minorHAnsi" w:cstheme="minorBidi"/>
          <w:snapToGrid/>
          <w:sz w:val="24"/>
          <w:szCs w:val="22"/>
        </w:rPr>
        <w:t xml:space="preserve"> or any of the comparators nominated in the major submission was presented in the resubmission.</w:t>
      </w:r>
      <w:r w:rsidR="0040380F">
        <w:rPr>
          <w:rFonts w:asciiTheme="minorHAnsi" w:eastAsiaTheme="minorHAnsi" w:hAnsiTheme="minorHAnsi" w:cstheme="minorBidi"/>
          <w:snapToGrid/>
          <w:sz w:val="24"/>
          <w:szCs w:val="22"/>
        </w:rPr>
        <w:t xml:space="preserve"> </w:t>
      </w:r>
      <w:r w:rsidR="00DE31B5">
        <w:rPr>
          <w:rFonts w:asciiTheme="minorHAnsi" w:eastAsiaTheme="minorHAnsi" w:hAnsiTheme="minorHAnsi" w:cstheme="minorBidi"/>
          <w:snapToGrid/>
          <w:sz w:val="24"/>
          <w:szCs w:val="22"/>
        </w:rPr>
        <w:t>The resubmission state</w:t>
      </w:r>
      <w:r w:rsidR="00574953">
        <w:rPr>
          <w:rFonts w:asciiTheme="minorHAnsi" w:eastAsiaTheme="minorHAnsi" w:hAnsiTheme="minorHAnsi" w:cstheme="minorBidi"/>
          <w:snapToGrid/>
          <w:sz w:val="24"/>
          <w:szCs w:val="22"/>
        </w:rPr>
        <w:t>d</w:t>
      </w:r>
      <w:r w:rsidR="00DE31B5">
        <w:rPr>
          <w:rFonts w:asciiTheme="minorHAnsi" w:eastAsiaTheme="minorHAnsi" w:hAnsiTheme="minorHAnsi" w:cstheme="minorBidi"/>
          <w:snapToGrid/>
          <w:sz w:val="24"/>
          <w:szCs w:val="22"/>
        </w:rPr>
        <w:t xml:space="preserve"> that Study 205 represents the totality of the evidence for </w:t>
      </w:r>
      <w:proofErr w:type="spellStart"/>
      <w:r w:rsidR="00DE31B5">
        <w:rPr>
          <w:rFonts w:asciiTheme="minorHAnsi" w:eastAsiaTheme="minorHAnsi" w:hAnsiTheme="minorHAnsi" w:cstheme="minorBidi"/>
          <w:snapToGrid/>
          <w:sz w:val="24"/>
          <w:szCs w:val="22"/>
        </w:rPr>
        <w:t>lenvatinib</w:t>
      </w:r>
      <w:proofErr w:type="spellEnd"/>
      <w:r w:rsidR="00DE31B5">
        <w:rPr>
          <w:rFonts w:asciiTheme="minorHAnsi" w:eastAsiaTheme="minorHAnsi" w:hAnsiTheme="minorHAnsi" w:cstheme="minorBidi"/>
          <w:snapToGrid/>
          <w:sz w:val="24"/>
          <w:szCs w:val="22"/>
        </w:rPr>
        <w:t>/</w:t>
      </w:r>
      <w:proofErr w:type="spellStart"/>
      <w:r w:rsidR="00DE31B5">
        <w:rPr>
          <w:rFonts w:asciiTheme="minorHAnsi" w:eastAsiaTheme="minorHAnsi" w:hAnsiTheme="minorHAnsi" w:cstheme="minorBidi"/>
          <w:snapToGrid/>
          <w:sz w:val="24"/>
          <w:szCs w:val="22"/>
        </w:rPr>
        <w:t>everolimus</w:t>
      </w:r>
      <w:proofErr w:type="spellEnd"/>
      <w:r w:rsidR="00DE31B5">
        <w:rPr>
          <w:rFonts w:asciiTheme="minorHAnsi" w:eastAsiaTheme="minorHAnsi" w:hAnsiTheme="minorHAnsi" w:cstheme="minorBidi"/>
          <w:snapToGrid/>
          <w:sz w:val="24"/>
          <w:szCs w:val="22"/>
        </w:rPr>
        <w:t xml:space="preserve"> compared with </w:t>
      </w:r>
      <w:proofErr w:type="spellStart"/>
      <w:r w:rsidR="00DE31B5">
        <w:rPr>
          <w:rFonts w:asciiTheme="minorHAnsi" w:eastAsiaTheme="minorHAnsi" w:hAnsiTheme="minorHAnsi" w:cstheme="minorBidi"/>
          <w:snapToGrid/>
          <w:sz w:val="24"/>
          <w:szCs w:val="22"/>
        </w:rPr>
        <w:t>everolimus</w:t>
      </w:r>
      <w:proofErr w:type="spellEnd"/>
      <w:r w:rsidR="00DE31B5">
        <w:rPr>
          <w:rFonts w:asciiTheme="minorHAnsi" w:eastAsiaTheme="minorHAnsi" w:hAnsiTheme="minorHAnsi" w:cstheme="minorBidi"/>
          <w:snapToGrid/>
          <w:sz w:val="24"/>
          <w:szCs w:val="22"/>
        </w:rPr>
        <w:t xml:space="preserve"> monotherapy in the patient population for which PBS listing has been sought</w:t>
      </w:r>
    </w:p>
    <w:p w:rsidR="0033182E" w:rsidRPr="00211744" w:rsidRDefault="0040380F" w:rsidP="00937958">
      <w:pPr>
        <w:pStyle w:val="ListParagraph"/>
        <w:keepLines/>
        <w:widowControl/>
        <w:numPr>
          <w:ilvl w:val="1"/>
          <w:numId w:val="14"/>
        </w:numPr>
        <w:spacing w:before="240" w:after="120"/>
        <w:contextualSpacing w:val="0"/>
        <w:rPr>
          <w:rFonts w:asciiTheme="minorHAnsi" w:eastAsiaTheme="minorHAnsi" w:hAnsiTheme="minorHAnsi" w:cstheme="minorBidi"/>
          <w:snapToGrid/>
          <w:sz w:val="24"/>
          <w:szCs w:val="22"/>
        </w:rPr>
      </w:pPr>
      <w:r w:rsidRPr="00E03D66">
        <w:rPr>
          <w:rFonts w:asciiTheme="minorHAnsi" w:eastAsiaTheme="minorHAnsi" w:hAnsiTheme="minorHAnsi" w:cstheme="minorBidi"/>
          <w:snapToGrid/>
          <w:sz w:val="24"/>
          <w:szCs w:val="22"/>
        </w:rPr>
        <w:t>Study 205</w:t>
      </w:r>
      <w:r w:rsidR="00BA3921" w:rsidRPr="00E03D66">
        <w:rPr>
          <w:rFonts w:asciiTheme="minorHAnsi" w:eastAsiaTheme="minorHAnsi" w:hAnsiTheme="minorHAnsi" w:cstheme="minorBidi"/>
          <w:snapToGrid/>
          <w:sz w:val="24"/>
          <w:szCs w:val="22"/>
        </w:rPr>
        <w:t xml:space="preserve"> </w:t>
      </w:r>
      <w:r w:rsidRPr="00E03D66">
        <w:rPr>
          <w:rFonts w:asciiTheme="minorHAnsi" w:eastAsiaTheme="minorHAnsi" w:hAnsiTheme="minorHAnsi" w:cstheme="minorBidi"/>
          <w:snapToGrid/>
          <w:sz w:val="24"/>
          <w:szCs w:val="22"/>
        </w:rPr>
        <w:t>was assessed as having a high risk of bias. The trial was open-label, and the reporting</w:t>
      </w:r>
      <w:r w:rsidR="00BA3921" w:rsidRPr="00E03D66">
        <w:rPr>
          <w:rFonts w:asciiTheme="minorHAnsi" w:eastAsiaTheme="minorHAnsi" w:hAnsiTheme="minorHAnsi" w:cstheme="minorBidi"/>
          <w:snapToGrid/>
          <w:sz w:val="24"/>
          <w:szCs w:val="22"/>
        </w:rPr>
        <w:t xml:space="preserve"> of the primary endpoint (progression-free survival</w:t>
      </w:r>
      <w:r w:rsidR="00E03D66" w:rsidRPr="00E03D66">
        <w:rPr>
          <w:rFonts w:asciiTheme="minorHAnsi" w:eastAsiaTheme="minorHAnsi" w:hAnsiTheme="minorHAnsi" w:cstheme="minorBidi"/>
          <w:snapToGrid/>
          <w:sz w:val="24"/>
          <w:szCs w:val="22"/>
        </w:rPr>
        <w:t xml:space="preserve"> [PFS]</w:t>
      </w:r>
      <w:r w:rsidRPr="00E03D66">
        <w:rPr>
          <w:rFonts w:asciiTheme="minorHAnsi" w:eastAsiaTheme="minorHAnsi" w:hAnsiTheme="minorHAnsi" w:cstheme="minorBidi"/>
          <w:snapToGrid/>
          <w:sz w:val="24"/>
          <w:szCs w:val="22"/>
        </w:rPr>
        <w:t>) using RECIST v1.1 criteria was undertaken by the investigators</w:t>
      </w:r>
      <w:r w:rsidR="00BA3921" w:rsidRPr="00E03D66">
        <w:rPr>
          <w:rFonts w:asciiTheme="minorHAnsi" w:eastAsiaTheme="minorHAnsi" w:hAnsiTheme="minorHAnsi" w:cstheme="minorBidi"/>
          <w:snapToGrid/>
          <w:sz w:val="24"/>
          <w:szCs w:val="22"/>
        </w:rPr>
        <w:t xml:space="preserve"> (Paragraph 6.8, </w:t>
      </w:r>
      <w:proofErr w:type="spellStart"/>
      <w:r w:rsidR="00BA3921" w:rsidRPr="00E03D66">
        <w:rPr>
          <w:rFonts w:asciiTheme="minorHAnsi" w:eastAsiaTheme="minorHAnsi" w:hAnsiTheme="minorHAnsi" w:cstheme="minorBidi"/>
          <w:snapToGrid/>
          <w:sz w:val="24"/>
          <w:szCs w:val="22"/>
        </w:rPr>
        <w:t>lenvatinib</w:t>
      </w:r>
      <w:proofErr w:type="spellEnd"/>
      <w:r w:rsidR="00BA3921" w:rsidRPr="00E03D66">
        <w:rPr>
          <w:rFonts w:asciiTheme="minorHAnsi" w:eastAsiaTheme="minorHAnsi" w:hAnsiTheme="minorHAnsi" w:cstheme="minorBidi"/>
          <w:snapToGrid/>
          <w:sz w:val="24"/>
          <w:szCs w:val="22"/>
        </w:rPr>
        <w:t xml:space="preserve"> PBAC </w:t>
      </w:r>
      <w:r w:rsidR="009856C1">
        <w:rPr>
          <w:rFonts w:asciiTheme="minorHAnsi" w:eastAsiaTheme="minorHAnsi" w:hAnsiTheme="minorHAnsi" w:cstheme="minorBidi"/>
          <w:snapToGrid/>
          <w:sz w:val="24"/>
          <w:szCs w:val="22"/>
        </w:rPr>
        <w:t>Public Summary Document</w:t>
      </w:r>
      <w:r w:rsidR="00BA3921" w:rsidRPr="00E03D66">
        <w:rPr>
          <w:rFonts w:asciiTheme="minorHAnsi" w:eastAsiaTheme="minorHAnsi" w:hAnsiTheme="minorHAnsi" w:cstheme="minorBidi"/>
          <w:snapToGrid/>
          <w:sz w:val="24"/>
          <w:szCs w:val="22"/>
        </w:rPr>
        <w:t>, November 2017)</w:t>
      </w:r>
      <w:r w:rsidRPr="00E03D66">
        <w:rPr>
          <w:rFonts w:asciiTheme="minorHAnsi" w:eastAsiaTheme="minorHAnsi" w:hAnsiTheme="minorHAnsi" w:cstheme="minorBidi"/>
          <w:snapToGrid/>
          <w:sz w:val="24"/>
          <w:szCs w:val="22"/>
        </w:rPr>
        <w:t xml:space="preserve">. </w:t>
      </w:r>
    </w:p>
    <w:p w:rsidR="005A3173" w:rsidRPr="0033182E" w:rsidRDefault="005A3173" w:rsidP="004109F4">
      <w:pPr>
        <w:pStyle w:val="Heading2"/>
      </w:pPr>
      <w:r w:rsidRPr="0033182E">
        <w:t>Comparative effectiveness</w:t>
      </w:r>
    </w:p>
    <w:p w:rsidR="00FC6931" w:rsidRDefault="009B0F67" w:rsidP="00FC693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9344B">
        <w:rPr>
          <w:rFonts w:asciiTheme="minorHAnsi" w:eastAsiaTheme="minorHAnsi" w:hAnsiTheme="minorHAnsi" w:cstheme="minorBidi"/>
          <w:snapToGrid/>
          <w:sz w:val="24"/>
          <w:szCs w:val="22"/>
        </w:rPr>
        <w:t xml:space="preserve">The trial results remain </w:t>
      </w:r>
      <w:r w:rsidR="0060337A">
        <w:rPr>
          <w:rFonts w:asciiTheme="minorHAnsi" w:eastAsiaTheme="minorHAnsi" w:hAnsiTheme="minorHAnsi" w:cstheme="minorBidi"/>
          <w:snapToGrid/>
          <w:sz w:val="24"/>
          <w:szCs w:val="22"/>
        </w:rPr>
        <w:t xml:space="preserve">unchanged from the previous </w:t>
      </w:r>
      <w:r w:rsidR="00D9344B">
        <w:rPr>
          <w:rFonts w:asciiTheme="minorHAnsi" w:eastAsiaTheme="minorHAnsi" w:hAnsiTheme="minorHAnsi" w:cstheme="minorBidi"/>
          <w:snapToGrid/>
          <w:sz w:val="24"/>
          <w:szCs w:val="22"/>
        </w:rPr>
        <w:t>submission considered in November 2017</w:t>
      </w:r>
      <w:r w:rsidRPr="00D9344B">
        <w:rPr>
          <w:rFonts w:asciiTheme="minorHAnsi" w:eastAsiaTheme="minorHAnsi" w:hAnsiTheme="minorHAnsi" w:cstheme="minorBidi"/>
          <w:snapToGrid/>
          <w:sz w:val="24"/>
          <w:szCs w:val="22"/>
        </w:rPr>
        <w:t>. The resul</w:t>
      </w:r>
      <w:r w:rsidR="00D9344B">
        <w:rPr>
          <w:rFonts w:asciiTheme="minorHAnsi" w:eastAsiaTheme="minorHAnsi" w:hAnsiTheme="minorHAnsi" w:cstheme="minorBidi"/>
          <w:snapToGrid/>
          <w:sz w:val="24"/>
          <w:szCs w:val="22"/>
        </w:rPr>
        <w:t xml:space="preserve">ts from the November 2017 submission are </w:t>
      </w:r>
      <w:r w:rsidR="00AC2077">
        <w:rPr>
          <w:rFonts w:asciiTheme="minorHAnsi" w:eastAsiaTheme="minorHAnsi" w:hAnsiTheme="minorHAnsi" w:cstheme="minorBidi"/>
          <w:snapToGrid/>
          <w:sz w:val="24"/>
          <w:szCs w:val="22"/>
        </w:rPr>
        <w:t xml:space="preserve">represented </w:t>
      </w:r>
      <w:r w:rsidR="00D9344B">
        <w:rPr>
          <w:rFonts w:asciiTheme="minorHAnsi" w:eastAsiaTheme="minorHAnsi" w:hAnsiTheme="minorHAnsi" w:cstheme="minorBidi"/>
          <w:snapToGrid/>
          <w:sz w:val="24"/>
          <w:szCs w:val="22"/>
        </w:rPr>
        <w:t xml:space="preserve">below. </w:t>
      </w:r>
    </w:p>
    <w:p w:rsidR="005617E7" w:rsidRPr="00E03D66" w:rsidRDefault="005617E7" w:rsidP="00E03D6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 xml:space="preserve">PFS data </w:t>
      </w:r>
      <w:r w:rsidR="00E03D66">
        <w:rPr>
          <w:rFonts w:asciiTheme="minorHAnsi" w:eastAsiaTheme="minorHAnsi" w:hAnsiTheme="minorHAnsi" w:cstheme="minorBidi"/>
          <w:snapToGrid/>
          <w:sz w:val="24"/>
          <w:szCs w:val="22"/>
        </w:rPr>
        <w:t>are shown i</w:t>
      </w:r>
      <w:r w:rsidR="003C714F">
        <w:rPr>
          <w:rFonts w:asciiTheme="minorHAnsi" w:eastAsiaTheme="minorHAnsi" w:hAnsiTheme="minorHAnsi" w:cstheme="minorBidi"/>
          <w:snapToGrid/>
          <w:sz w:val="24"/>
          <w:szCs w:val="22"/>
        </w:rPr>
        <w:t>n Table 2</w:t>
      </w:r>
      <w:r w:rsidR="00E03D66">
        <w:rPr>
          <w:rFonts w:asciiTheme="minorHAnsi" w:eastAsiaTheme="minorHAnsi" w:hAnsiTheme="minorHAnsi" w:cstheme="minorBidi"/>
          <w:snapToGrid/>
          <w:sz w:val="24"/>
          <w:szCs w:val="22"/>
        </w:rPr>
        <w:t xml:space="preserve">. To address potential bias from the open-label design of Study 205, at the request of regulatory agencies, a separate analysis of PFS was undertaken by blinded independent radiologist review (BIRR) of the primary endpoint. </w:t>
      </w:r>
    </w:p>
    <w:p w:rsidR="00FC6931" w:rsidRPr="00FC6931" w:rsidRDefault="00FC6931" w:rsidP="001524D4">
      <w:pPr>
        <w:pStyle w:val="NoSpacing"/>
        <w:keepNext/>
        <w:spacing w:after="60"/>
        <w:rPr>
          <w:rFonts w:ascii="Arial Narrow" w:hAnsi="Arial Narrow"/>
          <w:b/>
          <w:sz w:val="20"/>
        </w:rPr>
      </w:pPr>
      <w:r w:rsidRPr="00FC6931">
        <w:rPr>
          <w:rFonts w:ascii="Arial Narrow" w:hAnsi="Arial Narrow"/>
          <w:b/>
          <w:sz w:val="20"/>
        </w:rPr>
        <w:t xml:space="preserve">Table </w:t>
      </w:r>
      <w:r w:rsidR="003C714F">
        <w:rPr>
          <w:rFonts w:ascii="Arial Narrow" w:hAnsi="Arial Narrow"/>
          <w:b/>
          <w:sz w:val="20"/>
        </w:rPr>
        <w:t>2</w:t>
      </w:r>
      <w:r w:rsidRPr="00FC6931">
        <w:rPr>
          <w:rFonts w:ascii="Arial Narrow" w:hAnsi="Arial Narrow"/>
          <w:b/>
          <w:sz w:val="20"/>
        </w:rPr>
        <w:t>: Results of progression-free survival across trials</w:t>
      </w:r>
    </w:p>
    <w:tbl>
      <w:tblPr>
        <w:tblStyle w:val="TableGrid"/>
        <w:tblW w:w="4966" w:type="pct"/>
        <w:tblLayout w:type="fixed"/>
        <w:tblLook w:val="04A0" w:firstRow="1" w:lastRow="0" w:firstColumn="1" w:lastColumn="0" w:noHBand="0" w:noVBand="1"/>
        <w:tblCaption w:val="Table 2: Results of progression-free survival across trials"/>
      </w:tblPr>
      <w:tblGrid>
        <w:gridCol w:w="1117"/>
        <w:gridCol w:w="1265"/>
        <w:gridCol w:w="1415"/>
        <w:gridCol w:w="1212"/>
        <w:gridCol w:w="1212"/>
        <w:gridCol w:w="1116"/>
        <w:gridCol w:w="808"/>
        <w:gridCol w:w="1034"/>
      </w:tblGrid>
      <w:tr w:rsidR="00FC6931" w:rsidRPr="00B17639" w:rsidTr="005055DA">
        <w:trPr>
          <w:tblHeader/>
        </w:trPr>
        <w:tc>
          <w:tcPr>
            <w:tcW w:w="608" w:type="pct"/>
            <w:vMerge w:val="restart"/>
            <w:tcBorders>
              <w:top w:val="single" w:sz="4" w:space="0" w:color="auto"/>
              <w:left w:val="single" w:sz="4" w:space="0" w:color="auto"/>
              <w:right w:val="single" w:sz="4" w:space="0" w:color="auto"/>
            </w:tcBorders>
            <w:shd w:val="clear" w:color="auto" w:fill="auto"/>
            <w:vAlign w:val="center"/>
          </w:tcPr>
          <w:p w:rsidR="00FC6931" w:rsidRPr="00FC6931" w:rsidRDefault="00FC6931" w:rsidP="00AA07CB">
            <w:pPr>
              <w:keepNext/>
              <w:spacing w:before="60" w:after="60"/>
              <w:rPr>
                <w:rFonts w:ascii="Arial Narrow" w:eastAsia="Calibri" w:hAnsi="Arial Narrow"/>
                <w:b/>
                <w:sz w:val="20"/>
                <w:szCs w:val="20"/>
              </w:rPr>
            </w:pPr>
            <w:r w:rsidRPr="00FC6931">
              <w:rPr>
                <w:rFonts w:ascii="Arial Narrow" w:eastAsia="Calibri" w:hAnsi="Arial Narrow"/>
                <w:b/>
                <w:sz w:val="20"/>
                <w:szCs w:val="20"/>
              </w:rPr>
              <w:t>Trial ID</w:t>
            </w:r>
          </w:p>
        </w:tc>
        <w:tc>
          <w:tcPr>
            <w:tcW w:w="1460" w:type="pct"/>
            <w:gridSpan w:val="2"/>
            <w:tcBorders>
              <w:top w:val="single" w:sz="4" w:space="0" w:color="auto"/>
              <w:left w:val="single" w:sz="4" w:space="0" w:color="auto"/>
              <w:bottom w:val="single" w:sz="4" w:space="0" w:color="auto"/>
              <w:right w:val="single" w:sz="4" w:space="0" w:color="auto"/>
            </w:tcBorders>
            <w:shd w:val="clear" w:color="auto" w:fill="auto"/>
          </w:tcPr>
          <w:p w:rsidR="00FC6931" w:rsidRPr="00FC6931" w:rsidRDefault="00FC6931" w:rsidP="00AA07CB">
            <w:pPr>
              <w:keepNext/>
              <w:spacing w:before="60" w:after="60"/>
              <w:jc w:val="center"/>
              <w:rPr>
                <w:rFonts w:ascii="Arial Narrow" w:eastAsia="Calibri" w:hAnsi="Arial Narrow"/>
                <w:b/>
                <w:sz w:val="20"/>
                <w:szCs w:val="20"/>
                <w:vertAlign w:val="superscript"/>
              </w:rPr>
            </w:pPr>
            <w:r w:rsidRPr="00FC6931">
              <w:rPr>
                <w:rFonts w:ascii="Arial Narrow" w:eastAsia="Calibri" w:hAnsi="Arial Narrow"/>
                <w:b/>
                <w:sz w:val="20"/>
                <w:szCs w:val="20"/>
              </w:rPr>
              <w:t xml:space="preserve">Intervention </w:t>
            </w:r>
            <w:r w:rsidRPr="00FC6931">
              <w:rPr>
                <w:rFonts w:ascii="Arial Narrow" w:eastAsia="Calibri" w:hAnsi="Arial Narrow"/>
                <w:b/>
                <w:sz w:val="20"/>
                <w:szCs w:val="20"/>
                <w:vertAlign w:val="superscript"/>
              </w:rPr>
              <w:t>a</w:t>
            </w:r>
          </w:p>
        </w:tc>
        <w:tc>
          <w:tcPr>
            <w:tcW w:w="1320" w:type="pct"/>
            <w:gridSpan w:val="2"/>
            <w:tcBorders>
              <w:top w:val="single" w:sz="4" w:space="0" w:color="auto"/>
              <w:left w:val="single" w:sz="4" w:space="0" w:color="auto"/>
              <w:bottom w:val="single" w:sz="4" w:space="0" w:color="auto"/>
              <w:right w:val="single" w:sz="4" w:space="0" w:color="auto"/>
            </w:tcBorders>
            <w:shd w:val="clear" w:color="auto" w:fill="auto"/>
          </w:tcPr>
          <w:p w:rsidR="00FC6931" w:rsidRPr="00FC6931" w:rsidRDefault="00FC6931" w:rsidP="00AA07CB">
            <w:pPr>
              <w:keepNext/>
              <w:spacing w:before="60" w:after="60"/>
              <w:jc w:val="center"/>
              <w:rPr>
                <w:rFonts w:ascii="Arial Narrow" w:eastAsia="Calibri" w:hAnsi="Arial Narrow"/>
                <w:b/>
                <w:sz w:val="20"/>
                <w:szCs w:val="20"/>
              </w:rPr>
            </w:pPr>
            <w:r w:rsidRPr="00FC6931">
              <w:rPr>
                <w:rFonts w:ascii="Arial Narrow" w:eastAsia="Calibri" w:hAnsi="Arial Narrow"/>
                <w:b/>
                <w:sz w:val="20"/>
                <w:szCs w:val="20"/>
              </w:rPr>
              <w:t xml:space="preserve">Comparator </w:t>
            </w:r>
            <w:r w:rsidRPr="00FC6931">
              <w:rPr>
                <w:rFonts w:ascii="Arial Narrow" w:eastAsia="Calibri" w:hAnsi="Arial Narrow"/>
                <w:b/>
                <w:sz w:val="20"/>
                <w:szCs w:val="20"/>
                <w:vertAlign w:val="superscript"/>
              </w:rPr>
              <w:t>b</w:t>
            </w:r>
          </w:p>
        </w:tc>
        <w:tc>
          <w:tcPr>
            <w:tcW w:w="608" w:type="pct"/>
            <w:vMerge w:val="restart"/>
            <w:tcBorders>
              <w:top w:val="single" w:sz="4" w:space="0" w:color="auto"/>
              <w:left w:val="single" w:sz="4" w:space="0" w:color="auto"/>
              <w:right w:val="single" w:sz="4" w:space="0" w:color="auto"/>
            </w:tcBorders>
            <w:shd w:val="clear" w:color="auto" w:fill="auto"/>
            <w:vAlign w:val="center"/>
          </w:tcPr>
          <w:p w:rsidR="00FC6931" w:rsidRPr="00FC6931" w:rsidRDefault="00FC6931" w:rsidP="00AA07CB">
            <w:pPr>
              <w:keepNext/>
              <w:spacing w:before="60" w:after="60"/>
              <w:rPr>
                <w:rFonts w:ascii="Arial Narrow" w:eastAsia="Calibri" w:hAnsi="Arial Narrow"/>
                <w:b/>
                <w:sz w:val="20"/>
                <w:szCs w:val="20"/>
              </w:rPr>
            </w:pPr>
            <w:r w:rsidRPr="00FC6931">
              <w:rPr>
                <w:rFonts w:ascii="Arial Narrow" w:eastAsia="Calibri" w:hAnsi="Arial Narrow"/>
                <w:b/>
                <w:sz w:val="20"/>
                <w:szCs w:val="20"/>
              </w:rPr>
              <w:t>Difference in Median, months</w:t>
            </w:r>
          </w:p>
        </w:tc>
        <w:tc>
          <w:tcPr>
            <w:tcW w:w="440" w:type="pct"/>
            <w:vMerge w:val="restart"/>
            <w:tcBorders>
              <w:top w:val="single" w:sz="4" w:space="0" w:color="auto"/>
              <w:left w:val="single" w:sz="4" w:space="0" w:color="auto"/>
              <w:right w:val="single" w:sz="4" w:space="0" w:color="auto"/>
            </w:tcBorders>
            <w:shd w:val="clear" w:color="auto" w:fill="auto"/>
            <w:vAlign w:val="center"/>
          </w:tcPr>
          <w:p w:rsidR="00FC6931" w:rsidRPr="00FC6931" w:rsidRDefault="00FC6931" w:rsidP="00AA07CB">
            <w:pPr>
              <w:keepNext/>
              <w:spacing w:before="60" w:after="60"/>
              <w:rPr>
                <w:rFonts w:ascii="Arial Narrow" w:eastAsia="Calibri" w:hAnsi="Arial Narrow"/>
                <w:b/>
                <w:sz w:val="20"/>
                <w:szCs w:val="20"/>
              </w:rPr>
            </w:pPr>
            <w:r w:rsidRPr="00FC6931">
              <w:rPr>
                <w:rFonts w:ascii="Arial Narrow" w:eastAsia="Calibri" w:hAnsi="Arial Narrow"/>
                <w:b/>
                <w:sz w:val="20"/>
                <w:szCs w:val="20"/>
              </w:rPr>
              <w:t>P-value</w:t>
            </w:r>
          </w:p>
        </w:tc>
        <w:tc>
          <w:tcPr>
            <w:tcW w:w="563" w:type="pct"/>
            <w:vMerge w:val="restart"/>
            <w:tcBorders>
              <w:top w:val="single" w:sz="4" w:space="0" w:color="auto"/>
              <w:left w:val="single" w:sz="4" w:space="0" w:color="auto"/>
              <w:right w:val="single" w:sz="4" w:space="0" w:color="auto"/>
            </w:tcBorders>
            <w:shd w:val="clear" w:color="auto" w:fill="auto"/>
            <w:vAlign w:val="center"/>
          </w:tcPr>
          <w:p w:rsidR="00FC6931" w:rsidRPr="00FC6931" w:rsidRDefault="00FC6931" w:rsidP="00AA07CB">
            <w:pPr>
              <w:keepNext/>
              <w:spacing w:before="60" w:after="60"/>
              <w:rPr>
                <w:rFonts w:ascii="Arial Narrow" w:eastAsia="Calibri" w:hAnsi="Arial Narrow"/>
                <w:b/>
                <w:sz w:val="20"/>
                <w:szCs w:val="20"/>
              </w:rPr>
            </w:pPr>
            <w:r w:rsidRPr="00FC6931">
              <w:rPr>
                <w:rFonts w:ascii="Arial Narrow" w:eastAsia="Calibri" w:hAnsi="Arial Narrow"/>
                <w:b/>
                <w:sz w:val="20"/>
                <w:szCs w:val="20"/>
              </w:rPr>
              <w:t xml:space="preserve">HR </w:t>
            </w:r>
          </w:p>
          <w:p w:rsidR="00FC6931" w:rsidRPr="00FC6931" w:rsidDel="0097367B" w:rsidRDefault="00FC6931" w:rsidP="00AA07CB">
            <w:pPr>
              <w:keepNext/>
              <w:spacing w:before="60" w:after="60"/>
              <w:rPr>
                <w:rFonts w:ascii="Arial Narrow" w:eastAsia="Calibri" w:hAnsi="Arial Narrow"/>
                <w:b/>
                <w:sz w:val="20"/>
                <w:szCs w:val="20"/>
              </w:rPr>
            </w:pPr>
            <w:r w:rsidRPr="00FC6931">
              <w:rPr>
                <w:rFonts w:ascii="Arial Narrow" w:eastAsia="Calibri" w:hAnsi="Arial Narrow"/>
                <w:b/>
                <w:sz w:val="20"/>
                <w:szCs w:val="20"/>
              </w:rPr>
              <w:t>(95% CI)</w:t>
            </w:r>
          </w:p>
        </w:tc>
      </w:tr>
      <w:tr w:rsidR="00FC6931" w:rsidRPr="00B17639" w:rsidTr="005055DA">
        <w:trPr>
          <w:tblHeader/>
        </w:trPr>
        <w:tc>
          <w:tcPr>
            <w:tcW w:w="608"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proofErr w:type="gramStart"/>
            <w:r w:rsidRPr="00B17639">
              <w:rPr>
                <w:rFonts w:ascii="Arial Narrow" w:eastAsia="Calibri" w:hAnsi="Arial Narrow"/>
                <w:sz w:val="20"/>
                <w:szCs w:val="20"/>
              </w:rPr>
              <w:t>n/N</w:t>
            </w:r>
            <w:proofErr w:type="gramEnd"/>
            <w:r w:rsidRPr="00B17639">
              <w:rPr>
                <w:rFonts w:ascii="Arial Narrow" w:eastAsia="Calibri" w:hAnsi="Arial Narrow"/>
                <w:sz w:val="20"/>
                <w:szCs w:val="20"/>
              </w:rPr>
              <w:t xml:space="preserve"> with event (%)</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r w:rsidRPr="00B17639">
              <w:rPr>
                <w:rFonts w:ascii="Arial Narrow" w:eastAsia="Calibri" w:hAnsi="Arial Narrow"/>
                <w:sz w:val="20"/>
                <w:szCs w:val="20"/>
              </w:rPr>
              <w:t>Median, months (95% CI)</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proofErr w:type="gramStart"/>
            <w:r w:rsidRPr="00B17639">
              <w:rPr>
                <w:rFonts w:ascii="Arial Narrow" w:eastAsia="Calibri" w:hAnsi="Arial Narrow"/>
                <w:sz w:val="20"/>
                <w:szCs w:val="20"/>
              </w:rPr>
              <w:t>n/N</w:t>
            </w:r>
            <w:proofErr w:type="gramEnd"/>
            <w:r w:rsidRPr="00B17639">
              <w:rPr>
                <w:rFonts w:ascii="Arial Narrow" w:eastAsia="Calibri" w:hAnsi="Arial Narrow"/>
                <w:sz w:val="20"/>
                <w:szCs w:val="20"/>
              </w:rPr>
              <w:t xml:space="preserve"> with event (%)</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r w:rsidRPr="00B17639">
              <w:rPr>
                <w:rFonts w:ascii="Arial Narrow" w:eastAsia="Calibri" w:hAnsi="Arial Narrow"/>
                <w:sz w:val="20"/>
                <w:szCs w:val="20"/>
              </w:rPr>
              <w:t>Median, months (95% CI)</w:t>
            </w:r>
          </w:p>
        </w:tc>
        <w:tc>
          <w:tcPr>
            <w:tcW w:w="608"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p>
        </w:tc>
        <w:tc>
          <w:tcPr>
            <w:tcW w:w="440"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p>
        </w:tc>
        <w:tc>
          <w:tcPr>
            <w:tcW w:w="563"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before="60" w:after="60"/>
              <w:rPr>
                <w:rFonts w:ascii="Arial Narrow" w:eastAsia="Calibri" w:hAnsi="Arial Narrow"/>
                <w:sz w:val="20"/>
                <w:szCs w:val="20"/>
              </w:rPr>
            </w:pPr>
          </w:p>
        </w:tc>
      </w:tr>
      <w:tr w:rsidR="00FC6931" w:rsidRPr="00B17639" w:rsidTr="00AA07CB">
        <w:tc>
          <w:tcPr>
            <w:tcW w:w="60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rPr>
            </w:pPr>
            <w:r w:rsidRPr="00B17639">
              <w:rPr>
                <w:rFonts w:ascii="Arial Narrow" w:hAnsi="Arial Narrow"/>
                <w:sz w:val="20"/>
                <w:szCs w:val="20"/>
              </w:rPr>
              <w:t>Study 205 (investigator assessed)</w:t>
            </w:r>
          </w:p>
        </w:tc>
        <w:tc>
          <w:tcPr>
            <w:tcW w:w="689"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26/51 (51%)</w:t>
            </w:r>
          </w:p>
        </w:tc>
        <w:tc>
          <w:tcPr>
            <w:tcW w:w="771"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14.6 (5.9, 20.1)</w:t>
            </w:r>
          </w:p>
        </w:tc>
        <w:tc>
          <w:tcPr>
            <w:tcW w:w="66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37/50 (74%)</w:t>
            </w:r>
          </w:p>
        </w:tc>
        <w:tc>
          <w:tcPr>
            <w:tcW w:w="66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5.5 (3.5, 7.1)</w:t>
            </w:r>
          </w:p>
        </w:tc>
        <w:tc>
          <w:tcPr>
            <w:tcW w:w="60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9.1</w:t>
            </w:r>
          </w:p>
        </w:tc>
        <w:tc>
          <w:tcPr>
            <w:tcW w:w="44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0.0005</w:t>
            </w:r>
          </w:p>
        </w:tc>
        <w:tc>
          <w:tcPr>
            <w:tcW w:w="56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0.40 (0.24, 0.68)</w:t>
            </w:r>
          </w:p>
        </w:tc>
      </w:tr>
      <w:tr w:rsidR="00FC6931" w:rsidRPr="00B17639" w:rsidTr="00AA07CB">
        <w:tc>
          <w:tcPr>
            <w:tcW w:w="60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18"/>
                <w:szCs w:val="20"/>
              </w:rPr>
            </w:pPr>
            <w:r w:rsidRPr="00B17639">
              <w:rPr>
                <w:rFonts w:ascii="Arial Narrow" w:hAnsi="Arial Narrow"/>
                <w:sz w:val="20"/>
                <w:szCs w:val="20"/>
              </w:rPr>
              <w:t>Study 205: BIRR assessed</w:t>
            </w:r>
          </w:p>
        </w:tc>
        <w:tc>
          <w:tcPr>
            <w:tcW w:w="689"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24/51 (47%)</w:t>
            </w:r>
          </w:p>
        </w:tc>
        <w:tc>
          <w:tcPr>
            <w:tcW w:w="771"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12.8 (7.4, 17.5)</w:t>
            </w:r>
          </w:p>
        </w:tc>
        <w:tc>
          <w:tcPr>
            <w:tcW w:w="66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29/50</w:t>
            </w:r>
            <w:r>
              <w:rPr>
                <w:rFonts w:ascii="Arial Narrow" w:hAnsi="Arial Narrow"/>
                <w:sz w:val="20"/>
                <w:szCs w:val="20"/>
                <w:vertAlign w:val="superscript"/>
              </w:rPr>
              <w:t>c</w:t>
            </w:r>
            <w:r w:rsidRPr="00B17639">
              <w:rPr>
                <w:rFonts w:ascii="Arial Narrow" w:hAnsi="Arial Narrow"/>
                <w:sz w:val="20"/>
                <w:szCs w:val="20"/>
              </w:rPr>
              <w:t xml:space="preserve"> (58%)</w:t>
            </w:r>
          </w:p>
        </w:tc>
        <w:tc>
          <w:tcPr>
            <w:tcW w:w="66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5.5 (3.6, 9.3)</w:t>
            </w:r>
          </w:p>
        </w:tc>
        <w:tc>
          <w:tcPr>
            <w:tcW w:w="60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7.3</w:t>
            </w:r>
          </w:p>
        </w:tc>
        <w:tc>
          <w:tcPr>
            <w:tcW w:w="44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0.0029</w:t>
            </w:r>
          </w:p>
        </w:tc>
        <w:tc>
          <w:tcPr>
            <w:tcW w:w="56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0.45 (0.27, 0.79)</w:t>
            </w:r>
          </w:p>
        </w:tc>
      </w:tr>
      <w:tr w:rsidR="00FC6931" w:rsidRPr="00B17639" w:rsidTr="00AA07CB">
        <w:tc>
          <w:tcPr>
            <w:tcW w:w="60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proofErr w:type="spellStart"/>
            <w:r w:rsidRPr="00B17639">
              <w:rPr>
                <w:rFonts w:ascii="Arial Narrow" w:hAnsi="Arial Narrow"/>
                <w:sz w:val="20"/>
                <w:szCs w:val="20"/>
              </w:rPr>
              <w:t>CheckMate</w:t>
            </w:r>
            <w:proofErr w:type="spellEnd"/>
            <w:r w:rsidRPr="00B17639">
              <w:rPr>
                <w:rFonts w:ascii="Arial Narrow" w:hAnsi="Arial Narrow"/>
                <w:sz w:val="20"/>
                <w:szCs w:val="20"/>
              </w:rPr>
              <w:t xml:space="preserve"> 025</w:t>
            </w:r>
          </w:p>
        </w:tc>
        <w:tc>
          <w:tcPr>
            <w:tcW w:w="689"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318/410 (78%)</w:t>
            </w:r>
          </w:p>
        </w:tc>
        <w:tc>
          <w:tcPr>
            <w:tcW w:w="771"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4.6 (3.7, 5.4)</w:t>
            </w:r>
          </w:p>
        </w:tc>
        <w:tc>
          <w:tcPr>
            <w:tcW w:w="66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322/411 (78%)</w:t>
            </w:r>
          </w:p>
        </w:tc>
        <w:tc>
          <w:tcPr>
            <w:tcW w:w="66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4.4 (3.7, 5.5)</w:t>
            </w:r>
          </w:p>
        </w:tc>
        <w:tc>
          <w:tcPr>
            <w:tcW w:w="60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0.2</w:t>
            </w:r>
          </w:p>
        </w:tc>
        <w:tc>
          <w:tcPr>
            <w:tcW w:w="44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0.11</w:t>
            </w:r>
          </w:p>
        </w:tc>
        <w:tc>
          <w:tcPr>
            <w:tcW w:w="56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keepNext/>
              <w:rPr>
                <w:rFonts w:ascii="Arial Narrow" w:hAnsi="Arial Narrow"/>
                <w:sz w:val="20"/>
                <w:szCs w:val="20"/>
              </w:rPr>
            </w:pPr>
            <w:r w:rsidRPr="00B17639">
              <w:rPr>
                <w:rFonts w:ascii="Arial Narrow" w:hAnsi="Arial Narrow"/>
                <w:sz w:val="20"/>
                <w:szCs w:val="20"/>
              </w:rPr>
              <w:t>0.88 (0.75, 1.03)</w:t>
            </w:r>
          </w:p>
        </w:tc>
      </w:tr>
      <w:tr w:rsidR="00FC6931" w:rsidRPr="000D7C4C" w:rsidTr="00AA07CB">
        <w:tc>
          <w:tcPr>
            <w:tcW w:w="608"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AXIS</w:t>
            </w:r>
          </w:p>
        </w:tc>
        <w:tc>
          <w:tcPr>
            <w:tcW w:w="689"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NR</w:t>
            </w:r>
          </w:p>
        </w:tc>
        <w:tc>
          <w:tcPr>
            <w:tcW w:w="771"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8.3 (6.7, 9.2)</w:t>
            </w:r>
          </w:p>
        </w:tc>
        <w:tc>
          <w:tcPr>
            <w:tcW w:w="660"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NR</w:t>
            </w:r>
          </w:p>
        </w:tc>
        <w:tc>
          <w:tcPr>
            <w:tcW w:w="660"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5.7 (4.7, 6.5)</w:t>
            </w:r>
          </w:p>
        </w:tc>
        <w:tc>
          <w:tcPr>
            <w:tcW w:w="608"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2.6</w:t>
            </w:r>
          </w:p>
        </w:tc>
        <w:tc>
          <w:tcPr>
            <w:tcW w:w="440"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&lt;0.0001</w:t>
            </w:r>
          </w:p>
        </w:tc>
        <w:tc>
          <w:tcPr>
            <w:tcW w:w="563"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keepNext/>
              <w:spacing w:after="160"/>
              <w:rPr>
                <w:rFonts w:ascii="Arial Narrow" w:hAnsi="Arial Narrow"/>
                <w:sz w:val="20"/>
                <w:szCs w:val="20"/>
              </w:rPr>
            </w:pPr>
            <w:r w:rsidRPr="000D7C4C">
              <w:rPr>
                <w:rFonts w:ascii="Arial Narrow" w:hAnsi="Arial Narrow"/>
                <w:sz w:val="20"/>
                <w:szCs w:val="20"/>
              </w:rPr>
              <w:t>0.67 (0.55, 0.78)</w:t>
            </w:r>
          </w:p>
        </w:tc>
      </w:tr>
      <w:tr w:rsidR="00211A78" w:rsidRPr="000D7C4C" w:rsidTr="00AA07CB">
        <w:tc>
          <w:tcPr>
            <w:tcW w:w="608"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METEOR</w:t>
            </w:r>
          </w:p>
        </w:tc>
        <w:tc>
          <w:tcPr>
            <w:tcW w:w="689"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180/330</w:t>
            </w:r>
            <w:r>
              <w:rPr>
                <w:rFonts w:ascii="Arial Narrow" w:hAnsi="Arial Narrow"/>
                <w:sz w:val="20"/>
                <w:szCs w:val="20"/>
              </w:rPr>
              <w:br/>
              <w:t>(55%)</w:t>
            </w:r>
          </w:p>
        </w:tc>
        <w:tc>
          <w:tcPr>
            <w:tcW w:w="771"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7.4% (6.6, 9.1)</w:t>
            </w:r>
          </w:p>
        </w:tc>
        <w:tc>
          <w:tcPr>
            <w:tcW w:w="660"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214/328</w:t>
            </w:r>
            <w:r>
              <w:rPr>
                <w:rFonts w:ascii="Arial Narrow" w:hAnsi="Arial Narrow"/>
                <w:sz w:val="20"/>
                <w:szCs w:val="20"/>
              </w:rPr>
              <w:br/>
              <w:t>(65%)</w:t>
            </w:r>
          </w:p>
        </w:tc>
        <w:tc>
          <w:tcPr>
            <w:tcW w:w="660"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3.9 (3.7, 5.1)</w:t>
            </w:r>
          </w:p>
        </w:tc>
        <w:tc>
          <w:tcPr>
            <w:tcW w:w="608"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3.5</w:t>
            </w:r>
          </w:p>
        </w:tc>
        <w:tc>
          <w:tcPr>
            <w:tcW w:w="440"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&lt;0.0001</w:t>
            </w:r>
          </w:p>
        </w:tc>
        <w:tc>
          <w:tcPr>
            <w:tcW w:w="563" w:type="pct"/>
            <w:tcBorders>
              <w:top w:val="single" w:sz="4" w:space="0" w:color="auto"/>
              <w:left w:val="single" w:sz="4" w:space="0" w:color="auto"/>
              <w:bottom w:val="single" w:sz="4" w:space="0" w:color="auto"/>
              <w:right w:val="single" w:sz="4" w:space="0" w:color="auto"/>
            </w:tcBorders>
          </w:tcPr>
          <w:p w:rsidR="00211A78" w:rsidRPr="000D7C4C" w:rsidRDefault="00211A78" w:rsidP="00AA07CB">
            <w:pPr>
              <w:keepNext/>
              <w:spacing w:after="160"/>
              <w:rPr>
                <w:rFonts w:ascii="Arial Narrow" w:hAnsi="Arial Narrow"/>
                <w:sz w:val="20"/>
                <w:szCs w:val="20"/>
              </w:rPr>
            </w:pPr>
            <w:r>
              <w:rPr>
                <w:rFonts w:ascii="Arial Narrow" w:hAnsi="Arial Narrow"/>
                <w:sz w:val="20"/>
                <w:szCs w:val="20"/>
              </w:rPr>
              <w:t>0.51 (0.41, 0.62)</w:t>
            </w:r>
          </w:p>
        </w:tc>
      </w:tr>
    </w:tbl>
    <w:p w:rsidR="00FC6931" w:rsidRPr="00B17639" w:rsidRDefault="00FC6931" w:rsidP="00FC6931">
      <w:pPr>
        <w:pStyle w:val="TableFooter"/>
        <w:rPr>
          <w:rFonts w:eastAsia="Calibri"/>
        </w:rPr>
      </w:pPr>
      <w:r w:rsidRPr="00B17639">
        <w:rPr>
          <w:rFonts w:eastAsia="Calibri"/>
        </w:rPr>
        <w:t xml:space="preserve">Source: Table 2-22 and table 2-23, pages 74-75 of </w:t>
      </w:r>
      <w:r w:rsidR="00377A91">
        <w:rPr>
          <w:rFonts w:eastAsia="Calibri"/>
        </w:rPr>
        <w:t xml:space="preserve">November 2017 </w:t>
      </w:r>
      <w:r w:rsidRPr="00B17639">
        <w:rPr>
          <w:rFonts w:eastAsia="Calibri"/>
        </w:rPr>
        <w:t>submission</w:t>
      </w:r>
      <w:r>
        <w:rPr>
          <w:rFonts w:eastAsia="Calibri"/>
        </w:rPr>
        <w:t>;</w:t>
      </w:r>
      <w:r w:rsidRPr="003002E6">
        <w:rPr>
          <w:rFonts w:eastAsia="Calibri"/>
        </w:rPr>
        <w:t xml:space="preserve"> Table 10, Appendix 1 of the </w:t>
      </w:r>
      <w:r w:rsidR="00377A91">
        <w:rPr>
          <w:rFonts w:eastAsia="Calibri"/>
        </w:rPr>
        <w:t xml:space="preserve">November 2017 </w:t>
      </w:r>
      <w:r w:rsidRPr="003002E6">
        <w:rPr>
          <w:rFonts w:eastAsia="Calibri"/>
        </w:rPr>
        <w:t>Submission.</w:t>
      </w:r>
    </w:p>
    <w:p w:rsidR="00FC6931" w:rsidRPr="00B17639" w:rsidRDefault="00FC6931" w:rsidP="00FC6931">
      <w:pPr>
        <w:pStyle w:val="TableFooter"/>
        <w:rPr>
          <w:rFonts w:eastAsia="Calibri"/>
        </w:rPr>
      </w:pPr>
      <w:r w:rsidRPr="00B17639">
        <w:rPr>
          <w:rFonts w:eastAsia="Calibri"/>
        </w:rPr>
        <w:t>Notes: Study 205: Data cut=13</w:t>
      </w:r>
      <w:r w:rsidRPr="00B17639">
        <w:rPr>
          <w:rFonts w:eastAsia="Calibri"/>
          <w:vertAlign w:val="superscript"/>
        </w:rPr>
        <w:t>th</w:t>
      </w:r>
      <w:r w:rsidRPr="00B17639">
        <w:rPr>
          <w:rFonts w:eastAsia="Calibri"/>
        </w:rPr>
        <w:t xml:space="preserve"> June 2014, Length of follow-up=18.5 months (median); </w:t>
      </w:r>
      <w:proofErr w:type="spellStart"/>
      <w:r w:rsidRPr="00B17639">
        <w:rPr>
          <w:rFonts w:eastAsia="Calibri"/>
        </w:rPr>
        <w:t>CheckMate</w:t>
      </w:r>
      <w:proofErr w:type="spellEnd"/>
      <w:r w:rsidRPr="00B17639">
        <w:rPr>
          <w:rFonts w:eastAsia="Calibri"/>
        </w:rPr>
        <w:t xml:space="preserve"> 025: Data cut=June 2015, Length of follow-up=14 months (minimum)</w:t>
      </w:r>
      <w:r>
        <w:rPr>
          <w:rFonts w:eastAsia="Calibri"/>
        </w:rPr>
        <w:t>.</w:t>
      </w:r>
    </w:p>
    <w:p w:rsidR="00FC6931" w:rsidRDefault="00FC6931" w:rsidP="00FC6931">
      <w:pPr>
        <w:pStyle w:val="TableFooter"/>
        <w:rPr>
          <w:rFonts w:eastAsia="Calibri"/>
        </w:rPr>
      </w:pPr>
      <w:proofErr w:type="spellStart"/>
      <w:proofErr w:type="gramStart"/>
      <w:r w:rsidRPr="00B17639">
        <w:rPr>
          <w:rFonts w:eastAsia="Calibri"/>
          <w:vertAlign w:val="superscript"/>
        </w:rPr>
        <w:t>a</w:t>
      </w:r>
      <w:proofErr w:type="spellEnd"/>
      <w:proofErr w:type="gramEnd"/>
      <w:r w:rsidRPr="00B17639">
        <w:rPr>
          <w:rFonts w:eastAsia="Calibri"/>
        </w:rPr>
        <w:t xml:space="preserve"> Intervention in Study 205 was </w:t>
      </w:r>
      <w:proofErr w:type="spellStart"/>
      <w:r w:rsidRPr="00B17639">
        <w:rPr>
          <w:rFonts w:eastAsia="Calibri"/>
        </w:rPr>
        <w:t>lenvatinib</w:t>
      </w:r>
      <w:proofErr w:type="spellEnd"/>
      <w:r w:rsidRPr="00B17639">
        <w:rPr>
          <w:rFonts w:eastAsia="Calibri"/>
        </w:rPr>
        <w:t>/</w:t>
      </w:r>
      <w:proofErr w:type="spellStart"/>
      <w:r w:rsidRPr="00B17639">
        <w:rPr>
          <w:rFonts w:eastAsia="Calibri"/>
        </w:rPr>
        <w:t>everolimus</w:t>
      </w:r>
      <w:proofErr w:type="spellEnd"/>
      <w:r w:rsidRPr="00B17639">
        <w:rPr>
          <w:rFonts w:eastAsia="Calibri"/>
        </w:rPr>
        <w:t xml:space="preserve">; intervention in CheckMate025 was </w:t>
      </w:r>
      <w:proofErr w:type="spellStart"/>
      <w:r w:rsidRPr="00B17639">
        <w:rPr>
          <w:rFonts w:eastAsia="Calibri"/>
        </w:rPr>
        <w:t>nivolumab</w:t>
      </w:r>
      <w:proofErr w:type="spellEnd"/>
      <w:r>
        <w:rPr>
          <w:rFonts w:eastAsia="Calibri"/>
        </w:rPr>
        <w:t>; interventio</w:t>
      </w:r>
      <w:r w:rsidR="00211A78">
        <w:rPr>
          <w:rFonts w:eastAsia="Calibri"/>
        </w:rPr>
        <w:t xml:space="preserve">n in AXIS was </w:t>
      </w:r>
      <w:proofErr w:type="spellStart"/>
      <w:r w:rsidR="00211A78">
        <w:rPr>
          <w:rFonts w:eastAsia="Calibri"/>
        </w:rPr>
        <w:t>axitinib</w:t>
      </w:r>
      <w:proofErr w:type="spellEnd"/>
      <w:r w:rsidR="00211A78">
        <w:rPr>
          <w:rFonts w:eastAsia="Calibri"/>
        </w:rPr>
        <w:t xml:space="preserve"> 5 mg </w:t>
      </w:r>
      <w:proofErr w:type="spellStart"/>
      <w:r w:rsidR="00211A78">
        <w:rPr>
          <w:rFonts w:eastAsia="Calibri"/>
        </w:rPr>
        <w:t>b.d</w:t>
      </w:r>
      <w:proofErr w:type="spellEnd"/>
      <w:r w:rsidR="00211A78">
        <w:rPr>
          <w:rFonts w:eastAsia="Calibri"/>
        </w:rPr>
        <w:t xml:space="preserve">; intervention in METEOR was </w:t>
      </w:r>
      <w:proofErr w:type="spellStart"/>
      <w:r w:rsidR="00211A78">
        <w:rPr>
          <w:rFonts w:eastAsia="Calibri"/>
        </w:rPr>
        <w:t>cabozantinib</w:t>
      </w:r>
      <w:proofErr w:type="spellEnd"/>
      <w:r w:rsidR="00211A78">
        <w:rPr>
          <w:rFonts w:eastAsia="Calibri"/>
        </w:rPr>
        <w:t xml:space="preserve"> 60 mg daily</w:t>
      </w:r>
    </w:p>
    <w:p w:rsidR="00FC6931" w:rsidRDefault="00FC6931" w:rsidP="00FC6931">
      <w:pPr>
        <w:pStyle w:val="TableFooter"/>
        <w:rPr>
          <w:rFonts w:eastAsia="Calibri"/>
        </w:rPr>
      </w:pPr>
      <w:proofErr w:type="gramStart"/>
      <w:r>
        <w:rPr>
          <w:rFonts w:eastAsia="Calibri"/>
          <w:vertAlign w:val="superscript"/>
        </w:rPr>
        <w:t>b</w:t>
      </w:r>
      <w:proofErr w:type="gramEnd"/>
      <w:r>
        <w:rPr>
          <w:rFonts w:eastAsia="Calibri"/>
        </w:rPr>
        <w:t xml:space="preserve"> Comparator</w:t>
      </w:r>
      <w:r w:rsidR="00211A78">
        <w:rPr>
          <w:rFonts w:eastAsia="Calibri"/>
        </w:rPr>
        <w:t xml:space="preserve"> in Study 205, </w:t>
      </w:r>
      <w:r w:rsidRPr="00B17639">
        <w:rPr>
          <w:rFonts w:eastAsia="Calibri"/>
        </w:rPr>
        <w:t xml:space="preserve">CheckMate025 </w:t>
      </w:r>
      <w:r w:rsidR="00211A78">
        <w:rPr>
          <w:rFonts w:eastAsia="Calibri"/>
        </w:rPr>
        <w:t xml:space="preserve">and METEOR </w:t>
      </w:r>
      <w:r w:rsidRPr="00B17639">
        <w:rPr>
          <w:rFonts w:eastAsia="Calibri"/>
        </w:rPr>
        <w:t xml:space="preserve">was </w:t>
      </w:r>
      <w:proofErr w:type="spellStart"/>
      <w:r>
        <w:rPr>
          <w:rFonts w:eastAsia="Calibri"/>
        </w:rPr>
        <w:t>everolimus</w:t>
      </w:r>
      <w:proofErr w:type="spellEnd"/>
      <w:r>
        <w:rPr>
          <w:rFonts w:eastAsia="Calibri"/>
        </w:rPr>
        <w:t xml:space="preserve"> 10 mg; comparator in AXIS was </w:t>
      </w:r>
      <w:proofErr w:type="spellStart"/>
      <w:r>
        <w:rPr>
          <w:rFonts w:eastAsia="Calibri"/>
        </w:rPr>
        <w:t>sorafenib</w:t>
      </w:r>
      <w:proofErr w:type="spellEnd"/>
      <w:r>
        <w:rPr>
          <w:rFonts w:eastAsia="Calibri"/>
        </w:rPr>
        <w:t xml:space="preserve"> 400 mg </w:t>
      </w:r>
      <w:proofErr w:type="spellStart"/>
      <w:r>
        <w:rPr>
          <w:rFonts w:eastAsia="Calibri"/>
        </w:rPr>
        <w:t>b.d</w:t>
      </w:r>
      <w:proofErr w:type="spellEnd"/>
      <w:r>
        <w:rPr>
          <w:rFonts w:eastAsia="Calibri"/>
        </w:rPr>
        <w:t>.</w:t>
      </w:r>
    </w:p>
    <w:p w:rsidR="00FC6931" w:rsidRPr="00B17639" w:rsidRDefault="00FC6931" w:rsidP="00FC6931">
      <w:pPr>
        <w:pStyle w:val="TableFooter"/>
      </w:pPr>
      <w:proofErr w:type="gramStart"/>
      <w:r>
        <w:rPr>
          <w:vertAlign w:val="superscript"/>
        </w:rPr>
        <w:t>c</w:t>
      </w:r>
      <w:proofErr w:type="gramEnd"/>
      <w:r w:rsidRPr="00B17639">
        <w:t xml:space="preserve"> the submission had a typographical error in that this number (50) was written as 58.</w:t>
      </w:r>
    </w:p>
    <w:p w:rsidR="00FC6931" w:rsidRDefault="00FC6931" w:rsidP="00FC6931">
      <w:pPr>
        <w:pStyle w:val="TableFooter"/>
        <w:rPr>
          <w:rFonts w:eastAsia="Calibri"/>
        </w:rPr>
      </w:pPr>
      <w:r w:rsidRPr="00B17639">
        <w:rPr>
          <w:rFonts w:eastAsia="Calibri"/>
        </w:rPr>
        <w:t>Abbreviations: CI, confidence interval; BIRR, blinded independent radiologist review; HR, hazard ratio</w:t>
      </w:r>
      <w:r>
        <w:rPr>
          <w:rFonts w:eastAsia="Calibri"/>
        </w:rPr>
        <w:t>; NR, not reported</w:t>
      </w:r>
      <w:r w:rsidRPr="00B17639">
        <w:rPr>
          <w:rFonts w:eastAsia="Calibri"/>
        </w:rPr>
        <w:t>.</w:t>
      </w:r>
    </w:p>
    <w:p w:rsidR="00FC6931" w:rsidRPr="00B17639" w:rsidRDefault="00FC6931" w:rsidP="00FC6931">
      <w:pPr>
        <w:pStyle w:val="TableFooter"/>
        <w:rPr>
          <w:rFonts w:eastAsia="Calibri"/>
        </w:rPr>
      </w:pPr>
    </w:p>
    <w:p w:rsidR="00CE5544" w:rsidRDefault="00FC6931" w:rsidP="00FC693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bookmarkStart w:id="2" w:name="_Hlk489954309"/>
      <w:r w:rsidRPr="00FC6931">
        <w:rPr>
          <w:rFonts w:asciiTheme="minorHAnsi" w:eastAsiaTheme="minorHAnsi" w:hAnsiTheme="minorHAnsi" w:cstheme="minorBidi"/>
          <w:snapToGrid/>
          <w:sz w:val="24"/>
          <w:szCs w:val="22"/>
        </w:rPr>
        <w:t>O</w:t>
      </w:r>
      <w:r w:rsidR="00E568B1">
        <w:rPr>
          <w:rFonts w:asciiTheme="minorHAnsi" w:eastAsiaTheme="minorHAnsi" w:hAnsiTheme="minorHAnsi" w:cstheme="minorBidi"/>
          <w:snapToGrid/>
          <w:sz w:val="24"/>
          <w:szCs w:val="22"/>
        </w:rPr>
        <w:t>verall survival (OS)</w:t>
      </w:r>
      <w:r w:rsidRPr="00FC6931">
        <w:rPr>
          <w:rFonts w:asciiTheme="minorHAnsi" w:eastAsiaTheme="minorHAnsi" w:hAnsiTheme="minorHAnsi" w:cstheme="minorBidi"/>
          <w:snapToGrid/>
          <w:sz w:val="24"/>
          <w:szCs w:val="22"/>
        </w:rPr>
        <w:t xml:space="preserve"> from the primary efficacy data cut-off for </w:t>
      </w:r>
      <w:r w:rsidR="00211A78">
        <w:rPr>
          <w:rFonts w:asciiTheme="minorHAnsi" w:eastAsiaTheme="minorHAnsi" w:hAnsiTheme="minorHAnsi" w:cstheme="minorBidi"/>
          <w:snapToGrid/>
          <w:sz w:val="24"/>
          <w:szCs w:val="22"/>
        </w:rPr>
        <w:t xml:space="preserve">Study 205, </w:t>
      </w:r>
      <w:proofErr w:type="spellStart"/>
      <w:r w:rsidRPr="00FC6931">
        <w:rPr>
          <w:rFonts w:asciiTheme="minorHAnsi" w:eastAsiaTheme="minorHAnsi" w:hAnsiTheme="minorHAnsi" w:cstheme="minorBidi"/>
          <w:snapToGrid/>
          <w:sz w:val="24"/>
          <w:szCs w:val="22"/>
        </w:rPr>
        <w:t>CheckMate</w:t>
      </w:r>
      <w:proofErr w:type="spellEnd"/>
      <w:r w:rsidRPr="00FC6931">
        <w:rPr>
          <w:rFonts w:asciiTheme="minorHAnsi" w:eastAsiaTheme="minorHAnsi" w:hAnsiTheme="minorHAnsi" w:cstheme="minorBidi"/>
          <w:snapToGrid/>
          <w:sz w:val="24"/>
          <w:szCs w:val="22"/>
        </w:rPr>
        <w:t xml:space="preserve"> 025</w:t>
      </w:r>
      <w:r w:rsidR="00211A78">
        <w:rPr>
          <w:rFonts w:asciiTheme="minorHAnsi" w:eastAsiaTheme="minorHAnsi" w:hAnsiTheme="minorHAnsi" w:cstheme="minorBidi"/>
          <w:snapToGrid/>
          <w:sz w:val="24"/>
          <w:szCs w:val="22"/>
        </w:rPr>
        <w:t xml:space="preserve"> and METEOR</w:t>
      </w:r>
      <w:r w:rsidRPr="00FC6931">
        <w:rPr>
          <w:rFonts w:asciiTheme="minorHAnsi" w:eastAsiaTheme="minorHAnsi" w:hAnsiTheme="minorHAnsi" w:cstheme="minorBidi"/>
          <w:snapToGrid/>
          <w:sz w:val="24"/>
          <w:szCs w:val="22"/>
        </w:rPr>
        <w:t xml:space="preserve">, and the naïve comparison from AXIS is shown in Table </w:t>
      </w:r>
      <w:bookmarkEnd w:id="2"/>
      <w:r w:rsidR="003C714F">
        <w:rPr>
          <w:rFonts w:asciiTheme="minorHAnsi" w:eastAsiaTheme="minorHAnsi" w:hAnsiTheme="minorHAnsi" w:cstheme="minorBidi"/>
          <w:snapToGrid/>
          <w:sz w:val="24"/>
          <w:szCs w:val="22"/>
        </w:rPr>
        <w:t>3</w:t>
      </w:r>
      <w:r w:rsidRPr="00FC6931">
        <w:rPr>
          <w:rFonts w:asciiTheme="minorHAnsi" w:eastAsiaTheme="minorHAnsi" w:hAnsiTheme="minorHAnsi" w:cstheme="minorBidi"/>
          <w:snapToGrid/>
          <w:sz w:val="24"/>
          <w:szCs w:val="22"/>
        </w:rPr>
        <w:t>.</w:t>
      </w:r>
    </w:p>
    <w:p w:rsidR="009047C1" w:rsidRPr="00CE5544" w:rsidRDefault="00CE5544" w:rsidP="00CE5544">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FC6931" w:rsidRPr="00B17639" w:rsidRDefault="00FC6931" w:rsidP="00FC6931">
      <w:pPr>
        <w:keepNext/>
        <w:rPr>
          <w:rFonts w:ascii="Arial Narrow" w:hAnsi="Arial Narrow"/>
          <w:b/>
          <w:iCs/>
          <w:sz w:val="20"/>
          <w:szCs w:val="20"/>
        </w:rPr>
      </w:pPr>
      <w:r w:rsidRPr="00B17639">
        <w:rPr>
          <w:rFonts w:ascii="Arial Narrow" w:hAnsi="Arial Narrow"/>
          <w:b/>
          <w:iCs/>
          <w:sz w:val="20"/>
          <w:szCs w:val="20"/>
        </w:rPr>
        <w:lastRenderedPageBreak/>
        <w:t xml:space="preserve">Table </w:t>
      </w:r>
      <w:r w:rsidR="003C714F">
        <w:rPr>
          <w:rFonts w:ascii="Arial Narrow" w:hAnsi="Arial Narrow"/>
          <w:b/>
          <w:iCs/>
          <w:sz w:val="20"/>
          <w:szCs w:val="20"/>
        </w:rPr>
        <w:t>3</w:t>
      </w:r>
      <w:r w:rsidRPr="00B17639">
        <w:rPr>
          <w:rFonts w:ascii="Arial Narrow" w:hAnsi="Arial Narrow"/>
          <w:b/>
          <w:iCs/>
          <w:sz w:val="20"/>
          <w:szCs w:val="20"/>
        </w:rPr>
        <w:t>: Results of overall survival across trials</w:t>
      </w:r>
    </w:p>
    <w:tbl>
      <w:tblPr>
        <w:tblStyle w:val="TableGridbeth1"/>
        <w:tblW w:w="5000" w:type="pct"/>
        <w:tblLook w:val="04A0" w:firstRow="1" w:lastRow="0" w:firstColumn="1" w:lastColumn="0" w:noHBand="0" w:noVBand="1"/>
        <w:tblCaption w:val="Table 3: Results of overall survival across trials"/>
      </w:tblPr>
      <w:tblGrid>
        <w:gridCol w:w="1238"/>
        <w:gridCol w:w="1268"/>
        <w:gridCol w:w="1268"/>
        <w:gridCol w:w="1222"/>
        <w:gridCol w:w="1222"/>
        <w:gridCol w:w="1041"/>
        <w:gridCol w:w="809"/>
        <w:gridCol w:w="1174"/>
      </w:tblGrid>
      <w:tr w:rsidR="00FC6931" w:rsidRPr="00B17639" w:rsidTr="005055DA">
        <w:trPr>
          <w:cnfStyle w:val="100000000000" w:firstRow="1" w:lastRow="0" w:firstColumn="0" w:lastColumn="0" w:oddVBand="0" w:evenVBand="0" w:oddHBand="0" w:evenHBand="0" w:firstRowFirstColumn="0" w:firstRowLastColumn="0" w:lastRowFirstColumn="0" w:lastRowLastColumn="0"/>
          <w:tblHeader/>
        </w:trPr>
        <w:tc>
          <w:tcPr>
            <w:tcW w:w="677"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keepNext/>
              <w:spacing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Trial ID</w:t>
            </w:r>
          </w:p>
        </w:tc>
        <w:tc>
          <w:tcPr>
            <w:tcW w:w="1386" w:type="pct"/>
            <w:gridSpan w:val="2"/>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keepNext/>
              <w:jc w:val="center"/>
              <w:rPr>
                <w:rFonts w:ascii="Arial Narrow" w:eastAsia="Calibri" w:hAnsi="Arial Narrow" w:cs="Times New Roman"/>
                <w:sz w:val="20"/>
                <w:szCs w:val="20"/>
                <w:vertAlign w:val="superscript"/>
                <w:lang w:eastAsia="en-AU"/>
              </w:rPr>
            </w:pPr>
            <w:r w:rsidRPr="00B17639">
              <w:rPr>
                <w:rFonts w:ascii="Arial Narrow" w:eastAsia="Calibri" w:hAnsi="Arial Narrow" w:cs="Times New Roman"/>
                <w:sz w:val="20"/>
                <w:szCs w:val="20"/>
                <w:lang w:eastAsia="en-AU"/>
              </w:rPr>
              <w:t xml:space="preserve">Intervention </w:t>
            </w:r>
            <w:r w:rsidRPr="00B17639">
              <w:rPr>
                <w:rFonts w:ascii="Arial Narrow" w:eastAsia="Calibri" w:hAnsi="Arial Narrow" w:cs="Times New Roman"/>
                <w:sz w:val="20"/>
                <w:szCs w:val="20"/>
                <w:vertAlign w:val="superscript"/>
                <w:lang w:eastAsia="en-AU"/>
              </w:rPr>
              <w:t>a</w:t>
            </w:r>
          </w:p>
        </w:tc>
        <w:tc>
          <w:tcPr>
            <w:tcW w:w="1336" w:type="pct"/>
            <w:gridSpan w:val="2"/>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keepNext/>
              <w:jc w:val="center"/>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Comparator </w:t>
            </w:r>
            <w:r w:rsidRPr="00B00EF0">
              <w:rPr>
                <w:rFonts w:ascii="Arial Narrow" w:eastAsia="Calibri" w:hAnsi="Arial Narrow" w:cs="Times New Roman"/>
                <w:sz w:val="20"/>
                <w:szCs w:val="20"/>
                <w:vertAlign w:val="superscript"/>
                <w:lang w:eastAsia="en-AU"/>
              </w:rPr>
              <w:t>b</w:t>
            </w:r>
          </w:p>
        </w:tc>
        <w:tc>
          <w:tcPr>
            <w:tcW w:w="570"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keepNext/>
              <w:spacing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Difference in Median, months</w:t>
            </w:r>
          </w:p>
        </w:tc>
        <w:tc>
          <w:tcPr>
            <w:tcW w:w="388"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keepNext/>
              <w:spacing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P-value</w:t>
            </w:r>
          </w:p>
        </w:tc>
        <w:tc>
          <w:tcPr>
            <w:tcW w:w="642"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keepNext/>
              <w:spacing w:after="160"/>
              <w:rPr>
                <w:rFonts w:ascii="Arial Narrow" w:eastAsia="Calibri" w:hAnsi="Arial Narrow" w:cs="Times New Roman"/>
                <w:sz w:val="20"/>
                <w:szCs w:val="20"/>
                <w:lang w:eastAsia="en-AU"/>
              </w:rPr>
            </w:pPr>
            <w:r w:rsidRPr="00B17639">
              <w:rPr>
                <w:rFonts w:ascii="Arial Narrow" w:eastAsia="Calibri" w:hAnsi="Arial Narrow" w:cs="Times New Roman"/>
                <w:sz w:val="20"/>
                <w:szCs w:val="20"/>
                <w:lang w:eastAsia="en-AU"/>
              </w:rPr>
              <w:t>Hazard ratio (95% CI)</w:t>
            </w:r>
          </w:p>
        </w:tc>
      </w:tr>
      <w:tr w:rsidR="00FC6931" w:rsidRPr="00B17639" w:rsidTr="005055DA">
        <w:trPr>
          <w:cnfStyle w:val="100000000000" w:firstRow="1" w:lastRow="0" w:firstColumn="0" w:lastColumn="0" w:oddVBand="0" w:evenVBand="0" w:oddHBand="0" w:evenHBand="0" w:firstRowFirstColumn="0" w:firstRowLastColumn="0" w:lastRowFirstColumn="0" w:lastRowLastColumn="0"/>
          <w:tblHeader/>
        </w:trPr>
        <w:tc>
          <w:tcPr>
            <w:tcW w:w="677"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after="160"/>
              <w:rPr>
                <w:rFonts w:ascii="Arial Narrow" w:eastAsia="Calibri" w:hAnsi="Arial Narrow" w:cs="Times New Roman"/>
                <w:sz w:val="20"/>
                <w:szCs w:val="20"/>
                <w:lang w:val="en-AU" w:eastAsia="en-AU"/>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keepNext/>
              <w:spacing w:after="160"/>
              <w:rPr>
                <w:rFonts w:ascii="Arial Narrow" w:eastAsia="Calibri" w:hAnsi="Arial Narrow" w:cs="Times New Roman"/>
                <w:b w:val="0"/>
                <w:sz w:val="20"/>
                <w:szCs w:val="20"/>
                <w:lang w:val="en-AU" w:eastAsia="en-AU"/>
              </w:rPr>
            </w:pPr>
            <w:proofErr w:type="gramStart"/>
            <w:r w:rsidRPr="005055DA">
              <w:rPr>
                <w:rFonts w:ascii="Arial Narrow" w:eastAsia="Calibri" w:hAnsi="Arial Narrow" w:cs="Times New Roman"/>
                <w:b w:val="0"/>
                <w:sz w:val="20"/>
                <w:szCs w:val="20"/>
                <w:lang w:eastAsia="en-AU"/>
              </w:rPr>
              <w:t>n/N</w:t>
            </w:r>
            <w:proofErr w:type="gramEnd"/>
            <w:r w:rsidRPr="005055DA">
              <w:rPr>
                <w:rFonts w:ascii="Arial Narrow" w:eastAsia="Calibri" w:hAnsi="Arial Narrow" w:cs="Times New Roman"/>
                <w:b w:val="0"/>
                <w:sz w:val="20"/>
                <w:szCs w:val="20"/>
                <w:lang w:eastAsia="en-AU"/>
              </w:rPr>
              <w:t xml:space="preserve"> with event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keepNext/>
              <w:spacing w:after="160"/>
              <w:rPr>
                <w:rFonts w:ascii="Arial Narrow" w:eastAsia="Calibri" w:hAnsi="Arial Narrow" w:cs="Times New Roman"/>
                <w:b w:val="0"/>
                <w:sz w:val="20"/>
                <w:szCs w:val="20"/>
                <w:lang w:val="en-AU" w:eastAsia="en-AU"/>
              </w:rPr>
            </w:pPr>
            <w:r w:rsidRPr="005055DA">
              <w:rPr>
                <w:rFonts w:ascii="Arial Narrow" w:eastAsia="Calibri" w:hAnsi="Arial Narrow" w:cs="Times New Roman"/>
                <w:b w:val="0"/>
                <w:sz w:val="20"/>
                <w:szCs w:val="20"/>
                <w:lang w:eastAsia="en-AU"/>
              </w:rPr>
              <w:t>Median, months (95% CI)</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keepNext/>
              <w:spacing w:after="160"/>
              <w:rPr>
                <w:rFonts w:ascii="Arial Narrow" w:eastAsia="Calibri" w:hAnsi="Arial Narrow" w:cs="Times New Roman"/>
                <w:b w:val="0"/>
                <w:sz w:val="20"/>
                <w:szCs w:val="20"/>
                <w:lang w:val="en-AU" w:eastAsia="en-AU"/>
              </w:rPr>
            </w:pPr>
            <w:proofErr w:type="gramStart"/>
            <w:r w:rsidRPr="005055DA">
              <w:rPr>
                <w:rFonts w:ascii="Arial Narrow" w:eastAsia="Calibri" w:hAnsi="Arial Narrow" w:cs="Times New Roman"/>
                <w:b w:val="0"/>
                <w:sz w:val="20"/>
                <w:szCs w:val="20"/>
                <w:lang w:eastAsia="en-AU"/>
              </w:rPr>
              <w:t>n/N</w:t>
            </w:r>
            <w:proofErr w:type="gramEnd"/>
            <w:r w:rsidRPr="005055DA">
              <w:rPr>
                <w:rFonts w:ascii="Arial Narrow" w:eastAsia="Calibri" w:hAnsi="Arial Narrow" w:cs="Times New Roman"/>
                <w:b w:val="0"/>
                <w:sz w:val="20"/>
                <w:szCs w:val="20"/>
                <w:lang w:eastAsia="en-AU"/>
              </w:rPr>
              <w:t xml:space="preserve"> with event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keepNext/>
              <w:spacing w:after="160"/>
              <w:rPr>
                <w:rFonts w:ascii="Arial Narrow" w:eastAsia="Calibri" w:hAnsi="Arial Narrow" w:cs="Times New Roman"/>
                <w:b w:val="0"/>
                <w:sz w:val="20"/>
                <w:szCs w:val="20"/>
                <w:lang w:val="en-AU" w:eastAsia="en-AU"/>
              </w:rPr>
            </w:pPr>
            <w:r w:rsidRPr="005055DA">
              <w:rPr>
                <w:rFonts w:ascii="Arial Narrow" w:eastAsia="Calibri" w:hAnsi="Arial Narrow" w:cs="Times New Roman"/>
                <w:b w:val="0"/>
                <w:sz w:val="20"/>
                <w:szCs w:val="20"/>
                <w:lang w:eastAsia="en-AU"/>
              </w:rPr>
              <w:t>Median, months (95% CI)</w:t>
            </w:r>
          </w:p>
        </w:tc>
        <w:tc>
          <w:tcPr>
            <w:tcW w:w="570"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after="160"/>
              <w:rPr>
                <w:rFonts w:ascii="Arial Narrow" w:eastAsia="Calibri" w:hAnsi="Arial Narrow" w:cs="Times New Roman"/>
                <w:sz w:val="20"/>
                <w:szCs w:val="20"/>
                <w:lang w:val="en-AU" w:eastAsia="en-AU"/>
              </w:rPr>
            </w:pPr>
          </w:p>
        </w:tc>
        <w:tc>
          <w:tcPr>
            <w:tcW w:w="388"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after="160"/>
              <w:rPr>
                <w:rFonts w:ascii="Arial Narrow" w:eastAsia="Calibri" w:hAnsi="Arial Narrow" w:cs="Times New Roman"/>
                <w:sz w:val="20"/>
                <w:szCs w:val="20"/>
                <w:lang w:val="en-AU" w:eastAsia="en-AU"/>
              </w:rPr>
            </w:pPr>
          </w:p>
        </w:tc>
        <w:tc>
          <w:tcPr>
            <w:tcW w:w="642"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keepNext/>
              <w:spacing w:after="160"/>
              <w:rPr>
                <w:rFonts w:ascii="Arial Narrow" w:eastAsia="Calibri" w:hAnsi="Arial Narrow" w:cs="Times New Roman"/>
                <w:sz w:val="20"/>
                <w:szCs w:val="20"/>
                <w:lang w:val="en-AU" w:eastAsia="en-AU"/>
              </w:rPr>
            </w:pPr>
          </w:p>
        </w:tc>
      </w:tr>
      <w:tr w:rsidR="00FC6931" w:rsidRPr="00B17639" w:rsidTr="00AA07CB">
        <w:tc>
          <w:tcPr>
            <w:tcW w:w="677"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Study 205</w:t>
            </w:r>
          </w:p>
        </w:tc>
        <w:tc>
          <w:tcPr>
            <w:tcW w:w="69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19/51 (37%)</w:t>
            </w:r>
          </w:p>
        </w:tc>
        <w:tc>
          <w:tcPr>
            <w:tcW w:w="69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25.5 (20.8, 25.5)</w:t>
            </w:r>
          </w:p>
        </w:tc>
        <w:tc>
          <w:tcPr>
            <w:tcW w:w="66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26/50 (52%)</w:t>
            </w:r>
          </w:p>
        </w:tc>
        <w:tc>
          <w:tcPr>
            <w:tcW w:w="66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17.5 (11.8, NE)</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8.0</w:t>
            </w:r>
          </w:p>
        </w:tc>
        <w:tc>
          <w:tcPr>
            <w:tcW w:w="38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0.062</w:t>
            </w:r>
          </w:p>
        </w:tc>
        <w:tc>
          <w:tcPr>
            <w:tcW w:w="642"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0.55 (0.30, 1.01)</w:t>
            </w:r>
          </w:p>
        </w:tc>
      </w:tr>
      <w:tr w:rsidR="00FC6931" w:rsidRPr="00B17639" w:rsidTr="00AA07CB">
        <w:tc>
          <w:tcPr>
            <w:tcW w:w="677"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proofErr w:type="spellStart"/>
            <w:r w:rsidRPr="00B17639">
              <w:rPr>
                <w:rFonts w:ascii="Arial Narrow" w:eastAsia="Times New Roman" w:hAnsi="Arial Narrow" w:cs="Times New Roman"/>
                <w:sz w:val="20"/>
                <w:szCs w:val="20"/>
                <w:lang w:val="en-AU" w:eastAsia="en-AU"/>
              </w:rPr>
              <w:t>CheckMate</w:t>
            </w:r>
            <w:proofErr w:type="spellEnd"/>
            <w:r w:rsidRPr="00B17639">
              <w:rPr>
                <w:rFonts w:ascii="Arial Narrow" w:eastAsia="Times New Roman" w:hAnsi="Arial Narrow" w:cs="Times New Roman"/>
                <w:sz w:val="20"/>
                <w:szCs w:val="20"/>
                <w:lang w:val="en-AU" w:eastAsia="en-AU"/>
              </w:rPr>
              <w:t xml:space="preserve"> 025</w:t>
            </w:r>
          </w:p>
        </w:tc>
        <w:tc>
          <w:tcPr>
            <w:tcW w:w="69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183/410 (45%)</w:t>
            </w:r>
          </w:p>
        </w:tc>
        <w:tc>
          <w:tcPr>
            <w:tcW w:w="693"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25.0 (21.8, NE)</w:t>
            </w:r>
          </w:p>
        </w:tc>
        <w:tc>
          <w:tcPr>
            <w:tcW w:w="66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215/411 (52%)</w:t>
            </w:r>
          </w:p>
        </w:tc>
        <w:tc>
          <w:tcPr>
            <w:tcW w:w="66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19.6 (17.6, 23.1)</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5.4</w:t>
            </w:r>
          </w:p>
        </w:tc>
        <w:tc>
          <w:tcPr>
            <w:tcW w:w="388"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0.002</w:t>
            </w:r>
          </w:p>
        </w:tc>
        <w:tc>
          <w:tcPr>
            <w:tcW w:w="642"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spacing w:after="160"/>
              <w:rPr>
                <w:rFonts w:ascii="Arial Narrow" w:eastAsia="Times New Roman" w:hAnsi="Arial Narrow" w:cs="Times New Roman"/>
                <w:sz w:val="20"/>
                <w:szCs w:val="20"/>
                <w:lang w:val="en-AU" w:eastAsia="en-AU"/>
              </w:rPr>
            </w:pPr>
            <w:r w:rsidRPr="00B17639">
              <w:rPr>
                <w:rFonts w:ascii="Arial Narrow" w:eastAsia="Times New Roman" w:hAnsi="Arial Narrow" w:cs="Times New Roman"/>
                <w:sz w:val="20"/>
                <w:szCs w:val="20"/>
                <w:lang w:val="en-AU" w:eastAsia="en-AU"/>
              </w:rPr>
              <w:t>0.73 (98.5% CI: 0.57, 0.93)</w:t>
            </w:r>
          </w:p>
        </w:tc>
      </w:tr>
      <w:tr w:rsidR="00FC6931" w:rsidRPr="00586913" w:rsidTr="00AA07CB">
        <w:tc>
          <w:tcPr>
            <w:tcW w:w="677"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AXIS</w:t>
            </w:r>
          </w:p>
        </w:tc>
        <w:tc>
          <w:tcPr>
            <w:tcW w:w="693"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211/359 (59%)</w:t>
            </w:r>
          </w:p>
        </w:tc>
        <w:tc>
          <w:tcPr>
            <w:tcW w:w="693"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20.1 (16.7, 23.4)</w:t>
            </w:r>
          </w:p>
        </w:tc>
        <w:tc>
          <w:tcPr>
            <w:tcW w:w="668"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214/355 (60%)</w:t>
            </w:r>
          </w:p>
        </w:tc>
        <w:tc>
          <w:tcPr>
            <w:tcW w:w="668"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19.2 (17.5, 22.3)</w:t>
            </w:r>
          </w:p>
        </w:tc>
        <w:tc>
          <w:tcPr>
            <w:tcW w:w="570"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0.9</w:t>
            </w:r>
          </w:p>
        </w:tc>
        <w:tc>
          <w:tcPr>
            <w:tcW w:w="388"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0.3744</w:t>
            </w:r>
          </w:p>
        </w:tc>
        <w:tc>
          <w:tcPr>
            <w:tcW w:w="642" w:type="pct"/>
            <w:tcBorders>
              <w:top w:val="single" w:sz="4" w:space="0" w:color="auto"/>
              <w:left w:val="single" w:sz="4" w:space="0" w:color="auto"/>
              <w:bottom w:val="single" w:sz="4" w:space="0" w:color="auto"/>
              <w:right w:val="single" w:sz="4" w:space="0" w:color="auto"/>
            </w:tcBorders>
          </w:tcPr>
          <w:p w:rsidR="00FC6931" w:rsidRPr="000D7C4C" w:rsidRDefault="00FC6931" w:rsidP="00AA07CB">
            <w:pPr>
              <w:spacing w:after="160"/>
              <w:rPr>
                <w:rFonts w:ascii="Arial Narrow" w:eastAsia="Times New Roman" w:hAnsi="Arial Narrow" w:cs="Times New Roman"/>
                <w:sz w:val="20"/>
                <w:szCs w:val="20"/>
                <w:lang w:val="en-AU" w:eastAsia="en-AU"/>
              </w:rPr>
            </w:pPr>
            <w:r w:rsidRPr="000D7C4C">
              <w:rPr>
                <w:rFonts w:ascii="Arial Narrow" w:eastAsia="Times New Roman" w:hAnsi="Arial Narrow" w:cs="Times New Roman"/>
                <w:sz w:val="20"/>
                <w:szCs w:val="20"/>
                <w:lang w:eastAsia="en-AU"/>
              </w:rPr>
              <w:t>0.97 (0.80, 1.17)</w:t>
            </w:r>
          </w:p>
        </w:tc>
      </w:tr>
      <w:tr w:rsidR="00266817" w:rsidRPr="00586913" w:rsidTr="00AA07CB">
        <w:tc>
          <w:tcPr>
            <w:tcW w:w="677" w:type="pct"/>
            <w:tcBorders>
              <w:top w:val="single" w:sz="4" w:space="0" w:color="auto"/>
              <w:left w:val="single" w:sz="4" w:space="0" w:color="auto"/>
              <w:bottom w:val="single" w:sz="4" w:space="0" w:color="auto"/>
              <w:right w:val="single" w:sz="4" w:space="0" w:color="auto"/>
            </w:tcBorders>
          </w:tcPr>
          <w:p w:rsidR="00266817" w:rsidRPr="000D7C4C" w:rsidRDefault="00266817" w:rsidP="00AA07CB">
            <w:pPr>
              <w:spacing w:after="160"/>
              <w:rPr>
                <w:rFonts w:ascii="Arial Narrow" w:hAnsi="Arial Narrow"/>
                <w:sz w:val="20"/>
                <w:szCs w:val="20"/>
              </w:rPr>
            </w:pPr>
            <w:r>
              <w:rPr>
                <w:rFonts w:ascii="Arial Narrow" w:hAnsi="Arial Narrow"/>
                <w:sz w:val="20"/>
                <w:szCs w:val="20"/>
              </w:rPr>
              <w:t>METEOR</w:t>
            </w:r>
          </w:p>
        </w:tc>
        <w:tc>
          <w:tcPr>
            <w:tcW w:w="693"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140/330</w:t>
            </w:r>
            <w:r>
              <w:rPr>
                <w:rFonts w:ascii="Arial Narrow" w:hAnsi="Arial Narrow"/>
                <w:sz w:val="20"/>
                <w:szCs w:val="20"/>
              </w:rPr>
              <w:br/>
              <w:t>(42%)</w:t>
            </w:r>
          </w:p>
        </w:tc>
        <w:tc>
          <w:tcPr>
            <w:tcW w:w="693"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21.4</w:t>
            </w:r>
            <w:r>
              <w:rPr>
                <w:rFonts w:ascii="Arial Narrow" w:hAnsi="Arial Narrow"/>
                <w:sz w:val="20"/>
                <w:szCs w:val="20"/>
              </w:rPr>
              <w:br/>
              <w:t>(18.7, NE)</w:t>
            </w:r>
          </w:p>
        </w:tc>
        <w:tc>
          <w:tcPr>
            <w:tcW w:w="668"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180/328</w:t>
            </w:r>
            <w:r>
              <w:rPr>
                <w:rFonts w:ascii="Arial Narrow" w:hAnsi="Arial Narrow"/>
                <w:sz w:val="20"/>
                <w:szCs w:val="20"/>
              </w:rPr>
              <w:br/>
              <w:t>(55%)</w:t>
            </w:r>
          </w:p>
        </w:tc>
        <w:tc>
          <w:tcPr>
            <w:tcW w:w="668"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18.8</w:t>
            </w:r>
            <w:r>
              <w:rPr>
                <w:rFonts w:ascii="Arial Narrow" w:hAnsi="Arial Narrow"/>
                <w:sz w:val="20"/>
                <w:szCs w:val="20"/>
              </w:rPr>
              <w:br/>
              <w:t>(16.0, 21.1)</w:t>
            </w:r>
          </w:p>
        </w:tc>
        <w:tc>
          <w:tcPr>
            <w:tcW w:w="570"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2.6</w:t>
            </w:r>
          </w:p>
        </w:tc>
        <w:tc>
          <w:tcPr>
            <w:tcW w:w="388"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0.00026</w:t>
            </w:r>
          </w:p>
        </w:tc>
        <w:tc>
          <w:tcPr>
            <w:tcW w:w="642" w:type="pct"/>
            <w:tcBorders>
              <w:top w:val="single" w:sz="4" w:space="0" w:color="auto"/>
              <w:left w:val="single" w:sz="4" w:space="0" w:color="auto"/>
              <w:bottom w:val="single" w:sz="4" w:space="0" w:color="auto"/>
              <w:right w:val="single" w:sz="4" w:space="0" w:color="auto"/>
            </w:tcBorders>
          </w:tcPr>
          <w:p w:rsidR="00266817" w:rsidRPr="000D7C4C" w:rsidRDefault="004643A9" w:rsidP="00AA07CB">
            <w:pPr>
              <w:spacing w:after="160"/>
              <w:rPr>
                <w:rFonts w:ascii="Arial Narrow" w:hAnsi="Arial Narrow"/>
                <w:sz w:val="20"/>
                <w:szCs w:val="20"/>
              </w:rPr>
            </w:pPr>
            <w:r>
              <w:rPr>
                <w:rFonts w:ascii="Arial Narrow" w:hAnsi="Arial Narrow"/>
                <w:sz w:val="20"/>
                <w:szCs w:val="20"/>
              </w:rPr>
              <w:t>0.66 (0.53, 0.83)</w:t>
            </w:r>
          </w:p>
        </w:tc>
      </w:tr>
    </w:tbl>
    <w:p w:rsidR="00FC6931" w:rsidRPr="00B17639" w:rsidRDefault="00FC6931" w:rsidP="00FC6931">
      <w:pPr>
        <w:pStyle w:val="TableFooter"/>
        <w:rPr>
          <w:rFonts w:eastAsia="Calibri"/>
        </w:rPr>
      </w:pPr>
      <w:r w:rsidRPr="00B17639">
        <w:rPr>
          <w:rFonts w:eastAsia="Calibri"/>
        </w:rPr>
        <w:t xml:space="preserve">Source: Table 2-20, page 70 of </w:t>
      </w:r>
      <w:r w:rsidR="00377A91">
        <w:rPr>
          <w:rFonts w:eastAsia="Calibri"/>
        </w:rPr>
        <w:t xml:space="preserve">November 2017 </w:t>
      </w:r>
      <w:r w:rsidRPr="00B17639">
        <w:rPr>
          <w:rFonts w:eastAsia="Calibri"/>
        </w:rPr>
        <w:t>submission</w:t>
      </w:r>
      <w:r>
        <w:rPr>
          <w:rFonts w:eastAsia="Calibri" w:cs="Times New Roman"/>
          <w:szCs w:val="18"/>
        </w:rPr>
        <w:t>;</w:t>
      </w:r>
      <w:r w:rsidRPr="003002E6">
        <w:rPr>
          <w:rFonts w:eastAsia="Calibri" w:cs="Times New Roman"/>
          <w:szCs w:val="18"/>
        </w:rPr>
        <w:t xml:space="preserve"> Table 1</w:t>
      </w:r>
      <w:r>
        <w:rPr>
          <w:rFonts w:eastAsia="Calibri" w:cs="Times New Roman"/>
          <w:szCs w:val="18"/>
        </w:rPr>
        <w:t>2</w:t>
      </w:r>
      <w:r w:rsidRPr="003002E6">
        <w:rPr>
          <w:rFonts w:eastAsia="Calibri" w:cs="Times New Roman"/>
          <w:szCs w:val="18"/>
        </w:rPr>
        <w:t xml:space="preserve">, Appendix 1 of the </w:t>
      </w:r>
      <w:r w:rsidR="00377A91">
        <w:rPr>
          <w:rFonts w:eastAsia="Calibri" w:cs="Times New Roman"/>
          <w:szCs w:val="18"/>
        </w:rPr>
        <w:t xml:space="preserve">November 2017 </w:t>
      </w:r>
      <w:r w:rsidRPr="003002E6">
        <w:rPr>
          <w:rFonts w:eastAsia="Calibri" w:cs="Times New Roman"/>
          <w:szCs w:val="18"/>
        </w:rPr>
        <w:t>Submission.</w:t>
      </w:r>
    </w:p>
    <w:p w:rsidR="00FC6931" w:rsidRPr="00B17639" w:rsidRDefault="00FC6931" w:rsidP="00FC6931">
      <w:pPr>
        <w:pStyle w:val="TableFooter"/>
        <w:rPr>
          <w:rFonts w:eastAsia="Calibri"/>
        </w:rPr>
      </w:pPr>
      <w:bookmarkStart w:id="3" w:name="_Hlk489952766"/>
      <w:r w:rsidRPr="00B17639">
        <w:rPr>
          <w:rFonts w:eastAsia="Calibri"/>
        </w:rPr>
        <w:t>Notes: Study 205: Data cut=13th June 2014, Length of follow-up=18.5 months (median)</w:t>
      </w:r>
      <w:bookmarkEnd w:id="3"/>
      <w:r w:rsidRPr="00B17639">
        <w:rPr>
          <w:rFonts w:eastAsia="Calibri"/>
        </w:rPr>
        <w:t xml:space="preserve">; </w:t>
      </w:r>
      <w:proofErr w:type="spellStart"/>
      <w:r w:rsidRPr="00B17639">
        <w:rPr>
          <w:rFonts w:eastAsia="Calibri"/>
        </w:rPr>
        <w:t>CheckMate</w:t>
      </w:r>
      <w:proofErr w:type="spellEnd"/>
      <w:r w:rsidRPr="00B17639">
        <w:rPr>
          <w:rFonts w:eastAsia="Calibri"/>
        </w:rPr>
        <w:t xml:space="preserve"> 025: Data cut=June 2015, Length of follow-up=14 months (minimum)</w:t>
      </w:r>
    </w:p>
    <w:p w:rsidR="00FC6931" w:rsidRDefault="00FC6931" w:rsidP="00FC6931">
      <w:pPr>
        <w:pStyle w:val="TableFooter"/>
        <w:rPr>
          <w:rFonts w:eastAsia="Calibri"/>
        </w:rPr>
      </w:pPr>
      <w:proofErr w:type="spellStart"/>
      <w:proofErr w:type="gramStart"/>
      <w:r w:rsidRPr="00B17639">
        <w:rPr>
          <w:rFonts w:eastAsia="Calibri"/>
          <w:vertAlign w:val="superscript"/>
        </w:rPr>
        <w:t>a</w:t>
      </w:r>
      <w:proofErr w:type="spellEnd"/>
      <w:proofErr w:type="gramEnd"/>
      <w:r w:rsidRPr="00B17639">
        <w:rPr>
          <w:rFonts w:eastAsia="Calibri"/>
        </w:rPr>
        <w:t xml:space="preserve"> Intervention in Study 205 was </w:t>
      </w:r>
      <w:proofErr w:type="spellStart"/>
      <w:r w:rsidRPr="00B17639">
        <w:rPr>
          <w:rFonts w:eastAsia="Calibri"/>
        </w:rPr>
        <w:t>lenvatinib</w:t>
      </w:r>
      <w:proofErr w:type="spellEnd"/>
      <w:r w:rsidRPr="00B17639">
        <w:rPr>
          <w:rFonts w:eastAsia="Calibri"/>
        </w:rPr>
        <w:t>/</w:t>
      </w:r>
      <w:proofErr w:type="spellStart"/>
      <w:r w:rsidRPr="00B17639">
        <w:rPr>
          <w:rFonts w:eastAsia="Calibri"/>
        </w:rPr>
        <w:t>everolimus</w:t>
      </w:r>
      <w:proofErr w:type="spellEnd"/>
      <w:r w:rsidRPr="00B17639">
        <w:rPr>
          <w:rFonts w:eastAsia="Calibri"/>
        </w:rPr>
        <w:t xml:space="preserve">; intervention in CheckMate025 was </w:t>
      </w:r>
      <w:proofErr w:type="spellStart"/>
      <w:r w:rsidRPr="00B17639">
        <w:rPr>
          <w:rFonts w:eastAsia="Calibri"/>
        </w:rPr>
        <w:t>nivolumab</w:t>
      </w:r>
      <w:proofErr w:type="spellEnd"/>
      <w:r>
        <w:rPr>
          <w:rFonts w:eastAsia="Calibri"/>
        </w:rPr>
        <w:t>; intervention in AXIS w</w:t>
      </w:r>
      <w:r w:rsidR="00211A78">
        <w:rPr>
          <w:rFonts w:eastAsia="Calibri"/>
        </w:rPr>
        <w:t xml:space="preserve">as </w:t>
      </w:r>
      <w:proofErr w:type="spellStart"/>
      <w:r w:rsidR="00211A78">
        <w:rPr>
          <w:rFonts w:eastAsia="Calibri"/>
        </w:rPr>
        <w:t>axitinib</w:t>
      </w:r>
      <w:proofErr w:type="spellEnd"/>
      <w:r w:rsidR="00211A78">
        <w:rPr>
          <w:rFonts w:eastAsia="Calibri"/>
        </w:rPr>
        <w:t xml:space="preserve"> 5 mg </w:t>
      </w:r>
      <w:proofErr w:type="spellStart"/>
      <w:r w:rsidR="00211A78">
        <w:rPr>
          <w:rFonts w:eastAsia="Calibri"/>
        </w:rPr>
        <w:t>b.d</w:t>
      </w:r>
      <w:proofErr w:type="spellEnd"/>
      <w:r w:rsidR="00211A78">
        <w:rPr>
          <w:rFonts w:eastAsia="Calibri"/>
        </w:rPr>
        <w:t>;</w:t>
      </w:r>
      <w:r w:rsidR="00345859">
        <w:rPr>
          <w:rFonts w:eastAsia="Calibri"/>
        </w:rPr>
        <w:t xml:space="preserve"> intervention in METEOR was </w:t>
      </w:r>
      <w:proofErr w:type="spellStart"/>
      <w:r w:rsidR="00B50C1B">
        <w:rPr>
          <w:rFonts w:eastAsia="Calibri"/>
        </w:rPr>
        <w:t>cabozantinib</w:t>
      </w:r>
      <w:proofErr w:type="spellEnd"/>
      <w:r w:rsidR="00B50C1B">
        <w:rPr>
          <w:rFonts w:eastAsia="Calibri"/>
        </w:rPr>
        <w:t xml:space="preserve"> </w:t>
      </w:r>
      <w:r w:rsidR="00211A78">
        <w:rPr>
          <w:rFonts w:eastAsia="Calibri"/>
        </w:rPr>
        <w:t>60 mg daily</w:t>
      </w:r>
    </w:p>
    <w:p w:rsidR="00FC6931" w:rsidRDefault="00FC6931" w:rsidP="00FC6931">
      <w:pPr>
        <w:pStyle w:val="TableFooter"/>
        <w:rPr>
          <w:rFonts w:eastAsia="Calibri"/>
        </w:rPr>
      </w:pPr>
      <w:proofErr w:type="gramStart"/>
      <w:r>
        <w:rPr>
          <w:rFonts w:eastAsia="Calibri"/>
          <w:vertAlign w:val="superscript"/>
        </w:rPr>
        <w:t>b</w:t>
      </w:r>
      <w:proofErr w:type="gramEnd"/>
      <w:r>
        <w:rPr>
          <w:rFonts w:eastAsia="Calibri"/>
        </w:rPr>
        <w:t xml:space="preserve"> Comparator</w:t>
      </w:r>
      <w:r w:rsidR="00211A78">
        <w:rPr>
          <w:rFonts w:eastAsia="Calibri"/>
        </w:rPr>
        <w:t xml:space="preserve"> in Study 205, </w:t>
      </w:r>
      <w:r w:rsidRPr="00B17639">
        <w:rPr>
          <w:rFonts w:eastAsia="Calibri"/>
        </w:rPr>
        <w:t xml:space="preserve">CheckMate025 </w:t>
      </w:r>
      <w:r w:rsidR="00211A78">
        <w:rPr>
          <w:rFonts w:eastAsia="Calibri"/>
        </w:rPr>
        <w:t xml:space="preserve">and METEOR </w:t>
      </w:r>
      <w:r w:rsidRPr="00B17639">
        <w:rPr>
          <w:rFonts w:eastAsia="Calibri"/>
        </w:rPr>
        <w:t xml:space="preserve">was </w:t>
      </w:r>
      <w:proofErr w:type="spellStart"/>
      <w:r>
        <w:rPr>
          <w:rFonts w:eastAsia="Calibri"/>
        </w:rPr>
        <w:t>everolimus</w:t>
      </w:r>
      <w:proofErr w:type="spellEnd"/>
      <w:r>
        <w:rPr>
          <w:rFonts w:eastAsia="Calibri"/>
        </w:rPr>
        <w:t xml:space="preserve"> 10 mg; comparator in AXIS was </w:t>
      </w:r>
      <w:proofErr w:type="spellStart"/>
      <w:r>
        <w:rPr>
          <w:rFonts w:eastAsia="Calibri"/>
        </w:rPr>
        <w:t>sorafenib</w:t>
      </w:r>
      <w:proofErr w:type="spellEnd"/>
      <w:r>
        <w:rPr>
          <w:rFonts w:eastAsia="Calibri"/>
        </w:rPr>
        <w:t xml:space="preserve"> 400 mg </w:t>
      </w:r>
      <w:proofErr w:type="spellStart"/>
      <w:r>
        <w:rPr>
          <w:rFonts w:eastAsia="Calibri"/>
        </w:rPr>
        <w:t>b.d</w:t>
      </w:r>
      <w:proofErr w:type="spellEnd"/>
      <w:r>
        <w:rPr>
          <w:rFonts w:eastAsia="Calibri"/>
        </w:rPr>
        <w:t>.</w:t>
      </w:r>
    </w:p>
    <w:p w:rsidR="00FC6931" w:rsidRDefault="00FC6931" w:rsidP="00FC6931">
      <w:pPr>
        <w:pStyle w:val="TableFooter"/>
        <w:rPr>
          <w:rFonts w:eastAsia="Calibri"/>
        </w:rPr>
      </w:pPr>
      <w:r w:rsidRPr="00B17639">
        <w:rPr>
          <w:rFonts w:eastAsia="Calibri"/>
        </w:rPr>
        <w:t xml:space="preserve">Abbreviations: CI, confidence interval; HR, hazard ratio; </w:t>
      </w:r>
      <w:r w:rsidRPr="00B17639">
        <w:t>n number</w:t>
      </w:r>
      <w:r>
        <w:t xml:space="preserve">; </w:t>
      </w:r>
      <w:r w:rsidRPr="00B17639">
        <w:rPr>
          <w:rFonts w:eastAsia="Calibri"/>
        </w:rPr>
        <w:t>NE, not evaluable</w:t>
      </w:r>
    </w:p>
    <w:p w:rsidR="00FC6931" w:rsidRPr="00FC6931" w:rsidRDefault="00FC6931" w:rsidP="00FC6931">
      <w:pPr>
        <w:pStyle w:val="TableFooter"/>
        <w:rPr>
          <w:rFonts w:eastAsia="Calibri"/>
        </w:rPr>
      </w:pPr>
    </w:p>
    <w:p w:rsidR="00FC6931" w:rsidRPr="00FC6931" w:rsidRDefault="00FC6931" w:rsidP="00FC6931">
      <w:pPr>
        <w:pStyle w:val="ListParagraph"/>
        <w:widowControl/>
        <w:numPr>
          <w:ilvl w:val="1"/>
          <w:numId w:val="14"/>
        </w:numPr>
        <w:spacing w:after="120"/>
        <w:contextualSpacing w:val="0"/>
        <w:rPr>
          <w:rFonts w:asciiTheme="minorHAnsi" w:eastAsiaTheme="minorHAnsi" w:hAnsiTheme="minorHAnsi" w:cstheme="minorBidi"/>
          <w:snapToGrid/>
          <w:sz w:val="24"/>
          <w:szCs w:val="22"/>
        </w:rPr>
      </w:pPr>
      <w:bookmarkStart w:id="4" w:name="_Hlk490130698"/>
      <w:r w:rsidRPr="00FC6931">
        <w:rPr>
          <w:rFonts w:asciiTheme="minorHAnsi" w:eastAsiaTheme="minorHAnsi" w:hAnsiTheme="minorHAnsi" w:cstheme="minorBidi"/>
          <w:snapToGrid/>
          <w:sz w:val="24"/>
          <w:szCs w:val="22"/>
        </w:rPr>
        <w:t xml:space="preserve">Additional evidence for OS </w:t>
      </w:r>
      <w:r w:rsidR="0060337A">
        <w:rPr>
          <w:rFonts w:asciiTheme="minorHAnsi" w:eastAsiaTheme="minorHAnsi" w:hAnsiTheme="minorHAnsi" w:cstheme="minorBidi"/>
          <w:snapToGrid/>
          <w:sz w:val="24"/>
          <w:szCs w:val="22"/>
        </w:rPr>
        <w:t xml:space="preserve">from Study 205 </w:t>
      </w:r>
      <w:r w:rsidRPr="00FC6931">
        <w:rPr>
          <w:rFonts w:asciiTheme="minorHAnsi" w:eastAsiaTheme="minorHAnsi" w:hAnsiTheme="minorHAnsi" w:cstheme="minorBidi"/>
          <w:snapToGrid/>
          <w:sz w:val="24"/>
          <w:szCs w:val="22"/>
        </w:rPr>
        <w:t xml:space="preserve">based on later data cut-offs is shown in Table </w:t>
      </w:r>
      <w:r w:rsidR="003C714F">
        <w:rPr>
          <w:rFonts w:asciiTheme="minorHAnsi" w:eastAsiaTheme="minorHAnsi" w:hAnsiTheme="minorHAnsi" w:cstheme="minorBidi"/>
          <w:snapToGrid/>
          <w:sz w:val="24"/>
          <w:szCs w:val="22"/>
        </w:rPr>
        <w:t>4</w:t>
      </w:r>
      <w:r w:rsidRPr="00FC6931">
        <w:rPr>
          <w:rFonts w:asciiTheme="minorHAnsi" w:eastAsiaTheme="minorHAnsi" w:hAnsiTheme="minorHAnsi" w:cstheme="minorBidi"/>
          <w:snapToGrid/>
          <w:sz w:val="24"/>
          <w:szCs w:val="22"/>
        </w:rPr>
        <w:t xml:space="preserve">. </w:t>
      </w:r>
    </w:p>
    <w:bookmarkEnd w:id="4"/>
    <w:p w:rsidR="00FC6931" w:rsidRPr="00FC6931" w:rsidRDefault="00FC6931" w:rsidP="00FC6931">
      <w:pPr>
        <w:keepNext/>
        <w:rPr>
          <w:rFonts w:ascii="Arial Narrow" w:hAnsi="Arial Narrow"/>
          <w:b/>
          <w:iCs/>
          <w:sz w:val="20"/>
          <w:szCs w:val="20"/>
        </w:rPr>
      </w:pPr>
      <w:r w:rsidRPr="00FC6931">
        <w:rPr>
          <w:rFonts w:ascii="Arial Narrow" w:hAnsi="Arial Narrow"/>
          <w:b/>
          <w:iCs/>
          <w:sz w:val="20"/>
          <w:szCs w:val="20"/>
        </w:rPr>
        <w:t xml:space="preserve">Table </w:t>
      </w:r>
      <w:r w:rsidR="003C714F">
        <w:rPr>
          <w:rFonts w:ascii="Arial Narrow" w:hAnsi="Arial Narrow"/>
          <w:b/>
          <w:iCs/>
          <w:sz w:val="20"/>
          <w:szCs w:val="20"/>
        </w:rPr>
        <w:t>4</w:t>
      </w:r>
      <w:r w:rsidRPr="00FC6931">
        <w:rPr>
          <w:rFonts w:ascii="Arial Narrow" w:hAnsi="Arial Narrow"/>
          <w:b/>
          <w:iCs/>
          <w:sz w:val="20"/>
          <w:szCs w:val="20"/>
        </w:rPr>
        <w:t>: Results of additional overall survival data from Study 205</w:t>
      </w:r>
    </w:p>
    <w:tbl>
      <w:tblPr>
        <w:tblStyle w:val="TableGridbeth2"/>
        <w:tblW w:w="5000" w:type="pct"/>
        <w:tblLook w:val="04A0" w:firstRow="1" w:lastRow="0" w:firstColumn="1" w:lastColumn="0" w:noHBand="0" w:noVBand="1"/>
        <w:tblCaption w:val="Table 4: Results of additional overall survival data from Study 205"/>
      </w:tblPr>
      <w:tblGrid>
        <w:gridCol w:w="1053"/>
        <w:gridCol w:w="1053"/>
        <w:gridCol w:w="1449"/>
        <w:gridCol w:w="1054"/>
        <w:gridCol w:w="1054"/>
        <w:gridCol w:w="1054"/>
        <w:gridCol w:w="1054"/>
        <w:gridCol w:w="1471"/>
      </w:tblGrid>
      <w:tr w:rsidR="00FC6931" w:rsidRPr="00B17639" w:rsidTr="005055DA">
        <w:trPr>
          <w:cnfStyle w:val="100000000000" w:firstRow="1" w:lastRow="0" w:firstColumn="0" w:lastColumn="0" w:oddVBand="0" w:evenVBand="0" w:oddHBand="0" w:evenHBand="0" w:firstRowFirstColumn="0" w:firstRowLastColumn="0" w:lastRowFirstColumn="0" w:lastRowLastColumn="0"/>
          <w:tblHeader/>
        </w:trPr>
        <w:tc>
          <w:tcPr>
            <w:tcW w:w="570"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Data cut</w:t>
            </w:r>
          </w:p>
        </w:tc>
        <w:tc>
          <w:tcPr>
            <w:tcW w:w="1354" w:type="pct"/>
            <w:gridSpan w:val="2"/>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jc w:val="center"/>
              <w:rPr>
                <w:rFonts w:ascii="Arial Narrow" w:eastAsia="Times New Roman" w:hAnsi="Arial Narrow" w:cs="Times New Roman"/>
                <w:sz w:val="20"/>
                <w:szCs w:val="20"/>
                <w:lang w:eastAsia="en-AU"/>
              </w:rPr>
            </w:pPr>
            <w:proofErr w:type="spellStart"/>
            <w:r w:rsidRPr="00B17639">
              <w:rPr>
                <w:rFonts w:ascii="Arial Narrow" w:eastAsia="Times New Roman" w:hAnsi="Arial Narrow" w:cs="Times New Roman"/>
                <w:sz w:val="20"/>
                <w:szCs w:val="20"/>
                <w:lang w:eastAsia="en-AU"/>
              </w:rPr>
              <w:t>Lenvatinib</w:t>
            </w:r>
            <w:proofErr w:type="spellEnd"/>
            <w:r w:rsidRPr="00B17639">
              <w:rPr>
                <w:rFonts w:ascii="Arial Narrow" w:eastAsia="Times New Roman" w:hAnsi="Arial Narrow" w:cs="Times New Roman"/>
                <w:sz w:val="20"/>
                <w:szCs w:val="20"/>
                <w:lang w:eastAsia="en-AU"/>
              </w:rPr>
              <w:t>/</w:t>
            </w:r>
            <w:proofErr w:type="spellStart"/>
            <w:r w:rsidRPr="00B17639">
              <w:rPr>
                <w:rFonts w:ascii="Arial Narrow" w:eastAsia="Times New Roman" w:hAnsi="Arial Narrow" w:cs="Times New Roman"/>
                <w:sz w:val="20"/>
                <w:szCs w:val="20"/>
                <w:lang w:eastAsia="en-AU"/>
              </w:rPr>
              <w:t>everolimus</w:t>
            </w:r>
            <w:proofErr w:type="spellEnd"/>
          </w:p>
        </w:tc>
        <w:tc>
          <w:tcPr>
            <w:tcW w:w="1139" w:type="pct"/>
            <w:gridSpan w:val="2"/>
            <w:tcBorders>
              <w:top w:val="single" w:sz="4" w:space="0" w:color="auto"/>
              <w:left w:val="single" w:sz="4" w:space="0" w:color="auto"/>
              <w:bottom w:val="single" w:sz="4" w:space="0" w:color="auto"/>
              <w:right w:val="single" w:sz="4" w:space="0" w:color="auto"/>
            </w:tcBorders>
            <w:shd w:val="clear" w:color="auto" w:fill="auto"/>
          </w:tcPr>
          <w:p w:rsidR="00FC6931" w:rsidRPr="00B17639" w:rsidRDefault="00FC6931" w:rsidP="00AA07CB">
            <w:pPr>
              <w:jc w:val="center"/>
              <w:rPr>
                <w:rFonts w:ascii="Arial Narrow" w:eastAsia="Times New Roman" w:hAnsi="Arial Narrow" w:cs="Times New Roman"/>
                <w:sz w:val="20"/>
                <w:szCs w:val="20"/>
                <w:lang w:eastAsia="en-AU"/>
              </w:rPr>
            </w:pPr>
            <w:proofErr w:type="spellStart"/>
            <w:r w:rsidRPr="00B17639">
              <w:rPr>
                <w:rFonts w:ascii="Arial Narrow" w:eastAsia="Times New Roman" w:hAnsi="Arial Narrow" w:cs="Times New Roman"/>
                <w:sz w:val="20"/>
                <w:szCs w:val="20"/>
                <w:lang w:eastAsia="en-AU"/>
              </w:rPr>
              <w:t>Everolimus</w:t>
            </w:r>
            <w:proofErr w:type="spellEnd"/>
            <w:r w:rsidRPr="00B17639">
              <w:rPr>
                <w:rFonts w:ascii="Arial Narrow" w:eastAsia="Times New Roman" w:hAnsi="Arial Narrow" w:cs="Times New Roman"/>
                <w:sz w:val="20"/>
                <w:szCs w:val="20"/>
                <w:lang w:eastAsia="en-AU"/>
              </w:rPr>
              <w:t xml:space="preserve"> 10</w:t>
            </w:r>
            <w:r>
              <w:rPr>
                <w:rFonts w:ascii="Arial Narrow" w:eastAsia="Times New Roman" w:hAnsi="Arial Narrow" w:cs="Times New Roman"/>
                <w:sz w:val="20"/>
                <w:szCs w:val="20"/>
                <w:lang w:eastAsia="en-AU"/>
              </w:rPr>
              <w:t xml:space="preserve"> </w:t>
            </w:r>
            <w:r w:rsidRPr="00B17639">
              <w:rPr>
                <w:rFonts w:ascii="Arial Narrow" w:eastAsia="Times New Roman" w:hAnsi="Arial Narrow" w:cs="Times New Roman"/>
                <w:sz w:val="20"/>
                <w:szCs w:val="20"/>
                <w:lang w:eastAsia="en-AU"/>
              </w:rPr>
              <w:t>mg</w:t>
            </w:r>
          </w:p>
        </w:tc>
        <w:tc>
          <w:tcPr>
            <w:tcW w:w="570"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Difference in Median, months</w:t>
            </w:r>
          </w:p>
        </w:tc>
        <w:tc>
          <w:tcPr>
            <w:tcW w:w="570"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P-value</w:t>
            </w:r>
          </w:p>
        </w:tc>
        <w:tc>
          <w:tcPr>
            <w:tcW w:w="796" w:type="pct"/>
            <w:vMerge w:val="restart"/>
            <w:tcBorders>
              <w:top w:val="single" w:sz="4" w:space="0" w:color="auto"/>
              <w:left w:val="single" w:sz="4" w:space="0" w:color="auto"/>
              <w:right w:val="single" w:sz="4" w:space="0" w:color="auto"/>
            </w:tcBorders>
            <w:shd w:val="clear" w:color="auto" w:fill="auto"/>
            <w:vAlign w:val="center"/>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HR (95% CI)</w:t>
            </w:r>
          </w:p>
        </w:tc>
      </w:tr>
      <w:tr w:rsidR="00FC6931" w:rsidRPr="00B17639" w:rsidTr="005055DA">
        <w:trPr>
          <w:cnfStyle w:val="100000000000" w:firstRow="1" w:lastRow="0" w:firstColumn="0" w:lastColumn="0" w:oddVBand="0" w:evenVBand="0" w:oddHBand="0" w:evenHBand="0" w:firstRowFirstColumn="0" w:firstRowLastColumn="0" w:lastRowFirstColumn="0" w:lastRowLastColumn="0"/>
          <w:tblHeader/>
        </w:trPr>
        <w:tc>
          <w:tcPr>
            <w:tcW w:w="570"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rPr>
                <w:rFonts w:ascii="Arial Narrow" w:eastAsia="Times New Roman" w:hAnsi="Arial Narrow" w:cs="Times New Roman"/>
                <w:sz w:val="20"/>
                <w:szCs w:val="20"/>
                <w:lang w:eastAsia="en-AU"/>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rPr>
                <w:rFonts w:ascii="Arial Narrow" w:eastAsia="Times New Roman" w:hAnsi="Arial Narrow" w:cs="Times New Roman"/>
                <w:b w:val="0"/>
                <w:sz w:val="20"/>
                <w:szCs w:val="20"/>
                <w:lang w:eastAsia="en-AU"/>
              </w:rPr>
            </w:pPr>
            <w:proofErr w:type="gramStart"/>
            <w:r w:rsidRPr="005055DA">
              <w:rPr>
                <w:rFonts w:ascii="Arial Narrow" w:eastAsia="Times New Roman" w:hAnsi="Arial Narrow" w:cs="Times New Roman"/>
                <w:b w:val="0"/>
                <w:sz w:val="20"/>
                <w:szCs w:val="20"/>
                <w:lang w:eastAsia="en-AU"/>
              </w:rPr>
              <w:t>n/N</w:t>
            </w:r>
            <w:proofErr w:type="gramEnd"/>
            <w:r w:rsidRPr="005055DA">
              <w:rPr>
                <w:rFonts w:ascii="Arial Narrow" w:eastAsia="Times New Roman" w:hAnsi="Arial Narrow" w:cs="Times New Roman"/>
                <w:b w:val="0"/>
                <w:sz w:val="20"/>
                <w:szCs w:val="20"/>
                <w:lang w:eastAsia="en-AU"/>
              </w:rPr>
              <w:t xml:space="preserve"> with event (%)</w:t>
            </w:r>
          </w:p>
        </w:tc>
        <w:tc>
          <w:tcPr>
            <w:tcW w:w="784"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rPr>
                <w:rFonts w:ascii="Arial Narrow" w:eastAsia="Times New Roman" w:hAnsi="Arial Narrow" w:cs="Times New Roman"/>
                <w:b w:val="0"/>
                <w:sz w:val="20"/>
                <w:szCs w:val="20"/>
                <w:lang w:eastAsia="en-AU"/>
              </w:rPr>
            </w:pPr>
            <w:r w:rsidRPr="005055DA">
              <w:rPr>
                <w:rFonts w:ascii="Arial Narrow" w:eastAsia="Times New Roman" w:hAnsi="Arial Narrow" w:cs="Times New Roman"/>
                <w:b w:val="0"/>
                <w:sz w:val="20"/>
                <w:szCs w:val="20"/>
                <w:lang w:eastAsia="en-AU"/>
              </w:rPr>
              <w:t>Median, months (95% CI)</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rPr>
                <w:rFonts w:ascii="Arial Narrow" w:eastAsia="Times New Roman" w:hAnsi="Arial Narrow" w:cs="Times New Roman"/>
                <w:b w:val="0"/>
                <w:sz w:val="20"/>
                <w:szCs w:val="20"/>
                <w:lang w:eastAsia="en-AU"/>
              </w:rPr>
            </w:pPr>
            <w:proofErr w:type="gramStart"/>
            <w:r w:rsidRPr="005055DA">
              <w:rPr>
                <w:rFonts w:ascii="Arial Narrow" w:eastAsia="Times New Roman" w:hAnsi="Arial Narrow" w:cs="Times New Roman"/>
                <w:b w:val="0"/>
                <w:sz w:val="20"/>
                <w:szCs w:val="20"/>
                <w:lang w:eastAsia="en-AU"/>
              </w:rPr>
              <w:t>n/N</w:t>
            </w:r>
            <w:proofErr w:type="gramEnd"/>
            <w:r w:rsidRPr="005055DA">
              <w:rPr>
                <w:rFonts w:ascii="Arial Narrow" w:eastAsia="Times New Roman" w:hAnsi="Arial Narrow" w:cs="Times New Roman"/>
                <w:b w:val="0"/>
                <w:sz w:val="20"/>
                <w:szCs w:val="20"/>
                <w:lang w:eastAsia="en-AU"/>
              </w:rPr>
              <w:t xml:space="preserve"> with event (%)</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FC6931" w:rsidRPr="005055DA" w:rsidRDefault="00FC6931" w:rsidP="00AA07CB">
            <w:pPr>
              <w:rPr>
                <w:rFonts w:ascii="Arial Narrow" w:eastAsia="Times New Roman" w:hAnsi="Arial Narrow" w:cs="Times New Roman"/>
                <w:b w:val="0"/>
                <w:sz w:val="20"/>
                <w:szCs w:val="20"/>
                <w:lang w:eastAsia="en-AU"/>
              </w:rPr>
            </w:pPr>
            <w:r w:rsidRPr="005055DA">
              <w:rPr>
                <w:rFonts w:ascii="Arial Narrow" w:eastAsia="Times New Roman" w:hAnsi="Arial Narrow" w:cs="Times New Roman"/>
                <w:b w:val="0"/>
                <w:sz w:val="20"/>
                <w:szCs w:val="20"/>
                <w:lang w:eastAsia="en-AU"/>
              </w:rPr>
              <w:t>Median, months (95% CI)</w:t>
            </w:r>
          </w:p>
        </w:tc>
        <w:tc>
          <w:tcPr>
            <w:tcW w:w="570"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rPr>
                <w:rFonts w:ascii="Arial Narrow" w:eastAsia="Times New Roman" w:hAnsi="Arial Narrow" w:cs="Times New Roman"/>
                <w:sz w:val="20"/>
                <w:szCs w:val="20"/>
                <w:lang w:eastAsia="en-AU"/>
              </w:rPr>
            </w:pPr>
          </w:p>
        </w:tc>
        <w:tc>
          <w:tcPr>
            <w:tcW w:w="570"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rPr>
                <w:rFonts w:ascii="Arial Narrow" w:eastAsia="Times New Roman" w:hAnsi="Arial Narrow" w:cs="Times New Roman"/>
                <w:sz w:val="20"/>
                <w:szCs w:val="20"/>
                <w:lang w:eastAsia="en-AU"/>
              </w:rPr>
            </w:pPr>
          </w:p>
        </w:tc>
        <w:tc>
          <w:tcPr>
            <w:tcW w:w="796" w:type="pct"/>
            <w:vMerge/>
            <w:tcBorders>
              <w:left w:val="single" w:sz="4" w:space="0" w:color="auto"/>
              <w:bottom w:val="single" w:sz="4" w:space="0" w:color="auto"/>
              <w:right w:val="single" w:sz="4" w:space="0" w:color="auto"/>
            </w:tcBorders>
            <w:shd w:val="clear" w:color="auto" w:fill="auto"/>
          </w:tcPr>
          <w:p w:rsidR="00FC6931" w:rsidRPr="00B17639" w:rsidRDefault="00FC6931" w:rsidP="00AA07CB">
            <w:pPr>
              <w:rPr>
                <w:rFonts w:ascii="Arial Narrow" w:eastAsia="Times New Roman" w:hAnsi="Arial Narrow" w:cs="Times New Roman"/>
                <w:sz w:val="20"/>
                <w:szCs w:val="20"/>
                <w:lang w:eastAsia="en-AU"/>
              </w:rPr>
            </w:pPr>
          </w:p>
        </w:tc>
      </w:tr>
      <w:tr w:rsidR="00FC6931" w:rsidRPr="00B17639" w:rsidTr="00AA07CB">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lang w:eastAsia="en-AU"/>
              </w:rPr>
            </w:pPr>
            <w:r w:rsidRPr="00B17639">
              <w:rPr>
                <w:rFonts w:ascii="Arial Narrow" w:eastAsia="Times New Roman" w:hAnsi="Arial Narrow" w:cs="Times New Roman"/>
                <w:sz w:val="20"/>
                <w:szCs w:val="20"/>
                <w:lang w:eastAsia="en-AU"/>
              </w:rPr>
              <w:t>13</w:t>
            </w:r>
            <w:r w:rsidRPr="00B17639">
              <w:rPr>
                <w:rFonts w:ascii="Arial Narrow" w:eastAsia="Times New Roman" w:hAnsi="Arial Narrow" w:cs="Times New Roman"/>
                <w:sz w:val="20"/>
                <w:szCs w:val="20"/>
                <w:vertAlign w:val="superscript"/>
                <w:lang w:eastAsia="en-AU"/>
              </w:rPr>
              <w:t>th</w:t>
            </w:r>
            <w:r w:rsidRPr="00B17639">
              <w:rPr>
                <w:rFonts w:ascii="Arial Narrow" w:eastAsia="Times New Roman" w:hAnsi="Arial Narrow" w:cs="Times New Roman"/>
                <w:sz w:val="20"/>
                <w:szCs w:val="20"/>
                <w:lang w:eastAsia="en-AU"/>
              </w:rPr>
              <w:t xml:space="preserve"> June 2014</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19/51 (37%)</w:t>
            </w:r>
          </w:p>
        </w:tc>
        <w:tc>
          <w:tcPr>
            <w:tcW w:w="784"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25.5 (20.8, 25.5)</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26/50 (52%)</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17.5 (11.8, NE)</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8.0</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0.062</w:t>
            </w:r>
          </w:p>
        </w:tc>
        <w:tc>
          <w:tcPr>
            <w:tcW w:w="796"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0.55 (0.30, 1.01)</w:t>
            </w:r>
          </w:p>
        </w:tc>
      </w:tr>
      <w:tr w:rsidR="00FC6931" w:rsidRPr="00B17639" w:rsidTr="00AA07CB">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10</w:t>
            </w:r>
            <w:r w:rsidRPr="00B17639">
              <w:rPr>
                <w:rFonts w:ascii="Arial Narrow" w:eastAsia="Times New Roman" w:hAnsi="Arial Narrow" w:cs="Times New Roman"/>
                <w:sz w:val="20"/>
                <w:szCs w:val="20"/>
                <w:vertAlign w:val="superscript"/>
                <w:lang w:eastAsia="en-AU"/>
              </w:rPr>
              <w:t>th</w:t>
            </w:r>
            <w:r w:rsidRPr="00B17639">
              <w:rPr>
                <w:rFonts w:ascii="Arial Narrow" w:eastAsia="Times New Roman" w:hAnsi="Arial Narrow" w:cs="Times New Roman"/>
                <w:sz w:val="20"/>
                <w:szCs w:val="20"/>
                <w:lang w:eastAsia="en-AU"/>
              </w:rPr>
              <w:t xml:space="preserve"> December 2014</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24/51 (47%)</w:t>
            </w:r>
          </w:p>
        </w:tc>
        <w:tc>
          <w:tcPr>
            <w:tcW w:w="784"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25.5 (16.4, NE)</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33/50 (66%)</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15.4 (11.8, 19.6)</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10.1</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0.024</w:t>
            </w:r>
          </w:p>
        </w:tc>
        <w:tc>
          <w:tcPr>
            <w:tcW w:w="796"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0.51 (0.30, 0.88)</w:t>
            </w:r>
          </w:p>
        </w:tc>
      </w:tr>
      <w:tr w:rsidR="00FC6931" w:rsidRPr="00B17639" w:rsidTr="00AA07CB">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31</w:t>
            </w:r>
            <w:r w:rsidRPr="00B17639">
              <w:rPr>
                <w:rFonts w:ascii="Arial Narrow" w:eastAsia="Times New Roman" w:hAnsi="Arial Narrow" w:cs="Times New Roman"/>
                <w:sz w:val="20"/>
                <w:szCs w:val="20"/>
                <w:vertAlign w:val="superscript"/>
                <w:lang w:eastAsia="en-AU"/>
              </w:rPr>
              <w:t>st</w:t>
            </w:r>
            <w:r w:rsidRPr="00B17639">
              <w:rPr>
                <w:rFonts w:ascii="Arial Narrow" w:eastAsia="Times New Roman" w:hAnsi="Arial Narrow" w:cs="Times New Roman"/>
                <w:sz w:val="20"/>
                <w:szCs w:val="20"/>
                <w:lang w:eastAsia="en-AU"/>
              </w:rPr>
              <w:t xml:space="preserve"> July 2015</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32/51 (63%)</w:t>
            </w:r>
          </w:p>
        </w:tc>
        <w:tc>
          <w:tcPr>
            <w:tcW w:w="784"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25.5 (16.4, 32.1)</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37/50 (74%)</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15.4 (11.8, 20.6)</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10.1</w:t>
            </w:r>
          </w:p>
        </w:tc>
        <w:tc>
          <w:tcPr>
            <w:tcW w:w="570"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0.065</w:t>
            </w:r>
          </w:p>
        </w:tc>
        <w:tc>
          <w:tcPr>
            <w:tcW w:w="796" w:type="pct"/>
            <w:tcBorders>
              <w:top w:val="single" w:sz="4" w:space="0" w:color="auto"/>
              <w:left w:val="single" w:sz="4" w:space="0" w:color="auto"/>
              <w:bottom w:val="single" w:sz="4" w:space="0" w:color="auto"/>
              <w:right w:val="single" w:sz="4" w:space="0" w:color="auto"/>
            </w:tcBorders>
          </w:tcPr>
          <w:p w:rsidR="00FC6931" w:rsidRPr="00B17639" w:rsidRDefault="00FC6931" w:rsidP="00AA07CB">
            <w:pPr>
              <w:rPr>
                <w:rFonts w:ascii="Arial Narrow" w:eastAsia="Times New Roman" w:hAnsi="Arial Narrow" w:cs="Times New Roman"/>
                <w:sz w:val="20"/>
                <w:szCs w:val="20"/>
                <w:lang w:eastAsia="en-AU"/>
              </w:rPr>
            </w:pPr>
            <w:r w:rsidRPr="00B17639">
              <w:rPr>
                <w:rFonts w:ascii="Arial Narrow" w:eastAsia="Times New Roman" w:hAnsi="Arial Narrow" w:cs="Times New Roman"/>
                <w:sz w:val="20"/>
                <w:szCs w:val="20"/>
                <w:lang w:eastAsia="en-AU"/>
              </w:rPr>
              <w:t>0.59 (0.36, 0.96)</w:t>
            </w:r>
          </w:p>
        </w:tc>
      </w:tr>
    </w:tbl>
    <w:p w:rsidR="00FC6931" w:rsidRPr="00B17639" w:rsidRDefault="00FC6931" w:rsidP="00FC6931">
      <w:pPr>
        <w:pStyle w:val="TableFooter"/>
        <w:rPr>
          <w:rFonts w:eastAsia="Calibri"/>
        </w:rPr>
      </w:pPr>
      <w:r w:rsidRPr="00B17639">
        <w:rPr>
          <w:rFonts w:eastAsia="Calibri"/>
        </w:rPr>
        <w:t xml:space="preserve">Source: Table 2-21, page 71 </w:t>
      </w:r>
      <w:r w:rsidR="007D6D3C" w:rsidRPr="00B17639">
        <w:rPr>
          <w:rFonts w:eastAsia="Calibri"/>
        </w:rPr>
        <w:t xml:space="preserve">of </w:t>
      </w:r>
      <w:r w:rsidR="007D6D3C">
        <w:rPr>
          <w:rFonts w:eastAsia="Calibri"/>
        </w:rPr>
        <w:t>November</w:t>
      </w:r>
      <w:r w:rsidR="00377A91">
        <w:rPr>
          <w:rFonts w:eastAsia="Calibri"/>
        </w:rPr>
        <w:t xml:space="preserve"> 2017 </w:t>
      </w:r>
      <w:r w:rsidRPr="00B17639">
        <w:rPr>
          <w:rFonts w:eastAsia="Calibri"/>
        </w:rPr>
        <w:t>submission.</w:t>
      </w:r>
    </w:p>
    <w:p w:rsidR="00FC6931" w:rsidRPr="00B17639" w:rsidRDefault="00FC6931" w:rsidP="00FC6931">
      <w:pPr>
        <w:pStyle w:val="TableFooter"/>
        <w:rPr>
          <w:rFonts w:eastAsia="Calibri"/>
        </w:rPr>
      </w:pPr>
      <w:r w:rsidRPr="00B17639">
        <w:rPr>
          <w:rFonts w:eastAsia="Calibri"/>
        </w:rPr>
        <w:t>Notes: Study 205: Data cut=13</w:t>
      </w:r>
      <w:r w:rsidRPr="00B17639">
        <w:rPr>
          <w:rFonts w:eastAsia="Calibri"/>
          <w:vertAlign w:val="superscript"/>
        </w:rPr>
        <w:t>th</w:t>
      </w:r>
      <w:r w:rsidRPr="00B17639">
        <w:rPr>
          <w:rFonts w:eastAsia="Calibri"/>
        </w:rPr>
        <w:t xml:space="preserve"> June 2014, Length of follow-up=18.5 months (median). Data cut = 10</w:t>
      </w:r>
      <w:r w:rsidRPr="00B17639">
        <w:rPr>
          <w:rFonts w:eastAsia="Calibri"/>
          <w:vertAlign w:val="superscript"/>
        </w:rPr>
        <w:t>th</w:t>
      </w:r>
      <w:r w:rsidRPr="00B17639">
        <w:rPr>
          <w:rFonts w:eastAsia="Calibri"/>
        </w:rPr>
        <w:t xml:space="preserve"> December 2014, length of follow up = 24.2 months (median). Data cut = 31</w:t>
      </w:r>
      <w:r w:rsidRPr="00B17639">
        <w:rPr>
          <w:rFonts w:eastAsia="Calibri"/>
          <w:vertAlign w:val="superscript"/>
        </w:rPr>
        <w:t>st</w:t>
      </w:r>
      <w:r w:rsidRPr="00B17639">
        <w:rPr>
          <w:rFonts w:eastAsia="Calibri"/>
        </w:rPr>
        <w:t xml:space="preserve"> </w:t>
      </w:r>
      <w:r w:rsidR="000076A1">
        <w:rPr>
          <w:rFonts w:eastAsia="Calibri"/>
        </w:rPr>
        <w:t xml:space="preserve">July 2015, length of follow up </w:t>
      </w:r>
      <w:r w:rsidRPr="00B17639">
        <w:rPr>
          <w:rFonts w:eastAsia="Calibri"/>
        </w:rPr>
        <w:t>= 32.0 months (median)</w:t>
      </w:r>
    </w:p>
    <w:p w:rsidR="0033182E" w:rsidRPr="00657E4D" w:rsidRDefault="00FC6931" w:rsidP="00657E4D">
      <w:pPr>
        <w:pStyle w:val="TableFooter"/>
        <w:rPr>
          <w:rFonts w:eastAsia="Calibri"/>
        </w:rPr>
      </w:pPr>
      <w:r w:rsidRPr="00B17639">
        <w:rPr>
          <w:rFonts w:eastAsia="Calibri"/>
        </w:rPr>
        <w:t>Abbreviations: CI, confidence interval; HR, hazard ratio; NE, not evaluable</w:t>
      </w:r>
    </w:p>
    <w:p w:rsidR="005617E7" w:rsidRDefault="00701B2A" w:rsidP="00701B2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01B2A">
        <w:rPr>
          <w:rFonts w:asciiTheme="minorHAnsi" w:eastAsiaTheme="minorHAnsi" w:hAnsiTheme="minorHAnsi" w:cstheme="minorBidi"/>
          <w:snapToGrid/>
          <w:sz w:val="24"/>
          <w:szCs w:val="22"/>
        </w:rPr>
        <w:t xml:space="preserve">The PBAC considered that the magnitude of the reported OS gain was uncertain and possibly due to chance, </w:t>
      </w:r>
      <w:r w:rsidR="0060337A">
        <w:rPr>
          <w:rFonts w:asciiTheme="minorHAnsi" w:eastAsiaTheme="minorHAnsi" w:hAnsiTheme="minorHAnsi" w:cstheme="minorBidi"/>
          <w:snapToGrid/>
          <w:sz w:val="24"/>
          <w:szCs w:val="22"/>
        </w:rPr>
        <w:t xml:space="preserve">as Study 205 </w:t>
      </w:r>
      <w:r w:rsidRPr="00701B2A">
        <w:rPr>
          <w:rFonts w:asciiTheme="minorHAnsi" w:eastAsiaTheme="minorHAnsi" w:hAnsiTheme="minorHAnsi" w:cstheme="minorBidi"/>
          <w:snapToGrid/>
          <w:sz w:val="24"/>
          <w:szCs w:val="22"/>
        </w:rPr>
        <w:t xml:space="preserve">was </w:t>
      </w:r>
      <w:r>
        <w:rPr>
          <w:rFonts w:asciiTheme="minorHAnsi" w:eastAsiaTheme="minorHAnsi" w:hAnsiTheme="minorHAnsi" w:cstheme="minorBidi"/>
          <w:snapToGrid/>
          <w:sz w:val="24"/>
          <w:szCs w:val="22"/>
        </w:rPr>
        <w:t>a randomised phase II</w:t>
      </w:r>
      <w:r w:rsidRPr="00701B2A">
        <w:rPr>
          <w:rFonts w:asciiTheme="minorHAnsi" w:eastAsiaTheme="minorHAnsi" w:hAnsiTheme="minorHAnsi" w:cstheme="minorBidi"/>
          <w:snapToGrid/>
          <w:sz w:val="24"/>
          <w:szCs w:val="22"/>
        </w:rPr>
        <w:t xml:space="preserve"> design with only 153 patients in 3 arms pow</w:t>
      </w:r>
      <w:r w:rsidR="0060337A">
        <w:rPr>
          <w:rFonts w:asciiTheme="minorHAnsi" w:eastAsiaTheme="minorHAnsi" w:hAnsiTheme="minorHAnsi" w:cstheme="minorBidi"/>
          <w:snapToGrid/>
          <w:sz w:val="24"/>
          <w:szCs w:val="22"/>
        </w:rPr>
        <w:t>ered for PFS, and</w:t>
      </w:r>
      <w:r w:rsidRPr="00701B2A">
        <w:rPr>
          <w:rFonts w:asciiTheme="minorHAnsi" w:eastAsiaTheme="minorHAnsi" w:hAnsiTheme="minorHAnsi" w:cstheme="minorBidi"/>
          <w:snapToGrid/>
          <w:sz w:val="24"/>
          <w:szCs w:val="22"/>
        </w:rPr>
        <w:t xml:space="preserve"> was not powered to detect differences in OS</w:t>
      </w:r>
      <w:r>
        <w:rPr>
          <w:rFonts w:asciiTheme="minorHAnsi" w:eastAsiaTheme="minorHAnsi" w:hAnsiTheme="minorHAnsi" w:cstheme="minorBidi"/>
          <w:snapToGrid/>
          <w:sz w:val="24"/>
          <w:szCs w:val="22"/>
        </w:rPr>
        <w:t xml:space="preserve"> (</w:t>
      </w:r>
      <w:r w:rsidRPr="0033182E">
        <w:rPr>
          <w:rFonts w:asciiTheme="minorHAnsi" w:eastAsiaTheme="minorHAnsi" w:hAnsiTheme="minorHAnsi" w:cstheme="minorBidi"/>
          <w:snapToGrid/>
          <w:sz w:val="24"/>
          <w:szCs w:val="22"/>
        </w:rPr>
        <w:t xml:space="preserve">Paragraph 6.22, </w:t>
      </w:r>
      <w:proofErr w:type="spellStart"/>
      <w:r w:rsidRPr="0033182E">
        <w:rPr>
          <w:rFonts w:asciiTheme="minorHAnsi" w:eastAsiaTheme="minorHAnsi" w:hAnsiTheme="minorHAnsi" w:cstheme="minorBidi"/>
          <w:snapToGrid/>
          <w:sz w:val="24"/>
          <w:szCs w:val="22"/>
        </w:rPr>
        <w:t>lenvatinib</w:t>
      </w:r>
      <w:proofErr w:type="spellEnd"/>
      <w:r w:rsidRPr="0033182E">
        <w:rPr>
          <w:rFonts w:asciiTheme="minorHAnsi" w:eastAsiaTheme="minorHAnsi" w:hAnsiTheme="minorHAnsi" w:cstheme="minorBidi"/>
          <w:snapToGrid/>
          <w:sz w:val="24"/>
          <w:szCs w:val="22"/>
        </w:rPr>
        <w:t xml:space="preserve"> PBAC </w:t>
      </w:r>
      <w:r w:rsidR="009856C1">
        <w:rPr>
          <w:rFonts w:asciiTheme="minorHAnsi" w:eastAsiaTheme="minorHAnsi" w:hAnsiTheme="minorHAnsi" w:cstheme="minorBidi"/>
          <w:snapToGrid/>
          <w:sz w:val="24"/>
          <w:szCs w:val="22"/>
        </w:rPr>
        <w:t>Public Summary Document</w:t>
      </w:r>
      <w:r w:rsidRPr="0033182E">
        <w:rPr>
          <w:rFonts w:asciiTheme="minorHAnsi" w:eastAsiaTheme="minorHAnsi" w:hAnsiTheme="minorHAnsi" w:cstheme="minorBidi"/>
          <w:snapToGrid/>
          <w:sz w:val="24"/>
          <w:szCs w:val="22"/>
        </w:rPr>
        <w:t>, November 2017</w:t>
      </w:r>
      <w:r>
        <w:rPr>
          <w:rFonts w:asciiTheme="minorHAnsi" w:eastAsiaTheme="minorHAnsi" w:hAnsiTheme="minorHAnsi" w:cstheme="minorBidi"/>
          <w:snapToGrid/>
          <w:sz w:val="24"/>
          <w:szCs w:val="22"/>
        </w:rPr>
        <w:t>)</w:t>
      </w:r>
      <w:r w:rsidRPr="00701B2A">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t>
      </w:r>
      <w:r w:rsidRPr="00701B2A">
        <w:rPr>
          <w:rFonts w:asciiTheme="minorHAnsi" w:eastAsiaTheme="minorHAnsi" w:hAnsiTheme="minorHAnsi" w:cstheme="minorBidi"/>
          <w:snapToGrid/>
          <w:sz w:val="24"/>
          <w:szCs w:val="22"/>
        </w:rPr>
        <w:t>The resubmission disagreed</w:t>
      </w:r>
      <w:r w:rsidR="005617E7" w:rsidRPr="00701B2A">
        <w:rPr>
          <w:rFonts w:asciiTheme="minorHAnsi" w:eastAsiaTheme="minorHAnsi" w:hAnsiTheme="minorHAnsi" w:cstheme="minorBidi"/>
          <w:snapToGrid/>
          <w:sz w:val="24"/>
          <w:szCs w:val="22"/>
        </w:rPr>
        <w:t xml:space="preserve"> with the PBAC </w:t>
      </w:r>
      <w:r w:rsidRPr="00701B2A">
        <w:rPr>
          <w:rFonts w:asciiTheme="minorHAnsi" w:eastAsiaTheme="minorHAnsi" w:hAnsiTheme="minorHAnsi" w:cstheme="minorBidi"/>
          <w:snapToGrid/>
          <w:sz w:val="24"/>
          <w:szCs w:val="22"/>
        </w:rPr>
        <w:t xml:space="preserve">and </w:t>
      </w:r>
      <w:r w:rsidR="0073238B">
        <w:rPr>
          <w:rFonts w:asciiTheme="minorHAnsi" w:eastAsiaTheme="minorHAnsi" w:hAnsiTheme="minorHAnsi" w:cstheme="minorBidi"/>
          <w:snapToGrid/>
          <w:sz w:val="24"/>
          <w:szCs w:val="22"/>
        </w:rPr>
        <w:t xml:space="preserve">claimed </w:t>
      </w:r>
      <w:r w:rsidR="005617E7" w:rsidRPr="00701B2A">
        <w:rPr>
          <w:rFonts w:asciiTheme="minorHAnsi" w:eastAsiaTheme="minorHAnsi" w:hAnsiTheme="minorHAnsi" w:cstheme="minorBidi"/>
          <w:snapToGrid/>
          <w:sz w:val="24"/>
          <w:szCs w:val="22"/>
        </w:rPr>
        <w:t>that the comparative treatment effect reported in the pivotal clinical trial</w:t>
      </w:r>
      <w:r w:rsidR="0060337A">
        <w:rPr>
          <w:rFonts w:asciiTheme="minorHAnsi" w:eastAsiaTheme="minorHAnsi" w:hAnsiTheme="minorHAnsi" w:cstheme="minorBidi"/>
          <w:snapToGrid/>
          <w:sz w:val="24"/>
          <w:szCs w:val="22"/>
        </w:rPr>
        <w:t>s</w:t>
      </w:r>
      <w:r w:rsidR="005617E7" w:rsidRPr="00701B2A">
        <w:rPr>
          <w:rFonts w:asciiTheme="minorHAnsi" w:eastAsiaTheme="minorHAnsi" w:hAnsiTheme="minorHAnsi" w:cstheme="minorBidi"/>
          <w:snapToGrid/>
          <w:sz w:val="24"/>
          <w:szCs w:val="22"/>
        </w:rPr>
        <w:t xml:space="preserve"> of </w:t>
      </w:r>
      <w:proofErr w:type="spellStart"/>
      <w:r w:rsidR="005617E7" w:rsidRPr="00701B2A">
        <w:rPr>
          <w:rFonts w:asciiTheme="minorHAnsi" w:eastAsiaTheme="minorHAnsi" w:hAnsiTheme="minorHAnsi" w:cstheme="minorBidi"/>
          <w:snapToGrid/>
          <w:sz w:val="24"/>
          <w:szCs w:val="22"/>
        </w:rPr>
        <w:t>nivolumab</w:t>
      </w:r>
      <w:proofErr w:type="spellEnd"/>
      <w:r w:rsidR="005617E7" w:rsidRPr="00701B2A">
        <w:rPr>
          <w:rFonts w:asciiTheme="minorHAnsi" w:eastAsiaTheme="minorHAnsi" w:hAnsiTheme="minorHAnsi" w:cstheme="minorBidi"/>
          <w:snapToGrid/>
          <w:sz w:val="24"/>
          <w:szCs w:val="22"/>
        </w:rPr>
        <w:t xml:space="preserve"> (</w:t>
      </w:r>
      <w:proofErr w:type="spellStart"/>
      <w:r w:rsidR="005617E7" w:rsidRPr="00701B2A">
        <w:rPr>
          <w:rFonts w:asciiTheme="minorHAnsi" w:eastAsiaTheme="minorHAnsi" w:hAnsiTheme="minorHAnsi" w:cstheme="minorBidi"/>
          <w:snapToGrid/>
          <w:sz w:val="24"/>
          <w:szCs w:val="22"/>
        </w:rPr>
        <w:t>CheckMate</w:t>
      </w:r>
      <w:proofErr w:type="spellEnd"/>
      <w:r w:rsidR="005617E7" w:rsidRPr="00701B2A">
        <w:rPr>
          <w:rFonts w:asciiTheme="minorHAnsi" w:eastAsiaTheme="minorHAnsi" w:hAnsiTheme="minorHAnsi" w:cstheme="minorBidi"/>
          <w:snapToGrid/>
          <w:sz w:val="24"/>
          <w:szCs w:val="22"/>
        </w:rPr>
        <w:t xml:space="preserve"> 025) and </w:t>
      </w:r>
      <w:proofErr w:type="spellStart"/>
      <w:r w:rsidR="005617E7" w:rsidRPr="00701B2A">
        <w:rPr>
          <w:rFonts w:asciiTheme="minorHAnsi" w:eastAsiaTheme="minorHAnsi" w:hAnsiTheme="minorHAnsi" w:cstheme="minorBidi"/>
          <w:snapToGrid/>
          <w:sz w:val="24"/>
          <w:szCs w:val="22"/>
        </w:rPr>
        <w:t>cabozantinib</w:t>
      </w:r>
      <w:proofErr w:type="spellEnd"/>
      <w:r w:rsidR="005617E7" w:rsidRPr="00701B2A">
        <w:rPr>
          <w:rFonts w:asciiTheme="minorHAnsi" w:eastAsiaTheme="minorHAnsi" w:hAnsiTheme="minorHAnsi" w:cstheme="minorBidi"/>
          <w:snapToGrid/>
          <w:sz w:val="24"/>
          <w:szCs w:val="22"/>
        </w:rPr>
        <w:t xml:space="preserve"> (METEOR) may be more likely to be confounded than the results of St</w:t>
      </w:r>
      <w:r w:rsidR="000076A1">
        <w:rPr>
          <w:rFonts w:asciiTheme="minorHAnsi" w:eastAsiaTheme="minorHAnsi" w:hAnsiTheme="minorHAnsi" w:cstheme="minorBidi"/>
          <w:snapToGrid/>
          <w:sz w:val="24"/>
          <w:szCs w:val="22"/>
        </w:rPr>
        <w:t>udy 205. The resubmission stated</w:t>
      </w:r>
      <w:r w:rsidR="005617E7" w:rsidRPr="00701B2A">
        <w:rPr>
          <w:rFonts w:asciiTheme="minorHAnsi" w:eastAsiaTheme="minorHAnsi" w:hAnsiTheme="minorHAnsi" w:cstheme="minorBidi"/>
          <w:snapToGrid/>
          <w:sz w:val="24"/>
          <w:szCs w:val="22"/>
        </w:rPr>
        <w:t xml:space="preserve"> this may occur due to: patients in </w:t>
      </w:r>
      <w:proofErr w:type="spellStart"/>
      <w:r w:rsidR="005617E7" w:rsidRPr="00701B2A">
        <w:rPr>
          <w:rFonts w:asciiTheme="minorHAnsi" w:eastAsiaTheme="minorHAnsi" w:hAnsiTheme="minorHAnsi" w:cstheme="minorBidi"/>
          <w:snapToGrid/>
          <w:sz w:val="24"/>
          <w:szCs w:val="22"/>
        </w:rPr>
        <w:t>CheckMate</w:t>
      </w:r>
      <w:proofErr w:type="spellEnd"/>
      <w:r w:rsidR="005617E7" w:rsidRPr="00701B2A">
        <w:rPr>
          <w:rFonts w:asciiTheme="minorHAnsi" w:eastAsiaTheme="minorHAnsi" w:hAnsiTheme="minorHAnsi" w:cstheme="minorBidi"/>
          <w:snapToGrid/>
          <w:sz w:val="24"/>
          <w:szCs w:val="22"/>
        </w:rPr>
        <w:t xml:space="preserve"> 025 and METEOR being able to continue treatment beyond disease progression </w:t>
      </w:r>
      <w:r w:rsidR="005617E7" w:rsidRPr="00701B2A">
        <w:rPr>
          <w:rFonts w:asciiTheme="minorHAnsi" w:eastAsiaTheme="minorHAnsi" w:hAnsiTheme="minorHAnsi" w:cstheme="minorBidi"/>
          <w:snapToGrid/>
          <w:sz w:val="24"/>
          <w:szCs w:val="22"/>
        </w:rPr>
        <w:lastRenderedPageBreak/>
        <w:t xml:space="preserve">whereas patients enrolled in Study 205 were not; </w:t>
      </w:r>
      <w:r w:rsidR="00E568B1">
        <w:rPr>
          <w:rFonts w:asciiTheme="minorHAnsi" w:eastAsiaTheme="minorHAnsi" w:hAnsiTheme="minorHAnsi" w:cstheme="minorBidi"/>
          <w:snapToGrid/>
          <w:sz w:val="24"/>
          <w:szCs w:val="22"/>
        </w:rPr>
        <w:t xml:space="preserve">and </w:t>
      </w:r>
      <w:r w:rsidR="005617E7" w:rsidRPr="00701B2A">
        <w:rPr>
          <w:rFonts w:asciiTheme="minorHAnsi" w:eastAsiaTheme="minorHAnsi" w:hAnsiTheme="minorHAnsi" w:cstheme="minorBidi"/>
          <w:snapToGrid/>
          <w:sz w:val="24"/>
          <w:szCs w:val="22"/>
        </w:rPr>
        <w:t xml:space="preserve">a higher proportion of patients receiving subsequent active treatment after discontinuation in clinical trials of </w:t>
      </w:r>
      <w:proofErr w:type="spellStart"/>
      <w:r w:rsidR="005617E7" w:rsidRPr="00701B2A">
        <w:rPr>
          <w:rFonts w:asciiTheme="minorHAnsi" w:eastAsiaTheme="minorHAnsi" w:hAnsiTheme="minorHAnsi" w:cstheme="minorBidi"/>
          <w:snapToGrid/>
          <w:sz w:val="24"/>
          <w:szCs w:val="22"/>
        </w:rPr>
        <w:t>nivolumab</w:t>
      </w:r>
      <w:proofErr w:type="spellEnd"/>
      <w:r w:rsidR="005617E7" w:rsidRPr="00701B2A">
        <w:rPr>
          <w:rFonts w:asciiTheme="minorHAnsi" w:eastAsiaTheme="minorHAnsi" w:hAnsiTheme="minorHAnsi" w:cstheme="minorBidi"/>
          <w:snapToGrid/>
          <w:sz w:val="24"/>
          <w:szCs w:val="22"/>
        </w:rPr>
        <w:t xml:space="preserve"> (55%) and </w:t>
      </w:r>
      <w:proofErr w:type="spellStart"/>
      <w:r w:rsidR="005617E7" w:rsidRPr="00701B2A">
        <w:rPr>
          <w:rFonts w:asciiTheme="minorHAnsi" w:eastAsiaTheme="minorHAnsi" w:hAnsiTheme="minorHAnsi" w:cstheme="minorBidi"/>
          <w:snapToGrid/>
          <w:sz w:val="24"/>
          <w:szCs w:val="22"/>
        </w:rPr>
        <w:t>cabozantinib</w:t>
      </w:r>
      <w:proofErr w:type="spellEnd"/>
      <w:r w:rsidR="005617E7" w:rsidRPr="00701B2A">
        <w:rPr>
          <w:rFonts w:asciiTheme="minorHAnsi" w:eastAsiaTheme="minorHAnsi" w:hAnsiTheme="minorHAnsi" w:cstheme="minorBidi"/>
          <w:snapToGrid/>
          <w:sz w:val="24"/>
          <w:szCs w:val="22"/>
        </w:rPr>
        <w:t xml:space="preserve"> (38%) than </w:t>
      </w:r>
      <w:proofErr w:type="spellStart"/>
      <w:r w:rsidR="005617E7" w:rsidRPr="00701B2A">
        <w:rPr>
          <w:rFonts w:asciiTheme="minorHAnsi" w:eastAsiaTheme="minorHAnsi" w:hAnsiTheme="minorHAnsi" w:cstheme="minorBidi"/>
          <w:snapToGrid/>
          <w:sz w:val="24"/>
          <w:szCs w:val="22"/>
        </w:rPr>
        <w:t>lenvatinib</w:t>
      </w:r>
      <w:proofErr w:type="spellEnd"/>
      <w:r w:rsidR="005617E7" w:rsidRPr="00701B2A">
        <w:rPr>
          <w:rFonts w:asciiTheme="minorHAnsi" w:eastAsiaTheme="minorHAnsi" w:hAnsiTheme="minorHAnsi" w:cstheme="minorBidi"/>
          <w:snapToGrid/>
          <w:sz w:val="24"/>
          <w:szCs w:val="22"/>
        </w:rPr>
        <w:t>/</w:t>
      </w:r>
      <w:proofErr w:type="spellStart"/>
      <w:r w:rsidR="005617E7" w:rsidRPr="00701B2A">
        <w:rPr>
          <w:rFonts w:asciiTheme="minorHAnsi" w:eastAsiaTheme="minorHAnsi" w:hAnsiTheme="minorHAnsi" w:cstheme="minorBidi"/>
          <w:snapToGrid/>
          <w:sz w:val="24"/>
          <w:szCs w:val="22"/>
        </w:rPr>
        <w:t>everolimus</w:t>
      </w:r>
      <w:proofErr w:type="spellEnd"/>
      <w:r w:rsidR="005617E7" w:rsidRPr="00701B2A">
        <w:rPr>
          <w:rFonts w:asciiTheme="minorHAnsi" w:eastAsiaTheme="minorHAnsi" w:hAnsiTheme="minorHAnsi" w:cstheme="minorBidi"/>
          <w:snapToGrid/>
          <w:sz w:val="24"/>
          <w:szCs w:val="22"/>
        </w:rPr>
        <w:t xml:space="preserve"> (26%). </w:t>
      </w:r>
      <w:r w:rsidR="00837E03">
        <w:rPr>
          <w:rFonts w:asciiTheme="minorHAnsi" w:eastAsiaTheme="minorHAnsi" w:hAnsiTheme="minorHAnsi" w:cstheme="minorBidi"/>
          <w:snapToGrid/>
          <w:sz w:val="24"/>
          <w:szCs w:val="22"/>
        </w:rPr>
        <w:t>The PBAC re</w:t>
      </w:r>
      <w:r w:rsidR="003B7A4A">
        <w:rPr>
          <w:rFonts w:asciiTheme="minorHAnsi" w:eastAsiaTheme="minorHAnsi" w:hAnsiTheme="minorHAnsi" w:cstheme="minorBidi"/>
          <w:snapToGrid/>
          <w:sz w:val="24"/>
          <w:szCs w:val="22"/>
        </w:rPr>
        <w:t>-</w:t>
      </w:r>
      <w:r w:rsidR="00837E03">
        <w:rPr>
          <w:rFonts w:asciiTheme="minorHAnsi" w:eastAsiaTheme="minorHAnsi" w:hAnsiTheme="minorHAnsi" w:cstheme="minorBidi"/>
          <w:snapToGrid/>
          <w:sz w:val="24"/>
          <w:szCs w:val="22"/>
        </w:rPr>
        <w:t>affirmed that it considered the magnitude of the reported OS gain was uncertain as Study 205 was not powered to detect differences in OS.</w:t>
      </w:r>
      <w:r w:rsidR="00E2750A">
        <w:rPr>
          <w:rFonts w:asciiTheme="minorHAnsi" w:eastAsiaTheme="minorHAnsi" w:hAnsiTheme="minorHAnsi" w:cstheme="minorBidi"/>
          <w:snapToGrid/>
          <w:sz w:val="24"/>
          <w:szCs w:val="22"/>
        </w:rPr>
        <w:t xml:space="preserve"> </w:t>
      </w:r>
    </w:p>
    <w:p w:rsidR="004109F4" w:rsidRPr="001E061B" w:rsidRDefault="00837E03" w:rsidP="001E061B">
      <w:pPr>
        <w:pStyle w:val="ListParagraph"/>
        <w:widowControl/>
        <w:numPr>
          <w:ilvl w:val="1"/>
          <w:numId w:val="14"/>
        </w:numPr>
        <w:spacing w:before="120" w:after="160"/>
        <w:contextualSpacing w:val="0"/>
        <w:rPr>
          <w:rFonts w:asciiTheme="minorHAnsi" w:eastAsiaTheme="minorHAnsi" w:hAnsiTheme="minorHAnsi" w:cstheme="minorBidi"/>
          <w:szCs w:val="22"/>
        </w:rPr>
      </w:pPr>
      <w:r w:rsidRPr="001E061B">
        <w:rPr>
          <w:rFonts w:asciiTheme="minorHAnsi" w:eastAsiaTheme="minorHAnsi" w:hAnsiTheme="minorHAnsi" w:cstheme="minorBidi"/>
          <w:snapToGrid/>
          <w:sz w:val="24"/>
          <w:szCs w:val="22"/>
        </w:rPr>
        <w:t xml:space="preserve">The pre-PBAC response nominated </w:t>
      </w:r>
      <w:proofErr w:type="spellStart"/>
      <w:r w:rsidRPr="001E061B">
        <w:rPr>
          <w:rFonts w:asciiTheme="minorHAnsi" w:eastAsiaTheme="minorHAnsi" w:hAnsiTheme="minorHAnsi" w:cstheme="minorBidi"/>
          <w:snapToGrid/>
          <w:sz w:val="24"/>
          <w:szCs w:val="22"/>
        </w:rPr>
        <w:t>cabozantinib</w:t>
      </w:r>
      <w:proofErr w:type="spellEnd"/>
      <w:r w:rsidRPr="001E061B">
        <w:rPr>
          <w:rFonts w:asciiTheme="minorHAnsi" w:eastAsiaTheme="minorHAnsi" w:hAnsiTheme="minorHAnsi" w:cstheme="minorBidi"/>
          <w:snapToGrid/>
          <w:sz w:val="24"/>
          <w:szCs w:val="22"/>
        </w:rPr>
        <w:t xml:space="preserve"> </w:t>
      </w:r>
      <w:r w:rsidR="00C145AA" w:rsidRPr="001E061B">
        <w:rPr>
          <w:rFonts w:asciiTheme="minorHAnsi" w:eastAsiaTheme="minorHAnsi" w:hAnsiTheme="minorHAnsi" w:cstheme="minorBidi"/>
          <w:snapToGrid/>
          <w:sz w:val="24"/>
          <w:szCs w:val="22"/>
        </w:rPr>
        <w:t xml:space="preserve">as the most appropriate comparator </w:t>
      </w:r>
      <w:r w:rsidRPr="001E061B">
        <w:rPr>
          <w:rFonts w:asciiTheme="minorHAnsi" w:eastAsiaTheme="minorHAnsi" w:hAnsiTheme="minorHAnsi" w:cstheme="minorBidi"/>
          <w:snapToGrid/>
          <w:sz w:val="24"/>
          <w:szCs w:val="22"/>
        </w:rPr>
        <w:t xml:space="preserve">and presented the </w:t>
      </w:r>
      <w:r w:rsidR="00B569CA" w:rsidRPr="001E061B">
        <w:rPr>
          <w:rFonts w:asciiTheme="minorHAnsi" w:eastAsiaTheme="minorHAnsi" w:hAnsiTheme="minorHAnsi" w:cstheme="minorBidi"/>
          <w:snapToGrid/>
          <w:sz w:val="24"/>
          <w:szCs w:val="22"/>
        </w:rPr>
        <w:t xml:space="preserve">results of </w:t>
      </w:r>
      <w:r w:rsidR="00E2750A" w:rsidRPr="001E061B">
        <w:rPr>
          <w:rFonts w:asciiTheme="minorHAnsi" w:eastAsiaTheme="minorHAnsi" w:hAnsiTheme="minorHAnsi" w:cstheme="minorBidi"/>
          <w:snapToGrid/>
          <w:sz w:val="24"/>
          <w:szCs w:val="22"/>
        </w:rPr>
        <w:t>an indirect treatment comparison</w:t>
      </w:r>
      <w:r w:rsidR="00B569CA" w:rsidRPr="001E061B">
        <w:rPr>
          <w:rFonts w:asciiTheme="minorHAnsi" w:eastAsiaTheme="minorHAnsi" w:hAnsiTheme="minorHAnsi" w:cstheme="minorBidi"/>
          <w:snapToGrid/>
          <w:sz w:val="24"/>
          <w:szCs w:val="22"/>
        </w:rPr>
        <w:t xml:space="preserve"> of </w:t>
      </w:r>
      <w:proofErr w:type="spellStart"/>
      <w:r w:rsidR="00B569CA" w:rsidRPr="001E061B">
        <w:rPr>
          <w:rFonts w:asciiTheme="minorHAnsi" w:eastAsiaTheme="minorHAnsi" w:hAnsiTheme="minorHAnsi" w:cstheme="minorBidi"/>
          <w:snapToGrid/>
          <w:sz w:val="24"/>
          <w:szCs w:val="22"/>
        </w:rPr>
        <w:t>lenvatini</w:t>
      </w:r>
      <w:r w:rsidR="00021A8C" w:rsidRPr="001E061B">
        <w:rPr>
          <w:rFonts w:asciiTheme="minorHAnsi" w:eastAsiaTheme="minorHAnsi" w:hAnsiTheme="minorHAnsi" w:cstheme="minorBidi"/>
          <w:snapToGrid/>
          <w:sz w:val="24"/>
          <w:szCs w:val="22"/>
        </w:rPr>
        <w:t>b</w:t>
      </w:r>
      <w:proofErr w:type="spellEnd"/>
      <w:r w:rsidR="00021A8C" w:rsidRPr="001E061B">
        <w:rPr>
          <w:rFonts w:asciiTheme="minorHAnsi" w:eastAsiaTheme="minorHAnsi" w:hAnsiTheme="minorHAnsi" w:cstheme="minorBidi"/>
          <w:snapToGrid/>
          <w:sz w:val="24"/>
          <w:szCs w:val="22"/>
        </w:rPr>
        <w:t>/</w:t>
      </w:r>
      <w:proofErr w:type="spellStart"/>
      <w:r w:rsidR="00021A8C" w:rsidRPr="001E061B">
        <w:rPr>
          <w:rFonts w:asciiTheme="minorHAnsi" w:eastAsiaTheme="minorHAnsi" w:hAnsiTheme="minorHAnsi" w:cstheme="minorBidi"/>
          <w:snapToGrid/>
          <w:sz w:val="24"/>
          <w:szCs w:val="22"/>
        </w:rPr>
        <w:t>everolimus</w:t>
      </w:r>
      <w:proofErr w:type="spellEnd"/>
      <w:r w:rsidR="00021A8C" w:rsidRPr="001E061B">
        <w:rPr>
          <w:rFonts w:asciiTheme="minorHAnsi" w:eastAsiaTheme="minorHAnsi" w:hAnsiTheme="minorHAnsi" w:cstheme="minorBidi"/>
          <w:snapToGrid/>
          <w:sz w:val="24"/>
          <w:szCs w:val="22"/>
        </w:rPr>
        <w:t xml:space="preserve"> versus </w:t>
      </w:r>
      <w:proofErr w:type="spellStart"/>
      <w:r w:rsidR="00021A8C" w:rsidRPr="001E061B">
        <w:rPr>
          <w:rFonts w:asciiTheme="minorHAnsi" w:eastAsiaTheme="minorHAnsi" w:hAnsiTheme="minorHAnsi" w:cstheme="minorBidi"/>
          <w:snapToGrid/>
          <w:sz w:val="24"/>
          <w:szCs w:val="22"/>
        </w:rPr>
        <w:t>cabozantinib</w:t>
      </w:r>
      <w:proofErr w:type="spellEnd"/>
      <w:r w:rsidR="00021A8C" w:rsidRPr="001E061B">
        <w:rPr>
          <w:rFonts w:asciiTheme="minorHAnsi" w:eastAsiaTheme="minorHAnsi" w:hAnsiTheme="minorHAnsi" w:cstheme="minorBidi"/>
          <w:snapToGrid/>
          <w:sz w:val="24"/>
          <w:szCs w:val="22"/>
        </w:rPr>
        <w:t xml:space="preserve"> </w:t>
      </w:r>
      <w:r w:rsidR="00657E4D" w:rsidRPr="001E061B">
        <w:rPr>
          <w:rFonts w:asciiTheme="minorHAnsi" w:eastAsiaTheme="minorHAnsi" w:hAnsiTheme="minorHAnsi" w:cstheme="minorBidi"/>
          <w:snapToGrid/>
          <w:sz w:val="24"/>
          <w:szCs w:val="22"/>
        </w:rPr>
        <w:t>(Table 5)</w:t>
      </w:r>
      <w:r w:rsidR="00B569CA" w:rsidRPr="001E061B">
        <w:rPr>
          <w:rFonts w:asciiTheme="minorHAnsi" w:eastAsiaTheme="minorHAnsi" w:hAnsiTheme="minorHAnsi" w:cstheme="minorBidi"/>
          <w:snapToGrid/>
          <w:sz w:val="24"/>
          <w:szCs w:val="22"/>
        </w:rPr>
        <w:t>.</w:t>
      </w:r>
      <w:r w:rsidRPr="001E061B">
        <w:rPr>
          <w:rFonts w:asciiTheme="minorHAnsi" w:eastAsiaTheme="minorHAnsi" w:hAnsiTheme="minorHAnsi" w:cstheme="minorBidi"/>
          <w:snapToGrid/>
          <w:sz w:val="24"/>
          <w:szCs w:val="22"/>
        </w:rPr>
        <w:t xml:space="preserve"> Th</w:t>
      </w:r>
      <w:r w:rsidR="00E2750A" w:rsidRPr="001E061B">
        <w:rPr>
          <w:rFonts w:asciiTheme="minorHAnsi" w:eastAsiaTheme="minorHAnsi" w:hAnsiTheme="minorHAnsi" w:cstheme="minorBidi"/>
          <w:snapToGrid/>
          <w:sz w:val="24"/>
          <w:szCs w:val="22"/>
        </w:rPr>
        <w:t>e indirect treatment comparison presented was</w:t>
      </w:r>
      <w:r w:rsidRPr="001E061B">
        <w:rPr>
          <w:rFonts w:asciiTheme="minorHAnsi" w:eastAsiaTheme="minorHAnsi" w:hAnsiTheme="minorHAnsi" w:cstheme="minorBidi"/>
          <w:snapToGrid/>
          <w:sz w:val="24"/>
          <w:szCs w:val="22"/>
        </w:rPr>
        <w:t xml:space="preserve"> the same as those included in Appendix 1 of the November 2017 submission.</w:t>
      </w:r>
      <w:r w:rsidR="00B569CA" w:rsidRPr="001E061B">
        <w:rPr>
          <w:rFonts w:asciiTheme="minorHAnsi" w:eastAsiaTheme="minorHAnsi" w:hAnsiTheme="minorHAnsi" w:cstheme="minorBidi"/>
          <w:snapToGrid/>
          <w:sz w:val="24"/>
          <w:szCs w:val="22"/>
        </w:rPr>
        <w:t xml:space="preserve"> </w:t>
      </w:r>
      <w:r w:rsidR="00657E4D" w:rsidRPr="001E061B">
        <w:rPr>
          <w:rFonts w:asciiTheme="minorHAnsi" w:eastAsiaTheme="minorHAnsi" w:hAnsiTheme="minorHAnsi" w:cstheme="minorBidi"/>
          <w:snapToGrid/>
          <w:sz w:val="24"/>
          <w:szCs w:val="22"/>
        </w:rPr>
        <w:t>For PFS, t</w:t>
      </w:r>
      <w:r w:rsidR="00B569CA" w:rsidRPr="001E061B">
        <w:rPr>
          <w:rFonts w:asciiTheme="minorHAnsi" w:eastAsiaTheme="minorHAnsi" w:hAnsiTheme="minorHAnsi" w:cstheme="minorBidi"/>
          <w:snapToGrid/>
          <w:sz w:val="24"/>
          <w:szCs w:val="22"/>
        </w:rPr>
        <w:t xml:space="preserve">he pre-PBAC response </w:t>
      </w:r>
      <w:r w:rsidR="00657E4D" w:rsidRPr="001E061B">
        <w:rPr>
          <w:rFonts w:asciiTheme="minorHAnsi" w:eastAsiaTheme="minorHAnsi" w:hAnsiTheme="minorHAnsi" w:cstheme="minorBidi"/>
          <w:snapToGrid/>
          <w:sz w:val="24"/>
          <w:szCs w:val="22"/>
        </w:rPr>
        <w:t>stated</w:t>
      </w:r>
      <w:r w:rsidR="00B569CA" w:rsidRPr="001E061B">
        <w:rPr>
          <w:rFonts w:asciiTheme="minorHAnsi" w:eastAsiaTheme="minorHAnsi" w:hAnsiTheme="minorHAnsi" w:cstheme="minorBidi"/>
          <w:snapToGrid/>
          <w:sz w:val="24"/>
          <w:szCs w:val="22"/>
        </w:rPr>
        <w:t xml:space="preserve"> the results support a claim that </w:t>
      </w:r>
      <w:proofErr w:type="spellStart"/>
      <w:r w:rsidR="00B569CA" w:rsidRPr="001E061B">
        <w:rPr>
          <w:rFonts w:asciiTheme="minorHAnsi" w:eastAsiaTheme="minorHAnsi" w:hAnsiTheme="minorHAnsi" w:cstheme="minorBidi"/>
          <w:snapToGrid/>
          <w:sz w:val="24"/>
          <w:szCs w:val="22"/>
        </w:rPr>
        <w:t>lenvatinib</w:t>
      </w:r>
      <w:proofErr w:type="spellEnd"/>
      <w:r w:rsidR="00B569CA" w:rsidRPr="001E061B">
        <w:rPr>
          <w:rFonts w:asciiTheme="minorHAnsi" w:eastAsiaTheme="minorHAnsi" w:hAnsiTheme="minorHAnsi" w:cstheme="minorBidi"/>
          <w:snapToGrid/>
          <w:sz w:val="24"/>
          <w:szCs w:val="22"/>
        </w:rPr>
        <w:t>/</w:t>
      </w:r>
      <w:proofErr w:type="spellStart"/>
      <w:r w:rsidR="00B569CA" w:rsidRPr="001E061B">
        <w:rPr>
          <w:rFonts w:asciiTheme="minorHAnsi" w:eastAsiaTheme="minorHAnsi" w:hAnsiTheme="minorHAnsi" w:cstheme="minorBidi"/>
          <w:snapToGrid/>
          <w:sz w:val="24"/>
          <w:szCs w:val="22"/>
        </w:rPr>
        <w:t>everolimus</w:t>
      </w:r>
      <w:proofErr w:type="spellEnd"/>
      <w:r w:rsidR="00B569CA" w:rsidRPr="001E061B">
        <w:rPr>
          <w:rFonts w:asciiTheme="minorHAnsi" w:eastAsiaTheme="minorHAnsi" w:hAnsiTheme="minorHAnsi" w:cstheme="minorBidi"/>
          <w:snapToGrid/>
          <w:sz w:val="24"/>
          <w:szCs w:val="22"/>
        </w:rPr>
        <w:t xml:space="preserve"> is numerically superior and statistically non-inferior to </w:t>
      </w:r>
      <w:proofErr w:type="spellStart"/>
      <w:r w:rsidR="00B569CA" w:rsidRPr="001E061B">
        <w:rPr>
          <w:rFonts w:asciiTheme="minorHAnsi" w:eastAsiaTheme="minorHAnsi" w:hAnsiTheme="minorHAnsi" w:cstheme="minorBidi"/>
          <w:snapToGrid/>
          <w:sz w:val="24"/>
          <w:szCs w:val="22"/>
        </w:rPr>
        <w:t>cabozantinib</w:t>
      </w:r>
      <w:proofErr w:type="spellEnd"/>
      <w:r w:rsidR="00B569CA" w:rsidRPr="001E061B">
        <w:rPr>
          <w:rFonts w:asciiTheme="minorHAnsi" w:eastAsiaTheme="minorHAnsi" w:hAnsiTheme="minorHAnsi" w:cstheme="minorBidi"/>
          <w:snapToGrid/>
          <w:sz w:val="24"/>
          <w:szCs w:val="22"/>
        </w:rPr>
        <w:t xml:space="preserve"> for the outcome of PFS: hazard ratio 0.78 (95% CI: 0.45, 1.37). With respect to OS</w:t>
      </w:r>
      <w:r w:rsidR="00657E4D" w:rsidRPr="001E061B">
        <w:rPr>
          <w:rFonts w:asciiTheme="minorHAnsi" w:eastAsiaTheme="minorHAnsi" w:hAnsiTheme="minorHAnsi" w:cstheme="minorBidi"/>
          <w:snapToGrid/>
          <w:sz w:val="24"/>
          <w:szCs w:val="22"/>
        </w:rPr>
        <w:t>, the</w:t>
      </w:r>
      <w:r w:rsidR="00B569CA" w:rsidRPr="001E061B">
        <w:rPr>
          <w:rFonts w:asciiTheme="minorHAnsi" w:eastAsiaTheme="minorHAnsi" w:hAnsiTheme="minorHAnsi" w:cstheme="minorBidi"/>
          <w:snapToGrid/>
          <w:sz w:val="24"/>
          <w:szCs w:val="22"/>
        </w:rPr>
        <w:t xml:space="preserve"> pre-P</w:t>
      </w:r>
      <w:r w:rsidR="00657E4D" w:rsidRPr="001E061B">
        <w:rPr>
          <w:rFonts w:asciiTheme="minorHAnsi" w:eastAsiaTheme="minorHAnsi" w:hAnsiTheme="minorHAnsi" w:cstheme="minorBidi"/>
          <w:snapToGrid/>
          <w:sz w:val="24"/>
          <w:szCs w:val="22"/>
        </w:rPr>
        <w:t>BAC response stated</w:t>
      </w:r>
      <w:r w:rsidR="00B569CA" w:rsidRPr="001E061B">
        <w:rPr>
          <w:rFonts w:asciiTheme="minorHAnsi" w:eastAsiaTheme="minorHAnsi" w:hAnsiTheme="minorHAnsi" w:cstheme="minorBidi"/>
          <w:snapToGrid/>
          <w:sz w:val="24"/>
          <w:szCs w:val="22"/>
        </w:rPr>
        <w:t xml:space="preserve"> the results support a claim that </w:t>
      </w:r>
      <w:proofErr w:type="spellStart"/>
      <w:r w:rsidR="00B569CA" w:rsidRPr="001E061B">
        <w:rPr>
          <w:rFonts w:asciiTheme="minorHAnsi" w:eastAsiaTheme="minorHAnsi" w:hAnsiTheme="minorHAnsi" w:cstheme="minorBidi"/>
          <w:snapToGrid/>
          <w:sz w:val="24"/>
          <w:szCs w:val="22"/>
        </w:rPr>
        <w:t>lenvatinib</w:t>
      </w:r>
      <w:proofErr w:type="spellEnd"/>
      <w:r w:rsidR="00B569CA" w:rsidRPr="001E061B">
        <w:rPr>
          <w:rFonts w:asciiTheme="minorHAnsi" w:eastAsiaTheme="minorHAnsi" w:hAnsiTheme="minorHAnsi" w:cstheme="minorBidi"/>
          <w:snapToGrid/>
          <w:sz w:val="24"/>
          <w:szCs w:val="22"/>
        </w:rPr>
        <w:t>/</w:t>
      </w:r>
      <w:proofErr w:type="spellStart"/>
      <w:r w:rsidR="00B569CA" w:rsidRPr="001E061B">
        <w:rPr>
          <w:rFonts w:asciiTheme="minorHAnsi" w:eastAsiaTheme="minorHAnsi" w:hAnsiTheme="minorHAnsi" w:cstheme="minorBidi"/>
          <w:snapToGrid/>
          <w:sz w:val="24"/>
          <w:szCs w:val="22"/>
        </w:rPr>
        <w:t>everolimus</w:t>
      </w:r>
      <w:proofErr w:type="spellEnd"/>
      <w:r w:rsidR="00B569CA" w:rsidRPr="001E061B">
        <w:rPr>
          <w:rFonts w:asciiTheme="minorHAnsi" w:eastAsiaTheme="minorHAnsi" w:hAnsiTheme="minorHAnsi" w:cstheme="minorBidi"/>
          <w:snapToGrid/>
          <w:sz w:val="24"/>
          <w:szCs w:val="22"/>
        </w:rPr>
        <w:t xml:space="preserve"> is numerically superior and statistically non-inferior to </w:t>
      </w:r>
      <w:proofErr w:type="spellStart"/>
      <w:r w:rsidR="00B569CA" w:rsidRPr="001E061B">
        <w:rPr>
          <w:rFonts w:asciiTheme="minorHAnsi" w:eastAsiaTheme="minorHAnsi" w:hAnsiTheme="minorHAnsi" w:cstheme="minorBidi"/>
          <w:snapToGrid/>
          <w:sz w:val="24"/>
          <w:szCs w:val="22"/>
        </w:rPr>
        <w:t>cabozantinib</w:t>
      </w:r>
      <w:proofErr w:type="spellEnd"/>
      <w:r w:rsidR="00B569CA" w:rsidRPr="001E061B">
        <w:rPr>
          <w:rFonts w:asciiTheme="minorHAnsi" w:eastAsiaTheme="minorHAnsi" w:hAnsiTheme="minorHAnsi" w:cstheme="minorBidi"/>
          <w:snapToGrid/>
          <w:sz w:val="24"/>
          <w:szCs w:val="22"/>
        </w:rPr>
        <w:t xml:space="preserve"> for the outcome of OS</w:t>
      </w:r>
      <w:r w:rsidR="008D6F03" w:rsidRPr="001E061B">
        <w:rPr>
          <w:rFonts w:asciiTheme="minorHAnsi" w:eastAsiaTheme="minorHAnsi" w:hAnsiTheme="minorHAnsi" w:cstheme="minorBidi"/>
          <w:snapToGrid/>
          <w:sz w:val="24"/>
          <w:szCs w:val="22"/>
        </w:rPr>
        <w:t xml:space="preserve">: hazard </w:t>
      </w:r>
      <w:r w:rsidR="004109F4" w:rsidRPr="001E061B">
        <w:rPr>
          <w:rFonts w:asciiTheme="minorHAnsi" w:eastAsiaTheme="minorHAnsi" w:hAnsiTheme="minorHAnsi" w:cstheme="minorBidi"/>
          <w:snapToGrid/>
          <w:sz w:val="24"/>
          <w:szCs w:val="22"/>
        </w:rPr>
        <w:t>ratio 0.83 (95% CI: 0.44, 1.59).</w:t>
      </w:r>
    </w:p>
    <w:p w:rsidR="00657E4D" w:rsidRPr="00657E4D" w:rsidRDefault="00657E4D" w:rsidP="004109F4">
      <w:pPr>
        <w:pStyle w:val="PBACHeading1"/>
        <w:ind w:left="0" w:firstLine="0"/>
        <w:outlineLvl w:val="9"/>
        <w:rPr>
          <w:rFonts w:ascii="Arial Narrow" w:hAnsi="Arial Narrow" w:cs="Times New Roman"/>
          <w:iCs/>
          <w:snapToGrid/>
          <w:sz w:val="20"/>
          <w:szCs w:val="20"/>
          <w:lang w:eastAsia="en-AU"/>
        </w:rPr>
      </w:pPr>
      <w:bookmarkStart w:id="5" w:name="_Ref507161962"/>
      <w:r w:rsidRPr="00657E4D">
        <w:rPr>
          <w:rFonts w:ascii="Arial Narrow" w:hAnsi="Arial Narrow" w:cs="Times New Roman"/>
          <w:iCs/>
          <w:snapToGrid/>
          <w:sz w:val="20"/>
          <w:szCs w:val="20"/>
          <w:lang w:eastAsia="en-AU"/>
        </w:rPr>
        <w:t xml:space="preserve">Table </w:t>
      </w:r>
      <w:bookmarkEnd w:id="5"/>
      <w:r>
        <w:rPr>
          <w:rFonts w:ascii="Arial Narrow" w:hAnsi="Arial Narrow" w:cs="Times New Roman"/>
          <w:iCs/>
          <w:snapToGrid/>
          <w:sz w:val="20"/>
          <w:szCs w:val="20"/>
          <w:lang w:eastAsia="en-AU"/>
        </w:rPr>
        <w:t>5</w:t>
      </w:r>
      <w:r w:rsidRPr="00657E4D">
        <w:rPr>
          <w:rFonts w:ascii="Arial Narrow" w:hAnsi="Arial Narrow" w:cs="Times New Roman"/>
          <w:iCs/>
          <w:snapToGrid/>
          <w:sz w:val="20"/>
          <w:szCs w:val="20"/>
          <w:lang w:eastAsia="en-AU"/>
        </w:rPr>
        <w:t xml:space="preserve">: Indirect treatment comparison of </w:t>
      </w:r>
      <w:proofErr w:type="spellStart"/>
      <w:r w:rsidRPr="00657E4D">
        <w:rPr>
          <w:rFonts w:ascii="Arial Narrow" w:hAnsi="Arial Narrow" w:cs="Times New Roman"/>
          <w:iCs/>
          <w:snapToGrid/>
          <w:sz w:val="20"/>
          <w:szCs w:val="20"/>
          <w:lang w:eastAsia="en-AU"/>
        </w:rPr>
        <w:t>lenvatinib</w:t>
      </w:r>
      <w:proofErr w:type="spellEnd"/>
      <w:r w:rsidR="0076463A">
        <w:rPr>
          <w:rFonts w:ascii="Arial Narrow" w:hAnsi="Arial Narrow" w:cs="Times New Roman"/>
          <w:iCs/>
          <w:snapToGrid/>
          <w:sz w:val="20"/>
          <w:szCs w:val="20"/>
          <w:lang w:eastAsia="en-AU"/>
        </w:rPr>
        <w:t>/</w:t>
      </w:r>
      <w:proofErr w:type="spellStart"/>
      <w:r w:rsidRPr="00657E4D">
        <w:rPr>
          <w:rFonts w:ascii="Arial Narrow" w:hAnsi="Arial Narrow" w:cs="Times New Roman"/>
          <w:iCs/>
          <w:snapToGrid/>
          <w:sz w:val="20"/>
          <w:szCs w:val="20"/>
          <w:lang w:eastAsia="en-AU"/>
        </w:rPr>
        <w:t>everolimus</w:t>
      </w:r>
      <w:proofErr w:type="spellEnd"/>
      <w:r w:rsidRPr="00657E4D">
        <w:rPr>
          <w:rFonts w:ascii="Arial Narrow" w:hAnsi="Arial Narrow" w:cs="Times New Roman"/>
          <w:iCs/>
          <w:snapToGrid/>
          <w:sz w:val="20"/>
          <w:szCs w:val="20"/>
          <w:lang w:eastAsia="en-AU"/>
        </w:rPr>
        <w:t xml:space="preserve"> with </w:t>
      </w:r>
      <w:proofErr w:type="spellStart"/>
      <w:r w:rsidRPr="00657E4D">
        <w:rPr>
          <w:rFonts w:ascii="Arial Narrow" w:hAnsi="Arial Narrow" w:cs="Times New Roman"/>
          <w:iCs/>
          <w:snapToGrid/>
          <w:sz w:val="20"/>
          <w:szCs w:val="20"/>
          <w:lang w:eastAsia="en-AU"/>
        </w:rPr>
        <w:t>cabozantinib</w:t>
      </w:r>
      <w:proofErr w:type="spellEnd"/>
    </w:p>
    <w:tbl>
      <w:tblPr>
        <w:tblStyle w:val="TableGrid"/>
        <w:tblW w:w="5000" w:type="pct"/>
        <w:tblLook w:val="04A0" w:firstRow="1" w:lastRow="0" w:firstColumn="1" w:lastColumn="0" w:noHBand="0" w:noVBand="1"/>
        <w:tblCaption w:val="Table 5: Indirect treatment comparison of lenvatinib/everolimus with cabozantinib"/>
      </w:tblPr>
      <w:tblGrid>
        <w:gridCol w:w="2426"/>
        <w:gridCol w:w="1364"/>
        <w:gridCol w:w="1364"/>
        <w:gridCol w:w="1364"/>
        <w:gridCol w:w="1364"/>
        <w:gridCol w:w="1360"/>
      </w:tblGrid>
      <w:tr w:rsidR="00657E4D" w:rsidTr="005055DA">
        <w:trPr>
          <w:tblHeader/>
        </w:trPr>
        <w:tc>
          <w:tcPr>
            <w:tcW w:w="1312" w:type="pct"/>
            <w:shd w:val="clear" w:color="auto" w:fill="auto"/>
            <w:vAlign w:val="center"/>
          </w:tcPr>
          <w:p w:rsidR="00657E4D" w:rsidRPr="0001507A" w:rsidRDefault="00657E4D" w:rsidP="005055DA">
            <w:pPr>
              <w:rPr>
                <w:rFonts w:ascii="Arial Narrow" w:hAnsi="Arial Narrow"/>
                <w:b/>
                <w:sz w:val="20"/>
                <w:szCs w:val="20"/>
              </w:rPr>
            </w:pPr>
            <w:r w:rsidRPr="0001507A">
              <w:rPr>
                <w:rFonts w:ascii="Arial Narrow" w:hAnsi="Arial Narrow"/>
                <w:b/>
                <w:sz w:val="20"/>
                <w:szCs w:val="20"/>
              </w:rPr>
              <w:t>Trial ID</w:t>
            </w:r>
          </w:p>
        </w:tc>
        <w:tc>
          <w:tcPr>
            <w:tcW w:w="738" w:type="pct"/>
            <w:shd w:val="clear" w:color="auto" w:fill="auto"/>
            <w:vAlign w:val="center"/>
          </w:tcPr>
          <w:p w:rsidR="00657E4D" w:rsidRPr="0001507A" w:rsidRDefault="00657E4D" w:rsidP="005055DA">
            <w:pPr>
              <w:rPr>
                <w:rFonts w:ascii="Arial Narrow" w:hAnsi="Arial Narrow"/>
                <w:b/>
                <w:sz w:val="20"/>
                <w:szCs w:val="20"/>
              </w:rPr>
            </w:pPr>
            <w:r w:rsidRPr="0001507A">
              <w:rPr>
                <w:rFonts w:ascii="Arial Narrow" w:hAnsi="Arial Narrow"/>
                <w:b/>
                <w:sz w:val="20"/>
                <w:szCs w:val="20"/>
              </w:rPr>
              <w:t>N with event/N (%)</w:t>
            </w:r>
          </w:p>
        </w:tc>
        <w:tc>
          <w:tcPr>
            <w:tcW w:w="738" w:type="pct"/>
            <w:shd w:val="clear" w:color="auto" w:fill="auto"/>
            <w:vAlign w:val="center"/>
          </w:tcPr>
          <w:p w:rsidR="00657E4D" w:rsidRPr="0001507A" w:rsidRDefault="00657E4D" w:rsidP="005055DA">
            <w:pPr>
              <w:rPr>
                <w:rFonts w:ascii="Arial Narrow" w:hAnsi="Arial Narrow"/>
                <w:b/>
                <w:sz w:val="20"/>
                <w:szCs w:val="20"/>
              </w:rPr>
            </w:pPr>
            <w:r w:rsidRPr="0001507A">
              <w:rPr>
                <w:rFonts w:ascii="Arial Narrow" w:hAnsi="Arial Narrow"/>
                <w:b/>
                <w:sz w:val="20"/>
                <w:szCs w:val="20"/>
              </w:rPr>
              <w:t xml:space="preserve">Median, in months </w:t>
            </w:r>
            <w:r w:rsidR="0001507A">
              <w:rPr>
                <w:rFonts w:ascii="Arial Narrow" w:hAnsi="Arial Narrow"/>
                <w:b/>
                <w:sz w:val="20"/>
                <w:szCs w:val="20"/>
              </w:rPr>
              <w:br/>
            </w:r>
            <w:r w:rsidRPr="0001507A">
              <w:rPr>
                <w:rFonts w:ascii="Arial Narrow" w:hAnsi="Arial Narrow"/>
                <w:b/>
                <w:sz w:val="20"/>
                <w:szCs w:val="20"/>
              </w:rPr>
              <w:t>(95% CI)</w:t>
            </w:r>
          </w:p>
        </w:tc>
        <w:tc>
          <w:tcPr>
            <w:tcW w:w="738" w:type="pct"/>
            <w:shd w:val="clear" w:color="auto" w:fill="auto"/>
            <w:vAlign w:val="center"/>
          </w:tcPr>
          <w:p w:rsidR="00657E4D" w:rsidRPr="0001507A" w:rsidRDefault="00657E4D" w:rsidP="005055DA">
            <w:pPr>
              <w:rPr>
                <w:rFonts w:ascii="Arial Narrow" w:hAnsi="Arial Narrow"/>
                <w:b/>
                <w:sz w:val="20"/>
                <w:szCs w:val="20"/>
              </w:rPr>
            </w:pPr>
            <w:r w:rsidRPr="0001507A">
              <w:rPr>
                <w:rFonts w:ascii="Arial Narrow" w:hAnsi="Arial Narrow"/>
                <w:b/>
                <w:sz w:val="20"/>
                <w:szCs w:val="20"/>
              </w:rPr>
              <w:t>Common reference n with event/N (%)</w:t>
            </w:r>
          </w:p>
        </w:tc>
        <w:tc>
          <w:tcPr>
            <w:tcW w:w="738" w:type="pct"/>
            <w:shd w:val="clear" w:color="auto" w:fill="auto"/>
            <w:vAlign w:val="center"/>
          </w:tcPr>
          <w:p w:rsidR="00657E4D" w:rsidRPr="0001507A" w:rsidRDefault="00657E4D" w:rsidP="005055DA">
            <w:pPr>
              <w:rPr>
                <w:rFonts w:ascii="Arial Narrow" w:hAnsi="Arial Narrow"/>
                <w:b/>
                <w:sz w:val="20"/>
                <w:szCs w:val="20"/>
              </w:rPr>
            </w:pPr>
            <w:r w:rsidRPr="0001507A">
              <w:rPr>
                <w:rFonts w:ascii="Arial Narrow" w:hAnsi="Arial Narrow"/>
                <w:b/>
                <w:sz w:val="20"/>
                <w:szCs w:val="20"/>
              </w:rPr>
              <w:t xml:space="preserve">Median, in months </w:t>
            </w:r>
            <w:r w:rsidR="0001507A">
              <w:rPr>
                <w:rFonts w:ascii="Arial Narrow" w:hAnsi="Arial Narrow"/>
                <w:b/>
                <w:sz w:val="20"/>
                <w:szCs w:val="20"/>
              </w:rPr>
              <w:br/>
            </w:r>
            <w:r w:rsidRPr="0001507A">
              <w:rPr>
                <w:rFonts w:ascii="Arial Narrow" w:hAnsi="Arial Narrow"/>
                <w:b/>
                <w:sz w:val="20"/>
                <w:szCs w:val="20"/>
              </w:rPr>
              <w:t>(95% CI)</w:t>
            </w:r>
          </w:p>
        </w:tc>
        <w:tc>
          <w:tcPr>
            <w:tcW w:w="736" w:type="pct"/>
            <w:shd w:val="clear" w:color="auto" w:fill="auto"/>
            <w:vAlign w:val="center"/>
          </w:tcPr>
          <w:p w:rsidR="00657E4D" w:rsidRPr="0001507A" w:rsidRDefault="00657E4D" w:rsidP="005055DA">
            <w:pPr>
              <w:rPr>
                <w:rFonts w:ascii="Arial Narrow" w:hAnsi="Arial Narrow"/>
                <w:b/>
                <w:sz w:val="20"/>
                <w:szCs w:val="20"/>
              </w:rPr>
            </w:pPr>
            <w:r w:rsidRPr="0001507A">
              <w:rPr>
                <w:rFonts w:ascii="Arial Narrow" w:hAnsi="Arial Narrow"/>
                <w:b/>
                <w:sz w:val="20"/>
                <w:szCs w:val="20"/>
              </w:rPr>
              <w:t>HR (95% CI)</w:t>
            </w:r>
          </w:p>
        </w:tc>
      </w:tr>
      <w:tr w:rsidR="00657E4D" w:rsidTr="0001507A">
        <w:tc>
          <w:tcPr>
            <w:tcW w:w="5000" w:type="pct"/>
            <w:gridSpan w:val="6"/>
            <w:shd w:val="clear" w:color="auto" w:fill="auto"/>
          </w:tcPr>
          <w:p w:rsidR="00657E4D" w:rsidRPr="0001507A" w:rsidRDefault="00657E4D" w:rsidP="0001507A">
            <w:pPr>
              <w:rPr>
                <w:rFonts w:ascii="Arial Narrow" w:hAnsi="Arial Narrow"/>
                <w:b/>
                <w:sz w:val="20"/>
                <w:szCs w:val="20"/>
              </w:rPr>
            </w:pPr>
            <w:r w:rsidRPr="0001507A">
              <w:rPr>
                <w:rFonts w:ascii="Arial Narrow" w:hAnsi="Arial Narrow"/>
                <w:b/>
                <w:sz w:val="20"/>
                <w:szCs w:val="20"/>
              </w:rPr>
              <w:t>Progression free survival</w:t>
            </w:r>
          </w:p>
        </w:tc>
      </w:tr>
      <w:tr w:rsidR="00657E4D" w:rsidTr="008C7C61">
        <w:tc>
          <w:tcPr>
            <w:tcW w:w="1312"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Study 205</w:t>
            </w:r>
          </w:p>
          <w:p w:rsidR="00657E4D" w:rsidRPr="0001507A" w:rsidRDefault="00657E4D" w:rsidP="0001507A">
            <w:pPr>
              <w:rPr>
                <w:rFonts w:ascii="Arial Narrow" w:hAnsi="Arial Narrow"/>
                <w:sz w:val="20"/>
                <w:szCs w:val="20"/>
              </w:rPr>
            </w:pPr>
            <w:r w:rsidRPr="0001507A">
              <w:rPr>
                <w:rFonts w:ascii="Arial Narrow" w:hAnsi="Arial Narrow"/>
                <w:sz w:val="20"/>
                <w:szCs w:val="20"/>
              </w:rPr>
              <w:t>(</w:t>
            </w:r>
            <w:proofErr w:type="spellStart"/>
            <w:r w:rsidRPr="0001507A">
              <w:rPr>
                <w:rFonts w:ascii="Arial Narrow" w:hAnsi="Arial Narrow"/>
                <w:sz w:val="20"/>
                <w:szCs w:val="20"/>
              </w:rPr>
              <w:t>lenvatinib</w:t>
            </w:r>
            <w:proofErr w:type="spellEnd"/>
            <w:r w:rsidR="0076463A">
              <w:rPr>
                <w:rFonts w:ascii="Arial Narrow" w:hAnsi="Arial Narrow"/>
                <w:sz w:val="20"/>
                <w:szCs w:val="20"/>
              </w:rPr>
              <w:t>/</w:t>
            </w:r>
            <w:proofErr w:type="spellStart"/>
            <w:r w:rsidRPr="0001507A">
              <w:rPr>
                <w:rFonts w:ascii="Arial Narrow" w:hAnsi="Arial Narrow"/>
                <w:sz w:val="20"/>
                <w:szCs w:val="20"/>
              </w:rPr>
              <w:t>everolimus</w:t>
            </w:r>
            <w:proofErr w:type="spellEnd"/>
            <w:r w:rsidRPr="0001507A">
              <w:rPr>
                <w:rFonts w:ascii="Arial Narrow" w:hAnsi="Arial Narrow"/>
                <w:sz w:val="20"/>
                <w:szCs w:val="20"/>
              </w:rPr>
              <w:t xml:space="preserve"> vs. </w:t>
            </w:r>
            <w:proofErr w:type="spellStart"/>
            <w:r w:rsidRPr="0001507A">
              <w:rPr>
                <w:rFonts w:ascii="Arial Narrow" w:hAnsi="Arial Narrow"/>
                <w:sz w:val="20"/>
                <w:szCs w:val="20"/>
              </w:rPr>
              <w:t>everolimus</w:t>
            </w:r>
            <w:proofErr w:type="spellEnd"/>
            <w:r w:rsidRPr="0001507A">
              <w:rPr>
                <w:rFonts w:ascii="Arial Narrow" w:hAnsi="Arial Narrow"/>
                <w:sz w:val="20"/>
                <w:szCs w:val="20"/>
              </w:rPr>
              <w:t>)</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26/51 (51%)</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14.6 (5.9, 20.1)</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37/50 (74%)</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5.5 (3.5, 7.1)</w:t>
            </w:r>
          </w:p>
        </w:tc>
        <w:tc>
          <w:tcPr>
            <w:tcW w:w="736"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0.40 (0.24, 0.68)</w:t>
            </w:r>
          </w:p>
        </w:tc>
      </w:tr>
      <w:tr w:rsidR="00657E4D" w:rsidTr="008C7C61">
        <w:tc>
          <w:tcPr>
            <w:tcW w:w="1312"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METEOR (</w:t>
            </w:r>
            <w:proofErr w:type="spellStart"/>
            <w:r w:rsidRPr="0001507A">
              <w:rPr>
                <w:rFonts w:ascii="Arial Narrow" w:hAnsi="Arial Narrow"/>
                <w:sz w:val="20"/>
                <w:szCs w:val="20"/>
              </w:rPr>
              <w:t>cabozantinib</w:t>
            </w:r>
            <w:proofErr w:type="spellEnd"/>
            <w:r w:rsidRPr="0001507A">
              <w:rPr>
                <w:rFonts w:ascii="Arial Narrow" w:hAnsi="Arial Narrow"/>
                <w:sz w:val="20"/>
                <w:szCs w:val="20"/>
              </w:rPr>
              <w:t xml:space="preserve"> vs. </w:t>
            </w:r>
            <w:proofErr w:type="spellStart"/>
            <w:r w:rsidRPr="0001507A">
              <w:rPr>
                <w:rFonts w:ascii="Arial Narrow" w:hAnsi="Arial Narrow"/>
                <w:sz w:val="20"/>
                <w:szCs w:val="20"/>
              </w:rPr>
              <w:t>everolimus</w:t>
            </w:r>
            <w:proofErr w:type="spellEnd"/>
            <w:r w:rsidRPr="0001507A">
              <w:rPr>
                <w:rFonts w:ascii="Arial Narrow" w:hAnsi="Arial Narrow"/>
                <w:sz w:val="20"/>
                <w:szCs w:val="20"/>
              </w:rPr>
              <w:t>)</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180/330 (55%)</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7.4 (6.6, 9.1)</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214/328 (65%)</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3.9 (3.7, 5.1)</w:t>
            </w:r>
          </w:p>
        </w:tc>
        <w:tc>
          <w:tcPr>
            <w:tcW w:w="736"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0.51 (0.41, 0.62)</w:t>
            </w:r>
          </w:p>
        </w:tc>
      </w:tr>
      <w:tr w:rsidR="00657E4D" w:rsidTr="008C7C61">
        <w:tc>
          <w:tcPr>
            <w:tcW w:w="4264" w:type="pct"/>
            <w:gridSpan w:val="5"/>
          </w:tcPr>
          <w:p w:rsidR="00657E4D" w:rsidRPr="0001507A" w:rsidRDefault="00657E4D" w:rsidP="0001507A">
            <w:pPr>
              <w:rPr>
                <w:rFonts w:ascii="Arial Narrow" w:hAnsi="Arial Narrow"/>
                <w:b/>
                <w:sz w:val="20"/>
                <w:szCs w:val="20"/>
              </w:rPr>
            </w:pPr>
            <w:r w:rsidRPr="0001507A">
              <w:rPr>
                <w:rFonts w:ascii="Arial Narrow" w:hAnsi="Arial Narrow"/>
                <w:b/>
                <w:sz w:val="20"/>
                <w:szCs w:val="20"/>
              </w:rPr>
              <w:t>Indirect estimate of effect adjusted for the common reference</w:t>
            </w:r>
          </w:p>
        </w:tc>
        <w:tc>
          <w:tcPr>
            <w:tcW w:w="736" w:type="pct"/>
          </w:tcPr>
          <w:p w:rsidR="00657E4D" w:rsidRPr="0001507A" w:rsidRDefault="00657E4D" w:rsidP="0001507A">
            <w:pPr>
              <w:rPr>
                <w:rFonts w:ascii="Arial Narrow" w:hAnsi="Arial Narrow"/>
                <w:b/>
                <w:sz w:val="20"/>
                <w:szCs w:val="20"/>
              </w:rPr>
            </w:pPr>
            <w:r w:rsidRPr="0001507A">
              <w:rPr>
                <w:rFonts w:ascii="Arial Narrow" w:hAnsi="Arial Narrow"/>
                <w:b/>
                <w:sz w:val="20"/>
                <w:szCs w:val="20"/>
              </w:rPr>
              <w:t>0.78 (0.45, 1.37)</w:t>
            </w:r>
          </w:p>
        </w:tc>
      </w:tr>
      <w:tr w:rsidR="00657E4D" w:rsidTr="0001507A">
        <w:tc>
          <w:tcPr>
            <w:tcW w:w="5000" w:type="pct"/>
            <w:gridSpan w:val="6"/>
            <w:shd w:val="clear" w:color="auto" w:fill="auto"/>
          </w:tcPr>
          <w:p w:rsidR="00657E4D" w:rsidRPr="0001507A" w:rsidRDefault="00657E4D" w:rsidP="0001507A">
            <w:pPr>
              <w:rPr>
                <w:rFonts w:ascii="Arial Narrow" w:hAnsi="Arial Narrow"/>
                <w:b/>
                <w:sz w:val="20"/>
                <w:szCs w:val="20"/>
              </w:rPr>
            </w:pPr>
            <w:r w:rsidRPr="0001507A">
              <w:rPr>
                <w:rFonts w:ascii="Arial Narrow" w:hAnsi="Arial Narrow"/>
                <w:b/>
                <w:sz w:val="20"/>
                <w:szCs w:val="20"/>
              </w:rPr>
              <w:t>Overall survival</w:t>
            </w:r>
          </w:p>
        </w:tc>
      </w:tr>
      <w:tr w:rsidR="00657E4D" w:rsidTr="008C7C61">
        <w:tc>
          <w:tcPr>
            <w:tcW w:w="1312"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Study 205</w:t>
            </w:r>
          </w:p>
          <w:p w:rsidR="00657E4D" w:rsidRPr="0001507A" w:rsidRDefault="00657E4D" w:rsidP="0001507A">
            <w:pPr>
              <w:rPr>
                <w:rFonts w:ascii="Arial Narrow" w:hAnsi="Arial Narrow"/>
                <w:sz w:val="20"/>
                <w:szCs w:val="20"/>
              </w:rPr>
            </w:pPr>
            <w:r w:rsidRPr="0001507A">
              <w:rPr>
                <w:rFonts w:ascii="Arial Narrow" w:hAnsi="Arial Narrow"/>
                <w:sz w:val="20"/>
                <w:szCs w:val="20"/>
              </w:rPr>
              <w:t>(</w:t>
            </w:r>
            <w:proofErr w:type="spellStart"/>
            <w:r w:rsidRPr="0001507A">
              <w:rPr>
                <w:rFonts w:ascii="Arial Narrow" w:hAnsi="Arial Narrow"/>
                <w:sz w:val="20"/>
                <w:szCs w:val="20"/>
              </w:rPr>
              <w:t>lenvatinib</w:t>
            </w:r>
            <w:proofErr w:type="spellEnd"/>
            <w:r w:rsidR="0076463A">
              <w:rPr>
                <w:rFonts w:ascii="Arial Narrow" w:hAnsi="Arial Narrow"/>
                <w:sz w:val="20"/>
                <w:szCs w:val="20"/>
              </w:rPr>
              <w:t>/</w:t>
            </w:r>
            <w:proofErr w:type="spellStart"/>
            <w:r w:rsidRPr="0001507A">
              <w:rPr>
                <w:rFonts w:ascii="Arial Narrow" w:hAnsi="Arial Narrow"/>
                <w:sz w:val="20"/>
                <w:szCs w:val="20"/>
              </w:rPr>
              <w:t>everolimus</w:t>
            </w:r>
            <w:proofErr w:type="spellEnd"/>
            <w:r w:rsidRPr="0001507A">
              <w:rPr>
                <w:rFonts w:ascii="Arial Narrow" w:hAnsi="Arial Narrow"/>
                <w:sz w:val="20"/>
                <w:szCs w:val="20"/>
              </w:rPr>
              <w:t xml:space="preserve"> vs. </w:t>
            </w:r>
            <w:proofErr w:type="spellStart"/>
            <w:r w:rsidRPr="0001507A">
              <w:rPr>
                <w:rFonts w:ascii="Arial Narrow" w:hAnsi="Arial Narrow"/>
                <w:sz w:val="20"/>
                <w:szCs w:val="20"/>
              </w:rPr>
              <w:t>everolimus</w:t>
            </w:r>
            <w:proofErr w:type="spellEnd"/>
            <w:r w:rsidRPr="0001507A">
              <w:rPr>
                <w:rFonts w:ascii="Arial Narrow" w:hAnsi="Arial Narrow"/>
                <w:sz w:val="20"/>
                <w:szCs w:val="20"/>
              </w:rPr>
              <w:t>)</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19/51 (37%)</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25.5 (20.8, 25.5)</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183/410 (45%)</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17.5 (11.8, NE)</w:t>
            </w:r>
          </w:p>
        </w:tc>
        <w:tc>
          <w:tcPr>
            <w:tcW w:w="736"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0.55 (0.30, 1.01)</w:t>
            </w:r>
          </w:p>
        </w:tc>
      </w:tr>
      <w:tr w:rsidR="00657E4D" w:rsidTr="008C7C61">
        <w:tc>
          <w:tcPr>
            <w:tcW w:w="1312"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METEOR (</w:t>
            </w:r>
            <w:proofErr w:type="spellStart"/>
            <w:r w:rsidRPr="0001507A">
              <w:rPr>
                <w:rFonts w:ascii="Arial Narrow" w:hAnsi="Arial Narrow"/>
                <w:sz w:val="20"/>
                <w:szCs w:val="20"/>
              </w:rPr>
              <w:t>cabozantinib</w:t>
            </w:r>
            <w:proofErr w:type="spellEnd"/>
            <w:r w:rsidRPr="0001507A">
              <w:rPr>
                <w:rFonts w:ascii="Arial Narrow" w:hAnsi="Arial Narrow"/>
                <w:sz w:val="20"/>
                <w:szCs w:val="20"/>
              </w:rPr>
              <w:t xml:space="preserve"> vs. </w:t>
            </w:r>
            <w:proofErr w:type="spellStart"/>
            <w:r w:rsidRPr="0001507A">
              <w:rPr>
                <w:rFonts w:ascii="Arial Narrow" w:hAnsi="Arial Narrow"/>
                <w:sz w:val="20"/>
                <w:szCs w:val="20"/>
              </w:rPr>
              <w:t>everolimus</w:t>
            </w:r>
            <w:proofErr w:type="spellEnd"/>
            <w:r w:rsidRPr="0001507A">
              <w:rPr>
                <w:rFonts w:ascii="Arial Narrow" w:hAnsi="Arial Narrow"/>
                <w:sz w:val="20"/>
                <w:szCs w:val="20"/>
              </w:rPr>
              <w:t>)</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140/330 (42%)</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21.4 (18.7, NE)</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180/328 (55%)</w:t>
            </w:r>
          </w:p>
        </w:tc>
        <w:tc>
          <w:tcPr>
            <w:tcW w:w="738"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18.8, (16.0, 21.1)</w:t>
            </w:r>
          </w:p>
        </w:tc>
        <w:tc>
          <w:tcPr>
            <w:tcW w:w="736" w:type="pct"/>
          </w:tcPr>
          <w:p w:rsidR="00657E4D" w:rsidRPr="0001507A" w:rsidRDefault="00657E4D" w:rsidP="0001507A">
            <w:pPr>
              <w:rPr>
                <w:rFonts w:ascii="Arial Narrow" w:hAnsi="Arial Narrow"/>
                <w:sz w:val="20"/>
                <w:szCs w:val="20"/>
              </w:rPr>
            </w:pPr>
            <w:r w:rsidRPr="0001507A">
              <w:rPr>
                <w:rFonts w:ascii="Arial Narrow" w:hAnsi="Arial Narrow"/>
                <w:sz w:val="20"/>
                <w:szCs w:val="20"/>
              </w:rPr>
              <w:t>0.66 (0.53, 0.83)</w:t>
            </w:r>
          </w:p>
        </w:tc>
      </w:tr>
      <w:tr w:rsidR="00657E4D" w:rsidTr="008C7C61">
        <w:tc>
          <w:tcPr>
            <w:tcW w:w="4264" w:type="pct"/>
            <w:gridSpan w:val="5"/>
          </w:tcPr>
          <w:p w:rsidR="00657E4D" w:rsidRPr="0001507A" w:rsidRDefault="00657E4D" w:rsidP="0001507A">
            <w:pPr>
              <w:rPr>
                <w:rFonts w:ascii="Arial Narrow" w:hAnsi="Arial Narrow"/>
                <w:b/>
                <w:sz w:val="20"/>
                <w:szCs w:val="20"/>
              </w:rPr>
            </w:pPr>
            <w:r w:rsidRPr="0001507A">
              <w:rPr>
                <w:rFonts w:ascii="Arial Narrow" w:hAnsi="Arial Narrow"/>
                <w:b/>
                <w:sz w:val="20"/>
                <w:szCs w:val="20"/>
              </w:rPr>
              <w:t>Indirect estimate of effect adjusted for the common reference</w:t>
            </w:r>
          </w:p>
        </w:tc>
        <w:tc>
          <w:tcPr>
            <w:tcW w:w="736" w:type="pct"/>
          </w:tcPr>
          <w:p w:rsidR="00657E4D" w:rsidRPr="0001507A" w:rsidRDefault="00657E4D" w:rsidP="0001507A">
            <w:pPr>
              <w:rPr>
                <w:rFonts w:ascii="Arial Narrow" w:hAnsi="Arial Narrow"/>
                <w:b/>
                <w:sz w:val="20"/>
                <w:szCs w:val="20"/>
              </w:rPr>
            </w:pPr>
            <w:r w:rsidRPr="0001507A">
              <w:rPr>
                <w:rFonts w:ascii="Arial Narrow" w:hAnsi="Arial Narrow"/>
                <w:b/>
                <w:sz w:val="20"/>
                <w:szCs w:val="20"/>
              </w:rPr>
              <w:t>0.83 (0.44, 1.59)</w:t>
            </w:r>
          </w:p>
        </w:tc>
      </w:tr>
    </w:tbl>
    <w:p w:rsidR="00657E4D" w:rsidRPr="0001507A" w:rsidRDefault="00657E4D" w:rsidP="0001507A">
      <w:pPr>
        <w:pStyle w:val="TableFooter"/>
      </w:pPr>
      <w:r>
        <w:t xml:space="preserve">Source: Table 15 (p. 18) of Appendix 1 of November 2017 </w:t>
      </w:r>
      <w:r w:rsidR="0001507A">
        <w:t>submission</w:t>
      </w:r>
    </w:p>
    <w:p w:rsidR="00DC7206" w:rsidRPr="00BC2C92" w:rsidRDefault="00837E03" w:rsidP="00BC2C9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Adverse event data by category for the indirect treatment comparison of </w:t>
      </w:r>
      <w:proofErr w:type="spellStart"/>
      <w:r>
        <w:rPr>
          <w:rFonts w:asciiTheme="minorHAnsi" w:eastAsiaTheme="minorHAnsi" w:hAnsiTheme="minorHAnsi" w:cstheme="minorBidi"/>
          <w:snapToGrid/>
          <w:sz w:val="24"/>
          <w:szCs w:val="22"/>
        </w:rPr>
        <w:t>lenvatinib</w:t>
      </w:r>
      <w:proofErr w:type="spellEnd"/>
      <w:r>
        <w:rPr>
          <w:rFonts w:asciiTheme="minorHAnsi" w:eastAsiaTheme="minorHAnsi" w:hAnsiTheme="minorHAnsi" w:cstheme="minorBidi"/>
          <w:snapToGrid/>
          <w:sz w:val="24"/>
          <w:szCs w:val="22"/>
        </w:rPr>
        <w:t>/</w:t>
      </w:r>
      <w:proofErr w:type="spellStart"/>
      <w:r>
        <w:rPr>
          <w:rFonts w:asciiTheme="minorHAnsi" w:eastAsiaTheme="minorHAnsi" w:hAnsiTheme="minorHAnsi" w:cstheme="minorBidi"/>
          <w:snapToGrid/>
          <w:sz w:val="24"/>
          <w:szCs w:val="22"/>
        </w:rPr>
        <w:t>everolimus</w:t>
      </w:r>
      <w:proofErr w:type="spellEnd"/>
      <w:r>
        <w:rPr>
          <w:rFonts w:asciiTheme="minorHAnsi" w:eastAsiaTheme="minorHAnsi" w:hAnsiTheme="minorHAnsi" w:cstheme="minorBidi"/>
          <w:snapToGrid/>
          <w:sz w:val="24"/>
          <w:szCs w:val="22"/>
        </w:rPr>
        <w:t xml:space="preserve"> versus </w:t>
      </w:r>
      <w:proofErr w:type="spellStart"/>
      <w:r>
        <w:rPr>
          <w:rFonts w:asciiTheme="minorHAnsi" w:eastAsiaTheme="minorHAnsi" w:hAnsiTheme="minorHAnsi" w:cstheme="minorBidi"/>
          <w:snapToGrid/>
          <w:sz w:val="24"/>
          <w:szCs w:val="22"/>
        </w:rPr>
        <w:t>cabozantinib</w:t>
      </w:r>
      <w:proofErr w:type="spellEnd"/>
      <w:r>
        <w:rPr>
          <w:rFonts w:asciiTheme="minorHAnsi" w:eastAsiaTheme="minorHAnsi" w:hAnsiTheme="minorHAnsi" w:cstheme="minorBidi"/>
          <w:snapToGrid/>
          <w:sz w:val="24"/>
          <w:szCs w:val="22"/>
        </w:rPr>
        <w:t xml:space="preserve"> are presented in Table 6</w:t>
      </w:r>
      <w:r w:rsidR="00B30442">
        <w:rPr>
          <w:rFonts w:asciiTheme="minorHAnsi" w:eastAsiaTheme="minorHAnsi" w:hAnsiTheme="minorHAnsi" w:cstheme="minorBidi"/>
          <w:snapToGrid/>
          <w:sz w:val="24"/>
          <w:szCs w:val="22"/>
        </w:rPr>
        <w:t>.</w:t>
      </w:r>
    </w:p>
    <w:p w:rsidR="001E061B" w:rsidRDefault="001E061B">
      <w:pPr>
        <w:rPr>
          <w:rFonts w:ascii="Arial Narrow" w:hAnsi="Arial Narrow"/>
          <w:b/>
          <w:iCs/>
          <w:sz w:val="20"/>
          <w:szCs w:val="20"/>
        </w:rPr>
      </w:pPr>
      <w:bookmarkStart w:id="6" w:name="_Ref483423859"/>
      <w:r>
        <w:rPr>
          <w:rFonts w:ascii="Arial Narrow" w:hAnsi="Arial Narrow"/>
          <w:iCs/>
          <w:sz w:val="20"/>
          <w:szCs w:val="20"/>
        </w:rPr>
        <w:br w:type="page"/>
      </w:r>
    </w:p>
    <w:p w:rsidR="00B30442" w:rsidRPr="009C4A1B" w:rsidRDefault="00B30442" w:rsidP="004109F4">
      <w:pPr>
        <w:pStyle w:val="PBACHeading1"/>
        <w:ind w:left="0" w:firstLine="0"/>
        <w:outlineLvl w:val="9"/>
        <w:rPr>
          <w:rFonts w:ascii="Arial Narrow" w:hAnsi="Arial Narrow" w:cs="Times New Roman"/>
          <w:iCs/>
          <w:snapToGrid/>
          <w:sz w:val="20"/>
          <w:szCs w:val="20"/>
          <w:lang w:eastAsia="en-AU"/>
        </w:rPr>
      </w:pPr>
      <w:r w:rsidRPr="009C4A1B">
        <w:rPr>
          <w:rFonts w:ascii="Arial Narrow" w:hAnsi="Arial Narrow" w:cs="Times New Roman"/>
          <w:iCs/>
          <w:snapToGrid/>
          <w:sz w:val="20"/>
          <w:szCs w:val="20"/>
          <w:lang w:eastAsia="en-AU"/>
        </w:rPr>
        <w:lastRenderedPageBreak/>
        <w:t>Table</w:t>
      </w:r>
      <w:bookmarkEnd w:id="6"/>
      <w:r w:rsidR="009C4A1B" w:rsidRPr="009C4A1B">
        <w:rPr>
          <w:rFonts w:ascii="Arial Narrow" w:hAnsi="Arial Narrow" w:cs="Times New Roman"/>
          <w:iCs/>
          <w:snapToGrid/>
          <w:sz w:val="20"/>
          <w:szCs w:val="20"/>
          <w:lang w:eastAsia="en-AU"/>
        </w:rPr>
        <w:t xml:space="preserve"> 6</w:t>
      </w:r>
      <w:r w:rsidRPr="009C4A1B">
        <w:rPr>
          <w:rFonts w:ascii="Arial Narrow" w:hAnsi="Arial Narrow" w:cs="Times New Roman"/>
          <w:iCs/>
          <w:snapToGrid/>
          <w:sz w:val="20"/>
          <w:szCs w:val="20"/>
          <w:lang w:eastAsia="en-AU"/>
        </w:rPr>
        <w:t>: Adverse events by category requested in PBAC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126"/>
        <w:gridCol w:w="1843"/>
        <w:gridCol w:w="1604"/>
        <w:gridCol w:w="1859"/>
      </w:tblGrid>
      <w:tr w:rsidR="009C4A1B" w:rsidRPr="009C4A1B" w:rsidTr="009C4A1B">
        <w:tc>
          <w:tcPr>
            <w:tcW w:w="979" w:type="pct"/>
            <w:tcBorders>
              <w:top w:val="single" w:sz="4" w:space="0" w:color="auto"/>
              <w:left w:val="single" w:sz="4" w:space="0" w:color="auto"/>
              <w:bottom w:val="single" w:sz="4" w:space="0" w:color="auto"/>
              <w:right w:val="single" w:sz="4" w:space="0" w:color="auto"/>
            </w:tcBorders>
            <w:shd w:val="clear" w:color="auto" w:fill="auto"/>
          </w:tcPr>
          <w:p w:rsidR="009C4A1B" w:rsidRPr="009C4A1B" w:rsidRDefault="009C4A1B" w:rsidP="008C7C61">
            <w:pPr>
              <w:pStyle w:val="Tablebold"/>
              <w:rPr>
                <w:rFonts w:ascii="Arial Narrow" w:eastAsia="Times New Roman" w:hAnsi="Arial Narrow"/>
                <w:sz w:val="20"/>
                <w:szCs w:val="20"/>
                <w:lang w:eastAsia="en-AU"/>
              </w:rPr>
            </w:pPr>
          </w:p>
        </w:tc>
        <w:tc>
          <w:tcPr>
            <w:tcW w:w="2147" w:type="pct"/>
            <w:gridSpan w:val="2"/>
            <w:tcBorders>
              <w:top w:val="single" w:sz="4" w:space="0" w:color="auto"/>
              <w:left w:val="single" w:sz="4" w:space="0" w:color="auto"/>
              <w:bottom w:val="single" w:sz="4" w:space="0" w:color="auto"/>
              <w:right w:val="single" w:sz="4" w:space="0" w:color="auto"/>
            </w:tcBorders>
            <w:shd w:val="clear" w:color="auto" w:fill="auto"/>
          </w:tcPr>
          <w:p w:rsidR="009C4A1B" w:rsidRPr="009C4A1B" w:rsidRDefault="009C4A1B" w:rsidP="008C7C61">
            <w:pPr>
              <w:pStyle w:val="Tablebold"/>
              <w:jc w:val="center"/>
              <w:rPr>
                <w:rFonts w:ascii="Arial Narrow" w:eastAsia="Times New Roman" w:hAnsi="Arial Narrow"/>
                <w:sz w:val="20"/>
                <w:szCs w:val="20"/>
                <w:lang w:eastAsia="en-AU"/>
              </w:rPr>
            </w:pPr>
            <w:r w:rsidRPr="009C4A1B">
              <w:rPr>
                <w:rFonts w:ascii="Arial Narrow" w:eastAsia="Times New Roman" w:hAnsi="Arial Narrow"/>
                <w:sz w:val="20"/>
                <w:szCs w:val="20"/>
                <w:lang w:eastAsia="en-AU"/>
              </w:rPr>
              <w:t>Study 205</w:t>
            </w:r>
          </w:p>
        </w:tc>
        <w:tc>
          <w:tcPr>
            <w:tcW w:w="1874" w:type="pct"/>
            <w:gridSpan w:val="2"/>
            <w:tcBorders>
              <w:top w:val="single" w:sz="4" w:space="0" w:color="auto"/>
              <w:left w:val="single" w:sz="4" w:space="0" w:color="auto"/>
              <w:bottom w:val="single" w:sz="4" w:space="0" w:color="auto"/>
              <w:right w:val="single" w:sz="4" w:space="0" w:color="auto"/>
            </w:tcBorders>
            <w:shd w:val="clear" w:color="auto" w:fill="auto"/>
          </w:tcPr>
          <w:p w:rsidR="009C4A1B" w:rsidRPr="009C4A1B" w:rsidRDefault="009C4A1B" w:rsidP="008C7C61">
            <w:pPr>
              <w:pStyle w:val="Tablebold"/>
              <w:jc w:val="center"/>
              <w:rPr>
                <w:rFonts w:ascii="Arial Narrow" w:eastAsia="Times New Roman" w:hAnsi="Arial Narrow"/>
                <w:sz w:val="20"/>
                <w:szCs w:val="20"/>
                <w:lang w:eastAsia="en-AU"/>
              </w:rPr>
            </w:pPr>
            <w:r w:rsidRPr="009C4A1B">
              <w:rPr>
                <w:rFonts w:ascii="Arial Narrow" w:eastAsia="Times New Roman" w:hAnsi="Arial Narrow"/>
                <w:sz w:val="20"/>
                <w:szCs w:val="20"/>
                <w:lang w:eastAsia="en-AU"/>
              </w:rPr>
              <w:t>METEOR</w:t>
            </w:r>
          </w:p>
        </w:tc>
      </w:tr>
      <w:tr w:rsidR="009C4A1B" w:rsidTr="009C4A1B">
        <w:tc>
          <w:tcPr>
            <w:tcW w:w="979" w:type="pct"/>
            <w:tcBorders>
              <w:top w:val="single" w:sz="4" w:space="0" w:color="auto"/>
              <w:left w:val="single" w:sz="4" w:space="0" w:color="auto"/>
              <w:bottom w:val="single" w:sz="4" w:space="0" w:color="auto"/>
              <w:right w:val="single" w:sz="4" w:space="0" w:color="auto"/>
            </w:tcBorders>
            <w:shd w:val="clear" w:color="auto" w:fill="auto"/>
            <w:hideMark/>
          </w:tcPr>
          <w:p w:rsidR="009C4A1B" w:rsidRPr="009C4A1B" w:rsidRDefault="009C4A1B" w:rsidP="008C7C61">
            <w:pPr>
              <w:pStyle w:val="Tablebold"/>
              <w:rPr>
                <w:rFonts w:ascii="Arial Narrow" w:eastAsia="Times New Roman" w:hAnsi="Arial Narrow"/>
                <w:sz w:val="20"/>
                <w:szCs w:val="20"/>
                <w:lang w:eastAsia="en-AU"/>
              </w:rPr>
            </w:pPr>
            <w:r w:rsidRPr="009C4A1B">
              <w:rPr>
                <w:rFonts w:ascii="Arial Narrow" w:eastAsia="Times New Roman" w:hAnsi="Arial Narrow"/>
                <w:sz w:val="20"/>
                <w:szCs w:val="20"/>
                <w:lang w:eastAsia="en-AU"/>
              </w:rPr>
              <w:t>Information request</w:t>
            </w:r>
          </w:p>
        </w:tc>
        <w:tc>
          <w:tcPr>
            <w:tcW w:w="1150" w:type="pct"/>
            <w:tcBorders>
              <w:top w:val="single" w:sz="4" w:space="0" w:color="auto"/>
              <w:left w:val="single" w:sz="4" w:space="0" w:color="auto"/>
              <w:bottom w:val="single" w:sz="4" w:space="0" w:color="auto"/>
              <w:right w:val="single" w:sz="4" w:space="0" w:color="auto"/>
            </w:tcBorders>
            <w:shd w:val="clear" w:color="auto" w:fill="auto"/>
            <w:hideMark/>
          </w:tcPr>
          <w:p w:rsidR="009C4A1B" w:rsidRPr="009C4A1B" w:rsidRDefault="009C4A1B" w:rsidP="008C7C61">
            <w:pPr>
              <w:pStyle w:val="Tablebold"/>
              <w:rPr>
                <w:rFonts w:ascii="Arial Narrow" w:eastAsia="Times New Roman" w:hAnsi="Arial Narrow"/>
                <w:sz w:val="20"/>
                <w:szCs w:val="20"/>
                <w:lang w:eastAsia="en-AU"/>
              </w:rPr>
            </w:pPr>
            <w:proofErr w:type="spellStart"/>
            <w:r w:rsidRPr="009C4A1B">
              <w:rPr>
                <w:rFonts w:ascii="Arial Narrow" w:eastAsia="Times New Roman" w:hAnsi="Arial Narrow"/>
                <w:sz w:val="20"/>
                <w:szCs w:val="20"/>
                <w:lang w:eastAsia="en-AU"/>
              </w:rPr>
              <w:t>Lenvatinib</w:t>
            </w:r>
            <w:proofErr w:type="spellEnd"/>
            <w:r w:rsidRPr="009C4A1B">
              <w:rPr>
                <w:rFonts w:ascii="Arial Narrow" w:eastAsia="Times New Roman" w:hAnsi="Arial Narrow"/>
                <w:sz w:val="20"/>
                <w:szCs w:val="20"/>
                <w:lang w:eastAsia="en-AU"/>
              </w:rPr>
              <w:t xml:space="preserve"> 18 mg + </w:t>
            </w:r>
            <w:proofErr w:type="spellStart"/>
            <w:r w:rsidRPr="009C4A1B">
              <w:rPr>
                <w:rFonts w:ascii="Arial Narrow" w:eastAsia="Times New Roman" w:hAnsi="Arial Narrow"/>
                <w:sz w:val="20"/>
                <w:szCs w:val="20"/>
                <w:lang w:eastAsia="en-AU"/>
              </w:rPr>
              <w:t>Everolimus</w:t>
            </w:r>
            <w:proofErr w:type="spellEnd"/>
            <w:r w:rsidRPr="009C4A1B">
              <w:rPr>
                <w:rFonts w:ascii="Arial Narrow" w:eastAsia="Times New Roman" w:hAnsi="Arial Narrow"/>
                <w:sz w:val="20"/>
                <w:szCs w:val="20"/>
                <w:lang w:eastAsia="en-AU"/>
              </w:rPr>
              <w:t xml:space="preserve"> 5 mg</w:t>
            </w:r>
            <w:r>
              <w:rPr>
                <w:rFonts w:ascii="Arial Narrow" w:eastAsia="Times New Roman" w:hAnsi="Arial Narrow"/>
                <w:sz w:val="20"/>
                <w:szCs w:val="20"/>
                <w:lang w:eastAsia="en-AU"/>
              </w:rPr>
              <w:t xml:space="preserve"> </w:t>
            </w:r>
            <w:r w:rsidRPr="009C4A1B">
              <w:rPr>
                <w:rFonts w:ascii="Arial Narrow" w:eastAsia="Times New Roman" w:hAnsi="Arial Narrow"/>
                <w:sz w:val="20"/>
                <w:szCs w:val="20"/>
                <w:lang w:eastAsia="en-AU"/>
              </w:rPr>
              <w:t>(N=51)</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9C4A1B" w:rsidRPr="009C4A1B" w:rsidRDefault="009C4A1B" w:rsidP="008C7C61">
            <w:pPr>
              <w:pStyle w:val="Tablebold"/>
              <w:rPr>
                <w:rFonts w:ascii="Arial Narrow" w:eastAsia="Times New Roman" w:hAnsi="Arial Narrow"/>
                <w:sz w:val="20"/>
                <w:szCs w:val="20"/>
                <w:lang w:eastAsia="en-AU"/>
              </w:rPr>
            </w:pPr>
            <w:proofErr w:type="spellStart"/>
            <w:r w:rsidRPr="009C4A1B">
              <w:rPr>
                <w:rFonts w:ascii="Arial Narrow" w:eastAsia="Times New Roman" w:hAnsi="Arial Narrow"/>
                <w:sz w:val="20"/>
                <w:szCs w:val="20"/>
                <w:lang w:eastAsia="en-AU"/>
              </w:rPr>
              <w:t>Everolimus</w:t>
            </w:r>
            <w:proofErr w:type="spellEnd"/>
            <w:r w:rsidRPr="009C4A1B">
              <w:rPr>
                <w:rFonts w:ascii="Arial Narrow" w:eastAsia="Times New Roman" w:hAnsi="Arial Narrow"/>
                <w:sz w:val="20"/>
                <w:szCs w:val="20"/>
                <w:lang w:eastAsia="en-AU"/>
              </w:rPr>
              <w:t xml:space="preserve"> 10 mg (N=50)</w:t>
            </w:r>
          </w:p>
        </w:tc>
        <w:tc>
          <w:tcPr>
            <w:tcW w:w="868" w:type="pct"/>
            <w:tcBorders>
              <w:top w:val="single" w:sz="4" w:space="0" w:color="auto"/>
              <w:left w:val="single" w:sz="4" w:space="0" w:color="auto"/>
              <w:bottom w:val="single" w:sz="4" w:space="0" w:color="auto"/>
              <w:right w:val="single" w:sz="4" w:space="0" w:color="auto"/>
            </w:tcBorders>
            <w:shd w:val="clear" w:color="auto" w:fill="auto"/>
          </w:tcPr>
          <w:p w:rsidR="009C4A1B" w:rsidRPr="009C4A1B" w:rsidRDefault="009C4A1B" w:rsidP="008C7C61">
            <w:pPr>
              <w:pStyle w:val="Tablebold"/>
              <w:rPr>
                <w:rFonts w:ascii="Arial Narrow" w:eastAsia="Times New Roman" w:hAnsi="Arial Narrow"/>
                <w:sz w:val="20"/>
                <w:szCs w:val="20"/>
                <w:lang w:eastAsia="en-AU"/>
              </w:rPr>
            </w:pPr>
            <w:proofErr w:type="spellStart"/>
            <w:r w:rsidRPr="009C4A1B">
              <w:rPr>
                <w:rFonts w:ascii="Arial Narrow" w:eastAsia="Times New Roman" w:hAnsi="Arial Narrow"/>
                <w:sz w:val="20"/>
                <w:szCs w:val="20"/>
                <w:lang w:eastAsia="en-AU"/>
              </w:rPr>
              <w:t>Cabozantinib</w:t>
            </w:r>
            <w:proofErr w:type="spellEnd"/>
            <w:r w:rsidRPr="009C4A1B">
              <w:rPr>
                <w:rFonts w:ascii="Arial Narrow" w:eastAsia="Times New Roman" w:hAnsi="Arial Narrow"/>
                <w:sz w:val="20"/>
                <w:szCs w:val="20"/>
                <w:lang w:eastAsia="en-AU"/>
              </w:rPr>
              <w:t xml:space="preserve"> (N=331)</w:t>
            </w:r>
          </w:p>
        </w:tc>
        <w:tc>
          <w:tcPr>
            <w:tcW w:w="1006" w:type="pct"/>
            <w:tcBorders>
              <w:top w:val="single" w:sz="4" w:space="0" w:color="auto"/>
              <w:left w:val="single" w:sz="4" w:space="0" w:color="auto"/>
              <w:bottom w:val="single" w:sz="4" w:space="0" w:color="auto"/>
              <w:right w:val="single" w:sz="4" w:space="0" w:color="auto"/>
            </w:tcBorders>
            <w:shd w:val="clear" w:color="auto" w:fill="auto"/>
          </w:tcPr>
          <w:p w:rsidR="009C4A1B" w:rsidRPr="009C4A1B" w:rsidRDefault="009C4A1B" w:rsidP="008C7C61">
            <w:pPr>
              <w:pStyle w:val="Tablebold"/>
              <w:rPr>
                <w:rFonts w:ascii="Arial Narrow" w:eastAsia="Times New Roman" w:hAnsi="Arial Narrow"/>
                <w:sz w:val="20"/>
                <w:szCs w:val="20"/>
                <w:lang w:eastAsia="en-AU"/>
              </w:rPr>
            </w:pPr>
            <w:proofErr w:type="spellStart"/>
            <w:r w:rsidRPr="009C4A1B">
              <w:rPr>
                <w:rFonts w:ascii="Arial Narrow" w:eastAsia="Times New Roman" w:hAnsi="Arial Narrow"/>
                <w:sz w:val="20"/>
                <w:szCs w:val="20"/>
                <w:lang w:eastAsia="en-AU"/>
              </w:rPr>
              <w:t>Everolimus</w:t>
            </w:r>
            <w:proofErr w:type="spellEnd"/>
            <w:r w:rsidRPr="009C4A1B">
              <w:rPr>
                <w:rFonts w:ascii="Arial Narrow" w:eastAsia="Times New Roman" w:hAnsi="Arial Narrow"/>
                <w:sz w:val="20"/>
                <w:szCs w:val="20"/>
                <w:lang w:eastAsia="en-AU"/>
              </w:rPr>
              <w:t xml:space="preserve"> (N=322)</w:t>
            </w:r>
          </w:p>
        </w:tc>
      </w:tr>
      <w:tr w:rsidR="009C4A1B" w:rsidTr="009C4A1B">
        <w:tc>
          <w:tcPr>
            <w:tcW w:w="979"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Any adverse event</w:t>
            </w:r>
          </w:p>
        </w:tc>
        <w:tc>
          <w:tcPr>
            <w:tcW w:w="1150"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51/51 (100%)</w:t>
            </w:r>
          </w:p>
        </w:tc>
        <w:tc>
          <w:tcPr>
            <w:tcW w:w="997"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50/50 (100%)</w:t>
            </w:r>
          </w:p>
        </w:tc>
        <w:tc>
          <w:tcPr>
            <w:tcW w:w="868"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305/331 (92%)</w:t>
            </w:r>
          </w:p>
        </w:tc>
        <w:tc>
          <w:tcPr>
            <w:tcW w:w="1006"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296/322 (92%)</w:t>
            </w:r>
          </w:p>
        </w:tc>
      </w:tr>
      <w:tr w:rsidR="009C4A1B" w:rsidTr="009C4A1B">
        <w:tc>
          <w:tcPr>
            <w:tcW w:w="979"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Any adverse event ≥Grade 3</w:t>
            </w:r>
          </w:p>
        </w:tc>
        <w:tc>
          <w:tcPr>
            <w:tcW w:w="1150"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28/51 (55%)</w:t>
            </w:r>
          </w:p>
        </w:tc>
        <w:tc>
          <w:tcPr>
            <w:tcW w:w="997"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21/50 (42%)</w:t>
            </w:r>
          </w:p>
        </w:tc>
        <w:tc>
          <w:tcPr>
            <w:tcW w:w="868"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235/331 (71%)</w:t>
            </w:r>
          </w:p>
        </w:tc>
        <w:tc>
          <w:tcPr>
            <w:tcW w:w="1006"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193/322 (60%)</w:t>
            </w:r>
          </w:p>
        </w:tc>
      </w:tr>
      <w:tr w:rsidR="009C4A1B" w:rsidTr="009C4A1B">
        <w:tc>
          <w:tcPr>
            <w:tcW w:w="979"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AE leading to discontinuation of treatment</w:t>
            </w:r>
          </w:p>
        </w:tc>
        <w:tc>
          <w:tcPr>
            <w:tcW w:w="1150"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12/51 (24%)</w:t>
            </w:r>
          </w:p>
        </w:tc>
        <w:tc>
          <w:tcPr>
            <w:tcW w:w="997"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6/50 (12%)</w:t>
            </w:r>
          </w:p>
        </w:tc>
        <w:tc>
          <w:tcPr>
            <w:tcW w:w="868"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40/331 (12%)</w:t>
            </w:r>
          </w:p>
        </w:tc>
        <w:tc>
          <w:tcPr>
            <w:tcW w:w="1006"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34/322 (11%)</w:t>
            </w:r>
          </w:p>
        </w:tc>
      </w:tr>
      <w:tr w:rsidR="009C4A1B" w:rsidTr="009C4A1B">
        <w:tc>
          <w:tcPr>
            <w:tcW w:w="979"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Dose reductions</w:t>
            </w:r>
          </w:p>
        </w:tc>
        <w:tc>
          <w:tcPr>
            <w:tcW w:w="1150"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34/51 (67%)</w:t>
            </w:r>
          </w:p>
        </w:tc>
        <w:tc>
          <w:tcPr>
            <w:tcW w:w="997"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8/50 (16%)</w:t>
            </w:r>
          </w:p>
        </w:tc>
        <w:tc>
          <w:tcPr>
            <w:tcW w:w="868"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NR</w:t>
            </w:r>
          </w:p>
        </w:tc>
        <w:tc>
          <w:tcPr>
            <w:tcW w:w="1006" w:type="pct"/>
            <w:tcBorders>
              <w:top w:val="single" w:sz="4" w:space="0" w:color="auto"/>
              <w:left w:val="single" w:sz="4" w:space="0" w:color="auto"/>
              <w:bottom w:val="single" w:sz="4" w:space="0" w:color="auto"/>
              <w:right w:val="single" w:sz="4" w:space="0" w:color="auto"/>
            </w:tcBorders>
          </w:tcPr>
          <w:p w:rsidR="009C4A1B" w:rsidRPr="009C4A1B" w:rsidRDefault="009C4A1B" w:rsidP="009C4A1B">
            <w:pPr>
              <w:rPr>
                <w:rFonts w:ascii="Arial Narrow" w:hAnsi="Arial Narrow"/>
                <w:sz w:val="20"/>
                <w:szCs w:val="20"/>
              </w:rPr>
            </w:pPr>
            <w:r w:rsidRPr="009C4A1B">
              <w:rPr>
                <w:rFonts w:ascii="Arial Narrow" w:hAnsi="Arial Narrow"/>
                <w:sz w:val="20"/>
                <w:szCs w:val="20"/>
              </w:rPr>
              <w:t>NR</w:t>
            </w:r>
          </w:p>
        </w:tc>
      </w:tr>
    </w:tbl>
    <w:p w:rsidR="00B30442" w:rsidRPr="00050A04" w:rsidRDefault="00B30442" w:rsidP="00050A04">
      <w:pPr>
        <w:pStyle w:val="TableFooter"/>
      </w:pPr>
      <w:r>
        <w:t>Source: Table 16 (p. 19) of Appendix 1 of November 2017 submission</w:t>
      </w:r>
    </w:p>
    <w:p w:rsidR="00567373" w:rsidRPr="0022758C" w:rsidRDefault="00050A04" w:rsidP="0056737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bookmarkStart w:id="7" w:name="_Ref507163636"/>
      <w:r>
        <w:rPr>
          <w:rFonts w:asciiTheme="minorHAnsi" w:eastAsiaTheme="minorHAnsi" w:hAnsiTheme="minorHAnsi" w:cstheme="minorBidi"/>
          <w:snapToGrid/>
          <w:sz w:val="24"/>
          <w:szCs w:val="22"/>
        </w:rPr>
        <w:t xml:space="preserve">The pre-PBAC response provided a summary of adverse events reported in patients treated with </w:t>
      </w:r>
      <w:proofErr w:type="spellStart"/>
      <w:r w:rsidR="00DC7206">
        <w:rPr>
          <w:rFonts w:asciiTheme="minorHAnsi" w:eastAsiaTheme="minorHAnsi" w:hAnsiTheme="minorHAnsi" w:cstheme="minorBidi"/>
          <w:snapToGrid/>
          <w:sz w:val="24"/>
          <w:szCs w:val="22"/>
        </w:rPr>
        <w:t>cabozantinib</w:t>
      </w:r>
      <w:proofErr w:type="spellEnd"/>
      <w:r w:rsidR="00DC7206">
        <w:rPr>
          <w:rFonts w:asciiTheme="minorHAnsi" w:eastAsiaTheme="minorHAnsi" w:hAnsiTheme="minorHAnsi" w:cstheme="minorBidi"/>
          <w:snapToGrid/>
          <w:sz w:val="24"/>
          <w:szCs w:val="22"/>
        </w:rPr>
        <w:t xml:space="preserve"> </w:t>
      </w:r>
      <w:r w:rsidR="003B7A4A">
        <w:rPr>
          <w:rFonts w:asciiTheme="minorHAnsi" w:eastAsiaTheme="minorHAnsi" w:hAnsiTheme="minorHAnsi" w:cstheme="minorBidi"/>
          <w:snapToGrid/>
          <w:sz w:val="24"/>
          <w:szCs w:val="22"/>
        </w:rPr>
        <w:t xml:space="preserve">or </w:t>
      </w:r>
      <w:proofErr w:type="spellStart"/>
      <w:r w:rsidR="003B7A4A">
        <w:rPr>
          <w:rFonts w:asciiTheme="minorHAnsi" w:eastAsiaTheme="minorHAnsi" w:hAnsiTheme="minorHAnsi" w:cstheme="minorBidi"/>
          <w:snapToGrid/>
          <w:sz w:val="24"/>
          <w:szCs w:val="22"/>
        </w:rPr>
        <w:t>lenvatinib</w:t>
      </w:r>
      <w:proofErr w:type="spellEnd"/>
      <w:r w:rsidR="003B7A4A">
        <w:rPr>
          <w:rFonts w:asciiTheme="minorHAnsi" w:eastAsiaTheme="minorHAnsi" w:hAnsiTheme="minorHAnsi" w:cstheme="minorBidi"/>
          <w:snapToGrid/>
          <w:sz w:val="24"/>
          <w:szCs w:val="22"/>
        </w:rPr>
        <w:t>/</w:t>
      </w:r>
      <w:proofErr w:type="spellStart"/>
      <w:r w:rsidR="003B7A4A">
        <w:rPr>
          <w:rFonts w:asciiTheme="minorHAnsi" w:eastAsiaTheme="minorHAnsi" w:hAnsiTheme="minorHAnsi" w:cstheme="minorBidi"/>
          <w:snapToGrid/>
          <w:sz w:val="24"/>
          <w:szCs w:val="22"/>
        </w:rPr>
        <w:t>everolimus</w:t>
      </w:r>
      <w:proofErr w:type="spellEnd"/>
      <w:r w:rsidR="003B7A4A">
        <w:rPr>
          <w:rFonts w:asciiTheme="minorHAnsi" w:eastAsiaTheme="minorHAnsi" w:hAnsiTheme="minorHAnsi" w:cstheme="minorBidi"/>
          <w:snapToGrid/>
          <w:sz w:val="24"/>
          <w:szCs w:val="22"/>
        </w:rPr>
        <w:t xml:space="preserve"> </w:t>
      </w:r>
      <w:r w:rsidR="00DC7206">
        <w:rPr>
          <w:rFonts w:asciiTheme="minorHAnsi" w:eastAsiaTheme="minorHAnsi" w:hAnsiTheme="minorHAnsi" w:cstheme="minorBidi"/>
          <w:snapToGrid/>
          <w:sz w:val="24"/>
          <w:szCs w:val="22"/>
        </w:rPr>
        <w:t>(Table 7</w:t>
      </w:r>
      <w:r>
        <w:rPr>
          <w:rFonts w:asciiTheme="minorHAnsi" w:eastAsiaTheme="minorHAnsi" w:hAnsiTheme="minorHAnsi" w:cstheme="minorBidi"/>
          <w:snapToGrid/>
          <w:sz w:val="24"/>
          <w:szCs w:val="22"/>
        </w:rPr>
        <w:t>)</w:t>
      </w:r>
      <w:r w:rsidR="00837E03">
        <w:rPr>
          <w:rFonts w:asciiTheme="minorHAnsi" w:eastAsiaTheme="minorHAnsi" w:hAnsiTheme="minorHAnsi" w:cstheme="minorBidi"/>
          <w:snapToGrid/>
          <w:sz w:val="24"/>
          <w:szCs w:val="22"/>
        </w:rPr>
        <w:t xml:space="preserve"> and suggested </w:t>
      </w:r>
      <w:r>
        <w:rPr>
          <w:rFonts w:asciiTheme="minorHAnsi" w:eastAsiaTheme="minorHAnsi" w:hAnsiTheme="minorHAnsi" w:cstheme="minorBidi"/>
          <w:snapToGrid/>
          <w:sz w:val="24"/>
          <w:szCs w:val="22"/>
        </w:rPr>
        <w:t xml:space="preserve">that treatment with </w:t>
      </w:r>
      <w:proofErr w:type="spellStart"/>
      <w:r>
        <w:rPr>
          <w:rFonts w:asciiTheme="minorHAnsi" w:eastAsiaTheme="minorHAnsi" w:hAnsiTheme="minorHAnsi" w:cstheme="minorBidi"/>
          <w:snapToGrid/>
          <w:sz w:val="24"/>
          <w:szCs w:val="22"/>
        </w:rPr>
        <w:t>cabozantinib</w:t>
      </w:r>
      <w:proofErr w:type="spellEnd"/>
      <w:r>
        <w:rPr>
          <w:rFonts w:asciiTheme="minorHAnsi" w:eastAsiaTheme="minorHAnsi" w:hAnsiTheme="minorHAnsi" w:cstheme="minorBidi"/>
          <w:snapToGrid/>
          <w:sz w:val="24"/>
          <w:szCs w:val="22"/>
        </w:rPr>
        <w:t xml:space="preserve"> was associated with a higher proportion of patients experiencing adverse events (71% versus 55%</w:t>
      </w:r>
      <w:r w:rsidR="00E2750A">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respectively). On this basis, the pre-PBAC response suggested it was reasonable to claim that </w:t>
      </w:r>
      <w:proofErr w:type="spellStart"/>
      <w:r>
        <w:rPr>
          <w:rFonts w:asciiTheme="minorHAnsi" w:eastAsiaTheme="minorHAnsi" w:hAnsiTheme="minorHAnsi" w:cstheme="minorBidi"/>
          <w:snapToGrid/>
          <w:sz w:val="24"/>
          <w:szCs w:val="22"/>
        </w:rPr>
        <w:t>lenvatinib</w:t>
      </w:r>
      <w:proofErr w:type="spellEnd"/>
      <w:r>
        <w:rPr>
          <w:rFonts w:asciiTheme="minorHAnsi" w:eastAsiaTheme="minorHAnsi" w:hAnsiTheme="minorHAnsi" w:cstheme="minorBidi"/>
          <w:snapToGrid/>
          <w:sz w:val="24"/>
          <w:szCs w:val="22"/>
        </w:rPr>
        <w:t>/</w:t>
      </w:r>
      <w:proofErr w:type="spellStart"/>
      <w:r>
        <w:rPr>
          <w:rFonts w:asciiTheme="minorHAnsi" w:eastAsiaTheme="minorHAnsi" w:hAnsiTheme="minorHAnsi" w:cstheme="minorBidi"/>
          <w:snapToGrid/>
          <w:sz w:val="24"/>
          <w:szCs w:val="22"/>
        </w:rPr>
        <w:t>everolimus</w:t>
      </w:r>
      <w:proofErr w:type="spellEnd"/>
      <w:r>
        <w:rPr>
          <w:rFonts w:asciiTheme="minorHAnsi" w:eastAsiaTheme="minorHAnsi" w:hAnsiTheme="minorHAnsi" w:cstheme="minorBidi"/>
          <w:snapToGrid/>
          <w:sz w:val="24"/>
          <w:szCs w:val="22"/>
        </w:rPr>
        <w:t xml:space="preserve"> is at least as tolerable as treatment with </w:t>
      </w:r>
      <w:proofErr w:type="spellStart"/>
      <w:r>
        <w:rPr>
          <w:rFonts w:asciiTheme="minorHAnsi" w:eastAsiaTheme="minorHAnsi" w:hAnsiTheme="minorHAnsi" w:cstheme="minorBidi"/>
          <w:snapToGrid/>
          <w:sz w:val="24"/>
          <w:szCs w:val="22"/>
        </w:rPr>
        <w:t>cabozantinib</w:t>
      </w:r>
      <w:proofErr w:type="spellEnd"/>
      <w:r>
        <w:rPr>
          <w:rFonts w:asciiTheme="minorHAnsi" w:eastAsiaTheme="minorHAnsi" w:hAnsiTheme="minorHAnsi" w:cstheme="minorBidi"/>
          <w:snapToGrid/>
          <w:sz w:val="24"/>
          <w:szCs w:val="22"/>
        </w:rPr>
        <w:t>, and that any toxicities are non-li</w:t>
      </w:r>
      <w:r w:rsidR="0022758C">
        <w:rPr>
          <w:rFonts w:asciiTheme="minorHAnsi" w:eastAsiaTheme="minorHAnsi" w:hAnsiTheme="minorHAnsi" w:cstheme="minorBidi"/>
          <w:snapToGrid/>
          <w:sz w:val="24"/>
          <w:szCs w:val="22"/>
        </w:rPr>
        <w:t xml:space="preserve">fe threatening and manageable. </w:t>
      </w:r>
    </w:p>
    <w:p w:rsidR="00BF7288" w:rsidRPr="001757E7" w:rsidRDefault="00BF7288" w:rsidP="00BF7288">
      <w:pPr>
        <w:pStyle w:val="TableHeading0"/>
        <w:rPr>
          <w:szCs w:val="24"/>
        </w:rPr>
      </w:pPr>
      <w:r>
        <w:t xml:space="preserve">Table </w:t>
      </w:r>
      <w:bookmarkEnd w:id="7"/>
      <w:r w:rsidR="00DC7206">
        <w:t>7</w:t>
      </w:r>
      <w:r>
        <w:t xml:space="preserve">: Comparison of adverse events of </w:t>
      </w:r>
      <w:proofErr w:type="spellStart"/>
      <w:r>
        <w:t>lenvatinib</w:t>
      </w:r>
      <w:proofErr w:type="spellEnd"/>
      <w:r w:rsidR="0076463A">
        <w:t>/</w:t>
      </w:r>
      <w:proofErr w:type="spellStart"/>
      <w:r>
        <w:t>everolimus</w:t>
      </w:r>
      <w:proofErr w:type="spellEnd"/>
      <w:r>
        <w:t xml:space="preserve"> with </w:t>
      </w:r>
      <w:proofErr w:type="spellStart"/>
      <w:r>
        <w:t>cabozantinib</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2436"/>
        <w:gridCol w:w="2787"/>
      </w:tblGrid>
      <w:tr w:rsidR="00BF7288" w:rsidTr="00BF7288">
        <w:tc>
          <w:tcPr>
            <w:tcW w:w="2174" w:type="pct"/>
            <w:tcBorders>
              <w:top w:val="single" w:sz="4" w:space="0" w:color="auto"/>
              <w:left w:val="single" w:sz="4" w:space="0" w:color="auto"/>
              <w:bottom w:val="single" w:sz="4" w:space="0" w:color="auto"/>
              <w:right w:val="single" w:sz="4" w:space="0" w:color="auto"/>
            </w:tcBorders>
            <w:shd w:val="clear" w:color="auto" w:fill="auto"/>
            <w:hideMark/>
          </w:tcPr>
          <w:p w:rsidR="00BF7288" w:rsidRPr="00BF7288" w:rsidRDefault="00BF7288" w:rsidP="00BF7288">
            <w:pPr>
              <w:rPr>
                <w:rFonts w:ascii="Arial Narrow" w:hAnsi="Arial Narrow"/>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hideMark/>
          </w:tcPr>
          <w:p w:rsidR="00BF7288" w:rsidRPr="00BF7288" w:rsidRDefault="00BF7288" w:rsidP="00BF7288">
            <w:pPr>
              <w:rPr>
                <w:rFonts w:ascii="Arial Narrow" w:hAnsi="Arial Narrow"/>
                <w:b/>
                <w:sz w:val="20"/>
                <w:szCs w:val="20"/>
                <w:lang w:val="en-US"/>
              </w:rPr>
            </w:pPr>
            <w:proofErr w:type="spellStart"/>
            <w:r w:rsidRPr="00BF7288">
              <w:rPr>
                <w:rFonts w:ascii="Arial Narrow" w:hAnsi="Arial Narrow"/>
                <w:b/>
                <w:sz w:val="20"/>
                <w:szCs w:val="20"/>
                <w:lang w:val="en-US"/>
              </w:rPr>
              <w:t>Lenvatinib</w:t>
            </w:r>
            <w:proofErr w:type="spellEnd"/>
            <w:r w:rsidRPr="00BF7288">
              <w:rPr>
                <w:rFonts w:ascii="Arial Narrow" w:hAnsi="Arial Narrow"/>
                <w:b/>
                <w:sz w:val="20"/>
                <w:szCs w:val="20"/>
                <w:lang w:val="en-US"/>
              </w:rPr>
              <w:t xml:space="preserve"> 18 mg + </w:t>
            </w:r>
            <w:proofErr w:type="spellStart"/>
            <w:r w:rsidRPr="00BF7288">
              <w:rPr>
                <w:rFonts w:ascii="Arial Narrow" w:hAnsi="Arial Narrow"/>
                <w:b/>
                <w:sz w:val="20"/>
                <w:szCs w:val="20"/>
                <w:lang w:val="en-US"/>
              </w:rPr>
              <w:t>Everolimus</w:t>
            </w:r>
            <w:proofErr w:type="spellEnd"/>
            <w:r w:rsidRPr="00BF7288">
              <w:rPr>
                <w:rFonts w:ascii="Arial Narrow" w:hAnsi="Arial Narrow"/>
                <w:b/>
                <w:sz w:val="20"/>
                <w:szCs w:val="20"/>
                <w:lang w:val="en-US"/>
              </w:rPr>
              <w:t xml:space="preserve"> 5 mg (N=51)</w:t>
            </w:r>
          </w:p>
        </w:tc>
        <w:tc>
          <w:tcPr>
            <w:tcW w:w="1508" w:type="pct"/>
            <w:tcBorders>
              <w:top w:val="single" w:sz="4" w:space="0" w:color="auto"/>
              <w:left w:val="single" w:sz="4" w:space="0" w:color="auto"/>
              <w:bottom w:val="single" w:sz="4" w:space="0" w:color="auto"/>
              <w:right w:val="single" w:sz="4" w:space="0" w:color="auto"/>
            </w:tcBorders>
            <w:shd w:val="clear" w:color="auto" w:fill="auto"/>
          </w:tcPr>
          <w:p w:rsidR="00BF7288" w:rsidRPr="00BF7288" w:rsidRDefault="00BF7288" w:rsidP="00BF7288">
            <w:pPr>
              <w:rPr>
                <w:rFonts w:ascii="Arial Narrow" w:hAnsi="Arial Narrow"/>
                <w:b/>
                <w:sz w:val="20"/>
                <w:szCs w:val="20"/>
                <w:lang w:val="en-US"/>
              </w:rPr>
            </w:pPr>
            <w:proofErr w:type="spellStart"/>
            <w:r w:rsidRPr="00BF7288">
              <w:rPr>
                <w:rFonts w:ascii="Arial Narrow" w:hAnsi="Arial Narrow"/>
                <w:b/>
                <w:sz w:val="20"/>
                <w:szCs w:val="20"/>
                <w:lang w:val="en-US"/>
              </w:rPr>
              <w:t>Cabozantinib</w:t>
            </w:r>
            <w:proofErr w:type="spellEnd"/>
            <w:r w:rsidRPr="00BF7288">
              <w:rPr>
                <w:rFonts w:ascii="Arial Narrow" w:hAnsi="Arial Narrow"/>
                <w:b/>
                <w:sz w:val="20"/>
                <w:szCs w:val="20"/>
                <w:lang w:val="en-US"/>
              </w:rPr>
              <w:t xml:space="preserve"> (N=331)</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Any adverse event</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51 (100%)</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305 (92%)</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Any adverse event ≥Grade 3</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28 (55%)</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235 (71%)</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Anaemia</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4 (8%)</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19 (6%)</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Thrombocytopenia</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 (6%)</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NR</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Diarrhoea</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10 (20%)</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43 (13%)</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Nausea</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 (6%)</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15 (5%)</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Vomiting</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4 (8%)</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7 (2%)</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Fatigue</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 (6%)</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36 (11%)</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Decreased appetite</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 (6%)</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10 (3%)</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Hyperglycaemia</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0</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3 (&lt;1%)</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proofErr w:type="spellStart"/>
            <w:r w:rsidRPr="00BF7288">
              <w:rPr>
                <w:rFonts w:ascii="Arial Narrow" w:hAnsi="Arial Narrow"/>
                <w:sz w:val="20"/>
                <w:szCs w:val="20"/>
              </w:rPr>
              <w:t>Hypertriglyceridaemia</w:t>
            </w:r>
            <w:proofErr w:type="spellEnd"/>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4 (8%)</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4 (1%)</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Pneumonitis</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0</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NR</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Hypertension</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6 (12%)</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49 (15%)</w:t>
            </w:r>
          </w:p>
        </w:tc>
      </w:tr>
      <w:tr w:rsidR="00BF7288" w:rsidTr="008C7C61">
        <w:tc>
          <w:tcPr>
            <w:tcW w:w="2174"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Hand-foot syndrome</w:t>
            </w:r>
          </w:p>
        </w:tc>
        <w:tc>
          <w:tcPr>
            <w:tcW w:w="131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0</w:t>
            </w:r>
          </w:p>
        </w:tc>
        <w:tc>
          <w:tcPr>
            <w:tcW w:w="1508" w:type="pct"/>
            <w:tcBorders>
              <w:top w:val="single" w:sz="4" w:space="0" w:color="auto"/>
              <w:left w:val="single" w:sz="4" w:space="0" w:color="auto"/>
              <w:bottom w:val="single" w:sz="4" w:space="0" w:color="auto"/>
              <w:right w:val="single" w:sz="4" w:space="0" w:color="auto"/>
            </w:tcBorders>
          </w:tcPr>
          <w:p w:rsidR="00BF7288" w:rsidRPr="00BF7288" w:rsidRDefault="00BF7288" w:rsidP="00BF7288">
            <w:pPr>
              <w:rPr>
                <w:rFonts w:ascii="Arial Narrow" w:hAnsi="Arial Narrow"/>
                <w:sz w:val="20"/>
                <w:szCs w:val="20"/>
              </w:rPr>
            </w:pPr>
            <w:r w:rsidRPr="00BF7288">
              <w:rPr>
                <w:rFonts w:ascii="Arial Narrow" w:hAnsi="Arial Narrow"/>
                <w:sz w:val="20"/>
                <w:szCs w:val="20"/>
              </w:rPr>
              <w:t>27 (8%)</w:t>
            </w:r>
          </w:p>
        </w:tc>
      </w:tr>
    </w:tbl>
    <w:p w:rsidR="008D6F03" w:rsidRPr="008C7C61" w:rsidRDefault="00BF7288" w:rsidP="008C7C61">
      <w:pPr>
        <w:pStyle w:val="TableFooter"/>
      </w:pPr>
      <w:r>
        <w:t>Source: Table 16 (p. 19) and Table 17 (p. 20) of Appendix 1 of November 2017 submission</w:t>
      </w:r>
    </w:p>
    <w:p w:rsidR="005A3173" w:rsidRPr="00966D0D" w:rsidRDefault="005A3173" w:rsidP="004109F4">
      <w:pPr>
        <w:pStyle w:val="Heading2"/>
      </w:pPr>
      <w:r w:rsidRPr="003C2FB5">
        <w:t>Economic analysis</w:t>
      </w:r>
    </w:p>
    <w:p w:rsidR="00D70F50" w:rsidRPr="00D70F50" w:rsidRDefault="0060337A" w:rsidP="00D70F5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hAnsiTheme="minorHAnsi"/>
          <w:sz w:val="24"/>
          <w:szCs w:val="24"/>
        </w:rPr>
        <w:t>The</w:t>
      </w:r>
      <w:r w:rsidR="00D70F50">
        <w:rPr>
          <w:rFonts w:asciiTheme="minorHAnsi" w:hAnsiTheme="minorHAnsi"/>
          <w:sz w:val="24"/>
          <w:szCs w:val="24"/>
        </w:rPr>
        <w:t xml:space="preserve"> November 2017</w:t>
      </w:r>
      <w:r>
        <w:rPr>
          <w:rFonts w:asciiTheme="minorHAnsi" w:hAnsiTheme="minorHAnsi"/>
          <w:sz w:val="24"/>
          <w:szCs w:val="24"/>
        </w:rPr>
        <w:t xml:space="preserve"> </w:t>
      </w:r>
      <w:r w:rsidR="009B0F67" w:rsidRPr="00D70F50">
        <w:rPr>
          <w:rFonts w:asciiTheme="minorHAnsi" w:hAnsiTheme="minorHAnsi"/>
          <w:sz w:val="24"/>
          <w:szCs w:val="24"/>
        </w:rPr>
        <w:t>submission presented a cost-</w:t>
      </w:r>
      <w:r w:rsidR="00D70F50">
        <w:rPr>
          <w:rFonts w:asciiTheme="minorHAnsi" w:hAnsiTheme="minorHAnsi"/>
          <w:sz w:val="24"/>
          <w:szCs w:val="24"/>
        </w:rPr>
        <w:t xml:space="preserve">utility analysis comparing </w:t>
      </w:r>
      <w:proofErr w:type="spellStart"/>
      <w:r w:rsidR="00D70F50">
        <w:rPr>
          <w:rFonts w:asciiTheme="minorHAnsi" w:eastAsiaTheme="minorHAnsi" w:hAnsiTheme="minorHAnsi" w:cstheme="minorBidi"/>
          <w:snapToGrid/>
          <w:sz w:val="24"/>
          <w:szCs w:val="22"/>
        </w:rPr>
        <w:t>lenvatinib</w:t>
      </w:r>
      <w:proofErr w:type="spellEnd"/>
      <w:r w:rsidR="00D70F50">
        <w:rPr>
          <w:rFonts w:asciiTheme="minorHAnsi" w:eastAsiaTheme="minorHAnsi" w:hAnsiTheme="minorHAnsi" w:cstheme="minorBidi"/>
          <w:snapToGrid/>
          <w:sz w:val="24"/>
          <w:szCs w:val="22"/>
        </w:rPr>
        <w:t>/</w:t>
      </w:r>
      <w:proofErr w:type="spellStart"/>
      <w:r w:rsidR="00D70F50">
        <w:rPr>
          <w:rFonts w:asciiTheme="minorHAnsi" w:eastAsiaTheme="minorHAnsi" w:hAnsiTheme="minorHAnsi" w:cstheme="minorBidi"/>
          <w:snapToGrid/>
          <w:sz w:val="24"/>
          <w:szCs w:val="22"/>
        </w:rPr>
        <w:t>everolimus</w:t>
      </w:r>
      <w:proofErr w:type="spellEnd"/>
      <w:r w:rsidR="00D70F50">
        <w:rPr>
          <w:rFonts w:asciiTheme="minorHAnsi" w:eastAsiaTheme="minorHAnsi" w:hAnsiTheme="minorHAnsi" w:cstheme="minorBidi"/>
          <w:snapToGrid/>
          <w:sz w:val="24"/>
          <w:szCs w:val="22"/>
        </w:rPr>
        <w:t xml:space="preserve"> with </w:t>
      </w:r>
      <w:proofErr w:type="spellStart"/>
      <w:r w:rsidR="00D70F50">
        <w:rPr>
          <w:rFonts w:asciiTheme="minorHAnsi" w:eastAsiaTheme="minorHAnsi" w:hAnsiTheme="minorHAnsi" w:cstheme="minorBidi"/>
          <w:snapToGrid/>
          <w:sz w:val="24"/>
          <w:szCs w:val="22"/>
        </w:rPr>
        <w:t>everolimus</w:t>
      </w:r>
      <w:proofErr w:type="spellEnd"/>
      <w:r w:rsidR="00D70F50">
        <w:rPr>
          <w:rFonts w:asciiTheme="minorHAnsi" w:eastAsiaTheme="minorHAnsi" w:hAnsiTheme="minorHAnsi" w:cstheme="minorBidi"/>
          <w:snapToGrid/>
          <w:sz w:val="24"/>
          <w:szCs w:val="22"/>
        </w:rPr>
        <w:t xml:space="preserve"> monotherapy</w:t>
      </w:r>
      <w:r>
        <w:rPr>
          <w:rFonts w:asciiTheme="minorHAnsi" w:eastAsiaTheme="minorHAnsi" w:hAnsiTheme="minorHAnsi" w:cstheme="minorBidi"/>
          <w:snapToGrid/>
          <w:sz w:val="24"/>
          <w:szCs w:val="22"/>
        </w:rPr>
        <w:t xml:space="preserve"> with a lifetime horizon and a base case ICER of </w:t>
      </w:r>
      <w:r w:rsidR="00D70F50">
        <w:rPr>
          <w:rFonts w:asciiTheme="minorHAnsi" w:hAnsiTheme="minorHAnsi"/>
          <w:sz w:val="24"/>
          <w:szCs w:val="24"/>
        </w:rPr>
        <w:t>$</w:t>
      </w:r>
      <w:r w:rsidR="0039262B">
        <w:rPr>
          <w:rFonts w:asciiTheme="minorHAnsi" w:hAnsiTheme="minorHAnsi"/>
          <w:sz w:val="24"/>
          <w:szCs w:val="24"/>
        </w:rPr>
        <w:t>4</w:t>
      </w:r>
      <w:r w:rsidR="009856C1">
        <w:rPr>
          <w:rFonts w:asciiTheme="minorHAnsi" w:hAnsiTheme="minorHAnsi"/>
          <w:sz w:val="24"/>
          <w:szCs w:val="24"/>
        </w:rPr>
        <w:t>5,000/QALY - $</w:t>
      </w:r>
      <w:r w:rsidR="0039262B">
        <w:rPr>
          <w:rFonts w:asciiTheme="minorHAnsi" w:hAnsiTheme="minorHAnsi"/>
          <w:sz w:val="24"/>
          <w:szCs w:val="24"/>
        </w:rPr>
        <w:t>75</w:t>
      </w:r>
      <w:r w:rsidR="009856C1">
        <w:rPr>
          <w:rFonts w:asciiTheme="minorHAnsi" w:hAnsiTheme="minorHAnsi"/>
          <w:sz w:val="24"/>
          <w:szCs w:val="24"/>
        </w:rPr>
        <w:t>,000</w:t>
      </w:r>
      <w:r w:rsidR="00D70F50">
        <w:rPr>
          <w:rFonts w:asciiTheme="minorHAnsi" w:hAnsiTheme="minorHAnsi"/>
          <w:sz w:val="24"/>
          <w:szCs w:val="24"/>
        </w:rPr>
        <w:t>/QALY</w:t>
      </w:r>
      <w:r w:rsidR="00D70F50" w:rsidRPr="0073238B">
        <w:rPr>
          <w:rFonts w:asciiTheme="minorHAnsi" w:hAnsiTheme="minorHAnsi"/>
          <w:sz w:val="24"/>
          <w:szCs w:val="24"/>
        </w:rPr>
        <w:t>.</w:t>
      </w:r>
      <w:r w:rsidR="00D70F50">
        <w:rPr>
          <w:rFonts w:asciiTheme="minorHAnsi" w:hAnsiTheme="minorHAnsi"/>
          <w:sz w:val="24"/>
          <w:szCs w:val="24"/>
        </w:rPr>
        <w:t xml:space="preserve"> </w:t>
      </w:r>
      <w:r w:rsidR="003B7A4A">
        <w:rPr>
          <w:rFonts w:asciiTheme="minorHAnsi" w:hAnsiTheme="minorHAnsi"/>
          <w:sz w:val="24"/>
          <w:szCs w:val="24"/>
        </w:rPr>
        <w:t>The minor re</w:t>
      </w:r>
      <w:r w:rsidR="009B0F67" w:rsidRPr="00D70F50">
        <w:rPr>
          <w:rFonts w:asciiTheme="minorHAnsi" w:eastAsiaTheme="minorHAnsi" w:hAnsiTheme="minorHAnsi" w:cstheme="minorBidi"/>
          <w:snapToGrid/>
          <w:sz w:val="24"/>
          <w:szCs w:val="22"/>
        </w:rPr>
        <w:t xml:space="preserve">submission </w:t>
      </w:r>
      <w:r w:rsidR="00FF2801" w:rsidRPr="00D70F50">
        <w:rPr>
          <w:rFonts w:asciiTheme="minorHAnsi" w:eastAsiaTheme="minorHAnsi" w:hAnsiTheme="minorHAnsi" w:cstheme="minorBidi"/>
          <w:snapToGrid/>
          <w:sz w:val="24"/>
          <w:szCs w:val="22"/>
        </w:rPr>
        <w:t>did</w:t>
      </w:r>
      <w:r w:rsidR="009B0F67" w:rsidRPr="00D70F50">
        <w:rPr>
          <w:rFonts w:asciiTheme="minorHAnsi" w:eastAsiaTheme="minorHAnsi" w:hAnsiTheme="minorHAnsi" w:cstheme="minorBidi"/>
          <w:snapToGrid/>
          <w:sz w:val="24"/>
          <w:szCs w:val="22"/>
        </w:rPr>
        <w:t xml:space="preserve"> not alter the economic </w:t>
      </w:r>
      <w:r w:rsidR="00D70F50" w:rsidRPr="00D70F50">
        <w:rPr>
          <w:rFonts w:asciiTheme="minorHAnsi" w:eastAsiaTheme="minorHAnsi" w:hAnsiTheme="minorHAnsi" w:cstheme="minorBidi"/>
          <w:snapToGrid/>
          <w:sz w:val="24"/>
          <w:szCs w:val="22"/>
        </w:rPr>
        <w:t xml:space="preserve">evaluation from November 2017. </w:t>
      </w:r>
    </w:p>
    <w:p w:rsidR="00D70F50" w:rsidRDefault="003B7A4A" w:rsidP="00D70F50">
      <w:pPr>
        <w:pStyle w:val="ListParagraph"/>
        <w:widowControl/>
        <w:numPr>
          <w:ilvl w:val="1"/>
          <w:numId w:val="14"/>
        </w:numPr>
        <w:spacing w:before="120" w:after="160"/>
        <w:contextualSpacing w:val="0"/>
        <w:rPr>
          <w:rFonts w:asciiTheme="minorHAnsi" w:hAnsiTheme="minorHAnsi"/>
          <w:sz w:val="24"/>
          <w:szCs w:val="24"/>
        </w:rPr>
      </w:pPr>
      <w:r>
        <w:rPr>
          <w:rFonts w:asciiTheme="minorHAnsi" w:eastAsiaTheme="minorHAnsi" w:hAnsiTheme="minorHAnsi" w:cstheme="minorBidi"/>
          <w:snapToGrid/>
          <w:sz w:val="24"/>
          <w:szCs w:val="22"/>
        </w:rPr>
        <w:t>At the November 2017 meeting t</w:t>
      </w:r>
      <w:r w:rsidR="00D70F50" w:rsidRPr="00D70F50">
        <w:rPr>
          <w:rFonts w:asciiTheme="minorHAnsi" w:eastAsiaTheme="minorHAnsi" w:hAnsiTheme="minorHAnsi" w:cstheme="minorBidi"/>
          <w:snapToGrid/>
          <w:sz w:val="24"/>
          <w:szCs w:val="22"/>
        </w:rPr>
        <w:t xml:space="preserve">he PBAC considered that it was unclear as to whether the clinical positioning for </w:t>
      </w:r>
      <w:proofErr w:type="spellStart"/>
      <w:r w:rsidR="00D70F50" w:rsidRPr="00D70F50">
        <w:rPr>
          <w:rFonts w:asciiTheme="minorHAnsi" w:eastAsiaTheme="minorHAnsi" w:hAnsiTheme="minorHAnsi" w:cstheme="minorBidi"/>
          <w:snapToGrid/>
          <w:sz w:val="24"/>
          <w:szCs w:val="22"/>
        </w:rPr>
        <w:t>lenvatinib</w:t>
      </w:r>
      <w:proofErr w:type="spellEnd"/>
      <w:r w:rsidR="00D70F50" w:rsidRPr="00D70F50">
        <w:rPr>
          <w:rFonts w:asciiTheme="minorHAnsi" w:eastAsiaTheme="minorHAnsi" w:hAnsiTheme="minorHAnsi" w:cstheme="minorBidi"/>
          <w:snapToGrid/>
          <w:sz w:val="24"/>
          <w:szCs w:val="22"/>
        </w:rPr>
        <w:t>/</w:t>
      </w:r>
      <w:proofErr w:type="spellStart"/>
      <w:r w:rsidR="00D70F50" w:rsidRPr="00D70F50">
        <w:rPr>
          <w:rFonts w:asciiTheme="minorHAnsi" w:eastAsiaTheme="minorHAnsi" w:hAnsiTheme="minorHAnsi" w:cstheme="minorBidi"/>
          <w:snapToGrid/>
          <w:sz w:val="24"/>
          <w:szCs w:val="22"/>
        </w:rPr>
        <w:t>everolimus</w:t>
      </w:r>
      <w:proofErr w:type="spellEnd"/>
      <w:r w:rsidR="00D70F50" w:rsidRPr="00D70F50">
        <w:rPr>
          <w:rFonts w:asciiTheme="minorHAnsi" w:eastAsiaTheme="minorHAnsi" w:hAnsiTheme="minorHAnsi" w:cstheme="minorBidi"/>
          <w:snapToGrid/>
          <w:sz w:val="24"/>
          <w:szCs w:val="22"/>
        </w:rPr>
        <w:t xml:space="preserve"> would be the same as that of </w:t>
      </w:r>
      <w:proofErr w:type="spellStart"/>
      <w:r w:rsidR="00D70F50" w:rsidRPr="00D70F50">
        <w:rPr>
          <w:rFonts w:asciiTheme="minorHAnsi" w:eastAsiaTheme="minorHAnsi" w:hAnsiTheme="minorHAnsi" w:cstheme="minorBidi"/>
          <w:snapToGrid/>
          <w:sz w:val="24"/>
          <w:szCs w:val="22"/>
        </w:rPr>
        <w:t>everolimus</w:t>
      </w:r>
      <w:proofErr w:type="spellEnd"/>
      <w:r w:rsidR="00D70F50" w:rsidRPr="00D70F50">
        <w:rPr>
          <w:rFonts w:asciiTheme="minorHAnsi" w:eastAsiaTheme="minorHAnsi" w:hAnsiTheme="minorHAnsi" w:cstheme="minorBidi"/>
          <w:snapToGrid/>
          <w:sz w:val="24"/>
          <w:szCs w:val="22"/>
        </w:rPr>
        <w:t xml:space="preserve">. As a result, the PBAC considered the cost-utility analysis presented against </w:t>
      </w:r>
      <w:proofErr w:type="spellStart"/>
      <w:r w:rsidR="00D70F50" w:rsidRPr="00D70F50">
        <w:rPr>
          <w:rFonts w:asciiTheme="minorHAnsi" w:eastAsiaTheme="minorHAnsi" w:hAnsiTheme="minorHAnsi" w:cstheme="minorBidi"/>
          <w:snapToGrid/>
          <w:sz w:val="24"/>
          <w:szCs w:val="22"/>
        </w:rPr>
        <w:t>everolimus</w:t>
      </w:r>
      <w:proofErr w:type="spellEnd"/>
      <w:r w:rsidR="00D70F50" w:rsidRPr="00D70F50">
        <w:rPr>
          <w:rFonts w:asciiTheme="minorHAnsi" w:eastAsiaTheme="minorHAnsi" w:hAnsiTheme="minorHAnsi" w:cstheme="minorBidi"/>
          <w:snapToGrid/>
          <w:sz w:val="24"/>
          <w:szCs w:val="22"/>
        </w:rPr>
        <w:t xml:space="preserve"> may not be informative</w:t>
      </w:r>
      <w:r w:rsidR="009D03C3">
        <w:rPr>
          <w:rFonts w:asciiTheme="minorHAnsi" w:eastAsiaTheme="minorHAnsi" w:hAnsiTheme="minorHAnsi" w:cstheme="minorBidi"/>
          <w:snapToGrid/>
          <w:sz w:val="24"/>
          <w:szCs w:val="22"/>
        </w:rPr>
        <w:t xml:space="preserve">. In addition, the PBAC considered the resulting ICER to be high and uncertain at the requested effective price for </w:t>
      </w:r>
      <w:proofErr w:type="spellStart"/>
      <w:r w:rsidR="009D03C3">
        <w:rPr>
          <w:rFonts w:asciiTheme="minorHAnsi" w:eastAsiaTheme="minorHAnsi" w:hAnsiTheme="minorHAnsi" w:cstheme="minorBidi"/>
          <w:snapToGrid/>
          <w:sz w:val="24"/>
          <w:szCs w:val="22"/>
        </w:rPr>
        <w:t>lenvatinib</w:t>
      </w:r>
      <w:proofErr w:type="spellEnd"/>
      <w:r w:rsidR="009D03C3">
        <w:rPr>
          <w:rFonts w:asciiTheme="minorHAnsi" w:eastAsiaTheme="minorHAnsi" w:hAnsiTheme="minorHAnsi" w:cstheme="minorBidi"/>
          <w:snapToGrid/>
          <w:sz w:val="24"/>
          <w:szCs w:val="22"/>
        </w:rPr>
        <w:t xml:space="preserve"> </w:t>
      </w:r>
      <w:r w:rsidR="009D03C3">
        <w:rPr>
          <w:rFonts w:asciiTheme="minorHAnsi" w:eastAsiaTheme="minorHAnsi" w:hAnsiTheme="minorHAnsi" w:cstheme="minorBidi"/>
          <w:snapToGrid/>
          <w:sz w:val="24"/>
          <w:szCs w:val="22"/>
        </w:rPr>
        <w:lastRenderedPageBreak/>
        <w:t xml:space="preserve">and using the current </w:t>
      </w:r>
      <w:r w:rsidR="009D03C3" w:rsidRPr="005D0E9B">
        <w:rPr>
          <w:rFonts w:asciiTheme="minorHAnsi" w:hAnsiTheme="minorHAnsi"/>
          <w:sz w:val="24"/>
          <w:szCs w:val="24"/>
        </w:rPr>
        <w:t xml:space="preserve">effective price for </w:t>
      </w:r>
      <w:proofErr w:type="spellStart"/>
      <w:r w:rsidR="009D03C3" w:rsidRPr="005D0E9B">
        <w:rPr>
          <w:rFonts w:asciiTheme="minorHAnsi" w:hAnsiTheme="minorHAnsi"/>
          <w:sz w:val="24"/>
          <w:szCs w:val="24"/>
        </w:rPr>
        <w:t>everolimus</w:t>
      </w:r>
      <w:proofErr w:type="spellEnd"/>
      <w:r w:rsidR="00D70F50" w:rsidRPr="005D0E9B">
        <w:rPr>
          <w:rFonts w:asciiTheme="minorHAnsi" w:hAnsiTheme="minorHAnsi"/>
          <w:sz w:val="24"/>
          <w:szCs w:val="24"/>
        </w:rPr>
        <w:t xml:space="preserve"> (Paragraph 7.10, </w:t>
      </w:r>
      <w:proofErr w:type="spellStart"/>
      <w:r w:rsidR="00D70F50" w:rsidRPr="005D0E9B">
        <w:rPr>
          <w:rFonts w:asciiTheme="minorHAnsi" w:hAnsiTheme="minorHAnsi"/>
          <w:sz w:val="24"/>
          <w:szCs w:val="24"/>
        </w:rPr>
        <w:t>lenvatinib</w:t>
      </w:r>
      <w:proofErr w:type="spellEnd"/>
      <w:r w:rsidR="00D70F50" w:rsidRPr="005D0E9B">
        <w:rPr>
          <w:rFonts w:asciiTheme="minorHAnsi" w:hAnsiTheme="minorHAnsi"/>
          <w:sz w:val="24"/>
          <w:szCs w:val="24"/>
        </w:rPr>
        <w:t xml:space="preserve"> PBAC </w:t>
      </w:r>
      <w:r w:rsidR="009856C1">
        <w:rPr>
          <w:rFonts w:asciiTheme="minorHAnsi" w:eastAsiaTheme="minorHAnsi" w:hAnsiTheme="minorHAnsi" w:cstheme="minorBidi"/>
          <w:snapToGrid/>
          <w:sz w:val="24"/>
          <w:szCs w:val="22"/>
        </w:rPr>
        <w:t>Public Summary Document</w:t>
      </w:r>
      <w:r w:rsidR="00D70F50" w:rsidRPr="005D0E9B">
        <w:rPr>
          <w:rFonts w:asciiTheme="minorHAnsi" w:hAnsiTheme="minorHAnsi"/>
          <w:sz w:val="24"/>
          <w:szCs w:val="24"/>
        </w:rPr>
        <w:t>, November 2017).</w:t>
      </w:r>
    </w:p>
    <w:p w:rsidR="00D27C65" w:rsidRDefault="005D0E9B" w:rsidP="00771892">
      <w:pPr>
        <w:pStyle w:val="ListParagraph"/>
        <w:widowControl/>
        <w:numPr>
          <w:ilvl w:val="1"/>
          <w:numId w:val="14"/>
        </w:numPr>
        <w:spacing w:before="120" w:after="160"/>
        <w:contextualSpacing w:val="0"/>
        <w:rPr>
          <w:rFonts w:asciiTheme="minorHAnsi" w:hAnsiTheme="minorHAnsi"/>
          <w:sz w:val="24"/>
          <w:szCs w:val="24"/>
        </w:rPr>
      </w:pPr>
      <w:r w:rsidRPr="00CD46C2">
        <w:rPr>
          <w:rFonts w:asciiTheme="minorHAnsi" w:hAnsiTheme="minorHAnsi"/>
          <w:sz w:val="24"/>
          <w:szCs w:val="24"/>
        </w:rPr>
        <w:t xml:space="preserve">The PBAC considered that an economic evaluation against </w:t>
      </w:r>
      <w:proofErr w:type="spellStart"/>
      <w:r w:rsidRPr="00CD46C2">
        <w:rPr>
          <w:rFonts w:asciiTheme="minorHAnsi" w:hAnsiTheme="minorHAnsi"/>
          <w:sz w:val="24"/>
          <w:szCs w:val="24"/>
        </w:rPr>
        <w:t>nivolumab</w:t>
      </w:r>
      <w:proofErr w:type="spellEnd"/>
      <w:r w:rsidRPr="00CD46C2">
        <w:rPr>
          <w:rFonts w:asciiTheme="minorHAnsi" w:hAnsiTheme="minorHAnsi"/>
          <w:sz w:val="24"/>
          <w:szCs w:val="24"/>
        </w:rPr>
        <w:t xml:space="preserve"> or </w:t>
      </w:r>
      <w:proofErr w:type="spellStart"/>
      <w:r w:rsidRPr="00CD46C2">
        <w:rPr>
          <w:rFonts w:asciiTheme="minorHAnsi" w:hAnsiTheme="minorHAnsi"/>
          <w:sz w:val="24"/>
          <w:szCs w:val="24"/>
        </w:rPr>
        <w:t>axitinib</w:t>
      </w:r>
      <w:proofErr w:type="spellEnd"/>
      <w:r w:rsidRPr="00CD46C2">
        <w:rPr>
          <w:rFonts w:asciiTheme="minorHAnsi" w:hAnsiTheme="minorHAnsi"/>
          <w:sz w:val="24"/>
          <w:szCs w:val="24"/>
        </w:rPr>
        <w:t xml:space="preserve"> would be more informative</w:t>
      </w:r>
      <w:r w:rsidR="00CD46C2">
        <w:rPr>
          <w:rFonts w:asciiTheme="minorHAnsi" w:hAnsiTheme="minorHAnsi"/>
          <w:sz w:val="24"/>
          <w:szCs w:val="24"/>
        </w:rPr>
        <w:t xml:space="preserve"> (Paragraph 7.11</w:t>
      </w:r>
      <w:r w:rsidR="00CD46C2" w:rsidRPr="005D0E9B">
        <w:rPr>
          <w:rFonts w:asciiTheme="minorHAnsi" w:hAnsiTheme="minorHAnsi"/>
          <w:sz w:val="24"/>
          <w:szCs w:val="24"/>
        </w:rPr>
        <w:t xml:space="preserve">, </w:t>
      </w:r>
      <w:proofErr w:type="spellStart"/>
      <w:r w:rsidR="00CD46C2" w:rsidRPr="005D0E9B">
        <w:rPr>
          <w:rFonts w:asciiTheme="minorHAnsi" w:hAnsiTheme="minorHAnsi"/>
          <w:sz w:val="24"/>
          <w:szCs w:val="24"/>
        </w:rPr>
        <w:t>lenvatinib</w:t>
      </w:r>
      <w:proofErr w:type="spellEnd"/>
      <w:r w:rsidR="00CD46C2" w:rsidRPr="005D0E9B">
        <w:rPr>
          <w:rFonts w:asciiTheme="minorHAnsi" w:hAnsiTheme="minorHAnsi"/>
          <w:sz w:val="24"/>
          <w:szCs w:val="24"/>
        </w:rPr>
        <w:t xml:space="preserve"> PBAC </w:t>
      </w:r>
      <w:r w:rsidR="009856C1">
        <w:rPr>
          <w:rFonts w:asciiTheme="minorHAnsi" w:eastAsiaTheme="minorHAnsi" w:hAnsiTheme="minorHAnsi" w:cstheme="minorBidi"/>
          <w:snapToGrid/>
          <w:sz w:val="24"/>
          <w:szCs w:val="22"/>
        </w:rPr>
        <w:t>Public Summary Document</w:t>
      </w:r>
      <w:r w:rsidR="00CD46C2" w:rsidRPr="005D0E9B">
        <w:rPr>
          <w:rFonts w:asciiTheme="minorHAnsi" w:hAnsiTheme="minorHAnsi"/>
          <w:sz w:val="24"/>
          <w:szCs w:val="24"/>
        </w:rPr>
        <w:t>, November 2017).</w:t>
      </w:r>
      <w:r w:rsidR="00CD46C2">
        <w:rPr>
          <w:rFonts w:asciiTheme="minorHAnsi" w:hAnsiTheme="minorHAnsi"/>
          <w:sz w:val="24"/>
          <w:szCs w:val="24"/>
        </w:rPr>
        <w:t xml:space="preserve"> The resubmission argued that a robust economic evaluation of </w:t>
      </w:r>
      <w:proofErr w:type="spellStart"/>
      <w:r w:rsidR="00CD46C2">
        <w:rPr>
          <w:rFonts w:asciiTheme="minorHAnsi" w:hAnsiTheme="minorHAnsi"/>
          <w:sz w:val="24"/>
          <w:szCs w:val="24"/>
        </w:rPr>
        <w:t>lenvatinib</w:t>
      </w:r>
      <w:proofErr w:type="spellEnd"/>
      <w:r w:rsidR="00CD46C2">
        <w:rPr>
          <w:rFonts w:asciiTheme="minorHAnsi" w:hAnsiTheme="minorHAnsi"/>
          <w:sz w:val="24"/>
          <w:szCs w:val="24"/>
        </w:rPr>
        <w:t>/</w:t>
      </w:r>
      <w:proofErr w:type="spellStart"/>
      <w:r w:rsidR="00CD46C2">
        <w:rPr>
          <w:rFonts w:asciiTheme="minorHAnsi" w:hAnsiTheme="minorHAnsi"/>
          <w:sz w:val="24"/>
          <w:szCs w:val="24"/>
        </w:rPr>
        <w:t>everolimus</w:t>
      </w:r>
      <w:proofErr w:type="spellEnd"/>
      <w:r w:rsidR="00CD46C2">
        <w:rPr>
          <w:rFonts w:asciiTheme="minorHAnsi" w:hAnsiTheme="minorHAnsi"/>
          <w:sz w:val="24"/>
          <w:szCs w:val="24"/>
        </w:rPr>
        <w:t xml:space="preserve"> versus </w:t>
      </w:r>
      <w:proofErr w:type="spellStart"/>
      <w:r w:rsidR="00CD46C2">
        <w:rPr>
          <w:rFonts w:asciiTheme="minorHAnsi" w:hAnsiTheme="minorHAnsi"/>
          <w:sz w:val="24"/>
          <w:szCs w:val="24"/>
        </w:rPr>
        <w:t>nivolumab</w:t>
      </w:r>
      <w:proofErr w:type="spellEnd"/>
      <w:r w:rsidR="00CD46C2">
        <w:rPr>
          <w:rFonts w:asciiTheme="minorHAnsi" w:hAnsiTheme="minorHAnsi"/>
          <w:sz w:val="24"/>
          <w:szCs w:val="24"/>
        </w:rPr>
        <w:t xml:space="preserve"> was not possible due to the confidentiality of critical data inputs required for the model. In addition, the resubmission argued that as the </w:t>
      </w:r>
      <w:r w:rsidR="00CD46C2" w:rsidRPr="005D0E9B">
        <w:rPr>
          <w:rFonts w:asciiTheme="minorHAnsi" w:hAnsiTheme="minorHAnsi"/>
          <w:sz w:val="24"/>
          <w:szCs w:val="24"/>
        </w:rPr>
        <w:t xml:space="preserve">anticipated clinical </w:t>
      </w:r>
      <w:r w:rsidR="00CD46C2">
        <w:rPr>
          <w:rFonts w:asciiTheme="minorHAnsi" w:hAnsiTheme="minorHAnsi"/>
          <w:sz w:val="24"/>
          <w:szCs w:val="24"/>
        </w:rPr>
        <w:t xml:space="preserve">place of therapy for </w:t>
      </w:r>
      <w:proofErr w:type="spellStart"/>
      <w:r w:rsidR="00CD46C2">
        <w:rPr>
          <w:rFonts w:asciiTheme="minorHAnsi" w:hAnsiTheme="minorHAnsi"/>
          <w:sz w:val="24"/>
          <w:szCs w:val="24"/>
        </w:rPr>
        <w:t>lenvatinib</w:t>
      </w:r>
      <w:proofErr w:type="spellEnd"/>
      <w:r w:rsidR="00CD46C2">
        <w:rPr>
          <w:rFonts w:asciiTheme="minorHAnsi" w:hAnsiTheme="minorHAnsi"/>
          <w:sz w:val="24"/>
          <w:szCs w:val="24"/>
        </w:rPr>
        <w:t>/</w:t>
      </w:r>
      <w:proofErr w:type="spellStart"/>
      <w:r w:rsidR="00CD46C2" w:rsidRPr="005D0E9B">
        <w:rPr>
          <w:rFonts w:asciiTheme="minorHAnsi" w:hAnsiTheme="minorHAnsi"/>
          <w:sz w:val="24"/>
          <w:szCs w:val="24"/>
        </w:rPr>
        <w:t>ever</w:t>
      </w:r>
      <w:r w:rsidR="00D40B85">
        <w:rPr>
          <w:rFonts w:asciiTheme="minorHAnsi" w:hAnsiTheme="minorHAnsi"/>
          <w:sz w:val="24"/>
          <w:szCs w:val="24"/>
        </w:rPr>
        <w:t>olimus</w:t>
      </w:r>
      <w:proofErr w:type="spellEnd"/>
      <w:r w:rsidR="00D40B85">
        <w:rPr>
          <w:rFonts w:asciiTheme="minorHAnsi" w:hAnsiTheme="minorHAnsi"/>
          <w:sz w:val="24"/>
          <w:szCs w:val="24"/>
        </w:rPr>
        <w:t xml:space="preserve"> is primarily as a second </w:t>
      </w:r>
      <w:r w:rsidR="00CD46C2" w:rsidRPr="005D0E9B">
        <w:rPr>
          <w:rFonts w:asciiTheme="minorHAnsi" w:hAnsiTheme="minorHAnsi"/>
          <w:sz w:val="24"/>
          <w:szCs w:val="24"/>
        </w:rPr>
        <w:t xml:space="preserve">line treatment in patients where treatment with </w:t>
      </w:r>
      <w:proofErr w:type="spellStart"/>
      <w:r w:rsidR="00CD46C2" w:rsidRPr="005D0E9B">
        <w:rPr>
          <w:rFonts w:asciiTheme="minorHAnsi" w:hAnsiTheme="minorHAnsi"/>
          <w:sz w:val="24"/>
          <w:szCs w:val="24"/>
        </w:rPr>
        <w:t>nivo</w:t>
      </w:r>
      <w:r w:rsidR="00CD46C2">
        <w:rPr>
          <w:rFonts w:asciiTheme="minorHAnsi" w:hAnsiTheme="minorHAnsi"/>
          <w:sz w:val="24"/>
          <w:szCs w:val="24"/>
        </w:rPr>
        <w:t>lumab</w:t>
      </w:r>
      <w:proofErr w:type="spellEnd"/>
      <w:r w:rsidR="00CD46C2">
        <w:rPr>
          <w:rFonts w:asciiTheme="minorHAnsi" w:hAnsiTheme="minorHAnsi"/>
          <w:sz w:val="24"/>
          <w:szCs w:val="24"/>
        </w:rPr>
        <w:t xml:space="preserve"> is not pursued, </w:t>
      </w:r>
      <w:r w:rsidR="00CD46C2" w:rsidRPr="005D0E9B">
        <w:rPr>
          <w:rFonts w:asciiTheme="minorHAnsi" w:hAnsiTheme="minorHAnsi"/>
          <w:sz w:val="24"/>
          <w:szCs w:val="24"/>
        </w:rPr>
        <w:t xml:space="preserve">an economic evaluation against </w:t>
      </w:r>
      <w:proofErr w:type="spellStart"/>
      <w:r w:rsidR="00CD46C2" w:rsidRPr="005D0E9B">
        <w:rPr>
          <w:rFonts w:asciiTheme="minorHAnsi" w:hAnsiTheme="minorHAnsi"/>
          <w:sz w:val="24"/>
          <w:szCs w:val="24"/>
        </w:rPr>
        <w:t>niv</w:t>
      </w:r>
      <w:r w:rsidR="00CD46C2">
        <w:rPr>
          <w:rFonts w:asciiTheme="minorHAnsi" w:hAnsiTheme="minorHAnsi"/>
          <w:sz w:val="24"/>
          <w:szCs w:val="24"/>
        </w:rPr>
        <w:t>olumab</w:t>
      </w:r>
      <w:proofErr w:type="spellEnd"/>
      <w:r w:rsidR="00CD46C2">
        <w:rPr>
          <w:rFonts w:asciiTheme="minorHAnsi" w:hAnsiTheme="minorHAnsi"/>
          <w:sz w:val="24"/>
          <w:szCs w:val="24"/>
        </w:rPr>
        <w:t xml:space="preserve"> would not be informative. </w:t>
      </w:r>
    </w:p>
    <w:p w:rsidR="00C05F9C" w:rsidRPr="00771892" w:rsidRDefault="00CD46C2" w:rsidP="00771892">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resubmission argued an economic evaluation of </w:t>
      </w:r>
      <w:proofErr w:type="spellStart"/>
      <w:r>
        <w:rPr>
          <w:rFonts w:asciiTheme="minorHAnsi" w:hAnsiTheme="minorHAnsi"/>
          <w:sz w:val="24"/>
          <w:szCs w:val="24"/>
        </w:rPr>
        <w:t>lenvatinib</w:t>
      </w:r>
      <w:proofErr w:type="spellEnd"/>
      <w:r>
        <w:rPr>
          <w:rFonts w:asciiTheme="minorHAnsi" w:hAnsiTheme="minorHAnsi"/>
          <w:sz w:val="24"/>
          <w:szCs w:val="24"/>
        </w:rPr>
        <w:t>/</w:t>
      </w:r>
      <w:proofErr w:type="spellStart"/>
      <w:r>
        <w:rPr>
          <w:rFonts w:asciiTheme="minorHAnsi" w:hAnsiTheme="minorHAnsi"/>
          <w:sz w:val="24"/>
          <w:szCs w:val="24"/>
        </w:rPr>
        <w:t>everol</w:t>
      </w:r>
      <w:r w:rsidR="00771892">
        <w:rPr>
          <w:rFonts w:asciiTheme="minorHAnsi" w:hAnsiTheme="minorHAnsi"/>
          <w:sz w:val="24"/>
          <w:szCs w:val="24"/>
        </w:rPr>
        <w:t>imus</w:t>
      </w:r>
      <w:proofErr w:type="spellEnd"/>
      <w:r w:rsidR="00771892">
        <w:rPr>
          <w:rFonts w:asciiTheme="minorHAnsi" w:hAnsiTheme="minorHAnsi"/>
          <w:sz w:val="24"/>
          <w:szCs w:val="24"/>
        </w:rPr>
        <w:t xml:space="preserve"> against </w:t>
      </w:r>
      <w:proofErr w:type="spellStart"/>
      <w:r w:rsidR="00771892">
        <w:rPr>
          <w:rFonts w:asciiTheme="minorHAnsi" w:hAnsiTheme="minorHAnsi"/>
          <w:sz w:val="24"/>
          <w:szCs w:val="24"/>
        </w:rPr>
        <w:t>axitinib</w:t>
      </w:r>
      <w:proofErr w:type="spellEnd"/>
      <w:r w:rsidR="00771892">
        <w:rPr>
          <w:rFonts w:asciiTheme="minorHAnsi" w:hAnsiTheme="minorHAnsi"/>
          <w:sz w:val="24"/>
          <w:szCs w:val="24"/>
        </w:rPr>
        <w:t xml:space="preserve"> would lead to a significant increase in uncertainty compared to the comparison with </w:t>
      </w:r>
      <w:proofErr w:type="spellStart"/>
      <w:r w:rsidR="00771892">
        <w:rPr>
          <w:rFonts w:asciiTheme="minorHAnsi" w:hAnsiTheme="minorHAnsi"/>
          <w:sz w:val="24"/>
          <w:szCs w:val="24"/>
        </w:rPr>
        <w:t>everolimus</w:t>
      </w:r>
      <w:proofErr w:type="spellEnd"/>
      <w:r w:rsidR="00771892">
        <w:rPr>
          <w:rFonts w:asciiTheme="minorHAnsi" w:hAnsiTheme="minorHAnsi"/>
          <w:sz w:val="24"/>
          <w:szCs w:val="24"/>
        </w:rPr>
        <w:t xml:space="preserve"> due to the lack of a common reference. </w:t>
      </w:r>
      <w:r w:rsidR="00D27C65">
        <w:rPr>
          <w:rFonts w:asciiTheme="minorHAnsi" w:hAnsiTheme="minorHAnsi"/>
          <w:sz w:val="24"/>
          <w:szCs w:val="24"/>
        </w:rPr>
        <w:t xml:space="preserve">The resubmission also noted </w:t>
      </w:r>
      <w:r w:rsidR="00771892">
        <w:rPr>
          <w:rFonts w:asciiTheme="minorHAnsi" w:hAnsiTheme="minorHAnsi"/>
          <w:sz w:val="24"/>
          <w:szCs w:val="24"/>
        </w:rPr>
        <w:t xml:space="preserve">that </w:t>
      </w:r>
      <w:proofErr w:type="spellStart"/>
      <w:r w:rsidR="00771892">
        <w:rPr>
          <w:rFonts w:asciiTheme="minorHAnsi" w:hAnsiTheme="minorHAnsi"/>
          <w:sz w:val="24"/>
          <w:szCs w:val="24"/>
        </w:rPr>
        <w:t>a</w:t>
      </w:r>
      <w:r w:rsidR="00E568B1">
        <w:rPr>
          <w:rFonts w:asciiTheme="minorHAnsi" w:hAnsiTheme="minorHAnsi"/>
          <w:sz w:val="24"/>
          <w:szCs w:val="24"/>
        </w:rPr>
        <w:t>xitinib</w:t>
      </w:r>
      <w:proofErr w:type="spellEnd"/>
      <w:r w:rsidR="00E568B1">
        <w:rPr>
          <w:rFonts w:asciiTheme="minorHAnsi" w:hAnsiTheme="minorHAnsi"/>
          <w:sz w:val="24"/>
          <w:szCs w:val="24"/>
        </w:rPr>
        <w:t xml:space="preserve"> was </w:t>
      </w:r>
      <w:r w:rsidR="005D0E9B" w:rsidRPr="00771892">
        <w:rPr>
          <w:rFonts w:asciiTheme="minorHAnsi" w:hAnsiTheme="minorHAnsi"/>
          <w:sz w:val="24"/>
          <w:szCs w:val="24"/>
        </w:rPr>
        <w:t>listed on the PBS</w:t>
      </w:r>
      <w:r w:rsidR="00B97235">
        <w:rPr>
          <w:rFonts w:asciiTheme="minorHAnsi" w:hAnsiTheme="minorHAnsi"/>
          <w:sz w:val="24"/>
          <w:szCs w:val="24"/>
        </w:rPr>
        <w:t xml:space="preserve"> as </w:t>
      </w:r>
      <w:r w:rsidR="005D0E9B" w:rsidRPr="00771892">
        <w:rPr>
          <w:rFonts w:asciiTheme="minorHAnsi" w:hAnsiTheme="minorHAnsi"/>
          <w:sz w:val="24"/>
          <w:szCs w:val="24"/>
        </w:rPr>
        <w:t xml:space="preserve">a treatment for RCC on a cost-minimisation basis to </w:t>
      </w:r>
      <w:proofErr w:type="spellStart"/>
      <w:r w:rsidR="005D0E9B" w:rsidRPr="00771892">
        <w:rPr>
          <w:rFonts w:asciiTheme="minorHAnsi" w:hAnsiTheme="minorHAnsi"/>
          <w:sz w:val="24"/>
          <w:szCs w:val="24"/>
        </w:rPr>
        <w:t>everolimus</w:t>
      </w:r>
      <w:proofErr w:type="spellEnd"/>
      <w:r w:rsidR="00D27C65">
        <w:rPr>
          <w:rFonts w:asciiTheme="minorHAnsi" w:hAnsiTheme="minorHAnsi"/>
          <w:sz w:val="24"/>
          <w:szCs w:val="24"/>
        </w:rPr>
        <w:t xml:space="preserve">. </w:t>
      </w:r>
      <w:r w:rsidR="0060337A">
        <w:rPr>
          <w:rFonts w:asciiTheme="minorHAnsi" w:hAnsiTheme="minorHAnsi"/>
          <w:sz w:val="24"/>
          <w:szCs w:val="24"/>
        </w:rPr>
        <w:t>As such, the resubmission argued</w:t>
      </w:r>
      <w:r w:rsidR="00D27C65">
        <w:rPr>
          <w:rFonts w:asciiTheme="minorHAnsi" w:hAnsiTheme="minorHAnsi"/>
          <w:sz w:val="24"/>
          <w:szCs w:val="24"/>
        </w:rPr>
        <w:t xml:space="preserve"> </w:t>
      </w:r>
      <w:r w:rsidR="00771892">
        <w:rPr>
          <w:rFonts w:asciiTheme="minorHAnsi" w:hAnsiTheme="minorHAnsi"/>
          <w:sz w:val="24"/>
          <w:szCs w:val="24"/>
        </w:rPr>
        <w:t xml:space="preserve">the </w:t>
      </w:r>
      <w:r w:rsidR="005D0E9B" w:rsidRPr="00771892">
        <w:rPr>
          <w:rFonts w:asciiTheme="minorHAnsi" w:hAnsiTheme="minorHAnsi"/>
          <w:sz w:val="24"/>
          <w:szCs w:val="24"/>
        </w:rPr>
        <w:t>results of a cost-effec</w:t>
      </w:r>
      <w:r w:rsidR="005F3CEA">
        <w:rPr>
          <w:rFonts w:asciiTheme="minorHAnsi" w:hAnsiTheme="minorHAnsi"/>
          <w:sz w:val="24"/>
          <w:szCs w:val="24"/>
        </w:rPr>
        <w:t xml:space="preserve">tiveness analysis of </w:t>
      </w:r>
      <w:proofErr w:type="spellStart"/>
      <w:r w:rsidR="005F3CEA">
        <w:rPr>
          <w:rFonts w:asciiTheme="minorHAnsi" w:hAnsiTheme="minorHAnsi"/>
          <w:sz w:val="24"/>
          <w:szCs w:val="24"/>
        </w:rPr>
        <w:t>lenvatinib</w:t>
      </w:r>
      <w:proofErr w:type="spellEnd"/>
      <w:r w:rsidR="005F3CEA">
        <w:rPr>
          <w:rFonts w:asciiTheme="minorHAnsi" w:hAnsiTheme="minorHAnsi"/>
          <w:sz w:val="24"/>
          <w:szCs w:val="24"/>
        </w:rPr>
        <w:t>/</w:t>
      </w:r>
      <w:proofErr w:type="spellStart"/>
      <w:r w:rsidR="005D0E9B" w:rsidRPr="00771892">
        <w:rPr>
          <w:rFonts w:asciiTheme="minorHAnsi" w:hAnsiTheme="minorHAnsi"/>
          <w:sz w:val="24"/>
          <w:szCs w:val="24"/>
        </w:rPr>
        <w:t>everoli</w:t>
      </w:r>
      <w:r w:rsidR="00D27C65">
        <w:rPr>
          <w:rFonts w:asciiTheme="minorHAnsi" w:hAnsiTheme="minorHAnsi"/>
          <w:sz w:val="24"/>
          <w:szCs w:val="24"/>
        </w:rPr>
        <w:t>mus</w:t>
      </w:r>
      <w:proofErr w:type="spellEnd"/>
      <w:r w:rsidR="00D27C65">
        <w:rPr>
          <w:rFonts w:asciiTheme="minorHAnsi" w:hAnsiTheme="minorHAnsi"/>
          <w:sz w:val="24"/>
          <w:szCs w:val="24"/>
        </w:rPr>
        <w:t xml:space="preserve"> compared with </w:t>
      </w:r>
      <w:proofErr w:type="spellStart"/>
      <w:r w:rsidR="00D27C65">
        <w:rPr>
          <w:rFonts w:asciiTheme="minorHAnsi" w:hAnsiTheme="minorHAnsi"/>
          <w:sz w:val="24"/>
          <w:szCs w:val="24"/>
        </w:rPr>
        <w:t>everolimus</w:t>
      </w:r>
      <w:proofErr w:type="spellEnd"/>
      <w:r w:rsidR="00D27C65">
        <w:rPr>
          <w:rFonts w:asciiTheme="minorHAnsi" w:hAnsiTheme="minorHAnsi"/>
          <w:sz w:val="24"/>
          <w:szCs w:val="24"/>
        </w:rPr>
        <w:t xml:space="preserve"> may be </w:t>
      </w:r>
      <w:r w:rsidR="005D0E9B" w:rsidRPr="00771892">
        <w:rPr>
          <w:rFonts w:asciiTheme="minorHAnsi" w:hAnsiTheme="minorHAnsi"/>
          <w:sz w:val="24"/>
          <w:szCs w:val="24"/>
        </w:rPr>
        <w:t>considered as being pra</w:t>
      </w:r>
      <w:r w:rsidR="00D27C65">
        <w:rPr>
          <w:rFonts w:asciiTheme="minorHAnsi" w:hAnsiTheme="minorHAnsi"/>
          <w:sz w:val="24"/>
          <w:szCs w:val="24"/>
        </w:rPr>
        <w:t xml:space="preserve">gmatically translatable to also </w:t>
      </w:r>
      <w:r w:rsidR="005D0E9B" w:rsidRPr="00771892">
        <w:rPr>
          <w:rFonts w:asciiTheme="minorHAnsi" w:hAnsiTheme="minorHAnsi"/>
          <w:sz w:val="24"/>
          <w:szCs w:val="24"/>
        </w:rPr>
        <w:t>demonstrating c</w:t>
      </w:r>
      <w:r w:rsidR="005F3CEA">
        <w:rPr>
          <w:rFonts w:asciiTheme="minorHAnsi" w:hAnsiTheme="minorHAnsi"/>
          <w:sz w:val="24"/>
          <w:szCs w:val="24"/>
        </w:rPr>
        <w:t xml:space="preserve">ost-effectiveness of </w:t>
      </w:r>
      <w:proofErr w:type="spellStart"/>
      <w:r w:rsidR="005F3CEA">
        <w:rPr>
          <w:rFonts w:asciiTheme="minorHAnsi" w:hAnsiTheme="minorHAnsi"/>
          <w:sz w:val="24"/>
          <w:szCs w:val="24"/>
        </w:rPr>
        <w:t>lenvatinib</w:t>
      </w:r>
      <w:proofErr w:type="spellEnd"/>
      <w:r w:rsidR="005F3CEA">
        <w:rPr>
          <w:rFonts w:asciiTheme="minorHAnsi" w:hAnsiTheme="minorHAnsi"/>
          <w:sz w:val="24"/>
          <w:szCs w:val="24"/>
        </w:rPr>
        <w:t>/</w:t>
      </w:r>
      <w:proofErr w:type="spellStart"/>
      <w:r w:rsidR="005D0E9B" w:rsidRPr="00771892">
        <w:rPr>
          <w:rFonts w:asciiTheme="minorHAnsi" w:hAnsiTheme="minorHAnsi"/>
          <w:sz w:val="24"/>
          <w:szCs w:val="24"/>
        </w:rPr>
        <w:t>everolimus</w:t>
      </w:r>
      <w:proofErr w:type="spellEnd"/>
      <w:r w:rsidR="005D0E9B" w:rsidRPr="00771892">
        <w:rPr>
          <w:rFonts w:asciiTheme="minorHAnsi" w:hAnsiTheme="minorHAnsi"/>
          <w:sz w:val="24"/>
          <w:szCs w:val="24"/>
        </w:rPr>
        <w:t xml:space="preserve"> compared with </w:t>
      </w:r>
      <w:proofErr w:type="spellStart"/>
      <w:r w:rsidR="005D0E9B" w:rsidRPr="00771892">
        <w:rPr>
          <w:rFonts w:asciiTheme="minorHAnsi" w:hAnsiTheme="minorHAnsi"/>
          <w:sz w:val="24"/>
          <w:szCs w:val="24"/>
        </w:rPr>
        <w:t>axitinib</w:t>
      </w:r>
      <w:proofErr w:type="spellEnd"/>
      <w:r w:rsidR="005D0E9B" w:rsidRPr="00771892">
        <w:rPr>
          <w:rFonts w:asciiTheme="minorHAnsi" w:hAnsiTheme="minorHAnsi"/>
          <w:sz w:val="24"/>
          <w:szCs w:val="24"/>
        </w:rPr>
        <w:t>.</w:t>
      </w:r>
      <w:r w:rsidRPr="00771892">
        <w:rPr>
          <w:rFonts w:asciiTheme="minorHAnsi" w:hAnsiTheme="minorHAnsi"/>
          <w:sz w:val="24"/>
          <w:szCs w:val="24"/>
        </w:rPr>
        <w:t xml:space="preserve"> </w:t>
      </w:r>
    </w:p>
    <w:p w:rsidR="00D70F50" w:rsidRDefault="007E7288" w:rsidP="00D70F5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resubmission </w:t>
      </w:r>
      <w:r w:rsidR="004776C5">
        <w:rPr>
          <w:rFonts w:asciiTheme="minorHAnsi" w:eastAsiaTheme="minorHAnsi" w:hAnsiTheme="minorHAnsi" w:cstheme="minorBidi"/>
          <w:snapToGrid/>
          <w:sz w:val="24"/>
          <w:szCs w:val="22"/>
        </w:rPr>
        <w:t xml:space="preserve">included a brief </w:t>
      </w:r>
      <w:r w:rsidR="00FA66C2">
        <w:rPr>
          <w:rFonts w:asciiTheme="minorHAnsi" w:eastAsiaTheme="minorHAnsi" w:hAnsiTheme="minorHAnsi" w:cstheme="minorBidi"/>
          <w:snapToGrid/>
          <w:sz w:val="24"/>
          <w:szCs w:val="22"/>
        </w:rPr>
        <w:t xml:space="preserve">analysis which suggested that </w:t>
      </w:r>
      <w:proofErr w:type="spellStart"/>
      <w:r w:rsidR="00FA66C2">
        <w:rPr>
          <w:rFonts w:asciiTheme="minorHAnsi" w:eastAsiaTheme="minorHAnsi" w:hAnsiTheme="minorHAnsi" w:cstheme="minorBidi"/>
          <w:snapToGrid/>
          <w:sz w:val="24"/>
          <w:szCs w:val="22"/>
        </w:rPr>
        <w:t>lenvatinib</w:t>
      </w:r>
      <w:proofErr w:type="spellEnd"/>
      <w:r w:rsidR="00FA66C2">
        <w:rPr>
          <w:rFonts w:asciiTheme="minorHAnsi" w:eastAsiaTheme="minorHAnsi" w:hAnsiTheme="minorHAnsi" w:cstheme="minorBidi"/>
          <w:snapToGrid/>
          <w:sz w:val="24"/>
          <w:szCs w:val="22"/>
        </w:rPr>
        <w:t>/</w:t>
      </w:r>
      <w:proofErr w:type="spellStart"/>
      <w:r w:rsidR="00FA66C2">
        <w:rPr>
          <w:rFonts w:asciiTheme="minorHAnsi" w:eastAsiaTheme="minorHAnsi" w:hAnsiTheme="minorHAnsi" w:cstheme="minorBidi"/>
          <w:snapToGrid/>
          <w:sz w:val="24"/>
          <w:szCs w:val="22"/>
        </w:rPr>
        <w:t>everolimus</w:t>
      </w:r>
      <w:proofErr w:type="spellEnd"/>
      <w:r w:rsidR="00FA66C2">
        <w:rPr>
          <w:rFonts w:asciiTheme="minorHAnsi" w:eastAsiaTheme="minorHAnsi" w:hAnsiTheme="minorHAnsi" w:cstheme="minorBidi"/>
          <w:snapToGrid/>
          <w:sz w:val="24"/>
          <w:szCs w:val="22"/>
        </w:rPr>
        <w:t xml:space="preserve"> dominated </w:t>
      </w:r>
      <w:proofErr w:type="spellStart"/>
      <w:r w:rsidR="00FA66C2">
        <w:rPr>
          <w:rFonts w:asciiTheme="minorHAnsi" w:eastAsiaTheme="minorHAnsi" w:hAnsiTheme="minorHAnsi" w:cstheme="minorBidi"/>
          <w:snapToGrid/>
          <w:sz w:val="24"/>
          <w:szCs w:val="22"/>
        </w:rPr>
        <w:t>nivolumab</w:t>
      </w:r>
      <w:proofErr w:type="spellEnd"/>
      <w:r w:rsidR="00FA66C2">
        <w:rPr>
          <w:rFonts w:asciiTheme="minorHAnsi" w:eastAsiaTheme="minorHAnsi" w:hAnsiTheme="minorHAnsi" w:cstheme="minorBidi"/>
          <w:snapToGrid/>
          <w:sz w:val="24"/>
          <w:szCs w:val="22"/>
        </w:rPr>
        <w:t xml:space="preserve"> in terms of the costs and outcomes of therapy (when restricted to OS). The same a</w:t>
      </w:r>
      <w:r w:rsidR="00E568B1">
        <w:rPr>
          <w:rFonts w:asciiTheme="minorHAnsi" w:eastAsiaTheme="minorHAnsi" w:hAnsiTheme="minorHAnsi" w:cstheme="minorBidi"/>
          <w:snapToGrid/>
          <w:sz w:val="24"/>
          <w:szCs w:val="22"/>
        </w:rPr>
        <w:t>nalysis was included in the Pre-Sub-Committee Response</w:t>
      </w:r>
      <w:r w:rsidR="00FA66C2">
        <w:rPr>
          <w:rFonts w:asciiTheme="minorHAnsi" w:eastAsiaTheme="minorHAnsi" w:hAnsiTheme="minorHAnsi" w:cstheme="minorBidi"/>
          <w:snapToGrid/>
          <w:sz w:val="24"/>
          <w:szCs w:val="22"/>
        </w:rPr>
        <w:t xml:space="preserve"> and the pre-PBAC response for the major submission considered by PBAC in November 2017. </w:t>
      </w:r>
      <w:r w:rsidR="00D27C65">
        <w:rPr>
          <w:rFonts w:asciiTheme="minorHAnsi" w:eastAsiaTheme="minorHAnsi" w:hAnsiTheme="minorHAnsi" w:cstheme="minorBidi"/>
          <w:snapToGrid/>
          <w:sz w:val="24"/>
          <w:szCs w:val="22"/>
        </w:rPr>
        <w:t xml:space="preserve">The drug costs for </w:t>
      </w:r>
      <w:proofErr w:type="spellStart"/>
      <w:r w:rsidR="00D27C65">
        <w:rPr>
          <w:rFonts w:asciiTheme="minorHAnsi" w:eastAsiaTheme="minorHAnsi" w:hAnsiTheme="minorHAnsi" w:cstheme="minorBidi"/>
          <w:snapToGrid/>
          <w:sz w:val="24"/>
          <w:szCs w:val="22"/>
        </w:rPr>
        <w:t>lenvatinib</w:t>
      </w:r>
      <w:proofErr w:type="spellEnd"/>
      <w:r w:rsidR="00D27C65">
        <w:rPr>
          <w:rFonts w:asciiTheme="minorHAnsi" w:eastAsiaTheme="minorHAnsi" w:hAnsiTheme="minorHAnsi" w:cstheme="minorBidi"/>
          <w:snapToGrid/>
          <w:sz w:val="24"/>
          <w:szCs w:val="22"/>
        </w:rPr>
        <w:t xml:space="preserve"> are based on the effective AEMP with the costs for </w:t>
      </w:r>
      <w:proofErr w:type="spellStart"/>
      <w:r w:rsidR="00D27C65">
        <w:rPr>
          <w:rFonts w:asciiTheme="minorHAnsi" w:eastAsiaTheme="minorHAnsi" w:hAnsiTheme="minorHAnsi" w:cstheme="minorBidi"/>
          <w:snapToGrid/>
          <w:sz w:val="24"/>
          <w:szCs w:val="22"/>
        </w:rPr>
        <w:t>everolimus</w:t>
      </w:r>
      <w:proofErr w:type="spellEnd"/>
      <w:r w:rsidR="00D27C65">
        <w:rPr>
          <w:rFonts w:asciiTheme="minorHAnsi" w:eastAsiaTheme="minorHAnsi" w:hAnsiTheme="minorHAnsi" w:cstheme="minorBidi"/>
          <w:snapToGrid/>
          <w:sz w:val="24"/>
          <w:szCs w:val="22"/>
        </w:rPr>
        <w:t xml:space="preserve"> and </w:t>
      </w:r>
      <w:proofErr w:type="spellStart"/>
      <w:r w:rsidR="00D27C65">
        <w:rPr>
          <w:rFonts w:asciiTheme="minorHAnsi" w:eastAsiaTheme="minorHAnsi" w:hAnsiTheme="minorHAnsi" w:cstheme="minorBidi"/>
          <w:snapToGrid/>
          <w:sz w:val="24"/>
          <w:szCs w:val="22"/>
        </w:rPr>
        <w:t>nivolumab</w:t>
      </w:r>
      <w:proofErr w:type="spellEnd"/>
      <w:r w:rsidR="00D27C65">
        <w:rPr>
          <w:rFonts w:asciiTheme="minorHAnsi" w:eastAsiaTheme="minorHAnsi" w:hAnsiTheme="minorHAnsi" w:cstheme="minorBidi"/>
          <w:snapToGrid/>
          <w:sz w:val="24"/>
          <w:szCs w:val="22"/>
        </w:rPr>
        <w:t xml:space="preserve"> based on the published AEMP.</w:t>
      </w:r>
      <w:r w:rsidR="004F2945">
        <w:rPr>
          <w:rFonts w:asciiTheme="minorHAnsi" w:eastAsiaTheme="minorHAnsi" w:hAnsiTheme="minorHAnsi" w:cstheme="minorBidi"/>
          <w:snapToGrid/>
          <w:sz w:val="24"/>
          <w:szCs w:val="22"/>
        </w:rPr>
        <w:t xml:space="preserve"> Additional information on the adverse event cost inputs used in the brief analysis was provided in the resubmission. </w:t>
      </w:r>
      <w:r w:rsidR="00DC7206">
        <w:rPr>
          <w:rFonts w:asciiTheme="minorHAnsi" w:hAnsiTheme="minorHAnsi"/>
          <w:sz w:val="24"/>
          <w:szCs w:val="24"/>
        </w:rPr>
        <w:t xml:space="preserve">As a minor </w:t>
      </w:r>
      <w:r w:rsidR="003B7A4A">
        <w:rPr>
          <w:rFonts w:asciiTheme="minorHAnsi" w:hAnsiTheme="minorHAnsi"/>
          <w:sz w:val="24"/>
          <w:szCs w:val="24"/>
        </w:rPr>
        <w:t>re</w:t>
      </w:r>
      <w:r w:rsidR="00DC7206">
        <w:rPr>
          <w:rFonts w:asciiTheme="minorHAnsi" w:hAnsiTheme="minorHAnsi"/>
          <w:sz w:val="24"/>
          <w:szCs w:val="24"/>
        </w:rPr>
        <w:t xml:space="preserve">submission, the analysis of the costs and outcomes associated with </w:t>
      </w:r>
      <w:proofErr w:type="spellStart"/>
      <w:r w:rsidR="00DC7206">
        <w:rPr>
          <w:rFonts w:asciiTheme="minorHAnsi" w:hAnsiTheme="minorHAnsi"/>
          <w:sz w:val="24"/>
          <w:szCs w:val="24"/>
        </w:rPr>
        <w:t>lenvatinib</w:t>
      </w:r>
      <w:proofErr w:type="spellEnd"/>
      <w:r w:rsidR="00DC7206">
        <w:rPr>
          <w:rFonts w:asciiTheme="minorHAnsi" w:hAnsiTheme="minorHAnsi"/>
          <w:sz w:val="24"/>
          <w:szCs w:val="24"/>
        </w:rPr>
        <w:t>/</w:t>
      </w:r>
      <w:proofErr w:type="spellStart"/>
      <w:r w:rsidR="00DC7206">
        <w:rPr>
          <w:rFonts w:asciiTheme="minorHAnsi" w:hAnsiTheme="minorHAnsi"/>
          <w:sz w:val="24"/>
          <w:szCs w:val="24"/>
        </w:rPr>
        <w:t>everolimus</w:t>
      </w:r>
      <w:proofErr w:type="spellEnd"/>
      <w:r w:rsidR="00DC7206">
        <w:rPr>
          <w:rFonts w:asciiTheme="minorHAnsi" w:hAnsiTheme="minorHAnsi"/>
          <w:sz w:val="24"/>
          <w:szCs w:val="24"/>
        </w:rPr>
        <w:t xml:space="preserve"> compared with </w:t>
      </w:r>
      <w:proofErr w:type="spellStart"/>
      <w:r w:rsidR="00DC7206">
        <w:rPr>
          <w:rFonts w:asciiTheme="minorHAnsi" w:hAnsiTheme="minorHAnsi"/>
          <w:sz w:val="24"/>
          <w:szCs w:val="24"/>
        </w:rPr>
        <w:t>nivolumab</w:t>
      </w:r>
      <w:proofErr w:type="spellEnd"/>
      <w:r w:rsidR="00DC7206">
        <w:rPr>
          <w:rFonts w:asciiTheme="minorHAnsi" w:hAnsiTheme="minorHAnsi"/>
          <w:sz w:val="24"/>
          <w:szCs w:val="24"/>
        </w:rPr>
        <w:t xml:space="preserve"> presented in Table 8 was not evaluated.</w:t>
      </w:r>
    </w:p>
    <w:p w:rsidR="00DE523B" w:rsidRPr="00DE523B" w:rsidRDefault="00DE523B" w:rsidP="004109F4">
      <w:pPr>
        <w:pStyle w:val="PBACHeading1"/>
        <w:ind w:left="0" w:firstLine="0"/>
        <w:outlineLvl w:val="9"/>
        <w:rPr>
          <w:rFonts w:ascii="Arial Narrow" w:hAnsi="Arial Narrow" w:cs="Times New Roman"/>
          <w:iCs/>
          <w:snapToGrid/>
          <w:sz w:val="20"/>
          <w:szCs w:val="20"/>
          <w:lang w:eastAsia="en-AU"/>
        </w:rPr>
      </w:pPr>
      <w:bookmarkStart w:id="8" w:name="_Ref493329499"/>
      <w:r w:rsidRPr="00DE523B">
        <w:rPr>
          <w:rFonts w:ascii="Arial Narrow" w:hAnsi="Arial Narrow" w:cs="Times New Roman"/>
          <w:iCs/>
          <w:snapToGrid/>
          <w:sz w:val="20"/>
          <w:szCs w:val="20"/>
          <w:lang w:eastAsia="en-AU"/>
        </w:rPr>
        <w:t>Table</w:t>
      </w:r>
      <w:bookmarkEnd w:id="8"/>
      <w:r w:rsidR="003C714F">
        <w:rPr>
          <w:rFonts w:ascii="Arial Narrow" w:hAnsi="Arial Narrow" w:cs="Times New Roman"/>
          <w:iCs/>
          <w:snapToGrid/>
          <w:sz w:val="20"/>
          <w:szCs w:val="20"/>
          <w:lang w:eastAsia="en-AU"/>
        </w:rPr>
        <w:t xml:space="preserve"> </w:t>
      </w:r>
      <w:r w:rsidR="00DC7206">
        <w:rPr>
          <w:rFonts w:ascii="Arial Narrow" w:hAnsi="Arial Narrow" w:cs="Times New Roman"/>
          <w:iCs/>
          <w:snapToGrid/>
          <w:sz w:val="20"/>
          <w:szCs w:val="20"/>
          <w:lang w:eastAsia="en-AU"/>
        </w:rPr>
        <w:t>8</w:t>
      </w:r>
      <w:r w:rsidRPr="00DE523B">
        <w:rPr>
          <w:rFonts w:ascii="Arial Narrow" w:hAnsi="Arial Narrow" w:cs="Times New Roman"/>
          <w:iCs/>
          <w:snapToGrid/>
          <w:sz w:val="20"/>
          <w:szCs w:val="20"/>
          <w:lang w:eastAsia="en-AU"/>
        </w:rPr>
        <w:t>: Costs and outc</w:t>
      </w:r>
      <w:r w:rsidR="00D27C65">
        <w:rPr>
          <w:rFonts w:ascii="Arial Narrow" w:hAnsi="Arial Narrow" w:cs="Times New Roman"/>
          <w:iCs/>
          <w:snapToGrid/>
          <w:sz w:val="20"/>
          <w:szCs w:val="20"/>
          <w:lang w:eastAsia="en-AU"/>
        </w:rPr>
        <w:t xml:space="preserve">omes associated with </w:t>
      </w:r>
      <w:proofErr w:type="spellStart"/>
      <w:r w:rsidR="00D27C65">
        <w:rPr>
          <w:rFonts w:ascii="Arial Narrow" w:hAnsi="Arial Narrow" w:cs="Times New Roman"/>
          <w:iCs/>
          <w:snapToGrid/>
          <w:sz w:val="20"/>
          <w:szCs w:val="20"/>
          <w:lang w:eastAsia="en-AU"/>
        </w:rPr>
        <w:t>lenvatinib</w:t>
      </w:r>
      <w:proofErr w:type="spellEnd"/>
      <w:r w:rsidR="00D27C65">
        <w:rPr>
          <w:rFonts w:ascii="Arial Narrow" w:hAnsi="Arial Narrow" w:cs="Times New Roman"/>
          <w:iCs/>
          <w:snapToGrid/>
          <w:sz w:val="20"/>
          <w:szCs w:val="20"/>
          <w:lang w:eastAsia="en-AU"/>
        </w:rPr>
        <w:t>/</w:t>
      </w:r>
      <w:proofErr w:type="spellStart"/>
      <w:r w:rsidRPr="00DE523B">
        <w:rPr>
          <w:rFonts w:ascii="Arial Narrow" w:hAnsi="Arial Narrow" w:cs="Times New Roman"/>
          <w:iCs/>
          <w:snapToGrid/>
          <w:sz w:val="20"/>
          <w:szCs w:val="20"/>
          <w:lang w:eastAsia="en-AU"/>
        </w:rPr>
        <w:t>everolimus</w:t>
      </w:r>
      <w:proofErr w:type="spellEnd"/>
      <w:r w:rsidRPr="00DE523B">
        <w:rPr>
          <w:rFonts w:ascii="Arial Narrow" w:hAnsi="Arial Narrow" w:cs="Times New Roman"/>
          <w:iCs/>
          <w:snapToGrid/>
          <w:sz w:val="20"/>
          <w:szCs w:val="20"/>
          <w:lang w:eastAsia="en-AU"/>
        </w:rPr>
        <w:t xml:space="preserve"> compared with </w:t>
      </w:r>
      <w:proofErr w:type="spellStart"/>
      <w:r w:rsidRPr="00DE523B">
        <w:rPr>
          <w:rFonts w:ascii="Arial Narrow" w:hAnsi="Arial Narrow" w:cs="Times New Roman"/>
          <w:iCs/>
          <w:snapToGrid/>
          <w:sz w:val="20"/>
          <w:szCs w:val="20"/>
          <w:lang w:eastAsia="en-AU"/>
        </w:rPr>
        <w:t>nivolumab</w:t>
      </w:r>
      <w:proofErr w:type="spellEnd"/>
      <w:r w:rsidRPr="00DE523B">
        <w:rPr>
          <w:rFonts w:ascii="Arial Narrow" w:hAnsi="Arial Narrow" w:cs="Times New Roman"/>
          <w:iCs/>
          <w:snapToGrid/>
          <w:sz w:val="20"/>
          <w:szCs w:val="20"/>
          <w:lang w:eastAsia="en-AU"/>
        </w:rPr>
        <w:tab/>
      </w:r>
    </w:p>
    <w:tbl>
      <w:tblPr>
        <w:tblStyle w:val="TableGrid"/>
        <w:tblW w:w="9060" w:type="dxa"/>
        <w:tblLayout w:type="fixed"/>
        <w:tblLook w:val="04A0" w:firstRow="1" w:lastRow="0" w:firstColumn="1" w:lastColumn="0" w:noHBand="0" w:noVBand="1"/>
        <w:tblCaption w:val="Table 8: Costs and outcomes associated with lenvatinib/everolimus compared with nivolumab "/>
      </w:tblPr>
      <w:tblGrid>
        <w:gridCol w:w="1271"/>
        <w:gridCol w:w="1127"/>
        <w:gridCol w:w="1127"/>
        <w:gridCol w:w="1127"/>
        <w:gridCol w:w="1127"/>
        <w:gridCol w:w="1127"/>
        <w:gridCol w:w="1027"/>
        <w:gridCol w:w="1127"/>
      </w:tblGrid>
      <w:tr w:rsidR="00DE523B" w:rsidRPr="00DE523B" w:rsidTr="005055DA">
        <w:trPr>
          <w:trHeight w:val="600"/>
          <w:tblHeader/>
        </w:trPr>
        <w:tc>
          <w:tcPr>
            <w:tcW w:w="1271" w:type="dxa"/>
            <w:shd w:val="clear" w:color="auto" w:fill="FFFFFF" w:themeFill="background1"/>
            <w:noWrap/>
            <w:hideMark/>
          </w:tcPr>
          <w:p w:rsidR="00DE523B" w:rsidRPr="00DE523B" w:rsidRDefault="00DE523B" w:rsidP="004F2945">
            <w:pPr>
              <w:pStyle w:val="Tabletextcentred"/>
            </w:pPr>
            <w:r w:rsidRPr="00DE523B">
              <w:t> </w:t>
            </w:r>
          </w:p>
        </w:tc>
        <w:tc>
          <w:tcPr>
            <w:tcW w:w="1127" w:type="dxa"/>
            <w:shd w:val="clear" w:color="auto" w:fill="FFFFFF" w:themeFill="background1"/>
            <w:hideMark/>
          </w:tcPr>
          <w:p w:rsidR="00DE523B" w:rsidRPr="004F2945" w:rsidRDefault="00DE523B" w:rsidP="004F2945">
            <w:pPr>
              <w:pStyle w:val="Tabletextcentred"/>
              <w:rPr>
                <w:b/>
                <w:vertAlign w:val="superscript"/>
              </w:rPr>
            </w:pPr>
            <w:r w:rsidRPr="004F2945">
              <w:rPr>
                <w:b/>
              </w:rPr>
              <w:t xml:space="preserve">Drug </w:t>
            </w:r>
            <w:proofErr w:type="spellStart"/>
            <w:r w:rsidRPr="004F2945">
              <w:rPr>
                <w:b/>
              </w:rPr>
              <w:t>costs</w:t>
            </w:r>
            <w:r w:rsidRPr="004F2945">
              <w:rPr>
                <w:b/>
                <w:vertAlign w:val="superscript"/>
              </w:rPr>
              <w:t>a</w:t>
            </w:r>
            <w:proofErr w:type="spellEnd"/>
          </w:p>
        </w:tc>
        <w:tc>
          <w:tcPr>
            <w:tcW w:w="1127" w:type="dxa"/>
            <w:shd w:val="clear" w:color="auto" w:fill="FFFFFF" w:themeFill="background1"/>
            <w:hideMark/>
          </w:tcPr>
          <w:p w:rsidR="00DE523B" w:rsidRPr="004F2945" w:rsidRDefault="00DE523B" w:rsidP="004F2945">
            <w:pPr>
              <w:pStyle w:val="Tabletextcentred"/>
              <w:rPr>
                <w:b/>
                <w:vertAlign w:val="superscript"/>
              </w:rPr>
            </w:pPr>
            <w:r w:rsidRPr="004F2945">
              <w:rPr>
                <w:b/>
              </w:rPr>
              <w:t xml:space="preserve">Adverse event </w:t>
            </w:r>
            <w:proofErr w:type="spellStart"/>
            <w:r w:rsidRPr="004F2945">
              <w:rPr>
                <w:b/>
              </w:rPr>
              <w:t>costs</w:t>
            </w:r>
            <w:r w:rsidRPr="004F2945">
              <w:rPr>
                <w:b/>
                <w:vertAlign w:val="superscript"/>
              </w:rPr>
              <w:t>b</w:t>
            </w:r>
            <w:proofErr w:type="spellEnd"/>
          </w:p>
        </w:tc>
        <w:tc>
          <w:tcPr>
            <w:tcW w:w="1127" w:type="dxa"/>
            <w:shd w:val="clear" w:color="auto" w:fill="FFFFFF" w:themeFill="background1"/>
            <w:hideMark/>
          </w:tcPr>
          <w:p w:rsidR="00DE523B" w:rsidRPr="004F2945" w:rsidRDefault="00DE523B" w:rsidP="004F2945">
            <w:pPr>
              <w:pStyle w:val="Tabletextcentred"/>
              <w:rPr>
                <w:b/>
              </w:rPr>
            </w:pPr>
            <w:r w:rsidRPr="004F2945">
              <w:rPr>
                <w:b/>
              </w:rPr>
              <w:t>Overall cost</w:t>
            </w:r>
          </w:p>
        </w:tc>
        <w:tc>
          <w:tcPr>
            <w:tcW w:w="1127" w:type="dxa"/>
            <w:shd w:val="clear" w:color="auto" w:fill="FFFFFF" w:themeFill="background1"/>
            <w:hideMark/>
          </w:tcPr>
          <w:p w:rsidR="00DE523B" w:rsidRPr="004F2945" w:rsidRDefault="00DE523B" w:rsidP="004F2945">
            <w:pPr>
              <w:pStyle w:val="Tabletextcentred"/>
              <w:rPr>
                <w:b/>
              </w:rPr>
            </w:pPr>
            <w:r w:rsidRPr="004F2945">
              <w:rPr>
                <w:b/>
              </w:rPr>
              <w:t>Median PFS</w:t>
            </w:r>
          </w:p>
        </w:tc>
        <w:tc>
          <w:tcPr>
            <w:tcW w:w="1127" w:type="dxa"/>
            <w:shd w:val="clear" w:color="auto" w:fill="FFFFFF" w:themeFill="background1"/>
            <w:hideMark/>
          </w:tcPr>
          <w:p w:rsidR="00DE523B" w:rsidRPr="004F2945" w:rsidRDefault="00DE523B" w:rsidP="004F2945">
            <w:pPr>
              <w:pStyle w:val="Tabletextcentred"/>
              <w:rPr>
                <w:b/>
              </w:rPr>
            </w:pPr>
            <w:r w:rsidRPr="004F2945">
              <w:rPr>
                <w:b/>
              </w:rPr>
              <w:t>Cost/month of PFS</w:t>
            </w:r>
          </w:p>
        </w:tc>
        <w:tc>
          <w:tcPr>
            <w:tcW w:w="1027" w:type="dxa"/>
            <w:shd w:val="clear" w:color="auto" w:fill="FFFFFF" w:themeFill="background1"/>
            <w:hideMark/>
          </w:tcPr>
          <w:p w:rsidR="00DE523B" w:rsidRPr="004F2945" w:rsidRDefault="00DE523B" w:rsidP="004F2945">
            <w:pPr>
              <w:pStyle w:val="Tabletextcentred"/>
              <w:rPr>
                <w:b/>
              </w:rPr>
            </w:pPr>
            <w:r w:rsidRPr="004F2945">
              <w:rPr>
                <w:b/>
              </w:rPr>
              <w:t>Median OS</w:t>
            </w:r>
          </w:p>
        </w:tc>
        <w:tc>
          <w:tcPr>
            <w:tcW w:w="1127" w:type="dxa"/>
            <w:shd w:val="clear" w:color="auto" w:fill="FFFFFF" w:themeFill="background1"/>
            <w:hideMark/>
          </w:tcPr>
          <w:p w:rsidR="00DE523B" w:rsidRPr="004F2945" w:rsidRDefault="00DE523B" w:rsidP="004F2945">
            <w:pPr>
              <w:pStyle w:val="Tabletextcentred"/>
              <w:rPr>
                <w:b/>
              </w:rPr>
            </w:pPr>
            <w:r w:rsidRPr="004F2945">
              <w:rPr>
                <w:b/>
              </w:rPr>
              <w:t>Cost/month of OS</w:t>
            </w:r>
          </w:p>
        </w:tc>
      </w:tr>
      <w:tr w:rsidR="00DE523B" w:rsidRPr="00DE523B" w:rsidTr="00AA07CB">
        <w:trPr>
          <w:trHeight w:val="300"/>
        </w:trPr>
        <w:tc>
          <w:tcPr>
            <w:tcW w:w="1271" w:type="dxa"/>
            <w:noWrap/>
            <w:hideMark/>
          </w:tcPr>
          <w:p w:rsidR="00DE523B" w:rsidRPr="00DE523B" w:rsidRDefault="00DE523B" w:rsidP="004F2945">
            <w:pPr>
              <w:pStyle w:val="Tabletextcentred"/>
            </w:pPr>
            <w:proofErr w:type="spellStart"/>
            <w:r w:rsidRPr="00DE523B">
              <w:t>Lenvatinib</w:t>
            </w:r>
            <w:proofErr w:type="spellEnd"/>
            <w:r w:rsidRPr="00DE523B">
              <w:t xml:space="preserve">+ </w:t>
            </w:r>
            <w:proofErr w:type="spellStart"/>
            <w:r w:rsidRPr="00DE523B">
              <w:t>everolimus</w:t>
            </w:r>
            <w:proofErr w:type="spellEnd"/>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7568" w:rsidRDefault="00DE7568" w:rsidP="004F2945">
            <w:pPr>
              <w:pStyle w:val="Tabletextcentred"/>
              <w:rPr>
                <w:highlight w:val="black"/>
              </w:rPr>
            </w:pPr>
            <w:r>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027" w:type="dxa"/>
            <w:noWrap/>
            <w:hideMark/>
          </w:tcPr>
          <w:p w:rsidR="00DE523B" w:rsidRPr="00DE7568" w:rsidRDefault="00DE7568" w:rsidP="004F2945">
            <w:pPr>
              <w:pStyle w:val="Tabletextcentred"/>
              <w:rPr>
                <w:highlight w:val="black"/>
              </w:rPr>
            </w:pPr>
            <w:r>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r>
      <w:tr w:rsidR="00DE523B" w:rsidRPr="00DE523B" w:rsidTr="00AA07CB">
        <w:trPr>
          <w:trHeight w:val="315"/>
        </w:trPr>
        <w:tc>
          <w:tcPr>
            <w:tcW w:w="1271" w:type="dxa"/>
            <w:noWrap/>
            <w:hideMark/>
          </w:tcPr>
          <w:p w:rsidR="00DE523B" w:rsidRPr="00DE523B" w:rsidRDefault="00DE523B" w:rsidP="004F2945">
            <w:pPr>
              <w:pStyle w:val="Tabletextcentred"/>
            </w:pPr>
            <w:proofErr w:type="spellStart"/>
            <w:r w:rsidRPr="00DE523B">
              <w:t>Nivolumab</w:t>
            </w:r>
            <w:proofErr w:type="spellEnd"/>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7568" w:rsidRDefault="00DE7568" w:rsidP="004F2945">
            <w:pPr>
              <w:pStyle w:val="Tabletextcentred"/>
              <w:rPr>
                <w:highlight w:val="black"/>
              </w:rPr>
            </w:pPr>
            <w:r>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027" w:type="dxa"/>
            <w:noWrap/>
            <w:hideMark/>
          </w:tcPr>
          <w:p w:rsidR="00DE523B" w:rsidRPr="00DE7568" w:rsidRDefault="00DE7568" w:rsidP="004F2945">
            <w:pPr>
              <w:pStyle w:val="Tabletextcentred"/>
              <w:rPr>
                <w:highlight w:val="black"/>
              </w:rPr>
            </w:pPr>
            <w:r>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r>
      <w:tr w:rsidR="00DE523B" w:rsidRPr="00DE523B" w:rsidTr="00AA07CB">
        <w:trPr>
          <w:trHeight w:val="300"/>
        </w:trPr>
        <w:tc>
          <w:tcPr>
            <w:tcW w:w="1271" w:type="dxa"/>
            <w:noWrap/>
            <w:hideMark/>
          </w:tcPr>
          <w:p w:rsidR="00DE523B" w:rsidRPr="00DE523B" w:rsidRDefault="00DE523B" w:rsidP="004F2945">
            <w:pPr>
              <w:pStyle w:val="Tabletextcentred"/>
            </w:pPr>
            <w:r w:rsidRPr="00DE523B">
              <w:t>Increment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127" w:type="dxa"/>
            <w:noWrap/>
            <w:hideMark/>
          </w:tcPr>
          <w:p w:rsidR="00DE523B" w:rsidRPr="00DE7568" w:rsidRDefault="00DE7568" w:rsidP="004F2945">
            <w:pPr>
              <w:pStyle w:val="Tabletextcentred"/>
              <w:rPr>
                <w:highlight w:val="black"/>
              </w:rPr>
            </w:pPr>
            <w:r>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c>
          <w:tcPr>
            <w:tcW w:w="1027" w:type="dxa"/>
            <w:noWrap/>
            <w:hideMark/>
          </w:tcPr>
          <w:p w:rsidR="00DE523B" w:rsidRPr="00DE7568" w:rsidRDefault="00DE7568" w:rsidP="004F2945">
            <w:pPr>
              <w:pStyle w:val="Tabletextcentred"/>
              <w:rPr>
                <w:highlight w:val="black"/>
              </w:rPr>
            </w:pPr>
            <w:r>
              <w:rPr>
                <w:noProof/>
                <w:color w:val="000000"/>
                <w:highlight w:val="black"/>
              </w:rPr>
              <w:t>''''''''</w:t>
            </w:r>
          </w:p>
        </w:tc>
        <w:tc>
          <w:tcPr>
            <w:tcW w:w="1127" w:type="dxa"/>
            <w:noWrap/>
            <w:hideMark/>
          </w:tcPr>
          <w:p w:rsidR="00DE523B" w:rsidRPr="00DE523B" w:rsidRDefault="00DE523B" w:rsidP="004F2945">
            <w:pPr>
              <w:pStyle w:val="Tabletextcentred"/>
            </w:pPr>
            <w:r w:rsidRPr="00DE523B">
              <w:t>-$</w:t>
            </w:r>
            <w:r w:rsidR="00DE7568">
              <w:rPr>
                <w:noProof/>
                <w:color w:val="000000"/>
                <w:highlight w:val="black"/>
              </w:rPr>
              <w:t>'''''''''</w:t>
            </w:r>
          </w:p>
        </w:tc>
      </w:tr>
    </w:tbl>
    <w:p w:rsidR="00DE523B" w:rsidRPr="000E1BD8" w:rsidRDefault="00DE523B" w:rsidP="00DE523B">
      <w:pPr>
        <w:pStyle w:val="TableFooter"/>
      </w:pPr>
      <w:proofErr w:type="gramStart"/>
      <w:r w:rsidRPr="000E1BD8">
        <w:t>a</w:t>
      </w:r>
      <w:proofErr w:type="gramEnd"/>
      <w:r w:rsidRPr="000E1BD8">
        <w:t xml:space="preserve">: Drug costs based on </w:t>
      </w:r>
      <w:r w:rsidR="0060337A">
        <w:t xml:space="preserve">the effective </w:t>
      </w:r>
      <w:r w:rsidRPr="000E1BD8">
        <w:t>AEMP</w:t>
      </w:r>
      <w:r w:rsidR="0060337A">
        <w:t xml:space="preserve"> for </w:t>
      </w:r>
      <w:proofErr w:type="spellStart"/>
      <w:r w:rsidR="0060337A">
        <w:t>lenvatinib</w:t>
      </w:r>
      <w:proofErr w:type="spellEnd"/>
      <w:r w:rsidR="0060337A">
        <w:t xml:space="preserve"> and the published AEMP for </w:t>
      </w:r>
      <w:proofErr w:type="spellStart"/>
      <w:r w:rsidR="0060337A">
        <w:t>everolimus</w:t>
      </w:r>
      <w:proofErr w:type="spellEnd"/>
      <w:r w:rsidR="0060337A">
        <w:t xml:space="preserve"> and </w:t>
      </w:r>
      <w:proofErr w:type="spellStart"/>
      <w:r w:rsidR="0060337A">
        <w:t>nivolumab</w:t>
      </w:r>
      <w:proofErr w:type="spellEnd"/>
    </w:p>
    <w:p w:rsidR="00FA66C2" w:rsidRPr="00D27C65" w:rsidRDefault="00DE523B" w:rsidP="00D27C65">
      <w:pPr>
        <w:pStyle w:val="TableFooter"/>
      </w:pPr>
      <w:proofErr w:type="gramStart"/>
      <w:r w:rsidRPr="000E1BD8">
        <w:t>b</w:t>
      </w:r>
      <w:proofErr w:type="gramEnd"/>
      <w:r w:rsidRPr="000E1BD8">
        <w:t>: As reported in the economic e</w:t>
      </w:r>
      <w:r w:rsidR="00377A91">
        <w:t xml:space="preserve">valuation presented in the November 2017 </w:t>
      </w:r>
      <w:r w:rsidRPr="000E1BD8">
        <w:t>submission</w:t>
      </w:r>
    </w:p>
    <w:p w:rsidR="00DC7206" w:rsidRDefault="009E6031">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pre-PBAC </w:t>
      </w:r>
      <w:proofErr w:type="gramStart"/>
      <w:r>
        <w:rPr>
          <w:rFonts w:asciiTheme="minorHAnsi" w:hAnsiTheme="minorHAnsi"/>
          <w:sz w:val="24"/>
          <w:szCs w:val="24"/>
        </w:rPr>
        <w:t>response  proposed</w:t>
      </w:r>
      <w:proofErr w:type="gramEnd"/>
      <w:r>
        <w:rPr>
          <w:rFonts w:asciiTheme="minorHAnsi" w:hAnsiTheme="minorHAnsi"/>
          <w:sz w:val="24"/>
          <w:szCs w:val="24"/>
        </w:rPr>
        <w:t xml:space="preserve"> listing </w:t>
      </w:r>
      <w:proofErr w:type="spellStart"/>
      <w:r>
        <w:rPr>
          <w:rFonts w:asciiTheme="minorHAnsi" w:hAnsiTheme="minorHAnsi"/>
          <w:sz w:val="24"/>
          <w:szCs w:val="24"/>
        </w:rPr>
        <w:t>lenvatinib</w:t>
      </w:r>
      <w:proofErr w:type="spellEnd"/>
      <w:r>
        <w:rPr>
          <w:rFonts w:asciiTheme="minorHAnsi" w:hAnsiTheme="minorHAnsi"/>
          <w:sz w:val="24"/>
          <w:szCs w:val="24"/>
        </w:rPr>
        <w:t>/</w:t>
      </w:r>
      <w:proofErr w:type="spellStart"/>
      <w:r>
        <w:rPr>
          <w:rFonts w:asciiTheme="minorHAnsi" w:hAnsiTheme="minorHAnsi"/>
          <w:sz w:val="24"/>
          <w:szCs w:val="24"/>
        </w:rPr>
        <w:t>everolimus</w:t>
      </w:r>
      <w:proofErr w:type="spellEnd"/>
      <w:r>
        <w:rPr>
          <w:rFonts w:asciiTheme="minorHAnsi" w:hAnsiTheme="minorHAnsi"/>
          <w:sz w:val="24"/>
          <w:szCs w:val="24"/>
        </w:rPr>
        <w:t xml:space="preserve"> on the PBS on a cost-minimisation basis to </w:t>
      </w:r>
      <w:proofErr w:type="spellStart"/>
      <w:r>
        <w:rPr>
          <w:rFonts w:asciiTheme="minorHAnsi" w:hAnsiTheme="minorHAnsi"/>
          <w:sz w:val="24"/>
          <w:szCs w:val="24"/>
        </w:rPr>
        <w:t>cabozantinib</w:t>
      </w:r>
      <w:proofErr w:type="spellEnd"/>
      <w:r>
        <w:rPr>
          <w:rFonts w:asciiTheme="minorHAnsi" w:hAnsiTheme="minorHAnsi"/>
          <w:sz w:val="24"/>
          <w:szCs w:val="24"/>
        </w:rPr>
        <w:t xml:space="preserve">. The pre-PBAC response </w:t>
      </w:r>
      <w:r w:rsidR="008C7C61">
        <w:rPr>
          <w:rFonts w:asciiTheme="minorHAnsi" w:hAnsiTheme="minorHAnsi"/>
          <w:sz w:val="24"/>
          <w:szCs w:val="24"/>
        </w:rPr>
        <w:t>suggested</w:t>
      </w:r>
      <w:r>
        <w:rPr>
          <w:rFonts w:asciiTheme="minorHAnsi" w:hAnsiTheme="minorHAnsi"/>
          <w:sz w:val="24"/>
          <w:szCs w:val="24"/>
        </w:rPr>
        <w:t xml:space="preserve"> </w:t>
      </w:r>
      <w:r w:rsidR="008C7C61">
        <w:rPr>
          <w:rFonts w:asciiTheme="minorHAnsi" w:hAnsiTheme="minorHAnsi"/>
          <w:sz w:val="24"/>
          <w:szCs w:val="24"/>
        </w:rPr>
        <w:t>this wa</w:t>
      </w:r>
      <w:r w:rsidR="00D84BEC">
        <w:rPr>
          <w:rFonts w:asciiTheme="minorHAnsi" w:hAnsiTheme="minorHAnsi"/>
          <w:sz w:val="24"/>
          <w:szCs w:val="24"/>
        </w:rPr>
        <w:t xml:space="preserve">s reasonable as </w:t>
      </w:r>
      <w:r>
        <w:rPr>
          <w:rFonts w:asciiTheme="minorHAnsi" w:hAnsiTheme="minorHAnsi"/>
          <w:sz w:val="24"/>
          <w:szCs w:val="24"/>
        </w:rPr>
        <w:t xml:space="preserve">anticipated use is in a similar patient population to </w:t>
      </w:r>
      <w:proofErr w:type="spellStart"/>
      <w:r>
        <w:rPr>
          <w:rFonts w:asciiTheme="minorHAnsi" w:hAnsiTheme="minorHAnsi"/>
          <w:sz w:val="24"/>
          <w:szCs w:val="24"/>
        </w:rPr>
        <w:t>cabozantinib</w:t>
      </w:r>
      <w:proofErr w:type="spellEnd"/>
      <w:r>
        <w:rPr>
          <w:rFonts w:asciiTheme="minorHAnsi" w:hAnsiTheme="minorHAnsi"/>
          <w:sz w:val="24"/>
          <w:szCs w:val="24"/>
        </w:rPr>
        <w:t xml:space="preserve"> and </w:t>
      </w:r>
      <w:proofErr w:type="spellStart"/>
      <w:r>
        <w:rPr>
          <w:rFonts w:asciiTheme="minorHAnsi" w:hAnsiTheme="minorHAnsi"/>
          <w:sz w:val="24"/>
          <w:szCs w:val="24"/>
        </w:rPr>
        <w:lastRenderedPageBreak/>
        <w:t>lenvatinib</w:t>
      </w:r>
      <w:proofErr w:type="spellEnd"/>
      <w:r>
        <w:rPr>
          <w:rFonts w:asciiTheme="minorHAnsi" w:hAnsiTheme="minorHAnsi"/>
          <w:sz w:val="24"/>
          <w:szCs w:val="24"/>
        </w:rPr>
        <w:t>/</w:t>
      </w:r>
      <w:proofErr w:type="spellStart"/>
      <w:r>
        <w:rPr>
          <w:rFonts w:asciiTheme="minorHAnsi" w:hAnsiTheme="minorHAnsi"/>
          <w:sz w:val="24"/>
          <w:szCs w:val="24"/>
        </w:rPr>
        <w:t>everolimus</w:t>
      </w:r>
      <w:proofErr w:type="spellEnd"/>
      <w:r>
        <w:rPr>
          <w:rFonts w:asciiTheme="minorHAnsi" w:hAnsiTheme="minorHAnsi"/>
          <w:sz w:val="24"/>
          <w:szCs w:val="24"/>
        </w:rPr>
        <w:t xml:space="preserve"> is </w:t>
      </w:r>
      <w:r w:rsidR="00E2750A">
        <w:rPr>
          <w:rFonts w:asciiTheme="minorHAnsi" w:hAnsiTheme="minorHAnsi"/>
          <w:sz w:val="24"/>
          <w:szCs w:val="24"/>
        </w:rPr>
        <w:t xml:space="preserve">statistically </w:t>
      </w:r>
      <w:r w:rsidR="00D84BEC">
        <w:rPr>
          <w:rFonts w:asciiTheme="minorHAnsi" w:hAnsiTheme="minorHAnsi"/>
          <w:sz w:val="24"/>
          <w:szCs w:val="24"/>
        </w:rPr>
        <w:t>non-</w:t>
      </w:r>
      <w:r>
        <w:rPr>
          <w:rFonts w:asciiTheme="minorHAnsi" w:hAnsiTheme="minorHAnsi"/>
          <w:sz w:val="24"/>
          <w:szCs w:val="24"/>
        </w:rPr>
        <w:t xml:space="preserve">inferior </w:t>
      </w:r>
      <w:r w:rsidR="00D1592A">
        <w:rPr>
          <w:rFonts w:asciiTheme="minorHAnsi" w:hAnsiTheme="minorHAnsi"/>
          <w:sz w:val="24"/>
          <w:szCs w:val="24"/>
        </w:rPr>
        <w:t xml:space="preserve">to </w:t>
      </w:r>
      <w:proofErr w:type="spellStart"/>
      <w:r w:rsidR="00D1592A">
        <w:rPr>
          <w:rFonts w:asciiTheme="minorHAnsi" w:hAnsiTheme="minorHAnsi"/>
          <w:sz w:val="24"/>
          <w:szCs w:val="24"/>
        </w:rPr>
        <w:t>cabozantinib</w:t>
      </w:r>
      <w:proofErr w:type="spellEnd"/>
      <w:r w:rsidR="00D1592A">
        <w:rPr>
          <w:rFonts w:asciiTheme="minorHAnsi" w:hAnsiTheme="minorHAnsi"/>
          <w:sz w:val="24"/>
          <w:szCs w:val="24"/>
        </w:rPr>
        <w:t xml:space="preserve"> </w:t>
      </w:r>
      <w:r w:rsidR="00D84BEC">
        <w:rPr>
          <w:rFonts w:asciiTheme="minorHAnsi" w:hAnsiTheme="minorHAnsi"/>
          <w:sz w:val="24"/>
          <w:szCs w:val="24"/>
        </w:rPr>
        <w:t xml:space="preserve">with regards to PFS, OS and safety. </w:t>
      </w:r>
    </w:p>
    <w:p w:rsidR="00C93080" w:rsidRDefault="008C7C61">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pre-PBAC response </w:t>
      </w:r>
      <w:r w:rsidR="00DC7206">
        <w:rPr>
          <w:rFonts w:asciiTheme="minorHAnsi" w:hAnsiTheme="minorHAnsi"/>
          <w:sz w:val="24"/>
          <w:szCs w:val="24"/>
        </w:rPr>
        <w:t xml:space="preserve">noted that the </w:t>
      </w:r>
      <w:r w:rsidR="00074B99">
        <w:rPr>
          <w:rFonts w:asciiTheme="minorHAnsi" w:hAnsiTheme="minorHAnsi"/>
          <w:sz w:val="24"/>
          <w:szCs w:val="24"/>
        </w:rPr>
        <w:t xml:space="preserve">price of </w:t>
      </w:r>
      <w:proofErr w:type="spellStart"/>
      <w:r w:rsidR="00074B99">
        <w:rPr>
          <w:rFonts w:asciiTheme="minorHAnsi" w:hAnsiTheme="minorHAnsi"/>
          <w:sz w:val="24"/>
          <w:szCs w:val="24"/>
        </w:rPr>
        <w:t>cabozantinib</w:t>
      </w:r>
      <w:proofErr w:type="spellEnd"/>
      <w:r w:rsidR="00074B99">
        <w:rPr>
          <w:rFonts w:asciiTheme="minorHAnsi" w:hAnsiTheme="minorHAnsi"/>
          <w:sz w:val="24"/>
          <w:szCs w:val="24"/>
        </w:rPr>
        <w:t xml:space="preserve"> had not been published at the time of preparing the response and </w:t>
      </w:r>
      <w:r>
        <w:rPr>
          <w:rFonts w:asciiTheme="minorHAnsi" w:hAnsiTheme="minorHAnsi"/>
          <w:sz w:val="24"/>
          <w:szCs w:val="24"/>
        </w:rPr>
        <w:t xml:space="preserve">proposed that the cost per patient per course of treatment with </w:t>
      </w:r>
      <w:proofErr w:type="spellStart"/>
      <w:r>
        <w:rPr>
          <w:rFonts w:asciiTheme="minorHAnsi" w:hAnsiTheme="minorHAnsi"/>
          <w:sz w:val="24"/>
          <w:szCs w:val="24"/>
        </w:rPr>
        <w:t>lenvatinib</w:t>
      </w:r>
      <w:proofErr w:type="spellEnd"/>
      <w:r>
        <w:rPr>
          <w:rFonts w:asciiTheme="minorHAnsi" w:hAnsiTheme="minorHAnsi"/>
          <w:sz w:val="24"/>
          <w:szCs w:val="24"/>
        </w:rPr>
        <w:t>/</w:t>
      </w:r>
      <w:proofErr w:type="spellStart"/>
      <w:r>
        <w:rPr>
          <w:rFonts w:asciiTheme="minorHAnsi" w:hAnsiTheme="minorHAnsi"/>
          <w:sz w:val="24"/>
          <w:szCs w:val="24"/>
        </w:rPr>
        <w:t>everolimus</w:t>
      </w:r>
      <w:proofErr w:type="spellEnd"/>
      <w:r>
        <w:rPr>
          <w:rFonts w:asciiTheme="minorHAnsi" w:hAnsiTheme="minorHAnsi"/>
          <w:sz w:val="24"/>
          <w:szCs w:val="24"/>
        </w:rPr>
        <w:t xml:space="preserve"> would not be greater than </w:t>
      </w:r>
      <w:proofErr w:type="spellStart"/>
      <w:r>
        <w:rPr>
          <w:rFonts w:asciiTheme="minorHAnsi" w:hAnsiTheme="minorHAnsi"/>
          <w:sz w:val="24"/>
          <w:szCs w:val="24"/>
        </w:rPr>
        <w:t>cabozantinib</w:t>
      </w:r>
      <w:proofErr w:type="spellEnd"/>
      <w:r>
        <w:rPr>
          <w:rFonts w:asciiTheme="minorHAnsi" w:hAnsiTheme="minorHAnsi"/>
          <w:sz w:val="24"/>
          <w:szCs w:val="24"/>
        </w:rPr>
        <w:t xml:space="preserve"> bas</w:t>
      </w:r>
      <w:r w:rsidR="00074B99">
        <w:rPr>
          <w:rFonts w:asciiTheme="minorHAnsi" w:hAnsiTheme="minorHAnsi"/>
          <w:sz w:val="24"/>
          <w:szCs w:val="24"/>
        </w:rPr>
        <w:t xml:space="preserve">ed on </w:t>
      </w:r>
      <w:proofErr w:type="spellStart"/>
      <w:r w:rsidR="00074B99">
        <w:rPr>
          <w:rFonts w:asciiTheme="minorHAnsi" w:hAnsiTheme="minorHAnsi"/>
          <w:sz w:val="24"/>
          <w:szCs w:val="24"/>
        </w:rPr>
        <w:t>equi</w:t>
      </w:r>
      <w:proofErr w:type="spellEnd"/>
      <w:r w:rsidR="00074B99">
        <w:rPr>
          <w:rFonts w:asciiTheme="minorHAnsi" w:hAnsiTheme="minorHAnsi"/>
          <w:sz w:val="24"/>
          <w:szCs w:val="24"/>
        </w:rPr>
        <w:t xml:space="preserve">-effective dosing. The pre-PBAC </w:t>
      </w:r>
      <w:proofErr w:type="gramStart"/>
      <w:r w:rsidR="00074B99">
        <w:rPr>
          <w:rFonts w:asciiTheme="minorHAnsi" w:hAnsiTheme="minorHAnsi"/>
          <w:sz w:val="24"/>
          <w:szCs w:val="24"/>
        </w:rPr>
        <w:t>response  estimated</w:t>
      </w:r>
      <w:proofErr w:type="gramEnd"/>
      <w:r w:rsidR="00074B99">
        <w:rPr>
          <w:rFonts w:asciiTheme="minorHAnsi" w:hAnsiTheme="minorHAnsi"/>
          <w:sz w:val="24"/>
          <w:szCs w:val="24"/>
        </w:rPr>
        <w:t xml:space="preserve"> the </w:t>
      </w:r>
      <w:proofErr w:type="spellStart"/>
      <w:r w:rsidR="00074B99">
        <w:rPr>
          <w:rFonts w:asciiTheme="minorHAnsi" w:hAnsiTheme="minorHAnsi"/>
          <w:sz w:val="24"/>
          <w:szCs w:val="24"/>
        </w:rPr>
        <w:t>equi</w:t>
      </w:r>
      <w:proofErr w:type="spellEnd"/>
      <w:r w:rsidR="00074B99">
        <w:rPr>
          <w:rFonts w:asciiTheme="minorHAnsi" w:hAnsiTheme="minorHAnsi"/>
          <w:sz w:val="24"/>
          <w:szCs w:val="24"/>
        </w:rPr>
        <w:t xml:space="preserve">-effective doses as </w:t>
      </w:r>
      <w:r>
        <w:rPr>
          <w:rFonts w:asciiTheme="minorHAnsi" w:hAnsiTheme="minorHAnsi"/>
          <w:sz w:val="24"/>
          <w:szCs w:val="24"/>
        </w:rPr>
        <w:t xml:space="preserve">13.6 mg </w:t>
      </w:r>
      <w:proofErr w:type="spellStart"/>
      <w:r>
        <w:rPr>
          <w:rFonts w:asciiTheme="minorHAnsi" w:hAnsiTheme="minorHAnsi"/>
          <w:sz w:val="24"/>
          <w:szCs w:val="24"/>
        </w:rPr>
        <w:t>lenvatinib</w:t>
      </w:r>
      <w:proofErr w:type="spellEnd"/>
      <w:r>
        <w:rPr>
          <w:rFonts w:asciiTheme="minorHAnsi" w:hAnsiTheme="minorHAnsi"/>
          <w:sz w:val="24"/>
          <w:szCs w:val="24"/>
        </w:rPr>
        <w:t xml:space="preserve"> daily in combination with 4.7 mg </w:t>
      </w:r>
      <w:proofErr w:type="spellStart"/>
      <w:r>
        <w:rPr>
          <w:rFonts w:asciiTheme="minorHAnsi" w:hAnsiTheme="minorHAnsi"/>
          <w:sz w:val="24"/>
          <w:szCs w:val="24"/>
        </w:rPr>
        <w:t>everolimus</w:t>
      </w:r>
      <w:proofErr w:type="spellEnd"/>
      <w:r>
        <w:rPr>
          <w:rFonts w:asciiTheme="minorHAnsi" w:hAnsiTheme="minorHAnsi"/>
          <w:sz w:val="24"/>
          <w:szCs w:val="24"/>
        </w:rPr>
        <w:t xml:space="preserve"> daily for 7.5 months </w:t>
      </w:r>
      <w:r w:rsidR="00074B99">
        <w:rPr>
          <w:rFonts w:asciiTheme="minorHAnsi" w:hAnsiTheme="minorHAnsi"/>
          <w:sz w:val="24"/>
          <w:szCs w:val="24"/>
        </w:rPr>
        <w:t xml:space="preserve">and </w:t>
      </w:r>
      <w:r>
        <w:rPr>
          <w:rFonts w:asciiTheme="minorHAnsi" w:hAnsiTheme="minorHAnsi"/>
          <w:sz w:val="24"/>
          <w:szCs w:val="24"/>
        </w:rPr>
        <w:t xml:space="preserve">43 mg </w:t>
      </w:r>
      <w:proofErr w:type="spellStart"/>
      <w:r>
        <w:rPr>
          <w:rFonts w:asciiTheme="minorHAnsi" w:hAnsiTheme="minorHAnsi"/>
          <w:sz w:val="24"/>
          <w:szCs w:val="24"/>
        </w:rPr>
        <w:t>cabozantinib</w:t>
      </w:r>
      <w:proofErr w:type="spellEnd"/>
      <w:r>
        <w:rPr>
          <w:rFonts w:asciiTheme="minorHAnsi" w:hAnsiTheme="minorHAnsi"/>
          <w:sz w:val="24"/>
          <w:szCs w:val="24"/>
        </w:rPr>
        <w:t xml:space="preserve"> daily for 8.3 months. The </w:t>
      </w:r>
      <w:proofErr w:type="spellStart"/>
      <w:r w:rsidR="00606C73">
        <w:rPr>
          <w:rFonts w:asciiTheme="minorHAnsi" w:hAnsiTheme="minorHAnsi"/>
          <w:sz w:val="24"/>
          <w:szCs w:val="24"/>
        </w:rPr>
        <w:t>equi</w:t>
      </w:r>
      <w:proofErr w:type="spellEnd"/>
      <w:r w:rsidR="00606C73">
        <w:rPr>
          <w:rFonts w:asciiTheme="minorHAnsi" w:hAnsiTheme="minorHAnsi"/>
          <w:sz w:val="24"/>
          <w:szCs w:val="24"/>
        </w:rPr>
        <w:t xml:space="preserve">-effective dosing proposed is based on the final daily dosing and duration of exposure reported in the Study 205 and METEOR trials. </w:t>
      </w:r>
    </w:p>
    <w:p w:rsidR="005A3173" w:rsidRPr="008306F3" w:rsidRDefault="005A3173" w:rsidP="004109F4">
      <w:pPr>
        <w:pStyle w:val="Heading2"/>
      </w:pPr>
      <w:r w:rsidRPr="003C2FB5">
        <w:t>Estimated PBS usage &amp; financial implications</w:t>
      </w:r>
    </w:p>
    <w:p w:rsidR="0016598A" w:rsidRDefault="0016598A" w:rsidP="0016598A">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The resubmission updated the financial estimates to include:</w:t>
      </w:r>
    </w:p>
    <w:p w:rsidR="00C41DFE" w:rsidRPr="00C41DFE" w:rsidRDefault="00C41DFE" w:rsidP="00C41DFE">
      <w:pPr>
        <w:pStyle w:val="ListParagraph"/>
        <w:widowControl/>
        <w:numPr>
          <w:ilvl w:val="0"/>
          <w:numId w:val="29"/>
        </w:numPr>
        <w:spacing w:before="120" w:after="160"/>
        <w:contextualSpacing w:val="0"/>
        <w:rPr>
          <w:rFonts w:asciiTheme="minorHAnsi" w:hAnsiTheme="minorHAnsi"/>
          <w:sz w:val="24"/>
          <w:szCs w:val="24"/>
        </w:rPr>
      </w:pPr>
      <w:r>
        <w:rPr>
          <w:rFonts w:asciiTheme="minorHAnsi" w:hAnsiTheme="minorHAnsi"/>
          <w:sz w:val="24"/>
          <w:szCs w:val="24"/>
        </w:rPr>
        <w:t xml:space="preserve">A </w:t>
      </w:r>
      <w:r w:rsidR="00DE7568">
        <w:rPr>
          <w:rFonts w:asciiTheme="minorHAnsi" w:hAnsiTheme="minorHAnsi"/>
          <w:noProof/>
          <w:color w:val="000000"/>
          <w:sz w:val="24"/>
          <w:szCs w:val="24"/>
          <w:highlight w:val="black"/>
        </w:rPr>
        <w:t>''''''</w:t>
      </w:r>
      <w:r w:rsidR="0060337A">
        <w:rPr>
          <w:rFonts w:asciiTheme="minorHAnsi" w:hAnsiTheme="minorHAnsi"/>
          <w:sz w:val="24"/>
          <w:szCs w:val="24"/>
        </w:rPr>
        <w:t xml:space="preserve">% </w:t>
      </w:r>
      <w:r>
        <w:rPr>
          <w:rFonts w:asciiTheme="minorHAnsi" w:hAnsiTheme="minorHAnsi"/>
          <w:sz w:val="24"/>
          <w:szCs w:val="24"/>
        </w:rPr>
        <w:t>reduction in the number of RCC patie</w:t>
      </w:r>
      <w:r w:rsidR="00970A52">
        <w:rPr>
          <w:rFonts w:asciiTheme="minorHAnsi" w:hAnsiTheme="minorHAnsi"/>
          <w:sz w:val="24"/>
          <w:szCs w:val="24"/>
        </w:rPr>
        <w:t xml:space="preserve">nts eligible to commence second </w:t>
      </w:r>
      <w:r>
        <w:rPr>
          <w:rFonts w:asciiTheme="minorHAnsi" w:hAnsiTheme="minorHAnsi"/>
          <w:sz w:val="24"/>
          <w:szCs w:val="24"/>
        </w:rPr>
        <w:t>line therapy p</w:t>
      </w:r>
      <w:r w:rsidR="0060337A">
        <w:rPr>
          <w:rFonts w:asciiTheme="minorHAnsi" w:hAnsiTheme="minorHAnsi"/>
          <w:sz w:val="24"/>
          <w:szCs w:val="24"/>
        </w:rPr>
        <w:t>er year</w:t>
      </w:r>
    </w:p>
    <w:p w:rsidR="0016598A" w:rsidRDefault="00D31F79" w:rsidP="0016598A">
      <w:pPr>
        <w:pStyle w:val="ListParagraph"/>
        <w:widowControl/>
        <w:numPr>
          <w:ilvl w:val="0"/>
          <w:numId w:val="29"/>
        </w:numPr>
        <w:spacing w:before="120" w:after="160"/>
        <w:contextualSpacing w:val="0"/>
        <w:rPr>
          <w:rFonts w:asciiTheme="minorHAnsi" w:hAnsiTheme="minorHAnsi"/>
          <w:sz w:val="24"/>
          <w:szCs w:val="24"/>
        </w:rPr>
      </w:pPr>
      <w:r>
        <w:rPr>
          <w:rFonts w:asciiTheme="minorHAnsi" w:hAnsiTheme="minorHAnsi"/>
          <w:sz w:val="24"/>
          <w:szCs w:val="24"/>
        </w:rPr>
        <w:t xml:space="preserve">A revised estimate </w:t>
      </w:r>
      <w:r w:rsidR="004776C5">
        <w:rPr>
          <w:rFonts w:asciiTheme="minorHAnsi" w:hAnsiTheme="minorHAnsi"/>
          <w:sz w:val="24"/>
          <w:szCs w:val="24"/>
        </w:rPr>
        <w:t>for the duration of therapy (</w:t>
      </w:r>
      <w:r w:rsidR="00DE7568">
        <w:rPr>
          <w:rFonts w:asciiTheme="minorHAnsi" w:hAnsiTheme="minorHAnsi"/>
          <w:noProof/>
          <w:color w:val="000000"/>
          <w:sz w:val="24"/>
          <w:szCs w:val="24"/>
          <w:highlight w:val="black"/>
        </w:rPr>
        <w:t>''''''</w:t>
      </w:r>
      <w:r w:rsidR="004776C5">
        <w:rPr>
          <w:rFonts w:asciiTheme="minorHAnsi" w:hAnsiTheme="minorHAnsi"/>
          <w:sz w:val="24"/>
          <w:szCs w:val="24"/>
        </w:rPr>
        <w:t xml:space="preserve"> days versus </w:t>
      </w:r>
      <w:r w:rsidR="00DE7568">
        <w:rPr>
          <w:rFonts w:asciiTheme="minorHAnsi" w:hAnsiTheme="minorHAnsi"/>
          <w:noProof/>
          <w:color w:val="000000"/>
          <w:sz w:val="24"/>
          <w:szCs w:val="24"/>
          <w:highlight w:val="black"/>
        </w:rPr>
        <w:t>''''''''</w:t>
      </w:r>
      <w:r w:rsidR="004776C5">
        <w:rPr>
          <w:rFonts w:asciiTheme="minorHAnsi" w:hAnsiTheme="minorHAnsi"/>
          <w:sz w:val="24"/>
          <w:szCs w:val="24"/>
        </w:rPr>
        <w:t xml:space="preserve"> days</w:t>
      </w:r>
      <w:r>
        <w:rPr>
          <w:rFonts w:asciiTheme="minorHAnsi" w:hAnsiTheme="minorHAnsi"/>
          <w:sz w:val="24"/>
          <w:szCs w:val="24"/>
        </w:rPr>
        <w:t xml:space="preserve"> in the November 2017 submission)</w:t>
      </w:r>
      <w:r w:rsidR="0060337A">
        <w:rPr>
          <w:rFonts w:asciiTheme="minorHAnsi" w:hAnsiTheme="minorHAnsi"/>
          <w:sz w:val="24"/>
          <w:szCs w:val="24"/>
        </w:rPr>
        <w:t>.</w:t>
      </w:r>
    </w:p>
    <w:p w:rsidR="004776C5" w:rsidRPr="004730F7" w:rsidRDefault="00C41DFE" w:rsidP="004730F7">
      <w:pPr>
        <w:pStyle w:val="ListParagraph"/>
        <w:widowControl/>
        <w:numPr>
          <w:ilvl w:val="1"/>
          <w:numId w:val="14"/>
        </w:numPr>
        <w:spacing w:before="120" w:after="160"/>
        <w:contextualSpacing w:val="0"/>
        <w:rPr>
          <w:rFonts w:asciiTheme="minorHAnsi" w:hAnsiTheme="minorHAnsi"/>
          <w:sz w:val="24"/>
          <w:szCs w:val="24"/>
        </w:rPr>
      </w:pPr>
      <w:r w:rsidRPr="008E280F">
        <w:rPr>
          <w:rFonts w:asciiTheme="minorHAnsi" w:hAnsiTheme="minorHAnsi"/>
          <w:sz w:val="24"/>
          <w:szCs w:val="24"/>
        </w:rPr>
        <w:t xml:space="preserve">The </w:t>
      </w:r>
      <w:r w:rsidR="00760385">
        <w:rPr>
          <w:rFonts w:asciiTheme="minorHAnsi" w:hAnsiTheme="minorHAnsi"/>
          <w:sz w:val="24"/>
          <w:szCs w:val="24"/>
        </w:rPr>
        <w:t>November 2017</w:t>
      </w:r>
      <w:r w:rsidR="00760385" w:rsidRPr="008E280F">
        <w:rPr>
          <w:rFonts w:asciiTheme="minorHAnsi" w:hAnsiTheme="minorHAnsi"/>
          <w:sz w:val="24"/>
          <w:szCs w:val="24"/>
        </w:rPr>
        <w:t xml:space="preserve"> </w:t>
      </w:r>
      <w:r w:rsidRPr="008E280F">
        <w:rPr>
          <w:rFonts w:asciiTheme="minorHAnsi" w:hAnsiTheme="minorHAnsi"/>
          <w:sz w:val="24"/>
          <w:szCs w:val="24"/>
        </w:rPr>
        <w:t>submis</w:t>
      </w:r>
      <w:r w:rsidR="005F3CEA" w:rsidRPr="008E280F">
        <w:rPr>
          <w:rFonts w:asciiTheme="minorHAnsi" w:hAnsiTheme="minorHAnsi"/>
          <w:sz w:val="24"/>
          <w:szCs w:val="24"/>
        </w:rPr>
        <w:t>sion had estimated that</w:t>
      </w:r>
      <w:r w:rsidR="00970A52" w:rsidRPr="008E280F">
        <w:rPr>
          <w:rFonts w:asciiTheme="minorHAnsi" w:hAnsiTheme="minorHAnsi"/>
          <w:sz w:val="24"/>
          <w:szCs w:val="24"/>
        </w:rPr>
        <w:t xml:space="preserve"> </w:t>
      </w:r>
      <w:r w:rsidR="0022758C">
        <w:rPr>
          <w:rFonts w:asciiTheme="minorHAnsi" w:hAnsiTheme="minorHAnsi"/>
          <w:sz w:val="24"/>
          <w:szCs w:val="24"/>
        </w:rPr>
        <w:t>less than 10,000</w:t>
      </w:r>
      <w:r w:rsidRPr="008E280F">
        <w:rPr>
          <w:rFonts w:asciiTheme="minorHAnsi" w:hAnsiTheme="minorHAnsi"/>
          <w:sz w:val="24"/>
          <w:szCs w:val="24"/>
        </w:rPr>
        <w:t xml:space="preserve"> patients would be eligible to commence second line therapy for metastatic RCC </w:t>
      </w:r>
      <w:r w:rsidR="0060337A" w:rsidRPr="008E280F">
        <w:rPr>
          <w:rFonts w:asciiTheme="minorHAnsi" w:hAnsiTheme="minorHAnsi"/>
          <w:sz w:val="24"/>
          <w:szCs w:val="24"/>
        </w:rPr>
        <w:t>per year</w:t>
      </w:r>
      <w:r w:rsidRPr="008E280F">
        <w:rPr>
          <w:rFonts w:asciiTheme="minorHAnsi" w:hAnsiTheme="minorHAnsi"/>
          <w:sz w:val="24"/>
          <w:szCs w:val="24"/>
        </w:rPr>
        <w:t xml:space="preserve">. </w:t>
      </w:r>
      <w:r w:rsidR="00970A52" w:rsidRPr="008E280F">
        <w:rPr>
          <w:rFonts w:asciiTheme="minorHAnsi" w:hAnsiTheme="minorHAnsi"/>
          <w:sz w:val="24"/>
          <w:szCs w:val="24"/>
        </w:rPr>
        <w:t>These figures w</w:t>
      </w:r>
      <w:r w:rsidR="00600B51" w:rsidRPr="008E280F">
        <w:rPr>
          <w:rFonts w:asciiTheme="minorHAnsi" w:hAnsiTheme="minorHAnsi"/>
          <w:sz w:val="24"/>
          <w:szCs w:val="24"/>
        </w:rPr>
        <w:t xml:space="preserve">ere subject to some uncertainty as an analysis of 2016 PBS data of items processed for second line therapy in RCC indicated that the numbers presented may have been over-estimated (Paragraph 6.60, </w:t>
      </w:r>
      <w:proofErr w:type="spellStart"/>
      <w:r w:rsidR="00600B51" w:rsidRPr="008E280F">
        <w:rPr>
          <w:rFonts w:asciiTheme="minorHAnsi" w:hAnsiTheme="minorHAnsi"/>
          <w:sz w:val="24"/>
          <w:szCs w:val="24"/>
        </w:rPr>
        <w:t>lenvatinib</w:t>
      </w:r>
      <w:proofErr w:type="spellEnd"/>
      <w:r w:rsidR="00600B51" w:rsidRPr="008E280F">
        <w:rPr>
          <w:rFonts w:asciiTheme="minorHAnsi" w:hAnsiTheme="minorHAnsi"/>
          <w:sz w:val="24"/>
          <w:szCs w:val="24"/>
        </w:rPr>
        <w:t xml:space="preserve"> PBAC </w:t>
      </w:r>
      <w:r w:rsidR="008431F9">
        <w:rPr>
          <w:rFonts w:asciiTheme="minorHAnsi" w:eastAsiaTheme="minorHAnsi" w:hAnsiTheme="minorHAnsi" w:cstheme="minorBidi"/>
          <w:snapToGrid/>
          <w:sz w:val="24"/>
          <w:szCs w:val="22"/>
        </w:rPr>
        <w:t>Public Summary Document</w:t>
      </w:r>
      <w:r w:rsidR="00600B51" w:rsidRPr="008E280F">
        <w:rPr>
          <w:rFonts w:asciiTheme="minorHAnsi" w:hAnsiTheme="minorHAnsi"/>
          <w:sz w:val="24"/>
          <w:szCs w:val="24"/>
        </w:rPr>
        <w:t>, November 2017)</w:t>
      </w:r>
      <w:r w:rsidR="00970A52" w:rsidRPr="008E280F">
        <w:rPr>
          <w:rFonts w:asciiTheme="minorHAnsi" w:hAnsiTheme="minorHAnsi"/>
          <w:sz w:val="24"/>
          <w:szCs w:val="24"/>
        </w:rPr>
        <w:t xml:space="preserve">. The resubmission proposed a </w:t>
      </w:r>
      <w:r w:rsidR="00DE7568">
        <w:rPr>
          <w:rFonts w:asciiTheme="minorHAnsi" w:hAnsiTheme="minorHAnsi"/>
          <w:noProof/>
          <w:color w:val="000000"/>
          <w:sz w:val="24"/>
          <w:szCs w:val="24"/>
          <w:highlight w:val="black"/>
        </w:rPr>
        <w:t>''''''</w:t>
      </w:r>
      <w:r w:rsidR="00970A52" w:rsidRPr="008E280F">
        <w:rPr>
          <w:rFonts w:asciiTheme="minorHAnsi" w:hAnsiTheme="minorHAnsi"/>
          <w:sz w:val="24"/>
          <w:szCs w:val="24"/>
        </w:rPr>
        <w:t>% reduction in the number of RCC patients eligible to commence second line therapy</w:t>
      </w:r>
      <w:r w:rsidR="00970A52">
        <w:rPr>
          <w:rFonts w:asciiTheme="minorHAnsi" w:hAnsiTheme="minorHAnsi"/>
          <w:sz w:val="24"/>
          <w:szCs w:val="24"/>
        </w:rPr>
        <w:t xml:space="preserve"> </w:t>
      </w:r>
      <w:r w:rsidR="00600B51">
        <w:rPr>
          <w:rFonts w:asciiTheme="minorHAnsi" w:hAnsiTheme="minorHAnsi"/>
          <w:sz w:val="24"/>
          <w:szCs w:val="24"/>
        </w:rPr>
        <w:t>per year</w:t>
      </w:r>
      <w:r w:rsidR="00B1099F">
        <w:rPr>
          <w:rFonts w:asciiTheme="minorHAnsi" w:hAnsiTheme="minorHAnsi"/>
          <w:sz w:val="24"/>
          <w:szCs w:val="24"/>
        </w:rPr>
        <w:t xml:space="preserve">. The revised number of RCC patients eligible to commence second line therapy in the resubmission ranged from </w:t>
      </w:r>
      <w:r w:rsidR="0090764C">
        <w:rPr>
          <w:rFonts w:asciiTheme="minorHAnsi" w:hAnsiTheme="minorHAnsi"/>
          <w:sz w:val="24"/>
          <w:szCs w:val="24"/>
        </w:rPr>
        <w:t>less than 10,000 to less than 10,000</w:t>
      </w:r>
      <w:r w:rsidR="0060337A">
        <w:rPr>
          <w:rFonts w:asciiTheme="minorHAnsi" w:hAnsiTheme="minorHAnsi"/>
          <w:sz w:val="24"/>
          <w:szCs w:val="24"/>
        </w:rPr>
        <w:t xml:space="preserve"> per year</w:t>
      </w:r>
      <w:r w:rsidR="00B1099F">
        <w:rPr>
          <w:rFonts w:asciiTheme="minorHAnsi" w:hAnsiTheme="minorHAnsi"/>
          <w:sz w:val="24"/>
          <w:szCs w:val="24"/>
        </w:rPr>
        <w:t xml:space="preserve">. </w:t>
      </w:r>
      <w:r w:rsidR="00635819" w:rsidRPr="008E280F">
        <w:rPr>
          <w:rFonts w:asciiTheme="minorHAnsi" w:hAnsiTheme="minorHAnsi"/>
          <w:sz w:val="24"/>
          <w:szCs w:val="24"/>
        </w:rPr>
        <w:t xml:space="preserve">The PBAC </w:t>
      </w:r>
      <w:r w:rsidR="00760385">
        <w:rPr>
          <w:rFonts w:asciiTheme="minorHAnsi" w:hAnsiTheme="minorHAnsi"/>
          <w:sz w:val="24"/>
          <w:szCs w:val="24"/>
        </w:rPr>
        <w:t>considered the revised estimates were uncertain and may be over-estimated.</w:t>
      </w:r>
    </w:p>
    <w:p w:rsidR="00635819" w:rsidRPr="008E280F" w:rsidRDefault="000A3F50" w:rsidP="004776C5">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estimated number of doses required per course of treatment were derived from the mean dose of the study drug (both arms) administered in Study 205, together with the median duration of treatment (in days). </w:t>
      </w:r>
      <w:r w:rsidR="001C2683">
        <w:rPr>
          <w:rFonts w:asciiTheme="minorHAnsi" w:hAnsiTheme="minorHAnsi"/>
          <w:sz w:val="24"/>
          <w:szCs w:val="24"/>
        </w:rPr>
        <w:t xml:space="preserve">The previous submission had used a treatment duration of </w:t>
      </w:r>
      <w:r w:rsidR="00DE7568">
        <w:rPr>
          <w:rFonts w:asciiTheme="minorHAnsi" w:hAnsiTheme="minorHAnsi"/>
          <w:noProof/>
          <w:color w:val="000000"/>
          <w:sz w:val="24"/>
          <w:szCs w:val="24"/>
          <w:highlight w:val="black"/>
        </w:rPr>
        <w:t>'''''''</w:t>
      </w:r>
      <w:r w:rsidR="001C2683">
        <w:rPr>
          <w:rFonts w:asciiTheme="minorHAnsi" w:hAnsiTheme="minorHAnsi"/>
          <w:sz w:val="24"/>
          <w:szCs w:val="24"/>
        </w:rPr>
        <w:t xml:space="preserve"> days for </w:t>
      </w:r>
      <w:proofErr w:type="spellStart"/>
      <w:r w:rsidR="001C2683">
        <w:rPr>
          <w:rFonts w:asciiTheme="minorHAnsi" w:hAnsiTheme="minorHAnsi"/>
          <w:sz w:val="24"/>
          <w:szCs w:val="24"/>
        </w:rPr>
        <w:t>lenvatinib</w:t>
      </w:r>
      <w:proofErr w:type="spellEnd"/>
      <w:r w:rsidR="001C2683">
        <w:rPr>
          <w:rFonts w:asciiTheme="minorHAnsi" w:hAnsiTheme="minorHAnsi"/>
          <w:sz w:val="24"/>
          <w:szCs w:val="24"/>
        </w:rPr>
        <w:t>/</w:t>
      </w:r>
      <w:proofErr w:type="spellStart"/>
      <w:r w:rsidR="001C2683">
        <w:rPr>
          <w:rFonts w:asciiTheme="minorHAnsi" w:hAnsiTheme="minorHAnsi"/>
          <w:sz w:val="24"/>
          <w:szCs w:val="24"/>
        </w:rPr>
        <w:t>everolimus</w:t>
      </w:r>
      <w:proofErr w:type="spellEnd"/>
      <w:r w:rsidR="001C2683">
        <w:rPr>
          <w:rFonts w:asciiTheme="minorHAnsi" w:hAnsiTheme="minorHAnsi"/>
          <w:sz w:val="24"/>
          <w:szCs w:val="24"/>
        </w:rPr>
        <w:t xml:space="preserve"> and 124 days for </w:t>
      </w:r>
      <w:proofErr w:type="spellStart"/>
      <w:r w:rsidR="001C2683">
        <w:rPr>
          <w:rFonts w:asciiTheme="minorHAnsi" w:hAnsiTheme="minorHAnsi"/>
          <w:sz w:val="24"/>
          <w:szCs w:val="24"/>
        </w:rPr>
        <w:t>everolimus</w:t>
      </w:r>
      <w:proofErr w:type="spellEnd"/>
      <w:r w:rsidR="001C2683">
        <w:rPr>
          <w:rFonts w:asciiTheme="minorHAnsi" w:hAnsiTheme="minorHAnsi"/>
          <w:sz w:val="24"/>
          <w:szCs w:val="24"/>
        </w:rPr>
        <w:t xml:space="preserve"> monotherapy. The resubmission reduced the treatment duration of </w:t>
      </w:r>
      <w:proofErr w:type="spellStart"/>
      <w:r w:rsidR="001C2683">
        <w:rPr>
          <w:rFonts w:asciiTheme="minorHAnsi" w:hAnsiTheme="minorHAnsi"/>
          <w:sz w:val="24"/>
          <w:szCs w:val="24"/>
        </w:rPr>
        <w:t>lenvatinib</w:t>
      </w:r>
      <w:proofErr w:type="spellEnd"/>
      <w:r w:rsidR="001C2683">
        <w:rPr>
          <w:rFonts w:asciiTheme="minorHAnsi" w:hAnsiTheme="minorHAnsi"/>
          <w:sz w:val="24"/>
          <w:szCs w:val="24"/>
        </w:rPr>
        <w:t>/</w:t>
      </w:r>
      <w:proofErr w:type="spellStart"/>
      <w:r w:rsidR="001C2683">
        <w:rPr>
          <w:rFonts w:asciiTheme="minorHAnsi" w:hAnsiTheme="minorHAnsi"/>
          <w:sz w:val="24"/>
          <w:szCs w:val="24"/>
        </w:rPr>
        <w:t>everolimus</w:t>
      </w:r>
      <w:proofErr w:type="spellEnd"/>
      <w:r w:rsidR="001C2683">
        <w:rPr>
          <w:rFonts w:asciiTheme="minorHAnsi" w:hAnsiTheme="minorHAnsi"/>
          <w:sz w:val="24"/>
          <w:szCs w:val="24"/>
        </w:rPr>
        <w:t xml:space="preserve"> to </w:t>
      </w:r>
      <w:r w:rsidR="00DE7568">
        <w:rPr>
          <w:rFonts w:asciiTheme="minorHAnsi" w:hAnsiTheme="minorHAnsi"/>
          <w:noProof/>
          <w:color w:val="000000"/>
          <w:sz w:val="24"/>
          <w:szCs w:val="24"/>
          <w:highlight w:val="black"/>
        </w:rPr>
        <w:t>'''''''</w:t>
      </w:r>
      <w:r w:rsidR="001C2683">
        <w:rPr>
          <w:rFonts w:asciiTheme="minorHAnsi" w:hAnsiTheme="minorHAnsi"/>
          <w:sz w:val="24"/>
          <w:szCs w:val="24"/>
        </w:rPr>
        <w:t xml:space="preserve"> days and stated this reflects the duration of PFS reported by the BIRR</w:t>
      </w:r>
      <w:r w:rsidR="001C2683" w:rsidRPr="008E280F">
        <w:rPr>
          <w:rFonts w:asciiTheme="minorHAnsi" w:hAnsiTheme="minorHAnsi"/>
          <w:sz w:val="24"/>
          <w:szCs w:val="24"/>
        </w:rPr>
        <w:t xml:space="preserve">. </w:t>
      </w:r>
      <w:r w:rsidR="00760385">
        <w:rPr>
          <w:rFonts w:asciiTheme="minorHAnsi" w:hAnsiTheme="minorHAnsi"/>
          <w:sz w:val="24"/>
          <w:szCs w:val="24"/>
        </w:rPr>
        <w:t>The PBAC noted the m</w:t>
      </w:r>
      <w:r w:rsidR="001C2683" w:rsidRPr="008E280F">
        <w:rPr>
          <w:rFonts w:asciiTheme="minorHAnsi" w:hAnsiTheme="minorHAnsi"/>
          <w:sz w:val="24"/>
          <w:szCs w:val="24"/>
        </w:rPr>
        <w:t>ean durations of treatment in Study 205 were significantly higher than th</w:t>
      </w:r>
      <w:r w:rsidR="00BE5005" w:rsidRPr="008E280F">
        <w:rPr>
          <w:rFonts w:asciiTheme="minorHAnsi" w:hAnsiTheme="minorHAnsi"/>
          <w:sz w:val="24"/>
          <w:szCs w:val="24"/>
        </w:rPr>
        <w:t xml:space="preserve">e medians with a mean of </w:t>
      </w:r>
      <w:r w:rsidR="00DE7568">
        <w:rPr>
          <w:rFonts w:asciiTheme="minorHAnsi" w:hAnsiTheme="minorHAnsi"/>
          <w:noProof/>
          <w:color w:val="000000"/>
          <w:sz w:val="24"/>
          <w:szCs w:val="24"/>
          <w:highlight w:val="black"/>
        </w:rPr>
        <w:t>'''''''</w:t>
      </w:r>
      <w:r w:rsidR="00BE5005" w:rsidRPr="008E280F">
        <w:rPr>
          <w:rFonts w:asciiTheme="minorHAnsi" w:hAnsiTheme="minorHAnsi"/>
          <w:sz w:val="24"/>
          <w:szCs w:val="24"/>
        </w:rPr>
        <w:t xml:space="preserve"> days in the </w:t>
      </w:r>
      <w:proofErr w:type="spellStart"/>
      <w:r w:rsidR="00BE5005" w:rsidRPr="008E280F">
        <w:rPr>
          <w:rFonts w:asciiTheme="minorHAnsi" w:hAnsiTheme="minorHAnsi"/>
          <w:sz w:val="24"/>
          <w:szCs w:val="24"/>
        </w:rPr>
        <w:t>lenvatinib</w:t>
      </w:r>
      <w:proofErr w:type="spellEnd"/>
      <w:r w:rsidR="00BE5005" w:rsidRPr="008E280F">
        <w:rPr>
          <w:rFonts w:asciiTheme="minorHAnsi" w:hAnsiTheme="minorHAnsi"/>
          <w:sz w:val="24"/>
          <w:szCs w:val="24"/>
        </w:rPr>
        <w:t>/</w:t>
      </w:r>
      <w:proofErr w:type="spellStart"/>
      <w:r w:rsidR="00BE5005" w:rsidRPr="008E280F">
        <w:rPr>
          <w:rFonts w:asciiTheme="minorHAnsi" w:hAnsiTheme="minorHAnsi"/>
          <w:sz w:val="24"/>
          <w:szCs w:val="24"/>
        </w:rPr>
        <w:t>everolimus</w:t>
      </w:r>
      <w:proofErr w:type="spellEnd"/>
      <w:r w:rsidR="00BE5005" w:rsidRPr="008E280F">
        <w:rPr>
          <w:rFonts w:asciiTheme="minorHAnsi" w:hAnsiTheme="minorHAnsi"/>
          <w:sz w:val="24"/>
          <w:szCs w:val="24"/>
        </w:rPr>
        <w:t xml:space="preserve"> arm and 187 days for </w:t>
      </w:r>
      <w:proofErr w:type="spellStart"/>
      <w:r w:rsidR="00BE5005" w:rsidRPr="008E280F">
        <w:rPr>
          <w:rFonts w:asciiTheme="minorHAnsi" w:hAnsiTheme="minorHAnsi"/>
          <w:sz w:val="24"/>
          <w:szCs w:val="24"/>
        </w:rPr>
        <w:t>everolimus</w:t>
      </w:r>
      <w:proofErr w:type="spellEnd"/>
      <w:r w:rsidR="00BE5005" w:rsidRPr="008E280F">
        <w:rPr>
          <w:rFonts w:asciiTheme="minorHAnsi" w:hAnsiTheme="minorHAnsi"/>
          <w:sz w:val="24"/>
          <w:szCs w:val="24"/>
        </w:rPr>
        <w:t xml:space="preserve"> monotherapy.</w:t>
      </w:r>
    </w:p>
    <w:p w:rsidR="004D6F33" w:rsidRPr="004D6F33" w:rsidRDefault="00BE5005" w:rsidP="004D6F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hAnsiTheme="minorHAnsi"/>
          <w:sz w:val="24"/>
          <w:szCs w:val="24"/>
        </w:rPr>
        <w:t xml:space="preserve">Consistent with the November 2017 submission the resubmission proposed </w:t>
      </w:r>
      <w:r w:rsidR="0083676C">
        <w:rPr>
          <w:rFonts w:asciiTheme="minorHAnsi" w:hAnsiTheme="minorHAnsi"/>
          <w:sz w:val="24"/>
          <w:szCs w:val="24"/>
        </w:rPr>
        <w:t xml:space="preserve">that </w:t>
      </w:r>
      <w:r w:rsidR="00DE7568">
        <w:rPr>
          <w:rFonts w:asciiTheme="minorHAnsi" w:hAnsiTheme="minorHAnsi"/>
          <w:noProof/>
          <w:color w:val="000000"/>
          <w:sz w:val="24"/>
          <w:szCs w:val="24"/>
          <w:highlight w:val="black"/>
        </w:rPr>
        <w:t>'''''</w:t>
      </w:r>
      <w:r w:rsidR="0083676C">
        <w:rPr>
          <w:rFonts w:asciiTheme="minorHAnsi" w:hAnsiTheme="minorHAnsi"/>
          <w:sz w:val="24"/>
          <w:szCs w:val="24"/>
        </w:rPr>
        <w:t>% of patients eligible for second line treatme</w:t>
      </w:r>
      <w:r w:rsidR="005F3CEA">
        <w:rPr>
          <w:rFonts w:asciiTheme="minorHAnsi" w:hAnsiTheme="minorHAnsi"/>
          <w:sz w:val="24"/>
          <w:szCs w:val="24"/>
        </w:rPr>
        <w:t xml:space="preserve">nt would elect to receive </w:t>
      </w:r>
      <w:proofErr w:type="spellStart"/>
      <w:r w:rsidR="005F3CEA">
        <w:rPr>
          <w:rFonts w:asciiTheme="minorHAnsi" w:hAnsiTheme="minorHAnsi"/>
          <w:sz w:val="24"/>
          <w:szCs w:val="24"/>
        </w:rPr>
        <w:t>lenva</w:t>
      </w:r>
      <w:r w:rsidR="0083676C">
        <w:rPr>
          <w:rFonts w:asciiTheme="minorHAnsi" w:hAnsiTheme="minorHAnsi"/>
          <w:sz w:val="24"/>
          <w:szCs w:val="24"/>
        </w:rPr>
        <w:t>tinib</w:t>
      </w:r>
      <w:proofErr w:type="spellEnd"/>
      <w:r w:rsidR="0083676C">
        <w:rPr>
          <w:rFonts w:asciiTheme="minorHAnsi" w:hAnsiTheme="minorHAnsi"/>
          <w:sz w:val="24"/>
          <w:szCs w:val="24"/>
        </w:rPr>
        <w:t>/</w:t>
      </w:r>
      <w:proofErr w:type="spellStart"/>
      <w:r w:rsidR="0083676C">
        <w:rPr>
          <w:rFonts w:asciiTheme="minorHAnsi" w:hAnsiTheme="minorHAnsi"/>
          <w:sz w:val="24"/>
          <w:szCs w:val="24"/>
        </w:rPr>
        <w:t>everolimus</w:t>
      </w:r>
      <w:proofErr w:type="spellEnd"/>
      <w:r w:rsidR="0083676C">
        <w:rPr>
          <w:rFonts w:asciiTheme="minorHAnsi" w:hAnsiTheme="minorHAnsi"/>
          <w:sz w:val="24"/>
          <w:szCs w:val="24"/>
        </w:rPr>
        <w:t xml:space="preserve">. </w:t>
      </w:r>
      <w:r w:rsidR="003A7451">
        <w:rPr>
          <w:rFonts w:asciiTheme="minorHAnsi" w:hAnsiTheme="minorHAnsi"/>
          <w:sz w:val="24"/>
          <w:szCs w:val="24"/>
        </w:rPr>
        <w:t xml:space="preserve">The PBAC noted </w:t>
      </w:r>
      <w:r w:rsidR="0083676C" w:rsidRPr="008E280F">
        <w:rPr>
          <w:rFonts w:asciiTheme="minorHAnsi" w:hAnsiTheme="minorHAnsi"/>
          <w:sz w:val="24"/>
          <w:szCs w:val="24"/>
        </w:rPr>
        <w:t>the resubmission proposed a more limited place in thera</w:t>
      </w:r>
      <w:r w:rsidR="005F3CEA" w:rsidRPr="008E280F">
        <w:rPr>
          <w:rFonts w:asciiTheme="minorHAnsi" w:hAnsiTheme="minorHAnsi"/>
          <w:sz w:val="24"/>
          <w:szCs w:val="24"/>
        </w:rPr>
        <w:t xml:space="preserve">py for </w:t>
      </w:r>
      <w:proofErr w:type="spellStart"/>
      <w:r w:rsidR="005F3CEA" w:rsidRPr="008E280F">
        <w:rPr>
          <w:rFonts w:asciiTheme="minorHAnsi" w:hAnsiTheme="minorHAnsi"/>
          <w:sz w:val="24"/>
          <w:szCs w:val="24"/>
        </w:rPr>
        <w:t>lenva</w:t>
      </w:r>
      <w:r w:rsidR="0083676C" w:rsidRPr="008E280F">
        <w:rPr>
          <w:rFonts w:asciiTheme="minorHAnsi" w:hAnsiTheme="minorHAnsi"/>
          <w:sz w:val="24"/>
          <w:szCs w:val="24"/>
        </w:rPr>
        <w:t>tinib</w:t>
      </w:r>
      <w:proofErr w:type="spellEnd"/>
      <w:r w:rsidR="0083676C" w:rsidRPr="008E280F">
        <w:rPr>
          <w:rFonts w:asciiTheme="minorHAnsi" w:hAnsiTheme="minorHAnsi"/>
          <w:sz w:val="24"/>
          <w:szCs w:val="24"/>
        </w:rPr>
        <w:t>/</w:t>
      </w:r>
      <w:proofErr w:type="spellStart"/>
      <w:r w:rsidR="0083676C" w:rsidRPr="008E280F">
        <w:rPr>
          <w:rFonts w:asciiTheme="minorHAnsi" w:hAnsiTheme="minorHAnsi"/>
          <w:sz w:val="24"/>
          <w:szCs w:val="24"/>
        </w:rPr>
        <w:t>everolimus</w:t>
      </w:r>
      <w:proofErr w:type="spellEnd"/>
      <w:r w:rsidR="0083676C" w:rsidRPr="008E280F">
        <w:rPr>
          <w:rFonts w:asciiTheme="minorHAnsi" w:hAnsiTheme="minorHAnsi"/>
          <w:sz w:val="24"/>
          <w:szCs w:val="24"/>
        </w:rPr>
        <w:t xml:space="preserve"> than the November 2017 submission.</w:t>
      </w:r>
    </w:p>
    <w:p w:rsidR="004D6F33" w:rsidRPr="008E280F" w:rsidRDefault="004D6F33" w:rsidP="004D6F33">
      <w:pPr>
        <w:pStyle w:val="ListParagraph"/>
        <w:widowControl/>
        <w:numPr>
          <w:ilvl w:val="1"/>
          <w:numId w:val="14"/>
        </w:numPr>
        <w:spacing w:before="120" w:after="160"/>
        <w:contextualSpacing w:val="0"/>
        <w:rPr>
          <w:rFonts w:asciiTheme="minorHAnsi" w:eastAsiaTheme="minorHAnsi" w:hAnsiTheme="minorHAnsi"/>
          <w:snapToGrid/>
          <w:sz w:val="24"/>
          <w:szCs w:val="24"/>
        </w:rPr>
      </w:pPr>
      <w:r w:rsidRPr="007C20B5">
        <w:rPr>
          <w:rFonts w:asciiTheme="minorHAnsi" w:hAnsiTheme="minorHAnsi"/>
          <w:sz w:val="24"/>
          <w:szCs w:val="24"/>
        </w:rPr>
        <w:lastRenderedPageBreak/>
        <w:t xml:space="preserve">The </w:t>
      </w:r>
      <w:r w:rsidR="007C20B5" w:rsidRPr="007C20B5">
        <w:rPr>
          <w:rFonts w:asciiTheme="minorHAnsi" w:hAnsiTheme="minorHAnsi"/>
          <w:sz w:val="24"/>
          <w:szCs w:val="24"/>
        </w:rPr>
        <w:t>number of treated patients in 2018 (n=</w:t>
      </w:r>
      <w:r w:rsidR="00DE7568">
        <w:rPr>
          <w:rFonts w:asciiTheme="minorHAnsi" w:hAnsiTheme="minorHAnsi"/>
          <w:noProof/>
          <w:color w:val="000000"/>
          <w:sz w:val="24"/>
          <w:szCs w:val="24"/>
          <w:highlight w:val="black"/>
        </w:rPr>
        <w:t>'''''''</w:t>
      </w:r>
      <w:r w:rsidR="007C20B5" w:rsidRPr="007C20B5">
        <w:rPr>
          <w:rFonts w:asciiTheme="minorHAnsi" w:hAnsiTheme="minorHAnsi"/>
          <w:sz w:val="24"/>
          <w:szCs w:val="24"/>
        </w:rPr>
        <w:t xml:space="preserve">) stated in the </w:t>
      </w:r>
      <w:r w:rsidRPr="007C20B5">
        <w:rPr>
          <w:rFonts w:asciiTheme="minorHAnsi" w:hAnsiTheme="minorHAnsi"/>
          <w:sz w:val="24"/>
          <w:szCs w:val="24"/>
        </w:rPr>
        <w:t xml:space="preserve">resubmission </w:t>
      </w:r>
      <w:r w:rsidR="007C20B5" w:rsidRPr="007C20B5">
        <w:rPr>
          <w:rFonts w:asciiTheme="minorHAnsi" w:hAnsiTheme="minorHAnsi"/>
          <w:sz w:val="24"/>
          <w:szCs w:val="24"/>
        </w:rPr>
        <w:t xml:space="preserve">includes </w:t>
      </w:r>
      <w:r w:rsidR="00DE7568">
        <w:rPr>
          <w:rFonts w:asciiTheme="minorHAnsi" w:hAnsiTheme="minorHAnsi"/>
          <w:noProof/>
          <w:color w:val="000000"/>
          <w:sz w:val="24"/>
          <w:szCs w:val="24"/>
          <w:highlight w:val="black"/>
        </w:rPr>
        <w:t>'''''</w:t>
      </w:r>
      <w:r w:rsidR="007C20B5" w:rsidRPr="007C20B5">
        <w:rPr>
          <w:rFonts w:asciiTheme="minorHAnsi" w:hAnsiTheme="minorHAnsi"/>
          <w:sz w:val="24"/>
          <w:szCs w:val="24"/>
        </w:rPr>
        <w:t xml:space="preserve"> patients who would be grandfathered from a patient access program that commenced following TGA-approval of </w:t>
      </w:r>
      <w:proofErr w:type="spellStart"/>
      <w:r w:rsidR="007C20B5" w:rsidRPr="007C20B5">
        <w:rPr>
          <w:rFonts w:asciiTheme="minorHAnsi" w:hAnsiTheme="minorHAnsi"/>
          <w:sz w:val="24"/>
          <w:szCs w:val="24"/>
        </w:rPr>
        <w:t>lenvatinib</w:t>
      </w:r>
      <w:proofErr w:type="spellEnd"/>
      <w:r w:rsidR="007C20B5" w:rsidRPr="007C20B5">
        <w:rPr>
          <w:rFonts w:asciiTheme="minorHAnsi" w:hAnsiTheme="minorHAnsi"/>
          <w:sz w:val="24"/>
          <w:szCs w:val="24"/>
        </w:rPr>
        <w:t xml:space="preserve"> as a treatment for RCC. This is unchanged from the November 2017 submission. T</w:t>
      </w:r>
      <w:r w:rsidR="003A7451">
        <w:rPr>
          <w:rFonts w:asciiTheme="minorHAnsi" w:hAnsiTheme="minorHAnsi"/>
          <w:sz w:val="24"/>
          <w:szCs w:val="24"/>
        </w:rPr>
        <w:t xml:space="preserve">he </w:t>
      </w:r>
      <w:r w:rsidR="007C20B5" w:rsidRPr="007C20B5">
        <w:rPr>
          <w:rFonts w:asciiTheme="minorHAnsi" w:hAnsiTheme="minorHAnsi"/>
          <w:sz w:val="24"/>
          <w:szCs w:val="24"/>
        </w:rPr>
        <w:t>resubmission state</w:t>
      </w:r>
      <w:r w:rsidR="003A7451">
        <w:rPr>
          <w:rFonts w:asciiTheme="minorHAnsi" w:hAnsiTheme="minorHAnsi"/>
          <w:sz w:val="24"/>
          <w:szCs w:val="24"/>
        </w:rPr>
        <w:t>d</w:t>
      </w:r>
      <w:r w:rsidR="007C20B5" w:rsidRPr="007C20B5">
        <w:rPr>
          <w:rFonts w:asciiTheme="minorHAnsi" w:hAnsiTheme="minorHAnsi"/>
          <w:sz w:val="24"/>
          <w:szCs w:val="24"/>
        </w:rPr>
        <w:t xml:space="preserve"> that </w:t>
      </w:r>
      <w:r w:rsidR="001E5643">
        <w:rPr>
          <w:rFonts w:asciiTheme="minorHAnsi" w:hAnsiTheme="minorHAnsi"/>
          <w:sz w:val="24"/>
          <w:szCs w:val="24"/>
        </w:rPr>
        <w:t>at the time of the resubmission</w:t>
      </w:r>
      <w:r w:rsidR="007C20B5" w:rsidRPr="007C20B5">
        <w:rPr>
          <w:rFonts w:asciiTheme="minorHAnsi" w:hAnsiTheme="minorHAnsi"/>
          <w:sz w:val="24"/>
          <w:szCs w:val="24"/>
        </w:rPr>
        <w:t xml:space="preserve"> only three requests for access to </w:t>
      </w:r>
      <w:proofErr w:type="spellStart"/>
      <w:r w:rsidR="007C20B5" w:rsidRPr="007C20B5">
        <w:rPr>
          <w:rFonts w:asciiTheme="minorHAnsi" w:hAnsiTheme="minorHAnsi"/>
          <w:sz w:val="24"/>
          <w:szCs w:val="24"/>
        </w:rPr>
        <w:t>lenvatinib</w:t>
      </w:r>
      <w:proofErr w:type="spellEnd"/>
      <w:r w:rsidR="007C20B5" w:rsidRPr="007C20B5">
        <w:rPr>
          <w:rFonts w:asciiTheme="minorHAnsi" w:hAnsiTheme="minorHAnsi"/>
          <w:sz w:val="24"/>
          <w:szCs w:val="24"/>
        </w:rPr>
        <w:t xml:space="preserve"> through this program ha</w:t>
      </w:r>
      <w:r w:rsidR="001E5643">
        <w:rPr>
          <w:rFonts w:asciiTheme="minorHAnsi" w:hAnsiTheme="minorHAnsi"/>
          <w:sz w:val="24"/>
          <w:szCs w:val="24"/>
        </w:rPr>
        <w:t>d</w:t>
      </w:r>
      <w:r w:rsidR="007C20B5" w:rsidRPr="007C20B5">
        <w:rPr>
          <w:rFonts w:asciiTheme="minorHAnsi" w:hAnsiTheme="minorHAnsi"/>
          <w:sz w:val="24"/>
          <w:szCs w:val="24"/>
        </w:rPr>
        <w:t xml:space="preserve"> been received with the treatment supplied to two patients. </w:t>
      </w:r>
    </w:p>
    <w:p w:rsidR="0090764C" w:rsidRPr="005055DA" w:rsidRDefault="00F53AAC" w:rsidP="0047196E">
      <w:pPr>
        <w:pStyle w:val="ListParagraph"/>
        <w:widowControl/>
        <w:numPr>
          <w:ilvl w:val="1"/>
          <w:numId w:val="14"/>
        </w:numPr>
        <w:spacing w:before="120" w:after="160"/>
        <w:contextualSpacing w:val="0"/>
        <w:rPr>
          <w:rFonts w:asciiTheme="minorHAnsi" w:eastAsiaTheme="minorHAnsi" w:hAnsiTheme="minorHAnsi"/>
          <w:snapToGrid/>
          <w:sz w:val="24"/>
          <w:szCs w:val="24"/>
        </w:rPr>
      </w:pPr>
      <w:r w:rsidRPr="005055DA">
        <w:rPr>
          <w:rFonts w:asciiTheme="minorHAnsi" w:hAnsiTheme="minorHAnsi"/>
          <w:sz w:val="24"/>
          <w:szCs w:val="24"/>
        </w:rPr>
        <w:t>The table below provides a summary of the estimated patient numbers, scripts and costs to</w:t>
      </w:r>
      <w:r w:rsidR="00114F23" w:rsidRPr="005055DA">
        <w:rPr>
          <w:rFonts w:asciiTheme="minorHAnsi" w:hAnsiTheme="minorHAnsi"/>
          <w:sz w:val="24"/>
          <w:szCs w:val="24"/>
        </w:rPr>
        <w:t xml:space="preserve"> the PBS/RPBS</w:t>
      </w:r>
      <w:r w:rsidRPr="005055DA">
        <w:rPr>
          <w:rFonts w:asciiTheme="minorHAnsi" w:hAnsiTheme="minorHAnsi"/>
          <w:sz w:val="24"/>
          <w:szCs w:val="24"/>
        </w:rPr>
        <w:t>. As a minor submission, these changes were not evaluated.</w:t>
      </w:r>
    </w:p>
    <w:p w:rsidR="005055DA" w:rsidRDefault="005055DA">
      <w:pPr>
        <w:rPr>
          <w:rFonts w:ascii="Arial Narrow" w:eastAsiaTheme="minorHAnsi" w:hAnsi="Arial Narrow" w:cstheme="minorBidi"/>
          <w:b/>
          <w:sz w:val="20"/>
          <w:szCs w:val="22"/>
          <w:lang w:eastAsia="en-US"/>
        </w:rPr>
      </w:pPr>
      <w:r>
        <w:br w:type="page"/>
      </w:r>
    </w:p>
    <w:p w:rsidR="00385C72" w:rsidRPr="00591EA6" w:rsidRDefault="003C714F" w:rsidP="00385C72">
      <w:pPr>
        <w:pStyle w:val="TableHeading0"/>
      </w:pPr>
      <w:r>
        <w:lastRenderedPageBreak/>
        <w:t xml:space="preserve">Table </w:t>
      </w:r>
      <w:r w:rsidR="003A7451">
        <w:t>9</w:t>
      </w:r>
      <w:r w:rsidR="00385C72" w:rsidRPr="00591EA6">
        <w:t>:</w:t>
      </w:r>
      <w:r w:rsidR="00385C72">
        <w:t xml:space="preserve"> </w:t>
      </w:r>
      <w:r w:rsidR="00385C72" w:rsidRPr="00591EA6">
        <w:t>Estimated use and financial implications</w:t>
      </w:r>
      <w:r w:rsidR="00385C72">
        <w:t xml:space="preserve"> for PBS/RPBS</w:t>
      </w:r>
    </w:p>
    <w:tbl>
      <w:tblPr>
        <w:tblStyle w:val="TableGrid"/>
        <w:tblW w:w="5090" w:type="pct"/>
        <w:tblLayout w:type="fixed"/>
        <w:tblCellMar>
          <w:left w:w="28" w:type="dxa"/>
          <w:right w:w="28" w:type="dxa"/>
        </w:tblCellMar>
        <w:tblLook w:val="04A0" w:firstRow="1" w:lastRow="0" w:firstColumn="1" w:lastColumn="0" w:noHBand="0" w:noVBand="1"/>
        <w:tblCaption w:val="Table 9: Estimated use and financial implications for PBS/RPBS"/>
      </w:tblPr>
      <w:tblGrid>
        <w:gridCol w:w="3005"/>
        <w:gridCol w:w="1039"/>
        <w:gridCol w:w="1039"/>
        <w:gridCol w:w="1039"/>
        <w:gridCol w:w="1039"/>
        <w:gridCol w:w="1039"/>
        <w:gridCol w:w="1045"/>
      </w:tblGrid>
      <w:tr w:rsidR="00385C72" w:rsidRPr="00591EA6" w:rsidTr="00385C72">
        <w:trPr>
          <w:trHeight w:val="229"/>
          <w:tblHeader/>
        </w:trPr>
        <w:tc>
          <w:tcPr>
            <w:tcW w:w="1625" w:type="pct"/>
            <w:shd w:val="clear" w:color="auto" w:fill="auto"/>
            <w:vAlign w:val="center"/>
          </w:tcPr>
          <w:p w:rsidR="00385C72" w:rsidRPr="00591EA6" w:rsidRDefault="00385C72" w:rsidP="00385C72">
            <w:pPr>
              <w:keepNext/>
              <w:tabs>
                <w:tab w:val="left" w:pos="142"/>
              </w:tabs>
              <w:rPr>
                <w:rFonts w:ascii="Arial Narrow" w:hAnsi="Arial Narrow"/>
                <w:sz w:val="20"/>
                <w:szCs w:val="20"/>
              </w:rPr>
            </w:pPr>
          </w:p>
        </w:tc>
        <w:tc>
          <w:tcPr>
            <w:tcW w:w="562" w:type="pct"/>
            <w:shd w:val="clear" w:color="auto" w:fill="auto"/>
            <w:vAlign w:val="center"/>
          </w:tcPr>
          <w:p w:rsidR="00385C72" w:rsidRPr="002C4190" w:rsidRDefault="00385C72" w:rsidP="00385C72">
            <w:pPr>
              <w:keepNext/>
              <w:jc w:val="center"/>
              <w:rPr>
                <w:rFonts w:ascii="Arial Narrow" w:hAnsi="Arial Narrow"/>
                <w:b/>
                <w:sz w:val="20"/>
                <w:szCs w:val="20"/>
              </w:rPr>
            </w:pPr>
            <w:r w:rsidRPr="002C4190">
              <w:rPr>
                <w:rFonts w:ascii="Arial Narrow" w:hAnsi="Arial Narrow"/>
                <w:b/>
                <w:sz w:val="20"/>
                <w:szCs w:val="20"/>
              </w:rPr>
              <w:t>Year 1</w:t>
            </w:r>
          </w:p>
        </w:tc>
        <w:tc>
          <w:tcPr>
            <w:tcW w:w="562" w:type="pct"/>
            <w:shd w:val="clear" w:color="auto" w:fill="auto"/>
            <w:vAlign w:val="center"/>
          </w:tcPr>
          <w:p w:rsidR="00385C72" w:rsidRPr="002C4190" w:rsidRDefault="00385C72" w:rsidP="00385C72">
            <w:pPr>
              <w:keepNext/>
              <w:jc w:val="center"/>
              <w:rPr>
                <w:rFonts w:ascii="Arial Narrow" w:hAnsi="Arial Narrow"/>
                <w:b/>
                <w:sz w:val="20"/>
                <w:szCs w:val="20"/>
              </w:rPr>
            </w:pPr>
            <w:r w:rsidRPr="002C4190">
              <w:rPr>
                <w:rFonts w:ascii="Arial Narrow" w:hAnsi="Arial Narrow"/>
                <w:b/>
                <w:sz w:val="20"/>
                <w:szCs w:val="20"/>
              </w:rPr>
              <w:t>Year 2</w:t>
            </w:r>
          </w:p>
        </w:tc>
        <w:tc>
          <w:tcPr>
            <w:tcW w:w="562" w:type="pct"/>
            <w:shd w:val="clear" w:color="auto" w:fill="auto"/>
            <w:vAlign w:val="center"/>
          </w:tcPr>
          <w:p w:rsidR="00385C72" w:rsidRPr="002C4190" w:rsidRDefault="00385C72" w:rsidP="00385C72">
            <w:pPr>
              <w:keepNext/>
              <w:jc w:val="center"/>
              <w:rPr>
                <w:rFonts w:ascii="Arial Narrow" w:hAnsi="Arial Narrow"/>
                <w:b/>
                <w:sz w:val="20"/>
                <w:szCs w:val="20"/>
              </w:rPr>
            </w:pPr>
            <w:r w:rsidRPr="002C4190">
              <w:rPr>
                <w:rFonts w:ascii="Arial Narrow" w:hAnsi="Arial Narrow"/>
                <w:b/>
                <w:sz w:val="20"/>
                <w:szCs w:val="20"/>
              </w:rPr>
              <w:t>Year 3</w:t>
            </w:r>
          </w:p>
        </w:tc>
        <w:tc>
          <w:tcPr>
            <w:tcW w:w="562" w:type="pct"/>
            <w:shd w:val="clear" w:color="auto" w:fill="auto"/>
            <w:vAlign w:val="center"/>
          </w:tcPr>
          <w:p w:rsidR="00385C72" w:rsidRPr="002C4190" w:rsidRDefault="00385C72" w:rsidP="00385C72">
            <w:pPr>
              <w:keepNext/>
              <w:jc w:val="center"/>
              <w:rPr>
                <w:rFonts w:ascii="Arial Narrow" w:hAnsi="Arial Narrow"/>
                <w:b/>
                <w:sz w:val="20"/>
                <w:szCs w:val="20"/>
              </w:rPr>
            </w:pPr>
            <w:r w:rsidRPr="002C4190">
              <w:rPr>
                <w:rFonts w:ascii="Arial Narrow" w:hAnsi="Arial Narrow"/>
                <w:b/>
                <w:sz w:val="20"/>
                <w:szCs w:val="20"/>
              </w:rPr>
              <w:t>Year 4</w:t>
            </w:r>
          </w:p>
        </w:tc>
        <w:tc>
          <w:tcPr>
            <w:tcW w:w="562" w:type="pct"/>
            <w:shd w:val="clear" w:color="auto" w:fill="auto"/>
            <w:vAlign w:val="center"/>
          </w:tcPr>
          <w:p w:rsidR="00385C72" w:rsidRPr="002C4190" w:rsidRDefault="00385C72" w:rsidP="00385C72">
            <w:pPr>
              <w:keepNext/>
              <w:jc w:val="center"/>
              <w:rPr>
                <w:rFonts w:ascii="Arial Narrow" w:hAnsi="Arial Narrow"/>
                <w:b/>
                <w:sz w:val="20"/>
                <w:szCs w:val="20"/>
              </w:rPr>
            </w:pPr>
            <w:r w:rsidRPr="002C4190">
              <w:rPr>
                <w:rFonts w:ascii="Arial Narrow" w:hAnsi="Arial Narrow"/>
                <w:b/>
                <w:sz w:val="20"/>
                <w:szCs w:val="20"/>
              </w:rPr>
              <w:t>Year 5</w:t>
            </w:r>
          </w:p>
        </w:tc>
        <w:tc>
          <w:tcPr>
            <w:tcW w:w="565" w:type="pct"/>
            <w:shd w:val="clear" w:color="auto" w:fill="auto"/>
            <w:vAlign w:val="center"/>
          </w:tcPr>
          <w:p w:rsidR="00385C72" w:rsidRPr="002C4190" w:rsidRDefault="00385C72" w:rsidP="00385C72">
            <w:pPr>
              <w:keepNext/>
              <w:jc w:val="center"/>
              <w:rPr>
                <w:rFonts w:ascii="Arial Narrow" w:hAnsi="Arial Narrow"/>
                <w:b/>
                <w:sz w:val="20"/>
                <w:szCs w:val="20"/>
              </w:rPr>
            </w:pPr>
            <w:r w:rsidRPr="002C4190">
              <w:rPr>
                <w:rFonts w:ascii="Arial Narrow" w:hAnsi="Arial Narrow"/>
                <w:b/>
                <w:sz w:val="20"/>
                <w:szCs w:val="20"/>
              </w:rPr>
              <w:t>Year 6</w:t>
            </w:r>
          </w:p>
        </w:tc>
      </w:tr>
      <w:tr w:rsidR="00385C72" w:rsidRPr="00591EA6" w:rsidTr="00385C72">
        <w:trPr>
          <w:trHeight w:val="229"/>
        </w:trPr>
        <w:tc>
          <w:tcPr>
            <w:tcW w:w="5000" w:type="pct"/>
            <w:gridSpan w:val="7"/>
            <w:shd w:val="clear" w:color="auto" w:fill="auto"/>
            <w:vAlign w:val="center"/>
          </w:tcPr>
          <w:p w:rsidR="00385C72" w:rsidRPr="00385C72" w:rsidRDefault="00385C72" w:rsidP="00385C72">
            <w:pPr>
              <w:rPr>
                <w:rFonts w:ascii="Arial Narrow" w:hAnsi="Arial Narrow"/>
                <w:b/>
                <w:sz w:val="20"/>
              </w:rPr>
            </w:pPr>
            <w:r w:rsidRPr="00385C72">
              <w:rPr>
                <w:rFonts w:ascii="Arial Narrow" w:hAnsi="Arial Narrow"/>
                <w:b/>
                <w:sz w:val="20"/>
              </w:rPr>
              <w:t>Estimated extent of use</w:t>
            </w:r>
          </w:p>
        </w:tc>
      </w:tr>
      <w:tr w:rsidR="00385C72" w:rsidRPr="00591EA6" w:rsidTr="00385C72">
        <w:trPr>
          <w:trHeight w:val="229"/>
        </w:trPr>
        <w:tc>
          <w:tcPr>
            <w:tcW w:w="1625" w:type="pct"/>
            <w:shd w:val="clear" w:color="auto" w:fill="auto"/>
            <w:vAlign w:val="center"/>
          </w:tcPr>
          <w:p w:rsidR="00385C72" w:rsidRPr="00591EA6" w:rsidRDefault="00385C72" w:rsidP="00385C72">
            <w:pPr>
              <w:tabs>
                <w:tab w:val="left" w:pos="142"/>
              </w:tabs>
              <w:rPr>
                <w:rFonts w:ascii="Arial Narrow" w:hAnsi="Arial Narrow"/>
                <w:sz w:val="20"/>
                <w:szCs w:val="20"/>
              </w:rPr>
            </w:pPr>
            <w:r w:rsidRPr="00591EA6">
              <w:rPr>
                <w:rFonts w:ascii="Arial Narrow" w:hAnsi="Arial Narrow"/>
                <w:sz w:val="20"/>
              </w:rPr>
              <w:t>N</w:t>
            </w:r>
            <w:r>
              <w:rPr>
                <w:rFonts w:ascii="Arial Narrow" w:hAnsi="Arial Narrow"/>
                <w:sz w:val="20"/>
              </w:rPr>
              <w:t xml:space="preserve">o. </w:t>
            </w:r>
            <w:r w:rsidRPr="00591EA6">
              <w:rPr>
                <w:rFonts w:ascii="Arial Narrow" w:hAnsi="Arial Narrow"/>
                <w:sz w:val="20"/>
              </w:rPr>
              <w:t>p</w:t>
            </w:r>
            <w:r>
              <w:rPr>
                <w:rFonts w:ascii="Arial Narrow" w:hAnsi="Arial Narrow"/>
                <w:sz w:val="20"/>
              </w:rPr>
              <w:t>t</w:t>
            </w:r>
            <w:r w:rsidRPr="00591EA6">
              <w:rPr>
                <w:rFonts w:ascii="Arial Narrow" w:hAnsi="Arial Narrow"/>
                <w:sz w:val="20"/>
              </w:rPr>
              <w:t xml:space="preserve">s treated </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5"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r>
      <w:tr w:rsidR="00385C72" w:rsidRPr="00591EA6" w:rsidTr="00385C72">
        <w:trPr>
          <w:trHeight w:val="229"/>
        </w:trPr>
        <w:tc>
          <w:tcPr>
            <w:tcW w:w="1625" w:type="pct"/>
            <w:shd w:val="clear" w:color="auto" w:fill="auto"/>
            <w:vAlign w:val="center"/>
          </w:tcPr>
          <w:p w:rsidR="00385C72" w:rsidRPr="001F19E9" w:rsidRDefault="00385C72" w:rsidP="009F5513">
            <w:pPr>
              <w:tabs>
                <w:tab w:val="left" w:pos="142"/>
              </w:tabs>
              <w:rPr>
                <w:rFonts w:ascii="Arial Narrow" w:hAnsi="Arial Narrow"/>
                <w:sz w:val="20"/>
                <w:vertAlign w:val="superscript"/>
              </w:rPr>
            </w:pPr>
            <w:r w:rsidRPr="00591EA6">
              <w:rPr>
                <w:rFonts w:ascii="Arial Narrow" w:hAnsi="Arial Narrow"/>
                <w:sz w:val="20"/>
              </w:rPr>
              <w:t>N</w:t>
            </w:r>
            <w:r>
              <w:rPr>
                <w:rFonts w:ascii="Arial Narrow" w:hAnsi="Arial Narrow"/>
                <w:sz w:val="20"/>
              </w:rPr>
              <w:t xml:space="preserve">o. </w:t>
            </w:r>
            <w:r w:rsidR="009F5513">
              <w:rPr>
                <w:rFonts w:ascii="Arial Narrow" w:hAnsi="Arial Narrow"/>
                <w:sz w:val="20"/>
              </w:rPr>
              <w:t xml:space="preserve">of scripts </w:t>
            </w:r>
            <w:proofErr w:type="spellStart"/>
            <w:r w:rsidR="009F5513">
              <w:rPr>
                <w:rFonts w:ascii="Arial Narrow" w:hAnsi="Arial Narrow"/>
                <w:sz w:val="20"/>
              </w:rPr>
              <w:t>dispensed</w:t>
            </w:r>
            <w:r w:rsidR="001F19E9">
              <w:rPr>
                <w:rFonts w:ascii="Arial Narrow" w:hAnsi="Arial Narrow"/>
                <w:sz w:val="20"/>
                <w:vertAlign w:val="superscript"/>
              </w:rPr>
              <w:t>a</w:t>
            </w:r>
            <w:proofErr w:type="spellEnd"/>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5" w:type="pct"/>
            <w:shd w:val="clear" w:color="auto" w:fill="auto"/>
            <w:vAlign w:val="center"/>
          </w:tcPr>
          <w:p w:rsidR="00385C72"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r>
      <w:tr w:rsidR="009F5513" w:rsidRPr="00591EA6" w:rsidTr="009F5513">
        <w:trPr>
          <w:trHeight w:val="229"/>
        </w:trPr>
        <w:tc>
          <w:tcPr>
            <w:tcW w:w="5000" w:type="pct"/>
            <w:gridSpan w:val="7"/>
            <w:shd w:val="clear" w:color="auto" w:fill="BFBFBF" w:themeFill="background1" w:themeFillShade="BF"/>
            <w:vAlign w:val="center"/>
          </w:tcPr>
          <w:p w:rsidR="009F5513" w:rsidRPr="009F5513" w:rsidRDefault="009F5513" w:rsidP="00385C72">
            <w:pPr>
              <w:rPr>
                <w:rFonts w:ascii="Arial Narrow" w:hAnsi="Arial Narrow"/>
                <w:b/>
                <w:sz w:val="20"/>
              </w:rPr>
            </w:pPr>
            <w:r w:rsidRPr="009F5513">
              <w:rPr>
                <w:rFonts w:ascii="Arial Narrow" w:hAnsi="Arial Narrow"/>
                <w:b/>
                <w:sz w:val="20"/>
              </w:rPr>
              <w:t>Previous submission (November 2017) – estimated extent of use</w:t>
            </w:r>
          </w:p>
        </w:tc>
      </w:tr>
      <w:tr w:rsidR="009F5513" w:rsidRPr="00591EA6" w:rsidTr="009F5513">
        <w:trPr>
          <w:trHeight w:val="229"/>
        </w:trPr>
        <w:tc>
          <w:tcPr>
            <w:tcW w:w="1625" w:type="pct"/>
            <w:shd w:val="clear" w:color="auto" w:fill="BFBFBF" w:themeFill="background1" w:themeFillShade="BF"/>
            <w:vAlign w:val="center"/>
          </w:tcPr>
          <w:p w:rsidR="009F5513" w:rsidRPr="00591EA6" w:rsidRDefault="009F5513" w:rsidP="00385C72">
            <w:pPr>
              <w:tabs>
                <w:tab w:val="left" w:pos="142"/>
              </w:tabs>
              <w:rPr>
                <w:rFonts w:ascii="Arial Narrow" w:hAnsi="Arial Narrow"/>
                <w:sz w:val="20"/>
                <w:szCs w:val="20"/>
              </w:rPr>
            </w:pPr>
            <w:r>
              <w:rPr>
                <w:rFonts w:ascii="Arial Narrow" w:hAnsi="Arial Narrow"/>
                <w:sz w:val="20"/>
                <w:szCs w:val="20"/>
              </w:rPr>
              <w:t>No. pts treated</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5"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r>
      <w:tr w:rsidR="009F5513" w:rsidRPr="00591EA6" w:rsidTr="009F5513">
        <w:trPr>
          <w:trHeight w:val="229"/>
        </w:trPr>
        <w:tc>
          <w:tcPr>
            <w:tcW w:w="1625" w:type="pct"/>
            <w:shd w:val="clear" w:color="auto" w:fill="BFBFBF" w:themeFill="background1" w:themeFillShade="BF"/>
            <w:vAlign w:val="center"/>
          </w:tcPr>
          <w:p w:rsidR="009F5513" w:rsidRPr="001F19E9" w:rsidRDefault="009F5513" w:rsidP="00385C72">
            <w:pPr>
              <w:tabs>
                <w:tab w:val="left" w:pos="142"/>
              </w:tabs>
              <w:rPr>
                <w:rFonts w:ascii="Arial Narrow" w:hAnsi="Arial Narrow"/>
                <w:sz w:val="20"/>
                <w:szCs w:val="20"/>
                <w:vertAlign w:val="superscript"/>
              </w:rPr>
            </w:pPr>
            <w:r>
              <w:rPr>
                <w:rFonts w:ascii="Arial Narrow" w:hAnsi="Arial Narrow"/>
                <w:sz w:val="20"/>
                <w:szCs w:val="20"/>
              </w:rPr>
              <w:t xml:space="preserve">No. of scripts </w:t>
            </w:r>
            <w:proofErr w:type="spellStart"/>
            <w:r>
              <w:rPr>
                <w:rFonts w:ascii="Arial Narrow" w:hAnsi="Arial Narrow"/>
                <w:sz w:val="20"/>
                <w:szCs w:val="20"/>
              </w:rPr>
              <w:t>dispensed</w:t>
            </w:r>
            <w:r w:rsidR="001F19E9">
              <w:rPr>
                <w:rFonts w:ascii="Arial Narrow" w:hAnsi="Arial Narrow"/>
                <w:sz w:val="20"/>
                <w:szCs w:val="20"/>
                <w:vertAlign w:val="superscript"/>
              </w:rPr>
              <w:t>a</w:t>
            </w:r>
            <w:proofErr w:type="spellEnd"/>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2"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c>
          <w:tcPr>
            <w:tcW w:w="565" w:type="pct"/>
            <w:shd w:val="clear" w:color="auto" w:fill="BFBFBF" w:themeFill="background1" w:themeFillShade="BF"/>
          </w:tcPr>
          <w:p w:rsidR="009F5513" w:rsidRPr="00DE7568" w:rsidRDefault="00DE7568" w:rsidP="00385C72">
            <w:pPr>
              <w:rPr>
                <w:rFonts w:ascii="Arial Narrow" w:hAnsi="Arial Narrow"/>
                <w:sz w:val="20"/>
                <w:highlight w:val="black"/>
              </w:rPr>
            </w:pPr>
            <w:r>
              <w:rPr>
                <w:rFonts w:ascii="Arial Narrow" w:hAnsi="Arial Narrow"/>
                <w:noProof/>
                <w:color w:val="000000"/>
                <w:sz w:val="20"/>
                <w:highlight w:val="black"/>
              </w:rPr>
              <w:t>'''''''''''''</w:t>
            </w:r>
          </w:p>
        </w:tc>
      </w:tr>
      <w:tr w:rsidR="001F19E9" w:rsidRPr="00591EA6" w:rsidTr="001F19E9">
        <w:trPr>
          <w:trHeight w:val="229"/>
        </w:trPr>
        <w:tc>
          <w:tcPr>
            <w:tcW w:w="5000" w:type="pct"/>
            <w:gridSpan w:val="7"/>
            <w:shd w:val="clear" w:color="auto" w:fill="auto"/>
            <w:vAlign w:val="center"/>
          </w:tcPr>
          <w:p w:rsidR="001F19E9" w:rsidRPr="001F19E9" w:rsidRDefault="001F19E9" w:rsidP="00385C72">
            <w:pPr>
              <w:pStyle w:val="TableText0"/>
              <w:rPr>
                <w:b/>
              </w:rPr>
            </w:pPr>
            <w:r w:rsidRPr="001F19E9">
              <w:rPr>
                <w:b/>
              </w:rPr>
              <w:t xml:space="preserve">Estimated financial implications of </w:t>
            </w:r>
            <w:proofErr w:type="spellStart"/>
            <w:r w:rsidRPr="001F19E9">
              <w:rPr>
                <w:b/>
              </w:rPr>
              <w:t>lenvatinib</w:t>
            </w:r>
            <w:proofErr w:type="spellEnd"/>
            <w:r w:rsidRPr="001F19E9">
              <w:rPr>
                <w:b/>
              </w:rPr>
              <w:t>/</w:t>
            </w:r>
            <w:proofErr w:type="spellStart"/>
            <w:r w:rsidRPr="001F19E9">
              <w:rPr>
                <w:b/>
              </w:rPr>
              <w:t>everolimus</w:t>
            </w:r>
            <w:proofErr w:type="spellEnd"/>
            <w:r w:rsidRPr="001F19E9">
              <w:rPr>
                <w:b/>
              </w:rPr>
              <w:t xml:space="preserve"> therapy</w:t>
            </w:r>
          </w:p>
        </w:tc>
      </w:tr>
      <w:tr w:rsidR="009B23A9" w:rsidRPr="00591EA6" w:rsidTr="00385C72">
        <w:trPr>
          <w:trHeight w:val="137"/>
        </w:trPr>
        <w:tc>
          <w:tcPr>
            <w:tcW w:w="1625" w:type="pct"/>
            <w:shd w:val="clear" w:color="auto" w:fill="auto"/>
            <w:vAlign w:val="center"/>
          </w:tcPr>
          <w:p w:rsidR="009B23A9" w:rsidRPr="00333F9F" w:rsidRDefault="009B23A9" w:rsidP="00385C72">
            <w:pPr>
              <w:pStyle w:val="TableText0"/>
            </w:pPr>
            <w:r>
              <w:t>Cost to PBS/RPBS</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5" w:type="pct"/>
            <w:shd w:val="clear" w:color="auto" w:fill="auto"/>
          </w:tcPr>
          <w:p w:rsidR="009B23A9" w:rsidRPr="009B23A9" w:rsidRDefault="009B23A9" w:rsidP="009B23A9">
            <w:pPr>
              <w:pStyle w:val="TableText0"/>
            </w:pPr>
            <w:r w:rsidRPr="009B23A9">
              <w:t>$</w:t>
            </w:r>
            <w:r w:rsidR="00DE7568">
              <w:rPr>
                <w:noProof/>
                <w:color w:val="000000"/>
                <w:highlight w:val="black"/>
              </w:rPr>
              <w:t>''''''''''''''''''''''''''</w:t>
            </w:r>
          </w:p>
        </w:tc>
      </w:tr>
      <w:tr w:rsidR="009B23A9" w:rsidRPr="00591EA6" w:rsidTr="00385C72">
        <w:trPr>
          <w:trHeight w:val="137"/>
        </w:trPr>
        <w:tc>
          <w:tcPr>
            <w:tcW w:w="1625" w:type="pct"/>
            <w:shd w:val="clear" w:color="auto" w:fill="auto"/>
            <w:vAlign w:val="center"/>
          </w:tcPr>
          <w:p w:rsidR="009B23A9" w:rsidRPr="00333F9F" w:rsidRDefault="009B23A9" w:rsidP="00385C72">
            <w:pPr>
              <w:pStyle w:val="TableText0"/>
            </w:pPr>
            <w:r>
              <w:t>Co-payments</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5" w:type="pct"/>
            <w:shd w:val="clear" w:color="auto" w:fill="auto"/>
          </w:tcPr>
          <w:p w:rsidR="009B23A9" w:rsidRPr="009B23A9" w:rsidRDefault="009B23A9" w:rsidP="009B23A9">
            <w:pPr>
              <w:pStyle w:val="TableText0"/>
            </w:pPr>
            <w:r w:rsidRPr="009B23A9">
              <w:t>-$</w:t>
            </w:r>
            <w:r w:rsidR="00DE7568">
              <w:rPr>
                <w:noProof/>
                <w:color w:val="000000"/>
                <w:highlight w:val="black"/>
              </w:rPr>
              <w:t>''''''''''''''''</w:t>
            </w:r>
          </w:p>
        </w:tc>
      </w:tr>
      <w:tr w:rsidR="009B23A9" w:rsidRPr="00591EA6" w:rsidTr="00385C72">
        <w:trPr>
          <w:trHeight w:val="137"/>
        </w:trPr>
        <w:tc>
          <w:tcPr>
            <w:tcW w:w="1625" w:type="pct"/>
            <w:shd w:val="clear" w:color="auto" w:fill="auto"/>
            <w:vAlign w:val="center"/>
          </w:tcPr>
          <w:p w:rsidR="009B23A9" w:rsidRPr="00333F9F" w:rsidRDefault="009B23A9" w:rsidP="00385C72">
            <w:pPr>
              <w:pStyle w:val="TableText0"/>
            </w:pPr>
            <w:r>
              <w:t>Cost to PBS/RPBS less co-payments</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tcPr>
          <w:p w:rsidR="009B23A9" w:rsidRPr="009B23A9" w:rsidRDefault="009B23A9" w:rsidP="009B23A9">
            <w:pPr>
              <w:pStyle w:val="TableText0"/>
            </w:pPr>
            <w:r w:rsidRPr="009B23A9">
              <w:t>$</w:t>
            </w:r>
            <w:r w:rsidR="00DE7568">
              <w:rPr>
                <w:noProof/>
                <w:color w:val="000000"/>
                <w:highlight w:val="black"/>
              </w:rPr>
              <w:t>'''''''''''''''''''''''</w:t>
            </w:r>
          </w:p>
        </w:tc>
        <w:tc>
          <w:tcPr>
            <w:tcW w:w="565" w:type="pct"/>
            <w:shd w:val="clear" w:color="auto" w:fill="auto"/>
          </w:tcPr>
          <w:p w:rsidR="009B23A9" w:rsidRPr="009B23A9" w:rsidRDefault="009B23A9" w:rsidP="009B23A9">
            <w:pPr>
              <w:pStyle w:val="TableText0"/>
            </w:pPr>
            <w:r w:rsidRPr="009B23A9">
              <w:t>$</w:t>
            </w:r>
            <w:r w:rsidR="00DE7568">
              <w:rPr>
                <w:noProof/>
                <w:color w:val="000000"/>
                <w:highlight w:val="black"/>
              </w:rPr>
              <w:t>'''''''''''''''''''''''</w:t>
            </w:r>
          </w:p>
        </w:tc>
      </w:tr>
      <w:tr w:rsidR="003F1295" w:rsidRPr="00591EA6" w:rsidTr="003F1295">
        <w:trPr>
          <w:trHeight w:val="137"/>
        </w:trPr>
        <w:tc>
          <w:tcPr>
            <w:tcW w:w="5000" w:type="pct"/>
            <w:gridSpan w:val="7"/>
            <w:shd w:val="clear" w:color="auto" w:fill="auto"/>
            <w:vAlign w:val="center"/>
          </w:tcPr>
          <w:p w:rsidR="003F1295" w:rsidRPr="003F1295" w:rsidRDefault="003F1295" w:rsidP="00385C72">
            <w:pPr>
              <w:pStyle w:val="TableText0"/>
              <w:rPr>
                <w:b/>
              </w:rPr>
            </w:pPr>
            <w:r>
              <w:rPr>
                <w:b/>
              </w:rPr>
              <w:t xml:space="preserve">Estimated financial implications for </w:t>
            </w:r>
            <w:proofErr w:type="spellStart"/>
            <w:r>
              <w:rPr>
                <w:b/>
              </w:rPr>
              <w:t>everolimus</w:t>
            </w:r>
            <w:proofErr w:type="spellEnd"/>
            <w:r>
              <w:rPr>
                <w:b/>
              </w:rPr>
              <w:t xml:space="preserve"> 10 mg tablet (offset)</w:t>
            </w:r>
          </w:p>
        </w:tc>
      </w:tr>
      <w:tr w:rsidR="009B23A9" w:rsidRPr="00591EA6" w:rsidTr="00DE31B5">
        <w:trPr>
          <w:trHeight w:val="137"/>
        </w:trPr>
        <w:tc>
          <w:tcPr>
            <w:tcW w:w="1625" w:type="pct"/>
            <w:shd w:val="clear" w:color="auto" w:fill="auto"/>
            <w:vAlign w:val="center"/>
          </w:tcPr>
          <w:p w:rsidR="009B23A9" w:rsidRPr="00333F9F" w:rsidRDefault="009B23A9" w:rsidP="00385C72">
            <w:pPr>
              <w:pStyle w:val="TableText0"/>
            </w:pPr>
            <w:r>
              <w:t>Cost to PBS/RPBS</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5"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r>
      <w:tr w:rsidR="009B23A9" w:rsidRPr="00591EA6" w:rsidTr="00DE31B5">
        <w:trPr>
          <w:trHeight w:val="137"/>
        </w:trPr>
        <w:tc>
          <w:tcPr>
            <w:tcW w:w="1625" w:type="pct"/>
            <w:shd w:val="clear" w:color="auto" w:fill="auto"/>
            <w:vAlign w:val="center"/>
          </w:tcPr>
          <w:p w:rsidR="009B23A9" w:rsidRPr="00333F9F" w:rsidRDefault="009B23A9" w:rsidP="00385C72">
            <w:pPr>
              <w:pStyle w:val="TableText0"/>
            </w:pPr>
            <w:r>
              <w:t>Co-payments</w:t>
            </w:r>
          </w:p>
        </w:tc>
        <w:tc>
          <w:tcPr>
            <w:tcW w:w="562" w:type="pct"/>
            <w:shd w:val="clear" w:color="auto" w:fill="auto"/>
            <w:vAlign w:val="center"/>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vAlign w:val="center"/>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vAlign w:val="center"/>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vAlign w:val="center"/>
          </w:tcPr>
          <w:p w:rsidR="009B23A9" w:rsidRPr="009B23A9" w:rsidRDefault="009B23A9" w:rsidP="009B23A9">
            <w:pPr>
              <w:pStyle w:val="TableText0"/>
            </w:pPr>
            <w:r w:rsidRPr="009B23A9">
              <w:t>-$</w:t>
            </w:r>
            <w:r w:rsidR="00DE7568">
              <w:rPr>
                <w:noProof/>
                <w:color w:val="000000"/>
                <w:highlight w:val="black"/>
              </w:rPr>
              <w:t>'''''''''''''''''</w:t>
            </w:r>
          </w:p>
        </w:tc>
        <w:tc>
          <w:tcPr>
            <w:tcW w:w="562" w:type="pct"/>
            <w:shd w:val="clear" w:color="auto" w:fill="auto"/>
            <w:vAlign w:val="center"/>
          </w:tcPr>
          <w:p w:rsidR="009B23A9" w:rsidRPr="009B23A9" w:rsidRDefault="009B23A9" w:rsidP="009B23A9">
            <w:pPr>
              <w:pStyle w:val="TableText0"/>
            </w:pPr>
            <w:r w:rsidRPr="009B23A9">
              <w:t>-$</w:t>
            </w:r>
            <w:r w:rsidR="00DE7568">
              <w:rPr>
                <w:noProof/>
                <w:color w:val="000000"/>
                <w:highlight w:val="black"/>
              </w:rPr>
              <w:t>'''''''''''''''''</w:t>
            </w:r>
          </w:p>
        </w:tc>
        <w:tc>
          <w:tcPr>
            <w:tcW w:w="565" w:type="pct"/>
            <w:shd w:val="clear" w:color="auto" w:fill="auto"/>
            <w:vAlign w:val="center"/>
          </w:tcPr>
          <w:p w:rsidR="009B23A9" w:rsidRPr="009B23A9" w:rsidRDefault="009B23A9" w:rsidP="009B23A9">
            <w:pPr>
              <w:pStyle w:val="TableText0"/>
            </w:pPr>
            <w:r w:rsidRPr="009B23A9">
              <w:t>-$</w:t>
            </w:r>
            <w:r w:rsidR="00DE7568">
              <w:rPr>
                <w:noProof/>
                <w:color w:val="000000"/>
                <w:highlight w:val="black"/>
              </w:rPr>
              <w:t>'''''''''''''''</w:t>
            </w:r>
          </w:p>
        </w:tc>
      </w:tr>
      <w:tr w:rsidR="009B23A9" w:rsidRPr="00591EA6" w:rsidTr="00DE31B5">
        <w:trPr>
          <w:trHeight w:val="137"/>
        </w:trPr>
        <w:tc>
          <w:tcPr>
            <w:tcW w:w="1625" w:type="pct"/>
            <w:shd w:val="clear" w:color="auto" w:fill="auto"/>
            <w:vAlign w:val="center"/>
          </w:tcPr>
          <w:p w:rsidR="009B23A9" w:rsidRPr="00333F9F" w:rsidRDefault="009B23A9" w:rsidP="00385C72">
            <w:pPr>
              <w:pStyle w:val="TableText0"/>
            </w:pPr>
            <w:r>
              <w:t>Cost to PBS/RPBS less co-payments</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2"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c>
          <w:tcPr>
            <w:tcW w:w="565" w:type="pct"/>
            <w:shd w:val="clear" w:color="auto" w:fill="auto"/>
            <w:vAlign w:val="center"/>
          </w:tcPr>
          <w:p w:rsidR="009B23A9" w:rsidRPr="006D6049" w:rsidRDefault="009B23A9" w:rsidP="009B23A9">
            <w:pPr>
              <w:pStyle w:val="TableText0"/>
            </w:pPr>
            <w:r>
              <w:t>$</w:t>
            </w:r>
            <w:r w:rsidR="00DE7568">
              <w:rPr>
                <w:noProof/>
                <w:color w:val="000000"/>
                <w:highlight w:val="black"/>
              </w:rPr>
              <w:t>'''''''''''''''''''''''</w:t>
            </w:r>
          </w:p>
        </w:tc>
      </w:tr>
      <w:tr w:rsidR="003F1295" w:rsidRPr="00591EA6" w:rsidTr="003F1295">
        <w:trPr>
          <w:trHeight w:val="56"/>
        </w:trPr>
        <w:tc>
          <w:tcPr>
            <w:tcW w:w="5000" w:type="pct"/>
            <w:gridSpan w:val="7"/>
            <w:shd w:val="clear" w:color="auto" w:fill="auto"/>
            <w:vAlign w:val="center"/>
          </w:tcPr>
          <w:p w:rsidR="003F1295" w:rsidRPr="00C745E6" w:rsidRDefault="003F1295" w:rsidP="00385C72">
            <w:pPr>
              <w:pStyle w:val="TableText0"/>
              <w:rPr>
                <w:rFonts w:eastAsia="Times New Roman" w:cs="Times New Roman"/>
                <w:b/>
                <w:szCs w:val="20"/>
                <w:lang w:eastAsia="en-AU"/>
              </w:rPr>
            </w:pPr>
            <w:r>
              <w:rPr>
                <w:b/>
              </w:rPr>
              <w:t>Net financial implications to PBS/RPBS</w:t>
            </w:r>
          </w:p>
        </w:tc>
      </w:tr>
      <w:tr w:rsidR="00A72FB0" w:rsidRPr="00591EA6" w:rsidTr="00DE31B5">
        <w:trPr>
          <w:trHeight w:val="56"/>
        </w:trPr>
        <w:tc>
          <w:tcPr>
            <w:tcW w:w="1625" w:type="pct"/>
            <w:shd w:val="clear" w:color="auto" w:fill="auto"/>
            <w:vAlign w:val="center"/>
          </w:tcPr>
          <w:p w:rsidR="00A72FB0" w:rsidRPr="00591EA6" w:rsidRDefault="00A72FB0" w:rsidP="003F1295">
            <w:pPr>
              <w:tabs>
                <w:tab w:val="left" w:pos="142"/>
              </w:tabs>
              <w:rPr>
                <w:rFonts w:ascii="Arial Narrow" w:hAnsi="Arial Narrow"/>
                <w:sz w:val="20"/>
              </w:rPr>
            </w:pPr>
            <w:r>
              <w:rPr>
                <w:rFonts w:ascii="Arial Narrow" w:hAnsi="Arial Narrow"/>
                <w:sz w:val="20"/>
              </w:rPr>
              <w:t>Net cost to PBS/RPBS</w:t>
            </w:r>
          </w:p>
        </w:tc>
        <w:tc>
          <w:tcPr>
            <w:tcW w:w="562" w:type="pct"/>
            <w:shd w:val="clear" w:color="auto" w:fill="auto"/>
          </w:tcPr>
          <w:p w:rsidR="00A72FB0" w:rsidRPr="00591EA6" w:rsidRDefault="00A72FB0" w:rsidP="00A72FB0">
            <w:pPr>
              <w:pStyle w:val="TableText0"/>
            </w:pPr>
            <w:r>
              <w:t>$</w:t>
            </w:r>
            <w:r w:rsidR="00DE7568">
              <w:rPr>
                <w:noProof/>
                <w:color w:val="000000"/>
                <w:highlight w:val="black"/>
              </w:rPr>
              <w:t>''''''''''''''''''''''''</w:t>
            </w:r>
          </w:p>
        </w:tc>
        <w:tc>
          <w:tcPr>
            <w:tcW w:w="562" w:type="pct"/>
            <w:shd w:val="clear" w:color="auto" w:fill="auto"/>
          </w:tcPr>
          <w:p w:rsidR="00A72FB0" w:rsidRPr="00591EA6" w:rsidRDefault="00A72FB0" w:rsidP="00A72FB0">
            <w:pPr>
              <w:pStyle w:val="TableText0"/>
            </w:pPr>
            <w:r>
              <w:t>$</w:t>
            </w:r>
            <w:r w:rsidR="00DE7568">
              <w:rPr>
                <w:noProof/>
                <w:color w:val="000000"/>
                <w:highlight w:val="black"/>
              </w:rPr>
              <w:t>'''''''''''''''''''</w:t>
            </w:r>
          </w:p>
        </w:tc>
        <w:tc>
          <w:tcPr>
            <w:tcW w:w="562" w:type="pct"/>
            <w:shd w:val="clear" w:color="auto" w:fill="auto"/>
          </w:tcPr>
          <w:p w:rsidR="00A72FB0" w:rsidRPr="00591EA6" w:rsidRDefault="00A72FB0" w:rsidP="00A72FB0">
            <w:pPr>
              <w:pStyle w:val="TableText0"/>
            </w:pPr>
            <w:r>
              <w:t>$</w:t>
            </w:r>
            <w:r w:rsidR="00DE7568">
              <w:rPr>
                <w:noProof/>
                <w:color w:val="000000"/>
                <w:highlight w:val="black"/>
              </w:rPr>
              <w:t>''''''''''''''''''''''''</w:t>
            </w:r>
          </w:p>
        </w:tc>
        <w:tc>
          <w:tcPr>
            <w:tcW w:w="562" w:type="pct"/>
            <w:shd w:val="clear" w:color="auto" w:fill="auto"/>
          </w:tcPr>
          <w:p w:rsidR="00A72FB0" w:rsidRPr="00591EA6" w:rsidRDefault="00A72FB0" w:rsidP="00A72FB0">
            <w:pPr>
              <w:pStyle w:val="TableText0"/>
            </w:pPr>
            <w:r>
              <w:t>$</w:t>
            </w:r>
            <w:r w:rsidR="00DE7568">
              <w:rPr>
                <w:noProof/>
                <w:color w:val="000000"/>
                <w:highlight w:val="black"/>
              </w:rPr>
              <w:t>'''''''''''''''''''''''''</w:t>
            </w:r>
          </w:p>
        </w:tc>
        <w:tc>
          <w:tcPr>
            <w:tcW w:w="562" w:type="pct"/>
            <w:shd w:val="clear" w:color="auto" w:fill="auto"/>
          </w:tcPr>
          <w:p w:rsidR="00A72FB0" w:rsidRPr="00591EA6" w:rsidRDefault="00A72FB0" w:rsidP="00A72FB0">
            <w:pPr>
              <w:pStyle w:val="TableText0"/>
            </w:pPr>
            <w:r>
              <w:t>$</w:t>
            </w:r>
            <w:r w:rsidR="00DE7568">
              <w:rPr>
                <w:noProof/>
                <w:color w:val="000000"/>
                <w:highlight w:val="black"/>
              </w:rPr>
              <w:t>'''''''''''''''''''''</w:t>
            </w:r>
          </w:p>
        </w:tc>
        <w:tc>
          <w:tcPr>
            <w:tcW w:w="565" w:type="pct"/>
            <w:shd w:val="clear" w:color="auto" w:fill="auto"/>
          </w:tcPr>
          <w:p w:rsidR="00A72FB0" w:rsidRPr="00591EA6" w:rsidRDefault="00A72FB0" w:rsidP="00A72FB0">
            <w:pPr>
              <w:pStyle w:val="TableText0"/>
            </w:pPr>
            <w:r>
              <w:t>$</w:t>
            </w:r>
            <w:r w:rsidR="00DE7568">
              <w:rPr>
                <w:noProof/>
                <w:color w:val="000000"/>
                <w:highlight w:val="black"/>
              </w:rPr>
              <w:t>'''''''''''''''''''''''''</w:t>
            </w:r>
          </w:p>
        </w:tc>
      </w:tr>
      <w:tr w:rsidR="001F19E9" w:rsidRPr="00591EA6" w:rsidTr="00385C72">
        <w:trPr>
          <w:trHeight w:val="211"/>
        </w:trPr>
        <w:tc>
          <w:tcPr>
            <w:tcW w:w="5000" w:type="pct"/>
            <w:gridSpan w:val="7"/>
            <w:shd w:val="clear" w:color="auto" w:fill="BFBFBF" w:themeFill="background1" w:themeFillShade="BF"/>
            <w:vAlign w:val="center"/>
          </w:tcPr>
          <w:p w:rsidR="001F19E9" w:rsidRPr="00ED5EE1" w:rsidRDefault="001F19E9" w:rsidP="00385C72">
            <w:pPr>
              <w:rPr>
                <w:rFonts w:ascii="Arial Narrow" w:hAnsi="Arial Narrow"/>
                <w:b/>
                <w:sz w:val="20"/>
              </w:rPr>
            </w:pPr>
            <w:r>
              <w:rPr>
                <w:rFonts w:ascii="Arial Narrow" w:hAnsi="Arial Narrow"/>
                <w:b/>
                <w:sz w:val="20"/>
              </w:rPr>
              <w:t>Previou</w:t>
            </w:r>
            <w:r w:rsidR="003F1295">
              <w:rPr>
                <w:rFonts w:ascii="Arial Narrow" w:hAnsi="Arial Narrow"/>
                <w:b/>
                <w:sz w:val="20"/>
              </w:rPr>
              <w:t>s submission (November 2017) – net</w:t>
            </w:r>
            <w:r w:rsidRPr="00591EA6">
              <w:rPr>
                <w:rFonts w:ascii="Arial Narrow" w:hAnsi="Arial Narrow"/>
                <w:b/>
                <w:sz w:val="20"/>
              </w:rPr>
              <w:t xml:space="preserve"> financial implications</w:t>
            </w:r>
            <w:r w:rsidR="003F1295">
              <w:rPr>
                <w:rFonts w:ascii="Arial Narrow" w:hAnsi="Arial Narrow"/>
                <w:b/>
                <w:sz w:val="20"/>
              </w:rPr>
              <w:t xml:space="preserve"> to PBS/RPBS</w:t>
            </w:r>
          </w:p>
        </w:tc>
      </w:tr>
      <w:tr w:rsidR="001F19E9" w:rsidRPr="00591EA6" w:rsidTr="00385C72">
        <w:trPr>
          <w:trHeight w:val="181"/>
        </w:trPr>
        <w:tc>
          <w:tcPr>
            <w:tcW w:w="1625" w:type="pct"/>
            <w:shd w:val="clear" w:color="auto" w:fill="BFBFBF" w:themeFill="background1" w:themeFillShade="BF"/>
            <w:vAlign w:val="center"/>
          </w:tcPr>
          <w:p w:rsidR="001F19E9" w:rsidRPr="00591EA6" w:rsidRDefault="003F1295" w:rsidP="00385C72">
            <w:pPr>
              <w:tabs>
                <w:tab w:val="left" w:pos="142"/>
              </w:tabs>
              <w:rPr>
                <w:rFonts w:ascii="Arial Narrow" w:hAnsi="Arial Narrow"/>
                <w:sz w:val="20"/>
                <w:szCs w:val="20"/>
              </w:rPr>
            </w:pPr>
            <w:r>
              <w:rPr>
                <w:rFonts w:ascii="Arial Narrow" w:hAnsi="Arial Narrow"/>
                <w:sz w:val="20"/>
              </w:rPr>
              <w:t>Net cost to PBS/RPBS</w:t>
            </w:r>
          </w:p>
        </w:tc>
        <w:tc>
          <w:tcPr>
            <w:tcW w:w="562" w:type="pct"/>
            <w:shd w:val="clear" w:color="auto" w:fill="BFBFBF" w:themeFill="background1" w:themeFillShade="BF"/>
            <w:vAlign w:val="center"/>
          </w:tcPr>
          <w:p w:rsidR="001F19E9" w:rsidRPr="003F1295" w:rsidRDefault="003F1295" w:rsidP="00385C72">
            <w:pPr>
              <w:jc w:val="center"/>
              <w:rPr>
                <w:rFonts w:ascii="Arial Narrow" w:hAnsi="Arial Narrow"/>
                <w:sz w:val="20"/>
                <w:szCs w:val="20"/>
              </w:rPr>
            </w:pPr>
            <w:r w:rsidRPr="003F1295">
              <w:rPr>
                <w:rFonts w:ascii="Arial Narrow" w:hAnsi="Arial Narrow"/>
                <w:sz w:val="20"/>
                <w:szCs w:val="20"/>
              </w:rPr>
              <w:t>$</w:t>
            </w:r>
            <w:r w:rsidR="00DE7568">
              <w:rPr>
                <w:rFonts w:ascii="Arial Narrow" w:hAnsi="Arial Narrow"/>
                <w:noProof/>
                <w:color w:val="000000"/>
                <w:sz w:val="20"/>
                <w:szCs w:val="20"/>
                <w:highlight w:val="black"/>
              </w:rPr>
              <w:t>''''''''''''''''''''''</w:t>
            </w:r>
          </w:p>
        </w:tc>
        <w:tc>
          <w:tcPr>
            <w:tcW w:w="562" w:type="pct"/>
            <w:shd w:val="clear" w:color="auto" w:fill="BFBFBF" w:themeFill="background1" w:themeFillShade="BF"/>
            <w:vAlign w:val="center"/>
          </w:tcPr>
          <w:p w:rsidR="001F19E9" w:rsidRPr="003F1295" w:rsidRDefault="003F1295" w:rsidP="00385C72">
            <w:pPr>
              <w:jc w:val="center"/>
              <w:rPr>
                <w:rFonts w:ascii="Arial Narrow" w:hAnsi="Arial Narrow"/>
                <w:sz w:val="20"/>
                <w:szCs w:val="20"/>
              </w:rPr>
            </w:pPr>
            <w:r>
              <w:rPr>
                <w:rFonts w:ascii="Arial Narrow" w:hAnsi="Arial Narrow"/>
                <w:sz w:val="20"/>
                <w:szCs w:val="20"/>
              </w:rPr>
              <w:t>$</w:t>
            </w:r>
            <w:r w:rsidR="00DE7568">
              <w:rPr>
                <w:rFonts w:ascii="Arial Narrow" w:hAnsi="Arial Narrow"/>
                <w:noProof/>
                <w:color w:val="000000"/>
                <w:sz w:val="20"/>
                <w:szCs w:val="20"/>
                <w:highlight w:val="black"/>
              </w:rPr>
              <w:t>'''''''''''''''''''''''</w:t>
            </w:r>
          </w:p>
        </w:tc>
        <w:tc>
          <w:tcPr>
            <w:tcW w:w="562" w:type="pct"/>
            <w:shd w:val="clear" w:color="auto" w:fill="BFBFBF" w:themeFill="background1" w:themeFillShade="BF"/>
            <w:vAlign w:val="center"/>
          </w:tcPr>
          <w:p w:rsidR="001F19E9" w:rsidRPr="003F1295" w:rsidRDefault="003F1295" w:rsidP="003F1295">
            <w:pPr>
              <w:rPr>
                <w:rFonts w:ascii="Arial Narrow" w:hAnsi="Arial Narrow"/>
                <w:sz w:val="20"/>
                <w:szCs w:val="20"/>
              </w:rPr>
            </w:pPr>
            <w:r>
              <w:rPr>
                <w:rFonts w:ascii="Arial Narrow" w:hAnsi="Arial Narrow"/>
                <w:sz w:val="20"/>
                <w:szCs w:val="20"/>
              </w:rPr>
              <w:t>$</w:t>
            </w:r>
            <w:r w:rsidR="00DE7568">
              <w:rPr>
                <w:rFonts w:ascii="Arial Narrow" w:hAnsi="Arial Narrow"/>
                <w:noProof/>
                <w:color w:val="000000"/>
                <w:sz w:val="20"/>
                <w:szCs w:val="20"/>
                <w:highlight w:val="black"/>
              </w:rPr>
              <w:t>''''''''''''''''''''''</w:t>
            </w:r>
          </w:p>
        </w:tc>
        <w:tc>
          <w:tcPr>
            <w:tcW w:w="562" w:type="pct"/>
            <w:shd w:val="clear" w:color="auto" w:fill="BFBFBF" w:themeFill="background1" w:themeFillShade="BF"/>
            <w:vAlign w:val="center"/>
          </w:tcPr>
          <w:p w:rsidR="001F19E9" w:rsidRPr="003F1295" w:rsidRDefault="003F1295" w:rsidP="00385C72">
            <w:pPr>
              <w:jc w:val="center"/>
              <w:rPr>
                <w:rFonts w:ascii="Arial Narrow" w:hAnsi="Arial Narrow"/>
                <w:sz w:val="20"/>
                <w:szCs w:val="20"/>
              </w:rPr>
            </w:pPr>
            <w:r>
              <w:rPr>
                <w:rFonts w:ascii="Arial Narrow" w:hAnsi="Arial Narrow"/>
                <w:sz w:val="20"/>
                <w:szCs w:val="20"/>
              </w:rPr>
              <w:t>$</w:t>
            </w:r>
            <w:r w:rsidR="00DE7568">
              <w:rPr>
                <w:rFonts w:ascii="Arial Narrow" w:hAnsi="Arial Narrow"/>
                <w:noProof/>
                <w:color w:val="000000"/>
                <w:sz w:val="20"/>
                <w:szCs w:val="20"/>
                <w:highlight w:val="black"/>
              </w:rPr>
              <w:t>'''''''''''''''''''''''''</w:t>
            </w:r>
          </w:p>
        </w:tc>
        <w:tc>
          <w:tcPr>
            <w:tcW w:w="562" w:type="pct"/>
            <w:shd w:val="clear" w:color="auto" w:fill="BFBFBF" w:themeFill="background1" w:themeFillShade="BF"/>
            <w:vAlign w:val="center"/>
          </w:tcPr>
          <w:p w:rsidR="001F19E9" w:rsidRPr="003F1295" w:rsidRDefault="003F1295" w:rsidP="00385C72">
            <w:pPr>
              <w:jc w:val="center"/>
              <w:rPr>
                <w:rFonts w:ascii="Arial Narrow" w:hAnsi="Arial Narrow"/>
                <w:sz w:val="20"/>
                <w:szCs w:val="20"/>
              </w:rPr>
            </w:pPr>
            <w:r>
              <w:rPr>
                <w:rFonts w:ascii="Arial Narrow" w:hAnsi="Arial Narrow"/>
                <w:sz w:val="20"/>
                <w:szCs w:val="20"/>
              </w:rPr>
              <w:t>$</w:t>
            </w:r>
            <w:r w:rsidR="00DE7568">
              <w:rPr>
                <w:rFonts w:ascii="Arial Narrow" w:hAnsi="Arial Narrow"/>
                <w:noProof/>
                <w:color w:val="000000"/>
                <w:sz w:val="20"/>
                <w:szCs w:val="20"/>
                <w:highlight w:val="black"/>
              </w:rPr>
              <w:t>'''''''''''''''''''''''</w:t>
            </w:r>
          </w:p>
        </w:tc>
        <w:tc>
          <w:tcPr>
            <w:tcW w:w="565" w:type="pct"/>
            <w:shd w:val="clear" w:color="auto" w:fill="BFBFBF" w:themeFill="background1" w:themeFillShade="BF"/>
            <w:vAlign w:val="center"/>
          </w:tcPr>
          <w:p w:rsidR="001F19E9" w:rsidRPr="003F1295" w:rsidRDefault="003F1295" w:rsidP="003F1295">
            <w:pPr>
              <w:rPr>
                <w:rFonts w:ascii="Arial Narrow" w:hAnsi="Arial Narrow"/>
                <w:sz w:val="20"/>
                <w:szCs w:val="20"/>
              </w:rPr>
            </w:pPr>
            <w:r>
              <w:rPr>
                <w:rFonts w:ascii="Arial Narrow" w:hAnsi="Arial Narrow"/>
                <w:sz w:val="20"/>
                <w:szCs w:val="20"/>
              </w:rPr>
              <w:t>$</w:t>
            </w:r>
            <w:r w:rsidR="00DE7568">
              <w:rPr>
                <w:rFonts w:ascii="Arial Narrow" w:hAnsi="Arial Narrow"/>
                <w:noProof/>
                <w:color w:val="000000"/>
                <w:sz w:val="20"/>
                <w:szCs w:val="20"/>
                <w:highlight w:val="black"/>
              </w:rPr>
              <w:t>''''''''''''''''''''''</w:t>
            </w:r>
          </w:p>
        </w:tc>
      </w:tr>
      <w:tr w:rsidR="001F19E9" w:rsidRPr="00591EA6" w:rsidTr="00385C72">
        <w:trPr>
          <w:trHeight w:val="177"/>
        </w:trPr>
        <w:tc>
          <w:tcPr>
            <w:tcW w:w="5000" w:type="pct"/>
            <w:gridSpan w:val="7"/>
            <w:shd w:val="clear" w:color="auto" w:fill="auto"/>
            <w:vAlign w:val="center"/>
          </w:tcPr>
          <w:p w:rsidR="001F19E9" w:rsidRPr="00591EA6" w:rsidRDefault="001F19E9" w:rsidP="00385C72">
            <w:pPr>
              <w:rPr>
                <w:rFonts w:ascii="Arial Narrow" w:hAnsi="Arial Narrow" w:cs="Arial"/>
                <w:b/>
                <w:bCs/>
                <w:color w:val="000000"/>
                <w:sz w:val="20"/>
                <w:szCs w:val="20"/>
              </w:rPr>
            </w:pPr>
            <w:r w:rsidRPr="00823058">
              <w:rPr>
                <w:rFonts w:ascii="Arial Narrow" w:hAnsi="Arial Narrow" w:cs="Arial"/>
                <w:b/>
                <w:bCs/>
                <w:color w:val="000000"/>
                <w:sz w:val="20"/>
                <w:szCs w:val="20"/>
              </w:rPr>
              <w:t xml:space="preserve">Difference in estimated </w:t>
            </w:r>
            <w:r>
              <w:rPr>
                <w:rFonts w:ascii="Arial Narrow" w:hAnsi="Arial Narrow" w:cs="Arial"/>
                <w:b/>
                <w:bCs/>
                <w:color w:val="000000"/>
                <w:sz w:val="20"/>
                <w:szCs w:val="20"/>
              </w:rPr>
              <w:t xml:space="preserve">financial estimates compared with the previous submission </w:t>
            </w:r>
          </w:p>
        </w:tc>
      </w:tr>
      <w:tr w:rsidR="00A72FB0" w:rsidRPr="00591EA6" w:rsidTr="00DE31B5">
        <w:trPr>
          <w:trHeight w:val="100"/>
        </w:trPr>
        <w:tc>
          <w:tcPr>
            <w:tcW w:w="1625" w:type="pct"/>
            <w:shd w:val="clear" w:color="auto" w:fill="auto"/>
            <w:vAlign w:val="center"/>
          </w:tcPr>
          <w:p w:rsidR="00A72FB0" w:rsidRPr="00024DF5" w:rsidRDefault="00A72FB0" w:rsidP="00385C72">
            <w:pPr>
              <w:pStyle w:val="TableText0"/>
              <w:rPr>
                <w:vertAlign w:val="superscript"/>
              </w:rPr>
            </w:pPr>
            <w:r w:rsidRPr="00E76C65">
              <w:t xml:space="preserve">Difference in net cost to </w:t>
            </w:r>
            <w:r>
              <w:t xml:space="preserve">PBS/ RPBS </w:t>
            </w:r>
          </w:p>
        </w:tc>
        <w:tc>
          <w:tcPr>
            <w:tcW w:w="562" w:type="pct"/>
            <w:shd w:val="clear" w:color="auto" w:fill="auto"/>
            <w:vAlign w:val="bottom"/>
          </w:tcPr>
          <w:p w:rsidR="00A72FB0" w:rsidRPr="00A72FB0" w:rsidRDefault="00A72FB0" w:rsidP="00A72FB0">
            <w:pPr>
              <w:pStyle w:val="TableText0"/>
            </w:pPr>
            <w:r w:rsidRPr="00A72FB0">
              <w:t>-$</w:t>
            </w:r>
            <w:r w:rsidR="00DE7568">
              <w:rPr>
                <w:noProof/>
                <w:color w:val="000000"/>
                <w:highlight w:val="black"/>
              </w:rPr>
              <w:t>''''''''''''''''''''''</w:t>
            </w:r>
          </w:p>
        </w:tc>
        <w:tc>
          <w:tcPr>
            <w:tcW w:w="562" w:type="pct"/>
            <w:shd w:val="clear" w:color="auto" w:fill="auto"/>
            <w:vAlign w:val="bottom"/>
          </w:tcPr>
          <w:p w:rsidR="00A72FB0" w:rsidRPr="00A72FB0" w:rsidRDefault="00A72FB0" w:rsidP="00A72FB0">
            <w:pPr>
              <w:pStyle w:val="TableText0"/>
            </w:pPr>
            <w:r w:rsidRPr="00A72FB0">
              <w:t>-$</w:t>
            </w:r>
            <w:r w:rsidR="00DE7568">
              <w:rPr>
                <w:noProof/>
                <w:color w:val="000000"/>
                <w:highlight w:val="black"/>
              </w:rPr>
              <w:t>''''''''''''''''''''''''</w:t>
            </w:r>
          </w:p>
        </w:tc>
        <w:tc>
          <w:tcPr>
            <w:tcW w:w="562" w:type="pct"/>
            <w:shd w:val="clear" w:color="auto" w:fill="auto"/>
            <w:vAlign w:val="bottom"/>
          </w:tcPr>
          <w:p w:rsidR="00A72FB0" w:rsidRPr="00A72FB0" w:rsidRDefault="00A72FB0" w:rsidP="00A72FB0">
            <w:pPr>
              <w:pStyle w:val="TableText0"/>
            </w:pPr>
            <w:r w:rsidRPr="00A72FB0">
              <w:t>-$</w:t>
            </w:r>
            <w:r w:rsidR="00DE7568">
              <w:rPr>
                <w:noProof/>
                <w:color w:val="000000"/>
                <w:highlight w:val="black"/>
              </w:rPr>
              <w:t>'''''''''''''''''''''''</w:t>
            </w:r>
          </w:p>
        </w:tc>
        <w:tc>
          <w:tcPr>
            <w:tcW w:w="562" w:type="pct"/>
            <w:shd w:val="clear" w:color="auto" w:fill="auto"/>
            <w:vAlign w:val="bottom"/>
          </w:tcPr>
          <w:p w:rsidR="00A72FB0" w:rsidRPr="00A72FB0" w:rsidRDefault="00A72FB0" w:rsidP="00A72FB0">
            <w:pPr>
              <w:pStyle w:val="TableText0"/>
            </w:pPr>
            <w:r w:rsidRPr="00A72FB0">
              <w:t>-$</w:t>
            </w:r>
            <w:r w:rsidR="00DE7568">
              <w:rPr>
                <w:noProof/>
                <w:color w:val="000000"/>
                <w:highlight w:val="black"/>
              </w:rPr>
              <w:t>''''''''''''''''''''''''</w:t>
            </w:r>
          </w:p>
        </w:tc>
        <w:tc>
          <w:tcPr>
            <w:tcW w:w="562" w:type="pct"/>
            <w:shd w:val="clear" w:color="auto" w:fill="auto"/>
            <w:vAlign w:val="bottom"/>
          </w:tcPr>
          <w:p w:rsidR="00A72FB0" w:rsidRPr="00A72FB0" w:rsidRDefault="00A72FB0" w:rsidP="00A72FB0">
            <w:pPr>
              <w:pStyle w:val="TableText0"/>
            </w:pPr>
            <w:r w:rsidRPr="00A72FB0">
              <w:t>-$</w:t>
            </w:r>
            <w:r w:rsidR="00DE7568">
              <w:rPr>
                <w:noProof/>
                <w:color w:val="000000"/>
                <w:highlight w:val="black"/>
              </w:rPr>
              <w:t>'''''''''''''''''''''''''</w:t>
            </w:r>
          </w:p>
        </w:tc>
        <w:tc>
          <w:tcPr>
            <w:tcW w:w="565" w:type="pct"/>
            <w:shd w:val="clear" w:color="auto" w:fill="auto"/>
            <w:vAlign w:val="bottom"/>
          </w:tcPr>
          <w:p w:rsidR="00A72FB0" w:rsidRPr="00A72FB0" w:rsidRDefault="00A72FB0" w:rsidP="00A72FB0">
            <w:pPr>
              <w:pStyle w:val="TableText0"/>
            </w:pPr>
            <w:r w:rsidRPr="00A72FB0">
              <w:t>-$</w:t>
            </w:r>
            <w:r w:rsidR="00DE7568">
              <w:rPr>
                <w:noProof/>
                <w:color w:val="000000"/>
                <w:highlight w:val="black"/>
              </w:rPr>
              <w:t>'''''''''''''''''''''</w:t>
            </w:r>
          </w:p>
        </w:tc>
      </w:tr>
    </w:tbl>
    <w:p w:rsidR="001F19E9" w:rsidRDefault="00385C72" w:rsidP="00385C72">
      <w:pPr>
        <w:pStyle w:val="TableFooter"/>
        <w:rPr>
          <w:rFonts w:eastAsiaTheme="minorHAnsi"/>
        </w:rPr>
      </w:pPr>
      <w:r w:rsidRPr="00591EA6">
        <w:t>Source:</w:t>
      </w:r>
      <w:r w:rsidR="001F19E9">
        <w:t xml:space="preserve"> </w:t>
      </w:r>
      <w:r w:rsidR="001F19E9">
        <w:rPr>
          <w:rFonts w:eastAsiaTheme="minorHAnsi"/>
        </w:rPr>
        <w:t xml:space="preserve">Appendix 3_Lenvatanib RCC Section 4 Workbook Minor Submission.xlsx ‘Volumes – new’ worksheet, </w:t>
      </w:r>
      <w:r w:rsidR="00A72FB0">
        <w:rPr>
          <w:rFonts w:eastAsiaTheme="minorHAnsi"/>
        </w:rPr>
        <w:t>‘Net Cost’ worksheet</w:t>
      </w:r>
    </w:p>
    <w:p w:rsidR="001F19E9" w:rsidRDefault="001F19E9" w:rsidP="00385C72">
      <w:pPr>
        <w:pStyle w:val="TableFooter"/>
        <w:rPr>
          <w:rFonts w:eastAsiaTheme="minorHAnsi"/>
        </w:rPr>
      </w:pPr>
      <w:r>
        <w:rPr>
          <w:rFonts w:eastAsiaTheme="minorHAnsi"/>
        </w:rPr>
        <w:t xml:space="preserve">Table 15, </w:t>
      </w:r>
      <w:proofErr w:type="spellStart"/>
      <w:r>
        <w:rPr>
          <w:rFonts w:eastAsiaTheme="minorHAnsi"/>
        </w:rPr>
        <w:t>lenvatinib</w:t>
      </w:r>
      <w:proofErr w:type="spellEnd"/>
      <w:r>
        <w:rPr>
          <w:rFonts w:eastAsiaTheme="minorHAnsi"/>
        </w:rPr>
        <w:t xml:space="preserve"> PBAC Minutes, November 2017</w:t>
      </w:r>
    </w:p>
    <w:p w:rsidR="001F19E9" w:rsidRPr="00A72FB0" w:rsidRDefault="001F19E9" w:rsidP="00385C72">
      <w:pPr>
        <w:pStyle w:val="TableFooter"/>
        <w:rPr>
          <w:rFonts w:eastAsiaTheme="minorHAnsi"/>
        </w:rPr>
      </w:pPr>
      <w:proofErr w:type="spellStart"/>
      <w:proofErr w:type="gramStart"/>
      <w:r>
        <w:rPr>
          <w:rFonts w:eastAsiaTheme="minorHAnsi"/>
          <w:vertAlign w:val="superscript"/>
        </w:rPr>
        <w:t>a</w:t>
      </w:r>
      <w:proofErr w:type="spellEnd"/>
      <w:proofErr w:type="gramEnd"/>
      <w:r>
        <w:rPr>
          <w:rFonts w:eastAsiaTheme="minorHAnsi"/>
          <w:vertAlign w:val="superscript"/>
        </w:rPr>
        <w:t xml:space="preserve"> </w:t>
      </w:r>
      <w:r>
        <w:rPr>
          <w:rFonts w:eastAsiaTheme="minorHAnsi"/>
        </w:rPr>
        <w:t xml:space="preserve">Each script is assumed to require the dispensing of 30 </w:t>
      </w:r>
      <w:proofErr w:type="spellStart"/>
      <w:r>
        <w:rPr>
          <w:rFonts w:eastAsiaTheme="minorHAnsi"/>
        </w:rPr>
        <w:t>lenvatinib</w:t>
      </w:r>
      <w:proofErr w:type="spellEnd"/>
      <w:r>
        <w:rPr>
          <w:rFonts w:eastAsiaTheme="minorHAnsi"/>
        </w:rPr>
        <w:t xml:space="preserve"> 4 mg capsules</w:t>
      </w:r>
      <w:r w:rsidR="00C92D63">
        <w:rPr>
          <w:rFonts w:eastAsiaTheme="minorHAnsi"/>
        </w:rPr>
        <w:t xml:space="preserve"> and</w:t>
      </w:r>
      <w:r>
        <w:rPr>
          <w:rFonts w:eastAsiaTheme="minorHAnsi"/>
        </w:rPr>
        <w:t xml:space="preserve"> 30 </w:t>
      </w:r>
      <w:proofErr w:type="spellStart"/>
      <w:r>
        <w:rPr>
          <w:rFonts w:eastAsiaTheme="minorHAnsi"/>
        </w:rPr>
        <w:t>lenvatinib</w:t>
      </w:r>
      <w:proofErr w:type="spellEnd"/>
      <w:r>
        <w:rPr>
          <w:rFonts w:eastAsiaTheme="minorHAnsi"/>
        </w:rPr>
        <w:t xml:space="preserve"> 10 mg capsules </w:t>
      </w:r>
      <w:r w:rsidR="00C92D63">
        <w:rPr>
          <w:rFonts w:eastAsiaTheme="minorHAnsi"/>
        </w:rPr>
        <w:t>(b</w:t>
      </w:r>
      <w:r w:rsidR="00C92D63" w:rsidRPr="00784BF1">
        <w:rPr>
          <w:rFonts w:eastAsiaTheme="minorHAnsi"/>
        </w:rPr>
        <w:t xml:space="preserve">ased on a median daily </w:t>
      </w:r>
      <w:proofErr w:type="spellStart"/>
      <w:r w:rsidR="00C92D63" w:rsidRPr="00784BF1">
        <w:rPr>
          <w:rFonts w:eastAsiaTheme="minorHAnsi"/>
        </w:rPr>
        <w:t>lenvatinib</w:t>
      </w:r>
      <w:proofErr w:type="spellEnd"/>
      <w:r w:rsidR="00C92D63" w:rsidRPr="00784BF1">
        <w:rPr>
          <w:rFonts w:eastAsiaTheme="minorHAnsi"/>
        </w:rPr>
        <w:t xml:space="preserve"> dose of 13.6 mg, which is the anticipated daily dosing after dose reductions</w:t>
      </w:r>
      <w:r w:rsidR="00C92D63">
        <w:rPr>
          <w:rFonts w:eastAsiaTheme="minorHAnsi"/>
        </w:rPr>
        <w:t xml:space="preserve">) </w:t>
      </w:r>
      <w:r>
        <w:rPr>
          <w:rFonts w:eastAsiaTheme="minorHAnsi"/>
        </w:rPr>
        <w:t>a</w:t>
      </w:r>
      <w:r w:rsidR="00C92D63">
        <w:rPr>
          <w:rFonts w:eastAsiaTheme="minorHAnsi"/>
        </w:rPr>
        <w:t>long with</w:t>
      </w:r>
      <w:r>
        <w:rPr>
          <w:rFonts w:eastAsiaTheme="minorHAnsi"/>
        </w:rPr>
        <w:t xml:space="preserve"> 30 </w:t>
      </w:r>
      <w:proofErr w:type="spellStart"/>
      <w:r>
        <w:rPr>
          <w:rFonts w:eastAsiaTheme="minorHAnsi"/>
        </w:rPr>
        <w:t>everolimus</w:t>
      </w:r>
      <w:proofErr w:type="spellEnd"/>
      <w:r>
        <w:rPr>
          <w:rFonts w:eastAsiaTheme="minorHAnsi"/>
        </w:rPr>
        <w:t xml:space="preserve"> 5 mg tablets.</w:t>
      </w:r>
      <w:r w:rsidR="001F2046">
        <w:rPr>
          <w:rFonts w:eastAsiaTheme="minorHAnsi"/>
        </w:rPr>
        <w:t xml:space="preserve"> </w:t>
      </w:r>
    </w:p>
    <w:p w:rsidR="00385C72" w:rsidRDefault="00385C72" w:rsidP="00385C72">
      <w:pPr>
        <w:pStyle w:val="TableFooter"/>
      </w:pPr>
      <w:r>
        <w:t xml:space="preserve">No = number; </w:t>
      </w:r>
      <w:r w:rsidRPr="00BE2411">
        <w:t xml:space="preserve">PBS = Pharmaceutical Benefits Scheme; </w:t>
      </w:r>
      <w:r>
        <w:t xml:space="preserve">pts = patients; </w:t>
      </w:r>
      <w:r w:rsidRPr="00BE2411">
        <w:t xml:space="preserve">RPBS = Repatriation Pharmaceutical </w:t>
      </w:r>
      <w:r>
        <w:t>Benefits Scheme</w:t>
      </w:r>
    </w:p>
    <w:p w:rsidR="00E72382" w:rsidRPr="0039262B" w:rsidRDefault="00E72382" w:rsidP="00385C72">
      <w:pPr>
        <w:pStyle w:val="TableFooter"/>
        <w:rPr>
          <w:rFonts w:asciiTheme="minorHAnsi" w:hAnsiTheme="minorHAnsi"/>
          <w:sz w:val="24"/>
          <w:szCs w:val="24"/>
        </w:rPr>
      </w:pPr>
      <w:r>
        <w:rPr>
          <w:rFonts w:asciiTheme="minorHAnsi" w:hAnsiTheme="minorHAnsi"/>
          <w:sz w:val="24"/>
          <w:szCs w:val="24"/>
        </w:rPr>
        <w:t>The redacted table shows that at year 6, the estimated number of patients was less than 1</w:t>
      </w:r>
      <w:r w:rsidR="0090764C">
        <w:rPr>
          <w:rFonts w:asciiTheme="minorHAnsi" w:hAnsiTheme="minorHAnsi"/>
          <w:sz w:val="24"/>
          <w:szCs w:val="24"/>
        </w:rPr>
        <w:t>0</w:t>
      </w:r>
      <w:r>
        <w:rPr>
          <w:rFonts w:asciiTheme="minorHAnsi" w:hAnsiTheme="minorHAnsi"/>
          <w:sz w:val="24"/>
          <w:szCs w:val="24"/>
        </w:rPr>
        <w:t>,000 per year, the estimated number of prescriptions dispensed was less than 1</w:t>
      </w:r>
      <w:r w:rsidR="0090764C">
        <w:rPr>
          <w:rFonts w:asciiTheme="minorHAnsi" w:hAnsiTheme="minorHAnsi"/>
          <w:sz w:val="24"/>
          <w:szCs w:val="24"/>
        </w:rPr>
        <w:t>0</w:t>
      </w:r>
      <w:r>
        <w:rPr>
          <w:rFonts w:asciiTheme="minorHAnsi" w:hAnsiTheme="minorHAnsi"/>
          <w:sz w:val="24"/>
          <w:szCs w:val="24"/>
        </w:rPr>
        <w:t xml:space="preserve">,000 per year, and the net cost to the PBS would be </w:t>
      </w:r>
      <w:r w:rsidR="0039262B">
        <w:rPr>
          <w:rFonts w:asciiTheme="minorHAnsi" w:hAnsiTheme="minorHAnsi"/>
          <w:sz w:val="24"/>
          <w:szCs w:val="24"/>
        </w:rPr>
        <w:t>less than $10 million per year.</w:t>
      </w:r>
    </w:p>
    <w:p w:rsidR="00114F23" w:rsidRDefault="00114F23" w:rsidP="00114F23">
      <w:pPr>
        <w:pStyle w:val="ListParagraph"/>
        <w:widowControl/>
        <w:numPr>
          <w:ilvl w:val="1"/>
          <w:numId w:val="14"/>
        </w:numPr>
        <w:spacing w:before="120" w:after="160"/>
        <w:contextualSpacing w:val="0"/>
        <w:rPr>
          <w:rFonts w:asciiTheme="minorHAnsi" w:hAnsiTheme="minorHAnsi"/>
          <w:sz w:val="24"/>
          <w:szCs w:val="24"/>
        </w:rPr>
      </w:pPr>
      <w:r w:rsidRPr="003C2FB5">
        <w:rPr>
          <w:rFonts w:asciiTheme="minorHAnsi" w:hAnsiTheme="minorHAnsi"/>
          <w:sz w:val="24"/>
          <w:szCs w:val="24"/>
        </w:rPr>
        <w:t xml:space="preserve">The minor </w:t>
      </w:r>
      <w:r w:rsidR="001E7B75">
        <w:rPr>
          <w:rFonts w:asciiTheme="minorHAnsi" w:hAnsiTheme="minorHAnsi"/>
          <w:sz w:val="24"/>
          <w:szCs w:val="24"/>
        </w:rPr>
        <w:t>re</w:t>
      </w:r>
      <w:r w:rsidRPr="003C2FB5">
        <w:rPr>
          <w:rFonts w:asciiTheme="minorHAnsi" w:hAnsiTheme="minorHAnsi"/>
          <w:sz w:val="24"/>
          <w:szCs w:val="24"/>
        </w:rPr>
        <w:t>submission estimated</w:t>
      </w:r>
      <w:r>
        <w:rPr>
          <w:rFonts w:asciiTheme="minorHAnsi" w:hAnsiTheme="minorHAnsi"/>
          <w:sz w:val="24"/>
          <w:szCs w:val="24"/>
        </w:rPr>
        <w:t xml:space="preserve"> a net cost</w:t>
      </w:r>
      <w:r w:rsidRPr="003C2FB5">
        <w:rPr>
          <w:rFonts w:asciiTheme="minorHAnsi" w:hAnsiTheme="minorHAnsi"/>
          <w:sz w:val="24"/>
          <w:szCs w:val="24"/>
        </w:rPr>
        <w:t xml:space="preserve"> to the PBS</w:t>
      </w:r>
      <w:r>
        <w:rPr>
          <w:rFonts w:asciiTheme="minorHAnsi" w:hAnsiTheme="minorHAnsi"/>
          <w:sz w:val="24"/>
          <w:szCs w:val="24"/>
        </w:rPr>
        <w:t xml:space="preserve">/RPBS of </w:t>
      </w:r>
      <w:r w:rsidR="0090764C">
        <w:rPr>
          <w:rFonts w:asciiTheme="minorHAnsi" w:hAnsiTheme="minorHAnsi"/>
          <w:sz w:val="24"/>
          <w:szCs w:val="24"/>
        </w:rPr>
        <w:t xml:space="preserve">less than </w:t>
      </w:r>
      <w:r>
        <w:rPr>
          <w:rFonts w:asciiTheme="minorHAnsi" w:hAnsiTheme="minorHAnsi"/>
          <w:sz w:val="24"/>
          <w:szCs w:val="24"/>
        </w:rPr>
        <w:t>$</w:t>
      </w:r>
      <w:r w:rsidRPr="0090764C">
        <w:rPr>
          <w:rFonts w:asciiTheme="minorHAnsi" w:hAnsiTheme="minorHAnsi"/>
          <w:sz w:val="24"/>
          <w:szCs w:val="24"/>
        </w:rPr>
        <w:t>1</w:t>
      </w:r>
      <w:r w:rsidR="0090764C">
        <w:rPr>
          <w:rFonts w:asciiTheme="minorHAnsi" w:hAnsiTheme="minorHAnsi"/>
          <w:sz w:val="24"/>
          <w:szCs w:val="24"/>
        </w:rPr>
        <w:t>0 million</w:t>
      </w:r>
      <w:r>
        <w:rPr>
          <w:rFonts w:asciiTheme="minorHAnsi" w:hAnsiTheme="minorHAnsi"/>
          <w:sz w:val="24"/>
          <w:szCs w:val="24"/>
        </w:rPr>
        <w:t xml:space="preserve"> in Year 6</w:t>
      </w:r>
      <w:r w:rsidRPr="003C2FB5">
        <w:rPr>
          <w:rFonts w:asciiTheme="minorHAnsi" w:hAnsiTheme="minorHAnsi"/>
          <w:sz w:val="24"/>
          <w:szCs w:val="24"/>
        </w:rPr>
        <w:t xml:space="preserve"> of lis</w:t>
      </w:r>
      <w:r>
        <w:rPr>
          <w:rFonts w:asciiTheme="minorHAnsi" w:hAnsiTheme="minorHAnsi"/>
          <w:sz w:val="24"/>
          <w:szCs w:val="24"/>
        </w:rPr>
        <w:t>ting, with a total net cost</w:t>
      </w:r>
      <w:r w:rsidRPr="003C2FB5">
        <w:rPr>
          <w:rFonts w:asciiTheme="minorHAnsi" w:hAnsiTheme="minorHAnsi"/>
          <w:sz w:val="24"/>
          <w:szCs w:val="24"/>
        </w:rPr>
        <w:t xml:space="preserve"> to the PBS</w:t>
      </w:r>
      <w:r>
        <w:rPr>
          <w:rFonts w:asciiTheme="minorHAnsi" w:hAnsiTheme="minorHAnsi"/>
          <w:sz w:val="24"/>
          <w:szCs w:val="24"/>
        </w:rPr>
        <w:t xml:space="preserve">/RPBS of </w:t>
      </w:r>
      <w:r w:rsidR="0090764C">
        <w:rPr>
          <w:rFonts w:asciiTheme="minorHAnsi" w:hAnsiTheme="minorHAnsi"/>
          <w:sz w:val="24"/>
          <w:szCs w:val="24"/>
        </w:rPr>
        <w:t xml:space="preserve">less than </w:t>
      </w:r>
      <w:r>
        <w:rPr>
          <w:rFonts w:asciiTheme="minorHAnsi" w:hAnsiTheme="minorHAnsi"/>
          <w:sz w:val="24"/>
          <w:szCs w:val="24"/>
        </w:rPr>
        <w:t>$</w:t>
      </w:r>
      <w:r w:rsidR="0090764C">
        <w:rPr>
          <w:rFonts w:asciiTheme="minorHAnsi" w:hAnsiTheme="minorHAnsi"/>
          <w:sz w:val="24"/>
          <w:szCs w:val="24"/>
        </w:rPr>
        <w:t>10 million</w:t>
      </w:r>
      <w:r>
        <w:rPr>
          <w:rFonts w:asciiTheme="minorHAnsi" w:hAnsiTheme="minorHAnsi"/>
          <w:sz w:val="24"/>
          <w:szCs w:val="24"/>
        </w:rPr>
        <w:t xml:space="preserve"> over the first 6</w:t>
      </w:r>
      <w:r w:rsidRPr="003C2FB5">
        <w:rPr>
          <w:rFonts w:asciiTheme="minorHAnsi" w:hAnsiTheme="minorHAnsi"/>
          <w:sz w:val="24"/>
          <w:szCs w:val="24"/>
        </w:rPr>
        <w:t xml:space="preserve"> years of listing.  </w:t>
      </w:r>
    </w:p>
    <w:p w:rsidR="00385C72" w:rsidRDefault="00114F23" w:rsidP="004D6F33">
      <w:pPr>
        <w:pStyle w:val="ListParagraph"/>
        <w:widowControl/>
        <w:numPr>
          <w:ilvl w:val="1"/>
          <w:numId w:val="14"/>
        </w:numPr>
        <w:spacing w:before="120" w:after="160"/>
        <w:contextualSpacing w:val="0"/>
        <w:rPr>
          <w:rFonts w:asciiTheme="minorHAnsi" w:eastAsiaTheme="minorHAnsi" w:hAnsiTheme="minorHAnsi"/>
          <w:snapToGrid/>
          <w:sz w:val="24"/>
          <w:szCs w:val="24"/>
        </w:rPr>
      </w:pPr>
      <w:r>
        <w:rPr>
          <w:rFonts w:asciiTheme="minorHAnsi" w:eastAsiaTheme="minorHAnsi" w:hAnsiTheme="minorHAnsi"/>
          <w:snapToGrid/>
          <w:sz w:val="24"/>
          <w:szCs w:val="24"/>
        </w:rPr>
        <w:t xml:space="preserve">The </w:t>
      </w:r>
      <w:r w:rsidR="008942C7">
        <w:rPr>
          <w:rFonts w:asciiTheme="minorHAnsi" w:eastAsiaTheme="minorHAnsi" w:hAnsiTheme="minorHAnsi"/>
          <w:snapToGrid/>
          <w:sz w:val="24"/>
          <w:szCs w:val="24"/>
        </w:rPr>
        <w:t xml:space="preserve">estimation of net </w:t>
      </w:r>
      <w:r>
        <w:rPr>
          <w:rFonts w:asciiTheme="minorHAnsi" w:eastAsiaTheme="minorHAnsi" w:hAnsiTheme="minorHAnsi"/>
          <w:snapToGrid/>
          <w:sz w:val="24"/>
          <w:szCs w:val="24"/>
        </w:rPr>
        <w:t xml:space="preserve">cost is based on the published price for </w:t>
      </w:r>
      <w:proofErr w:type="spellStart"/>
      <w:r>
        <w:rPr>
          <w:rFonts w:asciiTheme="minorHAnsi" w:eastAsiaTheme="minorHAnsi" w:hAnsiTheme="minorHAnsi"/>
          <w:snapToGrid/>
          <w:sz w:val="24"/>
          <w:szCs w:val="24"/>
        </w:rPr>
        <w:t>everolimus</w:t>
      </w:r>
      <w:proofErr w:type="spellEnd"/>
      <w:r>
        <w:rPr>
          <w:rFonts w:asciiTheme="minorHAnsi" w:eastAsiaTheme="minorHAnsi" w:hAnsiTheme="minorHAnsi"/>
          <w:snapToGrid/>
          <w:sz w:val="24"/>
          <w:szCs w:val="24"/>
        </w:rPr>
        <w:t xml:space="preserve">. </w:t>
      </w:r>
    </w:p>
    <w:p w:rsidR="0047196E" w:rsidRPr="00CF6BE9" w:rsidRDefault="00114F23" w:rsidP="0047196E">
      <w:pPr>
        <w:pStyle w:val="ListParagraph"/>
        <w:widowControl/>
        <w:numPr>
          <w:ilvl w:val="1"/>
          <w:numId w:val="14"/>
        </w:numPr>
        <w:spacing w:before="120" w:after="160"/>
        <w:contextualSpacing w:val="0"/>
        <w:rPr>
          <w:rFonts w:asciiTheme="minorHAnsi" w:eastAsiaTheme="minorHAnsi" w:hAnsiTheme="minorHAnsi"/>
          <w:snapToGrid/>
          <w:sz w:val="24"/>
          <w:szCs w:val="24"/>
        </w:rPr>
      </w:pPr>
      <w:r w:rsidRPr="008E280F">
        <w:rPr>
          <w:rFonts w:asciiTheme="minorHAnsi" w:eastAsiaTheme="minorHAnsi" w:hAnsiTheme="minorHAnsi"/>
          <w:snapToGrid/>
          <w:sz w:val="24"/>
          <w:szCs w:val="24"/>
        </w:rPr>
        <w:t xml:space="preserve">The </w:t>
      </w:r>
      <w:r w:rsidR="009E14C0" w:rsidRPr="008E280F">
        <w:rPr>
          <w:rFonts w:asciiTheme="minorHAnsi" w:eastAsiaTheme="minorHAnsi" w:hAnsiTheme="minorHAnsi"/>
          <w:snapToGrid/>
          <w:sz w:val="24"/>
          <w:szCs w:val="24"/>
        </w:rPr>
        <w:t xml:space="preserve">November 2017 submission made a claim that there </w:t>
      </w:r>
      <w:r w:rsidR="005F3CEA" w:rsidRPr="008E280F">
        <w:rPr>
          <w:rFonts w:asciiTheme="minorHAnsi" w:eastAsiaTheme="minorHAnsi" w:hAnsiTheme="minorHAnsi"/>
          <w:snapToGrid/>
          <w:sz w:val="24"/>
          <w:szCs w:val="24"/>
        </w:rPr>
        <w:t>was no additional or reduced use</w:t>
      </w:r>
      <w:r w:rsidR="009E14C0" w:rsidRPr="008E280F">
        <w:rPr>
          <w:rFonts w:asciiTheme="minorHAnsi" w:eastAsiaTheme="minorHAnsi" w:hAnsiTheme="minorHAnsi"/>
          <w:snapToGrid/>
          <w:sz w:val="24"/>
          <w:szCs w:val="24"/>
        </w:rPr>
        <w:t xml:space="preserve"> of MBS items anticipated with the PBS listing of </w:t>
      </w:r>
      <w:proofErr w:type="spellStart"/>
      <w:r w:rsidR="009E14C0" w:rsidRPr="008E280F">
        <w:rPr>
          <w:rFonts w:asciiTheme="minorHAnsi" w:eastAsiaTheme="minorHAnsi" w:hAnsiTheme="minorHAnsi"/>
          <w:snapToGrid/>
          <w:sz w:val="24"/>
          <w:szCs w:val="24"/>
        </w:rPr>
        <w:t>lenvatinib</w:t>
      </w:r>
      <w:proofErr w:type="spellEnd"/>
      <w:r w:rsidR="009E14C0" w:rsidRPr="008E280F">
        <w:rPr>
          <w:rFonts w:asciiTheme="minorHAnsi" w:eastAsiaTheme="minorHAnsi" w:hAnsiTheme="minorHAnsi"/>
          <w:snapToGrid/>
          <w:sz w:val="24"/>
          <w:szCs w:val="24"/>
        </w:rPr>
        <w:t xml:space="preserve"> as a treatment for RCC. No changes were made to this approach in the resubmission. The claim of no additional MBS costs may not be reasonable as, on the basis of assumed longer survival, direct medical costs (oncologist examinations, CT scans, GP visits and blood tests) would be greater for </w:t>
      </w:r>
      <w:proofErr w:type="spellStart"/>
      <w:r w:rsidR="009E14C0" w:rsidRPr="008E280F">
        <w:rPr>
          <w:rFonts w:asciiTheme="minorHAnsi" w:eastAsiaTheme="minorHAnsi" w:hAnsiTheme="minorHAnsi"/>
          <w:snapToGrid/>
          <w:sz w:val="24"/>
          <w:szCs w:val="24"/>
        </w:rPr>
        <w:t>lenvatinib</w:t>
      </w:r>
      <w:proofErr w:type="spellEnd"/>
      <w:r w:rsidR="009E14C0" w:rsidRPr="008E280F">
        <w:rPr>
          <w:rFonts w:asciiTheme="minorHAnsi" w:eastAsiaTheme="minorHAnsi" w:hAnsiTheme="minorHAnsi"/>
          <w:snapToGrid/>
          <w:sz w:val="24"/>
          <w:szCs w:val="24"/>
        </w:rPr>
        <w:t>/</w:t>
      </w:r>
      <w:proofErr w:type="spellStart"/>
      <w:r w:rsidR="009E14C0" w:rsidRPr="008E280F">
        <w:rPr>
          <w:rFonts w:asciiTheme="minorHAnsi" w:eastAsiaTheme="minorHAnsi" w:hAnsiTheme="minorHAnsi"/>
          <w:snapToGrid/>
          <w:sz w:val="24"/>
          <w:szCs w:val="24"/>
        </w:rPr>
        <w:t>everolimus</w:t>
      </w:r>
      <w:proofErr w:type="spellEnd"/>
      <w:r w:rsidR="009E14C0" w:rsidRPr="008E280F">
        <w:rPr>
          <w:rFonts w:asciiTheme="minorHAnsi" w:eastAsiaTheme="minorHAnsi" w:hAnsiTheme="minorHAnsi"/>
          <w:snapToGrid/>
          <w:sz w:val="24"/>
          <w:szCs w:val="24"/>
        </w:rPr>
        <w:t xml:space="preserve"> than for </w:t>
      </w:r>
      <w:proofErr w:type="spellStart"/>
      <w:r w:rsidR="009E14C0" w:rsidRPr="008E280F">
        <w:rPr>
          <w:rFonts w:asciiTheme="minorHAnsi" w:eastAsiaTheme="minorHAnsi" w:hAnsiTheme="minorHAnsi"/>
          <w:snapToGrid/>
          <w:sz w:val="24"/>
          <w:szCs w:val="24"/>
        </w:rPr>
        <w:t>everolimus</w:t>
      </w:r>
      <w:proofErr w:type="spellEnd"/>
      <w:r w:rsidR="009E14C0" w:rsidRPr="008E280F">
        <w:rPr>
          <w:rFonts w:asciiTheme="minorHAnsi" w:eastAsiaTheme="minorHAnsi" w:hAnsiTheme="minorHAnsi"/>
          <w:snapToGrid/>
          <w:sz w:val="24"/>
          <w:szCs w:val="24"/>
        </w:rPr>
        <w:t xml:space="preserve"> monotherapy.</w:t>
      </w:r>
      <w:r w:rsidR="009E14C0">
        <w:rPr>
          <w:rFonts w:asciiTheme="minorHAnsi" w:eastAsiaTheme="minorHAnsi" w:hAnsiTheme="minorHAnsi"/>
          <w:i/>
          <w:snapToGrid/>
          <w:sz w:val="24"/>
          <w:szCs w:val="24"/>
        </w:rPr>
        <w:t xml:space="preserve"> </w:t>
      </w:r>
      <w:r>
        <w:rPr>
          <w:rFonts w:asciiTheme="minorHAnsi" w:eastAsiaTheme="minorHAnsi" w:hAnsiTheme="minorHAnsi"/>
          <w:snapToGrid/>
          <w:sz w:val="24"/>
          <w:szCs w:val="24"/>
        </w:rPr>
        <w:t xml:space="preserve"> </w:t>
      </w:r>
    </w:p>
    <w:p w:rsidR="00D31F79" w:rsidRPr="004109F4" w:rsidRDefault="00D31F79" w:rsidP="004109F4">
      <w:pPr>
        <w:pStyle w:val="Heading2"/>
      </w:pPr>
      <w:r w:rsidRPr="004109F4">
        <w:t>Financial management – risk sharing arrangements</w:t>
      </w:r>
    </w:p>
    <w:p w:rsidR="00EF3D86" w:rsidRDefault="00225FCA" w:rsidP="00EF3D86">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resubmission proposed </w:t>
      </w:r>
      <w:r w:rsidR="006A2C3B">
        <w:rPr>
          <w:rFonts w:asciiTheme="minorHAnsi" w:hAnsiTheme="minorHAnsi"/>
          <w:sz w:val="24"/>
          <w:szCs w:val="24"/>
        </w:rPr>
        <w:t>a risk sharing arrangement</w:t>
      </w:r>
      <w:r>
        <w:rPr>
          <w:rFonts w:asciiTheme="minorHAnsi" w:hAnsiTheme="minorHAnsi"/>
          <w:sz w:val="24"/>
          <w:szCs w:val="24"/>
        </w:rPr>
        <w:t xml:space="preserve"> to mitigate the financial risk to Government from </w:t>
      </w:r>
      <w:r w:rsidR="005D0E63">
        <w:rPr>
          <w:rFonts w:asciiTheme="minorHAnsi" w:hAnsiTheme="minorHAnsi"/>
          <w:sz w:val="24"/>
          <w:szCs w:val="24"/>
        </w:rPr>
        <w:t xml:space="preserve">the uncertainty regarding the clinical place in therapy </w:t>
      </w:r>
      <w:r w:rsidR="00566278">
        <w:rPr>
          <w:rFonts w:asciiTheme="minorHAnsi" w:hAnsiTheme="minorHAnsi"/>
          <w:sz w:val="24"/>
          <w:szCs w:val="24"/>
        </w:rPr>
        <w:t xml:space="preserve">and the </w:t>
      </w:r>
      <w:r w:rsidR="00566278" w:rsidRPr="006A2C3B">
        <w:rPr>
          <w:rFonts w:asciiTheme="minorHAnsi" w:hAnsiTheme="minorHAnsi"/>
          <w:sz w:val="24"/>
          <w:szCs w:val="24"/>
        </w:rPr>
        <w:lastRenderedPageBreak/>
        <w:t xml:space="preserve">dosing and duration of treatment with </w:t>
      </w:r>
      <w:proofErr w:type="spellStart"/>
      <w:r w:rsidR="00566278" w:rsidRPr="006A2C3B">
        <w:rPr>
          <w:rFonts w:asciiTheme="minorHAnsi" w:hAnsiTheme="minorHAnsi"/>
          <w:sz w:val="24"/>
          <w:szCs w:val="24"/>
        </w:rPr>
        <w:t>lenvatinib</w:t>
      </w:r>
      <w:proofErr w:type="spellEnd"/>
      <w:r w:rsidR="00566278" w:rsidRPr="006A2C3B">
        <w:rPr>
          <w:rFonts w:asciiTheme="minorHAnsi" w:hAnsiTheme="minorHAnsi"/>
          <w:sz w:val="24"/>
          <w:szCs w:val="24"/>
        </w:rPr>
        <w:t>/</w:t>
      </w:r>
      <w:proofErr w:type="spellStart"/>
      <w:r w:rsidR="00566278" w:rsidRPr="006A2C3B">
        <w:rPr>
          <w:rFonts w:asciiTheme="minorHAnsi" w:hAnsiTheme="minorHAnsi"/>
          <w:sz w:val="24"/>
          <w:szCs w:val="24"/>
        </w:rPr>
        <w:t>everolimus</w:t>
      </w:r>
      <w:proofErr w:type="spellEnd"/>
      <w:r w:rsidR="00566278" w:rsidRPr="006A2C3B">
        <w:rPr>
          <w:rFonts w:asciiTheme="minorHAnsi" w:hAnsiTheme="minorHAnsi"/>
          <w:sz w:val="24"/>
          <w:szCs w:val="24"/>
        </w:rPr>
        <w:t xml:space="preserve"> in clinical practice</w:t>
      </w:r>
      <w:r w:rsidR="00566278">
        <w:rPr>
          <w:rFonts w:asciiTheme="minorHAnsi" w:hAnsiTheme="minorHAnsi"/>
          <w:sz w:val="24"/>
          <w:szCs w:val="24"/>
        </w:rPr>
        <w:t xml:space="preserve">. </w:t>
      </w:r>
      <w:r w:rsidR="006A2C3B">
        <w:rPr>
          <w:rFonts w:asciiTheme="minorHAnsi" w:hAnsiTheme="minorHAnsi"/>
          <w:sz w:val="24"/>
          <w:szCs w:val="24"/>
        </w:rPr>
        <w:t>The proposed risk sharing arrangement</w:t>
      </w:r>
      <w:r w:rsidR="00EF3D86">
        <w:rPr>
          <w:rFonts w:asciiTheme="minorHAnsi" w:hAnsiTheme="minorHAnsi"/>
          <w:sz w:val="24"/>
          <w:szCs w:val="24"/>
        </w:rPr>
        <w:t xml:space="preserve"> contai</w:t>
      </w:r>
      <w:r w:rsidR="001B2532">
        <w:rPr>
          <w:rFonts w:asciiTheme="minorHAnsi" w:hAnsiTheme="minorHAnsi"/>
          <w:sz w:val="24"/>
          <w:szCs w:val="24"/>
        </w:rPr>
        <w:t xml:space="preserve">ned yearly expenditure caps </w:t>
      </w:r>
      <w:r w:rsidR="00EF3D86" w:rsidRPr="006A2C3B">
        <w:rPr>
          <w:rFonts w:asciiTheme="minorHAnsi" w:hAnsiTheme="minorHAnsi"/>
          <w:sz w:val="24"/>
          <w:szCs w:val="24"/>
        </w:rPr>
        <w:t xml:space="preserve">beyond which </w:t>
      </w:r>
      <w:r w:rsidR="00DE7568">
        <w:rPr>
          <w:rFonts w:asciiTheme="minorHAnsi" w:hAnsiTheme="minorHAnsi"/>
          <w:noProof/>
          <w:color w:val="000000"/>
          <w:sz w:val="24"/>
          <w:szCs w:val="24"/>
          <w:highlight w:val="black"/>
        </w:rPr>
        <w:t>'''''''</w:t>
      </w:r>
      <w:r w:rsidR="00EF3D86" w:rsidRPr="006A2C3B">
        <w:rPr>
          <w:rFonts w:asciiTheme="minorHAnsi" w:hAnsiTheme="minorHAnsi"/>
          <w:sz w:val="24"/>
          <w:szCs w:val="24"/>
        </w:rPr>
        <w:t xml:space="preserve">% of expenditure on </w:t>
      </w:r>
      <w:proofErr w:type="spellStart"/>
      <w:r w:rsidR="00EF3D86" w:rsidRPr="006A2C3B">
        <w:rPr>
          <w:rFonts w:asciiTheme="minorHAnsi" w:hAnsiTheme="minorHAnsi"/>
          <w:sz w:val="24"/>
          <w:szCs w:val="24"/>
        </w:rPr>
        <w:t>lenvatinib</w:t>
      </w:r>
      <w:proofErr w:type="spellEnd"/>
      <w:r w:rsidR="00EF3D86" w:rsidRPr="006A2C3B">
        <w:rPr>
          <w:rFonts w:asciiTheme="minorHAnsi" w:hAnsiTheme="minorHAnsi"/>
          <w:sz w:val="24"/>
          <w:szCs w:val="24"/>
        </w:rPr>
        <w:t xml:space="preserve"> would be rebated. </w:t>
      </w:r>
    </w:p>
    <w:p w:rsidR="009E14C0" w:rsidRDefault="001B2532" w:rsidP="00BC2C92">
      <w:pPr>
        <w:pStyle w:val="ListParagraph"/>
        <w:widowControl/>
        <w:numPr>
          <w:ilvl w:val="1"/>
          <w:numId w:val="14"/>
        </w:numPr>
        <w:spacing w:before="120" w:after="160"/>
        <w:contextualSpacing w:val="0"/>
      </w:pPr>
      <w:r>
        <w:rPr>
          <w:rFonts w:asciiTheme="minorHAnsi" w:hAnsiTheme="minorHAnsi"/>
          <w:sz w:val="24"/>
          <w:szCs w:val="24"/>
        </w:rPr>
        <w:t xml:space="preserve">The net cost of </w:t>
      </w:r>
      <w:proofErr w:type="spellStart"/>
      <w:r>
        <w:rPr>
          <w:rFonts w:asciiTheme="minorHAnsi" w:hAnsiTheme="minorHAnsi"/>
          <w:sz w:val="24"/>
          <w:szCs w:val="24"/>
        </w:rPr>
        <w:t>lenvatinib</w:t>
      </w:r>
      <w:proofErr w:type="spellEnd"/>
      <w:r>
        <w:rPr>
          <w:rFonts w:asciiTheme="minorHAnsi" w:hAnsiTheme="minorHAnsi"/>
          <w:sz w:val="24"/>
          <w:szCs w:val="24"/>
        </w:rPr>
        <w:t xml:space="preserve"> to the PBS/RPBS </w:t>
      </w:r>
      <w:r w:rsidR="00CE590A">
        <w:rPr>
          <w:rFonts w:asciiTheme="minorHAnsi" w:hAnsiTheme="minorHAnsi"/>
          <w:sz w:val="24"/>
          <w:szCs w:val="24"/>
        </w:rPr>
        <w:t>calculated</w:t>
      </w:r>
      <w:r>
        <w:rPr>
          <w:rFonts w:asciiTheme="minorHAnsi" w:hAnsiTheme="minorHAnsi"/>
          <w:sz w:val="24"/>
          <w:szCs w:val="24"/>
        </w:rPr>
        <w:t xml:space="preserve"> in the resu</w:t>
      </w:r>
      <w:r w:rsidR="00D108CC">
        <w:rPr>
          <w:rFonts w:asciiTheme="minorHAnsi" w:hAnsiTheme="minorHAnsi"/>
          <w:sz w:val="24"/>
          <w:szCs w:val="24"/>
        </w:rPr>
        <w:t xml:space="preserve">bmission was used as the basis </w:t>
      </w:r>
      <w:r>
        <w:rPr>
          <w:rFonts w:asciiTheme="minorHAnsi" w:hAnsiTheme="minorHAnsi"/>
          <w:sz w:val="24"/>
          <w:szCs w:val="24"/>
        </w:rPr>
        <w:t>f</w:t>
      </w:r>
      <w:r w:rsidR="00D108CC">
        <w:rPr>
          <w:rFonts w:asciiTheme="minorHAnsi" w:hAnsiTheme="minorHAnsi"/>
          <w:sz w:val="24"/>
          <w:szCs w:val="24"/>
        </w:rPr>
        <w:t>or</w:t>
      </w:r>
      <w:r>
        <w:rPr>
          <w:rFonts w:asciiTheme="minorHAnsi" w:hAnsiTheme="minorHAnsi"/>
          <w:sz w:val="24"/>
          <w:szCs w:val="24"/>
        </w:rPr>
        <w:t xml:space="preserve"> the </w:t>
      </w:r>
      <w:r w:rsidR="003C714F">
        <w:rPr>
          <w:rFonts w:asciiTheme="minorHAnsi" w:hAnsiTheme="minorHAnsi"/>
          <w:sz w:val="24"/>
          <w:szCs w:val="24"/>
        </w:rPr>
        <w:t xml:space="preserve">yearly expenditure caps (Table </w:t>
      </w:r>
      <w:r w:rsidR="00094575">
        <w:rPr>
          <w:rFonts w:asciiTheme="minorHAnsi" w:hAnsiTheme="minorHAnsi"/>
          <w:sz w:val="24"/>
          <w:szCs w:val="24"/>
        </w:rPr>
        <w:t>10</w:t>
      </w:r>
      <w:r>
        <w:rPr>
          <w:rFonts w:asciiTheme="minorHAnsi" w:hAnsiTheme="minorHAnsi"/>
          <w:sz w:val="24"/>
          <w:szCs w:val="24"/>
        </w:rPr>
        <w:t xml:space="preserve">). A </w:t>
      </w:r>
      <w:r w:rsidR="00DE7568">
        <w:rPr>
          <w:rFonts w:asciiTheme="minorHAnsi" w:hAnsiTheme="minorHAnsi"/>
          <w:noProof/>
          <w:color w:val="000000"/>
          <w:sz w:val="24"/>
          <w:szCs w:val="24"/>
          <w:highlight w:val="black"/>
        </w:rPr>
        <w:t>''</w:t>
      </w:r>
      <w:r>
        <w:rPr>
          <w:rFonts w:asciiTheme="minorHAnsi" w:hAnsiTheme="minorHAnsi"/>
          <w:sz w:val="24"/>
          <w:szCs w:val="24"/>
        </w:rPr>
        <w:t xml:space="preserve">% reduction in the estimated expenditure was </w:t>
      </w:r>
      <w:r w:rsidR="00CE590A">
        <w:rPr>
          <w:rFonts w:asciiTheme="minorHAnsi" w:hAnsiTheme="minorHAnsi"/>
          <w:sz w:val="24"/>
          <w:szCs w:val="24"/>
        </w:rPr>
        <w:t>then applied to determine the proposed yearly expenditure caps.</w:t>
      </w:r>
      <w:r>
        <w:rPr>
          <w:rFonts w:asciiTheme="minorHAnsi" w:hAnsiTheme="minorHAnsi"/>
          <w:sz w:val="24"/>
          <w:szCs w:val="24"/>
        </w:rPr>
        <w:t xml:space="preserve"> </w:t>
      </w:r>
      <w:r w:rsidR="000836B5">
        <w:rPr>
          <w:rFonts w:asciiTheme="minorHAnsi" w:hAnsiTheme="minorHAnsi"/>
          <w:sz w:val="24"/>
          <w:szCs w:val="24"/>
        </w:rPr>
        <w:t xml:space="preserve">The PBAC considered that as </w:t>
      </w:r>
      <w:proofErr w:type="spellStart"/>
      <w:r w:rsidR="000836B5">
        <w:rPr>
          <w:rFonts w:asciiTheme="minorHAnsi" w:hAnsiTheme="minorHAnsi"/>
          <w:sz w:val="24"/>
          <w:szCs w:val="24"/>
        </w:rPr>
        <w:t>lenvatinib</w:t>
      </w:r>
      <w:proofErr w:type="spellEnd"/>
      <w:r w:rsidR="000836B5">
        <w:rPr>
          <w:rFonts w:asciiTheme="minorHAnsi" w:hAnsiTheme="minorHAnsi"/>
          <w:sz w:val="24"/>
          <w:szCs w:val="24"/>
        </w:rPr>
        <w:t>/</w:t>
      </w:r>
      <w:proofErr w:type="spellStart"/>
      <w:r w:rsidR="000836B5">
        <w:rPr>
          <w:rFonts w:asciiTheme="minorHAnsi" w:hAnsiTheme="minorHAnsi"/>
          <w:sz w:val="24"/>
          <w:szCs w:val="24"/>
        </w:rPr>
        <w:t>everolimus</w:t>
      </w:r>
      <w:proofErr w:type="spellEnd"/>
      <w:r w:rsidR="000836B5">
        <w:rPr>
          <w:rFonts w:asciiTheme="minorHAnsi" w:hAnsiTheme="minorHAnsi"/>
          <w:sz w:val="24"/>
          <w:szCs w:val="24"/>
        </w:rPr>
        <w:t xml:space="preserve"> may be used sequentially with, rather than substitution for current second line treatments, the expenditure caps proposed may represent market growth. </w:t>
      </w:r>
    </w:p>
    <w:p w:rsidR="009E14C0" w:rsidRPr="009E14C0" w:rsidRDefault="003C714F" w:rsidP="009E14C0">
      <w:pPr>
        <w:pStyle w:val="TableHeading0"/>
      </w:pPr>
      <w:r>
        <w:t xml:space="preserve">Table </w:t>
      </w:r>
      <w:r w:rsidR="008E6391">
        <w:t>10</w:t>
      </w:r>
      <w:r w:rsidR="009E14C0">
        <w:t xml:space="preserve">: </w:t>
      </w:r>
      <w:r w:rsidR="009E14C0" w:rsidRPr="009E14C0">
        <w:t>Stepped presentation of revised financial estimates to inform yearly expenditure caps (effective price)</w:t>
      </w:r>
    </w:p>
    <w:tbl>
      <w:tblPr>
        <w:tblStyle w:val="TableGrid"/>
        <w:tblW w:w="9322" w:type="dxa"/>
        <w:tblLook w:val="04A0" w:firstRow="1" w:lastRow="0" w:firstColumn="1" w:lastColumn="0" w:noHBand="0" w:noVBand="1"/>
        <w:tblCaption w:val="Table 10: Stepped presentation of revised financial estimates to inform yearly expenditure caps (effective price)"/>
      </w:tblPr>
      <w:tblGrid>
        <w:gridCol w:w="2703"/>
        <w:gridCol w:w="1062"/>
        <w:gridCol w:w="1125"/>
        <w:gridCol w:w="1125"/>
        <w:gridCol w:w="1062"/>
        <w:gridCol w:w="1094"/>
        <w:gridCol w:w="1151"/>
      </w:tblGrid>
      <w:tr w:rsidR="009E14C0" w:rsidRPr="000E1BD8" w:rsidTr="005055DA">
        <w:trPr>
          <w:trHeight w:val="278"/>
          <w:tblHeader/>
        </w:trPr>
        <w:tc>
          <w:tcPr>
            <w:tcW w:w="0" w:type="auto"/>
            <w:shd w:val="clear" w:color="auto" w:fill="FFFFFF" w:themeFill="background1"/>
            <w:hideMark/>
          </w:tcPr>
          <w:p w:rsidR="009E14C0" w:rsidRPr="009E14C0" w:rsidRDefault="009E14C0" w:rsidP="009E14C0">
            <w:pPr>
              <w:pStyle w:val="TableText0"/>
              <w:rPr>
                <w:b/>
              </w:rPr>
            </w:pPr>
            <w:r w:rsidRPr="009E14C0">
              <w:rPr>
                <w:b/>
              </w:rPr>
              <w:t>Year</w:t>
            </w:r>
          </w:p>
        </w:tc>
        <w:tc>
          <w:tcPr>
            <w:tcW w:w="0" w:type="auto"/>
            <w:shd w:val="clear" w:color="auto" w:fill="FFFFFF" w:themeFill="background1"/>
            <w:hideMark/>
          </w:tcPr>
          <w:p w:rsidR="009E14C0" w:rsidRPr="009E14C0" w:rsidRDefault="009E14C0" w:rsidP="009E14C0">
            <w:pPr>
              <w:pStyle w:val="TableText0"/>
              <w:rPr>
                <w:b/>
              </w:rPr>
            </w:pPr>
            <w:r w:rsidRPr="009E14C0">
              <w:rPr>
                <w:b/>
              </w:rPr>
              <w:t>2018</w:t>
            </w:r>
          </w:p>
        </w:tc>
        <w:tc>
          <w:tcPr>
            <w:tcW w:w="0" w:type="auto"/>
            <w:shd w:val="clear" w:color="auto" w:fill="FFFFFF" w:themeFill="background1"/>
            <w:hideMark/>
          </w:tcPr>
          <w:p w:rsidR="009E14C0" w:rsidRPr="009E14C0" w:rsidRDefault="009E14C0" w:rsidP="009E14C0">
            <w:pPr>
              <w:pStyle w:val="TableText0"/>
              <w:rPr>
                <w:b/>
              </w:rPr>
            </w:pPr>
            <w:r w:rsidRPr="009E14C0">
              <w:rPr>
                <w:b/>
              </w:rPr>
              <w:t>2019</w:t>
            </w:r>
          </w:p>
        </w:tc>
        <w:tc>
          <w:tcPr>
            <w:tcW w:w="0" w:type="auto"/>
            <w:shd w:val="clear" w:color="auto" w:fill="FFFFFF" w:themeFill="background1"/>
            <w:hideMark/>
          </w:tcPr>
          <w:p w:rsidR="009E14C0" w:rsidRPr="009E14C0" w:rsidRDefault="009E14C0" w:rsidP="009E14C0">
            <w:pPr>
              <w:pStyle w:val="TableText0"/>
              <w:rPr>
                <w:b/>
              </w:rPr>
            </w:pPr>
            <w:r w:rsidRPr="009E14C0">
              <w:rPr>
                <w:b/>
              </w:rPr>
              <w:t>2020</w:t>
            </w:r>
          </w:p>
        </w:tc>
        <w:tc>
          <w:tcPr>
            <w:tcW w:w="0" w:type="auto"/>
            <w:shd w:val="clear" w:color="auto" w:fill="FFFFFF" w:themeFill="background1"/>
            <w:hideMark/>
          </w:tcPr>
          <w:p w:rsidR="009E14C0" w:rsidRPr="009E14C0" w:rsidRDefault="009E14C0" w:rsidP="009E14C0">
            <w:pPr>
              <w:pStyle w:val="TableText0"/>
              <w:rPr>
                <w:b/>
              </w:rPr>
            </w:pPr>
            <w:r w:rsidRPr="009E14C0">
              <w:rPr>
                <w:b/>
              </w:rPr>
              <w:t>2021</w:t>
            </w:r>
          </w:p>
        </w:tc>
        <w:tc>
          <w:tcPr>
            <w:tcW w:w="0" w:type="auto"/>
            <w:shd w:val="clear" w:color="auto" w:fill="FFFFFF" w:themeFill="background1"/>
            <w:hideMark/>
          </w:tcPr>
          <w:p w:rsidR="009E14C0" w:rsidRPr="009E14C0" w:rsidRDefault="009E14C0" w:rsidP="009E14C0">
            <w:pPr>
              <w:pStyle w:val="TableText0"/>
              <w:rPr>
                <w:b/>
              </w:rPr>
            </w:pPr>
            <w:r w:rsidRPr="009E14C0">
              <w:rPr>
                <w:b/>
              </w:rPr>
              <w:t>2022</w:t>
            </w:r>
          </w:p>
        </w:tc>
        <w:tc>
          <w:tcPr>
            <w:tcW w:w="1151" w:type="dxa"/>
            <w:shd w:val="clear" w:color="auto" w:fill="FFFFFF" w:themeFill="background1"/>
            <w:hideMark/>
          </w:tcPr>
          <w:p w:rsidR="009E14C0" w:rsidRPr="009E14C0" w:rsidRDefault="009E14C0" w:rsidP="009E14C0">
            <w:pPr>
              <w:pStyle w:val="TableText0"/>
              <w:rPr>
                <w:b/>
              </w:rPr>
            </w:pPr>
            <w:r w:rsidRPr="009E14C0">
              <w:rPr>
                <w:b/>
              </w:rPr>
              <w:t>2023</w:t>
            </w:r>
          </w:p>
        </w:tc>
      </w:tr>
      <w:tr w:rsidR="009E14C0" w:rsidRPr="000E1BD8" w:rsidTr="009E14C0">
        <w:trPr>
          <w:trHeight w:val="278"/>
        </w:trPr>
        <w:tc>
          <w:tcPr>
            <w:tcW w:w="9322" w:type="dxa"/>
            <w:gridSpan w:val="7"/>
            <w:shd w:val="clear" w:color="auto" w:fill="FFFFFF" w:themeFill="background1"/>
            <w:hideMark/>
          </w:tcPr>
          <w:p w:rsidR="009E14C0" w:rsidRPr="009E14C0" w:rsidRDefault="009E14C0" w:rsidP="009E14C0">
            <w:pPr>
              <w:pStyle w:val="TableText0"/>
              <w:rPr>
                <w:b/>
              </w:rPr>
            </w:pPr>
            <w:r w:rsidRPr="009E14C0">
              <w:rPr>
                <w:b/>
              </w:rPr>
              <w:t>Major Submission Considered at November 2017 PBAC Meeting</w:t>
            </w:r>
          </w:p>
        </w:tc>
      </w:tr>
      <w:tr w:rsidR="009E14C0" w:rsidRPr="000E1BD8" w:rsidTr="006A2C3B">
        <w:trPr>
          <w:trHeight w:val="365"/>
        </w:trPr>
        <w:tc>
          <w:tcPr>
            <w:tcW w:w="0" w:type="auto"/>
            <w:shd w:val="clear" w:color="auto" w:fill="FFFFFF" w:themeFill="background1"/>
            <w:hideMark/>
          </w:tcPr>
          <w:p w:rsidR="009E14C0" w:rsidRPr="000E1BD8" w:rsidRDefault="009E14C0" w:rsidP="009E14C0">
            <w:pPr>
              <w:pStyle w:val="TableText0"/>
            </w:pPr>
            <w:r w:rsidRPr="000E1BD8">
              <w:t xml:space="preserve">Net cost of </w:t>
            </w:r>
            <w:proofErr w:type="spellStart"/>
            <w:r w:rsidRPr="000E1BD8">
              <w:t>lenvatinib</w:t>
            </w:r>
            <w:proofErr w:type="spellEnd"/>
            <w:r w:rsidRPr="000E1BD8">
              <w:t xml:space="preserve"> to PBS/RPBS</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1151" w:type="dxa"/>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r>
      <w:tr w:rsidR="009E14C0" w:rsidRPr="000E1BD8" w:rsidTr="009E14C0">
        <w:trPr>
          <w:trHeight w:val="278"/>
        </w:trPr>
        <w:tc>
          <w:tcPr>
            <w:tcW w:w="9322" w:type="dxa"/>
            <w:gridSpan w:val="7"/>
            <w:shd w:val="clear" w:color="auto" w:fill="FFFFFF" w:themeFill="background1"/>
            <w:hideMark/>
          </w:tcPr>
          <w:p w:rsidR="009E14C0" w:rsidRPr="009E14C0" w:rsidRDefault="009E14C0" w:rsidP="009E14C0">
            <w:pPr>
              <w:pStyle w:val="TableText0"/>
              <w:rPr>
                <w:b/>
              </w:rPr>
            </w:pPr>
            <w:r w:rsidRPr="009E14C0">
              <w:rPr>
                <w:b/>
              </w:rPr>
              <w:t>Apply duration of therapy of 7.3 months</w:t>
            </w:r>
          </w:p>
        </w:tc>
      </w:tr>
      <w:tr w:rsidR="009E14C0" w:rsidRPr="000E1BD8" w:rsidTr="006A2C3B">
        <w:trPr>
          <w:trHeight w:val="375"/>
        </w:trPr>
        <w:tc>
          <w:tcPr>
            <w:tcW w:w="0" w:type="auto"/>
            <w:shd w:val="clear" w:color="auto" w:fill="FFFFFF" w:themeFill="background1"/>
            <w:hideMark/>
          </w:tcPr>
          <w:p w:rsidR="009E14C0" w:rsidRPr="000E1BD8" w:rsidRDefault="009E14C0" w:rsidP="009E14C0">
            <w:pPr>
              <w:pStyle w:val="TableText0"/>
            </w:pPr>
            <w:r w:rsidRPr="000E1BD8">
              <w:t xml:space="preserve">Net cost of </w:t>
            </w:r>
            <w:proofErr w:type="spellStart"/>
            <w:r w:rsidRPr="000E1BD8">
              <w:t>lenvatinib</w:t>
            </w:r>
            <w:proofErr w:type="spellEnd"/>
            <w:r w:rsidRPr="000E1BD8">
              <w:t xml:space="preserve"> to PBS/RPBS</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1151" w:type="dxa"/>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r>
      <w:tr w:rsidR="009E14C0" w:rsidRPr="000E1BD8" w:rsidTr="009E14C0">
        <w:trPr>
          <w:trHeight w:val="278"/>
        </w:trPr>
        <w:tc>
          <w:tcPr>
            <w:tcW w:w="9322" w:type="dxa"/>
            <w:gridSpan w:val="7"/>
            <w:shd w:val="clear" w:color="auto" w:fill="FFFFFF" w:themeFill="background1"/>
            <w:hideMark/>
          </w:tcPr>
          <w:p w:rsidR="009E14C0" w:rsidRPr="009E14C0" w:rsidRDefault="009E14C0" w:rsidP="009E14C0">
            <w:pPr>
              <w:pStyle w:val="TableText0"/>
              <w:rPr>
                <w:b/>
              </w:rPr>
            </w:pPr>
            <w:r w:rsidRPr="009E14C0">
              <w:rPr>
                <w:b/>
              </w:rPr>
              <w:t>Reducing number of RCC patie</w:t>
            </w:r>
            <w:r>
              <w:rPr>
                <w:b/>
              </w:rPr>
              <w:t xml:space="preserve">nts eligible to commence second </w:t>
            </w:r>
            <w:r w:rsidRPr="009E14C0">
              <w:rPr>
                <w:b/>
              </w:rPr>
              <w:t>line therapy by 25%</w:t>
            </w:r>
          </w:p>
        </w:tc>
      </w:tr>
      <w:tr w:rsidR="009E14C0" w:rsidRPr="000E1BD8" w:rsidTr="006A2C3B">
        <w:trPr>
          <w:trHeight w:val="371"/>
        </w:trPr>
        <w:tc>
          <w:tcPr>
            <w:tcW w:w="0" w:type="auto"/>
            <w:shd w:val="clear" w:color="auto" w:fill="FFFFFF" w:themeFill="background1"/>
            <w:hideMark/>
          </w:tcPr>
          <w:p w:rsidR="009E14C0" w:rsidRPr="000E1BD8" w:rsidRDefault="009E14C0" w:rsidP="009E14C0">
            <w:pPr>
              <w:pStyle w:val="TableText0"/>
            </w:pPr>
            <w:r w:rsidRPr="000E1BD8">
              <w:t xml:space="preserve">Net cost of </w:t>
            </w:r>
            <w:proofErr w:type="spellStart"/>
            <w:r w:rsidRPr="000E1BD8">
              <w:t>lenvatinib</w:t>
            </w:r>
            <w:proofErr w:type="spellEnd"/>
            <w:r w:rsidRPr="000E1BD8">
              <w:t xml:space="preserve"> to PBS/RPBS</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1151" w:type="dxa"/>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r>
      <w:tr w:rsidR="009E14C0" w:rsidRPr="000E1BD8" w:rsidTr="009E14C0">
        <w:trPr>
          <w:trHeight w:val="278"/>
        </w:trPr>
        <w:tc>
          <w:tcPr>
            <w:tcW w:w="9322" w:type="dxa"/>
            <w:gridSpan w:val="7"/>
            <w:shd w:val="clear" w:color="auto" w:fill="FFFFFF" w:themeFill="background1"/>
            <w:hideMark/>
          </w:tcPr>
          <w:p w:rsidR="009E14C0" w:rsidRPr="009E14C0" w:rsidRDefault="009E14C0" w:rsidP="009E14C0">
            <w:pPr>
              <w:pStyle w:val="TableText0"/>
              <w:rPr>
                <w:b/>
              </w:rPr>
            </w:pPr>
            <w:r w:rsidRPr="009E14C0">
              <w:rPr>
                <w:b/>
              </w:rPr>
              <w:t>Further 5% reduction in expenditure caps</w:t>
            </w:r>
            <w:r w:rsidR="002673CA">
              <w:rPr>
                <w:b/>
              </w:rPr>
              <w:t xml:space="preserve"> - </w:t>
            </w:r>
            <w:r w:rsidR="002673CA" w:rsidRPr="009E14C0">
              <w:rPr>
                <w:b/>
              </w:rPr>
              <w:t>Proposed Yearly Expenditure Caps</w:t>
            </w:r>
          </w:p>
        </w:tc>
      </w:tr>
      <w:tr w:rsidR="009E14C0" w:rsidRPr="000E1BD8" w:rsidTr="006A2C3B">
        <w:trPr>
          <w:trHeight w:val="380"/>
        </w:trPr>
        <w:tc>
          <w:tcPr>
            <w:tcW w:w="0" w:type="auto"/>
            <w:shd w:val="clear" w:color="auto" w:fill="FFFFFF" w:themeFill="background1"/>
            <w:hideMark/>
          </w:tcPr>
          <w:p w:rsidR="009E14C0" w:rsidRPr="000E1BD8" w:rsidRDefault="009E14C0" w:rsidP="009E14C0">
            <w:pPr>
              <w:pStyle w:val="TableText0"/>
            </w:pPr>
            <w:r w:rsidRPr="000E1BD8">
              <w:t xml:space="preserve">Net cost of </w:t>
            </w:r>
            <w:proofErr w:type="spellStart"/>
            <w:r w:rsidRPr="000E1BD8">
              <w:t>lenvatinib</w:t>
            </w:r>
            <w:proofErr w:type="spellEnd"/>
            <w:r w:rsidRPr="000E1BD8">
              <w:t xml:space="preserve"> to PBS/RPBS</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0" w:type="auto"/>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c>
          <w:tcPr>
            <w:tcW w:w="1151" w:type="dxa"/>
            <w:shd w:val="clear" w:color="auto" w:fill="FFFFFF" w:themeFill="background1"/>
            <w:hideMark/>
          </w:tcPr>
          <w:p w:rsidR="009E14C0" w:rsidRPr="000E1BD8" w:rsidRDefault="009E14C0" w:rsidP="009E14C0">
            <w:pPr>
              <w:pStyle w:val="TableText0"/>
            </w:pPr>
            <w:r w:rsidRPr="000E1BD8">
              <w:t>$</w:t>
            </w:r>
            <w:r w:rsidR="00DE7568">
              <w:rPr>
                <w:noProof/>
                <w:color w:val="000000"/>
                <w:highlight w:val="black"/>
              </w:rPr>
              <w:t>''''''''''''''''''''''''</w:t>
            </w:r>
          </w:p>
        </w:tc>
      </w:tr>
      <w:tr w:rsidR="009E14C0" w:rsidRPr="000E1BD8" w:rsidTr="009E14C0">
        <w:trPr>
          <w:trHeight w:val="278"/>
        </w:trPr>
        <w:tc>
          <w:tcPr>
            <w:tcW w:w="9322" w:type="dxa"/>
            <w:gridSpan w:val="7"/>
            <w:shd w:val="clear" w:color="auto" w:fill="FFFFFF" w:themeFill="background1"/>
            <w:hideMark/>
          </w:tcPr>
          <w:p w:rsidR="009E14C0" w:rsidRPr="009E14C0" w:rsidRDefault="009E14C0" w:rsidP="009E14C0">
            <w:pPr>
              <w:pStyle w:val="TableText0"/>
              <w:rPr>
                <w:b/>
              </w:rPr>
            </w:pPr>
            <w:r w:rsidRPr="009E14C0">
              <w:rPr>
                <w:b/>
              </w:rPr>
              <w:t>Overall reduction in estimated expenditure</w:t>
            </w:r>
          </w:p>
        </w:tc>
      </w:tr>
      <w:tr w:rsidR="009E14C0" w:rsidRPr="000E1BD8" w:rsidTr="006A2C3B">
        <w:trPr>
          <w:trHeight w:val="533"/>
        </w:trPr>
        <w:tc>
          <w:tcPr>
            <w:tcW w:w="0" w:type="auto"/>
            <w:shd w:val="clear" w:color="auto" w:fill="FFFFFF" w:themeFill="background1"/>
            <w:hideMark/>
          </w:tcPr>
          <w:p w:rsidR="009E14C0" w:rsidRPr="000E1BD8" w:rsidRDefault="009E14C0" w:rsidP="009E14C0">
            <w:pPr>
              <w:pStyle w:val="TableText0"/>
            </w:pPr>
            <w:r w:rsidRPr="000E1BD8">
              <w:t xml:space="preserve">Net reduction to cost of </w:t>
            </w:r>
            <w:proofErr w:type="spellStart"/>
            <w:r w:rsidRPr="000E1BD8">
              <w:t>lenvatinib</w:t>
            </w:r>
            <w:proofErr w:type="spellEnd"/>
            <w:r w:rsidRPr="000E1BD8">
              <w:t xml:space="preserve"> to PBS/RPBS</w:t>
            </w:r>
          </w:p>
        </w:tc>
        <w:tc>
          <w:tcPr>
            <w:tcW w:w="0" w:type="auto"/>
            <w:shd w:val="clear" w:color="auto" w:fill="FFFFFF" w:themeFill="background1"/>
            <w:hideMark/>
          </w:tcPr>
          <w:p w:rsidR="009E14C0" w:rsidRPr="009E14C0" w:rsidRDefault="009E14C0" w:rsidP="009E14C0">
            <w:pPr>
              <w:pStyle w:val="TableText0"/>
            </w:pPr>
            <w:r w:rsidRPr="009E14C0">
              <w:t>-$</w:t>
            </w:r>
            <w:r w:rsidR="00DE7568">
              <w:rPr>
                <w:noProof/>
                <w:color w:val="000000"/>
                <w:highlight w:val="black"/>
              </w:rPr>
              <w:t>'''''''''''''''''''</w:t>
            </w:r>
          </w:p>
        </w:tc>
        <w:tc>
          <w:tcPr>
            <w:tcW w:w="0" w:type="auto"/>
            <w:shd w:val="clear" w:color="auto" w:fill="FFFFFF" w:themeFill="background1"/>
            <w:hideMark/>
          </w:tcPr>
          <w:p w:rsidR="009E14C0" w:rsidRPr="009E14C0" w:rsidRDefault="009E14C0" w:rsidP="009E14C0">
            <w:pPr>
              <w:pStyle w:val="TableText0"/>
            </w:pPr>
            <w:r w:rsidRPr="009E14C0">
              <w:t>-$</w:t>
            </w:r>
            <w:r w:rsidR="00DE7568">
              <w:rPr>
                <w:noProof/>
                <w:color w:val="000000"/>
                <w:highlight w:val="black"/>
              </w:rPr>
              <w:t>''''''''''''''''''</w:t>
            </w:r>
          </w:p>
        </w:tc>
        <w:tc>
          <w:tcPr>
            <w:tcW w:w="0" w:type="auto"/>
            <w:shd w:val="clear" w:color="auto" w:fill="FFFFFF" w:themeFill="background1"/>
            <w:hideMark/>
          </w:tcPr>
          <w:p w:rsidR="009E14C0" w:rsidRPr="009E14C0" w:rsidRDefault="009E14C0" w:rsidP="009E14C0">
            <w:pPr>
              <w:pStyle w:val="TableText0"/>
            </w:pPr>
            <w:r w:rsidRPr="009E14C0">
              <w:t>-$</w:t>
            </w:r>
            <w:r w:rsidR="00DE7568">
              <w:rPr>
                <w:noProof/>
                <w:color w:val="000000"/>
                <w:highlight w:val="black"/>
              </w:rPr>
              <w:t>''''''''''''''''''</w:t>
            </w:r>
          </w:p>
        </w:tc>
        <w:tc>
          <w:tcPr>
            <w:tcW w:w="0" w:type="auto"/>
            <w:shd w:val="clear" w:color="auto" w:fill="FFFFFF" w:themeFill="background1"/>
            <w:hideMark/>
          </w:tcPr>
          <w:p w:rsidR="009E14C0" w:rsidRPr="009E14C0" w:rsidRDefault="009E14C0" w:rsidP="009E14C0">
            <w:pPr>
              <w:pStyle w:val="TableText0"/>
            </w:pPr>
            <w:r w:rsidRPr="009E14C0">
              <w:t>-$</w:t>
            </w:r>
            <w:r w:rsidR="00DE7568">
              <w:rPr>
                <w:noProof/>
                <w:color w:val="000000"/>
                <w:highlight w:val="black"/>
              </w:rPr>
              <w:t>''''''''''''''''''''</w:t>
            </w:r>
          </w:p>
        </w:tc>
        <w:tc>
          <w:tcPr>
            <w:tcW w:w="0" w:type="auto"/>
            <w:shd w:val="clear" w:color="auto" w:fill="FFFFFF" w:themeFill="background1"/>
            <w:hideMark/>
          </w:tcPr>
          <w:p w:rsidR="009E14C0" w:rsidRPr="009E14C0" w:rsidRDefault="009E14C0" w:rsidP="009E14C0">
            <w:pPr>
              <w:pStyle w:val="TableText0"/>
            </w:pPr>
            <w:r w:rsidRPr="009E14C0">
              <w:t>-$</w:t>
            </w:r>
            <w:r w:rsidR="00DE7568">
              <w:rPr>
                <w:noProof/>
                <w:color w:val="000000"/>
                <w:highlight w:val="black"/>
              </w:rPr>
              <w:t>'''''''''''''''''''</w:t>
            </w:r>
          </w:p>
        </w:tc>
        <w:tc>
          <w:tcPr>
            <w:tcW w:w="1151" w:type="dxa"/>
            <w:shd w:val="clear" w:color="auto" w:fill="FFFFFF" w:themeFill="background1"/>
            <w:hideMark/>
          </w:tcPr>
          <w:p w:rsidR="009E14C0" w:rsidRPr="009E14C0" w:rsidRDefault="009E14C0" w:rsidP="009E14C0">
            <w:pPr>
              <w:pStyle w:val="TableText0"/>
            </w:pPr>
            <w:r w:rsidRPr="009E14C0">
              <w:t>-$</w:t>
            </w:r>
            <w:r w:rsidR="00DE7568">
              <w:rPr>
                <w:noProof/>
                <w:color w:val="000000"/>
                <w:highlight w:val="black"/>
              </w:rPr>
              <w:t>'''''''''''''''''''''''</w:t>
            </w:r>
          </w:p>
        </w:tc>
      </w:tr>
      <w:tr w:rsidR="009E14C0" w:rsidRPr="000E1BD8" w:rsidTr="006A2C3B">
        <w:trPr>
          <w:trHeight w:val="540"/>
        </w:trPr>
        <w:tc>
          <w:tcPr>
            <w:tcW w:w="0" w:type="auto"/>
            <w:shd w:val="clear" w:color="auto" w:fill="FFFFFF" w:themeFill="background1"/>
            <w:hideMark/>
          </w:tcPr>
          <w:p w:rsidR="009E14C0" w:rsidRPr="000E1BD8" w:rsidRDefault="009E14C0" w:rsidP="009E14C0">
            <w:pPr>
              <w:pStyle w:val="TableText0"/>
            </w:pPr>
            <w:r w:rsidRPr="000E1BD8">
              <w:t xml:space="preserve">Overall % reduction to cost of </w:t>
            </w:r>
            <w:proofErr w:type="spellStart"/>
            <w:r w:rsidRPr="000E1BD8">
              <w:t>lenvatinib</w:t>
            </w:r>
            <w:proofErr w:type="spellEnd"/>
            <w:r w:rsidRPr="000E1BD8">
              <w:t xml:space="preserve"> to PBS/RPBS</w:t>
            </w:r>
          </w:p>
        </w:tc>
        <w:tc>
          <w:tcPr>
            <w:tcW w:w="0" w:type="auto"/>
            <w:shd w:val="clear" w:color="auto" w:fill="FFFFFF" w:themeFill="background1"/>
            <w:hideMark/>
          </w:tcPr>
          <w:p w:rsidR="009E14C0" w:rsidRPr="000E1BD8" w:rsidRDefault="00DE7568" w:rsidP="009E14C0">
            <w:pPr>
              <w:pStyle w:val="TableText0"/>
            </w:pPr>
            <w:r>
              <w:rPr>
                <w:noProof/>
                <w:color w:val="000000"/>
                <w:highlight w:val="black"/>
              </w:rPr>
              <w:t>'''''''</w:t>
            </w:r>
            <w:r w:rsidR="009E14C0" w:rsidRPr="000E1BD8">
              <w:t>%</w:t>
            </w:r>
          </w:p>
        </w:tc>
        <w:tc>
          <w:tcPr>
            <w:tcW w:w="0" w:type="auto"/>
            <w:shd w:val="clear" w:color="auto" w:fill="FFFFFF" w:themeFill="background1"/>
            <w:hideMark/>
          </w:tcPr>
          <w:p w:rsidR="009E14C0" w:rsidRPr="000E1BD8" w:rsidRDefault="00DE7568" w:rsidP="009E14C0">
            <w:pPr>
              <w:pStyle w:val="TableText0"/>
            </w:pPr>
            <w:r>
              <w:rPr>
                <w:noProof/>
                <w:color w:val="000000"/>
                <w:highlight w:val="black"/>
              </w:rPr>
              <w:t>'''''''</w:t>
            </w:r>
            <w:r w:rsidR="009E14C0" w:rsidRPr="000E1BD8">
              <w:t>%</w:t>
            </w:r>
          </w:p>
        </w:tc>
        <w:tc>
          <w:tcPr>
            <w:tcW w:w="0" w:type="auto"/>
            <w:shd w:val="clear" w:color="auto" w:fill="FFFFFF" w:themeFill="background1"/>
            <w:hideMark/>
          </w:tcPr>
          <w:p w:rsidR="009E14C0" w:rsidRPr="000E1BD8" w:rsidRDefault="00DE7568" w:rsidP="009E14C0">
            <w:pPr>
              <w:pStyle w:val="TableText0"/>
            </w:pPr>
            <w:r>
              <w:rPr>
                <w:noProof/>
                <w:color w:val="000000"/>
                <w:highlight w:val="black"/>
              </w:rPr>
              <w:t>''''''</w:t>
            </w:r>
            <w:r w:rsidR="009E14C0" w:rsidRPr="000E1BD8">
              <w:t>%</w:t>
            </w:r>
          </w:p>
        </w:tc>
        <w:tc>
          <w:tcPr>
            <w:tcW w:w="0" w:type="auto"/>
            <w:shd w:val="clear" w:color="auto" w:fill="FFFFFF" w:themeFill="background1"/>
            <w:hideMark/>
          </w:tcPr>
          <w:p w:rsidR="009E14C0" w:rsidRPr="000E1BD8" w:rsidRDefault="00DE7568" w:rsidP="009E14C0">
            <w:pPr>
              <w:pStyle w:val="TableText0"/>
            </w:pPr>
            <w:r>
              <w:rPr>
                <w:noProof/>
                <w:color w:val="000000"/>
                <w:highlight w:val="black"/>
              </w:rPr>
              <w:t>''''''</w:t>
            </w:r>
            <w:r w:rsidR="009E14C0" w:rsidRPr="000E1BD8">
              <w:t>%</w:t>
            </w:r>
          </w:p>
        </w:tc>
        <w:tc>
          <w:tcPr>
            <w:tcW w:w="0" w:type="auto"/>
            <w:shd w:val="clear" w:color="auto" w:fill="FFFFFF" w:themeFill="background1"/>
            <w:hideMark/>
          </w:tcPr>
          <w:p w:rsidR="009E14C0" w:rsidRPr="000E1BD8" w:rsidRDefault="00DE7568" w:rsidP="009E14C0">
            <w:pPr>
              <w:pStyle w:val="TableText0"/>
            </w:pPr>
            <w:r>
              <w:rPr>
                <w:noProof/>
                <w:color w:val="000000"/>
                <w:highlight w:val="black"/>
              </w:rPr>
              <w:t>'''''</w:t>
            </w:r>
            <w:r w:rsidR="009E14C0" w:rsidRPr="000E1BD8">
              <w:t>%</w:t>
            </w:r>
          </w:p>
        </w:tc>
        <w:tc>
          <w:tcPr>
            <w:tcW w:w="1151" w:type="dxa"/>
            <w:shd w:val="clear" w:color="auto" w:fill="FFFFFF" w:themeFill="background1"/>
            <w:hideMark/>
          </w:tcPr>
          <w:p w:rsidR="009E14C0" w:rsidRPr="000E1BD8" w:rsidRDefault="00DE7568" w:rsidP="009E14C0">
            <w:pPr>
              <w:pStyle w:val="TableText0"/>
            </w:pPr>
            <w:r>
              <w:rPr>
                <w:noProof/>
                <w:color w:val="000000"/>
                <w:highlight w:val="black"/>
              </w:rPr>
              <w:t>'''''''</w:t>
            </w:r>
            <w:r w:rsidR="009E14C0" w:rsidRPr="000E1BD8">
              <w:t>%</w:t>
            </w:r>
          </w:p>
        </w:tc>
      </w:tr>
    </w:tbl>
    <w:p w:rsidR="009E14C0" w:rsidRPr="00EF3D86" w:rsidRDefault="009E14C0" w:rsidP="009E14C0">
      <w:pPr>
        <w:pStyle w:val="TableFooter"/>
      </w:pPr>
      <w:r w:rsidRPr="000E1BD8">
        <w:t xml:space="preserve">Source: </w:t>
      </w:r>
      <w:r w:rsidR="006A2C3B">
        <w:rPr>
          <w:rFonts w:eastAsiaTheme="minorHAnsi"/>
        </w:rPr>
        <w:t>Appendix 3_Lenvatanib RCC Section 4 Workbook Minor Submission.xlsx ‘RSA’ worksheet</w:t>
      </w:r>
    </w:p>
    <w:p w:rsidR="008E280F" w:rsidRDefault="008E280F" w:rsidP="00AE22D3">
      <w:pPr>
        <w:rPr>
          <w:rFonts w:asciiTheme="minorHAnsi" w:eastAsiaTheme="minorHAnsi" w:hAnsiTheme="minorHAnsi" w:cstheme="minorBidi"/>
          <w:i/>
          <w:szCs w:val="22"/>
        </w:rPr>
      </w:pPr>
      <w:r w:rsidRPr="00BC2C92">
        <w:rPr>
          <w:rFonts w:asciiTheme="minorHAnsi" w:eastAsiaTheme="minorHAnsi" w:hAnsiTheme="minorHAnsi" w:cstheme="minorBidi"/>
          <w:i/>
          <w:szCs w:val="22"/>
        </w:rPr>
        <w:t xml:space="preserve">For more detail on the PBAC’s view, see section </w:t>
      </w:r>
      <w:r w:rsidR="00C92D63">
        <w:rPr>
          <w:rFonts w:asciiTheme="minorHAnsi" w:eastAsiaTheme="minorHAnsi" w:hAnsiTheme="minorHAnsi" w:cstheme="minorBidi"/>
          <w:i/>
          <w:szCs w:val="22"/>
        </w:rPr>
        <w:t>5</w:t>
      </w:r>
      <w:r w:rsidRPr="00BC2C92">
        <w:rPr>
          <w:rFonts w:asciiTheme="minorHAnsi" w:eastAsiaTheme="minorHAnsi" w:hAnsiTheme="minorHAnsi" w:cstheme="minorBidi"/>
          <w:i/>
          <w:szCs w:val="22"/>
        </w:rPr>
        <w:t xml:space="preserve"> PBAC outcome.</w:t>
      </w:r>
    </w:p>
    <w:p w:rsidR="00C92D63" w:rsidRPr="004109F4" w:rsidRDefault="006023EC" w:rsidP="004109F4">
      <w:pPr>
        <w:pStyle w:val="Heading1"/>
      </w:pPr>
      <w:r w:rsidRPr="004109F4">
        <w:t>PBAC Outcome</w:t>
      </w:r>
    </w:p>
    <w:p w:rsidR="00BC2C92" w:rsidRPr="00BC2C92" w:rsidRDefault="00BC2C92" w:rsidP="00BC2C92">
      <w:pPr>
        <w:pStyle w:val="ListParagraph"/>
        <w:widowControl/>
        <w:numPr>
          <w:ilvl w:val="1"/>
          <w:numId w:val="14"/>
        </w:numPr>
        <w:spacing w:before="120" w:after="160"/>
        <w:contextualSpacing w:val="0"/>
        <w:rPr>
          <w:rFonts w:asciiTheme="minorHAnsi" w:hAnsiTheme="minorHAnsi"/>
          <w:sz w:val="24"/>
          <w:szCs w:val="24"/>
        </w:rPr>
      </w:pPr>
      <w:r w:rsidRPr="00BC2C92">
        <w:rPr>
          <w:rFonts w:asciiTheme="minorHAnsi" w:hAnsiTheme="minorHAnsi"/>
          <w:sz w:val="24"/>
          <w:szCs w:val="24"/>
        </w:rPr>
        <w:t xml:space="preserve">The PBAC did not recommend the listing of </w:t>
      </w:r>
      <w:proofErr w:type="spellStart"/>
      <w:r w:rsidRPr="00BC2C92">
        <w:rPr>
          <w:rFonts w:asciiTheme="minorHAnsi" w:hAnsiTheme="minorHAnsi"/>
          <w:sz w:val="24"/>
          <w:szCs w:val="24"/>
        </w:rPr>
        <w:t>lenvatinib</w:t>
      </w:r>
      <w:proofErr w:type="spellEnd"/>
      <w:r w:rsidRPr="00BC2C92">
        <w:rPr>
          <w:rFonts w:asciiTheme="minorHAnsi" w:hAnsiTheme="minorHAnsi"/>
          <w:sz w:val="24"/>
          <w:szCs w:val="24"/>
        </w:rPr>
        <w:t xml:space="preserve"> in combination with </w:t>
      </w:r>
      <w:proofErr w:type="spellStart"/>
      <w:r w:rsidRPr="00BC2C92">
        <w:rPr>
          <w:rFonts w:asciiTheme="minorHAnsi" w:hAnsiTheme="minorHAnsi"/>
          <w:sz w:val="24"/>
          <w:szCs w:val="24"/>
        </w:rPr>
        <w:t>everolimus</w:t>
      </w:r>
      <w:proofErr w:type="spellEnd"/>
      <w:r w:rsidRPr="00BC2C92">
        <w:rPr>
          <w:rFonts w:asciiTheme="minorHAnsi" w:hAnsiTheme="minorHAnsi"/>
          <w:sz w:val="24"/>
          <w:szCs w:val="24"/>
        </w:rPr>
        <w:t xml:space="preserve"> for the treatment of patients with stage IV clear c</w:t>
      </w:r>
      <w:r w:rsidR="00614C74">
        <w:rPr>
          <w:rFonts w:asciiTheme="minorHAnsi" w:hAnsiTheme="minorHAnsi"/>
          <w:sz w:val="24"/>
          <w:szCs w:val="24"/>
        </w:rPr>
        <w:t>ell variant RCC</w:t>
      </w:r>
      <w:r w:rsidRPr="00BC2C92">
        <w:rPr>
          <w:rFonts w:asciiTheme="minorHAnsi" w:hAnsiTheme="minorHAnsi"/>
          <w:sz w:val="24"/>
          <w:szCs w:val="24"/>
        </w:rPr>
        <w:t xml:space="preserve"> on the basis that clinical need </w:t>
      </w:r>
      <w:r w:rsidR="00D21599">
        <w:rPr>
          <w:rFonts w:asciiTheme="minorHAnsi" w:hAnsiTheme="minorHAnsi"/>
          <w:sz w:val="24"/>
          <w:szCs w:val="24"/>
        </w:rPr>
        <w:t xml:space="preserve">and clinical place in therapy </w:t>
      </w:r>
      <w:r w:rsidR="000B4FD0">
        <w:rPr>
          <w:rFonts w:asciiTheme="minorHAnsi" w:hAnsiTheme="minorHAnsi"/>
          <w:sz w:val="24"/>
          <w:szCs w:val="24"/>
        </w:rPr>
        <w:t>were</w:t>
      </w:r>
      <w:r w:rsidRPr="00BC2C92">
        <w:rPr>
          <w:rFonts w:asciiTheme="minorHAnsi" w:hAnsiTheme="minorHAnsi"/>
          <w:sz w:val="24"/>
          <w:szCs w:val="24"/>
        </w:rPr>
        <w:t xml:space="preserve"> not adequately established. </w:t>
      </w:r>
      <w:r w:rsidRPr="00D21599">
        <w:rPr>
          <w:rFonts w:asciiTheme="minorHAnsi" w:hAnsiTheme="minorHAnsi"/>
          <w:sz w:val="24"/>
          <w:szCs w:val="24"/>
        </w:rPr>
        <w:t>In additio</w:t>
      </w:r>
      <w:r w:rsidR="00D21599">
        <w:rPr>
          <w:rFonts w:asciiTheme="minorHAnsi" w:hAnsiTheme="minorHAnsi"/>
          <w:sz w:val="24"/>
          <w:szCs w:val="24"/>
        </w:rPr>
        <w:t>n, the PBAC considered that the claim of non-in</w:t>
      </w:r>
      <w:r w:rsidR="001A21F9">
        <w:rPr>
          <w:rFonts w:asciiTheme="minorHAnsi" w:hAnsiTheme="minorHAnsi"/>
          <w:sz w:val="24"/>
          <w:szCs w:val="24"/>
        </w:rPr>
        <w:t xml:space="preserve">ferior effectiveness </w:t>
      </w:r>
      <w:r w:rsidR="00F6052A">
        <w:rPr>
          <w:rFonts w:asciiTheme="minorHAnsi" w:hAnsiTheme="minorHAnsi"/>
          <w:sz w:val="24"/>
          <w:szCs w:val="24"/>
        </w:rPr>
        <w:t xml:space="preserve">and safety </w:t>
      </w:r>
      <w:r w:rsidR="00D21599">
        <w:rPr>
          <w:rFonts w:asciiTheme="minorHAnsi" w:hAnsiTheme="minorHAnsi"/>
          <w:sz w:val="24"/>
          <w:szCs w:val="24"/>
        </w:rPr>
        <w:t xml:space="preserve">compared with </w:t>
      </w:r>
      <w:proofErr w:type="spellStart"/>
      <w:r w:rsidRPr="00D21599">
        <w:rPr>
          <w:rFonts w:asciiTheme="minorHAnsi" w:hAnsiTheme="minorHAnsi"/>
          <w:sz w:val="24"/>
          <w:szCs w:val="24"/>
        </w:rPr>
        <w:t>cabozantinib</w:t>
      </w:r>
      <w:proofErr w:type="spellEnd"/>
      <w:r w:rsidR="00D21599">
        <w:rPr>
          <w:rFonts w:asciiTheme="minorHAnsi" w:hAnsiTheme="minorHAnsi"/>
          <w:sz w:val="24"/>
          <w:szCs w:val="24"/>
        </w:rPr>
        <w:t xml:space="preserve"> was inadequately supported by the evidence presented</w:t>
      </w:r>
      <w:r w:rsidRPr="00D21599">
        <w:rPr>
          <w:rFonts w:asciiTheme="minorHAnsi" w:hAnsiTheme="minorHAnsi"/>
          <w:sz w:val="24"/>
          <w:szCs w:val="24"/>
        </w:rPr>
        <w:t>.</w:t>
      </w:r>
      <w:r w:rsidRPr="00BC2C92">
        <w:rPr>
          <w:rFonts w:asciiTheme="minorHAnsi" w:hAnsiTheme="minorHAnsi"/>
          <w:sz w:val="24"/>
          <w:szCs w:val="24"/>
        </w:rPr>
        <w:t xml:space="preserve"> </w:t>
      </w:r>
    </w:p>
    <w:p w:rsidR="00590C44" w:rsidRDefault="000B4FD0" w:rsidP="000D2DB3">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PBAC recalled that it rejected the November 2017 submission for </w:t>
      </w:r>
      <w:proofErr w:type="spellStart"/>
      <w:r>
        <w:rPr>
          <w:rFonts w:asciiTheme="minorHAnsi" w:hAnsiTheme="minorHAnsi"/>
          <w:sz w:val="24"/>
          <w:szCs w:val="24"/>
        </w:rPr>
        <w:t>lenvatinib</w:t>
      </w:r>
      <w:proofErr w:type="spellEnd"/>
      <w:r>
        <w:rPr>
          <w:rFonts w:asciiTheme="minorHAnsi" w:hAnsiTheme="minorHAnsi"/>
          <w:sz w:val="24"/>
          <w:szCs w:val="24"/>
        </w:rPr>
        <w:t>/</w:t>
      </w:r>
      <w:proofErr w:type="spellStart"/>
      <w:r>
        <w:rPr>
          <w:rFonts w:asciiTheme="minorHAnsi" w:hAnsiTheme="minorHAnsi"/>
          <w:sz w:val="24"/>
          <w:szCs w:val="24"/>
        </w:rPr>
        <w:t>everolimus</w:t>
      </w:r>
      <w:proofErr w:type="spellEnd"/>
      <w:r>
        <w:rPr>
          <w:rFonts w:asciiTheme="minorHAnsi" w:hAnsiTheme="minorHAnsi"/>
          <w:sz w:val="24"/>
          <w:szCs w:val="24"/>
        </w:rPr>
        <w:t xml:space="preserve"> on the basis that the clinical need and clinical place in therapy were not adequately established. </w:t>
      </w:r>
      <w:r w:rsidR="00E31634">
        <w:rPr>
          <w:rFonts w:asciiTheme="minorHAnsi" w:hAnsiTheme="minorHAnsi"/>
          <w:sz w:val="24"/>
          <w:szCs w:val="24"/>
        </w:rPr>
        <w:t xml:space="preserve">The PBAC recalled that there were many established therapies for advanced RCC and noted that </w:t>
      </w:r>
      <w:proofErr w:type="spellStart"/>
      <w:r w:rsidR="00E31634">
        <w:rPr>
          <w:rFonts w:asciiTheme="minorHAnsi" w:hAnsiTheme="minorHAnsi"/>
          <w:sz w:val="24"/>
          <w:szCs w:val="24"/>
        </w:rPr>
        <w:t>cabozantinib</w:t>
      </w:r>
      <w:proofErr w:type="spellEnd"/>
      <w:r w:rsidR="00E31634">
        <w:rPr>
          <w:rFonts w:asciiTheme="minorHAnsi" w:hAnsiTheme="minorHAnsi"/>
          <w:sz w:val="24"/>
          <w:szCs w:val="24"/>
        </w:rPr>
        <w:t xml:space="preserve"> was </w:t>
      </w:r>
      <w:r w:rsidR="00E31634">
        <w:rPr>
          <w:rFonts w:asciiTheme="minorHAnsi" w:hAnsiTheme="minorHAnsi"/>
          <w:sz w:val="24"/>
          <w:szCs w:val="24"/>
        </w:rPr>
        <w:lastRenderedPageBreak/>
        <w:t xml:space="preserve">recommended for PBS listing at the December 2017 meeting. </w:t>
      </w:r>
      <w:r w:rsidR="00A15563">
        <w:rPr>
          <w:rFonts w:asciiTheme="minorHAnsi" w:hAnsiTheme="minorHAnsi"/>
          <w:sz w:val="24"/>
          <w:szCs w:val="24"/>
        </w:rPr>
        <w:t xml:space="preserve">The PBAC noted the pre-PBAC response stated that </w:t>
      </w:r>
      <w:proofErr w:type="spellStart"/>
      <w:r w:rsidR="00A15563">
        <w:rPr>
          <w:rFonts w:asciiTheme="minorHAnsi" w:hAnsiTheme="minorHAnsi"/>
          <w:sz w:val="24"/>
          <w:szCs w:val="24"/>
        </w:rPr>
        <w:t>lenvatinib</w:t>
      </w:r>
      <w:proofErr w:type="spellEnd"/>
      <w:r w:rsidR="00A15563">
        <w:rPr>
          <w:rFonts w:asciiTheme="minorHAnsi" w:hAnsiTheme="minorHAnsi"/>
          <w:sz w:val="24"/>
          <w:szCs w:val="24"/>
        </w:rPr>
        <w:t>/</w:t>
      </w:r>
      <w:proofErr w:type="spellStart"/>
      <w:r w:rsidR="00A15563">
        <w:rPr>
          <w:rFonts w:asciiTheme="minorHAnsi" w:hAnsiTheme="minorHAnsi"/>
          <w:sz w:val="24"/>
          <w:szCs w:val="24"/>
        </w:rPr>
        <w:t>everolimus</w:t>
      </w:r>
      <w:proofErr w:type="spellEnd"/>
      <w:r w:rsidR="00A15563">
        <w:rPr>
          <w:rFonts w:asciiTheme="minorHAnsi" w:hAnsiTheme="minorHAnsi"/>
          <w:sz w:val="24"/>
          <w:szCs w:val="24"/>
        </w:rPr>
        <w:t xml:space="preserve"> represents an alternative treatment option to </w:t>
      </w:r>
      <w:proofErr w:type="spellStart"/>
      <w:r w:rsidR="00A15563">
        <w:rPr>
          <w:rFonts w:asciiTheme="minorHAnsi" w:hAnsiTheme="minorHAnsi"/>
          <w:sz w:val="24"/>
          <w:szCs w:val="24"/>
        </w:rPr>
        <w:t>cabozantinib</w:t>
      </w:r>
      <w:proofErr w:type="spellEnd"/>
      <w:r w:rsidR="00A15563">
        <w:rPr>
          <w:rFonts w:asciiTheme="minorHAnsi" w:hAnsiTheme="minorHAnsi"/>
          <w:sz w:val="24"/>
          <w:szCs w:val="24"/>
        </w:rPr>
        <w:t xml:space="preserve">. </w:t>
      </w:r>
      <w:r w:rsidR="007304B3">
        <w:rPr>
          <w:rFonts w:asciiTheme="minorHAnsi" w:hAnsiTheme="minorHAnsi"/>
          <w:sz w:val="24"/>
          <w:szCs w:val="24"/>
        </w:rPr>
        <w:t xml:space="preserve">The PBAC </w:t>
      </w:r>
      <w:r w:rsidR="00E31634">
        <w:rPr>
          <w:rFonts w:asciiTheme="minorHAnsi" w:hAnsiTheme="minorHAnsi"/>
          <w:sz w:val="24"/>
          <w:szCs w:val="24"/>
        </w:rPr>
        <w:t xml:space="preserve">considered that </w:t>
      </w:r>
      <w:r w:rsidR="00A15563">
        <w:rPr>
          <w:rFonts w:asciiTheme="minorHAnsi" w:hAnsiTheme="minorHAnsi"/>
          <w:sz w:val="24"/>
          <w:szCs w:val="24"/>
        </w:rPr>
        <w:t xml:space="preserve">concerns regarding the magnitude of clinical benefit </w:t>
      </w:r>
      <w:r w:rsidR="00EE7246">
        <w:rPr>
          <w:rFonts w:asciiTheme="minorHAnsi" w:hAnsiTheme="minorHAnsi"/>
          <w:sz w:val="24"/>
          <w:szCs w:val="24"/>
        </w:rPr>
        <w:t xml:space="preserve">of </w:t>
      </w:r>
      <w:proofErr w:type="spellStart"/>
      <w:r w:rsidR="00A15563">
        <w:rPr>
          <w:rFonts w:asciiTheme="minorHAnsi" w:hAnsiTheme="minorHAnsi"/>
          <w:sz w:val="24"/>
          <w:szCs w:val="24"/>
        </w:rPr>
        <w:t>lenvatinib</w:t>
      </w:r>
      <w:proofErr w:type="spellEnd"/>
      <w:r w:rsidR="00A15563">
        <w:rPr>
          <w:rFonts w:asciiTheme="minorHAnsi" w:hAnsiTheme="minorHAnsi"/>
          <w:sz w:val="24"/>
          <w:szCs w:val="24"/>
        </w:rPr>
        <w:t>/</w:t>
      </w:r>
      <w:proofErr w:type="spellStart"/>
      <w:r w:rsidR="00A15563">
        <w:rPr>
          <w:rFonts w:asciiTheme="minorHAnsi" w:hAnsiTheme="minorHAnsi"/>
          <w:sz w:val="24"/>
          <w:szCs w:val="24"/>
        </w:rPr>
        <w:t>everolimus</w:t>
      </w:r>
      <w:proofErr w:type="spellEnd"/>
      <w:r w:rsidR="00A15563">
        <w:rPr>
          <w:rFonts w:asciiTheme="minorHAnsi" w:hAnsiTheme="minorHAnsi"/>
          <w:sz w:val="24"/>
          <w:szCs w:val="24"/>
        </w:rPr>
        <w:t xml:space="preserve"> when compared to </w:t>
      </w:r>
      <w:proofErr w:type="spellStart"/>
      <w:r w:rsidR="00A15563">
        <w:rPr>
          <w:rFonts w:asciiTheme="minorHAnsi" w:hAnsiTheme="minorHAnsi"/>
          <w:sz w:val="24"/>
          <w:szCs w:val="24"/>
        </w:rPr>
        <w:t>cabozantinib</w:t>
      </w:r>
      <w:proofErr w:type="spellEnd"/>
      <w:r w:rsidR="00A15563">
        <w:rPr>
          <w:rFonts w:asciiTheme="minorHAnsi" w:hAnsiTheme="minorHAnsi"/>
          <w:sz w:val="24"/>
          <w:szCs w:val="24"/>
        </w:rPr>
        <w:t xml:space="preserve"> </w:t>
      </w:r>
      <w:r w:rsidR="00A32C21">
        <w:rPr>
          <w:rFonts w:asciiTheme="minorHAnsi" w:hAnsiTheme="minorHAnsi"/>
          <w:sz w:val="24"/>
          <w:szCs w:val="24"/>
        </w:rPr>
        <w:t xml:space="preserve">and other potential comparators </w:t>
      </w:r>
      <w:r w:rsidR="00A15563">
        <w:rPr>
          <w:rFonts w:asciiTheme="minorHAnsi" w:hAnsiTheme="minorHAnsi"/>
          <w:sz w:val="24"/>
          <w:szCs w:val="24"/>
        </w:rPr>
        <w:t xml:space="preserve">meant that its clinical place in therapy was unclear. </w:t>
      </w:r>
    </w:p>
    <w:p w:rsidR="00614C74" w:rsidRDefault="00614C74" w:rsidP="000D2DB3">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PBAC noted that the pre-PBAC response nominated </w:t>
      </w:r>
      <w:proofErr w:type="spellStart"/>
      <w:r>
        <w:rPr>
          <w:rFonts w:asciiTheme="minorHAnsi" w:hAnsiTheme="minorHAnsi"/>
          <w:sz w:val="24"/>
          <w:szCs w:val="24"/>
        </w:rPr>
        <w:t>cabozantinib</w:t>
      </w:r>
      <w:proofErr w:type="spellEnd"/>
      <w:r>
        <w:rPr>
          <w:rFonts w:asciiTheme="minorHAnsi" w:hAnsiTheme="minorHAnsi"/>
          <w:sz w:val="24"/>
          <w:szCs w:val="24"/>
        </w:rPr>
        <w:t xml:space="preserve"> as the most appropriate comparator.</w:t>
      </w:r>
      <w:r w:rsidR="008A003E">
        <w:rPr>
          <w:rFonts w:asciiTheme="minorHAnsi" w:hAnsiTheme="minorHAnsi"/>
          <w:sz w:val="24"/>
          <w:szCs w:val="24"/>
        </w:rPr>
        <w:t xml:space="preserve"> </w:t>
      </w:r>
      <w:r w:rsidR="00A15563">
        <w:rPr>
          <w:rFonts w:asciiTheme="minorHAnsi" w:hAnsiTheme="minorHAnsi"/>
          <w:sz w:val="24"/>
          <w:szCs w:val="24"/>
        </w:rPr>
        <w:t>The PBAC re-affirmed that until the clinical place in therapy is established</w:t>
      </w:r>
      <w:r w:rsidR="00C54FAA">
        <w:rPr>
          <w:rFonts w:asciiTheme="minorHAnsi" w:hAnsiTheme="minorHAnsi"/>
          <w:sz w:val="24"/>
          <w:szCs w:val="24"/>
        </w:rPr>
        <w:t>,</w:t>
      </w:r>
      <w:r w:rsidR="00A15563">
        <w:rPr>
          <w:rFonts w:asciiTheme="minorHAnsi" w:hAnsiTheme="minorHAnsi"/>
          <w:sz w:val="24"/>
          <w:szCs w:val="24"/>
        </w:rPr>
        <w:t xml:space="preserve"> an appropriate comparator for </w:t>
      </w:r>
      <w:proofErr w:type="spellStart"/>
      <w:r w:rsidR="00A15563">
        <w:rPr>
          <w:rFonts w:asciiTheme="minorHAnsi" w:hAnsiTheme="minorHAnsi"/>
          <w:sz w:val="24"/>
          <w:szCs w:val="24"/>
        </w:rPr>
        <w:t>lenvatinib</w:t>
      </w:r>
      <w:proofErr w:type="spellEnd"/>
      <w:r w:rsidR="00A15563">
        <w:rPr>
          <w:rFonts w:asciiTheme="minorHAnsi" w:hAnsiTheme="minorHAnsi"/>
          <w:sz w:val="24"/>
          <w:szCs w:val="24"/>
        </w:rPr>
        <w:t>/</w:t>
      </w:r>
      <w:proofErr w:type="spellStart"/>
      <w:r w:rsidR="00A15563">
        <w:rPr>
          <w:rFonts w:asciiTheme="minorHAnsi" w:hAnsiTheme="minorHAnsi"/>
          <w:sz w:val="24"/>
          <w:szCs w:val="24"/>
        </w:rPr>
        <w:t>everolimus</w:t>
      </w:r>
      <w:proofErr w:type="spellEnd"/>
      <w:r w:rsidR="00A15563">
        <w:rPr>
          <w:rFonts w:asciiTheme="minorHAnsi" w:hAnsiTheme="minorHAnsi"/>
          <w:sz w:val="24"/>
          <w:szCs w:val="24"/>
        </w:rPr>
        <w:t xml:space="preserve"> cannot be determined.</w:t>
      </w:r>
    </w:p>
    <w:p w:rsidR="00824F68" w:rsidRDefault="005918CB" w:rsidP="000D7ED1">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The PBAC noted the</w:t>
      </w:r>
      <w:r w:rsidR="00614C74">
        <w:rPr>
          <w:rFonts w:asciiTheme="minorHAnsi" w:hAnsiTheme="minorHAnsi"/>
          <w:sz w:val="24"/>
          <w:szCs w:val="24"/>
        </w:rPr>
        <w:t xml:space="preserve"> </w:t>
      </w:r>
      <w:r w:rsidR="00281A6C">
        <w:rPr>
          <w:rFonts w:asciiTheme="minorHAnsi" w:hAnsiTheme="minorHAnsi"/>
          <w:sz w:val="24"/>
          <w:szCs w:val="24"/>
        </w:rPr>
        <w:t xml:space="preserve">pre-PBAC response claimed non-inferior </w:t>
      </w:r>
      <w:r w:rsidR="00194CD6">
        <w:rPr>
          <w:rFonts w:asciiTheme="minorHAnsi" w:hAnsiTheme="minorHAnsi"/>
          <w:sz w:val="24"/>
          <w:szCs w:val="24"/>
        </w:rPr>
        <w:t xml:space="preserve">PFS and OS </w:t>
      </w:r>
      <w:r w:rsidR="00281A6C">
        <w:rPr>
          <w:rFonts w:asciiTheme="minorHAnsi" w:hAnsiTheme="minorHAnsi"/>
          <w:sz w:val="24"/>
          <w:szCs w:val="24"/>
        </w:rPr>
        <w:t xml:space="preserve">for </w:t>
      </w:r>
      <w:proofErr w:type="spellStart"/>
      <w:r w:rsidR="00281A6C">
        <w:rPr>
          <w:rFonts w:asciiTheme="minorHAnsi" w:hAnsiTheme="minorHAnsi"/>
          <w:sz w:val="24"/>
          <w:szCs w:val="24"/>
        </w:rPr>
        <w:t>lenvatinib</w:t>
      </w:r>
      <w:proofErr w:type="spellEnd"/>
      <w:r w:rsidR="00281A6C">
        <w:rPr>
          <w:rFonts w:asciiTheme="minorHAnsi" w:hAnsiTheme="minorHAnsi"/>
          <w:sz w:val="24"/>
          <w:szCs w:val="24"/>
        </w:rPr>
        <w:t>/</w:t>
      </w:r>
      <w:proofErr w:type="spellStart"/>
      <w:r w:rsidR="00281A6C">
        <w:rPr>
          <w:rFonts w:asciiTheme="minorHAnsi" w:hAnsiTheme="minorHAnsi"/>
          <w:sz w:val="24"/>
          <w:szCs w:val="24"/>
        </w:rPr>
        <w:t>everolimus</w:t>
      </w:r>
      <w:proofErr w:type="spellEnd"/>
      <w:r w:rsidR="00281A6C">
        <w:rPr>
          <w:rFonts w:asciiTheme="minorHAnsi" w:hAnsiTheme="minorHAnsi"/>
          <w:sz w:val="24"/>
          <w:szCs w:val="24"/>
        </w:rPr>
        <w:t xml:space="preserve"> </w:t>
      </w:r>
      <w:r w:rsidR="00EB101E">
        <w:rPr>
          <w:rFonts w:asciiTheme="minorHAnsi" w:hAnsiTheme="minorHAnsi"/>
          <w:sz w:val="24"/>
          <w:szCs w:val="24"/>
        </w:rPr>
        <w:t xml:space="preserve">over </w:t>
      </w:r>
      <w:proofErr w:type="spellStart"/>
      <w:r w:rsidR="00EB101E">
        <w:rPr>
          <w:rFonts w:asciiTheme="minorHAnsi" w:hAnsiTheme="minorHAnsi"/>
          <w:sz w:val="24"/>
          <w:szCs w:val="24"/>
        </w:rPr>
        <w:t>cabozantinib</w:t>
      </w:r>
      <w:proofErr w:type="spellEnd"/>
      <w:r w:rsidR="00EE5F19">
        <w:rPr>
          <w:rFonts w:asciiTheme="minorHAnsi" w:hAnsiTheme="minorHAnsi"/>
          <w:sz w:val="24"/>
          <w:szCs w:val="24"/>
        </w:rPr>
        <w:t>. The PBAC noted the claim was based on an</w:t>
      </w:r>
      <w:r w:rsidR="00807A45">
        <w:rPr>
          <w:rFonts w:asciiTheme="minorHAnsi" w:hAnsiTheme="minorHAnsi"/>
          <w:sz w:val="24"/>
          <w:szCs w:val="24"/>
        </w:rPr>
        <w:t xml:space="preserve"> indirect comparison of a </w:t>
      </w:r>
      <w:r w:rsidR="00C54FAA">
        <w:rPr>
          <w:rFonts w:asciiTheme="minorHAnsi" w:hAnsiTheme="minorHAnsi"/>
          <w:sz w:val="24"/>
          <w:szCs w:val="24"/>
        </w:rPr>
        <w:t xml:space="preserve">small </w:t>
      </w:r>
      <w:r w:rsidR="00EE5F19">
        <w:rPr>
          <w:rFonts w:asciiTheme="minorHAnsi" w:hAnsiTheme="minorHAnsi"/>
          <w:sz w:val="24"/>
          <w:szCs w:val="24"/>
        </w:rPr>
        <w:t xml:space="preserve">phase II </w:t>
      </w:r>
      <w:r w:rsidR="009C3806">
        <w:rPr>
          <w:rFonts w:asciiTheme="minorHAnsi" w:hAnsiTheme="minorHAnsi"/>
          <w:sz w:val="24"/>
          <w:szCs w:val="24"/>
        </w:rPr>
        <w:t xml:space="preserve">open-label </w:t>
      </w:r>
      <w:r w:rsidR="00EE5F19">
        <w:rPr>
          <w:rFonts w:asciiTheme="minorHAnsi" w:hAnsiTheme="minorHAnsi"/>
          <w:sz w:val="24"/>
          <w:szCs w:val="24"/>
        </w:rPr>
        <w:t xml:space="preserve">trial </w:t>
      </w:r>
      <w:r w:rsidR="009C3806">
        <w:rPr>
          <w:rFonts w:asciiTheme="minorHAnsi" w:hAnsiTheme="minorHAnsi"/>
          <w:sz w:val="24"/>
          <w:szCs w:val="24"/>
        </w:rPr>
        <w:t xml:space="preserve">(n=101) </w:t>
      </w:r>
      <w:r w:rsidR="00EE5F19">
        <w:rPr>
          <w:rFonts w:asciiTheme="minorHAnsi" w:hAnsiTheme="minorHAnsi"/>
          <w:sz w:val="24"/>
          <w:szCs w:val="24"/>
        </w:rPr>
        <w:t>and a</w:t>
      </w:r>
      <w:r w:rsidR="009C3806">
        <w:rPr>
          <w:rFonts w:asciiTheme="minorHAnsi" w:hAnsiTheme="minorHAnsi"/>
          <w:sz w:val="24"/>
          <w:szCs w:val="24"/>
        </w:rPr>
        <w:t xml:space="preserve"> phase III open-label</w:t>
      </w:r>
      <w:r w:rsidR="00EE5F19">
        <w:rPr>
          <w:rFonts w:asciiTheme="minorHAnsi" w:hAnsiTheme="minorHAnsi"/>
          <w:sz w:val="24"/>
          <w:szCs w:val="24"/>
        </w:rPr>
        <w:t xml:space="preserve"> trial</w:t>
      </w:r>
      <w:r>
        <w:rPr>
          <w:rFonts w:asciiTheme="minorHAnsi" w:hAnsiTheme="minorHAnsi"/>
          <w:sz w:val="24"/>
          <w:szCs w:val="24"/>
        </w:rPr>
        <w:t xml:space="preserve"> </w:t>
      </w:r>
      <w:r w:rsidR="00EE5F19">
        <w:rPr>
          <w:rFonts w:asciiTheme="minorHAnsi" w:hAnsiTheme="minorHAnsi"/>
          <w:sz w:val="24"/>
          <w:szCs w:val="24"/>
        </w:rPr>
        <w:t>(N=658)</w:t>
      </w:r>
      <w:r w:rsidR="00C54FAA">
        <w:rPr>
          <w:rFonts w:asciiTheme="minorHAnsi" w:hAnsiTheme="minorHAnsi"/>
          <w:sz w:val="24"/>
          <w:szCs w:val="24"/>
        </w:rPr>
        <w:t>,</w:t>
      </w:r>
      <w:r w:rsidR="00EE5F19">
        <w:rPr>
          <w:rFonts w:asciiTheme="minorHAnsi" w:hAnsiTheme="minorHAnsi"/>
          <w:sz w:val="24"/>
          <w:szCs w:val="24"/>
        </w:rPr>
        <w:t xml:space="preserve"> comparing </w:t>
      </w:r>
      <w:proofErr w:type="spellStart"/>
      <w:r w:rsidR="00EE5F19">
        <w:rPr>
          <w:rFonts w:asciiTheme="minorHAnsi" w:hAnsiTheme="minorHAnsi"/>
          <w:sz w:val="24"/>
          <w:szCs w:val="24"/>
        </w:rPr>
        <w:t>lenvatinib</w:t>
      </w:r>
      <w:proofErr w:type="spellEnd"/>
      <w:r w:rsidR="00EE5F19">
        <w:rPr>
          <w:rFonts w:asciiTheme="minorHAnsi" w:hAnsiTheme="minorHAnsi"/>
          <w:sz w:val="24"/>
          <w:szCs w:val="24"/>
        </w:rPr>
        <w:t>/</w:t>
      </w:r>
      <w:proofErr w:type="spellStart"/>
      <w:r w:rsidR="00EE5F19">
        <w:rPr>
          <w:rFonts w:asciiTheme="minorHAnsi" w:hAnsiTheme="minorHAnsi"/>
          <w:sz w:val="24"/>
          <w:szCs w:val="24"/>
        </w:rPr>
        <w:t>everolimus</w:t>
      </w:r>
      <w:proofErr w:type="spellEnd"/>
      <w:r w:rsidR="00EE5F19">
        <w:rPr>
          <w:rFonts w:asciiTheme="minorHAnsi" w:hAnsiTheme="minorHAnsi"/>
          <w:sz w:val="24"/>
          <w:szCs w:val="24"/>
        </w:rPr>
        <w:t xml:space="preserve"> and </w:t>
      </w:r>
      <w:proofErr w:type="spellStart"/>
      <w:r w:rsidR="00EE5F19">
        <w:rPr>
          <w:rFonts w:asciiTheme="minorHAnsi" w:hAnsiTheme="minorHAnsi"/>
          <w:sz w:val="24"/>
          <w:szCs w:val="24"/>
        </w:rPr>
        <w:t>cabozantinib</w:t>
      </w:r>
      <w:proofErr w:type="spellEnd"/>
      <w:r w:rsidR="00EE5F19">
        <w:rPr>
          <w:rFonts w:asciiTheme="minorHAnsi" w:hAnsiTheme="minorHAnsi"/>
          <w:sz w:val="24"/>
          <w:szCs w:val="24"/>
        </w:rPr>
        <w:t xml:space="preserve"> with </w:t>
      </w:r>
      <w:proofErr w:type="spellStart"/>
      <w:r w:rsidR="00EE5F19">
        <w:rPr>
          <w:rFonts w:asciiTheme="minorHAnsi" w:hAnsiTheme="minorHAnsi"/>
          <w:sz w:val="24"/>
          <w:szCs w:val="24"/>
        </w:rPr>
        <w:t>everolimus</w:t>
      </w:r>
      <w:proofErr w:type="spellEnd"/>
      <w:r w:rsidR="00EE5F19">
        <w:rPr>
          <w:rFonts w:asciiTheme="minorHAnsi" w:hAnsiTheme="minorHAnsi"/>
          <w:sz w:val="24"/>
          <w:szCs w:val="24"/>
        </w:rPr>
        <w:t xml:space="preserve"> (Study 205 and METEOR, respectively). </w:t>
      </w:r>
      <w:r w:rsidR="000D7ED1">
        <w:rPr>
          <w:rFonts w:asciiTheme="minorHAnsi" w:hAnsiTheme="minorHAnsi"/>
          <w:sz w:val="24"/>
          <w:szCs w:val="24"/>
        </w:rPr>
        <w:t xml:space="preserve">The PBAC recalled that at the November 2017 meeting it had considered the magnitude of clinical benefit reported for </w:t>
      </w:r>
      <w:proofErr w:type="spellStart"/>
      <w:r w:rsidR="000D7ED1">
        <w:rPr>
          <w:rFonts w:asciiTheme="minorHAnsi" w:hAnsiTheme="minorHAnsi"/>
          <w:sz w:val="24"/>
          <w:szCs w:val="24"/>
        </w:rPr>
        <w:t>lenvatinib</w:t>
      </w:r>
      <w:proofErr w:type="spellEnd"/>
      <w:r w:rsidR="000D7ED1">
        <w:rPr>
          <w:rFonts w:asciiTheme="minorHAnsi" w:hAnsiTheme="minorHAnsi"/>
          <w:sz w:val="24"/>
          <w:szCs w:val="24"/>
        </w:rPr>
        <w:t>/</w:t>
      </w:r>
      <w:proofErr w:type="spellStart"/>
      <w:r w:rsidR="000D7ED1">
        <w:rPr>
          <w:rFonts w:asciiTheme="minorHAnsi" w:hAnsiTheme="minorHAnsi"/>
          <w:sz w:val="24"/>
          <w:szCs w:val="24"/>
        </w:rPr>
        <w:t>everolimus</w:t>
      </w:r>
      <w:proofErr w:type="spellEnd"/>
      <w:r w:rsidR="000D7ED1">
        <w:rPr>
          <w:rFonts w:asciiTheme="minorHAnsi" w:hAnsiTheme="minorHAnsi"/>
          <w:sz w:val="24"/>
          <w:szCs w:val="24"/>
        </w:rPr>
        <w:t xml:space="preserve"> was uncertain due to the small sample size of Study 205. </w:t>
      </w:r>
      <w:r w:rsidR="001A21F9">
        <w:rPr>
          <w:rFonts w:asciiTheme="minorHAnsi" w:hAnsiTheme="minorHAnsi"/>
          <w:sz w:val="24"/>
          <w:szCs w:val="24"/>
        </w:rPr>
        <w:t xml:space="preserve">The PBAC </w:t>
      </w:r>
      <w:r w:rsidR="00E2750A">
        <w:rPr>
          <w:rFonts w:asciiTheme="minorHAnsi" w:hAnsiTheme="minorHAnsi"/>
          <w:sz w:val="24"/>
          <w:szCs w:val="24"/>
        </w:rPr>
        <w:t>noted</w:t>
      </w:r>
      <w:r w:rsidR="001A21F9">
        <w:rPr>
          <w:rFonts w:asciiTheme="minorHAnsi" w:hAnsiTheme="minorHAnsi"/>
          <w:sz w:val="24"/>
          <w:szCs w:val="24"/>
        </w:rPr>
        <w:t xml:space="preserve"> that Study 205 is a small-scale phase II trial assessed as having a high risk of bias</w:t>
      </w:r>
      <w:r w:rsidR="00FC0906">
        <w:rPr>
          <w:rFonts w:asciiTheme="minorHAnsi" w:hAnsiTheme="minorHAnsi"/>
          <w:sz w:val="24"/>
          <w:szCs w:val="24"/>
        </w:rPr>
        <w:t xml:space="preserve"> and considered</w:t>
      </w:r>
      <w:r w:rsidR="00EC4881">
        <w:rPr>
          <w:rFonts w:asciiTheme="minorHAnsi" w:hAnsiTheme="minorHAnsi"/>
          <w:sz w:val="24"/>
          <w:szCs w:val="24"/>
        </w:rPr>
        <w:t xml:space="preserve"> that the evidence base for the use of </w:t>
      </w:r>
      <w:proofErr w:type="spellStart"/>
      <w:r w:rsidR="00EC4881">
        <w:rPr>
          <w:rFonts w:asciiTheme="minorHAnsi" w:hAnsiTheme="minorHAnsi"/>
          <w:sz w:val="24"/>
          <w:szCs w:val="24"/>
        </w:rPr>
        <w:t>lenvatinib</w:t>
      </w:r>
      <w:proofErr w:type="spellEnd"/>
      <w:r w:rsidR="00EC4881">
        <w:rPr>
          <w:rFonts w:asciiTheme="minorHAnsi" w:hAnsiTheme="minorHAnsi"/>
          <w:sz w:val="24"/>
          <w:szCs w:val="24"/>
        </w:rPr>
        <w:t>/</w:t>
      </w:r>
      <w:proofErr w:type="spellStart"/>
      <w:r w:rsidR="00EC4881">
        <w:rPr>
          <w:rFonts w:asciiTheme="minorHAnsi" w:hAnsiTheme="minorHAnsi"/>
          <w:sz w:val="24"/>
          <w:szCs w:val="24"/>
        </w:rPr>
        <w:t>everolimus</w:t>
      </w:r>
      <w:proofErr w:type="spellEnd"/>
      <w:r w:rsidR="00EC4881">
        <w:rPr>
          <w:rFonts w:asciiTheme="minorHAnsi" w:hAnsiTheme="minorHAnsi"/>
          <w:sz w:val="24"/>
          <w:szCs w:val="24"/>
        </w:rPr>
        <w:t xml:space="preserve"> for this indication was poor</w:t>
      </w:r>
      <w:r w:rsidR="001A21F9">
        <w:rPr>
          <w:rFonts w:asciiTheme="minorHAnsi" w:hAnsiTheme="minorHAnsi"/>
          <w:sz w:val="24"/>
          <w:szCs w:val="24"/>
        </w:rPr>
        <w:t>.</w:t>
      </w:r>
    </w:p>
    <w:p w:rsidR="00126D76" w:rsidRPr="000D7ED1" w:rsidRDefault="00824F68" w:rsidP="000D7ED1">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In considering the indirect comparison, the PBAC noted that a non-inferiority margin was not nominated. The PBAC noted the </w:t>
      </w:r>
      <w:r w:rsidR="00C21C5E">
        <w:rPr>
          <w:rFonts w:asciiTheme="minorHAnsi" w:hAnsiTheme="minorHAnsi"/>
          <w:sz w:val="24"/>
          <w:szCs w:val="24"/>
        </w:rPr>
        <w:t xml:space="preserve">wide 95% </w:t>
      </w:r>
      <w:r>
        <w:rPr>
          <w:rFonts w:asciiTheme="minorHAnsi" w:hAnsiTheme="minorHAnsi"/>
          <w:sz w:val="24"/>
          <w:szCs w:val="24"/>
        </w:rPr>
        <w:t xml:space="preserve">confidence intervals </w:t>
      </w:r>
      <w:r w:rsidR="00C21C5E">
        <w:rPr>
          <w:rFonts w:asciiTheme="minorHAnsi" w:hAnsiTheme="minorHAnsi"/>
          <w:sz w:val="24"/>
          <w:szCs w:val="24"/>
        </w:rPr>
        <w:t xml:space="preserve">(CI) </w:t>
      </w:r>
      <w:r>
        <w:rPr>
          <w:rFonts w:asciiTheme="minorHAnsi" w:hAnsiTheme="minorHAnsi"/>
          <w:sz w:val="24"/>
          <w:szCs w:val="24"/>
        </w:rPr>
        <w:t xml:space="preserve">for </w:t>
      </w:r>
      <w:r w:rsidR="00C21C5E">
        <w:rPr>
          <w:rFonts w:asciiTheme="minorHAnsi" w:hAnsiTheme="minorHAnsi"/>
          <w:sz w:val="24"/>
          <w:szCs w:val="24"/>
        </w:rPr>
        <w:t xml:space="preserve">the estimated indirect HR for </w:t>
      </w:r>
      <w:r>
        <w:rPr>
          <w:rFonts w:asciiTheme="minorHAnsi" w:hAnsiTheme="minorHAnsi"/>
          <w:sz w:val="24"/>
          <w:szCs w:val="24"/>
        </w:rPr>
        <w:t>PFS (HR=</w:t>
      </w:r>
      <w:r w:rsidRPr="0090764C">
        <w:rPr>
          <w:rFonts w:asciiTheme="minorHAnsi" w:hAnsiTheme="minorHAnsi"/>
          <w:sz w:val="24"/>
          <w:szCs w:val="24"/>
        </w:rPr>
        <w:t>0.78</w:t>
      </w:r>
      <w:r>
        <w:rPr>
          <w:rFonts w:asciiTheme="minorHAnsi" w:hAnsiTheme="minorHAnsi"/>
          <w:sz w:val="24"/>
          <w:szCs w:val="24"/>
        </w:rPr>
        <w:t xml:space="preserve">; 95% CI: </w:t>
      </w:r>
      <w:r w:rsidRPr="0090764C">
        <w:rPr>
          <w:rFonts w:asciiTheme="minorHAnsi" w:hAnsiTheme="minorHAnsi"/>
          <w:sz w:val="24"/>
          <w:szCs w:val="24"/>
        </w:rPr>
        <w:t>0.45, 1.37</w:t>
      </w:r>
      <w:r>
        <w:rPr>
          <w:rFonts w:asciiTheme="minorHAnsi" w:hAnsiTheme="minorHAnsi"/>
          <w:sz w:val="24"/>
          <w:szCs w:val="24"/>
        </w:rPr>
        <w:t>)</w:t>
      </w:r>
      <w:r w:rsidR="00C21C5E">
        <w:rPr>
          <w:rFonts w:asciiTheme="minorHAnsi" w:hAnsiTheme="minorHAnsi"/>
          <w:sz w:val="24"/>
          <w:szCs w:val="24"/>
        </w:rPr>
        <w:t xml:space="preserve"> and OS (HR=</w:t>
      </w:r>
      <w:r w:rsidR="00C21C5E" w:rsidRPr="0090764C">
        <w:rPr>
          <w:rFonts w:asciiTheme="minorHAnsi" w:hAnsiTheme="minorHAnsi"/>
          <w:sz w:val="24"/>
          <w:szCs w:val="24"/>
        </w:rPr>
        <w:t>0.83</w:t>
      </w:r>
      <w:r w:rsidR="00C21C5E">
        <w:rPr>
          <w:rFonts w:asciiTheme="minorHAnsi" w:hAnsiTheme="minorHAnsi"/>
          <w:sz w:val="24"/>
          <w:szCs w:val="24"/>
        </w:rPr>
        <w:t xml:space="preserve">; 95% CI: </w:t>
      </w:r>
      <w:r w:rsidR="00C21C5E" w:rsidRPr="0090764C">
        <w:rPr>
          <w:rFonts w:asciiTheme="minorHAnsi" w:hAnsiTheme="minorHAnsi"/>
          <w:sz w:val="24"/>
          <w:szCs w:val="24"/>
        </w:rPr>
        <w:t>0.44, 1.59</w:t>
      </w:r>
      <w:r w:rsidR="00C21C5E">
        <w:rPr>
          <w:rFonts w:asciiTheme="minorHAnsi" w:hAnsiTheme="minorHAnsi"/>
          <w:sz w:val="24"/>
          <w:szCs w:val="24"/>
        </w:rPr>
        <w:t xml:space="preserve">) and considered this limited the reliability of the results. </w:t>
      </w:r>
      <w:r w:rsidR="00D86E05" w:rsidRPr="000D7ED1">
        <w:rPr>
          <w:rFonts w:asciiTheme="minorHAnsi" w:hAnsiTheme="minorHAnsi"/>
          <w:sz w:val="24"/>
          <w:szCs w:val="24"/>
        </w:rPr>
        <w:t>The PBAC considered that differences in the event rates</w:t>
      </w:r>
      <w:r w:rsidR="006F6CA5" w:rsidRPr="000D7ED1">
        <w:rPr>
          <w:rFonts w:asciiTheme="minorHAnsi" w:hAnsiTheme="minorHAnsi"/>
          <w:sz w:val="24"/>
          <w:szCs w:val="24"/>
        </w:rPr>
        <w:t xml:space="preserve"> evident for the common reference</w:t>
      </w:r>
      <w:r w:rsidR="00F6052A">
        <w:rPr>
          <w:rFonts w:asciiTheme="minorHAnsi" w:hAnsiTheme="minorHAnsi"/>
          <w:sz w:val="24"/>
          <w:szCs w:val="24"/>
        </w:rPr>
        <w:t xml:space="preserve"> </w:t>
      </w:r>
      <w:r w:rsidR="006F6CA5" w:rsidRPr="000D7ED1">
        <w:rPr>
          <w:rFonts w:asciiTheme="minorHAnsi" w:hAnsiTheme="minorHAnsi"/>
          <w:sz w:val="24"/>
          <w:szCs w:val="24"/>
        </w:rPr>
        <w:t>raised concerns regarding the transitivity of the indirect comparison</w:t>
      </w:r>
      <w:r w:rsidR="00001428" w:rsidRPr="000D7ED1">
        <w:rPr>
          <w:rFonts w:asciiTheme="minorHAnsi" w:hAnsiTheme="minorHAnsi"/>
          <w:sz w:val="24"/>
          <w:szCs w:val="24"/>
        </w:rPr>
        <w:t>.</w:t>
      </w:r>
      <w:r w:rsidR="006F6CA5" w:rsidRPr="000D7ED1">
        <w:rPr>
          <w:rFonts w:asciiTheme="minorHAnsi" w:hAnsiTheme="minorHAnsi"/>
          <w:sz w:val="24"/>
          <w:szCs w:val="24"/>
        </w:rPr>
        <w:t xml:space="preserve"> </w:t>
      </w:r>
      <w:r w:rsidR="00001428" w:rsidRPr="000D7ED1">
        <w:rPr>
          <w:rFonts w:asciiTheme="minorHAnsi" w:hAnsiTheme="minorHAnsi"/>
          <w:sz w:val="24"/>
          <w:szCs w:val="24"/>
        </w:rPr>
        <w:t xml:space="preserve">The PBAC therefore considered the clinical claim of non-inferior </w:t>
      </w:r>
      <w:r w:rsidR="00E2750A">
        <w:rPr>
          <w:rFonts w:asciiTheme="minorHAnsi" w:hAnsiTheme="minorHAnsi"/>
          <w:sz w:val="24"/>
          <w:szCs w:val="24"/>
        </w:rPr>
        <w:t>effectiveness for the outcomes of PFS and OS</w:t>
      </w:r>
      <w:r w:rsidR="00001428" w:rsidRPr="000D7ED1">
        <w:rPr>
          <w:rFonts w:asciiTheme="minorHAnsi" w:hAnsiTheme="minorHAnsi"/>
          <w:sz w:val="24"/>
          <w:szCs w:val="24"/>
        </w:rPr>
        <w:t xml:space="preserve"> was not adequately supported.</w:t>
      </w:r>
    </w:p>
    <w:p w:rsidR="00F67DA0" w:rsidRDefault="00EC4881" w:rsidP="000D2DB3">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T</w:t>
      </w:r>
      <w:r w:rsidR="004F7E06">
        <w:rPr>
          <w:rFonts w:asciiTheme="minorHAnsi" w:hAnsiTheme="minorHAnsi"/>
          <w:sz w:val="24"/>
          <w:szCs w:val="24"/>
        </w:rPr>
        <w:t>he PBAC noted that differences in the rate</w:t>
      </w:r>
      <w:r w:rsidR="00E2750A">
        <w:rPr>
          <w:rFonts w:asciiTheme="minorHAnsi" w:hAnsiTheme="minorHAnsi"/>
          <w:sz w:val="24"/>
          <w:szCs w:val="24"/>
        </w:rPr>
        <w:t>s</w:t>
      </w:r>
      <w:r w:rsidR="004F7E06">
        <w:rPr>
          <w:rFonts w:asciiTheme="minorHAnsi" w:hAnsiTheme="minorHAnsi"/>
          <w:sz w:val="24"/>
          <w:szCs w:val="24"/>
        </w:rPr>
        <w:t xml:space="preserve"> of any</w:t>
      </w:r>
      <w:r>
        <w:rPr>
          <w:rFonts w:asciiTheme="minorHAnsi" w:hAnsiTheme="minorHAnsi"/>
          <w:sz w:val="24"/>
          <w:szCs w:val="24"/>
        </w:rPr>
        <w:t xml:space="preserve"> adverse event </w:t>
      </w:r>
      <w:r w:rsidR="00E2750A">
        <w:rPr>
          <w:rFonts w:asciiTheme="minorHAnsi" w:hAnsiTheme="minorHAnsi"/>
          <w:sz w:val="24"/>
          <w:szCs w:val="24"/>
        </w:rPr>
        <w:t>≥ Grade 3</w:t>
      </w:r>
      <w:r w:rsidR="001E7B75">
        <w:rPr>
          <w:rFonts w:asciiTheme="minorHAnsi" w:hAnsiTheme="minorHAnsi"/>
          <w:sz w:val="24"/>
          <w:szCs w:val="24"/>
        </w:rPr>
        <w:t xml:space="preserve"> we</w:t>
      </w:r>
      <w:r w:rsidR="004F7E06">
        <w:rPr>
          <w:rFonts w:asciiTheme="minorHAnsi" w:hAnsiTheme="minorHAnsi"/>
          <w:sz w:val="24"/>
          <w:szCs w:val="24"/>
        </w:rPr>
        <w:t xml:space="preserve">re evident for the common reference for the Study 205 and METEOR trials (42% versus 60%, respectively). As such, the PBAC considered that it </w:t>
      </w:r>
      <w:r w:rsidR="001E7B75">
        <w:rPr>
          <w:rFonts w:asciiTheme="minorHAnsi" w:hAnsiTheme="minorHAnsi"/>
          <w:sz w:val="24"/>
          <w:szCs w:val="24"/>
        </w:rPr>
        <w:t>was difficult</w:t>
      </w:r>
      <w:r w:rsidR="004F7E06">
        <w:rPr>
          <w:rFonts w:asciiTheme="minorHAnsi" w:hAnsiTheme="minorHAnsi"/>
          <w:sz w:val="24"/>
          <w:szCs w:val="24"/>
        </w:rPr>
        <w:t xml:space="preserve"> to compare absolute adverse event rates for </w:t>
      </w:r>
      <w:proofErr w:type="spellStart"/>
      <w:r w:rsidR="004F7E06">
        <w:rPr>
          <w:rFonts w:asciiTheme="minorHAnsi" w:hAnsiTheme="minorHAnsi"/>
          <w:sz w:val="24"/>
          <w:szCs w:val="24"/>
        </w:rPr>
        <w:t>lenvatin</w:t>
      </w:r>
      <w:r w:rsidR="004A6E80">
        <w:rPr>
          <w:rFonts w:asciiTheme="minorHAnsi" w:hAnsiTheme="minorHAnsi"/>
          <w:sz w:val="24"/>
          <w:szCs w:val="24"/>
        </w:rPr>
        <w:t>ib</w:t>
      </w:r>
      <w:proofErr w:type="spellEnd"/>
      <w:r w:rsidR="004A6E80">
        <w:rPr>
          <w:rFonts w:asciiTheme="minorHAnsi" w:hAnsiTheme="minorHAnsi"/>
          <w:sz w:val="24"/>
          <w:szCs w:val="24"/>
        </w:rPr>
        <w:t>/</w:t>
      </w:r>
      <w:proofErr w:type="spellStart"/>
      <w:r w:rsidR="004A6E80">
        <w:rPr>
          <w:rFonts w:asciiTheme="minorHAnsi" w:hAnsiTheme="minorHAnsi"/>
          <w:sz w:val="24"/>
          <w:szCs w:val="24"/>
        </w:rPr>
        <w:t>everolimus</w:t>
      </w:r>
      <w:proofErr w:type="spellEnd"/>
      <w:r w:rsidR="004A6E80">
        <w:rPr>
          <w:rFonts w:asciiTheme="minorHAnsi" w:hAnsiTheme="minorHAnsi"/>
          <w:sz w:val="24"/>
          <w:szCs w:val="24"/>
        </w:rPr>
        <w:t xml:space="preserve"> and </w:t>
      </w:r>
      <w:proofErr w:type="spellStart"/>
      <w:r w:rsidR="004A6E80">
        <w:rPr>
          <w:rFonts w:asciiTheme="minorHAnsi" w:hAnsiTheme="minorHAnsi"/>
          <w:sz w:val="24"/>
          <w:szCs w:val="24"/>
        </w:rPr>
        <w:t>cabozantinib</w:t>
      </w:r>
      <w:proofErr w:type="spellEnd"/>
      <w:r w:rsidR="004A6E80">
        <w:rPr>
          <w:rFonts w:asciiTheme="minorHAnsi" w:hAnsiTheme="minorHAnsi"/>
          <w:sz w:val="24"/>
          <w:szCs w:val="24"/>
        </w:rPr>
        <w:t xml:space="preserve"> using the evidence presented.</w:t>
      </w:r>
      <w:r w:rsidR="001E7B75">
        <w:rPr>
          <w:rFonts w:asciiTheme="minorHAnsi" w:hAnsiTheme="minorHAnsi"/>
          <w:sz w:val="24"/>
          <w:szCs w:val="24"/>
        </w:rPr>
        <w:t xml:space="preserve"> The PBAC considered it likely that </w:t>
      </w:r>
      <w:proofErr w:type="spellStart"/>
      <w:r w:rsidR="001E7B75">
        <w:rPr>
          <w:rFonts w:asciiTheme="minorHAnsi" w:hAnsiTheme="minorHAnsi"/>
          <w:sz w:val="24"/>
          <w:szCs w:val="24"/>
        </w:rPr>
        <w:t>lenvatinib</w:t>
      </w:r>
      <w:proofErr w:type="spellEnd"/>
      <w:r w:rsidR="001E7B75">
        <w:rPr>
          <w:rFonts w:asciiTheme="minorHAnsi" w:hAnsiTheme="minorHAnsi"/>
          <w:sz w:val="24"/>
          <w:szCs w:val="24"/>
        </w:rPr>
        <w:t>/</w:t>
      </w:r>
      <w:proofErr w:type="spellStart"/>
      <w:r w:rsidR="001E7B75">
        <w:rPr>
          <w:rFonts w:asciiTheme="minorHAnsi" w:hAnsiTheme="minorHAnsi"/>
          <w:sz w:val="24"/>
          <w:szCs w:val="24"/>
        </w:rPr>
        <w:t>everolimus</w:t>
      </w:r>
      <w:proofErr w:type="spellEnd"/>
      <w:r w:rsidR="001E7B75">
        <w:rPr>
          <w:rFonts w:asciiTheme="minorHAnsi" w:hAnsiTheme="minorHAnsi"/>
          <w:sz w:val="24"/>
          <w:szCs w:val="24"/>
        </w:rPr>
        <w:t xml:space="preserve"> has a different safety profile compared with </w:t>
      </w:r>
      <w:proofErr w:type="spellStart"/>
      <w:r w:rsidR="001E7B75">
        <w:rPr>
          <w:rFonts w:asciiTheme="minorHAnsi" w:hAnsiTheme="minorHAnsi"/>
          <w:sz w:val="24"/>
          <w:szCs w:val="24"/>
        </w:rPr>
        <w:t>cabozantinib</w:t>
      </w:r>
      <w:proofErr w:type="spellEnd"/>
      <w:r w:rsidR="001E7B75">
        <w:rPr>
          <w:rFonts w:asciiTheme="minorHAnsi" w:hAnsiTheme="minorHAnsi"/>
          <w:sz w:val="24"/>
          <w:szCs w:val="24"/>
        </w:rPr>
        <w:t xml:space="preserve">. </w:t>
      </w:r>
    </w:p>
    <w:p w:rsidR="00170BCA" w:rsidRPr="00170BCA" w:rsidRDefault="00EE7246" w:rsidP="00170BCA">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PBAC noted that the pre-PBAC response proposed listing </w:t>
      </w:r>
      <w:proofErr w:type="spellStart"/>
      <w:r>
        <w:rPr>
          <w:rFonts w:asciiTheme="minorHAnsi" w:hAnsiTheme="minorHAnsi"/>
          <w:sz w:val="24"/>
          <w:szCs w:val="24"/>
        </w:rPr>
        <w:t>lenvatinib</w:t>
      </w:r>
      <w:proofErr w:type="spellEnd"/>
      <w:r>
        <w:rPr>
          <w:rFonts w:asciiTheme="minorHAnsi" w:hAnsiTheme="minorHAnsi"/>
          <w:sz w:val="24"/>
          <w:szCs w:val="24"/>
        </w:rPr>
        <w:t>/</w:t>
      </w:r>
      <w:proofErr w:type="spellStart"/>
      <w:r>
        <w:rPr>
          <w:rFonts w:asciiTheme="minorHAnsi" w:hAnsiTheme="minorHAnsi"/>
          <w:sz w:val="24"/>
          <w:szCs w:val="24"/>
        </w:rPr>
        <w:t>everolimus</w:t>
      </w:r>
      <w:proofErr w:type="spellEnd"/>
      <w:r>
        <w:rPr>
          <w:rFonts w:asciiTheme="minorHAnsi" w:hAnsiTheme="minorHAnsi"/>
          <w:sz w:val="24"/>
          <w:szCs w:val="24"/>
        </w:rPr>
        <w:t xml:space="preserve"> on the PBS on a cost-minimisation basis to </w:t>
      </w:r>
      <w:proofErr w:type="spellStart"/>
      <w:r>
        <w:rPr>
          <w:rFonts w:asciiTheme="minorHAnsi" w:hAnsiTheme="minorHAnsi"/>
          <w:sz w:val="24"/>
          <w:szCs w:val="24"/>
        </w:rPr>
        <w:t>cabozantinib</w:t>
      </w:r>
      <w:proofErr w:type="spellEnd"/>
      <w:r>
        <w:rPr>
          <w:rFonts w:asciiTheme="minorHAnsi" w:hAnsiTheme="minorHAnsi"/>
          <w:sz w:val="24"/>
          <w:szCs w:val="24"/>
        </w:rPr>
        <w:t>. The PBAC considered that a cost-minimisation analysis was inappropriate</w:t>
      </w:r>
      <w:r w:rsidR="00C54FAA">
        <w:rPr>
          <w:rFonts w:asciiTheme="minorHAnsi" w:hAnsiTheme="minorHAnsi"/>
          <w:sz w:val="24"/>
          <w:szCs w:val="24"/>
        </w:rPr>
        <w:t>,</w:t>
      </w:r>
      <w:r>
        <w:rPr>
          <w:rFonts w:asciiTheme="minorHAnsi" w:hAnsiTheme="minorHAnsi"/>
          <w:sz w:val="24"/>
          <w:szCs w:val="24"/>
        </w:rPr>
        <w:t xml:space="preserve"> </w:t>
      </w:r>
      <w:r w:rsidR="00EC4881">
        <w:rPr>
          <w:rFonts w:asciiTheme="minorHAnsi" w:hAnsiTheme="minorHAnsi"/>
          <w:sz w:val="24"/>
          <w:szCs w:val="24"/>
        </w:rPr>
        <w:t>as</w:t>
      </w:r>
      <w:r>
        <w:rPr>
          <w:rFonts w:asciiTheme="minorHAnsi" w:hAnsiTheme="minorHAnsi"/>
          <w:sz w:val="24"/>
          <w:szCs w:val="24"/>
        </w:rPr>
        <w:t xml:space="preserve"> </w:t>
      </w:r>
      <w:r w:rsidR="00EC4881">
        <w:rPr>
          <w:rFonts w:asciiTheme="minorHAnsi" w:hAnsiTheme="minorHAnsi"/>
          <w:sz w:val="24"/>
          <w:szCs w:val="24"/>
        </w:rPr>
        <w:t xml:space="preserve">the indirect comparison evidence presented </w:t>
      </w:r>
      <w:r>
        <w:rPr>
          <w:rFonts w:asciiTheme="minorHAnsi" w:hAnsiTheme="minorHAnsi"/>
          <w:sz w:val="24"/>
          <w:szCs w:val="24"/>
        </w:rPr>
        <w:t xml:space="preserve">did not demonstrate non-inferior </w:t>
      </w:r>
      <w:r w:rsidR="00E2750A">
        <w:rPr>
          <w:rFonts w:asciiTheme="minorHAnsi" w:hAnsiTheme="minorHAnsi"/>
          <w:sz w:val="24"/>
          <w:szCs w:val="24"/>
        </w:rPr>
        <w:t>effectiveness for the outcomes of PFS and OS</w:t>
      </w:r>
      <w:r>
        <w:rPr>
          <w:rFonts w:asciiTheme="minorHAnsi" w:hAnsiTheme="minorHAnsi"/>
          <w:sz w:val="24"/>
          <w:szCs w:val="24"/>
        </w:rPr>
        <w:t xml:space="preserve"> for </w:t>
      </w:r>
      <w:proofErr w:type="spellStart"/>
      <w:r>
        <w:rPr>
          <w:rFonts w:asciiTheme="minorHAnsi" w:hAnsiTheme="minorHAnsi"/>
          <w:sz w:val="24"/>
          <w:szCs w:val="24"/>
        </w:rPr>
        <w:t>lenvatinib</w:t>
      </w:r>
      <w:proofErr w:type="spellEnd"/>
      <w:r>
        <w:rPr>
          <w:rFonts w:asciiTheme="minorHAnsi" w:hAnsiTheme="minorHAnsi"/>
          <w:sz w:val="24"/>
          <w:szCs w:val="24"/>
        </w:rPr>
        <w:t>/</w:t>
      </w:r>
      <w:proofErr w:type="spellStart"/>
      <w:r>
        <w:rPr>
          <w:rFonts w:asciiTheme="minorHAnsi" w:hAnsiTheme="minorHAnsi"/>
          <w:sz w:val="24"/>
          <w:szCs w:val="24"/>
        </w:rPr>
        <w:t>everolimus</w:t>
      </w:r>
      <w:proofErr w:type="spellEnd"/>
      <w:r>
        <w:rPr>
          <w:rFonts w:asciiTheme="minorHAnsi" w:hAnsiTheme="minorHAnsi"/>
          <w:sz w:val="24"/>
          <w:szCs w:val="24"/>
        </w:rPr>
        <w:t xml:space="preserve"> compared with </w:t>
      </w:r>
      <w:proofErr w:type="spellStart"/>
      <w:r>
        <w:rPr>
          <w:rFonts w:asciiTheme="minorHAnsi" w:hAnsiTheme="minorHAnsi"/>
          <w:sz w:val="24"/>
          <w:szCs w:val="24"/>
        </w:rPr>
        <w:t>cabozantinib</w:t>
      </w:r>
      <w:proofErr w:type="spellEnd"/>
      <w:r>
        <w:rPr>
          <w:rFonts w:asciiTheme="minorHAnsi" w:hAnsiTheme="minorHAnsi"/>
          <w:sz w:val="24"/>
          <w:szCs w:val="24"/>
        </w:rPr>
        <w:t xml:space="preserve">. </w:t>
      </w:r>
    </w:p>
    <w:p w:rsidR="00EE7246" w:rsidRPr="00595762" w:rsidRDefault="00EE7246" w:rsidP="000D2DB3">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 xml:space="preserve">The PBAC noted that this submission is eligible for an Independent Review. </w:t>
      </w:r>
    </w:p>
    <w:p w:rsidR="006023EC" w:rsidRPr="00BC2C92" w:rsidRDefault="006023EC" w:rsidP="006023EC">
      <w:pPr>
        <w:spacing w:before="240"/>
        <w:jc w:val="both"/>
        <w:rPr>
          <w:rFonts w:asciiTheme="minorHAnsi" w:hAnsiTheme="minorHAnsi" w:cs="Arial"/>
          <w:b/>
          <w:bCs/>
          <w:snapToGrid w:val="0"/>
        </w:rPr>
      </w:pPr>
      <w:r w:rsidRPr="00BC2C92">
        <w:rPr>
          <w:rFonts w:asciiTheme="minorHAnsi" w:hAnsiTheme="minorHAnsi" w:cs="Arial"/>
          <w:b/>
          <w:bCs/>
          <w:snapToGrid w:val="0"/>
        </w:rPr>
        <w:lastRenderedPageBreak/>
        <w:t>Outcome:</w:t>
      </w:r>
    </w:p>
    <w:p w:rsidR="006023EC" w:rsidRPr="00BC2C92" w:rsidRDefault="006023EC" w:rsidP="006023EC">
      <w:pPr>
        <w:jc w:val="both"/>
        <w:rPr>
          <w:rFonts w:asciiTheme="minorHAnsi" w:hAnsiTheme="minorHAnsi" w:cs="Arial"/>
          <w:bCs/>
          <w:snapToGrid w:val="0"/>
        </w:rPr>
      </w:pPr>
      <w:r w:rsidRPr="00BC2C92">
        <w:rPr>
          <w:rFonts w:asciiTheme="minorHAnsi" w:hAnsiTheme="minorHAnsi" w:cs="Arial"/>
          <w:bCs/>
          <w:snapToGrid w:val="0"/>
        </w:rPr>
        <w:t xml:space="preserve">Rejected </w:t>
      </w:r>
    </w:p>
    <w:p w:rsidR="00070819" w:rsidRDefault="00070819" w:rsidP="00070819">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070819" w:rsidRPr="004109F4" w:rsidRDefault="00070819" w:rsidP="004109F4">
      <w:pPr>
        <w:ind w:left="709"/>
        <w:jc w:val="both"/>
        <w:rPr>
          <w:rFonts w:asciiTheme="minorHAnsi" w:hAnsiTheme="minorHAnsi"/>
          <w:b/>
          <w:bCs/>
          <w:snapToGrid w:val="0"/>
          <w:sz w:val="32"/>
        </w:rPr>
      </w:pPr>
      <w:r w:rsidRPr="004109F4">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70819" w:rsidRPr="00A56D22" w:rsidRDefault="00070819" w:rsidP="00070819">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0836B5" w:rsidRPr="00070819" w:rsidRDefault="0039262B" w:rsidP="0039262B">
      <w:pPr>
        <w:spacing w:after="120"/>
        <w:ind w:left="709"/>
        <w:jc w:val="both"/>
        <w:rPr>
          <w:rFonts w:asciiTheme="minorHAnsi" w:hAnsiTheme="minorHAnsi" w:cs="Arial"/>
          <w:bCs/>
        </w:rPr>
      </w:pPr>
      <w:r w:rsidRPr="0039262B">
        <w:rPr>
          <w:rFonts w:asciiTheme="minorHAnsi" w:hAnsiTheme="minorHAnsi" w:cs="Arial"/>
          <w:bCs/>
          <w:lang w:val="en-GB"/>
        </w:rPr>
        <w:t xml:space="preserve">Eisai Australia Pty Ltd nominated four comparators for </w:t>
      </w:r>
      <w:proofErr w:type="spellStart"/>
      <w:r w:rsidRPr="0039262B">
        <w:rPr>
          <w:rFonts w:asciiTheme="minorHAnsi" w:hAnsiTheme="minorHAnsi" w:cs="Arial"/>
          <w:bCs/>
          <w:lang w:val="en-GB"/>
        </w:rPr>
        <w:t>lenvatinib+everolimus</w:t>
      </w:r>
      <w:proofErr w:type="spellEnd"/>
      <w:r w:rsidRPr="0039262B">
        <w:rPr>
          <w:rFonts w:asciiTheme="minorHAnsi" w:hAnsiTheme="minorHAnsi" w:cs="Arial"/>
          <w:bCs/>
          <w:lang w:val="en-GB"/>
        </w:rPr>
        <w:t xml:space="preserve"> as a treatment for renal cell carcinoma: </w:t>
      </w:r>
      <w:proofErr w:type="spellStart"/>
      <w:r w:rsidRPr="0039262B">
        <w:rPr>
          <w:rFonts w:asciiTheme="minorHAnsi" w:hAnsiTheme="minorHAnsi" w:cs="Arial"/>
          <w:bCs/>
          <w:lang w:val="en-GB"/>
        </w:rPr>
        <w:t>everolimus</w:t>
      </w:r>
      <w:proofErr w:type="spellEnd"/>
      <w:r w:rsidRPr="0039262B">
        <w:rPr>
          <w:rFonts w:asciiTheme="minorHAnsi" w:hAnsiTheme="minorHAnsi" w:cs="Arial"/>
          <w:bCs/>
          <w:lang w:val="en-GB"/>
        </w:rPr>
        <w:t xml:space="preserve">; </w:t>
      </w:r>
      <w:proofErr w:type="spellStart"/>
      <w:r w:rsidRPr="0039262B">
        <w:rPr>
          <w:rFonts w:asciiTheme="minorHAnsi" w:hAnsiTheme="minorHAnsi" w:cs="Arial"/>
          <w:bCs/>
          <w:lang w:val="en-GB"/>
        </w:rPr>
        <w:t>nivolumab</w:t>
      </w:r>
      <w:proofErr w:type="spellEnd"/>
      <w:r w:rsidRPr="0039262B">
        <w:rPr>
          <w:rFonts w:asciiTheme="minorHAnsi" w:hAnsiTheme="minorHAnsi" w:cs="Arial"/>
          <w:bCs/>
          <w:lang w:val="en-GB"/>
        </w:rPr>
        <w:t xml:space="preserve">; </w:t>
      </w:r>
      <w:proofErr w:type="spellStart"/>
      <w:r w:rsidRPr="0039262B">
        <w:rPr>
          <w:rFonts w:asciiTheme="minorHAnsi" w:hAnsiTheme="minorHAnsi" w:cs="Arial"/>
          <w:bCs/>
          <w:lang w:val="en-GB"/>
        </w:rPr>
        <w:t>cabozantinib</w:t>
      </w:r>
      <w:proofErr w:type="spellEnd"/>
      <w:r w:rsidRPr="0039262B">
        <w:rPr>
          <w:rFonts w:asciiTheme="minorHAnsi" w:hAnsiTheme="minorHAnsi" w:cs="Arial"/>
          <w:bCs/>
          <w:lang w:val="en-GB"/>
        </w:rPr>
        <w:t xml:space="preserve"> and </w:t>
      </w:r>
      <w:proofErr w:type="spellStart"/>
      <w:r w:rsidRPr="0039262B">
        <w:rPr>
          <w:rFonts w:asciiTheme="minorHAnsi" w:hAnsiTheme="minorHAnsi" w:cs="Arial"/>
          <w:bCs/>
          <w:lang w:val="en-GB"/>
        </w:rPr>
        <w:t>axitinib</w:t>
      </w:r>
      <w:proofErr w:type="spellEnd"/>
      <w:r w:rsidRPr="0039262B">
        <w:rPr>
          <w:rFonts w:asciiTheme="minorHAnsi" w:hAnsiTheme="minorHAnsi" w:cs="Arial"/>
          <w:bCs/>
          <w:lang w:val="en-GB"/>
        </w:rPr>
        <w:t xml:space="preserve">. Clinical evidence presented to the PBAC showed an increased duration of PFS and OS for </w:t>
      </w:r>
      <w:proofErr w:type="spellStart"/>
      <w:r w:rsidRPr="0039262B">
        <w:rPr>
          <w:rFonts w:asciiTheme="minorHAnsi" w:hAnsiTheme="minorHAnsi" w:cs="Arial"/>
          <w:bCs/>
          <w:lang w:val="en-GB"/>
        </w:rPr>
        <w:t>lenvatinib+everolimus</w:t>
      </w:r>
      <w:proofErr w:type="spellEnd"/>
      <w:r w:rsidRPr="0039262B">
        <w:rPr>
          <w:rFonts w:asciiTheme="minorHAnsi" w:hAnsiTheme="minorHAnsi" w:cs="Arial"/>
          <w:bCs/>
          <w:lang w:val="en-GB"/>
        </w:rPr>
        <w:t xml:space="preserve"> compared to all four comparators. As such, Eisai Australia Pty Ltd is disappointed that the PBAC is of the position that the clinical need was not adequately established and that claim of non-inferior effectiveness to </w:t>
      </w:r>
      <w:proofErr w:type="spellStart"/>
      <w:r w:rsidRPr="0039262B">
        <w:rPr>
          <w:rFonts w:asciiTheme="minorHAnsi" w:hAnsiTheme="minorHAnsi" w:cs="Arial"/>
          <w:bCs/>
          <w:lang w:val="en-GB"/>
        </w:rPr>
        <w:t>cabozantinib</w:t>
      </w:r>
      <w:proofErr w:type="spellEnd"/>
      <w:r w:rsidRPr="0039262B">
        <w:rPr>
          <w:rFonts w:asciiTheme="minorHAnsi" w:hAnsiTheme="minorHAnsi" w:cs="Arial"/>
          <w:bCs/>
          <w:lang w:val="en-GB"/>
        </w:rPr>
        <w:t xml:space="preserve"> was inadequately supported.</w:t>
      </w:r>
    </w:p>
    <w:sectPr w:rsidR="000836B5" w:rsidRPr="0007081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A3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68" w:rsidRDefault="00DE7568">
      <w:r>
        <w:separator/>
      </w:r>
    </w:p>
    <w:p w:rsidR="00DE7568" w:rsidRDefault="00DE7568"/>
  </w:endnote>
  <w:endnote w:type="continuationSeparator" w:id="0">
    <w:p w:rsidR="00DE7568" w:rsidRDefault="00DE7568">
      <w:r>
        <w:continuationSeparator/>
      </w:r>
    </w:p>
    <w:p w:rsidR="00DE7568" w:rsidRDefault="00DE7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2758C" w:rsidTr="005A3173">
      <w:trPr>
        <w:trHeight w:val="151"/>
      </w:trPr>
      <w:tc>
        <w:tcPr>
          <w:tcW w:w="2250" w:type="pct"/>
          <w:tcBorders>
            <w:top w:val="nil"/>
            <w:left w:val="nil"/>
            <w:bottom w:val="single" w:sz="4" w:space="0" w:color="4F81BD"/>
            <w:right w:val="nil"/>
          </w:tcBorders>
        </w:tcPr>
        <w:p w:rsidR="0022758C" w:rsidRPr="005A3173" w:rsidRDefault="002275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2758C" w:rsidRPr="005A3173" w:rsidRDefault="002275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2758C" w:rsidRPr="005A3173" w:rsidRDefault="0022758C" w:rsidP="005A3173">
          <w:pPr>
            <w:pStyle w:val="Header"/>
            <w:spacing w:line="276" w:lineRule="auto"/>
            <w:rPr>
              <w:rFonts w:ascii="Calibri" w:eastAsia="MS Gothic" w:hAnsi="Calibri"/>
              <w:b/>
              <w:bCs/>
              <w:color w:val="4F81BD"/>
            </w:rPr>
          </w:pPr>
        </w:p>
      </w:tc>
    </w:tr>
    <w:tr w:rsidR="0022758C" w:rsidTr="005A3173">
      <w:trPr>
        <w:trHeight w:val="150"/>
      </w:trPr>
      <w:tc>
        <w:tcPr>
          <w:tcW w:w="2250" w:type="pct"/>
          <w:tcBorders>
            <w:top w:val="single" w:sz="4" w:space="0" w:color="4F81BD"/>
            <w:left w:val="nil"/>
            <w:bottom w:val="nil"/>
            <w:right w:val="nil"/>
          </w:tcBorders>
        </w:tcPr>
        <w:p w:rsidR="0022758C" w:rsidRPr="005A3173" w:rsidRDefault="0022758C" w:rsidP="005A3173">
          <w:pPr>
            <w:pStyle w:val="Header"/>
            <w:spacing w:line="276" w:lineRule="auto"/>
            <w:rPr>
              <w:rFonts w:ascii="Calibri" w:eastAsia="MS Gothic" w:hAnsi="Calibri"/>
              <w:b/>
              <w:bCs/>
              <w:color w:val="4F81BD"/>
            </w:rPr>
          </w:pPr>
        </w:p>
      </w:tc>
      <w:tc>
        <w:tcPr>
          <w:tcW w:w="0" w:type="auto"/>
          <w:vMerge/>
          <w:vAlign w:val="center"/>
          <w:hideMark/>
        </w:tcPr>
        <w:p w:rsidR="0022758C" w:rsidRPr="005A3173" w:rsidRDefault="002275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2758C" w:rsidRPr="005A3173" w:rsidRDefault="0022758C" w:rsidP="005A3173">
          <w:pPr>
            <w:pStyle w:val="Header"/>
            <w:spacing w:line="276" w:lineRule="auto"/>
            <w:rPr>
              <w:rFonts w:ascii="Calibri" w:eastAsia="MS Gothic" w:hAnsi="Calibri"/>
              <w:b/>
              <w:bCs/>
              <w:color w:val="4F81BD"/>
            </w:rPr>
          </w:pPr>
        </w:p>
      </w:tc>
    </w:tr>
  </w:tbl>
  <w:p w:rsidR="0022758C" w:rsidRDefault="0022758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758C" w:rsidRDefault="0022758C">
    <w:pPr>
      <w:pStyle w:val="Footer"/>
    </w:pPr>
  </w:p>
  <w:p w:rsidR="0022758C" w:rsidRDefault="002275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778276"/>
      <w:docPartObj>
        <w:docPartGallery w:val="Page Numbers (Bottom of Page)"/>
        <w:docPartUnique/>
      </w:docPartObj>
    </w:sdtPr>
    <w:sdtEndPr>
      <w:rPr>
        <w:noProof/>
      </w:rPr>
    </w:sdtEndPr>
    <w:sdtContent>
      <w:p w:rsidR="0022758C" w:rsidRDefault="0022758C">
        <w:pPr>
          <w:pStyle w:val="Footer"/>
          <w:jc w:val="center"/>
        </w:pPr>
        <w:r w:rsidRPr="008E280F">
          <w:rPr>
            <w:rFonts w:asciiTheme="minorHAnsi" w:hAnsiTheme="minorHAnsi"/>
          </w:rPr>
          <w:fldChar w:fldCharType="begin"/>
        </w:r>
        <w:r w:rsidRPr="008E280F">
          <w:rPr>
            <w:rFonts w:asciiTheme="minorHAnsi" w:hAnsiTheme="minorHAnsi"/>
          </w:rPr>
          <w:instrText xml:space="preserve"> PAGE   \* MERGEFORMAT </w:instrText>
        </w:r>
        <w:r w:rsidRPr="008E280F">
          <w:rPr>
            <w:rFonts w:asciiTheme="minorHAnsi" w:hAnsiTheme="minorHAnsi"/>
          </w:rPr>
          <w:fldChar w:fldCharType="separate"/>
        </w:r>
        <w:r w:rsidR="001E061B">
          <w:rPr>
            <w:rFonts w:asciiTheme="minorHAnsi" w:hAnsiTheme="minorHAnsi"/>
            <w:noProof/>
          </w:rPr>
          <w:t>1</w:t>
        </w:r>
        <w:r w:rsidRPr="008E280F">
          <w:rPr>
            <w:rFonts w:asciiTheme="minorHAnsi" w:hAnsiTheme="minorHAnsi"/>
            <w:noProof/>
          </w:rPr>
          <w:fldChar w:fldCharType="end"/>
        </w:r>
      </w:p>
    </w:sdtContent>
  </w:sdt>
  <w:p w:rsidR="0022758C" w:rsidRPr="005E1333" w:rsidRDefault="0022758C"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2758C" w:rsidTr="005A3173">
      <w:trPr>
        <w:trHeight w:val="151"/>
      </w:trPr>
      <w:tc>
        <w:tcPr>
          <w:tcW w:w="2250" w:type="pct"/>
          <w:tcBorders>
            <w:top w:val="nil"/>
            <w:left w:val="nil"/>
            <w:bottom w:val="single" w:sz="4" w:space="0" w:color="4F81BD"/>
            <w:right w:val="nil"/>
          </w:tcBorders>
        </w:tcPr>
        <w:p w:rsidR="0022758C" w:rsidRPr="005A3173" w:rsidRDefault="002275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2758C" w:rsidRPr="005A3173" w:rsidRDefault="002275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2758C" w:rsidRPr="005A3173" w:rsidRDefault="0022758C" w:rsidP="005A3173">
          <w:pPr>
            <w:pStyle w:val="Header"/>
            <w:spacing w:line="276" w:lineRule="auto"/>
            <w:rPr>
              <w:rFonts w:ascii="Calibri" w:eastAsia="MS Gothic" w:hAnsi="Calibri"/>
              <w:b/>
              <w:bCs/>
              <w:color w:val="4F81BD"/>
            </w:rPr>
          </w:pPr>
        </w:p>
      </w:tc>
    </w:tr>
    <w:tr w:rsidR="0022758C" w:rsidTr="005A3173">
      <w:trPr>
        <w:trHeight w:val="150"/>
      </w:trPr>
      <w:tc>
        <w:tcPr>
          <w:tcW w:w="2250" w:type="pct"/>
          <w:tcBorders>
            <w:top w:val="single" w:sz="4" w:space="0" w:color="4F81BD"/>
            <w:left w:val="nil"/>
            <w:bottom w:val="nil"/>
            <w:right w:val="nil"/>
          </w:tcBorders>
        </w:tcPr>
        <w:p w:rsidR="0022758C" w:rsidRPr="005A3173" w:rsidRDefault="0022758C" w:rsidP="005A3173">
          <w:pPr>
            <w:pStyle w:val="Header"/>
            <w:spacing w:line="276" w:lineRule="auto"/>
            <w:rPr>
              <w:rFonts w:ascii="Calibri" w:eastAsia="MS Gothic" w:hAnsi="Calibri"/>
              <w:b/>
              <w:bCs/>
              <w:color w:val="4F81BD"/>
            </w:rPr>
          </w:pPr>
        </w:p>
      </w:tc>
      <w:tc>
        <w:tcPr>
          <w:tcW w:w="0" w:type="auto"/>
          <w:vMerge/>
          <w:vAlign w:val="center"/>
          <w:hideMark/>
        </w:tcPr>
        <w:p w:rsidR="0022758C" w:rsidRPr="005A3173" w:rsidRDefault="002275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2758C" w:rsidRPr="005A3173" w:rsidRDefault="0022758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2758C" w:rsidTr="005A3173">
      <w:trPr>
        <w:trHeight w:val="151"/>
      </w:trPr>
      <w:tc>
        <w:tcPr>
          <w:tcW w:w="2250" w:type="pct"/>
          <w:tcBorders>
            <w:top w:val="nil"/>
            <w:left w:val="nil"/>
            <w:bottom w:val="single" w:sz="4" w:space="0" w:color="4F81BD"/>
            <w:right w:val="nil"/>
          </w:tcBorders>
        </w:tcPr>
        <w:p w:rsidR="0022758C" w:rsidRPr="005A3173" w:rsidRDefault="0022758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2758C" w:rsidRPr="005A3173" w:rsidRDefault="0022758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2758C" w:rsidRPr="005A3173" w:rsidRDefault="0022758C" w:rsidP="005A3173">
          <w:pPr>
            <w:pStyle w:val="Header"/>
            <w:spacing w:line="276" w:lineRule="auto"/>
            <w:rPr>
              <w:rFonts w:ascii="Calibri" w:eastAsia="MS Gothic" w:hAnsi="Calibri"/>
              <w:b/>
              <w:bCs/>
              <w:color w:val="4F81BD"/>
            </w:rPr>
          </w:pPr>
        </w:p>
      </w:tc>
    </w:tr>
    <w:tr w:rsidR="0022758C" w:rsidTr="005A3173">
      <w:trPr>
        <w:trHeight w:val="150"/>
      </w:trPr>
      <w:tc>
        <w:tcPr>
          <w:tcW w:w="2250" w:type="pct"/>
          <w:tcBorders>
            <w:top w:val="single" w:sz="4" w:space="0" w:color="4F81BD"/>
            <w:left w:val="nil"/>
            <w:bottom w:val="nil"/>
            <w:right w:val="nil"/>
          </w:tcBorders>
        </w:tcPr>
        <w:p w:rsidR="0022758C" w:rsidRPr="005A3173" w:rsidRDefault="0022758C" w:rsidP="005A3173">
          <w:pPr>
            <w:pStyle w:val="Header"/>
            <w:spacing w:line="276" w:lineRule="auto"/>
            <w:rPr>
              <w:rFonts w:ascii="Calibri" w:eastAsia="MS Gothic" w:hAnsi="Calibri"/>
              <w:b/>
              <w:bCs/>
              <w:color w:val="4F81BD"/>
            </w:rPr>
          </w:pPr>
        </w:p>
      </w:tc>
      <w:tc>
        <w:tcPr>
          <w:tcW w:w="0" w:type="auto"/>
          <w:vMerge/>
          <w:vAlign w:val="center"/>
          <w:hideMark/>
        </w:tcPr>
        <w:p w:rsidR="0022758C" w:rsidRPr="005A3173" w:rsidRDefault="0022758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2758C" w:rsidRPr="005A3173" w:rsidRDefault="0022758C" w:rsidP="005A3173">
          <w:pPr>
            <w:pStyle w:val="Header"/>
            <w:spacing w:line="276" w:lineRule="auto"/>
            <w:rPr>
              <w:rFonts w:ascii="Calibri" w:eastAsia="MS Gothic" w:hAnsi="Calibri"/>
              <w:b/>
              <w:bCs/>
              <w:color w:val="4F81BD"/>
            </w:rPr>
          </w:pPr>
        </w:p>
      </w:tc>
    </w:tr>
  </w:tbl>
  <w:p w:rsidR="0022758C" w:rsidRPr="007C0F57" w:rsidRDefault="0022758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2758C" w:rsidRPr="007C0F57" w:rsidRDefault="0022758C" w:rsidP="007C0F57">
    <w:pPr>
      <w:pStyle w:val="Footer"/>
      <w:jc w:val="center"/>
      <w:rPr>
        <w:b/>
        <w:i/>
        <w:sz w:val="20"/>
        <w:szCs w:val="20"/>
      </w:rPr>
    </w:pPr>
    <w:r w:rsidRPr="007C0F57">
      <w:rPr>
        <w:b/>
        <w:i/>
        <w:sz w:val="20"/>
        <w:szCs w:val="20"/>
      </w:rPr>
      <w:t>Commercial-in-Confidence</w:t>
    </w:r>
  </w:p>
  <w:p w:rsidR="0022758C" w:rsidRDefault="002275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68" w:rsidRDefault="00DE7568">
      <w:r>
        <w:separator/>
      </w:r>
    </w:p>
    <w:p w:rsidR="00DE7568" w:rsidRDefault="00DE7568"/>
  </w:footnote>
  <w:footnote w:type="continuationSeparator" w:id="0">
    <w:p w:rsidR="00DE7568" w:rsidRDefault="00DE7568">
      <w:r>
        <w:continuationSeparator/>
      </w:r>
    </w:p>
    <w:p w:rsidR="00DE7568" w:rsidRDefault="00DE75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2758C" w:rsidRPr="008E0D90" w:rsidTr="00A06225">
      <w:trPr>
        <w:trHeight w:val="151"/>
      </w:trPr>
      <w:tc>
        <w:tcPr>
          <w:tcW w:w="2389" w:type="pct"/>
          <w:tcBorders>
            <w:top w:val="nil"/>
            <w:left w:val="nil"/>
            <w:bottom w:val="single" w:sz="4" w:space="0" w:color="4F81BD"/>
            <w:right w:val="nil"/>
          </w:tcBorders>
        </w:tcPr>
        <w:p w:rsidR="0022758C" w:rsidRPr="00A06225" w:rsidRDefault="0022758C">
          <w:pPr>
            <w:pStyle w:val="Header"/>
            <w:spacing w:line="276" w:lineRule="auto"/>
            <w:rPr>
              <w:rFonts w:ascii="Cambria" w:eastAsia="MS Gothic" w:hAnsi="Cambria"/>
              <w:b/>
              <w:bCs/>
              <w:color w:val="4F81BD"/>
            </w:rPr>
          </w:pPr>
        </w:p>
      </w:tc>
      <w:tc>
        <w:tcPr>
          <w:tcW w:w="333" w:type="pct"/>
          <w:vMerge w:val="restart"/>
          <w:noWrap/>
          <w:vAlign w:val="center"/>
          <w:hideMark/>
        </w:tcPr>
        <w:p w:rsidR="0022758C" w:rsidRPr="00A06225" w:rsidRDefault="0022758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2758C" w:rsidRPr="00A06225" w:rsidRDefault="0022758C">
          <w:pPr>
            <w:pStyle w:val="Header"/>
            <w:spacing w:line="276" w:lineRule="auto"/>
            <w:rPr>
              <w:rFonts w:ascii="Cambria" w:eastAsia="MS Gothic" w:hAnsi="Cambria"/>
              <w:b/>
              <w:bCs/>
              <w:color w:val="4F81BD"/>
            </w:rPr>
          </w:pPr>
        </w:p>
      </w:tc>
    </w:tr>
    <w:tr w:rsidR="0022758C" w:rsidRPr="008E0D90" w:rsidTr="00A06225">
      <w:trPr>
        <w:trHeight w:val="150"/>
      </w:trPr>
      <w:tc>
        <w:tcPr>
          <w:tcW w:w="2389" w:type="pct"/>
          <w:tcBorders>
            <w:top w:val="single" w:sz="4" w:space="0" w:color="4F81BD"/>
            <w:left w:val="nil"/>
            <w:bottom w:val="nil"/>
            <w:right w:val="nil"/>
          </w:tcBorders>
        </w:tcPr>
        <w:p w:rsidR="0022758C" w:rsidRPr="00A06225" w:rsidRDefault="0022758C">
          <w:pPr>
            <w:pStyle w:val="Header"/>
            <w:spacing w:line="276" w:lineRule="auto"/>
            <w:rPr>
              <w:rFonts w:ascii="Cambria" w:eastAsia="MS Gothic" w:hAnsi="Cambria"/>
              <w:b/>
              <w:bCs/>
              <w:color w:val="4F81BD"/>
            </w:rPr>
          </w:pPr>
        </w:p>
      </w:tc>
      <w:tc>
        <w:tcPr>
          <w:tcW w:w="0" w:type="auto"/>
          <w:vMerge/>
          <w:vAlign w:val="center"/>
          <w:hideMark/>
        </w:tcPr>
        <w:p w:rsidR="0022758C" w:rsidRPr="00A06225" w:rsidRDefault="0022758C">
          <w:pPr>
            <w:rPr>
              <w:rFonts w:ascii="Cambria" w:hAnsi="Cambria"/>
              <w:color w:val="4F81BD"/>
              <w:sz w:val="22"/>
              <w:szCs w:val="22"/>
            </w:rPr>
          </w:pPr>
        </w:p>
      </w:tc>
      <w:tc>
        <w:tcPr>
          <w:tcW w:w="2278" w:type="pct"/>
          <w:tcBorders>
            <w:top w:val="single" w:sz="4" w:space="0" w:color="4F81BD"/>
            <w:left w:val="nil"/>
            <w:bottom w:val="nil"/>
            <w:right w:val="nil"/>
          </w:tcBorders>
        </w:tcPr>
        <w:p w:rsidR="0022758C" w:rsidRPr="00A06225" w:rsidRDefault="0022758C">
          <w:pPr>
            <w:pStyle w:val="Header"/>
            <w:spacing w:line="276" w:lineRule="auto"/>
            <w:rPr>
              <w:rFonts w:ascii="Cambria" w:eastAsia="MS Gothic" w:hAnsi="Cambria"/>
              <w:b/>
              <w:bCs/>
              <w:color w:val="4F81BD"/>
            </w:rPr>
          </w:pPr>
        </w:p>
      </w:tc>
    </w:tr>
  </w:tbl>
  <w:p w:rsidR="0022758C" w:rsidRDefault="0022758C">
    <w:pPr>
      <w:pStyle w:val="Header"/>
    </w:pPr>
  </w:p>
  <w:p w:rsidR="0022758C" w:rsidRDefault="002275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58C" w:rsidRDefault="0022758C" w:rsidP="008E280F">
    <w:pPr>
      <w:pStyle w:val="NoSpacing"/>
      <w:jc w:val="center"/>
      <w:rPr>
        <w:i/>
      </w:rPr>
    </w:pPr>
    <w:r>
      <w:rPr>
        <w:i/>
      </w:rPr>
      <w:t>Public Summary Document – March 2018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C6" w:rsidRDefault="00B959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880C70"/>
    <w:multiLevelType w:val="multilevel"/>
    <w:tmpl w:val="8AB4C15E"/>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2C24449"/>
    <w:multiLevelType w:val="hybridMultilevel"/>
    <w:tmpl w:val="D78E1A8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43902ED"/>
    <w:multiLevelType w:val="hybridMultilevel"/>
    <w:tmpl w:val="BABEB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7B407F0"/>
    <w:multiLevelType w:val="hybridMultilevel"/>
    <w:tmpl w:val="89061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5944F9"/>
    <w:multiLevelType w:val="hybridMultilevel"/>
    <w:tmpl w:val="A63E0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7C6C7D"/>
    <w:multiLevelType w:val="hybridMultilevel"/>
    <w:tmpl w:val="A49C8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2045B61"/>
    <w:multiLevelType w:val="hybridMultilevel"/>
    <w:tmpl w:val="E5C20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4DF5EE6"/>
    <w:multiLevelType w:val="hybridMultilevel"/>
    <w:tmpl w:val="3DBA7F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7B7E37"/>
    <w:multiLevelType w:val="hybridMultilevel"/>
    <w:tmpl w:val="BD64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7A5F21"/>
    <w:multiLevelType w:val="hybridMultilevel"/>
    <w:tmpl w:val="6060C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8AB43AC"/>
    <w:multiLevelType w:val="hybridMultilevel"/>
    <w:tmpl w:val="C5E69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1AD4875"/>
    <w:multiLevelType w:val="hybridMultilevel"/>
    <w:tmpl w:val="CD028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B3782F"/>
    <w:multiLevelType w:val="hybridMultilevel"/>
    <w:tmpl w:val="0A8A9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D033C"/>
    <w:multiLevelType w:val="multilevel"/>
    <w:tmpl w:val="1794CCA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23"/>
  </w:num>
  <w:num w:numId="5">
    <w:abstractNumId w:val="31"/>
  </w:num>
  <w:num w:numId="6">
    <w:abstractNumId w:val="11"/>
  </w:num>
  <w:num w:numId="7">
    <w:abstractNumId w:val="18"/>
  </w:num>
  <w:num w:numId="8">
    <w:abstractNumId w:val="4"/>
  </w:num>
  <w:num w:numId="9">
    <w:abstractNumId w:val="17"/>
  </w:num>
  <w:num w:numId="10">
    <w:abstractNumId w:val="16"/>
  </w:num>
  <w:num w:numId="11">
    <w:abstractNumId w:val="15"/>
  </w:num>
  <w:num w:numId="12">
    <w:abstractNumId w:val="1"/>
  </w:num>
  <w:num w:numId="13">
    <w:abstractNumId w:val="0"/>
  </w:num>
  <w:num w:numId="14">
    <w:abstractNumId w:val="31"/>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3"/>
  </w:num>
  <w:num w:numId="18">
    <w:abstractNumId w:val="8"/>
  </w:num>
  <w:num w:numId="19">
    <w:abstractNumId w:val="5"/>
  </w:num>
  <w:num w:numId="20">
    <w:abstractNumId w:val="19"/>
  </w:num>
  <w:num w:numId="21">
    <w:abstractNumId w:val="14"/>
  </w:num>
  <w:num w:numId="22">
    <w:abstractNumId w:val="10"/>
  </w:num>
  <w:num w:numId="23">
    <w:abstractNumId w:val="24"/>
  </w:num>
  <w:num w:numId="24">
    <w:abstractNumId w:val="21"/>
  </w:num>
  <w:num w:numId="25">
    <w:abstractNumId w:val="9"/>
  </w:num>
  <w:num w:numId="26">
    <w:abstractNumId w:val="29"/>
  </w:num>
  <w:num w:numId="27">
    <w:abstractNumId w:val="30"/>
  </w:num>
  <w:num w:numId="28">
    <w:abstractNumId w:val="22"/>
  </w:num>
  <w:num w:numId="29">
    <w:abstractNumId w:val="27"/>
  </w:num>
  <w:num w:numId="30">
    <w:abstractNumId w:val="28"/>
  </w:num>
  <w:num w:numId="31">
    <w:abstractNumId w:val="20"/>
  </w:num>
  <w:num w:numId="32">
    <w:abstractNumId w:val="25"/>
  </w:num>
  <w:num w:numId="33">
    <w:abstractNumId w:val="26"/>
  </w:num>
  <w:num w:numId="34">
    <w:abstractNumId w:val="6"/>
  </w:num>
  <w:num w:numId="35">
    <w:abstractNumId w:val="2"/>
  </w:num>
  <w:num w:numId="36">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428"/>
    <w:rsid w:val="000025AD"/>
    <w:rsid w:val="0000335D"/>
    <w:rsid w:val="000045F2"/>
    <w:rsid w:val="000076A1"/>
    <w:rsid w:val="0001507A"/>
    <w:rsid w:val="00016F6C"/>
    <w:rsid w:val="00021A8C"/>
    <w:rsid w:val="0002464A"/>
    <w:rsid w:val="0003106B"/>
    <w:rsid w:val="000421A1"/>
    <w:rsid w:val="0004240E"/>
    <w:rsid w:val="000454ED"/>
    <w:rsid w:val="00045E26"/>
    <w:rsid w:val="000506E2"/>
    <w:rsid w:val="00050A04"/>
    <w:rsid w:val="000514B5"/>
    <w:rsid w:val="000540CA"/>
    <w:rsid w:val="000565D9"/>
    <w:rsid w:val="00060E64"/>
    <w:rsid w:val="00062D5B"/>
    <w:rsid w:val="000666E7"/>
    <w:rsid w:val="00066755"/>
    <w:rsid w:val="00070819"/>
    <w:rsid w:val="00070F1C"/>
    <w:rsid w:val="00074B99"/>
    <w:rsid w:val="00077143"/>
    <w:rsid w:val="000777F7"/>
    <w:rsid w:val="00082169"/>
    <w:rsid w:val="000836B5"/>
    <w:rsid w:val="00094575"/>
    <w:rsid w:val="000969AD"/>
    <w:rsid w:val="000A3F50"/>
    <w:rsid w:val="000B18E6"/>
    <w:rsid w:val="000B4FD0"/>
    <w:rsid w:val="000B558D"/>
    <w:rsid w:val="000B675A"/>
    <w:rsid w:val="000C1A05"/>
    <w:rsid w:val="000C3AC9"/>
    <w:rsid w:val="000C6996"/>
    <w:rsid w:val="000D23BA"/>
    <w:rsid w:val="000D2DB3"/>
    <w:rsid w:val="000D7ED1"/>
    <w:rsid w:val="000E0742"/>
    <w:rsid w:val="000E681E"/>
    <w:rsid w:val="000F0003"/>
    <w:rsid w:val="000F4E6A"/>
    <w:rsid w:val="00102C5C"/>
    <w:rsid w:val="00104227"/>
    <w:rsid w:val="001107BF"/>
    <w:rsid w:val="00112F8A"/>
    <w:rsid w:val="00114F23"/>
    <w:rsid w:val="001238F7"/>
    <w:rsid w:val="0012417C"/>
    <w:rsid w:val="00126D76"/>
    <w:rsid w:val="00130D65"/>
    <w:rsid w:val="00141B39"/>
    <w:rsid w:val="00142395"/>
    <w:rsid w:val="00142714"/>
    <w:rsid w:val="001452ED"/>
    <w:rsid w:val="001524D4"/>
    <w:rsid w:val="00163329"/>
    <w:rsid w:val="00163D6C"/>
    <w:rsid w:val="00164623"/>
    <w:rsid w:val="0016598A"/>
    <w:rsid w:val="00165B64"/>
    <w:rsid w:val="0016615A"/>
    <w:rsid w:val="001665CC"/>
    <w:rsid w:val="00170BCA"/>
    <w:rsid w:val="00173598"/>
    <w:rsid w:val="00182FB7"/>
    <w:rsid w:val="001830CE"/>
    <w:rsid w:val="00183C47"/>
    <w:rsid w:val="00185FA0"/>
    <w:rsid w:val="0018643B"/>
    <w:rsid w:val="00194CD6"/>
    <w:rsid w:val="00194E31"/>
    <w:rsid w:val="00196307"/>
    <w:rsid w:val="0019665A"/>
    <w:rsid w:val="001A21F9"/>
    <w:rsid w:val="001A33EA"/>
    <w:rsid w:val="001B017F"/>
    <w:rsid w:val="001B2532"/>
    <w:rsid w:val="001B2BBC"/>
    <w:rsid w:val="001B5129"/>
    <w:rsid w:val="001C1195"/>
    <w:rsid w:val="001C2683"/>
    <w:rsid w:val="001E061B"/>
    <w:rsid w:val="001E0AF0"/>
    <w:rsid w:val="001E41DD"/>
    <w:rsid w:val="001E5643"/>
    <w:rsid w:val="001E7B75"/>
    <w:rsid w:val="001F1850"/>
    <w:rsid w:val="001F19E9"/>
    <w:rsid w:val="001F2046"/>
    <w:rsid w:val="001F4B62"/>
    <w:rsid w:val="00203FAC"/>
    <w:rsid w:val="00204931"/>
    <w:rsid w:val="00211744"/>
    <w:rsid w:val="00211A78"/>
    <w:rsid w:val="00213CFB"/>
    <w:rsid w:val="00217BE1"/>
    <w:rsid w:val="00224721"/>
    <w:rsid w:val="00225FCA"/>
    <w:rsid w:val="0022758C"/>
    <w:rsid w:val="00231CA8"/>
    <w:rsid w:val="002341D0"/>
    <w:rsid w:val="00245119"/>
    <w:rsid w:val="00266817"/>
    <w:rsid w:val="002673CA"/>
    <w:rsid w:val="00271BA1"/>
    <w:rsid w:val="00271E05"/>
    <w:rsid w:val="002737C5"/>
    <w:rsid w:val="002762FA"/>
    <w:rsid w:val="00277505"/>
    <w:rsid w:val="0028027C"/>
    <w:rsid w:val="00281A6C"/>
    <w:rsid w:val="002823EF"/>
    <w:rsid w:val="002859D3"/>
    <w:rsid w:val="0029458F"/>
    <w:rsid w:val="00295C1F"/>
    <w:rsid w:val="00297133"/>
    <w:rsid w:val="002A104C"/>
    <w:rsid w:val="002A4960"/>
    <w:rsid w:val="002A64AA"/>
    <w:rsid w:val="002B1AE6"/>
    <w:rsid w:val="002B2DE8"/>
    <w:rsid w:val="002B30F8"/>
    <w:rsid w:val="002B5596"/>
    <w:rsid w:val="002C212F"/>
    <w:rsid w:val="002C25C7"/>
    <w:rsid w:val="002D4543"/>
    <w:rsid w:val="002E3153"/>
    <w:rsid w:val="002E72CA"/>
    <w:rsid w:val="002F6219"/>
    <w:rsid w:val="00300AD6"/>
    <w:rsid w:val="00305827"/>
    <w:rsid w:val="00313905"/>
    <w:rsid w:val="00317C6C"/>
    <w:rsid w:val="00320D11"/>
    <w:rsid w:val="00326E79"/>
    <w:rsid w:val="00330E3D"/>
    <w:rsid w:val="0033182E"/>
    <w:rsid w:val="003321D6"/>
    <w:rsid w:val="0033518A"/>
    <w:rsid w:val="003367EF"/>
    <w:rsid w:val="00341AE4"/>
    <w:rsid w:val="00345859"/>
    <w:rsid w:val="00375136"/>
    <w:rsid w:val="00377A91"/>
    <w:rsid w:val="003831AE"/>
    <w:rsid w:val="00385C72"/>
    <w:rsid w:val="003872CF"/>
    <w:rsid w:val="003916AF"/>
    <w:rsid w:val="0039262B"/>
    <w:rsid w:val="0039782C"/>
    <w:rsid w:val="003A5034"/>
    <w:rsid w:val="003A5076"/>
    <w:rsid w:val="003A5B4A"/>
    <w:rsid w:val="003A7451"/>
    <w:rsid w:val="003A7B98"/>
    <w:rsid w:val="003B23C5"/>
    <w:rsid w:val="003B2A75"/>
    <w:rsid w:val="003B494D"/>
    <w:rsid w:val="003B6124"/>
    <w:rsid w:val="003B7A4A"/>
    <w:rsid w:val="003C095E"/>
    <w:rsid w:val="003C2FB5"/>
    <w:rsid w:val="003C5E0D"/>
    <w:rsid w:val="003C714F"/>
    <w:rsid w:val="003D1E17"/>
    <w:rsid w:val="003D4AC4"/>
    <w:rsid w:val="003D63B7"/>
    <w:rsid w:val="003E468B"/>
    <w:rsid w:val="003F1295"/>
    <w:rsid w:val="003F3228"/>
    <w:rsid w:val="003F5C8C"/>
    <w:rsid w:val="0040380F"/>
    <w:rsid w:val="00404ADF"/>
    <w:rsid w:val="004109F4"/>
    <w:rsid w:val="00411CCC"/>
    <w:rsid w:val="00412639"/>
    <w:rsid w:val="00413F45"/>
    <w:rsid w:val="004252EC"/>
    <w:rsid w:val="0043292A"/>
    <w:rsid w:val="004465BD"/>
    <w:rsid w:val="00447C65"/>
    <w:rsid w:val="0045456D"/>
    <w:rsid w:val="00460ECF"/>
    <w:rsid w:val="004643A9"/>
    <w:rsid w:val="00466ADA"/>
    <w:rsid w:val="0047196E"/>
    <w:rsid w:val="004730F7"/>
    <w:rsid w:val="00475F49"/>
    <w:rsid w:val="00476245"/>
    <w:rsid w:val="004769F1"/>
    <w:rsid w:val="004776C5"/>
    <w:rsid w:val="00483035"/>
    <w:rsid w:val="00485940"/>
    <w:rsid w:val="004A2484"/>
    <w:rsid w:val="004A5A85"/>
    <w:rsid w:val="004A6E80"/>
    <w:rsid w:val="004A71D1"/>
    <w:rsid w:val="004B0EB0"/>
    <w:rsid w:val="004B5640"/>
    <w:rsid w:val="004C0A50"/>
    <w:rsid w:val="004C1BD7"/>
    <w:rsid w:val="004C31FE"/>
    <w:rsid w:val="004C691D"/>
    <w:rsid w:val="004C6C07"/>
    <w:rsid w:val="004D6F33"/>
    <w:rsid w:val="004D717E"/>
    <w:rsid w:val="004E692D"/>
    <w:rsid w:val="004E73FF"/>
    <w:rsid w:val="004F2945"/>
    <w:rsid w:val="004F7E06"/>
    <w:rsid w:val="00501554"/>
    <w:rsid w:val="00503FE0"/>
    <w:rsid w:val="005055DA"/>
    <w:rsid w:val="0050686D"/>
    <w:rsid w:val="00511050"/>
    <w:rsid w:val="00514CD7"/>
    <w:rsid w:val="0052459F"/>
    <w:rsid w:val="00526B43"/>
    <w:rsid w:val="005319B2"/>
    <w:rsid w:val="00532402"/>
    <w:rsid w:val="00532C74"/>
    <w:rsid w:val="00533AC6"/>
    <w:rsid w:val="00534E2E"/>
    <w:rsid w:val="00535DAF"/>
    <w:rsid w:val="00544552"/>
    <w:rsid w:val="00554B35"/>
    <w:rsid w:val="00554CE6"/>
    <w:rsid w:val="005617E7"/>
    <w:rsid w:val="00561A31"/>
    <w:rsid w:val="00566278"/>
    <w:rsid w:val="00567373"/>
    <w:rsid w:val="00574953"/>
    <w:rsid w:val="00577C4D"/>
    <w:rsid w:val="00577E8D"/>
    <w:rsid w:val="00581792"/>
    <w:rsid w:val="00581932"/>
    <w:rsid w:val="00590C44"/>
    <w:rsid w:val="005918CB"/>
    <w:rsid w:val="00595762"/>
    <w:rsid w:val="005963BB"/>
    <w:rsid w:val="005A1663"/>
    <w:rsid w:val="005A3173"/>
    <w:rsid w:val="005A3223"/>
    <w:rsid w:val="005A3DA3"/>
    <w:rsid w:val="005A4053"/>
    <w:rsid w:val="005A52C4"/>
    <w:rsid w:val="005A633B"/>
    <w:rsid w:val="005A6D31"/>
    <w:rsid w:val="005D03AB"/>
    <w:rsid w:val="005D0E63"/>
    <w:rsid w:val="005D0E9B"/>
    <w:rsid w:val="005D5017"/>
    <w:rsid w:val="005E1333"/>
    <w:rsid w:val="005E4F3F"/>
    <w:rsid w:val="005F3CEA"/>
    <w:rsid w:val="005F7120"/>
    <w:rsid w:val="00600B51"/>
    <w:rsid w:val="00601A91"/>
    <w:rsid w:val="006023EC"/>
    <w:rsid w:val="00602BA3"/>
    <w:rsid w:val="0060337A"/>
    <w:rsid w:val="00604FEC"/>
    <w:rsid w:val="00606C73"/>
    <w:rsid w:val="00612E34"/>
    <w:rsid w:val="00614159"/>
    <w:rsid w:val="00614C74"/>
    <w:rsid w:val="00617C00"/>
    <w:rsid w:val="00617F3D"/>
    <w:rsid w:val="006263BF"/>
    <w:rsid w:val="0062748A"/>
    <w:rsid w:val="00630A2C"/>
    <w:rsid w:val="006341D3"/>
    <w:rsid w:val="00635819"/>
    <w:rsid w:val="0063682E"/>
    <w:rsid w:val="00642B10"/>
    <w:rsid w:val="006436CD"/>
    <w:rsid w:val="00647BA1"/>
    <w:rsid w:val="00651169"/>
    <w:rsid w:val="00653D69"/>
    <w:rsid w:val="00656933"/>
    <w:rsid w:val="00657E4D"/>
    <w:rsid w:val="006670BE"/>
    <w:rsid w:val="00670A76"/>
    <w:rsid w:val="006711AA"/>
    <w:rsid w:val="00672B57"/>
    <w:rsid w:val="00675622"/>
    <w:rsid w:val="0067747D"/>
    <w:rsid w:val="00685990"/>
    <w:rsid w:val="006906DB"/>
    <w:rsid w:val="00691E6C"/>
    <w:rsid w:val="00694F4B"/>
    <w:rsid w:val="00696129"/>
    <w:rsid w:val="00697CF2"/>
    <w:rsid w:val="006A12A5"/>
    <w:rsid w:val="006A2C3B"/>
    <w:rsid w:val="006A7187"/>
    <w:rsid w:val="006B0D94"/>
    <w:rsid w:val="006B2FE0"/>
    <w:rsid w:val="006B4093"/>
    <w:rsid w:val="006B485D"/>
    <w:rsid w:val="006C417F"/>
    <w:rsid w:val="006C63ED"/>
    <w:rsid w:val="006C708E"/>
    <w:rsid w:val="006D5BB8"/>
    <w:rsid w:val="006D6493"/>
    <w:rsid w:val="006D6EC7"/>
    <w:rsid w:val="006E2F56"/>
    <w:rsid w:val="006F5125"/>
    <w:rsid w:val="006F6BBC"/>
    <w:rsid w:val="006F6CA5"/>
    <w:rsid w:val="00701B2A"/>
    <w:rsid w:val="00702B6F"/>
    <w:rsid w:val="0071340B"/>
    <w:rsid w:val="007174BB"/>
    <w:rsid w:val="0072025D"/>
    <w:rsid w:val="007304B3"/>
    <w:rsid w:val="0073238B"/>
    <w:rsid w:val="007353D3"/>
    <w:rsid w:val="007518BC"/>
    <w:rsid w:val="00753F9F"/>
    <w:rsid w:val="00760385"/>
    <w:rsid w:val="00762374"/>
    <w:rsid w:val="007639E1"/>
    <w:rsid w:val="0076420C"/>
    <w:rsid w:val="0076463A"/>
    <w:rsid w:val="00771892"/>
    <w:rsid w:val="007747CC"/>
    <w:rsid w:val="007753C2"/>
    <w:rsid w:val="00782716"/>
    <w:rsid w:val="007838B8"/>
    <w:rsid w:val="00792681"/>
    <w:rsid w:val="00794B61"/>
    <w:rsid w:val="007B2DEB"/>
    <w:rsid w:val="007C0F57"/>
    <w:rsid w:val="007C20B5"/>
    <w:rsid w:val="007C40B6"/>
    <w:rsid w:val="007C4E7D"/>
    <w:rsid w:val="007C729F"/>
    <w:rsid w:val="007D6D3C"/>
    <w:rsid w:val="007D7214"/>
    <w:rsid w:val="007E1D28"/>
    <w:rsid w:val="007E7288"/>
    <w:rsid w:val="007F2641"/>
    <w:rsid w:val="007F7C36"/>
    <w:rsid w:val="00806796"/>
    <w:rsid w:val="00807A45"/>
    <w:rsid w:val="00814CDB"/>
    <w:rsid w:val="008151D6"/>
    <w:rsid w:val="00824F68"/>
    <w:rsid w:val="00826F6D"/>
    <w:rsid w:val="008306F3"/>
    <w:rsid w:val="0083676C"/>
    <w:rsid w:val="00837E03"/>
    <w:rsid w:val="008431F9"/>
    <w:rsid w:val="00856DDD"/>
    <w:rsid w:val="00863E68"/>
    <w:rsid w:val="00874A1B"/>
    <w:rsid w:val="00882085"/>
    <w:rsid w:val="00883188"/>
    <w:rsid w:val="008906DE"/>
    <w:rsid w:val="0089101B"/>
    <w:rsid w:val="008942C7"/>
    <w:rsid w:val="00897D58"/>
    <w:rsid w:val="00897F22"/>
    <w:rsid w:val="008A003E"/>
    <w:rsid w:val="008A08DF"/>
    <w:rsid w:val="008A1956"/>
    <w:rsid w:val="008A4937"/>
    <w:rsid w:val="008A50F1"/>
    <w:rsid w:val="008C2A64"/>
    <w:rsid w:val="008C57E5"/>
    <w:rsid w:val="008C7C61"/>
    <w:rsid w:val="008D1B5C"/>
    <w:rsid w:val="008D3C82"/>
    <w:rsid w:val="008D447E"/>
    <w:rsid w:val="008D6F03"/>
    <w:rsid w:val="008D7A41"/>
    <w:rsid w:val="008E280F"/>
    <w:rsid w:val="008E3680"/>
    <w:rsid w:val="008E36AA"/>
    <w:rsid w:val="008E3A3A"/>
    <w:rsid w:val="008E4382"/>
    <w:rsid w:val="008E5870"/>
    <w:rsid w:val="008E6391"/>
    <w:rsid w:val="008F1434"/>
    <w:rsid w:val="008F7355"/>
    <w:rsid w:val="00901DCE"/>
    <w:rsid w:val="009047C1"/>
    <w:rsid w:val="00904AB4"/>
    <w:rsid w:val="009067B7"/>
    <w:rsid w:val="0090764C"/>
    <w:rsid w:val="0091324A"/>
    <w:rsid w:val="00925B71"/>
    <w:rsid w:val="00930937"/>
    <w:rsid w:val="00933E6C"/>
    <w:rsid w:val="00937958"/>
    <w:rsid w:val="00942160"/>
    <w:rsid w:val="0095146F"/>
    <w:rsid w:val="009602C5"/>
    <w:rsid w:val="00962223"/>
    <w:rsid w:val="00965583"/>
    <w:rsid w:val="00965776"/>
    <w:rsid w:val="00966D0D"/>
    <w:rsid w:val="009672D8"/>
    <w:rsid w:val="00970A52"/>
    <w:rsid w:val="00970D61"/>
    <w:rsid w:val="009741A3"/>
    <w:rsid w:val="00974C21"/>
    <w:rsid w:val="00980E0E"/>
    <w:rsid w:val="009856C1"/>
    <w:rsid w:val="00997499"/>
    <w:rsid w:val="009A06E4"/>
    <w:rsid w:val="009A4F29"/>
    <w:rsid w:val="009B0F67"/>
    <w:rsid w:val="009B23A9"/>
    <w:rsid w:val="009B2BAD"/>
    <w:rsid w:val="009C3806"/>
    <w:rsid w:val="009C4A1B"/>
    <w:rsid w:val="009C703C"/>
    <w:rsid w:val="009D03C3"/>
    <w:rsid w:val="009D3CAA"/>
    <w:rsid w:val="009E14C0"/>
    <w:rsid w:val="009E195A"/>
    <w:rsid w:val="009E6031"/>
    <w:rsid w:val="009F4E46"/>
    <w:rsid w:val="009F5513"/>
    <w:rsid w:val="009F5B65"/>
    <w:rsid w:val="009F5F2E"/>
    <w:rsid w:val="00A03471"/>
    <w:rsid w:val="00A06225"/>
    <w:rsid w:val="00A128E6"/>
    <w:rsid w:val="00A15563"/>
    <w:rsid w:val="00A15F13"/>
    <w:rsid w:val="00A23058"/>
    <w:rsid w:val="00A32C21"/>
    <w:rsid w:val="00A34E6C"/>
    <w:rsid w:val="00A36AB4"/>
    <w:rsid w:val="00A37C8D"/>
    <w:rsid w:val="00A5273B"/>
    <w:rsid w:val="00A53A9D"/>
    <w:rsid w:val="00A53E04"/>
    <w:rsid w:val="00A55FEE"/>
    <w:rsid w:val="00A57C56"/>
    <w:rsid w:val="00A62C1A"/>
    <w:rsid w:val="00A6426D"/>
    <w:rsid w:val="00A665C1"/>
    <w:rsid w:val="00A70622"/>
    <w:rsid w:val="00A70977"/>
    <w:rsid w:val="00A72FB0"/>
    <w:rsid w:val="00A77613"/>
    <w:rsid w:val="00A81315"/>
    <w:rsid w:val="00A8390C"/>
    <w:rsid w:val="00A928BD"/>
    <w:rsid w:val="00AA07CB"/>
    <w:rsid w:val="00AA4D1C"/>
    <w:rsid w:val="00AA629F"/>
    <w:rsid w:val="00AB354F"/>
    <w:rsid w:val="00AB4D68"/>
    <w:rsid w:val="00AC193C"/>
    <w:rsid w:val="00AC2077"/>
    <w:rsid w:val="00AC5206"/>
    <w:rsid w:val="00AC55B5"/>
    <w:rsid w:val="00AD2B33"/>
    <w:rsid w:val="00AE11A5"/>
    <w:rsid w:val="00AE13E2"/>
    <w:rsid w:val="00AE22D3"/>
    <w:rsid w:val="00AF1915"/>
    <w:rsid w:val="00AF20A0"/>
    <w:rsid w:val="00AF62DF"/>
    <w:rsid w:val="00AF68CC"/>
    <w:rsid w:val="00B076C7"/>
    <w:rsid w:val="00B1059E"/>
    <w:rsid w:val="00B1099F"/>
    <w:rsid w:val="00B1506C"/>
    <w:rsid w:val="00B176C8"/>
    <w:rsid w:val="00B205AA"/>
    <w:rsid w:val="00B22E84"/>
    <w:rsid w:val="00B25F75"/>
    <w:rsid w:val="00B26B3F"/>
    <w:rsid w:val="00B30442"/>
    <w:rsid w:val="00B3755F"/>
    <w:rsid w:val="00B4052C"/>
    <w:rsid w:val="00B43E90"/>
    <w:rsid w:val="00B456E9"/>
    <w:rsid w:val="00B467DC"/>
    <w:rsid w:val="00B50C1B"/>
    <w:rsid w:val="00B544EF"/>
    <w:rsid w:val="00B56118"/>
    <w:rsid w:val="00B569CA"/>
    <w:rsid w:val="00B57E27"/>
    <w:rsid w:val="00B63FAE"/>
    <w:rsid w:val="00B6773F"/>
    <w:rsid w:val="00B801BA"/>
    <w:rsid w:val="00B84D5C"/>
    <w:rsid w:val="00B959C6"/>
    <w:rsid w:val="00B97235"/>
    <w:rsid w:val="00BA11D2"/>
    <w:rsid w:val="00BA3921"/>
    <w:rsid w:val="00BB69F5"/>
    <w:rsid w:val="00BB7EC3"/>
    <w:rsid w:val="00BC0C99"/>
    <w:rsid w:val="00BC144F"/>
    <w:rsid w:val="00BC2373"/>
    <w:rsid w:val="00BC2C92"/>
    <w:rsid w:val="00BC4B9A"/>
    <w:rsid w:val="00BC53E1"/>
    <w:rsid w:val="00BC5ABF"/>
    <w:rsid w:val="00BD258A"/>
    <w:rsid w:val="00BD784C"/>
    <w:rsid w:val="00BE5005"/>
    <w:rsid w:val="00BE7D8F"/>
    <w:rsid w:val="00BF1ADB"/>
    <w:rsid w:val="00BF4CB6"/>
    <w:rsid w:val="00BF7288"/>
    <w:rsid w:val="00C00DA7"/>
    <w:rsid w:val="00C05F9C"/>
    <w:rsid w:val="00C11113"/>
    <w:rsid w:val="00C12768"/>
    <w:rsid w:val="00C145AA"/>
    <w:rsid w:val="00C21C5E"/>
    <w:rsid w:val="00C27B58"/>
    <w:rsid w:val="00C318ED"/>
    <w:rsid w:val="00C33AF1"/>
    <w:rsid w:val="00C35996"/>
    <w:rsid w:val="00C41DFE"/>
    <w:rsid w:val="00C4747E"/>
    <w:rsid w:val="00C5342C"/>
    <w:rsid w:val="00C54FAA"/>
    <w:rsid w:val="00C603D4"/>
    <w:rsid w:val="00C6256A"/>
    <w:rsid w:val="00C658F7"/>
    <w:rsid w:val="00C7391A"/>
    <w:rsid w:val="00C74035"/>
    <w:rsid w:val="00C77891"/>
    <w:rsid w:val="00C91449"/>
    <w:rsid w:val="00C92D10"/>
    <w:rsid w:val="00C92D63"/>
    <w:rsid w:val="00C93080"/>
    <w:rsid w:val="00C93BA6"/>
    <w:rsid w:val="00C95496"/>
    <w:rsid w:val="00CA3F8C"/>
    <w:rsid w:val="00CA4EB9"/>
    <w:rsid w:val="00CD1F20"/>
    <w:rsid w:val="00CD45B9"/>
    <w:rsid w:val="00CD46C2"/>
    <w:rsid w:val="00CE10C4"/>
    <w:rsid w:val="00CE1104"/>
    <w:rsid w:val="00CE27B5"/>
    <w:rsid w:val="00CE5544"/>
    <w:rsid w:val="00CE590A"/>
    <w:rsid w:val="00CF6BE9"/>
    <w:rsid w:val="00CF727F"/>
    <w:rsid w:val="00D030C7"/>
    <w:rsid w:val="00D0321E"/>
    <w:rsid w:val="00D078CB"/>
    <w:rsid w:val="00D108CC"/>
    <w:rsid w:val="00D1455A"/>
    <w:rsid w:val="00D1592A"/>
    <w:rsid w:val="00D21599"/>
    <w:rsid w:val="00D22FF5"/>
    <w:rsid w:val="00D267B3"/>
    <w:rsid w:val="00D27A8D"/>
    <w:rsid w:val="00D27C65"/>
    <w:rsid w:val="00D31150"/>
    <w:rsid w:val="00D3138B"/>
    <w:rsid w:val="00D31F79"/>
    <w:rsid w:val="00D3280C"/>
    <w:rsid w:val="00D3406A"/>
    <w:rsid w:val="00D40B85"/>
    <w:rsid w:val="00D42F85"/>
    <w:rsid w:val="00D4572C"/>
    <w:rsid w:val="00D469B2"/>
    <w:rsid w:val="00D53C9F"/>
    <w:rsid w:val="00D6304B"/>
    <w:rsid w:val="00D66958"/>
    <w:rsid w:val="00D70F50"/>
    <w:rsid w:val="00D741EB"/>
    <w:rsid w:val="00D83605"/>
    <w:rsid w:val="00D84934"/>
    <w:rsid w:val="00D84BEC"/>
    <w:rsid w:val="00D86E05"/>
    <w:rsid w:val="00D91271"/>
    <w:rsid w:val="00D9344B"/>
    <w:rsid w:val="00DA2CB5"/>
    <w:rsid w:val="00DA4BAC"/>
    <w:rsid w:val="00DB6A79"/>
    <w:rsid w:val="00DB6E28"/>
    <w:rsid w:val="00DB766D"/>
    <w:rsid w:val="00DC7206"/>
    <w:rsid w:val="00DE31B5"/>
    <w:rsid w:val="00DE4DB9"/>
    <w:rsid w:val="00DE523B"/>
    <w:rsid w:val="00DE6D27"/>
    <w:rsid w:val="00DE7568"/>
    <w:rsid w:val="00DF217D"/>
    <w:rsid w:val="00DF26A7"/>
    <w:rsid w:val="00E03D66"/>
    <w:rsid w:val="00E070EB"/>
    <w:rsid w:val="00E15627"/>
    <w:rsid w:val="00E164B3"/>
    <w:rsid w:val="00E16910"/>
    <w:rsid w:val="00E17F0E"/>
    <w:rsid w:val="00E22F21"/>
    <w:rsid w:val="00E2750A"/>
    <w:rsid w:val="00E31634"/>
    <w:rsid w:val="00E42BDB"/>
    <w:rsid w:val="00E568B1"/>
    <w:rsid w:val="00E57EEB"/>
    <w:rsid w:val="00E57EF3"/>
    <w:rsid w:val="00E62D94"/>
    <w:rsid w:val="00E65E54"/>
    <w:rsid w:val="00E67C8F"/>
    <w:rsid w:val="00E72382"/>
    <w:rsid w:val="00E7532E"/>
    <w:rsid w:val="00E80155"/>
    <w:rsid w:val="00E81F28"/>
    <w:rsid w:val="00E848C0"/>
    <w:rsid w:val="00E9036E"/>
    <w:rsid w:val="00E91B96"/>
    <w:rsid w:val="00E941A1"/>
    <w:rsid w:val="00E949DB"/>
    <w:rsid w:val="00E95CE3"/>
    <w:rsid w:val="00EA2825"/>
    <w:rsid w:val="00EA3C52"/>
    <w:rsid w:val="00EA42D5"/>
    <w:rsid w:val="00EB0B63"/>
    <w:rsid w:val="00EB101E"/>
    <w:rsid w:val="00EB1936"/>
    <w:rsid w:val="00EB5088"/>
    <w:rsid w:val="00EB6DD4"/>
    <w:rsid w:val="00EC4881"/>
    <w:rsid w:val="00ED1644"/>
    <w:rsid w:val="00ED2593"/>
    <w:rsid w:val="00ED7D9C"/>
    <w:rsid w:val="00EE5F19"/>
    <w:rsid w:val="00EE7246"/>
    <w:rsid w:val="00EF3D86"/>
    <w:rsid w:val="00EF44A0"/>
    <w:rsid w:val="00EF4FED"/>
    <w:rsid w:val="00F01CFE"/>
    <w:rsid w:val="00F050BD"/>
    <w:rsid w:val="00F05657"/>
    <w:rsid w:val="00F15090"/>
    <w:rsid w:val="00F16BFB"/>
    <w:rsid w:val="00F25578"/>
    <w:rsid w:val="00F258E5"/>
    <w:rsid w:val="00F300BC"/>
    <w:rsid w:val="00F300E8"/>
    <w:rsid w:val="00F3334E"/>
    <w:rsid w:val="00F36CCB"/>
    <w:rsid w:val="00F374E5"/>
    <w:rsid w:val="00F43AF2"/>
    <w:rsid w:val="00F5093C"/>
    <w:rsid w:val="00F50EC4"/>
    <w:rsid w:val="00F52C6C"/>
    <w:rsid w:val="00F53AAC"/>
    <w:rsid w:val="00F550CF"/>
    <w:rsid w:val="00F559A0"/>
    <w:rsid w:val="00F57A6D"/>
    <w:rsid w:val="00F6052A"/>
    <w:rsid w:val="00F623D6"/>
    <w:rsid w:val="00F628ED"/>
    <w:rsid w:val="00F638CC"/>
    <w:rsid w:val="00F64CC1"/>
    <w:rsid w:val="00F67DA0"/>
    <w:rsid w:val="00F72317"/>
    <w:rsid w:val="00F80475"/>
    <w:rsid w:val="00F8247A"/>
    <w:rsid w:val="00F85092"/>
    <w:rsid w:val="00F94788"/>
    <w:rsid w:val="00F9629A"/>
    <w:rsid w:val="00F97EFC"/>
    <w:rsid w:val="00FA1041"/>
    <w:rsid w:val="00FA5883"/>
    <w:rsid w:val="00FA6055"/>
    <w:rsid w:val="00FA66C2"/>
    <w:rsid w:val="00FA6D47"/>
    <w:rsid w:val="00FB322F"/>
    <w:rsid w:val="00FB442F"/>
    <w:rsid w:val="00FC0906"/>
    <w:rsid w:val="00FC1929"/>
    <w:rsid w:val="00FC5B46"/>
    <w:rsid w:val="00FC6931"/>
    <w:rsid w:val="00FD0B2D"/>
    <w:rsid w:val="00FD4402"/>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99" w:qFormat="1"/>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4109F4"/>
    <w:pPr>
      <w:widowControl w:val="0"/>
      <w:numPr>
        <w:numId w:val="5"/>
      </w:numPr>
      <w:spacing w:before="240" w:after="120"/>
      <w:jc w:val="both"/>
      <w:outlineLvl w:val="0"/>
    </w:pPr>
    <w:rPr>
      <w:rFonts w:asciiTheme="minorHAnsi" w:hAnsiTheme="minorHAnsi" w:cs="Arial"/>
      <w:b/>
      <w:bCs/>
      <w:snapToGrid w:val="0"/>
      <w:sz w:val="32"/>
    </w:rPr>
  </w:style>
  <w:style w:type="paragraph" w:styleId="Heading2">
    <w:name w:val="heading 2"/>
    <w:basedOn w:val="ListParagraph"/>
    <w:next w:val="Normal"/>
    <w:link w:val="Heading2Char"/>
    <w:uiPriority w:val="1"/>
    <w:qFormat/>
    <w:rsid w:val="004109F4"/>
    <w:pPr>
      <w:widowControl/>
      <w:ind w:hanging="720"/>
      <w:outlineLvl w:val="1"/>
    </w:pPr>
    <w:rPr>
      <w:rFonts w:asciiTheme="minorHAnsi" w:eastAsiaTheme="majorEastAsia" w:hAnsiTheme="minorHAnsi" w:cstheme="majorBidi"/>
      <w:b/>
      <w:i/>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581792"/>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4109F4"/>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4109F4"/>
    <w:rPr>
      <w:rFonts w:asciiTheme="minorHAnsi" w:eastAsiaTheme="majorEastAsia" w:hAnsiTheme="minorHAnsi" w:cstheme="majorBidi"/>
      <w:b/>
      <w:i/>
      <w:snapToGrid w:val="0"/>
      <w:sz w:val="28"/>
      <w:szCs w:val="28"/>
      <w:lang w:eastAsia="en-US"/>
    </w:rPr>
  </w:style>
  <w:style w:type="table" w:customStyle="1" w:styleId="PlainTable21">
    <w:name w:val="Plain Table 21"/>
    <w:basedOn w:val="TableNormal"/>
    <w:uiPriority w:val="42"/>
    <w:rsid w:val="00BE7D8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8Char">
    <w:name w:val="Heading 8 Char"/>
    <w:basedOn w:val="DefaultParagraphFont"/>
    <w:link w:val="Heading8"/>
    <w:uiPriority w:val="7"/>
    <w:rsid w:val="00581792"/>
    <w:rPr>
      <w:rFonts w:asciiTheme="majorHAnsi" w:eastAsiaTheme="majorEastAsia" w:hAnsiTheme="majorHAnsi" w:cstheme="majorBidi"/>
      <w:color w:val="272727" w:themeColor="text1" w:themeTint="D8"/>
      <w:sz w:val="21"/>
      <w:szCs w:val="21"/>
      <w:lang w:eastAsia="en-US"/>
    </w:rPr>
  </w:style>
  <w:style w:type="paragraph" w:customStyle="1" w:styleId="Tabletextcentred">
    <w:name w:val="Table text centred"/>
    <w:basedOn w:val="Normal"/>
    <w:link w:val="TabletextcentredChar"/>
    <w:qFormat/>
    <w:rsid w:val="00AA629F"/>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AA629F"/>
    <w:rPr>
      <w:rFonts w:ascii="Arial Narrow" w:hAnsi="Arial Narrow" w:cs="Arial Narrow"/>
      <w:lang w:eastAsia="en-US"/>
    </w:rPr>
  </w:style>
  <w:style w:type="paragraph" w:customStyle="1" w:styleId="TableFooter">
    <w:name w:val="Table Footer"/>
    <w:basedOn w:val="Normal"/>
    <w:link w:val="TableFooterChar"/>
    <w:qFormat/>
    <w:rsid w:val="00C74035"/>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C74035"/>
    <w:rPr>
      <w:rFonts w:ascii="Arial Narrow" w:hAnsi="Arial Narrow" w:cs="Arial"/>
      <w:snapToGrid w:val="0"/>
      <w:sz w:val="18"/>
      <w:lang w:eastAsia="en-US"/>
    </w:rPr>
  </w:style>
  <w:style w:type="table" w:customStyle="1" w:styleId="TableGridbeth1">
    <w:name w:val="Table Gridbeth1"/>
    <w:basedOn w:val="TableNormal"/>
    <w:next w:val="TableGrid"/>
    <w:uiPriority w:val="39"/>
    <w:rsid w:val="00FC693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TableHeading0">
    <w:name w:val="Table Heading"/>
    <w:basedOn w:val="Normal"/>
    <w:qFormat/>
    <w:rsid w:val="00FC6931"/>
    <w:pPr>
      <w:keepNext/>
      <w:spacing w:after="60"/>
    </w:pPr>
    <w:rPr>
      <w:rFonts w:ascii="Arial Narrow" w:eastAsiaTheme="minorHAnsi" w:hAnsi="Arial Narrow" w:cstheme="minorBidi"/>
      <w:b/>
      <w:sz w:val="20"/>
      <w:szCs w:val="22"/>
      <w:lang w:eastAsia="en-US"/>
    </w:rPr>
  </w:style>
  <w:style w:type="table" w:customStyle="1" w:styleId="TableGridbeth2">
    <w:name w:val="Table Gridbeth2"/>
    <w:basedOn w:val="TableNormal"/>
    <w:next w:val="TableGrid"/>
    <w:uiPriority w:val="39"/>
    <w:rsid w:val="00FC693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basedOn w:val="Normal"/>
    <w:next w:val="Normal"/>
    <w:link w:val="CaptionChar"/>
    <w:uiPriority w:val="99"/>
    <w:unhideWhenUsed/>
    <w:qFormat/>
    <w:rsid w:val="00DE523B"/>
    <w:pPr>
      <w:keepNext/>
      <w:spacing w:before="120" w:after="120"/>
      <w:jc w:val="both"/>
    </w:pPr>
    <w:rPr>
      <w:rFonts w:ascii="Verdana" w:eastAsia="Calibri" w:hAnsi="Verdana"/>
      <w:b/>
      <w:bCs/>
      <w:sz w:val="20"/>
      <w:szCs w:val="20"/>
      <w:lang w:eastAsia="en-US"/>
    </w:rPr>
  </w:style>
  <w:style w:type="paragraph" w:customStyle="1" w:styleId="Tablenote">
    <w:name w:val="Table note"/>
    <w:basedOn w:val="Normal"/>
    <w:next w:val="Normal"/>
    <w:qFormat/>
    <w:rsid w:val="00DE523B"/>
    <w:pPr>
      <w:spacing w:before="120" w:after="120"/>
      <w:jc w:val="both"/>
    </w:pPr>
    <w:rPr>
      <w:rFonts w:ascii="Verdana" w:eastAsia="Calibri" w:hAnsi="Verdana"/>
      <w:sz w:val="18"/>
      <w:szCs w:val="22"/>
      <w:lang w:eastAsia="en-US"/>
    </w:rPr>
  </w:style>
  <w:style w:type="paragraph" w:customStyle="1" w:styleId="Tablebold">
    <w:name w:val="Table bold"/>
    <w:basedOn w:val="Tabletext"/>
    <w:qFormat/>
    <w:rsid w:val="00DE523B"/>
    <w:pPr>
      <w:keepNext/>
      <w:keepLines/>
      <w:spacing w:before="60" w:after="60"/>
    </w:pPr>
    <w:rPr>
      <w:rFonts w:ascii="Verdana" w:eastAsia="Calibri" w:hAnsi="Verdana"/>
      <w:b/>
      <w:sz w:val="18"/>
      <w:szCs w:val="22"/>
    </w:rPr>
  </w:style>
  <w:style w:type="character" w:customStyle="1" w:styleId="CaptionChar">
    <w:name w:val="Caption Char"/>
    <w:basedOn w:val="DefaultParagraphFont"/>
    <w:link w:val="Caption"/>
    <w:uiPriority w:val="99"/>
    <w:rsid w:val="00DE523B"/>
    <w:rPr>
      <w:rFonts w:ascii="Verdana" w:eastAsia="Calibri" w:hAnsi="Verdana"/>
      <w:b/>
      <w:bCs/>
      <w:lang w:eastAsia="en-US"/>
    </w:rPr>
  </w:style>
  <w:style w:type="paragraph" w:customStyle="1" w:styleId="TableText0">
    <w:name w:val="Table Text"/>
    <w:basedOn w:val="Normal"/>
    <w:qFormat/>
    <w:rsid w:val="00385C72"/>
    <w:pPr>
      <w:spacing w:before="40" w:after="40"/>
    </w:pPr>
    <w:rPr>
      <w:rFonts w:ascii="Arial Narrow" w:eastAsiaTheme="minorEastAsia" w:hAnsi="Arial Narrow" w:cstheme="minorHAnsi"/>
      <w:sz w:val="20"/>
      <w:szCs w:val="22"/>
      <w:lang w:eastAsia="zh-CN"/>
    </w:rPr>
  </w:style>
  <w:style w:type="paragraph" w:styleId="Revision">
    <w:name w:val="Revision"/>
    <w:hidden/>
    <w:uiPriority w:val="71"/>
    <w:semiHidden/>
    <w:rsid w:val="002673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99" w:qFormat="1"/>
    <w:lsdException w:name="annotation reference"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4109F4"/>
    <w:pPr>
      <w:widowControl w:val="0"/>
      <w:numPr>
        <w:numId w:val="5"/>
      </w:numPr>
      <w:spacing w:before="240" w:after="120"/>
      <w:jc w:val="both"/>
      <w:outlineLvl w:val="0"/>
    </w:pPr>
    <w:rPr>
      <w:rFonts w:asciiTheme="minorHAnsi" w:hAnsiTheme="minorHAnsi" w:cs="Arial"/>
      <w:b/>
      <w:bCs/>
      <w:snapToGrid w:val="0"/>
      <w:sz w:val="32"/>
    </w:rPr>
  </w:style>
  <w:style w:type="paragraph" w:styleId="Heading2">
    <w:name w:val="heading 2"/>
    <w:basedOn w:val="ListParagraph"/>
    <w:next w:val="Normal"/>
    <w:link w:val="Heading2Char"/>
    <w:uiPriority w:val="1"/>
    <w:qFormat/>
    <w:rsid w:val="004109F4"/>
    <w:pPr>
      <w:widowControl/>
      <w:ind w:hanging="720"/>
      <w:outlineLvl w:val="1"/>
    </w:pPr>
    <w:rPr>
      <w:rFonts w:asciiTheme="minorHAnsi" w:eastAsiaTheme="majorEastAsia" w:hAnsiTheme="minorHAnsi" w:cstheme="majorBidi"/>
      <w:b/>
      <w:i/>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581792"/>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4109F4"/>
    <w:rPr>
      <w:rFonts w:asciiTheme="minorHAnsi" w:hAnsiTheme="minorHAnsi" w:cs="Arial"/>
      <w:b/>
      <w:bCs/>
      <w:snapToGrid w:val="0"/>
      <w:sz w:val="32"/>
      <w:szCs w:val="24"/>
    </w:rPr>
  </w:style>
  <w:style w:type="character" w:customStyle="1" w:styleId="Heading2Char">
    <w:name w:val="Heading 2 Char"/>
    <w:basedOn w:val="DefaultParagraphFont"/>
    <w:link w:val="Heading2"/>
    <w:uiPriority w:val="1"/>
    <w:rsid w:val="004109F4"/>
    <w:rPr>
      <w:rFonts w:asciiTheme="minorHAnsi" w:eastAsiaTheme="majorEastAsia" w:hAnsiTheme="minorHAnsi" w:cstheme="majorBidi"/>
      <w:b/>
      <w:i/>
      <w:snapToGrid w:val="0"/>
      <w:sz w:val="28"/>
      <w:szCs w:val="28"/>
      <w:lang w:eastAsia="en-US"/>
    </w:rPr>
  </w:style>
  <w:style w:type="table" w:customStyle="1" w:styleId="PlainTable21">
    <w:name w:val="Plain Table 21"/>
    <w:basedOn w:val="TableNormal"/>
    <w:uiPriority w:val="42"/>
    <w:rsid w:val="00BE7D8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8Char">
    <w:name w:val="Heading 8 Char"/>
    <w:basedOn w:val="DefaultParagraphFont"/>
    <w:link w:val="Heading8"/>
    <w:uiPriority w:val="7"/>
    <w:rsid w:val="00581792"/>
    <w:rPr>
      <w:rFonts w:asciiTheme="majorHAnsi" w:eastAsiaTheme="majorEastAsia" w:hAnsiTheme="majorHAnsi" w:cstheme="majorBidi"/>
      <w:color w:val="272727" w:themeColor="text1" w:themeTint="D8"/>
      <w:sz w:val="21"/>
      <w:szCs w:val="21"/>
      <w:lang w:eastAsia="en-US"/>
    </w:rPr>
  </w:style>
  <w:style w:type="paragraph" w:customStyle="1" w:styleId="Tabletextcentred">
    <w:name w:val="Table text centred"/>
    <w:basedOn w:val="Normal"/>
    <w:link w:val="TabletextcentredChar"/>
    <w:qFormat/>
    <w:rsid w:val="00AA629F"/>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AA629F"/>
    <w:rPr>
      <w:rFonts w:ascii="Arial Narrow" w:hAnsi="Arial Narrow" w:cs="Arial Narrow"/>
      <w:lang w:eastAsia="en-US"/>
    </w:rPr>
  </w:style>
  <w:style w:type="paragraph" w:customStyle="1" w:styleId="TableFooter">
    <w:name w:val="Table Footer"/>
    <w:basedOn w:val="Normal"/>
    <w:link w:val="TableFooterChar"/>
    <w:qFormat/>
    <w:rsid w:val="00C74035"/>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C74035"/>
    <w:rPr>
      <w:rFonts w:ascii="Arial Narrow" w:hAnsi="Arial Narrow" w:cs="Arial"/>
      <w:snapToGrid w:val="0"/>
      <w:sz w:val="18"/>
      <w:lang w:eastAsia="en-US"/>
    </w:rPr>
  </w:style>
  <w:style w:type="table" w:customStyle="1" w:styleId="TableGridbeth1">
    <w:name w:val="Table Gridbeth1"/>
    <w:basedOn w:val="TableNormal"/>
    <w:next w:val="TableGrid"/>
    <w:uiPriority w:val="39"/>
    <w:rsid w:val="00FC693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TableHeading0">
    <w:name w:val="Table Heading"/>
    <w:basedOn w:val="Normal"/>
    <w:qFormat/>
    <w:rsid w:val="00FC6931"/>
    <w:pPr>
      <w:keepNext/>
      <w:spacing w:after="60"/>
    </w:pPr>
    <w:rPr>
      <w:rFonts w:ascii="Arial Narrow" w:eastAsiaTheme="minorHAnsi" w:hAnsi="Arial Narrow" w:cstheme="minorBidi"/>
      <w:b/>
      <w:sz w:val="20"/>
      <w:szCs w:val="22"/>
      <w:lang w:eastAsia="en-US"/>
    </w:rPr>
  </w:style>
  <w:style w:type="table" w:customStyle="1" w:styleId="TableGridbeth2">
    <w:name w:val="Table Gridbeth2"/>
    <w:basedOn w:val="TableNormal"/>
    <w:next w:val="TableGrid"/>
    <w:uiPriority w:val="39"/>
    <w:rsid w:val="00FC693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basedOn w:val="Normal"/>
    <w:next w:val="Normal"/>
    <w:link w:val="CaptionChar"/>
    <w:uiPriority w:val="99"/>
    <w:unhideWhenUsed/>
    <w:qFormat/>
    <w:rsid w:val="00DE523B"/>
    <w:pPr>
      <w:keepNext/>
      <w:spacing w:before="120" w:after="120"/>
      <w:jc w:val="both"/>
    </w:pPr>
    <w:rPr>
      <w:rFonts w:ascii="Verdana" w:eastAsia="Calibri" w:hAnsi="Verdana"/>
      <w:b/>
      <w:bCs/>
      <w:sz w:val="20"/>
      <w:szCs w:val="20"/>
      <w:lang w:eastAsia="en-US"/>
    </w:rPr>
  </w:style>
  <w:style w:type="paragraph" w:customStyle="1" w:styleId="Tablenote">
    <w:name w:val="Table note"/>
    <w:basedOn w:val="Normal"/>
    <w:next w:val="Normal"/>
    <w:qFormat/>
    <w:rsid w:val="00DE523B"/>
    <w:pPr>
      <w:spacing w:before="120" w:after="120"/>
      <w:jc w:val="both"/>
    </w:pPr>
    <w:rPr>
      <w:rFonts w:ascii="Verdana" w:eastAsia="Calibri" w:hAnsi="Verdana"/>
      <w:sz w:val="18"/>
      <w:szCs w:val="22"/>
      <w:lang w:eastAsia="en-US"/>
    </w:rPr>
  </w:style>
  <w:style w:type="paragraph" w:customStyle="1" w:styleId="Tablebold">
    <w:name w:val="Table bold"/>
    <w:basedOn w:val="Tabletext"/>
    <w:qFormat/>
    <w:rsid w:val="00DE523B"/>
    <w:pPr>
      <w:keepNext/>
      <w:keepLines/>
      <w:spacing w:before="60" w:after="60"/>
    </w:pPr>
    <w:rPr>
      <w:rFonts w:ascii="Verdana" w:eastAsia="Calibri" w:hAnsi="Verdana"/>
      <w:b/>
      <w:sz w:val="18"/>
      <w:szCs w:val="22"/>
    </w:rPr>
  </w:style>
  <w:style w:type="character" w:customStyle="1" w:styleId="CaptionChar">
    <w:name w:val="Caption Char"/>
    <w:basedOn w:val="DefaultParagraphFont"/>
    <w:link w:val="Caption"/>
    <w:uiPriority w:val="99"/>
    <w:rsid w:val="00DE523B"/>
    <w:rPr>
      <w:rFonts w:ascii="Verdana" w:eastAsia="Calibri" w:hAnsi="Verdana"/>
      <w:b/>
      <w:bCs/>
      <w:lang w:eastAsia="en-US"/>
    </w:rPr>
  </w:style>
  <w:style w:type="paragraph" w:customStyle="1" w:styleId="TableText0">
    <w:name w:val="Table Text"/>
    <w:basedOn w:val="Normal"/>
    <w:qFormat/>
    <w:rsid w:val="00385C72"/>
    <w:pPr>
      <w:spacing w:before="40" w:after="40"/>
    </w:pPr>
    <w:rPr>
      <w:rFonts w:ascii="Arial Narrow" w:eastAsiaTheme="minorEastAsia" w:hAnsi="Arial Narrow" w:cstheme="minorHAnsi"/>
      <w:sz w:val="20"/>
      <w:szCs w:val="22"/>
      <w:lang w:eastAsia="zh-CN"/>
    </w:rPr>
  </w:style>
  <w:style w:type="paragraph" w:styleId="Revision">
    <w:name w:val="Revision"/>
    <w:hidden/>
    <w:uiPriority w:val="71"/>
    <w:semiHidden/>
    <w:rsid w:val="00267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547683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7654018">
      <w:bodyDiv w:val="1"/>
      <w:marLeft w:val="0"/>
      <w:marRight w:val="0"/>
      <w:marTop w:val="0"/>
      <w:marBottom w:val="0"/>
      <w:divBdr>
        <w:top w:val="none" w:sz="0" w:space="0" w:color="auto"/>
        <w:left w:val="none" w:sz="0" w:space="0" w:color="auto"/>
        <w:bottom w:val="none" w:sz="0" w:space="0" w:color="auto"/>
        <w:right w:val="none" w:sz="0" w:space="0" w:color="auto"/>
      </w:divBdr>
    </w:div>
    <w:div w:id="1256357131">
      <w:bodyDiv w:val="1"/>
      <w:marLeft w:val="0"/>
      <w:marRight w:val="0"/>
      <w:marTop w:val="0"/>
      <w:marBottom w:val="0"/>
      <w:divBdr>
        <w:top w:val="none" w:sz="0" w:space="0" w:color="auto"/>
        <w:left w:val="none" w:sz="0" w:space="0" w:color="auto"/>
        <w:bottom w:val="none" w:sz="0" w:space="0" w:color="auto"/>
        <w:right w:val="none" w:sz="0" w:space="0" w:color="auto"/>
      </w:divBdr>
    </w:div>
    <w:div w:id="13925340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2427749">
      <w:bodyDiv w:val="1"/>
      <w:marLeft w:val="0"/>
      <w:marRight w:val="0"/>
      <w:marTop w:val="0"/>
      <w:marBottom w:val="0"/>
      <w:divBdr>
        <w:top w:val="none" w:sz="0" w:space="0" w:color="auto"/>
        <w:left w:val="none" w:sz="0" w:space="0" w:color="auto"/>
        <w:bottom w:val="none" w:sz="0" w:space="0" w:color="auto"/>
        <w:right w:val="none" w:sz="0" w:space="0" w:color="auto"/>
      </w:divBdr>
    </w:div>
    <w:div w:id="20556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77585-1E15-481B-8CDF-5B1C8277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6947</Words>
  <Characters>41360</Characters>
  <Application>Microsoft Office Word</Application>
  <DocSecurity>0</DocSecurity>
  <Lines>344</Lines>
  <Paragraphs>96</Paragraphs>
  <ScaleCrop>false</ScaleCrop>
  <LinksUpToDate>false</LinksUpToDate>
  <CharactersWithSpaces>48211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2018-06-18T05:49:00Z</dcterms:created>
  <dcterms:modified xsi:type="dcterms:W3CDTF">2018-06-22T01:16:00Z</dcterms:modified>
</cp:coreProperties>
</file>